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446396">
      <w:pPr>
        <w:widowControl w:val="0"/>
        <w:tabs>
          <w:tab w:val="left" w:pos="142"/>
        </w:tabs>
        <w:snapToGrid w:val="0"/>
        <w:spacing w:line="560" w:lineRule="exact"/>
        <w:ind w:firstLine="241" w:firstLineChars="50"/>
        <w:jc w:val="center"/>
        <w:rPr>
          <w:rFonts w:eastAsia="黑体"/>
          <w:b/>
          <w:color w:val="auto"/>
          <w:spacing w:val="40"/>
          <w:sz w:val="40"/>
          <w:szCs w:val="40"/>
        </w:rPr>
      </w:pPr>
      <w:bookmarkStart w:id="49" w:name="_GoBack"/>
      <w:bookmarkEnd w:id="49"/>
    </w:p>
    <w:p w14:paraId="43C9B81A">
      <w:pPr>
        <w:widowControl w:val="0"/>
        <w:snapToGrid w:val="0"/>
        <w:spacing w:line="560" w:lineRule="exact"/>
        <w:ind w:firstLine="241" w:firstLineChars="50"/>
        <w:jc w:val="center"/>
        <w:rPr>
          <w:rFonts w:eastAsia="黑体"/>
          <w:b/>
          <w:color w:val="auto"/>
          <w:spacing w:val="40"/>
          <w:sz w:val="40"/>
          <w:szCs w:val="40"/>
        </w:rPr>
      </w:pPr>
    </w:p>
    <w:p w14:paraId="5D50ADF5">
      <w:pPr>
        <w:widowControl w:val="0"/>
        <w:snapToGrid w:val="0"/>
        <w:spacing w:line="560" w:lineRule="exact"/>
        <w:ind w:firstLine="241" w:firstLineChars="50"/>
        <w:jc w:val="center"/>
        <w:rPr>
          <w:rFonts w:eastAsia="黑体"/>
          <w:b/>
          <w:color w:val="auto"/>
          <w:spacing w:val="40"/>
          <w:sz w:val="40"/>
          <w:szCs w:val="40"/>
        </w:rPr>
      </w:pPr>
    </w:p>
    <w:p w14:paraId="12A7A47B">
      <w:pPr>
        <w:widowControl w:val="0"/>
        <w:snapToGrid w:val="0"/>
        <w:spacing w:line="560" w:lineRule="exact"/>
        <w:jc w:val="center"/>
        <w:rPr>
          <w:rFonts w:ascii="黑体" w:eastAsia="黑体"/>
          <w:b/>
          <w:color w:val="auto"/>
          <w:spacing w:val="-20"/>
          <w:sz w:val="36"/>
          <w:szCs w:val="36"/>
        </w:rPr>
      </w:pPr>
      <w:r>
        <w:rPr>
          <w:rFonts w:hint="eastAsia" w:ascii="黑体" w:eastAsia="黑体"/>
          <w:b/>
          <w:color w:val="auto"/>
          <w:sz w:val="36"/>
          <w:szCs w:val="36"/>
        </w:rPr>
        <w:t>安阳县农业农村局“蓝天卫士”电子监控系统采购项目</w:t>
      </w:r>
    </w:p>
    <w:p w14:paraId="0BB33DAF">
      <w:pPr>
        <w:widowControl w:val="0"/>
        <w:snapToGrid w:val="0"/>
        <w:spacing w:line="560" w:lineRule="exact"/>
        <w:ind w:firstLine="261" w:firstLineChars="50"/>
        <w:jc w:val="center"/>
        <w:rPr>
          <w:rFonts w:ascii="黑体" w:eastAsia="黑体"/>
          <w:b/>
          <w:color w:val="auto"/>
          <w:spacing w:val="40"/>
          <w:sz w:val="44"/>
          <w:szCs w:val="44"/>
        </w:rPr>
      </w:pPr>
    </w:p>
    <w:p w14:paraId="287BC76F">
      <w:pPr>
        <w:widowControl w:val="0"/>
        <w:snapToGrid w:val="0"/>
        <w:spacing w:before="240" w:beforeLines="100" w:line="560" w:lineRule="exact"/>
        <w:jc w:val="center"/>
        <w:rPr>
          <w:rFonts w:eastAsia="黑体"/>
          <w:b/>
          <w:color w:val="auto"/>
          <w:sz w:val="44"/>
        </w:rPr>
      </w:pPr>
    </w:p>
    <w:p w14:paraId="0B751E4A">
      <w:pPr>
        <w:widowControl w:val="0"/>
        <w:snapToGrid w:val="0"/>
        <w:spacing w:before="240" w:beforeLines="100" w:line="240" w:lineRule="auto"/>
        <w:jc w:val="center"/>
        <w:rPr>
          <w:rFonts w:eastAsia="黑体"/>
          <w:b/>
          <w:color w:val="auto"/>
          <w:sz w:val="44"/>
        </w:rPr>
      </w:pPr>
    </w:p>
    <w:p w14:paraId="4EA844E7">
      <w:pPr>
        <w:widowControl w:val="0"/>
        <w:snapToGrid w:val="0"/>
        <w:spacing w:before="240" w:beforeLines="100" w:line="240" w:lineRule="auto"/>
        <w:jc w:val="center"/>
        <w:rPr>
          <w:rFonts w:eastAsia="黑体"/>
          <w:b/>
          <w:color w:val="auto"/>
          <w:sz w:val="44"/>
        </w:rPr>
      </w:pPr>
    </w:p>
    <w:p w14:paraId="27730337">
      <w:pPr>
        <w:widowControl w:val="0"/>
        <w:snapToGrid w:val="0"/>
        <w:spacing w:before="240" w:beforeLines="100" w:line="240" w:lineRule="auto"/>
        <w:jc w:val="center"/>
        <w:rPr>
          <w:rFonts w:ascii="华文新魏" w:hAnsi="微软雅黑" w:eastAsia="华文新魏"/>
          <w:b/>
          <w:color w:val="auto"/>
          <w:sz w:val="104"/>
          <w:szCs w:val="104"/>
        </w:rPr>
      </w:pPr>
      <w:r>
        <w:rPr>
          <w:rFonts w:hint="eastAsia" w:ascii="华文新魏" w:hAnsi="微软雅黑" w:eastAsia="华文新魏"/>
          <w:b/>
          <w:color w:val="auto"/>
          <w:sz w:val="104"/>
          <w:szCs w:val="104"/>
        </w:rPr>
        <w:t>单一来源采购文件</w:t>
      </w:r>
    </w:p>
    <w:p w14:paraId="0750B9B7">
      <w:pPr>
        <w:widowControl w:val="0"/>
        <w:snapToGrid w:val="0"/>
        <w:spacing w:before="240" w:beforeLines="100" w:line="560" w:lineRule="exact"/>
        <w:jc w:val="center"/>
        <w:rPr>
          <w:rFonts w:ascii="宋体"/>
          <w:color w:val="auto"/>
          <w:sz w:val="32"/>
          <w:szCs w:val="32"/>
        </w:rPr>
      </w:pPr>
    </w:p>
    <w:p w14:paraId="2E1F4CD4">
      <w:pPr>
        <w:widowControl w:val="0"/>
        <w:snapToGrid w:val="0"/>
        <w:spacing w:before="240" w:beforeLines="100" w:line="560" w:lineRule="exact"/>
        <w:jc w:val="center"/>
        <w:rPr>
          <w:rFonts w:ascii="宋体" w:hAnsi="宋体"/>
          <w:color w:val="auto"/>
          <w:sz w:val="32"/>
          <w:szCs w:val="32"/>
        </w:rPr>
      </w:pPr>
      <w:r>
        <w:rPr>
          <w:rFonts w:hint="eastAsia" w:ascii="宋体" w:hAnsi="宋体"/>
          <w:color w:val="auto"/>
          <w:sz w:val="32"/>
          <w:szCs w:val="32"/>
        </w:rPr>
        <w:t>项目编号：安县单一采购-2025-1</w:t>
      </w:r>
      <w:r>
        <w:rPr>
          <w:rFonts w:ascii="宋体" w:hAnsi="宋体"/>
          <w:color w:val="auto"/>
          <w:sz w:val="32"/>
          <w:szCs w:val="32"/>
        </w:rPr>
        <w:t xml:space="preserve"> </w:t>
      </w:r>
    </w:p>
    <w:p w14:paraId="06774D35">
      <w:pPr>
        <w:widowControl w:val="0"/>
        <w:snapToGrid w:val="0"/>
        <w:spacing w:before="240" w:beforeLines="100" w:line="560" w:lineRule="exact"/>
        <w:jc w:val="center"/>
        <w:rPr>
          <w:rFonts w:eastAsia="黑体"/>
          <w:b/>
          <w:color w:val="auto"/>
          <w:sz w:val="44"/>
        </w:rPr>
      </w:pPr>
    </w:p>
    <w:p w14:paraId="36C64919">
      <w:pPr>
        <w:widowControl w:val="0"/>
        <w:snapToGrid w:val="0"/>
        <w:spacing w:before="240" w:beforeLines="100" w:line="560" w:lineRule="exact"/>
        <w:jc w:val="center"/>
        <w:rPr>
          <w:rFonts w:eastAsia="黑体"/>
          <w:b/>
          <w:color w:val="auto"/>
          <w:sz w:val="44"/>
        </w:rPr>
      </w:pPr>
    </w:p>
    <w:p w14:paraId="6BE86E40">
      <w:pPr>
        <w:widowControl w:val="0"/>
        <w:snapToGrid w:val="0"/>
        <w:spacing w:before="240" w:beforeLines="100" w:line="560" w:lineRule="exact"/>
        <w:jc w:val="center"/>
        <w:rPr>
          <w:rFonts w:eastAsia="黑体"/>
          <w:b/>
          <w:color w:val="auto"/>
          <w:sz w:val="44"/>
        </w:rPr>
      </w:pPr>
    </w:p>
    <w:p w14:paraId="46E41D64">
      <w:pPr>
        <w:widowControl w:val="0"/>
        <w:snapToGrid w:val="0"/>
        <w:spacing w:before="240" w:beforeLines="100" w:line="560" w:lineRule="exact"/>
        <w:rPr>
          <w:rFonts w:eastAsia="黑体"/>
          <w:b/>
          <w:color w:val="auto"/>
          <w:sz w:val="44"/>
        </w:rPr>
      </w:pPr>
    </w:p>
    <w:p w14:paraId="56BAF466">
      <w:pPr>
        <w:widowControl w:val="0"/>
        <w:snapToGrid w:val="0"/>
        <w:spacing w:line="660" w:lineRule="exact"/>
        <w:ind w:firstLine="540" w:firstLineChars="168"/>
        <w:rPr>
          <w:rFonts w:ascii="黑体" w:hAnsi="黑体" w:eastAsia="黑体"/>
          <w:b/>
          <w:color w:val="auto"/>
          <w:sz w:val="32"/>
          <w:szCs w:val="32"/>
        </w:rPr>
      </w:pPr>
      <w:r>
        <w:rPr>
          <w:rFonts w:hint="eastAsia" w:ascii="黑体" w:hAnsi="黑体" w:eastAsia="黑体"/>
          <w:b/>
          <w:color w:val="auto"/>
          <w:sz w:val="32"/>
          <w:szCs w:val="32"/>
        </w:rPr>
        <w:t>采购人：安阳县农业农村局</w:t>
      </w:r>
    </w:p>
    <w:p w14:paraId="2CEF0033">
      <w:pPr>
        <w:widowControl w:val="0"/>
        <w:snapToGrid w:val="0"/>
        <w:spacing w:line="660" w:lineRule="exact"/>
        <w:ind w:firstLine="540" w:firstLineChars="168"/>
        <w:rPr>
          <w:rFonts w:ascii="黑体" w:hAnsi="黑体" w:eastAsia="黑体"/>
          <w:b/>
          <w:color w:val="auto"/>
          <w:sz w:val="32"/>
          <w:szCs w:val="32"/>
        </w:rPr>
        <w:sectPr>
          <w:headerReference r:id="rId7" w:type="first"/>
          <w:footerReference r:id="rId10" w:type="first"/>
          <w:headerReference r:id="rId5" w:type="default"/>
          <w:footerReference r:id="rId8" w:type="default"/>
          <w:headerReference r:id="rId6" w:type="even"/>
          <w:footerReference r:id="rId9" w:type="even"/>
          <w:pgSz w:w="11905" w:h="16837"/>
          <w:pgMar w:top="1418" w:right="1106" w:bottom="1418" w:left="1418" w:header="567" w:footer="567" w:gutter="0"/>
          <w:pgNumType w:fmt="numberInDash" w:start="0"/>
          <w:cols w:space="720" w:num="1"/>
          <w:titlePg/>
        </w:sectPr>
      </w:pPr>
      <w:r>
        <w:rPr>
          <w:rFonts w:hint="eastAsia" w:ascii="黑体" w:hAnsi="黑体" w:eastAsia="黑体"/>
          <w:b/>
          <w:color w:val="auto"/>
          <w:sz w:val="32"/>
          <w:szCs w:val="32"/>
        </w:rPr>
        <w:t>代理机构：安阳市方正招标采购服务有限责任公司</w:t>
      </w:r>
    </w:p>
    <w:p w14:paraId="2F4DFD2E">
      <w:pPr>
        <w:widowControl w:val="0"/>
        <w:snapToGrid w:val="0"/>
        <w:spacing w:line="660" w:lineRule="exact"/>
        <w:ind w:firstLine="540" w:firstLineChars="168"/>
        <w:rPr>
          <w:rFonts w:ascii="黑体" w:hAnsi="黑体" w:eastAsia="黑体"/>
          <w:b/>
          <w:color w:val="auto"/>
          <w:sz w:val="32"/>
          <w:szCs w:val="32"/>
        </w:rPr>
      </w:pPr>
    </w:p>
    <w:p w14:paraId="5E40DF74">
      <w:pPr>
        <w:pStyle w:val="67"/>
        <w:jc w:val="center"/>
        <w:rPr>
          <w:rFonts w:ascii="黑体" w:hAnsi="黑体" w:eastAsia="黑体"/>
          <w:color w:val="auto"/>
          <w:sz w:val="36"/>
          <w:szCs w:val="36"/>
          <w:lang w:val="zh-CN"/>
        </w:rPr>
      </w:pPr>
      <w:r>
        <w:rPr>
          <w:rFonts w:hint="eastAsia" w:ascii="黑体" w:hAnsi="黑体" w:eastAsia="黑体"/>
          <w:color w:val="auto"/>
          <w:sz w:val="36"/>
          <w:szCs w:val="36"/>
          <w:lang w:val="zh-CN"/>
        </w:rPr>
        <w:t>目</w:t>
      </w:r>
      <w:r>
        <w:rPr>
          <w:rFonts w:ascii="黑体" w:hAnsi="黑体" w:eastAsia="黑体"/>
          <w:color w:val="auto"/>
          <w:sz w:val="36"/>
          <w:szCs w:val="36"/>
          <w:lang w:val="zh-CN"/>
        </w:rPr>
        <w:t xml:space="preserve"> </w:t>
      </w:r>
      <w:r>
        <w:rPr>
          <w:rFonts w:hint="eastAsia" w:ascii="黑体" w:hAnsi="黑体" w:eastAsia="黑体"/>
          <w:color w:val="auto"/>
          <w:sz w:val="36"/>
          <w:szCs w:val="36"/>
          <w:lang w:val="zh-CN"/>
        </w:rPr>
        <w:t>录</w:t>
      </w:r>
    </w:p>
    <w:p w14:paraId="0BB9E8A4">
      <w:pPr>
        <w:pStyle w:val="16"/>
        <w:tabs>
          <w:tab w:val="right" w:leader="dot" w:pos="9371"/>
        </w:tabs>
        <w:rPr>
          <w:rFonts w:asciiTheme="minorHAnsi" w:hAnsiTheme="minorHAnsi" w:eastAsiaTheme="minorEastAsia" w:cstheme="minorBidi"/>
          <w:color w:val="auto"/>
          <w:kern w:val="2"/>
          <w:szCs w:val="22"/>
        </w:rPr>
      </w:pPr>
      <w:r>
        <w:rPr>
          <w:color w:val="auto"/>
        </w:rPr>
        <w:fldChar w:fldCharType="begin"/>
      </w:r>
      <w:r>
        <w:rPr>
          <w:color w:val="auto"/>
        </w:rPr>
        <w:instrText xml:space="preserve"> TOC \o "1-3" \h \z \u </w:instrText>
      </w:r>
      <w:r>
        <w:rPr>
          <w:color w:val="auto"/>
        </w:rPr>
        <w:fldChar w:fldCharType="separate"/>
      </w:r>
    </w:p>
    <w:p w14:paraId="1570995B">
      <w:pPr>
        <w:pStyle w:val="16"/>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"_Toc58858960" </w:instrText>
      </w:r>
      <w:r>
        <w:fldChar w:fldCharType="separate"/>
      </w:r>
      <w:r>
        <w:rPr>
          <w:rStyle w:val="30"/>
          <w:rFonts w:hint="eastAsia" w:eastAsia="黑体"/>
          <w:b/>
          <w:color w:val="auto"/>
        </w:rPr>
        <w:t>第一章</w:t>
      </w:r>
      <w:r>
        <w:rPr>
          <w:rStyle w:val="30"/>
          <w:rFonts w:eastAsia="黑体"/>
          <w:b/>
          <w:color w:val="auto"/>
        </w:rPr>
        <w:t xml:space="preserve">  </w:t>
      </w:r>
      <w:r>
        <w:rPr>
          <w:rStyle w:val="30"/>
          <w:rFonts w:hint="eastAsia" w:eastAsia="黑体"/>
          <w:b/>
          <w:color w:val="auto"/>
        </w:rPr>
        <w:t>谈判邀请函</w:t>
      </w:r>
      <w:r>
        <w:rPr>
          <w:color w:val="auto"/>
        </w:rPr>
        <w:tab/>
      </w:r>
      <w:r>
        <w:rPr>
          <w:color w:val="auto"/>
        </w:rPr>
        <w:fldChar w:fldCharType="begin"/>
      </w:r>
      <w:r>
        <w:rPr>
          <w:color w:val="auto"/>
        </w:rPr>
        <w:instrText xml:space="preserve"> PAGEREF _Toc58858960 \h </w:instrText>
      </w:r>
      <w:r>
        <w:rPr>
          <w:color w:val="auto"/>
        </w:rPr>
        <w:fldChar w:fldCharType="separate"/>
      </w:r>
      <w:r>
        <w:rPr>
          <w:color w:val="auto"/>
        </w:rPr>
        <w:t>- 1 -</w:t>
      </w:r>
      <w:r>
        <w:rPr>
          <w:color w:val="auto"/>
        </w:rPr>
        <w:fldChar w:fldCharType="end"/>
      </w:r>
      <w:r>
        <w:rPr>
          <w:color w:val="auto"/>
        </w:rPr>
        <w:fldChar w:fldCharType="end"/>
      </w:r>
    </w:p>
    <w:p w14:paraId="0C6A3D77">
      <w:pPr>
        <w:pStyle w:val="16"/>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"_Toc58858961" </w:instrText>
      </w:r>
      <w:r>
        <w:fldChar w:fldCharType="separate"/>
      </w:r>
      <w:r>
        <w:rPr>
          <w:rStyle w:val="30"/>
          <w:rFonts w:hint="eastAsia" w:eastAsia="黑体"/>
          <w:b/>
          <w:color w:val="auto"/>
        </w:rPr>
        <w:t>第二章</w:t>
      </w:r>
      <w:r>
        <w:rPr>
          <w:rStyle w:val="30"/>
          <w:rFonts w:eastAsia="黑体"/>
          <w:b/>
          <w:color w:val="auto"/>
        </w:rPr>
        <w:t xml:space="preserve">  </w:t>
      </w:r>
      <w:r>
        <w:rPr>
          <w:rStyle w:val="30"/>
          <w:rFonts w:hint="eastAsia" w:eastAsia="黑体"/>
          <w:b/>
          <w:color w:val="auto"/>
        </w:rPr>
        <w:t>采购项目及服务要求</w:t>
      </w:r>
      <w:r>
        <w:rPr>
          <w:color w:val="auto"/>
        </w:rPr>
        <w:tab/>
      </w:r>
      <w:r>
        <w:rPr>
          <w:color w:val="auto"/>
        </w:rPr>
        <w:fldChar w:fldCharType="begin"/>
      </w:r>
      <w:r>
        <w:rPr>
          <w:color w:val="auto"/>
        </w:rPr>
        <w:instrText xml:space="preserve"> PAGEREF _Toc58858961 \h </w:instrText>
      </w:r>
      <w:r>
        <w:rPr>
          <w:color w:val="auto"/>
        </w:rPr>
        <w:fldChar w:fldCharType="separate"/>
      </w:r>
      <w:r>
        <w:rPr>
          <w:color w:val="auto"/>
        </w:rPr>
        <w:t>- 6 -</w:t>
      </w:r>
      <w:r>
        <w:rPr>
          <w:color w:val="auto"/>
        </w:rPr>
        <w:fldChar w:fldCharType="end"/>
      </w:r>
      <w:r>
        <w:rPr>
          <w:color w:val="auto"/>
        </w:rPr>
        <w:fldChar w:fldCharType="end"/>
      </w:r>
    </w:p>
    <w:p w14:paraId="38B0850E">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"_Toc58858962" </w:instrText>
      </w:r>
      <w:r>
        <w:fldChar w:fldCharType="separate"/>
      </w:r>
      <w:r>
        <w:rPr>
          <w:rStyle w:val="30"/>
          <w:rFonts w:ascii="黑体" w:hAnsi="黑体" w:eastAsia="黑体"/>
          <w:b/>
          <w:color w:val="auto"/>
        </w:rPr>
        <w:t xml:space="preserve">1. </w:t>
      </w:r>
      <w:r>
        <w:rPr>
          <w:rStyle w:val="30"/>
          <w:rFonts w:hint="eastAsia" w:ascii="黑体" w:hAnsi="黑体" w:eastAsia="黑体"/>
          <w:b/>
          <w:color w:val="auto"/>
        </w:rPr>
        <w:t>采购项目、标段（包）划分、投标报价</w:t>
      </w:r>
      <w:r>
        <w:rPr>
          <w:color w:val="auto"/>
        </w:rPr>
        <w:tab/>
      </w:r>
      <w:r>
        <w:rPr>
          <w:color w:val="auto"/>
        </w:rPr>
        <w:fldChar w:fldCharType="begin"/>
      </w:r>
      <w:r>
        <w:rPr>
          <w:color w:val="auto"/>
        </w:rPr>
        <w:instrText xml:space="preserve"> PAGEREF _Toc58858962 \h </w:instrText>
      </w:r>
      <w:r>
        <w:rPr>
          <w:color w:val="auto"/>
        </w:rPr>
        <w:fldChar w:fldCharType="separate"/>
      </w:r>
      <w:r>
        <w:rPr>
          <w:color w:val="auto"/>
        </w:rPr>
        <w:t>- 6 -</w:t>
      </w:r>
      <w:r>
        <w:rPr>
          <w:color w:val="auto"/>
        </w:rPr>
        <w:fldChar w:fldCharType="end"/>
      </w:r>
      <w:r>
        <w:rPr>
          <w:color w:val="auto"/>
        </w:rPr>
        <w:fldChar w:fldCharType="end"/>
      </w:r>
    </w:p>
    <w:p w14:paraId="13E78C4B">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"_Toc58858963" </w:instrText>
      </w:r>
      <w:r>
        <w:fldChar w:fldCharType="separate"/>
      </w:r>
      <w:r>
        <w:rPr>
          <w:rStyle w:val="30"/>
          <w:rFonts w:ascii="黑体" w:hAnsi="黑体" w:eastAsia="黑体"/>
          <w:b/>
          <w:color w:val="auto"/>
        </w:rPr>
        <w:t xml:space="preserve">2. </w:t>
      </w:r>
      <w:r>
        <w:rPr>
          <w:rStyle w:val="30"/>
          <w:rFonts w:hint="eastAsia" w:ascii="黑体" w:hAnsi="黑体" w:eastAsia="黑体"/>
          <w:b/>
          <w:color w:val="auto"/>
        </w:rPr>
        <w:t>标段（包）内容（范围）及基本技术要求</w:t>
      </w:r>
      <w:r>
        <w:rPr>
          <w:color w:val="auto"/>
        </w:rPr>
        <w:tab/>
      </w:r>
      <w:r>
        <w:rPr>
          <w:color w:val="auto"/>
        </w:rPr>
        <w:fldChar w:fldCharType="begin"/>
      </w:r>
      <w:r>
        <w:rPr>
          <w:color w:val="auto"/>
        </w:rPr>
        <w:instrText xml:space="preserve"> PAGEREF _Toc58858963 \h </w:instrText>
      </w:r>
      <w:r>
        <w:rPr>
          <w:color w:val="auto"/>
        </w:rPr>
        <w:fldChar w:fldCharType="separate"/>
      </w:r>
      <w:r>
        <w:rPr>
          <w:color w:val="auto"/>
        </w:rPr>
        <w:t>- 6 -</w:t>
      </w:r>
      <w:r>
        <w:rPr>
          <w:color w:val="auto"/>
        </w:rPr>
        <w:fldChar w:fldCharType="end"/>
      </w:r>
      <w:r>
        <w:rPr>
          <w:color w:val="auto"/>
        </w:rPr>
        <w:fldChar w:fldCharType="end"/>
      </w:r>
    </w:p>
    <w:p w14:paraId="7E004C07">
      <w:pPr>
        <w:pStyle w:val="16"/>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"_Toc58858964" </w:instrText>
      </w:r>
      <w:r>
        <w:fldChar w:fldCharType="separate"/>
      </w:r>
      <w:r>
        <w:rPr>
          <w:rStyle w:val="30"/>
          <w:rFonts w:hint="eastAsia" w:eastAsia="黑体"/>
          <w:b/>
          <w:color w:val="auto"/>
        </w:rPr>
        <w:t>第三章</w:t>
      </w:r>
      <w:r>
        <w:rPr>
          <w:rStyle w:val="30"/>
          <w:rFonts w:eastAsia="黑体"/>
          <w:b/>
          <w:color w:val="auto"/>
        </w:rPr>
        <w:t xml:space="preserve">  </w:t>
      </w:r>
      <w:r>
        <w:rPr>
          <w:rStyle w:val="30"/>
          <w:rFonts w:hint="eastAsia" w:eastAsia="黑体"/>
          <w:b/>
          <w:color w:val="auto"/>
        </w:rPr>
        <w:t>投标人须知</w:t>
      </w:r>
      <w:r>
        <w:rPr>
          <w:color w:val="auto"/>
        </w:rPr>
        <w:tab/>
      </w:r>
      <w:r>
        <w:rPr>
          <w:color w:val="auto"/>
        </w:rPr>
        <w:fldChar w:fldCharType="begin"/>
      </w:r>
      <w:r>
        <w:rPr>
          <w:color w:val="auto"/>
        </w:rPr>
        <w:instrText xml:space="preserve"> PAGEREF _Toc58858964 \h </w:instrText>
      </w:r>
      <w:r>
        <w:rPr>
          <w:color w:val="auto"/>
        </w:rPr>
        <w:fldChar w:fldCharType="separate"/>
      </w:r>
      <w:r>
        <w:rPr>
          <w:color w:val="auto"/>
        </w:rPr>
        <w:t>- 11 -</w:t>
      </w:r>
      <w:r>
        <w:rPr>
          <w:color w:val="auto"/>
        </w:rPr>
        <w:fldChar w:fldCharType="end"/>
      </w:r>
      <w:r>
        <w:rPr>
          <w:color w:val="auto"/>
        </w:rPr>
        <w:fldChar w:fldCharType="end"/>
      </w:r>
    </w:p>
    <w:p w14:paraId="3AA8FD9D">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"_Toc58858965" </w:instrText>
      </w:r>
      <w:r>
        <w:fldChar w:fldCharType="separate"/>
      </w:r>
      <w:r>
        <w:rPr>
          <w:rStyle w:val="30"/>
          <w:rFonts w:hint="eastAsia" w:eastAsia="黑体"/>
          <w:b/>
          <w:color w:val="auto"/>
        </w:rPr>
        <w:t>投标人须知前附表</w:t>
      </w:r>
      <w:r>
        <w:rPr>
          <w:color w:val="auto"/>
        </w:rPr>
        <w:tab/>
      </w:r>
      <w:r>
        <w:rPr>
          <w:color w:val="auto"/>
        </w:rPr>
        <w:fldChar w:fldCharType="begin"/>
      </w:r>
      <w:r>
        <w:rPr>
          <w:color w:val="auto"/>
        </w:rPr>
        <w:instrText xml:space="preserve"> PAGEREF _Toc58858965 \h </w:instrText>
      </w:r>
      <w:r>
        <w:rPr>
          <w:color w:val="auto"/>
        </w:rPr>
        <w:fldChar w:fldCharType="separate"/>
      </w:r>
      <w:r>
        <w:rPr>
          <w:color w:val="auto"/>
        </w:rPr>
        <w:t>- 11 -</w:t>
      </w:r>
      <w:r>
        <w:rPr>
          <w:color w:val="auto"/>
        </w:rPr>
        <w:fldChar w:fldCharType="end"/>
      </w:r>
      <w:r>
        <w:rPr>
          <w:color w:val="auto"/>
        </w:rPr>
        <w:fldChar w:fldCharType="end"/>
      </w:r>
    </w:p>
    <w:p w14:paraId="5AD524B1">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"_Toc58858966" </w:instrText>
      </w:r>
      <w:r>
        <w:fldChar w:fldCharType="separate"/>
      </w:r>
      <w:r>
        <w:rPr>
          <w:rStyle w:val="30"/>
          <w:rFonts w:ascii="黑体" w:hAnsi="黑体" w:eastAsia="黑体" w:cs="楷体_GB2312"/>
          <w:b/>
          <w:bCs/>
          <w:color w:val="auto"/>
          <w:lang w:val="zh-CN"/>
        </w:rPr>
        <w:t xml:space="preserve">1. </w:t>
      </w:r>
      <w:r>
        <w:rPr>
          <w:rStyle w:val="30"/>
          <w:rFonts w:hint="eastAsia" w:ascii="黑体" w:hAnsi="黑体" w:eastAsia="黑体" w:cs="楷体_GB2312"/>
          <w:b/>
          <w:bCs/>
          <w:color w:val="auto"/>
          <w:lang w:val="zh-CN"/>
        </w:rPr>
        <w:t>总则</w:t>
      </w:r>
      <w:r>
        <w:rPr>
          <w:color w:val="auto"/>
        </w:rPr>
        <w:tab/>
      </w:r>
      <w:r>
        <w:rPr>
          <w:color w:val="auto"/>
        </w:rPr>
        <w:fldChar w:fldCharType="begin"/>
      </w:r>
      <w:r>
        <w:rPr>
          <w:color w:val="auto"/>
        </w:rPr>
        <w:instrText xml:space="preserve"> PAGEREF _Toc58858966 \h </w:instrText>
      </w:r>
      <w:r>
        <w:rPr>
          <w:color w:val="auto"/>
        </w:rPr>
        <w:fldChar w:fldCharType="separate"/>
      </w:r>
      <w:r>
        <w:rPr>
          <w:color w:val="auto"/>
        </w:rPr>
        <w:t>- 14 -</w:t>
      </w:r>
      <w:r>
        <w:rPr>
          <w:color w:val="auto"/>
        </w:rPr>
        <w:fldChar w:fldCharType="end"/>
      </w:r>
      <w:r>
        <w:rPr>
          <w:color w:val="auto"/>
        </w:rPr>
        <w:fldChar w:fldCharType="end"/>
      </w:r>
    </w:p>
    <w:p w14:paraId="65FB76CB">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"_Toc58858967" </w:instrText>
      </w:r>
      <w:r>
        <w:fldChar w:fldCharType="separate"/>
      </w:r>
      <w:r>
        <w:rPr>
          <w:rStyle w:val="30"/>
          <w:rFonts w:ascii="黑体" w:hAnsi="黑体" w:eastAsia="黑体" w:cs="楷体_GB2312"/>
          <w:b/>
          <w:bCs/>
          <w:color w:val="auto"/>
          <w:lang w:val="zh-CN"/>
        </w:rPr>
        <w:t xml:space="preserve">2. </w:t>
      </w:r>
      <w:r>
        <w:rPr>
          <w:rStyle w:val="30"/>
          <w:rFonts w:hint="eastAsia" w:ascii="黑体" w:hAnsi="黑体" w:eastAsia="黑体" w:cs="楷体_GB2312"/>
          <w:b/>
          <w:bCs/>
          <w:color w:val="auto"/>
          <w:lang w:val="zh-CN"/>
        </w:rPr>
        <w:t>单一来源采购文件</w:t>
      </w:r>
      <w:r>
        <w:rPr>
          <w:color w:val="auto"/>
        </w:rPr>
        <w:tab/>
      </w:r>
      <w:r>
        <w:rPr>
          <w:color w:val="auto"/>
        </w:rPr>
        <w:fldChar w:fldCharType="begin"/>
      </w:r>
      <w:r>
        <w:rPr>
          <w:color w:val="auto"/>
        </w:rPr>
        <w:instrText xml:space="preserve"> PAGEREF _Toc58858967 \h </w:instrText>
      </w:r>
      <w:r>
        <w:rPr>
          <w:color w:val="auto"/>
        </w:rPr>
        <w:fldChar w:fldCharType="separate"/>
      </w:r>
      <w:r>
        <w:rPr>
          <w:color w:val="auto"/>
        </w:rPr>
        <w:t>- 16 -</w:t>
      </w:r>
      <w:r>
        <w:rPr>
          <w:color w:val="auto"/>
        </w:rPr>
        <w:fldChar w:fldCharType="end"/>
      </w:r>
      <w:r>
        <w:rPr>
          <w:color w:val="auto"/>
        </w:rPr>
        <w:fldChar w:fldCharType="end"/>
      </w:r>
    </w:p>
    <w:p w14:paraId="03DFF0DF">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"_Toc58858968" </w:instrText>
      </w:r>
      <w:r>
        <w:fldChar w:fldCharType="separate"/>
      </w:r>
      <w:r>
        <w:rPr>
          <w:rStyle w:val="30"/>
          <w:rFonts w:ascii="黑体" w:hAnsi="黑体" w:eastAsia="黑体" w:cs="楷体_GB2312"/>
          <w:b/>
          <w:bCs/>
          <w:color w:val="auto"/>
          <w:lang w:val="zh-CN"/>
        </w:rPr>
        <w:t xml:space="preserve">3. </w:t>
      </w:r>
      <w:r>
        <w:rPr>
          <w:rStyle w:val="30"/>
          <w:rFonts w:hint="eastAsia" w:ascii="黑体" w:hAnsi="黑体" w:eastAsia="黑体" w:cs="楷体_GB2312"/>
          <w:b/>
          <w:bCs/>
          <w:color w:val="auto"/>
          <w:lang w:val="zh-CN"/>
        </w:rPr>
        <w:t>投标文件（响应文件）</w:t>
      </w:r>
      <w:r>
        <w:rPr>
          <w:color w:val="auto"/>
        </w:rPr>
        <w:tab/>
      </w:r>
      <w:r>
        <w:rPr>
          <w:color w:val="auto"/>
        </w:rPr>
        <w:fldChar w:fldCharType="begin"/>
      </w:r>
      <w:r>
        <w:rPr>
          <w:color w:val="auto"/>
        </w:rPr>
        <w:instrText xml:space="preserve"> PAGEREF _Toc58858968 \h </w:instrText>
      </w:r>
      <w:r>
        <w:rPr>
          <w:color w:val="auto"/>
        </w:rPr>
        <w:fldChar w:fldCharType="separate"/>
      </w:r>
      <w:r>
        <w:rPr>
          <w:color w:val="auto"/>
        </w:rPr>
        <w:t>- 18 -</w:t>
      </w:r>
      <w:r>
        <w:rPr>
          <w:color w:val="auto"/>
        </w:rPr>
        <w:fldChar w:fldCharType="end"/>
      </w:r>
      <w:r>
        <w:rPr>
          <w:color w:val="auto"/>
        </w:rPr>
        <w:fldChar w:fldCharType="end"/>
      </w:r>
    </w:p>
    <w:p w14:paraId="3764F193">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"_Toc58858969" </w:instrText>
      </w:r>
      <w:r>
        <w:fldChar w:fldCharType="separate"/>
      </w:r>
      <w:r>
        <w:rPr>
          <w:rStyle w:val="30"/>
          <w:rFonts w:ascii="黑体" w:hAnsi="黑体" w:eastAsia="黑体" w:cs="楷体_GB2312"/>
          <w:b/>
          <w:bCs/>
          <w:color w:val="auto"/>
          <w:lang w:val="zh-CN"/>
        </w:rPr>
        <w:t xml:space="preserve">4. </w:t>
      </w:r>
      <w:r>
        <w:rPr>
          <w:rStyle w:val="30"/>
          <w:rFonts w:hint="eastAsia" w:ascii="黑体" w:hAnsi="黑体" w:eastAsia="黑体" w:cs="楷体_GB2312"/>
          <w:b/>
          <w:bCs/>
          <w:color w:val="auto"/>
          <w:lang w:val="zh-CN"/>
        </w:rPr>
        <w:t>投标（响应文件的递交）</w:t>
      </w:r>
      <w:r>
        <w:rPr>
          <w:color w:val="auto"/>
        </w:rPr>
        <w:tab/>
      </w:r>
      <w:r>
        <w:rPr>
          <w:color w:val="auto"/>
        </w:rPr>
        <w:fldChar w:fldCharType="begin"/>
      </w:r>
      <w:r>
        <w:rPr>
          <w:color w:val="auto"/>
        </w:rPr>
        <w:instrText xml:space="preserve"> PAGEREF _Toc58858969 \h </w:instrText>
      </w:r>
      <w:r>
        <w:rPr>
          <w:color w:val="auto"/>
        </w:rPr>
        <w:fldChar w:fldCharType="separate"/>
      </w:r>
      <w:r>
        <w:rPr>
          <w:color w:val="auto"/>
        </w:rPr>
        <w:t>- 21 -</w:t>
      </w:r>
      <w:r>
        <w:rPr>
          <w:color w:val="auto"/>
        </w:rPr>
        <w:fldChar w:fldCharType="end"/>
      </w:r>
      <w:r>
        <w:rPr>
          <w:color w:val="auto"/>
        </w:rPr>
        <w:fldChar w:fldCharType="end"/>
      </w:r>
    </w:p>
    <w:p w14:paraId="5E5A155C">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"_Toc58858970" </w:instrText>
      </w:r>
      <w:r>
        <w:fldChar w:fldCharType="separate"/>
      </w:r>
      <w:r>
        <w:rPr>
          <w:rStyle w:val="30"/>
          <w:rFonts w:ascii="黑体" w:hAnsi="黑体" w:eastAsia="黑体" w:cs="楷体_GB2312"/>
          <w:b/>
          <w:bCs/>
          <w:color w:val="auto"/>
          <w:lang w:val="zh-CN"/>
        </w:rPr>
        <w:t xml:space="preserve">5. </w:t>
      </w:r>
      <w:r>
        <w:rPr>
          <w:rStyle w:val="30"/>
          <w:rFonts w:hint="eastAsia" w:ascii="黑体" w:hAnsi="黑体" w:eastAsia="黑体" w:cs="楷体_GB2312"/>
          <w:b/>
          <w:bCs/>
          <w:color w:val="auto"/>
          <w:lang w:val="zh-CN"/>
        </w:rPr>
        <w:t>开标（响应文件的开启）</w:t>
      </w:r>
      <w:r>
        <w:rPr>
          <w:color w:val="auto"/>
        </w:rPr>
        <w:tab/>
      </w:r>
      <w:r>
        <w:rPr>
          <w:color w:val="auto"/>
        </w:rPr>
        <w:fldChar w:fldCharType="begin"/>
      </w:r>
      <w:r>
        <w:rPr>
          <w:color w:val="auto"/>
        </w:rPr>
        <w:instrText xml:space="preserve"> PAGEREF _Toc58858970 \h </w:instrText>
      </w:r>
      <w:r>
        <w:rPr>
          <w:color w:val="auto"/>
        </w:rPr>
        <w:fldChar w:fldCharType="separate"/>
      </w:r>
      <w:r>
        <w:rPr>
          <w:color w:val="auto"/>
        </w:rPr>
        <w:t>- 22 -</w:t>
      </w:r>
      <w:r>
        <w:rPr>
          <w:color w:val="auto"/>
        </w:rPr>
        <w:fldChar w:fldCharType="end"/>
      </w:r>
      <w:r>
        <w:rPr>
          <w:color w:val="auto"/>
        </w:rPr>
        <w:fldChar w:fldCharType="end"/>
      </w:r>
    </w:p>
    <w:p w14:paraId="4A696E37">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"_Toc58858971" </w:instrText>
      </w:r>
      <w:r>
        <w:fldChar w:fldCharType="separate"/>
      </w:r>
      <w:r>
        <w:rPr>
          <w:rStyle w:val="30"/>
          <w:rFonts w:ascii="黑体" w:hAnsi="黑体" w:eastAsia="黑体" w:cs="楷体_GB2312"/>
          <w:b/>
          <w:bCs/>
          <w:color w:val="auto"/>
          <w:lang w:val="zh-CN"/>
        </w:rPr>
        <w:t xml:space="preserve">6. </w:t>
      </w:r>
      <w:r>
        <w:rPr>
          <w:rStyle w:val="30"/>
          <w:rFonts w:hint="eastAsia" w:ascii="黑体" w:hAnsi="黑体" w:eastAsia="黑体" w:cs="楷体_GB2312"/>
          <w:b/>
          <w:bCs/>
          <w:color w:val="auto"/>
          <w:lang w:val="zh-CN"/>
        </w:rPr>
        <w:t>评审</w:t>
      </w:r>
      <w:r>
        <w:rPr>
          <w:color w:val="auto"/>
        </w:rPr>
        <w:tab/>
      </w:r>
      <w:r>
        <w:rPr>
          <w:color w:val="auto"/>
        </w:rPr>
        <w:fldChar w:fldCharType="begin"/>
      </w:r>
      <w:r>
        <w:rPr>
          <w:color w:val="auto"/>
        </w:rPr>
        <w:instrText xml:space="preserve"> PAGEREF _Toc58858971 \h </w:instrText>
      </w:r>
      <w:r>
        <w:rPr>
          <w:color w:val="auto"/>
        </w:rPr>
        <w:fldChar w:fldCharType="separate"/>
      </w:r>
      <w:r>
        <w:rPr>
          <w:color w:val="auto"/>
        </w:rPr>
        <w:t>- 22 -</w:t>
      </w:r>
      <w:r>
        <w:rPr>
          <w:color w:val="auto"/>
        </w:rPr>
        <w:fldChar w:fldCharType="end"/>
      </w:r>
      <w:r>
        <w:rPr>
          <w:color w:val="auto"/>
        </w:rPr>
        <w:fldChar w:fldCharType="end"/>
      </w:r>
    </w:p>
    <w:p w14:paraId="018B7438">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"_Toc58858972" </w:instrText>
      </w:r>
      <w:r>
        <w:fldChar w:fldCharType="separate"/>
      </w:r>
      <w:r>
        <w:rPr>
          <w:rStyle w:val="30"/>
          <w:rFonts w:ascii="黑体" w:hAnsi="黑体" w:eastAsia="黑体" w:cs="楷体_GB2312"/>
          <w:b/>
          <w:bCs/>
          <w:color w:val="auto"/>
          <w:lang w:val="zh-CN"/>
        </w:rPr>
        <w:t xml:space="preserve">7. </w:t>
      </w:r>
      <w:r>
        <w:rPr>
          <w:rStyle w:val="30"/>
          <w:rFonts w:hint="eastAsia" w:ascii="黑体" w:hAnsi="黑体" w:eastAsia="黑体" w:cs="楷体_GB2312"/>
          <w:b/>
          <w:bCs/>
          <w:color w:val="auto"/>
          <w:lang w:val="zh-CN"/>
        </w:rPr>
        <w:t>授予合同</w:t>
      </w:r>
      <w:r>
        <w:rPr>
          <w:color w:val="auto"/>
        </w:rPr>
        <w:tab/>
      </w:r>
      <w:r>
        <w:rPr>
          <w:color w:val="auto"/>
        </w:rPr>
        <w:fldChar w:fldCharType="begin"/>
      </w:r>
      <w:r>
        <w:rPr>
          <w:color w:val="auto"/>
        </w:rPr>
        <w:instrText xml:space="preserve"> PAGEREF _Toc58858972 \h </w:instrText>
      </w:r>
      <w:r>
        <w:rPr>
          <w:color w:val="auto"/>
        </w:rPr>
        <w:fldChar w:fldCharType="separate"/>
      </w:r>
      <w:r>
        <w:rPr>
          <w:color w:val="auto"/>
        </w:rPr>
        <w:t>- 23 -</w:t>
      </w:r>
      <w:r>
        <w:rPr>
          <w:color w:val="auto"/>
        </w:rPr>
        <w:fldChar w:fldCharType="end"/>
      </w:r>
      <w:r>
        <w:rPr>
          <w:color w:val="auto"/>
        </w:rPr>
        <w:fldChar w:fldCharType="end"/>
      </w:r>
    </w:p>
    <w:p w14:paraId="61F92523">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"_Toc58858973" </w:instrText>
      </w:r>
      <w:r>
        <w:fldChar w:fldCharType="separate"/>
      </w:r>
      <w:r>
        <w:rPr>
          <w:rStyle w:val="30"/>
          <w:rFonts w:ascii="黑体" w:hAnsi="黑体" w:eastAsia="黑体" w:cs="楷体_GB2312"/>
          <w:b/>
          <w:bCs/>
          <w:color w:val="auto"/>
          <w:lang w:val="zh-CN"/>
        </w:rPr>
        <w:t xml:space="preserve">8. </w:t>
      </w:r>
      <w:r>
        <w:rPr>
          <w:rStyle w:val="30"/>
          <w:rFonts w:hint="eastAsia" w:ascii="黑体" w:hAnsi="黑体" w:eastAsia="黑体" w:cs="楷体_GB2312"/>
          <w:b/>
          <w:bCs/>
          <w:color w:val="auto"/>
          <w:lang w:val="zh-CN"/>
        </w:rPr>
        <w:t>验收</w:t>
      </w:r>
      <w:r>
        <w:rPr>
          <w:color w:val="auto"/>
        </w:rPr>
        <w:tab/>
      </w:r>
      <w:r>
        <w:rPr>
          <w:color w:val="auto"/>
        </w:rPr>
        <w:fldChar w:fldCharType="begin"/>
      </w:r>
      <w:r>
        <w:rPr>
          <w:color w:val="auto"/>
        </w:rPr>
        <w:instrText xml:space="preserve"> PAGEREF _Toc58858973 \h </w:instrText>
      </w:r>
      <w:r>
        <w:rPr>
          <w:color w:val="auto"/>
        </w:rPr>
        <w:fldChar w:fldCharType="separate"/>
      </w:r>
      <w:r>
        <w:rPr>
          <w:color w:val="auto"/>
        </w:rPr>
        <w:t>- 24 -</w:t>
      </w:r>
      <w:r>
        <w:rPr>
          <w:color w:val="auto"/>
        </w:rPr>
        <w:fldChar w:fldCharType="end"/>
      </w:r>
      <w:r>
        <w:rPr>
          <w:color w:val="auto"/>
        </w:rPr>
        <w:fldChar w:fldCharType="end"/>
      </w:r>
    </w:p>
    <w:p w14:paraId="6BF21CFF">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"_Toc58858974" </w:instrText>
      </w:r>
      <w:r>
        <w:fldChar w:fldCharType="separate"/>
      </w:r>
      <w:r>
        <w:rPr>
          <w:rStyle w:val="30"/>
          <w:rFonts w:ascii="黑体" w:hAnsi="黑体" w:eastAsia="黑体" w:cs="楷体_GB2312"/>
          <w:b/>
          <w:bCs/>
          <w:color w:val="auto"/>
          <w:lang w:val="zh-CN"/>
        </w:rPr>
        <w:t xml:space="preserve">9. </w:t>
      </w:r>
      <w:r>
        <w:rPr>
          <w:rStyle w:val="30"/>
          <w:rFonts w:hint="eastAsia" w:ascii="黑体" w:hAnsi="黑体" w:eastAsia="黑体" w:cs="楷体_GB2312"/>
          <w:b/>
          <w:bCs/>
          <w:color w:val="auto"/>
          <w:lang w:val="zh-CN"/>
        </w:rPr>
        <w:t>付款</w:t>
      </w:r>
      <w:r>
        <w:rPr>
          <w:color w:val="auto"/>
        </w:rPr>
        <w:tab/>
      </w:r>
      <w:r>
        <w:rPr>
          <w:color w:val="auto"/>
        </w:rPr>
        <w:fldChar w:fldCharType="begin"/>
      </w:r>
      <w:r>
        <w:rPr>
          <w:color w:val="auto"/>
        </w:rPr>
        <w:instrText xml:space="preserve"> PAGEREF _Toc58858974 \h </w:instrText>
      </w:r>
      <w:r>
        <w:rPr>
          <w:color w:val="auto"/>
        </w:rPr>
        <w:fldChar w:fldCharType="separate"/>
      </w:r>
      <w:r>
        <w:rPr>
          <w:color w:val="auto"/>
        </w:rPr>
        <w:t>- 25 -</w:t>
      </w:r>
      <w:r>
        <w:rPr>
          <w:color w:val="auto"/>
        </w:rPr>
        <w:fldChar w:fldCharType="end"/>
      </w:r>
      <w:r>
        <w:rPr>
          <w:color w:val="auto"/>
        </w:rPr>
        <w:fldChar w:fldCharType="end"/>
      </w:r>
    </w:p>
    <w:p w14:paraId="7AF5D800">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"_Toc58858975" </w:instrText>
      </w:r>
      <w:r>
        <w:fldChar w:fldCharType="separate"/>
      </w:r>
      <w:r>
        <w:rPr>
          <w:rStyle w:val="30"/>
          <w:rFonts w:ascii="黑体" w:hAnsi="黑体" w:eastAsia="黑体" w:cs="楷体_GB2312"/>
          <w:b/>
          <w:bCs/>
          <w:color w:val="auto"/>
          <w:lang w:val="zh-CN"/>
        </w:rPr>
        <w:t xml:space="preserve">10. </w:t>
      </w:r>
      <w:r>
        <w:rPr>
          <w:rStyle w:val="30"/>
          <w:rFonts w:hint="eastAsia" w:ascii="黑体" w:hAnsi="黑体" w:eastAsia="黑体" w:cs="楷体_GB2312"/>
          <w:b/>
          <w:bCs/>
          <w:color w:val="auto"/>
          <w:lang w:val="zh-CN"/>
        </w:rPr>
        <w:t>其他</w:t>
      </w:r>
      <w:r>
        <w:rPr>
          <w:color w:val="auto"/>
        </w:rPr>
        <w:tab/>
      </w:r>
      <w:r>
        <w:rPr>
          <w:color w:val="auto"/>
        </w:rPr>
        <w:fldChar w:fldCharType="begin"/>
      </w:r>
      <w:r>
        <w:rPr>
          <w:color w:val="auto"/>
        </w:rPr>
        <w:instrText xml:space="preserve"> PAGEREF _Toc58858975 \h </w:instrText>
      </w:r>
      <w:r>
        <w:rPr>
          <w:color w:val="auto"/>
        </w:rPr>
        <w:fldChar w:fldCharType="separate"/>
      </w:r>
      <w:r>
        <w:rPr>
          <w:color w:val="auto"/>
        </w:rPr>
        <w:t>- 25 -</w:t>
      </w:r>
      <w:r>
        <w:rPr>
          <w:color w:val="auto"/>
        </w:rPr>
        <w:fldChar w:fldCharType="end"/>
      </w:r>
      <w:r>
        <w:rPr>
          <w:color w:val="auto"/>
        </w:rPr>
        <w:fldChar w:fldCharType="end"/>
      </w:r>
    </w:p>
    <w:p w14:paraId="008B5D84">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"_Toc58858976" </w:instrText>
      </w:r>
      <w:r>
        <w:fldChar w:fldCharType="separate"/>
      </w:r>
      <w:r>
        <w:rPr>
          <w:rStyle w:val="30"/>
          <w:rFonts w:ascii="黑体" w:hAnsi="黑体" w:eastAsia="黑体" w:cs="楷体_GB2312"/>
          <w:b/>
          <w:bCs/>
          <w:color w:val="auto"/>
          <w:lang w:val="zh-CN"/>
        </w:rPr>
        <w:t xml:space="preserve">11. </w:t>
      </w:r>
      <w:r>
        <w:rPr>
          <w:rStyle w:val="30"/>
          <w:rFonts w:hint="eastAsia" w:ascii="黑体" w:hAnsi="黑体" w:eastAsia="黑体" w:cs="楷体_GB2312"/>
          <w:b/>
          <w:bCs/>
          <w:color w:val="auto"/>
          <w:lang w:val="zh-CN"/>
        </w:rPr>
        <w:t>河南省政府采购合同融资政策告知函</w:t>
      </w:r>
      <w:r>
        <w:rPr>
          <w:color w:val="auto"/>
        </w:rPr>
        <w:tab/>
      </w:r>
      <w:r>
        <w:rPr>
          <w:color w:val="auto"/>
        </w:rPr>
        <w:fldChar w:fldCharType="begin"/>
      </w:r>
      <w:r>
        <w:rPr>
          <w:color w:val="auto"/>
        </w:rPr>
        <w:instrText xml:space="preserve"> PAGEREF _Toc58858976 \h </w:instrText>
      </w:r>
      <w:r>
        <w:rPr>
          <w:color w:val="auto"/>
        </w:rPr>
        <w:fldChar w:fldCharType="separate"/>
      </w:r>
      <w:r>
        <w:rPr>
          <w:color w:val="auto"/>
        </w:rPr>
        <w:t>- 26 -</w:t>
      </w:r>
      <w:r>
        <w:rPr>
          <w:color w:val="auto"/>
        </w:rPr>
        <w:fldChar w:fldCharType="end"/>
      </w:r>
      <w:r>
        <w:rPr>
          <w:color w:val="auto"/>
        </w:rPr>
        <w:fldChar w:fldCharType="end"/>
      </w:r>
    </w:p>
    <w:p w14:paraId="2B0F8982">
      <w:pPr>
        <w:pStyle w:val="16"/>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"_Toc58858977" </w:instrText>
      </w:r>
      <w:r>
        <w:fldChar w:fldCharType="separate"/>
      </w:r>
      <w:r>
        <w:rPr>
          <w:rStyle w:val="30"/>
          <w:rFonts w:hint="eastAsia" w:eastAsia="黑体"/>
          <w:b/>
          <w:color w:val="auto"/>
        </w:rPr>
        <w:t>第四章</w:t>
      </w:r>
      <w:r>
        <w:rPr>
          <w:rStyle w:val="30"/>
          <w:rFonts w:eastAsia="黑体"/>
          <w:b/>
          <w:color w:val="auto"/>
        </w:rPr>
        <w:t xml:space="preserve">  </w:t>
      </w:r>
      <w:r>
        <w:rPr>
          <w:rStyle w:val="30"/>
          <w:rFonts w:hint="eastAsia" w:eastAsia="黑体"/>
          <w:b/>
          <w:color w:val="auto"/>
        </w:rPr>
        <w:t>评审办法</w:t>
      </w:r>
      <w:r>
        <w:rPr>
          <w:color w:val="auto"/>
        </w:rPr>
        <w:tab/>
      </w:r>
      <w:r>
        <w:rPr>
          <w:color w:val="auto"/>
        </w:rPr>
        <w:fldChar w:fldCharType="begin"/>
      </w:r>
      <w:r>
        <w:rPr>
          <w:color w:val="auto"/>
        </w:rPr>
        <w:instrText xml:space="preserve"> PAGEREF _Toc58858977 \h </w:instrText>
      </w:r>
      <w:r>
        <w:rPr>
          <w:color w:val="auto"/>
        </w:rPr>
        <w:fldChar w:fldCharType="separate"/>
      </w:r>
      <w:r>
        <w:rPr>
          <w:color w:val="auto"/>
        </w:rPr>
        <w:t>- 27 -</w:t>
      </w:r>
      <w:r>
        <w:rPr>
          <w:color w:val="auto"/>
        </w:rPr>
        <w:fldChar w:fldCharType="end"/>
      </w:r>
      <w:r>
        <w:rPr>
          <w:color w:val="auto"/>
        </w:rPr>
        <w:fldChar w:fldCharType="end"/>
      </w:r>
    </w:p>
    <w:p w14:paraId="7EE433AB">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"_Toc58858978" </w:instrText>
      </w:r>
      <w:r>
        <w:fldChar w:fldCharType="separate"/>
      </w:r>
      <w:r>
        <w:rPr>
          <w:rStyle w:val="30"/>
          <w:rFonts w:hint="eastAsia" w:ascii="黑体" w:hAnsi="黑体" w:eastAsia="黑体"/>
          <w:b/>
          <w:color w:val="auto"/>
        </w:rPr>
        <w:t>评审办法前附表</w:t>
      </w:r>
      <w:r>
        <w:rPr>
          <w:color w:val="auto"/>
        </w:rPr>
        <w:tab/>
      </w:r>
      <w:r>
        <w:rPr>
          <w:color w:val="auto"/>
        </w:rPr>
        <w:fldChar w:fldCharType="begin"/>
      </w:r>
      <w:r>
        <w:rPr>
          <w:color w:val="auto"/>
        </w:rPr>
        <w:instrText xml:space="preserve"> PAGEREF _Toc58858978 \h </w:instrText>
      </w:r>
      <w:r>
        <w:rPr>
          <w:color w:val="auto"/>
        </w:rPr>
        <w:fldChar w:fldCharType="separate"/>
      </w:r>
      <w:r>
        <w:rPr>
          <w:color w:val="auto"/>
        </w:rPr>
        <w:t>- 27 -</w:t>
      </w:r>
      <w:r>
        <w:rPr>
          <w:color w:val="auto"/>
        </w:rPr>
        <w:fldChar w:fldCharType="end"/>
      </w:r>
      <w:r>
        <w:rPr>
          <w:color w:val="auto"/>
        </w:rPr>
        <w:fldChar w:fldCharType="end"/>
      </w:r>
    </w:p>
    <w:p w14:paraId="0216232C">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"_Toc58858979" </w:instrText>
      </w:r>
      <w:r>
        <w:fldChar w:fldCharType="separate"/>
      </w:r>
      <w:r>
        <w:rPr>
          <w:rStyle w:val="30"/>
          <w:rFonts w:ascii="黑体" w:hAnsi="黑体" w:eastAsia="黑体" w:cs="楷体_GB2312"/>
          <w:b/>
          <w:bCs/>
          <w:color w:val="auto"/>
          <w:lang w:val="zh-CN"/>
        </w:rPr>
        <w:t xml:space="preserve">1. </w:t>
      </w:r>
      <w:r>
        <w:rPr>
          <w:rStyle w:val="30"/>
          <w:rFonts w:hint="eastAsia" w:ascii="黑体" w:hAnsi="黑体" w:eastAsia="黑体" w:cs="楷体_GB2312"/>
          <w:b/>
          <w:bCs/>
          <w:color w:val="auto"/>
          <w:lang w:val="zh-CN"/>
        </w:rPr>
        <w:t>评审方法（评定成交的标准）</w:t>
      </w:r>
      <w:r>
        <w:rPr>
          <w:color w:val="auto"/>
        </w:rPr>
        <w:tab/>
      </w:r>
      <w:r>
        <w:rPr>
          <w:color w:val="auto"/>
        </w:rPr>
        <w:fldChar w:fldCharType="begin"/>
      </w:r>
      <w:r>
        <w:rPr>
          <w:color w:val="auto"/>
        </w:rPr>
        <w:instrText xml:space="preserve"> PAGEREF _Toc58858979 \h </w:instrText>
      </w:r>
      <w:r>
        <w:rPr>
          <w:color w:val="auto"/>
        </w:rPr>
        <w:fldChar w:fldCharType="separate"/>
      </w:r>
      <w:r>
        <w:rPr>
          <w:color w:val="auto"/>
        </w:rPr>
        <w:t>- 28 -</w:t>
      </w:r>
      <w:r>
        <w:rPr>
          <w:color w:val="auto"/>
        </w:rPr>
        <w:fldChar w:fldCharType="end"/>
      </w:r>
      <w:r>
        <w:rPr>
          <w:color w:val="auto"/>
        </w:rPr>
        <w:fldChar w:fldCharType="end"/>
      </w:r>
    </w:p>
    <w:p w14:paraId="4964C8F0">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"_Toc58858980" </w:instrText>
      </w:r>
      <w:r>
        <w:fldChar w:fldCharType="separate"/>
      </w:r>
      <w:r>
        <w:rPr>
          <w:rStyle w:val="30"/>
          <w:rFonts w:ascii="黑体" w:hAnsi="黑体" w:eastAsia="黑体" w:cs="楷体_GB2312"/>
          <w:b/>
          <w:bCs/>
          <w:color w:val="auto"/>
          <w:lang w:val="zh-CN"/>
        </w:rPr>
        <w:t xml:space="preserve">2. </w:t>
      </w:r>
      <w:r>
        <w:rPr>
          <w:rStyle w:val="30"/>
          <w:rFonts w:hint="eastAsia" w:ascii="黑体" w:hAnsi="黑体" w:eastAsia="黑体" w:cs="楷体_GB2312"/>
          <w:b/>
          <w:bCs/>
          <w:color w:val="auto"/>
          <w:lang w:val="zh-CN"/>
        </w:rPr>
        <w:t>评审标准</w:t>
      </w:r>
      <w:r>
        <w:rPr>
          <w:color w:val="auto"/>
        </w:rPr>
        <w:tab/>
      </w:r>
      <w:r>
        <w:rPr>
          <w:color w:val="auto"/>
        </w:rPr>
        <w:fldChar w:fldCharType="begin"/>
      </w:r>
      <w:r>
        <w:rPr>
          <w:color w:val="auto"/>
        </w:rPr>
        <w:instrText xml:space="preserve"> PAGEREF _Toc58858980 \h </w:instrText>
      </w:r>
      <w:r>
        <w:rPr>
          <w:color w:val="auto"/>
        </w:rPr>
        <w:fldChar w:fldCharType="separate"/>
      </w:r>
      <w:r>
        <w:rPr>
          <w:color w:val="auto"/>
        </w:rPr>
        <w:t>- 28 -</w:t>
      </w:r>
      <w:r>
        <w:rPr>
          <w:color w:val="auto"/>
        </w:rPr>
        <w:fldChar w:fldCharType="end"/>
      </w:r>
      <w:r>
        <w:rPr>
          <w:color w:val="auto"/>
        </w:rPr>
        <w:fldChar w:fldCharType="end"/>
      </w:r>
    </w:p>
    <w:p w14:paraId="3BF6CA67">
      <w:pPr>
        <w:pStyle w:val="19"/>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"_Toc58858981" </w:instrText>
      </w:r>
      <w:r>
        <w:fldChar w:fldCharType="separate"/>
      </w:r>
      <w:r>
        <w:rPr>
          <w:rStyle w:val="30"/>
          <w:rFonts w:ascii="黑体" w:hAnsi="黑体" w:eastAsia="黑体" w:cs="楷体_GB2312"/>
          <w:b/>
          <w:bCs/>
          <w:color w:val="auto"/>
          <w:lang w:val="zh-CN"/>
        </w:rPr>
        <w:t xml:space="preserve">3. </w:t>
      </w:r>
      <w:r>
        <w:rPr>
          <w:rStyle w:val="30"/>
          <w:rFonts w:hint="eastAsia" w:ascii="黑体" w:hAnsi="黑体" w:eastAsia="黑体" w:cs="楷体_GB2312"/>
          <w:b/>
          <w:bCs/>
          <w:color w:val="auto"/>
          <w:lang w:val="zh-CN"/>
        </w:rPr>
        <w:t>评审程序</w:t>
      </w:r>
      <w:r>
        <w:rPr>
          <w:color w:val="auto"/>
        </w:rPr>
        <w:tab/>
      </w:r>
      <w:r>
        <w:rPr>
          <w:color w:val="auto"/>
        </w:rPr>
        <w:fldChar w:fldCharType="begin"/>
      </w:r>
      <w:r>
        <w:rPr>
          <w:color w:val="auto"/>
        </w:rPr>
        <w:instrText xml:space="preserve"> PAGEREF _Toc58858981 \h </w:instrText>
      </w:r>
      <w:r>
        <w:rPr>
          <w:color w:val="auto"/>
        </w:rPr>
        <w:fldChar w:fldCharType="separate"/>
      </w:r>
      <w:r>
        <w:rPr>
          <w:color w:val="auto"/>
        </w:rPr>
        <w:t>- 28 -</w:t>
      </w:r>
      <w:r>
        <w:rPr>
          <w:color w:val="auto"/>
        </w:rPr>
        <w:fldChar w:fldCharType="end"/>
      </w:r>
      <w:r>
        <w:rPr>
          <w:color w:val="auto"/>
        </w:rPr>
        <w:fldChar w:fldCharType="end"/>
      </w:r>
    </w:p>
    <w:p w14:paraId="57463667">
      <w:pPr>
        <w:pStyle w:val="16"/>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"_Toc58858982" </w:instrText>
      </w:r>
      <w:r>
        <w:fldChar w:fldCharType="separate"/>
      </w:r>
      <w:r>
        <w:rPr>
          <w:rStyle w:val="30"/>
          <w:rFonts w:hint="eastAsia" w:ascii="黑体" w:eastAsia="黑体"/>
          <w:b/>
          <w:color w:val="auto"/>
        </w:rPr>
        <w:t>第五章</w:t>
      </w:r>
      <w:r>
        <w:rPr>
          <w:rStyle w:val="30"/>
          <w:rFonts w:ascii="黑体" w:eastAsia="黑体"/>
          <w:b/>
          <w:color w:val="auto"/>
        </w:rPr>
        <w:t xml:space="preserve">  </w:t>
      </w:r>
      <w:r>
        <w:rPr>
          <w:rStyle w:val="30"/>
          <w:rFonts w:hint="eastAsia" w:ascii="黑体" w:eastAsia="黑体"/>
          <w:b/>
          <w:color w:val="auto"/>
        </w:rPr>
        <w:t>合同主要条款</w:t>
      </w:r>
      <w:r>
        <w:rPr>
          <w:color w:val="auto"/>
        </w:rPr>
        <w:tab/>
      </w:r>
      <w:r>
        <w:rPr>
          <w:color w:val="auto"/>
        </w:rPr>
        <w:fldChar w:fldCharType="begin"/>
      </w:r>
      <w:r>
        <w:rPr>
          <w:color w:val="auto"/>
        </w:rPr>
        <w:instrText xml:space="preserve"> PAGEREF _Toc58858982 \h </w:instrText>
      </w:r>
      <w:r>
        <w:rPr>
          <w:color w:val="auto"/>
        </w:rPr>
        <w:fldChar w:fldCharType="separate"/>
      </w:r>
      <w:r>
        <w:rPr>
          <w:color w:val="auto"/>
        </w:rPr>
        <w:t>- 32 -</w:t>
      </w:r>
      <w:r>
        <w:rPr>
          <w:color w:val="auto"/>
        </w:rPr>
        <w:fldChar w:fldCharType="end"/>
      </w:r>
      <w:r>
        <w:rPr>
          <w:color w:val="auto"/>
        </w:rPr>
        <w:fldChar w:fldCharType="end"/>
      </w:r>
    </w:p>
    <w:p w14:paraId="03BF75F1">
      <w:pPr>
        <w:pStyle w:val="16"/>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"_Toc58858983" </w:instrText>
      </w:r>
      <w:r>
        <w:fldChar w:fldCharType="separate"/>
      </w:r>
      <w:r>
        <w:rPr>
          <w:rStyle w:val="30"/>
          <w:rFonts w:hint="eastAsia" w:ascii="黑体" w:hAnsi="黑体" w:eastAsia="黑体"/>
          <w:b/>
          <w:color w:val="auto"/>
          <w:lang w:val="zh-CN"/>
        </w:rPr>
        <w:t>第六章</w:t>
      </w:r>
      <w:r>
        <w:rPr>
          <w:rStyle w:val="30"/>
          <w:rFonts w:ascii="黑体" w:hAnsi="黑体" w:eastAsia="黑体"/>
          <w:b/>
          <w:color w:val="auto"/>
          <w:lang w:val="zh-CN"/>
        </w:rPr>
        <w:t xml:space="preserve">  </w:t>
      </w:r>
      <w:r>
        <w:rPr>
          <w:rStyle w:val="30"/>
          <w:rFonts w:hint="eastAsia" w:ascii="黑体" w:hAnsi="黑体" w:eastAsia="黑体"/>
          <w:b/>
          <w:color w:val="auto"/>
          <w:lang w:val="zh-CN"/>
        </w:rPr>
        <w:t>投标文件格式</w:t>
      </w:r>
      <w:r>
        <w:rPr>
          <w:color w:val="auto"/>
        </w:rPr>
        <w:tab/>
      </w:r>
      <w:r>
        <w:rPr>
          <w:color w:val="auto"/>
        </w:rPr>
        <w:fldChar w:fldCharType="begin"/>
      </w:r>
      <w:r>
        <w:rPr>
          <w:color w:val="auto"/>
        </w:rPr>
        <w:instrText xml:space="preserve"> PAGEREF _Toc58858983 \h </w:instrText>
      </w:r>
      <w:r>
        <w:rPr>
          <w:color w:val="auto"/>
        </w:rPr>
        <w:fldChar w:fldCharType="separate"/>
      </w:r>
      <w:r>
        <w:rPr>
          <w:color w:val="auto"/>
        </w:rPr>
        <w:t>- 36 -</w:t>
      </w:r>
      <w:r>
        <w:rPr>
          <w:color w:val="auto"/>
        </w:rPr>
        <w:fldChar w:fldCharType="end"/>
      </w:r>
      <w:r>
        <w:rPr>
          <w:color w:val="auto"/>
        </w:rPr>
        <w:fldChar w:fldCharType="end"/>
      </w:r>
    </w:p>
    <w:p w14:paraId="61F709D2">
      <w:pPr>
        <w:rPr>
          <w:color w:val="auto"/>
        </w:rPr>
      </w:pPr>
      <w:r>
        <w:rPr>
          <w:color w:val="auto"/>
        </w:rPr>
        <w:fldChar w:fldCharType="end"/>
      </w:r>
    </w:p>
    <w:p w14:paraId="59BE6B7E">
      <w:pPr>
        <w:widowControl w:val="0"/>
        <w:snapToGrid w:val="0"/>
        <w:spacing w:line="660" w:lineRule="exact"/>
        <w:ind w:firstLine="607" w:firstLineChars="168"/>
        <w:rPr>
          <w:rFonts w:ascii="黑体" w:hAnsi="黑体" w:eastAsia="黑体"/>
          <w:b/>
          <w:color w:val="auto"/>
          <w:sz w:val="36"/>
          <w:szCs w:val="36"/>
        </w:rPr>
      </w:pPr>
    </w:p>
    <w:p w14:paraId="032084B6">
      <w:pPr>
        <w:widowControl w:val="0"/>
        <w:snapToGrid w:val="0"/>
        <w:spacing w:line="560" w:lineRule="exact"/>
        <w:ind w:firstLine="181" w:firstLineChars="50"/>
        <w:rPr>
          <w:rFonts w:ascii="黑体" w:eastAsia="黑体"/>
          <w:b/>
          <w:color w:val="auto"/>
          <w:sz w:val="36"/>
          <w:szCs w:val="36"/>
        </w:rPr>
        <w:sectPr>
          <w:pgSz w:w="11905" w:h="16837"/>
          <w:pgMar w:top="1418" w:right="1106" w:bottom="1418" w:left="1418" w:header="567" w:footer="567" w:gutter="0"/>
          <w:pgNumType w:fmt="numberInDash" w:start="0"/>
          <w:cols w:space="720" w:num="1"/>
          <w:titlePg/>
        </w:sectPr>
      </w:pPr>
    </w:p>
    <w:p w14:paraId="0447D1B2">
      <w:pPr>
        <w:widowControl w:val="0"/>
        <w:snapToGrid w:val="0"/>
        <w:spacing w:line="560" w:lineRule="exact"/>
        <w:jc w:val="left"/>
        <w:rPr>
          <w:rFonts w:ascii="宋体" w:hAnsi="宋体"/>
          <w:b/>
          <w:color w:val="auto"/>
          <w:sz w:val="24"/>
          <w:szCs w:val="24"/>
        </w:rPr>
      </w:pPr>
    </w:p>
    <w:p w14:paraId="28124503">
      <w:pPr>
        <w:widowControl w:val="0"/>
        <w:snapToGrid w:val="0"/>
        <w:spacing w:line="560" w:lineRule="exact"/>
        <w:jc w:val="center"/>
        <w:outlineLvl w:val="0"/>
        <w:rPr>
          <w:color w:val="auto"/>
          <w:sz w:val="36"/>
          <w:szCs w:val="36"/>
        </w:rPr>
      </w:pPr>
      <w:bookmarkStart w:id="0" w:name="_Toc58858960"/>
      <w:r>
        <w:rPr>
          <w:rFonts w:hint="eastAsia" w:eastAsia="黑体"/>
          <w:b/>
          <w:color w:val="auto"/>
          <w:sz w:val="36"/>
          <w:szCs w:val="36"/>
        </w:rPr>
        <w:t>第一章</w:t>
      </w:r>
      <w:r>
        <w:rPr>
          <w:rFonts w:eastAsia="黑体"/>
          <w:b/>
          <w:color w:val="auto"/>
          <w:sz w:val="36"/>
          <w:szCs w:val="36"/>
        </w:rPr>
        <w:t xml:space="preserve"> </w:t>
      </w:r>
      <w:r>
        <w:rPr>
          <w:rFonts w:hint="eastAsia" w:eastAsia="黑体"/>
          <w:b/>
          <w:color w:val="auto"/>
          <w:sz w:val="36"/>
          <w:szCs w:val="36"/>
        </w:rPr>
        <w:t xml:space="preserve"> 谈判邀请函</w:t>
      </w:r>
      <w:bookmarkEnd w:id="0"/>
    </w:p>
    <w:p w14:paraId="6CD2AEA4">
      <w:pPr>
        <w:widowControl w:val="0"/>
        <w:snapToGrid w:val="0"/>
        <w:spacing w:line="276" w:lineRule="auto"/>
        <w:ind w:firstLine="566"/>
        <w:rPr>
          <w:color w:val="auto"/>
          <w:sz w:val="24"/>
          <w:szCs w:val="24"/>
        </w:rPr>
      </w:pPr>
    </w:p>
    <w:p w14:paraId="00E06AB0">
      <w:pPr>
        <w:widowControl w:val="0"/>
        <w:snapToGrid w:val="0"/>
        <w:spacing w:line="360" w:lineRule="auto"/>
        <w:rPr>
          <w:b/>
          <w:color w:val="auto"/>
          <w:sz w:val="24"/>
          <w:szCs w:val="24"/>
        </w:rPr>
      </w:pPr>
      <w:r>
        <w:rPr>
          <w:rFonts w:hint="eastAsia"/>
          <w:b/>
          <w:color w:val="auto"/>
          <w:sz w:val="24"/>
          <w:szCs w:val="24"/>
        </w:rPr>
        <w:t>致：</w:t>
      </w:r>
      <w:r>
        <w:rPr>
          <w:rFonts w:hint="eastAsia"/>
          <w:b/>
          <w:color w:val="auto"/>
          <w:sz w:val="24"/>
          <w:szCs w:val="24"/>
          <w:u w:val="single"/>
        </w:rPr>
        <w:t>中国移动通信集团河南有限公司安阳分公司</w:t>
      </w:r>
    </w:p>
    <w:p w14:paraId="7F023077">
      <w:pPr>
        <w:widowControl w:val="0"/>
        <w:snapToGrid w:val="0"/>
        <w:spacing w:line="360" w:lineRule="auto"/>
        <w:ind w:firstLine="540" w:firstLineChars="225"/>
        <w:rPr>
          <w:color w:val="auto"/>
          <w:sz w:val="24"/>
          <w:szCs w:val="24"/>
        </w:rPr>
      </w:pPr>
      <w:r>
        <w:rPr>
          <w:rFonts w:hint="eastAsia"/>
          <w:color w:val="auto"/>
          <w:sz w:val="24"/>
          <w:szCs w:val="24"/>
        </w:rPr>
        <w:t>安阳市方正招标采购服务有限责任公司接受委托，就安阳县农业农村局“蓝天卫士”电子监控系统采购项目进行单一来源采购，邀请你单位参与投标，现将相关事宜通告如下：</w:t>
      </w:r>
    </w:p>
    <w:p w14:paraId="33E88A4A">
      <w:pPr>
        <w:widowControl w:val="0"/>
        <w:snapToGrid w:val="0"/>
        <w:spacing w:line="276" w:lineRule="auto"/>
        <w:ind w:firstLine="540" w:firstLineChars="225"/>
        <w:rPr>
          <w:color w:val="auto"/>
          <w:sz w:val="24"/>
          <w:szCs w:val="24"/>
        </w:rPr>
      </w:pPr>
    </w:p>
    <w:p w14:paraId="52DE76B3">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1.</w:t>
      </w:r>
      <w:r>
        <w:rPr>
          <w:rFonts w:hint="eastAsia" w:ascii="黑体" w:hAnsi="黑体" w:eastAsia="黑体"/>
          <w:b/>
          <w:color w:val="auto"/>
          <w:sz w:val="28"/>
          <w:szCs w:val="28"/>
        </w:rPr>
        <w:t>项目概况：</w:t>
      </w:r>
    </w:p>
    <w:p w14:paraId="057018D5">
      <w:pPr>
        <w:widowControl w:val="0"/>
        <w:adjustRightInd w:val="0"/>
        <w:snapToGrid w:val="0"/>
        <w:spacing w:line="360" w:lineRule="auto"/>
        <w:ind w:firstLine="540" w:firstLineChars="225"/>
        <w:jc w:val="left"/>
        <w:rPr>
          <w:rFonts w:ascii="宋体"/>
          <w:b/>
          <w:color w:val="auto"/>
          <w:sz w:val="24"/>
          <w:szCs w:val="24"/>
        </w:rPr>
      </w:pPr>
      <w:r>
        <w:rPr>
          <w:rFonts w:ascii="宋体" w:hAnsi="宋体"/>
          <w:color w:val="auto"/>
          <w:sz w:val="24"/>
          <w:szCs w:val="24"/>
        </w:rPr>
        <w:t>1.1</w:t>
      </w:r>
      <w:r>
        <w:rPr>
          <w:rFonts w:hint="eastAsia" w:ascii="宋体" w:hAnsi="宋体"/>
          <w:color w:val="auto"/>
          <w:sz w:val="24"/>
          <w:szCs w:val="24"/>
        </w:rPr>
        <w:t>．采购项目名称：</w:t>
      </w:r>
      <w:r>
        <w:rPr>
          <w:rFonts w:hint="eastAsia"/>
          <w:color w:val="auto"/>
          <w:sz w:val="24"/>
          <w:szCs w:val="24"/>
        </w:rPr>
        <w:t>安阳县农业农村局“蓝天卫士”电子监控系统采购项目</w:t>
      </w:r>
    </w:p>
    <w:p w14:paraId="0F761EDF">
      <w:pPr>
        <w:widowControl w:val="0"/>
        <w:adjustRightInd w:val="0"/>
        <w:snapToGrid w:val="0"/>
        <w:spacing w:line="360" w:lineRule="auto"/>
        <w:ind w:firstLine="540" w:firstLineChars="225"/>
        <w:jc w:val="left"/>
        <w:rPr>
          <w:rFonts w:ascii="宋体" w:hAnsi="宋体"/>
          <w:color w:val="auto"/>
          <w:sz w:val="24"/>
          <w:szCs w:val="24"/>
        </w:rPr>
      </w:pPr>
      <w:r>
        <w:rPr>
          <w:rFonts w:ascii="宋体" w:hAnsi="宋体"/>
          <w:color w:val="auto"/>
          <w:sz w:val="24"/>
          <w:szCs w:val="24"/>
        </w:rPr>
        <w:t>1.2</w:t>
      </w:r>
      <w:r>
        <w:rPr>
          <w:rFonts w:hint="eastAsia" w:ascii="宋体" w:hAnsi="宋体"/>
          <w:color w:val="auto"/>
          <w:sz w:val="24"/>
          <w:szCs w:val="24"/>
        </w:rPr>
        <w:t>．项目编号：安县单一采购-2025-1</w:t>
      </w:r>
    </w:p>
    <w:p w14:paraId="5A9E3920">
      <w:pPr>
        <w:widowControl w:val="0"/>
        <w:adjustRightInd w:val="0"/>
        <w:snapToGrid w:val="0"/>
        <w:spacing w:line="360" w:lineRule="auto"/>
        <w:ind w:firstLine="540" w:firstLineChars="225"/>
        <w:jc w:val="left"/>
        <w:rPr>
          <w:rFonts w:ascii="宋体"/>
          <w:color w:val="auto"/>
          <w:sz w:val="24"/>
          <w:szCs w:val="24"/>
        </w:rPr>
      </w:pPr>
      <w:r>
        <w:rPr>
          <w:rFonts w:ascii="宋体" w:hAnsi="宋体"/>
          <w:color w:val="auto"/>
          <w:sz w:val="24"/>
          <w:szCs w:val="24"/>
        </w:rPr>
        <w:t>1.3</w:t>
      </w:r>
      <w:r>
        <w:rPr>
          <w:rFonts w:hint="eastAsia" w:ascii="宋体" w:hAnsi="宋体"/>
          <w:color w:val="auto"/>
          <w:sz w:val="24"/>
          <w:szCs w:val="24"/>
        </w:rPr>
        <w:t>．采购方式：单一来源</w:t>
      </w:r>
    </w:p>
    <w:p w14:paraId="2847FA53">
      <w:pPr>
        <w:adjustRightInd w:val="0"/>
        <w:snapToGrid w:val="0"/>
        <w:spacing w:line="360" w:lineRule="auto"/>
        <w:ind w:firstLine="540" w:firstLineChars="225"/>
        <w:rPr>
          <w:rFonts w:ascii="宋体"/>
          <w:color w:val="auto"/>
          <w:sz w:val="24"/>
          <w:szCs w:val="24"/>
        </w:rPr>
      </w:pPr>
      <w:r>
        <w:rPr>
          <w:rFonts w:ascii="宋体" w:hAnsi="宋体"/>
          <w:color w:val="auto"/>
          <w:sz w:val="24"/>
          <w:szCs w:val="24"/>
        </w:rPr>
        <w:t>1.4</w:t>
      </w:r>
      <w:r>
        <w:rPr>
          <w:rFonts w:hint="eastAsia" w:ascii="宋体" w:hAnsi="宋体"/>
          <w:color w:val="auto"/>
          <w:sz w:val="24"/>
          <w:szCs w:val="24"/>
        </w:rPr>
        <w:t>．采购项目基本概况：</w:t>
      </w:r>
      <w:r>
        <w:rPr>
          <w:rFonts w:hint="eastAsia"/>
          <w:color w:val="auto"/>
          <w:sz w:val="24"/>
          <w:szCs w:val="24"/>
        </w:rPr>
        <w:t>“蓝天卫士”电子监控系统</w:t>
      </w:r>
      <w:r>
        <w:rPr>
          <w:rFonts w:hint="eastAsia" w:ascii="宋体" w:hAnsi="宋体"/>
          <w:color w:val="auto"/>
          <w:sz w:val="24"/>
          <w:szCs w:val="24"/>
        </w:rPr>
        <w:t>，详见单一来源采购文件。</w:t>
      </w:r>
    </w:p>
    <w:p w14:paraId="1EFF9A7D">
      <w:pPr>
        <w:widowControl w:val="0"/>
        <w:adjustRightInd w:val="0"/>
        <w:snapToGrid w:val="0"/>
        <w:spacing w:line="360" w:lineRule="auto"/>
        <w:ind w:firstLine="540" w:firstLineChars="225"/>
        <w:jc w:val="left"/>
        <w:rPr>
          <w:rFonts w:ascii="宋体"/>
          <w:color w:val="auto"/>
          <w:sz w:val="24"/>
          <w:szCs w:val="24"/>
        </w:rPr>
      </w:pPr>
      <w:r>
        <w:rPr>
          <w:rFonts w:ascii="宋体" w:hAnsi="宋体"/>
          <w:color w:val="auto"/>
          <w:sz w:val="24"/>
          <w:szCs w:val="24"/>
        </w:rPr>
        <w:t>1.5</w:t>
      </w:r>
      <w:r>
        <w:rPr>
          <w:rFonts w:hint="eastAsia" w:ascii="宋体" w:hAnsi="宋体"/>
          <w:color w:val="auto"/>
          <w:sz w:val="24"/>
          <w:szCs w:val="24"/>
        </w:rPr>
        <w:t>．预算金额：1977744元</w:t>
      </w:r>
    </w:p>
    <w:p w14:paraId="2B1BD7B6">
      <w:pPr>
        <w:widowControl w:val="0"/>
        <w:adjustRightInd w:val="0"/>
        <w:snapToGrid w:val="0"/>
        <w:spacing w:line="276" w:lineRule="auto"/>
        <w:ind w:firstLine="540" w:firstLineChars="225"/>
        <w:jc w:val="left"/>
        <w:rPr>
          <w:rFonts w:ascii="宋体"/>
          <w:color w:val="auto"/>
          <w:sz w:val="24"/>
          <w:szCs w:val="24"/>
        </w:rPr>
      </w:pPr>
    </w:p>
    <w:p w14:paraId="63D09E54">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2.</w:t>
      </w:r>
      <w:r>
        <w:rPr>
          <w:rFonts w:hint="eastAsia" w:ascii="黑体" w:hAnsi="黑体" w:eastAsia="黑体"/>
          <w:b/>
          <w:color w:val="auto"/>
          <w:sz w:val="28"/>
          <w:szCs w:val="28"/>
        </w:rPr>
        <w:t>投标人资格要求：</w:t>
      </w:r>
    </w:p>
    <w:p w14:paraId="4744BE7E">
      <w:pPr>
        <w:spacing w:line="360" w:lineRule="auto"/>
        <w:ind w:firstLine="480" w:firstLineChars="200"/>
        <w:rPr>
          <w:rFonts w:ascii="宋体" w:hAnsi="宋体"/>
          <w:color w:val="auto"/>
          <w:sz w:val="24"/>
          <w:szCs w:val="24"/>
        </w:rPr>
      </w:pPr>
      <w:r>
        <w:rPr>
          <w:rFonts w:hint="eastAsia" w:ascii="宋体" w:hAnsi="宋体"/>
          <w:color w:val="auto"/>
          <w:sz w:val="24"/>
          <w:szCs w:val="24"/>
        </w:rPr>
        <w:t>2.1满足《中华人民共和国政府采购法》第二十二条规定；</w:t>
      </w:r>
    </w:p>
    <w:p w14:paraId="5B9C7D75">
      <w:pPr>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2</w:t>
      </w:r>
      <w:r>
        <w:rPr>
          <w:rFonts w:hint="eastAsia" w:ascii="宋体" w:hAnsi="宋体"/>
          <w:color w:val="auto"/>
          <w:sz w:val="24"/>
          <w:szCs w:val="24"/>
        </w:rPr>
        <w:t>落实政府采购政策需满足的资格要求：无专项资格要求。</w:t>
      </w:r>
    </w:p>
    <w:p w14:paraId="35884FAF">
      <w:pPr>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2.3本项目的特定资格要求：</w:t>
      </w:r>
    </w:p>
    <w:p w14:paraId="091EA41E">
      <w:pPr>
        <w:widowControl w:val="0"/>
        <w:adjustRightInd w:val="0"/>
        <w:snapToGrid w:val="0"/>
        <w:spacing w:line="360" w:lineRule="auto"/>
        <w:ind w:firstLine="540" w:firstLineChars="225"/>
        <w:rPr>
          <w:rFonts w:ascii="宋体"/>
          <w:color w:val="auto"/>
          <w:sz w:val="24"/>
          <w:szCs w:val="24"/>
        </w:rPr>
      </w:pPr>
      <w:r>
        <w:rPr>
          <w:rFonts w:hint="eastAsia" w:ascii="宋体" w:hAnsi="宋体"/>
          <w:color w:val="auto"/>
          <w:sz w:val="24"/>
          <w:szCs w:val="24"/>
        </w:rPr>
        <w:t>2.3</w:t>
      </w:r>
      <w:r>
        <w:rPr>
          <w:rFonts w:ascii="宋体" w:hAnsi="宋体"/>
          <w:color w:val="auto"/>
          <w:sz w:val="24"/>
          <w:szCs w:val="24"/>
        </w:rPr>
        <w:t>.1</w:t>
      </w:r>
      <w:r>
        <w:rPr>
          <w:rFonts w:hint="eastAsia" w:ascii="宋体" w:hAnsi="宋体"/>
          <w:color w:val="auto"/>
          <w:sz w:val="24"/>
          <w:szCs w:val="24"/>
        </w:rPr>
        <w:t>《政府采购法》第二十二条第一款--法定基本资格条件需提供的相关资格证明材料（文件）：</w:t>
      </w:r>
    </w:p>
    <w:p w14:paraId="16B0287F">
      <w:pPr>
        <w:widowControl w:val="0"/>
        <w:snapToGrid w:val="0"/>
        <w:spacing w:line="360" w:lineRule="auto"/>
        <w:ind w:firstLine="540" w:firstLineChars="225"/>
        <w:rPr>
          <w:rFonts w:ascii="微软雅黑" w:hAnsi="微软雅黑" w:eastAsia="微软雅黑"/>
          <w:color w:val="auto"/>
          <w:szCs w:val="21"/>
          <w:shd w:val="clear" w:color="auto" w:fill="FFFFFF"/>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）具有独立承担民事责任的能力。■提供营业执照或事业单位法人证书，■提供税务登记证（三证合一的只需提供三证合一的营业执照）</w:t>
      </w:r>
      <w:r>
        <w:rPr>
          <w:rFonts w:hint="eastAsia" w:ascii="微软雅黑" w:hAnsi="微软雅黑" w:eastAsia="微软雅黑"/>
          <w:color w:val="auto"/>
          <w:szCs w:val="21"/>
          <w:shd w:val="clear" w:color="auto" w:fill="FFFFFF"/>
        </w:rPr>
        <w:t>。</w:t>
      </w:r>
    </w:p>
    <w:p w14:paraId="78036B7E">
      <w:pPr>
        <w:widowControl w:val="0"/>
        <w:snapToGrid w:val="0"/>
        <w:spacing w:line="360" w:lineRule="auto"/>
        <w:ind w:firstLine="540" w:firstLineChars="225"/>
        <w:rPr>
          <w:rFonts w:ascii="宋体" w:hAnsi="宋体"/>
          <w:b/>
          <w:color w:val="auto"/>
          <w:sz w:val="24"/>
          <w:szCs w:val="24"/>
        </w:rPr>
      </w:pPr>
      <w:r>
        <w:rPr>
          <w:rFonts w:hint="eastAsia" w:ascii="宋体" w:hAnsi="宋体"/>
          <w:color w:val="auto"/>
          <w:sz w:val="24"/>
          <w:szCs w:val="24"/>
        </w:rPr>
        <w:t xml:space="preserve">  注：基础电信业务运营商或广电网络运营商可授权其分公司投标。投标人如为分公司投标的，资格要求中可提供总公司相关证明材料。</w:t>
      </w:r>
    </w:p>
    <w:p w14:paraId="2E04090A">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）具有良好的商业信誉和健全的财务会计制度，有依法缴纳税收和社会保障资金的良好记录。■提供银行出具的近</w:t>
      </w:r>
      <w:r>
        <w:rPr>
          <w:rFonts w:ascii="宋体" w:hAnsi="宋体"/>
          <w:color w:val="auto"/>
          <w:sz w:val="24"/>
          <w:szCs w:val="24"/>
        </w:rPr>
        <w:t>1</w:t>
      </w:r>
      <w:r>
        <w:rPr>
          <w:rFonts w:hint="eastAsia" w:ascii="宋体" w:hAnsi="宋体"/>
          <w:color w:val="auto"/>
          <w:sz w:val="24"/>
          <w:szCs w:val="24"/>
        </w:rPr>
        <w:t>年内资信证明（法人为基本开户行）、或2023年度以来（任一年度）经审计的财务报告、或银行（保险公司）出具的投标担保函；■提供近</w:t>
      </w:r>
      <w:r>
        <w:rPr>
          <w:rFonts w:ascii="宋体" w:hAnsi="宋体"/>
          <w:color w:val="auto"/>
          <w:sz w:val="24"/>
          <w:szCs w:val="24"/>
        </w:rPr>
        <w:t>12</w:t>
      </w:r>
      <w:r>
        <w:rPr>
          <w:rFonts w:hint="eastAsia" w:ascii="宋体" w:hAnsi="宋体"/>
          <w:color w:val="auto"/>
          <w:sz w:val="24"/>
          <w:szCs w:val="24"/>
        </w:rPr>
        <w:t>个月内（任意</w:t>
      </w:r>
      <w:r>
        <w:rPr>
          <w:rFonts w:ascii="宋体" w:hAnsi="宋体"/>
          <w:color w:val="auto"/>
          <w:sz w:val="24"/>
          <w:szCs w:val="24"/>
        </w:rPr>
        <w:t>1</w:t>
      </w:r>
      <w:r>
        <w:rPr>
          <w:rFonts w:hint="eastAsia" w:ascii="宋体" w:hAnsi="宋体"/>
          <w:color w:val="auto"/>
          <w:sz w:val="24"/>
          <w:szCs w:val="24"/>
        </w:rPr>
        <w:t>个月）已依法缴纳税收的凭据；■提供近</w:t>
      </w:r>
      <w:r>
        <w:rPr>
          <w:rFonts w:ascii="宋体" w:hAnsi="宋体"/>
          <w:color w:val="auto"/>
          <w:sz w:val="24"/>
          <w:szCs w:val="24"/>
        </w:rPr>
        <w:t>12</w:t>
      </w:r>
      <w:r>
        <w:rPr>
          <w:rFonts w:hint="eastAsia" w:ascii="宋体" w:hAnsi="宋体"/>
          <w:color w:val="auto"/>
          <w:sz w:val="24"/>
          <w:szCs w:val="24"/>
        </w:rPr>
        <w:t>个月内（任意</w:t>
      </w:r>
      <w:r>
        <w:rPr>
          <w:rFonts w:ascii="宋体" w:hAnsi="宋体"/>
          <w:color w:val="auto"/>
          <w:sz w:val="24"/>
          <w:szCs w:val="24"/>
        </w:rPr>
        <w:t>1</w:t>
      </w:r>
      <w:r>
        <w:rPr>
          <w:rFonts w:hint="eastAsia" w:ascii="宋体" w:hAnsi="宋体"/>
          <w:color w:val="auto"/>
          <w:sz w:val="24"/>
          <w:szCs w:val="24"/>
        </w:rPr>
        <w:t>个月）已依法缴纳社会保险的凭据。</w:t>
      </w:r>
    </w:p>
    <w:p w14:paraId="72A73184">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依法免税或不需要缴纳社会保障资金的供应商，应提供相应证明文件。</w:t>
      </w:r>
    </w:p>
    <w:p w14:paraId="1E680781">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具备履行合同所必需的设备和专业技术能力。■提供相关设备或设施的购置发票或单据（任一），■专业人员用工合同（任一人），或技术人员的职称证书或职业（执业）资格证或等级证书等相关证书（任一人）等的证明材料。</w:t>
      </w:r>
    </w:p>
    <w:p w14:paraId="34CCB765">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）参加政府采购活动前</w:t>
      </w:r>
      <w:r>
        <w:rPr>
          <w:rFonts w:ascii="宋体" w:hAnsi="宋体"/>
          <w:color w:val="auto"/>
          <w:sz w:val="24"/>
          <w:szCs w:val="24"/>
        </w:rPr>
        <w:t>3</w:t>
      </w:r>
      <w:r>
        <w:rPr>
          <w:rFonts w:hint="eastAsia" w:ascii="宋体" w:hAnsi="宋体"/>
          <w:color w:val="auto"/>
          <w:sz w:val="24"/>
          <w:szCs w:val="24"/>
        </w:rPr>
        <w:t>年内在经营活动中没有重大违法记录。■提供供应商书面声明；供应商自行承诺并承担后果，声明函不实的，按《政府采购法》有关提供虚假材料的有关规定给予处罚。</w:t>
      </w:r>
    </w:p>
    <w:p w14:paraId="094145FE">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2.3</w:t>
      </w:r>
      <w:r>
        <w:rPr>
          <w:rFonts w:ascii="宋体" w:hAnsi="宋体"/>
          <w:color w:val="auto"/>
          <w:sz w:val="24"/>
          <w:szCs w:val="24"/>
        </w:rPr>
        <w:t>.</w:t>
      </w:r>
      <w:r>
        <w:rPr>
          <w:rFonts w:hint="eastAsia" w:ascii="宋体" w:hAnsi="宋体"/>
          <w:color w:val="auto"/>
          <w:sz w:val="24"/>
          <w:szCs w:val="24"/>
        </w:rPr>
        <w:t>2对供应商的限制性规定</w:t>
      </w:r>
    </w:p>
    <w:p w14:paraId="1DE4B214">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（1）供应商应当无不良信用记录。</w:t>
      </w:r>
      <w:r>
        <w:rPr>
          <w:rFonts w:ascii="宋体" w:hAnsi="宋体"/>
          <w:color w:val="auto"/>
          <w:sz w:val="24"/>
          <w:szCs w:val="24"/>
        </w:rPr>
        <w:t>(</w:t>
      </w:r>
      <w:r>
        <w:rPr>
          <w:rFonts w:hint="eastAsia" w:ascii="宋体" w:hAnsi="宋体"/>
          <w:color w:val="auto"/>
          <w:sz w:val="24"/>
          <w:szCs w:val="24"/>
        </w:rPr>
        <w:t>在“信用中国”</w:t>
      </w:r>
      <w:r>
        <w:rPr>
          <w:rFonts w:ascii="宋体" w:hAnsi="宋体"/>
          <w:color w:val="auto"/>
          <w:sz w:val="24"/>
          <w:szCs w:val="24"/>
        </w:rPr>
        <w:t>&lt;www.creditchina.gov.cn&gt;</w:t>
      </w:r>
      <w:r>
        <w:rPr>
          <w:rFonts w:hint="eastAsia" w:ascii="宋体" w:hAnsi="宋体"/>
          <w:color w:val="auto"/>
          <w:sz w:val="24"/>
          <w:szCs w:val="24"/>
        </w:rPr>
        <w:t>网站的“失信被执行人”和“重大税收违法失信主体”及“中国政府采购网”</w:t>
      </w:r>
      <w:r>
        <w:rPr>
          <w:rFonts w:ascii="宋体" w:hAnsi="宋体"/>
          <w:color w:val="auto"/>
          <w:sz w:val="24"/>
          <w:szCs w:val="24"/>
        </w:rPr>
        <w:t>&lt;www.ccgp.gov.cn&gt;</w:t>
      </w:r>
      <w:r>
        <w:rPr>
          <w:rFonts w:hint="eastAsia" w:ascii="宋体" w:hAnsi="宋体"/>
          <w:color w:val="auto"/>
          <w:sz w:val="24"/>
          <w:szCs w:val="24"/>
        </w:rPr>
        <w:t>网站的“政府采购严重违法失信行为记录名单”</w:t>
      </w:r>
      <w:r>
        <w:rPr>
          <w:rFonts w:hint="eastAsia" w:ascii="宋体" w:hAnsi="宋体"/>
          <w:b/>
          <w:color w:val="auto"/>
          <w:sz w:val="24"/>
          <w:szCs w:val="24"/>
        </w:rPr>
        <w:t>均未列入</w:t>
      </w:r>
      <w:r>
        <w:rPr>
          <w:rFonts w:ascii="宋体" w:hAnsi="宋体"/>
          <w:color w:val="auto"/>
          <w:sz w:val="24"/>
          <w:szCs w:val="24"/>
        </w:rPr>
        <w:t>)</w:t>
      </w:r>
    </w:p>
    <w:p w14:paraId="7A2A8293">
      <w:pPr>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采购人或者采购代理机构将按以上信用信息查询渠道在解密投标文件之前对单一来源供应商信用记录进行查询，投标人如有上述任一不良信用记录的，其</w:t>
      </w:r>
      <w:r>
        <w:rPr>
          <w:rFonts w:ascii="宋体" w:hAnsi="宋体"/>
          <w:color w:val="auto"/>
          <w:sz w:val="24"/>
          <w:szCs w:val="24"/>
        </w:rPr>
        <w:t>投标将被</w:t>
      </w:r>
      <w:r>
        <w:rPr>
          <w:rFonts w:hint="eastAsia" w:ascii="宋体" w:hAnsi="宋体"/>
          <w:color w:val="auto"/>
          <w:sz w:val="24"/>
          <w:szCs w:val="24"/>
        </w:rPr>
        <w:t>拒</w:t>
      </w:r>
      <w:r>
        <w:rPr>
          <w:rFonts w:ascii="宋体" w:hAnsi="宋体"/>
          <w:color w:val="auto"/>
          <w:sz w:val="24"/>
          <w:szCs w:val="24"/>
        </w:rPr>
        <w:t>绝</w:t>
      </w:r>
      <w:r>
        <w:rPr>
          <w:rFonts w:hint="eastAsia" w:ascii="宋体" w:hAnsi="宋体"/>
          <w:color w:val="auto"/>
          <w:sz w:val="24"/>
          <w:szCs w:val="24"/>
        </w:rPr>
        <w:t>、</w:t>
      </w:r>
      <w:r>
        <w:rPr>
          <w:rFonts w:ascii="宋体" w:hAnsi="宋体"/>
          <w:color w:val="auto"/>
          <w:sz w:val="24"/>
          <w:szCs w:val="24"/>
        </w:rPr>
        <w:t>为无效投</w:t>
      </w:r>
      <w:r>
        <w:rPr>
          <w:rFonts w:hint="eastAsia" w:ascii="宋体" w:hAnsi="宋体"/>
          <w:color w:val="auto"/>
          <w:sz w:val="24"/>
          <w:szCs w:val="24"/>
        </w:rPr>
        <w:t>标，单一来源采购终止。查询的网页内容将以截图或者拍照作为证据留存。</w:t>
      </w:r>
    </w:p>
    <w:p w14:paraId="59C8D106">
      <w:pPr>
        <w:snapToGrid w:val="0"/>
        <w:spacing w:line="360" w:lineRule="auto"/>
        <w:ind w:firstLine="540" w:firstLineChars="225"/>
        <w:rPr>
          <w:color w:val="auto"/>
        </w:rPr>
      </w:pPr>
      <w:r>
        <w:rPr>
          <w:rFonts w:hint="eastAsia" w:ascii="宋体" w:hAnsi="宋体"/>
          <w:color w:val="auto"/>
          <w:sz w:val="24"/>
          <w:szCs w:val="24"/>
        </w:rPr>
        <w:t>2.3.3项目的特定资格要求：</w:t>
      </w:r>
    </w:p>
    <w:p w14:paraId="44BD88E8">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（1）联合体投标：不接受。</w:t>
      </w:r>
    </w:p>
    <w:p w14:paraId="1009D7D2">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（2）具备法律、行政法规规定的其他条件。</w:t>
      </w:r>
    </w:p>
    <w:p w14:paraId="2B56A9D7">
      <w:pPr>
        <w:widowControl w:val="0"/>
        <w:adjustRightInd w:val="0"/>
        <w:snapToGrid w:val="0"/>
        <w:spacing w:line="360" w:lineRule="auto"/>
        <w:ind w:firstLine="540" w:firstLineChars="225"/>
        <w:rPr>
          <w:rFonts w:ascii="宋体"/>
          <w:color w:val="auto"/>
          <w:sz w:val="24"/>
          <w:szCs w:val="24"/>
        </w:rPr>
      </w:pPr>
      <w:r>
        <w:rPr>
          <w:rFonts w:hint="eastAsia" w:ascii="宋体" w:hAnsi="宋体"/>
          <w:color w:val="auto"/>
          <w:sz w:val="24"/>
          <w:szCs w:val="24"/>
        </w:rPr>
        <w:t>注：（1）所有证照均应为有效的证照；文中“近”、“前”指距投标截止时间。</w:t>
      </w:r>
    </w:p>
    <w:p w14:paraId="100F704B">
      <w:pPr>
        <w:widowControl w:val="0"/>
        <w:adjustRightInd w:val="0"/>
        <w:snapToGrid w:val="0"/>
        <w:spacing w:line="360" w:lineRule="auto"/>
        <w:ind w:firstLine="540" w:firstLineChars="225"/>
        <w:rPr>
          <w:rFonts w:ascii="宋体"/>
          <w:color w:val="auto"/>
          <w:sz w:val="24"/>
          <w:szCs w:val="24"/>
        </w:rPr>
      </w:pPr>
      <w:r>
        <w:rPr>
          <w:rFonts w:hint="eastAsia" w:ascii="宋体" w:hAnsi="宋体"/>
          <w:color w:val="auto"/>
          <w:sz w:val="24"/>
          <w:szCs w:val="24"/>
        </w:rPr>
        <w:t>（2）</w:t>
      </w:r>
      <w:r>
        <w:rPr>
          <w:rFonts w:ascii="宋体" w:hAnsi="宋体"/>
          <w:color w:val="auto"/>
          <w:sz w:val="24"/>
          <w:szCs w:val="24"/>
        </w:rPr>
        <w:t xml:space="preserve"> </w:t>
      </w:r>
      <w:r>
        <w:rPr>
          <w:rFonts w:hint="eastAsia" w:ascii="宋体" w:hAnsi="宋体"/>
          <w:color w:val="auto"/>
          <w:sz w:val="24"/>
          <w:szCs w:val="24"/>
        </w:rPr>
        <w:t>资格证明材料（文件）应附于投标文件中并经投标人电子签章</w:t>
      </w:r>
      <w:r>
        <w:rPr>
          <w:rFonts w:hint="eastAsia"/>
          <w:color w:val="auto"/>
          <w:sz w:val="24"/>
          <w:szCs w:val="24"/>
        </w:rPr>
        <w:t>。</w:t>
      </w:r>
      <w:r>
        <w:rPr>
          <w:rFonts w:hint="eastAsia" w:ascii="宋体" w:hAnsi="宋体"/>
          <w:color w:val="auto"/>
          <w:sz w:val="24"/>
          <w:szCs w:val="24"/>
        </w:rPr>
        <w:t>投标人对资格证明文件真实性有效合规承担责任，提供虚假材料的为无效投标并将进一步追究其责任。</w:t>
      </w:r>
    </w:p>
    <w:p w14:paraId="3A86409A">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（3）</w:t>
      </w:r>
      <w:r>
        <w:rPr>
          <w:rFonts w:ascii="宋体" w:hAnsi="宋体"/>
          <w:color w:val="auto"/>
          <w:sz w:val="24"/>
          <w:szCs w:val="24"/>
        </w:rPr>
        <w:t xml:space="preserve"> </w:t>
      </w:r>
      <w:r>
        <w:rPr>
          <w:rFonts w:hint="eastAsia" w:ascii="宋体" w:hAnsi="宋体"/>
          <w:color w:val="auto"/>
          <w:sz w:val="24"/>
          <w:szCs w:val="24"/>
        </w:rPr>
        <w:t>本项目采取资格后审，开标后，将由谈判小组对投标人的资格证明材料（文件）进行资格审核，未按要求逐一提供、或资格审查不合格的为无效投标，投标人应自负其风险费用。</w:t>
      </w:r>
    </w:p>
    <w:p w14:paraId="526719D5">
      <w:pPr>
        <w:widowControl w:val="0"/>
        <w:adjustRightInd w:val="0"/>
        <w:snapToGrid w:val="0"/>
        <w:spacing w:line="360" w:lineRule="auto"/>
        <w:ind w:firstLine="540" w:firstLineChars="225"/>
        <w:rPr>
          <w:rFonts w:ascii="宋体"/>
          <w:color w:val="auto"/>
          <w:sz w:val="24"/>
          <w:szCs w:val="24"/>
        </w:rPr>
      </w:pPr>
    </w:p>
    <w:p w14:paraId="57B1777B">
      <w:pPr>
        <w:widowControl w:val="0"/>
        <w:snapToGrid w:val="0"/>
        <w:spacing w:line="360" w:lineRule="auto"/>
        <w:ind w:firstLine="632" w:firstLineChars="225"/>
        <w:jc w:val="left"/>
        <w:rPr>
          <w:rFonts w:ascii="黑体" w:hAnsi="黑体" w:eastAsia="黑体"/>
          <w:b/>
          <w:color w:val="auto"/>
          <w:sz w:val="28"/>
          <w:szCs w:val="28"/>
        </w:rPr>
      </w:pPr>
      <w:r>
        <w:rPr>
          <w:rFonts w:ascii="黑体" w:hAnsi="黑体" w:eastAsia="黑体"/>
          <w:b/>
          <w:color w:val="auto"/>
          <w:sz w:val="28"/>
          <w:szCs w:val="28"/>
        </w:rPr>
        <w:t>3.</w:t>
      </w:r>
      <w:r>
        <w:rPr>
          <w:rFonts w:hint="eastAsia" w:ascii="黑体" w:hAnsi="黑体" w:eastAsia="黑体"/>
          <w:b/>
          <w:color w:val="auto"/>
          <w:sz w:val="28"/>
          <w:szCs w:val="28"/>
        </w:rPr>
        <w:t>单一来源采购文件的获取：</w:t>
      </w:r>
    </w:p>
    <w:p w14:paraId="2BAD0331">
      <w:pPr>
        <w:widowControl w:val="0"/>
        <w:adjustRightInd w:val="0"/>
        <w:snapToGrid w:val="0"/>
        <w:spacing w:line="360" w:lineRule="auto"/>
        <w:ind w:firstLine="540" w:firstLineChars="225"/>
        <w:rPr>
          <w:rFonts w:ascii="宋体" w:hAnsi="宋体"/>
          <w:color w:val="auto"/>
          <w:sz w:val="24"/>
          <w:szCs w:val="24"/>
        </w:rPr>
      </w:pPr>
      <w:r>
        <w:rPr>
          <w:rFonts w:ascii="宋体" w:hAnsi="宋体"/>
          <w:color w:val="auto"/>
          <w:sz w:val="24"/>
          <w:szCs w:val="24"/>
        </w:rPr>
        <w:t>3.1</w:t>
      </w:r>
      <w:r>
        <w:rPr>
          <w:rFonts w:hint="eastAsia" w:ascii="宋体" w:hAnsi="宋体"/>
          <w:color w:val="auto"/>
          <w:sz w:val="24"/>
          <w:szCs w:val="24"/>
        </w:rPr>
        <w:t xml:space="preserve"> 单一来源采购文件获取开始时间：2025年11月7日—2025年11月11日</w:t>
      </w:r>
    </w:p>
    <w:p w14:paraId="26DB1824">
      <w:pPr>
        <w:widowControl w:val="0"/>
        <w:snapToGrid w:val="0"/>
        <w:spacing w:line="360" w:lineRule="auto"/>
        <w:ind w:left="55" w:leftChars="26" w:firstLine="540" w:firstLineChars="225"/>
        <w:rPr>
          <w:b/>
          <w:bCs/>
          <w:color w:val="auto"/>
          <w:sz w:val="24"/>
          <w:szCs w:val="24"/>
        </w:rPr>
      </w:pPr>
      <w:r>
        <w:rPr>
          <w:rFonts w:ascii="宋体" w:hAnsi="宋体"/>
          <w:color w:val="auto"/>
          <w:sz w:val="24"/>
          <w:szCs w:val="24"/>
        </w:rPr>
        <w:t>3.2</w:t>
      </w:r>
      <w:r>
        <w:rPr>
          <w:rFonts w:hint="eastAsia" w:ascii="宋体" w:hAnsi="宋体"/>
          <w:color w:val="auto"/>
          <w:sz w:val="24"/>
          <w:szCs w:val="24"/>
        </w:rPr>
        <w:t xml:space="preserve"> 单一来源采购文件获取地点、方式：网上下载；：</w:t>
      </w:r>
      <w:r>
        <w:rPr>
          <w:rFonts w:hint="eastAsia"/>
          <w:b/>
          <w:bCs/>
          <w:color w:val="auto"/>
          <w:sz w:val="24"/>
          <w:szCs w:val="24"/>
        </w:rPr>
        <w:t>登陆安阳县公共资源交易分中心网站（</w:t>
      </w:r>
      <w:r>
        <w:rPr>
          <w:b/>
          <w:bCs/>
          <w:color w:val="auto"/>
          <w:sz w:val="24"/>
          <w:szCs w:val="24"/>
        </w:rPr>
        <w:t>https://ggzy.anyang.gov.cn/ayxggzy/</w:t>
      </w:r>
      <w:r>
        <w:rPr>
          <w:rFonts w:hint="eastAsia"/>
          <w:b/>
          <w:bCs/>
          <w:color w:val="auto"/>
          <w:sz w:val="24"/>
          <w:szCs w:val="24"/>
        </w:rPr>
        <w:t>），在【交易主体登录】入口完成注册。凭数字证书下载单一来源文件及其它资料。</w:t>
      </w:r>
    </w:p>
    <w:p w14:paraId="01DC946C">
      <w:pPr>
        <w:spacing w:line="360" w:lineRule="auto"/>
        <w:ind w:firstLine="540"/>
        <w:rPr>
          <w:b/>
          <w:bCs/>
          <w:color w:val="auto"/>
          <w:sz w:val="24"/>
          <w:szCs w:val="24"/>
        </w:rPr>
      </w:pPr>
      <w:r>
        <w:rPr>
          <w:rFonts w:hint="eastAsia"/>
          <w:b/>
          <w:bCs/>
          <w:color w:val="auto"/>
          <w:sz w:val="24"/>
          <w:szCs w:val="24"/>
        </w:rPr>
        <w:t>具体流程请查询安阳县公共资源交易分中心网站-服务指南-操作手册-《安阳市公共资源交易系统投标人（供应商）操作手册》。</w:t>
      </w:r>
      <w:r>
        <w:rPr>
          <w:b/>
          <w:bCs/>
          <w:color w:val="auto"/>
          <w:sz w:val="24"/>
          <w:szCs w:val="24"/>
        </w:rPr>
        <w:t>如有技术问题请咨询</w:t>
      </w:r>
      <w:r>
        <w:rPr>
          <w:rFonts w:hint="eastAsia"/>
          <w:b/>
          <w:bCs/>
          <w:color w:val="auto"/>
          <w:sz w:val="24"/>
          <w:szCs w:val="24"/>
        </w:rPr>
        <w:t>400-998-0000、0372-3387739。</w:t>
      </w:r>
    </w:p>
    <w:p w14:paraId="67BF73FE">
      <w:pPr>
        <w:widowControl w:val="0"/>
        <w:adjustRightInd w:val="0"/>
        <w:snapToGrid w:val="0"/>
        <w:spacing w:line="360" w:lineRule="auto"/>
        <w:ind w:firstLine="540" w:firstLineChars="225"/>
        <w:rPr>
          <w:rFonts w:ascii="宋体" w:hAnsi="宋体"/>
          <w:color w:val="auto"/>
          <w:sz w:val="24"/>
          <w:szCs w:val="24"/>
        </w:rPr>
      </w:pPr>
      <w:r>
        <w:rPr>
          <w:rFonts w:ascii="宋体" w:hAnsi="宋体"/>
          <w:color w:val="auto"/>
          <w:sz w:val="24"/>
          <w:szCs w:val="24"/>
        </w:rPr>
        <w:t>3.3</w:t>
      </w:r>
      <w:r>
        <w:rPr>
          <w:rFonts w:hint="eastAsia" w:ascii="宋体" w:hAnsi="宋体"/>
          <w:color w:val="auto"/>
          <w:sz w:val="24"/>
          <w:szCs w:val="24"/>
        </w:rPr>
        <w:t>单一来源采购文件售价：为优化营商环境，电子标免收标书费。</w:t>
      </w:r>
    </w:p>
    <w:p w14:paraId="2573D231">
      <w:pPr>
        <w:widowControl w:val="0"/>
        <w:snapToGrid w:val="0"/>
        <w:spacing w:line="360" w:lineRule="auto"/>
        <w:ind w:firstLine="542" w:firstLineChars="225"/>
        <w:jc w:val="left"/>
        <w:rPr>
          <w:b/>
          <w:color w:val="auto"/>
          <w:sz w:val="24"/>
          <w:szCs w:val="24"/>
          <w:highlight w:val="yellow"/>
        </w:rPr>
      </w:pPr>
    </w:p>
    <w:p w14:paraId="02AD4D11">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4.</w:t>
      </w:r>
      <w:r>
        <w:rPr>
          <w:rFonts w:hint="eastAsia" w:ascii="黑体" w:hAnsi="黑体" w:eastAsia="黑体"/>
          <w:b/>
          <w:color w:val="auto"/>
          <w:sz w:val="28"/>
          <w:szCs w:val="28"/>
        </w:rPr>
        <w:t>投标文件（响应文件）提交的截止时间、开启时间及地点：</w:t>
      </w:r>
    </w:p>
    <w:p w14:paraId="737CB730">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本次单一来源采购，采用网上电子交易方式在安阳县公共资源交易平台进行。</w:t>
      </w:r>
    </w:p>
    <w:p w14:paraId="0AE55D02">
      <w:pPr>
        <w:widowControl w:val="0"/>
        <w:adjustRightInd w:val="0"/>
        <w:snapToGrid w:val="0"/>
        <w:spacing w:line="360" w:lineRule="auto"/>
        <w:ind w:firstLine="540" w:firstLineChars="225"/>
        <w:rPr>
          <w:rFonts w:ascii="宋体" w:hAnsi="宋体"/>
          <w:color w:val="auto"/>
          <w:sz w:val="24"/>
          <w:szCs w:val="24"/>
        </w:rPr>
      </w:pPr>
      <w:r>
        <w:rPr>
          <w:rFonts w:ascii="宋体" w:hAnsi="宋体"/>
          <w:color w:val="auto"/>
          <w:sz w:val="24"/>
          <w:szCs w:val="24"/>
        </w:rPr>
        <w:t xml:space="preserve">4.1 </w:t>
      </w:r>
      <w:r>
        <w:rPr>
          <w:rFonts w:hint="eastAsia" w:ascii="宋体" w:hAnsi="宋体"/>
          <w:color w:val="auto"/>
          <w:sz w:val="24"/>
          <w:szCs w:val="24"/>
        </w:rPr>
        <w:t>提交响应文件截止时间及开启时间：</w:t>
      </w:r>
      <w:r>
        <w:rPr>
          <w:rFonts w:ascii="宋体" w:hAnsi="宋体"/>
          <w:color w:val="auto"/>
          <w:sz w:val="24"/>
          <w:szCs w:val="24"/>
        </w:rPr>
        <w:t>202</w:t>
      </w:r>
      <w:r>
        <w:rPr>
          <w:rFonts w:hint="eastAsia" w:ascii="宋体" w:hAnsi="宋体"/>
          <w:color w:val="auto"/>
          <w:sz w:val="24"/>
          <w:szCs w:val="24"/>
        </w:rPr>
        <w:t>5年11月12日</w:t>
      </w:r>
      <w:r>
        <w:rPr>
          <w:rFonts w:ascii="宋体" w:hAnsi="宋体"/>
          <w:color w:val="auto"/>
          <w:sz w:val="24"/>
          <w:szCs w:val="24"/>
        </w:rPr>
        <w:t>9</w:t>
      </w:r>
      <w:r>
        <w:rPr>
          <w:rFonts w:hint="eastAsia" w:ascii="宋体" w:hAnsi="宋体"/>
          <w:color w:val="auto"/>
          <w:sz w:val="24"/>
          <w:szCs w:val="24"/>
        </w:rPr>
        <w:t>时。</w:t>
      </w:r>
    </w:p>
    <w:p w14:paraId="3D28FFC6">
      <w:pPr>
        <w:widowControl w:val="0"/>
        <w:adjustRightInd w:val="0"/>
        <w:snapToGrid w:val="0"/>
        <w:spacing w:line="360" w:lineRule="auto"/>
        <w:ind w:firstLine="540" w:firstLineChars="225"/>
        <w:rPr>
          <w:rFonts w:ascii="宋体" w:hAnsi="宋体"/>
          <w:color w:val="auto"/>
          <w:sz w:val="24"/>
          <w:szCs w:val="24"/>
        </w:rPr>
      </w:pPr>
      <w:r>
        <w:rPr>
          <w:rFonts w:ascii="宋体" w:hAnsi="宋体"/>
          <w:color w:val="auto"/>
          <w:sz w:val="24"/>
          <w:szCs w:val="24"/>
        </w:rPr>
        <w:t xml:space="preserve">4.2 </w:t>
      </w:r>
      <w:r>
        <w:rPr>
          <w:rFonts w:hint="eastAsia" w:ascii="宋体" w:hAnsi="宋体"/>
          <w:color w:val="auto"/>
          <w:sz w:val="24"/>
          <w:szCs w:val="24"/>
        </w:rPr>
        <w:t>响应文件递交地点：于安阳县公共资源交易平台网上上传递交、并由投标人在规定时间</w:t>
      </w:r>
      <w:r>
        <w:rPr>
          <w:rFonts w:hint="eastAsia" w:ascii="宋体" w:hAnsi="宋体"/>
          <w:b/>
          <w:color w:val="auto"/>
          <w:sz w:val="24"/>
          <w:szCs w:val="24"/>
        </w:rPr>
        <w:t>远程解密</w:t>
      </w:r>
      <w:r>
        <w:rPr>
          <w:rFonts w:hint="eastAsia" w:ascii="宋体" w:hAnsi="宋体"/>
          <w:color w:val="auto"/>
          <w:sz w:val="24"/>
          <w:szCs w:val="24"/>
        </w:rPr>
        <w:t>。</w:t>
      </w:r>
    </w:p>
    <w:p w14:paraId="525F0931">
      <w:pPr>
        <w:widowControl w:val="0"/>
        <w:adjustRightInd w:val="0"/>
        <w:snapToGrid w:val="0"/>
        <w:spacing w:line="360" w:lineRule="auto"/>
        <w:ind w:firstLine="540" w:firstLineChars="225"/>
        <w:rPr>
          <w:rFonts w:ascii="宋体" w:hAnsi="宋体"/>
          <w:color w:val="auto"/>
          <w:sz w:val="24"/>
          <w:szCs w:val="24"/>
        </w:rPr>
      </w:pPr>
      <w:r>
        <w:rPr>
          <w:rFonts w:ascii="宋体" w:hAnsi="宋体"/>
          <w:color w:val="auto"/>
          <w:sz w:val="24"/>
          <w:szCs w:val="24"/>
        </w:rPr>
        <w:t>4.3</w:t>
      </w:r>
      <w:r>
        <w:rPr>
          <w:rFonts w:hint="eastAsia" w:ascii="宋体" w:hAnsi="宋体"/>
          <w:color w:val="auto"/>
          <w:sz w:val="24"/>
          <w:szCs w:val="24"/>
        </w:rPr>
        <w:t>开启地点（管理员网上操作地点）：</w:t>
      </w:r>
      <w:r>
        <w:rPr>
          <w:rFonts w:hint="eastAsia"/>
          <w:color w:val="auto"/>
          <w:sz w:val="24"/>
          <w:szCs w:val="24"/>
        </w:rPr>
        <w:t>安阳县公共资源交易分中心</w:t>
      </w:r>
      <w:r>
        <w:rPr>
          <w:rFonts w:hint="eastAsia" w:ascii="宋体" w:hAnsi="宋体"/>
          <w:color w:val="auto"/>
          <w:sz w:val="24"/>
          <w:szCs w:val="24"/>
        </w:rPr>
        <w:t>第二开标厅（安阳市文明大道东段</w:t>
      </w:r>
      <w:r>
        <w:rPr>
          <w:rFonts w:ascii="宋体" w:hAnsi="宋体"/>
          <w:color w:val="auto"/>
          <w:sz w:val="24"/>
          <w:szCs w:val="24"/>
        </w:rPr>
        <w:t>—</w:t>
      </w:r>
      <w:r>
        <w:rPr>
          <w:rFonts w:hint="eastAsia" w:ascii="宋体" w:hAnsi="宋体"/>
          <w:color w:val="auto"/>
          <w:sz w:val="24"/>
          <w:szCs w:val="24"/>
        </w:rPr>
        <w:t>安阳市城乡一体化示范区管委会院内）</w:t>
      </w:r>
    </w:p>
    <w:p w14:paraId="52D14592">
      <w:pPr>
        <w:widowControl w:val="0"/>
        <w:adjustRightInd w:val="0"/>
        <w:spacing w:before="120" w:beforeLines="50" w:line="300" w:lineRule="auto"/>
        <w:ind w:firstLine="542" w:firstLineChars="225"/>
        <w:rPr>
          <w:b/>
          <w:bCs/>
          <w:color w:val="auto"/>
          <w:sz w:val="24"/>
          <w:szCs w:val="24"/>
        </w:rPr>
      </w:pPr>
      <w:r>
        <w:rPr>
          <w:rFonts w:hint="eastAsia"/>
          <w:b/>
          <w:bCs/>
          <w:color w:val="auto"/>
          <w:sz w:val="24"/>
          <w:szCs w:val="24"/>
        </w:rPr>
        <w:t>4.4</w:t>
      </w:r>
      <w:r>
        <w:rPr>
          <w:b/>
          <w:bCs/>
          <w:color w:val="auto"/>
          <w:sz w:val="24"/>
          <w:szCs w:val="24"/>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7ED79D57">
      <w:pPr>
        <w:widowControl w:val="0"/>
        <w:adjustRightInd w:val="0"/>
        <w:snapToGrid w:val="0"/>
        <w:spacing w:line="276" w:lineRule="auto"/>
        <w:rPr>
          <w:rFonts w:ascii="宋体" w:hAnsi="宋体"/>
          <w:color w:val="auto"/>
          <w:sz w:val="24"/>
          <w:szCs w:val="24"/>
        </w:rPr>
      </w:pPr>
    </w:p>
    <w:p w14:paraId="726144AB">
      <w:pPr>
        <w:widowControl w:val="0"/>
        <w:snapToGrid w:val="0"/>
        <w:spacing w:line="360" w:lineRule="auto"/>
        <w:ind w:firstLine="632" w:firstLineChars="225"/>
        <w:jc w:val="left"/>
        <w:rPr>
          <w:color w:val="auto"/>
          <w:sz w:val="24"/>
          <w:szCs w:val="24"/>
        </w:rPr>
      </w:pPr>
      <w:r>
        <w:rPr>
          <w:rFonts w:ascii="黑体" w:hAnsi="黑体" w:eastAsia="黑体"/>
          <w:b/>
          <w:color w:val="auto"/>
          <w:sz w:val="28"/>
          <w:szCs w:val="28"/>
        </w:rPr>
        <w:t>5.</w:t>
      </w:r>
      <w:r>
        <w:rPr>
          <w:rFonts w:hint="eastAsia" w:ascii="黑体" w:hAnsi="黑体" w:eastAsia="黑体"/>
          <w:b/>
          <w:color w:val="auto"/>
          <w:sz w:val="28"/>
          <w:szCs w:val="28"/>
        </w:rPr>
        <w:t>项目落实的政府采购政策：</w:t>
      </w:r>
      <w:r>
        <w:rPr>
          <w:rFonts w:hint="eastAsia"/>
          <w:color w:val="auto"/>
          <w:sz w:val="24"/>
          <w:szCs w:val="24"/>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rPr>
        <w:t>支持绿色建筑、绿色建材，支持不发达、少数民族地区的企业，促进自主创新产业发展，支持脱贫攻坚等</w:t>
      </w:r>
      <w:r>
        <w:rPr>
          <w:rFonts w:hint="eastAsia"/>
          <w:color w:val="auto"/>
          <w:sz w:val="24"/>
          <w:szCs w:val="24"/>
        </w:rPr>
        <w:t>。</w:t>
      </w:r>
    </w:p>
    <w:p w14:paraId="2948BE50">
      <w:pPr>
        <w:widowControl w:val="0"/>
        <w:adjustRightInd w:val="0"/>
        <w:snapToGrid w:val="0"/>
        <w:spacing w:line="276" w:lineRule="auto"/>
        <w:ind w:firstLine="540" w:firstLineChars="225"/>
        <w:rPr>
          <w:rFonts w:ascii="宋体" w:hAnsi="宋体"/>
          <w:color w:val="auto"/>
          <w:sz w:val="24"/>
          <w:szCs w:val="24"/>
        </w:rPr>
      </w:pPr>
    </w:p>
    <w:p w14:paraId="3381AC4A">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6.</w:t>
      </w:r>
      <w:r>
        <w:rPr>
          <w:rFonts w:hint="eastAsia" w:ascii="黑体" w:hAnsi="黑体" w:eastAsia="黑体"/>
          <w:b/>
          <w:color w:val="auto"/>
          <w:sz w:val="28"/>
          <w:szCs w:val="28"/>
        </w:rPr>
        <w:t>成交公告发布的媒介：</w:t>
      </w:r>
    </w:p>
    <w:p w14:paraId="40D2578B">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本项目在“河南省政府采购网（安阳市政府采购网）”、“</w:t>
      </w:r>
      <w:r>
        <w:rPr>
          <w:rFonts w:hint="eastAsia" w:ascii="宋体" w:hAnsi="宋体" w:cs="宋体"/>
          <w:color w:val="auto"/>
          <w:sz w:val="24"/>
          <w:szCs w:val="24"/>
        </w:rPr>
        <w:t>全国公共资源交易平台（河南省·安阳县）</w:t>
      </w:r>
      <w:r>
        <w:rPr>
          <w:rFonts w:hint="eastAsia"/>
          <w:color w:val="auto"/>
          <w:sz w:val="24"/>
          <w:szCs w:val="24"/>
        </w:rPr>
        <w:t>安阳县公共资源交易分中心</w:t>
      </w:r>
      <w:r>
        <w:rPr>
          <w:rFonts w:hint="eastAsia" w:ascii="宋体" w:hAnsi="宋体"/>
          <w:color w:val="auto"/>
          <w:sz w:val="24"/>
          <w:szCs w:val="24"/>
        </w:rPr>
        <w:t>”</w:t>
      </w:r>
      <w:r>
        <w:rPr>
          <w:rFonts w:hint="eastAsia" w:ascii="宋体" w:hAnsi="宋体" w:cs="宋体"/>
          <w:color w:val="auto"/>
          <w:sz w:val="24"/>
          <w:szCs w:val="24"/>
        </w:rPr>
        <w:t>、</w:t>
      </w:r>
      <w:r>
        <w:rPr>
          <w:rFonts w:hint="eastAsia" w:ascii="宋体" w:hAnsi="宋体"/>
          <w:color w:val="auto"/>
          <w:sz w:val="24"/>
          <w:szCs w:val="24"/>
        </w:rPr>
        <w:t>“安阳招标采购网”网站上同期发布。</w:t>
      </w:r>
    </w:p>
    <w:p w14:paraId="0B617719">
      <w:pPr>
        <w:widowControl w:val="0"/>
        <w:tabs>
          <w:tab w:val="left" w:pos="39"/>
          <w:tab w:val="left" w:pos="96"/>
        </w:tabs>
        <w:snapToGrid w:val="0"/>
        <w:spacing w:line="276" w:lineRule="auto"/>
        <w:rPr>
          <w:rFonts w:ascii="宋体"/>
          <w:color w:val="auto"/>
          <w:sz w:val="24"/>
          <w:szCs w:val="24"/>
        </w:rPr>
      </w:pPr>
    </w:p>
    <w:p w14:paraId="66BB7075">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7.</w:t>
      </w:r>
      <w:r>
        <w:rPr>
          <w:rFonts w:hint="eastAsia" w:ascii="黑体" w:hAnsi="黑体" w:eastAsia="黑体"/>
          <w:b/>
          <w:color w:val="auto"/>
          <w:sz w:val="28"/>
          <w:szCs w:val="28"/>
        </w:rPr>
        <w:t>网上电子交易系统网址：</w:t>
      </w:r>
    </w:p>
    <w:p w14:paraId="3F007CB4">
      <w:pPr>
        <w:widowControl w:val="0"/>
        <w:adjustRightInd w:val="0"/>
        <w:snapToGrid w:val="0"/>
        <w:spacing w:line="360" w:lineRule="auto"/>
        <w:ind w:firstLine="542" w:firstLineChars="225"/>
        <w:rPr>
          <w:b/>
          <w:color w:val="auto"/>
          <w:sz w:val="24"/>
          <w:szCs w:val="24"/>
        </w:rPr>
      </w:pPr>
      <w:r>
        <w:rPr>
          <w:rFonts w:ascii="宋体" w:hAnsi="宋体"/>
          <w:b/>
          <w:color w:val="auto"/>
          <w:sz w:val="24"/>
          <w:szCs w:val="24"/>
        </w:rPr>
        <w:t>7.1</w:t>
      </w:r>
      <w:r>
        <w:rPr>
          <w:rFonts w:hint="eastAsia" w:ascii="宋体" w:hAnsi="宋体"/>
          <w:b/>
          <w:color w:val="auto"/>
          <w:sz w:val="24"/>
          <w:szCs w:val="24"/>
        </w:rPr>
        <w:t>全国公共资源交易平台（河南省•安阳县）</w:t>
      </w:r>
      <w:r>
        <w:rPr>
          <w:rFonts w:ascii="宋体" w:hAnsi="宋体"/>
          <w:b/>
          <w:color w:val="auto"/>
          <w:sz w:val="24"/>
          <w:szCs w:val="24"/>
        </w:rPr>
        <w:t>https://ggzy.anyang.gov.cn/ayxggzy/</w:t>
      </w:r>
      <w:r>
        <w:rPr>
          <w:rFonts w:hint="eastAsia" w:ascii="宋体" w:hAnsi="宋体"/>
          <w:b/>
          <w:color w:val="auto"/>
          <w:sz w:val="24"/>
          <w:szCs w:val="24"/>
        </w:rPr>
        <w:t>单一来源采购文件简称“安阳县公共资源交易平台”</w:t>
      </w:r>
    </w:p>
    <w:p w14:paraId="1E3F7080">
      <w:pPr>
        <w:widowControl w:val="0"/>
        <w:tabs>
          <w:tab w:val="left" w:pos="39"/>
          <w:tab w:val="left" w:pos="96"/>
        </w:tabs>
        <w:snapToGrid w:val="0"/>
        <w:spacing w:line="360" w:lineRule="auto"/>
        <w:ind w:firstLine="602" w:firstLineChars="250"/>
        <w:rPr>
          <w:rFonts w:ascii="宋体"/>
          <w:b/>
          <w:color w:val="auto"/>
          <w:sz w:val="24"/>
          <w:szCs w:val="24"/>
        </w:rPr>
      </w:pPr>
      <w:r>
        <w:rPr>
          <w:rFonts w:ascii="宋体" w:hAnsi="宋体"/>
          <w:b/>
          <w:color w:val="auto"/>
          <w:sz w:val="24"/>
          <w:szCs w:val="24"/>
        </w:rPr>
        <w:t>7.2</w:t>
      </w:r>
      <w:r>
        <w:rPr>
          <w:rFonts w:hint="eastAsia" w:ascii="宋体"/>
          <w:b/>
          <w:color w:val="auto"/>
          <w:sz w:val="24"/>
          <w:szCs w:val="24"/>
        </w:rPr>
        <w:t>投标文件制作软件：</w:t>
      </w:r>
      <w:r>
        <w:rPr>
          <w:rFonts w:hint="eastAsia" w:ascii="宋体" w:hAnsi="宋体"/>
          <w:b/>
          <w:color w:val="auto"/>
          <w:sz w:val="24"/>
          <w:szCs w:val="24"/>
        </w:rPr>
        <w:t>在安阳县公共资源交易平台内进行下载</w:t>
      </w:r>
      <w:r>
        <w:rPr>
          <w:rFonts w:hint="eastAsia" w:ascii="宋体"/>
          <w:b/>
          <w:color w:val="auto"/>
          <w:sz w:val="24"/>
          <w:szCs w:val="24"/>
        </w:rPr>
        <w:t>、并安装投标文件制作工具，查看单一来源文件和制作电子投标文件。</w:t>
      </w:r>
    </w:p>
    <w:p w14:paraId="72963DFC">
      <w:pPr>
        <w:widowControl w:val="0"/>
        <w:adjustRightInd w:val="0"/>
        <w:snapToGrid w:val="0"/>
        <w:spacing w:line="360" w:lineRule="auto"/>
        <w:rPr>
          <w:rFonts w:ascii="宋体" w:hAnsi="宋体"/>
          <w:color w:val="auto"/>
          <w:sz w:val="24"/>
          <w:szCs w:val="24"/>
        </w:rPr>
      </w:pPr>
    </w:p>
    <w:p w14:paraId="56B61AB0">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8</w:t>
      </w:r>
      <w:r>
        <w:rPr>
          <w:rFonts w:ascii="黑体" w:hAnsi="黑体" w:eastAsia="黑体"/>
          <w:b/>
          <w:color w:val="auto"/>
          <w:sz w:val="28"/>
          <w:szCs w:val="28"/>
        </w:rPr>
        <w:t>.</w:t>
      </w:r>
      <w:r>
        <w:rPr>
          <w:rFonts w:hint="eastAsia" w:ascii="黑体" w:hAnsi="黑体" w:eastAsia="黑体"/>
          <w:b/>
          <w:color w:val="auto"/>
          <w:sz w:val="28"/>
          <w:szCs w:val="28"/>
        </w:rPr>
        <w:t>政府采购合同融资：</w:t>
      </w:r>
    </w:p>
    <w:p w14:paraId="47D6F932">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14:paraId="73A18704">
      <w:pPr>
        <w:widowControl w:val="0"/>
        <w:tabs>
          <w:tab w:val="left" w:pos="39"/>
          <w:tab w:val="left" w:pos="96"/>
        </w:tabs>
        <w:snapToGrid w:val="0"/>
        <w:spacing w:line="276" w:lineRule="auto"/>
        <w:rPr>
          <w:rFonts w:ascii="宋体"/>
          <w:color w:val="auto"/>
          <w:sz w:val="24"/>
          <w:szCs w:val="24"/>
        </w:rPr>
      </w:pPr>
    </w:p>
    <w:p w14:paraId="5129432C">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9</w:t>
      </w:r>
      <w:r>
        <w:rPr>
          <w:rFonts w:ascii="黑体" w:hAnsi="黑体" w:eastAsia="黑体"/>
          <w:b/>
          <w:color w:val="auto"/>
          <w:sz w:val="28"/>
          <w:szCs w:val="28"/>
        </w:rPr>
        <w:t>.</w:t>
      </w:r>
      <w:r>
        <w:rPr>
          <w:rFonts w:hint="eastAsia" w:ascii="黑体" w:hAnsi="黑体" w:eastAsia="黑体"/>
          <w:b/>
          <w:color w:val="auto"/>
          <w:sz w:val="28"/>
          <w:szCs w:val="28"/>
        </w:rPr>
        <w:t>项目联系事项：</w:t>
      </w:r>
    </w:p>
    <w:p w14:paraId="43EAA573">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采购人：安阳县农业农村局</w:t>
      </w:r>
    </w:p>
    <w:p w14:paraId="032BC1AD">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联系人：王安庆</w:t>
      </w:r>
    </w:p>
    <w:p w14:paraId="0BF6AACA">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电话：13569085572</w:t>
      </w:r>
    </w:p>
    <w:p w14:paraId="69CBB7D5">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地址：安阳市示范区华文路</w:t>
      </w:r>
    </w:p>
    <w:p w14:paraId="28E114D8">
      <w:pPr>
        <w:widowControl w:val="0"/>
        <w:adjustRightInd w:val="0"/>
        <w:snapToGrid w:val="0"/>
        <w:spacing w:line="360" w:lineRule="auto"/>
        <w:ind w:firstLine="540" w:firstLineChars="225"/>
        <w:rPr>
          <w:rFonts w:ascii="宋体" w:hAnsi="宋体"/>
          <w:color w:val="auto"/>
          <w:sz w:val="24"/>
          <w:szCs w:val="24"/>
        </w:rPr>
      </w:pPr>
    </w:p>
    <w:p w14:paraId="60F9A29E">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采购代理机构：安阳市方正招标采购服务有限责任公司</w:t>
      </w:r>
      <w:r>
        <w:rPr>
          <w:rFonts w:ascii="宋体" w:hAnsi="宋体"/>
          <w:color w:val="auto"/>
          <w:sz w:val="24"/>
          <w:szCs w:val="24"/>
        </w:rPr>
        <w:t xml:space="preserve">   </w:t>
      </w:r>
    </w:p>
    <w:p w14:paraId="228A7CEF">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联系人：白杨</w:t>
      </w:r>
    </w:p>
    <w:p w14:paraId="2BC480AD">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 xml:space="preserve">电话：13503729025 </w:t>
      </w:r>
      <w:r>
        <w:rPr>
          <w:rFonts w:ascii="宋体" w:hAnsi="宋体"/>
          <w:color w:val="auto"/>
          <w:sz w:val="24"/>
          <w:szCs w:val="24"/>
        </w:rPr>
        <w:t>0372-2283981</w:t>
      </w:r>
      <w:r>
        <w:rPr>
          <w:rFonts w:hint="eastAsia" w:ascii="宋体" w:hAnsi="宋体"/>
          <w:color w:val="auto"/>
          <w:sz w:val="24"/>
          <w:szCs w:val="24"/>
        </w:rPr>
        <w:t>、</w:t>
      </w:r>
      <w:r>
        <w:rPr>
          <w:rFonts w:ascii="宋体" w:hAnsi="宋体"/>
          <w:color w:val="auto"/>
          <w:sz w:val="24"/>
          <w:szCs w:val="24"/>
        </w:rPr>
        <w:t>2283982</w:t>
      </w:r>
      <w:r>
        <w:rPr>
          <w:rFonts w:hint="eastAsia" w:ascii="宋体" w:hAnsi="宋体"/>
          <w:color w:val="auto"/>
          <w:sz w:val="24"/>
          <w:szCs w:val="24"/>
        </w:rPr>
        <w:t xml:space="preserve">  财务部咨询电话：</w:t>
      </w:r>
      <w:r>
        <w:rPr>
          <w:rFonts w:ascii="宋体" w:hAnsi="宋体"/>
          <w:color w:val="auto"/>
          <w:sz w:val="24"/>
          <w:szCs w:val="24"/>
        </w:rPr>
        <w:t>0372-2283983</w:t>
      </w:r>
    </w:p>
    <w:p w14:paraId="52539E9F">
      <w:pPr>
        <w:widowControl w:val="0"/>
        <w:adjustRightInd w:val="0"/>
        <w:snapToGrid w:val="0"/>
        <w:spacing w:line="360" w:lineRule="auto"/>
        <w:ind w:left="1260" w:leftChars="257" w:hanging="720" w:hangingChars="300"/>
        <w:rPr>
          <w:rFonts w:ascii="宋体" w:hAnsi="宋体"/>
          <w:color w:val="auto"/>
          <w:sz w:val="24"/>
          <w:szCs w:val="24"/>
        </w:rPr>
      </w:pPr>
      <w:r>
        <w:rPr>
          <w:rFonts w:hint="eastAsia" w:ascii="宋体" w:hAnsi="宋体"/>
          <w:color w:val="auto"/>
          <w:sz w:val="24"/>
          <w:szCs w:val="24"/>
        </w:rPr>
        <w:t>地址：安阳市安钢大道39号（人民大道北地下道口南侧、安阳粮食产业集团-后院办公楼五楼）</w:t>
      </w:r>
    </w:p>
    <w:p w14:paraId="71900E16">
      <w:pPr>
        <w:pStyle w:val="22"/>
        <w:shd w:val="clear" w:color="auto" w:fill="FFFFFF"/>
        <w:adjustRightInd w:val="0"/>
        <w:spacing w:before="50" w:beforeAutospacing="0" w:after="0" w:afterAutospacing="0" w:line="276" w:lineRule="auto"/>
        <w:ind w:firstLine="540" w:firstLineChars="225"/>
        <w:rPr>
          <w:color w:val="auto"/>
        </w:rPr>
      </w:pPr>
    </w:p>
    <w:p w14:paraId="2687C14B">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10</w:t>
      </w:r>
      <w:r>
        <w:rPr>
          <w:rFonts w:ascii="黑体" w:hAnsi="黑体" w:eastAsia="黑体"/>
          <w:b/>
          <w:color w:val="auto"/>
          <w:sz w:val="28"/>
          <w:szCs w:val="28"/>
        </w:rPr>
        <w:t>.</w:t>
      </w:r>
      <w:r>
        <w:rPr>
          <w:rFonts w:hint="eastAsia" w:ascii="黑体" w:hAnsi="黑体" w:eastAsia="黑体"/>
          <w:b/>
          <w:color w:val="auto"/>
          <w:sz w:val="28"/>
          <w:szCs w:val="28"/>
        </w:rPr>
        <w:t>网上电子交易提示：</w:t>
      </w:r>
    </w:p>
    <w:p w14:paraId="440C6DC1">
      <w:pPr>
        <w:widowControl w:val="0"/>
        <w:tabs>
          <w:tab w:val="left" w:pos="39"/>
          <w:tab w:val="left" w:pos="96"/>
        </w:tabs>
        <w:snapToGrid w:val="0"/>
        <w:spacing w:line="360" w:lineRule="auto"/>
        <w:ind w:firstLine="540" w:firstLineChars="225"/>
        <w:rPr>
          <w:rFonts w:ascii="宋体"/>
          <w:color w:val="auto"/>
          <w:sz w:val="24"/>
          <w:szCs w:val="24"/>
        </w:rPr>
      </w:pPr>
      <w:r>
        <w:rPr>
          <w:rFonts w:ascii="宋体" w:hAnsi="宋体"/>
          <w:color w:val="auto"/>
          <w:sz w:val="24"/>
          <w:szCs w:val="24"/>
        </w:rPr>
        <w:t xml:space="preserve">10.1 </w:t>
      </w:r>
      <w:r>
        <w:rPr>
          <w:rFonts w:hint="eastAsia" w:ascii="宋体" w:hAnsi="宋体"/>
          <w:color w:val="auto"/>
          <w:sz w:val="24"/>
          <w:szCs w:val="24"/>
        </w:rPr>
        <w:t>注册：投标人完成注册、办理数字证书后，方可获取单一来源采购文件、参加投标等网上电子交易。</w:t>
      </w:r>
    </w:p>
    <w:p w14:paraId="51B9D1A2">
      <w:pPr>
        <w:widowControl w:val="0"/>
        <w:tabs>
          <w:tab w:val="left" w:pos="39"/>
          <w:tab w:val="left" w:pos="96"/>
        </w:tabs>
        <w:snapToGrid w:val="0"/>
        <w:spacing w:line="360" w:lineRule="auto"/>
        <w:ind w:firstLine="540" w:firstLineChars="225"/>
        <w:rPr>
          <w:rFonts w:ascii="宋体" w:hAnsi="宋体"/>
          <w:color w:val="auto"/>
          <w:sz w:val="24"/>
          <w:szCs w:val="24"/>
        </w:rPr>
      </w:pPr>
      <w:r>
        <w:rPr>
          <w:rFonts w:ascii="宋体" w:hAnsi="宋体"/>
          <w:color w:val="auto"/>
          <w:sz w:val="24"/>
          <w:szCs w:val="24"/>
        </w:rPr>
        <w:t xml:space="preserve">10.2 </w:t>
      </w:r>
      <w:r>
        <w:rPr>
          <w:rFonts w:hint="eastAsia" w:ascii="宋体" w:hAnsi="宋体"/>
          <w:color w:val="auto"/>
          <w:sz w:val="24"/>
          <w:szCs w:val="24"/>
        </w:rPr>
        <w:t>获取单一来源采购文件：按本章第</w:t>
      </w:r>
      <w:r>
        <w:rPr>
          <w:rFonts w:ascii="宋体" w:hAnsi="宋体"/>
          <w:color w:val="auto"/>
          <w:sz w:val="24"/>
          <w:szCs w:val="24"/>
        </w:rPr>
        <w:t>3</w:t>
      </w:r>
      <w:r>
        <w:rPr>
          <w:rFonts w:hint="eastAsia" w:ascii="宋体" w:hAnsi="宋体"/>
          <w:color w:val="auto"/>
          <w:sz w:val="24"/>
          <w:szCs w:val="24"/>
        </w:rPr>
        <w:t>条</w:t>
      </w:r>
      <w:r>
        <w:rPr>
          <w:rFonts w:hint="eastAsia" w:ascii="宋体"/>
          <w:color w:val="auto"/>
          <w:sz w:val="24"/>
          <w:szCs w:val="24"/>
        </w:rPr>
        <w:t>“</w:t>
      </w:r>
      <w:r>
        <w:rPr>
          <w:rFonts w:hint="eastAsia" w:ascii="宋体" w:hAnsi="宋体"/>
          <w:color w:val="auto"/>
          <w:sz w:val="24"/>
          <w:szCs w:val="24"/>
        </w:rPr>
        <w:t>单一来源采购文件的获取</w:t>
      </w:r>
      <w:r>
        <w:rPr>
          <w:rFonts w:hint="eastAsia" w:ascii="宋体"/>
          <w:color w:val="auto"/>
          <w:sz w:val="24"/>
          <w:szCs w:val="24"/>
        </w:rPr>
        <w:t>”</w:t>
      </w:r>
      <w:r>
        <w:rPr>
          <w:rFonts w:hint="eastAsia" w:ascii="宋体" w:hAnsi="宋体"/>
          <w:color w:val="auto"/>
          <w:sz w:val="24"/>
          <w:szCs w:val="24"/>
        </w:rPr>
        <w:t>办理。</w:t>
      </w:r>
    </w:p>
    <w:p w14:paraId="65652BE6">
      <w:pPr>
        <w:widowControl w:val="0"/>
        <w:tabs>
          <w:tab w:val="left" w:pos="39"/>
          <w:tab w:val="left" w:pos="96"/>
        </w:tabs>
        <w:snapToGrid w:val="0"/>
        <w:spacing w:line="360" w:lineRule="auto"/>
        <w:ind w:firstLine="540" w:firstLineChars="225"/>
        <w:rPr>
          <w:rFonts w:ascii="黑体" w:hAnsi="黑体" w:eastAsia="黑体" w:cs="楷体_GB2312"/>
          <w:b/>
          <w:color w:val="auto"/>
          <w:sz w:val="24"/>
          <w:lang w:val="zh-CN"/>
        </w:rPr>
      </w:pPr>
      <w:r>
        <w:rPr>
          <w:rFonts w:ascii="宋体" w:hAnsi="宋体"/>
          <w:color w:val="auto"/>
          <w:sz w:val="24"/>
          <w:szCs w:val="24"/>
        </w:rPr>
        <w:t>1</w:t>
      </w:r>
      <w:r>
        <w:rPr>
          <w:rFonts w:hint="eastAsia" w:ascii="宋体" w:hAnsi="宋体"/>
          <w:color w:val="auto"/>
          <w:sz w:val="24"/>
          <w:szCs w:val="24"/>
        </w:rPr>
        <w:t>0.3 单一来源采购文件的澄清与修改或延期的</w:t>
      </w:r>
      <w:r>
        <w:rPr>
          <w:rFonts w:ascii="宋体" w:hAnsi="宋体"/>
          <w:color w:val="auto"/>
          <w:sz w:val="24"/>
          <w:szCs w:val="24"/>
        </w:rPr>
        <w:t>通知</w:t>
      </w:r>
      <w:r>
        <w:rPr>
          <w:rFonts w:hint="eastAsia" w:ascii="宋体" w:hAnsi="宋体"/>
          <w:color w:val="auto"/>
          <w:sz w:val="24"/>
          <w:szCs w:val="24"/>
        </w:rPr>
        <w:t>：</w:t>
      </w:r>
      <w:r>
        <w:rPr>
          <w:rFonts w:ascii="宋体" w:hAnsi="宋体"/>
          <w:color w:val="auto"/>
          <w:sz w:val="24"/>
          <w:szCs w:val="24"/>
        </w:rPr>
        <w:t>按</w:t>
      </w:r>
      <w:r>
        <w:rPr>
          <w:rFonts w:hint="eastAsia" w:ascii="宋体" w:hAnsi="宋体"/>
          <w:color w:val="auto"/>
          <w:sz w:val="24"/>
          <w:szCs w:val="24"/>
        </w:rPr>
        <w:t>《单一来源采购文件》</w:t>
      </w:r>
      <w:r>
        <w:rPr>
          <w:rFonts w:ascii="宋体" w:hAnsi="宋体"/>
          <w:color w:val="auto"/>
          <w:sz w:val="24"/>
          <w:szCs w:val="24"/>
        </w:rPr>
        <w:t>第三</w:t>
      </w:r>
      <w:r>
        <w:rPr>
          <w:rFonts w:hint="eastAsia" w:ascii="宋体" w:hAnsi="宋体"/>
          <w:color w:val="auto"/>
          <w:sz w:val="24"/>
          <w:szCs w:val="24"/>
        </w:rPr>
        <w:t>章“投</w:t>
      </w:r>
      <w:r>
        <w:rPr>
          <w:rFonts w:ascii="宋体" w:hAnsi="宋体"/>
          <w:color w:val="auto"/>
          <w:sz w:val="24"/>
          <w:szCs w:val="24"/>
        </w:rPr>
        <w:t>标人须知”</w:t>
      </w:r>
      <w:r>
        <w:rPr>
          <w:rFonts w:hint="eastAsia" w:ascii="宋体" w:hAnsi="宋体"/>
          <w:color w:val="auto"/>
          <w:sz w:val="24"/>
          <w:szCs w:val="24"/>
        </w:rPr>
        <w:t>第</w:t>
      </w:r>
      <w:r>
        <w:rPr>
          <w:rFonts w:ascii="宋体" w:hAnsi="宋体"/>
          <w:color w:val="auto"/>
          <w:sz w:val="24"/>
          <w:szCs w:val="24"/>
        </w:rPr>
        <w:t>2</w:t>
      </w:r>
      <w:r>
        <w:rPr>
          <w:rFonts w:hint="eastAsia" w:ascii="宋体" w:hAnsi="宋体"/>
          <w:color w:val="auto"/>
          <w:sz w:val="24"/>
          <w:szCs w:val="24"/>
        </w:rPr>
        <w:t>条“2.4 单一来源采购文件的澄清、修改、补充的通知，及相应时间变更</w:t>
      </w:r>
      <w:r>
        <w:rPr>
          <w:rFonts w:ascii="宋体" w:hAnsi="宋体"/>
          <w:color w:val="auto"/>
          <w:sz w:val="24"/>
          <w:szCs w:val="24"/>
        </w:rPr>
        <w:t>”执行</w:t>
      </w:r>
      <w:r>
        <w:rPr>
          <w:rFonts w:hint="eastAsia" w:ascii="宋体" w:hAnsi="宋体"/>
          <w:color w:val="auto"/>
          <w:sz w:val="24"/>
          <w:szCs w:val="24"/>
        </w:rPr>
        <w:t>。</w:t>
      </w:r>
      <w:r>
        <w:rPr>
          <w:rFonts w:hint="eastAsia" w:ascii="黑体" w:hAnsi="黑体" w:eastAsia="黑体" w:cs="楷体_GB2312"/>
          <w:b/>
          <w:color w:val="auto"/>
          <w:sz w:val="24"/>
          <w:lang w:val="zh-CN"/>
        </w:rPr>
        <w:t>不</w:t>
      </w:r>
      <w:r>
        <w:rPr>
          <w:rFonts w:ascii="黑体" w:hAnsi="黑体" w:eastAsia="黑体" w:cs="楷体_GB2312"/>
          <w:b/>
          <w:color w:val="auto"/>
          <w:sz w:val="24"/>
          <w:lang w:val="zh-CN"/>
        </w:rPr>
        <w:t>另行通知。</w:t>
      </w:r>
    </w:p>
    <w:p w14:paraId="65CF927F">
      <w:pPr>
        <w:widowControl w:val="0"/>
        <w:tabs>
          <w:tab w:val="left" w:pos="39"/>
          <w:tab w:val="left" w:pos="96"/>
        </w:tabs>
        <w:snapToGrid w:val="0"/>
        <w:spacing w:line="360" w:lineRule="auto"/>
        <w:ind w:firstLine="540" w:firstLineChars="225"/>
        <w:rPr>
          <w:rFonts w:ascii="黑体" w:hAnsi="黑体" w:eastAsia="黑体" w:cs="楷体_GB2312"/>
          <w:b/>
          <w:color w:val="auto"/>
          <w:sz w:val="24"/>
          <w:lang w:val="zh-CN"/>
        </w:rPr>
      </w:pPr>
      <w:r>
        <w:rPr>
          <w:rFonts w:ascii="宋体" w:hAnsi="宋体"/>
          <w:color w:val="auto"/>
          <w:sz w:val="24"/>
          <w:szCs w:val="24"/>
        </w:rPr>
        <w:t>10.</w:t>
      </w:r>
      <w:r>
        <w:rPr>
          <w:rFonts w:hint="eastAsia" w:ascii="宋体" w:hAnsi="宋体"/>
          <w:color w:val="auto"/>
          <w:sz w:val="24"/>
          <w:szCs w:val="24"/>
        </w:rPr>
        <w:t>4</w:t>
      </w:r>
      <w:r>
        <w:rPr>
          <w:rFonts w:ascii="宋体" w:hAnsi="宋体"/>
          <w:color w:val="auto"/>
          <w:sz w:val="24"/>
          <w:szCs w:val="24"/>
        </w:rPr>
        <w:t xml:space="preserve"> </w:t>
      </w:r>
      <w:r>
        <w:rPr>
          <w:rFonts w:hint="eastAsia" w:ascii="宋体" w:hAnsi="宋体"/>
          <w:color w:val="auto"/>
          <w:sz w:val="24"/>
          <w:szCs w:val="24"/>
        </w:rPr>
        <w:t>响应文件编制：在</w:t>
      </w:r>
      <w:r>
        <w:rPr>
          <w:rFonts w:hint="eastAsia"/>
          <w:color w:val="auto"/>
          <w:sz w:val="24"/>
          <w:szCs w:val="24"/>
        </w:rPr>
        <w:t>安阳县公共资源交易分中心</w:t>
      </w:r>
      <w:r>
        <w:rPr>
          <w:rFonts w:hint="eastAsia" w:ascii="宋体" w:hAnsi="宋体"/>
          <w:color w:val="auto"/>
          <w:sz w:val="24"/>
          <w:szCs w:val="24"/>
        </w:rPr>
        <w:t>网站下载并安装投标文件制作工具、进行编制，按《单一来源采购文件》第三章“投标人须知”第</w:t>
      </w:r>
      <w:r>
        <w:rPr>
          <w:rFonts w:ascii="宋体" w:hAnsi="宋体"/>
          <w:color w:val="auto"/>
          <w:sz w:val="24"/>
          <w:szCs w:val="24"/>
        </w:rPr>
        <w:t>3</w:t>
      </w:r>
      <w:r>
        <w:rPr>
          <w:rFonts w:hint="eastAsia" w:ascii="宋体" w:hAnsi="宋体"/>
          <w:color w:val="auto"/>
          <w:sz w:val="24"/>
          <w:szCs w:val="24"/>
        </w:rPr>
        <w:t>条第</w:t>
      </w:r>
      <w:r>
        <w:rPr>
          <w:rFonts w:ascii="宋体" w:hAnsi="宋体"/>
          <w:color w:val="auto"/>
          <w:sz w:val="24"/>
          <w:szCs w:val="24"/>
        </w:rPr>
        <w:t>7</w:t>
      </w:r>
      <w:r>
        <w:rPr>
          <w:rFonts w:hint="eastAsia" w:ascii="宋体" w:hAnsi="宋体"/>
          <w:color w:val="auto"/>
          <w:sz w:val="24"/>
          <w:szCs w:val="24"/>
        </w:rPr>
        <w:t>款“</w:t>
      </w:r>
      <w:r>
        <w:rPr>
          <w:rFonts w:ascii="宋体" w:hAnsi="宋体"/>
          <w:color w:val="auto"/>
          <w:sz w:val="24"/>
          <w:szCs w:val="24"/>
        </w:rPr>
        <w:t>3.7</w:t>
      </w:r>
      <w:r>
        <w:rPr>
          <w:rFonts w:hint="eastAsia" w:ascii="宋体" w:hAnsi="宋体"/>
          <w:color w:val="auto"/>
          <w:sz w:val="24"/>
          <w:szCs w:val="24"/>
        </w:rPr>
        <w:t>投标文件的编制”执行，</w:t>
      </w:r>
      <w:r>
        <w:rPr>
          <w:rFonts w:hint="eastAsia" w:ascii="黑体" w:hAnsi="黑体" w:eastAsia="黑体" w:cs="楷体_GB2312"/>
          <w:b/>
          <w:color w:val="auto"/>
          <w:sz w:val="24"/>
          <w:lang w:val="zh-CN"/>
        </w:rPr>
        <w:t>否则将会评定为无效投标。</w:t>
      </w:r>
    </w:p>
    <w:p w14:paraId="20F022E2">
      <w:pPr>
        <w:widowControl w:val="0"/>
        <w:tabs>
          <w:tab w:val="left" w:pos="39"/>
          <w:tab w:val="left" w:pos="96"/>
        </w:tabs>
        <w:snapToGrid w:val="0"/>
        <w:spacing w:line="360" w:lineRule="auto"/>
        <w:ind w:firstLine="540" w:firstLineChars="225"/>
        <w:rPr>
          <w:rFonts w:ascii="宋体"/>
          <w:color w:val="auto"/>
          <w:sz w:val="24"/>
          <w:szCs w:val="24"/>
        </w:rPr>
      </w:pPr>
      <w:r>
        <w:rPr>
          <w:rFonts w:ascii="宋体"/>
          <w:color w:val="auto"/>
          <w:sz w:val="24"/>
          <w:szCs w:val="24"/>
        </w:rPr>
        <w:t>10.</w:t>
      </w:r>
      <w:r>
        <w:rPr>
          <w:rFonts w:hint="eastAsia" w:ascii="宋体"/>
          <w:color w:val="auto"/>
          <w:sz w:val="24"/>
          <w:szCs w:val="24"/>
        </w:rPr>
        <w:t>5</w:t>
      </w:r>
      <w:r>
        <w:rPr>
          <w:rFonts w:ascii="宋体"/>
          <w:color w:val="auto"/>
          <w:sz w:val="24"/>
          <w:szCs w:val="24"/>
        </w:rPr>
        <w:t xml:space="preserve"> </w:t>
      </w:r>
      <w:r>
        <w:rPr>
          <w:rFonts w:hint="eastAsia" w:ascii="宋体"/>
          <w:color w:val="auto"/>
          <w:sz w:val="24"/>
          <w:szCs w:val="24"/>
        </w:rPr>
        <w:t>响应文件递交：</w:t>
      </w:r>
      <w:r>
        <w:rPr>
          <w:rFonts w:hint="eastAsia" w:ascii="宋体" w:hAnsi="宋体"/>
          <w:color w:val="auto"/>
          <w:sz w:val="24"/>
          <w:szCs w:val="24"/>
        </w:rPr>
        <w:t>投标人应在投标截止时间前上传加密的电子投标文件（*.aytf）到安阳县公共资源交易平台，按《单一来源采购文件》第三章“投标人须知</w:t>
      </w:r>
      <w:r>
        <w:rPr>
          <w:rFonts w:hint="eastAsia" w:ascii="宋体"/>
          <w:color w:val="auto"/>
          <w:sz w:val="24"/>
          <w:szCs w:val="24"/>
        </w:rPr>
        <w:t>”</w:t>
      </w:r>
      <w:r>
        <w:rPr>
          <w:rFonts w:hint="eastAsia" w:ascii="宋体" w:hAnsi="宋体"/>
          <w:color w:val="auto"/>
          <w:sz w:val="24"/>
          <w:szCs w:val="24"/>
        </w:rPr>
        <w:t>第</w:t>
      </w:r>
      <w:r>
        <w:rPr>
          <w:rFonts w:ascii="宋体" w:hAnsi="宋体"/>
          <w:color w:val="auto"/>
          <w:sz w:val="24"/>
          <w:szCs w:val="24"/>
        </w:rPr>
        <w:t>4</w:t>
      </w:r>
      <w:r>
        <w:rPr>
          <w:rFonts w:hint="eastAsia" w:ascii="宋体" w:hAnsi="宋体"/>
          <w:color w:val="auto"/>
          <w:sz w:val="24"/>
          <w:szCs w:val="24"/>
        </w:rPr>
        <w:t>条“</w:t>
      </w:r>
      <w:r>
        <w:rPr>
          <w:rFonts w:ascii="宋体" w:hAnsi="宋体"/>
          <w:color w:val="auto"/>
          <w:sz w:val="24"/>
          <w:szCs w:val="24"/>
        </w:rPr>
        <w:t>4.</w:t>
      </w:r>
      <w:r>
        <w:rPr>
          <w:rFonts w:hint="eastAsia" w:ascii="宋体" w:hAnsi="宋体"/>
          <w:color w:val="auto"/>
          <w:sz w:val="24"/>
          <w:szCs w:val="24"/>
        </w:rPr>
        <w:t>投标（响应文件的递交）”执行，</w:t>
      </w:r>
      <w:r>
        <w:rPr>
          <w:rFonts w:hint="eastAsia" w:ascii="黑体" w:hAnsi="黑体" w:eastAsia="黑体" w:cs="楷体_GB2312"/>
          <w:b/>
          <w:color w:val="auto"/>
          <w:sz w:val="24"/>
          <w:lang w:val="zh-CN"/>
        </w:rPr>
        <w:t>否则将会评定为无效投标。</w:t>
      </w:r>
    </w:p>
    <w:p w14:paraId="4DE7B5F6">
      <w:pPr>
        <w:widowControl w:val="0"/>
        <w:tabs>
          <w:tab w:val="left" w:pos="39"/>
          <w:tab w:val="left" w:pos="96"/>
        </w:tabs>
        <w:snapToGrid w:val="0"/>
        <w:spacing w:line="360" w:lineRule="auto"/>
        <w:ind w:firstLine="480" w:firstLineChars="200"/>
        <w:rPr>
          <w:rFonts w:ascii="宋体"/>
          <w:color w:val="auto"/>
          <w:sz w:val="24"/>
          <w:szCs w:val="24"/>
        </w:rPr>
      </w:pPr>
      <w:r>
        <w:rPr>
          <w:rFonts w:ascii="宋体"/>
          <w:color w:val="auto"/>
          <w:sz w:val="24"/>
          <w:szCs w:val="24"/>
        </w:rPr>
        <w:t>10.</w:t>
      </w:r>
      <w:r>
        <w:rPr>
          <w:rFonts w:hint="eastAsia" w:ascii="宋体"/>
          <w:color w:val="auto"/>
          <w:sz w:val="24"/>
          <w:szCs w:val="24"/>
        </w:rPr>
        <w:t>6</w:t>
      </w:r>
      <w:r>
        <w:rPr>
          <w:rFonts w:ascii="宋体"/>
          <w:color w:val="auto"/>
          <w:sz w:val="24"/>
          <w:szCs w:val="24"/>
        </w:rPr>
        <w:t xml:space="preserve"> </w:t>
      </w:r>
      <w:r>
        <w:rPr>
          <w:rFonts w:hint="eastAsia" w:ascii="宋体"/>
          <w:color w:val="auto"/>
          <w:sz w:val="24"/>
          <w:szCs w:val="24"/>
        </w:rPr>
        <w:t>响应文件</w:t>
      </w:r>
      <w:r>
        <w:rPr>
          <w:rFonts w:hint="eastAsia" w:ascii="宋体" w:hAnsi="宋体"/>
          <w:color w:val="auto"/>
          <w:sz w:val="24"/>
          <w:szCs w:val="24"/>
        </w:rPr>
        <w:t>解密</w:t>
      </w:r>
      <w:r>
        <w:rPr>
          <w:rFonts w:hint="eastAsia" w:ascii="宋体"/>
          <w:color w:val="auto"/>
          <w:sz w:val="24"/>
          <w:szCs w:val="24"/>
        </w:rPr>
        <w:t>：</w:t>
      </w:r>
      <w:r>
        <w:rPr>
          <w:bCs/>
          <w:color w:val="auto"/>
          <w:sz w:val="24"/>
          <w:szCs w:val="24"/>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w:t>
      </w:r>
      <w:r>
        <w:rPr>
          <w:rFonts w:hint="eastAsia" w:ascii="宋体" w:hAnsi="宋体"/>
          <w:color w:val="auto"/>
          <w:sz w:val="24"/>
          <w:szCs w:val="24"/>
        </w:rPr>
        <w:t>按《单一来源采购文件》第三章“投标人须知</w:t>
      </w:r>
      <w:r>
        <w:rPr>
          <w:rFonts w:hint="eastAsia" w:ascii="宋体"/>
          <w:color w:val="auto"/>
          <w:sz w:val="24"/>
          <w:szCs w:val="24"/>
        </w:rPr>
        <w:t>”</w:t>
      </w:r>
      <w:r>
        <w:rPr>
          <w:rFonts w:hint="eastAsia" w:ascii="宋体" w:hAnsi="宋体"/>
          <w:color w:val="auto"/>
          <w:sz w:val="24"/>
          <w:szCs w:val="24"/>
        </w:rPr>
        <w:t>第</w:t>
      </w:r>
      <w:r>
        <w:rPr>
          <w:rFonts w:ascii="宋体" w:hAnsi="宋体"/>
          <w:color w:val="auto"/>
          <w:sz w:val="24"/>
          <w:szCs w:val="24"/>
        </w:rPr>
        <w:t>5</w:t>
      </w:r>
      <w:r>
        <w:rPr>
          <w:rFonts w:hint="eastAsia" w:ascii="宋体" w:hAnsi="宋体"/>
          <w:color w:val="auto"/>
          <w:sz w:val="24"/>
          <w:szCs w:val="24"/>
        </w:rPr>
        <w:t>条</w:t>
      </w:r>
      <w:r>
        <w:rPr>
          <w:rFonts w:hint="eastAsia" w:ascii="宋体"/>
          <w:color w:val="auto"/>
          <w:sz w:val="24"/>
          <w:szCs w:val="24"/>
        </w:rPr>
        <w:t>“</w:t>
      </w:r>
      <w:r>
        <w:rPr>
          <w:rFonts w:ascii="宋体" w:hAnsi="宋体"/>
          <w:color w:val="auto"/>
          <w:sz w:val="24"/>
          <w:szCs w:val="24"/>
        </w:rPr>
        <w:t>5.</w:t>
      </w:r>
      <w:r>
        <w:rPr>
          <w:rFonts w:hint="eastAsia" w:ascii="宋体"/>
          <w:color w:val="auto"/>
          <w:sz w:val="24"/>
          <w:szCs w:val="24"/>
        </w:rPr>
        <w:t>开标（响应文件的开启）</w:t>
      </w:r>
      <w:r>
        <w:rPr>
          <w:rFonts w:hint="eastAsia" w:ascii="宋体" w:hAnsi="宋体"/>
          <w:color w:val="auto"/>
          <w:sz w:val="24"/>
          <w:szCs w:val="24"/>
        </w:rPr>
        <w:t>”执行，</w:t>
      </w:r>
      <w:r>
        <w:rPr>
          <w:rFonts w:hint="eastAsia" w:ascii="黑体" w:hAnsi="黑体" w:eastAsia="黑体" w:cs="楷体_GB2312"/>
          <w:b/>
          <w:color w:val="auto"/>
          <w:sz w:val="24"/>
          <w:lang w:val="zh-CN"/>
        </w:rPr>
        <w:t>否则其投标将不能被接受。</w:t>
      </w:r>
    </w:p>
    <w:p w14:paraId="0871D31F">
      <w:pPr>
        <w:widowControl w:val="0"/>
        <w:tabs>
          <w:tab w:val="left" w:pos="39"/>
          <w:tab w:val="left" w:pos="96"/>
        </w:tabs>
        <w:snapToGrid w:val="0"/>
        <w:spacing w:line="360" w:lineRule="auto"/>
        <w:ind w:firstLine="480" w:firstLineChars="200"/>
        <w:rPr>
          <w:rFonts w:ascii="黑体" w:hAnsi="黑体" w:eastAsia="黑体" w:cs="楷体_GB2312"/>
          <w:b/>
          <w:color w:val="auto"/>
          <w:sz w:val="24"/>
          <w:lang w:val="zh-CN"/>
        </w:rPr>
      </w:pPr>
      <w:r>
        <w:rPr>
          <w:rFonts w:ascii="宋体" w:hAnsi="宋体"/>
          <w:color w:val="auto"/>
          <w:sz w:val="24"/>
          <w:szCs w:val="24"/>
        </w:rPr>
        <w:t>10.</w:t>
      </w:r>
      <w:r>
        <w:rPr>
          <w:rFonts w:hint="eastAsia" w:ascii="宋体" w:hAnsi="宋体"/>
          <w:color w:val="auto"/>
          <w:sz w:val="24"/>
          <w:szCs w:val="24"/>
        </w:rPr>
        <w:t>7</w:t>
      </w:r>
      <w:r>
        <w:rPr>
          <w:rFonts w:ascii="宋体" w:hAnsi="宋体"/>
          <w:color w:val="auto"/>
          <w:sz w:val="24"/>
          <w:szCs w:val="24"/>
        </w:rPr>
        <w:t xml:space="preserve"> </w:t>
      </w:r>
      <w:r>
        <w:rPr>
          <w:rFonts w:hint="eastAsia" w:ascii="宋体" w:hAnsi="宋体"/>
          <w:color w:val="auto"/>
          <w:sz w:val="24"/>
          <w:szCs w:val="24"/>
        </w:rPr>
        <w:t>谈判：</w:t>
      </w:r>
      <w:r>
        <w:rPr>
          <w:rFonts w:hint="eastAsia" w:ascii="宋体" w:hAnsi="宋体"/>
          <w:color w:val="auto"/>
          <w:sz w:val="24"/>
        </w:rPr>
        <w:t>时刻关注电子开标室并及时澄清，有效投标人在规定时间进行最后报价，</w:t>
      </w:r>
      <w:r>
        <w:rPr>
          <w:rFonts w:hint="eastAsia" w:ascii="宋体" w:hAnsi="宋体"/>
          <w:color w:val="auto"/>
          <w:sz w:val="24"/>
          <w:szCs w:val="24"/>
        </w:rPr>
        <w:t>按《单一来源采购文件》第四章“评审办法”执行，</w:t>
      </w:r>
      <w:r>
        <w:rPr>
          <w:rFonts w:hint="eastAsia" w:ascii="黑体" w:hAnsi="黑体" w:eastAsia="黑体" w:cs="楷体_GB2312"/>
          <w:b/>
          <w:color w:val="auto"/>
          <w:sz w:val="24"/>
          <w:lang w:val="zh-CN"/>
        </w:rPr>
        <w:t>否则将会评定为无效投标。</w:t>
      </w:r>
    </w:p>
    <w:p w14:paraId="0A1BC667">
      <w:pPr>
        <w:widowControl w:val="0"/>
        <w:tabs>
          <w:tab w:val="left" w:pos="39"/>
          <w:tab w:val="left" w:pos="96"/>
        </w:tabs>
        <w:snapToGrid w:val="0"/>
        <w:spacing w:line="360" w:lineRule="auto"/>
        <w:ind w:firstLine="540" w:firstLineChars="225"/>
        <w:rPr>
          <w:rFonts w:ascii="宋体" w:hAnsi="宋体" w:cs="楷体_GB2312"/>
          <w:color w:val="auto"/>
          <w:sz w:val="24"/>
          <w:lang w:val="zh-CN"/>
        </w:rPr>
      </w:pPr>
      <w:r>
        <w:rPr>
          <w:rFonts w:hint="eastAsia" w:ascii="宋体" w:hAnsi="宋体"/>
          <w:color w:val="auto"/>
          <w:sz w:val="24"/>
          <w:szCs w:val="24"/>
        </w:rPr>
        <w:t>10.8</w:t>
      </w:r>
      <w:r>
        <w:rPr>
          <w:rFonts w:hint="eastAsia" w:ascii="宋体" w:hAnsi="宋体" w:cs="楷体_GB2312"/>
          <w:color w:val="auto"/>
          <w:sz w:val="24"/>
          <w:lang w:val="zh-CN"/>
        </w:rPr>
        <w:t>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02DBA6F2">
      <w:pPr>
        <w:widowControl w:val="0"/>
        <w:tabs>
          <w:tab w:val="left" w:pos="39"/>
          <w:tab w:val="left" w:pos="96"/>
        </w:tabs>
        <w:snapToGrid w:val="0"/>
        <w:spacing w:line="360" w:lineRule="auto"/>
        <w:ind w:firstLine="540" w:firstLineChars="225"/>
        <w:rPr>
          <w:rFonts w:ascii="宋体" w:hAnsi="宋体" w:cs="楷体_GB2312"/>
          <w:color w:val="auto"/>
          <w:sz w:val="24"/>
          <w:lang w:val="zh-CN"/>
        </w:rPr>
      </w:pPr>
      <w:r>
        <w:rPr>
          <w:rFonts w:hint="eastAsia" w:ascii="宋体" w:hAnsi="宋体" w:cs="楷体_GB2312"/>
          <w:color w:val="auto"/>
          <w:sz w:val="24"/>
          <w:lang w:val="zh-CN"/>
        </w:rPr>
        <w:t>①锁名称变更前建议先在交易系统修改单位名称为最新的，变更完成后再变更锁名称，以免因名称不一致无法正常登录系统。</w:t>
      </w:r>
    </w:p>
    <w:p w14:paraId="0EA0ECAC">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s="楷体_GB2312"/>
          <w:color w:val="auto"/>
          <w:sz w:val="24"/>
          <w:lang w:val="zh-CN"/>
        </w:rPr>
        <w:t>②锁延期之后序列号可能会发生改变（视不同CA而定），变更后需要重新进行绑定。</w:t>
      </w:r>
    </w:p>
    <w:p w14:paraId="2270B756">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10.9政府采购电子交易中，投标人网上电子交易的系统操作规则应以安阳市公共资源交易平台即时发布的相关规则为准。</w:t>
      </w:r>
    </w:p>
    <w:p w14:paraId="46BB967D">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10.10 望投标人充分熟悉网上电子交易操作流程、以便有效投标。</w:t>
      </w:r>
    </w:p>
    <w:p w14:paraId="19B591BA">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10.11</w:t>
      </w:r>
      <w:r>
        <w:rPr>
          <w:rFonts w:hint="eastAsia"/>
          <w:bCs/>
          <w:color w:val="auto"/>
          <w:sz w:val="24"/>
          <w:szCs w:val="24"/>
        </w:rPr>
        <w:t>如遇到网上系统操作等技术问题请咨询</w:t>
      </w:r>
      <w:r>
        <w:rPr>
          <w:rFonts w:hint="eastAsia" w:ascii="宋体" w:hAnsi="宋体"/>
          <w:color w:val="auto"/>
          <w:sz w:val="24"/>
          <w:szCs w:val="24"/>
        </w:rPr>
        <w:t>400-998-0000、0372-3387739。</w:t>
      </w:r>
    </w:p>
    <w:p w14:paraId="49959935">
      <w:pPr>
        <w:widowControl w:val="0"/>
        <w:adjustRightInd w:val="0"/>
        <w:snapToGrid w:val="0"/>
        <w:spacing w:line="360" w:lineRule="auto"/>
        <w:ind w:firstLine="540" w:firstLineChars="225"/>
        <w:jc w:val="right"/>
        <w:rPr>
          <w:rFonts w:ascii="宋体" w:hAnsi="宋体"/>
          <w:color w:val="auto"/>
          <w:sz w:val="24"/>
          <w:szCs w:val="24"/>
        </w:rPr>
      </w:pPr>
    </w:p>
    <w:p w14:paraId="0F79536A">
      <w:pPr>
        <w:widowControl w:val="0"/>
        <w:adjustRightInd w:val="0"/>
        <w:snapToGrid w:val="0"/>
        <w:spacing w:line="360" w:lineRule="auto"/>
        <w:ind w:right="280" w:firstLine="540" w:firstLineChars="225"/>
        <w:jc w:val="right"/>
        <w:rPr>
          <w:rFonts w:ascii="宋体" w:hAnsi="宋体"/>
          <w:color w:val="auto"/>
          <w:sz w:val="24"/>
          <w:szCs w:val="24"/>
        </w:rPr>
      </w:pPr>
    </w:p>
    <w:p w14:paraId="20AE3B3C">
      <w:pPr>
        <w:widowControl w:val="0"/>
        <w:adjustRightInd w:val="0"/>
        <w:snapToGrid w:val="0"/>
        <w:spacing w:line="360" w:lineRule="auto"/>
        <w:ind w:firstLine="540" w:firstLineChars="225"/>
        <w:jc w:val="right"/>
        <w:rPr>
          <w:rFonts w:ascii="宋体" w:hAnsi="宋体"/>
          <w:color w:val="auto"/>
          <w:sz w:val="24"/>
          <w:szCs w:val="24"/>
        </w:rPr>
      </w:pPr>
    </w:p>
    <w:p w14:paraId="41D00EBC">
      <w:pPr>
        <w:widowControl w:val="0"/>
        <w:adjustRightInd w:val="0"/>
        <w:snapToGrid w:val="0"/>
        <w:spacing w:line="360" w:lineRule="auto"/>
        <w:ind w:firstLine="540" w:firstLineChars="225"/>
        <w:jc w:val="right"/>
        <w:rPr>
          <w:rFonts w:ascii="宋体" w:hAnsi="宋体"/>
          <w:color w:val="auto"/>
          <w:sz w:val="24"/>
          <w:szCs w:val="24"/>
        </w:rPr>
      </w:pPr>
      <w:r>
        <w:rPr>
          <w:rFonts w:hint="eastAsia" w:ascii="宋体" w:hAnsi="宋体"/>
          <w:color w:val="auto"/>
          <w:sz w:val="24"/>
          <w:szCs w:val="24"/>
        </w:rPr>
        <w:t>安阳市方正招标采购服务有限责任公司</w:t>
      </w:r>
    </w:p>
    <w:p w14:paraId="706581A5">
      <w:pPr>
        <w:widowControl w:val="0"/>
        <w:wordWrap w:val="0"/>
        <w:adjustRightInd w:val="0"/>
        <w:snapToGrid w:val="0"/>
        <w:spacing w:line="360" w:lineRule="auto"/>
        <w:ind w:firstLine="540" w:firstLineChars="225"/>
        <w:jc w:val="right"/>
        <w:rPr>
          <w:rFonts w:ascii="宋体" w:hAnsi="宋体"/>
          <w:color w:val="auto"/>
          <w:sz w:val="24"/>
          <w:szCs w:val="24"/>
        </w:rPr>
      </w:pPr>
      <w:r>
        <w:rPr>
          <w:rFonts w:hint="eastAsia" w:ascii="宋体" w:hAnsi="宋体"/>
          <w:color w:val="auto"/>
          <w:sz w:val="24"/>
          <w:szCs w:val="24"/>
        </w:rPr>
        <w:t>二〇二五年十一月六日</w:t>
      </w:r>
    </w:p>
    <w:p w14:paraId="4247870F">
      <w:pPr>
        <w:widowControl w:val="0"/>
        <w:tabs>
          <w:tab w:val="left" w:pos="39"/>
          <w:tab w:val="left" w:pos="96"/>
        </w:tabs>
        <w:snapToGrid w:val="0"/>
        <w:spacing w:line="360" w:lineRule="auto"/>
        <w:ind w:firstLine="540" w:firstLineChars="225"/>
        <w:rPr>
          <w:rFonts w:ascii="宋体"/>
          <w:color w:val="auto"/>
          <w:sz w:val="24"/>
          <w:szCs w:val="24"/>
        </w:rPr>
      </w:pPr>
    </w:p>
    <w:p w14:paraId="1234E227">
      <w:pPr>
        <w:widowControl w:val="0"/>
        <w:tabs>
          <w:tab w:val="left" w:pos="39"/>
          <w:tab w:val="left" w:pos="96"/>
        </w:tabs>
        <w:snapToGrid w:val="0"/>
        <w:spacing w:line="276" w:lineRule="auto"/>
        <w:rPr>
          <w:rFonts w:eastAsia="方正黑体简体"/>
          <w:color w:val="auto"/>
          <w:sz w:val="24"/>
          <w:szCs w:val="24"/>
        </w:rPr>
      </w:pPr>
      <w:r>
        <w:rPr>
          <w:rFonts w:eastAsia="方正黑体简体"/>
          <w:color w:val="auto"/>
          <w:sz w:val="28"/>
          <w:szCs w:val="28"/>
        </w:rPr>
        <w:br w:type="page"/>
      </w:r>
    </w:p>
    <w:p w14:paraId="6AA29873">
      <w:pPr>
        <w:widowControl w:val="0"/>
        <w:snapToGrid w:val="0"/>
        <w:spacing w:line="560" w:lineRule="exact"/>
        <w:jc w:val="center"/>
        <w:outlineLvl w:val="0"/>
        <w:rPr>
          <w:rFonts w:eastAsia="黑体"/>
          <w:b/>
          <w:color w:val="auto"/>
          <w:sz w:val="36"/>
          <w:szCs w:val="36"/>
        </w:rPr>
      </w:pPr>
      <w:bookmarkStart w:id="1" w:name="_Toc58858961"/>
      <w:r>
        <w:rPr>
          <w:rFonts w:hint="eastAsia" w:eastAsia="黑体"/>
          <w:b/>
          <w:color w:val="auto"/>
          <w:sz w:val="36"/>
          <w:szCs w:val="36"/>
        </w:rPr>
        <w:t>第二章</w:t>
      </w:r>
      <w:r>
        <w:rPr>
          <w:rFonts w:eastAsia="黑体"/>
          <w:b/>
          <w:color w:val="auto"/>
          <w:sz w:val="36"/>
          <w:szCs w:val="36"/>
        </w:rPr>
        <w:t xml:space="preserve"> </w:t>
      </w:r>
      <w:r>
        <w:rPr>
          <w:rFonts w:hint="eastAsia" w:eastAsia="黑体"/>
          <w:b/>
          <w:color w:val="auto"/>
          <w:sz w:val="36"/>
          <w:szCs w:val="36"/>
        </w:rPr>
        <w:t xml:space="preserve"> 采购项目及服务要求</w:t>
      </w:r>
      <w:bookmarkEnd w:id="1"/>
    </w:p>
    <w:p w14:paraId="4CC9DB4D">
      <w:pPr>
        <w:widowControl w:val="0"/>
        <w:snapToGrid w:val="0"/>
        <w:spacing w:line="276" w:lineRule="auto"/>
        <w:jc w:val="center"/>
        <w:rPr>
          <w:b/>
          <w:color w:val="auto"/>
          <w:sz w:val="24"/>
          <w:szCs w:val="24"/>
        </w:rPr>
      </w:pPr>
    </w:p>
    <w:p w14:paraId="15032995">
      <w:pPr>
        <w:widowControl w:val="0"/>
        <w:snapToGrid w:val="0"/>
        <w:spacing w:line="360" w:lineRule="auto"/>
        <w:ind w:firstLine="422" w:firstLineChars="150"/>
        <w:jc w:val="left"/>
        <w:outlineLvl w:val="1"/>
        <w:rPr>
          <w:rFonts w:ascii="黑体" w:hAnsi="黑体" w:eastAsia="黑体"/>
          <w:b/>
          <w:color w:val="auto"/>
          <w:sz w:val="28"/>
        </w:rPr>
      </w:pPr>
      <w:bookmarkStart w:id="2" w:name="_Toc58858962"/>
      <w:r>
        <w:rPr>
          <w:rFonts w:ascii="黑体" w:hAnsi="黑体" w:eastAsia="黑体"/>
          <w:b/>
          <w:color w:val="auto"/>
          <w:sz w:val="28"/>
        </w:rPr>
        <w:t>1.</w:t>
      </w:r>
      <w:r>
        <w:rPr>
          <w:rFonts w:hint="eastAsia" w:ascii="黑体" w:hAnsi="黑体" w:eastAsia="黑体"/>
          <w:b/>
          <w:color w:val="auto"/>
          <w:sz w:val="28"/>
        </w:rPr>
        <w:t xml:space="preserve"> 采购项目、标段（包）划分、投标报价</w:t>
      </w:r>
      <w:bookmarkEnd w:id="2"/>
    </w:p>
    <w:p w14:paraId="39FC4ECE">
      <w:pPr>
        <w:widowControl w:val="0"/>
        <w:snapToGrid w:val="0"/>
        <w:spacing w:line="360" w:lineRule="auto"/>
        <w:ind w:firstLine="482" w:firstLineChars="200"/>
        <w:jc w:val="left"/>
        <w:rPr>
          <w:color w:val="auto"/>
          <w:sz w:val="24"/>
          <w:szCs w:val="24"/>
        </w:rPr>
      </w:pPr>
      <w:r>
        <w:rPr>
          <w:rFonts w:ascii="黑体" w:hAnsi="黑体" w:eastAsia="黑体"/>
          <w:b/>
          <w:color w:val="auto"/>
          <w:sz w:val="24"/>
          <w:szCs w:val="24"/>
        </w:rPr>
        <w:t>1.1</w:t>
      </w:r>
      <w:r>
        <w:rPr>
          <w:rFonts w:hint="eastAsia" w:ascii="黑体" w:hAnsi="黑体" w:eastAsia="黑体"/>
          <w:b/>
          <w:color w:val="auto"/>
          <w:sz w:val="24"/>
          <w:szCs w:val="24"/>
        </w:rPr>
        <w:t>采购项目名称</w:t>
      </w:r>
      <w:r>
        <w:rPr>
          <w:rFonts w:hint="eastAsia"/>
          <w:color w:val="auto"/>
          <w:sz w:val="24"/>
          <w:szCs w:val="24"/>
        </w:rPr>
        <w:t>：安阳县农业农村局“蓝天卫士”电子监控系统采购项目</w:t>
      </w:r>
    </w:p>
    <w:p w14:paraId="1E3F10DB">
      <w:pPr>
        <w:widowControl w:val="0"/>
        <w:snapToGrid w:val="0"/>
        <w:spacing w:line="360" w:lineRule="auto"/>
        <w:ind w:firstLine="482" w:firstLineChars="200"/>
        <w:jc w:val="left"/>
        <w:rPr>
          <w:color w:val="auto"/>
          <w:sz w:val="24"/>
          <w:szCs w:val="24"/>
        </w:rPr>
      </w:pPr>
      <w:r>
        <w:rPr>
          <w:rFonts w:ascii="黑体" w:hAnsi="黑体" w:eastAsia="黑体"/>
          <w:b/>
          <w:color w:val="auto"/>
          <w:sz w:val="24"/>
          <w:szCs w:val="24"/>
        </w:rPr>
        <w:t xml:space="preserve">1.2 </w:t>
      </w:r>
      <w:r>
        <w:rPr>
          <w:rFonts w:hint="eastAsia" w:ascii="黑体" w:hAnsi="黑体" w:eastAsia="黑体"/>
          <w:b/>
          <w:color w:val="auto"/>
          <w:sz w:val="24"/>
          <w:szCs w:val="24"/>
        </w:rPr>
        <w:t>标段（包）划分及其服务期服务地点</w:t>
      </w:r>
      <w:r>
        <w:rPr>
          <w:rFonts w:hint="eastAsia"/>
          <w:color w:val="auto"/>
          <w:sz w:val="24"/>
          <w:szCs w:val="24"/>
        </w:rPr>
        <w:t>：本次采购项目划分为</w:t>
      </w:r>
      <w:r>
        <w:rPr>
          <w:color w:val="auto"/>
          <w:sz w:val="24"/>
          <w:szCs w:val="24"/>
        </w:rPr>
        <w:t>1</w:t>
      </w:r>
      <w:r>
        <w:rPr>
          <w:rFonts w:hint="eastAsia"/>
          <w:color w:val="auto"/>
          <w:sz w:val="24"/>
          <w:szCs w:val="24"/>
        </w:rPr>
        <w:t>个标段（包）。</w:t>
      </w:r>
    </w:p>
    <w:tbl>
      <w:tblPr>
        <w:tblStyle w:val="24"/>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1825"/>
        <w:gridCol w:w="2853"/>
        <w:gridCol w:w="1701"/>
        <w:gridCol w:w="1241"/>
      </w:tblGrid>
      <w:tr w14:paraId="6445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jc w:val="center"/>
        </w:trPr>
        <w:tc>
          <w:tcPr>
            <w:tcW w:w="9889" w:type="dxa"/>
            <w:gridSpan w:val="5"/>
            <w:vAlign w:val="center"/>
          </w:tcPr>
          <w:p w14:paraId="4358027B">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标段（包）一览表</w:t>
            </w:r>
          </w:p>
        </w:tc>
      </w:tr>
      <w:tr w14:paraId="1FCC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269" w:type="dxa"/>
            <w:vAlign w:val="center"/>
          </w:tcPr>
          <w:p w14:paraId="2ED04E98">
            <w:pPr>
              <w:widowControl w:val="0"/>
              <w:snapToGrid w:val="0"/>
              <w:spacing w:line="240" w:lineRule="auto"/>
              <w:jc w:val="center"/>
              <w:rPr>
                <w:b/>
                <w:color w:val="auto"/>
                <w:sz w:val="24"/>
                <w:szCs w:val="24"/>
              </w:rPr>
            </w:pPr>
            <w:r>
              <w:rPr>
                <w:rFonts w:hint="eastAsia"/>
                <w:b/>
                <w:color w:val="auto"/>
                <w:sz w:val="24"/>
                <w:szCs w:val="24"/>
              </w:rPr>
              <w:t>项目名称</w:t>
            </w:r>
          </w:p>
        </w:tc>
        <w:tc>
          <w:tcPr>
            <w:tcW w:w="1825" w:type="dxa"/>
            <w:vAlign w:val="center"/>
          </w:tcPr>
          <w:p w14:paraId="57F353EF">
            <w:pPr>
              <w:widowControl w:val="0"/>
              <w:snapToGrid w:val="0"/>
              <w:spacing w:line="240" w:lineRule="auto"/>
              <w:jc w:val="center"/>
              <w:rPr>
                <w:b/>
                <w:color w:val="auto"/>
                <w:sz w:val="24"/>
                <w:szCs w:val="24"/>
              </w:rPr>
            </w:pPr>
            <w:r>
              <w:rPr>
                <w:rFonts w:hint="eastAsia"/>
                <w:b/>
                <w:color w:val="auto"/>
                <w:sz w:val="24"/>
                <w:szCs w:val="24"/>
              </w:rPr>
              <w:t>标段（包）名称</w:t>
            </w:r>
          </w:p>
        </w:tc>
        <w:tc>
          <w:tcPr>
            <w:tcW w:w="2853" w:type="dxa"/>
            <w:vAlign w:val="center"/>
          </w:tcPr>
          <w:p w14:paraId="50D9F69F">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标段（包）内容（范围）</w:t>
            </w:r>
          </w:p>
        </w:tc>
        <w:tc>
          <w:tcPr>
            <w:tcW w:w="1701" w:type="dxa"/>
            <w:vAlign w:val="center"/>
          </w:tcPr>
          <w:p w14:paraId="567BAB29">
            <w:pPr>
              <w:widowControl w:val="0"/>
              <w:snapToGrid w:val="0"/>
              <w:spacing w:line="240" w:lineRule="auto"/>
              <w:jc w:val="center"/>
              <w:rPr>
                <w:b/>
                <w:color w:val="auto"/>
                <w:sz w:val="24"/>
                <w:szCs w:val="24"/>
              </w:rPr>
            </w:pPr>
            <w:r>
              <w:rPr>
                <w:rFonts w:hint="eastAsia" w:ascii="宋体" w:hAnsi="宋体"/>
                <w:b/>
                <w:color w:val="auto"/>
                <w:sz w:val="24"/>
                <w:szCs w:val="24"/>
              </w:rPr>
              <w:t>服务期</w:t>
            </w:r>
          </w:p>
        </w:tc>
        <w:tc>
          <w:tcPr>
            <w:tcW w:w="1241" w:type="dxa"/>
            <w:vAlign w:val="center"/>
          </w:tcPr>
          <w:p w14:paraId="374520CF">
            <w:pPr>
              <w:widowControl w:val="0"/>
              <w:snapToGrid w:val="0"/>
              <w:spacing w:line="240" w:lineRule="auto"/>
              <w:jc w:val="center"/>
              <w:rPr>
                <w:b/>
                <w:color w:val="auto"/>
                <w:sz w:val="24"/>
                <w:szCs w:val="24"/>
              </w:rPr>
            </w:pPr>
            <w:r>
              <w:rPr>
                <w:rFonts w:hint="eastAsia" w:ascii="宋体" w:hAnsi="宋体"/>
                <w:b/>
                <w:color w:val="auto"/>
                <w:sz w:val="24"/>
                <w:szCs w:val="24"/>
              </w:rPr>
              <w:t>服务地点</w:t>
            </w:r>
          </w:p>
        </w:tc>
      </w:tr>
      <w:tr w14:paraId="4645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69" w:type="dxa"/>
            <w:vAlign w:val="center"/>
          </w:tcPr>
          <w:p w14:paraId="28929FC1">
            <w:pPr>
              <w:widowControl w:val="0"/>
              <w:adjustRightInd w:val="0"/>
              <w:snapToGrid w:val="0"/>
              <w:spacing w:line="240" w:lineRule="auto"/>
              <w:rPr>
                <w:color w:val="auto"/>
                <w:sz w:val="24"/>
                <w:szCs w:val="24"/>
              </w:rPr>
            </w:pPr>
            <w:r>
              <w:rPr>
                <w:rFonts w:hint="eastAsia"/>
                <w:color w:val="auto"/>
                <w:sz w:val="24"/>
                <w:szCs w:val="24"/>
              </w:rPr>
              <w:t>安阳县农业农村局“蓝天卫士”电子监控系统采购项目</w:t>
            </w:r>
          </w:p>
        </w:tc>
        <w:tc>
          <w:tcPr>
            <w:tcW w:w="1825" w:type="dxa"/>
            <w:vAlign w:val="center"/>
          </w:tcPr>
          <w:p w14:paraId="44A38067">
            <w:pPr>
              <w:widowControl w:val="0"/>
              <w:adjustRightInd w:val="0"/>
              <w:snapToGrid w:val="0"/>
              <w:spacing w:line="240" w:lineRule="auto"/>
              <w:rPr>
                <w:color w:val="auto"/>
                <w:sz w:val="24"/>
                <w:szCs w:val="24"/>
              </w:rPr>
            </w:pPr>
            <w:r>
              <w:rPr>
                <w:rFonts w:hint="eastAsia"/>
                <w:color w:val="auto"/>
                <w:sz w:val="24"/>
                <w:szCs w:val="24"/>
              </w:rPr>
              <w:t>同项目名称</w:t>
            </w:r>
          </w:p>
        </w:tc>
        <w:tc>
          <w:tcPr>
            <w:tcW w:w="2853" w:type="dxa"/>
            <w:vAlign w:val="center"/>
          </w:tcPr>
          <w:p w14:paraId="1FF01BE3">
            <w:pPr>
              <w:widowControl w:val="0"/>
              <w:adjustRightInd w:val="0"/>
              <w:snapToGrid w:val="0"/>
              <w:spacing w:line="240" w:lineRule="auto"/>
              <w:rPr>
                <w:color w:val="auto"/>
                <w:sz w:val="24"/>
                <w:szCs w:val="24"/>
              </w:rPr>
            </w:pPr>
            <w:r>
              <w:rPr>
                <w:rFonts w:hint="eastAsia"/>
                <w:color w:val="auto"/>
                <w:sz w:val="24"/>
                <w:szCs w:val="24"/>
              </w:rPr>
              <w:t>见“第二章第</w:t>
            </w:r>
            <w:r>
              <w:rPr>
                <w:color w:val="auto"/>
                <w:sz w:val="24"/>
                <w:szCs w:val="24"/>
              </w:rPr>
              <w:t>2</w:t>
            </w:r>
            <w:r>
              <w:rPr>
                <w:rFonts w:hint="eastAsia"/>
                <w:color w:val="auto"/>
                <w:sz w:val="24"/>
                <w:szCs w:val="24"/>
              </w:rPr>
              <w:t>条：标段（包）内容（范围）及服务要求”</w:t>
            </w:r>
          </w:p>
        </w:tc>
        <w:tc>
          <w:tcPr>
            <w:tcW w:w="1701" w:type="dxa"/>
            <w:vAlign w:val="center"/>
          </w:tcPr>
          <w:p w14:paraId="0ACB178F">
            <w:pPr>
              <w:widowControl w:val="0"/>
              <w:adjustRightInd w:val="0"/>
              <w:snapToGrid w:val="0"/>
              <w:spacing w:line="240" w:lineRule="auto"/>
              <w:rPr>
                <w:color w:val="auto"/>
                <w:sz w:val="24"/>
                <w:szCs w:val="24"/>
              </w:rPr>
            </w:pPr>
            <w:r>
              <w:rPr>
                <w:rFonts w:hint="eastAsia"/>
                <w:color w:val="auto"/>
                <w:sz w:val="24"/>
                <w:szCs w:val="24"/>
              </w:rPr>
              <w:t>自验收合格后正常使用二年</w:t>
            </w:r>
          </w:p>
        </w:tc>
        <w:tc>
          <w:tcPr>
            <w:tcW w:w="1241" w:type="dxa"/>
            <w:vAlign w:val="center"/>
          </w:tcPr>
          <w:p w14:paraId="3E7B49A6">
            <w:pPr>
              <w:widowControl w:val="0"/>
              <w:adjustRightInd w:val="0"/>
              <w:snapToGrid w:val="0"/>
              <w:spacing w:line="240" w:lineRule="auto"/>
              <w:rPr>
                <w:color w:val="auto"/>
                <w:sz w:val="24"/>
                <w:szCs w:val="24"/>
              </w:rPr>
            </w:pPr>
            <w:r>
              <w:rPr>
                <w:rFonts w:hint="eastAsia"/>
                <w:color w:val="auto"/>
                <w:sz w:val="24"/>
                <w:szCs w:val="24"/>
              </w:rPr>
              <w:t>采购人指定地点</w:t>
            </w:r>
          </w:p>
        </w:tc>
      </w:tr>
    </w:tbl>
    <w:p w14:paraId="7A1E5755">
      <w:pPr>
        <w:spacing w:line="560" w:lineRule="exact"/>
        <w:ind w:firstLine="482" w:firstLineChars="200"/>
        <w:rPr>
          <w:rFonts w:ascii="黑体" w:hAnsi="黑体" w:eastAsia="黑体"/>
          <w:b/>
          <w:color w:val="auto"/>
          <w:sz w:val="24"/>
          <w:szCs w:val="24"/>
        </w:rPr>
      </w:pPr>
      <w:r>
        <w:rPr>
          <w:rFonts w:ascii="黑体" w:hAnsi="黑体" w:eastAsia="黑体"/>
          <w:b/>
          <w:color w:val="auto"/>
          <w:sz w:val="24"/>
          <w:szCs w:val="24"/>
        </w:rPr>
        <w:t xml:space="preserve">1.3 </w:t>
      </w:r>
      <w:r>
        <w:rPr>
          <w:rFonts w:hint="eastAsia" w:ascii="黑体" w:hAnsi="黑体" w:eastAsia="黑体"/>
          <w:b/>
          <w:color w:val="auto"/>
          <w:sz w:val="24"/>
          <w:szCs w:val="24"/>
        </w:rPr>
        <w:t>投标报价（价格构成）</w:t>
      </w:r>
    </w:p>
    <w:p w14:paraId="0E92C0EC">
      <w:pPr>
        <w:widowControl w:val="0"/>
        <w:snapToGrid w:val="0"/>
        <w:spacing w:line="360" w:lineRule="auto"/>
        <w:ind w:firstLine="480" w:firstLineChars="200"/>
        <w:jc w:val="left"/>
        <w:rPr>
          <w:color w:val="auto"/>
          <w:sz w:val="24"/>
          <w:szCs w:val="24"/>
        </w:rPr>
      </w:pPr>
      <w:r>
        <w:rPr>
          <w:color w:val="auto"/>
          <w:sz w:val="24"/>
          <w:szCs w:val="24"/>
        </w:rPr>
        <w:t>1.3.1</w:t>
      </w:r>
      <w:r>
        <w:rPr>
          <w:rFonts w:hint="eastAsia"/>
          <w:color w:val="auto"/>
          <w:sz w:val="24"/>
          <w:szCs w:val="24"/>
        </w:rPr>
        <w:t>投标人的投标报价应为</w:t>
      </w:r>
      <w:r>
        <w:rPr>
          <w:rFonts w:hint="eastAsia" w:cs="宋体"/>
          <w:color w:val="auto"/>
          <w:sz w:val="24"/>
          <w:szCs w:val="24"/>
        </w:rPr>
        <w:t>达到正常使用条件下的服务完工交验价，包括人工费、相关税费、交通费、材料费、知识产权（如有）、保险（如需）、所涉货物包装、技术服务费等</w:t>
      </w:r>
      <w:r>
        <w:rPr>
          <w:rFonts w:hint="eastAsia"/>
          <w:color w:val="auto"/>
          <w:sz w:val="24"/>
          <w:szCs w:val="24"/>
        </w:rPr>
        <w:t>与采购项目相关的、必须的款项及费用（包括未列明而完成交验所必须的所有产品、材料、工具、费用）。</w:t>
      </w:r>
      <w:r>
        <w:rPr>
          <w:rFonts w:hint="eastAsia" w:ascii="宋体" w:hAnsi="宋体"/>
          <w:color w:val="auto"/>
          <w:sz w:val="24"/>
          <w:szCs w:val="24"/>
        </w:rPr>
        <w:t>成交价格在成交合同范围内固定不变。</w:t>
      </w:r>
    </w:p>
    <w:p w14:paraId="742D70EB">
      <w:pPr>
        <w:widowControl w:val="0"/>
        <w:snapToGrid w:val="0"/>
        <w:spacing w:line="360" w:lineRule="auto"/>
        <w:ind w:firstLine="480" w:firstLineChars="200"/>
        <w:jc w:val="left"/>
        <w:rPr>
          <w:rFonts w:ascii="宋体" w:hAnsi="宋体"/>
          <w:color w:val="auto"/>
          <w:sz w:val="24"/>
          <w:szCs w:val="24"/>
        </w:rPr>
      </w:pPr>
      <w:r>
        <w:rPr>
          <w:color w:val="auto"/>
          <w:sz w:val="24"/>
          <w:szCs w:val="24"/>
        </w:rPr>
        <w:t>1.3.2</w:t>
      </w:r>
      <w:r>
        <w:rPr>
          <w:rFonts w:hint="eastAsia"/>
          <w:color w:val="auto"/>
          <w:sz w:val="24"/>
          <w:szCs w:val="24"/>
        </w:rPr>
        <w:t>本次单一来源采购共二次报价</w:t>
      </w:r>
      <w:r>
        <w:rPr>
          <w:rFonts w:hint="eastAsia" w:ascii="宋体" w:hAnsi="宋体"/>
          <w:color w:val="auto"/>
          <w:sz w:val="24"/>
          <w:szCs w:val="24"/>
        </w:rPr>
        <w:t>（含系统中开标一览表报价共二次价格谈判）</w:t>
      </w:r>
      <w:r>
        <w:rPr>
          <w:rFonts w:hint="eastAsia"/>
          <w:color w:val="auto"/>
          <w:sz w:val="24"/>
          <w:szCs w:val="24"/>
        </w:rPr>
        <w:t>。谈判小组未对单一来源采购文件作优化变更增加的，谈判中的报价均不应超过前次报价，投标人擅自调高报价的，谈判小组将按二次报价中的最低报价作为有效报价。投标人拒绝接受上述意见的，谈判小组将视为变相在提交投标文件（响应文件）截止时间后撤回投标文件（响应文件），并评定其为无效投标。</w:t>
      </w:r>
      <w:r>
        <w:rPr>
          <w:rFonts w:hint="eastAsia" w:ascii="宋体" w:hAnsi="宋体"/>
          <w:color w:val="auto"/>
          <w:sz w:val="24"/>
          <w:szCs w:val="24"/>
        </w:rPr>
        <w:t>依据单一来源采购文件“第三章 3.5.5 违背承诺的责任追究措施”，投标人承担相应法律责任及违约责任。</w:t>
      </w:r>
    </w:p>
    <w:p w14:paraId="27655491">
      <w:pPr>
        <w:widowControl w:val="0"/>
        <w:snapToGrid w:val="0"/>
        <w:spacing w:line="360" w:lineRule="auto"/>
        <w:ind w:firstLine="480" w:firstLineChars="200"/>
        <w:jc w:val="left"/>
        <w:rPr>
          <w:color w:val="auto"/>
          <w:sz w:val="24"/>
          <w:szCs w:val="24"/>
        </w:rPr>
      </w:pPr>
      <w:r>
        <w:rPr>
          <w:color w:val="auto"/>
          <w:sz w:val="24"/>
          <w:szCs w:val="24"/>
        </w:rPr>
        <w:t xml:space="preserve">1.3.3 </w:t>
      </w:r>
      <w:r>
        <w:rPr>
          <w:rFonts w:hint="eastAsia"/>
          <w:color w:val="auto"/>
          <w:sz w:val="24"/>
          <w:szCs w:val="24"/>
        </w:rPr>
        <w:t>如投标人的投标报价超过预算金额（见谈判邀请函</w:t>
      </w:r>
      <w:r>
        <w:rPr>
          <w:color w:val="auto"/>
          <w:sz w:val="24"/>
          <w:szCs w:val="24"/>
        </w:rPr>
        <w:t>1.5</w:t>
      </w:r>
      <w:r>
        <w:rPr>
          <w:rFonts w:hint="eastAsia"/>
          <w:color w:val="auto"/>
          <w:sz w:val="24"/>
          <w:szCs w:val="24"/>
        </w:rPr>
        <w:t>），该标段（包）做废标处理。</w:t>
      </w:r>
    </w:p>
    <w:p w14:paraId="6FB16235">
      <w:pPr>
        <w:widowControl w:val="0"/>
        <w:snapToGrid w:val="0"/>
        <w:spacing w:line="360" w:lineRule="auto"/>
        <w:ind w:firstLine="480" w:firstLineChars="200"/>
        <w:jc w:val="left"/>
        <w:rPr>
          <w:color w:val="auto"/>
          <w:sz w:val="24"/>
          <w:szCs w:val="24"/>
        </w:rPr>
      </w:pPr>
      <w:r>
        <w:rPr>
          <w:color w:val="auto"/>
          <w:sz w:val="24"/>
          <w:szCs w:val="24"/>
        </w:rPr>
        <w:t xml:space="preserve">1.3.4 </w:t>
      </w:r>
      <w:r>
        <w:rPr>
          <w:rFonts w:hint="eastAsia"/>
          <w:color w:val="auto"/>
          <w:sz w:val="24"/>
          <w:szCs w:val="24"/>
        </w:rPr>
        <w:t>遵循第三章投标人须知</w:t>
      </w:r>
      <w:r>
        <w:rPr>
          <w:color w:val="auto"/>
          <w:sz w:val="24"/>
          <w:szCs w:val="24"/>
        </w:rPr>
        <w:t>3.7.4</w:t>
      </w:r>
      <w:r>
        <w:rPr>
          <w:rFonts w:hint="eastAsia"/>
          <w:color w:val="auto"/>
          <w:sz w:val="24"/>
          <w:szCs w:val="24"/>
        </w:rPr>
        <w:t>项规定。</w:t>
      </w:r>
    </w:p>
    <w:p w14:paraId="7FCDF76E">
      <w:pPr>
        <w:spacing w:line="560" w:lineRule="exact"/>
        <w:rPr>
          <w:rFonts w:ascii="黑体" w:hAnsi="黑体" w:eastAsia="黑体"/>
          <w:b/>
          <w:color w:val="auto"/>
          <w:sz w:val="28"/>
        </w:rPr>
      </w:pPr>
    </w:p>
    <w:p w14:paraId="09DB13F5">
      <w:pPr>
        <w:widowControl w:val="0"/>
        <w:snapToGrid w:val="0"/>
        <w:spacing w:line="360" w:lineRule="auto"/>
        <w:ind w:firstLine="422" w:firstLineChars="150"/>
        <w:jc w:val="left"/>
        <w:outlineLvl w:val="1"/>
        <w:rPr>
          <w:rFonts w:ascii="黑体" w:hAnsi="黑体" w:eastAsia="黑体"/>
          <w:b/>
          <w:color w:val="auto"/>
          <w:sz w:val="28"/>
        </w:rPr>
      </w:pPr>
      <w:bookmarkStart w:id="3" w:name="_Toc498520228"/>
      <w:bookmarkStart w:id="4" w:name="_Toc58858963"/>
      <w:r>
        <w:rPr>
          <w:rFonts w:ascii="黑体" w:hAnsi="黑体" w:eastAsia="黑体"/>
          <w:b/>
          <w:color w:val="auto"/>
          <w:sz w:val="28"/>
        </w:rPr>
        <w:t>2.</w:t>
      </w:r>
      <w:r>
        <w:rPr>
          <w:rFonts w:hint="eastAsia" w:ascii="黑体" w:hAnsi="黑体" w:eastAsia="黑体"/>
          <w:b/>
          <w:color w:val="auto"/>
          <w:sz w:val="28"/>
        </w:rPr>
        <w:t xml:space="preserve"> 标段（包）内容（范围）及</w:t>
      </w:r>
      <w:bookmarkEnd w:id="3"/>
      <w:r>
        <w:rPr>
          <w:rFonts w:hint="eastAsia" w:ascii="黑体" w:hAnsi="黑体" w:eastAsia="黑体"/>
          <w:b/>
          <w:color w:val="auto"/>
          <w:sz w:val="28"/>
        </w:rPr>
        <w:t>服务要求</w:t>
      </w:r>
      <w:bookmarkEnd w:id="4"/>
    </w:p>
    <w:p w14:paraId="0741DEA8">
      <w:pPr>
        <w:spacing w:line="560" w:lineRule="exact"/>
        <w:ind w:firstLine="482" w:firstLineChars="200"/>
        <w:rPr>
          <w:color w:val="auto"/>
          <w:sz w:val="24"/>
          <w:szCs w:val="24"/>
        </w:rPr>
      </w:pPr>
      <w:r>
        <w:rPr>
          <w:rFonts w:ascii="黑体" w:hAnsi="黑体" w:eastAsia="黑体"/>
          <w:b/>
          <w:color w:val="auto"/>
          <w:sz w:val="24"/>
          <w:szCs w:val="24"/>
        </w:rPr>
        <w:t xml:space="preserve">2.1 </w:t>
      </w:r>
      <w:r>
        <w:rPr>
          <w:rFonts w:hint="eastAsia" w:ascii="黑体" w:hAnsi="黑体" w:eastAsia="黑体"/>
          <w:b/>
          <w:color w:val="auto"/>
          <w:sz w:val="24"/>
          <w:szCs w:val="24"/>
        </w:rPr>
        <w:t>总体服务（方案）要求及标段（包）内容（范围）：</w:t>
      </w:r>
      <w:r>
        <w:rPr>
          <w:rFonts w:hint="eastAsia"/>
          <w:color w:val="auto"/>
          <w:sz w:val="24"/>
          <w:szCs w:val="24"/>
        </w:rPr>
        <w:t>详见下述</w:t>
      </w:r>
      <w:r>
        <w:rPr>
          <w:color w:val="auto"/>
          <w:sz w:val="24"/>
          <w:szCs w:val="24"/>
        </w:rPr>
        <w:t>2.</w:t>
      </w:r>
      <w:r>
        <w:rPr>
          <w:rFonts w:hint="eastAsia"/>
          <w:color w:val="auto"/>
          <w:sz w:val="24"/>
          <w:szCs w:val="24"/>
        </w:rPr>
        <w:t>4款</w:t>
      </w:r>
    </w:p>
    <w:p w14:paraId="108EC311">
      <w:pPr>
        <w:adjustRightInd w:val="0"/>
        <w:snapToGrid w:val="0"/>
        <w:spacing w:before="120"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 xml:space="preserve">2.2 </w:t>
      </w:r>
      <w:r>
        <w:rPr>
          <w:rFonts w:hint="eastAsia" w:ascii="黑体" w:hAnsi="黑体" w:eastAsia="黑体"/>
          <w:b/>
          <w:color w:val="auto"/>
          <w:sz w:val="24"/>
          <w:szCs w:val="24"/>
        </w:rPr>
        <w:t>项目落实的政府采购政策（法规标准条款）</w:t>
      </w:r>
    </w:p>
    <w:p w14:paraId="1C9A0A11">
      <w:pPr>
        <w:adjustRightInd w:val="0"/>
        <w:snapToGrid w:val="0"/>
        <w:spacing w:before="120" w:beforeLines="50" w:line="300" w:lineRule="auto"/>
        <w:ind w:firstLine="480" w:firstLineChars="200"/>
        <w:rPr>
          <w:rFonts w:ascii="宋体" w:hAnsi="宋体"/>
          <w:color w:val="auto"/>
          <w:sz w:val="24"/>
          <w:szCs w:val="24"/>
        </w:rPr>
      </w:pPr>
      <w:r>
        <w:rPr>
          <w:rFonts w:hint="eastAsia" w:ascii="宋体" w:hAnsi="宋体"/>
          <w:color w:val="auto"/>
          <w:sz w:val="24"/>
          <w:szCs w:val="24"/>
        </w:rPr>
        <w:t>2.2.1 政府采购节能产品、环境标志产品实施品目清单管理后，对本次采购产品属于“节能产品政府采购品目清单”中强制采购品目的</w:t>
      </w:r>
      <w:r>
        <w:rPr>
          <w:rFonts w:hint="eastAsia" w:ascii="宋体" w:hAnsi="宋体" w:cs="宋体"/>
          <w:color w:val="auto"/>
          <w:sz w:val="24"/>
          <w:szCs w:val="24"/>
        </w:rPr>
        <w:t>，投标产品应当具有相应的认证证书（认证证书应当为国家确定的认证机构出具、且应处于有效期之内），投标文件中应当提供相应的认证证书（认证证书应当为国家确定的认证机构出具、且应处于有效期之内）。</w:t>
      </w:r>
    </w:p>
    <w:p w14:paraId="6FE6637E">
      <w:pPr>
        <w:adjustRightInd w:val="0"/>
        <w:snapToGrid w:val="0"/>
        <w:spacing w:before="120" w:beforeLines="50" w:line="300" w:lineRule="auto"/>
        <w:ind w:firstLine="480" w:firstLineChars="200"/>
        <w:rPr>
          <w:rFonts w:ascii="宋体" w:hAnsi="宋体"/>
          <w:color w:val="auto"/>
          <w:sz w:val="24"/>
          <w:szCs w:val="24"/>
        </w:rPr>
      </w:pPr>
      <w:r>
        <w:rPr>
          <w:rFonts w:hint="eastAsia" w:ascii="宋体" w:hAnsi="宋体"/>
          <w:color w:val="auto"/>
          <w:sz w:val="24"/>
          <w:szCs w:val="24"/>
        </w:rPr>
        <w:t>属于政府强制采购</w:t>
      </w:r>
      <w:r>
        <w:rPr>
          <w:rFonts w:hint="eastAsia" w:ascii="宋体" w:hAnsi="宋体" w:cs="宋体"/>
          <w:color w:val="auto"/>
          <w:sz w:val="24"/>
          <w:szCs w:val="24"/>
        </w:rPr>
        <w:t>品目</w:t>
      </w:r>
      <w:r>
        <w:rPr>
          <w:rFonts w:hint="eastAsia" w:ascii="宋体" w:hAnsi="宋体"/>
          <w:color w:val="auto"/>
          <w:sz w:val="24"/>
          <w:szCs w:val="24"/>
        </w:rPr>
        <w:t>、而未按要求提供相应资料的，</w:t>
      </w:r>
      <w:r>
        <w:rPr>
          <w:rFonts w:hint="eastAsia" w:ascii="宋体" w:hAnsi="宋体"/>
          <w:b/>
          <w:color w:val="auto"/>
          <w:sz w:val="24"/>
          <w:szCs w:val="24"/>
        </w:rPr>
        <w:t>为无效投标</w:t>
      </w:r>
      <w:r>
        <w:rPr>
          <w:rFonts w:hint="eastAsia" w:ascii="宋体" w:hAnsi="宋体"/>
          <w:color w:val="auto"/>
          <w:sz w:val="24"/>
          <w:szCs w:val="24"/>
        </w:rPr>
        <w:t>。</w:t>
      </w:r>
    </w:p>
    <w:p w14:paraId="14F3D485">
      <w:pPr>
        <w:adjustRightInd w:val="0"/>
        <w:snapToGrid w:val="0"/>
        <w:spacing w:before="120" w:beforeLines="50" w:line="300" w:lineRule="auto"/>
        <w:ind w:firstLine="480" w:firstLineChars="200"/>
        <w:rPr>
          <w:rFonts w:ascii="宋体" w:hAnsi="宋体" w:cs="宋体"/>
          <w:color w:val="auto"/>
          <w:sz w:val="24"/>
          <w:szCs w:val="24"/>
        </w:rPr>
      </w:pPr>
      <w:r>
        <w:rPr>
          <w:rFonts w:hint="eastAsia" w:ascii="宋体" w:hAnsi="宋体"/>
          <w:color w:val="auto"/>
          <w:sz w:val="24"/>
          <w:szCs w:val="24"/>
        </w:rPr>
        <w:t>2.2.2 同等条件下，</w:t>
      </w:r>
      <w:r>
        <w:rPr>
          <w:rFonts w:hint="eastAsia" w:ascii="宋体" w:hAnsi="宋体" w:cs="宋体"/>
          <w:color w:val="auto"/>
          <w:sz w:val="24"/>
          <w:szCs w:val="24"/>
        </w:rPr>
        <w:t>获得节能产品认证证书或环境标志产品认证证书的产品优先采购。(认证证书应当为国家确定的认证机构出具、且应处于有效期之内。)</w:t>
      </w:r>
    </w:p>
    <w:p w14:paraId="052308C2">
      <w:pPr>
        <w:adjustRightInd w:val="0"/>
        <w:snapToGrid w:val="0"/>
        <w:spacing w:before="120" w:beforeLines="50" w:line="300" w:lineRule="auto"/>
        <w:ind w:firstLine="480" w:firstLineChars="200"/>
        <w:rPr>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Pr>
          <w:rFonts w:hint="eastAsia" w:ascii="宋体" w:hAnsi="宋体" w:cs="宋体"/>
          <w:color w:val="auto"/>
          <w:sz w:val="24"/>
          <w:szCs w:val="24"/>
        </w:rPr>
        <w:t>应处于有效期内</w:t>
      </w:r>
      <w:r>
        <w:rPr>
          <w:rFonts w:hint="eastAsia" w:ascii="宋体" w:hAnsi="宋体"/>
          <w:color w:val="auto"/>
          <w:sz w:val="24"/>
          <w:szCs w:val="24"/>
        </w:rPr>
        <w:t>）。</w:t>
      </w:r>
    </w:p>
    <w:p w14:paraId="08696AC9">
      <w:pPr>
        <w:adjustRightInd w:val="0"/>
        <w:snapToGrid w:val="0"/>
        <w:spacing w:before="120"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rPr>
        <w:t>4计算机产品须预装正版操作系统软件。</w:t>
      </w:r>
    </w:p>
    <w:p w14:paraId="17429DAC">
      <w:pPr>
        <w:adjustRightInd w:val="0"/>
        <w:snapToGrid w:val="0"/>
        <w:spacing w:before="120"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rPr>
        <w:t>5</w:t>
      </w:r>
      <w:r>
        <w:rPr>
          <w:rFonts w:ascii="宋体" w:hAnsi="宋体"/>
          <w:color w:val="auto"/>
          <w:sz w:val="24"/>
          <w:szCs w:val="24"/>
        </w:rPr>
        <w:t xml:space="preserve"> </w:t>
      </w:r>
      <w:r>
        <w:rPr>
          <w:rFonts w:hint="eastAsia" w:ascii="宋体" w:hAnsi="宋体"/>
          <w:color w:val="auto"/>
          <w:sz w:val="24"/>
          <w:szCs w:val="24"/>
        </w:rPr>
        <w:t>本次采购不允许进口产品参加。</w:t>
      </w:r>
    </w:p>
    <w:p w14:paraId="6DD000FE">
      <w:pPr>
        <w:adjustRightInd w:val="0"/>
        <w:snapToGrid w:val="0"/>
        <w:spacing w:before="120"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rPr>
        <w:t>6如允许采购进口产品的，优先采购向我国企业转让技术、与我国企业签订消化吸收再创新方案的供应商的进口产品。</w:t>
      </w:r>
    </w:p>
    <w:p w14:paraId="336F6609">
      <w:pPr>
        <w:adjustRightInd w:val="0"/>
        <w:snapToGrid w:val="0"/>
        <w:spacing w:before="120" w:beforeLines="50" w:line="300" w:lineRule="auto"/>
        <w:ind w:firstLine="480" w:firstLineChars="200"/>
        <w:rPr>
          <w:rFonts w:ascii="宋体" w:hAnsi="宋体"/>
          <w:color w:val="auto"/>
          <w:sz w:val="24"/>
          <w:szCs w:val="24"/>
        </w:rPr>
      </w:pPr>
      <w:r>
        <w:rPr>
          <w:rFonts w:hint="eastAsia" w:ascii="宋体" w:hAnsi="宋体"/>
          <w:color w:val="auto"/>
          <w:sz w:val="24"/>
          <w:szCs w:val="24"/>
        </w:rPr>
        <w:t>2.2.7 促进中小企业发展扶持政策。</w:t>
      </w:r>
    </w:p>
    <w:p w14:paraId="1A20B3A0">
      <w:pPr>
        <w:adjustRightInd w:val="0"/>
        <w:snapToGrid w:val="0"/>
        <w:spacing w:before="120" w:beforeLines="50" w:line="300" w:lineRule="auto"/>
        <w:ind w:firstLine="480" w:firstLineChars="200"/>
        <w:rPr>
          <w:rFonts w:ascii="宋体" w:hAnsi="宋体"/>
          <w:color w:val="auto"/>
          <w:sz w:val="24"/>
          <w:szCs w:val="24"/>
        </w:rPr>
      </w:pPr>
      <w:r>
        <w:rPr>
          <w:rFonts w:hint="eastAsia" w:ascii="宋体" w:hAnsi="宋体"/>
          <w:color w:val="auto"/>
          <w:sz w:val="24"/>
          <w:szCs w:val="24"/>
        </w:rPr>
        <w:t>2.2.8促进残疾人就业、支持监狱企业发展。</w:t>
      </w:r>
    </w:p>
    <w:p w14:paraId="61CA9B6C">
      <w:pPr>
        <w:adjustRightInd w:val="0"/>
        <w:snapToGrid w:val="0"/>
        <w:spacing w:before="120" w:beforeLines="50" w:line="300" w:lineRule="auto"/>
        <w:ind w:firstLine="480" w:firstLineChars="200"/>
        <w:rPr>
          <w:rFonts w:ascii="宋体" w:hAnsi="宋体"/>
          <w:color w:val="auto"/>
          <w:sz w:val="24"/>
          <w:szCs w:val="24"/>
        </w:rPr>
      </w:pPr>
      <w:r>
        <w:rPr>
          <w:rFonts w:hint="eastAsia" w:ascii="宋体" w:hAnsi="宋体"/>
          <w:color w:val="auto"/>
          <w:sz w:val="24"/>
          <w:szCs w:val="24"/>
        </w:rPr>
        <w:t>2.2.9 所供产品有商品包装的应当使用绿色包装。所供产品有其他环保政策要求的，应符合相关环保法律政策要求。</w:t>
      </w:r>
    </w:p>
    <w:p w14:paraId="7EBC0A53">
      <w:pPr>
        <w:adjustRightInd w:val="0"/>
        <w:snapToGrid w:val="0"/>
        <w:spacing w:before="120" w:beforeLines="50" w:line="300" w:lineRule="auto"/>
        <w:ind w:firstLine="480" w:firstLineChars="200"/>
        <w:rPr>
          <w:color w:val="auto"/>
          <w:sz w:val="24"/>
          <w:szCs w:val="24"/>
        </w:rPr>
      </w:pPr>
      <w:r>
        <w:rPr>
          <w:rFonts w:hint="eastAsia" w:ascii="宋体" w:hAnsi="宋体"/>
          <w:color w:val="auto"/>
          <w:sz w:val="24"/>
          <w:szCs w:val="24"/>
        </w:rPr>
        <w:t>2.2.10支持绿色建筑、绿色建材，支持使用低</w:t>
      </w:r>
      <w:r>
        <w:rPr>
          <w:rFonts w:ascii="Arial" w:hAnsi="Arial" w:cs="Arial"/>
          <w:color w:val="auto"/>
          <w:szCs w:val="21"/>
          <w:shd w:val="clear" w:color="auto" w:fill="FFFFFF"/>
        </w:rPr>
        <w:t>VOCs</w:t>
      </w:r>
      <w:r>
        <w:rPr>
          <w:rFonts w:hint="eastAsia" w:ascii="宋体" w:hAnsi="宋体"/>
          <w:color w:val="auto"/>
          <w:sz w:val="24"/>
          <w:szCs w:val="24"/>
        </w:rPr>
        <w:t>含量涂料和胶黏剂，支持不发达、少数民族地区的企业，促进自主创新产业发展，支持脱贫攻坚等；同等条件下，优先采购。</w:t>
      </w:r>
    </w:p>
    <w:p w14:paraId="57188F8A">
      <w:pPr>
        <w:adjustRightInd w:val="0"/>
        <w:snapToGrid w:val="0"/>
        <w:spacing w:line="300" w:lineRule="auto"/>
        <w:ind w:firstLine="482" w:firstLineChars="200"/>
        <w:jc w:val="left"/>
        <w:rPr>
          <w:rFonts w:ascii="黑体" w:hAnsi="黑体" w:eastAsia="黑体"/>
          <w:b/>
          <w:color w:val="auto"/>
          <w:sz w:val="24"/>
          <w:szCs w:val="24"/>
        </w:rPr>
      </w:pPr>
      <w:r>
        <w:rPr>
          <w:rFonts w:ascii="黑体" w:hAnsi="黑体" w:eastAsia="黑体"/>
          <w:b/>
          <w:color w:val="auto"/>
          <w:sz w:val="24"/>
          <w:szCs w:val="24"/>
        </w:rPr>
        <w:t>2.3</w:t>
      </w:r>
      <w:r>
        <w:rPr>
          <w:rFonts w:hint="eastAsia" w:ascii="黑体" w:hAnsi="黑体" w:eastAsia="黑体"/>
          <w:b/>
          <w:color w:val="auto"/>
          <w:sz w:val="24"/>
          <w:szCs w:val="24"/>
        </w:rPr>
        <w:t>采购标的需执行的国家相关标准、行业标准、地方标准或者其他标准、规范；</w:t>
      </w:r>
    </w:p>
    <w:p w14:paraId="03F86976">
      <w:pPr>
        <w:widowControl w:val="0"/>
        <w:adjustRightInd w:val="0"/>
        <w:snapToGrid w:val="0"/>
        <w:spacing w:before="120" w:beforeLines="50" w:line="300" w:lineRule="auto"/>
        <w:ind w:left="22" w:firstLine="555"/>
        <w:rPr>
          <w:color w:val="auto"/>
          <w:sz w:val="24"/>
          <w:szCs w:val="24"/>
        </w:rPr>
      </w:pPr>
      <w:r>
        <w:rPr>
          <w:rFonts w:hint="eastAsia"/>
          <w:color w:val="auto"/>
          <w:sz w:val="24"/>
          <w:szCs w:val="24"/>
        </w:rPr>
        <w:t>投标人所投服务（及所涉货物材料设施）应符合国家质量标准、部颁标准及行业规范的要求，符合国家各项强制性规范及安全标准，投标服务（及所涉货物材料设施）不应与第三方存在知识产权权属问题；投标人应本着服务客户、为客户着想的宗旨，来完善服务（及所涉货物材料设施）及技术要求未尽事宜，不得以《单一来源采购文件》未列明事项为由，来降低响应服务（及所涉货物材料设施）的质量。</w:t>
      </w:r>
    </w:p>
    <w:p w14:paraId="5C2087CD">
      <w:pPr>
        <w:spacing w:line="560" w:lineRule="exact"/>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4</w:t>
      </w:r>
      <w:r>
        <w:rPr>
          <w:rFonts w:ascii="黑体" w:hAnsi="黑体" w:eastAsia="黑体"/>
          <w:b/>
          <w:color w:val="auto"/>
          <w:sz w:val="24"/>
          <w:szCs w:val="24"/>
        </w:rPr>
        <w:t xml:space="preserve"> </w:t>
      </w:r>
      <w:r>
        <w:rPr>
          <w:rFonts w:hint="eastAsia" w:ascii="黑体" w:hAnsi="黑体" w:eastAsia="黑体"/>
          <w:b/>
          <w:color w:val="auto"/>
          <w:sz w:val="24"/>
          <w:szCs w:val="24"/>
        </w:rPr>
        <w:t>具体服务要求及标段（包）内容（范围）</w:t>
      </w:r>
    </w:p>
    <w:p w14:paraId="2DBD3AD6">
      <w:pPr>
        <w:spacing w:line="560" w:lineRule="exact"/>
        <w:ind w:firstLine="482" w:firstLineChars="200"/>
        <w:rPr>
          <w:rFonts w:ascii="黑体" w:hAnsi="黑体" w:eastAsia="黑体"/>
          <w:b/>
          <w:color w:val="auto"/>
          <w:sz w:val="24"/>
          <w:szCs w:val="24"/>
        </w:rPr>
      </w:pPr>
      <w:r>
        <w:rPr>
          <w:rFonts w:hint="eastAsia" w:ascii="黑体" w:hAnsi="黑体" w:eastAsia="黑体"/>
          <w:b/>
          <w:color w:val="auto"/>
          <w:sz w:val="24"/>
          <w:szCs w:val="24"/>
        </w:rPr>
        <w:t>一、项目概况</w:t>
      </w:r>
    </w:p>
    <w:p w14:paraId="6AC9121A">
      <w:pPr>
        <w:snapToGrid w:val="0"/>
        <w:spacing w:line="360" w:lineRule="auto"/>
        <w:ind w:firstLine="480" w:firstLineChars="200"/>
        <w:jc w:val="left"/>
        <w:rPr>
          <w:color w:val="auto"/>
          <w:sz w:val="24"/>
          <w:szCs w:val="24"/>
        </w:rPr>
      </w:pPr>
      <w:r>
        <w:rPr>
          <w:rFonts w:hint="eastAsia"/>
          <w:color w:val="auto"/>
          <w:sz w:val="24"/>
          <w:szCs w:val="24"/>
        </w:rPr>
        <w:t>安阳县农业农村局“蓝天卫士”电子监控系统采购的本项目是对现有的设备进行正常运营，维修等服务。</w:t>
      </w:r>
    </w:p>
    <w:p w14:paraId="10611508">
      <w:pPr>
        <w:spacing w:line="560" w:lineRule="exact"/>
        <w:ind w:firstLine="482" w:firstLineChars="200"/>
        <w:rPr>
          <w:rFonts w:ascii="黑体" w:hAnsi="黑体" w:eastAsia="黑体"/>
          <w:b/>
          <w:color w:val="auto"/>
          <w:sz w:val="24"/>
          <w:szCs w:val="24"/>
        </w:rPr>
      </w:pPr>
      <w:r>
        <w:rPr>
          <w:rFonts w:hint="eastAsia" w:ascii="黑体" w:hAnsi="黑体" w:eastAsia="黑体"/>
          <w:b/>
          <w:color w:val="auto"/>
          <w:sz w:val="24"/>
          <w:szCs w:val="24"/>
        </w:rPr>
        <w:t>二、服务内容及要求</w:t>
      </w:r>
    </w:p>
    <w:p w14:paraId="42D9BF71">
      <w:pPr>
        <w:snapToGrid w:val="0"/>
        <w:spacing w:line="360" w:lineRule="auto"/>
        <w:ind w:firstLine="480" w:firstLineChars="200"/>
        <w:jc w:val="left"/>
        <w:rPr>
          <w:color w:val="auto"/>
          <w:kern w:val="2"/>
          <w:sz w:val="24"/>
          <w:szCs w:val="24"/>
        </w:rPr>
      </w:pPr>
      <w:r>
        <w:rPr>
          <w:rFonts w:hint="eastAsia"/>
          <w:color w:val="auto"/>
          <w:kern w:val="2"/>
          <w:sz w:val="24"/>
          <w:szCs w:val="24"/>
        </w:rPr>
        <w:t>1、已有的监控点位：</w:t>
      </w:r>
    </w:p>
    <w:tbl>
      <w:tblPr>
        <w:tblStyle w:val="25"/>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3627"/>
        <w:gridCol w:w="1051"/>
        <w:gridCol w:w="2459"/>
      </w:tblGrid>
      <w:tr w14:paraId="4435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68" w:type="dxa"/>
            <w:vAlign w:val="center"/>
          </w:tcPr>
          <w:p w14:paraId="3DFACA6E">
            <w:pPr>
              <w:jc w:val="center"/>
              <w:rPr>
                <w:rFonts w:ascii="宋体" w:hAnsi="宋体"/>
                <w:color w:val="auto"/>
                <w:sz w:val="24"/>
                <w:szCs w:val="24"/>
              </w:rPr>
            </w:pPr>
            <w:r>
              <w:rPr>
                <w:rFonts w:hint="eastAsia" w:ascii="宋体" w:hAnsi="宋体"/>
                <w:color w:val="auto"/>
                <w:sz w:val="24"/>
                <w:szCs w:val="24"/>
              </w:rPr>
              <w:t>序号</w:t>
            </w:r>
          </w:p>
        </w:tc>
        <w:tc>
          <w:tcPr>
            <w:tcW w:w="3627" w:type="dxa"/>
            <w:vAlign w:val="center"/>
          </w:tcPr>
          <w:p w14:paraId="5D3EAD8A">
            <w:pPr>
              <w:jc w:val="center"/>
              <w:rPr>
                <w:rFonts w:ascii="宋体" w:hAnsi="宋体"/>
                <w:color w:val="auto"/>
                <w:sz w:val="24"/>
                <w:szCs w:val="24"/>
              </w:rPr>
            </w:pPr>
            <w:r>
              <w:rPr>
                <w:rFonts w:hint="eastAsia" w:ascii="宋体" w:hAnsi="宋体"/>
                <w:color w:val="auto"/>
                <w:sz w:val="24"/>
                <w:szCs w:val="24"/>
              </w:rPr>
              <w:t>地点</w:t>
            </w:r>
          </w:p>
        </w:tc>
        <w:tc>
          <w:tcPr>
            <w:tcW w:w="1051" w:type="dxa"/>
            <w:vAlign w:val="center"/>
          </w:tcPr>
          <w:p w14:paraId="2AE5E286">
            <w:pPr>
              <w:jc w:val="center"/>
              <w:rPr>
                <w:rFonts w:ascii="宋体" w:hAnsi="宋体"/>
                <w:color w:val="auto"/>
                <w:sz w:val="24"/>
                <w:szCs w:val="24"/>
              </w:rPr>
            </w:pPr>
            <w:r>
              <w:rPr>
                <w:rFonts w:hint="eastAsia" w:ascii="宋体" w:hAnsi="宋体"/>
                <w:color w:val="auto"/>
                <w:sz w:val="24"/>
                <w:szCs w:val="24"/>
              </w:rPr>
              <w:t>数量</w:t>
            </w:r>
          </w:p>
        </w:tc>
        <w:tc>
          <w:tcPr>
            <w:tcW w:w="2459" w:type="dxa"/>
            <w:vAlign w:val="center"/>
          </w:tcPr>
          <w:p w14:paraId="7890521B">
            <w:pPr>
              <w:jc w:val="center"/>
              <w:rPr>
                <w:rFonts w:ascii="宋体" w:hAnsi="宋体"/>
                <w:color w:val="auto"/>
                <w:sz w:val="24"/>
                <w:szCs w:val="24"/>
              </w:rPr>
            </w:pPr>
            <w:r>
              <w:rPr>
                <w:rFonts w:hint="eastAsia" w:ascii="宋体" w:hAnsi="宋体"/>
                <w:color w:val="auto"/>
                <w:sz w:val="24"/>
                <w:szCs w:val="24"/>
              </w:rPr>
              <w:t>备注</w:t>
            </w:r>
          </w:p>
        </w:tc>
      </w:tr>
      <w:tr w14:paraId="25BC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68" w:type="dxa"/>
          </w:tcPr>
          <w:p w14:paraId="1CF57159">
            <w:pPr>
              <w:jc w:val="center"/>
              <w:rPr>
                <w:rFonts w:ascii="宋体" w:hAnsi="宋体"/>
                <w:color w:val="auto"/>
                <w:sz w:val="24"/>
                <w:szCs w:val="24"/>
              </w:rPr>
            </w:pPr>
            <w:r>
              <w:rPr>
                <w:rFonts w:hint="eastAsia" w:ascii="宋体" w:hAnsi="宋体"/>
                <w:color w:val="auto"/>
                <w:sz w:val="24"/>
                <w:szCs w:val="24"/>
              </w:rPr>
              <w:t>1</w:t>
            </w:r>
          </w:p>
        </w:tc>
        <w:tc>
          <w:tcPr>
            <w:tcW w:w="3627" w:type="dxa"/>
            <w:vAlign w:val="center"/>
          </w:tcPr>
          <w:p w14:paraId="4EAC0145">
            <w:pPr>
              <w:jc w:val="center"/>
              <w:rPr>
                <w:rFonts w:ascii="宋体" w:hAnsi="宋体"/>
                <w:color w:val="auto"/>
                <w:sz w:val="24"/>
                <w:szCs w:val="24"/>
              </w:rPr>
            </w:pPr>
            <w:r>
              <w:rPr>
                <w:rFonts w:hint="eastAsia" w:ascii="宋体" w:hAnsi="宋体"/>
                <w:color w:val="auto"/>
                <w:sz w:val="24"/>
                <w:szCs w:val="24"/>
              </w:rPr>
              <w:t>北郭乡</w:t>
            </w:r>
          </w:p>
        </w:tc>
        <w:tc>
          <w:tcPr>
            <w:tcW w:w="1051" w:type="dxa"/>
            <w:vAlign w:val="center"/>
          </w:tcPr>
          <w:p w14:paraId="0618592B">
            <w:pPr>
              <w:jc w:val="center"/>
              <w:rPr>
                <w:rFonts w:ascii="宋体" w:hAnsi="宋体"/>
                <w:color w:val="auto"/>
                <w:sz w:val="24"/>
                <w:szCs w:val="24"/>
              </w:rPr>
            </w:pPr>
            <w:r>
              <w:rPr>
                <w:rFonts w:hint="eastAsia" w:ascii="宋体" w:hAnsi="宋体"/>
                <w:color w:val="auto"/>
                <w:sz w:val="24"/>
                <w:szCs w:val="24"/>
              </w:rPr>
              <w:t>11个</w:t>
            </w:r>
          </w:p>
        </w:tc>
        <w:tc>
          <w:tcPr>
            <w:tcW w:w="2459" w:type="dxa"/>
            <w:vMerge w:val="restart"/>
          </w:tcPr>
          <w:p w14:paraId="6F95C344">
            <w:pPr>
              <w:jc w:val="center"/>
              <w:rPr>
                <w:rFonts w:ascii="宋体" w:hAnsi="宋体"/>
                <w:color w:val="auto"/>
                <w:sz w:val="24"/>
                <w:szCs w:val="24"/>
              </w:rPr>
            </w:pPr>
            <w:r>
              <w:rPr>
                <w:rFonts w:hint="eastAsia"/>
                <w:color w:val="auto"/>
                <w:sz w:val="24"/>
                <w:szCs w:val="24"/>
              </w:rPr>
              <w:t>说明：总计9个乡镇，视频监控点位134个，对区划内农作物秸秆禁烧情况进行远程监控管理。视频监控点位设置、终端设置应满足项目实际需要，并且符合河南省农业厅与中国移动通信集团河南有限公司达成的“蓝天卫士”电子监控系统平台的建设标准。</w:t>
            </w:r>
          </w:p>
        </w:tc>
      </w:tr>
      <w:tr w14:paraId="661D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68" w:type="dxa"/>
          </w:tcPr>
          <w:p w14:paraId="2048AB9D">
            <w:pPr>
              <w:jc w:val="center"/>
              <w:rPr>
                <w:rFonts w:ascii="宋体" w:hAnsi="宋体"/>
                <w:color w:val="auto"/>
                <w:sz w:val="24"/>
                <w:szCs w:val="24"/>
              </w:rPr>
            </w:pPr>
            <w:r>
              <w:rPr>
                <w:rFonts w:hint="eastAsia" w:ascii="宋体" w:hAnsi="宋体"/>
                <w:color w:val="auto"/>
                <w:sz w:val="24"/>
                <w:szCs w:val="24"/>
              </w:rPr>
              <w:t>2</w:t>
            </w:r>
          </w:p>
        </w:tc>
        <w:tc>
          <w:tcPr>
            <w:tcW w:w="3627" w:type="dxa"/>
            <w:vAlign w:val="center"/>
          </w:tcPr>
          <w:p w14:paraId="48B6871C">
            <w:pPr>
              <w:jc w:val="center"/>
              <w:rPr>
                <w:rFonts w:ascii="宋体" w:hAnsi="宋体"/>
                <w:color w:val="auto"/>
                <w:sz w:val="24"/>
                <w:szCs w:val="24"/>
              </w:rPr>
            </w:pPr>
            <w:r>
              <w:rPr>
                <w:rFonts w:hint="eastAsia" w:ascii="宋体" w:hAnsi="宋体"/>
                <w:color w:val="auto"/>
                <w:sz w:val="24"/>
                <w:szCs w:val="24"/>
              </w:rPr>
              <w:t>崔家桥镇</w:t>
            </w:r>
          </w:p>
        </w:tc>
        <w:tc>
          <w:tcPr>
            <w:tcW w:w="1051" w:type="dxa"/>
            <w:vAlign w:val="center"/>
          </w:tcPr>
          <w:p w14:paraId="5347A1F6">
            <w:pPr>
              <w:jc w:val="center"/>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5</w:t>
            </w:r>
            <w:r>
              <w:rPr>
                <w:rFonts w:hint="eastAsia" w:ascii="宋体" w:hAnsi="宋体"/>
                <w:color w:val="auto"/>
                <w:sz w:val="24"/>
                <w:szCs w:val="24"/>
              </w:rPr>
              <w:t>个</w:t>
            </w:r>
          </w:p>
        </w:tc>
        <w:tc>
          <w:tcPr>
            <w:tcW w:w="2459" w:type="dxa"/>
            <w:vMerge w:val="continue"/>
          </w:tcPr>
          <w:p w14:paraId="39460156">
            <w:pPr>
              <w:jc w:val="center"/>
              <w:rPr>
                <w:rFonts w:ascii="宋体" w:hAnsi="宋体"/>
                <w:color w:val="auto"/>
                <w:sz w:val="24"/>
                <w:szCs w:val="24"/>
              </w:rPr>
            </w:pPr>
          </w:p>
        </w:tc>
      </w:tr>
      <w:tr w14:paraId="2E6C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68" w:type="dxa"/>
          </w:tcPr>
          <w:p w14:paraId="7646E732">
            <w:pPr>
              <w:jc w:val="center"/>
              <w:rPr>
                <w:rFonts w:ascii="宋体" w:hAnsi="宋体"/>
                <w:color w:val="auto"/>
                <w:sz w:val="24"/>
                <w:szCs w:val="24"/>
              </w:rPr>
            </w:pPr>
            <w:r>
              <w:rPr>
                <w:rFonts w:hint="eastAsia" w:ascii="宋体" w:hAnsi="宋体"/>
                <w:color w:val="auto"/>
                <w:sz w:val="24"/>
                <w:szCs w:val="24"/>
              </w:rPr>
              <w:t>3</w:t>
            </w:r>
          </w:p>
        </w:tc>
        <w:tc>
          <w:tcPr>
            <w:tcW w:w="3627" w:type="dxa"/>
            <w:vAlign w:val="center"/>
          </w:tcPr>
          <w:p w14:paraId="641F99C3">
            <w:pPr>
              <w:jc w:val="center"/>
              <w:rPr>
                <w:rFonts w:ascii="宋体" w:hAnsi="宋体"/>
                <w:color w:val="auto"/>
                <w:sz w:val="24"/>
                <w:szCs w:val="24"/>
              </w:rPr>
            </w:pPr>
            <w:r>
              <w:rPr>
                <w:rFonts w:hint="eastAsia" w:ascii="宋体" w:hAnsi="宋体"/>
                <w:color w:val="auto"/>
                <w:sz w:val="24"/>
                <w:szCs w:val="24"/>
              </w:rPr>
              <w:t>韩陵镇</w:t>
            </w:r>
          </w:p>
        </w:tc>
        <w:tc>
          <w:tcPr>
            <w:tcW w:w="1051" w:type="dxa"/>
            <w:vAlign w:val="center"/>
          </w:tcPr>
          <w:p w14:paraId="1290EEE0">
            <w:pPr>
              <w:jc w:val="center"/>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0</w:t>
            </w:r>
            <w:r>
              <w:rPr>
                <w:rFonts w:hint="eastAsia" w:ascii="宋体" w:hAnsi="宋体"/>
                <w:color w:val="auto"/>
                <w:sz w:val="24"/>
                <w:szCs w:val="24"/>
              </w:rPr>
              <w:t>个</w:t>
            </w:r>
          </w:p>
        </w:tc>
        <w:tc>
          <w:tcPr>
            <w:tcW w:w="2459" w:type="dxa"/>
            <w:vMerge w:val="continue"/>
          </w:tcPr>
          <w:p w14:paraId="2DCF3FD8">
            <w:pPr>
              <w:jc w:val="center"/>
              <w:rPr>
                <w:rFonts w:ascii="宋体" w:hAnsi="宋体"/>
                <w:color w:val="auto"/>
                <w:sz w:val="24"/>
                <w:szCs w:val="24"/>
              </w:rPr>
            </w:pPr>
          </w:p>
        </w:tc>
      </w:tr>
      <w:tr w14:paraId="7E5E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68" w:type="dxa"/>
          </w:tcPr>
          <w:p w14:paraId="23617AF7">
            <w:pPr>
              <w:jc w:val="center"/>
              <w:rPr>
                <w:rFonts w:ascii="宋体" w:hAnsi="宋体"/>
                <w:color w:val="auto"/>
                <w:sz w:val="24"/>
                <w:szCs w:val="24"/>
              </w:rPr>
            </w:pPr>
            <w:r>
              <w:rPr>
                <w:rFonts w:hint="eastAsia" w:ascii="宋体" w:hAnsi="宋体"/>
                <w:color w:val="auto"/>
                <w:sz w:val="24"/>
                <w:szCs w:val="24"/>
              </w:rPr>
              <w:t>4</w:t>
            </w:r>
          </w:p>
        </w:tc>
        <w:tc>
          <w:tcPr>
            <w:tcW w:w="3627" w:type="dxa"/>
            <w:vAlign w:val="center"/>
          </w:tcPr>
          <w:p w14:paraId="5D3F2348">
            <w:pPr>
              <w:jc w:val="center"/>
              <w:rPr>
                <w:rFonts w:ascii="宋体" w:hAnsi="宋体"/>
                <w:color w:val="auto"/>
                <w:sz w:val="24"/>
                <w:szCs w:val="24"/>
              </w:rPr>
            </w:pPr>
            <w:r>
              <w:rPr>
                <w:rFonts w:hint="eastAsia" w:ascii="宋体" w:hAnsi="宋体"/>
                <w:color w:val="auto"/>
                <w:sz w:val="24"/>
                <w:szCs w:val="24"/>
              </w:rPr>
              <w:t>吕村镇</w:t>
            </w:r>
          </w:p>
        </w:tc>
        <w:tc>
          <w:tcPr>
            <w:tcW w:w="1051" w:type="dxa"/>
            <w:vAlign w:val="center"/>
          </w:tcPr>
          <w:p w14:paraId="777C2BB2">
            <w:pPr>
              <w:jc w:val="center"/>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7</w:t>
            </w:r>
            <w:r>
              <w:rPr>
                <w:rFonts w:hint="eastAsia" w:ascii="宋体" w:hAnsi="宋体"/>
                <w:color w:val="auto"/>
                <w:sz w:val="24"/>
                <w:szCs w:val="24"/>
              </w:rPr>
              <w:t>个</w:t>
            </w:r>
          </w:p>
        </w:tc>
        <w:tc>
          <w:tcPr>
            <w:tcW w:w="2459" w:type="dxa"/>
            <w:vMerge w:val="continue"/>
          </w:tcPr>
          <w:p w14:paraId="32AC29DC">
            <w:pPr>
              <w:jc w:val="center"/>
              <w:rPr>
                <w:rFonts w:ascii="宋体" w:hAnsi="宋体"/>
                <w:color w:val="auto"/>
                <w:sz w:val="24"/>
                <w:szCs w:val="24"/>
              </w:rPr>
            </w:pPr>
          </w:p>
        </w:tc>
      </w:tr>
      <w:tr w14:paraId="1291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68" w:type="dxa"/>
          </w:tcPr>
          <w:p w14:paraId="0371D26C">
            <w:pPr>
              <w:jc w:val="center"/>
              <w:rPr>
                <w:rFonts w:ascii="宋体" w:hAnsi="宋体"/>
                <w:color w:val="auto"/>
                <w:sz w:val="24"/>
                <w:szCs w:val="24"/>
              </w:rPr>
            </w:pPr>
            <w:r>
              <w:rPr>
                <w:rFonts w:hint="eastAsia" w:ascii="宋体" w:hAnsi="宋体"/>
                <w:color w:val="auto"/>
                <w:sz w:val="24"/>
                <w:szCs w:val="24"/>
              </w:rPr>
              <w:t>5</w:t>
            </w:r>
          </w:p>
        </w:tc>
        <w:tc>
          <w:tcPr>
            <w:tcW w:w="3627" w:type="dxa"/>
            <w:vAlign w:val="center"/>
          </w:tcPr>
          <w:p w14:paraId="6899D74D">
            <w:pPr>
              <w:jc w:val="center"/>
              <w:rPr>
                <w:rFonts w:ascii="宋体" w:hAnsi="宋体"/>
                <w:color w:val="auto"/>
                <w:sz w:val="24"/>
                <w:szCs w:val="24"/>
              </w:rPr>
            </w:pPr>
            <w:r>
              <w:rPr>
                <w:rFonts w:hint="eastAsia" w:ascii="宋体" w:hAnsi="宋体"/>
                <w:color w:val="auto"/>
                <w:sz w:val="24"/>
                <w:szCs w:val="24"/>
              </w:rPr>
              <w:t>瓦店乡</w:t>
            </w:r>
          </w:p>
        </w:tc>
        <w:tc>
          <w:tcPr>
            <w:tcW w:w="1051" w:type="dxa"/>
            <w:vAlign w:val="center"/>
          </w:tcPr>
          <w:p w14:paraId="320E873A">
            <w:pPr>
              <w:jc w:val="center"/>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4</w:t>
            </w:r>
            <w:r>
              <w:rPr>
                <w:rFonts w:hint="eastAsia" w:ascii="宋体" w:hAnsi="宋体"/>
                <w:color w:val="auto"/>
                <w:sz w:val="24"/>
                <w:szCs w:val="24"/>
              </w:rPr>
              <w:t>个</w:t>
            </w:r>
          </w:p>
        </w:tc>
        <w:tc>
          <w:tcPr>
            <w:tcW w:w="2459" w:type="dxa"/>
            <w:vMerge w:val="continue"/>
          </w:tcPr>
          <w:p w14:paraId="026295E9">
            <w:pPr>
              <w:jc w:val="center"/>
              <w:rPr>
                <w:rFonts w:ascii="宋体" w:hAnsi="宋体"/>
                <w:color w:val="auto"/>
                <w:sz w:val="24"/>
                <w:szCs w:val="24"/>
              </w:rPr>
            </w:pPr>
          </w:p>
        </w:tc>
      </w:tr>
      <w:tr w14:paraId="19FE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68" w:type="dxa"/>
          </w:tcPr>
          <w:p w14:paraId="362822E9">
            <w:pPr>
              <w:jc w:val="center"/>
              <w:rPr>
                <w:rFonts w:ascii="宋体" w:hAnsi="宋体"/>
                <w:color w:val="auto"/>
                <w:sz w:val="24"/>
                <w:szCs w:val="24"/>
              </w:rPr>
            </w:pPr>
            <w:r>
              <w:rPr>
                <w:rFonts w:hint="eastAsia" w:ascii="宋体" w:hAnsi="宋体"/>
                <w:color w:val="auto"/>
                <w:sz w:val="24"/>
                <w:szCs w:val="24"/>
              </w:rPr>
              <w:t>6</w:t>
            </w:r>
          </w:p>
        </w:tc>
        <w:tc>
          <w:tcPr>
            <w:tcW w:w="3627" w:type="dxa"/>
            <w:vAlign w:val="center"/>
          </w:tcPr>
          <w:p w14:paraId="626B903E">
            <w:pPr>
              <w:jc w:val="center"/>
              <w:rPr>
                <w:rFonts w:ascii="宋体" w:hAnsi="宋体"/>
                <w:color w:val="auto"/>
                <w:sz w:val="24"/>
                <w:szCs w:val="24"/>
              </w:rPr>
            </w:pPr>
            <w:r>
              <w:rPr>
                <w:rFonts w:hint="eastAsia" w:ascii="宋体" w:hAnsi="宋体"/>
                <w:color w:val="auto"/>
                <w:sz w:val="24"/>
                <w:szCs w:val="24"/>
              </w:rPr>
              <w:t>辛村镇</w:t>
            </w:r>
          </w:p>
        </w:tc>
        <w:tc>
          <w:tcPr>
            <w:tcW w:w="1051" w:type="dxa"/>
            <w:vAlign w:val="center"/>
          </w:tcPr>
          <w:p w14:paraId="5999898C">
            <w:pPr>
              <w:jc w:val="center"/>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1</w:t>
            </w:r>
            <w:r>
              <w:rPr>
                <w:rFonts w:hint="eastAsia" w:ascii="宋体" w:hAnsi="宋体"/>
                <w:color w:val="auto"/>
                <w:sz w:val="24"/>
                <w:szCs w:val="24"/>
              </w:rPr>
              <w:t>个</w:t>
            </w:r>
          </w:p>
        </w:tc>
        <w:tc>
          <w:tcPr>
            <w:tcW w:w="2459" w:type="dxa"/>
            <w:vMerge w:val="continue"/>
          </w:tcPr>
          <w:p w14:paraId="38C06CC7">
            <w:pPr>
              <w:jc w:val="center"/>
              <w:rPr>
                <w:rFonts w:ascii="宋体" w:hAnsi="宋体"/>
                <w:color w:val="auto"/>
                <w:sz w:val="24"/>
                <w:szCs w:val="24"/>
              </w:rPr>
            </w:pPr>
          </w:p>
        </w:tc>
      </w:tr>
      <w:tr w14:paraId="616D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68" w:type="dxa"/>
          </w:tcPr>
          <w:p w14:paraId="18667801">
            <w:pPr>
              <w:jc w:val="center"/>
              <w:rPr>
                <w:rFonts w:ascii="宋体" w:hAnsi="宋体"/>
                <w:color w:val="auto"/>
                <w:sz w:val="24"/>
                <w:szCs w:val="24"/>
              </w:rPr>
            </w:pPr>
            <w:r>
              <w:rPr>
                <w:rFonts w:hint="eastAsia" w:ascii="宋体" w:hAnsi="宋体"/>
                <w:color w:val="auto"/>
                <w:sz w:val="24"/>
                <w:szCs w:val="24"/>
              </w:rPr>
              <w:t>7</w:t>
            </w:r>
          </w:p>
        </w:tc>
        <w:tc>
          <w:tcPr>
            <w:tcW w:w="3627" w:type="dxa"/>
            <w:vAlign w:val="center"/>
          </w:tcPr>
          <w:p w14:paraId="21D54649">
            <w:pPr>
              <w:jc w:val="center"/>
              <w:rPr>
                <w:rFonts w:ascii="宋体" w:hAnsi="宋体"/>
                <w:color w:val="auto"/>
                <w:sz w:val="24"/>
                <w:szCs w:val="24"/>
              </w:rPr>
            </w:pPr>
            <w:r>
              <w:rPr>
                <w:rFonts w:hint="eastAsia" w:ascii="宋体" w:hAnsi="宋体"/>
                <w:color w:val="auto"/>
                <w:sz w:val="24"/>
                <w:szCs w:val="24"/>
              </w:rPr>
              <w:t>永和乡</w:t>
            </w:r>
          </w:p>
        </w:tc>
        <w:tc>
          <w:tcPr>
            <w:tcW w:w="1051" w:type="dxa"/>
            <w:vAlign w:val="center"/>
          </w:tcPr>
          <w:p w14:paraId="42B29FEF">
            <w:pPr>
              <w:jc w:val="center"/>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3</w:t>
            </w:r>
            <w:r>
              <w:rPr>
                <w:rFonts w:hint="eastAsia" w:ascii="宋体" w:hAnsi="宋体"/>
                <w:color w:val="auto"/>
                <w:sz w:val="24"/>
                <w:szCs w:val="24"/>
              </w:rPr>
              <w:t>个</w:t>
            </w:r>
          </w:p>
        </w:tc>
        <w:tc>
          <w:tcPr>
            <w:tcW w:w="2459" w:type="dxa"/>
            <w:vMerge w:val="continue"/>
          </w:tcPr>
          <w:p w14:paraId="01999D8E">
            <w:pPr>
              <w:jc w:val="center"/>
              <w:rPr>
                <w:rFonts w:ascii="宋体" w:hAnsi="宋体"/>
                <w:color w:val="auto"/>
                <w:sz w:val="24"/>
                <w:szCs w:val="24"/>
              </w:rPr>
            </w:pPr>
          </w:p>
        </w:tc>
      </w:tr>
      <w:tr w14:paraId="3504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68" w:type="dxa"/>
          </w:tcPr>
          <w:p w14:paraId="669D9BA4">
            <w:pPr>
              <w:jc w:val="center"/>
              <w:rPr>
                <w:rFonts w:ascii="宋体" w:hAnsi="宋体"/>
                <w:color w:val="auto"/>
                <w:sz w:val="24"/>
                <w:szCs w:val="24"/>
              </w:rPr>
            </w:pPr>
            <w:r>
              <w:rPr>
                <w:rFonts w:hint="eastAsia" w:ascii="宋体" w:hAnsi="宋体"/>
                <w:color w:val="auto"/>
                <w:sz w:val="24"/>
                <w:szCs w:val="24"/>
              </w:rPr>
              <w:t>8</w:t>
            </w:r>
          </w:p>
        </w:tc>
        <w:tc>
          <w:tcPr>
            <w:tcW w:w="3627" w:type="dxa"/>
            <w:vAlign w:val="center"/>
          </w:tcPr>
          <w:p w14:paraId="588579B9">
            <w:pPr>
              <w:jc w:val="center"/>
              <w:rPr>
                <w:rFonts w:ascii="宋体" w:hAnsi="宋体"/>
                <w:color w:val="auto"/>
                <w:sz w:val="24"/>
                <w:szCs w:val="24"/>
              </w:rPr>
            </w:pPr>
            <w:r>
              <w:rPr>
                <w:rFonts w:hint="eastAsia" w:ascii="宋体" w:hAnsi="宋体"/>
                <w:color w:val="auto"/>
                <w:sz w:val="24"/>
                <w:szCs w:val="24"/>
              </w:rPr>
              <w:t>高庄</w:t>
            </w:r>
          </w:p>
        </w:tc>
        <w:tc>
          <w:tcPr>
            <w:tcW w:w="1051" w:type="dxa"/>
            <w:vAlign w:val="center"/>
          </w:tcPr>
          <w:p w14:paraId="787E4DDF">
            <w:pPr>
              <w:jc w:val="center"/>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3</w:t>
            </w:r>
            <w:r>
              <w:rPr>
                <w:rFonts w:hint="eastAsia" w:ascii="宋体" w:hAnsi="宋体"/>
                <w:color w:val="auto"/>
                <w:sz w:val="24"/>
                <w:szCs w:val="24"/>
              </w:rPr>
              <w:t>个</w:t>
            </w:r>
          </w:p>
        </w:tc>
        <w:tc>
          <w:tcPr>
            <w:tcW w:w="2459" w:type="dxa"/>
            <w:vMerge w:val="continue"/>
          </w:tcPr>
          <w:p w14:paraId="6994BAB6">
            <w:pPr>
              <w:jc w:val="center"/>
              <w:rPr>
                <w:rFonts w:ascii="宋体" w:hAnsi="宋体"/>
                <w:color w:val="auto"/>
                <w:sz w:val="24"/>
                <w:szCs w:val="24"/>
              </w:rPr>
            </w:pPr>
          </w:p>
        </w:tc>
      </w:tr>
      <w:tr w14:paraId="28A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68" w:type="dxa"/>
          </w:tcPr>
          <w:p w14:paraId="251AE027">
            <w:pPr>
              <w:jc w:val="center"/>
              <w:rPr>
                <w:rFonts w:ascii="宋体" w:hAnsi="宋体"/>
                <w:color w:val="auto"/>
                <w:sz w:val="24"/>
                <w:szCs w:val="24"/>
              </w:rPr>
            </w:pPr>
            <w:r>
              <w:rPr>
                <w:rFonts w:hint="eastAsia" w:ascii="宋体" w:hAnsi="宋体"/>
                <w:color w:val="auto"/>
                <w:sz w:val="24"/>
                <w:szCs w:val="24"/>
              </w:rPr>
              <w:t>9</w:t>
            </w:r>
          </w:p>
        </w:tc>
        <w:tc>
          <w:tcPr>
            <w:tcW w:w="3627" w:type="dxa"/>
            <w:vAlign w:val="center"/>
          </w:tcPr>
          <w:p w14:paraId="221EF34F">
            <w:pPr>
              <w:jc w:val="center"/>
              <w:rPr>
                <w:rFonts w:ascii="宋体" w:hAnsi="宋体"/>
                <w:color w:val="auto"/>
                <w:sz w:val="24"/>
                <w:szCs w:val="24"/>
              </w:rPr>
            </w:pPr>
            <w:r>
              <w:rPr>
                <w:rFonts w:hint="eastAsia" w:ascii="宋体" w:hAnsi="宋体"/>
                <w:color w:val="auto"/>
                <w:sz w:val="24"/>
                <w:szCs w:val="24"/>
              </w:rPr>
              <w:t>白壁</w:t>
            </w:r>
          </w:p>
        </w:tc>
        <w:tc>
          <w:tcPr>
            <w:tcW w:w="1051" w:type="dxa"/>
            <w:vAlign w:val="center"/>
          </w:tcPr>
          <w:p w14:paraId="06BCF590">
            <w:pPr>
              <w:jc w:val="center"/>
              <w:rPr>
                <w:rFonts w:ascii="宋体" w:hAnsi="宋体"/>
                <w:color w:val="auto"/>
                <w:sz w:val="24"/>
                <w:szCs w:val="24"/>
              </w:rPr>
            </w:pPr>
            <w:r>
              <w:rPr>
                <w:rFonts w:hint="eastAsia" w:ascii="宋体" w:hAnsi="宋体"/>
                <w:color w:val="auto"/>
                <w:sz w:val="24"/>
                <w:szCs w:val="24"/>
              </w:rPr>
              <w:t>20个</w:t>
            </w:r>
          </w:p>
        </w:tc>
        <w:tc>
          <w:tcPr>
            <w:tcW w:w="2459" w:type="dxa"/>
            <w:vMerge w:val="continue"/>
          </w:tcPr>
          <w:p w14:paraId="7361E831">
            <w:pPr>
              <w:jc w:val="center"/>
              <w:rPr>
                <w:rFonts w:ascii="宋体" w:hAnsi="宋体"/>
                <w:color w:val="auto"/>
                <w:sz w:val="24"/>
                <w:szCs w:val="24"/>
              </w:rPr>
            </w:pPr>
          </w:p>
        </w:tc>
      </w:tr>
      <w:tr w14:paraId="0162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68" w:type="dxa"/>
          </w:tcPr>
          <w:p w14:paraId="188DDEA4">
            <w:pPr>
              <w:jc w:val="center"/>
              <w:rPr>
                <w:rFonts w:ascii="宋体" w:hAnsi="宋体"/>
                <w:color w:val="auto"/>
                <w:sz w:val="24"/>
                <w:szCs w:val="24"/>
              </w:rPr>
            </w:pPr>
          </w:p>
        </w:tc>
        <w:tc>
          <w:tcPr>
            <w:tcW w:w="3627" w:type="dxa"/>
            <w:vAlign w:val="center"/>
          </w:tcPr>
          <w:p w14:paraId="7435FB35">
            <w:pPr>
              <w:jc w:val="center"/>
              <w:rPr>
                <w:rFonts w:ascii="宋体" w:hAnsi="宋体"/>
                <w:color w:val="auto"/>
                <w:sz w:val="24"/>
                <w:szCs w:val="24"/>
              </w:rPr>
            </w:pPr>
            <w:r>
              <w:rPr>
                <w:rFonts w:hint="eastAsia" w:ascii="宋体" w:hAnsi="宋体"/>
                <w:color w:val="auto"/>
                <w:sz w:val="24"/>
                <w:szCs w:val="24"/>
              </w:rPr>
              <w:t>合计</w:t>
            </w:r>
          </w:p>
        </w:tc>
        <w:tc>
          <w:tcPr>
            <w:tcW w:w="1051" w:type="dxa"/>
            <w:vAlign w:val="center"/>
          </w:tcPr>
          <w:p w14:paraId="3A6400A1">
            <w:pPr>
              <w:jc w:val="center"/>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3</w:t>
            </w:r>
            <w:r>
              <w:rPr>
                <w:rFonts w:hint="eastAsia" w:ascii="宋体" w:hAnsi="宋体"/>
                <w:color w:val="auto"/>
                <w:sz w:val="24"/>
                <w:szCs w:val="24"/>
              </w:rPr>
              <w:t>4个</w:t>
            </w:r>
          </w:p>
        </w:tc>
        <w:tc>
          <w:tcPr>
            <w:tcW w:w="2459" w:type="dxa"/>
            <w:vMerge w:val="continue"/>
          </w:tcPr>
          <w:p w14:paraId="2FDFF2B4">
            <w:pPr>
              <w:jc w:val="center"/>
              <w:rPr>
                <w:rFonts w:ascii="宋体" w:hAnsi="宋体"/>
                <w:color w:val="auto"/>
                <w:sz w:val="24"/>
                <w:szCs w:val="24"/>
              </w:rPr>
            </w:pPr>
          </w:p>
        </w:tc>
      </w:tr>
    </w:tbl>
    <w:p w14:paraId="3456542B">
      <w:pPr>
        <w:snapToGrid w:val="0"/>
        <w:spacing w:line="360" w:lineRule="auto"/>
        <w:ind w:firstLine="480" w:firstLineChars="200"/>
        <w:jc w:val="left"/>
        <w:rPr>
          <w:color w:val="auto"/>
          <w:kern w:val="2"/>
          <w:sz w:val="24"/>
          <w:szCs w:val="24"/>
        </w:rPr>
      </w:pPr>
      <w:r>
        <w:rPr>
          <w:rFonts w:hint="eastAsia"/>
          <w:color w:val="auto"/>
          <w:kern w:val="2"/>
          <w:sz w:val="24"/>
          <w:szCs w:val="24"/>
        </w:rPr>
        <w:t>2、已有县级监控平台设备（县级监控平台共计</w:t>
      </w:r>
      <w:r>
        <w:rPr>
          <w:color w:val="auto"/>
          <w:kern w:val="2"/>
          <w:sz w:val="24"/>
          <w:szCs w:val="24"/>
        </w:rPr>
        <w:t>1</w:t>
      </w:r>
      <w:r>
        <w:rPr>
          <w:rFonts w:hint="eastAsia"/>
          <w:color w:val="auto"/>
          <w:kern w:val="2"/>
          <w:sz w:val="24"/>
          <w:szCs w:val="24"/>
        </w:rPr>
        <w:t>套）：</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3640"/>
        <w:gridCol w:w="1070"/>
        <w:gridCol w:w="2432"/>
      </w:tblGrid>
      <w:tr w14:paraId="671A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63" w:type="dxa"/>
          </w:tcPr>
          <w:p w14:paraId="38D2CDDC">
            <w:pPr>
              <w:jc w:val="center"/>
              <w:rPr>
                <w:rFonts w:ascii="宋体" w:hAnsi="宋体"/>
                <w:color w:val="auto"/>
                <w:sz w:val="24"/>
                <w:szCs w:val="24"/>
              </w:rPr>
            </w:pPr>
            <w:r>
              <w:rPr>
                <w:rFonts w:hint="eastAsia" w:ascii="宋体" w:hAnsi="宋体"/>
                <w:color w:val="auto"/>
                <w:sz w:val="24"/>
                <w:szCs w:val="24"/>
              </w:rPr>
              <w:t>序号</w:t>
            </w:r>
          </w:p>
        </w:tc>
        <w:tc>
          <w:tcPr>
            <w:tcW w:w="3640" w:type="dxa"/>
            <w:vAlign w:val="center"/>
          </w:tcPr>
          <w:p w14:paraId="3D019180">
            <w:pPr>
              <w:jc w:val="center"/>
              <w:rPr>
                <w:rFonts w:ascii="宋体" w:hAnsi="宋体"/>
                <w:color w:val="auto"/>
                <w:sz w:val="24"/>
                <w:szCs w:val="24"/>
              </w:rPr>
            </w:pPr>
            <w:r>
              <w:rPr>
                <w:rFonts w:hint="eastAsia" w:ascii="宋体" w:hAnsi="宋体"/>
                <w:color w:val="auto"/>
                <w:sz w:val="24"/>
                <w:szCs w:val="24"/>
              </w:rPr>
              <w:t>名称</w:t>
            </w:r>
          </w:p>
        </w:tc>
        <w:tc>
          <w:tcPr>
            <w:tcW w:w="1070" w:type="dxa"/>
          </w:tcPr>
          <w:p w14:paraId="0FA0B50E">
            <w:pPr>
              <w:jc w:val="center"/>
              <w:rPr>
                <w:rFonts w:ascii="宋体" w:hAnsi="宋体"/>
                <w:color w:val="auto"/>
                <w:sz w:val="24"/>
                <w:szCs w:val="24"/>
              </w:rPr>
            </w:pPr>
            <w:r>
              <w:rPr>
                <w:rFonts w:hint="eastAsia" w:ascii="宋体" w:hAnsi="宋体"/>
                <w:color w:val="auto"/>
                <w:sz w:val="24"/>
                <w:szCs w:val="24"/>
              </w:rPr>
              <w:t>数量</w:t>
            </w:r>
          </w:p>
        </w:tc>
        <w:tc>
          <w:tcPr>
            <w:tcW w:w="2432" w:type="dxa"/>
          </w:tcPr>
          <w:p w14:paraId="4948380B">
            <w:pPr>
              <w:jc w:val="center"/>
              <w:rPr>
                <w:rFonts w:ascii="宋体" w:hAnsi="宋体"/>
                <w:color w:val="auto"/>
                <w:sz w:val="24"/>
                <w:szCs w:val="24"/>
              </w:rPr>
            </w:pPr>
            <w:r>
              <w:rPr>
                <w:rFonts w:hint="eastAsia" w:ascii="宋体" w:hAnsi="宋体"/>
                <w:color w:val="auto"/>
                <w:sz w:val="24"/>
                <w:szCs w:val="24"/>
              </w:rPr>
              <w:t>备注</w:t>
            </w:r>
          </w:p>
        </w:tc>
      </w:tr>
      <w:tr w14:paraId="729C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63" w:type="dxa"/>
          </w:tcPr>
          <w:p w14:paraId="77277097">
            <w:pPr>
              <w:spacing w:line="240" w:lineRule="auto"/>
              <w:jc w:val="center"/>
              <w:textAlignment w:val="auto"/>
              <w:rPr>
                <w:rFonts w:ascii="宋体" w:hAnsi="宋体"/>
                <w:color w:val="auto"/>
                <w:sz w:val="24"/>
                <w:szCs w:val="24"/>
              </w:rPr>
            </w:pPr>
            <w:r>
              <w:rPr>
                <w:rFonts w:hint="eastAsia" w:ascii="宋体" w:hAnsi="宋体"/>
                <w:color w:val="auto"/>
                <w:sz w:val="24"/>
                <w:szCs w:val="24"/>
              </w:rPr>
              <w:t>1</w:t>
            </w:r>
          </w:p>
        </w:tc>
        <w:tc>
          <w:tcPr>
            <w:tcW w:w="3640" w:type="dxa"/>
            <w:vAlign w:val="center"/>
          </w:tcPr>
          <w:p w14:paraId="36CAC705">
            <w:pPr>
              <w:spacing w:line="240" w:lineRule="auto"/>
              <w:jc w:val="center"/>
              <w:textAlignment w:val="auto"/>
              <w:rPr>
                <w:rFonts w:ascii="宋体" w:hAnsi="宋体"/>
                <w:color w:val="auto"/>
                <w:sz w:val="24"/>
                <w:szCs w:val="24"/>
              </w:rPr>
            </w:pPr>
            <w:r>
              <w:rPr>
                <w:rFonts w:hint="eastAsia" w:ascii="宋体" w:hAnsi="宋体"/>
                <w:color w:val="auto"/>
                <w:sz w:val="24"/>
                <w:szCs w:val="24"/>
              </w:rPr>
              <w:t>85寸液晶显示屏</w:t>
            </w:r>
          </w:p>
        </w:tc>
        <w:tc>
          <w:tcPr>
            <w:tcW w:w="1070" w:type="dxa"/>
          </w:tcPr>
          <w:p w14:paraId="74A153C9">
            <w:pPr>
              <w:jc w:val="center"/>
              <w:rPr>
                <w:rFonts w:ascii="宋体" w:hAnsi="宋体"/>
                <w:color w:val="auto"/>
                <w:sz w:val="24"/>
                <w:szCs w:val="24"/>
              </w:rPr>
            </w:pPr>
            <w:r>
              <w:rPr>
                <w:rFonts w:hint="eastAsia" w:ascii="宋体" w:hAnsi="宋体"/>
                <w:color w:val="auto"/>
                <w:sz w:val="24"/>
                <w:szCs w:val="24"/>
              </w:rPr>
              <w:t>1</w:t>
            </w:r>
          </w:p>
        </w:tc>
        <w:tc>
          <w:tcPr>
            <w:tcW w:w="2432" w:type="dxa"/>
          </w:tcPr>
          <w:p w14:paraId="57BFFCAF">
            <w:pPr>
              <w:spacing w:line="240" w:lineRule="auto"/>
              <w:jc w:val="center"/>
              <w:textAlignment w:val="auto"/>
              <w:rPr>
                <w:rFonts w:ascii="宋体" w:hAnsi="宋体"/>
                <w:color w:val="auto"/>
                <w:sz w:val="24"/>
                <w:szCs w:val="24"/>
              </w:rPr>
            </w:pPr>
          </w:p>
        </w:tc>
      </w:tr>
      <w:tr w14:paraId="7CE2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63" w:type="dxa"/>
          </w:tcPr>
          <w:p w14:paraId="3789E61B">
            <w:pPr>
              <w:spacing w:line="240" w:lineRule="auto"/>
              <w:jc w:val="center"/>
              <w:textAlignment w:val="auto"/>
              <w:rPr>
                <w:rFonts w:ascii="宋体" w:hAnsi="宋体"/>
                <w:color w:val="auto"/>
                <w:sz w:val="24"/>
                <w:szCs w:val="24"/>
              </w:rPr>
            </w:pPr>
            <w:r>
              <w:rPr>
                <w:rFonts w:hint="eastAsia" w:ascii="宋体" w:hAnsi="宋体"/>
                <w:color w:val="auto"/>
                <w:sz w:val="24"/>
                <w:szCs w:val="24"/>
              </w:rPr>
              <w:t>2</w:t>
            </w:r>
          </w:p>
        </w:tc>
        <w:tc>
          <w:tcPr>
            <w:tcW w:w="3640" w:type="dxa"/>
            <w:shd w:val="clear" w:color="auto" w:fill="auto"/>
            <w:vAlign w:val="center"/>
          </w:tcPr>
          <w:p w14:paraId="12302732">
            <w:pPr>
              <w:spacing w:line="240" w:lineRule="auto"/>
              <w:jc w:val="center"/>
              <w:textAlignment w:val="auto"/>
              <w:rPr>
                <w:rFonts w:ascii="宋体" w:hAnsi="宋体"/>
                <w:color w:val="auto"/>
                <w:sz w:val="24"/>
                <w:szCs w:val="24"/>
              </w:rPr>
            </w:pPr>
            <w:r>
              <w:rPr>
                <w:rFonts w:hint="eastAsia" w:ascii="宋体" w:hAnsi="宋体"/>
                <w:color w:val="auto"/>
                <w:sz w:val="24"/>
                <w:szCs w:val="24"/>
              </w:rPr>
              <w:t>操作台</w:t>
            </w:r>
          </w:p>
        </w:tc>
        <w:tc>
          <w:tcPr>
            <w:tcW w:w="1070" w:type="dxa"/>
            <w:shd w:val="clear" w:color="auto" w:fill="auto"/>
          </w:tcPr>
          <w:p w14:paraId="710C588F">
            <w:pPr>
              <w:jc w:val="center"/>
              <w:rPr>
                <w:rFonts w:ascii="宋体" w:hAnsi="宋体"/>
                <w:color w:val="auto"/>
                <w:sz w:val="24"/>
                <w:szCs w:val="24"/>
              </w:rPr>
            </w:pPr>
            <w:r>
              <w:rPr>
                <w:rFonts w:hint="eastAsia" w:ascii="宋体" w:hAnsi="宋体"/>
                <w:color w:val="auto"/>
                <w:sz w:val="24"/>
                <w:szCs w:val="24"/>
              </w:rPr>
              <w:t>1</w:t>
            </w:r>
          </w:p>
        </w:tc>
        <w:tc>
          <w:tcPr>
            <w:tcW w:w="2432" w:type="dxa"/>
          </w:tcPr>
          <w:p w14:paraId="68C452B8">
            <w:pPr>
              <w:spacing w:line="240" w:lineRule="auto"/>
              <w:jc w:val="center"/>
              <w:textAlignment w:val="auto"/>
              <w:rPr>
                <w:rFonts w:ascii="宋体" w:hAnsi="宋体"/>
                <w:color w:val="auto"/>
                <w:sz w:val="24"/>
                <w:szCs w:val="24"/>
              </w:rPr>
            </w:pPr>
          </w:p>
        </w:tc>
      </w:tr>
      <w:tr w14:paraId="6CAB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63" w:type="dxa"/>
          </w:tcPr>
          <w:p w14:paraId="40DC31EB">
            <w:pPr>
              <w:spacing w:line="240" w:lineRule="auto"/>
              <w:jc w:val="center"/>
              <w:textAlignment w:val="auto"/>
              <w:rPr>
                <w:rFonts w:ascii="宋体" w:hAnsi="宋体"/>
                <w:color w:val="auto"/>
                <w:sz w:val="24"/>
                <w:szCs w:val="24"/>
              </w:rPr>
            </w:pPr>
            <w:r>
              <w:rPr>
                <w:rFonts w:hint="eastAsia" w:ascii="宋体" w:hAnsi="宋体"/>
                <w:color w:val="auto"/>
                <w:sz w:val="24"/>
                <w:szCs w:val="24"/>
              </w:rPr>
              <w:t>3</w:t>
            </w:r>
          </w:p>
        </w:tc>
        <w:tc>
          <w:tcPr>
            <w:tcW w:w="3640" w:type="dxa"/>
            <w:shd w:val="clear" w:color="auto" w:fill="auto"/>
            <w:vAlign w:val="center"/>
          </w:tcPr>
          <w:p w14:paraId="7CEBF93D">
            <w:pPr>
              <w:spacing w:line="240" w:lineRule="auto"/>
              <w:jc w:val="center"/>
              <w:textAlignment w:val="auto"/>
              <w:rPr>
                <w:rFonts w:ascii="宋体" w:hAnsi="宋体"/>
                <w:color w:val="auto"/>
                <w:sz w:val="24"/>
                <w:szCs w:val="24"/>
              </w:rPr>
            </w:pPr>
            <w:r>
              <w:rPr>
                <w:rFonts w:hint="eastAsia" w:ascii="宋体" w:hAnsi="宋体"/>
                <w:color w:val="auto"/>
                <w:sz w:val="24"/>
                <w:szCs w:val="24"/>
              </w:rPr>
              <w:t>控制电脑</w:t>
            </w:r>
          </w:p>
        </w:tc>
        <w:tc>
          <w:tcPr>
            <w:tcW w:w="1070" w:type="dxa"/>
            <w:shd w:val="clear" w:color="auto" w:fill="auto"/>
          </w:tcPr>
          <w:p w14:paraId="1BCEB434">
            <w:pPr>
              <w:jc w:val="center"/>
              <w:rPr>
                <w:rFonts w:ascii="宋体" w:hAnsi="宋体"/>
                <w:color w:val="auto"/>
                <w:sz w:val="24"/>
                <w:szCs w:val="24"/>
              </w:rPr>
            </w:pPr>
            <w:r>
              <w:rPr>
                <w:rFonts w:hint="eastAsia" w:ascii="宋体" w:hAnsi="宋体"/>
                <w:color w:val="auto"/>
                <w:sz w:val="24"/>
                <w:szCs w:val="24"/>
              </w:rPr>
              <w:t>1</w:t>
            </w:r>
          </w:p>
        </w:tc>
        <w:tc>
          <w:tcPr>
            <w:tcW w:w="2432" w:type="dxa"/>
          </w:tcPr>
          <w:p w14:paraId="4791C61F">
            <w:pPr>
              <w:spacing w:line="240" w:lineRule="auto"/>
              <w:jc w:val="center"/>
              <w:textAlignment w:val="auto"/>
              <w:rPr>
                <w:rFonts w:ascii="宋体" w:hAnsi="宋体"/>
                <w:color w:val="auto"/>
                <w:sz w:val="24"/>
                <w:szCs w:val="24"/>
              </w:rPr>
            </w:pPr>
          </w:p>
        </w:tc>
      </w:tr>
      <w:tr w14:paraId="07D1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63" w:type="dxa"/>
          </w:tcPr>
          <w:p w14:paraId="2B56CFA8">
            <w:pPr>
              <w:spacing w:line="240" w:lineRule="auto"/>
              <w:jc w:val="center"/>
              <w:textAlignment w:val="auto"/>
              <w:rPr>
                <w:rFonts w:ascii="宋体" w:hAnsi="宋体"/>
                <w:color w:val="auto"/>
                <w:sz w:val="24"/>
                <w:szCs w:val="24"/>
              </w:rPr>
            </w:pPr>
            <w:r>
              <w:rPr>
                <w:rFonts w:hint="eastAsia" w:ascii="宋体" w:hAnsi="宋体"/>
                <w:color w:val="auto"/>
                <w:sz w:val="24"/>
                <w:szCs w:val="24"/>
              </w:rPr>
              <w:t>4</w:t>
            </w:r>
          </w:p>
        </w:tc>
        <w:tc>
          <w:tcPr>
            <w:tcW w:w="3640" w:type="dxa"/>
            <w:shd w:val="clear" w:color="auto" w:fill="auto"/>
            <w:vAlign w:val="center"/>
          </w:tcPr>
          <w:p w14:paraId="3F3C9E73">
            <w:pPr>
              <w:spacing w:line="240" w:lineRule="auto"/>
              <w:jc w:val="center"/>
              <w:textAlignment w:val="auto"/>
              <w:rPr>
                <w:rFonts w:ascii="宋体" w:hAnsi="宋体"/>
                <w:color w:val="auto"/>
                <w:sz w:val="24"/>
                <w:szCs w:val="24"/>
              </w:rPr>
            </w:pPr>
            <w:r>
              <w:rPr>
                <w:rFonts w:hint="eastAsia" w:ascii="宋体" w:hAnsi="宋体"/>
                <w:color w:val="auto"/>
                <w:sz w:val="24"/>
                <w:szCs w:val="24"/>
              </w:rPr>
              <w:t>监控中心云服务器</w:t>
            </w:r>
          </w:p>
        </w:tc>
        <w:tc>
          <w:tcPr>
            <w:tcW w:w="1070" w:type="dxa"/>
            <w:shd w:val="clear" w:color="auto" w:fill="auto"/>
          </w:tcPr>
          <w:p w14:paraId="0A0D1AC1">
            <w:pPr>
              <w:jc w:val="center"/>
              <w:rPr>
                <w:rFonts w:ascii="宋体" w:hAnsi="宋体"/>
                <w:color w:val="auto"/>
                <w:sz w:val="24"/>
                <w:szCs w:val="24"/>
              </w:rPr>
            </w:pPr>
            <w:r>
              <w:rPr>
                <w:rFonts w:hint="eastAsia" w:ascii="宋体" w:hAnsi="宋体"/>
                <w:color w:val="auto"/>
                <w:sz w:val="24"/>
                <w:szCs w:val="24"/>
              </w:rPr>
              <w:t>1</w:t>
            </w:r>
          </w:p>
        </w:tc>
        <w:tc>
          <w:tcPr>
            <w:tcW w:w="2432" w:type="dxa"/>
          </w:tcPr>
          <w:p w14:paraId="2F4CE7DF">
            <w:pPr>
              <w:spacing w:line="240" w:lineRule="auto"/>
              <w:jc w:val="center"/>
              <w:textAlignment w:val="auto"/>
              <w:rPr>
                <w:rFonts w:ascii="宋体" w:hAnsi="宋体"/>
                <w:color w:val="auto"/>
                <w:sz w:val="24"/>
                <w:szCs w:val="24"/>
              </w:rPr>
            </w:pPr>
          </w:p>
        </w:tc>
      </w:tr>
      <w:tr w14:paraId="1930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63" w:type="dxa"/>
          </w:tcPr>
          <w:p w14:paraId="7F2EE19D">
            <w:pPr>
              <w:spacing w:line="240" w:lineRule="auto"/>
              <w:jc w:val="center"/>
              <w:textAlignment w:val="auto"/>
              <w:rPr>
                <w:rFonts w:ascii="宋体" w:hAnsi="宋体"/>
                <w:color w:val="auto"/>
                <w:sz w:val="24"/>
                <w:szCs w:val="24"/>
              </w:rPr>
            </w:pPr>
            <w:r>
              <w:rPr>
                <w:rFonts w:hint="eastAsia" w:ascii="宋体" w:hAnsi="宋体"/>
                <w:color w:val="auto"/>
                <w:sz w:val="24"/>
                <w:szCs w:val="24"/>
              </w:rPr>
              <w:t>5</w:t>
            </w:r>
          </w:p>
        </w:tc>
        <w:tc>
          <w:tcPr>
            <w:tcW w:w="3640" w:type="dxa"/>
            <w:shd w:val="clear" w:color="auto" w:fill="auto"/>
            <w:vAlign w:val="center"/>
          </w:tcPr>
          <w:p w14:paraId="42E2669B">
            <w:pPr>
              <w:spacing w:line="240" w:lineRule="auto"/>
              <w:jc w:val="center"/>
              <w:textAlignment w:val="auto"/>
              <w:rPr>
                <w:rFonts w:ascii="宋体" w:hAnsi="宋体"/>
                <w:color w:val="auto"/>
                <w:sz w:val="24"/>
                <w:szCs w:val="24"/>
              </w:rPr>
            </w:pPr>
            <w:r>
              <w:rPr>
                <w:rFonts w:hint="eastAsia" w:ascii="宋体" w:hAnsi="宋体"/>
                <w:color w:val="auto"/>
                <w:sz w:val="24"/>
                <w:szCs w:val="24"/>
              </w:rPr>
              <w:t>互联网专线（速率100M）</w:t>
            </w:r>
          </w:p>
        </w:tc>
        <w:tc>
          <w:tcPr>
            <w:tcW w:w="1070" w:type="dxa"/>
            <w:shd w:val="clear" w:color="auto" w:fill="auto"/>
          </w:tcPr>
          <w:p w14:paraId="3172059E">
            <w:pPr>
              <w:jc w:val="center"/>
              <w:rPr>
                <w:rFonts w:ascii="宋体" w:hAnsi="宋体"/>
                <w:color w:val="auto"/>
                <w:sz w:val="24"/>
                <w:szCs w:val="24"/>
              </w:rPr>
            </w:pPr>
            <w:r>
              <w:rPr>
                <w:rFonts w:hint="eastAsia" w:ascii="宋体" w:hAnsi="宋体"/>
                <w:color w:val="auto"/>
                <w:sz w:val="24"/>
                <w:szCs w:val="24"/>
              </w:rPr>
              <w:t>1</w:t>
            </w:r>
          </w:p>
        </w:tc>
        <w:tc>
          <w:tcPr>
            <w:tcW w:w="2432" w:type="dxa"/>
          </w:tcPr>
          <w:p w14:paraId="4E655696">
            <w:pPr>
              <w:spacing w:line="240" w:lineRule="auto"/>
              <w:jc w:val="center"/>
              <w:textAlignment w:val="auto"/>
              <w:rPr>
                <w:rFonts w:ascii="宋体" w:hAnsi="宋体"/>
                <w:color w:val="auto"/>
                <w:sz w:val="24"/>
                <w:szCs w:val="24"/>
              </w:rPr>
            </w:pPr>
          </w:p>
        </w:tc>
      </w:tr>
      <w:tr w14:paraId="0F3C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305" w:type="dxa"/>
            <w:gridSpan w:val="4"/>
          </w:tcPr>
          <w:p w14:paraId="37FCFBC9">
            <w:pPr>
              <w:spacing w:line="240" w:lineRule="auto"/>
              <w:textAlignment w:val="auto"/>
              <w:rPr>
                <w:rFonts w:ascii="宋体" w:hAnsi="宋体"/>
                <w:color w:val="auto"/>
                <w:sz w:val="24"/>
                <w:szCs w:val="24"/>
              </w:rPr>
            </w:pPr>
            <w:r>
              <w:rPr>
                <w:rFonts w:hint="eastAsia" w:ascii="宋体" w:hAnsi="宋体"/>
                <w:color w:val="auto"/>
                <w:sz w:val="24"/>
                <w:szCs w:val="24"/>
              </w:rPr>
              <w:t>说明：与乡镇监控平台、监控点位无缝对接，实时互联互通</w:t>
            </w:r>
          </w:p>
        </w:tc>
      </w:tr>
    </w:tbl>
    <w:p w14:paraId="1225E329">
      <w:pPr>
        <w:snapToGrid w:val="0"/>
        <w:spacing w:line="360" w:lineRule="auto"/>
        <w:ind w:firstLine="480" w:firstLineChars="200"/>
        <w:jc w:val="left"/>
        <w:rPr>
          <w:rFonts w:ascii="宋体" w:hAnsi="宋体"/>
          <w:color w:val="auto"/>
          <w:kern w:val="2"/>
          <w:sz w:val="24"/>
          <w:szCs w:val="24"/>
        </w:rPr>
      </w:pPr>
      <w:r>
        <w:rPr>
          <w:rFonts w:hint="eastAsia" w:ascii="宋体" w:hAnsi="宋体"/>
          <w:color w:val="auto"/>
          <w:kern w:val="2"/>
          <w:sz w:val="24"/>
          <w:szCs w:val="24"/>
        </w:rPr>
        <w:t>3、已有乡镇监控平台设备</w:t>
      </w:r>
      <w:bookmarkStart w:id="5" w:name="_Hlk106203824"/>
      <w:r>
        <w:rPr>
          <w:rFonts w:hint="eastAsia" w:ascii="宋体" w:hAnsi="宋体"/>
          <w:color w:val="auto"/>
          <w:kern w:val="2"/>
          <w:sz w:val="24"/>
          <w:szCs w:val="24"/>
        </w:rPr>
        <w:t>（乡镇监控平台共计</w:t>
      </w:r>
      <w:r>
        <w:rPr>
          <w:rFonts w:ascii="宋体" w:hAnsi="宋体"/>
          <w:color w:val="auto"/>
          <w:kern w:val="2"/>
          <w:sz w:val="24"/>
          <w:szCs w:val="24"/>
        </w:rPr>
        <w:t>9</w:t>
      </w:r>
      <w:r>
        <w:rPr>
          <w:rFonts w:hint="eastAsia" w:ascii="宋体" w:hAnsi="宋体"/>
          <w:color w:val="auto"/>
          <w:kern w:val="2"/>
          <w:sz w:val="24"/>
          <w:szCs w:val="24"/>
        </w:rPr>
        <w:t>套）</w:t>
      </w:r>
      <w:bookmarkEnd w:id="5"/>
      <w:r>
        <w:rPr>
          <w:rFonts w:hint="eastAsia" w:ascii="宋体" w:hAnsi="宋体"/>
          <w:color w:val="auto"/>
          <w:kern w:val="2"/>
          <w:sz w:val="24"/>
          <w:szCs w:val="24"/>
        </w:rPr>
        <w:t>：</w:t>
      </w:r>
    </w:p>
    <w:tbl>
      <w:tblPr>
        <w:tblStyle w:val="25"/>
        <w:tblW w:w="8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3588"/>
        <w:gridCol w:w="1117"/>
        <w:gridCol w:w="2397"/>
      </w:tblGrid>
      <w:tr w14:paraId="1D19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33" w:type="dxa"/>
            <w:vAlign w:val="center"/>
          </w:tcPr>
          <w:p w14:paraId="4402930E">
            <w:pPr>
              <w:jc w:val="center"/>
              <w:rPr>
                <w:rFonts w:ascii="宋体" w:hAnsi="宋体"/>
                <w:color w:val="auto"/>
                <w:sz w:val="24"/>
                <w:szCs w:val="24"/>
              </w:rPr>
            </w:pPr>
            <w:r>
              <w:rPr>
                <w:rFonts w:hint="eastAsia" w:ascii="宋体" w:hAnsi="宋体"/>
                <w:color w:val="auto"/>
                <w:sz w:val="24"/>
                <w:szCs w:val="24"/>
              </w:rPr>
              <w:t>序号</w:t>
            </w:r>
          </w:p>
        </w:tc>
        <w:tc>
          <w:tcPr>
            <w:tcW w:w="3588" w:type="dxa"/>
            <w:vAlign w:val="center"/>
          </w:tcPr>
          <w:p w14:paraId="17549ACB">
            <w:pPr>
              <w:jc w:val="center"/>
              <w:rPr>
                <w:rFonts w:ascii="宋体" w:hAnsi="宋体"/>
                <w:color w:val="auto"/>
                <w:sz w:val="24"/>
                <w:szCs w:val="24"/>
              </w:rPr>
            </w:pPr>
            <w:r>
              <w:rPr>
                <w:rFonts w:hint="eastAsia" w:ascii="宋体" w:hAnsi="宋体"/>
                <w:color w:val="auto"/>
                <w:sz w:val="24"/>
                <w:szCs w:val="24"/>
              </w:rPr>
              <w:t>名称</w:t>
            </w:r>
          </w:p>
        </w:tc>
        <w:tc>
          <w:tcPr>
            <w:tcW w:w="1117" w:type="dxa"/>
            <w:vAlign w:val="center"/>
          </w:tcPr>
          <w:p w14:paraId="07E09FA6">
            <w:pPr>
              <w:jc w:val="center"/>
              <w:rPr>
                <w:rFonts w:ascii="宋体" w:hAnsi="宋体"/>
                <w:color w:val="auto"/>
                <w:sz w:val="24"/>
                <w:szCs w:val="24"/>
              </w:rPr>
            </w:pPr>
            <w:r>
              <w:rPr>
                <w:rFonts w:hint="eastAsia" w:ascii="宋体" w:hAnsi="宋体"/>
                <w:color w:val="auto"/>
                <w:sz w:val="24"/>
                <w:szCs w:val="24"/>
              </w:rPr>
              <w:t>数量</w:t>
            </w:r>
          </w:p>
        </w:tc>
        <w:tc>
          <w:tcPr>
            <w:tcW w:w="2397" w:type="dxa"/>
            <w:vAlign w:val="center"/>
          </w:tcPr>
          <w:p w14:paraId="2C52C0F9">
            <w:pPr>
              <w:jc w:val="center"/>
              <w:rPr>
                <w:rFonts w:ascii="宋体" w:hAnsi="宋体"/>
                <w:color w:val="auto"/>
                <w:sz w:val="24"/>
                <w:szCs w:val="24"/>
              </w:rPr>
            </w:pPr>
            <w:r>
              <w:rPr>
                <w:rFonts w:hint="eastAsia" w:ascii="宋体" w:hAnsi="宋体"/>
                <w:color w:val="auto"/>
                <w:sz w:val="24"/>
                <w:szCs w:val="24"/>
              </w:rPr>
              <w:t>备注</w:t>
            </w:r>
          </w:p>
        </w:tc>
      </w:tr>
      <w:tr w14:paraId="33BA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33" w:type="dxa"/>
            <w:vAlign w:val="center"/>
          </w:tcPr>
          <w:p w14:paraId="7FAF14D6">
            <w:pPr>
              <w:spacing w:line="240" w:lineRule="auto"/>
              <w:jc w:val="center"/>
              <w:textAlignment w:val="auto"/>
              <w:rPr>
                <w:rFonts w:ascii="宋体" w:hAnsi="宋体"/>
                <w:color w:val="auto"/>
                <w:sz w:val="24"/>
                <w:szCs w:val="24"/>
              </w:rPr>
            </w:pPr>
            <w:r>
              <w:rPr>
                <w:rFonts w:hint="eastAsia" w:ascii="宋体" w:hAnsi="宋体"/>
                <w:color w:val="auto"/>
                <w:sz w:val="24"/>
                <w:szCs w:val="24"/>
              </w:rPr>
              <w:t>1</w:t>
            </w:r>
          </w:p>
        </w:tc>
        <w:tc>
          <w:tcPr>
            <w:tcW w:w="3588" w:type="dxa"/>
            <w:vAlign w:val="center"/>
          </w:tcPr>
          <w:p w14:paraId="1713B65F">
            <w:pPr>
              <w:spacing w:line="240" w:lineRule="auto"/>
              <w:jc w:val="center"/>
              <w:textAlignment w:val="auto"/>
              <w:rPr>
                <w:rFonts w:ascii="宋体" w:hAnsi="宋体"/>
                <w:color w:val="auto"/>
                <w:sz w:val="24"/>
                <w:szCs w:val="24"/>
              </w:rPr>
            </w:pPr>
            <w:r>
              <w:rPr>
                <w:rFonts w:hint="eastAsia" w:ascii="宋体" w:hAnsi="宋体"/>
                <w:color w:val="auto"/>
                <w:sz w:val="24"/>
                <w:szCs w:val="24"/>
              </w:rPr>
              <w:t>43寸液晶监视器</w:t>
            </w:r>
          </w:p>
        </w:tc>
        <w:tc>
          <w:tcPr>
            <w:tcW w:w="1117" w:type="dxa"/>
            <w:vAlign w:val="center"/>
          </w:tcPr>
          <w:p w14:paraId="5068444F">
            <w:pPr>
              <w:jc w:val="center"/>
              <w:rPr>
                <w:rFonts w:ascii="宋体" w:hAnsi="宋体"/>
                <w:color w:val="auto"/>
                <w:sz w:val="24"/>
                <w:szCs w:val="24"/>
              </w:rPr>
            </w:pPr>
            <w:r>
              <w:rPr>
                <w:rFonts w:hint="eastAsia" w:ascii="宋体" w:hAnsi="宋体"/>
                <w:color w:val="auto"/>
                <w:sz w:val="24"/>
                <w:szCs w:val="24"/>
              </w:rPr>
              <w:t>1</w:t>
            </w:r>
          </w:p>
        </w:tc>
        <w:tc>
          <w:tcPr>
            <w:tcW w:w="2397" w:type="dxa"/>
            <w:vAlign w:val="center"/>
          </w:tcPr>
          <w:p w14:paraId="5E7EE411">
            <w:pPr>
              <w:spacing w:line="240" w:lineRule="auto"/>
              <w:jc w:val="center"/>
              <w:textAlignment w:val="auto"/>
              <w:rPr>
                <w:rFonts w:ascii="宋体" w:hAnsi="宋体"/>
                <w:color w:val="auto"/>
                <w:sz w:val="24"/>
                <w:szCs w:val="24"/>
              </w:rPr>
            </w:pPr>
          </w:p>
        </w:tc>
      </w:tr>
      <w:tr w14:paraId="2781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33" w:type="dxa"/>
            <w:vAlign w:val="center"/>
          </w:tcPr>
          <w:p w14:paraId="3CC44E81">
            <w:pPr>
              <w:spacing w:line="240" w:lineRule="auto"/>
              <w:jc w:val="center"/>
              <w:textAlignment w:val="auto"/>
              <w:rPr>
                <w:rFonts w:ascii="宋体" w:hAnsi="宋体"/>
                <w:color w:val="auto"/>
                <w:sz w:val="24"/>
                <w:szCs w:val="24"/>
              </w:rPr>
            </w:pPr>
            <w:r>
              <w:rPr>
                <w:rFonts w:hint="eastAsia" w:ascii="宋体" w:hAnsi="宋体"/>
                <w:color w:val="auto"/>
                <w:sz w:val="24"/>
                <w:szCs w:val="24"/>
              </w:rPr>
              <w:t>2</w:t>
            </w:r>
          </w:p>
        </w:tc>
        <w:tc>
          <w:tcPr>
            <w:tcW w:w="3588" w:type="dxa"/>
            <w:vAlign w:val="center"/>
          </w:tcPr>
          <w:p w14:paraId="7753DBF0">
            <w:pPr>
              <w:spacing w:line="240" w:lineRule="auto"/>
              <w:jc w:val="center"/>
              <w:textAlignment w:val="auto"/>
              <w:rPr>
                <w:rFonts w:ascii="宋体" w:hAnsi="宋体"/>
                <w:color w:val="auto"/>
                <w:sz w:val="24"/>
                <w:szCs w:val="24"/>
              </w:rPr>
            </w:pPr>
            <w:r>
              <w:rPr>
                <w:rFonts w:hint="eastAsia" w:ascii="宋体" w:hAnsi="宋体"/>
                <w:color w:val="auto"/>
                <w:sz w:val="24"/>
                <w:szCs w:val="24"/>
              </w:rPr>
              <w:t>控制电脑</w:t>
            </w:r>
          </w:p>
        </w:tc>
        <w:tc>
          <w:tcPr>
            <w:tcW w:w="1117" w:type="dxa"/>
            <w:vAlign w:val="center"/>
          </w:tcPr>
          <w:p w14:paraId="2A5BDBC8">
            <w:pPr>
              <w:jc w:val="center"/>
              <w:rPr>
                <w:rFonts w:ascii="宋体" w:hAnsi="宋体"/>
                <w:color w:val="auto"/>
                <w:sz w:val="24"/>
                <w:szCs w:val="24"/>
              </w:rPr>
            </w:pPr>
            <w:r>
              <w:rPr>
                <w:rFonts w:hint="eastAsia" w:ascii="宋体" w:hAnsi="宋体"/>
                <w:color w:val="auto"/>
                <w:sz w:val="24"/>
                <w:szCs w:val="24"/>
              </w:rPr>
              <w:t>1</w:t>
            </w:r>
          </w:p>
        </w:tc>
        <w:tc>
          <w:tcPr>
            <w:tcW w:w="2397" w:type="dxa"/>
            <w:vAlign w:val="center"/>
          </w:tcPr>
          <w:p w14:paraId="6C996C66">
            <w:pPr>
              <w:spacing w:line="240" w:lineRule="auto"/>
              <w:jc w:val="center"/>
              <w:textAlignment w:val="auto"/>
              <w:rPr>
                <w:rFonts w:ascii="宋体" w:hAnsi="宋体"/>
                <w:color w:val="auto"/>
                <w:sz w:val="24"/>
                <w:szCs w:val="24"/>
              </w:rPr>
            </w:pPr>
          </w:p>
        </w:tc>
      </w:tr>
      <w:tr w14:paraId="16B4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33" w:type="dxa"/>
            <w:vAlign w:val="center"/>
          </w:tcPr>
          <w:p w14:paraId="4B99FD8E">
            <w:pPr>
              <w:spacing w:line="240" w:lineRule="auto"/>
              <w:jc w:val="center"/>
              <w:textAlignment w:val="auto"/>
              <w:rPr>
                <w:rFonts w:ascii="宋体" w:hAnsi="宋体"/>
                <w:color w:val="auto"/>
                <w:sz w:val="24"/>
                <w:szCs w:val="24"/>
              </w:rPr>
            </w:pPr>
            <w:r>
              <w:rPr>
                <w:rFonts w:hint="eastAsia" w:ascii="宋体" w:hAnsi="宋体"/>
                <w:color w:val="auto"/>
                <w:sz w:val="24"/>
                <w:szCs w:val="24"/>
              </w:rPr>
              <w:t>3</w:t>
            </w:r>
          </w:p>
        </w:tc>
        <w:tc>
          <w:tcPr>
            <w:tcW w:w="3588" w:type="dxa"/>
            <w:vAlign w:val="center"/>
          </w:tcPr>
          <w:p w14:paraId="23CD24C5">
            <w:pPr>
              <w:spacing w:line="240" w:lineRule="auto"/>
              <w:jc w:val="center"/>
              <w:textAlignment w:val="auto"/>
              <w:rPr>
                <w:rFonts w:ascii="宋体" w:hAnsi="宋体"/>
                <w:color w:val="auto"/>
                <w:sz w:val="24"/>
                <w:szCs w:val="24"/>
              </w:rPr>
            </w:pPr>
            <w:r>
              <w:rPr>
                <w:rFonts w:hint="eastAsia" w:ascii="宋体" w:hAnsi="宋体"/>
                <w:color w:val="auto"/>
                <w:sz w:val="24"/>
                <w:szCs w:val="24"/>
              </w:rPr>
              <w:t>操作台</w:t>
            </w:r>
          </w:p>
        </w:tc>
        <w:tc>
          <w:tcPr>
            <w:tcW w:w="1117" w:type="dxa"/>
            <w:vAlign w:val="center"/>
          </w:tcPr>
          <w:p w14:paraId="14219826">
            <w:pPr>
              <w:jc w:val="center"/>
              <w:rPr>
                <w:rFonts w:ascii="宋体" w:hAnsi="宋体"/>
                <w:color w:val="auto"/>
                <w:sz w:val="24"/>
                <w:szCs w:val="24"/>
              </w:rPr>
            </w:pPr>
            <w:r>
              <w:rPr>
                <w:rFonts w:hint="eastAsia" w:ascii="宋体" w:hAnsi="宋体"/>
                <w:color w:val="auto"/>
                <w:sz w:val="24"/>
                <w:szCs w:val="24"/>
              </w:rPr>
              <w:t>1</w:t>
            </w:r>
          </w:p>
        </w:tc>
        <w:tc>
          <w:tcPr>
            <w:tcW w:w="2397" w:type="dxa"/>
            <w:vAlign w:val="center"/>
          </w:tcPr>
          <w:p w14:paraId="3DD88F4F">
            <w:pPr>
              <w:spacing w:line="240" w:lineRule="auto"/>
              <w:jc w:val="center"/>
              <w:textAlignment w:val="auto"/>
              <w:rPr>
                <w:rFonts w:ascii="宋体" w:hAnsi="宋体"/>
                <w:color w:val="auto"/>
                <w:sz w:val="24"/>
                <w:szCs w:val="24"/>
              </w:rPr>
            </w:pPr>
          </w:p>
        </w:tc>
      </w:tr>
      <w:tr w14:paraId="26DF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33" w:type="dxa"/>
            <w:vAlign w:val="center"/>
          </w:tcPr>
          <w:p w14:paraId="14AB6980">
            <w:pPr>
              <w:spacing w:line="240" w:lineRule="auto"/>
              <w:jc w:val="center"/>
              <w:textAlignment w:val="auto"/>
              <w:rPr>
                <w:rFonts w:ascii="宋体" w:hAnsi="宋体"/>
                <w:color w:val="auto"/>
                <w:sz w:val="24"/>
                <w:szCs w:val="24"/>
              </w:rPr>
            </w:pPr>
            <w:r>
              <w:rPr>
                <w:rFonts w:hint="eastAsia" w:ascii="宋体" w:hAnsi="宋体"/>
                <w:color w:val="auto"/>
                <w:sz w:val="24"/>
                <w:szCs w:val="24"/>
              </w:rPr>
              <w:t>4</w:t>
            </w:r>
          </w:p>
        </w:tc>
        <w:tc>
          <w:tcPr>
            <w:tcW w:w="3588" w:type="dxa"/>
            <w:vAlign w:val="center"/>
          </w:tcPr>
          <w:p w14:paraId="0E885486">
            <w:pPr>
              <w:spacing w:line="240" w:lineRule="auto"/>
              <w:jc w:val="center"/>
              <w:textAlignment w:val="auto"/>
              <w:rPr>
                <w:rFonts w:ascii="宋体" w:hAnsi="宋体"/>
                <w:color w:val="auto"/>
                <w:sz w:val="24"/>
                <w:szCs w:val="24"/>
              </w:rPr>
            </w:pPr>
            <w:r>
              <w:rPr>
                <w:rFonts w:hint="eastAsia" w:ascii="宋体" w:hAnsi="宋体"/>
                <w:color w:val="auto"/>
                <w:sz w:val="24"/>
                <w:szCs w:val="24"/>
              </w:rPr>
              <w:t>互联网专线（速率100M）</w:t>
            </w:r>
          </w:p>
        </w:tc>
        <w:tc>
          <w:tcPr>
            <w:tcW w:w="1117" w:type="dxa"/>
            <w:vAlign w:val="center"/>
          </w:tcPr>
          <w:p w14:paraId="0504C20B">
            <w:pPr>
              <w:jc w:val="center"/>
              <w:rPr>
                <w:rFonts w:ascii="宋体" w:hAnsi="宋体"/>
                <w:color w:val="auto"/>
                <w:sz w:val="24"/>
                <w:szCs w:val="24"/>
              </w:rPr>
            </w:pPr>
            <w:r>
              <w:rPr>
                <w:rFonts w:hint="eastAsia" w:ascii="宋体" w:hAnsi="宋体"/>
                <w:color w:val="auto"/>
                <w:sz w:val="24"/>
                <w:szCs w:val="24"/>
              </w:rPr>
              <w:t>1</w:t>
            </w:r>
          </w:p>
        </w:tc>
        <w:tc>
          <w:tcPr>
            <w:tcW w:w="2397" w:type="dxa"/>
            <w:vAlign w:val="center"/>
          </w:tcPr>
          <w:p w14:paraId="37210205">
            <w:pPr>
              <w:spacing w:line="240" w:lineRule="auto"/>
              <w:jc w:val="center"/>
              <w:textAlignment w:val="auto"/>
              <w:rPr>
                <w:rFonts w:ascii="宋体" w:hAnsi="宋体"/>
                <w:color w:val="auto"/>
                <w:sz w:val="24"/>
                <w:szCs w:val="24"/>
              </w:rPr>
            </w:pPr>
          </w:p>
        </w:tc>
      </w:tr>
      <w:tr w14:paraId="2D7B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35" w:type="dxa"/>
            <w:gridSpan w:val="4"/>
            <w:vAlign w:val="center"/>
          </w:tcPr>
          <w:p w14:paraId="08706C2C">
            <w:pPr>
              <w:spacing w:line="240" w:lineRule="auto"/>
              <w:textAlignment w:val="auto"/>
              <w:rPr>
                <w:rFonts w:ascii="宋体" w:hAnsi="宋体"/>
                <w:color w:val="auto"/>
                <w:sz w:val="24"/>
                <w:szCs w:val="24"/>
              </w:rPr>
            </w:pPr>
            <w:r>
              <w:rPr>
                <w:rFonts w:hint="eastAsia" w:ascii="宋体" w:hAnsi="宋体"/>
                <w:color w:val="auto"/>
                <w:sz w:val="24"/>
                <w:szCs w:val="24"/>
              </w:rPr>
              <w:t>说明：与县级监控平台，监控点位无缝对接，实现互联互通。</w:t>
            </w:r>
          </w:p>
        </w:tc>
      </w:tr>
    </w:tbl>
    <w:p w14:paraId="5020D0B7">
      <w:pPr>
        <w:snapToGrid w:val="0"/>
        <w:spacing w:line="360" w:lineRule="auto"/>
        <w:ind w:firstLine="480" w:firstLineChars="200"/>
        <w:jc w:val="left"/>
        <w:rPr>
          <w:rFonts w:ascii="宋体" w:hAnsi="宋体" w:cs="宋体"/>
          <w:b/>
          <w:bCs/>
          <w:color w:val="auto"/>
          <w:sz w:val="24"/>
          <w:szCs w:val="24"/>
        </w:rPr>
      </w:pPr>
      <w:r>
        <w:rPr>
          <w:rFonts w:hint="eastAsia" w:ascii="宋体" w:hAnsi="宋体"/>
          <w:color w:val="auto"/>
          <w:kern w:val="2"/>
          <w:sz w:val="24"/>
          <w:szCs w:val="24"/>
        </w:rPr>
        <w:t>4、</w:t>
      </w:r>
      <w:r>
        <w:rPr>
          <w:rFonts w:hint="eastAsia"/>
          <w:color w:val="auto"/>
          <w:kern w:val="2"/>
          <w:sz w:val="24"/>
          <w:szCs w:val="24"/>
        </w:rPr>
        <w:t>已有</w:t>
      </w:r>
      <w:r>
        <w:rPr>
          <w:rFonts w:hint="eastAsia" w:ascii="宋体" w:hAnsi="宋体" w:cs="宋体"/>
          <w:b/>
          <w:bCs/>
          <w:color w:val="auto"/>
          <w:sz w:val="24"/>
          <w:szCs w:val="24"/>
        </w:rPr>
        <w:t>蓝天卫士电子监控系统平台</w:t>
      </w:r>
    </w:p>
    <w:p w14:paraId="5A9900CA">
      <w:pPr>
        <w:snapToGrid w:val="0"/>
        <w:spacing w:line="360" w:lineRule="auto"/>
        <w:ind w:firstLine="480" w:firstLineChars="200"/>
        <w:jc w:val="left"/>
        <w:rPr>
          <w:color w:val="auto"/>
          <w:sz w:val="24"/>
          <w:szCs w:val="24"/>
        </w:rPr>
      </w:pPr>
      <w:r>
        <w:rPr>
          <w:rFonts w:hint="eastAsia"/>
          <w:color w:val="auto"/>
          <w:sz w:val="24"/>
          <w:szCs w:val="24"/>
        </w:rPr>
        <w:t>蓝天卫士系统需要提供两大平台：蓝天卫士秸秆防燃自动预警平台和蓝天卫士视频监控平台。</w:t>
      </w:r>
    </w:p>
    <w:p w14:paraId="0AEC4886">
      <w:pPr>
        <w:snapToGrid w:val="0"/>
        <w:spacing w:line="360" w:lineRule="auto"/>
        <w:ind w:firstLine="480" w:firstLineChars="200"/>
        <w:jc w:val="left"/>
        <w:rPr>
          <w:color w:val="auto"/>
          <w:sz w:val="24"/>
          <w:szCs w:val="24"/>
        </w:rPr>
      </w:pPr>
      <w:r>
        <w:rPr>
          <w:rFonts w:hint="eastAsia"/>
          <w:color w:val="auto"/>
          <w:sz w:val="24"/>
          <w:szCs w:val="24"/>
        </w:rPr>
        <w:t>说明：监控点利用铁塔资源的基站铁塔+视频监控+自动报警，通过平台实现手机客户端、电脑客户端、短彩信发送、自动巡航、自动报警等功能，对区内农作物秸秆焚烧情况进行远程监控管理。视频监控点位设置、终端设置应满足项目实际需要，并且符合河南省农业厅与中国移动通信集团河南有限公司达成的“蓝天卫士”电子监控系统平台的建设标准。</w:t>
      </w:r>
    </w:p>
    <w:p w14:paraId="37EF9C53">
      <w:pPr>
        <w:snapToGrid w:val="0"/>
        <w:spacing w:line="360" w:lineRule="auto"/>
        <w:ind w:firstLine="480" w:firstLineChars="200"/>
        <w:jc w:val="left"/>
        <w:rPr>
          <w:color w:val="auto"/>
          <w:sz w:val="24"/>
          <w:szCs w:val="24"/>
        </w:rPr>
      </w:pPr>
      <w:r>
        <w:rPr>
          <w:rFonts w:hint="eastAsia"/>
          <w:color w:val="auto"/>
          <w:sz w:val="24"/>
          <w:szCs w:val="24"/>
        </w:rPr>
        <w:t>服务期内，供应商应负责对已有设备、平台等设备设施进行维修维护。</w:t>
      </w:r>
    </w:p>
    <w:p w14:paraId="756651D3">
      <w:pPr>
        <w:spacing w:line="560" w:lineRule="exact"/>
        <w:ind w:firstLine="482" w:firstLineChars="200"/>
        <w:rPr>
          <w:rFonts w:ascii="黑体" w:hAnsi="黑体" w:eastAsia="黑体"/>
          <w:b/>
          <w:color w:val="auto"/>
          <w:sz w:val="24"/>
          <w:szCs w:val="24"/>
        </w:rPr>
      </w:pPr>
      <w:r>
        <w:rPr>
          <w:rFonts w:hint="eastAsia" w:ascii="黑体" w:hAnsi="黑体" w:eastAsia="黑体"/>
          <w:b/>
          <w:color w:val="auto"/>
          <w:sz w:val="24"/>
          <w:szCs w:val="24"/>
        </w:rPr>
        <w:t>三、服务期</w:t>
      </w:r>
    </w:p>
    <w:p w14:paraId="154CA5DC">
      <w:pPr>
        <w:snapToGrid w:val="0"/>
        <w:spacing w:line="360" w:lineRule="auto"/>
        <w:ind w:firstLine="480" w:firstLineChars="200"/>
        <w:jc w:val="left"/>
        <w:rPr>
          <w:color w:val="auto"/>
          <w:sz w:val="24"/>
          <w:szCs w:val="24"/>
        </w:rPr>
      </w:pPr>
      <w:r>
        <w:rPr>
          <w:rFonts w:hint="eastAsia"/>
          <w:color w:val="auto"/>
          <w:sz w:val="24"/>
          <w:szCs w:val="24"/>
        </w:rPr>
        <w:t>自验收合格后正常使用二年。</w:t>
      </w:r>
    </w:p>
    <w:p w14:paraId="74C82C3C">
      <w:pPr>
        <w:snapToGrid w:val="0"/>
        <w:spacing w:line="360" w:lineRule="auto"/>
        <w:ind w:firstLine="480" w:firstLineChars="200"/>
        <w:jc w:val="left"/>
        <w:rPr>
          <w:color w:val="auto"/>
          <w:sz w:val="24"/>
          <w:szCs w:val="24"/>
        </w:rPr>
      </w:pPr>
      <w:r>
        <w:rPr>
          <w:rFonts w:hint="eastAsia"/>
          <w:color w:val="auto"/>
          <w:sz w:val="24"/>
          <w:szCs w:val="24"/>
        </w:rPr>
        <w:t>注：合同每年一签，成交服务单位如有违约情况，采购人有权进行处罚。采购人每年进行验收，按照验收情况根据每年度资金批复情况进行支付。</w:t>
      </w:r>
    </w:p>
    <w:p w14:paraId="4BC5D742">
      <w:pPr>
        <w:spacing w:line="560" w:lineRule="exact"/>
        <w:ind w:firstLine="482" w:firstLineChars="200"/>
        <w:rPr>
          <w:rFonts w:ascii="黑体" w:hAnsi="黑体" w:eastAsia="黑体"/>
          <w:b/>
          <w:color w:val="auto"/>
          <w:sz w:val="24"/>
          <w:szCs w:val="24"/>
        </w:rPr>
      </w:pPr>
      <w:r>
        <w:rPr>
          <w:rFonts w:hint="eastAsia" w:ascii="黑体" w:hAnsi="黑体" w:eastAsia="黑体"/>
          <w:b/>
          <w:color w:val="auto"/>
          <w:sz w:val="24"/>
          <w:szCs w:val="24"/>
        </w:rPr>
        <w:t>四、保密要求</w:t>
      </w:r>
    </w:p>
    <w:p w14:paraId="0D36D8D4">
      <w:pPr>
        <w:pStyle w:val="72"/>
        <w:ind w:firstLine="480"/>
        <w:rPr>
          <w:rFonts w:ascii="宋体" w:hAnsi="宋体" w:cs="Arial"/>
          <w:szCs w:val="24"/>
          <w:shd w:val="clear" w:color="auto" w:fill="FFFFFF"/>
        </w:rPr>
      </w:pPr>
      <w:r>
        <w:rPr>
          <w:rFonts w:hint="eastAsia" w:ascii="宋体" w:hAnsi="宋体" w:cs="Arial"/>
          <w:szCs w:val="24"/>
          <w:shd w:val="clear" w:color="auto" w:fill="FFFFFF"/>
        </w:rPr>
        <w:t>投标人应做到下列保密义务：</w:t>
      </w:r>
    </w:p>
    <w:p w14:paraId="6D452A00">
      <w:pPr>
        <w:pStyle w:val="72"/>
        <w:ind w:firstLine="480"/>
        <w:rPr>
          <w:rFonts w:ascii="宋体" w:hAnsi="宋体" w:cs="Arial"/>
          <w:szCs w:val="24"/>
          <w:shd w:val="clear" w:color="auto" w:fill="FFFFFF"/>
        </w:rPr>
      </w:pPr>
      <w:r>
        <w:rPr>
          <w:rFonts w:hint="eastAsia" w:ascii="宋体" w:hAnsi="宋体" w:cs="Arial"/>
          <w:szCs w:val="24"/>
          <w:shd w:val="clear" w:color="auto" w:fill="FFFFFF"/>
        </w:rPr>
        <w:t>1、保密内容（包括技术信息）：所有项目相关的技术资料及商务文件。</w:t>
      </w:r>
    </w:p>
    <w:p w14:paraId="03B5168D">
      <w:pPr>
        <w:pStyle w:val="72"/>
        <w:ind w:firstLine="480"/>
        <w:rPr>
          <w:rFonts w:ascii="宋体" w:hAnsi="宋体" w:cs="Arial"/>
          <w:szCs w:val="24"/>
          <w:shd w:val="clear" w:color="auto" w:fill="FFFFFF"/>
        </w:rPr>
      </w:pPr>
      <w:r>
        <w:rPr>
          <w:rFonts w:hint="eastAsia" w:ascii="宋体" w:hAnsi="宋体" w:cs="Arial"/>
          <w:szCs w:val="24"/>
          <w:shd w:val="clear" w:color="auto" w:fill="FFFFFF"/>
        </w:rPr>
        <w:t>2、涉密人员范围：投标人所有项目参与成员。</w:t>
      </w:r>
    </w:p>
    <w:p w14:paraId="1B20920B">
      <w:pPr>
        <w:pStyle w:val="72"/>
        <w:ind w:firstLine="480"/>
        <w:rPr>
          <w:rFonts w:ascii="宋体" w:hAnsi="宋体" w:cs="Arial"/>
          <w:szCs w:val="24"/>
          <w:shd w:val="clear" w:color="auto" w:fill="FFFFFF"/>
        </w:rPr>
      </w:pPr>
      <w:r>
        <w:rPr>
          <w:rFonts w:hint="eastAsia" w:ascii="宋体" w:hAnsi="宋体" w:cs="Arial"/>
          <w:szCs w:val="24"/>
          <w:shd w:val="clear" w:color="auto" w:fill="FFFFFF"/>
        </w:rPr>
        <w:t>3、泄密责任：按照国家法律规定执行。</w:t>
      </w:r>
    </w:p>
    <w:p w14:paraId="16707CAC">
      <w:pPr>
        <w:adjustRightInd w:val="0"/>
        <w:snapToGrid w:val="0"/>
        <w:spacing w:before="120" w:beforeLines="50" w:line="300" w:lineRule="auto"/>
        <w:ind w:firstLine="482" w:firstLineChars="200"/>
        <w:rPr>
          <w:rFonts w:ascii="黑体" w:hAnsi="黑体" w:eastAsia="黑体"/>
          <w:b/>
          <w:color w:val="auto"/>
          <w:sz w:val="24"/>
          <w:szCs w:val="24"/>
        </w:rPr>
      </w:pPr>
      <w:r>
        <w:rPr>
          <w:rFonts w:hint="eastAsia" w:ascii="黑体" w:hAnsi="黑体" w:eastAsia="黑体"/>
          <w:b/>
          <w:color w:val="auto"/>
          <w:sz w:val="24"/>
          <w:szCs w:val="24"/>
        </w:rPr>
        <w:t>2.5安全</w:t>
      </w:r>
    </w:p>
    <w:p w14:paraId="00F2B009">
      <w:pPr>
        <w:widowControl w:val="0"/>
        <w:adjustRightInd w:val="0"/>
        <w:snapToGrid w:val="0"/>
        <w:spacing w:before="120" w:beforeLines="50" w:line="300" w:lineRule="auto"/>
        <w:ind w:left="22" w:firstLine="555"/>
        <w:jc w:val="left"/>
        <w:rPr>
          <w:color w:val="auto"/>
          <w:sz w:val="24"/>
          <w:szCs w:val="24"/>
        </w:rPr>
      </w:pPr>
      <w:r>
        <w:rPr>
          <w:rFonts w:hint="eastAsia"/>
          <w:color w:val="auto"/>
          <w:sz w:val="24"/>
          <w:szCs w:val="24"/>
        </w:rPr>
        <w:t>投标服务（及所涉货物材料设施）应符合国家、行业的各</w:t>
      </w:r>
      <w:r>
        <w:rPr>
          <w:color w:val="auto"/>
          <w:sz w:val="24"/>
          <w:szCs w:val="24"/>
        </w:rPr>
        <w:t>项</w:t>
      </w:r>
      <w:r>
        <w:rPr>
          <w:rFonts w:hint="eastAsia"/>
          <w:color w:val="auto"/>
          <w:sz w:val="24"/>
          <w:szCs w:val="24"/>
        </w:rPr>
        <w:t>安全标准，投标人</w:t>
      </w:r>
      <w:r>
        <w:rPr>
          <w:color w:val="auto"/>
          <w:sz w:val="24"/>
          <w:szCs w:val="24"/>
        </w:rPr>
        <w:t>对</w:t>
      </w:r>
      <w:r>
        <w:rPr>
          <w:rFonts w:hint="eastAsia"/>
          <w:color w:val="auto"/>
          <w:sz w:val="24"/>
          <w:szCs w:val="24"/>
        </w:rPr>
        <w:t>所投服务（及所涉货物材料设施）的</w:t>
      </w:r>
      <w:r>
        <w:rPr>
          <w:color w:val="auto"/>
          <w:sz w:val="24"/>
          <w:szCs w:val="24"/>
        </w:rPr>
        <w:t>安全性承担全部责任。</w:t>
      </w:r>
      <w:r>
        <w:rPr>
          <w:rFonts w:hint="eastAsia"/>
          <w:color w:val="auto"/>
          <w:sz w:val="24"/>
          <w:szCs w:val="24"/>
        </w:rPr>
        <w:t>服务期内不符合保障人身、财产安全的国家标准、行业标准的服务（及所涉货物材料设施），将</w:t>
      </w:r>
      <w:r>
        <w:rPr>
          <w:color w:val="auto"/>
          <w:sz w:val="24"/>
          <w:szCs w:val="24"/>
        </w:rPr>
        <w:t>依法承担民事及相应刑事责任</w:t>
      </w:r>
      <w:r>
        <w:rPr>
          <w:rFonts w:hint="eastAsia"/>
          <w:color w:val="auto"/>
          <w:sz w:val="24"/>
          <w:szCs w:val="24"/>
        </w:rPr>
        <w:t>。合</w:t>
      </w:r>
      <w:r>
        <w:rPr>
          <w:color w:val="auto"/>
          <w:sz w:val="24"/>
          <w:szCs w:val="24"/>
        </w:rPr>
        <w:t>同履行中的安全责任由</w:t>
      </w:r>
      <w:r>
        <w:rPr>
          <w:rFonts w:hint="eastAsia"/>
          <w:color w:val="auto"/>
          <w:sz w:val="24"/>
          <w:szCs w:val="24"/>
        </w:rPr>
        <w:t>成交供应商</w:t>
      </w:r>
      <w:r>
        <w:rPr>
          <w:color w:val="auto"/>
          <w:sz w:val="24"/>
          <w:szCs w:val="24"/>
        </w:rPr>
        <w:t>承担全部责任。</w:t>
      </w:r>
    </w:p>
    <w:p w14:paraId="796362CD">
      <w:pPr>
        <w:adjustRightInd w:val="0"/>
        <w:snapToGrid w:val="0"/>
        <w:spacing w:before="120"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6</w:t>
      </w:r>
      <w:r>
        <w:rPr>
          <w:rFonts w:ascii="黑体" w:hAnsi="黑体" w:eastAsia="黑体"/>
          <w:b/>
          <w:color w:val="auto"/>
          <w:sz w:val="24"/>
          <w:szCs w:val="24"/>
        </w:rPr>
        <w:t xml:space="preserve"> </w:t>
      </w:r>
      <w:r>
        <w:rPr>
          <w:rFonts w:hint="eastAsia" w:ascii="黑体" w:hAnsi="黑体" w:eastAsia="黑体"/>
          <w:b/>
          <w:color w:val="auto"/>
          <w:sz w:val="24"/>
          <w:szCs w:val="24"/>
        </w:rPr>
        <w:t>投</w:t>
      </w:r>
      <w:r>
        <w:rPr>
          <w:rFonts w:ascii="黑体" w:hAnsi="黑体" w:eastAsia="黑体"/>
          <w:b/>
          <w:color w:val="auto"/>
          <w:sz w:val="24"/>
          <w:szCs w:val="24"/>
        </w:rPr>
        <w:t>标文件</w:t>
      </w:r>
      <w:r>
        <w:rPr>
          <w:rFonts w:hint="eastAsia" w:ascii="黑体" w:hAnsi="黑体" w:eastAsia="黑体"/>
          <w:b/>
          <w:color w:val="auto"/>
          <w:sz w:val="24"/>
          <w:szCs w:val="24"/>
        </w:rPr>
        <w:t>对“具体服务要求及标段（包）内容（范围）”的</w:t>
      </w:r>
      <w:r>
        <w:rPr>
          <w:rFonts w:ascii="黑体" w:hAnsi="黑体" w:eastAsia="黑体"/>
          <w:b/>
          <w:color w:val="auto"/>
          <w:sz w:val="24"/>
          <w:szCs w:val="24"/>
        </w:rPr>
        <w:t>响应</w:t>
      </w:r>
    </w:p>
    <w:p w14:paraId="16402FF1">
      <w:pPr>
        <w:widowControl w:val="0"/>
        <w:adjustRightInd w:val="0"/>
        <w:snapToGrid w:val="0"/>
        <w:spacing w:before="120" w:beforeLines="50" w:line="300" w:lineRule="auto"/>
        <w:ind w:left="22" w:firstLine="555"/>
        <w:jc w:val="left"/>
        <w:rPr>
          <w:color w:val="auto"/>
          <w:sz w:val="24"/>
          <w:szCs w:val="24"/>
        </w:rPr>
      </w:pPr>
      <w:r>
        <w:rPr>
          <w:rFonts w:hint="eastAsia"/>
          <w:color w:val="auto"/>
          <w:sz w:val="24"/>
          <w:szCs w:val="24"/>
        </w:rPr>
        <w:t>“</w:t>
      </w:r>
      <w:r>
        <w:rPr>
          <w:rFonts w:ascii="宋体" w:hAnsi="宋体"/>
          <w:color w:val="auto"/>
          <w:sz w:val="24"/>
          <w:szCs w:val="24"/>
        </w:rPr>
        <w:t>2.4</w:t>
      </w:r>
      <w:r>
        <w:rPr>
          <w:rFonts w:hint="eastAsia" w:ascii="宋体" w:hAnsi="宋体"/>
          <w:color w:val="auto"/>
          <w:sz w:val="24"/>
          <w:szCs w:val="24"/>
        </w:rPr>
        <w:t>具体服务要求及标段（包）内容（范围）</w:t>
      </w:r>
      <w:r>
        <w:rPr>
          <w:rFonts w:hint="eastAsia"/>
          <w:color w:val="auto"/>
          <w:sz w:val="24"/>
          <w:szCs w:val="24"/>
        </w:rPr>
        <w:t>”为采购</w:t>
      </w:r>
      <w:r>
        <w:rPr>
          <w:color w:val="auto"/>
          <w:sz w:val="24"/>
          <w:szCs w:val="24"/>
        </w:rPr>
        <w:t>需求的</w:t>
      </w:r>
      <w:r>
        <w:rPr>
          <w:rFonts w:hint="eastAsia"/>
          <w:color w:val="auto"/>
          <w:sz w:val="24"/>
          <w:szCs w:val="24"/>
        </w:rPr>
        <w:t>基础</w:t>
      </w:r>
      <w:r>
        <w:rPr>
          <w:color w:val="auto"/>
          <w:sz w:val="24"/>
          <w:szCs w:val="24"/>
        </w:rPr>
        <w:t>性</w:t>
      </w:r>
      <w:r>
        <w:rPr>
          <w:rFonts w:hint="eastAsia"/>
          <w:color w:val="auto"/>
          <w:sz w:val="24"/>
          <w:szCs w:val="24"/>
        </w:rPr>
        <w:t>要求，服务内容</w:t>
      </w:r>
      <w:r>
        <w:rPr>
          <w:color w:val="auto"/>
          <w:sz w:val="24"/>
          <w:szCs w:val="24"/>
        </w:rPr>
        <w:t>应当明确</w:t>
      </w:r>
      <w:r>
        <w:rPr>
          <w:rFonts w:hint="eastAsia"/>
          <w:color w:val="auto"/>
          <w:sz w:val="24"/>
          <w:szCs w:val="24"/>
        </w:rPr>
        <w:t>，服务所涉产品及技术参数应当明确并最</w:t>
      </w:r>
      <w:r>
        <w:rPr>
          <w:color w:val="auto"/>
          <w:sz w:val="24"/>
          <w:szCs w:val="24"/>
        </w:rPr>
        <w:t>终指向具体明确的产</w:t>
      </w:r>
      <w:r>
        <w:rPr>
          <w:rFonts w:hint="eastAsia"/>
          <w:color w:val="auto"/>
          <w:sz w:val="24"/>
          <w:szCs w:val="24"/>
        </w:rPr>
        <w:t>品。投</w:t>
      </w:r>
      <w:r>
        <w:rPr>
          <w:color w:val="auto"/>
          <w:sz w:val="24"/>
          <w:szCs w:val="24"/>
        </w:rPr>
        <w:t>标</w:t>
      </w:r>
      <w:r>
        <w:rPr>
          <w:rFonts w:hint="eastAsia"/>
          <w:color w:val="auto"/>
          <w:sz w:val="24"/>
          <w:szCs w:val="24"/>
        </w:rPr>
        <w:t>文</w:t>
      </w:r>
      <w:r>
        <w:rPr>
          <w:color w:val="auto"/>
          <w:sz w:val="24"/>
          <w:szCs w:val="24"/>
        </w:rPr>
        <w:t>件</w:t>
      </w:r>
      <w:r>
        <w:rPr>
          <w:rFonts w:hint="eastAsia"/>
          <w:color w:val="auto"/>
          <w:sz w:val="24"/>
          <w:szCs w:val="24"/>
        </w:rPr>
        <w:t>技术参数抄袭单一来源采购文件“</w:t>
      </w:r>
      <w:r>
        <w:rPr>
          <w:rFonts w:hint="eastAsia" w:ascii="宋体" w:hAnsi="宋体"/>
          <w:color w:val="auto"/>
          <w:sz w:val="24"/>
          <w:szCs w:val="24"/>
        </w:rPr>
        <w:t>具体服务要求及标段（包）内容（范围）</w:t>
      </w:r>
      <w:r>
        <w:rPr>
          <w:rFonts w:hint="eastAsia"/>
          <w:color w:val="auto"/>
          <w:sz w:val="24"/>
          <w:szCs w:val="24"/>
        </w:rPr>
        <w:t>”，投</w:t>
      </w:r>
      <w:r>
        <w:rPr>
          <w:color w:val="auto"/>
          <w:sz w:val="24"/>
          <w:szCs w:val="24"/>
        </w:rPr>
        <w:t>标产品</w:t>
      </w:r>
      <w:r>
        <w:rPr>
          <w:rFonts w:hint="eastAsia"/>
          <w:color w:val="auto"/>
          <w:sz w:val="24"/>
          <w:szCs w:val="24"/>
        </w:rPr>
        <w:t>不</w:t>
      </w:r>
      <w:r>
        <w:rPr>
          <w:color w:val="auto"/>
          <w:sz w:val="24"/>
          <w:szCs w:val="24"/>
        </w:rPr>
        <w:t>明确</w:t>
      </w:r>
      <w:r>
        <w:rPr>
          <w:rFonts w:hint="eastAsia"/>
          <w:color w:val="auto"/>
          <w:sz w:val="24"/>
          <w:szCs w:val="24"/>
        </w:rPr>
        <w:t>的</w:t>
      </w:r>
      <w:r>
        <w:rPr>
          <w:color w:val="auto"/>
          <w:sz w:val="24"/>
          <w:szCs w:val="24"/>
        </w:rPr>
        <w:t>、或</w:t>
      </w:r>
      <w:r>
        <w:rPr>
          <w:rFonts w:hint="eastAsia"/>
          <w:color w:val="auto"/>
          <w:sz w:val="24"/>
          <w:szCs w:val="24"/>
        </w:rPr>
        <w:t>与投</w:t>
      </w:r>
      <w:r>
        <w:rPr>
          <w:color w:val="auto"/>
          <w:sz w:val="24"/>
          <w:szCs w:val="24"/>
        </w:rPr>
        <w:t>标产品</w:t>
      </w:r>
      <w:r>
        <w:rPr>
          <w:rFonts w:hint="eastAsia"/>
          <w:color w:val="auto"/>
          <w:sz w:val="24"/>
          <w:szCs w:val="24"/>
        </w:rPr>
        <w:t>不</w:t>
      </w:r>
      <w:r>
        <w:rPr>
          <w:color w:val="auto"/>
          <w:sz w:val="24"/>
          <w:szCs w:val="24"/>
        </w:rPr>
        <w:t>一致</w:t>
      </w:r>
      <w:r>
        <w:rPr>
          <w:rFonts w:hint="eastAsia"/>
          <w:color w:val="auto"/>
          <w:sz w:val="24"/>
          <w:szCs w:val="24"/>
        </w:rPr>
        <w:t>的</w:t>
      </w:r>
      <w:r>
        <w:rPr>
          <w:color w:val="auto"/>
          <w:sz w:val="24"/>
          <w:szCs w:val="24"/>
        </w:rPr>
        <w:t>，</w:t>
      </w:r>
      <w:r>
        <w:rPr>
          <w:rFonts w:hint="eastAsia"/>
          <w:color w:val="auto"/>
          <w:sz w:val="24"/>
          <w:szCs w:val="24"/>
        </w:rPr>
        <w:t>谈判小组有权按照实质性判断原则评定其为无效投标。</w:t>
      </w:r>
    </w:p>
    <w:p w14:paraId="50797296">
      <w:pPr>
        <w:adjustRightInd w:val="0"/>
        <w:snapToGrid w:val="0"/>
        <w:spacing w:before="120"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7技术偏离</w:t>
      </w:r>
    </w:p>
    <w:p w14:paraId="0CAF723F">
      <w:pPr>
        <w:widowControl w:val="0"/>
        <w:adjustRightInd w:val="0"/>
        <w:snapToGrid w:val="0"/>
        <w:spacing w:before="120" w:beforeLines="50" w:line="300" w:lineRule="auto"/>
        <w:ind w:firstLine="540"/>
        <w:rPr>
          <w:rFonts w:ascii="宋体" w:hAnsi="宋体"/>
          <w:color w:val="auto"/>
          <w:sz w:val="24"/>
          <w:szCs w:val="24"/>
        </w:rPr>
      </w:pPr>
      <w:r>
        <w:rPr>
          <w:color w:val="auto"/>
          <w:sz w:val="24"/>
          <w:szCs w:val="24"/>
        </w:rPr>
        <w:t>2.</w:t>
      </w:r>
      <w:r>
        <w:rPr>
          <w:rFonts w:hint="eastAsia"/>
          <w:color w:val="auto"/>
          <w:sz w:val="24"/>
          <w:szCs w:val="24"/>
        </w:rPr>
        <w:t>7</w:t>
      </w:r>
      <w:r>
        <w:rPr>
          <w:color w:val="auto"/>
          <w:sz w:val="24"/>
          <w:szCs w:val="24"/>
        </w:rPr>
        <w:t>.</w:t>
      </w:r>
      <w:r>
        <w:rPr>
          <w:rFonts w:hint="eastAsia"/>
          <w:color w:val="auto"/>
          <w:sz w:val="24"/>
          <w:szCs w:val="24"/>
        </w:rPr>
        <w:t>1★</w:t>
      </w:r>
      <w:r>
        <w:rPr>
          <w:rFonts w:hint="eastAsia" w:asciiTheme="majorEastAsia" w:hAnsiTheme="majorEastAsia" w:eastAsiaTheme="majorEastAsia"/>
          <w:color w:val="auto"/>
          <w:sz w:val="24"/>
          <w:szCs w:val="24"/>
        </w:rPr>
        <w:t>服务所涉货物材料设施的</w:t>
      </w:r>
      <w:r>
        <w:rPr>
          <w:rFonts w:hint="eastAsia" w:ascii="黑体" w:hAnsi="黑体" w:eastAsia="黑体"/>
          <w:b/>
          <w:color w:val="auto"/>
          <w:sz w:val="24"/>
          <w:szCs w:val="24"/>
        </w:rPr>
        <w:t>不接受负偏差，低于“具体服务要求”的、为无效投标。</w:t>
      </w:r>
    </w:p>
    <w:p w14:paraId="2DB88CD6">
      <w:pPr>
        <w:widowControl w:val="0"/>
        <w:adjustRightInd w:val="0"/>
        <w:snapToGrid w:val="0"/>
        <w:spacing w:before="120" w:beforeLines="50" w:line="300" w:lineRule="auto"/>
        <w:ind w:left="22" w:firstLine="555"/>
        <w:jc w:val="left"/>
        <w:rPr>
          <w:color w:val="auto"/>
          <w:sz w:val="24"/>
          <w:szCs w:val="24"/>
        </w:rPr>
      </w:pPr>
      <w:r>
        <w:rPr>
          <w:color w:val="auto"/>
          <w:sz w:val="24"/>
          <w:szCs w:val="24"/>
        </w:rPr>
        <w:t>2.</w:t>
      </w:r>
      <w:r>
        <w:rPr>
          <w:rFonts w:hint="eastAsia"/>
          <w:color w:val="auto"/>
          <w:sz w:val="24"/>
          <w:szCs w:val="24"/>
        </w:rPr>
        <w:t>7</w:t>
      </w:r>
      <w:r>
        <w:rPr>
          <w:color w:val="auto"/>
          <w:sz w:val="24"/>
          <w:szCs w:val="24"/>
        </w:rPr>
        <w:t>.</w:t>
      </w:r>
      <w:r>
        <w:rPr>
          <w:rFonts w:hint="eastAsia"/>
          <w:color w:val="auto"/>
          <w:sz w:val="24"/>
          <w:szCs w:val="24"/>
        </w:rPr>
        <w:t>2 除服务所涉货物材料设施的</w:t>
      </w:r>
      <w:r>
        <w:rPr>
          <w:rFonts w:hint="eastAsia" w:ascii="黑体" w:hAnsi="黑体" w:eastAsia="黑体"/>
          <w:b/>
          <w:color w:val="auto"/>
          <w:sz w:val="24"/>
          <w:szCs w:val="24"/>
        </w:rPr>
        <w:t>技术偏离外，其他内容不接受负偏差</w:t>
      </w:r>
    </w:p>
    <w:p w14:paraId="69E82863">
      <w:pPr>
        <w:widowControl w:val="0"/>
        <w:adjustRightInd w:val="0"/>
        <w:snapToGrid w:val="0"/>
        <w:spacing w:before="120" w:beforeLines="50" w:line="300" w:lineRule="auto"/>
        <w:ind w:left="22" w:firstLine="555"/>
        <w:jc w:val="left"/>
        <w:rPr>
          <w:color w:val="auto"/>
          <w:sz w:val="24"/>
          <w:szCs w:val="24"/>
        </w:rPr>
      </w:pPr>
      <w:r>
        <w:rPr>
          <w:color w:val="auto"/>
          <w:sz w:val="24"/>
          <w:szCs w:val="24"/>
        </w:rPr>
        <w:t>2.</w:t>
      </w:r>
      <w:r>
        <w:rPr>
          <w:rFonts w:hint="eastAsia"/>
          <w:color w:val="auto"/>
          <w:sz w:val="24"/>
          <w:szCs w:val="24"/>
        </w:rPr>
        <w:t>7.3投标文件对技术偏差的描述要求：见第三章投标人须知</w:t>
      </w:r>
      <w:r>
        <w:rPr>
          <w:color w:val="auto"/>
          <w:sz w:val="24"/>
          <w:szCs w:val="24"/>
        </w:rPr>
        <w:t>3.7.3</w:t>
      </w:r>
      <w:r>
        <w:rPr>
          <w:rFonts w:hint="eastAsia"/>
          <w:color w:val="auto"/>
          <w:sz w:val="24"/>
          <w:szCs w:val="24"/>
        </w:rPr>
        <w:t>项。</w:t>
      </w:r>
    </w:p>
    <w:p w14:paraId="2373BFFF">
      <w:pPr>
        <w:adjustRightInd w:val="0"/>
        <w:snapToGrid w:val="0"/>
        <w:spacing w:line="300" w:lineRule="auto"/>
        <w:ind w:firstLine="566" w:firstLineChars="235"/>
        <w:jc w:val="left"/>
        <w:rPr>
          <w:rFonts w:ascii="黑体" w:hAnsi="黑体" w:eastAsia="黑体"/>
          <w:b/>
          <w:color w:val="auto"/>
          <w:sz w:val="24"/>
          <w:szCs w:val="24"/>
          <w:highlight w:val="red"/>
        </w:rPr>
      </w:pPr>
    </w:p>
    <w:p w14:paraId="7F7618CF">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8</w:t>
      </w:r>
      <w:r>
        <w:rPr>
          <w:rFonts w:ascii="黑体" w:hAnsi="黑体" w:eastAsia="黑体"/>
          <w:b/>
          <w:color w:val="auto"/>
          <w:sz w:val="24"/>
          <w:szCs w:val="24"/>
        </w:rPr>
        <w:t xml:space="preserve"> </w:t>
      </w:r>
      <w:r>
        <w:rPr>
          <w:rFonts w:hint="eastAsia" w:ascii="黑体" w:hAnsi="黑体" w:eastAsia="黑体"/>
          <w:b/>
          <w:color w:val="auto"/>
          <w:sz w:val="24"/>
          <w:szCs w:val="24"/>
        </w:rPr>
        <w:t>合同履行期限后、服务项目所涉货物的售后服务</w:t>
      </w:r>
    </w:p>
    <w:p w14:paraId="4DE86A7A">
      <w:pPr>
        <w:adjustRightInd w:val="0"/>
        <w:snapToGrid w:val="0"/>
        <w:spacing w:line="300" w:lineRule="auto"/>
        <w:ind w:firstLine="564" w:firstLineChars="235"/>
        <w:jc w:val="left"/>
        <w:rPr>
          <w:color w:val="auto"/>
          <w:sz w:val="24"/>
          <w:szCs w:val="24"/>
        </w:rPr>
      </w:pPr>
      <w:r>
        <w:rPr>
          <w:rFonts w:hint="eastAsia"/>
          <w:color w:val="auto"/>
          <w:sz w:val="24"/>
          <w:szCs w:val="24"/>
        </w:rPr>
        <w:t>无特殊要求，服务要求中已作要求的从其要求。</w:t>
      </w:r>
    </w:p>
    <w:p w14:paraId="1D10875E">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9保险、所涉货物包装</w:t>
      </w:r>
    </w:p>
    <w:p w14:paraId="7A8DB4B0">
      <w:pPr>
        <w:adjustRightInd w:val="0"/>
        <w:snapToGrid w:val="0"/>
        <w:spacing w:line="300" w:lineRule="auto"/>
        <w:ind w:firstLine="564" w:firstLineChars="235"/>
        <w:jc w:val="left"/>
        <w:rPr>
          <w:color w:val="auto"/>
          <w:sz w:val="24"/>
          <w:szCs w:val="24"/>
        </w:rPr>
      </w:pPr>
      <w:r>
        <w:rPr>
          <w:rFonts w:hint="eastAsia"/>
          <w:color w:val="auto"/>
          <w:sz w:val="24"/>
          <w:szCs w:val="24"/>
        </w:rPr>
        <w:t>2.9.1保险（如需）：</w:t>
      </w:r>
    </w:p>
    <w:p w14:paraId="158B9870">
      <w:pPr>
        <w:adjustRightInd w:val="0"/>
        <w:snapToGrid w:val="0"/>
        <w:spacing w:line="300" w:lineRule="auto"/>
        <w:ind w:firstLine="564" w:firstLineChars="235"/>
        <w:jc w:val="left"/>
        <w:rPr>
          <w:color w:val="auto"/>
          <w:sz w:val="24"/>
          <w:szCs w:val="24"/>
        </w:rPr>
      </w:pPr>
      <w:r>
        <w:rPr>
          <w:rFonts w:hint="eastAsia"/>
          <w:color w:val="auto"/>
          <w:sz w:val="24"/>
          <w:szCs w:val="24"/>
        </w:rPr>
        <w:t>投标人应遵循国家相关保险的规定，依照法规规定，根据项目属性需要，办理货物设施等的财产保险、危险作业人员的工伤和意外伤害保险、设计和工程保险、第三方责任险，相关保险费用及相应责任由成交人承担。</w:t>
      </w:r>
    </w:p>
    <w:p w14:paraId="13824F6D">
      <w:pPr>
        <w:adjustRightInd w:val="0"/>
        <w:snapToGrid w:val="0"/>
        <w:spacing w:line="300" w:lineRule="auto"/>
        <w:ind w:firstLine="564" w:firstLineChars="235"/>
        <w:jc w:val="left"/>
        <w:rPr>
          <w:color w:val="auto"/>
          <w:sz w:val="24"/>
          <w:szCs w:val="24"/>
        </w:rPr>
      </w:pPr>
      <w:r>
        <w:rPr>
          <w:rFonts w:hint="eastAsia"/>
          <w:color w:val="auto"/>
          <w:sz w:val="24"/>
          <w:szCs w:val="24"/>
        </w:rPr>
        <w:t>2.9.2所涉货物包装：</w:t>
      </w:r>
    </w:p>
    <w:p w14:paraId="5C2D7389">
      <w:pPr>
        <w:adjustRightInd w:val="0"/>
        <w:snapToGrid w:val="0"/>
        <w:spacing w:line="300" w:lineRule="auto"/>
        <w:ind w:firstLine="564" w:firstLineChars="235"/>
        <w:jc w:val="left"/>
        <w:rPr>
          <w:color w:val="auto"/>
          <w:sz w:val="24"/>
          <w:szCs w:val="24"/>
        </w:rPr>
      </w:pPr>
      <w:r>
        <w:rPr>
          <w:rFonts w:hint="eastAsia"/>
          <w:color w:val="auto"/>
          <w:sz w:val="24"/>
          <w:szCs w:val="24"/>
        </w:rPr>
        <w:t>成交人负责按国家相关标准进行货物包装，设备的包装均应有良好的防湿、防锈、防潮、防雨、防腐及防碰撞的措施，凡由于包装不良造成的损失和由此产生的费用均由成交人承担。</w:t>
      </w:r>
    </w:p>
    <w:p w14:paraId="7DDF099A">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10</w:t>
      </w:r>
      <w:r>
        <w:rPr>
          <w:rFonts w:ascii="黑体" w:hAnsi="黑体" w:eastAsia="黑体"/>
          <w:b/>
          <w:color w:val="auto"/>
          <w:sz w:val="24"/>
          <w:szCs w:val="24"/>
        </w:rPr>
        <w:t xml:space="preserve"> </w:t>
      </w:r>
      <w:r>
        <w:rPr>
          <w:rFonts w:hint="eastAsia" w:ascii="黑体" w:hAnsi="黑体" w:eastAsia="黑体"/>
          <w:b/>
          <w:color w:val="auto"/>
          <w:sz w:val="24"/>
          <w:szCs w:val="24"/>
        </w:rPr>
        <w:t>采购标的的验收标准</w:t>
      </w:r>
    </w:p>
    <w:p w14:paraId="1BE7FBC8">
      <w:pPr>
        <w:adjustRightInd w:val="0"/>
        <w:snapToGrid w:val="0"/>
        <w:spacing w:line="300" w:lineRule="auto"/>
        <w:ind w:firstLine="564" w:firstLineChars="235"/>
        <w:jc w:val="left"/>
        <w:rPr>
          <w:rFonts w:ascii="黑体" w:hAnsi="黑体" w:eastAsia="黑体"/>
          <w:b/>
          <w:color w:val="auto"/>
          <w:sz w:val="24"/>
          <w:szCs w:val="24"/>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第</w:t>
      </w:r>
      <w:r>
        <w:rPr>
          <w:rFonts w:ascii="宋体" w:hAnsi="宋体" w:cs="楷体_GB2312"/>
          <w:color w:val="auto"/>
          <w:sz w:val="24"/>
          <w:lang w:val="zh-CN"/>
        </w:rPr>
        <w:t>8</w:t>
      </w:r>
      <w:r>
        <w:rPr>
          <w:rFonts w:hint="eastAsia" w:ascii="宋体" w:hAnsi="宋体" w:cs="楷体_GB2312"/>
          <w:color w:val="auto"/>
          <w:sz w:val="24"/>
          <w:lang w:val="zh-CN"/>
        </w:rPr>
        <w:t>条“验收”条款。</w:t>
      </w:r>
    </w:p>
    <w:p w14:paraId="1A9A3A8A">
      <w:pPr>
        <w:adjustRightInd w:val="0"/>
        <w:snapToGrid w:val="0"/>
        <w:spacing w:before="120" w:beforeLines="50" w:line="300" w:lineRule="auto"/>
        <w:ind w:firstLine="566" w:firstLineChars="235"/>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11采购标的的其他技术、服务等要求</w:t>
      </w:r>
    </w:p>
    <w:p w14:paraId="3D32D2E2">
      <w:pPr>
        <w:adjustRightInd w:val="0"/>
        <w:snapToGrid w:val="0"/>
        <w:spacing w:before="120" w:beforeLines="50" w:line="300" w:lineRule="auto"/>
        <w:rPr>
          <w:rFonts w:ascii="黑体" w:hAnsi="黑体" w:eastAsia="黑体"/>
          <w:b/>
          <w:color w:val="auto"/>
          <w:sz w:val="24"/>
          <w:szCs w:val="24"/>
        </w:rPr>
      </w:pPr>
      <w:r>
        <w:rPr>
          <w:rFonts w:hint="eastAsia" w:ascii="黑体" w:hAnsi="黑体" w:eastAsia="黑体"/>
          <w:b/>
          <w:color w:val="auto"/>
          <w:sz w:val="24"/>
          <w:szCs w:val="24"/>
        </w:rPr>
        <w:t xml:space="preserve">  </w:t>
      </w:r>
      <w:r>
        <w:rPr>
          <w:rFonts w:hint="eastAsia"/>
          <w:color w:val="auto"/>
          <w:sz w:val="24"/>
          <w:szCs w:val="24"/>
        </w:rPr>
        <w:t xml:space="preserve"> 无</w:t>
      </w:r>
    </w:p>
    <w:p w14:paraId="4E64F697">
      <w:pPr>
        <w:adjustRightInd w:val="0"/>
        <w:snapToGrid w:val="0"/>
        <w:spacing w:before="120" w:beforeLines="50" w:line="300" w:lineRule="auto"/>
        <w:rPr>
          <w:rFonts w:ascii="黑体" w:hAnsi="黑体" w:eastAsia="黑体"/>
          <w:b/>
          <w:color w:val="auto"/>
          <w:sz w:val="24"/>
          <w:szCs w:val="24"/>
        </w:rPr>
      </w:pPr>
    </w:p>
    <w:p w14:paraId="0BF04DBC">
      <w:pPr>
        <w:adjustRightInd w:val="0"/>
        <w:snapToGrid w:val="0"/>
        <w:spacing w:before="120" w:beforeLines="50" w:line="300" w:lineRule="auto"/>
        <w:ind w:firstLine="562" w:firstLineChars="200"/>
        <w:outlineLvl w:val="1"/>
        <w:rPr>
          <w:rFonts w:ascii="黑体" w:hAnsi="黑体" w:eastAsia="黑体"/>
          <w:b/>
          <w:color w:val="auto"/>
          <w:sz w:val="28"/>
        </w:rPr>
      </w:pPr>
      <w:bookmarkStart w:id="6" w:name="_Toc65676676"/>
      <w:r>
        <w:rPr>
          <w:rFonts w:hint="eastAsia" w:ascii="黑体" w:hAnsi="黑体" w:eastAsia="黑体"/>
          <w:b/>
          <w:color w:val="auto"/>
          <w:sz w:val="28"/>
        </w:rPr>
        <w:t>3</w:t>
      </w:r>
      <w:r>
        <w:rPr>
          <w:rFonts w:ascii="黑体" w:hAnsi="黑体" w:eastAsia="黑体"/>
          <w:b/>
          <w:color w:val="auto"/>
          <w:sz w:val="28"/>
        </w:rPr>
        <w:t xml:space="preserve">. </w:t>
      </w:r>
      <w:r>
        <w:rPr>
          <w:rFonts w:hint="eastAsia" w:ascii="黑体" w:hAnsi="黑体" w:eastAsia="黑体"/>
          <w:b/>
          <w:color w:val="auto"/>
          <w:sz w:val="28"/>
        </w:rPr>
        <w:t>项目其他要求</w:t>
      </w:r>
      <w:bookmarkEnd w:id="6"/>
    </w:p>
    <w:p w14:paraId="45891B9A">
      <w:pPr>
        <w:adjustRightInd w:val="0"/>
        <w:snapToGrid w:val="0"/>
        <w:spacing w:before="120" w:beforeLines="50" w:line="300" w:lineRule="auto"/>
        <w:ind w:firstLine="482" w:firstLineChars="200"/>
        <w:rPr>
          <w:rFonts w:ascii="黑体" w:hAnsi="黑体" w:eastAsia="黑体"/>
          <w:b/>
          <w:color w:val="auto"/>
          <w:sz w:val="24"/>
          <w:szCs w:val="24"/>
        </w:rPr>
      </w:pPr>
      <w:r>
        <w:rPr>
          <w:rFonts w:hint="eastAsia" w:ascii="黑体" w:hAnsi="黑体" w:eastAsia="黑体"/>
          <w:b/>
          <w:color w:val="auto"/>
          <w:sz w:val="24"/>
          <w:szCs w:val="24"/>
        </w:rPr>
        <w:t>无</w:t>
      </w:r>
    </w:p>
    <w:p w14:paraId="3052FC5F">
      <w:pPr>
        <w:adjustRightInd w:val="0"/>
        <w:snapToGrid w:val="0"/>
        <w:spacing w:before="120" w:beforeLines="50" w:line="300" w:lineRule="auto"/>
        <w:ind w:firstLine="482" w:firstLineChars="200"/>
        <w:outlineLvl w:val="1"/>
        <w:rPr>
          <w:color w:val="auto"/>
          <w:sz w:val="24"/>
          <w:szCs w:val="24"/>
        </w:rPr>
      </w:pPr>
      <w:r>
        <w:rPr>
          <w:rFonts w:ascii="黑体" w:hAnsi="黑体" w:eastAsia="黑体"/>
          <w:b/>
          <w:color w:val="auto"/>
          <w:sz w:val="24"/>
          <w:szCs w:val="24"/>
        </w:rPr>
        <w:br w:type="page"/>
      </w:r>
    </w:p>
    <w:p w14:paraId="17E58ACC">
      <w:pPr>
        <w:widowControl w:val="0"/>
        <w:snapToGrid w:val="0"/>
        <w:spacing w:line="276" w:lineRule="auto"/>
        <w:outlineLvl w:val="0"/>
        <w:rPr>
          <w:rFonts w:eastAsia="黑体"/>
          <w:b/>
          <w:color w:val="auto"/>
          <w:sz w:val="24"/>
          <w:szCs w:val="24"/>
        </w:rPr>
      </w:pPr>
    </w:p>
    <w:p w14:paraId="4D3F8573">
      <w:pPr>
        <w:widowControl w:val="0"/>
        <w:snapToGrid w:val="0"/>
        <w:spacing w:line="560" w:lineRule="exact"/>
        <w:jc w:val="center"/>
        <w:outlineLvl w:val="0"/>
        <w:rPr>
          <w:rFonts w:eastAsia="黑体"/>
          <w:b/>
          <w:color w:val="auto"/>
          <w:sz w:val="36"/>
          <w:szCs w:val="36"/>
        </w:rPr>
      </w:pPr>
      <w:bookmarkStart w:id="7" w:name="_Toc58858964"/>
      <w:r>
        <w:rPr>
          <w:rFonts w:hint="eastAsia" w:eastAsia="黑体"/>
          <w:b/>
          <w:color w:val="auto"/>
          <w:sz w:val="36"/>
          <w:szCs w:val="36"/>
        </w:rPr>
        <w:t>第三章</w:t>
      </w:r>
      <w:r>
        <w:rPr>
          <w:rFonts w:eastAsia="黑体"/>
          <w:b/>
          <w:color w:val="auto"/>
          <w:sz w:val="36"/>
          <w:szCs w:val="36"/>
        </w:rPr>
        <w:t xml:space="preserve"> </w:t>
      </w:r>
      <w:r>
        <w:rPr>
          <w:rFonts w:hint="eastAsia" w:eastAsia="黑体"/>
          <w:b/>
          <w:color w:val="auto"/>
          <w:sz w:val="36"/>
          <w:szCs w:val="36"/>
        </w:rPr>
        <w:t xml:space="preserve"> 投标人须知</w:t>
      </w:r>
      <w:bookmarkEnd w:id="7"/>
    </w:p>
    <w:p w14:paraId="73DFE7F7">
      <w:pPr>
        <w:spacing w:line="276" w:lineRule="auto"/>
        <w:ind w:right="240"/>
        <w:jc w:val="center"/>
        <w:rPr>
          <w:rFonts w:eastAsia="黑体"/>
          <w:b/>
          <w:color w:val="auto"/>
          <w:spacing w:val="36"/>
          <w:sz w:val="24"/>
          <w:szCs w:val="24"/>
        </w:rPr>
      </w:pPr>
    </w:p>
    <w:p w14:paraId="1AEBFEE6">
      <w:pPr>
        <w:spacing w:line="360" w:lineRule="auto"/>
        <w:ind w:right="238"/>
        <w:jc w:val="left"/>
        <w:outlineLvl w:val="1"/>
        <w:rPr>
          <w:rFonts w:eastAsia="黑体"/>
          <w:b/>
          <w:color w:val="auto"/>
          <w:sz w:val="28"/>
          <w:szCs w:val="28"/>
        </w:rPr>
      </w:pPr>
      <w:bookmarkStart w:id="8" w:name="_Toc58858965"/>
      <w:r>
        <w:rPr>
          <w:rFonts w:hint="eastAsia" w:eastAsia="黑体"/>
          <w:b/>
          <w:color w:val="auto"/>
          <w:sz w:val="28"/>
          <w:szCs w:val="28"/>
        </w:rPr>
        <w:t>投标人须知前附表</w:t>
      </w:r>
      <w:bookmarkEnd w:id="8"/>
    </w:p>
    <w:tbl>
      <w:tblPr>
        <w:tblStyle w:val="24"/>
        <w:tblW w:w="9753" w:type="dxa"/>
        <w:jc w:val="center"/>
        <w:tblLayout w:type="fixed"/>
        <w:tblCellMar>
          <w:top w:w="0" w:type="dxa"/>
          <w:left w:w="108" w:type="dxa"/>
          <w:bottom w:w="0" w:type="dxa"/>
          <w:right w:w="108" w:type="dxa"/>
        </w:tblCellMar>
      </w:tblPr>
      <w:tblGrid>
        <w:gridCol w:w="498"/>
        <w:gridCol w:w="699"/>
        <w:gridCol w:w="1895"/>
        <w:gridCol w:w="6661"/>
      </w:tblGrid>
      <w:tr w14:paraId="45899BB9">
        <w:tblPrEx>
          <w:tblCellMar>
            <w:top w:w="0" w:type="dxa"/>
            <w:left w:w="108" w:type="dxa"/>
            <w:bottom w:w="0" w:type="dxa"/>
            <w:right w:w="108" w:type="dxa"/>
          </w:tblCellMar>
        </w:tblPrEx>
        <w:trPr>
          <w:trHeight w:val="571" w:hRule="atLeast"/>
          <w:jc w:val="center"/>
        </w:trPr>
        <w:tc>
          <w:tcPr>
            <w:tcW w:w="498" w:type="dxa"/>
            <w:tcBorders>
              <w:top w:val="single" w:color="auto" w:sz="12" w:space="0"/>
              <w:left w:val="single" w:color="auto" w:sz="12" w:space="0"/>
              <w:bottom w:val="single" w:color="auto" w:sz="6" w:space="0"/>
              <w:right w:val="single" w:color="auto" w:sz="6" w:space="0"/>
            </w:tcBorders>
          </w:tcPr>
          <w:p w14:paraId="3554A32A">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章节</w:t>
            </w:r>
          </w:p>
        </w:tc>
        <w:tc>
          <w:tcPr>
            <w:tcW w:w="699" w:type="dxa"/>
            <w:tcBorders>
              <w:top w:val="single" w:color="auto" w:sz="12" w:space="0"/>
              <w:left w:val="single" w:color="auto" w:sz="12" w:space="0"/>
              <w:bottom w:val="single" w:color="auto" w:sz="6" w:space="0"/>
              <w:right w:val="single" w:color="auto" w:sz="6" w:space="0"/>
            </w:tcBorders>
            <w:vAlign w:val="center"/>
          </w:tcPr>
          <w:p w14:paraId="3C10FB9E">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条款号</w:t>
            </w:r>
          </w:p>
        </w:tc>
        <w:tc>
          <w:tcPr>
            <w:tcW w:w="1895" w:type="dxa"/>
            <w:tcBorders>
              <w:top w:val="single" w:color="auto" w:sz="12" w:space="0"/>
              <w:left w:val="single" w:color="auto" w:sz="6" w:space="0"/>
              <w:bottom w:val="single" w:color="auto" w:sz="6" w:space="0"/>
              <w:right w:val="single" w:color="auto" w:sz="6" w:space="0"/>
            </w:tcBorders>
            <w:vAlign w:val="center"/>
          </w:tcPr>
          <w:p w14:paraId="4FF39EB2">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条款名称</w:t>
            </w:r>
          </w:p>
        </w:tc>
        <w:tc>
          <w:tcPr>
            <w:tcW w:w="6661" w:type="dxa"/>
            <w:tcBorders>
              <w:top w:val="single" w:color="auto" w:sz="12" w:space="0"/>
              <w:left w:val="single" w:color="auto" w:sz="6" w:space="0"/>
              <w:bottom w:val="single" w:color="auto" w:sz="6" w:space="0"/>
              <w:right w:val="single" w:color="auto" w:sz="12" w:space="0"/>
            </w:tcBorders>
            <w:vAlign w:val="center"/>
          </w:tcPr>
          <w:p w14:paraId="0F57834B">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编列内容</w:t>
            </w:r>
          </w:p>
        </w:tc>
      </w:tr>
      <w:tr w14:paraId="01235826">
        <w:tblPrEx>
          <w:tblCellMar>
            <w:top w:w="0" w:type="dxa"/>
            <w:left w:w="108" w:type="dxa"/>
            <w:bottom w:w="0" w:type="dxa"/>
            <w:right w:w="108" w:type="dxa"/>
          </w:tblCellMar>
        </w:tblPrEx>
        <w:trPr>
          <w:trHeight w:val="422" w:hRule="atLeast"/>
          <w:jc w:val="center"/>
        </w:trPr>
        <w:tc>
          <w:tcPr>
            <w:tcW w:w="498" w:type="dxa"/>
            <w:vMerge w:val="restart"/>
            <w:tcBorders>
              <w:top w:val="single" w:color="auto" w:sz="6" w:space="0"/>
              <w:left w:val="single" w:color="auto" w:sz="12" w:space="0"/>
              <w:right w:val="single" w:color="auto" w:sz="6" w:space="0"/>
            </w:tcBorders>
            <w:vAlign w:val="center"/>
          </w:tcPr>
          <w:p w14:paraId="5FB50FD6">
            <w:pPr>
              <w:autoSpaceDE w:val="0"/>
              <w:autoSpaceDN w:val="0"/>
              <w:adjustRightInd w:val="0"/>
              <w:snapToGrid w:val="0"/>
              <w:spacing w:line="240" w:lineRule="auto"/>
              <w:rPr>
                <w:rFonts w:ascii="宋体" w:cs="楷体_GB2312"/>
                <w:b/>
                <w:bCs/>
                <w:color w:val="auto"/>
                <w:sz w:val="24"/>
              </w:rPr>
            </w:pPr>
            <w:r>
              <w:rPr>
                <w:rFonts w:hint="eastAsia" w:ascii="宋体" w:hAnsi="宋体" w:cs="楷体_GB2312"/>
                <w:b/>
                <w:bCs/>
                <w:color w:val="auto"/>
                <w:sz w:val="24"/>
              </w:rPr>
              <w:t>第一章</w:t>
            </w:r>
          </w:p>
        </w:tc>
        <w:tc>
          <w:tcPr>
            <w:tcW w:w="699" w:type="dxa"/>
            <w:tcBorders>
              <w:top w:val="single" w:color="auto" w:sz="6" w:space="0"/>
              <w:left w:val="single" w:color="auto" w:sz="12" w:space="0"/>
              <w:bottom w:val="single" w:color="auto" w:sz="6" w:space="0"/>
              <w:right w:val="single" w:color="auto" w:sz="6" w:space="0"/>
            </w:tcBorders>
            <w:vAlign w:val="center"/>
          </w:tcPr>
          <w:p w14:paraId="33D0DB97">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1.1</w:t>
            </w:r>
          </w:p>
        </w:tc>
        <w:tc>
          <w:tcPr>
            <w:tcW w:w="1895" w:type="dxa"/>
            <w:tcBorders>
              <w:top w:val="single" w:color="auto" w:sz="6" w:space="0"/>
              <w:left w:val="single" w:color="auto" w:sz="6" w:space="0"/>
              <w:bottom w:val="single" w:color="auto" w:sz="6" w:space="0"/>
              <w:right w:val="single" w:color="auto" w:sz="6" w:space="0"/>
            </w:tcBorders>
            <w:vAlign w:val="center"/>
          </w:tcPr>
          <w:p w14:paraId="60D84749">
            <w:pPr>
              <w:autoSpaceDE w:val="0"/>
              <w:autoSpaceDN w:val="0"/>
              <w:adjustRightInd w:val="0"/>
              <w:snapToGrid w:val="0"/>
              <w:spacing w:line="240" w:lineRule="auto"/>
              <w:jc w:val="center"/>
              <w:rPr>
                <w:rFonts w:ascii="宋体" w:cs="楷体_GB2312"/>
                <w:color w:val="auto"/>
                <w:sz w:val="24"/>
                <w:lang w:val="zh-CN"/>
              </w:rPr>
            </w:pPr>
            <w:r>
              <w:rPr>
                <w:rFonts w:hint="eastAsia" w:ascii="宋体" w:hAnsi="宋体" w:cs="楷体_GB2312"/>
                <w:b/>
                <w:bCs/>
                <w:color w:val="auto"/>
                <w:sz w:val="24"/>
              </w:rPr>
              <w:t>采购项目名称</w:t>
            </w:r>
          </w:p>
        </w:tc>
        <w:tc>
          <w:tcPr>
            <w:tcW w:w="6661" w:type="dxa"/>
            <w:tcBorders>
              <w:top w:val="single" w:color="auto" w:sz="6" w:space="0"/>
              <w:left w:val="single" w:color="auto" w:sz="6" w:space="0"/>
              <w:bottom w:val="single" w:color="auto" w:sz="6" w:space="0"/>
              <w:right w:val="single" w:color="auto" w:sz="12" w:space="0"/>
            </w:tcBorders>
            <w:vAlign w:val="center"/>
          </w:tcPr>
          <w:p w14:paraId="1681FDBD">
            <w:pPr>
              <w:autoSpaceDE w:val="0"/>
              <w:autoSpaceDN w:val="0"/>
              <w:adjustRightInd w:val="0"/>
              <w:snapToGrid w:val="0"/>
              <w:spacing w:before="120" w:beforeLines="50" w:line="240" w:lineRule="auto"/>
              <w:rPr>
                <w:rFonts w:ascii="宋体" w:cs="楷体_GB2312"/>
                <w:color w:val="auto"/>
                <w:sz w:val="24"/>
                <w:lang w:val="zh-CN"/>
              </w:rPr>
            </w:pPr>
            <w:r>
              <w:rPr>
                <w:rFonts w:hint="eastAsia"/>
                <w:color w:val="auto"/>
                <w:sz w:val="24"/>
                <w:szCs w:val="24"/>
              </w:rPr>
              <w:t>见“第一章 谈判邀请函”相应条款</w:t>
            </w:r>
          </w:p>
        </w:tc>
      </w:tr>
      <w:tr w14:paraId="6BC0687A">
        <w:tblPrEx>
          <w:tblCellMar>
            <w:top w:w="0" w:type="dxa"/>
            <w:left w:w="108" w:type="dxa"/>
            <w:bottom w:w="0" w:type="dxa"/>
            <w:right w:w="108" w:type="dxa"/>
          </w:tblCellMar>
        </w:tblPrEx>
        <w:trPr>
          <w:trHeight w:val="422" w:hRule="atLeast"/>
          <w:jc w:val="center"/>
        </w:trPr>
        <w:tc>
          <w:tcPr>
            <w:tcW w:w="498" w:type="dxa"/>
            <w:vMerge w:val="continue"/>
            <w:tcBorders>
              <w:top w:val="single" w:color="auto" w:sz="6" w:space="0"/>
              <w:left w:val="single" w:color="auto" w:sz="12" w:space="0"/>
              <w:right w:val="single" w:color="auto" w:sz="6" w:space="0"/>
            </w:tcBorders>
            <w:vAlign w:val="center"/>
          </w:tcPr>
          <w:p w14:paraId="41A1CEBE">
            <w:pPr>
              <w:autoSpaceDE w:val="0"/>
              <w:autoSpaceDN w:val="0"/>
              <w:adjustRightInd w:val="0"/>
              <w:snapToGrid w:val="0"/>
              <w:spacing w:line="240" w:lineRule="auto"/>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09402340">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1.2</w:t>
            </w:r>
          </w:p>
        </w:tc>
        <w:tc>
          <w:tcPr>
            <w:tcW w:w="1895" w:type="dxa"/>
            <w:tcBorders>
              <w:top w:val="single" w:color="auto" w:sz="6" w:space="0"/>
              <w:left w:val="single" w:color="auto" w:sz="6" w:space="0"/>
              <w:bottom w:val="single" w:color="auto" w:sz="6" w:space="0"/>
              <w:right w:val="single" w:color="auto" w:sz="6" w:space="0"/>
            </w:tcBorders>
            <w:vAlign w:val="center"/>
          </w:tcPr>
          <w:p w14:paraId="033CD459">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项目编号</w:t>
            </w:r>
          </w:p>
        </w:tc>
        <w:tc>
          <w:tcPr>
            <w:tcW w:w="6661" w:type="dxa"/>
            <w:tcBorders>
              <w:top w:val="single" w:color="auto" w:sz="6" w:space="0"/>
              <w:left w:val="single" w:color="auto" w:sz="6" w:space="0"/>
              <w:bottom w:val="single" w:color="auto" w:sz="6" w:space="0"/>
              <w:right w:val="single" w:color="auto" w:sz="12" w:space="0"/>
            </w:tcBorders>
            <w:vAlign w:val="center"/>
          </w:tcPr>
          <w:p w14:paraId="3F5A3427">
            <w:pPr>
              <w:autoSpaceDE w:val="0"/>
              <w:autoSpaceDN w:val="0"/>
              <w:adjustRightInd w:val="0"/>
              <w:snapToGrid w:val="0"/>
              <w:spacing w:before="120" w:beforeLines="50" w:line="240" w:lineRule="auto"/>
              <w:rPr>
                <w:color w:val="auto"/>
                <w:sz w:val="24"/>
                <w:szCs w:val="24"/>
              </w:rPr>
            </w:pPr>
            <w:r>
              <w:rPr>
                <w:rFonts w:hint="eastAsia"/>
                <w:color w:val="auto"/>
                <w:sz w:val="24"/>
                <w:szCs w:val="24"/>
              </w:rPr>
              <w:t>见“第一章 谈判邀请函”相应条款</w:t>
            </w:r>
          </w:p>
        </w:tc>
      </w:tr>
      <w:tr w14:paraId="24BA0631">
        <w:tblPrEx>
          <w:tblCellMar>
            <w:top w:w="0" w:type="dxa"/>
            <w:left w:w="108" w:type="dxa"/>
            <w:bottom w:w="0" w:type="dxa"/>
            <w:right w:w="108" w:type="dxa"/>
          </w:tblCellMar>
        </w:tblPrEx>
        <w:trPr>
          <w:trHeight w:val="422" w:hRule="atLeast"/>
          <w:jc w:val="center"/>
        </w:trPr>
        <w:tc>
          <w:tcPr>
            <w:tcW w:w="498" w:type="dxa"/>
            <w:vMerge w:val="continue"/>
            <w:tcBorders>
              <w:top w:val="single" w:color="auto" w:sz="6" w:space="0"/>
              <w:left w:val="single" w:color="auto" w:sz="12" w:space="0"/>
              <w:right w:val="single" w:color="auto" w:sz="6" w:space="0"/>
            </w:tcBorders>
            <w:vAlign w:val="center"/>
          </w:tcPr>
          <w:p w14:paraId="73D5A317">
            <w:pPr>
              <w:autoSpaceDE w:val="0"/>
              <w:autoSpaceDN w:val="0"/>
              <w:adjustRightInd w:val="0"/>
              <w:snapToGrid w:val="0"/>
              <w:spacing w:line="240" w:lineRule="auto"/>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2A390B78">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1.3</w:t>
            </w:r>
          </w:p>
        </w:tc>
        <w:tc>
          <w:tcPr>
            <w:tcW w:w="1895" w:type="dxa"/>
            <w:tcBorders>
              <w:top w:val="single" w:color="auto" w:sz="6" w:space="0"/>
              <w:left w:val="single" w:color="auto" w:sz="6" w:space="0"/>
              <w:bottom w:val="single" w:color="auto" w:sz="6" w:space="0"/>
              <w:right w:val="single" w:color="auto" w:sz="6" w:space="0"/>
            </w:tcBorders>
            <w:vAlign w:val="center"/>
          </w:tcPr>
          <w:p w14:paraId="6574A5C6">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采购方式</w:t>
            </w:r>
          </w:p>
        </w:tc>
        <w:tc>
          <w:tcPr>
            <w:tcW w:w="6661" w:type="dxa"/>
            <w:tcBorders>
              <w:top w:val="single" w:color="auto" w:sz="6" w:space="0"/>
              <w:left w:val="single" w:color="auto" w:sz="6" w:space="0"/>
              <w:bottom w:val="single" w:color="auto" w:sz="6" w:space="0"/>
              <w:right w:val="single" w:color="auto" w:sz="12" w:space="0"/>
            </w:tcBorders>
            <w:vAlign w:val="center"/>
          </w:tcPr>
          <w:p w14:paraId="78B58148">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olor w:val="auto"/>
                <w:sz w:val="24"/>
                <w:szCs w:val="24"/>
              </w:rPr>
              <w:t>单一来源</w:t>
            </w:r>
          </w:p>
        </w:tc>
      </w:tr>
      <w:tr w14:paraId="781E6133">
        <w:tblPrEx>
          <w:tblCellMar>
            <w:top w:w="0" w:type="dxa"/>
            <w:left w:w="108" w:type="dxa"/>
            <w:bottom w:w="0" w:type="dxa"/>
            <w:right w:w="108" w:type="dxa"/>
          </w:tblCellMar>
        </w:tblPrEx>
        <w:trPr>
          <w:trHeight w:val="370" w:hRule="atLeast"/>
          <w:jc w:val="center"/>
        </w:trPr>
        <w:tc>
          <w:tcPr>
            <w:tcW w:w="498" w:type="dxa"/>
            <w:vMerge w:val="continue"/>
            <w:tcBorders>
              <w:left w:val="single" w:color="auto" w:sz="12" w:space="0"/>
              <w:right w:val="single" w:color="auto" w:sz="6" w:space="0"/>
            </w:tcBorders>
          </w:tcPr>
          <w:p w14:paraId="43A97A55">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5362E1F4">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1.5</w:t>
            </w:r>
          </w:p>
        </w:tc>
        <w:tc>
          <w:tcPr>
            <w:tcW w:w="1895" w:type="dxa"/>
            <w:tcBorders>
              <w:top w:val="single" w:color="auto" w:sz="6" w:space="0"/>
              <w:left w:val="single" w:color="auto" w:sz="6" w:space="0"/>
              <w:bottom w:val="single" w:color="auto" w:sz="6" w:space="0"/>
              <w:right w:val="single" w:color="auto" w:sz="6" w:space="0"/>
            </w:tcBorders>
            <w:vAlign w:val="center"/>
          </w:tcPr>
          <w:p w14:paraId="017889EF">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预算金额</w:t>
            </w:r>
          </w:p>
        </w:tc>
        <w:tc>
          <w:tcPr>
            <w:tcW w:w="6661" w:type="dxa"/>
            <w:tcBorders>
              <w:top w:val="single" w:color="auto" w:sz="6" w:space="0"/>
              <w:left w:val="single" w:color="auto" w:sz="6" w:space="0"/>
              <w:bottom w:val="single" w:color="auto" w:sz="6" w:space="0"/>
              <w:right w:val="single" w:color="auto" w:sz="12" w:space="0"/>
            </w:tcBorders>
            <w:vAlign w:val="center"/>
          </w:tcPr>
          <w:p w14:paraId="4CCCE1AF">
            <w:pPr>
              <w:autoSpaceDE w:val="0"/>
              <w:autoSpaceDN w:val="0"/>
              <w:adjustRightInd w:val="0"/>
              <w:snapToGrid w:val="0"/>
              <w:spacing w:before="120" w:beforeLines="50" w:line="240" w:lineRule="auto"/>
              <w:rPr>
                <w:rFonts w:ascii="宋体" w:cs="楷体_GB2312"/>
                <w:color w:val="auto"/>
                <w:sz w:val="24"/>
                <w:lang w:val="zh-CN"/>
              </w:rPr>
            </w:pPr>
            <w:r>
              <w:rPr>
                <w:rFonts w:hint="eastAsia"/>
                <w:color w:val="auto"/>
                <w:sz w:val="24"/>
                <w:szCs w:val="24"/>
              </w:rPr>
              <w:t>见“第一章 谈判邀请函”相应条款。</w:t>
            </w:r>
            <w:r>
              <w:rPr>
                <w:rFonts w:hint="eastAsia" w:ascii="宋体" w:hAnsi="宋体" w:cs="楷体_GB2312"/>
                <w:b/>
                <w:color w:val="auto"/>
                <w:sz w:val="24"/>
                <w:lang w:val="zh-CN"/>
              </w:rPr>
              <w:t>注：投标人的投标报价超过预算金额时，该项目（标段&lt;包&gt;）终止。</w:t>
            </w:r>
          </w:p>
        </w:tc>
      </w:tr>
      <w:tr w14:paraId="4EB9EFDD">
        <w:tblPrEx>
          <w:tblCellMar>
            <w:top w:w="0" w:type="dxa"/>
            <w:left w:w="108" w:type="dxa"/>
            <w:bottom w:w="0" w:type="dxa"/>
            <w:right w:w="108" w:type="dxa"/>
          </w:tblCellMar>
        </w:tblPrEx>
        <w:trPr>
          <w:trHeight w:val="90" w:hRule="atLeast"/>
          <w:jc w:val="center"/>
        </w:trPr>
        <w:tc>
          <w:tcPr>
            <w:tcW w:w="498" w:type="dxa"/>
            <w:vMerge w:val="continue"/>
            <w:tcBorders>
              <w:left w:val="single" w:color="auto" w:sz="12" w:space="0"/>
              <w:right w:val="single" w:color="auto" w:sz="6" w:space="0"/>
            </w:tcBorders>
          </w:tcPr>
          <w:p w14:paraId="3CC025B9">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65D43C8B">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95" w:type="dxa"/>
            <w:tcBorders>
              <w:top w:val="single" w:color="auto" w:sz="6" w:space="0"/>
              <w:left w:val="single" w:color="auto" w:sz="6" w:space="0"/>
              <w:bottom w:val="single" w:color="auto" w:sz="6" w:space="0"/>
              <w:right w:val="single" w:color="auto" w:sz="6" w:space="0"/>
            </w:tcBorders>
            <w:vAlign w:val="center"/>
          </w:tcPr>
          <w:p w14:paraId="56021C1C">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投标人资格要求及相关证明材料要求</w:t>
            </w:r>
          </w:p>
        </w:tc>
        <w:tc>
          <w:tcPr>
            <w:tcW w:w="6661" w:type="dxa"/>
            <w:tcBorders>
              <w:top w:val="single" w:color="auto" w:sz="6" w:space="0"/>
              <w:left w:val="single" w:color="auto" w:sz="6" w:space="0"/>
              <w:bottom w:val="single" w:color="auto" w:sz="6" w:space="0"/>
              <w:right w:val="single" w:color="auto" w:sz="12" w:space="0"/>
            </w:tcBorders>
            <w:vAlign w:val="center"/>
          </w:tcPr>
          <w:p w14:paraId="09060756">
            <w:pPr>
              <w:autoSpaceDE w:val="0"/>
              <w:autoSpaceDN w:val="0"/>
              <w:adjustRightInd w:val="0"/>
              <w:snapToGrid w:val="0"/>
              <w:spacing w:before="120" w:beforeLines="50" w:line="240" w:lineRule="auto"/>
              <w:rPr>
                <w:color w:val="auto"/>
                <w:sz w:val="24"/>
                <w:szCs w:val="24"/>
              </w:rPr>
            </w:pPr>
            <w:r>
              <w:rPr>
                <w:rFonts w:hint="eastAsia"/>
                <w:color w:val="auto"/>
                <w:sz w:val="24"/>
                <w:szCs w:val="24"/>
              </w:rPr>
              <w:t>见“第一章 谈判邀请函”相应条款</w:t>
            </w:r>
          </w:p>
        </w:tc>
      </w:tr>
      <w:tr w14:paraId="465D26E7">
        <w:tblPrEx>
          <w:tblCellMar>
            <w:top w:w="0" w:type="dxa"/>
            <w:left w:w="108" w:type="dxa"/>
            <w:bottom w:w="0" w:type="dxa"/>
            <w:right w:w="108" w:type="dxa"/>
          </w:tblCellMar>
        </w:tblPrEx>
        <w:trPr>
          <w:trHeight w:val="90" w:hRule="atLeast"/>
          <w:jc w:val="center"/>
        </w:trPr>
        <w:tc>
          <w:tcPr>
            <w:tcW w:w="498" w:type="dxa"/>
            <w:vMerge w:val="continue"/>
            <w:tcBorders>
              <w:left w:val="single" w:color="auto" w:sz="12" w:space="0"/>
              <w:right w:val="single" w:color="auto" w:sz="6" w:space="0"/>
            </w:tcBorders>
          </w:tcPr>
          <w:p w14:paraId="40C0DB1E">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01111F34">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9</w:t>
            </w:r>
          </w:p>
        </w:tc>
        <w:tc>
          <w:tcPr>
            <w:tcW w:w="1895" w:type="dxa"/>
            <w:tcBorders>
              <w:top w:val="single" w:color="auto" w:sz="6" w:space="0"/>
              <w:left w:val="single" w:color="auto" w:sz="6" w:space="0"/>
              <w:bottom w:val="single" w:color="auto" w:sz="6" w:space="0"/>
              <w:right w:val="single" w:color="auto" w:sz="6" w:space="0"/>
            </w:tcBorders>
            <w:vAlign w:val="center"/>
          </w:tcPr>
          <w:p w14:paraId="3F4093D6">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采购人</w:t>
            </w:r>
          </w:p>
        </w:tc>
        <w:tc>
          <w:tcPr>
            <w:tcW w:w="6661" w:type="dxa"/>
            <w:tcBorders>
              <w:top w:val="single" w:color="auto" w:sz="6" w:space="0"/>
              <w:left w:val="single" w:color="auto" w:sz="6" w:space="0"/>
              <w:bottom w:val="single" w:color="auto" w:sz="6" w:space="0"/>
              <w:right w:val="single" w:color="auto" w:sz="12" w:space="0"/>
            </w:tcBorders>
            <w:vAlign w:val="center"/>
          </w:tcPr>
          <w:p w14:paraId="225F0BEE">
            <w:pPr>
              <w:autoSpaceDE w:val="0"/>
              <w:autoSpaceDN w:val="0"/>
              <w:adjustRightInd w:val="0"/>
              <w:snapToGrid w:val="0"/>
              <w:spacing w:before="120" w:beforeLines="50" w:line="240" w:lineRule="auto"/>
              <w:rPr>
                <w:color w:val="auto"/>
                <w:sz w:val="24"/>
                <w:szCs w:val="24"/>
              </w:rPr>
            </w:pPr>
            <w:r>
              <w:rPr>
                <w:rFonts w:hint="eastAsia"/>
                <w:color w:val="auto"/>
                <w:sz w:val="24"/>
                <w:szCs w:val="24"/>
              </w:rPr>
              <w:t>见“第一章 谈判邀请函”相应条款</w:t>
            </w:r>
          </w:p>
        </w:tc>
      </w:tr>
      <w:tr w14:paraId="1D27816F">
        <w:tblPrEx>
          <w:tblCellMar>
            <w:top w:w="0" w:type="dxa"/>
            <w:left w:w="108" w:type="dxa"/>
            <w:bottom w:w="0" w:type="dxa"/>
            <w:right w:w="108" w:type="dxa"/>
          </w:tblCellMar>
        </w:tblPrEx>
        <w:trPr>
          <w:trHeight w:val="90" w:hRule="atLeast"/>
          <w:jc w:val="center"/>
        </w:trPr>
        <w:tc>
          <w:tcPr>
            <w:tcW w:w="498" w:type="dxa"/>
            <w:vMerge w:val="continue"/>
            <w:tcBorders>
              <w:left w:val="single" w:color="auto" w:sz="12" w:space="0"/>
              <w:bottom w:val="single" w:color="auto" w:sz="6" w:space="0"/>
              <w:right w:val="single" w:color="auto" w:sz="6" w:space="0"/>
            </w:tcBorders>
          </w:tcPr>
          <w:p w14:paraId="293F6416">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34056280">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9</w:t>
            </w:r>
          </w:p>
        </w:tc>
        <w:tc>
          <w:tcPr>
            <w:tcW w:w="1895" w:type="dxa"/>
            <w:tcBorders>
              <w:top w:val="single" w:color="auto" w:sz="6" w:space="0"/>
              <w:left w:val="single" w:color="auto" w:sz="6" w:space="0"/>
              <w:bottom w:val="single" w:color="auto" w:sz="6" w:space="0"/>
              <w:right w:val="single" w:color="auto" w:sz="6" w:space="0"/>
            </w:tcBorders>
            <w:vAlign w:val="center"/>
          </w:tcPr>
          <w:p w14:paraId="270D3533">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采购代理机构</w:t>
            </w:r>
          </w:p>
        </w:tc>
        <w:tc>
          <w:tcPr>
            <w:tcW w:w="6661" w:type="dxa"/>
            <w:tcBorders>
              <w:top w:val="single" w:color="auto" w:sz="6" w:space="0"/>
              <w:left w:val="single" w:color="auto" w:sz="6" w:space="0"/>
              <w:bottom w:val="single" w:color="auto" w:sz="6" w:space="0"/>
              <w:right w:val="single" w:color="auto" w:sz="12" w:space="0"/>
            </w:tcBorders>
            <w:vAlign w:val="center"/>
          </w:tcPr>
          <w:p w14:paraId="500547B6">
            <w:pPr>
              <w:autoSpaceDE w:val="0"/>
              <w:autoSpaceDN w:val="0"/>
              <w:adjustRightInd w:val="0"/>
              <w:snapToGrid w:val="0"/>
              <w:spacing w:before="120" w:beforeLines="50" w:line="240" w:lineRule="auto"/>
              <w:rPr>
                <w:color w:val="auto"/>
                <w:sz w:val="24"/>
                <w:szCs w:val="24"/>
              </w:rPr>
            </w:pPr>
            <w:r>
              <w:rPr>
                <w:rFonts w:hint="eastAsia"/>
                <w:color w:val="auto"/>
                <w:sz w:val="24"/>
                <w:szCs w:val="24"/>
              </w:rPr>
              <w:t>见“第一章 谈判邀请函”相应条款</w:t>
            </w:r>
          </w:p>
        </w:tc>
      </w:tr>
      <w:tr w14:paraId="291ACCD8">
        <w:tblPrEx>
          <w:tblCellMar>
            <w:top w:w="0" w:type="dxa"/>
            <w:left w:w="108" w:type="dxa"/>
            <w:bottom w:w="0" w:type="dxa"/>
            <w:right w:w="108" w:type="dxa"/>
          </w:tblCellMar>
        </w:tblPrEx>
        <w:trPr>
          <w:trHeight w:val="90" w:hRule="atLeast"/>
          <w:jc w:val="center"/>
        </w:trPr>
        <w:tc>
          <w:tcPr>
            <w:tcW w:w="498" w:type="dxa"/>
            <w:vMerge w:val="restart"/>
            <w:tcBorders>
              <w:top w:val="single" w:color="auto" w:sz="6" w:space="0"/>
              <w:left w:val="single" w:color="auto" w:sz="12" w:space="0"/>
              <w:right w:val="single" w:color="auto" w:sz="6" w:space="0"/>
            </w:tcBorders>
            <w:vAlign w:val="center"/>
          </w:tcPr>
          <w:p w14:paraId="4C3BA8EE">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第二章</w:t>
            </w:r>
          </w:p>
        </w:tc>
        <w:tc>
          <w:tcPr>
            <w:tcW w:w="699" w:type="dxa"/>
            <w:tcBorders>
              <w:top w:val="single" w:color="auto" w:sz="6" w:space="0"/>
              <w:left w:val="single" w:color="auto" w:sz="12" w:space="0"/>
              <w:bottom w:val="single" w:color="auto" w:sz="6" w:space="0"/>
              <w:right w:val="single" w:color="auto" w:sz="6" w:space="0"/>
            </w:tcBorders>
            <w:vAlign w:val="center"/>
          </w:tcPr>
          <w:p w14:paraId="451757AF">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95" w:type="dxa"/>
            <w:tcBorders>
              <w:top w:val="single" w:color="auto" w:sz="6" w:space="0"/>
              <w:left w:val="single" w:color="auto" w:sz="6" w:space="0"/>
              <w:bottom w:val="single" w:color="auto" w:sz="6" w:space="0"/>
              <w:right w:val="single" w:color="auto" w:sz="6" w:space="0"/>
            </w:tcBorders>
            <w:vAlign w:val="center"/>
          </w:tcPr>
          <w:p w14:paraId="40E5987A">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b/>
                <w:color w:val="auto"/>
                <w:sz w:val="24"/>
                <w:szCs w:val="24"/>
              </w:rPr>
              <w:t>标段（包）划分</w:t>
            </w:r>
          </w:p>
        </w:tc>
        <w:tc>
          <w:tcPr>
            <w:tcW w:w="6661" w:type="dxa"/>
            <w:tcBorders>
              <w:top w:val="single" w:color="auto" w:sz="6" w:space="0"/>
              <w:left w:val="single" w:color="auto" w:sz="6" w:space="0"/>
              <w:bottom w:val="single" w:color="auto" w:sz="6" w:space="0"/>
              <w:right w:val="single" w:color="auto" w:sz="12" w:space="0"/>
            </w:tcBorders>
            <w:vAlign w:val="center"/>
          </w:tcPr>
          <w:p w14:paraId="317D64BF">
            <w:pPr>
              <w:autoSpaceDE w:val="0"/>
              <w:autoSpaceDN w:val="0"/>
              <w:adjustRightInd w:val="0"/>
              <w:snapToGrid w:val="0"/>
              <w:spacing w:before="120" w:beforeLines="50" w:line="240" w:lineRule="auto"/>
              <w:rPr>
                <w:rFonts w:ascii="宋体" w:cs="楷体_GB2312"/>
                <w:color w:val="auto"/>
                <w:sz w:val="24"/>
                <w:lang w:val="zh-CN"/>
              </w:rPr>
            </w:pPr>
            <w:r>
              <w:rPr>
                <w:rFonts w:hint="eastAsia"/>
                <w:color w:val="auto"/>
                <w:sz w:val="24"/>
                <w:szCs w:val="24"/>
              </w:rPr>
              <w:t>见“第二章 采购项目及服务要求”相应条款</w:t>
            </w:r>
          </w:p>
        </w:tc>
      </w:tr>
      <w:tr w14:paraId="046443DD">
        <w:tblPrEx>
          <w:tblCellMar>
            <w:top w:w="0" w:type="dxa"/>
            <w:left w:w="108" w:type="dxa"/>
            <w:bottom w:w="0" w:type="dxa"/>
            <w:right w:w="108" w:type="dxa"/>
          </w:tblCellMar>
        </w:tblPrEx>
        <w:trPr>
          <w:trHeight w:val="90" w:hRule="atLeast"/>
          <w:jc w:val="center"/>
        </w:trPr>
        <w:tc>
          <w:tcPr>
            <w:tcW w:w="498" w:type="dxa"/>
            <w:vMerge w:val="continue"/>
            <w:tcBorders>
              <w:left w:val="single" w:color="auto" w:sz="12" w:space="0"/>
              <w:right w:val="single" w:color="auto" w:sz="6" w:space="0"/>
            </w:tcBorders>
          </w:tcPr>
          <w:p w14:paraId="020FE0C1">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2E885D72">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95" w:type="dxa"/>
            <w:tcBorders>
              <w:top w:val="single" w:color="auto" w:sz="6" w:space="0"/>
              <w:left w:val="single" w:color="auto" w:sz="6" w:space="0"/>
              <w:bottom w:val="single" w:color="auto" w:sz="6" w:space="0"/>
              <w:right w:val="single" w:color="auto" w:sz="6" w:space="0"/>
            </w:tcBorders>
            <w:vAlign w:val="center"/>
          </w:tcPr>
          <w:p w14:paraId="3C9326B5">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rPr>
              <w:t>服务期</w:t>
            </w:r>
          </w:p>
        </w:tc>
        <w:tc>
          <w:tcPr>
            <w:tcW w:w="6661" w:type="dxa"/>
            <w:tcBorders>
              <w:top w:val="single" w:color="auto" w:sz="6" w:space="0"/>
              <w:left w:val="single" w:color="auto" w:sz="6" w:space="0"/>
              <w:bottom w:val="single" w:color="auto" w:sz="6" w:space="0"/>
              <w:right w:val="single" w:color="auto" w:sz="12" w:space="0"/>
            </w:tcBorders>
            <w:vAlign w:val="center"/>
          </w:tcPr>
          <w:p w14:paraId="23271019">
            <w:pPr>
              <w:autoSpaceDE w:val="0"/>
              <w:autoSpaceDN w:val="0"/>
              <w:adjustRightInd w:val="0"/>
              <w:snapToGrid w:val="0"/>
              <w:spacing w:before="120" w:beforeLines="50" w:line="240" w:lineRule="auto"/>
              <w:rPr>
                <w:rFonts w:ascii="宋体" w:cs="楷体_GB2312"/>
                <w:bCs/>
                <w:color w:val="auto"/>
                <w:sz w:val="24"/>
                <w:lang w:val="zh-CN"/>
              </w:rPr>
            </w:pPr>
            <w:r>
              <w:rPr>
                <w:rFonts w:hint="eastAsia" w:ascii="宋体" w:hAnsi="宋体"/>
                <w:color w:val="auto"/>
                <w:sz w:val="24"/>
              </w:rPr>
              <w:t>见“</w:t>
            </w:r>
            <w:r>
              <w:rPr>
                <w:rFonts w:hint="eastAsia"/>
                <w:color w:val="auto"/>
                <w:sz w:val="24"/>
                <w:szCs w:val="24"/>
              </w:rPr>
              <w:t>第二章 采购项目及服务要求</w:t>
            </w:r>
            <w:r>
              <w:rPr>
                <w:rFonts w:hint="eastAsia" w:ascii="宋体" w:hAnsi="宋体"/>
                <w:color w:val="auto"/>
                <w:sz w:val="24"/>
              </w:rPr>
              <w:t>”</w:t>
            </w:r>
            <w:r>
              <w:rPr>
                <w:rFonts w:hint="eastAsia"/>
                <w:color w:val="auto"/>
                <w:sz w:val="24"/>
                <w:szCs w:val="24"/>
              </w:rPr>
              <w:t>相应条款</w:t>
            </w:r>
          </w:p>
        </w:tc>
      </w:tr>
      <w:tr w14:paraId="77745E9E">
        <w:tblPrEx>
          <w:tblCellMar>
            <w:top w:w="0" w:type="dxa"/>
            <w:left w:w="108" w:type="dxa"/>
            <w:bottom w:w="0" w:type="dxa"/>
            <w:right w:w="108" w:type="dxa"/>
          </w:tblCellMar>
        </w:tblPrEx>
        <w:trPr>
          <w:trHeight w:val="90" w:hRule="atLeast"/>
          <w:jc w:val="center"/>
        </w:trPr>
        <w:tc>
          <w:tcPr>
            <w:tcW w:w="498" w:type="dxa"/>
            <w:vMerge w:val="continue"/>
            <w:tcBorders>
              <w:left w:val="single" w:color="auto" w:sz="12" w:space="0"/>
              <w:right w:val="single" w:color="auto" w:sz="6" w:space="0"/>
            </w:tcBorders>
          </w:tcPr>
          <w:p w14:paraId="23B7660B">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01D4A743">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95" w:type="dxa"/>
            <w:tcBorders>
              <w:top w:val="single" w:color="auto" w:sz="6" w:space="0"/>
              <w:left w:val="single" w:color="auto" w:sz="6" w:space="0"/>
              <w:bottom w:val="single" w:color="auto" w:sz="6" w:space="0"/>
              <w:right w:val="single" w:color="auto" w:sz="6" w:space="0"/>
            </w:tcBorders>
            <w:vAlign w:val="center"/>
          </w:tcPr>
          <w:p w14:paraId="110907DF">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服务地点</w:t>
            </w:r>
          </w:p>
        </w:tc>
        <w:tc>
          <w:tcPr>
            <w:tcW w:w="6661" w:type="dxa"/>
            <w:tcBorders>
              <w:top w:val="single" w:color="auto" w:sz="6" w:space="0"/>
              <w:left w:val="single" w:color="auto" w:sz="6" w:space="0"/>
              <w:bottom w:val="single" w:color="auto" w:sz="6" w:space="0"/>
              <w:right w:val="single" w:color="auto" w:sz="12" w:space="0"/>
            </w:tcBorders>
            <w:vAlign w:val="center"/>
          </w:tcPr>
          <w:p w14:paraId="4D32C0D7">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 xml:space="preserve">章 </w:t>
            </w:r>
            <w:r>
              <w:rPr>
                <w:rFonts w:hint="eastAsia" w:ascii="宋体" w:hAnsi="宋体" w:cs="楷体_GB2312"/>
                <w:color w:val="auto"/>
                <w:sz w:val="24"/>
                <w:lang w:val="zh-CN"/>
              </w:rPr>
              <w:t>采购项目及服务要求”</w:t>
            </w:r>
            <w:r>
              <w:rPr>
                <w:rFonts w:hint="eastAsia"/>
                <w:color w:val="auto"/>
                <w:sz w:val="24"/>
                <w:szCs w:val="24"/>
              </w:rPr>
              <w:t>相应条款</w:t>
            </w:r>
          </w:p>
        </w:tc>
      </w:tr>
      <w:tr w14:paraId="43A51AA3">
        <w:tblPrEx>
          <w:tblCellMar>
            <w:top w:w="0" w:type="dxa"/>
            <w:left w:w="108" w:type="dxa"/>
            <w:bottom w:w="0" w:type="dxa"/>
            <w:right w:w="108" w:type="dxa"/>
          </w:tblCellMar>
        </w:tblPrEx>
        <w:trPr>
          <w:trHeight w:val="90" w:hRule="atLeast"/>
          <w:jc w:val="center"/>
        </w:trPr>
        <w:tc>
          <w:tcPr>
            <w:tcW w:w="498" w:type="dxa"/>
            <w:vMerge w:val="continue"/>
            <w:tcBorders>
              <w:left w:val="single" w:color="auto" w:sz="12" w:space="0"/>
              <w:right w:val="single" w:color="auto" w:sz="6" w:space="0"/>
            </w:tcBorders>
          </w:tcPr>
          <w:p w14:paraId="4D07BFCF">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3C8C0A3A">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1.3</w:t>
            </w:r>
          </w:p>
        </w:tc>
        <w:tc>
          <w:tcPr>
            <w:tcW w:w="1895" w:type="dxa"/>
            <w:tcBorders>
              <w:top w:val="single" w:color="auto" w:sz="6" w:space="0"/>
              <w:left w:val="single" w:color="auto" w:sz="6" w:space="0"/>
              <w:bottom w:val="single" w:color="auto" w:sz="6" w:space="0"/>
              <w:right w:val="single" w:color="auto" w:sz="6" w:space="0"/>
            </w:tcBorders>
            <w:vAlign w:val="center"/>
          </w:tcPr>
          <w:p w14:paraId="542591BF">
            <w:pPr>
              <w:autoSpaceDE w:val="0"/>
              <w:autoSpaceDN w:val="0"/>
              <w:adjustRightInd w:val="0"/>
              <w:snapToGrid w:val="0"/>
              <w:spacing w:line="240" w:lineRule="auto"/>
              <w:jc w:val="center"/>
              <w:rPr>
                <w:rFonts w:ascii="宋体"/>
                <w:b/>
                <w:color w:val="auto"/>
                <w:sz w:val="24"/>
                <w:szCs w:val="24"/>
              </w:rPr>
            </w:pPr>
            <w:r>
              <w:rPr>
                <w:rFonts w:hint="eastAsia" w:ascii="宋体" w:hAnsi="宋体"/>
                <w:b/>
                <w:color w:val="auto"/>
                <w:sz w:val="24"/>
                <w:szCs w:val="24"/>
              </w:rPr>
              <w:t>投标报价</w:t>
            </w:r>
          </w:p>
        </w:tc>
        <w:tc>
          <w:tcPr>
            <w:tcW w:w="6661" w:type="dxa"/>
            <w:tcBorders>
              <w:top w:val="single" w:color="auto" w:sz="6" w:space="0"/>
              <w:left w:val="single" w:color="auto" w:sz="6" w:space="0"/>
              <w:bottom w:val="single" w:color="auto" w:sz="6" w:space="0"/>
              <w:right w:val="single" w:color="auto" w:sz="12" w:space="0"/>
            </w:tcBorders>
            <w:vAlign w:val="center"/>
          </w:tcPr>
          <w:p w14:paraId="14EA8942">
            <w:pPr>
              <w:autoSpaceDE w:val="0"/>
              <w:autoSpaceDN w:val="0"/>
              <w:adjustRightInd w:val="0"/>
              <w:snapToGrid w:val="0"/>
              <w:spacing w:before="120" w:beforeLines="50" w:line="240" w:lineRule="auto"/>
              <w:rPr>
                <w:color w:val="auto"/>
                <w:sz w:val="24"/>
                <w:szCs w:val="24"/>
              </w:rPr>
            </w:pPr>
            <w:r>
              <w:rPr>
                <w:rFonts w:hint="eastAsia"/>
                <w:color w:val="auto"/>
                <w:sz w:val="24"/>
                <w:szCs w:val="24"/>
              </w:rPr>
              <w:t>见“第二章 采购项目及服务要求”相应条款</w:t>
            </w:r>
          </w:p>
        </w:tc>
      </w:tr>
      <w:tr w14:paraId="419576ED">
        <w:tblPrEx>
          <w:tblCellMar>
            <w:top w:w="0" w:type="dxa"/>
            <w:left w:w="108" w:type="dxa"/>
            <w:bottom w:w="0" w:type="dxa"/>
            <w:right w:w="108" w:type="dxa"/>
          </w:tblCellMar>
        </w:tblPrEx>
        <w:trPr>
          <w:trHeight w:val="321" w:hRule="atLeast"/>
          <w:jc w:val="center"/>
        </w:trPr>
        <w:tc>
          <w:tcPr>
            <w:tcW w:w="498" w:type="dxa"/>
            <w:vMerge w:val="continue"/>
            <w:tcBorders>
              <w:left w:val="single" w:color="auto" w:sz="12" w:space="0"/>
              <w:right w:val="single" w:color="auto" w:sz="6" w:space="0"/>
            </w:tcBorders>
          </w:tcPr>
          <w:p w14:paraId="708E53C7">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35A7A59E">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95" w:type="dxa"/>
            <w:tcBorders>
              <w:top w:val="single" w:color="auto" w:sz="6" w:space="0"/>
              <w:left w:val="single" w:color="auto" w:sz="6" w:space="0"/>
              <w:bottom w:val="single" w:color="auto" w:sz="6" w:space="0"/>
              <w:right w:val="single" w:color="auto" w:sz="6" w:space="0"/>
            </w:tcBorders>
            <w:vAlign w:val="center"/>
          </w:tcPr>
          <w:p w14:paraId="33A3803B">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标段（包）内容（范围）及服务要求</w:t>
            </w:r>
          </w:p>
        </w:tc>
        <w:tc>
          <w:tcPr>
            <w:tcW w:w="6661" w:type="dxa"/>
            <w:tcBorders>
              <w:top w:val="single" w:color="auto" w:sz="6" w:space="0"/>
              <w:left w:val="single" w:color="auto" w:sz="6" w:space="0"/>
              <w:bottom w:val="single" w:color="auto" w:sz="6" w:space="0"/>
              <w:right w:val="single" w:color="auto" w:sz="12" w:space="0"/>
            </w:tcBorders>
            <w:vAlign w:val="center"/>
          </w:tcPr>
          <w:p w14:paraId="47577DD5">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 xml:space="preserve">章 </w:t>
            </w:r>
            <w:r>
              <w:rPr>
                <w:rFonts w:hint="eastAsia" w:ascii="宋体" w:hAnsi="宋体" w:cs="楷体_GB2312"/>
                <w:color w:val="auto"/>
                <w:sz w:val="24"/>
                <w:lang w:val="zh-CN"/>
              </w:rPr>
              <w:t>采购项目及服务要求”</w:t>
            </w:r>
            <w:r>
              <w:rPr>
                <w:rFonts w:hint="eastAsia"/>
                <w:color w:val="auto"/>
                <w:sz w:val="24"/>
                <w:szCs w:val="24"/>
              </w:rPr>
              <w:t>相应条款</w:t>
            </w:r>
          </w:p>
        </w:tc>
      </w:tr>
      <w:tr w14:paraId="0C29F607">
        <w:tblPrEx>
          <w:tblCellMar>
            <w:top w:w="0" w:type="dxa"/>
            <w:left w:w="108" w:type="dxa"/>
            <w:bottom w:w="0" w:type="dxa"/>
            <w:right w:w="108" w:type="dxa"/>
          </w:tblCellMar>
        </w:tblPrEx>
        <w:trPr>
          <w:trHeight w:val="366" w:hRule="atLeast"/>
          <w:jc w:val="center"/>
        </w:trPr>
        <w:tc>
          <w:tcPr>
            <w:tcW w:w="498" w:type="dxa"/>
            <w:vMerge w:val="restart"/>
            <w:tcBorders>
              <w:top w:val="single" w:color="auto" w:sz="6" w:space="0"/>
              <w:left w:val="single" w:color="auto" w:sz="12" w:space="0"/>
              <w:right w:val="single" w:color="auto" w:sz="6" w:space="0"/>
            </w:tcBorders>
          </w:tcPr>
          <w:p w14:paraId="5A1FD900">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4D470320">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1.4</w:t>
            </w:r>
          </w:p>
        </w:tc>
        <w:tc>
          <w:tcPr>
            <w:tcW w:w="1895" w:type="dxa"/>
            <w:tcBorders>
              <w:top w:val="single" w:color="auto" w:sz="6" w:space="0"/>
              <w:left w:val="single" w:color="auto" w:sz="6" w:space="0"/>
              <w:bottom w:val="single" w:color="auto" w:sz="6" w:space="0"/>
              <w:right w:val="single" w:color="auto" w:sz="6" w:space="0"/>
            </w:tcBorders>
            <w:vAlign w:val="center"/>
          </w:tcPr>
          <w:p w14:paraId="3A754F63">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联合体投标</w:t>
            </w:r>
          </w:p>
        </w:tc>
        <w:tc>
          <w:tcPr>
            <w:tcW w:w="6661" w:type="dxa"/>
            <w:tcBorders>
              <w:top w:val="single" w:color="auto" w:sz="6" w:space="0"/>
              <w:left w:val="single" w:color="auto" w:sz="6" w:space="0"/>
              <w:bottom w:val="single" w:color="auto" w:sz="6" w:space="0"/>
              <w:right w:val="single" w:color="auto" w:sz="12" w:space="0"/>
            </w:tcBorders>
            <w:vAlign w:val="center"/>
          </w:tcPr>
          <w:p w14:paraId="59527098">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不接受</w:t>
            </w:r>
          </w:p>
        </w:tc>
      </w:tr>
      <w:tr w14:paraId="67EE9398">
        <w:tblPrEx>
          <w:tblCellMar>
            <w:top w:w="0" w:type="dxa"/>
            <w:left w:w="108" w:type="dxa"/>
            <w:bottom w:w="0" w:type="dxa"/>
            <w:right w:w="108" w:type="dxa"/>
          </w:tblCellMar>
        </w:tblPrEx>
        <w:trPr>
          <w:trHeight w:val="447" w:hRule="atLeast"/>
          <w:jc w:val="center"/>
        </w:trPr>
        <w:tc>
          <w:tcPr>
            <w:tcW w:w="498" w:type="dxa"/>
            <w:vMerge w:val="continue"/>
            <w:tcBorders>
              <w:left w:val="single" w:color="auto" w:sz="12" w:space="0"/>
              <w:right w:val="single" w:color="auto" w:sz="6" w:space="0"/>
            </w:tcBorders>
          </w:tcPr>
          <w:p w14:paraId="727799B8">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730D1C9E">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1.10</w:t>
            </w:r>
          </w:p>
        </w:tc>
        <w:tc>
          <w:tcPr>
            <w:tcW w:w="1895" w:type="dxa"/>
            <w:tcBorders>
              <w:top w:val="single" w:color="auto" w:sz="6" w:space="0"/>
              <w:left w:val="single" w:color="auto" w:sz="6" w:space="0"/>
              <w:bottom w:val="single" w:color="auto" w:sz="6" w:space="0"/>
              <w:right w:val="single" w:color="auto" w:sz="6" w:space="0"/>
            </w:tcBorders>
            <w:vAlign w:val="center"/>
          </w:tcPr>
          <w:p w14:paraId="4E975A23">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踏勘现场</w:t>
            </w:r>
          </w:p>
        </w:tc>
        <w:tc>
          <w:tcPr>
            <w:tcW w:w="6661" w:type="dxa"/>
            <w:tcBorders>
              <w:top w:val="single" w:color="auto" w:sz="6" w:space="0"/>
              <w:left w:val="single" w:color="auto" w:sz="6" w:space="0"/>
              <w:bottom w:val="single" w:color="auto" w:sz="6" w:space="0"/>
              <w:right w:val="single" w:color="auto" w:sz="12" w:space="0"/>
            </w:tcBorders>
            <w:vAlign w:val="center"/>
          </w:tcPr>
          <w:p w14:paraId="1EDA83F4">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不组织</w:t>
            </w:r>
          </w:p>
        </w:tc>
      </w:tr>
      <w:tr w14:paraId="650FF445">
        <w:tblPrEx>
          <w:tblCellMar>
            <w:top w:w="0" w:type="dxa"/>
            <w:left w:w="108" w:type="dxa"/>
            <w:bottom w:w="0" w:type="dxa"/>
            <w:right w:w="108" w:type="dxa"/>
          </w:tblCellMar>
        </w:tblPrEx>
        <w:trPr>
          <w:trHeight w:val="447" w:hRule="atLeast"/>
          <w:jc w:val="center"/>
        </w:trPr>
        <w:tc>
          <w:tcPr>
            <w:tcW w:w="498" w:type="dxa"/>
            <w:vMerge w:val="continue"/>
            <w:tcBorders>
              <w:left w:val="single" w:color="auto" w:sz="12" w:space="0"/>
              <w:right w:val="single" w:color="auto" w:sz="6" w:space="0"/>
            </w:tcBorders>
          </w:tcPr>
          <w:p w14:paraId="099EE40C">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6636D821">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1.11</w:t>
            </w:r>
          </w:p>
        </w:tc>
        <w:tc>
          <w:tcPr>
            <w:tcW w:w="1895" w:type="dxa"/>
            <w:tcBorders>
              <w:top w:val="single" w:color="auto" w:sz="6" w:space="0"/>
              <w:left w:val="single" w:color="auto" w:sz="6" w:space="0"/>
              <w:bottom w:val="single" w:color="auto" w:sz="6" w:space="0"/>
              <w:right w:val="single" w:color="auto" w:sz="6" w:space="0"/>
            </w:tcBorders>
            <w:vAlign w:val="center"/>
          </w:tcPr>
          <w:p w14:paraId="6BF6BAEA">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投标预备会</w:t>
            </w:r>
          </w:p>
        </w:tc>
        <w:tc>
          <w:tcPr>
            <w:tcW w:w="6661" w:type="dxa"/>
            <w:tcBorders>
              <w:top w:val="single" w:color="auto" w:sz="6" w:space="0"/>
              <w:left w:val="single" w:color="auto" w:sz="6" w:space="0"/>
              <w:bottom w:val="single" w:color="auto" w:sz="6" w:space="0"/>
              <w:right w:val="single" w:color="auto" w:sz="12" w:space="0"/>
            </w:tcBorders>
            <w:vAlign w:val="center"/>
          </w:tcPr>
          <w:p w14:paraId="2D0C9AF6">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不召开</w:t>
            </w:r>
          </w:p>
        </w:tc>
      </w:tr>
      <w:tr w14:paraId="040A5397">
        <w:tblPrEx>
          <w:tblCellMar>
            <w:top w:w="0" w:type="dxa"/>
            <w:left w:w="108" w:type="dxa"/>
            <w:bottom w:w="0" w:type="dxa"/>
            <w:right w:w="108" w:type="dxa"/>
          </w:tblCellMar>
        </w:tblPrEx>
        <w:trPr>
          <w:trHeight w:val="447" w:hRule="atLeast"/>
          <w:jc w:val="center"/>
        </w:trPr>
        <w:tc>
          <w:tcPr>
            <w:tcW w:w="498" w:type="dxa"/>
            <w:vMerge w:val="continue"/>
            <w:tcBorders>
              <w:left w:val="single" w:color="auto" w:sz="12" w:space="0"/>
              <w:right w:val="single" w:color="auto" w:sz="6" w:space="0"/>
            </w:tcBorders>
          </w:tcPr>
          <w:p w14:paraId="624FF4B0">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19B9F97B">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1.12</w:t>
            </w:r>
          </w:p>
        </w:tc>
        <w:tc>
          <w:tcPr>
            <w:tcW w:w="1895" w:type="dxa"/>
            <w:tcBorders>
              <w:top w:val="single" w:color="auto" w:sz="6" w:space="0"/>
              <w:left w:val="single" w:color="auto" w:sz="6" w:space="0"/>
              <w:bottom w:val="single" w:color="auto" w:sz="6" w:space="0"/>
              <w:right w:val="single" w:color="auto" w:sz="6" w:space="0"/>
            </w:tcBorders>
            <w:vAlign w:val="center"/>
          </w:tcPr>
          <w:p w14:paraId="052E0891">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分包</w:t>
            </w:r>
          </w:p>
        </w:tc>
        <w:tc>
          <w:tcPr>
            <w:tcW w:w="6661" w:type="dxa"/>
            <w:tcBorders>
              <w:top w:val="single" w:color="auto" w:sz="6" w:space="0"/>
              <w:left w:val="single" w:color="auto" w:sz="6" w:space="0"/>
              <w:bottom w:val="single" w:color="auto" w:sz="6" w:space="0"/>
              <w:right w:val="single" w:color="auto" w:sz="12" w:space="0"/>
            </w:tcBorders>
            <w:vAlign w:val="center"/>
          </w:tcPr>
          <w:p w14:paraId="456BCB91">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不允许</w:t>
            </w:r>
          </w:p>
        </w:tc>
      </w:tr>
      <w:tr w14:paraId="4CA0E06F">
        <w:tblPrEx>
          <w:tblCellMar>
            <w:top w:w="0" w:type="dxa"/>
            <w:left w:w="108" w:type="dxa"/>
            <w:bottom w:w="0" w:type="dxa"/>
            <w:right w:w="108" w:type="dxa"/>
          </w:tblCellMar>
        </w:tblPrEx>
        <w:trPr>
          <w:trHeight w:val="447" w:hRule="atLeast"/>
          <w:jc w:val="center"/>
        </w:trPr>
        <w:tc>
          <w:tcPr>
            <w:tcW w:w="498" w:type="dxa"/>
            <w:vMerge w:val="continue"/>
            <w:tcBorders>
              <w:left w:val="single" w:color="auto" w:sz="12" w:space="0"/>
              <w:right w:val="single" w:color="auto" w:sz="6" w:space="0"/>
            </w:tcBorders>
          </w:tcPr>
          <w:p w14:paraId="15CBB701">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09663EC5">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2.1</w:t>
            </w:r>
          </w:p>
        </w:tc>
        <w:tc>
          <w:tcPr>
            <w:tcW w:w="1895" w:type="dxa"/>
            <w:tcBorders>
              <w:top w:val="single" w:color="auto" w:sz="6" w:space="0"/>
              <w:left w:val="single" w:color="auto" w:sz="6" w:space="0"/>
              <w:bottom w:val="single" w:color="auto" w:sz="6" w:space="0"/>
              <w:right w:val="single" w:color="auto" w:sz="6" w:space="0"/>
            </w:tcBorders>
            <w:vAlign w:val="center"/>
          </w:tcPr>
          <w:p w14:paraId="7C6212FB">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构成单一来源采购文件的其他材料</w:t>
            </w:r>
          </w:p>
        </w:tc>
        <w:tc>
          <w:tcPr>
            <w:tcW w:w="6661" w:type="dxa"/>
            <w:tcBorders>
              <w:top w:val="single" w:color="auto" w:sz="6" w:space="0"/>
              <w:left w:val="single" w:color="auto" w:sz="6" w:space="0"/>
              <w:bottom w:val="single" w:color="auto" w:sz="6" w:space="0"/>
              <w:right w:val="single" w:color="auto" w:sz="12" w:space="0"/>
            </w:tcBorders>
            <w:vAlign w:val="center"/>
          </w:tcPr>
          <w:p w14:paraId="79456A5E">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见“第三章 投标人须知”相应条款</w:t>
            </w:r>
          </w:p>
        </w:tc>
      </w:tr>
      <w:tr w14:paraId="386815C3">
        <w:tblPrEx>
          <w:tblCellMar>
            <w:top w:w="0" w:type="dxa"/>
            <w:left w:w="108" w:type="dxa"/>
            <w:bottom w:w="0" w:type="dxa"/>
            <w:right w:w="108" w:type="dxa"/>
          </w:tblCellMar>
        </w:tblPrEx>
        <w:trPr>
          <w:trHeight w:val="604" w:hRule="atLeast"/>
          <w:jc w:val="center"/>
        </w:trPr>
        <w:tc>
          <w:tcPr>
            <w:tcW w:w="498" w:type="dxa"/>
            <w:vMerge w:val="continue"/>
            <w:tcBorders>
              <w:left w:val="single" w:color="auto" w:sz="12" w:space="0"/>
              <w:right w:val="single" w:color="auto" w:sz="6" w:space="0"/>
            </w:tcBorders>
          </w:tcPr>
          <w:p w14:paraId="22949540">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63C29702">
            <w:pPr>
              <w:autoSpaceDE w:val="0"/>
              <w:autoSpaceDN w:val="0"/>
              <w:adjustRightInd w:val="0"/>
              <w:snapToGrid w:val="0"/>
              <w:spacing w:line="240" w:lineRule="auto"/>
              <w:ind w:right="-88" w:rightChars="-42"/>
              <w:jc w:val="center"/>
              <w:rPr>
                <w:rFonts w:ascii="宋体" w:hAnsi="宋体" w:cs="楷体_GB2312"/>
                <w:b/>
                <w:bCs/>
                <w:color w:val="auto"/>
                <w:szCs w:val="21"/>
              </w:rPr>
            </w:pPr>
            <w:r>
              <w:rPr>
                <w:rFonts w:ascii="宋体" w:hAnsi="宋体" w:cs="楷体_GB2312"/>
                <w:b/>
                <w:bCs/>
                <w:color w:val="auto"/>
                <w:szCs w:val="21"/>
              </w:rPr>
              <w:t>2.2.1</w:t>
            </w:r>
          </w:p>
        </w:tc>
        <w:tc>
          <w:tcPr>
            <w:tcW w:w="1895" w:type="dxa"/>
            <w:tcBorders>
              <w:top w:val="single" w:color="auto" w:sz="6" w:space="0"/>
              <w:left w:val="single" w:color="auto" w:sz="6" w:space="0"/>
              <w:bottom w:val="single" w:color="auto" w:sz="6" w:space="0"/>
              <w:right w:val="single" w:color="auto" w:sz="6" w:space="0"/>
            </w:tcBorders>
            <w:vAlign w:val="center"/>
          </w:tcPr>
          <w:p w14:paraId="4C9CE5CA">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投标人提出问题的截止时间</w:t>
            </w:r>
          </w:p>
        </w:tc>
        <w:tc>
          <w:tcPr>
            <w:tcW w:w="6661" w:type="dxa"/>
            <w:tcBorders>
              <w:top w:val="single" w:color="auto" w:sz="6" w:space="0"/>
              <w:left w:val="single" w:color="auto" w:sz="6" w:space="0"/>
              <w:bottom w:val="single" w:color="auto" w:sz="6" w:space="0"/>
              <w:right w:val="single" w:color="auto" w:sz="12" w:space="0"/>
            </w:tcBorders>
            <w:vAlign w:val="center"/>
          </w:tcPr>
          <w:p w14:paraId="0A517843">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lang w:val="zh-CN"/>
              </w:rPr>
              <w:t>2</w:t>
            </w:r>
            <w:r>
              <w:rPr>
                <w:rFonts w:hint="eastAsia" w:ascii="宋体" w:hAnsi="宋体" w:cs="楷体_GB2312"/>
                <w:color w:val="auto"/>
                <w:sz w:val="24"/>
                <w:lang w:val="zh-CN"/>
              </w:rPr>
              <w:t xml:space="preserve">日前 </w:t>
            </w:r>
          </w:p>
        </w:tc>
      </w:tr>
      <w:tr w14:paraId="16082ED6">
        <w:tblPrEx>
          <w:tblCellMar>
            <w:top w:w="0" w:type="dxa"/>
            <w:left w:w="108" w:type="dxa"/>
            <w:bottom w:w="0" w:type="dxa"/>
            <w:right w:w="108" w:type="dxa"/>
          </w:tblCellMar>
        </w:tblPrEx>
        <w:trPr>
          <w:trHeight w:val="300" w:hRule="atLeast"/>
          <w:jc w:val="center"/>
        </w:trPr>
        <w:tc>
          <w:tcPr>
            <w:tcW w:w="498" w:type="dxa"/>
            <w:vMerge w:val="continue"/>
            <w:tcBorders>
              <w:left w:val="single" w:color="auto" w:sz="12" w:space="0"/>
              <w:right w:val="single" w:color="auto" w:sz="6" w:space="0"/>
            </w:tcBorders>
          </w:tcPr>
          <w:p w14:paraId="71964370">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52F97883">
            <w:pPr>
              <w:autoSpaceDE w:val="0"/>
              <w:autoSpaceDN w:val="0"/>
              <w:adjustRightInd w:val="0"/>
              <w:snapToGrid w:val="0"/>
              <w:spacing w:line="240" w:lineRule="auto"/>
              <w:ind w:right="-88" w:rightChars="-42"/>
              <w:jc w:val="center"/>
              <w:rPr>
                <w:rFonts w:ascii="宋体" w:hAnsi="宋体" w:cs="楷体_GB2312"/>
                <w:b/>
                <w:bCs/>
                <w:color w:val="auto"/>
                <w:szCs w:val="21"/>
                <w:lang w:val="zh-CN"/>
              </w:rPr>
            </w:pPr>
            <w:r>
              <w:rPr>
                <w:rFonts w:ascii="宋体" w:hAnsi="宋体" w:cs="楷体_GB2312"/>
                <w:b/>
                <w:bCs/>
                <w:color w:val="auto"/>
                <w:szCs w:val="21"/>
                <w:lang w:val="zh-CN"/>
              </w:rPr>
              <w:t xml:space="preserve">2.3 </w:t>
            </w:r>
          </w:p>
        </w:tc>
        <w:tc>
          <w:tcPr>
            <w:tcW w:w="1895" w:type="dxa"/>
            <w:tcBorders>
              <w:top w:val="single" w:color="auto" w:sz="6" w:space="0"/>
              <w:left w:val="single" w:color="auto" w:sz="6" w:space="0"/>
              <w:bottom w:val="single" w:color="auto" w:sz="6" w:space="0"/>
              <w:right w:val="single" w:color="auto" w:sz="6" w:space="0"/>
            </w:tcBorders>
            <w:vAlign w:val="center"/>
          </w:tcPr>
          <w:p w14:paraId="7701CA54">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单一来源采购文件澄清修改补充时间</w:t>
            </w:r>
          </w:p>
        </w:tc>
        <w:tc>
          <w:tcPr>
            <w:tcW w:w="6661" w:type="dxa"/>
            <w:tcBorders>
              <w:top w:val="single" w:color="auto" w:sz="6" w:space="0"/>
              <w:left w:val="single" w:color="auto" w:sz="6" w:space="0"/>
              <w:bottom w:val="single" w:color="auto" w:sz="6" w:space="0"/>
              <w:right w:val="single" w:color="auto" w:sz="12" w:space="0"/>
            </w:tcBorders>
            <w:vAlign w:val="center"/>
          </w:tcPr>
          <w:p w14:paraId="531365B0">
            <w:pPr>
              <w:autoSpaceDE w:val="0"/>
              <w:autoSpaceDN w:val="0"/>
              <w:adjustRightInd w:val="0"/>
              <w:snapToGrid w:val="0"/>
              <w:spacing w:before="120" w:beforeLines="50" w:line="240" w:lineRule="auto"/>
              <w:rPr>
                <w:rFonts w:ascii="宋体" w:hAns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rPr>
              <w:t>3</w:t>
            </w:r>
            <w:r>
              <w:rPr>
                <w:rFonts w:hint="eastAsia" w:ascii="宋体" w:hAnsi="宋体" w:cs="楷体_GB2312"/>
                <w:color w:val="auto"/>
                <w:sz w:val="24"/>
              </w:rPr>
              <w:t>个工作</w:t>
            </w:r>
            <w:r>
              <w:rPr>
                <w:rFonts w:hint="eastAsia" w:ascii="宋体" w:hAnsi="宋体" w:cs="楷体_GB2312"/>
                <w:color w:val="auto"/>
                <w:sz w:val="24"/>
                <w:lang w:val="zh-CN"/>
              </w:rPr>
              <w:t>日前。</w:t>
            </w:r>
          </w:p>
        </w:tc>
      </w:tr>
      <w:tr w14:paraId="20CEDAF5">
        <w:tblPrEx>
          <w:tblCellMar>
            <w:top w:w="0" w:type="dxa"/>
            <w:left w:w="108" w:type="dxa"/>
            <w:bottom w:w="0" w:type="dxa"/>
            <w:right w:w="108" w:type="dxa"/>
          </w:tblCellMar>
        </w:tblPrEx>
        <w:trPr>
          <w:trHeight w:val="300" w:hRule="atLeast"/>
          <w:jc w:val="center"/>
        </w:trPr>
        <w:tc>
          <w:tcPr>
            <w:tcW w:w="498" w:type="dxa"/>
            <w:vMerge w:val="continue"/>
            <w:tcBorders>
              <w:left w:val="single" w:color="auto" w:sz="12" w:space="0"/>
              <w:right w:val="single" w:color="auto" w:sz="6" w:space="0"/>
            </w:tcBorders>
          </w:tcPr>
          <w:p w14:paraId="0B958B00">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635B6F83">
            <w:pPr>
              <w:autoSpaceDE w:val="0"/>
              <w:autoSpaceDN w:val="0"/>
              <w:adjustRightInd w:val="0"/>
              <w:snapToGrid w:val="0"/>
              <w:spacing w:line="240" w:lineRule="auto"/>
              <w:ind w:right="-88" w:rightChars="-42"/>
              <w:jc w:val="center"/>
              <w:rPr>
                <w:rFonts w:ascii="宋体" w:hAnsi="宋体" w:cs="楷体_GB2312"/>
                <w:b/>
                <w:bCs/>
                <w:color w:val="auto"/>
                <w:szCs w:val="21"/>
              </w:rPr>
            </w:pPr>
            <w:r>
              <w:rPr>
                <w:rFonts w:ascii="宋体" w:hAnsi="宋体" w:cs="楷体_GB2312"/>
                <w:b/>
                <w:bCs/>
                <w:color w:val="auto"/>
                <w:szCs w:val="21"/>
              </w:rPr>
              <w:t>2.4</w:t>
            </w:r>
          </w:p>
        </w:tc>
        <w:tc>
          <w:tcPr>
            <w:tcW w:w="1895" w:type="dxa"/>
            <w:tcBorders>
              <w:top w:val="single" w:color="auto" w:sz="6" w:space="0"/>
              <w:left w:val="single" w:color="auto" w:sz="6" w:space="0"/>
              <w:bottom w:val="single" w:color="auto" w:sz="6" w:space="0"/>
              <w:right w:val="single" w:color="auto" w:sz="6" w:space="0"/>
            </w:tcBorders>
            <w:vAlign w:val="center"/>
          </w:tcPr>
          <w:p w14:paraId="409BF8E4">
            <w:pPr>
              <w:autoSpaceDE w:val="0"/>
              <w:autoSpaceDN w:val="0"/>
              <w:adjustRightInd w:val="0"/>
              <w:snapToGrid w:val="0"/>
              <w:spacing w:line="240" w:lineRule="auto"/>
              <w:ind w:right="-178" w:rightChars="-85"/>
              <w:jc w:val="center"/>
              <w:rPr>
                <w:rFonts w:ascii="宋体" w:hAnsi="宋体" w:cs="楷体_GB2312"/>
                <w:b/>
                <w:bCs/>
                <w:color w:val="auto"/>
                <w:sz w:val="24"/>
                <w:lang w:val="zh-CN"/>
              </w:rPr>
            </w:pPr>
            <w:r>
              <w:rPr>
                <w:rFonts w:hint="eastAsia" w:ascii="宋体" w:hAnsi="宋体" w:cs="楷体_GB2312"/>
                <w:b/>
                <w:bCs/>
                <w:color w:val="auto"/>
                <w:szCs w:val="21"/>
                <w:lang w:val="zh-CN"/>
              </w:rPr>
              <w:t>单一来源采购文件的澄清修改补充告知方式</w:t>
            </w:r>
          </w:p>
        </w:tc>
        <w:tc>
          <w:tcPr>
            <w:tcW w:w="6661" w:type="dxa"/>
            <w:tcBorders>
              <w:top w:val="single" w:color="auto" w:sz="6" w:space="0"/>
              <w:left w:val="single" w:color="auto" w:sz="6" w:space="0"/>
              <w:bottom w:val="single" w:color="auto" w:sz="6" w:space="0"/>
              <w:right w:val="single" w:color="auto" w:sz="12" w:space="0"/>
            </w:tcBorders>
            <w:vAlign w:val="center"/>
          </w:tcPr>
          <w:p w14:paraId="537F6AF4">
            <w:pPr>
              <w:autoSpaceDE w:val="0"/>
              <w:autoSpaceDN w:val="0"/>
              <w:adjustRightInd w:val="0"/>
              <w:snapToGrid w:val="0"/>
              <w:spacing w:before="120" w:beforeLines="50" w:line="240" w:lineRule="auto"/>
              <w:rPr>
                <w:rFonts w:ascii="宋体" w:hAnsi="宋体" w:cs="楷体_GB2312"/>
                <w:color w:val="auto"/>
                <w:sz w:val="24"/>
                <w:lang w:val="zh-CN"/>
              </w:rPr>
            </w:pPr>
            <w:r>
              <w:rPr>
                <w:rFonts w:hint="eastAsia" w:ascii="宋体" w:hAnsi="宋体" w:cs="楷体_GB2312"/>
                <w:color w:val="auto"/>
                <w:sz w:val="24"/>
                <w:lang w:val="zh-CN"/>
              </w:rPr>
              <w:t>见“第三章 投标人须知”相应条款</w:t>
            </w:r>
          </w:p>
        </w:tc>
      </w:tr>
      <w:tr w14:paraId="48690441">
        <w:tblPrEx>
          <w:tblCellMar>
            <w:top w:w="0" w:type="dxa"/>
            <w:left w:w="108" w:type="dxa"/>
            <w:bottom w:w="0" w:type="dxa"/>
            <w:right w:w="108" w:type="dxa"/>
          </w:tblCellMar>
        </w:tblPrEx>
        <w:trPr>
          <w:trHeight w:val="535" w:hRule="atLeast"/>
          <w:jc w:val="center"/>
        </w:trPr>
        <w:tc>
          <w:tcPr>
            <w:tcW w:w="498" w:type="dxa"/>
            <w:vMerge w:val="continue"/>
            <w:tcBorders>
              <w:left w:val="single" w:color="auto" w:sz="12" w:space="0"/>
              <w:bottom w:val="single" w:color="auto" w:sz="6" w:space="0"/>
              <w:right w:val="single" w:color="auto" w:sz="6" w:space="0"/>
            </w:tcBorders>
          </w:tcPr>
          <w:p w14:paraId="1C08A0C0">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42AA4E15">
            <w:pPr>
              <w:autoSpaceDE w:val="0"/>
              <w:autoSpaceDN w:val="0"/>
              <w:adjustRightInd w:val="0"/>
              <w:snapToGrid w:val="0"/>
              <w:spacing w:line="240" w:lineRule="auto"/>
              <w:ind w:right="-88" w:rightChars="-42"/>
              <w:jc w:val="center"/>
              <w:rPr>
                <w:rFonts w:ascii="宋体" w:hAnsi="宋体" w:cs="楷体_GB2312"/>
                <w:b/>
                <w:bCs/>
                <w:color w:val="auto"/>
                <w:szCs w:val="21"/>
                <w:lang w:val="zh-CN"/>
              </w:rPr>
            </w:pPr>
            <w:r>
              <w:rPr>
                <w:rFonts w:ascii="宋体" w:hAnsi="宋体" w:cs="楷体_GB2312"/>
                <w:b/>
                <w:bCs/>
                <w:color w:val="auto"/>
                <w:szCs w:val="21"/>
                <w:lang w:val="zh-CN"/>
              </w:rPr>
              <w:t>3.2</w:t>
            </w:r>
          </w:p>
        </w:tc>
        <w:tc>
          <w:tcPr>
            <w:tcW w:w="1895" w:type="dxa"/>
            <w:tcBorders>
              <w:top w:val="single" w:color="auto" w:sz="6" w:space="0"/>
              <w:left w:val="single" w:color="auto" w:sz="6" w:space="0"/>
              <w:bottom w:val="single" w:color="auto" w:sz="6" w:space="0"/>
              <w:right w:val="single" w:color="auto" w:sz="6" w:space="0"/>
            </w:tcBorders>
            <w:vAlign w:val="center"/>
          </w:tcPr>
          <w:p w14:paraId="404B751C">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投标文件的组成</w:t>
            </w:r>
          </w:p>
        </w:tc>
        <w:tc>
          <w:tcPr>
            <w:tcW w:w="6661" w:type="dxa"/>
            <w:tcBorders>
              <w:top w:val="single" w:color="auto" w:sz="6" w:space="0"/>
              <w:left w:val="single" w:color="auto" w:sz="6" w:space="0"/>
              <w:bottom w:val="single" w:color="auto" w:sz="6" w:space="0"/>
              <w:right w:val="single" w:color="auto" w:sz="12" w:space="0"/>
            </w:tcBorders>
            <w:vAlign w:val="center"/>
          </w:tcPr>
          <w:p w14:paraId="086D6F17">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见“第三章 投标人须知”相应条款</w:t>
            </w:r>
          </w:p>
        </w:tc>
      </w:tr>
      <w:tr w14:paraId="2293D46B">
        <w:tblPrEx>
          <w:tblCellMar>
            <w:top w:w="0" w:type="dxa"/>
            <w:left w:w="108" w:type="dxa"/>
            <w:bottom w:w="0" w:type="dxa"/>
            <w:right w:w="108" w:type="dxa"/>
          </w:tblCellMar>
        </w:tblPrEx>
        <w:trPr>
          <w:trHeight w:val="535" w:hRule="atLeast"/>
          <w:jc w:val="center"/>
        </w:trPr>
        <w:tc>
          <w:tcPr>
            <w:tcW w:w="498" w:type="dxa"/>
            <w:vMerge w:val="restart"/>
            <w:tcBorders>
              <w:top w:val="single" w:color="auto" w:sz="6" w:space="0"/>
              <w:left w:val="single" w:color="auto" w:sz="12" w:space="0"/>
              <w:right w:val="single" w:color="auto" w:sz="6" w:space="0"/>
            </w:tcBorders>
          </w:tcPr>
          <w:p w14:paraId="39353019">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26816B3A">
            <w:pPr>
              <w:autoSpaceDE w:val="0"/>
              <w:autoSpaceDN w:val="0"/>
              <w:adjustRightInd w:val="0"/>
              <w:snapToGrid w:val="0"/>
              <w:spacing w:line="240" w:lineRule="auto"/>
              <w:ind w:right="-88" w:rightChars="-42"/>
              <w:jc w:val="center"/>
              <w:rPr>
                <w:rFonts w:ascii="宋体" w:hAnsi="宋体" w:cs="楷体_GB2312"/>
                <w:b/>
                <w:bCs/>
                <w:color w:val="auto"/>
                <w:szCs w:val="21"/>
                <w:lang w:val="zh-CN"/>
              </w:rPr>
            </w:pPr>
            <w:r>
              <w:rPr>
                <w:rFonts w:ascii="宋体" w:hAnsi="宋体" w:cs="楷体_GB2312"/>
                <w:b/>
                <w:bCs/>
                <w:color w:val="auto"/>
                <w:szCs w:val="21"/>
                <w:lang w:val="zh-CN"/>
              </w:rPr>
              <w:t>3.4.1</w:t>
            </w:r>
          </w:p>
        </w:tc>
        <w:tc>
          <w:tcPr>
            <w:tcW w:w="1895" w:type="dxa"/>
            <w:tcBorders>
              <w:top w:val="single" w:color="auto" w:sz="6" w:space="0"/>
              <w:left w:val="single" w:color="auto" w:sz="6" w:space="0"/>
              <w:bottom w:val="single" w:color="auto" w:sz="6" w:space="0"/>
              <w:right w:val="single" w:color="auto" w:sz="6" w:space="0"/>
            </w:tcBorders>
            <w:vAlign w:val="center"/>
          </w:tcPr>
          <w:p w14:paraId="09EC3CEC">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投标有效期</w:t>
            </w:r>
          </w:p>
        </w:tc>
        <w:tc>
          <w:tcPr>
            <w:tcW w:w="6661" w:type="dxa"/>
            <w:tcBorders>
              <w:top w:val="single" w:color="auto" w:sz="6" w:space="0"/>
              <w:left w:val="single" w:color="auto" w:sz="6" w:space="0"/>
              <w:bottom w:val="single" w:color="auto" w:sz="6" w:space="0"/>
              <w:right w:val="single" w:color="auto" w:sz="12" w:space="0"/>
            </w:tcBorders>
            <w:vAlign w:val="center"/>
          </w:tcPr>
          <w:p w14:paraId="1F20D0A9">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从开标之日起，投标有效期为</w:t>
            </w:r>
            <w:r>
              <w:rPr>
                <w:rFonts w:ascii="宋体" w:hAnsi="宋体" w:cs="楷体_GB2312"/>
                <w:color w:val="auto"/>
                <w:sz w:val="24"/>
                <w:lang w:val="zh-CN"/>
              </w:rPr>
              <w:t>90</w:t>
            </w:r>
            <w:r>
              <w:rPr>
                <w:rFonts w:hint="eastAsia" w:ascii="宋体" w:hAnsi="宋体" w:cs="楷体_GB2312"/>
                <w:color w:val="auto"/>
                <w:sz w:val="24"/>
                <w:lang w:val="zh-CN"/>
              </w:rPr>
              <w:t>日历天</w:t>
            </w:r>
          </w:p>
        </w:tc>
      </w:tr>
      <w:tr w14:paraId="45755C47">
        <w:tblPrEx>
          <w:tblCellMar>
            <w:top w:w="0" w:type="dxa"/>
            <w:left w:w="108" w:type="dxa"/>
            <w:bottom w:w="0" w:type="dxa"/>
            <w:right w:w="108" w:type="dxa"/>
          </w:tblCellMar>
        </w:tblPrEx>
        <w:trPr>
          <w:trHeight w:val="694" w:hRule="atLeast"/>
          <w:jc w:val="center"/>
        </w:trPr>
        <w:tc>
          <w:tcPr>
            <w:tcW w:w="498" w:type="dxa"/>
            <w:vMerge w:val="continue"/>
            <w:tcBorders>
              <w:left w:val="single" w:color="auto" w:sz="12" w:space="0"/>
              <w:bottom w:val="single" w:color="auto" w:sz="4" w:space="0"/>
              <w:right w:val="single" w:color="auto" w:sz="6" w:space="0"/>
            </w:tcBorders>
          </w:tcPr>
          <w:p w14:paraId="7EEE1019">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4" w:space="0"/>
              <w:right w:val="single" w:color="auto" w:sz="6" w:space="0"/>
            </w:tcBorders>
            <w:vAlign w:val="center"/>
          </w:tcPr>
          <w:p w14:paraId="326FF95F">
            <w:pPr>
              <w:autoSpaceDE w:val="0"/>
              <w:autoSpaceDN w:val="0"/>
              <w:adjustRightInd w:val="0"/>
              <w:snapToGrid w:val="0"/>
              <w:spacing w:line="240" w:lineRule="auto"/>
              <w:ind w:right="-88" w:rightChars="-42"/>
              <w:jc w:val="center"/>
              <w:rPr>
                <w:rFonts w:ascii="宋体" w:hAnsi="宋体" w:cs="楷体_GB2312"/>
                <w:b/>
                <w:bCs/>
                <w:color w:val="auto"/>
                <w:szCs w:val="21"/>
                <w:lang w:val="zh-CN"/>
              </w:rPr>
            </w:pPr>
            <w:r>
              <w:rPr>
                <w:rFonts w:ascii="宋体" w:hAnsi="宋体" w:cs="楷体_GB2312"/>
                <w:b/>
                <w:bCs/>
                <w:color w:val="auto"/>
                <w:szCs w:val="21"/>
                <w:lang w:val="zh-CN"/>
              </w:rPr>
              <w:t>3.5</w:t>
            </w:r>
          </w:p>
        </w:tc>
        <w:tc>
          <w:tcPr>
            <w:tcW w:w="1895" w:type="dxa"/>
            <w:tcBorders>
              <w:top w:val="single" w:color="auto" w:sz="6" w:space="0"/>
              <w:left w:val="single" w:color="auto" w:sz="6" w:space="0"/>
              <w:bottom w:val="single" w:color="auto" w:sz="4" w:space="0"/>
              <w:right w:val="single" w:color="auto" w:sz="6" w:space="0"/>
            </w:tcBorders>
            <w:vAlign w:val="center"/>
          </w:tcPr>
          <w:p w14:paraId="5E9EE80A">
            <w:pPr>
              <w:autoSpaceDE w:val="0"/>
              <w:autoSpaceDN w:val="0"/>
              <w:adjustRightInd w:val="0"/>
              <w:snapToGrid w:val="0"/>
              <w:spacing w:line="240" w:lineRule="auto"/>
              <w:jc w:val="center"/>
              <w:rPr>
                <w:rFonts w:ascii="宋体" w:hAnsi="宋体" w:cs="楷体_GB2312"/>
                <w:b/>
                <w:bCs/>
                <w:color w:val="auto"/>
                <w:sz w:val="24"/>
                <w:lang w:val="zh-CN"/>
              </w:rPr>
            </w:pPr>
            <w:r>
              <w:rPr>
                <w:rFonts w:hint="eastAsia" w:ascii="宋体" w:hAnsi="宋体" w:cs="楷体_GB2312"/>
                <w:b/>
                <w:bCs/>
                <w:color w:val="auto"/>
                <w:sz w:val="24"/>
                <w:lang w:val="zh-CN"/>
              </w:rPr>
              <w:t>投标承诺函</w:t>
            </w:r>
          </w:p>
        </w:tc>
        <w:tc>
          <w:tcPr>
            <w:tcW w:w="6661" w:type="dxa"/>
            <w:tcBorders>
              <w:top w:val="single" w:color="auto" w:sz="6" w:space="0"/>
              <w:left w:val="single" w:color="auto" w:sz="6" w:space="0"/>
              <w:bottom w:val="single" w:color="auto" w:sz="4" w:space="0"/>
              <w:right w:val="single" w:color="auto" w:sz="12" w:space="0"/>
            </w:tcBorders>
            <w:vAlign w:val="center"/>
          </w:tcPr>
          <w:p w14:paraId="1CBCB305">
            <w:pPr>
              <w:pStyle w:val="10"/>
              <w:snapToGrid w:val="0"/>
              <w:spacing w:before="120" w:beforeLines="50"/>
              <w:rPr>
                <w:sz w:val="24"/>
                <w:szCs w:val="24"/>
              </w:rPr>
            </w:pPr>
            <w:r>
              <w:rPr>
                <w:rFonts w:hint="eastAsia"/>
                <w:sz w:val="24"/>
                <w:szCs w:val="24"/>
              </w:rPr>
              <w:t>投标人应按附件格式进行投标承诺、违背承诺的责任追究。</w:t>
            </w:r>
          </w:p>
        </w:tc>
      </w:tr>
      <w:tr w14:paraId="02F8EDC7">
        <w:tblPrEx>
          <w:tblCellMar>
            <w:top w:w="0" w:type="dxa"/>
            <w:left w:w="108" w:type="dxa"/>
            <w:bottom w:w="0" w:type="dxa"/>
            <w:right w:w="108" w:type="dxa"/>
          </w:tblCellMar>
        </w:tblPrEx>
        <w:trPr>
          <w:trHeight w:val="577" w:hRule="atLeast"/>
          <w:jc w:val="center"/>
        </w:trPr>
        <w:tc>
          <w:tcPr>
            <w:tcW w:w="498" w:type="dxa"/>
            <w:vMerge w:val="continue"/>
            <w:tcBorders>
              <w:left w:val="single" w:color="auto" w:sz="12" w:space="0"/>
              <w:right w:val="single" w:color="auto" w:sz="6" w:space="0"/>
            </w:tcBorders>
          </w:tcPr>
          <w:p w14:paraId="06C64326">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4" w:space="0"/>
              <w:left w:val="single" w:color="auto" w:sz="12" w:space="0"/>
              <w:bottom w:val="single" w:color="auto" w:sz="6" w:space="0"/>
              <w:right w:val="single" w:color="auto" w:sz="6" w:space="0"/>
            </w:tcBorders>
            <w:vAlign w:val="center"/>
          </w:tcPr>
          <w:p w14:paraId="656CE8D2">
            <w:pPr>
              <w:autoSpaceDE w:val="0"/>
              <w:autoSpaceDN w:val="0"/>
              <w:adjustRightInd w:val="0"/>
              <w:snapToGrid w:val="0"/>
              <w:spacing w:line="240" w:lineRule="auto"/>
              <w:ind w:right="-88" w:rightChars="-42"/>
              <w:jc w:val="center"/>
              <w:rPr>
                <w:rFonts w:ascii="宋体" w:hAnsi="宋体" w:cs="楷体_GB2312"/>
                <w:b/>
                <w:bCs/>
                <w:color w:val="auto"/>
                <w:szCs w:val="21"/>
                <w:lang w:val="zh-CN"/>
              </w:rPr>
            </w:pPr>
            <w:r>
              <w:rPr>
                <w:rFonts w:ascii="宋体" w:hAnsi="宋体" w:cs="楷体_GB2312"/>
                <w:b/>
                <w:bCs/>
                <w:color w:val="auto"/>
                <w:szCs w:val="21"/>
                <w:lang w:val="zh-CN"/>
              </w:rPr>
              <w:t>3.7.3</w:t>
            </w:r>
          </w:p>
        </w:tc>
        <w:tc>
          <w:tcPr>
            <w:tcW w:w="1895" w:type="dxa"/>
            <w:tcBorders>
              <w:top w:val="single" w:color="auto" w:sz="4" w:space="0"/>
              <w:left w:val="single" w:color="auto" w:sz="6" w:space="0"/>
              <w:bottom w:val="single" w:color="auto" w:sz="6" w:space="0"/>
              <w:right w:val="single" w:color="auto" w:sz="6" w:space="0"/>
            </w:tcBorders>
            <w:vAlign w:val="center"/>
          </w:tcPr>
          <w:p w14:paraId="7A10F1AD">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偏差描述</w:t>
            </w:r>
          </w:p>
        </w:tc>
        <w:tc>
          <w:tcPr>
            <w:tcW w:w="6661" w:type="dxa"/>
            <w:tcBorders>
              <w:top w:val="single" w:color="auto" w:sz="4" w:space="0"/>
              <w:left w:val="single" w:color="auto" w:sz="6" w:space="0"/>
              <w:bottom w:val="single" w:color="auto" w:sz="6" w:space="0"/>
              <w:right w:val="single" w:color="auto" w:sz="12" w:space="0"/>
            </w:tcBorders>
            <w:vAlign w:val="center"/>
          </w:tcPr>
          <w:p w14:paraId="1F22BE66">
            <w:pPr>
              <w:widowControl w:val="0"/>
              <w:snapToGrid w:val="0"/>
              <w:spacing w:before="120" w:beforeLines="50" w:line="240" w:lineRule="auto"/>
              <w:rPr>
                <w:b/>
                <w:color w:val="auto"/>
                <w:sz w:val="24"/>
                <w:szCs w:val="24"/>
              </w:rPr>
            </w:pPr>
            <w:r>
              <w:rPr>
                <w:rFonts w:hint="eastAsia" w:ascii="宋体" w:hAnsi="宋体" w:cs="楷体_GB2312"/>
                <w:color w:val="auto"/>
                <w:sz w:val="24"/>
                <w:lang w:val="zh-CN"/>
              </w:rPr>
              <w:t>见“第三章 投标人须知”相应条款</w:t>
            </w:r>
          </w:p>
        </w:tc>
      </w:tr>
      <w:tr w14:paraId="2F57E573">
        <w:tblPrEx>
          <w:tblCellMar>
            <w:top w:w="0" w:type="dxa"/>
            <w:left w:w="108" w:type="dxa"/>
            <w:bottom w:w="0" w:type="dxa"/>
            <w:right w:w="108" w:type="dxa"/>
          </w:tblCellMar>
        </w:tblPrEx>
        <w:trPr>
          <w:trHeight w:val="65" w:hRule="atLeast"/>
          <w:jc w:val="center"/>
        </w:trPr>
        <w:tc>
          <w:tcPr>
            <w:tcW w:w="498" w:type="dxa"/>
            <w:vMerge w:val="continue"/>
            <w:tcBorders>
              <w:left w:val="single" w:color="auto" w:sz="12" w:space="0"/>
              <w:right w:val="single" w:color="auto" w:sz="6" w:space="0"/>
            </w:tcBorders>
          </w:tcPr>
          <w:p w14:paraId="10449B5C">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6323F1CA">
            <w:pPr>
              <w:autoSpaceDE w:val="0"/>
              <w:autoSpaceDN w:val="0"/>
              <w:adjustRightInd w:val="0"/>
              <w:snapToGrid w:val="0"/>
              <w:spacing w:line="240" w:lineRule="auto"/>
              <w:ind w:right="-88" w:rightChars="-42"/>
              <w:jc w:val="center"/>
              <w:rPr>
                <w:rFonts w:ascii="宋体" w:hAnsi="宋体" w:cs="楷体_GB2312"/>
                <w:b/>
                <w:bCs/>
                <w:color w:val="auto"/>
                <w:szCs w:val="21"/>
                <w:lang w:val="zh-CN"/>
              </w:rPr>
            </w:pPr>
            <w:r>
              <w:rPr>
                <w:rFonts w:ascii="宋体" w:hAnsi="宋体" w:cs="楷体_GB2312"/>
                <w:b/>
                <w:bCs/>
                <w:color w:val="auto"/>
                <w:szCs w:val="21"/>
              </w:rPr>
              <w:t>3.7.4</w:t>
            </w:r>
          </w:p>
        </w:tc>
        <w:tc>
          <w:tcPr>
            <w:tcW w:w="1895" w:type="dxa"/>
            <w:tcBorders>
              <w:top w:val="single" w:color="auto" w:sz="6" w:space="0"/>
              <w:left w:val="single" w:color="auto" w:sz="6" w:space="0"/>
              <w:bottom w:val="single" w:color="auto" w:sz="6" w:space="0"/>
              <w:right w:val="single" w:color="auto" w:sz="6" w:space="0"/>
            </w:tcBorders>
            <w:vAlign w:val="center"/>
          </w:tcPr>
          <w:p w14:paraId="1ED5C57A">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签字或盖章要求</w:t>
            </w:r>
          </w:p>
        </w:tc>
        <w:tc>
          <w:tcPr>
            <w:tcW w:w="6661" w:type="dxa"/>
            <w:tcBorders>
              <w:top w:val="single" w:color="auto" w:sz="6" w:space="0"/>
              <w:left w:val="single" w:color="auto" w:sz="6" w:space="0"/>
              <w:bottom w:val="single" w:color="auto" w:sz="6" w:space="0"/>
              <w:right w:val="single" w:color="auto" w:sz="12" w:space="0"/>
            </w:tcBorders>
            <w:vAlign w:val="center"/>
          </w:tcPr>
          <w:p w14:paraId="1BCA57CF">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见“第三章 投标人须知”相应条款</w:t>
            </w:r>
          </w:p>
        </w:tc>
      </w:tr>
      <w:tr w14:paraId="68A031E8">
        <w:tblPrEx>
          <w:tblCellMar>
            <w:top w:w="0" w:type="dxa"/>
            <w:left w:w="108" w:type="dxa"/>
            <w:bottom w:w="0" w:type="dxa"/>
            <w:right w:w="108" w:type="dxa"/>
          </w:tblCellMar>
        </w:tblPrEx>
        <w:trPr>
          <w:trHeight w:val="343" w:hRule="atLeast"/>
          <w:jc w:val="center"/>
        </w:trPr>
        <w:tc>
          <w:tcPr>
            <w:tcW w:w="498" w:type="dxa"/>
            <w:vMerge w:val="continue"/>
            <w:tcBorders>
              <w:left w:val="single" w:color="auto" w:sz="12" w:space="0"/>
              <w:right w:val="single" w:color="auto" w:sz="6" w:space="0"/>
            </w:tcBorders>
          </w:tcPr>
          <w:p w14:paraId="189855CC">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55D0F7DD">
            <w:pPr>
              <w:autoSpaceDE w:val="0"/>
              <w:autoSpaceDN w:val="0"/>
              <w:adjustRightInd w:val="0"/>
              <w:snapToGrid w:val="0"/>
              <w:spacing w:line="240" w:lineRule="auto"/>
              <w:ind w:right="-88" w:rightChars="-42"/>
              <w:jc w:val="center"/>
              <w:rPr>
                <w:rFonts w:ascii="宋体" w:hAnsi="宋体" w:cs="楷体_GB2312"/>
                <w:b/>
                <w:bCs/>
                <w:color w:val="auto"/>
                <w:szCs w:val="21"/>
                <w:lang w:val="zh-CN"/>
              </w:rPr>
            </w:pPr>
            <w:r>
              <w:rPr>
                <w:rFonts w:ascii="宋体" w:hAnsi="宋体" w:cs="楷体_GB2312"/>
                <w:b/>
                <w:bCs/>
                <w:color w:val="auto"/>
                <w:szCs w:val="21"/>
              </w:rPr>
              <w:t>4.2.</w:t>
            </w:r>
            <w:r>
              <w:rPr>
                <w:rFonts w:hint="eastAsia" w:ascii="宋体" w:hAnsi="宋体" w:cs="楷体_GB2312"/>
                <w:b/>
                <w:bCs/>
                <w:color w:val="auto"/>
                <w:szCs w:val="21"/>
              </w:rPr>
              <w:t>4</w:t>
            </w:r>
          </w:p>
        </w:tc>
        <w:tc>
          <w:tcPr>
            <w:tcW w:w="1895" w:type="dxa"/>
            <w:tcBorders>
              <w:top w:val="single" w:color="auto" w:sz="6" w:space="0"/>
              <w:left w:val="single" w:color="auto" w:sz="6" w:space="0"/>
              <w:bottom w:val="single" w:color="auto" w:sz="6" w:space="0"/>
              <w:right w:val="single" w:color="auto" w:sz="6" w:space="0"/>
            </w:tcBorders>
            <w:vAlign w:val="center"/>
          </w:tcPr>
          <w:p w14:paraId="7E8992CC">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是否退还投标文件</w:t>
            </w:r>
          </w:p>
        </w:tc>
        <w:tc>
          <w:tcPr>
            <w:tcW w:w="6661" w:type="dxa"/>
            <w:tcBorders>
              <w:top w:val="single" w:color="auto" w:sz="6" w:space="0"/>
              <w:left w:val="single" w:color="auto" w:sz="6" w:space="0"/>
              <w:bottom w:val="single" w:color="auto" w:sz="6" w:space="0"/>
              <w:right w:val="single" w:color="auto" w:sz="12" w:space="0"/>
            </w:tcBorders>
            <w:vAlign w:val="center"/>
          </w:tcPr>
          <w:p w14:paraId="0EA3F6F4">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否</w:t>
            </w:r>
          </w:p>
        </w:tc>
      </w:tr>
      <w:tr w14:paraId="251F0DAC">
        <w:tblPrEx>
          <w:tblCellMar>
            <w:top w:w="0" w:type="dxa"/>
            <w:left w:w="108" w:type="dxa"/>
            <w:bottom w:w="0" w:type="dxa"/>
            <w:right w:w="108" w:type="dxa"/>
          </w:tblCellMar>
        </w:tblPrEx>
        <w:trPr>
          <w:trHeight w:val="507" w:hRule="atLeast"/>
          <w:jc w:val="center"/>
        </w:trPr>
        <w:tc>
          <w:tcPr>
            <w:tcW w:w="498" w:type="dxa"/>
            <w:vMerge w:val="continue"/>
            <w:tcBorders>
              <w:left w:val="single" w:color="auto" w:sz="12" w:space="0"/>
              <w:bottom w:val="single" w:color="auto" w:sz="6" w:space="0"/>
              <w:right w:val="single" w:color="auto" w:sz="6" w:space="0"/>
            </w:tcBorders>
          </w:tcPr>
          <w:p w14:paraId="75241441">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1467B023">
            <w:pPr>
              <w:autoSpaceDE w:val="0"/>
              <w:autoSpaceDN w:val="0"/>
              <w:adjustRightInd w:val="0"/>
              <w:snapToGrid w:val="0"/>
              <w:spacing w:line="240" w:lineRule="auto"/>
              <w:ind w:right="-88" w:rightChars="-42"/>
              <w:jc w:val="center"/>
              <w:rPr>
                <w:rFonts w:ascii="宋体" w:hAnsi="宋体" w:cs="楷体_GB2312"/>
                <w:b/>
                <w:bCs/>
                <w:color w:val="auto"/>
                <w:szCs w:val="21"/>
                <w:lang w:val="zh-CN"/>
              </w:rPr>
            </w:pPr>
            <w:r>
              <w:rPr>
                <w:rFonts w:ascii="宋体" w:hAnsi="宋体" w:cs="楷体_GB2312"/>
                <w:b/>
                <w:bCs/>
                <w:color w:val="auto"/>
                <w:szCs w:val="21"/>
              </w:rPr>
              <w:t>6.1</w:t>
            </w:r>
          </w:p>
        </w:tc>
        <w:tc>
          <w:tcPr>
            <w:tcW w:w="1895" w:type="dxa"/>
            <w:tcBorders>
              <w:top w:val="single" w:color="auto" w:sz="6" w:space="0"/>
              <w:left w:val="single" w:color="auto" w:sz="6" w:space="0"/>
              <w:bottom w:val="single" w:color="auto" w:sz="6" w:space="0"/>
              <w:right w:val="single" w:color="auto" w:sz="6" w:space="0"/>
            </w:tcBorders>
            <w:vAlign w:val="center"/>
          </w:tcPr>
          <w:p w14:paraId="1B8B591D">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谈判小组的组建</w:t>
            </w:r>
          </w:p>
        </w:tc>
        <w:tc>
          <w:tcPr>
            <w:tcW w:w="6661" w:type="dxa"/>
            <w:tcBorders>
              <w:top w:val="single" w:color="auto" w:sz="6" w:space="0"/>
              <w:left w:val="single" w:color="auto" w:sz="6" w:space="0"/>
              <w:bottom w:val="single" w:color="auto" w:sz="6" w:space="0"/>
              <w:right w:val="single" w:color="auto" w:sz="12" w:space="0"/>
            </w:tcBorders>
            <w:vAlign w:val="center"/>
          </w:tcPr>
          <w:p w14:paraId="6C60FB41">
            <w:pPr>
              <w:autoSpaceDE w:val="0"/>
              <w:autoSpaceDN w:val="0"/>
              <w:adjustRightInd w:val="0"/>
              <w:snapToGrid w:val="0"/>
              <w:spacing w:before="120" w:beforeLines="50" w:line="240" w:lineRule="auto"/>
              <w:rPr>
                <w:rFonts w:ascii="宋体" w:cs="楷体_GB2312"/>
                <w:color w:val="auto"/>
                <w:sz w:val="24"/>
                <w:lang w:val="zh-CN"/>
              </w:rPr>
            </w:pPr>
            <w:r>
              <w:rPr>
                <w:rFonts w:hint="eastAsia" w:ascii="宋体" w:hAnsi="宋体" w:cs="楷体_GB2312"/>
                <w:color w:val="auto"/>
                <w:sz w:val="24"/>
                <w:lang w:val="zh-CN"/>
              </w:rPr>
              <w:t>见“第三章 投标人须知”相应条款</w:t>
            </w:r>
          </w:p>
        </w:tc>
      </w:tr>
      <w:tr w14:paraId="131517AE">
        <w:tblPrEx>
          <w:tblCellMar>
            <w:top w:w="0" w:type="dxa"/>
            <w:left w:w="108" w:type="dxa"/>
            <w:bottom w:w="0" w:type="dxa"/>
            <w:right w:w="108" w:type="dxa"/>
          </w:tblCellMar>
        </w:tblPrEx>
        <w:trPr>
          <w:trHeight w:val="543" w:hRule="atLeast"/>
          <w:jc w:val="center"/>
        </w:trPr>
        <w:tc>
          <w:tcPr>
            <w:tcW w:w="498" w:type="dxa"/>
            <w:vMerge w:val="restart"/>
            <w:tcBorders>
              <w:left w:val="single" w:color="auto" w:sz="12" w:space="0"/>
              <w:right w:val="single" w:color="auto" w:sz="6" w:space="0"/>
            </w:tcBorders>
          </w:tcPr>
          <w:p w14:paraId="4D18232C">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750DB7B9">
            <w:pPr>
              <w:autoSpaceDE w:val="0"/>
              <w:autoSpaceDN w:val="0"/>
              <w:adjustRightInd w:val="0"/>
              <w:snapToGrid w:val="0"/>
              <w:spacing w:line="240" w:lineRule="auto"/>
              <w:ind w:right="-88" w:rightChars="-42"/>
              <w:jc w:val="center"/>
              <w:rPr>
                <w:rFonts w:ascii="宋体" w:hAnsi="宋体" w:cs="楷体_GB2312"/>
                <w:b/>
                <w:bCs/>
                <w:color w:val="auto"/>
                <w:szCs w:val="21"/>
              </w:rPr>
            </w:pPr>
            <w:r>
              <w:rPr>
                <w:rFonts w:ascii="宋体" w:hAnsi="宋体" w:cs="楷体_GB2312"/>
                <w:b/>
                <w:bCs/>
                <w:color w:val="auto"/>
                <w:szCs w:val="21"/>
              </w:rPr>
              <w:t>7.1</w:t>
            </w:r>
          </w:p>
        </w:tc>
        <w:tc>
          <w:tcPr>
            <w:tcW w:w="1895" w:type="dxa"/>
            <w:tcBorders>
              <w:top w:val="single" w:color="auto" w:sz="6" w:space="0"/>
              <w:left w:val="single" w:color="auto" w:sz="6" w:space="0"/>
              <w:bottom w:val="single" w:color="auto" w:sz="6" w:space="0"/>
              <w:right w:val="single" w:color="auto" w:sz="6" w:space="0"/>
            </w:tcBorders>
            <w:vAlign w:val="center"/>
          </w:tcPr>
          <w:p w14:paraId="425512D2">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是否授权谈判小组确定成交供应商</w:t>
            </w:r>
          </w:p>
        </w:tc>
        <w:tc>
          <w:tcPr>
            <w:tcW w:w="6661" w:type="dxa"/>
            <w:tcBorders>
              <w:top w:val="single" w:color="auto" w:sz="6" w:space="0"/>
              <w:left w:val="single" w:color="auto" w:sz="6" w:space="0"/>
              <w:bottom w:val="single" w:color="auto" w:sz="6" w:space="0"/>
              <w:right w:val="single" w:color="auto" w:sz="12" w:space="0"/>
            </w:tcBorders>
            <w:vAlign w:val="center"/>
          </w:tcPr>
          <w:p w14:paraId="1BD5CE2C">
            <w:pPr>
              <w:adjustRightInd w:val="0"/>
              <w:snapToGrid w:val="0"/>
              <w:spacing w:before="120" w:beforeLines="50" w:line="240" w:lineRule="auto"/>
              <w:rPr>
                <w:rFonts w:ascii="宋体"/>
                <w:color w:val="auto"/>
                <w:sz w:val="24"/>
              </w:rPr>
            </w:pPr>
            <w:r>
              <w:rPr>
                <w:rFonts w:hint="eastAsia" w:ascii="宋体" w:hAnsi="宋体"/>
                <w:color w:val="auto"/>
                <w:sz w:val="24"/>
              </w:rPr>
              <w:t>是</w:t>
            </w:r>
          </w:p>
        </w:tc>
      </w:tr>
      <w:tr w14:paraId="73F53EC8">
        <w:tblPrEx>
          <w:tblCellMar>
            <w:top w:w="0" w:type="dxa"/>
            <w:left w:w="108" w:type="dxa"/>
            <w:bottom w:w="0" w:type="dxa"/>
            <w:right w:w="108" w:type="dxa"/>
          </w:tblCellMar>
        </w:tblPrEx>
        <w:trPr>
          <w:trHeight w:val="453" w:hRule="atLeast"/>
          <w:jc w:val="center"/>
        </w:trPr>
        <w:tc>
          <w:tcPr>
            <w:tcW w:w="498" w:type="dxa"/>
            <w:vMerge w:val="continue"/>
            <w:tcBorders>
              <w:left w:val="single" w:color="auto" w:sz="12" w:space="0"/>
              <w:right w:val="single" w:color="auto" w:sz="6" w:space="0"/>
            </w:tcBorders>
          </w:tcPr>
          <w:p w14:paraId="008E3879">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4DACDC2E">
            <w:pPr>
              <w:autoSpaceDE w:val="0"/>
              <w:autoSpaceDN w:val="0"/>
              <w:adjustRightInd w:val="0"/>
              <w:snapToGrid w:val="0"/>
              <w:spacing w:line="240" w:lineRule="auto"/>
              <w:ind w:right="-88" w:rightChars="-42"/>
              <w:jc w:val="center"/>
              <w:rPr>
                <w:rFonts w:ascii="宋体" w:hAnsi="宋体" w:cs="楷体_GB2312"/>
                <w:b/>
                <w:bCs/>
                <w:color w:val="auto"/>
                <w:szCs w:val="21"/>
              </w:rPr>
            </w:pPr>
            <w:r>
              <w:rPr>
                <w:rFonts w:ascii="宋体" w:hAnsi="宋体" w:cs="楷体_GB2312"/>
                <w:b/>
                <w:bCs/>
                <w:color w:val="auto"/>
                <w:szCs w:val="21"/>
              </w:rPr>
              <w:t>7.2</w:t>
            </w:r>
          </w:p>
        </w:tc>
        <w:tc>
          <w:tcPr>
            <w:tcW w:w="1895" w:type="dxa"/>
            <w:tcBorders>
              <w:top w:val="single" w:color="auto" w:sz="6" w:space="0"/>
              <w:left w:val="single" w:color="auto" w:sz="6" w:space="0"/>
              <w:bottom w:val="single" w:color="auto" w:sz="6" w:space="0"/>
              <w:right w:val="single" w:color="auto" w:sz="6" w:space="0"/>
            </w:tcBorders>
            <w:vAlign w:val="center"/>
          </w:tcPr>
          <w:p w14:paraId="18430B25">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成交结果公告</w:t>
            </w:r>
          </w:p>
        </w:tc>
        <w:tc>
          <w:tcPr>
            <w:tcW w:w="6661" w:type="dxa"/>
            <w:tcBorders>
              <w:top w:val="single" w:color="auto" w:sz="6" w:space="0"/>
              <w:left w:val="single" w:color="auto" w:sz="6" w:space="0"/>
              <w:bottom w:val="single" w:color="auto" w:sz="6" w:space="0"/>
              <w:right w:val="single" w:color="auto" w:sz="12" w:space="0"/>
            </w:tcBorders>
            <w:vAlign w:val="center"/>
          </w:tcPr>
          <w:p w14:paraId="58F56BD7">
            <w:pPr>
              <w:adjustRightInd w:val="0"/>
              <w:snapToGrid w:val="0"/>
              <w:spacing w:before="120" w:beforeLines="50" w:line="240" w:lineRule="auto"/>
              <w:rPr>
                <w:rFonts w:ascii="宋体" w:hAnsi="宋体"/>
                <w:color w:val="auto"/>
                <w:sz w:val="24"/>
              </w:rPr>
            </w:pPr>
            <w:r>
              <w:rPr>
                <w:rFonts w:hint="eastAsia" w:ascii="宋体" w:hAnsi="宋体"/>
                <w:color w:val="auto"/>
                <w:sz w:val="24"/>
              </w:rPr>
              <w:t>本次单一来源采购的成交结果将在成交供应商确定之日起1个工作日内，在谈判邀请函所述媒介公告</w:t>
            </w:r>
            <w:r>
              <w:rPr>
                <w:rFonts w:ascii="宋体" w:hAnsi="宋体"/>
                <w:color w:val="auto"/>
                <w:sz w:val="24"/>
              </w:rPr>
              <w:t>1</w:t>
            </w:r>
            <w:r>
              <w:rPr>
                <w:rFonts w:hint="eastAsia" w:ascii="宋体" w:hAnsi="宋体"/>
                <w:color w:val="auto"/>
                <w:sz w:val="24"/>
              </w:rPr>
              <w:t>个工作日。</w:t>
            </w:r>
          </w:p>
        </w:tc>
      </w:tr>
      <w:tr w14:paraId="2F00840E">
        <w:tblPrEx>
          <w:tblCellMar>
            <w:top w:w="0" w:type="dxa"/>
            <w:left w:w="108" w:type="dxa"/>
            <w:bottom w:w="0" w:type="dxa"/>
            <w:right w:w="108" w:type="dxa"/>
          </w:tblCellMar>
        </w:tblPrEx>
        <w:trPr>
          <w:trHeight w:val="453" w:hRule="atLeast"/>
          <w:jc w:val="center"/>
        </w:trPr>
        <w:tc>
          <w:tcPr>
            <w:tcW w:w="498" w:type="dxa"/>
            <w:vMerge w:val="continue"/>
            <w:tcBorders>
              <w:left w:val="single" w:color="auto" w:sz="12" w:space="0"/>
              <w:right w:val="single" w:color="auto" w:sz="6" w:space="0"/>
            </w:tcBorders>
          </w:tcPr>
          <w:p w14:paraId="59E7B86A">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3EBE578D">
            <w:pPr>
              <w:autoSpaceDE w:val="0"/>
              <w:autoSpaceDN w:val="0"/>
              <w:adjustRightInd w:val="0"/>
              <w:snapToGrid w:val="0"/>
              <w:spacing w:line="240" w:lineRule="auto"/>
              <w:ind w:right="-88" w:rightChars="-42"/>
              <w:jc w:val="center"/>
              <w:rPr>
                <w:rFonts w:ascii="宋体" w:hAnsi="宋体" w:cs="楷体_GB2312"/>
                <w:b/>
                <w:bCs/>
                <w:color w:val="auto"/>
                <w:szCs w:val="21"/>
              </w:rPr>
            </w:pPr>
            <w:r>
              <w:rPr>
                <w:rFonts w:ascii="宋体" w:hAnsi="宋体" w:cs="楷体_GB2312"/>
                <w:b/>
                <w:bCs/>
                <w:color w:val="auto"/>
                <w:szCs w:val="21"/>
              </w:rPr>
              <w:t>7.3</w:t>
            </w:r>
          </w:p>
        </w:tc>
        <w:tc>
          <w:tcPr>
            <w:tcW w:w="1895" w:type="dxa"/>
            <w:tcBorders>
              <w:top w:val="single" w:color="auto" w:sz="6" w:space="0"/>
              <w:left w:val="single" w:color="auto" w:sz="6" w:space="0"/>
              <w:bottom w:val="single" w:color="auto" w:sz="6" w:space="0"/>
              <w:right w:val="single" w:color="auto" w:sz="6" w:space="0"/>
            </w:tcBorders>
            <w:vAlign w:val="center"/>
          </w:tcPr>
          <w:p w14:paraId="2EDFD2BB">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质疑</w:t>
            </w:r>
          </w:p>
        </w:tc>
        <w:tc>
          <w:tcPr>
            <w:tcW w:w="6661" w:type="dxa"/>
            <w:tcBorders>
              <w:top w:val="single" w:color="auto" w:sz="6" w:space="0"/>
              <w:left w:val="single" w:color="auto" w:sz="6" w:space="0"/>
              <w:bottom w:val="single" w:color="auto" w:sz="6" w:space="0"/>
              <w:right w:val="single" w:color="auto" w:sz="12" w:space="0"/>
            </w:tcBorders>
            <w:vAlign w:val="center"/>
          </w:tcPr>
          <w:p w14:paraId="409ADD33">
            <w:pPr>
              <w:adjustRightInd w:val="0"/>
              <w:snapToGrid w:val="0"/>
              <w:spacing w:before="120" w:beforeLines="50" w:line="240" w:lineRule="auto"/>
              <w:rPr>
                <w:rFonts w:ascii="宋体"/>
                <w:color w:val="auto"/>
                <w:sz w:val="24"/>
              </w:rPr>
            </w:pPr>
            <w:r>
              <w:rPr>
                <w:rFonts w:hint="eastAsia" w:ascii="宋体" w:hAnsi="宋体"/>
                <w:color w:val="auto"/>
                <w:sz w:val="24"/>
              </w:rPr>
              <w:t>参与本次采购活动的供应商如有异议，可在各环节法定质疑期内向采购代理机构一次性提出针对该采购程序环节的纸质书面质疑函，书面原件送达至采购文件列示的采购代理机构及采购人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疑的日期。供应商为自然人的，应当由本人签字；供应商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14:paraId="52C56004">
        <w:tblPrEx>
          <w:tblCellMar>
            <w:top w:w="0" w:type="dxa"/>
            <w:left w:w="108" w:type="dxa"/>
            <w:bottom w:w="0" w:type="dxa"/>
            <w:right w:w="108" w:type="dxa"/>
          </w:tblCellMar>
        </w:tblPrEx>
        <w:trPr>
          <w:trHeight w:val="453" w:hRule="atLeast"/>
          <w:jc w:val="center"/>
        </w:trPr>
        <w:tc>
          <w:tcPr>
            <w:tcW w:w="498" w:type="dxa"/>
            <w:vMerge w:val="continue"/>
            <w:tcBorders>
              <w:left w:val="single" w:color="auto" w:sz="12" w:space="0"/>
              <w:right w:val="single" w:color="auto" w:sz="6" w:space="0"/>
            </w:tcBorders>
          </w:tcPr>
          <w:p w14:paraId="7FEC2354">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238A64D0">
            <w:pPr>
              <w:autoSpaceDE w:val="0"/>
              <w:autoSpaceDN w:val="0"/>
              <w:adjustRightInd w:val="0"/>
              <w:snapToGrid w:val="0"/>
              <w:spacing w:line="240" w:lineRule="auto"/>
              <w:ind w:right="-88" w:rightChars="-42"/>
              <w:jc w:val="center"/>
              <w:rPr>
                <w:rFonts w:ascii="宋体" w:hAnsi="宋体" w:cs="楷体_GB2312"/>
                <w:b/>
                <w:bCs/>
                <w:color w:val="auto"/>
                <w:szCs w:val="21"/>
              </w:rPr>
            </w:pPr>
            <w:r>
              <w:rPr>
                <w:rFonts w:ascii="宋体" w:hAnsi="宋体" w:cs="楷体_GB2312"/>
                <w:b/>
                <w:bCs/>
                <w:color w:val="auto"/>
                <w:szCs w:val="21"/>
              </w:rPr>
              <w:t>7.4</w:t>
            </w:r>
          </w:p>
        </w:tc>
        <w:tc>
          <w:tcPr>
            <w:tcW w:w="1895" w:type="dxa"/>
            <w:tcBorders>
              <w:top w:val="single" w:color="auto" w:sz="6" w:space="0"/>
              <w:left w:val="single" w:color="auto" w:sz="6" w:space="0"/>
              <w:bottom w:val="single" w:color="auto" w:sz="6" w:space="0"/>
              <w:right w:val="single" w:color="auto" w:sz="6" w:space="0"/>
            </w:tcBorders>
            <w:vAlign w:val="center"/>
          </w:tcPr>
          <w:p w14:paraId="35FF508A">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成交通知书</w:t>
            </w:r>
          </w:p>
        </w:tc>
        <w:tc>
          <w:tcPr>
            <w:tcW w:w="6661" w:type="dxa"/>
            <w:tcBorders>
              <w:top w:val="single" w:color="auto" w:sz="6" w:space="0"/>
              <w:left w:val="single" w:color="auto" w:sz="6" w:space="0"/>
              <w:bottom w:val="single" w:color="auto" w:sz="6" w:space="0"/>
              <w:right w:val="single" w:color="auto" w:sz="12" w:space="0"/>
            </w:tcBorders>
            <w:vAlign w:val="center"/>
          </w:tcPr>
          <w:p w14:paraId="1854B197">
            <w:pPr>
              <w:adjustRightInd w:val="0"/>
              <w:snapToGrid w:val="0"/>
              <w:spacing w:before="120" w:beforeLines="50" w:line="240" w:lineRule="auto"/>
              <w:rPr>
                <w:rFonts w:ascii="宋体" w:hAnsi="宋体" w:cs="楷体_GB2312"/>
                <w:color w:val="auto"/>
                <w:sz w:val="24"/>
                <w:lang w:val="zh-CN"/>
              </w:rPr>
            </w:pPr>
            <w:r>
              <w:rPr>
                <w:rFonts w:hint="eastAsia" w:ascii="宋体" w:hAnsi="宋体" w:cs="楷体_GB2312"/>
                <w:color w:val="auto"/>
                <w:sz w:val="24"/>
                <w:lang w:val="zh-CN"/>
              </w:rPr>
              <w:t>采购代理机构在成交供应商确定后1个工作日内，向成交供应商发出成交通知书。成交供应商应凭缴费凭证及时领取成交通知书。</w:t>
            </w:r>
          </w:p>
        </w:tc>
      </w:tr>
      <w:tr w14:paraId="113C3947">
        <w:tblPrEx>
          <w:tblCellMar>
            <w:top w:w="0" w:type="dxa"/>
            <w:left w:w="108" w:type="dxa"/>
            <w:bottom w:w="0" w:type="dxa"/>
            <w:right w:w="108" w:type="dxa"/>
          </w:tblCellMar>
        </w:tblPrEx>
        <w:trPr>
          <w:trHeight w:val="453" w:hRule="atLeast"/>
          <w:jc w:val="center"/>
        </w:trPr>
        <w:tc>
          <w:tcPr>
            <w:tcW w:w="498" w:type="dxa"/>
            <w:vMerge w:val="restart"/>
            <w:tcBorders>
              <w:left w:val="single" w:color="auto" w:sz="12" w:space="0"/>
              <w:right w:val="single" w:color="auto" w:sz="6" w:space="0"/>
            </w:tcBorders>
          </w:tcPr>
          <w:p w14:paraId="744D252C">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58A716A4">
            <w:pPr>
              <w:autoSpaceDE w:val="0"/>
              <w:autoSpaceDN w:val="0"/>
              <w:adjustRightInd w:val="0"/>
              <w:snapToGrid w:val="0"/>
              <w:spacing w:line="240" w:lineRule="auto"/>
              <w:ind w:right="-88" w:rightChars="-42"/>
              <w:jc w:val="center"/>
              <w:rPr>
                <w:rFonts w:ascii="宋体" w:hAnsi="宋体" w:cs="楷体_GB2312"/>
                <w:b/>
                <w:bCs/>
                <w:color w:val="auto"/>
                <w:szCs w:val="21"/>
                <w:lang w:val="zh-CN"/>
              </w:rPr>
            </w:pPr>
            <w:r>
              <w:rPr>
                <w:rFonts w:ascii="宋体" w:hAnsi="宋体" w:cs="楷体_GB2312"/>
                <w:b/>
                <w:bCs/>
                <w:color w:val="auto"/>
                <w:szCs w:val="21"/>
                <w:lang w:val="zh-CN"/>
              </w:rPr>
              <w:t>7.5</w:t>
            </w:r>
          </w:p>
        </w:tc>
        <w:tc>
          <w:tcPr>
            <w:tcW w:w="1895" w:type="dxa"/>
            <w:tcBorders>
              <w:top w:val="single" w:color="auto" w:sz="6" w:space="0"/>
              <w:left w:val="single" w:color="auto" w:sz="6" w:space="0"/>
              <w:bottom w:val="single" w:color="auto" w:sz="6" w:space="0"/>
              <w:right w:val="single" w:color="auto" w:sz="6" w:space="0"/>
            </w:tcBorders>
            <w:vAlign w:val="center"/>
          </w:tcPr>
          <w:p w14:paraId="55EB60BC">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履约保证金</w:t>
            </w:r>
          </w:p>
        </w:tc>
        <w:tc>
          <w:tcPr>
            <w:tcW w:w="6661" w:type="dxa"/>
            <w:tcBorders>
              <w:top w:val="single" w:color="auto" w:sz="6" w:space="0"/>
              <w:left w:val="single" w:color="auto" w:sz="6" w:space="0"/>
              <w:bottom w:val="single" w:color="auto" w:sz="6" w:space="0"/>
              <w:right w:val="single" w:color="auto" w:sz="12" w:space="0"/>
            </w:tcBorders>
            <w:vAlign w:val="center"/>
          </w:tcPr>
          <w:p w14:paraId="5E749142">
            <w:pPr>
              <w:widowControl w:val="0"/>
              <w:snapToGrid w:val="0"/>
              <w:spacing w:before="120" w:beforeLines="50" w:line="240" w:lineRule="auto"/>
              <w:rPr>
                <w:color w:val="auto"/>
                <w:sz w:val="24"/>
                <w:szCs w:val="24"/>
              </w:rPr>
            </w:pPr>
            <w:r>
              <w:rPr>
                <w:rFonts w:hint="eastAsia"/>
                <w:color w:val="auto"/>
                <w:sz w:val="24"/>
                <w:szCs w:val="24"/>
              </w:rPr>
              <w:t>不需缴纳</w:t>
            </w:r>
          </w:p>
        </w:tc>
      </w:tr>
      <w:tr w14:paraId="7356629A">
        <w:tblPrEx>
          <w:tblCellMar>
            <w:top w:w="0" w:type="dxa"/>
            <w:left w:w="108" w:type="dxa"/>
            <w:bottom w:w="0" w:type="dxa"/>
            <w:right w:w="108" w:type="dxa"/>
          </w:tblCellMar>
        </w:tblPrEx>
        <w:trPr>
          <w:trHeight w:val="453" w:hRule="atLeast"/>
          <w:jc w:val="center"/>
        </w:trPr>
        <w:tc>
          <w:tcPr>
            <w:tcW w:w="498" w:type="dxa"/>
            <w:vMerge w:val="continue"/>
            <w:tcBorders>
              <w:left w:val="single" w:color="auto" w:sz="12" w:space="0"/>
              <w:right w:val="single" w:color="auto" w:sz="6" w:space="0"/>
            </w:tcBorders>
          </w:tcPr>
          <w:p w14:paraId="01555B4F">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74545A08">
            <w:pPr>
              <w:autoSpaceDE w:val="0"/>
              <w:autoSpaceDN w:val="0"/>
              <w:adjustRightInd w:val="0"/>
              <w:snapToGrid w:val="0"/>
              <w:spacing w:line="240" w:lineRule="auto"/>
              <w:ind w:right="-88" w:rightChars="-42"/>
              <w:jc w:val="center"/>
              <w:rPr>
                <w:rFonts w:ascii="宋体" w:hAnsi="宋体" w:cs="楷体_GB2312"/>
                <w:b/>
                <w:bCs/>
                <w:color w:val="auto"/>
                <w:szCs w:val="21"/>
                <w:lang w:val="zh-CN"/>
              </w:rPr>
            </w:pPr>
            <w:r>
              <w:rPr>
                <w:rFonts w:ascii="宋体" w:hAnsi="宋体" w:cs="楷体_GB2312"/>
                <w:b/>
                <w:bCs/>
                <w:color w:val="auto"/>
                <w:szCs w:val="21"/>
                <w:lang w:val="zh-CN"/>
              </w:rPr>
              <w:t>8</w:t>
            </w:r>
          </w:p>
        </w:tc>
        <w:tc>
          <w:tcPr>
            <w:tcW w:w="1895" w:type="dxa"/>
            <w:tcBorders>
              <w:top w:val="single" w:color="auto" w:sz="6" w:space="0"/>
              <w:left w:val="single" w:color="auto" w:sz="6" w:space="0"/>
              <w:bottom w:val="single" w:color="auto" w:sz="6" w:space="0"/>
              <w:right w:val="single" w:color="auto" w:sz="6" w:space="0"/>
            </w:tcBorders>
            <w:vAlign w:val="center"/>
          </w:tcPr>
          <w:p w14:paraId="04725E4F">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验收</w:t>
            </w:r>
          </w:p>
        </w:tc>
        <w:tc>
          <w:tcPr>
            <w:tcW w:w="6661" w:type="dxa"/>
            <w:tcBorders>
              <w:top w:val="single" w:color="auto" w:sz="6" w:space="0"/>
              <w:left w:val="single" w:color="auto" w:sz="6" w:space="0"/>
              <w:bottom w:val="single" w:color="auto" w:sz="6" w:space="0"/>
              <w:right w:val="single" w:color="auto" w:sz="12" w:space="0"/>
            </w:tcBorders>
            <w:vAlign w:val="center"/>
          </w:tcPr>
          <w:p w14:paraId="3AF4628B">
            <w:pPr>
              <w:widowControl w:val="0"/>
              <w:snapToGrid w:val="0"/>
              <w:spacing w:before="120" w:beforeLines="50" w:line="240" w:lineRule="auto"/>
              <w:rPr>
                <w:color w:val="auto"/>
                <w:sz w:val="24"/>
                <w:szCs w:val="24"/>
              </w:rPr>
            </w:pPr>
            <w:r>
              <w:rPr>
                <w:rFonts w:hint="eastAsia"/>
                <w:color w:val="auto"/>
                <w:sz w:val="24"/>
                <w:szCs w:val="24"/>
              </w:rPr>
              <w:t>见“第三章 投标人须知”相应条款</w:t>
            </w:r>
          </w:p>
        </w:tc>
      </w:tr>
      <w:tr w14:paraId="303D3D82">
        <w:tblPrEx>
          <w:tblCellMar>
            <w:top w:w="0" w:type="dxa"/>
            <w:left w:w="108" w:type="dxa"/>
            <w:bottom w:w="0" w:type="dxa"/>
            <w:right w:w="108" w:type="dxa"/>
          </w:tblCellMar>
        </w:tblPrEx>
        <w:trPr>
          <w:trHeight w:val="453" w:hRule="atLeast"/>
          <w:jc w:val="center"/>
        </w:trPr>
        <w:tc>
          <w:tcPr>
            <w:tcW w:w="498" w:type="dxa"/>
            <w:vMerge w:val="continue"/>
            <w:tcBorders>
              <w:left w:val="single" w:color="auto" w:sz="12" w:space="0"/>
              <w:right w:val="single" w:color="auto" w:sz="6" w:space="0"/>
            </w:tcBorders>
          </w:tcPr>
          <w:p w14:paraId="58B83551">
            <w:pPr>
              <w:autoSpaceDE w:val="0"/>
              <w:autoSpaceDN w:val="0"/>
              <w:adjustRightInd w:val="0"/>
              <w:spacing w:line="360" w:lineRule="auto"/>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3ADAA555">
            <w:pPr>
              <w:autoSpaceDE w:val="0"/>
              <w:autoSpaceDN w:val="0"/>
              <w:adjustRightInd w:val="0"/>
              <w:snapToGrid w:val="0"/>
              <w:spacing w:line="240" w:lineRule="auto"/>
              <w:ind w:right="-88" w:rightChars="-42"/>
              <w:jc w:val="center"/>
              <w:rPr>
                <w:rFonts w:ascii="宋体" w:hAnsi="宋体" w:cs="楷体_GB2312"/>
                <w:b/>
                <w:bCs/>
                <w:color w:val="auto"/>
                <w:szCs w:val="21"/>
              </w:rPr>
            </w:pPr>
            <w:r>
              <w:rPr>
                <w:rFonts w:ascii="宋体" w:hAnsi="宋体" w:cs="楷体_GB2312"/>
                <w:b/>
                <w:bCs/>
                <w:color w:val="auto"/>
                <w:szCs w:val="21"/>
              </w:rPr>
              <w:t>9</w:t>
            </w:r>
          </w:p>
        </w:tc>
        <w:tc>
          <w:tcPr>
            <w:tcW w:w="1895" w:type="dxa"/>
            <w:tcBorders>
              <w:top w:val="single" w:color="auto" w:sz="6" w:space="0"/>
              <w:left w:val="single" w:color="auto" w:sz="6" w:space="0"/>
              <w:bottom w:val="single" w:color="auto" w:sz="6" w:space="0"/>
              <w:right w:val="single" w:color="auto" w:sz="6" w:space="0"/>
            </w:tcBorders>
            <w:vAlign w:val="center"/>
          </w:tcPr>
          <w:p w14:paraId="33F814F4">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付款</w:t>
            </w:r>
          </w:p>
        </w:tc>
        <w:tc>
          <w:tcPr>
            <w:tcW w:w="6661" w:type="dxa"/>
            <w:tcBorders>
              <w:top w:val="single" w:color="auto" w:sz="6" w:space="0"/>
              <w:left w:val="single" w:color="auto" w:sz="6" w:space="0"/>
              <w:bottom w:val="single" w:color="auto" w:sz="6" w:space="0"/>
              <w:right w:val="single" w:color="auto" w:sz="12" w:space="0"/>
            </w:tcBorders>
            <w:vAlign w:val="center"/>
          </w:tcPr>
          <w:p w14:paraId="54A38661">
            <w:pPr>
              <w:snapToGrid w:val="0"/>
              <w:spacing w:before="120" w:beforeLines="50" w:line="240" w:lineRule="auto"/>
              <w:ind w:firstLine="480" w:firstLineChars="200"/>
              <w:rPr>
                <w:color w:val="auto"/>
                <w:sz w:val="24"/>
                <w:szCs w:val="24"/>
              </w:rPr>
            </w:pPr>
            <w:r>
              <w:rPr>
                <w:rFonts w:hint="eastAsia"/>
                <w:color w:val="auto"/>
                <w:sz w:val="24"/>
                <w:szCs w:val="24"/>
              </w:rPr>
              <w:t>为优化政府采购营商环境，根据安财购﹝2019﹞8号文件落实政府采购预付款的规定，采购人可在政府采购合同履约前向成交供应商预付</w:t>
            </w:r>
            <w:r>
              <w:rPr>
                <w:color w:val="auto"/>
                <w:sz w:val="24"/>
                <w:szCs w:val="24"/>
                <w:u w:val="single"/>
              </w:rPr>
              <w:t>30%</w:t>
            </w:r>
            <w:r>
              <w:rPr>
                <w:rFonts w:hint="eastAsia"/>
                <w:color w:val="auto"/>
                <w:sz w:val="24"/>
                <w:szCs w:val="24"/>
              </w:rPr>
              <w:t>的合同资金，成交供应商应向采购人提交预付款保函，未提供保函的，视同其放弃项目预付款的支付。</w:t>
            </w:r>
          </w:p>
          <w:p w14:paraId="53AA5623">
            <w:pPr>
              <w:snapToGrid w:val="0"/>
              <w:spacing w:before="120" w:beforeLines="50" w:line="240" w:lineRule="auto"/>
              <w:ind w:firstLine="480" w:firstLineChars="200"/>
              <w:rPr>
                <w:color w:val="auto"/>
                <w:sz w:val="24"/>
                <w:szCs w:val="24"/>
              </w:rPr>
            </w:pPr>
            <w:r>
              <w:rPr>
                <w:rFonts w:hint="eastAsia"/>
                <w:color w:val="auto"/>
                <w:sz w:val="24"/>
                <w:szCs w:val="24"/>
              </w:rPr>
              <w:t>为进一步优化营商环境，根据安财购﹝2022﹞8号文件落实政府采购中小企业预付款的规定，采购人可在政府采购合同签订后，向成交供应商原则上预付不低于合同金额50%的预付款，成交供应商应向采购人提交预付款保函，未提供保函的，视同其放弃项目预付款的支付。</w:t>
            </w:r>
          </w:p>
          <w:p w14:paraId="5A05FAC6">
            <w:pPr>
              <w:snapToGrid w:val="0"/>
              <w:spacing w:before="120" w:beforeLines="50" w:line="240" w:lineRule="auto"/>
              <w:ind w:firstLine="480" w:firstLineChars="200"/>
              <w:rPr>
                <w:color w:val="auto"/>
                <w:sz w:val="24"/>
                <w:szCs w:val="24"/>
              </w:rPr>
            </w:pPr>
            <w:r>
              <w:rPr>
                <w:rFonts w:hint="eastAsia"/>
                <w:color w:val="auto"/>
                <w:sz w:val="24"/>
                <w:szCs w:val="24"/>
              </w:rPr>
              <w:t>成交供应商持采购人及专家等出具的《政府采购验收报告》及中标人填写的《政府采购资金支付申请书》，经采购人与中标人签字盖章后，作为付款依据，报同级财政局政府采购管理办公室审核确认后由采购人支付（</w:t>
            </w:r>
            <w:r>
              <w:rPr>
                <w:rFonts w:hint="eastAsia" w:ascii="宋体" w:hAnsi="宋体"/>
                <w:color w:val="auto"/>
                <w:sz w:val="24"/>
                <w:szCs w:val="24"/>
              </w:rPr>
              <w:t>合同每年一签；采购人每年进行验收，按照验收情况根据每年度资金批复情况进行支付</w:t>
            </w:r>
            <w:r>
              <w:rPr>
                <w:rFonts w:hint="eastAsia"/>
                <w:color w:val="auto"/>
                <w:sz w:val="24"/>
                <w:szCs w:val="24"/>
              </w:rPr>
              <w:t>）。</w:t>
            </w:r>
          </w:p>
        </w:tc>
      </w:tr>
      <w:tr w14:paraId="334720E2">
        <w:tblPrEx>
          <w:tblCellMar>
            <w:top w:w="0" w:type="dxa"/>
            <w:left w:w="108" w:type="dxa"/>
            <w:bottom w:w="0" w:type="dxa"/>
            <w:right w:w="108" w:type="dxa"/>
          </w:tblCellMar>
        </w:tblPrEx>
        <w:trPr>
          <w:trHeight w:val="453" w:hRule="atLeast"/>
          <w:jc w:val="center"/>
        </w:trPr>
        <w:tc>
          <w:tcPr>
            <w:tcW w:w="498" w:type="dxa"/>
            <w:tcBorders>
              <w:left w:val="single" w:color="auto" w:sz="12" w:space="0"/>
              <w:bottom w:val="single" w:color="auto" w:sz="6" w:space="0"/>
              <w:right w:val="single" w:color="auto" w:sz="6" w:space="0"/>
            </w:tcBorders>
          </w:tcPr>
          <w:p w14:paraId="55BC798B">
            <w:pPr>
              <w:autoSpaceDE w:val="0"/>
              <w:autoSpaceDN w:val="0"/>
              <w:adjustRightInd w:val="0"/>
              <w:spacing w:line="360" w:lineRule="auto"/>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79CB2E00">
            <w:pPr>
              <w:autoSpaceDE w:val="0"/>
              <w:autoSpaceDN w:val="0"/>
              <w:adjustRightInd w:val="0"/>
              <w:snapToGrid w:val="0"/>
              <w:spacing w:line="240" w:lineRule="auto"/>
              <w:ind w:right="-88" w:rightChars="-42"/>
              <w:jc w:val="center"/>
              <w:rPr>
                <w:rFonts w:ascii="宋体" w:hAnsi="宋体" w:cs="楷体_GB2312"/>
                <w:b/>
                <w:bCs/>
                <w:color w:val="auto"/>
                <w:szCs w:val="21"/>
              </w:rPr>
            </w:pPr>
            <w:r>
              <w:rPr>
                <w:rFonts w:ascii="宋体" w:hAnsi="宋体" w:cs="楷体_GB2312"/>
                <w:b/>
                <w:bCs/>
                <w:color w:val="auto"/>
                <w:szCs w:val="21"/>
              </w:rPr>
              <w:t>10.1</w:t>
            </w:r>
          </w:p>
        </w:tc>
        <w:tc>
          <w:tcPr>
            <w:tcW w:w="1895" w:type="dxa"/>
            <w:tcBorders>
              <w:top w:val="single" w:color="auto" w:sz="6" w:space="0"/>
              <w:left w:val="single" w:color="auto" w:sz="6" w:space="0"/>
              <w:bottom w:val="single" w:color="auto" w:sz="6" w:space="0"/>
              <w:right w:val="single" w:color="auto" w:sz="6" w:space="0"/>
            </w:tcBorders>
            <w:vAlign w:val="center"/>
          </w:tcPr>
          <w:p w14:paraId="3153DCF3">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代理服务费</w:t>
            </w:r>
          </w:p>
        </w:tc>
        <w:tc>
          <w:tcPr>
            <w:tcW w:w="6661" w:type="dxa"/>
            <w:tcBorders>
              <w:top w:val="single" w:color="auto" w:sz="6" w:space="0"/>
              <w:left w:val="single" w:color="auto" w:sz="6" w:space="0"/>
              <w:bottom w:val="single" w:color="auto" w:sz="6" w:space="0"/>
              <w:right w:val="single" w:color="auto" w:sz="12" w:space="0"/>
            </w:tcBorders>
            <w:vAlign w:val="center"/>
          </w:tcPr>
          <w:p w14:paraId="50CAC899">
            <w:pPr>
              <w:adjustRightInd w:val="0"/>
              <w:snapToGrid w:val="0"/>
              <w:spacing w:before="120" w:beforeLines="50" w:line="240" w:lineRule="auto"/>
              <w:rPr>
                <w:rFonts w:ascii="宋体"/>
                <w:color w:val="auto"/>
                <w:sz w:val="24"/>
              </w:rPr>
            </w:pPr>
            <w:r>
              <w:rPr>
                <w:rFonts w:hint="eastAsia" w:ascii="宋体" w:hAnsi="宋体"/>
                <w:color w:val="auto"/>
                <w:sz w:val="24"/>
              </w:rPr>
              <w:t>参照国家计委《招标代理服务收费管理暂行办法》（计价格【2002】1980号）、《国家发展和改革委员会办公厅关于招标代理服务费有关问题的通知》（发改办价格【2003】857号）及发改价格【2011】534号文件的规定核算，招标代理服务费由中标（成交）供应商支付。</w:t>
            </w:r>
          </w:p>
        </w:tc>
      </w:tr>
    </w:tbl>
    <w:p w14:paraId="4879226D">
      <w:pPr>
        <w:autoSpaceDE w:val="0"/>
        <w:autoSpaceDN w:val="0"/>
        <w:adjustRightInd w:val="0"/>
        <w:spacing w:line="360" w:lineRule="auto"/>
        <w:rPr>
          <w:color w:val="auto"/>
        </w:rPr>
      </w:pPr>
    </w:p>
    <w:p w14:paraId="1D604869">
      <w:pPr>
        <w:autoSpaceDE w:val="0"/>
        <w:autoSpaceDN w:val="0"/>
        <w:adjustRightInd w:val="0"/>
        <w:spacing w:line="360" w:lineRule="auto"/>
        <w:rPr>
          <w:color w:val="auto"/>
        </w:rPr>
      </w:pPr>
    </w:p>
    <w:p w14:paraId="451E882D">
      <w:pPr>
        <w:autoSpaceDE w:val="0"/>
        <w:autoSpaceDN w:val="0"/>
        <w:adjustRightInd w:val="0"/>
        <w:spacing w:line="360" w:lineRule="auto"/>
        <w:rPr>
          <w:color w:val="auto"/>
        </w:rPr>
      </w:pPr>
    </w:p>
    <w:p w14:paraId="4B8A2587">
      <w:pPr>
        <w:spacing w:line="240" w:lineRule="auto"/>
        <w:jc w:val="left"/>
        <w:textAlignment w:val="auto"/>
        <w:rPr>
          <w:rFonts w:ascii="黑体" w:hAnsi="黑体" w:eastAsia="黑体" w:cs="楷体_GB2312"/>
          <w:b/>
          <w:bCs/>
          <w:color w:val="auto"/>
          <w:sz w:val="28"/>
          <w:szCs w:val="28"/>
          <w:lang w:val="zh-CN"/>
        </w:rPr>
      </w:pPr>
      <w:r>
        <w:rPr>
          <w:rFonts w:ascii="黑体" w:hAnsi="黑体" w:eastAsia="黑体" w:cs="楷体_GB2312"/>
          <w:b/>
          <w:bCs/>
          <w:color w:val="auto"/>
          <w:sz w:val="28"/>
          <w:szCs w:val="28"/>
          <w:lang w:val="zh-CN"/>
        </w:rPr>
        <w:br w:type="page"/>
      </w:r>
    </w:p>
    <w:p w14:paraId="2051461F">
      <w:pPr>
        <w:spacing w:line="240" w:lineRule="auto"/>
        <w:jc w:val="left"/>
        <w:textAlignment w:val="auto"/>
        <w:rPr>
          <w:rFonts w:ascii="黑体" w:hAnsi="黑体" w:eastAsia="黑体" w:cs="楷体_GB2312"/>
          <w:b/>
          <w:bCs/>
          <w:color w:val="auto"/>
          <w:sz w:val="28"/>
          <w:szCs w:val="28"/>
          <w:lang w:val="zh-CN"/>
        </w:rPr>
      </w:pPr>
    </w:p>
    <w:p w14:paraId="0CB984B8">
      <w:pPr>
        <w:autoSpaceDE w:val="0"/>
        <w:autoSpaceDN w:val="0"/>
        <w:adjustRightInd w:val="0"/>
        <w:snapToGrid w:val="0"/>
        <w:spacing w:before="120" w:beforeLines="50" w:line="300" w:lineRule="auto"/>
        <w:ind w:firstLine="539"/>
        <w:outlineLvl w:val="1"/>
        <w:rPr>
          <w:rFonts w:ascii="黑体" w:hAnsi="黑体" w:eastAsia="黑体"/>
          <w:color w:val="auto"/>
          <w:sz w:val="28"/>
          <w:szCs w:val="28"/>
          <w:lang w:val="zh-CN"/>
        </w:rPr>
      </w:pPr>
      <w:bookmarkStart w:id="9" w:name="_Toc58858966"/>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总则</w:t>
      </w:r>
      <w:bookmarkEnd w:id="9"/>
    </w:p>
    <w:p w14:paraId="3F342900">
      <w:pPr>
        <w:autoSpaceDE w:val="0"/>
        <w:autoSpaceDN w:val="0"/>
        <w:adjustRightInd w:val="0"/>
        <w:snapToGrid w:val="0"/>
        <w:spacing w:before="120" w:beforeLines="50" w:line="300" w:lineRule="auto"/>
        <w:ind w:firstLine="539"/>
        <w:rPr>
          <w:rFonts w:ascii="宋体"/>
          <w:color w:val="auto"/>
          <w:sz w:val="24"/>
          <w:szCs w:val="24"/>
        </w:rPr>
      </w:pPr>
      <w:r>
        <w:rPr>
          <w:rFonts w:ascii="黑体" w:hAnsi="黑体" w:eastAsia="黑体" w:cs="楷体_GB2312"/>
          <w:b/>
          <w:color w:val="auto"/>
          <w:sz w:val="24"/>
          <w:lang w:val="zh-CN"/>
        </w:rPr>
        <w:t>1.1</w:t>
      </w:r>
      <w:r>
        <w:rPr>
          <w:rFonts w:hint="eastAsia" w:ascii="宋体" w:hAnsi="宋体"/>
          <w:color w:val="auto"/>
          <w:sz w:val="24"/>
          <w:szCs w:val="24"/>
        </w:rPr>
        <w:t>根据《中华人民共和国政府采购法》、《中华人民共和国政府采购法实施条例》、《政府采购非招标采购方式管理办法》及相关政府采购法律法规等制定本文件。</w:t>
      </w:r>
    </w:p>
    <w:p w14:paraId="35CB6ECB">
      <w:pPr>
        <w:adjustRightInd w:val="0"/>
        <w:snapToGrid w:val="0"/>
        <w:spacing w:before="120" w:beforeLines="50" w:line="300" w:lineRule="auto"/>
        <w:ind w:right="240" w:firstLine="482" w:firstLineChars="200"/>
        <w:rPr>
          <w:rFonts w:ascii="黑体" w:hAnsi="黑体" w:eastAsia="黑体" w:cs="楷体_GB2312"/>
          <w:b/>
          <w:color w:val="auto"/>
          <w:sz w:val="24"/>
          <w:lang w:val="zh-CN"/>
        </w:rPr>
      </w:pPr>
      <w:r>
        <w:rPr>
          <w:rFonts w:ascii="黑体" w:hAnsi="黑体" w:eastAsia="黑体" w:cs="楷体_GB2312"/>
          <w:b/>
          <w:color w:val="auto"/>
          <w:sz w:val="24"/>
          <w:lang w:val="zh-CN"/>
        </w:rPr>
        <w:t>1.2</w:t>
      </w:r>
      <w:r>
        <w:rPr>
          <w:rFonts w:hint="eastAsia" w:ascii="黑体" w:hAnsi="黑体" w:eastAsia="黑体" w:cs="楷体_GB2312"/>
          <w:b/>
          <w:color w:val="auto"/>
          <w:sz w:val="24"/>
          <w:lang w:val="zh-CN"/>
        </w:rPr>
        <w:t>单一来源采购文件的法律适用及法律效力</w:t>
      </w:r>
    </w:p>
    <w:p w14:paraId="44E44009">
      <w:pPr>
        <w:adjustRightInd w:val="0"/>
        <w:snapToGrid w:val="0"/>
        <w:spacing w:before="120" w:beforeLines="50" w:line="300" w:lineRule="auto"/>
        <w:ind w:right="240" w:firstLine="547" w:firstLineChars="228"/>
        <w:rPr>
          <w:rFonts w:ascii="宋体"/>
          <w:color w:val="auto"/>
          <w:sz w:val="24"/>
          <w:szCs w:val="24"/>
        </w:rPr>
      </w:pPr>
      <w:r>
        <w:rPr>
          <w:rFonts w:ascii="宋体" w:hAnsi="宋体"/>
          <w:color w:val="auto"/>
          <w:sz w:val="24"/>
          <w:szCs w:val="24"/>
        </w:rPr>
        <w:t>1.2.1</w:t>
      </w:r>
      <w:r>
        <w:rPr>
          <w:rFonts w:hint="eastAsia" w:ascii="宋体" w:hAnsi="宋体"/>
          <w:color w:val="auto"/>
          <w:sz w:val="24"/>
          <w:szCs w:val="24"/>
        </w:rPr>
        <w:t>本</w:t>
      </w:r>
      <w:r>
        <w:rPr>
          <w:rFonts w:hint="eastAsia" w:ascii="宋体" w:hAnsi="宋体" w:cs="宋体"/>
          <w:color w:val="auto"/>
          <w:sz w:val="24"/>
          <w:szCs w:val="24"/>
        </w:rPr>
        <w:t>单一来源采购文件</w:t>
      </w:r>
      <w:r>
        <w:rPr>
          <w:rFonts w:hint="eastAsia" w:ascii="宋体" w:hAnsi="宋体"/>
          <w:color w:val="auto"/>
          <w:sz w:val="24"/>
          <w:szCs w:val="24"/>
        </w:rPr>
        <w:t>所述内容，仅适用于本次项目采购。</w:t>
      </w:r>
    </w:p>
    <w:p w14:paraId="4BE58EBE">
      <w:pPr>
        <w:adjustRightInd w:val="0"/>
        <w:snapToGrid w:val="0"/>
        <w:spacing w:before="120" w:beforeLines="50" w:line="300" w:lineRule="auto"/>
        <w:ind w:right="240" w:firstLine="547" w:firstLineChars="228"/>
        <w:rPr>
          <w:rFonts w:ascii="宋体"/>
          <w:color w:val="auto"/>
          <w:sz w:val="24"/>
          <w:szCs w:val="24"/>
        </w:rPr>
      </w:pPr>
      <w:r>
        <w:rPr>
          <w:rFonts w:ascii="宋体" w:hAnsi="宋体"/>
          <w:color w:val="auto"/>
          <w:sz w:val="24"/>
          <w:szCs w:val="24"/>
        </w:rPr>
        <w:t xml:space="preserve">1.2.2 </w:t>
      </w:r>
      <w:r>
        <w:rPr>
          <w:rFonts w:hint="eastAsia" w:ascii="宋体" w:hAnsi="宋体" w:cs="宋体"/>
          <w:color w:val="auto"/>
          <w:sz w:val="24"/>
          <w:szCs w:val="24"/>
        </w:rPr>
        <w:t>单一来源采购文件</w:t>
      </w:r>
      <w:r>
        <w:rPr>
          <w:rFonts w:hint="eastAsia" w:ascii="宋体" w:hAnsi="宋体"/>
          <w:color w:val="auto"/>
          <w:sz w:val="24"/>
          <w:szCs w:val="24"/>
        </w:rPr>
        <w:t>的修改性文件、补充文件、澄清文件或说明具有同等法律效力。</w:t>
      </w:r>
    </w:p>
    <w:p w14:paraId="01ABB6E4">
      <w:pPr>
        <w:adjustRightInd w:val="0"/>
        <w:snapToGrid w:val="0"/>
        <w:spacing w:before="120" w:beforeLines="50" w:line="300" w:lineRule="auto"/>
        <w:ind w:right="240" w:firstLine="547" w:firstLineChars="228"/>
        <w:rPr>
          <w:rFonts w:ascii="宋体"/>
          <w:color w:val="auto"/>
          <w:sz w:val="24"/>
          <w:szCs w:val="24"/>
        </w:rPr>
      </w:pPr>
      <w:r>
        <w:rPr>
          <w:rFonts w:ascii="宋体" w:hAnsi="宋体"/>
          <w:color w:val="auto"/>
          <w:sz w:val="24"/>
          <w:szCs w:val="24"/>
        </w:rPr>
        <w:t xml:space="preserve">1.2.3 </w:t>
      </w:r>
      <w:r>
        <w:rPr>
          <w:rFonts w:hint="eastAsia" w:ascii="宋体" w:hAnsi="宋体"/>
          <w:color w:val="auto"/>
          <w:sz w:val="24"/>
          <w:szCs w:val="24"/>
        </w:rPr>
        <w:t>本</w:t>
      </w:r>
      <w:r>
        <w:rPr>
          <w:rFonts w:hint="eastAsia" w:ascii="宋体" w:hAnsi="宋体" w:cs="宋体"/>
          <w:color w:val="auto"/>
          <w:sz w:val="24"/>
          <w:szCs w:val="24"/>
        </w:rPr>
        <w:t>单一来源采购文件</w:t>
      </w:r>
      <w:r>
        <w:rPr>
          <w:rFonts w:hint="eastAsia" w:ascii="宋体" w:hAnsi="宋体"/>
          <w:color w:val="auto"/>
          <w:sz w:val="24"/>
          <w:szCs w:val="24"/>
        </w:rPr>
        <w:t>适用于并执行《政府采购法》和其它相关的法律、法规。</w:t>
      </w:r>
    </w:p>
    <w:p w14:paraId="19937AB8">
      <w:pPr>
        <w:adjustRightInd w:val="0"/>
        <w:snapToGrid w:val="0"/>
        <w:spacing w:before="120" w:beforeLines="50" w:line="300" w:lineRule="auto"/>
        <w:ind w:right="240" w:firstLine="547" w:firstLineChars="228"/>
        <w:rPr>
          <w:rFonts w:ascii="宋体"/>
          <w:color w:val="auto"/>
          <w:sz w:val="24"/>
          <w:szCs w:val="24"/>
        </w:rPr>
      </w:pPr>
      <w:r>
        <w:rPr>
          <w:rFonts w:ascii="宋体" w:hAnsi="宋体"/>
          <w:color w:val="auto"/>
          <w:sz w:val="24"/>
          <w:szCs w:val="24"/>
        </w:rPr>
        <w:t xml:space="preserve">1.2.4 </w:t>
      </w:r>
      <w:r>
        <w:rPr>
          <w:rFonts w:hint="eastAsia" w:ascii="宋体" w:hAnsi="宋体"/>
          <w:color w:val="auto"/>
          <w:sz w:val="24"/>
          <w:szCs w:val="24"/>
        </w:rPr>
        <w:t>本单一来源采购文件的解释权属采购人及代理机构。</w:t>
      </w:r>
    </w:p>
    <w:p w14:paraId="1284A0CE">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1.3</w:t>
      </w:r>
      <w:r>
        <w:rPr>
          <w:rFonts w:hint="eastAsia" w:ascii="黑体" w:hAnsi="黑体" w:eastAsia="黑体" w:cs="楷体_GB2312"/>
          <w:b/>
          <w:color w:val="auto"/>
          <w:sz w:val="24"/>
          <w:lang w:val="zh-CN"/>
        </w:rPr>
        <w:t>合格的投标人</w:t>
      </w:r>
    </w:p>
    <w:p w14:paraId="3D945F01">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1.3.1 </w:t>
      </w:r>
      <w:r>
        <w:rPr>
          <w:rFonts w:hint="eastAsia" w:ascii="宋体" w:hAnsi="宋体" w:cs="楷体_GB2312"/>
          <w:color w:val="auto"/>
          <w:sz w:val="24"/>
          <w:lang w:val="zh-CN"/>
        </w:rPr>
        <w:t>凡符合单一来源采购文件规定，承认本单一来源采购文件所有内容的投标人为合格的投标人。</w:t>
      </w:r>
    </w:p>
    <w:p w14:paraId="40990E70">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1.3.2 </w:t>
      </w:r>
      <w:r>
        <w:rPr>
          <w:rFonts w:hint="eastAsia" w:ascii="宋体" w:hAnsi="宋体" w:cs="楷体_GB2312"/>
          <w:color w:val="auto"/>
          <w:sz w:val="24"/>
          <w:lang w:val="zh-CN"/>
        </w:rPr>
        <w:t>单位负责人为同一人或者存在直接控股、管理关系的不同供应商，不得参加同一合同项下的政府采购活动。</w:t>
      </w:r>
    </w:p>
    <w:p w14:paraId="0799C372">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1.3.3 </w:t>
      </w:r>
      <w:r>
        <w:rPr>
          <w:rFonts w:hint="eastAsia" w:ascii="宋体" w:hAnsi="宋体" w:cs="楷体_GB2312"/>
          <w:color w:val="auto"/>
          <w:sz w:val="24"/>
          <w:lang w:val="zh-CN"/>
        </w:rPr>
        <w:t>为采购项目提供整体设计、规范编制或者项目管理、监理、检测等服务的供应商，不得再参加该采购项目的其他采购活动。</w:t>
      </w:r>
    </w:p>
    <w:p w14:paraId="3F6CD802">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1.3.4 </w:t>
      </w:r>
      <w:r>
        <w:rPr>
          <w:rFonts w:hint="eastAsia" w:ascii="宋体" w:hAnsi="宋体" w:cs="楷体_GB2312"/>
          <w:color w:val="auto"/>
          <w:sz w:val="24"/>
          <w:lang w:val="zh-CN"/>
        </w:rPr>
        <w:t>投标人应遵守国家法律、法规和单一来源采购文件的规定。</w:t>
      </w:r>
    </w:p>
    <w:p w14:paraId="1801DC97">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1.4</w:t>
      </w:r>
      <w:r>
        <w:rPr>
          <w:rFonts w:hint="eastAsia" w:ascii="黑体" w:hAnsi="黑体" w:eastAsia="黑体" w:cs="楷体_GB2312"/>
          <w:b/>
          <w:color w:val="auto"/>
          <w:sz w:val="24"/>
          <w:lang w:val="zh-CN"/>
        </w:rPr>
        <w:t>　联合体</w:t>
      </w:r>
    </w:p>
    <w:p w14:paraId="008DA7F7">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如投标人须知前附表规定接受联合体投标的，应遵守以下规定：</w:t>
      </w:r>
    </w:p>
    <w:p w14:paraId="31A88C7E">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14:paraId="6C53A3FD">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）两个以上供应商可以组成一个投标联合体，以一个投标人的身份投标，但必须确定其中一个单位为投标的全权代表参加投标活动，并承担投标及履约中应承担的全部责任和义务。</w:t>
      </w:r>
    </w:p>
    <w:p w14:paraId="04B277C2">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以联合体形式参加投标的，应符投标人须知前附表的要求，联合体各方均应当符合政府采购法第二十二条第一款规定的条件，联合体各方均应当具备承担采购项目（标段&lt;包&gt;）的相应能力、具备规定的相应资格条件。全权代表一方的条件应符合投标资格要求。</w:t>
      </w:r>
    </w:p>
    <w:p w14:paraId="3158AC81">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）联合体中有同类资质的供应商按照联合体分工承担相同工作的，应当按照资质等级较低的供应商确定资质等级。</w:t>
      </w:r>
    </w:p>
    <w:p w14:paraId="71AB84A2">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）联合体各方之间应当签订联合投标协议，明确约定联合体各方承担的工作和相应的责任，并将联合投标协议连同投标文件一并提交采购代理机构。</w:t>
      </w:r>
    </w:p>
    <w:p w14:paraId="15F2DB6C">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）联合体各方签订联合投标协议后，不得再以自己名义单独在同一项目中投标，也不得组成新的联合体参加同一项目投标。</w:t>
      </w:r>
    </w:p>
    <w:p w14:paraId="732605C0">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）联合体中标（成交）的，联合体各方应当共同与采购人签订合同，就中标（成交）项目（标段&lt;包&gt;）向采购人承担连带责任。</w:t>
      </w:r>
    </w:p>
    <w:p w14:paraId="7D54E4CF">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1.5  </w:t>
      </w:r>
      <w:r>
        <w:rPr>
          <w:rFonts w:hint="eastAsia" w:ascii="黑体" w:hAnsi="黑体" w:eastAsia="黑体" w:cs="楷体_GB2312"/>
          <w:b/>
          <w:color w:val="auto"/>
          <w:sz w:val="24"/>
          <w:lang w:val="zh-CN"/>
        </w:rPr>
        <w:t>知识产权</w:t>
      </w:r>
    </w:p>
    <w:p w14:paraId="67FBA5D7">
      <w:pPr>
        <w:ind w:firstLine="480" w:firstLineChars="200"/>
        <w:rPr>
          <w:rFonts w:ascii="宋体" w:hAnsi="宋体"/>
          <w:color w:val="auto"/>
          <w:sz w:val="24"/>
        </w:rPr>
      </w:pPr>
      <w:r>
        <w:rPr>
          <w:rFonts w:hint="eastAsia" w:ascii="宋体" w:hAnsi="宋体" w:cs="楷体_GB2312"/>
          <w:color w:val="auto"/>
          <w:sz w:val="24"/>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rPr>
        <w:t>如因专利权、商标权或其它知识产权而引起法律和经济纠纷，由供应商承担所有相关责任。</w:t>
      </w:r>
    </w:p>
    <w:p w14:paraId="39960EBE">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如供应商不拥有相应的知识产权，则在投标报价中必须包括合法获取该知识产权的一切相关费用。如因此导致采购人损失的，供应商须承担全部赔偿责任。</w:t>
      </w:r>
    </w:p>
    <w:p w14:paraId="56183978">
      <w:pPr>
        <w:spacing w:line="360" w:lineRule="auto"/>
        <w:ind w:firstLine="480" w:firstLineChars="200"/>
        <w:jc w:val="left"/>
        <w:rPr>
          <w:rFonts w:ascii="宋体" w:hAnsi="宋体"/>
          <w:color w:val="auto"/>
          <w:sz w:val="24"/>
        </w:rPr>
      </w:pPr>
      <w:r>
        <w:rPr>
          <w:rFonts w:hint="eastAsia" w:ascii="宋体" w:hAnsi="宋体"/>
          <w:color w:val="auto"/>
          <w:sz w:val="24"/>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14:paraId="26B62EE6">
      <w:pPr>
        <w:spacing w:line="360" w:lineRule="auto"/>
        <w:ind w:firstLine="480" w:firstLineChars="200"/>
        <w:jc w:val="left"/>
        <w:rPr>
          <w:rFonts w:ascii="宋体" w:hAnsi="宋体"/>
          <w:color w:val="auto"/>
          <w:sz w:val="24"/>
        </w:rPr>
      </w:pPr>
      <w:r>
        <w:rPr>
          <w:rFonts w:hint="eastAsia" w:ascii="宋体" w:hAnsi="宋体"/>
          <w:color w:val="auto"/>
          <w:sz w:val="24"/>
        </w:rPr>
        <w:t>1.5.3 除非单一来源采购文件特别规定，采购人享有本项目实施过程中产生的知识成果及知识产权。</w:t>
      </w:r>
    </w:p>
    <w:p w14:paraId="70979BF4">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1.6  </w:t>
      </w:r>
      <w:r>
        <w:rPr>
          <w:rFonts w:hint="eastAsia" w:ascii="黑体" w:hAnsi="黑体" w:eastAsia="黑体" w:cs="楷体_GB2312"/>
          <w:b/>
          <w:color w:val="auto"/>
          <w:sz w:val="24"/>
          <w:lang w:val="zh-CN"/>
        </w:rPr>
        <w:t>投标费用</w:t>
      </w:r>
    </w:p>
    <w:p w14:paraId="4E35355D">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无论投标过程中的做法和结果如何，无论何种原因的谈判失败废标或终止，投标人应自行承担所有与准备和参加投标有关的全部费用（类比商业采购中的客户洽谈费用），采购代理机构在任何情况下均无义务和责任承担投标人的任何费用。</w:t>
      </w:r>
    </w:p>
    <w:p w14:paraId="7EBB6109">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1.7 </w:t>
      </w:r>
      <w:r>
        <w:rPr>
          <w:rFonts w:hint="eastAsia" w:ascii="黑体" w:hAnsi="黑体" w:eastAsia="黑体" w:cs="楷体_GB2312"/>
          <w:b/>
          <w:color w:val="auto"/>
          <w:sz w:val="24"/>
          <w:lang w:val="zh-CN"/>
        </w:rPr>
        <w:t>保密</w:t>
      </w:r>
    </w:p>
    <w:p w14:paraId="652B5A04">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1.7.1 </w:t>
      </w:r>
      <w:r>
        <w:rPr>
          <w:rFonts w:hint="eastAsia" w:ascii="宋体" w:hAnsi="宋体" w:cs="楷体_GB2312"/>
          <w:color w:val="auto"/>
          <w:sz w:val="24"/>
          <w:lang w:val="zh-CN"/>
        </w:rPr>
        <w:t>参与单一来源活动的各方应对单一来源采购文件和投标文件中的商业和技术等秘密保密，投标人应在投标文件中对需保密事项予以书面声明，否则视为非保密事项。</w:t>
      </w:r>
    </w:p>
    <w:p w14:paraId="474A36A1">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1.7.2 </w:t>
      </w:r>
      <w:r>
        <w:rPr>
          <w:rFonts w:hint="eastAsia" w:ascii="宋体" w:hAnsi="宋体" w:cs="楷体_GB2312"/>
          <w:color w:val="auto"/>
          <w:sz w:val="24"/>
          <w:lang w:val="zh-CN"/>
        </w:rPr>
        <w:t>依据政府采购成交结果及合同公告规定，成交（合同）标的名称、规格型号、单价及成交（合同）金额等内容不得作为商业秘密。</w:t>
      </w:r>
    </w:p>
    <w:p w14:paraId="25053BF8">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1.8 </w:t>
      </w:r>
      <w:r>
        <w:rPr>
          <w:rFonts w:hint="eastAsia" w:ascii="黑体" w:hAnsi="黑体" w:eastAsia="黑体" w:cs="楷体_GB2312"/>
          <w:b/>
          <w:color w:val="auto"/>
          <w:sz w:val="24"/>
          <w:lang w:val="zh-CN"/>
        </w:rPr>
        <w:t>语言文字</w:t>
      </w:r>
    </w:p>
    <w:p w14:paraId="3E9BE11A">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除专用术语外，与单一来源有关的语言均使用中文。必要时专用术语应附有中文注释。如果投标文件或与投标有关的其它文件、信件及来往函电以其它语言书写，投标人应将其译成中文，并对中文译稿的真实、准确、完整承担责任。</w:t>
      </w:r>
    </w:p>
    <w:p w14:paraId="1D66D98B">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1.9 </w:t>
      </w:r>
      <w:r>
        <w:rPr>
          <w:rFonts w:hint="eastAsia" w:ascii="黑体" w:hAnsi="黑体" w:eastAsia="黑体" w:cs="楷体_GB2312"/>
          <w:b/>
          <w:color w:val="auto"/>
          <w:sz w:val="24"/>
          <w:lang w:val="zh-CN"/>
        </w:rPr>
        <w:t>计量单位</w:t>
      </w:r>
    </w:p>
    <w:p w14:paraId="5D5A87D1">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所有计量均采用中华人民共和国法定计量单位。</w:t>
      </w:r>
    </w:p>
    <w:p w14:paraId="5A4B0FEF">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1.10 </w:t>
      </w:r>
      <w:r>
        <w:rPr>
          <w:rFonts w:hint="eastAsia" w:ascii="黑体" w:hAnsi="黑体" w:eastAsia="黑体" w:cs="楷体_GB2312"/>
          <w:b/>
          <w:color w:val="auto"/>
          <w:sz w:val="24"/>
          <w:lang w:val="zh-CN"/>
        </w:rPr>
        <w:t>踏勘现场</w:t>
      </w:r>
    </w:p>
    <w:p w14:paraId="478C2CFA">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1.10.1</w:t>
      </w:r>
      <w:r>
        <w:rPr>
          <w:rFonts w:hint="eastAsia" w:ascii="宋体" w:hAnsi="宋体" w:cs="楷体_GB2312"/>
          <w:color w:val="auto"/>
          <w:sz w:val="24"/>
          <w:lang w:val="zh-CN"/>
        </w:rPr>
        <w:t xml:space="preserve"> 投标人踏勘现场发生的费用自理，投标人自行负责在踏勘现场中所发生的人员伤亡和财产损失。</w:t>
      </w:r>
    </w:p>
    <w:p w14:paraId="11877E7C">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1.10.2</w:t>
      </w:r>
      <w:r>
        <w:rPr>
          <w:rFonts w:hint="eastAsia" w:ascii="宋体" w:hAnsi="宋体" w:cs="楷体_GB2312"/>
          <w:color w:val="auto"/>
          <w:sz w:val="24"/>
          <w:lang w:val="zh-CN"/>
        </w:rPr>
        <w:t xml:space="preserve"> 投标人须知前附表规定组织踏勘现场的，采购人及代理机构按投标人须知前附表规定的时间、地点组织投标人踏勘项目现场。采购人及代理机构在踏勘现场中介绍的交验安装条件和相关的周边环境情况，供投标人在编制投标文件时参考，采购人及代理机构不对投标人据此作出的判断和决策负责。</w:t>
      </w:r>
    </w:p>
    <w:p w14:paraId="0CF9E4C8">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1.10.3</w:t>
      </w:r>
      <w:r>
        <w:rPr>
          <w:rFonts w:hint="eastAsia" w:ascii="宋体" w:hAnsi="宋体" w:cs="楷体_GB2312"/>
          <w:color w:val="auto"/>
          <w:sz w:val="24"/>
          <w:lang w:val="zh-CN"/>
        </w:rPr>
        <w:t xml:space="preserve"> 投标人须知前附表规定不组织踏勘现场的，单一来源采购文件不单独提供服务地点自然环境、气候条件、交验安装条件等情况说明，投标人被视为熟悉前述与履行合同有关的一切情况，投标人可自行踏勘现场并自行了解相关情况。</w:t>
      </w:r>
    </w:p>
    <w:p w14:paraId="4BDC3D6B">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1.11 </w:t>
      </w:r>
      <w:r>
        <w:rPr>
          <w:rFonts w:hint="eastAsia" w:ascii="黑体" w:hAnsi="黑体" w:eastAsia="黑体" w:cs="楷体_GB2312"/>
          <w:b/>
          <w:color w:val="auto"/>
          <w:sz w:val="24"/>
          <w:lang w:val="zh-CN"/>
        </w:rPr>
        <w:t>投标预备会</w:t>
      </w:r>
    </w:p>
    <w:p w14:paraId="227B4186">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1.11.1 </w:t>
      </w:r>
      <w:r>
        <w:rPr>
          <w:rFonts w:hint="eastAsia" w:ascii="宋体" w:hAnsi="宋体" w:cs="楷体_GB2312"/>
          <w:color w:val="auto"/>
          <w:sz w:val="24"/>
          <w:lang w:val="zh-CN"/>
        </w:rPr>
        <w:t>投标人须知前附表规定召开投标预备会的，采购人及代理机构按投标人须知前附表规定的时间和地点召开投标预备会，澄清投标人提出的问题。</w:t>
      </w:r>
    </w:p>
    <w:p w14:paraId="21922DC1">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1.11.2 </w:t>
      </w:r>
      <w:r>
        <w:rPr>
          <w:rFonts w:hint="eastAsia" w:ascii="宋体" w:hAnsi="宋体" w:cs="楷体_GB2312"/>
          <w:color w:val="auto"/>
          <w:sz w:val="24"/>
          <w:lang w:val="zh-CN"/>
        </w:rPr>
        <w:t>投标人应在投标人须知前附表规定的时间前，以书面形式将提出的问题送达采购人及代理机构，以便采购人及代理机构在会议期间澄清。</w:t>
      </w:r>
    </w:p>
    <w:p w14:paraId="02183B92">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1.11.3 </w:t>
      </w:r>
      <w:r>
        <w:rPr>
          <w:rFonts w:hint="eastAsia" w:ascii="宋体" w:hAnsi="宋体" w:cs="楷体_GB2312"/>
          <w:color w:val="auto"/>
          <w:sz w:val="24"/>
          <w:lang w:val="zh-CN"/>
        </w:rPr>
        <w:t>投标预备会后，采购人及代理机构在投标人须知前附表规定的时间内，将对投标人所提问题的澄清，以本章</w:t>
      </w:r>
      <w:r>
        <w:rPr>
          <w:rFonts w:ascii="宋体" w:hAnsi="宋体" w:cs="楷体_GB2312"/>
          <w:color w:val="auto"/>
          <w:sz w:val="24"/>
          <w:lang w:val="zh-CN"/>
        </w:rPr>
        <w:t>2.3.2</w:t>
      </w:r>
      <w:r>
        <w:rPr>
          <w:rFonts w:hint="eastAsia" w:ascii="宋体" w:hAnsi="宋体" w:cs="楷体_GB2312"/>
          <w:color w:val="auto"/>
          <w:sz w:val="24"/>
          <w:lang w:val="zh-CN"/>
        </w:rPr>
        <w:t>项方式通告潜在投标人。该澄清内容为单一来源采购文件的组成部分。</w:t>
      </w:r>
    </w:p>
    <w:p w14:paraId="62FD5EB7">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1.12 </w:t>
      </w:r>
      <w:r>
        <w:rPr>
          <w:rFonts w:hint="eastAsia" w:ascii="黑体" w:hAnsi="黑体" w:eastAsia="黑体" w:cs="楷体_GB2312"/>
          <w:b/>
          <w:color w:val="auto"/>
          <w:sz w:val="24"/>
          <w:lang w:val="zh-CN"/>
        </w:rPr>
        <w:t>分包</w:t>
      </w:r>
    </w:p>
    <w:p w14:paraId="2915995F">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投标人拟在成交后将成交项目</w:t>
      </w:r>
      <w:r>
        <w:rPr>
          <w:rFonts w:ascii="宋体" w:hAnsi="宋体" w:cs="楷体_GB2312"/>
          <w:color w:val="auto"/>
          <w:sz w:val="24"/>
          <w:lang w:val="zh-CN"/>
        </w:rPr>
        <w:t>(</w:t>
      </w:r>
      <w:r>
        <w:rPr>
          <w:rFonts w:hint="eastAsia" w:ascii="宋体" w:hAnsi="宋体" w:cs="楷体_GB2312"/>
          <w:color w:val="auto"/>
          <w:sz w:val="24"/>
          <w:lang w:val="zh-CN"/>
        </w:rPr>
        <w:t>标段&lt;包&gt;</w:t>
      </w:r>
      <w:r>
        <w:rPr>
          <w:rFonts w:ascii="宋体" w:hAnsi="宋体" w:cs="楷体_GB2312"/>
          <w:color w:val="auto"/>
          <w:sz w:val="24"/>
          <w:lang w:val="zh-CN"/>
        </w:rPr>
        <w:t>)</w:t>
      </w:r>
      <w:r>
        <w:rPr>
          <w:rFonts w:hint="eastAsia" w:ascii="宋体" w:hAnsi="宋体" w:cs="楷体_GB2312"/>
          <w:color w:val="auto"/>
          <w:sz w:val="24"/>
          <w:lang w:val="zh-CN"/>
        </w:rPr>
        <w:t>的部分非主体、非关键性工作进行分包的，应符合投标人须知前附表规定的分包内容、分包金额和接受分包的第三人资质要求等限制性条件。</w:t>
      </w:r>
    </w:p>
    <w:p w14:paraId="5CC3036B">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1.13</w:t>
      </w:r>
      <w:r>
        <w:rPr>
          <w:rFonts w:hint="eastAsia" w:ascii="黑体" w:hAnsi="黑体" w:eastAsia="黑体" w:cs="楷体_GB2312"/>
          <w:b/>
          <w:color w:val="auto"/>
          <w:sz w:val="24"/>
          <w:lang w:val="zh-CN"/>
        </w:rPr>
        <w:t>偏离</w:t>
      </w:r>
    </w:p>
    <w:p w14:paraId="7A1FB0E6">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单一来源采购文件允许投标文件偏离单一来源采购文件某些要求的，偏离应当符合单一来源采购文件规定的偏离范围和幅度。</w:t>
      </w:r>
    </w:p>
    <w:p w14:paraId="57530ED6">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lang w:val="zh-CN"/>
        </w:rPr>
      </w:pPr>
    </w:p>
    <w:p w14:paraId="6BAE2109">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lang w:val="zh-CN"/>
        </w:rPr>
      </w:pPr>
      <w:bookmarkStart w:id="10" w:name="_Toc58858967"/>
      <w:r>
        <w:rPr>
          <w:rFonts w:ascii="黑体" w:hAnsi="黑体" w:eastAsia="黑体" w:cs="楷体_GB2312"/>
          <w:b/>
          <w:bCs/>
          <w:color w:val="auto"/>
          <w:sz w:val="28"/>
          <w:szCs w:val="28"/>
          <w:lang w:val="zh-CN"/>
        </w:rPr>
        <w:t xml:space="preserve">2. </w:t>
      </w:r>
      <w:r>
        <w:rPr>
          <w:rFonts w:hint="eastAsia" w:ascii="黑体" w:hAnsi="黑体" w:eastAsia="黑体" w:cs="楷体_GB2312"/>
          <w:b/>
          <w:bCs/>
          <w:color w:val="auto"/>
          <w:sz w:val="28"/>
          <w:szCs w:val="28"/>
          <w:lang w:val="zh-CN"/>
        </w:rPr>
        <w:t>单一来源采购文件</w:t>
      </w:r>
      <w:bookmarkEnd w:id="10"/>
    </w:p>
    <w:p w14:paraId="0170A67B">
      <w:pPr>
        <w:autoSpaceDE w:val="0"/>
        <w:autoSpaceDN w:val="0"/>
        <w:adjustRightInd w:val="0"/>
        <w:snapToGrid w:val="0"/>
        <w:spacing w:before="120"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2.1</w:t>
      </w:r>
      <w:r>
        <w:rPr>
          <w:rFonts w:hint="eastAsia" w:ascii="黑体" w:hAnsi="黑体" w:eastAsia="黑体" w:cs="楷体_GB2312"/>
          <w:b/>
          <w:color w:val="auto"/>
          <w:sz w:val="24"/>
          <w:lang w:val="zh-CN"/>
        </w:rPr>
        <w:t>单一来源采购文件的组成</w:t>
      </w:r>
      <w:r>
        <w:rPr>
          <w:rFonts w:hint="eastAsia" w:ascii="宋体" w:hAnsi="宋体" w:cs="楷体_GB2312"/>
          <w:color w:val="auto"/>
          <w:sz w:val="24"/>
          <w:lang w:val="zh-CN"/>
        </w:rPr>
        <w:t>：</w:t>
      </w:r>
    </w:p>
    <w:p w14:paraId="7C04AA8D">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2.1.1 </w:t>
      </w:r>
      <w:r>
        <w:rPr>
          <w:rFonts w:hint="eastAsia" w:ascii="宋体" w:hAnsi="宋体" w:cs="楷体_GB2312"/>
          <w:color w:val="auto"/>
          <w:sz w:val="24"/>
          <w:lang w:val="zh-CN"/>
        </w:rPr>
        <w:t>单一来源采购文件用以阐明采购项目的内容、程序和合同主要条款。单一来源采购文件由下述部分组成：</w:t>
      </w:r>
    </w:p>
    <w:p w14:paraId="722ED71E">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）谈判邀请函</w:t>
      </w:r>
    </w:p>
    <w:p w14:paraId="1C3A1F89">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）采购项目及服务要求</w:t>
      </w:r>
    </w:p>
    <w:p w14:paraId="1808850A">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）投标人须知</w:t>
      </w:r>
    </w:p>
    <w:p w14:paraId="3AF507F7">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）评审办法</w:t>
      </w:r>
    </w:p>
    <w:p w14:paraId="4A88CCA6">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）合同主要条款</w:t>
      </w:r>
    </w:p>
    <w:p w14:paraId="4125F277">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）投标文件格式</w:t>
      </w:r>
    </w:p>
    <w:p w14:paraId="459ED382">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2.1.2 </w:t>
      </w:r>
      <w:r>
        <w:rPr>
          <w:rFonts w:hint="eastAsia" w:ascii="宋体" w:hAnsi="宋体" w:cs="楷体_GB2312"/>
          <w:color w:val="auto"/>
          <w:sz w:val="24"/>
          <w:lang w:val="zh-CN"/>
        </w:rPr>
        <w:t>根据本章第</w:t>
      </w:r>
      <w:r>
        <w:rPr>
          <w:rFonts w:ascii="宋体" w:hAnsi="宋体" w:cs="楷体_GB2312"/>
          <w:color w:val="auto"/>
          <w:sz w:val="24"/>
          <w:lang w:val="zh-CN"/>
        </w:rPr>
        <w:t>1.11</w:t>
      </w:r>
      <w:r>
        <w:rPr>
          <w:rFonts w:hint="eastAsia" w:ascii="宋体" w:hAnsi="宋体" w:cs="楷体_GB2312"/>
          <w:color w:val="auto"/>
          <w:sz w:val="24"/>
          <w:lang w:val="zh-CN"/>
        </w:rPr>
        <w:t>款、第</w:t>
      </w:r>
      <w:r>
        <w:rPr>
          <w:rFonts w:ascii="宋体" w:hAnsi="宋体" w:cs="楷体_GB2312"/>
          <w:color w:val="auto"/>
          <w:sz w:val="24"/>
          <w:lang w:val="zh-CN"/>
        </w:rPr>
        <w:t>2.2</w:t>
      </w:r>
      <w:r>
        <w:rPr>
          <w:rFonts w:hint="eastAsia" w:ascii="宋体" w:hAnsi="宋体" w:cs="楷体_GB2312"/>
          <w:color w:val="auto"/>
          <w:sz w:val="24"/>
          <w:lang w:val="zh-CN"/>
        </w:rPr>
        <w:t>款和第</w:t>
      </w:r>
      <w:r>
        <w:rPr>
          <w:rFonts w:ascii="宋体" w:hAnsi="宋体" w:cs="楷体_GB2312"/>
          <w:color w:val="auto"/>
          <w:sz w:val="24"/>
          <w:lang w:val="zh-CN"/>
        </w:rPr>
        <w:t>2.3</w:t>
      </w:r>
      <w:r>
        <w:rPr>
          <w:rFonts w:hint="eastAsia" w:ascii="宋体" w:hAnsi="宋体" w:cs="楷体_GB2312"/>
          <w:color w:val="auto"/>
          <w:sz w:val="24"/>
          <w:lang w:val="zh-CN"/>
        </w:rPr>
        <w:t>款、对单一来源采购文件的澄清、修改、补充书构成单一来源采购文件的组成部分，并取代单一来源采购文件中被澄清、修改处，对所有投标人均有约束力。</w:t>
      </w:r>
    </w:p>
    <w:p w14:paraId="6DA3815D">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2.1.3 </w:t>
      </w:r>
      <w:r>
        <w:rPr>
          <w:rFonts w:hint="eastAsia" w:ascii="宋体" w:hAnsi="宋体" w:cs="楷体_GB2312"/>
          <w:color w:val="auto"/>
          <w:sz w:val="24"/>
          <w:lang w:val="zh-CN"/>
        </w:rPr>
        <w:t>当单一来源采购文件、单一来源采购文件的澄清、修改、补充等在同一内容的表述上不一致时，以最后发出（发布）的文件为准。</w:t>
      </w:r>
    </w:p>
    <w:p w14:paraId="303C3976">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2.1.4 </w:t>
      </w:r>
      <w:r>
        <w:rPr>
          <w:rFonts w:hint="eastAsia" w:ascii="宋体" w:hAnsi="宋体" w:cs="楷体_GB2312"/>
          <w:color w:val="auto"/>
          <w:sz w:val="24"/>
          <w:lang w:val="zh-CN"/>
        </w:rPr>
        <w:t>投标人与任何人的口头协议不影响《单一来源采购文件》的任何条款和内容。</w:t>
      </w:r>
    </w:p>
    <w:p w14:paraId="0BB4F7EA">
      <w:pPr>
        <w:autoSpaceDE w:val="0"/>
        <w:autoSpaceDN w:val="0"/>
        <w:adjustRightInd w:val="0"/>
        <w:snapToGrid w:val="0"/>
        <w:spacing w:before="120" w:beforeLines="50" w:line="300" w:lineRule="auto"/>
        <w:ind w:firstLine="539"/>
        <w:rPr>
          <w:rFonts w:ascii="宋体" w:cs="楷体_GB2312"/>
          <w:color w:val="auto"/>
          <w:sz w:val="24"/>
        </w:rPr>
      </w:pPr>
      <w:r>
        <w:rPr>
          <w:rFonts w:ascii="宋体" w:hAnsi="宋体" w:cs="楷体_GB2312"/>
          <w:color w:val="auto"/>
          <w:sz w:val="24"/>
        </w:rPr>
        <w:t>2.1.5</w:t>
      </w:r>
      <w:r>
        <w:rPr>
          <w:rFonts w:hint="eastAsia" w:ascii="宋体" w:hAnsi="宋体" w:cs="楷体_GB2312"/>
          <w:color w:val="auto"/>
          <w:sz w:val="24"/>
        </w:rPr>
        <w:t xml:space="preserve"> 投标人应仔细阅读和检查单一来源采购文件的全部内容是否齐全，如发现缺页或附件不全等遗漏，应及时向采购代理机构提出并索取补齐，否则责任及风险自负。</w:t>
      </w:r>
    </w:p>
    <w:p w14:paraId="3CC3CD85">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2.2 </w:t>
      </w:r>
      <w:r>
        <w:rPr>
          <w:rFonts w:hint="eastAsia" w:ascii="黑体" w:hAnsi="黑体" w:eastAsia="黑体" w:cs="楷体_GB2312"/>
          <w:b/>
          <w:color w:val="auto"/>
          <w:sz w:val="24"/>
          <w:lang w:val="zh-CN"/>
        </w:rPr>
        <w:t>单一来源采购文件的澄清</w:t>
      </w:r>
    </w:p>
    <w:p w14:paraId="349DCBBA">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2.2.1 </w:t>
      </w:r>
      <w:r>
        <w:rPr>
          <w:rFonts w:hint="eastAsia" w:ascii="宋体" w:hAnsi="宋体" w:cs="楷体_GB2312"/>
          <w:color w:val="auto"/>
          <w:sz w:val="24"/>
          <w:lang w:val="zh-CN"/>
        </w:rPr>
        <w:t>合规获取单一来源采购文件的所有潜在投标人对单一来源采购文件如有需澄清的疑问，应在投标人须知前附表规定的时间内按谈判邀请函中载明的地址以纸质书面形式通知到采购代理机构。在规定的时间内未提出疑问的，将视为对单一来源采购文件的完全认可。</w:t>
      </w:r>
    </w:p>
    <w:p w14:paraId="78532B91">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2.2.2 </w:t>
      </w:r>
      <w:r>
        <w:rPr>
          <w:rFonts w:hint="eastAsia" w:ascii="宋体" w:hAnsi="宋体" w:cs="楷体_GB2312"/>
          <w:color w:val="auto"/>
          <w:sz w:val="24"/>
          <w:lang w:val="zh-CN"/>
        </w:rPr>
        <w:t>采购代理机构对潜在投标人在规定的时间内提出的疑问，将视情况以书面形式予以答复，并在其认为必要时，将不标明查询来源的书面答复，在“谈判邀请函”所述媒体通告所有潜在投标人。</w:t>
      </w:r>
    </w:p>
    <w:p w14:paraId="159D20C4">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2.2.3 </w:t>
      </w:r>
      <w:r>
        <w:rPr>
          <w:rFonts w:hint="eastAsia" w:ascii="宋体" w:hAnsi="宋体" w:cs="楷体_GB2312"/>
          <w:color w:val="auto"/>
          <w:sz w:val="24"/>
          <w:lang w:val="zh-CN"/>
        </w:rPr>
        <w:t>单一来源采购文件中如有不符合国家有关强制性规定、不符合国家标准及行业标准的，投标人应在投标阶段或成交实施阶段予以纠正或尽提醒义务。如作为有经验的投标人（成交供应商）应当知道而未尽提醒义务的，执行指令而造成的损失及风险由投标人（成交供应商）承担。</w:t>
      </w:r>
    </w:p>
    <w:p w14:paraId="40E4790D">
      <w:pPr>
        <w:adjustRightInd w:val="0"/>
        <w:snapToGrid w:val="0"/>
        <w:spacing w:before="120" w:beforeLines="50" w:line="300" w:lineRule="auto"/>
        <w:ind w:firstLine="480" w:firstLineChars="200"/>
        <w:jc w:val="left"/>
        <w:rPr>
          <w:rFonts w:ascii="宋体" w:hAnsi="宋体" w:cs="楷体_GB2312"/>
          <w:color w:val="auto"/>
          <w:sz w:val="24"/>
          <w:lang w:val="zh-CN"/>
        </w:rPr>
      </w:pPr>
      <w:r>
        <w:rPr>
          <w:rFonts w:ascii="宋体" w:hAnsi="宋体" w:cs="楷体_GB2312"/>
          <w:color w:val="auto"/>
          <w:sz w:val="24"/>
          <w:lang w:val="zh-CN"/>
        </w:rPr>
        <w:t>2.2.4</w:t>
      </w:r>
      <w:r>
        <w:rPr>
          <w:rFonts w:hint="eastAsia" w:ascii="宋体" w:hAnsi="宋体" w:cs="楷体_GB2312"/>
          <w:color w:val="auto"/>
          <w:sz w:val="24"/>
          <w:lang w:val="zh-CN"/>
        </w:rPr>
        <w:t>采购代理机构可视情况在投标截止前答疑。</w:t>
      </w:r>
    </w:p>
    <w:p w14:paraId="50FDEF6A">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2.3 </w:t>
      </w:r>
      <w:r>
        <w:rPr>
          <w:rFonts w:hint="eastAsia" w:ascii="黑体" w:hAnsi="黑体" w:eastAsia="黑体" w:cs="楷体_GB2312"/>
          <w:b/>
          <w:color w:val="auto"/>
          <w:sz w:val="24"/>
          <w:lang w:val="zh-CN"/>
        </w:rPr>
        <w:t>单一来源采购文件的澄清、修改、补充</w:t>
      </w:r>
    </w:p>
    <w:p w14:paraId="1648EB65">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2.3.1 </w:t>
      </w:r>
      <w:r>
        <w:rPr>
          <w:rFonts w:hint="eastAsia" w:ascii="宋体" w:hAnsi="宋体" w:cs="楷体_GB2312"/>
          <w:color w:val="auto"/>
          <w:sz w:val="24"/>
          <w:lang w:val="zh-CN"/>
        </w:rPr>
        <w:t>采购人、代理机构在投标截止时间前有权澄清修改、补充已发售的单一来源采购文件。</w:t>
      </w:r>
    </w:p>
    <w:p w14:paraId="20FB07EB">
      <w:pPr>
        <w:autoSpaceDE w:val="0"/>
        <w:autoSpaceDN w:val="0"/>
        <w:adjustRightInd w:val="0"/>
        <w:snapToGrid w:val="0"/>
        <w:spacing w:before="120" w:beforeLines="50" w:line="300" w:lineRule="auto"/>
        <w:ind w:firstLine="539"/>
        <w:rPr>
          <w:rFonts w:ascii="宋体" w:hAnsi="宋体"/>
          <w:color w:val="auto"/>
          <w:sz w:val="24"/>
        </w:rPr>
      </w:pPr>
      <w:r>
        <w:rPr>
          <w:rFonts w:ascii="宋体" w:hAnsi="宋体" w:cs="楷体_GB2312"/>
          <w:color w:val="auto"/>
          <w:sz w:val="24"/>
          <w:lang w:val="zh-CN"/>
        </w:rPr>
        <w:t>2.3.</w:t>
      </w:r>
      <w:r>
        <w:rPr>
          <w:rFonts w:ascii="宋体" w:hAnsi="宋体"/>
          <w:color w:val="auto"/>
          <w:sz w:val="24"/>
        </w:rPr>
        <w:t xml:space="preserve">2 </w:t>
      </w:r>
      <w:r>
        <w:rPr>
          <w:rFonts w:hint="eastAsia" w:ascii="宋体" w:hAnsi="宋体"/>
          <w:color w:val="auto"/>
          <w:sz w:val="24"/>
        </w:rPr>
        <w:t>谈判过程中对单一来源采购文件的变动见第四章评审办法</w:t>
      </w:r>
      <w:r>
        <w:rPr>
          <w:rFonts w:ascii="宋体" w:hAnsi="宋体"/>
          <w:color w:val="auto"/>
          <w:sz w:val="24"/>
        </w:rPr>
        <w:t>3.5</w:t>
      </w:r>
      <w:r>
        <w:rPr>
          <w:rFonts w:hint="eastAsia" w:ascii="宋体" w:hAnsi="宋体"/>
          <w:color w:val="auto"/>
          <w:sz w:val="24"/>
        </w:rPr>
        <w:t>款谈判规则。</w:t>
      </w:r>
    </w:p>
    <w:p w14:paraId="1471B993">
      <w:pPr>
        <w:autoSpaceDE w:val="0"/>
        <w:autoSpaceDN w:val="0"/>
        <w:adjustRightInd w:val="0"/>
        <w:snapToGrid w:val="0"/>
        <w:spacing w:before="120"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2.4 </w:t>
      </w:r>
      <w:r>
        <w:rPr>
          <w:rFonts w:hint="eastAsia" w:ascii="黑体" w:hAnsi="黑体" w:eastAsia="黑体" w:cs="楷体_GB2312"/>
          <w:b/>
          <w:color w:val="auto"/>
          <w:sz w:val="24"/>
          <w:lang w:val="zh-CN"/>
        </w:rPr>
        <w:t>单一来源采购文件的澄清、修改、补充的</w:t>
      </w:r>
      <w:r>
        <w:rPr>
          <w:rFonts w:ascii="黑体" w:hAnsi="黑体" w:eastAsia="黑体" w:cs="楷体_GB2312"/>
          <w:b/>
          <w:color w:val="auto"/>
          <w:sz w:val="24"/>
          <w:lang w:val="zh-CN"/>
        </w:rPr>
        <w:t>通知</w:t>
      </w:r>
      <w:r>
        <w:rPr>
          <w:rFonts w:hint="eastAsia" w:ascii="黑体" w:hAnsi="黑体" w:eastAsia="黑体" w:cs="楷体_GB2312"/>
          <w:b/>
          <w:color w:val="auto"/>
          <w:sz w:val="24"/>
          <w:lang w:val="zh-CN"/>
        </w:rPr>
        <w:t>，及</w:t>
      </w:r>
      <w:r>
        <w:rPr>
          <w:rFonts w:ascii="黑体" w:hAnsi="黑体" w:eastAsia="黑体" w:cs="楷体_GB2312"/>
          <w:b/>
          <w:color w:val="auto"/>
          <w:sz w:val="24"/>
          <w:lang w:val="zh-CN"/>
        </w:rPr>
        <w:t>相应</w:t>
      </w:r>
      <w:r>
        <w:rPr>
          <w:rFonts w:hint="eastAsia" w:ascii="黑体" w:hAnsi="黑体" w:eastAsia="黑体" w:cs="楷体_GB2312"/>
          <w:b/>
          <w:color w:val="auto"/>
          <w:sz w:val="24"/>
          <w:lang w:val="zh-CN"/>
        </w:rPr>
        <w:t>时间变更</w:t>
      </w:r>
    </w:p>
    <w:p w14:paraId="16B5C36A">
      <w:pPr>
        <w:autoSpaceDE w:val="0"/>
        <w:autoSpaceDN w:val="0"/>
        <w:adjustRightInd w:val="0"/>
        <w:snapToGrid w:val="0"/>
        <w:spacing w:before="120" w:beforeLines="50" w:line="300" w:lineRule="auto"/>
        <w:ind w:firstLine="539"/>
        <w:rPr>
          <w:rFonts w:ascii="宋体" w:hAnsi="宋体" w:cs="楷体_GB2312"/>
          <w:b/>
          <w:color w:val="auto"/>
          <w:sz w:val="24"/>
          <w:lang w:val="zh-CN"/>
        </w:rPr>
      </w:pPr>
      <w:r>
        <w:rPr>
          <w:rFonts w:ascii="宋体" w:hAnsi="宋体" w:cs="楷体_GB2312"/>
          <w:color w:val="auto"/>
          <w:sz w:val="24"/>
          <w:lang w:val="zh-CN"/>
        </w:rPr>
        <w:t xml:space="preserve">2.4.1 </w:t>
      </w:r>
      <w:r>
        <w:rPr>
          <w:rFonts w:hint="eastAsia" w:ascii="宋体" w:hAnsi="宋体" w:cs="楷体_GB2312"/>
          <w:color w:val="auto"/>
          <w:sz w:val="24"/>
          <w:lang w:val="zh-CN"/>
        </w:rPr>
        <w:t>单一来源采购文件在投标截止时间前的所有澄清、修改（包括时间变更等）、补充事项，均在“谈判邀请函”所述媒体予以公告。</w:t>
      </w:r>
      <w:r>
        <w:rPr>
          <w:rFonts w:hint="eastAsia" w:ascii="宋体" w:hAnsi="宋体" w:cs="楷体_GB2312"/>
          <w:b/>
          <w:color w:val="auto"/>
          <w:sz w:val="24"/>
          <w:lang w:val="zh-CN"/>
        </w:rPr>
        <w:t>澄清或修改公告一经在</w:t>
      </w:r>
      <w:r>
        <w:rPr>
          <w:rFonts w:ascii="宋体" w:hAnsi="宋体" w:cs="楷体_GB2312"/>
          <w:b/>
          <w:color w:val="auto"/>
          <w:sz w:val="24"/>
          <w:lang w:val="zh-CN"/>
        </w:rPr>
        <w:t>法定网</w:t>
      </w:r>
      <w:r>
        <w:rPr>
          <w:rFonts w:hint="eastAsia" w:ascii="宋体" w:hAnsi="宋体" w:cs="楷体_GB2312"/>
          <w:b/>
          <w:color w:val="auto"/>
          <w:sz w:val="24"/>
          <w:lang w:val="zh-CN"/>
        </w:rPr>
        <w:t>站以</w:t>
      </w:r>
      <w:r>
        <w:rPr>
          <w:rFonts w:ascii="宋体" w:hAnsi="宋体" w:cs="楷体_GB2312"/>
          <w:b/>
          <w:color w:val="auto"/>
          <w:sz w:val="24"/>
          <w:lang w:val="zh-CN"/>
        </w:rPr>
        <w:t>公</w:t>
      </w:r>
      <w:r>
        <w:rPr>
          <w:rFonts w:hint="eastAsia" w:ascii="宋体" w:hAnsi="宋体" w:cs="楷体_GB2312"/>
          <w:b/>
          <w:color w:val="auto"/>
          <w:sz w:val="24"/>
          <w:lang w:val="zh-CN"/>
        </w:rPr>
        <w:t>告</w:t>
      </w:r>
      <w:r>
        <w:rPr>
          <w:rFonts w:ascii="宋体" w:hAnsi="宋体" w:cs="楷体_GB2312"/>
          <w:b/>
          <w:color w:val="auto"/>
          <w:sz w:val="24"/>
          <w:lang w:val="zh-CN"/>
        </w:rPr>
        <w:t>形式</w:t>
      </w:r>
      <w:r>
        <w:rPr>
          <w:rFonts w:hint="eastAsia" w:ascii="宋体" w:hAnsi="宋体" w:cs="楷体_GB2312"/>
          <w:b/>
          <w:color w:val="auto"/>
          <w:sz w:val="24"/>
          <w:lang w:val="zh-CN"/>
        </w:rPr>
        <w:t>发布，依法视为书面通知，不再另行通知。</w:t>
      </w:r>
    </w:p>
    <w:p w14:paraId="122910CC">
      <w:pPr>
        <w:autoSpaceDE w:val="0"/>
        <w:autoSpaceDN w:val="0"/>
        <w:adjustRightInd w:val="0"/>
        <w:snapToGrid w:val="0"/>
        <w:spacing w:before="120"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基于网</w:t>
      </w:r>
      <w:r>
        <w:rPr>
          <w:rFonts w:ascii="宋体" w:hAnsi="宋体" w:cs="楷体_GB2312"/>
          <w:b/>
          <w:color w:val="auto"/>
          <w:sz w:val="24"/>
          <w:lang w:val="zh-CN"/>
        </w:rPr>
        <w:t>上</w:t>
      </w:r>
      <w:r>
        <w:rPr>
          <w:rFonts w:hint="eastAsia" w:ascii="宋体" w:hAnsi="宋体" w:cs="楷体_GB2312"/>
          <w:b/>
          <w:color w:val="auto"/>
          <w:sz w:val="24"/>
          <w:lang w:val="zh-CN"/>
        </w:rPr>
        <w:t>电</w:t>
      </w:r>
      <w:r>
        <w:rPr>
          <w:rFonts w:ascii="宋体" w:hAnsi="宋体" w:cs="楷体_GB2312"/>
          <w:b/>
          <w:color w:val="auto"/>
          <w:sz w:val="24"/>
          <w:lang w:val="zh-CN"/>
        </w:rPr>
        <w:t>子</w:t>
      </w:r>
      <w:r>
        <w:rPr>
          <w:rFonts w:hint="eastAsia" w:ascii="宋体" w:hAnsi="宋体" w:cs="楷体_GB2312"/>
          <w:b/>
          <w:color w:val="auto"/>
          <w:sz w:val="24"/>
          <w:lang w:val="zh-CN"/>
        </w:rPr>
        <w:t>交易</w:t>
      </w:r>
      <w:r>
        <w:rPr>
          <w:rFonts w:ascii="宋体" w:hAnsi="宋体" w:cs="楷体_GB2312"/>
          <w:b/>
          <w:color w:val="auto"/>
          <w:sz w:val="24"/>
          <w:lang w:val="zh-CN"/>
        </w:rPr>
        <w:t>的特点—</w:t>
      </w:r>
      <w:r>
        <w:rPr>
          <w:rFonts w:ascii="宋体" w:cs="楷体_GB2312"/>
          <w:b/>
          <w:color w:val="auto"/>
          <w:sz w:val="24"/>
          <w:lang w:val="zh-CN"/>
        </w:rPr>
        <w:t>-</w:t>
      </w:r>
      <w:r>
        <w:rPr>
          <w:rFonts w:hint="eastAsia" w:ascii="宋体" w:hAnsi="宋体" w:cs="楷体_GB2312"/>
          <w:b/>
          <w:color w:val="auto"/>
          <w:sz w:val="24"/>
          <w:lang w:val="zh-CN"/>
        </w:rPr>
        <w:t>无权限获知或通知潜在投标人，潜在投标人应随时关注“谈判邀请函”所</w:t>
      </w:r>
      <w:r>
        <w:rPr>
          <w:rFonts w:ascii="宋体" w:hAnsi="宋体" w:cs="楷体_GB2312"/>
          <w:b/>
          <w:color w:val="auto"/>
          <w:sz w:val="24"/>
          <w:lang w:val="zh-CN"/>
        </w:rPr>
        <w:t>述媒体</w:t>
      </w:r>
      <w:r>
        <w:rPr>
          <w:rFonts w:hint="eastAsia" w:ascii="宋体" w:hAnsi="宋体" w:cs="楷体_GB2312"/>
          <w:b/>
          <w:color w:val="auto"/>
          <w:sz w:val="24"/>
          <w:lang w:val="zh-CN"/>
        </w:rPr>
        <w:t>相关项目信息（为免各部门网站出现维护等情况，潜在投标人应对“谈判邀请函”所述媒体逐一查阅），如有遗漏，后果自负。</w:t>
      </w:r>
    </w:p>
    <w:p w14:paraId="5A5CBE9C">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cs="楷体_GB2312"/>
          <w:color w:val="auto"/>
          <w:sz w:val="24"/>
          <w:lang w:val="zh-CN"/>
        </w:rPr>
        <w:t>2.</w:t>
      </w:r>
      <w:r>
        <w:rPr>
          <w:rFonts w:ascii="宋体" w:cs="楷体_GB2312"/>
          <w:color w:val="auto"/>
          <w:sz w:val="24"/>
          <w:lang w:val="zh-CN"/>
        </w:rPr>
        <w:t>4</w:t>
      </w:r>
      <w:r>
        <w:rPr>
          <w:rFonts w:hint="eastAsia" w:ascii="宋体" w:cs="楷体_GB2312"/>
          <w:color w:val="auto"/>
          <w:sz w:val="24"/>
          <w:lang w:val="zh-CN"/>
        </w:rPr>
        <w:t>.2</w:t>
      </w:r>
      <w:r>
        <w:rPr>
          <w:rFonts w:ascii="宋体" w:cs="楷体_GB2312"/>
          <w:color w:val="auto"/>
          <w:sz w:val="24"/>
          <w:lang w:val="zh-CN"/>
        </w:rPr>
        <w:t xml:space="preserve"> </w:t>
      </w:r>
      <w:r>
        <w:rPr>
          <w:rFonts w:hint="eastAsia" w:ascii="宋体" w:cs="楷体_GB2312"/>
          <w:color w:val="auto"/>
          <w:sz w:val="24"/>
          <w:lang w:val="zh-CN"/>
        </w:rPr>
        <w:t>单一来源采购文件的澄清、修改、补充书构成单一来源采购文件的组成部分，并取代单一来源采购文件中被澄清、修改处，对所有投标人均有约束力。</w:t>
      </w:r>
    </w:p>
    <w:p w14:paraId="39070D39">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2.4.3 </w:t>
      </w:r>
      <w:r>
        <w:rPr>
          <w:rFonts w:hint="eastAsia" w:ascii="宋体" w:hAnsi="宋体" w:cs="楷体_GB2312"/>
          <w:color w:val="auto"/>
          <w:sz w:val="24"/>
          <w:lang w:val="zh-CN"/>
        </w:rPr>
        <w:t>如果投标截止时间前的澄清修改补充发出的时间不满足投标人须知前附表规定时间，并且澄清修改补充内容影响投标文件编制的，代理机构可视采购具体情况延长投标截止时间和开标时间，并将在“谈判邀请函”所述媒体予以公告。</w:t>
      </w:r>
    </w:p>
    <w:p w14:paraId="52475119">
      <w:pPr>
        <w:autoSpaceDE w:val="0"/>
        <w:autoSpaceDN w:val="0"/>
        <w:adjustRightInd w:val="0"/>
        <w:snapToGrid w:val="0"/>
        <w:spacing w:before="120" w:beforeLines="50" w:line="300" w:lineRule="auto"/>
        <w:rPr>
          <w:rFonts w:ascii="宋体" w:cs="楷体_GB2312"/>
          <w:color w:val="auto"/>
          <w:sz w:val="24"/>
          <w:lang w:val="zh-CN"/>
        </w:rPr>
      </w:pPr>
    </w:p>
    <w:p w14:paraId="6D944C43">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lang w:val="zh-CN"/>
        </w:rPr>
      </w:pPr>
      <w:bookmarkStart w:id="11" w:name="_Toc58858968"/>
      <w:r>
        <w:rPr>
          <w:rFonts w:ascii="黑体" w:hAnsi="黑体" w:eastAsia="黑体" w:cs="楷体_GB2312"/>
          <w:b/>
          <w:bCs/>
          <w:color w:val="auto"/>
          <w:sz w:val="28"/>
          <w:szCs w:val="28"/>
          <w:lang w:val="zh-CN"/>
        </w:rPr>
        <w:t xml:space="preserve">3. </w:t>
      </w:r>
      <w:r>
        <w:rPr>
          <w:rFonts w:hint="eastAsia" w:ascii="黑体" w:hAnsi="黑体" w:eastAsia="黑体" w:cs="楷体_GB2312"/>
          <w:b/>
          <w:bCs/>
          <w:color w:val="auto"/>
          <w:sz w:val="28"/>
          <w:szCs w:val="28"/>
          <w:lang w:val="zh-CN"/>
        </w:rPr>
        <w:t>投标文件（响应文件）</w:t>
      </w:r>
      <w:bookmarkEnd w:id="11"/>
    </w:p>
    <w:p w14:paraId="2052778A">
      <w:pPr>
        <w:autoSpaceDE w:val="0"/>
        <w:autoSpaceDN w:val="0"/>
        <w:adjustRightInd w:val="0"/>
        <w:snapToGrid w:val="0"/>
        <w:spacing w:before="120"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3.1</w:t>
      </w:r>
      <w:r>
        <w:rPr>
          <w:rFonts w:hint="eastAsia" w:ascii="宋体" w:hAnsi="宋体" w:cs="楷体_GB2312"/>
          <w:color w:val="auto"/>
          <w:sz w:val="24"/>
          <w:lang w:val="zh-CN"/>
        </w:rPr>
        <w:t>　投标人应仔细阅读单一来源采购文件的所有内容，按单一来源采购文件的要求提供投标文件（响应文件），并保证所提供全部资料的真实性。投标文件（响应文件）应对单一来源采购文件实质性要求作出实质性响应。谈判小组对投标文件（响应文件）的有效性、完整性和响应程度进行审查，不满足实质性要求的为</w:t>
      </w:r>
      <w:r>
        <w:rPr>
          <w:rFonts w:hint="eastAsia" w:ascii="宋体" w:hAnsi="宋体" w:cs="楷体_GB2312"/>
          <w:b/>
          <w:color w:val="auto"/>
          <w:sz w:val="24"/>
          <w:lang w:val="zh-CN"/>
        </w:rPr>
        <w:t>无效投标</w:t>
      </w:r>
      <w:r>
        <w:rPr>
          <w:rFonts w:hint="eastAsia" w:ascii="宋体" w:hAnsi="宋体" w:cs="楷体_GB2312"/>
          <w:color w:val="auto"/>
          <w:sz w:val="24"/>
          <w:lang w:val="zh-CN"/>
        </w:rPr>
        <w:t>。</w:t>
      </w:r>
    </w:p>
    <w:p w14:paraId="4F7A9DE7">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3.2 </w:t>
      </w:r>
      <w:r>
        <w:rPr>
          <w:rFonts w:hint="eastAsia" w:ascii="黑体" w:hAnsi="黑体" w:eastAsia="黑体" w:cs="楷体_GB2312"/>
          <w:b/>
          <w:color w:val="auto"/>
          <w:sz w:val="24"/>
          <w:lang w:val="zh-CN"/>
        </w:rPr>
        <w:t>投标文件（响应文件）的组成</w:t>
      </w:r>
    </w:p>
    <w:p w14:paraId="2B1F18BA">
      <w:pPr>
        <w:adjustRightInd w:val="0"/>
        <w:snapToGrid w:val="0"/>
        <w:spacing w:before="120" w:beforeLines="50" w:line="300" w:lineRule="auto"/>
        <w:ind w:firstLine="539"/>
        <w:textAlignment w:val="top"/>
        <w:rPr>
          <w:rFonts w:ascii="宋体" w:cs="楷体_GB2312"/>
          <w:color w:val="auto"/>
          <w:sz w:val="24"/>
          <w:lang w:val="zh-CN"/>
        </w:rPr>
      </w:pPr>
      <w:r>
        <w:rPr>
          <w:rFonts w:ascii="宋体" w:hAnsi="宋体" w:cs="楷体_GB2312"/>
          <w:color w:val="auto"/>
          <w:sz w:val="24"/>
          <w:lang w:val="zh-CN"/>
        </w:rPr>
        <w:t xml:space="preserve">3.2.1 </w:t>
      </w:r>
      <w:r>
        <w:rPr>
          <w:rFonts w:hint="eastAsia" w:ascii="宋体" w:hAnsi="宋体" w:cs="楷体_GB2312"/>
          <w:color w:val="auto"/>
          <w:sz w:val="24"/>
          <w:lang w:val="zh-CN"/>
        </w:rPr>
        <w:t>投标文件（响应文件）组成如有缺项，谈判小组按照实质性判断原则（实质性要求和实质性响应两因素）、有权视情况将其作无效投标处理，投标人自负此项风险；投标文件组成内容未对单一来源采购文件实质性要求作出实质性响应，谈判小组按照实质性判断原则、视情况将其作无效投标处理，投标人自负此项风险</w:t>
      </w:r>
    </w:p>
    <w:p w14:paraId="550AA4CC">
      <w:pPr>
        <w:adjustRightInd w:val="0"/>
        <w:snapToGrid w:val="0"/>
        <w:spacing w:before="120" w:beforeLines="50" w:line="300" w:lineRule="auto"/>
        <w:ind w:firstLine="539"/>
        <w:textAlignment w:val="top"/>
        <w:rPr>
          <w:rFonts w:ascii="宋体" w:cs="楷体_GB2312"/>
          <w:color w:val="auto"/>
          <w:sz w:val="24"/>
          <w:lang w:val="zh-CN"/>
        </w:rPr>
      </w:pPr>
      <w:r>
        <w:rPr>
          <w:rFonts w:ascii="宋体" w:hAnsi="宋体" w:cs="楷体_GB2312"/>
          <w:color w:val="auto"/>
          <w:sz w:val="24"/>
          <w:lang w:val="zh-CN"/>
        </w:rPr>
        <w:t>3.2.2</w:t>
      </w:r>
      <w:r>
        <w:rPr>
          <w:rFonts w:hint="eastAsia" w:ascii="宋体" w:hAnsi="宋体" w:cs="楷体_GB2312"/>
          <w:color w:val="auto"/>
          <w:sz w:val="24"/>
          <w:lang w:val="zh-CN"/>
        </w:rPr>
        <w:t xml:space="preserve"> 投标文件（响应文件）应包括下列内容：</w:t>
      </w:r>
    </w:p>
    <w:p w14:paraId="6184CC60">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）投标书</w:t>
      </w:r>
    </w:p>
    <w:p w14:paraId="2EC7B63A">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ascii="宋体" w:hAnsi="宋体"/>
          <w:color w:val="auto"/>
          <w:sz w:val="24"/>
          <w:szCs w:val="24"/>
        </w:rPr>
        <w:t>开标一览表（即交易系统中报价一览表）</w:t>
      </w:r>
    </w:p>
    <w:p w14:paraId="77D6B2A2">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）投标报价明细表</w:t>
      </w:r>
    </w:p>
    <w:p w14:paraId="7EA7F720">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）服务方案及服务质量承诺</w:t>
      </w:r>
    </w:p>
    <w:p w14:paraId="7E4BE891">
      <w:pPr>
        <w:adjustRightInd w:val="0"/>
        <w:snapToGrid w:val="0"/>
        <w:spacing w:line="300" w:lineRule="auto"/>
        <w:ind w:firstLine="539"/>
        <w:textAlignment w:val="top"/>
        <w:rPr>
          <w:rFonts w:ascii="宋体" w:cs="楷体_GB2312"/>
          <w:color w:val="auto"/>
          <w:sz w:val="24"/>
        </w:rPr>
      </w:pPr>
      <w:r>
        <w:rPr>
          <w:rFonts w:hint="eastAsia" w:ascii="宋体" w:hAnsi="宋体" w:cs="楷体_GB2312"/>
          <w:color w:val="auto"/>
          <w:sz w:val="24"/>
          <w:lang w:val="zh-CN"/>
        </w:rPr>
        <w:t>（5）服务拟投入设备清单及其技术参数</w:t>
      </w:r>
    </w:p>
    <w:p w14:paraId="20B1FF1C">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（6）服务拟投入的人员情况表</w:t>
      </w:r>
    </w:p>
    <w:p w14:paraId="481A6866">
      <w:pPr>
        <w:adjustRightInd w:val="0"/>
        <w:snapToGrid w:val="0"/>
        <w:spacing w:line="300" w:lineRule="auto"/>
        <w:ind w:firstLine="539"/>
        <w:textAlignment w:val="top"/>
        <w:rPr>
          <w:rFonts w:ascii="宋体" w:cs="楷体_GB2312"/>
          <w:color w:val="auto"/>
          <w:sz w:val="24"/>
        </w:rPr>
      </w:pPr>
      <w:r>
        <w:rPr>
          <w:rFonts w:hint="eastAsia" w:ascii="宋体" w:cs="楷体_GB2312"/>
          <w:color w:val="auto"/>
          <w:sz w:val="24"/>
        </w:rPr>
        <w:t>（7）采购标的成本或同类项目合同价格</w:t>
      </w:r>
    </w:p>
    <w:p w14:paraId="4EC0B626">
      <w:pPr>
        <w:adjustRightInd w:val="0"/>
        <w:snapToGrid w:val="0"/>
        <w:spacing w:line="300" w:lineRule="auto"/>
        <w:ind w:firstLine="539"/>
        <w:textAlignment w:val="top"/>
        <w:rPr>
          <w:rFonts w:ascii="宋体" w:cs="楷体_GB2312"/>
          <w:color w:val="auto"/>
          <w:sz w:val="24"/>
        </w:rPr>
      </w:pPr>
      <w:r>
        <w:rPr>
          <w:rFonts w:hint="eastAsia" w:ascii="宋体" w:cs="楷体_GB2312"/>
          <w:color w:val="auto"/>
          <w:sz w:val="24"/>
        </w:rPr>
        <w:t>（8）相关专利、专有技术等情况说明</w:t>
      </w:r>
    </w:p>
    <w:p w14:paraId="48823A42">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（9）偏差表</w:t>
      </w:r>
    </w:p>
    <w:p w14:paraId="0682DF36">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（10）关于资格的声明函</w:t>
      </w:r>
    </w:p>
    <w:p w14:paraId="07626AA7">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（11）反商业贿赂承诺书</w:t>
      </w:r>
    </w:p>
    <w:p w14:paraId="77627A3E">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2）履约承诺书</w:t>
      </w:r>
    </w:p>
    <w:p w14:paraId="5DE80068">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3）资格要求相关证明材料（文件）</w:t>
      </w:r>
    </w:p>
    <w:p w14:paraId="23D8CB49">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4）采购项目及服务要求所需的其他材料（按条款需要）</w:t>
      </w:r>
    </w:p>
    <w:p w14:paraId="24437DB8">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5）投标人须知所需的其他材料（按条款需要）</w:t>
      </w:r>
    </w:p>
    <w:p w14:paraId="113C87EF">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6）评审办法所需的其他材料（按条款需要）</w:t>
      </w:r>
    </w:p>
    <w:p w14:paraId="1C4FC7C0">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7）投标人认为有必要提交的其它材料</w:t>
      </w:r>
    </w:p>
    <w:p w14:paraId="0A15BAEF">
      <w:pPr>
        <w:topLinePunct/>
        <w:adjustRightInd w:val="0"/>
        <w:snapToGrid w:val="0"/>
        <w:spacing w:before="120"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3.2.3</w:t>
      </w:r>
      <w:r>
        <w:rPr>
          <w:rFonts w:hint="eastAsia" w:ascii="宋体" w:hAnsi="宋体" w:cs="楷体_GB2312"/>
          <w:color w:val="auto"/>
          <w:sz w:val="24"/>
          <w:lang w:val="zh-CN"/>
        </w:rPr>
        <w:t xml:space="preserve"> 按照本章第</w:t>
      </w:r>
      <w:r>
        <w:rPr>
          <w:rFonts w:ascii="宋体" w:hAnsi="宋体" w:cs="楷体_GB2312"/>
          <w:color w:val="auto"/>
          <w:sz w:val="24"/>
          <w:lang w:val="zh-CN"/>
        </w:rPr>
        <w:t>4.3</w:t>
      </w:r>
      <w:r>
        <w:rPr>
          <w:rFonts w:hint="eastAsia" w:ascii="宋体" w:hAnsi="宋体" w:cs="楷体_GB2312"/>
          <w:color w:val="auto"/>
          <w:sz w:val="24"/>
          <w:lang w:val="zh-CN"/>
        </w:rPr>
        <w:t>款、第四章第</w:t>
      </w:r>
      <w:r>
        <w:rPr>
          <w:rFonts w:ascii="宋体" w:hAnsi="宋体" w:cs="楷体_GB2312"/>
          <w:color w:val="auto"/>
          <w:sz w:val="24"/>
          <w:lang w:val="zh-CN"/>
        </w:rPr>
        <w:t>3.4</w:t>
      </w:r>
      <w:r>
        <w:rPr>
          <w:rFonts w:hint="eastAsia" w:ascii="宋体" w:hAnsi="宋体" w:cs="楷体_GB2312"/>
          <w:color w:val="auto"/>
          <w:sz w:val="24"/>
          <w:lang w:val="zh-CN"/>
        </w:rPr>
        <w:t>款规定，对投标文件（响应文件）的补充、修改、澄清、说明或者更正构成投标文件（响应文件）的组成部分。</w:t>
      </w:r>
    </w:p>
    <w:p w14:paraId="619FCC0B">
      <w:pPr>
        <w:topLinePunct/>
        <w:adjustRightInd w:val="0"/>
        <w:snapToGrid w:val="0"/>
        <w:spacing w:before="120" w:beforeLines="50" w:line="300" w:lineRule="auto"/>
        <w:ind w:firstLine="566" w:firstLineChars="235"/>
        <w:rPr>
          <w:rFonts w:ascii="宋体" w:cs="楷体_GB2312"/>
          <w:color w:val="auto"/>
          <w:sz w:val="24"/>
          <w:lang w:val="zh-CN"/>
        </w:rPr>
      </w:pPr>
      <w:r>
        <w:rPr>
          <w:rFonts w:ascii="黑体" w:hAnsi="黑体" w:eastAsia="黑体" w:cs="楷体_GB2312"/>
          <w:b/>
          <w:color w:val="auto"/>
          <w:sz w:val="24"/>
          <w:lang w:val="zh-CN"/>
        </w:rPr>
        <w:t xml:space="preserve">3.3 </w:t>
      </w:r>
      <w:r>
        <w:rPr>
          <w:rFonts w:hint="eastAsia" w:ascii="黑体" w:hAnsi="黑体" w:eastAsia="黑体" w:cs="楷体_GB2312"/>
          <w:b/>
          <w:color w:val="auto"/>
          <w:sz w:val="24"/>
          <w:lang w:val="zh-CN"/>
        </w:rPr>
        <w:t>投标报价</w:t>
      </w:r>
      <w:r>
        <w:rPr>
          <w:rFonts w:hint="eastAsia" w:ascii="宋体" w:hAnsi="宋体" w:cs="楷体_GB2312"/>
          <w:color w:val="auto"/>
          <w:sz w:val="24"/>
          <w:lang w:val="zh-CN"/>
        </w:rPr>
        <w:t>（价格构成）：见第二章</w:t>
      </w:r>
      <w:r>
        <w:rPr>
          <w:rFonts w:ascii="宋体" w:hAnsi="宋体" w:cs="楷体_GB2312"/>
          <w:color w:val="auto"/>
          <w:sz w:val="24"/>
          <w:lang w:val="zh-CN"/>
        </w:rPr>
        <w:t>1.3</w:t>
      </w:r>
      <w:r>
        <w:rPr>
          <w:rFonts w:hint="eastAsia" w:ascii="宋体" w:hAnsi="宋体" w:cs="楷体_GB2312"/>
          <w:color w:val="auto"/>
          <w:sz w:val="24"/>
          <w:lang w:val="zh-CN"/>
        </w:rPr>
        <w:t>款。</w:t>
      </w:r>
    </w:p>
    <w:p w14:paraId="4DD099F7">
      <w:pPr>
        <w:topLinePunct/>
        <w:adjustRightInd w:val="0"/>
        <w:snapToGrid w:val="0"/>
        <w:spacing w:before="120"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3.4 </w:t>
      </w:r>
      <w:r>
        <w:rPr>
          <w:rFonts w:hint="eastAsia" w:ascii="黑体" w:hAnsi="黑体" w:eastAsia="黑体" w:cs="楷体_GB2312"/>
          <w:b/>
          <w:color w:val="auto"/>
          <w:sz w:val="24"/>
          <w:lang w:val="zh-CN"/>
        </w:rPr>
        <w:t>投标有效期</w:t>
      </w:r>
    </w:p>
    <w:p w14:paraId="66D6B67A">
      <w:pPr>
        <w:topLinePunct/>
        <w:adjustRightInd w:val="0"/>
        <w:snapToGrid w:val="0"/>
        <w:spacing w:before="120"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3.4.1</w:t>
      </w:r>
      <w:r>
        <w:rPr>
          <w:rFonts w:hint="eastAsia" w:ascii="宋体" w:hAnsi="宋体" w:cs="楷体_GB2312"/>
          <w:color w:val="auto"/>
          <w:sz w:val="24"/>
          <w:lang w:val="zh-CN"/>
        </w:rPr>
        <w:t>投标有效期见投标人须知前附表。投标文件（响应文件）在投标有效期内保持不变（包括价格等投标文件各项条款）。</w:t>
      </w:r>
    </w:p>
    <w:p w14:paraId="2408A253">
      <w:pPr>
        <w:topLinePunct/>
        <w:adjustRightInd w:val="0"/>
        <w:snapToGrid w:val="0"/>
        <w:spacing w:before="120"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3.4.2</w:t>
      </w:r>
      <w:r>
        <w:rPr>
          <w:rFonts w:hint="eastAsia" w:ascii="宋体" w:hAnsi="宋体" w:cs="楷体_GB2312"/>
          <w:color w:val="auto"/>
          <w:sz w:val="24"/>
          <w:lang w:val="zh-CN"/>
        </w:rPr>
        <w:t>在投标有效期内，投标人撤销或修改其投标文件（响应文件）的，应承担单一来源采购文件和法律规定的责任。</w:t>
      </w:r>
    </w:p>
    <w:p w14:paraId="40B6C9D5">
      <w:pPr>
        <w:topLinePunct/>
        <w:adjustRightInd w:val="0"/>
        <w:snapToGrid w:val="0"/>
        <w:spacing w:before="120"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3.5</w:t>
      </w:r>
      <w:r>
        <w:rPr>
          <w:rFonts w:hint="eastAsia" w:ascii="黑体" w:hAnsi="黑体" w:eastAsia="黑体" w:cs="楷体_GB2312"/>
          <w:b/>
          <w:color w:val="auto"/>
          <w:sz w:val="24"/>
        </w:rPr>
        <w:t>投标承诺函</w:t>
      </w:r>
      <w:r>
        <w:rPr>
          <w:rFonts w:hint="eastAsia" w:ascii="黑体" w:hAnsi="黑体" w:eastAsia="黑体" w:cs="楷体_GB2312"/>
          <w:b/>
          <w:color w:val="auto"/>
          <w:sz w:val="24"/>
          <w:lang w:val="zh-CN"/>
        </w:rPr>
        <w:t>（</w:t>
      </w:r>
      <w:r>
        <w:rPr>
          <w:rFonts w:hint="eastAsia" w:ascii="黑体" w:hAnsi="黑体" w:eastAsia="黑体" w:cs="楷体_GB2312"/>
          <w:b/>
          <w:color w:val="auto"/>
          <w:sz w:val="24"/>
        </w:rPr>
        <w:t>替代</w:t>
      </w:r>
      <w:r>
        <w:rPr>
          <w:rFonts w:hint="eastAsia" w:ascii="黑体" w:hAnsi="黑体" w:eastAsia="黑体" w:cs="楷体_GB2312"/>
          <w:b/>
          <w:color w:val="auto"/>
          <w:sz w:val="24"/>
          <w:lang w:val="zh-CN"/>
        </w:rPr>
        <w:t>投标保证金） ：</w:t>
      </w:r>
    </w:p>
    <w:p w14:paraId="78919B63">
      <w:pPr>
        <w:topLinePunct/>
        <w:adjustRightInd w:val="0"/>
        <w:snapToGrid w:val="0"/>
        <w:spacing w:before="120"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zh-CN"/>
        </w:rPr>
        <w:t>3.5.1 按照豫财购〔2019〕4号文件规定，本项目以投标承诺函的形式替代投标保证金，投标人应按附件格式进行投标承诺，违背承诺的将承担相应的法律责任及违约责任。</w:t>
      </w:r>
    </w:p>
    <w:p w14:paraId="51B169AF">
      <w:pPr>
        <w:topLinePunct/>
        <w:adjustRightInd w:val="0"/>
        <w:snapToGrid w:val="0"/>
        <w:spacing w:before="120"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zh-CN"/>
        </w:rPr>
        <w:t>3.5.2 未提供投标承诺函的为</w:t>
      </w:r>
      <w:r>
        <w:rPr>
          <w:rFonts w:hint="eastAsia" w:ascii="宋体" w:hAnsi="宋体" w:cs="楷体_GB2312"/>
          <w:b/>
          <w:color w:val="auto"/>
          <w:sz w:val="24"/>
          <w:lang w:val="zh-CN"/>
        </w:rPr>
        <w:t>无效投标</w:t>
      </w:r>
      <w:r>
        <w:rPr>
          <w:rFonts w:hint="eastAsia" w:ascii="宋体" w:hAnsi="宋体" w:cs="楷体_GB2312"/>
          <w:color w:val="auto"/>
          <w:sz w:val="24"/>
          <w:lang w:val="zh-CN"/>
        </w:rPr>
        <w:t>。</w:t>
      </w:r>
    </w:p>
    <w:p w14:paraId="3A2B522C">
      <w:pPr>
        <w:topLinePunct/>
        <w:adjustRightInd w:val="0"/>
        <w:snapToGrid w:val="0"/>
        <w:spacing w:before="120"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zh-CN"/>
        </w:rPr>
        <w:t>3.5.3 投标人的投标承诺函包含投标人承诺的事项及违背承诺的责任追究措施。</w:t>
      </w:r>
    </w:p>
    <w:p w14:paraId="2DB9BFD7">
      <w:pPr>
        <w:topLinePunct/>
        <w:adjustRightInd w:val="0"/>
        <w:snapToGrid w:val="0"/>
        <w:spacing w:before="120"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zh-CN"/>
        </w:rPr>
        <w:t>3.5.4 承诺事项：</w:t>
      </w:r>
    </w:p>
    <w:p w14:paraId="16658E0D">
      <w:pPr>
        <w:topLinePunct/>
        <w:adjustRightInd w:val="0"/>
        <w:snapToGrid w:val="0"/>
        <w:spacing w:before="120"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zh-CN"/>
        </w:rPr>
        <w:t>3.5.4.1、投标人应遵循公开、公平、公正和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s="楷体_GB2312"/>
          <w:color w:val="auto"/>
          <w:sz w:val="24"/>
          <w:lang w:val="zh-CN"/>
        </w:rPr>
        <w:t>诚实信用</w:t>
      </w:r>
      <w:r>
        <w:rPr>
          <w:rFonts w:hint="eastAsia" w:ascii="宋体" w:hAnsi="宋体" w:cs="楷体_GB2312"/>
          <w:color w:val="auto"/>
          <w:sz w:val="24"/>
          <w:lang w:val="zh-CN"/>
        </w:rPr>
        <w:fldChar w:fldCharType="end"/>
      </w:r>
      <w:r>
        <w:rPr>
          <w:rFonts w:hint="eastAsia" w:ascii="宋体" w:hAnsi="宋体" w:cs="楷体_GB2312"/>
          <w:color w:val="auto"/>
          <w:sz w:val="24"/>
          <w:lang w:val="zh-CN"/>
        </w:rPr>
        <w:t>的原则自愿参加项目的投标；</w:t>
      </w:r>
      <w:r>
        <w:rPr>
          <w:rFonts w:hint="eastAsia" w:ascii="宋体" w:hAnsi="宋体" w:cs="楷体_GB2312"/>
          <w:color w:val="auto"/>
          <w:sz w:val="24"/>
          <w:lang w:val="zh-CN"/>
        </w:rPr>
        <w:br w:type="textWrapping"/>
      </w:r>
      <w:r>
        <w:rPr>
          <w:rFonts w:hint="eastAsia" w:ascii="宋体" w:hAnsi="宋体" w:cs="楷体_GB2312"/>
          <w:color w:val="auto"/>
          <w:sz w:val="24"/>
          <w:lang w:val="zh-CN"/>
        </w:rPr>
        <w:t xml:space="preserve">    3.5.4.2、投标人在政府采购活动中应提供真实、准确、有效、合法的材料，不提供虚假材料；</w:t>
      </w:r>
    </w:p>
    <w:p w14:paraId="31209382">
      <w:pPr>
        <w:topLinePunct/>
        <w:adjustRightInd w:val="0"/>
        <w:snapToGrid w:val="0"/>
        <w:spacing w:before="120"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zh-CN"/>
        </w:rPr>
        <w:t>3.5.4.3、投标人按照单一来源采购文件规定，在提交投标文件截止时间后，在单一来源采购文件规定的投标有效期限内不应撤回投标文件；</w:t>
      </w:r>
    </w:p>
    <w:p w14:paraId="5C247916">
      <w:pPr>
        <w:topLinePunct/>
        <w:adjustRightInd w:val="0"/>
        <w:snapToGrid w:val="0"/>
        <w:spacing w:before="120"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zh-CN"/>
        </w:rPr>
        <w:t>3.5.4.4、不应与其他投标人、采购人或采购代理机构串通或恶意串通。</w:t>
      </w:r>
    </w:p>
    <w:p w14:paraId="7A1E6D18">
      <w:pPr>
        <w:topLinePunct/>
        <w:adjustRightInd w:val="0"/>
        <w:snapToGrid w:val="0"/>
        <w:spacing w:before="120"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zh-CN"/>
        </w:rPr>
        <w:t>3.5.4.5、中标后除不可抗拒力或单一来源采购文件认可的情形外，投标人应及时领取中标通知书，在成交通知书规定时间、地点与采购人签订合同；</w:t>
      </w:r>
      <w:r>
        <w:rPr>
          <w:rFonts w:hint="eastAsia" w:ascii="宋体" w:hAnsi="宋体" w:cs="楷体_GB2312"/>
          <w:color w:val="auto"/>
          <w:sz w:val="24"/>
          <w:lang w:val="zh-CN"/>
        </w:rPr>
        <w:br w:type="textWrapping"/>
      </w:r>
      <w:r>
        <w:rPr>
          <w:rFonts w:hint="eastAsia" w:ascii="宋体" w:hAnsi="宋体" w:cs="楷体_GB2312"/>
          <w:color w:val="auto"/>
          <w:sz w:val="24"/>
          <w:lang w:val="zh-CN"/>
        </w:rPr>
        <w:t xml:space="preserve">    3.5.4.6、投标人应遵守法律法规及单一来源采购文件规定的其他情况；</w:t>
      </w:r>
    </w:p>
    <w:p w14:paraId="2AD741E6">
      <w:pPr>
        <w:topLinePunct/>
        <w:adjustRightInd w:val="0"/>
        <w:snapToGrid w:val="0"/>
        <w:spacing w:before="120"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zh-CN"/>
        </w:rPr>
        <w:t>3.5.4.7、投标人应按单一来源采购文件规定及时缴纳中标服务费。</w:t>
      </w:r>
    </w:p>
    <w:p w14:paraId="4070157D">
      <w:pPr>
        <w:topLinePunct/>
        <w:adjustRightInd w:val="0"/>
        <w:snapToGrid w:val="0"/>
        <w:spacing w:before="120"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zh-CN"/>
        </w:rPr>
        <w:t>3.5.5 违背承诺的责任追究措施</w:t>
      </w:r>
    </w:p>
    <w:p w14:paraId="3D466FF3">
      <w:pPr>
        <w:topLinePunct/>
        <w:adjustRightInd w:val="0"/>
        <w:snapToGrid w:val="0"/>
        <w:spacing w:before="120"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zh-CN"/>
        </w:rPr>
        <w:t>投标人如违背上述承诺事项，应无条件接受以下责任追究：</w:t>
      </w:r>
    </w:p>
    <w:p w14:paraId="78AC3748">
      <w:pPr>
        <w:topLinePunct/>
        <w:adjustRightInd w:val="0"/>
        <w:snapToGrid w:val="0"/>
        <w:spacing w:before="120"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zh-CN"/>
        </w:rPr>
        <w:t>3.5.5.1法定责任：按照政府采购相关法规，处以罚款，列入不良行为记录名单，在一至三年内禁止参加政府采购活动，有违法所得的，并处没收违法所得，情节严重的，由工商管理</w:t>
      </w:r>
      <w:r>
        <w:rPr>
          <w:rFonts w:hint="eastAsia"/>
          <w:color w:val="auto"/>
          <w:sz w:val="24"/>
          <w:szCs w:val="24"/>
        </w:rPr>
        <w:t>（市场监督管理机关）</w:t>
      </w:r>
      <w:r>
        <w:rPr>
          <w:rFonts w:hint="eastAsia" w:ascii="宋体" w:hAnsi="宋体" w:cs="楷体_GB2312"/>
          <w:color w:val="auto"/>
          <w:sz w:val="24"/>
          <w:lang w:val="zh-CN"/>
        </w:rPr>
        <w:t>吊销营业执照；构成犯罪的，依法追究刑事责任。</w:t>
      </w:r>
    </w:p>
    <w:p w14:paraId="34F0E640">
      <w:pPr>
        <w:topLinePunct/>
        <w:adjustRightInd w:val="0"/>
        <w:snapToGrid w:val="0"/>
        <w:spacing w:before="120"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zh-CN"/>
        </w:rPr>
        <w:t>给采购人及他人造成损失的，应承担相应的赔偿责任。</w:t>
      </w:r>
    </w:p>
    <w:p w14:paraId="5DED9E09">
      <w:pPr>
        <w:topLinePunct/>
        <w:adjustRightInd w:val="0"/>
        <w:snapToGrid w:val="0"/>
        <w:spacing w:before="120"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zh-CN"/>
        </w:rPr>
        <w:t xml:space="preserve">3.5.5.2违约责任： </w:t>
      </w:r>
    </w:p>
    <w:p w14:paraId="6BCF99A7">
      <w:pPr>
        <w:topLinePunct/>
        <w:adjustRightInd w:val="0"/>
        <w:snapToGrid w:val="0"/>
        <w:spacing w:before="120"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zh-CN"/>
        </w:rPr>
        <w:t>3.5.5.2.1 已中标的，中标（成交）无效；</w:t>
      </w:r>
    </w:p>
    <w:p w14:paraId="373008B9">
      <w:pPr>
        <w:topLinePunct/>
        <w:adjustRightInd w:val="0"/>
        <w:snapToGrid w:val="0"/>
        <w:spacing w:before="120"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zh-CN"/>
        </w:rPr>
        <w:t>3.5.5.2.2 支付采购人违约标的预算金额2%的违约金；</w:t>
      </w:r>
    </w:p>
    <w:p w14:paraId="6C60E1CE">
      <w:pPr>
        <w:topLinePunct/>
        <w:adjustRightInd w:val="0"/>
        <w:snapToGrid w:val="0"/>
        <w:spacing w:before="120" w:beforeLines="50" w:line="300" w:lineRule="auto"/>
        <w:ind w:firstLine="564" w:firstLineChars="235"/>
        <w:rPr>
          <w:rFonts w:ascii="宋体" w:hAnsi="宋体" w:cs="楷体_GB2312"/>
          <w:color w:val="auto"/>
          <w:sz w:val="24"/>
          <w:lang w:val="zh-CN"/>
        </w:rPr>
      </w:pPr>
      <w:r>
        <w:rPr>
          <w:rFonts w:hint="eastAsia" w:ascii="宋体" w:hAnsi="宋体" w:cs="楷体_GB2312"/>
          <w:color w:val="auto"/>
          <w:sz w:val="24"/>
          <w:lang w:val="zh-CN"/>
        </w:rPr>
        <w:t>3.5.5.2.3中标后未缴中标服务费的，作为违约及违背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s="楷体_GB2312"/>
          <w:color w:val="auto"/>
          <w:sz w:val="24"/>
          <w:lang w:val="zh-CN"/>
        </w:rPr>
        <w:t>诚实信用</w:t>
      </w:r>
      <w:r>
        <w:rPr>
          <w:rFonts w:hint="eastAsia" w:ascii="宋体" w:hAnsi="宋体" w:cs="楷体_GB2312"/>
          <w:color w:val="auto"/>
          <w:sz w:val="24"/>
          <w:lang w:val="zh-CN"/>
        </w:rPr>
        <w:fldChar w:fldCharType="end"/>
      </w:r>
      <w:r>
        <w:rPr>
          <w:rFonts w:hint="eastAsia" w:ascii="宋体" w:hAnsi="宋体" w:cs="楷体_GB2312"/>
          <w:color w:val="auto"/>
          <w:sz w:val="24"/>
          <w:lang w:val="zh-CN"/>
        </w:rPr>
        <w:t>原则，在履行承诺前，代理机构将视我单位为失信企业、不予办理其后相关业务。</w:t>
      </w:r>
    </w:p>
    <w:p w14:paraId="61F75A90">
      <w:pPr>
        <w:autoSpaceDE w:val="0"/>
        <w:autoSpaceDN w:val="0"/>
        <w:adjustRightInd w:val="0"/>
        <w:spacing w:before="120" w:beforeLines="50" w:line="360" w:lineRule="auto"/>
        <w:ind w:firstLine="539"/>
        <w:rPr>
          <w:rFonts w:ascii="黑体" w:hAnsi="黑体" w:eastAsia="黑体" w:cs="楷体_GB2312"/>
          <w:b/>
          <w:bCs/>
          <w:color w:val="auto"/>
          <w:sz w:val="28"/>
          <w:szCs w:val="28"/>
          <w:lang w:val="zh-CN"/>
        </w:rPr>
      </w:pPr>
      <w:r>
        <w:rPr>
          <w:rFonts w:ascii="黑体" w:hAnsi="黑体" w:eastAsia="黑体" w:cs="楷体_GB2312"/>
          <w:b/>
          <w:color w:val="auto"/>
          <w:sz w:val="24"/>
          <w:lang w:val="zh-CN"/>
        </w:rPr>
        <w:t xml:space="preserve">3.6 </w:t>
      </w:r>
      <w:r>
        <w:rPr>
          <w:rFonts w:hint="eastAsia" w:ascii="黑体" w:hAnsi="黑体" w:eastAsia="黑体" w:cs="楷体_GB2312"/>
          <w:b/>
          <w:color w:val="auto"/>
          <w:sz w:val="24"/>
          <w:lang w:val="zh-CN"/>
        </w:rPr>
        <w:t>投标资格文件：</w:t>
      </w:r>
      <w:r>
        <w:rPr>
          <w:rFonts w:hint="eastAsia" w:ascii="宋体" w:hAnsi="宋体" w:cs="楷体_GB2312"/>
          <w:color w:val="auto"/>
          <w:sz w:val="24"/>
          <w:lang w:val="zh-CN"/>
        </w:rPr>
        <w:t>要求见谈判邀请函</w:t>
      </w:r>
    </w:p>
    <w:p w14:paraId="62FA4EF1">
      <w:pPr>
        <w:topLinePunct/>
        <w:adjustRightInd w:val="0"/>
        <w:snapToGrid w:val="0"/>
        <w:spacing w:before="120" w:beforeLines="50" w:line="300" w:lineRule="auto"/>
        <w:ind w:left="561" w:leftChars="267" w:firstLine="5" w:firstLineChars="2"/>
        <w:rPr>
          <w:rFonts w:ascii="黑体" w:hAnsi="黑体" w:eastAsia="黑体" w:cs="楷体_GB2312"/>
          <w:b/>
          <w:color w:val="auto"/>
          <w:sz w:val="24"/>
          <w:lang w:val="zh-CN"/>
        </w:rPr>
      </w:pPr>
      <w:r>
        <w:rPr>
          <w:rFonts w:ascii="黑体" w:hAnsi="黑体" w:eastAsia="黑体" w:cs="楷体_GB2312"/>
          <w:b/>
          <w:color w:val="auto"/>
          <w:sz w:val="24"/>
          <w:lang w:val="zh-CN"/>
        </w:rPr>
        <w:t>3.7</w:t>
      </w:r>
      <w:r>
        <w:rPr>
          <w:rFonts w:hint="eastAsia" w:ascii="黑体" w:hAnsi="黑体" w:eastAsia="黑体" w:cs="楷体_GB2312"/>
          <w:b/>
          <w:color w:val="auto"/>
          <w:sz w:val="24"/>
          <w:lang w:val="zh-CN"/>
        </w:rPr>
        <w:t>投标文件的编制</w:t>
      </w:r>
    </w:p>
    <w:p w14:paraId="50E2553D">
      <w:pPr>
        <w:topLinePunct/>
        <w:adjustRightInd w:val="0"/>
        <w:snapToGrid w:val="0"/>
        <w:spacing w:before="120"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3.7.1</w:t>
      </w:r>
      <w:r>
        <w:rPr>
          <w:rFonts w:hint="eastAsia" w:ascii="宋体" w:hAnsi="宋体" w:cs="楷体_GB2312"/>
          <w:color w:val="auto"/>
          <w:sz w:val="24"/>
          <w:lang w:val="zh-CN"/>
        </w:rPr>
        <w:t>投标文件（响应文件）应按第六章“投标文件格式”进行编写，如有必要，可以增加附页，作为投标文件（响应文件）的组成部分。单一来源采购文件中未列明格式的，由投标人按一般通用格式自行设计编写。</w:t>
      </w:r>
    </w:p>
    <w:p w14:paraId="7934D61C">
      <w:pPr>
        <w:widowControl w:val="0"/>
        <w:adjustRightInd w:val="0"/>
        <w:spacing w:before="120" w:beforeLines="50" w:line="300" w:lineRule="auto"/>
        <w:ind w:firstLine="540" w:firstLineChars="225"/>
        <w:rPr>
          <w:rFonts w:ascii="宋体" w:hAnsi="宋体"/>
          <w:color w:val="auto"/>
          <w:sz w:val="24"/>
          <w:szCs w:val="24"/>
        </w:rPr>
      </w:pPr>
      <w:r>
        <w:rPr>
          <w:rFonts w:hint="eastAsia" w:ascii="宋体" w:hAnsi="宋体" w:cs="楷体_GB2312"/>
          <w:color w:val="auto"/>
          <w:sz w:val="24"/>
          <w:lang w:val="zh-CN"/>
        </w:rPr>
        <w:t>投标文件编制后，</w:t>
      </w:r>
      <w:r>
        <w:rPr>
          <w:rFonts w:hint="eastAsia" w:ascii="宋体" w:hAnsi="宋体"/>
          <w:color w:val="auto"/>
          <w:sz w:val="24"/>
          <w:szCs w:val="24"/>
        </w:rPr>
        <w:t>投标人应在投标截止时间前上传加密的电子投标文件（*.aytf）到安阳县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县公共资源交易平台将拒绝接收。</w:t>
      </w:r>
    </w:p>
    <w:p w14:paraId="6A6B1921">
      <w:pPr>
        <w:topLinePunct/>
        <w:adjustRightInd w:val="0"/>
        <w:snapToGrid w:val="0"/>
        <w:spacing w:before="120"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 xml:space="preserve">3.7.2 </w:t>
      </w:r>
      <w:r>
        <w:rPr>
          <w:rFonts w:hint="eastAsia" w:ascii="宋体" w:hAnsi="宋体" w:cs="楷体_GB2312"/>
          <w:color w:val="auto"/>
          <w:sz w:val="24"/>
          <w:lang w:val="zh-CN"/>
        </w:rPr>
        <w:t>“投标文件格式”仅为对投标文件（响应文件）部分内容的格式化规范，并非投标文件所应具备的全部内容。投标人应按本章“</w:t>
      </w:r>
      <w:r>
        <w:rPr>
          <w:rFonts w:ascii="宋体" w:hAnsi="宋体" w:cs="楷体_GB2312"/>
          <w:color w:val="auto"/>
          <w:sz w:val="24"/>
          <w:lang w:val="zh-CN"/>
        </w:rPr>
        <w:t>3.2</w:t>
      </w:r>
      <w:r>
        <w:rPr>
          <w:rFonts w:hint="eastAsia" w:ascii="宋体" w:hAnsi="宋体" w:cs="楷体_GB2312"/>
          <w:color w:val="auto"/>
          <w:sz w:val="24"/>
          <w:lang w:val="zh-CN"/>
        </w:rPr>
        <w:t>投标文件的组成”列示内容编制投标文件（响应文件）。</w:t>
      </w:r>
    </w:p>
    <w:p w14:paraId="6B2719BC">
      <w:pPr>
        <w:adjustRightInd w:val="0"/>
        <w:snapToGrid w:val="0"/>
        <w:spacing w:before="120"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w:t>
      </w:r>
      <w:r>
        <w:rPr>
          <w:rFonts w:asci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文件（响应文件）应当对单一来源采购文件有关标段（包）内容（范围）、技术要求、服务期、投标有效期等实质性内容作出响应。在满足单一来源采购文件实质性要求的基础上，可以提出比单一来源采购文件要求更有利于采购人的承诺。并符合单一来源采购文件偏差的规定。</w:t>
      </w:r>
    </w:p>
    <w:p w14:paraId="6BE10910">
      <w:pPr>
        <w:adjustRightInd w:val="0"/>
        <w:snapToGrid w:val="0"/>
        <w:spacing w:before="120" w:beforeLines="50" w:line="300" w:lineRule="auto"/>
        <w:ind w:firstLine="480" w:firstLineChars="200"/>
        <w:rPr>
          <w:rFonts w:ascii="宋体" w:cs="楷体_GB2312"/>
          <w:color w:val="auto"/>
          <w:sz w:val="24"/>
          <w:lang w:val="zh-CN"/>
        </w:rPr>
      </w:pPr>
      <w:r>
        <w:rPr>
          <w:rFonts w:hint="eastAsia" w:ascii="宋体" w:hAnsi="宋体" w:cs="楷体_GB2312"/>
          <w:color w:val="auto"/>
          <w:sz w:val="24"/>
          <w:lang w:val="zh-CN"/>
        </w:rPr>
        <w:t>投标文件（响应文件）的所有条款与单一来源采购文件要求有任何不同之处，应按《偏差表》格式逐一填列。投标文件（响应文件）与单一来源采购文件所有要求存在偏差而未填列的，谈判小组有权按照实质性判断原则（实质性要求和实质性响应两因素）评定其为</w:t>
      </w:r>
      <w:r>
        <w:rPr>
          <w:rFonts w:hint="eastAsia" w:ascii="宋体" w:hAnsi="宋体" w:cs="楷体_GB2312"/>
          <w:b/>
          <w:color w:val="auto"/>
          <w:sz w:val="24"/>
          <w:lang w:val="zh-CN"/>
        </w:rPr>
        <w:t>无效投标</w:t>
      </w:r>
      <w:r>
        <w:rPr>
          <w:rFonts w:hint="eastAsia" w:ascii="宋体" w:hAnsi="宋体" w:cs="楷体_GB2312"/>
          <w:color w:val="auto"/>
          <w:sz w:val="24"/>
          <w:lang w:val="zh-CN"/>
        </w:rPr>
        <w:t>。投标人应认真编制投标文件（响应文件）并自负此项风险。</w:t>
      </w:r>
    </w:p>
    <w:p w14:paraId="5017819D">
      <w:pPr>
        <w:autoSpaceDE w:val="0"/>
        <w:autoSpaceDN w:val="0"/>
        <w:adjustRightInd w:val="0"/>
        <w:snapToGrid w:val="0"/>
        <w:spacing w:before="120" w:beforeLines="50" w:line="300" w:lineRule="auto"/>
        <w:ind w:firstLine="539"/>
        <w:rPr>
          <w:rFonts w:ascii="宋体" w:cs="楷体_GB2312"/>
          <w:b/>
          <w:color w:val="auto"/>
          <w:sz w:val="24"/>
        </w:rPr>
      </w:pPr>
      <w:r>
        <w:rPr>
          <w:rFonts w:ascii="宋体" w:hAnsi="宋体" w:cs="楷体_GB2312"/>
          <w:b/>
          <w:color w:val="auto"/>
          <w:sz w:val="24"/>
          <w:lang w:val="zh-CN"/>
        </w:rPr>
        <w:t xml:space="preserve">3.7.4 </w:t>
      </w:r>
      <w:r>
        <w:rPr>
          <w:rFonts w:hint="eastAsia" w:ascii="宋体" w:hAnsi="宋体" w:cs="楷体_GB2312"/>
          <w:b/>
          <w:color w:val="auto"/>
          <w:sz w:val="24"/>
          <w:lang w:val="zh-CN"/>
        </w:rPr>
        <w:t>投标文件（响应文件）</w:t>
      </w:r>
      <w:r>
        <w:rPr>
          <w:rFonts w:hint="eastAsia" w:ascii="宋体" w:hAnsi="宋体" w:cs="楷体_GB2312"/>
          <w:b/>
          <w:color w:val="auto"/>
          <w:sz w:val="24"/>
        </w:rPr>
        <w:t>应</w:t>
      </w:r>
      <w:r>
        <w:rPr>
          <w:rFonts w:hint="eastAsia" w:ascii="宋体" w:hAnsi="宋体" w:cs="楷体_GB2312"/>
          <w:b/>
          <w:color w:val="auto"/>
          <w:sz w:val="24"/>
          <w:lang w:val="zh-CN"/>
        </w:rPr>
        <w:t>按单一来源采购文件相关要求（含格式上标注的要求）、</w:t>
      </w:r>
      <w:r>
        <w:rPr>
          <w:rFonts w:hint="eastAsia" w:ascii="宋体" w:hAnsi="宋体" w:cs="楷体_GB2312"/>
          <w:b/>
          <w:color w:val="auto"/>
          <w:sz w:val="24"/>
        </w:rPr>
        <w:t>使用供应商企业数字证书进行电子签章和供应商法定代表人数字证书进行电子签名（签章）、并加密，没有使用供应商企业数字证书和供应商法定代表人数字证书进行电子签名（签章）并加密的响应文件，属于未按照单一来源采购文件要求进行签署。</w:t>
      </w:r>
    </w:p>
    <w:p w14:paraId="413EC1F3">
      <w:pPr>
        <w:autoSpaceDE w:val="0"/>
        <w:autoSpaceDN w:val="0"/>
        <w:adjustRightInd w:val="0"/>
        <w:snapToGrid w:val="0"/>
        <w:spacing w:before="120" w:beforeLines="50" w:line="300" w:lineRule="auto"/>
        <w:ind w:firstLine="539"/>
        <w:rPr>
          <w:rFonts w:ascii="宋体" w:cs="楷体_GB2312"/>
          <w:color w:val="auto"/>
          <w:sz w:val="24"/>
        </w:rPr>
      </w:pPr>
      <w:r>
        <w:rPr>
          <w:rFonts w:hint="eastAsia" w:ascii="宋体" w:hAnsi="宋体" w:cs="楷体_GB2312"/>
          <w:b/>
          <w:color w:val="auto"/>
          <w:sz w:val="24"/>
        </w:rPr>
        <w:t>根据《中华人民共和国电子签名法》规定，可靠的电子签名与手写签名或者盖章具有同等的法律效力。本次采购活动中，供应商使用有效的企业数字证书对响应文件进行电子签章与加盖投标人公章具有同等法律效力；供应商法定代表人使用有效的个人数字证书对响应文件进行签名（签章）与法人签章具有同等法律效力。</w:t>
      </w:r>
    </w:p>
    <w:p w14:paraId="0E6E2E47">
      <w:pPr>
        <w:adjustRightInd w:val="0"/>
        <w:snapToGrid w:val="0"/>
        <w:spacing w:before="120"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3.7.5</w:t>
      </w:r>
      <w:r>
        <w:rPr>
          <w:rFonts w:hint="eastAsia" w:ascii="宋体" w:hAnsi="宋体" w:cs="楷体_GB2312"/>
          <w:color w:val="auto"/>
          <w:sz w:val="24"/>
          <w:lang w:val="zh-CN"/>
        </w:rPr>
        <w:t>投标人可对本单一来源采购文件“标段（包）一览表”中所列的所有标段（包）进行分别投标，也可选择其中一个标段（包）或几个标段（包）投标，但不得将单一来源采购文件规定的同一标段（包）的内容拆开投标，否则将按</w:t>
      </w:r>
      <w:r>
        <w:rPr>
          <w:rFonts w:hint="eastAsia" w:ascii="宋体" w:hAnsi="宋体" w:cs="楷体_GB2312"/>
          <w:b/>
          <w:color w:val="auto"/>
          <w:sz w:val="24"/>
          <w:lang w:val="zh-CN"/>
        </w:rPr>
        <w:t>无效投标</w:t>
      </w:r>
      <w:r>
        <w:rPr>
          <w:rFonts w:hint="eastAsia" w:ascii="宋体" w:hAnsi="宋体" w:cs="楷体_GB2312"/>
          <w:color w:val="auto"/>
          <w:sz w:val="24"/>
          <w:lang w:val="zh-CN"/>
        </w:rPr>
        <w:t>处理。</w:t>
      </w:r>
    </w:p>
    <w:p w14:paraId="424D4609">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3.7.6 </w:t>
      </w:r>
      <w:r>
        <w:rPr>
          <w:rFonts w:hint="eastAsia" w:ascii="宋体" w:hAnsi="宋体" w:cs="楷体_GB2312"/>
          <w:color w:val="auto"/>
          <w:sz w:val="24"/>
          <w:lang w:val="zh-CN"/>
        </w:rPr>
        <w:t>投标文件（响应文件）因字迹或表述不清所引起的后果由投标人自行负责。</w:t>
      </w:r>
    </w:p>
    <w:p w14:paraId="3CF761F4">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3.7.7 </w:t>
      </w:r>
      <w:r>
        <w:rPr>
          <w:rFonts w:hint="eastAsia" w:ascii="宋体" w:hAnsi="宋体" w:cs="楷体_GB2312"/>
          <w:color w:val="auto"/>
          <w:sz w:val="24"/>
          <w:lang w:val="zh-CN"/>
        </w:rPr>
        <w:t>未按上述要求提供的投标文件（响应文件）将视为</w:t>
      </w:r>
      <w:r>
        <w:rPr>
          <w:rFonts w:hint="eastAsia" w:ascii="宋体" w:hAnsi="宋体" w:cs="楷体_GB2312"/>
          <w:b/>
          <w:color w:val="auto"/>
          <w:sz w:val="24"/>
          <w:lang w:val="zh-CN"/>
        </w:rPr>
        <w:t>无效投标。</w:t>
      </w:r>
    </w:p>
    <w:p w14:paraId="6628DF0B">
      <w:pPr>
        <w:autoSpaceDE w:val="0"/>
        <w:autoSpaceDN w:val="0"/>
        <w:adjustRightInd w:val="0"/>
        <w:spacing w:line="360" w:lineRule="auto"/>
        <w:ind w:firstLine="539"/>
        <w:rPr>
          <w:rFonts w:ascii="黑体" w:hAnsi="黑体" w:eastAsia="黑体" w:cs="楷体_GB2312"/>
          <w:b/>
          <w:bCs/>
          <w:color w:val="auto"/>
          <w:sz w:val="28"/>
          <w:szCs w:val="28"/>
          <w:lang w:val="zh-CN"/>
        </w:rPr>
      </w:pPr>
    </w:p>
    <w:p w14:paraId="63AE10FB">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lang w:val="zh-CN"/>
        </w:rPr>
      </w:pPr>
      <w:bookmarkStart w:id="12" w:name="_Toc58858969"/>
      <w:bookmarkStart w:id="13" w:name="_Toc529972260"/>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投标（响应文件的递交）</w:t>
      </w:r>
      <w:bookmarkEnd w:id="12"/>
      <w:bookmarkEnd w:id="13"/>
    </w:p>
    <w:p w14:paraId="3276E56E">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4.1 </w:t>
      </w:r>
      <w:r>
        <w:rPr>
          <w:rFonts w:hint="eastAsia" w:ascii="黑体" w:hAnsi="黑体" w:eastAsia="黑体" w:cs="楷体_GB2312"/>
          <w:b/>
          <w:color w:val="auto"/>
          <w:sz w:val="24"/>
          <w:lang w:val="zh-CN"/>
        </w:rPr>
        <w:t>投标文件（响应文件）的加密和标记：</w:t>
      </w:r>
    </w:p>
    <w:p w14:paraId="444DE127">
      <w:pPr>
        <w:autoSpaceDE w:val="0"/>
        <w:autoSpaceDN w:val="0"/>
        <w:adjustRightInd w:val="0"/>
        <w:snapToGrid w:val="0"/>
        <w:spacing w:before="120" w:beforeLines="50" w:line="300" w:lineRule="auto"/>
        <w:ind w:firstLine="539"/>
        <w:rPr>
          <w:rFonts w:ascii="宋体" w:cs="楷体_GB2312"/>
          <w:b/>
          <w:color w:val="auto"/>
          <w:sz w:val="24"/>
          <w:lang w:val="zh-CN"/>
        </w:rPr>
      </w:pPr>
      <w:bookmarkStart w:id="14" w:name="OLE_LINK2"/>
      <w:r>
        <w:rPr>
          <w:rFonts w:ascii="宋体" w:hAnsi="宋体" w:cs="楷体_GB2312"/>
          <w:b/>
          <w:color w:val="auto"/>
          <w:sz w:val="24"/>
          <w:lang w:val="zh-CN"/>
        </w:rPr>
        <w:t xml:space="preserve">4.1.1 </w:t>
      </w:r>
      <w:r>
        <w:rPr>
          <w:rFonts w:hint="eastAsia" w:ascii="宋体" w:hAnsi="宋体" w:cs="楷体_GB2312"/>
          <w:b/>
          <w:color w:val="auto"/>
          <w:sz w:val="24"/>
          <w:lang w:val="zh-CN"/>
        </w:rPr>
        <w:t>投标文件（响应文件）应当按网上电子交易系统要求进行加密和标记，在投标文件（响应文件）提交截止时间前，将加密的投标文件（响应文件）上传至谈判邀请函所述网上电子交易系统。</w:t>
      </w:r>
    </w:p>
    <w:p w14:paraId="687C4FC6">
      <w:pPr>
        <w:autoSpaceDE w:val="0"/>
        <w:autoSpaceDN w:val="0"/>
        <w:adjustRightInd w:val="0"/>
        <w:snapToGrid w:val="0"/>
        <w:spacing w:before="120" w:beforeLines="50" w:line="300" w:lineRule="auto"/>
        <w:ind w:firstLine="539"/>
        <w:rPr>
          <w:rFonts w:ascii="宋体" w:cs="楷体_GB2312"/>
          <w:b/>
          <w:color w:val="auto"/>
          <w:sz w:val="24"/>
          <w:lang w:val="zh-CN"/>
        </w:rPr>
      </w:pPr>
      <w:bookmarkStart w:id="15" w:name="OLE_LINK1"/>
      <w:r>
        <w:rPr>
          <w:rFonts w:ascii="宋体" w:hAnsi="宋体" w:cs="楷体_GB2312"/>
          <w:b/>
          <w:color w:val="auto"/>
          <w:sz w:val="24"/>
          <w:lang w:val="zh-CN"/>
        </w:rPr>
        <w:t xml:space="preserve">4.1.2 </w:t>
      </w:r>
      <w:r>
        <w:rPr>
          <w:rFonts w:hint="eastAsia" w:ascii="宋体" w:hAnsi="宋体" w:cs="楷体_GB2312"/>
          <w:b/>
          <w:color w:val="auto"/>
          <w:sz w:val="24"/>
          <w:lang w:val="zh-CN"/>
        </w:rPr>
        <w:t>投标文件（响应文件）没有按照上述要求进行加密</w:t>
      </w:r>
      <w:r>
        <w:rPr>
          <w:rFonts w:hint="eastAsia" w:ascii="黑体" w:hAnsi="黑体" w:eastAsia="黑体" w:cs="楷体_GB2312"/>
          <w:b/>
          <w:color w:val="auto"/>
          <w:sz w:val="24"/>
          <w:lang w:val="zh-CN"/>
        </w:rPr>
        <w:t>和标记</w:t>
      </w:r>
      <w:r>
        <w:rPr>
          <w:rFonts w:hint="eastAsia" w:ascii="宋体" w:hAnsi="宋体" w:cs="楷体_GB2312"/>
          <w:b/>
          <w:color w:val="auto"/>
          <w:sz w:val="24"/>
          <w:lang w:val="zh-CN"/>
        </w:rPr>
        <w:t>的、网上电子交易系统将据系统设定拒收其投标文件（响应文件），投标人应自负该项风险，采购代理机构对可能产生的误投或提前启封概不负责。</w:t>
      </w:r>
      <w:bookmarkEnd w:id="14"/>
      <w:bookmarkEnd w:id="15"/>
      <w:bookmarkStart w:id="16" w:name="_Toc296602445"/>
    </w:p>
    <w:p w14:paraId="4D0F8DE1">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4.2 </w:t>
      </w:r>
      <w:r>
        <w:rPr>
          <w:rFonts w:hint="eastAsia" w:ascii="黑体" w:hAnsi="黑体" w:eastAsia="黑体" w:cs="楷体_GB2312"/>
          <w:b/>
          <w:color w:val="auto"/>
          <w:sz w:val="24"/>
          <w:lang w:val="zh-CN"/>
        </w:rPr>
        <w:t>投标文件的递交</w:t>
      </w:r>
      <w:bookmarkEnd w:id="16"/>
    </w:p>
    <w:p w14:paraId="08AE7B2B">
      <w:pPr>
        <w:widowControl w:val="0"/>
        <w:adjustRightInd w:val="0"/>
        <w:spacing w:before="120" w:beforeLines="50" w:line="300" w:lineRule="auto"/>
        <w:ind w:firstLine="540" w:firstLineChars="225"/>
        <w:rPr>
          <w:rFonts w:ascii="宋体" w:hAnsi="宋体"/>
          <w:color w:val="auto"/>
          <w:sz w:val="24"/>
          <w:szCs w:val="24"/>
        </w:rPr>
      </w:pPr>
      <w:r>
        <w:rPr>
          <w:rFonts w:hint="eastAsia" w:ascii="宋体" w:hAnsi="宋体"/>
          <w:color w:val="auto"/>
          <w:sz w:val="24"/>
          <w:szCs w:val="24"/>
        </w:rPr>
        <w:t>4.2.1投标人应在投标截止时间前上传加密的电子投标文件（*.aytf）到安阳县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县公共资源交易平台将拒绝接收。</w:t>
      </w:r>
    </w:p>
    <w:p w14:paraId="7F097D69">
      <w:pPr>
        <w:autoSpaceDE w:val="0"/>
        <w:autoSpaceDN w:val="0"/>
        <w:adjustRightInd w:val="0"/>
        <w:snapToGrid w:val="0"/>
        <w:spacing w:before="120" w:beforeLines="50" w:line="300" w:lineRule="auto"/>
        <w:ind w:firstLine="539"/>
        <w:rPr>
          <w:rFonts w:ascii="宋体" w:cs="楷体_GB2312"/>
          <w:b/>
          <w:color w:val="auto"/>
          <w:sz w:val="24"/>
          <w:lang w:val="zh-CN"/>
        </w:rPr>
      </w:pPr>
      <w:r>
        <w:rPr>
          <w:rFonts w:ascii="宋体" w:hAnsi="宋体" w:cs="楷体_GB2312"/>
          <w:b/>
          <w:color w:val="auto"/>
          <w:sz w:val="24"/>
          <w:lang w:val="zh-CN"/>
        </w:rPr>
        <w:t xml:space="preserve">4.2.2 </w:t>
      </w:r>
      <w:r>
        <w:rPr>
          <w:rFonts w:hint="eastAsia" w:ascii="宋体" w:hAnsi="宋体" w:cs="楷体_GB2312"/>
          <w:b/>
          <w:color w:val="auto"/>
          <w:sz w:val="24"/>
          <w:lang w:val="zh-CN"/>
        </w:rPr>
        <w:t>据网上电子交易系统设定，投标文件（响应文件）提交截止时间后，系统将自动锁定已经提交的电子投标文件（响应文件），拒绝再次提交。投标人将无法通过网上电子交易系统进行上传，采购代理机构将无法接受并拒绝接受投标截止时间以后提交的投标文件（响应文件）</w:t>
      </w:r>
    </w:p>
    <w:p w14:paraId="4AF8B34E">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4.2.3 </w:t>
      </w:r>
      <w:r>
        <w:rPr>
          <w:rFonts w:hint="eastAsia" w:ascii="宋体" w:hAnsi="宋体" w:cs="楷体_GB2312"/>
          <w:color w:val="auto"/>
          <w:sz w:val="24"/>
          <w:lang w:val="zh-CN"/>
        </w:rPr>
        <w:t>由于不可抗拒的原因，代理机构对投标文件（响应文件）的遗失和损坏不负任何责任。</w:t>
      </w:r>
    </w:p>
    <w:p w14:paraId="6B390F03">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4.2.4 </w:t>
      </w:r>
      <w:r>
        <w:rPr>
          <w:rFonts w:hint="eastAsia" w:ascii="宋体" w:hAnsi="宋体" w:cs="楷体_GB2312"/>
          <w:color w:val="auto"/>
          <w:sz w:val="24"/>
          <w:lang w:val="zh-CN"/>
        </w:rPr>
        <w:t>除投标人须知前附表另有规定外，投标人所递交的投标文件（响应文件）不予退还。</w:t>
      </w:r>
    </w:p>
    <w:p w14:paraId="43E18D74">
      <w:pPr>
        <w:autoSpaceDE w:val="0"/>
        <w:autoSpaceDN w:val="0"/>
        <w:adjustRightInd w:val="0"/>
        <w:snapToGrid w:val="0"/>
        <w:spacing w:before="120" w:beforeLines="50" w:line="300" w:lineRule="auto"/>
        <w:ind w:firstLine="539"/>
        <w:rPr>
          <w:rFonts w:ascii="宋体" w:cs="楷体_GB2312"/>
          <w:b/>
          <w:color w:val="auto"/>
          <w:sz w:val="24"/>
          <w:lang w:val="zh-CN"/>
        </w:rPr>
      </w:pPr>
      <w:r>
        <w:rPr>
          <w:rFonts w:ascii="宋体" w:hAnsi="宋体" w:cs="楷体_GB2312"/>
          <w:b/>
          <w:color w:val="auto"/>
          <w:sz w:val="24"/>
          <w:lang w:val="zh-CN"/>
        </w:rPr>
        <w:t xml:space="preserve">4.2.5 </w:t>
      </w:r>
      <w:r>
        <w:rPr>
          <w:rFonts w:hint="eastAsia" w:ascii="宋体" w:hAnsi="宋体" w:cs="楷体_GB2312"/>
          <w:b/>
          <w:color w:val="auto"/>
          <w:sz w:val="24"/>
          <w:lang w:val="zh-CN"/>
        </w:rPr>
        <w:t>基于网上电子交易的系统要求及特点，只接受基于符合网上电子交易系统要求的投标，其他如纸制、送达、电报、电话、电子邮件等形式的投标概不接受。</w:t>
      </w:r>
    </w:p>
    <w:p w14:paraId="5B40F734">
      <w:pPr>
        <w:autoSpaceDE w:val="0"/>
        <w:autoSpaceDN w:val="0"/>
        <w:adjustRightInd w:val="0"/>
        <w:snapToGrid w:val="0"/>
        <w:spacing w:before="120"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4.3 </w:t>
      </w:r>
      <w:r>
        <w:rPr>
          <w:rFonts w:hint="eastAsia" w:ascii="黑体" w:hAnsi="黑体" w:eastAsia="黑体" w:cs="楷体_GB2312"/>
          <w:b/>
          <w:color w:val="auto"/>
          <w:sz w:val="24"/>
          <w:lang w:val="zh-CN"/>
        </w:rPr>
        <w:t>投标文件（响应文件）的修改与撤回</w:t>
      </w:r>
      <w:r>
        <w:rPr>
          <w:rFonts w:hint="eastAsia" w:ascii="宋体" w:hAnsi="宋体" w:cs="楷体_GB2312"/>
          <w:color w:val="auto"/>
          <w:sz w:val="24"/>
          <w:lang w:val="zh-CN"/>
        </w:rPr>
        <w:t>：</w:t>
      </w:r>
    </w:p>
    <w:p w14:paraId="6965B628">
      <w:pPr>
        <w:autoSpaceDE w:val="0"/>
        <w:autoSpaceDN w:val="0"/>
        <w:adjustRightInd w:val="0"/>
        <w:snapToGrid w:val="0"/>
        <w:spacing w:before="120" w:beforeLines="50" w:line="300" w:lineRule="auto"/>
        <w:ind w:firstLine="539"/>
        <w:rPr>
          <w:rFonts w:ascii="宋体" w:cs="楷体_GB2312"/>
          <w:b/>
          <w:color w:val="auto"/>
          <w:sz w:val="24"/>
          <w:lang w:val="zh-CN"/>
        </w:rPr>
      </w:pPr>
      <w:r>
        <w:rPr>
          <w:rFonts w:ascii="宋体" w:hAnsi="宋体" w:cs="楷体_GB2312"/>
          <w:b/>
          <w:color w:val="auto"/>
          <w:sz w:val="24"/>
          <w:lang w:val="zh-CN"/>
        </w:rPr>
        <w:t xml:space="preserve">4.3.1 </w:t>
      </w:r>
      <w:r>
        <w:rPr>
          <w:rFonts w:hint="eastAsia" w:ascii="宋体" w:hAnsi="宋体" w:cs="楷体_GB2312"/>
          <w:b/>
          <w:color w:val="auto"/>
          <w:sz w:val="24"/>
          <w:lang w:val="zh-CN"/>
        </w:rPr>
        <w:t>投标人于提交投标文件（响应文件）截止时间前如对投标文件进行补充、修改，可以上传新的投标文件进行覆盖。投标人如撤回投标文件，应及时书面通知采购代理机构进行办理。</w:t>
      </w:r>
    </w:p>
    <w:p w14:paraId="38887974">
      <w:pPr>
        <w:autoSpaceDE w:val="0"/>
        <w:autoSpaceDN w:val="0"/>
        <w:adjustRightInd w:val="0"/>
        <w:snapToGrid w:val="0"/>
        <w:spacing w:before="120" w:beforeLines="50" w:line="300" w:lineRule="auto"/>
        <w:ind w:firstLine="539"/>
        <w:rPr>
          <w:rFonts w:ascii="宋体" w:hAnsi="宋体" w:cs="楷体_GB2312"/>
          <w:color w:val="auto"/>
          <w:sz w:val="24"/>
          <w:szCs w:val="22"/>
        </w:rPr>
      </w:pPr>
      <w:r>
        <w:rPr>
          <w:rFonts w:ascii="宋体" w:hAnsi="宋体" w:cs="楷体_GB2312"/>
          <w:b/>
          <w:color w:val="auto"/>
          <w:sz w:val="24"/>
          <w:lang w:val="zh-CN"/>
        </w:rPr>
        <w:t xml:space="preserve">4.3.2 </w:t>
      </w:r>
      <w:r>
        <w:rPr>
          <w:rFonts w:hint="eastAsia" w:ascii="宋体" w:hAnsi="宋体" w:cs="楷体_GB2312"/>
          <w:b/>
          <w:color w:val="auto"/>
          <w:sz w:val="24"/>
          <w:lang w:val="zh-CN"/>
        </w:rPr>
        <w:t>投标人在投标文件（响应文件）提交截止时间后不得自行修改或撤回其投标，</w:t>
      </w:r>
      <w:r>
        <w:rPr>
          <w:rFonts w:hint="eastAsia" w:ascii="宋体" w:hAnsi="宋体" w:cs="楷体_GB2312"/>
          <w:color w:val="auto"/>
          <w:sz w:val="24"/>
          <w:lang w:val="zh-CN"/>
        </w:rPr>
        <w:t>否则</w:t>
      </w:r>
      <w:r>
        <w:rPr>
          <w:rFonts w:hint="eastAsia" w:ascii="宋体" w:hAnsi="宋体"/>
          <w:color w:val="auto"/>
          <w:sz w:val="24"/>
          <w:szCs w:val="24"/>
        </w:rPr>
        <w:t xml:space="preserve">依据单一来源采购文件“第三章 </w:t>
      </w:r>
      <w:r>
        <w:rPr>
          <w:rFonts w:hint="eastAsia" w:ascii="宋体" w:hAnsi="宋体" w:cs="楷体_GB2312"/>
          <w:color w:val="auto"/>
          <w:sz w:val="24"/>
          <w:szCs w:val="22"/>
        </w:rPr>
        <w:t>3.5.5 违背承诺的责任追究措施</w:t>
      </w:r>
      <w:r>
        <w:rPr>
          <w:rFonts w:hint="eastAsia" w:ascii="宋体" w:hAnsi="宋体"/>
          <w:color w:val="auto"/>
          <w:sz w:val="24"/>
          <w:szCs w:val="24"/>
        </w:rPr>
        <w:t>”，投标人</w:t>
      </w:r>
      <w:r>
        <w:rPr>
          <w:rFonts w:hint="eastAsia" w:ascii="宋体" w:hAnsi="宋体" w:cs="楷体_GB2312"/>
          <w:color w:val="auto"/>
          <w:sz w:val="24"/>
          <w:szCs w:val="22"/>
        </w:rPr>
        <w:t>承担相应法律责任及违约责任。</w:t>
      </w:r>
    </w:p>
    <w:p w14:paraId="38422C0B">
      <w:pPr>
        <w:autoSpaceDE w:val="0"/>
        <w:autoSpaceDN w:val="0"/>
        <w:adjustRightInd w:val="0"/>
        <w:snapToGrid w:val="0"/>
        <w:spacing w:before="120" w:beforeLines="50" w:line="300" w:lineRule="auto"/>
        <w:ind w:firstLine="539"/>
        <w:rPr>
          <w:rFonts w:ascii="宋体" w:cs="楷体_GB2312"/>
          <w:color w:val="auto"/>
          <w:sz w:val="24"/>
          <w:lang w:val="zh-CN"/>
        </w:rPr>
      </w:pPr>
    </w:p>
    <w:p w14:paraId="79970718">
      <w:pPr>
        <w:autoSpaceDE w:val="0"/>
        <w:autoSpaceDN w:val="0"/>
        <w:adjustRightInd w:val="0"/>
        <w:snapToGrid w:val="0"/>
        <w:spacing w:before="120" w:beforeLines="50" w:line="300" w:lineRule="auto"/>
        <w:ind w:firstLine="539"/>
        <w:outlineLvl w:val="1"/>
        <w:rPr>
          <w:rFonts w:ascii="宋体" w:cs="楷体_GB2312"/>
          <w:color w:val="auto"/>
          <w:sz w:val="24"/>
          <w:lang w:val="zh-CN"/>
        </w:rPr>
      </w:pPr>
      <w:bookmarkStart w:id="17" w:name="_Toc58858970"/>
      <w:bookmarkStart w:id="18" w:name="_Toc529972261"/>
      <w:r>
        <w:rPr>
          <w:rFonts w:ascii="黑体" w:hAnsi="黑体" w:eastAsia="黑体" w:cs="楷体_GB2312"/>
          <w:b/>
          <w:bCs/>
          <w:color w:val="auto"/>
          <w:sz w:val="28"/>
          <w:szCs w:val="28"/>
          <w:lang w:val="zh-CN"/>
        </w:rPr>
        <w:t xml:space="preserve">5. </w:t>
      </w:r>
      <w:r>
        <w:rPr>
          <w:rFonts w:hint="eastAsia" w:ascii="黑体" w:hAnsi="黑体" w:eastAsia="黑体" w:cs="楷体_GB2312"/>
          <w:b/>
          <w:bCs/>
          <w:color w:val="auto"/>
          <w:sz w:val="28"/>
          <w:szCs w:val="28"/>
          <w:lang w:val="zh-CN"/>
        </w:rPr>
        <w:t>开标（响应文件的开启）</w:t>
      </w:r>
      <w:bookmarkEnd w:id="17"/>
      <w:bookmarkEnd w:id="18"/>
    </w:p>
    <w:p w14:paraId="138A17B1">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5.1 </w:t>
      </w:r>
      <w:r>
        <w:rPr>
          <w:rFonts w:hint="eastAsia" w:ascii="黑体" w:hAnsi="黑体" w:eastAsia="黑体" w:cs="楷体_GB2312"/>
          <w:b/>
          <w:color w:val="auto"/>
          <w:sz w:val="24"/>
          <w:lang w:val="zh-CN"/>
        </w:rPr>
        <w:t>开标时间和地点</w:t>
      </w:r>
    </w:p>
    <w:p w14:paraId="71E11A2D">
      <w:pPr>
        <w:autoSpaceDE w:val="0"/>
        <w:autoSpaceDN w:val="0"/>
        <w:adjustRightInd w:val="0"/>
        <w:snapToGrid w:val="0"/>
        <w:spacing w:before="120" w:beforeLines="50" w:line="300" w:lineRule="auto"/>
        <w:ind w:firstLine="539"/>
        <w:rPr>
          <w:rFonts w:ascii="宋体" w:cs="楷体_GB2312"/>
          <w:b/>
          <w:color w:val="auto"/>
          <w:sz w:val="24"/>
          <w:lang w:val="zh-CN"/>
        </w:rPr>
      </w:pPr>
      <w:r>
        <w:rPr>
          <w:rFonts w:ascii="宋体" w:hAnsi="宋体" w:cs="楷体_GB2312"/>
          <w:b/>
          <w:color w:val="auto"/>
          <w:sz w:val="24"/>
          <w:lang w:val="zh-CN"/>
        </w:rPr>
        <w:t xml:space="preserve">5.1.1 </w:t>
      </w:r>
      <w:r>
        <w:rPr>
          <w:rFonts w:hint="eastAsia" w:ascii="宋体" w:hAnsi="宋体" w:cs="楷体_GB2312"/>
          <w:b/>
          <w:color w:val="auto"/>
          <w:sz w:val="24"/>
          <w:lang w:val="zh-CN"/>
        </w:rPr>
        <w:t>采购人和采购代理机构按谈判邀请函规定的时间和地点公开开标。</w:t>
      </w:r>
    </w:p>
    <w:p w14:paraId="0A73AC30">
      <w:pPr>
        <w:autoSpaceDE w:val="0"/>
        <w:autoSpaceDN w:val="0"/>
        <w:adjustRightInd w:val="0"/>
        <w:snapToGrid w:val="0"/>
        <w:spacing w:before="120"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5.1.2</w:t>
      </w:r>
      <w:r>
        <w:rPr>
          <w:rFonts w:hint="eastAsia" w:ascii="宋体" w:hAnsi="宋体" w:cs="楷体_GB2312"/>
          <w:b/>
          <w:color w:val="auto"/>
          <w:sz w:val="24"/>
          <w:lang w:val="zh-CN"/>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42603337">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5.2 </w:t>
      </w:r>
      <w:r>
        <w:rPr>
          <w:rFonts w:hint="eastAsia" w:ascii="黑体" w:hAnsi="黑体" w:eastAsia="黑体" w:cs="楷体_GB2312"/>
          <w:b/>
          <w:color w:val="auto"/>
          <w:sz w:val="24"/>
          <w:lang w:val="zh-CN"/>
        </w:rPr>
        <w:t>开标程序</w:t>
      </w:r>
    </w:p>
    <w:p w14:paraId="71C73BC6">
      <w:pPr>
        <w:autoSpaceDE w:val="0"/>
        <w:autoSpaceDN w:val="0"/>
        <w:adjustRightInd w:val="0"/>
        <w:snapToGrid w:val="0"/>
        <w:spacing w:before="120"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5.2.1 </w:t>
      </w:r>
      <w:r>
        <w:rPr>
          <w:rFonts w:hint="eastAsia" w:ascii="宋体" w:hAnsi="宋体" w:cs="楷体_GB2312"/>
          <w:b/>
          <w:color w:val="auto"/>
          <w:sz w:val="24"/>
          <w:lang w:val="zh-CN"/>
        </w:rPr>
        <w:t>本项目为网上电子交易方式，投标文件（响应文件）的开启方式为远程解密，为保证开标工作顺利进行，投标人需在开标阶段、在管理员下达解密指令后的指定时限内，完成对本单位的加密投标文件（响应文件）的远程解密。如投标人因自身原因、在指定时限内没有解密成功的，其投标将不能被接受，投标人自行承担相应后果。</w:t>
      </w:r>
    </w:p>
    <w:p w14:paraId="68C3F817">
      <w:pPr>
        <w:autoSpaceDE w:val="0"/>
        <w:autoSpaceDN w:val="0"/>
        <w:adjustRightInd w:val="0"/>
        <w:snapToGrid w:val="0"/>
        <w:spacing w:before="120" w:beforeLines="50" w:line="300" w:lineRule="auto"/>
        <w:ind w:firstLine="539"/>
        <w:rPr>
          <w:rFonts w:ascii="宋体" w:cs="楷体_GB2312"/>
          <w:b/>
          <w:color w:val="auto"/>
          <w:sz w:val="24"/>
          <w:lang w:val="zh-CN"/>
        </w:rPr>
      </w:pPr>
      <w:r>
        <w:rPr>
          <w:rFonts w:hint="eastAsia" w:ascii="宋体" w:hAnsi="宋体" w:cs="楷体_GB2312"/>
          <w:b/>
          <w:color w:val="auto"/>
          <w:sz w:val="24"/>
          <w:lang w:val="zh-CN"/>
        </w:rPr>
        <w:t>鉴于网上电子交易方式的特点，管理员将根据系统情况下达解密指令。</w:t>
      </w:r>
    </w:p>
    <w:p w14:paraId="40976A6D">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b/>
          <w:color w:val="auto"/>
          <w:sz w:val="24"/>
          <w:lang w:val="zh-CN"/>
        </w:rPr>
        <w:t xml:space="preserve">5.2.2 </w:t>
      </w:r>
      <w:r>
        <w:rPr>
          <w:rFonts w:hint="eastAsia" w:ascii="宋体" w:hAnsi="宋体" w:cs="楷体_GB2312"/>
          <w:b/>
          <w:color w:val="auto"/>
          <w:sz w:val="24"/>
          <w:lang w:val="zh-CN"/>
        </w:rPr>
        <w:t>投标人对开标过程和开标记录有疑义，以及认为采购人、采购代理机构相关工作人员有需要回避的情形的，应在系统中提出询问或者回避申请，否则，视为对开标无异议。</w:t>
      </w:r>
    </w:p>
    <w:p w14:paraId="282BD833">
      <w:pPr>
        <w:autoSpaceDE w:val="0"/>
        <w:autoSpaceDN w:val="0"/>
        <w:adjustRightInd w:val="0"/>
        <w:snapToGrid w:val="0"/>
        <w:spacing w:before="120" w:beforeLines="50" w:line="300" w:lineRule="auto"/>
        <w:ind w:firstLine="539"/>
        <w:rPr>
          <w:rFonts w:ascii="宋体" w:cs="楷体_GB2312"/>
          <w:color w:val="auto"/>
          <w:sz w:val="24"/>
          <w:lang w:val="zh-CN"/>
        </w:rPr>
      </w:pPr>
    </w:p>
    <w:p w14:paraId="1FEE082A">
      <w:pPr>
        <w:autoSpaceDE w:val="0"/>
        <w:autoSpaceDN w:val="0"/>
        <w:adjustRightInd w:val="0"/>
        <w:snapToGrid w:val="0"/>
        <w:spacing w:before="120" w:beforeLines="50" w:line="300" w:lineRule="auto"/>
        <w:ind w:firstLine="539"/>
        <w:outlineLvl w:val="1"/>
        <w:rPr>
          <w:rFonts w:ascii="宋体" w:cs="楷体_GB2312"/>
          <w:color w:val="auto"/>
          <w:sz w:val="24"/>
          <w:lang w:val="zh-CN"/>
        </w:rPr>
      </w:pPr>
      <w:bookmarkStart w:id="19" w:name="_Toc529972262"/>
      <w:bookmarkStart w:id="20" w:name="_Toc58858971"/>
      <w:r>
        <w:rPr>
          <w:rFonts w:ascii="黑体" w:hAnsi="黑体" w:eastAsia="黑体" w:cs="楷体_GB2312"/>
          <w:b/>
          <w:bCs/>
          <w:color w:val="auto"/>
          <w:sz w:val="28"/>
          <w:szCs w:val="28"/>
          <w:lang w:val="zh-CN"/>
        </w:rPr>
        <w:t xml:space="preserve">6. </w:t>
      </w:r>
      <w:r>
        <w:rPr>
          <w:rFonts w:hint="eastAsia" w:ascii="黑体" w:hAnsi="黑体" w:eastAsia="黑体" w:cs="楷体_GB2312"/>
          <w:b/>
          <w:bCs/>
          <w:color w:val="auto"/>
          <w:sz w:val="28"/>
          <w:szCs w:val="28"/>
          <w:lang w:val="zh-CN"/>
        </w:rPr>
        <w:t>评审</w:t>
      </w:r>
      <w:bookmarkEnd w:id="19"/>
      <w:bookmarkEnd w:id="20"/>
    </w:p>
    <w:p w14:paraId="0B674F7C">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6.1 </w:t>
      </w:r>
      <w:r>
        <w:rPr>
          <w:rFonts w:hint="eastAsia" w:ascii="黑体" w:hAnsi="黑体" w:eastAsia="黑体" w:cs="楷体_GB2312"/>
          <w:b/>
          <w:color w:val="auto"/>
          <w:sz w:val="24"/>
          <w:lang w:val="zh-CN"/>
        </w:rPr>
        <w:t>谈判小组</w:t>
      </w:r>
    </w:p>
    <w:p w14:paraId="1F9A1D5F">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评审工作由依法组建的谈判小组负责。谈判小组由3人及以上单数评审专家组成，评审专家是在监督部门监督下从政府采购专家库中随机抽取产生。</w:t>
      </w:r>
    </w:p>
    <w:p w14:paraId="04F3C42C">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6.2 </w:t>
      </w:r>
      <w:r>
        <w:rPr>
          <w:rFonts w:hint="eastAsia" w:ascii="黑体" w:hAnsi="黑体" w:eastAsia="黑体" w:cs="楷体_GB2312"/>
          <w:b/>
          <w:color w:val="auto"/>
          <w:sz w:val="24"/>
          <w:lang w:val="zh-CN"/>
        </w:rPr>
        <w:t>评审原则</w:t>
      </w:r>
    </w:p>
    <w:p w14:paraId="480D0831">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6.2.1 </w:t>
      </w:r>
      <w:r>
        <w:rPr>
          <w:rFonts w:hint="eastAsia" w:ascii="宋体" w:hAnsi="宋体" w:cs="楷体_GB2312"/>
          <w:color w:val="auto"/>
          <w:sz w:val="24"/>
          <w:lang w:val="zh-CN"/>
        </w:rPr>
        <w:t>坚持公开、公平、公正地对待所有投标人。</w:t>
      </w:r>
    </w:p>
    <w:p w14:paraId="143D80FA">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6.2.2 </w:t>
      </w:r>
      <w:r>
        <w:rPr>
          <w:rFonts w:hint="eastAsia" w:ascii="宋体" w:hAnsi="宋体" w:cs="楷体_GB2312"/>
          <w:color w:val="auto"/>
          <w:sz w:val="24"/>
          <w:lang w:val="zh-CN"/>
        </w:rPr>
        <w:t>按照同一评审程序及方法审查所有投标人的投标文件。</w:t>
      </w:r>
    </w:p>
    <w:p w14:paraId="092A0E41">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6.2.3 </w:t>
      </w:r>
      <w:r>
        <w:rPr>
          <w:rFonts w:hint="eastAsia" w:ascii="宋体" w:hAnsi="宋体" w:cs="楷体_GB2312"/>
          <w:color w:val="auto"/>
          <w:sz w:val="24"/>
          <w:lang w:val="zh-CN"/>
        </w:rPr>
        <w:t>反对不正当竞争。</w:t>
      </w:r>
    </w:p>
    <w:p w14:paraId="0AE0B435">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6.3 </w:t>
      </w:r>
      <w:r>
        <w:rPr>
          <w:rFonts w:hint="eastAsia" w:ascii="黑体" w:hAnsi="黑体" w:eastAsia="黑体" w:cs="楷体_GB2312"/>
          <w:b/>
          <w:color w:val="auto"/>
          <w:sz w:val="24"/>
          <w:lang w:val="zh-CN"/>
        </w:rPr>
        <w:t>评审</w:t>
      </w:r>
    </w:p>
    <w:p w14:paraId="530FA27B">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6.3.1 </w:t>
      </w:r>
      <w:r>
        <w:rPr>
          <w:rFonts w:hint="eastAsia" w:ascii="宋体" w:hAnsi="宋体" w:cs="楷体_GB2312"/>
          <w:color w:val="auto"/>
          <w:sz w:val="24"/>
          <w:lang w:val="zh-CN"/>
        </w:rPr>
        <w:t>评审工作在谈判小组内独立进行。谈判小组按照第四章“评审办法”规定的方法、评审因素、标准和程序对投标文件进行评审。第四章“评审办法”没有规定的方法、评审因素和标准，不作为评审依据。</w:t>
      </w:r>
    </w:p>
    <w:p w14:paraId="4CB2303A">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6.3.2 </w:t>
      </w:r>
      <w:r>
        <w:rPr>
          <w:rFonts w:hint="eastAsia" w:ascii="宋体" w:hAnsi="宋体" w:cs="楷体_GB2312"/>
          <w:color w:val="auto"/>
          <w:sz w:val="24"/>
          <w:lang w:val="zh-CN"/>
        </w:rPr>
        <w:t>在开标、评审期间，投标人不得向谈判小组成员询问情况，不得进行旨在影响评审结果的活动。</w:t>
      </w:r>
    </w:p>
    <w:p w14:paraId="0F0E70C2">
      <w:pPr>
        <w:autoSpaceDE w:val="0"/>
        <w:autoSpaceDN w:val="0"/>
        <w:adjustRightInd w:val="0"/>
        <w:snapToGrid w:val="0"/>
        <w:spacing w:before="120"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6.4  </w:t>
      </w:r>
      <w:r>
        <w:rPr>
          <w:rFonts w:hint="eastAsia" w:ascii="黑体" w:hAnsi="黑体" w:eastAsia="黑体" w:cs="楷体_GB2312"/>
          <w:b/>
          <w:color w:val="auto"/>
          <w:sz w:val="24"/>
          <w:lang w:val="zh-CN"/>
        </w:rPr>
        <w:t>谈判：</w:t>
      </w:r>
      <w:r>
        <w:rPr>
          <w:rFonts w:hint="eastAsia" w:ascii="宋体" w:hAnsi="宋体" w:cs="楷体_GB2312"/>
          <w:color w:val="auto"/>
          <w:sz w:val="24"/>
          <w:lang w:val="zh-CN"/>
        </w:rPr>
        <w:t>见第四章评审办法</w:t>
      </w:r>
      <w:r>
        <w:rPr>
          <w:rFonts w:ascii="宋体" w:hAnsi="宋体" w:cs="楷体_GB2312"/>
          <w:color w:val="auto"/>
          <w:sz w:val="24"/>
          <w:lang w:val="zh-CN"/>
        </w:rPr>
        <w:t>3.5</w:t>
      </w:r>
      <w:r>
        <w:rPr>
          <w:rFonts w:hint="eastAsia" w:ascii="宋体" w:hAnsi="宋体" w:cs="楷体_GB2312"/>
          <w:color w:val="auto"/>
          <w:sz w:val="24"/>
          <w:lang w:val="zh-CN"/>
        </w:rPr>
        <w:t>款谈判规则。</w:t>
      </w:r>
    </w:p>
    <w:p w14:paraId="504A2630">
      <w:pPr>
        <w:autoSpaceDE w:val="0"/>
        <w:autoSpaceDN w:val="0"/>
        <w:adjustRightInd w:val="0"/>
        <w:snapToGrid w:val="0"/>
        <w:spacing w:before="120" w:beforeLines="50" w:line="300" w:lineRule="auto"/>
        <w:ind w:firstLine="539"/>
        <w:rPr>
          <w:rFonts w:ascii="宋体" w:cs="楷体_GB2312"/>
          <w:color w:val="auto"/>
          <w:sz w:val="24"/>
          <w:lang w:val="zh-CN"/>
        </w:rPr>
      </w:pPr>
    </w:p>
    <w:p w14:paraId="3B54716F">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lang w:val="zh-CN"/>
        </w:rPr>
      </w:pPr>
      <w:bookmarkStart w:id="21" w:name="_Toc529972263"/>
      <w:bookmarkStart w:id="22" w:name="_Toc58858972"/>
      <w:r>
        <w:rPr>
          <w:rFonts w:ascii="黑体" w:hAnsi="黑体" w:eastAsia="黑体" w:cs="楷体_GB2312"/>
          <w:b/>
          <w:bCs/>
          <w:color w:val="auto"/>
          <w:sz w:val="28"/>
          <w:szCs w:val="28"/>
          <w:lang w:val="zh-CN"/>
        </w:rPr>
        <w:t xml:space="preserve">7. </w:t>
      </w:r>
      <w:r>
        <w:rPr>
          <w:rFonts w:hint="eastAsia" w:ascii="黑体" w:hAnsi="黑体" w:eastAsia="黑体" w:cs="楷体_GB2312"/>
          <w:b/>
          <w:bCs/>
          <w:color w:val="auto"/>
          <w:sz w:val="28"/>
          <w:szCs w:val="28"/>
          <w:lang w:val="zh-CN"/>
        </w:rPr>
        <w:t>授予合同</w:t>
      </w:r>
      <w:bookmarkEnd w:id="21"/>
      <w:bookmarkEnd w:id="22"/>
    </w:p>
    <w:p w14:paraId="0EC5609E">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7.1 </w:t>
      </w:r>
      <w:r>
        <w:rPr>
          <w:rFonts w:hint="eastAsia" w:ascii="黑体" w:hAnsi="黑体" w:eastAsia="黑体" w:cs="楷体_GB2312"/>
          <w:b/>
          <w:color w:val="auto"/>
          <w:sz w:val="24"/>
          <w:lang w:val="zh-CN"/>
        </w:rPr>
        <w:t>确定成交供应商方式</w:t>
      </w:r>
    </w:p>
    <w:p w14:paraId="430B396F">
      <w:pPr>
        <w:autoSpaceDE w:val="0"/>
        <w:autoSpaceDN w:val="0"/>
        <w:adjustRightInd w:val="0"/>
        <w:snapToGrid w:val="0"/>
        <w:spacing w:before="120" w:beforeLines="50" w:line="300" w:lineRule="auto"/>
        <w:ind w:firstLine="539"/>
        <w:rPr>
          <w:rFonts w:ascii="宋体" w:cs="楷体_GB2312"/>
          <w:color w:val="auto"/>
          <w:sz w:val="24"/>
          <w:lang w:val="zh-CN"/>
        </w:rPr>
      </w:pPr>
      <w:r>
        <w:rPr>
          <w:rFonts w:hint="eastAsia" w:ascii="宋体" w:hAnsi="宋体" w:cs="楷体_GB2312"/>
          <w:color w:val="auto"/>
          <w:sz w:val="24"/>
          <w:lang w:val="zh-CN"/>
        </w:rPr>
        <w:t>除投标人须知前附表规定授权谈判小组直接确定成交供应商外，采购人应当自收到评审报告之日起</w:t>
      </w:r>
      <w:r>
        <w:rPr>
          <w:rFonts w:ascii="宋体" w:hAnsi="宋体" w:cs="楷体_GB2312"/>
          <w:color w:val="auto"/>
          <w:sz w:val="24"/>
          <w:lang w:val="zh-CN"/>
        </w:rPr>
        <w:t>5</w:t>
      </w:r>
      <w:r>
        <w:rPr>
          <w:rFonts w:hint="eastAsia" w:ascii="宋体" w:hAnsi="宋体" w:cs="楷体_GB2312"/>
          <w:color w:val="auto"/>
          <w:sz w:val="24"/>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谈判小组提出的成交候选人名单排序依次确定其他成交候选人为成交供应商，也可以重新采购。</w:t>
      </w:r>
    </w:p>
    <w:p w14:paraId="773258C4">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7.2 </w:t>
      </w:r>
      <w:r>
        <w:rPr>
          <w:rFonts w:hint="eastAsia" w:ascii="黑体" w:hAnsi="黑体" w:eastAsia="黑体" w:cs="楷体_GB2312"/>
          <w:b/>
          <w:color w:val="auto"/>
          <w:sz w:val="24"/>
          <w:lang w:val="zh-CN"/>
        </w:rPr>
        <w:t>成交结果公告</w:t>
      </w:r>
    </w:p>
    <w:p w14:paraId="1F42AAE8">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采购代理机构在成交供应商确定后1个工作日内，在谈判邀请函所述媒体公告成交结果。同时向成交供应商发出成交通知书。成交结果公告期限为</w:t>
      </w:r>
      <w:r>
        <w:rPr>
          <w:rFonts w:ascii="宋体" w:hAnsi="宋体" w:cs="楷体_GB2312"/>
          <w:color w:val="auto"/>
          <w:sz w:val="24"/>
          <w:lang w:val="zh-CN"/>
        </w:rPr>
        <w:t>1</w:t>
      </w:r>
      <w:r>
        <w:rPr>
          <w:rFonts w:hint="eastAsia" w:ascii="宋体" w:hAnsi="宋体" w:cs="楷体_GB2312"/>
          <w:color w:val="auto"/>
          <w:sz w:val="24"/>
          <w:lang w:val="zh-CN"/>
        </w:rPr>
        <w:t>个工作日。</w:t>
      </w:r>
    </w:p>
    <w:p w14:paraId="5CF48AC6">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7.3 </w:t>
      </w:r>
      <w:r>
        <w:rPr>
          <w:rFonts w:hint="eastAsia" w:ascii="黑体" w:hAnsi="黑体" w:eastAsia="黑体" w:cs="楷体_GB2312"/>
          <w:b/>
          <w:color w:val="auto"/>
          <w:sz w:val="24"/>
          <w:lang w:val="zh-CN"/>
        </w:rPr>
        <w:t>质疑、投诉：</w:t>
      </w:r>
    </w:p>
    <w:p w14:paraId="6F0A1FD7">
      <w:pPr>
        <w:autoSpaceDE w:val="0"/>
        <w:autoSpaceDN w:val="0"/>
        <w:adjustRightInd w:val="0"/>
        <w:snapToGrid w:val="0"/>
        <w:spacing w:before="120" w:beforeLines="50" w:line="300" w:lineRule="auto"/>
        <w:ind w:firstLine="537" w:firstLineChars="224"/>
        <w:rPr>
          <w:rFonts w:ascii="宋体" w:cs="楷体_GB2312"/>
          <w:color w:val="auto"/>
          <w:sz w:val="24"/>
          <w:lang w:val="zh-CN"/>
        </w:rPr>
      </w:pPr>
      <w:r>
        <w:rPr>
          <w:rFonts w:ascii="宋体" w:hAnsi="宋体"/>
          <w:color w:val="auto"/>
          <w:sz w:val="24"/>
        </w:rPr>
        <w:t>7.3.1</w:t>
      </w:r>
      <w:r>
        <w:rPr>
          <w:rFonts w:hint="eastAsia" w:ascii="宋体" w:hAnsi="宋体"/>
          <w:color w:val="auto"/>
          <w:sz w:val="24"/>
        </w:rPr>
        <w:t xml:space="preserve"> </w:t>
      </w:r>
      <w:r>
        <w:rPr>
          <w:rFonts w:hint="eastAsia" w:ascii="宋体" w:hAnsi="宋体" w:cs="楷体_GB2312"/>
          <w:color w:val="auto"/>
          <w:sz w:val="24"/>
          <w:lang w:val="zh-CN"/>
        </w:rPr>
        <w:t>见投标人须知前附表。</w:t>
      </w:r>
    </w:p>
    <w:p w14:paraId="15F0B5F5">
      <w:pPr>
        <w:autoSpaceDE w:val="0"/>
        <w:autoSpaceDN w:val="0"/>
        <w:adjustRightInd w:val="0"/>
        <w:snapToGrid w:val="0"/>
        <w:spacing w:before="120" w:beforeLines="50" w:line="300" w:lineRule="auto"/>
        <w:ind w:firstLine="537" w:firstLineChars="224"/>
        <w:rPr>
          <w:rFonts w:ascii="宋体" w:hAnsi="宋体"/>
          <w:color w:val="auto"/>
          <w:sz w:val="24"/>
        </w:rPr>
      </w:pPr>
      <w:r>
        <w:rPr>
          <w:rFonts w:ascii="宋体" w:hAnsi="宋体"/>
          <w:color w:val="auto"/>
          <w:sz w:val="24"/>
        </w:rPr>
        <w:t>7.3.2</w:t>
      </w:r>
      <w:r>
        <w:rPr>
          <w:rFonts w:hint="eastAsia" w:ascii="宋体" w:hAnsi="宋体"/>
          <w:color w:val="auto"/>
          <w:sz w:val="24"/>
        </w:rPr>
        <w:t xml:space="preserve"> 询问或者质疑事项可能影响成交结果的，采购人应当暂停签订合同，已经签订合同的，应当中止履行合同。</w:t>
      </w:r>
    </w:p>
    <w:p w14:paraId="5FC841E5">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7.4 </w:t>
      </w:r>
      <w:r>
        <w:rPr>
          <w:rFonts w:hint="eastAsia" w:ascii="黑体" w:hAnsi="黑体" w:eastAsia="黑体" w:cs="楷体_GB2312"/>
          <w:b/>
          <w:color w:val="auto"/>
          <w:sz w:val="24"/>
          <w:lang w:val="zh-CN"/>
        </w:rPr>
        <w:t>成交通知：</w:t>
      </w:r>
      <w:r>
        <w:rPr>
          <w:rFonts w:hint="eastAsia" w:ascii="宋体" w:hAnsi="宋体" w:cs="楷体_GB2312"/>
          <w:color w:val="auto"/>
          <w:sz w:val="24"/>
          <w:lang w:val="zh-CN"/>
        </w:rPr>
        <w:t>见投标人须知前附表</w:t>
      </w:r>
    </w:p>
    <w:p w14:paraId="02F869FD">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7.5 </w:t>
      </w:r>
      <w:r>
        <w:rPr>
          <w:rFonts w:hint="eastAsia" w:ascii="黑体" w:hAnsi="黑体" w:eastAsia="黑体" w:cs="楷体_GB2312"/>
          <w:b/>
          <w:color w:val="auto"/>
          <w:sz w:val="24"/>
          <w:lang w:val="zh-CN"/>
        </w:rPr>
        <w:t>履约保证金</w:t>
      </w:r>
    </w:p>
    <w:p w14:paraId="5E15AFA8">
      <w:pPr>
        <w:autoSpaceDE w:val="0"/>
        <w:autoSpaceDN w:val="0"/>
        <w:adjustRightInd w:val="0"/>
        <w:snapToGrid w:val="0"/>
        <w:spacing w:before="120" w:beforeLines="50" w:line="300" w:lineRule="auto"/>
        <w:ind w:firstLine="539"/>
        <w:rPr>
          <w:rFonts w:ascii="宋体" w:cs="楷体_GB2312"/>
          <w:color w:val="auto"/>
          <w:sz w:val="24"/>
          <w:lang w:val="zh-CN"/>
        </w:rPr>
      </w:pPr>
      <w:r>
        <w:rPr>
          <w:rFonts w:ascii="宋体" w:hAnsi="宋体" w:cs="楷体_GB2312"/>
          <w:color w:val="auto"/>
          <w:sz w:val="24"/>
          <w:lang w:val="zh-CN"/>
        </w:rPr>
        <w:t xml:space="preserve">7.5.1 </w:t>
      </w:r>
      <w:r>
        <w:rPr>
          <w:rFonts w:hint="eastAsia" w:ascii="宋体" w:hAnsi="宋体" w:cs="楷体_GB2312"/>
          <w:color w:val="auto"/>
          <w:sz w:val="24"/>
          <w:lang w:val="zh-CN"/>
        </w:rPr>
        <w:t>在签订合同时，成交供应商应按投标人须知前附表规定向采购人提交履约保证金。</w:t>
      </w:r>
    </w:p>
    <w:p w14:paraId="19DCF8EF">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7.5.2 </w:t>
      </w:r>
      <w:r>
        <w:rPr>
          <w:rFonts w:hint="eastAsia" w:ascii="宋体" w:hAnsi="宋体" w:cs="楷体_GB2312"/>
          <w:color w:val="auto"/>
          <w:sz w:val="24"/>
          <w:lang w:val="zh-CN"/>
        </w:rPr>
        <w:t>成交供应商不能按本章第</w:t>
      </w:r>
      <w:r>
        <w:rPr>
          <w:rFonts w:ascii="宋体" w:hAnsi="宋体" w:cs="楷体_GB2312"/>
          <w:color w:val="auto"/>
          <w:sz w:val="24"/>
          <w:lang w:val="zh-CN"/>
        </w:rPr>
        <w:t>7.5.1</w:t>
      </w:r>
      <w:r>
        <w:rPr>
          <w:rFonts w:hint="eastAsia" w:ascii="宋体" w:hAnsi="宋体" w:cs="楷体_GB2312"/>
          <w:color w:val="auto"/>
          <w:sz w:val="24"/>
          <w:lang w:val="zh-CN"/>
        </w:rPr>
        <w:t>项要求提交履约保证金的，视为放弃成交资格，依据单一来源采购文件“第三章 3.5.5 违背承诺的责任追究措施”，投标人承担相应法律责任及违约责任。给采购人及采购代理机构造成损失的，成交供应商应当予以赔偿。</w:t>
      </w:r>
    </w:p>
    <w:p w14:paraId="0A1BB6E6">
      <w:pPr>
        <w:autoSpaceDE w:val="0"/>
        <w:autoSpaceDN w:val="0"/>
        <w:adjustRightInd w:val="0"/>
        <w:snapToGrid w:val="0"/>
        <w:spacing w:before="120"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7.6 </w:t>
      </w:r>
      <w:r>
        <w:rPr>
          <w:rFonts w:hint="eastAsia" w:ascii="黑体" w:hAnsi="黑体" w:eastAsia="黑体" w:cs="楷体_GB2312"/>
          <w:b/>
          <w:color w:val="auto"/>
          <w:sz w:val="24"/>
          <w:lang w:val="zh-CN"/>
        </w:rPr>
        <w:t>签订合同</w:t>
      </w:r>
    </w:p>
    <w:p w14:paraId="2D2DDCB7">
      <w:pPr>
        <w:autoSpaceDE w:val="0"/>
        <w:autoSpaceDN w:val="0"/>
        <w:adjustRightInd w:val="0"/>
        <w:snapToGrid w:val="0"/>
        <w:spacing w:before="120" w:beforeLines="50" w:line="300" w:lineRule="auto"/>
        <w:ind w:firstLine="539"/>
        <w:rPr>
          <w:rFonts w:ascii="宋体" w:hAnsi="宋体"/>
          <w:color w:val="auto"/>
          <w:sz w:val="24"/>
        </w:rPr>
      </w:pPr>
      <w:r>
        <w:rPr>
          <w:rFonts w:ascii="宋体" w:hAnsi="宋体"/>
          <w:color w:val="auto"/>
          <w:sz w:val="24"/>
        </w:rPr>
        <w:t xml:space="preserve">7.6.1 </w:t>
      </w:r>
      <w:r>
        <w:rPr>
          <w:rFonts w:hint="eastAsia" w:ascii="宋体" w:hAnsi="宋体"/>
          <w:color w:val="auto"/>
          <w:sz w:val="24"/>
        </w:rPr>
        <w:t>据优化营商环境精神，成交供应商应在《成交通知书》发出后1个工作日内，按照单一来源采购文件确定的合同文本以及成交标的、技术和服务等事项与采购人签订</w:t>
      </w:r>
      <w:r>
        <w:rPr>
          <w:rFonts w:hint="eastAsia" w:ascii="宋体" w:hAnsi="宋体" w:cs="楷体_GB2312"/>
          <w:color w:val="auto"/>
          <w:sz w:val="24"/>
          <w:lang w:val="zh-CN"/>
        </w:rPr>
        <w:t>书面</w:t>
      </w:r>
      <w:r>
        <w:rPr>
          <w:rFonts w:hint="eastAsia" w:ascii="宋体" w:hAnsi="宋体"/>
          <w:color w:val="auto"/>
          <w:sz w:val="24"/>
        </w:rPr>
        <w:t>政府采购合同。</w:t>
      </w:r>
    </w:p>
    <w:p w14:paraId="697F3546">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ascii="宋体" w:hAnsi="宋体"/>
          <w:color w:val="auto"/>
          <w:sz w:val="24"/>
        </w:rPr>
        <w:t xml:space="preserve">7.6.2 </w:t>
      </w:r>
      <w:r>
        <w:rPr>
          <w:rFonts w:hint="eastAsia" w:ascii="宋体" w:hAnsi="宋体"/>
          <w:color w:val="auto"/>
          <w:sz w:val="24"/>
        </w:rPr>
        <w:t>如成交供应商不按时签订合同、</w:t>
      </w:r>
      <w:r>
        <w:rPr>
          <w:rFonts w:hint="eastAsia" w:ascii="宋体" w:hAnsi="宋体" w:cs="楷体_GB2312"/>
          <w:color w:val="auto"/>
          <w:sz w:val="24"/>
          <w:lang w:val="zh-CN"/>
        </w:rPr>
        <w:t>拒签合同的，取消其成交资格，依据单一来源采购文件“第三章 3.5.5 违背承诺的责任追究措施”，投标人承担相应法律责任及违约责任。给采购人造成损失的，成交供应商应当予以赔偿。</w:t>
      </w:r>
    </w:p>
    <w:p w14:paraId="4A979D5C">
      <w:pPr>
        <w:widowControl w:val="0"/>
        <w:adjustRightInd w:val="0"/>
        <w:snapToGrid w:val="0"/>
        <w:spacing w:before="120" w:beforeLines="50" w:line="300" w:lineRule="auto"/>
        <w:ind w:firstLine="566"/>
        <w:rPr>
          <w:rFonts w:ascii="宋体" w:hAnsi="宋体"/>
          <w:color w:val="auto"/>
          <w:sz w:val="24"/>
          <w:szCs w:val="24"/>
        </w:rPr>
      </w:pPr>
      <w:r>
        <w:rPr>
          <w:rFonts w:ascii="宋体" w:hAnsi="宋体"/>
          <w:color w:val="auto"/>
          <w:sz w:val="24"/>
          <w:szCs w:val="24"/>
        </w:rPr>
        <w:t xml:space="preserve">7.6.3 </w:t>
      </w:r>
      <w:r>
        <w:rPr>
          <w:rFonts w:hint="eastAsia" w:ascii="宋体" w:hAnsi="宋体"/>
          <w:color w:val="auto"/>
          <w:sz w:val="24"/>
          <w:szCs w:val="24"/>
        </w:rPr>
        <w:t>合同生效：成交供应商与采购人签订的合同，双方签字后盖章生效</w:t>
      </w:r>
      <w:r>
        <w:rPr>
          <w:rFonts w:hint="eastAsia"/>
          <w:color w:val="auto"/>
          <w:sz w:val="24"/>
          <w:szCs w:val="24"/>
        </w:rPr>
        <w:t>。</w:t>
      </w:r>
      <w:r>
        <w:rPr>
          <w:rFonts w:hint="eastAsia" w:ascii="宋体" w:hAnsi="宋体"/>
          <w:color w:val="auto"/>
          <w:sz w:val="24"/>
          <w:szCs w:val="24"/>
        </w:rPr>
        <w:t>采购人要在合同签订后1个工作日内登陆安阳市政府采购网进行备案并公告。</w:t>
      </w:r>
    </w:p>
    <w:p w14:paraId="61BBED4A">
      <w:pPr>
        <w:widowControl w:val="0"/>
        <w:adjustRightInd w:val="0"/>
        <w:snapToGrid w:val="0"/>
        <w:spacing w:before="120" w:beforeLines="50" w:line="300" w:lineRule="auto"/>
        <w:ind w:firstLine="566"/>
        <w:rPr>
          <w:rFonts w:ascii="宋体"/>
          <w:color w:val="auto"/>
          <w:sz w:val="24"/>
          <w:szCs w:val="24"/>
        </w:rPr>
      </w:pPr>
      <w:r>
        <w:rPr>
          <w:rFonts w:ascii="宋体" w:hAnsi="宋体"/>
          <w:color w:val="auto"/>
          <w:sz w:val="24"/>
          <w:szCs w:val="24"/>
        </w:rPr>
        <w:t>7.6.4</w:t>
      </w:r>
      <w:r>
        <w:rPr>
          <w:rFonts w:hint="eastAsia" w:ascii="宋体" w:hAnsi="宋体"/>
          <w:color w:val="auto"/>
          <w:sz w:val="24"/>
          <w:szCs w:val="24"/>
        </w:rPr>
        <w:t xml:space="preserve"> 《成交通知书》、单一来源采购文件</w:t>
      </w:r>
      <w:r>
        <w:rPr>
          <w:rFonts w:hint="eastAsia" w:ascii="宋体" w:hAnsi="宋体"/>
          <w:color w:val="auto"/>
          <w:spacing w:val="20"/>
          <w:sz w:val="24"/>
          <w:szCs w:val="24"/>
        </w:rPr>
        <w:t>及其修改补充澄清</w:t>
      </w:r>
      <w:r>
        <w:rPr>
          <w:rFonts w:hint="eastAsia" w:ascii="宋体" w:hAnsi="宋体"/>
          <w:color w:val="auto"/>
          <w:sz w:val="24"/>
          <w:szCs w:val="24"/>
        </w:rPr>
        <w:t>、成交供应商的投标文件及</w:t>
      </w:r>
      <w:r>
        <w:rPr>
          <w:rFonts w:hint="eastAsia" w:ascii="宋体" w:hAnsi="宋体"/>
          <w:color w:val="auto"/>
          <w:spacing w:val="20"/>
          <w:sz w:val="24"/>
          <w:szCs w:val="24"/>
        </w:rPr>
        <w:t>其修改补充澄清</w:t>
      </w:r>
      <w:r>
        <w:rPr>
          <w:rFonts w:hint="eastAsia" w:ascii="宋体" w:hAnsi="宋体"/>
          <w:color w:val="auto"/>
          <w:sz w:val="24"/>
          <w:szCs w:val="24"/>
        </w:rPr>
        <w:t>等，均为签订合同的依据。所定合同不得对单一来源采购文件和成交供应商的投标文件作实质性修改，采购人和成交供应商不得私下订立背离合同实质性内容的协议。</w:t>
      </w:r>
    </w:p>
    <w:p w14:paraId="59F01A3F">
      <w:pPr>
        <w:widowControl w:val="0"/>
        <w:adjustRightInd w:val="0"/>
        <w:snapToGrid w:val="0"/>
        <w:spacing w:before="120" w:beforeLines="50" w:line="300" w:lineRule="auto"/>
        <w:ind w:firstLine="549"/>
        <w:rPr>
          <w:rFonts w:ascii="宋体"/>
          <w:color w:val="auto"/>
          <w:sz w:val="24"/>
          <w:szCs w:val="24"/>
        </w:rPr>
      </w:pPr>
      <w:r>
        <w:rPr>
          <w:rFonts w:ascii="宋体" w:hAnsi="宋体"/>
          <w:color w:val="auto"/>
          <w:sz w:val="24"/>
          <w:szCs w:val="24"/>
        </w:rPr>
        <w:t xml:space="preserve">7.6.5 </w:t>
      </w:r>
      <w:r>
        <w:rPr>
          <w:rFonts w:hint="eastAsia" w:ascii="宋体" w:hAnsi="宋体"/>
          <w:color w:val="auto"/>
          <w:sz w:val="24"/>
          <w:szCs w:val="24"/>
        </w:rPr>
        <w:t>评审会后，成交供应商、采购人之间擅自私下谈判、变更中标（成交）标的、价格及招投文件实质性内容的，有关部门将按《中华人民共和国政府采购法》及相关法规的规定处理。</w:t>
      </w:r>
    </w:p>
    <w:p w14:paraId="2BB9E3B8">
      <w:pPr>
        <w:widowControl w:val="0"/>
        <w:adjustRightInd w:val="0"/>
        <w:snapToGrid w:val="0"/>
        <w:spacing w:before="120" w:beforeLines="50" w:line="300" w:lineRule="auto"/>
        <w:ind w:firstLine="549"/>
        <w:rPr>
          <w:color w:val="auto"/>
          <w:sz w:val="24"/>
          <w:szCs w:val="24"/>
        </w:rPr>
      </w:pPr>
      <w:r>
        <w:rPr>
          <w:rFonts w:ascii="宋体" w:hAnsi="宋体"/>
          <w:color w:val="auto"/>
          <w:sz w:val="24"/>
          <w:szCs w:val="24"/>
        </w:rPr>
        <w:t xml:space="preserve">7.6.6 </w:t>
      </w:r>
      <w:r>
        <w:rPr>
          <w:rFonts w:hint="eastAsia" w:ascii="宋体" w:hAnsi="宋体"/>
          <w:color w:val="auto"/>
          <w:sz w:val="24"/>
          <w:szCs w:val="24"/>
        </w:rPr>
        <w:t>采购人与成交供应商签订《政府采购合同》后，合同履行中产生的纠纷、争议，由采购人与成交供应</w:t>
      </w:r>
      <w:r>
        <w:rPr>
          <w:rFonts w:hint="eastAsia"/>
          <w:color w:val="auto"/>
          <w:sz w:val="24"/>
          <w:szCs w:val="24"/>
        </w:rPr>
        <w:t>商按合同条款及《中华人民共和国民法典》处理。</w:t>
      </w:r>
    </w:p>
    <w:p w14:paraId="501F3DB2">
      <w:pPr>
        <w:widowControl w:val="0"/>
        <w:adjustRightInd w:val="0"/>
        <w:snapToGrid w:val="0"/>
        <w:spacing w:before="120" w:beforeLines="50" w:line="300" w:lineRule="auto"/>
        <w:ind w:firstLine="555"/>
        <w:rPr>
          <w:rFonts w:ascii="黑体" w:hAnsi="黑体" w:eastAsia="黑体" w:cs="楷体_GB2312"/>
          <w:b/>
          <w:color w:val="auto"/>
          <w:sz w:val="24"/>
          <w:lang w:val="zh-CN"/>
        </w:rPr>
      </w:pPr>
      <w:r>
        <w:rPr>
          <w:rFonts w:ascii="黑体" w:hAnsi="黑体" w:eastAsia="黑体" w:cs="楷体_GB2312"/>
          <w:b/>
          <w:color w:val="auto"/>
          <w:sz w:val="24"/>
          <w:lang w:val="zh-CN"/>
        </w:rPr>
        <w:t xml:space="preserve">7.7 </w:t>
      </w:r>
      <w:r>
        <w:rPr>
          <w:rFonts w:hint="eastAsia" w:ascii="黑体" w:hAnsi="黑体" w:eastAsia="黑体" w:cs="楷体_GB2312"/>
          <w:b/>
          <w:color w:val="auto"/>
          <w:sz w:val="24"/>
          <w:lang w:val="zh-CN"/>
        </w:rPr>
        <w:t>合同补充变更</w:t>
      </w:r>
    </w:p>
    <w:p w14:paraId="10BE0FBA">
      <w:pPr>
        <w:widowControl w:val="0"/>
        <w:adjustRightInd w:val="0"/>
        <w:snapToGrid w:val="0"/>
        <w:spacing w:before="120" w:beforeLines="50" w:line="300" w:lineRule="auto"/>
        <w:ind w:firstLine="555"/>
        <w:rPr>
          <w:rFonts w:ascii="宋体"/>
          <w:color w:val="auto"/>
          <w:sz w:val="24"/>
          <w:szCs w:val="24"/>
        </w:rPr>
      </w:pPr>
      <w:r>
        <w:rPr>
          <w:rFonts w:ascii="宋体" w:hAnsi="宋体"/>
          <w:color w:val="auto"/>
          <w:sz w:val="24"/>
          <w:szCs w:val="24"/>
        </w:rPr>
        <w:t xml:space="preserve">7.7.1 </w:t>
      </w:r>
      <w:r>
        <w:rPr>
          <w:rFonts w:hint="eastAsia" w:ascii="宋体" w:hAnsi="宋体"/>
          <w:color w:val="auto"/>
          <w:sz w:val="24"/>
          <w:szCs w:val="24"/>
        </w:rPr>
        <w:t>政府采购合同履行中，采购人需追加或减少与合同标的相同的货物、工程和服务的（即追加或减少原合同标的数量），在不改变合同条款（包括原合同单价）的前提下，双方可以协商签订补充合同，但所有补充合同总金额不得超过原合同采购金额的</w:t>
      </w:r>
      <w:r>
        <w:rPr>
          <w:rFonts w:ascii="宋体" w:hAnsi="宋体"/>
          <w:color w:val="auto"/>
          <w:sz w:val="24"/>
          <w:szCs w:val="24"/>
        </w:rPr>
        <w:t>10%</w:t>
      </w:r>
      <w:r>
        <w:rPr>
          <w:rFonts w:hint="eastAsia" w:ascii="宋体" w:hAnsi="宋体"/>
          <w:color w:val="auto"/>
          <w:sz w:val="24"/>
          <w:szCs w:val="24"/>
        </w:rPr>
        <w:t>，不得调增原合同单价，不得超出项目预算，超过原合同采购金额的</w:t>
      </w:r>
      <w:r>
        <w:rPr>
          <w:rFonts w:ascii="宋体" w:hAnsi="宋体"/>
          <w:color w:val="auto"/>
          <w:sz w:val="24"/>
          <w:szCs w:val="24"/>
        </w:rPr>
        <w:t>10%</w:t>
      </w:r>
      <w:r>
        <w:rPr>
          <w:rFonts w:hint="eastAsia" w:ascii="宋体" w:hAnsi="宋体"/>
          <w:color w:val="auto"/>
          <w:sz w:val="24"/>
          <w:szCs w:val="24"/>
        </w:rPr>
        <w:t>，应重新组织采购活动。</w:t>
      </w:r>
    </w:p>
    <w:p w14:paraId="463355AB">
      <w:pPr>
        <w:widowControl w:val="0"/>
        <w:adjustRightInd w:val="0"/>
        <w:snapToGrid w:val="0"/>
        <w:spacing w:before="120" w:beforeLines="50" w:line="300" w:lineRule="auto"/>
        <w:ind w:firstLine="555"/>
        <w:rPr>
          <w:color w:val="auto"/>
          <w:sz w:val="24"/>
          <w:szCs w:val="24"/>
        </w:rPr>
      </w:pPr>
    </w:p>
    <w:p w14:paraId="33F2E715">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lang w:val="zh-CN"/>
        </w:rPr>
      </w:pPr>
      <w:bookmarkStart w:id="23" w:name="_Toc529972264"/>
      <w:bookmarkStart w:id="24" w:name="_Toc58858973"/>
      <w:r>
        <w:rPr>
          <w:rFonts w:ascii="黑体" w:hAnsi="黑体" w:eastAsia="黑体" w:cs="楷体_GB2312"/>
          <w:b/>
          <w:bCs/>
          <w:color w:val="auto"/>
          <w:sz w:val="28"/>
          <w:szCs w:val="28"/>
          <w:lang w:val="zh-CN"/>
        </w:rPr>
        <w:t xml:space="preserve">8. </w:t>
      </w:r>
      <w:r>
        <w:rPr>
          <w:rFonts w:hint="eastAsia" w:ascii="黑体" w:hAnsi="黑体" w:eastAsia="黑体" w:cs="楷体_GB2312"/>
          <w:b/>
          <w:bCs/>
          <w:color w:val="auto"/>
          <w:sz w:val="28"/>
          <w:szCs w:val="28"/>
          <w:lang w:val="zh-CN"/>
        </w:rPr>
        <w:t>验收</w:t>
      </w:r>
      <w:bookmarkEnd w:id="23"/>
      <w:bookmarkEnd w:id="24"/>
    </w:p>
    <w:p w14:paraId="7699A26E">
      <w:pPr>
        <w:widowControl w:val="0"/>
        <w:adjustRightInd w:val="0"/>
        <w:snapToGrid w:val="0"/>
        <w:spacing w:before="120" w:beforeLines="50" w:line="300" w:lineRule="auto"/>
        <w:ind w:firstLine="561"/>
        <w:rPr>
          <w:rFonts w:ascii="宋体" w:cs="楷体_GB2312"/>
          <w:color w:val="auto"/>
          <w:sz w:val="24"/>
          <w:lang w:val="zh-CN"/>
        </w:rPr>
      </w:pPr>
      <w:r>
        <w:rPr>
          <w:rFonts w:ascii="宋体" w:hAnsi="宋体" w:cs="楷体_GB2312"/>
          <w:color w:val="auto"/>
          <w:sz w:val="24"/>
          <w:lang w:val="zh-CN"/>
        </w:rPr>
        <w:t xml:space="preserve">8.1 </w:t>
      </w:r>
      <w:r>
        <w:rPr>
          <w:rFonts w:hint="eastAsia" w:ascii="宋体" w:hAnsi="宋体" w:cs="楷体_GB2312"/>
          <w:color w:val="auto"/>
          <w:sz w:val="24"/>
          <w:lang w:val="zh-CN"/>
        </w:rPr>
        <w:t>验收时间：项目</w:t>
      </w:r>
      <w:r>
        <w:rPr>
          <w:rFonts w:hint="eastAsia" w:ascii="宋体" w:hAnsi="宋体" w:cs="楷体_GB2312"/>
          <w:color w:val="auto"/>
          <w:sz w:val="24"/>
        </w:rPr>
        <w:t>具备验收条件时</w:t>
      </w:r>
      <w:r>
        <w:rPr>
          <w:rFonts w:hint="eastAsia" w:ascii="宋体" w:hAnsi="宋体" w:cs="楷体_GB2312"/>
          <w:color w:val="auto"/>
          <w:sz w:val="24"/>
          <w:lang w:val="zh-CN"/>
        </w:rPr>
        <w:t>，由采购人成立验收工作组负责验收。</w:t>
      </w:r>
      <w:r>
        <w:rPr>
          <w:rFonts w:hint="eastAsia" w:ascii="宋体" w:hAnsi="宋体" w:cs="楷体_GB2312"/>
          <w:color w:val="auto"/>
          <w:sz w:val="24"/>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190BCBF7">
      <w:pPr>
        <w:widowControl w:val="0"/>
        <w:adjustRightInd w:val="0"/>
        <w:snapToGrid w:val="0"/>
        <w:spacing w:before="120" w:beforeLines="50" w:line="300" w:lineRule="auto"/>
        <w:ind w:firstLine="561"/>
        <w:rPr>
          <w:rFonts w:ascii="宋体" w:hAnsi="宋体" w:cs="楷体_GB2312"/>
          <w:color w:val="auto"/>
          <w:sz w:val="24"/>
          <w:lang w:val="zh-CN"/>
        </w:rPr>
      </w:pPr>
      <w:r>
        <w:rPr>
          <w:rFonts w:ascii="宋体" w:hAnsi="宋体" w:cs="楷体_GB2312"/>
          <w:color w:val="auto"/>
          <w:sz w:val="24"/>
          <w:lang w:val="zh-CN"/>
        </w:rPr>
        <w:t xml:space="preserve">8.2 </w:t>
      </w:r>
      <w:r>
        <w:rPr>
          <w:rFonts w:hint="eastAsia" w:ascii="宋体" w:hAnsi="宋体" w:cs="楷体_GB2312"/>
          <w:color w:val="auto"/>
          <w:sz w:val="24"/>
          <w:lang w:val="zh-CN"/>
        </w:rPr>
        <w:t>验收工作组：合同履约验收工作应成立验收工作组专门负责。</w:t>
      </w:r>
    </w:p>
    <w:p w14:paraId="10980A21">
      <w:pPr>
        <w:widowControl w:val="0"/>
        <w:adjustRightInd w:val="0"/>
        <w:snapToGrid w:val="0"/>
        <w:spacing w:before="120" w:beforeLines="50" w:line="300" w:lineRule="auto"/>
        <w:ind w:firstLine="561"/>
        <w:rPr>
          <w:rFonts w:ascii="宋体" w:hAnsi="宋体" w:cs="楷体_GB2312"/>
          <w:color w:val="auto"/>
          <w:sz w:val="24"/>
        </w:rPr>
      </w:pPr>
      <w:r>
        <w:rPr>
          <w:rFonts w:hint="eastAsia" w:ascii="宋体" w:hAnsi="宋体" w:cs="楷体_GB2312"/>
          <w:color w:val="auto"/>
          <w:sz w:val="24"/>
          <w:lang w:val="zh-CN"/>
        </w:rPr>
        <w:t>直接参与该项目政府采购活动的主要负责人不得作为验收工作的主要负责人。</w:t>
      </w:r>
      <w:r>
        <w:rPr>
          <w:rFonts w:hint="eastAsia" w:ascii="宋体" w:hAnsi="宋体" w:cs="楷体_GB2312"/>
          <w:color w:val="auto"/>
          <w:sz w:val="24"/>
        </w:rPr>
        <w:t>对于采购人和使用人分离的采购项目，应当邀请实际使用人参与验收；政府向社会公众提供的公共服务项目，验收时应当邀请服务对象参与并出具意见，验收结果应当向社会公告。</w:t>
      </w:r>
    </w:p>
    <w:p w14:paraId="2E8028C5">
      <w:pPr>
        <w:widowControl w:val="0"/>
        <w:adjustRightInd w:val="0"/>
        <w:snapToGrid w:val="0"/>
        <w:spacing w:before="120" w:beforeLines="50" w:line="300" w:lineRule="auto"/>
        <w:ind w:firstLine="561"/>
        <w:rPr>
          <w:rFonts w:ascii="宋体" w:hAnsi="宋体" w:cs="楷体_GB2312"/>
          <w:color w:val="auto"/>
          <w:sz w:val="24"/>
        </w:rPr>
      </w:pPr>
      <w:r>
        <w:rPr>
          <w:rFonts w:hint="eastAsia" w:ascii="宋体" w:hAnsi="宋体" w:cs="楷体_GB2312"/>
          <w:color w:val="auto"/>
          <w:sz w:val="24"/>
        </w:rPr>
        <w:t xml:space="preserve">8.2.1 </w:t>
      </w:r>
      <w:r>
        <w:rPr>
          <w:rFonts w:hint="eastAsia" w:ascii="宋体" w:hAnsi="宋体" w:cs="楷体_GB2312"/>
          <w:color w:val="auto"/>
          <w:sz w:val="24"/>
          <w:lang w:val="zh-CN"/>
        </w:rPr>
        <w:t>政府采购合同金额</w:t>
      </w:r>
      <w:r>
        <w:rPr>
          <w:rFonts w:hint="eastAsia" w:ascii="宋体" w:hAnsi="宋体" w:cs="楷体_GB2312"/>
          <w:color w:val="auto"/>
          <w:sz w:val="24"/>
        </w:rPr>
        <w:t>在</w:t>
      </w:r>
      <w:r>
        <w:rPr>
          <w:rFonts w:hint="eastAsia" w:ascii="宋体" w:hAnsi="宋体" w:cs="楷体_GB2312"/>
          <w:color w:val="auto"/>
          <w:sz w:val="24"/>
          <w:lang w:val="zh-CN"/>
        </w:rPr>
        <w:t>10万元以下（</w:t>
      </w:r>
      <w:r>
        <w:rPr>
          <w:rFonts w:hint="eastAsia" w:ascii="宋体" w:hAnsi="宋体" w:cs="楷体_GB2312"/>
          <w:color w:val="auto"/>
          <w:sz w:val="24"/>
        </w:rPr>
        <w:t>含10万元</w:t>
      </w:r>
      <w:r>
        <w:rPr>
          <w:rFonts w:hint="eastAsia" w:ascii="宋体" w:hAnsi="宋体" w:cs="楷体_GB2312"/>
          <w:color w:val="auto"/>
          <w:sz w:val="24"/>
          <w:lang w:val="zh-CN"/>
        </w:rPr>
        <w:t>）的项目，原则上可以不邀请评审专家参加，组织方成立验收小组自行验收。</w:t>
      </w:r>
      <w:r>
        <w:rPr>
          <w:rFonts w:hint="eastAsia" w:ascii="宋体" w:hAnsi="宋体" w:cs="楷体_GB2312"/>
          <w:color w:val="auto"/>
          <w:sz w:val="24"/>
        </w:rPr>
        <w:t>自行验收时，验收小组应仔细对照采购文件及合同，对标的物的数量、质量、规格、型号等参数逐一核对，并编制验收报告。组织方认为不能独立完成验收任务的，可以邀请评审专家参与验收。</w:t>
      </w:r>
    </w:p>
    <w:p w14:paraId="35306304">
      <w:pPr>
        <w:widowControl w:val="0"/>
        <w:adjustRightInd w:val="0"/>
        <w:snapToGrid w:val="0"/>
        <w:spacing w:before="120" w:beforeLines="50" w:line="300" w:lineRule="auto"/>
        <w:ind w:firstLine="561"/>
        <w:rPr>
          <w:rFonts w:ascii="宋体" w:hAnsi="宋体" w:cs="楷体_GB2312"/>
          <w:color w:val="auto"/>
          <w:sz w:val="24"/>
          <w:lang w:val="zh-CN"/>
        </w:rPr>
      </w:pPr>
      <w:r>
        <w:rPr>
          <w:rFonts w:hint="eastAsia" w:ascii="宋体" w:hAnsi="宋体" w:cs="楷体_GB2312"/>
          <w:color w:val="auto"/>
          <w:sz w:val="24"/>
        </w:rPr>
        <w:t xml:space="preserve">8.2.2 </w:t>
      </w:r>
      <w:r>
        <w:rPr>
          <w:rFonts w:hint="eastAsia" w:ascii="宋体" w:hAnsi="宋体" w:cs="楷体_GB2312"/>
          <w:color w:val="auto"/>
          <w:sz w:val="24"/>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rPr>
        <w:t>采购人</w:t>
      </w:r>
      <w:r>
        <w:rPr>
          <w:rFonts w:hint="eastAsia" w:ascii="宋体" w:hAnsi="宋体" w:cs="楷体_GB2312"/>
          <w:color w:val="auto"/>
          <w:sz w:val="24"/>
          <w:lang w:val="zh-CN"/>
        </w:rPr>
        <w:t>领导牵头，财务、审计、监察、资产管理、技术等部门人员参与，成员不少于五人。验收工作</w:t>
      </w:r>
      <w:r>
        <w:rPr>
          <w:rFonts w:hint="eastAsia" w:ascii="宋体" w:hAnsi="宋体" w:cs="楷体_GB2312"/>
          <w:color w:val="auto"/>
          <w:sz w:val="24"/>
        </w:rPr>
        <w:t>原则上</w:t>
      </w:r>
      <w:r>
        <w:rPr>
          <w:rFonts w:hint="eastAsia" w:ascii="宋体" w:hAnsi="宋体" w:cs="楷体_GB2312"/>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rPr>
        <w:t>采购人</w:t>
      </w:r>
      <w:r>
        <w:rPr>
          <w:rFonts w:hint="eastAsia" w:ascii="宋体" w:hAnsi="宋体" w:cs="楷体_GB2312"/>
          <w:color w:val="auto"/>
          <w:sz w:val="24"/>
          <w:lang w:val="zh-CN"/>
        </w:rPr>
        <w:t>必须委托国家认可专业检测机构进行验收。</w:t>
      </w:r>
    </w:p>
    <w:p w14:paraId="28A32CFC">
      <w:pPr>
        <w:widowControl w:val="0"/>
        <w:adjustRightInd w:val="0"/>
        <w:snapToGrid w:val="0"/>
        <w:spacing w:before="120" w:beforeLines="50" w:line="300" w:lineRule="auto"/>
        <w:ind w:firstLine="561"/>
        <w:rPr>
          <w:rFonts w:ascii="宋体" w:hAnsi="宋体" w:cs="楷体_GB2312"/>
          <w:color w:val="auto"/>
          <w:sz w:val="24"/>
        </w:rPr>
      </w:pPr>
      <w:r>
        <w:rPr>
          <w:rFonts w:hint="eastAsia" w:ascii="宋体" w:hAnsi="宋体" w:cs="楷体_GB2312"/>
          <w:color w:val="auto"/>
          <w:sz w:val="24"/>
        </w:rPr>
        <w:t>8.3 验收时，验收小组按照采购合同的约定对每一项技术、服务、安全标准的履约情况进行确认。</w:t>
      </w:r>
      <w:r>
        <w:rPr>
          <w:rFonts w:hint="eastAsia" w:ascii="宋体" w:hAnsi="宋体" w:cs="楷体_GB2312"/>
          <w:color w:val="auto"/>
          <w:sz w:val="24"/>
          <w:lang w:val="zh-CN"/>
        </w:rPr>
        <w:t>验收时需要进行破坏性试验的，供应商应进行充分的配合并提供备品备件。</w:t>
      </w:r>
    </w:p>
    <w:p w14:paraId="1C8AC194">
      <w:pPr>
        <w:widowControl w:val="0"/>
        <w:adjustRightInd w:val="0"/>
        <w:snapToGrid w:val="0"/>
        <w:spacing w:before="120" w:beforeLines="50" w:line="300" w:lineRule="auto"/>
        <w:ind w:firstLine="561"/>
        <w:rPr>
          <w:rFonts w:ascii="宋体" w:cs="楷体_GB2312"/>
          <w:color w:val="auto"/>
          <w:sz w:val="24"/>
          <w:lang w:val="zh-CN"/>
        </w:rPr>
      </w:pPr>
      <w:r>
        <w:rPr>
          <w:rFonts w:ascii="宋体" w:hAnsi="宋体" w:cs="楷体_GB2312"/>
          <w:color w:val="auto"/>
          <w:sz w:val="24"/>
          <w:lang w:val="zh-CN"/>
        </w:rPr>
        <w:t>8.</w:t>
      </w:r>
      <w:r>
        <w:rPr>
          <w:rFonts w:hint="eastAsia" w:ascii="宋体" w:hAnsi="宋体" w:cs="楷体_GB2312"/>
          <w:color w:val="auto"/>
          <w:sz w:val="24"/>
          <w:lang w:val="zh-CN"/>
        </w:rPr>
        <w:t>4</w:t>
      </w:r>
      <w:r>
        <w:rPr>
          <w:rFonts w:ascii="宋体" w:hAnsi="宋体" w:cs="楷体_GB2312"/>
          <w:color w:val="auto"/>
          <w:sz w:val="24"/>
          <w:lang w:val="zh-CN"/>
        </w:rPr>
        <w:t xml:space="preserve"> </w:t>
      </w:r>
      <w:r>
        <w:rPr>
          <w:rFonts w:hint="eastAsia" w:ascii="宋体" w:hAnsi="宋体" w:cs="楷体_GB2312"/>
          <w:color w:val="auto"/>
          <w:sz w:val="24"/>
          <w:lang w:val="zh-CN"/>
        </w:rPr>
        <w:t>验收报告：验收后，由采购人及专家等出具检测验收报告，国家规定强制性检测的采购项目应附国家认可的专业检测机构出具的验收报告。</w:t>
      </w:r>
    </w:p>
    <w:p w14:paraId="185F0F90">
      <w:pPr>
        <w:widowControl w:val="0"/>
        <w:adjustRightInd w:val="0"/>
        <w:snapToGrid w:val="0"/>
        <w:spacing w:before="120" w:beforeLines="50" w:line="300" w:lineRule="auto"/>
        <w:ind w:firstLine="561"/>
        <w:rPr>
          <w:rFonts w:ascii="宋体" w:cs="楷体_GB2312"/>
          <w:color w:val="auto"/>
          <w:sz w:val="24"/>
          <w:lang w:val="zh-CN"/>
        </w:rPr>
      </w:pPr>
      <w:r>
        <w:rPr>
          <w:rFonts w:ascii="宋体" w:hAnsi="宋体" w:cs="楷体_GB2312"/>
          <w:color w:val="auto"/>
          <w:sz w:val="24"/>
          <w:lang w:val="zh-CN"/>
        </w:rPr>
        <w:t>8.</w:t>
      </w:r>
      <w:r>
        <w:rPr>
          <w:rFonts w:hint="eastAsia" w:ascii="宋体" w:hAnsi="宋体" w:cs="楷体_GB2312"/>
          <w:color w:val="auto"/>
          <w:sz w:val="24"/>
          <w:lang w:val="zh-CN"/>
        </w:rPr>
        <w:t>5</w:t>
      </w:r>
      <w:r>
        <w:rPr>
          <w:rFonts w:ascii="宋体" w:hAnsi="宋体" w:cs="楷体_GB2312"/>
          <w:color w:val="auto"/>
          <w:sz w:val="24"/>
          <w:lang w:val="zh-CN"/>
        </w:rPr>
        <w:t xml:space="preserve"> </w:t>
      </w:r>
      <w:r>
        <w:rPr>
          <w:rFonts w:hint="eastAsia" w:ascii="宋体" w:hAnsi="宋体" w:cs="楷体_GB2312"/>
          <w:color w:val="auto"/>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w:t>
      </w:r>
      <w:r>
        <w:rPr>
          <w:rFonts w:hint="eastAsia"/>
          <w:color w:val="auto"/>
          <w:sz w:val="24"/>
          <w:szCs w:val="24"/>
        </w:rPr>
        <w:t>（市场监督管理机关）</w:t>
      </w:r>
      <w:r>
        <w:rPr>
          <w:rFonts w:hint="eastAsia" w:ascii="宋体" w:hAnsi="宋体" w:cs="楷体_GB2312"/>
          <w:color w:val="auto"/>
          <w:sz w:val="24"/>
          <w:lang w:val="zh-CN"/>
        </w:rPr>
        <w:t>等行政执法部门举报。</w:t>
      </w:r>
    </w:p>
    <w:p w14:paraId="7BF848FD">
      <w:pPr>
        <w:autoSpaceDE w:val="0"/>
        <w:autoSpaceDN w:val="0"/>
        <w:adjustRightInd w:val="0"/>
        <w:snapToGrid w:val="0"/>
        <w:spacing w:before="120"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8.6 验收公告的时限：采购人要在政府采购项目验收完成后1个工作日内登陆安阳市政府采购网进行验收公告。</w:t>
      </w:r>
    </w:p>
    <w:p w14:paraId="62D7F634">
      <w:pPr>
        <w:widowControl w:val="0"/>
        <w:adjustRightInd w:val="0"/>
        <w:snapToGrid w:val="0"/>
        <w:spacing w:before="120" w:beforeLines="50" w:line="300" w:lineRule="auto"/>
        <w:ind w:firstLine="561"/>
        <w:rPr>
          <w:rFonts w:ascii="宋体" w:cs="楷体_GB2312"/>
          <w:color w:val="auto"/>
          <w:sz w:val="24"/>
          <w:lang w:val="zh-CN"/>
        </w:rPr>
      </w:pPr>
    </w:p>
    <w:p w14:paraId="42D9DDC3">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lang w:val="zh-CN"/>
        </w:rPr>
      </w:pPr>
      <w:bookmarkStart w:id="25" w:name="_Toc529972265"/>
      <w:bookmarkStart w:id="26" w:name="_Toc58858974"/>
      <w:r>
        <w:rPr>
          <w:rFonts w:ascii="黑体" w:hAnsi="黑体" w:eastAsia="黑体" w:cs="楷体_GB2312"/>
          <w:b/>
          <w:bCs/>
          <w:color w:val="auto"/>
          <w:sz w:val="28"/>
          <w:szCs w:val="28"/>
          <w:lang w:val="zh-CN"/>
        </w:rPr>
        <w:t>9.</w:t>
      </w:r>
      <w:r>
        <w:rPr>
          <w:rFonts w:hint="eastAsia" w:ascii="黑体" w:hAnsi="黑体" w:eastAsia="黑体" w:cs="楷体_GB2312"/>
          <w:b/>
          <w:bCs/>
          <w:color w:val="auto"/>
          <w:sz w:val="28"/>
          <w:szCs w:val="28"/>
          <w:lang w:val="zh-CN"/>
        </w:rPr>
        <w:t xml:space="preserve"> 付款</w:t>
      </w:r>
      <w:bookmarkEnd w:id="25"/>
      <w:bookmarkEnd w:id="26"/>
    </w:p>
    <w:p w14:paraId="233C1572">
      <w:pPr>
        <w:widowControl w:val="0"/>
        <w:adjustRightInd w:val="0"/>
        <w:snapToGrid w:val="0"/>
        <w:spacing w:before="120" w:beforeLines="50" w:line="300" w:lineRule="auto"/>
        <w:ind w:firstLine="561"/>
        <w:rPr>
          <w:rFonts w:ascii="宋体" w:cs="楷体_GB2312"/>
          <w:color w:val="auto"/>
          <w:sz w:val="24"/>
          <w:lang w:val="zh-CN"/>
        </w:rPr>
      </w:pPr>
      <w:r>
        <w:rPr>
          <w:rFonts w:hint="eastAsia" w:ascii="宋体" w:hAnsi="宋体" w:cs="楷体_GB2312"/>
          <w:color w:val="auto"/>
          <w:sz w:val="24"/>
          <w:lang w:val="zh-CN"/>
        </w:rPr>
        <w:t>见投标人须知前附表</w:t>
      </w:r>
    </w:p>
    <w:p w14:paraId="34400133">
      <w:pPr>
        <w:widowControl w:val="0"/>
        <w:adjustRightInd w:val="0"/>
        <w:snapToGrid w:val="0"/>
        <w:spacing w:before="120" w:beforeLines="50" w:line="300" w:lineRule="auto"/>
        <w:ind w:firstLine="561"/>
        <w:rPr>
          <w:rFonts w:ascii="黑体" w:hAnsi="黑体" w:eastAsia="黑体" w:cs="楷体_GB2312"/>
          <w:b/>
          <w:bCs/>
          <w:color w:val="auto"/>
          <w:sz w:val="28"/>
          <w:szCs w:val="28"/>
          <w:lang w:val="zh-CN"/>
        </w:rPr>
      </w:pPr>
    </w:p>
    <w:p w14:paraId="35A5C42E">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lang w:val="zh-CN"/>
        </w:rPr>
      </w:pPr>
      <w:bookmarkStart w:id="27" w:name="_Toc58858975"/>
      <w:bookmarkStart w:id="28" w:name="_Toc529972266"/>
      <w:r>
        <w:rPr>
          <w:rFonts w:ascii="黑体" w:hAnsi="黑体" w:eastAsia="黑体" w:cs="楷体_GB2312"/>
          <w:b/>
          <w:bCs/>
          <w:color w:val="auto"/>
          <w:sz w:val="28"/>
          <w:szCs w:val="28"/>
          <w:lang w:val="zh-CN"/>
        </w:rPr>
        <w:t xml:space="preserve">10. </w:t>
      </w:r>
      <w:r>
        <w:rPr>
          <w:rFonts w:hint="eastAsia" w:ascii="黑体" w:hAnsi="黑体" w:eastAsia="黑体" w:cs="楷体_GB2312"/>
          <w:b/>
          <w:bCs/>
          <w:color w:val="auto"/>
          <w:sz w:val="28"/>
          <w:szCs w:val="28"/>
          <w:lang w:val="zh-CN"/>
        </w:rPr>
        <w:t>其他</w:t>
      </w:r>
      <w:bookmarkEnd w:id="27"/>
      <w:bookmarkEnd w:id="28"/>
    </w:p>
    <w:p w14:paraId="5C428B1F">
      <w:pPr>
        <w:widowControl w:val="0"/>
        <w:adjustRightInd w:val="0"/>
        <w:snapToGrid w:val="0"/>
        <w:spacing w:before="120" w:beforeLines="50" w:line="300" w:lineRule="auto"/>
        <w:ind w:firstLine="561"/>
        <w:rPr>
          <w:rFonts w:ascii="宋体" w:cs="楷体_GB2312"/>
          <w:color w:val="auto"/>
          <w:sz w:val="24"/>
          <w:lang w:val="zh-CN"/>
        </w:rPr>
      </w:pPr>
      <w:r>
        <w:rPr>
          <w:rFonts w:ascii="宋体" w:hAnsi="宋体" w:cs="楷体_GB2312"/>
          <w:color w:val="auto"/>
          <w:sz w:val="24"/>
          <w:lang w:val="zh-CN"/>
        </w:rPr>
        <w:t xml:space="preserve">10.1 </w:t>
      </w:r>
      <w:r>
        <w:rPr>
          <w:rFonts w:hint="eastAsia" w:ascii="宋体" w:hAnsi="宋体" w:cs="楷体_GB2312"/>
          <w:color w:val="auto"/>
          <w:sz w:val="24"/>
          <w:lang w:val="zh-CN"/>
        </w:rPr>
        <w:t>中标服务费等：见投标人须知前附表</w:t>
      </w:r>
    </w:p>
    <w:p w14:paraId="7374D22E">
      <w:pPr>
        <w:widowControl w:val="0"/>
        <w:adjustRightInd w:val="0"/>
        <w:snapToGrid w:val="0"/>
        <w:spacing w:before="120" w:beforeLines="50" w:line="300" w:lineRule="auto"/>
        <w:ind w:firstLine="561"/>
        <w:rPr>
          <w:rFonts w:ascii="宋体" w:cs="楷体_GB2312"/>
          <w:color w:val="auto"/>
          <w:sz w:val="24"/>
          <w:lang w:val="zh-CN"/>
        </w:rPr>
      </w:pPr>
      <w:r>
        <w:rPr>
          <w:rFonts w:ascii="宋体" w:hAnsi="宋体" w:cs="楷体_GB2312"/>
          <w:color w:val="auto"/>
          <w:sz w:val="24"/>
          <w:lang w:val="zh-CN"/>
        </w:rPr>
        <w:t xml:space="preserve">10.2 </w:t>
      </w:r>
      <w:r>
        <w:rPr>
          <w:rFonts w:hint="eastAsia" w:ascii="宋体" w:hAnsi="宋体" w:cs="楷体_GB2312"/>
          <w:color w:val="auto"/>
          <w:sz w:val="24"/>
          <w:lang w:val="zh-CN"/>
        </w:rPr>
        <w:t>同义解释。单一来源采购文件中：“投标”同义“提交响应文件”，“投标人”同义“提交响应文件的供应商”，“投标文件”同义“响应文件”，</w:t>
      </w:r>
      <w:r>
        <w:rPr>
          <w:rFonts w:hint="eastAsia" w:ascii="宋体" w:cs="楷体_GB2312"/>
          <w:color w:val="auto"/>
          <w:sz w:val="24"/>
          <w:lang w:val="zh-CN"/>
        </w:rPr>
        <w:t>“</w:t>
      </w:r>
      <w:r>
        <w:rPr>
          <w:rFonts w:hint="eastAsia" w:ascii="宋体" w:hAnsi="宋体" w:cs="楷体_GB2312"/>
          <w:color w:val="auto"/>
          <w:sz w:val="24"/>
          <w:lang w:val="zh-CN"/>
        </w:rPr>
        <w:t>开标”同义“响应文件的开启</w:t>
      </w:r>
      <w:r>
        <w:rPr>
          <w:rFonts w:hint="eastAsia" w:ascii="宋体" w:cs="楷体_GB2312"/>
          <w:color w:val="auto"/>
          <w:sz w:val="24"/>
          <w:lang w:val="zh-CN"/>
        </w:rPr>
        <w:t>”</w:t>
      </w:r>
      <w:r>
        <w:rPr>
          <w:rFonts w:hint="eastAsia" w:ascii="宋体" w:hAnsi="宋体" w:cs="楷体_GB2312"/>
          <w:color w:val="auto"/>
          <w:sz w:val="24"/>
          <w:lang w:val="zh-CN"/>
        </w:rPr>
        <w:t>，“中标”同义“成交”，“中标供应商”同义“成交供应商</w:t>
      </w:r>
      <w:r>
        <w:rPr>
          <w:rFonts w:hint="eastAsia" w:ascii="宋体" w:cs="楷体_GB2312"/>
          <w:color w:val="auto"/>
          <w:sz w:val="24"/>
          <w:lang w:val="zh-CN"/>
        </w:rPr>
        <w:t>”</w:t>
      </w:r>
      <w:r>
        <w:rPr>
          <w:rFonts w:hint="eastAsia" w:ascii="宋体" w:hAnsi="宋体" w:cs="楷体_GB2312"/>
          <w:color w:val="auto"/>
          <w:sz w:val="24"/>
          <w:lang w:val="zh-CN"/>
        </w:rPr>
        <w:t>。</w:t>
      </w:r>
    </w:p>
    <w:p w14:paraId="67AA6901">
      <w:pPr>
        <w:widowControl w:val="0"/>
        <w:adjustRightInd w:val="0"/>
        <w:snapToGrid w:val="0"/>
        <w:spacing w:before="120" w:beforeLines="50" w:line="300" w:lineRule="auto"/>
        <w:ind w:firstLine="561"/>
        <w:rPr>
          <w:rFonts w:ascii="宋体" w:cs="楷体_GB2312"/>
          <w:color w:val="auto"/>
          <w:sz w:val="24"/>
          <w:lang w:val="zh-CN"/>
        </w:rPr>
      </w:pPr>
      <w:r>
        <w:rPr>
          <w:rFonts w:ascii="宋体" w:hAnsi="宋体" w:cs="楷体_GB2312"/>
          <w:color w:val="auto"/>
          <w:sz w:val="24"/>
          <w:lang w:val="zh-CN"/>
        </w:rPr>
        <w:t xml:space="preserve">10.3 </w:t>
      </w:r>
      <w:r>
        <w:rPr>
          <w:rFonts w:hint="eastAsia" w:ascii="宋体" w:hAnsi="宋体" w:cs="楷体_GB2312"/>
          <w:color w:val="auto"/>
          <w:sz w:val="24"/>
          <w:lang w:val="zh-CN"/>
        </w:rPr>
        <w:t>投标人资格条件中包含非法人单位的，单一来源采购文件中法定代表人一词相应包含表示证照标示的负责人；</w:t>
      </w:r>
      <w:r>
        <w:rPr>
          <w:rFonts w:ascii="宋体" w:hAnsi="宋体" w:cs="楷体_GB2312"/>
          <w:color w:val="auto"/>
          <w:sz w:val="24"/>
          <w:lang w:val="zh-CN"/>
        </w:rPr>
        <w:t xml:space="preserve"> </w:t>
      </w:r>
      <w:r>
        <w:rPr>
          <w:rFonts w:hint="eastAsia" w:ascii="宋体" w:hAnsi="宋体" w:cs="楷体_GB2312"/>
          <w:color w:val="auto"/>
          <w:sz w:val="24"/>
          <w:lang w:val="zh-CN"/>
        </w:rPr>
        <w:t>投标人资格条件中包含自然人的，单一来源采购文件中法定代表人一词相应包含表示自然人，自然人应由其本人签署投标文件、参加投标，不应再授权他人。</w:t>
      </w:r>
    </w:p>
    <w:p w14:paraId="0089DDEC">
      <w:pPr>
        <w:widowControl w:val="0"/>
        <w:adjustRightInd w:val="0"/>
        <w:snapToGrid w:val="0"/>
        <w:spacing w:before="120" w:beforeLines="50" w:line="276" w:lineRule="auto"/>
        <w:ind w:firstLine="561"/>
        <w:rPr>
          <w:rFonts w:ascii="宋体" w:hAnsi="宋体" w:cs="楷体_GB2312"/>
          <w:color w:val="auto"/>
          <w:sz w:val="24"/>
          <w:lang w:val="zh-CN"/>
        </w:rPr>
      </w:pPr>
      <w:r>
        <w:rPr>
          <w:rFonts w:ascii="宋体" w:hAnsi="宋体" w:cs="楷体_GB2312"/>
          <w:color w:val="auto"/>
          <w:sz w:val="24"/>
          <w:lang w:val="zh-CN"/>
        </w:rPr>
        <w:t>10.4</w:t>
      </w:r>
      <w:r>
        <w:rPr>
          <w:rFonts w:hint="eastAsia" w:ascii="宋体" w:hAnsi="宋体" w:cs="楷体_GB2312"/>
          <w:color w:val="auto"/>
          <w:sz w:val="24"/>
          <w:lang w:val="zh-CN"/>
        </w:rPr>
        <w:t xml:space="preserve"> 单一来源采购文件第一章至第四章各章中，用序号标示条、款、项、目，例如：</w:t>
      </w:r>
      <w:r>
        <w:rPr>
          <w:rFonts w:ascii="宋体" w:hAnsi="宋体" w:cs="楷体_GB2312"/>
          <w:color w:val="auto"/>
          <w:sz w:val="24"/>
          <w:lang w:val="zh-CN"/>
        </w:rPr>
        <w:t>1</w:t>
      </w:r>
      <w:r>
        <w:rPr>
          <w:rFonts w:hint="eastAsia" w:ascii="宋体" w:hAnsi="宋体" w:cs="楷体_GB2312"/>
          <w:color w:val="auto"/>
          <w:sz w:val="24"/>
          <w:lang w:val="zh-CN"/>
        </w:rPr>
        <w:t>为第</w:t>
      </w:r>
      <w:r>
        <w:rPr>
          <w:rFonts w:ascii="宋体" w:hAnsi="宋体" w:cs="楷体_GB2312"/>
          <w:color w:val="auto"/>
          <w:sz w:val="24"/>
          <w:lang w:val="zh-CN"/>
        </w:rPr>
        <w:t xml:space="preserve">1 </w:t>
      </w:r>
      <w:r>
        <w:rPr>
          <w:rFonts w:hint="eastAsia" w:ascii="宋体" w:hAnsi="宋体" w:cs="楷体_GB2312"/>
          <w:color w:val="auto"/>
          <w:sz w:val="24"/>
          <w:lang w:val="zh-CN"/>
        </w:rPr>
        <w:t>条，</w:t>
      </w:r>
      <w:r>
        <w:rPr>
          <w:rFonts w:ascii="宋体" w:hAnsi="宋体" w:cs="楷体_GB2312"/>
          <w:color w:val="auto"/>
          <w:sz w:val="24"/>
          <w:lang w:val="zh-CN"/>
        </w:rPr>
        <w:t>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款（简称</w:t>
      </w:r>
      <w:r>
        <w:rPr>
          <w:rFonts w:ascii="宋体" w:hAnsi="宋体" w:cs="楷体_GB2312"/>
          <w:color w:val="auto"/>
          <w:sz w:val="24"/>
          <w:lang w:val="zh-CN"/>
        </w:rPr>
        <w:t>1.1</w:t>
      </w:r>
      <w:r>
        <w:rPr>
          <w:rFonts w:hint="eastAsia" w:ascii="宋体" w:hAnsi="宋体" w:cs="楷体_GB2312"/>
          <w:color w:val="auto"/>
          <w:sz w:val="24"/>
          <w:lang w:val="zh-CN"/>
        </w:rPr>
        <w:t>款），</w:t>
      </w:r>
      <w:r>
        <w:rPr>
          <w:rFonts w:ascii="宋体" w:hAnsi="宋体" w:cs="楷体_GB2312"/>
          <w:color w:val="auto"/>
          <w:sz w:val="24"/>
          <w:lang w:val="zh-CN"/>
        </w:rPr>
        <w:t>1.1.1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款第</w:t>
      </w:r>
      <w:r>
        <w:rPr>
          <w:rFonts w:ascii="宋体" w:hAnsi="宋体" w:cs="楷体_GB2312"/>
          <w:color w:val="auto"/>
          <w:sz w:val="24"/>
          <w:lang w:val="zh-CN"/>
        </w:rPr>
        <w:t>1</w:t>
      </w:r>
      <w:r>
        <w:rPr>
          <w:rFonts w:hint="eastAsia" w:ascii="宋体" w:hAnsi="宋体" w:cs="楷体_GB2312"/>
          <w:color w:val="auto"/>
          <w:sz w:val="24"/>
          <w:lang w:val="zh-CN"/>
        </w:rPr>
        <w:t>项（简称</w:t>
      </w:r>
      <w:r>
        <w:rPr>
          <w:rFonts w:ascii="宋体" w:hAnsi="宋体" w:cs="楷体_GB2312"/>
          <w:color w:val="auto"/>
          <w:sz w:val="24"/>
          <w:lang w:val="zh-CN"/>
        </w:rPr>
        <w:t>1.1.1</w:t>
      </w:r>
      <w:r>
        <w:rPr>
          <w:rFonts w:hint="eastAsia" w:ascii="宋体" w:hAnsi="宋体" w:cs="楷体_GB2312"/>
          <w:color w:val="auto"/>
          <w:sz w:val="24"/>
          <w:lang w:val="zh-CN"/>
        </w:rPr>
        <w:t>项）。“条”包含款、项、目；“款”包含项、目；“项”包含目。</w:t>
      </w:r>
    </w:p>
    <w:p w14:paraId="56AA8440">
      <w:pPr>
        <w:widowControl w:val="0"/>
        <w:adjustRightInd w:val="0"/>
        <w:snapToGrid w:val="0"/>
        <w:spacing w:before="120" w:beforeLines="50" w:line="276" w:lineRule="auto"/>
        <w:ind w:firstLine="561"/>
        <w:rPr>
          <w:rFonts w:ascii="宋体" w:hAnsi="宋体" w:cs="楷体_GB2312"/>
          <w:color w:val="auto"/>
          <w:sz w:val="24"/>
          <w:lang w:val="zh-CN"/>
        </w:rPr>
      </w:pPr>
    </w:p>
    <w:p w14:paraId="69D5147C">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lang w:val="zh-CN"/>
        </w:rPr>
      </w:pPr>
      <w:bookmarkStart w:id="29" w:name="_Toc58858976"/>
      <w:bookmarkStart w:id="30" w:name="_Toc58858635"/>
      <w:r>
        <w:rPr>
          <w:rFonts w:hint="eastAsia" w:ascii="黑体" w:hAnsi="黑体" w:eastAsia="黑体" w:cs="楷体_GB2312"/>
          <w:b/>
          <w:bCs/>
          <w:color w:val="auto"/>
          <w:sz w:val="28"/>
          <w:szCs w:val="28"/>
          <w:lang w:val="zh-CN"/>
        </w:rPr>
        <w:t>11. 河南省政府采购合同融资政策告知函</w:t>
      </w:r>
      <w:bookmarkEnd w:id="29"/>
      <w:bookmarkEnd w:id="30"/>
    </w:p>
    <w:p w14:paraId="2CB8BC81">
      <w:pPr>
        <w:widowControl w:val="0"/>
        <w:adjustRightInd w:val="0"/>
        <w:snapToGrid w:val="0"/>
        <w:spacing w:before="120" w:beforeLines="50" w:line="276" w:lineRule="auto"/>
        <w:ind w:left="23" w:firstLine="556"/>
        <w:jc w:val="center"/>
        <w:outlineLvl w:val="1"/>
        <w:rPr>
          <w:rFonts w:ascii="黑体" w:hAnsi="黑体" w:eastAsia="黑体" w:cs="楷体_GB2312"/>
          <w:b/>
          <w:bCs/>
          <w:color w:val="auto"/>
          <w:sz w:val="24"/>
          <w:szCs w:val="24"/>
          <w:lang w:val="zh-CN"/>
        </w:rPr>
      </w:pPr>
    </w:p>
    <w:p w14:paraId="41B85D0B">
      <w:pPr>
        <w:widowControl w:val="0"/>
        <w:adjustRightInd w:val="0"/>
        <w:snapToGrid w:val="0"/>
        <w:spacing w:before="120" w:beforeLines="50" w:line="300" w:lineRule="auto"/>
        <w:ind w:firstLine="555"/>
        <w:rPr>
          <w:rFonts w:ascii="宋体" w:hAnsi="宋体"/>
          <w:color w:val="auto"/>
          <w:sz w:val="24"/>
          <w:szCs w:val="24"/>
        </w:rPr>
      </w:pPr>
      <w:r>
        <w:rPr>
          <w:rFonts w:hint="eastAsia" w:ascii="宋体" w:hAnsi="宋体"/>
          <w:color w:val="auto"/>
          <w:sz w:val="24"/>
          <w:szCs w:val="24"/>
        </w:rPr>
        <w:t>各供应商：</w:t>
      </w:r>
    </w:p>
    <w:p w14:paraId="48F1B662">
      <w:pPr>
        <w:widowControl w:val="0"/>
        <w:adjustRightInd w:val="0"/>
        <w:snapToGrid w:val="0"/>
        <w:spacing w:before="120" w:beforeLines="50" w:line="300" w:lineRule="auto"/>
        <w:ind w:firstLine="555"/>
        <w:rPr>
          <w:rFonts w:ascii="宋体" w:hAnsi="宋体"/>
          <w:color w:val="auto"/>
          <w:sz w:val="24"/>
          <w:szCs w:val="24"/>
        </w:rPr>
      </w:pPr>
      <w:r>
        <w:rPr>
          <w:rFonts w:hint="eastAsia" w:ascii="宋体" w:hAnsi="宋体"/>
          <w:color w:val="auto"/>
          <w:sz w:val="24"/>
          <w:szCs w:val="24"/>
        </w:rPr>
        <w:t>欢迎贵公司参与河南省政府采购活动！</w:t>
      </w:r>
    </w:p>
    <w:p w14:paraId="6D5F1220">
      <w:pPr>
        <w:widowControl w:val="0"/>
        <w:adjustRightInd w:val="0"/>
        <w:snapToGrid w:val="0"/>
        <w:spacing w:before="120" w:beforeLines="50" w:line="300" w:lineRule="auto"/>
        <w:ind w:firstLine="555"/>
        <w:rPr>
          <w:rFonts w:ascii="宋体" w:hAnsi="宋体"/>
          <w:color w:val="auto"/>
          <w:sz w:val="24"/>
          <w:szCs w:val="24"/>
        </w:rPr>
      </w:pPr>
      <w:r>
        <w:rPr>
          <w:rFonts w:hint="eastAsia" w:ascii="宋体" w:hAnsi="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648420D">
      <w:pPr>
        <w:widowControl w:val="0"/>
        <w:adjustRightInd w:val="0"/>
        <w:snapToGrid w:val="0"/>
        <w:spacing w:before="120" w:beforeLines="50" w:line="300" w:lineRule="auto"/>
        <w:ind w:firstLine="555"/>
        <w:rPr>
          <w:rFonts w:ascii="宋体" w:hAnsi="宋体"/>
          <w:color w:val="auto"/>
          <w:sz w:val="24"/>
          <w:szCs w:val="24"/>
        </w:rPr>
      </w:pPr>
      <w:r>
        <w:rPr>
          <w:rFonts w:hint="eastAsia" w:ascii="宋体" w:hAnsi="宋体"/>
          <w:color w:val="auto"/>
          <w:sz w:val="24"/>
          <w:szCs w:val="24"/>
        </w:rPr>
        <w:t>贷款渠道和提供贷款的金融机构，可在河南省政府采购网“河南省政府采购合同融资平台”查询联系。</w:t>
      </w:r>
    </w:p>
    <w:p w14:paraId="3E267E35">
      <w:pPr>
        <w:widowControl w:val="0"/>
        <w:adjustRightInd w:val="0"/>
        <w:snapToGrid w:val="0"/>
        <w:spacing w:before="120" w:beforeLines="50" w:line="276" w:lineRule="auto"/>
        <w:ind w:firstLine="561"/>
        <w:rPr>
          <w:rFonts w:eastAsia="黑体"/>
          <w:b/>
          <w:color w:val="auto"/>
          <w:sz w:val="24"/>
          <w:szCs w:val="24"/>
        </w:rPr>
      </w:pPr>
      <w:r>
        <w:rPr>
          <w:rFonts w:eastAsia="黑体"/>
          <w:b/>
          <w:color w:val="auto"/>
          <w:sz w:val="44"/>
        </w:rPr>
        <w:br w:type="page"/>
      </w:r>
      <w:bookmarkStart w:id="31" w:name="_Toc423723402"/>
    </w:p>
    <w:p w14:paraId="4C37F208">
      <w:pPr>
        <w:widowControl w:val="0"/>
        <w:snapToGrid w:val="0"/>
        <w:spacing w:line="560" w:lineRule="exact"/>
        <w:jc w:val="center"/>
        <w:outlineLvl w:val="0"/>
        <w:rPr>
          <w:rFonts w:eastAsia="黑体"/>
          <w:b/>
          <w:color w:val="auto"/>
          <w:sz w:val="36"/>
          <w:szCs w:val="36"/>
        </w:rPr>
      </w:pPr>
    </w:p>
    <w:p w14:paraId="20BF979A">
      <w:pPr>
        <w:widowControl w:val="0"/>
        <w:snapToGrid w:val="0"/>
        <w:spacing w:line="560" w:lineRule="exact"/>
        <w:jc w:val="center"/>
        <w:outlineLvl w:val="0"/>
        <w:rPr>
          <w:rFonts w:eastAsia="黑体"/>
          <w:b/>
          <w:color w:val="auto"/>
          <w:sz w:val="36"/>
          <w:szCs w:val="36"/>
        </w:rPr>
      </w:pPr>
      <w:bookmarkStart w:id="32" w:name="_Toc58858977"/>
      <w:r>
        <w:rPr>
          <w:rFonts w:hint="eastAsia" w:eastAsia="黑体"/>
          <w:b/>
          <w:color w:val="auto"/>
          <w:sz w:val="36"/>
          <w:szCs w:val="36"/>
        </w:rPr>
        <w:t>第四章</w:t>
      </w:r>
      <w:r>
        <w:rPr>
          <w:rFonts w:eastAsia="黑体"/>
          <w:b/>
          <w:color w:val="auto"/>
          <w:sz w:val="36"/>
          <w:szCs w:val="36"/>
        </w:rPr>
        <w:t xml:space="preserve"> </w:t>
      </w:r>
      <w:r>
        <w:rPr>
          <w:rFonts w:hint="eastAsia" w:eastAsia="黑体"/>
          <w:b/>
          <w:color w:val="auto"/>
          <w:sz w:val="36"/>
          <w:szCs w:val="36"/>
        </w:rPr>
        <w:t xml:space="preserve"> 评审办法</w:t>
      </w:r>
      <w:bookmarkEnd w:id="31"/>
      <w:bookmarkEnd w:id="32"/>
    </w:p>
    <w:p w14:paraId="5D747101">
      <w:pPr>
        <w:widowControl w:val="0"/>
        <w:snapToGrid w:val="0"/>
        <w:spacing w:line="276" w:lineRule="auto"/>
        <w:ind w:firstLine="567"/>
        <w:jc w:val="center"/>
        <w:outlineLvl w:val="0"/>
        <w:rPr>
          <w:b/>
          <w:color w:val="auto"/>
          <w:sz w:val="24"/>
          <w:szCs w:val="24"/>
        </w:rPr>
      </w:pPr>
    </w:p>
    <w:p w14:paraId="3101FAF1">
      <w:pPr>
        <w:spacing w:line="500" w:lineRule="exact"/>
        <w:jc w:val="left"/>
        <w:outlineLvl w:val="1"/>
        <w:rPr>
          <w:rFonts w:ascii="黑体" w:hAnsi="黑体" w:eastAsia="黑体"/>
          <w:b/>
          <w:color w:val="auto"/>
          <w:sz w:val="28"/>
          <w:szCs w:val="28"/>
          <w:lang w:val="zh-CN"/>
        </w:rPr>
      </w:pPr>
      <w:bookmarkStart w:id="33" w:name="_Toc58858978"/>
      <w:r>
        <w:rPr>
          <w:rFonts w:hint="eastAsia" w:ascii="黑体" w:hAnsi="黑体" w:eastAsia="黑体"/>
          <w:b/>
          <w:color w:val="auto"/>
          <w:sz w:val="28"/>
          <w:szCs w:val="28"/>
        </w:rPr>
        <w:t>评审办法前附表</w:t>
      </w:r>
      <w:bookmarkEnd w:id="33"/>
    </w:p>
    <w:tbl>
      <w:tblPr>
        <w:tblStyle w:val="24"/>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0"/>
        <w:gridCol w:w="960"/>
        <w:gridCol w:w="2217"/>
        <w:gridCol w:w="5736"/>
      </w:tblGrid>
      <w:tr w14:paraId="5744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24" w:type="dxa"/>
            <w:gridSpan w:val="2"/>
            <w:vAlign w:val="center"/>
          </w:tcPr>
          <w:p w14:paraId="2EDEFAA7">
            <w:pPr>
              <w:pStyle w:val="66"/>
              <w:jc w:val="center"/>
              <w:rPr>
                <w:rFonts w:hAnsi="宋体"/>
                <w:b/>
                <w:color w:val="auto"/>
                <w:szCs w:val="24"/>
              </w:rPr>
            </w:pPr>
            <w:r>
              <w:rPr>
                <w:rFonts w:hint="eastAsia" w:hAnsi="宋体"/>
                <w:b/>
                <w:color w:val="auto"/>
                <w:szCs w:val="24"/>
              </w:rPr>
              <w:t>条款号</w:t>
            </w:r>
          </w:p>
        </w:tc>
        <w:tc>
          <w:tcPr>
            <w:tcW w:w="3177" w:type="dxa"/>
            <w:gridSpan w:val="2"/>
            <w:vAlign w:val="center"/>
          </w:tcPr>
          <w:p w14:paraId="5809246A">
            <w:pPr>
              <w:pStyle w:val="66"/>
              <w:jc w:val="center"/>
              <w:rPr>
                <w:rFonts w:hAnsi="宋体"/>
                <w:b/>
                <w:color w:val="auto"/>
                <w:szCs w:val="24"/>
              </w:rPr>
            </w:pPr>
            <w:r>
              <w:rPr>
                <w:rFonts w:hint="eastAsia" w:hAnsi="宋体"/>
                <w:b/>
                <w:color w:val="auto"/>
                <w:szCs w:val="24"/>
              </w:rPr>
              <w:t>评审因素</w:t>
            </w:r>
          </w:p>
        </w:tc>
        <w:tc>
          <w:tcPr>
            <w:tcW w:w="5736" w:type="dxa"/>
            <w:vAlign w:val="center"/>
          </w:tcPr>
          <w:p w14:paraId="1811F6F0">
            <w:pPr>
              <w:pStyle w:val="66"/>
              <w:jc w:val="center"/>
              <w:rPr>
                <w:rFonts w:hAnsi="宋体"/>
                <w:b/>
                <w:color w:val="auto"/>
                <w:szCs w:val="24"/>
              </w:rPr>
            </w:pPr>
            <w:r>
              <w:rPr>
                <w:rFonts w:hint="eastAsia" w:hAnsi="宋体"/>
                <w:b/>
                <w:color w:val="auto"/>
                <w:szCs w:val="24"/>
              </w:rPr>
              <w:t>评审标准</w:t>
            </w:r>
          </w:p>
        </w:tc>
      </w:tr>
      <w:tr w14:paraId="231D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564" w:type="dxa"/>
            <w:vMerge w:val="restart"/>
            <w:vAlign w:val="center"/>
          </w:tcPr>
          <w:p w14:paraId="6DED8663">
            <w:pPr>
              <w:pStyle w:val="66"/>
              <w:spacing w:line="360" w:lineRule="auto"/>
              <w:ind w:right="-101" w:rightChars="-48"/>
              <w:jc w:val="center"/>
              <w:rPr>
                <w:rFonts w:hAnsi="宋体"/>
                <w:color w:val="auto"/>
                <w:szCs w:val="24"/>
              </w:rPr>
            </w:pPr>
            <w:r>
              <w:rPr>
                <w:rFonts w:hAnsi="宋体"/>
                <w:color w:val="auto"/>
                <w:szCs w:val="24"/>
              </w:rPr>
              <w:t>2.1.1</w:t>
            </w:r>
          </w:p>
        </w:tc>
        <w:tc>
          <w:tcPr>
            <w:tcW w:w="560" w:type="dxa"/>
            <w:vMerge w:val="restart"/>
            <w:vAlign w:val="center"/>
          </w:tcPr>
          <w:p w14:paraId="6DB2C428">
            <w:pPr>
              <w:pStyle w:val="66"/>
              <w:jc w:val="center"/>
              <w:rPr>
                <w:rFonts w:hAnsi="宋体"/>
                <w:color w:val="auto"/>
                <w:szCs w:val="24"/>
              </w:rPr>
            </w:pPr>
            <w:r>
              <w:rPr>
                <w:rFonts w:hint="eastAsia" w:hAnsi="宋体"/>
                <w:color w:val="auto"/>
                <w:szCs w:val="24"/>
              </w:rPr>
              <w:t>资</w:t>
            </w:r>
          </w:p>
          <w:p w14:paraId="76E357FB">
            <w:pPr>
              <w:pStyle w:val="66"/>
              <w:jc w:val="center"/>
              <w:rPr>
                <w:rFonts w:hAnsi="宋体"/>
                <w:color w:val="auto"/>
                <w:szCs w:val="24"/>
              </w:rPr>
            </w:pPr>
            <w:r>
              <w:rPr>
                <w:rFonts w:hint="eastAsia" w:hAnsi="宋体"/>
                <w:color w:val="auto"/>
                <w:szCs w:val="24"/>
              </w:rPr>
              <w:t>格</w:t>
            </w:r>
          </w:p>
          <w:p w14:paraId="2B70C2C2">
            <w:pPr>
              <w:pStyle w:val="66"/>
              <w:jc w:val="center"/>
              <w:rPr>
                <w:rFonts w:hAnsi="宋体"/>
                <w:color w:val="auto"/>
                <w:szCs w:val="24"/>
              </w:rPr>
            </w:pPr>
            <w:r>
              <w:rPr>
                <w:rFonts w:hint="eastAsia" w:hAnsi="宋体"/>
                <w:color w:val="auto"/>
                <w:szCs w:val="24"/>
              </w:rPr>
              <w:t>性</w:t>
            </w:r>
          </w:p>
          <w:p w14:paraId="3969B002">
            <w:pPr>
              <w:pStyle w:val="66"/>
              <w:jc w:val="center"/>
              <w:rPr>
                <w:rFonts w:hAnsi="宋体"/>
                <w:color w:val="auto"/>
                <w:szCs w:val="24"/>
              </w:rPr>
            </w:pPr>
            <w:r>
              <w:rPr>
                <w:rFonts w:hint="eastAsia" w:hAnsi="宋体"/>
                <w:color w:val="auto"/>
                <w:szCs w:val="24"/>
              </w:rPr>
              <w:t>审</w:t>
            </w:r>
          </w:p>
          <w:p w14:paraId="5E9BE137">
            <w:pPr>
              <w:pStyle w:val="66"/>
              <w:jc w:val="center"/>
              <w:rPr>
                <w:rFonts w:hAnsi="宋体"/>
                <w:color w:val="auto"/>
                <w:szCs w:val="24"/>
              </w:rPr>
            </w:pPr>
            <w:r>
              <w:rPr>
                <w:rFonts w:hint="eastAsia" w:hAnsi="宋体"/>
                <w:color w:val="auto"/>
                <w:szCs w:val="24"/>
              </w:rPr>
              <w:t>查</w:t>
            </w:r>
          </w:p>
        </w:tc>
        <w:tc>
          <w:tcPr>
            <w:tcW w:w="3177" w:type="dxa"/>
            <w:gridSpan w:val="2"/>
            <w:vAlign w:val="center"/>
          </w:tcPr>
          <w:p w14:paraId="164A9B10">
            <w:pPr>
              <w:widowControl w:val="0"/>
              <w:snapToGrid w:val="0"/>
              <w:spacing w:line="240" w:lineRule="auto"/>
              <w:rPr>
                <w:rFonts w:ascii="宋体"/>
                <w:color w:val="auto"/>
                <w:sz w:val="24"/>
                <w:szCs w:val="24"/>
              </w:rPr>
            </w:pPr>
            <w:r>
              <w:rPr>
                <w:rFonts w:hint="eastAsia"/>
                <w:color w:val="auto"/>
                <w:sz w:val="24"/>
                <w:szCs w:val="24"/>
              </w:rPr>
              <w:t>第一章“谈判邀请函”第</w:t>
            </w:r>
            <w:r>
              <w:rPr>
                <w:color w:val="auto"/>
                <w:sz w:val="24"/>
                <w:szCs w:val="24"/>
              </w:rPr>
              <w:t>2</w:t>
            </w:r>
            <w:r>
              <w:rPr>
                <w:rFonts w:hint="eastAsia"/>
                <w:color w:val="auto"/>
                <w:sz w:val="24"/>
                <w:szCs w:val="24"/>
              </w:rPr>
              <w:t>条各项资格要求</w:t>
            </w:r>
          </w:p>
        </w:tc>
        <w:tc>
          <w:tcPr>
            <w:tcW w:w="5736" w:type="dxa"/>
            <w:vAlign w:val="center"/>
          </w:tcPr>
          <w:p w14:paraId="7D5737E5">
            <w:pPr>
              <w:widowControl w:val="0"/>
              <w:snapToGrid w:val="0"/>
              <w:spacing w:line="240" w:lineRule="auto"/>
              <w:rPr>
                <w:rFonts w:ascii="宋体"/>
                <w:color w:val="auto"/>
                <w:sz w:val="24"/>
                <w:szCs w:val="24"/>
              </w:rPr>
            </w:pPr>
            <w:r>
              <w:rPr>
                <w:rFonts w:hint="eastAsia" w:ascii="宋体" w:hAnsi="宋体"/>
                <w:color w:val="auto"/>
                <w:sz w:val="24"/>
                <w:szCs w:val="24"/>
              </w:rPr>
              <w:t>符合第一章“谈判邀请函”第</w:t>
            </w:r>
            <w:r>
              <w:rPr>
                <w:rFonts w:ascii="宋体" w:hAnsi="宋体"/>
                <w:color w:val="auto"/>
                <w:sz w:val="24"/>
                <w:szCs w:val="24"/>
              </w:rPr>
              <w:t>2</w:t>
            </w:r>
            <w:r>
              <w:rPr>
                <w:rFonts w:hint="eastAsia" w:ascii="宋体" w:hAnsi="宋体"/>
                <w:color w:val="auto"/>
                <w:sz w:val="24"/>
                <w:szCs w:val="24"/>
              </w:rPr>
              <w:t>条各项</w:t>
            </w:r>
            <w:r>
              <w:rPr>
                <w:rFonts w:hint="eastAsia"/>
                <w:color w:val="auto"/>
                <w:sz w:val="24"/>
                <w:szCs w:val="24"/>
              </w:rPr>
              <w:t>资格要求所需证件材料及证明材料</w:t>
            </w:r>
          </w:p>
        </w:tc>
      </w:tr>
      <w:tr w14:paraId="7F45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14:paraId="3EC8B57B">
            <w:pPr>
              <w:pStyle w:val="66"/>
              <w:spacing w:line="360" w:lineRule="auto"/>
              <w:jc w:val="center"/>
              <w:rPr>
                <w:rFonts w:hAnsi="宋体"/>
                <w:color w:val="auto"/>
                <w:szCs w:val="24"/>
              </w:rPr>
            </w:pPr>
          </w:p>
        </w:tc>
        <w:tc>
          <w:tcPr>
            <w:tcW w:w="560" w:type="dxa"/>
            <w:vMerge w:val="continue"/>
            <w:vAlign w:val="center"/>
          </w:tcPr>
          <w:p w14:paraId="100E3861">
            <w:pPr>
              <w:pStyle w:val="66"/>
              <w:spacing w:line="360" w:lineRule="auto"/>
              <w:jc w:val="center"/>
              <w:rPr>
                <w:rFonts w:hAnsi="宋体"/>
                <w:color w:val="auto"/>
                <w:szCs w:val="24"/>
              </w:rPr>
            </w:pPr>
          </w:p>
        </w:tc>
        <w:tc>
          <w:tcPr>
            <w:tcW w:w="3177" w:type="dxa"/>
            <w:gridSpan w:val="2"/>
            <w:vAlign w:val="center"/>
          </w:tcPr>
          <w:p w14:paraId="101DBFD0">
            <w:pPr>
              <w:widowControl w:val="0"/>
              <w:snapToGrid w:val="0"/>
              <w:spacing w:line="240" w:lineRule="auto"/>
              <w:rPr>
                <w:color w:val="auto"/>
                <w:sz w:val="24"/>
                <w:szCs w:val="24"/>
              </w:rPr>
            </w:pPr>
            <w:r>
              <w:rPr>
                <w:rFonts w:hint="eastAsia"/>
                <w:color w:val="auto"/>
                <w:sz w:val="24"/>
                <w:szCs w:val="24"/>
              </w:rPr>
              <w:t>投标承诺函</w:t>
            </w:r>
          </w:p>
        </w:tc>
        <w:tc>
          <w:tcPr>
            <w:tcW w:w="5736" w:type="dxa"/>
            <w:vAlign w:val="center"/>
          </w:tcPr>
          <w:p w14:paraId="2148BFBE">
            <w:pPr>
              <w:widowControl w:val="0"/>
              <w:snapToGrid w:val="0"/>
              <w:spacing w:line="240" w:lineRule="auto"/>
              <w:rPr>
                <w:rFonts w:ascii="宋体"/>
                <w:color w:val="auto"/>
                <w:sz w:val="24"/>
                <w:szCs w:val="24"/>
              </w:rPr>
            </w:pPr>
            <w:r>
              <w:rPr>
                <w:rFonts w:hint="eastAsia" w:ascii="宋体" w:hAnsi="宋体"/>
                <w:color w:val="auto"/>
                <w:sz w:val="24"/>
                <w:szCs w:val="24"/>
              </w:rPr>
              <w:t>符合第三章“投标人须知”</w:t>
            </w:r>
            <w:r>
              <w:rPr>
                <w:rFonts w:ascii="宋体" w:hAnsi="宋体"/>
                <w:color w:val="auto"/>
                <w:sz w:val="24"/>
                <w:szCs w:val="24"/>
              </w:rPr>
              <w:t>3.5</w:t>
            </w:r>
            <w:r>
              <w:rPr>
                <w:rFonts w:hint="eastAsia" w:ascii="宋体" w:hAnsi="宋体"/>
                <w:color w:val="auto"/>
                <w:sz w:val="24"/>
                <w:szCs w:val="24"/>
              </w:rPr>
              <w:t>款规定</w:t>
            </w:r>
          </w:p>
        </w:tc>
      </w:tr>
      <w:tr w14:paraId="2B44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64" w:type="dxa"/>
            <w:vMerge w:val="continue"/>
            <w:vAlign w:val="center"/>
          </w:tcPr>
          <w:p w14:paraId="233802AB">
            <w:pPr>
              <w:pStyle w:val="66"/>
              <w:spacing w:line="360" w:lineRule="auto"/>
              <w:jc w:val="center"/>
              <w:rPr>
                <w:rFonts w:hAnsi="宋体"/>
                <w:color w:val="auto"/>
                <w:szCs w:val="24"/>
              </w:rPr>
            </w:pPr>
          </w:p>
        </w:tc>
        <w:tc>
          <w:tcPr>
            <w:tcW w:w="560" w:type="dxa"/>
            <w:vMerge w:val="continue"/>
            <w:vAlign w:val="center"/>
          </w:tcPr>
          <w:p w14:paraId="5C784B4D">
            <w:pPr>
              <w:pStyle w:val="66"/>
              <w:spacing w:line="360" w:lineRule="auto"/>
              <w:jc w:val="center"/>
              <w:rPr>
                <w:rFonts w:hAnsi="宋体"/>
                <w:color w:val="auto"/>
                <w:szCs w:val="24"/>
              </w:rPr>
            </w:pPr>
          </w:p>
        </w:tc>
        <w:tc>
          <w:tcPr>
            <w:tcW w:w="3177" w:type="dxa"/>
            <w:gridSpan w:val="2"/>
            <w:vAlign w:val="center"/>
          </w:tcPr>
          <w:p w14:paraId="34F8DC55">
            <w:pPr>
              <w:widowControl w:val="0"/>
              <w:snapToGrid w:val="0"/>
              <w:spacing w:line="240" w:lineRule="auto"/>
              <w:rPr>
                <w:color w:val="auto"/>
                <w:sz w:val="24"/>
                <w:szCs w:val="24"/>
              </w:rPr>
            </w:pPr>
            <w:r>
              <w:rPr>
                <w:rFonts w:hint="eastAsia"/>
                <w:color w:val="auto"/>
                <w:sz w:val="24"/>
                <w:szCs w:val="24"/>
              </w:rPr>
              <w:t>联合体（如有）</w:t>
            </w:r>
          </w:p>
        </w:tc>
        <w:tc>
          <w:tcPr>
            <w:tcW w:w="5736" w:type="dxa"/>
            <w:vAlign w:val="center"/>
          </w:tcPr>
          <w:p w14:paraId="213CAF4B">
            <w:pPr>
              <w:widowControl w:val="0"/>
              <w:snapToGrid w:val="0"/>
              <w:spacing w:line="240" w:lineRule="auto"/>
              <w:rPr>
                <w:rFonts w:ascii="宋体"/>
                <w:color w:val="auto"/>
                <w:sz w:val="24"/>
                <w:szCs w:val="24"/>
              </w:rPr>
            </w:pPr>
            <w:r>
              <w:rPr>
                <w:rFonts w:hint="eastAsia" w:ascii="宋体" w:hAnsi="宋体"/>
                <w:color w:val="auto"/>
                <w:sz w:val="24"/>
                <w:szCs w:val="24"/>
              </w:rPr>
              <w:t>符合第三章“投标人须知”</w:t>
            </w:r>
            <w:r>
              <w:rPr>
                <w:rFonts w:ascii="宋体" w:hAnsi="宋体"/>
                <w:color w:val="auto"/>
                <w:sz w:val="24"/>
                <w:szCs w:val="24"/>
              </w:rPr>
              <w:t>1.4</w:t>
            </w:r>
            <w:r>
              <w:rPr>
                <w:rFonts w:hint="eastAsia" w:ascii="宋体" w:hAnsi="宋体"/>
                <w:color w:val="auto"/>
                <w:sz w:val="24"/>
                <w:szCs w:val="24"/>
              </w:rPr>
              <w:t>款规定</w:t>
            </w:r>
          </w:p>
        </w:tc>
      </w:tr>
      <w:tr w14:paraId="73AA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restart"/>
            <w:vAlign w:val="center"/>
          </w:tcPr>
          <w:p w14:paraId="39C995CC">
            <w:pPr>
              <w:pStyle w:val="66"/>
              <w:spacing w:line="360" w:lineRule="auto"/>
              <w:ind w:right="-160" w:rightChars="-76"/>
              <w:jc w:val="center"/>
              <w:rPr>
                <w:rFonts w:hAnsi="宋体"/>
                <w:color w:val="auto"/>
                <w:szCs w:val="24"/>
              </w:rPr>
            </w:pPr>
            <w:r>
              <w:rPr>
                <w:rFonts w:hAnsi="宋体"/>
                <w:color w:val="auto"/>
                <w:szCs w:val="24"/>
              </w:rPr>
              <w:t>2.1.2</w:t>
            </w:r>
          </w:p>
        </w:tc>
        <w:tc>
          <w:tcPr>
            <w:tcW w:w="560" w:type="dxa"/>
            <w:vMerge w:val="restart"/>
            <w:vAlign w:val="center"/>
          </w:tcPr>
          <w:p w14:paraId="07904C7E">
            <w:pPr>
              <w:pStyle w:val="66"/>
              <w:spacing w:line="360" w:lineRule="auto"/>
              <w:jc w:val="center"/>
              <w:rPr>
                <w:rFonts w:hAnsi="宋体"/>
                <w:color w:val="auto"/>
                <w:szCs w:val="24"/>
              </w:rPr>
            </w:pPr>
            <w:r>
              <w:rPr>
                <w:rFonts w:hint="eastAsia" w:hAnsi="宋体"/>
                <w:color w:val="auto"/>
                <w:szCs w:val="24"/>
              </w:rPr>
              <w:t>符</w:t>
            </w:r>
          </w:p>
          <w:p w14:paraId="694CE584">
            <w:pPr>
              <w:pStyle w:val="66"/>
              <w:spacing w:line="360" w:lineRule="auto"/>
              <w:jc w:val="center"/>
              <w:rPr>
                <w:rFonts w:hAnsi="宋体"/>
                <w:color w:val="auto"/>
                <w:szCs w:val="24"/>
              </w:rPr>
            </w:pPr>
            <w:r>
              <w:rPr>
                <w:rFonts w:hint="eastAsia" w:hAnsi="宋体"/>
                <w:color w:val="auto"/>
                <w:szCs w:val="24"/>
              </w:rPr>
              <w:t>合</w:t>
            </w:r>
          </w:p>
          <w:p w14:paraId="6DFD770D">
            <w:pPr>
              <w:pStyle w:val="66"/>
              <w:spacing w:line="360" w:lineRule="auto"/>
              <w:jc w:val="center"/>
              <w:rPr>
                <w:rFonts w:hAnsi="宋体"/>
                <w:color w:val="auto"/>
                <w:szCs w:val="24"/>
              </w:rPr>
            </w:pPr>
            <w:r>
              <w:rPr>
                <w:rFonts w:hint="eastAsia" w:hAnsi="宋体"/>
                <w:color w:val="auto"/>
                <w:szCs w:val="24"/>
              </w:rPr>
              <w:t>性</w:t>
            </w:r>
          </w:p>
          <w:p w14:paraId="786A2939">
            <w:pPr>
              <w:pStyle w:val="66"/>
              <w:spacing w:line="360" w:lineRule="auto"/>
              <w:jc w:val="center"/>
              <w:rPr>
                <w:rFonts w:hAnsi="宋体"/>
                <w:color w:val="auto"/>
                <w:szCs w:val="24"/>
              </w:rPr>
            </w:pPr>
            <w:r>
              <w:rPr>
                <w:rFonts w:hint="eastAsia" w:hAnsi="宋体"/>
                <w:color w:val="auto"/>
                <w:szCs w:val="24"/>
              </w:rPr>
              <w:t>审</w:t>
            </w:r>
          </w:p>
          <w:p w14:paraId="67AE3016">
            <w:pPr>
              <w:pStyle w:val="66"/>
              <w:spacing w:line="360" w:lineRule="auto"/>
              <w:jc w:val="center"/>
              <w:rPr>
                <w:rFonts w:hAnsi="宋体"/>
                <w:color w:val="auto"/>
                <w:szCs w:val="24"/>
              </w:rPr>
            </w:pPr>
            <w:r>
              <w:rPr>
                <w:rFonts w:hint="eastAsia" w:hAnsi="宋体"/>
                <w:color w:val="auto"/>
                <w:szCs w:val="24"/>
              </w:rPr>
              <w:t>查</w:t>
            </w:r>
          </w:p>
        </w:tc>
        <w:tc>
          <w:tcPr>
            <w:tcW w:w="960" w:type="dxa"/>
            <w:vMerge w:val="restart"/>
            <w:vAlign w:val="center"/>
          </w:tcPr>
          <w:p w14:paraId="546A4F61">
            <w:pPr>
              <w:pStyle w:val="66"/>
              <w:adjustRightInd/>
              <w:snapToGrid w:val="0"/>
              <w:jc w:val="center"/>
              <w:rPr>
                <w:rFonts w:hAnsi="宋体"/>
                <w:color w:val="auto"/>
                <w:szCs w:val="24"/>
              </w:rPr>
            </w:pPr>
            <w:r>
              <w:rPr>
                <w:rFonts w:hint="eastAsia" w:hAnsi="宋体"/>
                <w:color w:val="auto"/>
                <w:szCs w:val="24"/>
              </w:rPr>
              <w:t>有效性</w:t>
            </w:r>
          </w:p>
        </w:tc>
        <w:tc>
          <w:tcPr>
            <w:tcW w:w="2217" w:type="dxa"/>
            <w:vAlign w:val="center"/>
          </w:tcPr>
          <w:p w14:paraId="09145EBD">
            <w:pPr>
              <w:pStyle w:val="66"/>
              <w:adjustRightInd/>
              <w:snapToGrid w:val="0"/>
              <w:jc w:val="center"/>
              <w:rPr>
                <w:rFonts w:hAnsi="宋体"/>
                <w:color w:val="auto"/>
                <w:szCs w:val="24"/>
              </w:rPr>
            </w:pPr>
            <w:r>
              <w:rPr>
                <w:rFonts w:hint="eastAsia" w:hAnsi="宋体"/>
                <w:color w:val="auto"/>
                <w:szCs w:val="24"/>
              </w:rPr>
              <w:t>投标人名称</w:t>
            </w:r>
          </w:p>
        </w:tc>
        <w:tc>
          <w:tcPr>
            <w:tcW w:w="5736" w:type="dxa"/>
            <w:vAlign w:val="center"/>
          </w:tcPr>
          <w:p w14:paraId="6B7E4DC5">
            <w:pPr>
              <w:pStyle w:val="66"/>
              <w:adjustRightInd/>
              <w:snapToGrid w:val="0"/>
              <w:rPr>
                <w:rFonts w:hAnsi="宋体"/>
                <w:color w:val="auto"/>
                <w:szCs w:val="24"/>
              </w:rPr>
            </w:pPr>
            <w:r>
              <w:rPr>
                <w:rFonts w:hint="eastAsia" w:hAnsi="宋体"/>
                <w:color w:val="auto"/>
                <w:szCs w:val="24"/>
              </w:rPr>
              <w:t>与营业执照证等证照及签章一致</w:t>
            </w:r>
          </w:p>
        </w:tc>
      </w:tr>
      <w:tr w14:paraId="6534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continue"/>
            <w:vAlign w:val="center"/>
          </w:tcPr>
          <w:p w14:paraId="6A2AAAD4">
            <w:pPr>
              <w:pStyle w:val="66"/>
              <w:spacing w:line="360" w:lineRule="auto"/>
              <w:jc w:val="center"/>
              <w:rPr>
                <w:rFonts w:hAnsi="宋体"/>
                <w:color w:val="auto"/>
                <w:szCs w:val="24"/>
              </w:rPr>
            </w:pPr>
          </w:p>
        </w:tc>
        <w:tc>
          <w:tcPr>
            <w:tcW w:w="560" w:type="dxa"/>
            <w:vMerge w:val="continue"/>
            <w:vAlign w:val="center"/>
          </w:tcPr>
          <w:p w14:paraId="253258E4">
            <w:pPr>
              <w:pStyle w:val="66"/>
              <w:spacing w:line="360" w:lineRule="auto"/>
              <w:jc w:val="center"/>
              <w:rPr>
                <w:rFonts w:hAnsi="宋体"/>
                <w:color w:val="auto"/>
                <w:szCs w:val="24"/>
              </w:rPr>
            </w:pPr>
          </w:p>
        </w:tc>
        <w:tc>
          <w:tcPr>
            <w:tcW w:w="960" w:type="dxa"/>
            <w:vMerge w:val="continue"/>
            <w:vAlign w:val="center"/>
          </w:tcPr>
          <w:p w14:paraId="3456B047">
            <w:pPr>
              <w:pStyle w:val="66"/>
              <w:adjustRightInd/>
              <w:snapToGrid w:val="0"/>
              <w:jc w:val="center"/>
              <w:rPr>
                <w:rFonts w:hAnsi="宋体"/>
                <w:color w:val="auto"/>
                <w:szCs w:val="24"/>
              </w:rPr>
            </w:pPr>
          </w:p>
        </w:tc>
        <w:tc>
          <w:tcPr>
            <w:tcW w:w="2217" w:type="dxa"/>
            <w:vAlign w:val="center"/>
          </w:tcPr>
          <w:p w14:paraId="0D494750">
            <w:pPr>
              <w:pStyle w:val="66"/>
              <w:adjustRightInd/>
              <w:snapToGrid w:val="0"/>
              <w:jc w:val="center"/>
              <w:rPr>
                <w:rFonts w:hAnsi="宋体"/>
                <w:color w:val="auto"/>
                <w:szCs w:val="24"/>
              </w:rPr>
            </w:pPr>
            <w:r>
              <w:rPr>
                <w:rFonts w:hint="eastAsia" w:hAnsi="宋体"/>
                <w:color w:val="auto"/>
                <w:szCs w:val="24"/>
              </w:rPr>
              <w:t>签字或盖章</w:t>
            </w:r>
          </w:p>
        </w:tc>
        <w:tc>
          <w:tcPr>
            <w:tcW w:w="5736" w:type="dxa"/>
            <w:vAlign w:val="center"/>
          </w:tcPr>
          <w:p w14:paraId="18EE8797">
            <w:pPr>
              <w:pStyle w:val="66"/>
              <w:adjustRightInd/>
              <w:snapToGrid w:val="0"/>
              <w:rPr>
                <w:rFonts w:hAnsi="宋体"/>
                <w:color w:val="auto"/>
                <w:szCs w:val="24"/>
              </w:rPr>
            </w:pPr>
            <w:r>
              <w:rPr>
                <w:rFonts w:hint="eastAsia" w:hAnsi="宋体"/>
                <w:color w:val="auto"/>
                <w:szCs w:val="24"/>
              </w:rPr>
              <w:t>符合第三章“投标人须知”</w:t>
            </w:r>
            <w:r>
              <w:rPr>
                <w:rFonts w:hAnsi="宋体"/>
                <w:color w:val="auto"/>
                <w:szCs w:val="24"/>
              </w:rPr>
              <w:t>3.7.</w:t>
            </w:r>
            <w:r>
              <w:rPr>
                <w:rFonts w:hint="eastAsia" w:hAnsi="宋体"/>
                <w:color w:val="auto"/>
                <w:szCs w:val="24"/>
              </w:rPr>
              <w:t>4项规定</w:t>
            </w:r>
          </w:p>
        </w:tc>
      </w:tr>
      <w:tr w14:paraId="27D5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0825009C">
            <w:pPr>
              <w:pStyle w:val="66"/>
              <w:spacing w:line="360" w:lineRule="auto"/>
              <w:jc w:val="center"/>
              <w:rPr>
                <w:rFonts w:hAnsi="宋体"/>
                <w:color w:val="auto"/>
                <w:szCs w:val="24"/>
              </w:rPr>
            </w:pPr>
          </w:p>
        </w:tc>
        <w:tc>
          <w:tcPr>
            <w:tcW w:w="560" w:type="dxa"/>
            <w:vMerge w:val="continue"/>
            <w:vAlign w:val="center"/>
          </w:tcPr>
          <w:p w14:paraId="64F0432C">
            <w:pPr>
              <w:pStyle w:val="66"/>
              <w:spacing w:line="360" w:lineRule="auto"/>
              <w:jc w:val="center"/>
              <w:rPr>
                <w:rFonts w:hAnsi="宋体"/>
                <w:color w:val="auto"/>
                <w:szCs w:val="24"/>
              </w:rPr>
            </w:pPr>
          </w:p>
        </w:tc>
        <w:tc>
          <w:tcPr>
            <w:tcW w:w="960" w:type="dxa"/>
            <w:vAlign w:val="center"/>
          </w:tcPr>
          <w:p w14:paraId="427A3DD5">
            <w:pPr>
              <w:pStyle w:val="66"/>
              <w:adjustRightInd/>
              <w:snapToGrid w:val="0"/>
              <w:jc w:val="center"/>
              <w:rPr>
                <w:rFonts w:hAnsi="宋体"/>
                <w:color w:val="auto"/>
                <w:szCs w:val="24"/>
              </w:rPr>
            </w:pPr>
            <w:r>
              <w:rPr>
                <w:rFonts w:hint="eastAsia" w:hAnsi="宋体"/>
                <w:color w:val="auto"/>
                <w:szCs w:val="24"/>
              </w:rPr>
              <w:t>完整性</w:t>
            </w:r>
          </w:p>
        </w:tc>
        <w:tc>
          <w:tcPr>
            <w:tcW w:w="2217" w:type="dxa"/>
            <w:vAlign w:val="center"/>
          </w:tcPr>
          <w:p w14:paraId="7492F0DF">
            <w:pPr>
              <w:pStyle w:val="66"/>
              <w:adjustRightInd/>
              <w:snapToGrid w:val="0"/>
              <w:jc w:val="center"/>
              <w:rPr>
                <w:rFonts w:hAnsi="宋体"/>
                <w:color w:val="auto"/>
                <w:szCs w:val="24"/>
              </w:rPr>
            </w:pPr>
            <w:r>
              <w:rPr>
                <w:rFonts w:hint="eastAsia" w:hAnsi="宋体"/>
                <w:color w:val="auto"/>
                <w:szCs w:val="24"/>
              </w:rPr>
              <w:t>投标文件组成</w:t>
            </w:r>
          </w:p>
        </w:tc>
        <w:tc>
          <w:tcPr>
            <w:tcW w:w="5736" w:type="dxa"/>
            <w:vAlign w:val="center"/>
          </w:tcPr>
          <w:p w14:paraId="73A40222">
            <w:pPr>
              <w:pStyle w:val="66"/>
              <w:adjustRightInd/>
              <w:snapToGrid w:val="0"/>
              <w:rPr>
                <w:rFonts w:hAnsi="宋体"/>
                <w:color w:val="auto"/>
                <w:szCs w:val="24"/>
              </w:rPr>
            </w:pPr>
            <w:r>
              <w:rPr>
                <w:rFonts w:hint="eastAsia" w:hAnsi="宋体"/>
                <w:color w:val="auto"/>
                <w:szCs w:val="24"/>
              </w:rPr>
              <w:t>符合第三章“投标人须知”</w:t>
            </w:r>
            <w:r>
              <w:rPr>
                <w:rFonts w:hAnsi="宋体"/>
                <w:color w:val="auto"/>
                <w:szCs w:val="24"/>
              </w:rPr>
              <w:t>3.2</w:t>
            </w:r>
            <w:r>
              <w:rPr>
                <w:rFonts w:hint="eastAsia" w:hAnsi="宋体"/>
                <w:color w:val="auto"/>
                <w:szCs w:val="24"/>
              </w:rPr>
              <w:t>款规定</w:t>
            </w:r>
          </w:p>
        </w:tc>
      </w:tr>
      <w:tr w14:paraId="1FCC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46A457E1">
            <w:pPr>
              <w:pStyle w:val="66"/>
              <w:spacing w:line="360" w:lineRule="auto"/>
              <w:jc w:val="center"/>
              <w:rPr>
                <w:rFonts w:hAnsi="宋体"/>
                <w:color w:val="auto"/>
                <w:szCs w:val="24"/>
              </w:rPr>
            </w:pPr>
          </w:p>
        </w:tc>
        <w:tc>
          <w:tcPr>
            <w:tcW w:w="560" w:type="dxa"/>
            <w:vMerge w:val="continue"/>
            <w:vAlign w:val="center"/>
          </w:tcPr>
          <w:p w14:paraId="2F1A6D48">
            <w:pPr>
              <w:pStyle w:val="66"/>
              <w:spacing w:line="360" w:lineRule="auto"/>
              <w:jc w:val="center"/>
              <w:rPr>
                <w:rFonts w:hAnsi="宋体"/>
                <w:color w:val="auto"/>
                <w:szCs w:val="24"/>
              </w:rPr>
            </w:pPr>
          </w:p>
        </w:tc>
        <w:tc>
          <w:tcPr>
            <w:tcW w:w="960" w:type="dxa"/>
            <w:vMerge w:val="restart"/>
            <w:vAlign w:val="center"/>
          </w:tcPr>
          <w:p w14:paraId="453CB9F3">
            <w:pPr>
              <w:pStyle w:val="66"/>
              <w:snapToGrid w:val="0"/>
              <w:jc w:val="center"/>
              <w:rPr>
                <w:rFonts w:hAnsi="宋体"/>
                <w:color w:val="auto"/>
                <w:szCs w:val="24"/>
              </w:rPr>
            </w:pPr>
            <w:r>
              <w:rPr>
                <w:rFonts w:hint="eastAsia" w:hAnsi="宋体"/>
                <w:color w:val="auto"/>
                <w:szCs w:val="24"/>
              </w:rPr>
              <w:t>响应程度</w:t>
            </w:r>
          </w:p>
        </w:tc>
        <w:tc>
          <w:tcPr>
            <w:tcW w:w="2217" w:type="dxa"/>
            <w:vAlign w:val="center"/>
          </w:tcPr>
          <w:p w14:paraId="535723F0">
            <w:pPr>
              <w:pStyle w:val="66"/>
              <w:adjustRightInd/>
              <w:snapToGrid w:val="0"/>
              <w:jc w:val="center"/>
              <w:rPr>
                <w:rFonts w:hAnsi="宋体"/>
                <w:color w:val="auto"/>
                <w:szCs w:val="24"/>
              </w:rPr>
            </w:pPr>
            <w:r>
              <w:rPr>
                <w:rFonts w:hint="eastAsia" w:hAnsi="宋体"/>
                <w:color w:val="auto"/>
                <w:szCs w:val="24"/>
              </w:rPr>
              <w:t>投标报价</w:t>
            </w:r>
          </w:p>
        </w:tc>
        <w:tc>
          <w:tcPr>
            <w:tcW w:w="5736" w:type="dxa"/>
            <w:vAlign w:val="center"/>
          </w:tcPr>
          <w:p w14:paraId="7D1476E4">
            <w:pPr>
              <w:pStyle w:val="66"/>
              <w:adjustRightInd/>
              <w:snapToGrid w:val="0"/>
              <w:rPr>
                <w:rFonts w:hAnsi="宋体"/>
                <w:color w:val="auto"/>
                <w:szCs w:val="24"/>
              </w:rPr>
            </w:pPr>
            <w:r>
              <w:rPr>
                <w:rFonts w:hint="eastAsia" w:hAnsi="宋体"/>
                <w:color w:val="auto"/>
                <w:szCs w:val="24"/>
              </w:rPr>
              <w:t>符合第二章“采购项目及服务要求”</w:t>
            </w:r>
            <w:r>
              <w:rPr>
                <w:rFonts w:hAnsi="宋体"/>
                <w:color w:val="auto"/>
                <w:szCs w:val="24"/>
              </w:rPr>
              <w:t>1.3</w:t>
            </w:r>
            <w:r>
              <w:rPr>
                <w:rFonts w:hint="eastAsia" w:hAnsi="宋体"/>
                <w:color w:val="auto"/>
                <w:szCs w:val="24"/>
              </w:rPr>
              <w:t>款规定</w:t>
            </w:r>
          </w:p>
        </w:tc>
      </w:tr>
      <w:tr w14:paraId="4495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391507E1">
            <w:pPr>
              <w:pStyle w:val="66"/>
              <w:spacing w:line="360" w:lineRule="auto"/>
              <w:jc w:val="center"/>
              <w:rPr>
                <w:rFonts w:hAnsi="宋体"/>
                <w:color w:val="auto"/>
                <w:szCs w:val="24"/>
              </w:rPr>
            </w:pPr>
          </w:p>
        </w:tc>
        <w:tc>
          <w:tcPr>
            <w:tcW w:w="560" w:type="dxa"/>
            <w:vMerge w:val="continue"/>
            <w:vAlign w:val="center"/>
          </w:tcPr>
          <w:p w14:paraId="369808EA">
            <w:pPr>
              <w:pStyle w:val="66"/>
              <w:spacing w:line="360" w:lineRule="auto"/>
              <w:jc w:val="center"/>
              <w:rPr>
                <w:rFonts w:hAnsi="宋体"/>
                <w:color w:val="auto"/>
                <w:szCs w:val="24"/>
              </w:rPr>
            </w:pPr>
          </w:p>
        </w:tc>
        <w:tc>
          <w:tcPr>
            <w:tcW w:w="960" w:type="dxa"/>
            <w:vMerge w:val="continue"/>
            <w:vAlign w:val="center"/>
          </w:tcPr>
          <w:p w14:paraId="27D740B3">
            <w:pPr>
              <w:pStyle w:val="66"/>
              <w:snapToGrid w:val="0"/>
              <w:jc w:val="center"/>
              <w:rPr>
                <w:rFonts w:hAnsi="宋体"/>
                <w:color w:val="auto"/>
                <w:szCs w:val="24"/>
              </w:rPr>
            </w:pPr>
          </w:p>
        </w:tc>
        <w:tc>
          <w:tcPr>
            <w:tcW w:w="2217" w:type="dxa"/>
            <w:vAlign w:val="center"/>
          </w:tcPr>
          <w:p w14:paraId="54DBB198">
            <w:pPr>
              <w:pStyle w:val="66"/>
              <w:adjustRightInd/>
              <w:snapToGrid w:val="0"/>
              <w:jc w:val="center"/>
              <w:rPr>
                <w:rFonts w:hAnsi="宋体"/>
                <w:color w:val="auto"/>
                <w:szCs w:val="24"/>
              </w:rPr>
            </w:pPr>
            <w:r>
              <w:rPr>
                <w:rFonts w:hint="eastAsia" w:hAnsi="宋体"/>
                <w:color w:val="auto"/>
                <w:szCs w:val="24"/>
              </w:rPr>
              <w:t>投标内容、</w:t>
            </w:r>
          </w:p>
          <w:p w14:paraId="70397144">
            <w:pPr>
              <w:pStyle w:val="66"/>
              <w:adjustRightInd/>
              <w:snapToGrid w:val="0"/>
              <w:jc w:val="center"/>
              <w:rPr>
                <w:rFonts w:hAnsi="宋体"/>
                <w:color w:val="auto"/>
                <w:szCs w:val="24"/>
              </w:rPr>
            </w:pPr>
            <w:r>
              <w:rPr>
                <w:rFonts w:hint="eastAsia" w:hAnsi="宋体"/>
                <w:color w:val="auto"/>
                <w:szCs w:val="24"/>
              </w:rPr>
              <w:t>服务要求</w:t>
            </w:r>
          </w:p>
        </w:tc>
        <w:tc>
          <w:tcPr>
            <w:tcW w:w="5736" w:type="dxa"/>
            <w:vAlign w:val="center"/>
          </w:tcPr>
          <w:p w14:paraId="79408E29">
            <w:pPr>
              <w:pStyle w:val="66"/>
              <w:adjustRightInd/>
              <w:snapToGrid w:val="0"/>
              <w:rPr>
                <w:rFonts w:hAnsi="宋体"/>
                <w:color w:val="auto"/>
                <w:szCs w:val="24"/>
              </w:rPr>
            </w:pPr>
            <w:r>
              <w:rPr>
                <w:rFonts w:hint="eastAsia" w:hAnsi="宋体"/>
                <w:color w:val="auto"/>
                <w:szCs w:val="24"/>
              </w:rPr>
              <w:t>符合第二章“采购项目及服务要求”第</w:t>
            </w:r>
            <w:r>
              <w:rPr>
                <w:rFonts w:hAnsi="宋体"/>
                <w:color w:val="auto"/>
                <w:szCs w:val="24"/>
              </w:rPr>
              <w:t>2</w:t>
            </w:r>
            <w:r>
              <w:rPr>
                <w:rFonts w:hint="eastAsia" w:hAnsi="宋体"/>
                <w:color w:val="auto"/>
                <w:szCs w:val="24"/>
              </w:rPr>
              <w:t>条规定</w:t>
            </w:r>
          </w:p>
        </w:tc>
      </w:tr>
      <w:tr w14:paraId="482A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08A64D7C">
            <w:pPr>
              <w:pStyle w:val="66"/>
              <w:spacing w:line="360" w:lineRule="auto"/>
              <w:jc w:val="center"/>
              <w:rPr>
                <w:rFonts w:hAnsi="宋体"/>
                <w:color w:val="auto"/>
                <w:szCs w:val="24"/>
              </w:rPr>
            </w:pPr>
          </w:p>
        </w:tc>
        <w:tc>
          <w:tcPr>
            <w:tcW w:w="560" w:type="dxa"/>
            <w:vMerge w:val="continue"/>
            <w:vAlign w:val="center"/>
          </w:tcPr>
          <w:p w14:paraId="17A27FBD">
            <w:pPr>
              <w:pStyle w:val="66"/>
              <w:spacing w:line="360" w:lineRule="auto"/>
              <w:jc w:val="center"/>
              <w:rPr>
                <w:rFonts w:hAnsi="宋体"/>
                <w:color w:val="auto"/>
                <w:szCs w:val="24"/>
              </w:rPr>
            </w:pPr>
          </w:p>
        </w:tc>
        <w:tc>
          <w:tcPr>
            <w:tcW w:w="960" w:type="dxa"/>
            <w:vMerge w:val="continue"/>
            <w:vAlign w:val="center"/>
          </w:tcPr>
          <w:p w14:paraId="79558C3B">
            <w:pPr>
              <w:pStyle w:val="66"/>
              <w:snapToGrid w:val="0"/>
              <w:jc w:val="center"/>
              <w:rPr>
                <w:rFonts w:hAnsi="宋体"/>
                <w:color w:val="auto"/>
                <w:szCs w:val="24"/>
              </w:rPr>
            </w:pPr>
          </w:p>
        </w:tc>
        <w:tc>
          <w:tcPr>
            <w:tcW w:w="2217" w:type="dxa"/>
            <w:vAlign w:val="center"/>
          </w:tcPr>
          <w:p w14:paraId="6885DFAC">
            <w:pPr>
              <w:pStyle w:val="66"/>
              <w:adjustRightInd/>
              <w:snapToGrid w:val="0"/>
              <w:jc w:val="center"/>
              <w:rPr>
                <w:rFonts w:hAnsi="宋体"/>
                <w:color w:val="auto"/>
                <w:szCs w:val="24"/>
              </w:rPr>
            </w:pPr>
            <w:r>
              <w:rPr>
                <w:rFonts w:hint="eastAsia" w:hAnsi="宋体"/>
                <w:color w:val="auto"/>
                <w:szCs w:val="24"/>
              </w:rPr>
              <w:t>服务期、服务地</w:t>
            </w:r>
          </w:p>
        </w:tc>
        <w:tc>
          <w:tcPr>
            <w:tcW w:w="5736" w:type="dxa"/>
            <w:vAlign w:val="center"/>
          </w:tcPr>
          <w:p w14:paraId="0D0C4907">
            <w:pPr>
              <w:pStyle w:val="66"/>
              <w:adjustRightInd/>
              <w:snapToGrid w:val="0"/>
              <w:jc w:val="both"/>
              <w:rPr>
                <w:rFonts w:hAnsi="宋体"/>
                <w:color w:val="auto"/>
                <w:szCs w:val="24"/>
              </w:rPr>
            </w:pPr>
            <w:r>
              <w:rPr>
                <w:rFonts w:hint="eastAsia" w:hAnsi="宋体"/>
                <w:color w:val="auto"/>
                <w:szCs w:val="24"/>
              </w:rPr>
              <w:t>符合第二章“采购项目及服务要求”</w:t>
            </w:r>
            <w:r>
              <w:rPr>
                <w:rFonts w:hAnsi="宋体"/>
                <w:color w:val="auto"/>
                <w:szCs w:val="24"/>
              </w:rPr>
              <w:t>1.2</w:t>
            </w:r>
            <w:r>
              <w:rPr>
                <w:rFonts w:hint="eastAsia" w:hAnsi="宋体"/>
                <w:color w:val="auto"/>
                <w:szCs w:val="24"/>
              </w:rPr>
              <w:t>款规定</w:t>
            </w:r>
          </w:p>
        </w:tc>
      </w:tr>
      <w:tr w14:paraId="33CB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64" w:type="dxa"/>
            <w:vMerge w:val="continue"/>
            <w:vAlign w:val="center"/>
          </w:tcPr>
          <w:p w14:paraId="07EA4FD2">
            <w:pPr>
              <w:pStyle w:val="66"/>
              <w:spacing w:line="360" w:lineRule="auto"/>
              <w:jc w:val="center"/>
              <w:rPr>
                <w:rFonts w:hAnsi="宋体"/>
                <w:color w:val="auto"/>
                <w:szCs w:val="24"/>
              </w:rPr>
            </w:pPr>
          </w:p>
        </w:tc>
        <w:tc>
          <w:tcPr>
            <w:tcW w:w="560" w:type="dxa"/>
            <w:vMerge w:val="continue"/>
            <w:vAlign w:val="center"/>
          </w:tcPr>
          <w:p w14:paraId="146AEF0B">
            <w:pPr>
              <w:pStyle w:val="66"/>
              <w:spacing w:line="360" w:lineRule="auto"/>
              <w:jc w:val="center"/>
              <w:rPr>
                <w:rFonts w:hAnsi="宋体"/>
                <w:color w:val="auto"/>
                <w:szCs w:val="24"/>
              </w:rPr>
            </w:pPr>
          </w:p>
        </w:tc>
        <w:tc>
          <w:tcPr>
            <w:tcW w:w="960" w:type="dxa"/>
            <w:vMerge w:val="continue"/>
            <w:vAlign w:val="center"/>
          </w:tcPr>
          <w:p w14:paraId="730E6EC9">
            <w:pPr>
              <w:pStyle w:val="66"/>
              <w:adjustRightInd/>
              <w:snapToGrid w:val="0"/>
              <w:jc w:val="center"/>
              <w:rPr>
                <w:rFonts w:hAnsi="宋体"/>
                <w:color w:val="auto"/>
                <w:szCs w:val="24"/>
              </w:rPr>
            </w:pPr>
          </w:p>
        </w:tc>
        <w:tc>
          <w:tcPr>
            <w:tcW w:w="2217" w:type="dxa"/>
            <w:vAlign w:val="center"/>
          </w:tcPr>
          <w:p w14:paraId="367A27DA">
            <w:pPr>
              <w:pStyle w:val="66"/>
              <w:adjustRightInd/>
              <w:snapToGrid w:val="0"/>
              <w:jc w:val="center"/>
              <w:rPr>
                <w:rFonts w:hAnsi="宋体"/>
                <w:color w:val="auto"/>
                <w:szCs w:val="24"/>
              </w:rPr>
            </w:pPr>
            <w:r>
              <w:rPr>
                <w:rFonts w:hint="eastAsia" w:hAnsi="宋体"/>
                <w:color w:val="auto"/>
                <w:szCs w:val="24"/>
              </w:rPr>
              <w:t>投标有效期</w:t>
            </w:r>
          </w:p>
        </w:tc>
        <w:tc>
          <w:tcPr>
            <w:tcW w:w="5736" w:type="dxa"/>
            <w:vAlign w:val="center"/>
          </w:tcPr>
          <w:p w14:paraId="5F023482">
            <w:pPr>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3.4</w:t>
            </w:r>
            <w:r>
              <w:rPr>
                <w:rFonts w:hint="eastAsia" w:ascii="宋体" w:hAnsi="宋体"/>
                <w:color w:val="auto"/>
                <w:sz w:val="24"/>
              </w:rPr>
              <w:t>款规定</w:t>
            </w:r>
          </w:p>
        </w:tc>
      </w:tr>
      <w:tr w14:paraId="6F50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64" w:type="dxa"/>
            <w:vMerge w:val="continue"/>
            <w:vAlign w:val="center"/>
          </w:tcPr>
          <w:p w14:paraId="5EE6F3E3">
            <w:pPr>
              <w:pStyle w:val="66"/>
              <w:spacing w:line="360" w:lineRule="auto"/>
              <w:jc w:val="center"/>
              <w:rPr>
                <w:rFonts w:hAnsi="宋体"/>
                <w:color w:val="auto"/>
                <w:szCs w:val="24"/>
              </w:rPr>
            </w:pPr>
          </w:p>
        </w:tc>
        <w:tc>
          <w:tcPr>
            <w:tcW w:w="560" w:type="dxa"/>
            <w:vMerge w:val="continue"/>
            <w:vAlign w:val="center"/>
          </w:tcPr>
          <w:p w14:paraId="3DEF3A0D">
            <w:pPr>
              <w:pStyle w:val="66"/>
              <w:spacing w:line="360" w:lineRule="auto"/>
              <w:jc w:val="center"/>
              <w:rPr>
                <w:rFonts w:hAnsi="宋体"/>
                <w:color w:val="auto"/>
                <w:szCs w:val="24"/>
              </w:rPr>
            </w:pPr>
          </w:p>
        </w:tc>
        <w:tc>
          <w:tcPr>
            <w:tcW w:w="960" w:type="dxa"/>
            <w:vMerge w:val="continue"/>
            <w:vAlign w:val="center"/>
          </w:tcPr>
          <w:p w14:paraId="08F2BD6E">
            <w:pPr>
              <w:pStyle w:val="66"/>
              <w:adjustRightInd/>
              <w:snapToGrid w:val="0"/>
              <w:jc w:val="center"/>
              <w:rPr>
                <w:rFonts w:hAnsi="宋体"/>
                <w:color w:val="auto"/>
                <w:szCs w:val="24"/>
              </w:rPr>
            </w:pPr>
          </w:p>
        </w:tc>
        <w:tc>
          <w:tcPr>
            <w:tcW w:w="2217" w:type="dxa"/>
            <w:vAlign w:val="center"/>
          </w:tcPr>
          <w:p w14:paraId="323CF1D8">
            <w:pPr>
              <w:pStyle w:val="66"/>
              <w:adjustRightInd/>
              <w:snapToGrid w:val="0"/>
              <w:jc w:val="center"/>
              <w:rPr>
                <w:rFonts w:hAnsi="宋体"/>
                <w:color w:val="auto"/>
                <w:szCs w:val="24"/>
              </w:rPr>
            </w:pPr>
            <w:r>
              <w:rPr>
                <w:rFonts w:hint="eastAsia" w:hAnsi="宋体"/>
                <w:color w:val="auto"/>
                <w:szCs w:val="24"/>
              </w:rPr>
              <w:t>投标文件格式</w:t>
            </w:r>
          </w:p>
        </w:tc>
        <w:tc>
          <w:tcPr>
            <w:tcW w:w="5736" w:type="dxa"/>
            <w:vAlign w:val="center"/>
          </w:tcPr>
          <w:p w14:paraId="35D6456D">
            <w:pPr>
              <w:pStyle w:val="66"/>
              <w:adjustRightInd/>
              <w:snapToGrid w:val="0"/>
              <w:rPr>
                <w:rFonts w:hAnsi="宋体"/>
                <w:color w:val="auto"/>
                <w:szCs w:val="24"/>
              </w:rPr>
            </w:pPr>
            <w:r>
              <w:rPr>
                <w:rFonts w:hint="eastAsia" w:hAnsi="宋体"/>
                <w:color w:val="auto"/>
                <w:szCs w:val="24"/>
              </w:rPr>
              <w:t>符合第六章“投标文件格式”规定</w:t>
            </w:r>
          </w:p>
        </w:tc>
      </w:tr>
      <w:tr w14:paraId="49D9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3EF798C2">
            <w:pPr>
              <w:pStyle w:val="66"/>
              <w:spacing w:line="360" w:lineRule="auto"/>
              <w:jc w:val="center"/>
              <w:rPr>
                <w:rFonts w:hAnsi="宋体"/>
                <w:color w:val="auto"/>
                <w:szCs w:val="24"/>
              </w:rPr>
            </w:pPr>
          </w:p>
        </w:tc>
        <w:tc>
          <w:tcPr>
            <w:tcW w:w="560" w:type="dxa"/>
            <w:vMerge w:val="continue"/>
            <w:vAlign w:val="center"/>
          </w:tcPr>
          <w:p w14:paraId="7FA9D3E8">
            <w:pPr>
              <w:pStyle w:val="66"/>
              <w:spacing w:line="360" w:lineRule="auto"/>
              <w:jc w:val="center"/>
              <w:rPr>
                <w:rFonts w:hAnsi="宋体"/>
                <w:color w:val="auto"/>
                <w:szCs w:val="24"/>
              </w:rPr>
            </w:pPr>
          </w:p>
        </w:tc>
        <w:tc>
          <w:tcPr>
            <w:tcW w:w="960" w:type="dxa"/>
            <w:vMerge w:val="continue"/>
            <w:vAlign w:val="center"/>
          </w:tcPr>
          <w:p w14:paraId="3F72D7BB">
            <w:pPr>
              <w:pStyle w:val="66"/>
              <w:adjustRightInd/>
              <w:snapToGrid w:val="0"/>
              <w:jc w:val="center"/>
              <w:rPr>
                <w:rFonts w:hAnsi="宋体"/>
                <w:color w:val="auto"/>
                <w:szCs w:val="24"/>
              </w:rPr>
            </w:pPr>
          </w:p>
        </w:tc>
        <w:tc>
          <w:tcPr>
            <w:tcW w:w="2217" w:type="dxa"/>
            <w:vAlign w:val="center"/>
          </w:tcPr>
          <w:p w14:paraId="7C86294D">
            <w:pPr>
              <w:pStyle w:val="66"/>
              <w:adjustRightInd/>
              <w:snapToGrid w:val="0"/>
              <w:jc w:val="center"/>
              <w:rPr>
                <w:rFonts w:hAnsi="宋体"/>
                <w:color w:val="auto"/>
                <w:szCs w:val="24"/>
              </w:rPr>
            </w:pPr>
            <w:r>
              <w:rPr>
                <w:rFonts w:hint="eastAsia" w:hAnsi="宋体"/>
                <w:color w:val="auto"/>
              </w:rPr>
              <w:t>付款</w:t>
            </w:r>
          </w:p>
        </w:tc>
        <w:tc>
          <w:tcPr>
            <w:tcW w:w="5736" w:type="dxa"/>
            <w:vAlign w:val="center"/>
          </w:tcPr>
          <w:p w14:paraId="0B0906E1">
            <w:pPr>
              <w:snapToGrid w:val="0"/>
              <w:spacing w:line="240" w:lineRule="auto"/>
              <w:rPr>
                <w:rFonts w:ascii="宋体"/>
                <w:color w:val="auto"/>
                <w:sz w:val="24"/>
              </w:rPr>
            </w:pPr>
            <w:r>
              <w:rPr>
                <w:rFonts w:hint="eastAsia" w:ascii="宋体" w:hAnsi="宋体"/>
                <w:color w:val="auto"/>
                <w:sz w:val="24"/>
              </w:rPr>
              <w:t>符合第三章“投标人须知”第9条规定</w:t>
            </w:r>
          </w:p>
        </w:tc>
      </w:tr>
      <w:tr w14:paraId="4683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2ED0FD8B">
            <w:pPr>
              <w:pStyle w:val="66"/>
              <w:spacing w:line="360" w:lineRule="auto"/>
              <w:jc w:val="center"/>
              <w:rPr>
                <w:rFonts w:hAnsi="宋体"/>
                <w:color w:val="auto"/>
                <w:szCs w:val="24"/>
              </w:rPr>
            </w:pPr>
          </w:p>
        </w:tc>
        <w:tc>
          <w:tcPr>
            <w:tcW w:w="560" w:type="dxa"/>
            <w:vMerge w:val="continue"/>
            <w:vAlign w:val="center"/>
          </w:tcPr>
          <w:p w14:paraId="7D62BBBC">
            <w:pPr>
              <w:pStyle w:val="66"/>
              <w:spacing w:line="360" w:lineRule="auto"/>
              <w:jc w:val="center"/>
              <w:rPr>
                <w:rFonts w:hAnsi="宋体"/>
                <w:color w:val="auto"/>
                <w:szCs w:val="24"/>
              </w:rPr>
            </w:pPr>
          </w:p>
        </w:tc>
        <w:tc>
          <w:tcPr>
            <w:tcW w:w="960" w:type="dxa"/>
            <w:vMerge w:val="continue"/>
            <w:vAlign w:val="center"/>
          </w:tcPr>
          <w:p w14:paraId="391E6EDA">
            <w:pPr>
              <w:pStyle w:val="66"/>
              <w:adjustRightInd/>
              <w:snapToGrid w:val="0"/>
              <w:jc w:val="center"/>
              <w:rPr>
                <w:rFonts w:hAnsi="宋体"/>
                <w:color w:val="auto"/>
                <w:szCs w:val="24"/>
              </w:rPr>
            </w:pPr>
          </w:p>
        </w:tc>
        <w:tc>
          <w:tcPr>
            <w:tcW w:w="2217" w:type="dxa"/>
            <w:vAlign w:val="center"/>
          </w:tcPr>
          <w:p w14:paraId="37EEEFBB">
            <w:pPr>
              <w:pStyle w:val="66"/>
              <w:adjustRightInd/>
              <w:snapToGrid w:val="0"/>
              <w:jc w:val="center"/>
              <w:rPr>
                <w:rFonts w:hAnsi="宋体"/>
                <w:color w:val="auto"/>
              </w:rPr>
            </w:pPr>
            <w:r>
              <w:rPr>
                <w:rFonts w:hint="eastAsia" w:hAnsi="宋体"/>
                <w:color w:val="auto"/>
              </w:rPr>
              <w:t>偏差描述</w:t>
            </w:r>
          </w:p>
        </w:tc>
        <w:tc>
          <w:tcPr>
            <w:tcW w:w="5736" w:type="dxa"/>
            <w:vAlign w:val="center"/>
          </w:tcPr>
          <w:p w14:paraId="7F982850">
            <w:pPr>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3.7.3</w:t>
            </w:r>
            <w:r>
              <w:rPr>
                <w:rFonts w:hint="eastAsia" w:ascii="宋体" w:hAnsi="宋体"/>
                <w:color w:val="auto"/>
                <w:sz w:val="24"/>
              </w:rPr>
              <w:t>项规定</w:t>
            </w:r>
          </w:p>
        </w:tc>
      </w:tr>
      <w:tr w14:paraId="6F25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3860738B">
            <w:pPr>
              <w:pStyle w:val="66"/>
              <w:spacing w:line="360" w:lineRule="auto"/>
              <w:jc w:val="center"/>
              <w:rPr>
                <w:rFonts w:hAnsi="宋体"/>
                <w:color w:val="auto"/>
                <w:szCs w:val="24"/>
              </w:rPr>
            </w:pPr>
          </w:p>
        </w:tc>
        <w:tc>
          <w:tcPr>
            <w:tcW w:w="560" w:type="dxa"/>
            <w:vMerge w:val="continue"/>
            <w:vAlign w:val="center"/>
          </w:tcPr>
          <w:p w14:paraId="1E7B7382">
            <w:pPr>
              <w:pStyle w:val="66"/>
              <w:spacing w:line="360" w:lineRule="auto"/>
              <w:jc w:val="center"/>
              <w:rPr>
                <w:rFonts w:hAnsi="宋体"/>
                <w:color w:val="auto"/>
                <w:szCs w:val="24"/>
              </w:rPr>
            </w:pPr>
          </w:p>
        </w:tc>
        <w:tc>
          <w:tcPr>
            <w:tcW w:w="960" w:type="dxa"/>
            <w:vMerge w:val="continue"/>
            <w:vAlign w:val="center"/>
          </w:tcPr>
          <w:p w14:paraId="2345ACE0">
            <w:pPr>
              <w:pStyle w:val="66"/>
              <w:adjustRightInd/>
              <w:snapToGrid w:val="0"/>
              <w:jc w:val="center"/>
              <w:rPr>
                <w:rFonts w:hAnsi="宋体"/>
                <w:color w:val="auto"/>
                <w:szCs w:val="24"/>
              </w:rPr>
            </w:pPr>
          </w:p>
        </w:tc>
        <w:tc>
          <w:tcPr>
            <w:tcW w:w="2217" w:type="dxa"/>
            <w:vAlign w:val="center"/>
          </w:tcPr>
          <w:p w14:paraId="2234FCD2">
            <w:pPr>
              <w:snapToGrid w:val="0"/>
              <w:spacing w:line="240" w:lineRule="auto"/>
              <w:jc w:val="center"/>
              <w:rPr>
                <w:rFonts w:ascii="宋体"/>
                <w:color w:val="auto"/>
                <w:sz w:val="24"/>
              </w:rPr>
            </w:pPr>
            <w:r>
              <w:rPr>
                <w:rFonts w:hint="eastAsia" w:ascii="宋体" w:hAnsi="宋体"/>
                <w:color w:val="auto"/>
                <w:sz w:val="24"/>
              </w:rPr>
              <w:t>单一来源采购文件总体响应</w:t>
            </w:r>
          </w:p>
        </w:tc>
        <w:tc>
          <w:tcPr>
            <w:tcW w:w="5736" w:type="dxa"/>
            <w:vAlign w:val="center"/>
          </w:tcPr>
          <w:p w14:paraId="749DB8BC">
            <w:pPr>
              <w:autoSpaceDE w:val="0"/>
              <w:autoSpaceDN w:val="0"/>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1.3</w:t>
            </w:r>
            <w:r>
              <w:rPr>
                <w:rFonts w:hint="eastAsia" w:ascii="宋体" w:hAnsi="宋体"/>
                <w:color w:val="auto"/>
                <w:sz w:val="24"/>
              </w:rPr>
              <w:t>项规定</w:t>
            </w:r>
          </w:p>
        </w:tc>
      </w:tr>
      <w:tr w14:paraId="3ACF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564" w:type="dxa"/>
            <w:vMerge w:val="continue"/>
            <w:vAlign w:val="center"/>
          </w:tcPr>
          <w:p w14:paraId="6FAE67B0">
            <w:pPr>
              <w:pStyle w:val="66"/>
              <w:spacing w:line="360" w:lineRule="auto"/>
              <w:jc w:val="center"/>
              <w:rPr>
                <w:rFonts w:hAnsi="宋体"/>
                <w:color w:val="auto"/>
                <w:szCs w:val="24"/>
              </w:rPr>
            </w:pPr>
          </w:p>
        </w:tc>
        <w:tc>
          <w:tcPr>
            <w:tcW w:w="560" w:type="dxa"/>
            <w:vMerge w:val="continue"/>
            <w:vAlign w:val="center"/>
          </w:tcPr>
          <w:p w14:paraId="1FEADE01">
            <w:pPr>
              <w:pStyle w:val="66"/>
              <w:spacing w:line="360" w:lineRule="auto"/>
              <w:jc w:val="center"/>
              <w:rPr>
                <w:rFonts w:hAnsi="宋体"/>
                <w:color w:val="auto"/>
                <w:szCs w:val="24"/>
              </w:rPr>
            </w:pPr>
          </w:p>
        </w:tc>
        <w:tc>
          <w:tcPr>
            <w:tcW w:w="960" w:type="dxa"/>
            <w:vMerge w:val="continue"/>
            <w:vAlign w:val="center"/>
          </w:tcPr>
          <w:p w14:paraId="257B45DF">
            <w:pPr>
              <w:snapToGrid w:val="0"/>
              <w:spacing w:line="240" w:lineRule="auto"/>
              <w:jc w:val="center"/>
              <w:rPr>
                <w:rFonts w:ascii="宋体"/>
                <w:color w:val="auto"/>
                <w:sz w:val="24"/>
              </w:rPr>
            </w:pPr>
          </w:p>
        </w:tc>
        <w:tc>
          <w:tcPr>
            <w:tcW w:w="2217" w:type="dxa"/>
            <w:vAlign w:val="center"/>
          </w:tcPr>
          <w:p w14:paraId="7AFDBCA3">
            <w:pPr>
              <w:snapToGrid w:val="0"/>
              <w:spacing w:line="240" w:lineRule="auto"/>
              <w:jc w:val="center"/>
              <w:rPr>
                <w:rFonts w:ascii="宋体"/>
                <w:color w:val="auto"/>
                <w:sz w:val="24"/>
              </w:rPr>
            </w:pPr>
            <w:r>
              <w:rPr>
                <w:rFonts w:hint="eastAsia" w:ascii="宋体"/>
                <w:color w:val="auto"/>
                <w:sz w:val="24"/>
              </w:rPr>
              <w:t>中小企业承诺函</w:t>
            </w:r>
          </w:p>
        </w:tc>
        <w:tc>
          <w:tcPr>
            <w:tcW w:w="5736" w:type="dxa"/>
            <w:vAlign w:val="center"/>
          </w:tcPr>
          <w:p w14:paraId="2C396730">
            <w:pPr>
              <w:autoSpaceDE w:val="0"/>
              <w:autoSpaceDN w:val="0"/>
              <w:snapToGrid w:val="0"/>
              <w:spacing w:line="240" w:lineRule="auto"/>
              <w:rPr>
                <w:rFonts w:ascii="宋体"/>
                <w:color w:val="auto"/>
                <w:sz w:val="24"/>
              </w:rPr>
            </w:pPr>
            <w:r>
              <w:rPr>
                <w:rFonts w:hint="eastAsia" w:ascii="宋体"/>
                <w:color w:val="auto"/>
                <w:sz w:val="24"/>
              </w:rPr>
              <w:t>符合附件要求</w:t>
            </w:r>
          </w:p>
        </w:tc>
      </w:tr>
    </w:tbl>
    <w:p w14:paraId="1AEF3830">
      <w:pPr>
        <w:autoSpaceDE w:val="0"/>
        <w:autoSpaceDN w:val="0"/>
        <w:adjustRightInd w:val="0"/>
        <w:spacing w:line="360" w:lineRule="auto"/>
        <w:jc w:val="left"/>
        <w:rPr>
          <w:rFonts w:ascii="黑体" w:hAnsi="黑体" w:eastAsia="黑体" w:cs="楷体_GB2312"/>
          <w:b/>
          <w:bCs/>
          <w:color w:val="auto"/>
          <w:sz w:val="28"/>
          <w:szCs w:val="28"/>
          <w:lang w:val="zh-CN"/>
        </w:rPr>
      </w:pPr>
    </w:p>
    <w:p w14:paraId="0A35114B">
      <w:pPr>
        <w:spacing w:line="240" w:lineRule="auto"/>
        <w:jc w:val="left"/>
        <w:textAlignment w:val="auto"/>
        <w:rPr>
          <w:rFonts w:ascii="黑体" w:hAnsi="黑体" w:eastAsia="黑体" w:cs="楷体_GB2312"/>
          <w:b/>
          <w:bCs/>
          <w:color w:val="auto"/>
          <w:sz w:val="28"/>
          <w:szCs w:val="28"/>
          <w:lang w:val="zh-CN"/>
        </w:rPr>
      </w:pPr>
    </w:p>
    <w:p w14:paraId="7D079456">
      <w:pPr>
        <w:spacing w:line="240" w:lineRule="auto"/>
        <w:jc w:val="left"/>
        <w:textAlignment w:val="auto"/>
        <w:rPr>
          <w:rFonts w:ascii="黑体" w:hAnsi="黑体" w:eastAsia="黑体" w:cs="楷体_GB2312"/>
          <w:b/>
          <w:bCs/>
          <w:color w:val="auto"/>
          <w:sz w:val="28"/>
          <w:szCs w:val="28"/>
          <w:lang w:val="zh-CN"/>
        </w:rPr>
      </w:pPr>
    </w:p>
    <w:p w14:paraId="7603FEBA">
      <w:pPr>
        <w:spacing w:line="240" w:lineRule="auto"/>
        <w:jc w:val="left"/>
        <w:textAlignment w:val="auto"/>
        <w:rPr>
          <w:rFonts w:ascii="黑体" w:hAnsi="黑体" w:eastAsia="黑体" w:cs="楷体_GB2312"/>
          <w:b/>
          <w:bCs/>
          <w:color w:val="auto"/>
          <w:sz w:val="28"/>
          <w:szCs w:val="28"/>
          <w:lang w:val="zh-CN"/>
        </w:rPr>
      </w:pPr>
    </w:p>
    <w:p w14:paraId="4CD51B96">
      <w:pPr>
        <w:spacing w:line="240" w:lineRule="auto"/>
        <w:jc w:val="left"/>
        <w:textAlignment w:val="auto"/>
        <w:rPr>
          <w:rFonts w:ascii="黑体" w:hAnsi="黑体" w:eastAsia="黑体" w:cs="楷体_GB2312"/>
          <w:b/>
          <w:bCs/>
          <w:color w:val="auto"/>
          <w:sz w:val="28"/>
          <w:szCs w:val="28"/>
          <w:lang w:val="zh-CN"/>
        </w:rPr>
      </w:pPr>
    </w:p>
    <w:p w14:paraId="0250B751">
      <w:pPr>
        <w:spacing w:line="240" w:lineRule="auto"/>
        <w:jc w:val="left"/>
        <w:textAlignment w:val="auto"/>
        <w:rPr>
          <w:rFonts w:ascii="黑体" w:hAnsi="黑体" w:eastAsia="黑体" w:cs="楷体_GB2312"/>
          <w:b/>
          <w:bCs/>
          <w:color w:val="auto"/>
          <w:sz w:val="28"/>
          <w:szCs w:val="28"/>
          <w:lang w:val="zh-CN"/>
        </w:rPr>
      </w:pPr>
    </w:p>
    <w:p w14:paraId="42F616A6">
      <w:pPr>
        <w:spacing w:line="240" w:lineRule="auto"/>
        <w:jc w:val="left"/>
        <w:textAlignment w:val="auto"/>
        <w:rPr>
          <w:rFonts w:ascii="黑体" w:hAnsi="黑体" w:eastAsia="黑体" w:cs="楷体_GB2312"/>
          <w:b/>
          <w:bCs/>
          <w:color w:val="auto"/>
          <w:sz w:val="28"/>
          <w:szCs w:val="28"/>
          <w:lang w:val="zh-CN"/>
        </w:rPr>
      </w:pPr>
    </w:p>
    <w:p w14:paraId="57942C38">
      <w:pPr>
        <w:spacing w:line="240" w:lineRule="auto"/>
        <w:jc w:val="left"/>
        <w:textAlignment w:val="auto"/>
        <w:rPr>
          <w:rFonts w:ascii="黑体" w:hAnsi="黑体" w:eastAsia="黑体" w:cs="楷体_GB2312"/>
          <w:b/>
          <w:bCs/>
          <w:color w:val="auto"/>
          <w:sz w:val="28"/>
          <w:szCs w:val="28"/>
          <w:lang w:val="zh-CN"/>
        </w:rPr>
      </w:pPr>
    </w:p>
    <w:p w14:paraId="0B051D20">
      <w:pPr>
        <w:spacing w:line="240" w:lineRule="auto"/>
        <w:jc w:val="left"/>
        <w:textAlignment w:val="auto"/>
        <w:rPr>
          <w:rFonts w:ascii="黑体" w:hAnsi="黑体" w:eastAsia="黑体" w:cs="楷体_GB2312"/>
          <w:b/>
          <w:bCs/>
          <w:color w:val="auto"/>
          <w:sz w:val="28"/>
          <w:szCs w:val="28"/>
          <w:lang w:val="zh-CN"/>
        </w:rPr>
      </w:pPr>
    </w:p>
    <w:p w14:paraId="04CAAF6A">
      <w:pPr>
        <w:spacing w:line="240" w:lineRule="auto"/>
        <w:jc w:val="left"/>
        <w:textAlignment w:val="auto"/>
        <w:rPr>
          <w:rFonts w:ascii="黑体" w:hAnsi="黑体" w:eastAsia="黑体" w:cs="楷体_GB2312"/>
          <w:b/>
          <w:bCs/>
          <w:color w:val="auto"/>
          <w:sz w:val="28"/>
          <w:szCs w:val="28"/>
          <w:lang w:val="zh-CN"/>
        </w:rPr>
      </w:pPr>
    </w:p>
    <w:p w14:paraId="2BDD9937">
      <w:pPr>
        <w:spacing w:line="240" w:lineRule="auto"/>
        <w:jc w:val="left"/>
        <w:textAlignment w:val="auto"/>
        <w:rPr>
          <w:rFonts w:ascii="黑体" w:hAnsi="黑体" w:eastAsia="黑体" w:cs="楷体_GB2312"/>
          <w:b/>
          <w:bCs/>
          <w:color w:val="auto"/>
          <w:sz w:val="28"/>
          <w:szCs w:val="28"/>
          <w:lang w:val="zh-CN"/>
        </w:rPr>
      </w:pPr>
    </w:p>
    <w:p w14:paraId="4BEA4D91">
      <w:pPr>
        <w:pStyle w:val="66"/>
        <w:snapToGrid w:val="0"/>
        <w:spacing w:before="120" w:beforeLines="50" w:line="300" w:lineRule="auto"/>
        <w:ind w:firstLine="422" w:firstLineChars="150"/>
        <w:jc w:val="both"/>
        <w:outlineLvl w:val="1"/>
        <w:rPr>
          <w:rFonts w:ascii="黑体" w:hAnsi="黑体" w:eastAsia="黑体" w:cs="楷体_GB2312"/>
          <w:b/>
          <w:bCs/>
          <w:color w:val="auto"/>
          <w:sz w:val="28"/>
          <w:szCs w:val="28"/>
          <w:u w:color="000000"/>
          <w:lang w:val="zh-CN"/>
        </w:rPr>
      </w:pPr>
      <w:bookmarkStart w:id="34" w:name="_Toc58858979"/>
      <w:r>
        <w:rPr>
          <w:rFonts w:ascii="黑体" w:hAnsi="黑体" w:eastAsia="黑体" w:cs="楷体_GB2312"/>
          <w:b/>
          <w:bCs/>
          <w:color w:val="auto"/>
          <w:sz w:val="28"/>
          <w:szCs w:val="28"/>
          <w:u w:color="000000"/>
          <w:lang w:val="zh-CN"/>
        </w:rPr>
        <w:t xml:space="preserve">1. </w:t>
      </w:r>
      <w:r>
        <w:rPr>
          <w:rFonts w:hint="eastAsia" w:ascii="黑体" w:hAnsi="黑体" w:eastAsia="黑体" w:cs="楷体_GB2312"/>
          <w:b/>
          <w:bCs/>
          <w:color w:val="auto"/>
          <w:sz w:val="28"/>
          <w:szCs w:val="28"/>
          <w:u w:color="000000"/>
          <w:lang w:val="zh-CN"/>
        </w:rPr>
        <w:t>评审方法（评定成交的标准）</w:t>
      </w:r>
      <w:bookmarkEnd w:id="34"/>
    </w:p>
    <w:p w14:paraId="696BF33B">
      <w:pPr>
        <w:autoSpaceDE w:val="0"/>
        <w:autoSpaceDN w:val="0"/>
        <w:adjustRightInd w:val="0"/>
        <w:snapToGrid w:val="0"/>
        <w:spacing w:before="120" w:beforeLines="50" w:line="300" w:lineRule="auto"/>
        <w:ind w:firstLine="619" w:firstLineChars="257"/>
        <w:jc w:val="left"/>
        <w:rPr>
          <w:rFonts w:ascii="宋体"/>
          <w:b/>
          <w:color w:val="auto"/>
          <w:sz w:val="24"/>
        </w:rPr>
      </w:pPr>
      <w:r>
        <w:rPr>
          <w:rFonts w:hint="eastAsia"/>
          <w:b/>
          <w:color w:val="auto"/>
          <w:sz w:val="24"/>
          <w:szCs w:val="24"/>
        </w:rPr>
        <w:t>本次政府采购项目（标段&lt;包&gt;）按照最低评标价法确定成交供应商，即在符合采购需求、提供的产品质量和服务均能满足采购文件规定的实质性要求且最后报价最低的原则确定各标段（包）成交供应商。</w:t>
      </w:r>
    </w:p>
    <w:p w14:paraId="515A320D">
      <w:pPr>
        <w:autoSpaceDE w:val="0"/>
        <w:autoSpaceDN w:val="0"/>
        <w:adjustRightInd w:val="0"/>
        <w:snapToGrid w:val="0"/>
        <w:spacing w:before="120" w:beforeLines="50" w:line="300" w:lineRule="auto"/>
        <w:ind w:firstLine="616" w:firstLineChars="257"/>
        <w:jc w:val="left"/>
        <w:rPr>
          <w:rFonts w:ascii="宋体"/>
          <w:color w:val="auto"/>
          <w:sz w:val="24"/>
        </w:rPr>
      </w:pPr>
    </w:p>
    <w:p w14:paraId="1BB8E7AD">
      <w:pPr>
        <w:pStyle w:val="66"/>
        <w:snapToGrid w:val="0"/>
        <w:spacing w:before="120" w:beforeLines="50" w:line="300" w:lineRule="auto"/>
        <w:ind w:firstLine="422" w:firstLineChars="150"/>
        <w:jc w:val="both"/>
        <w:outlineLvl w:val="1"/>
        <w:rPr>
          <w:rFonts w:ascii="黑体" w:hAnsi="黑体" w:eastAsia="黑体" w:cs="楷体_GB2312"/>
          <w:b/>
          <w:bCs/>
          <w:color w:val="auto"/>
          <w:sz w:val="28"/>
          <w:szCs w:val="28"/>
          <w:u w:color="000000"/>
          <w:lang w:val="zh-CN"/>
        </w:rPr>
      </w:pPr>
      <w:bookmarkStart w:id="35" w:name="_Toc58858980"/>
      <w:bookmarkStart w:id="36" w:name="_Toc423723403"/>
      <w:r>
        <w:rPr>
          <w:rFonts w:ascii="黑体" w:hAnsi="黑体" w:eastAsia="黑体" w:cs="楷体_GB2312"/>
          <w:b/>
          <w:bCs/>
          <w:color w:val="auto"/>
          <w:sz w:val="28"/>
          <w:szCs w:val="28"/>
          <w:u w:color="000000"/>
          <w:lang w:val="zh-CN"/>
        </w:rPr>
        <w:t xml:space="preserve">2. </w:t>
      </w:r>
      <w:r>
        <w:rPr>
          <w:rFonts w:hint="eastAsia" w:ascii="黑体" w:hAnsi="黑体" w:eastAsia="黑体" w:cs="楷体_GB2312"/>
          <w:b/>
          <w:bCs/>
          <w:color w:val="auto"/>
          <w:sz w:val="28"/>
          <w:szCs w:val="28"/>
          <w:u w:color="000000"/>
          <w:lang w:val="zh-CN"/>
        </w:rPr>
        <w:t>评审标准</w:t>
      </w:r>
      <w:bookmarkEnd w:id="35"/>
      <w:bookmarkEnd w:id="36"/>
    </w:p>
    <w:p w14:paraId="31182F37">
      <w:pPr>
        <w:autoSpaceDE w:val="0"/>
        <w:autoSpaceDN w:val="0"/>
        <w:adjustRightInd w:val="0"/>
        <w:snapToGrid w:val="0"/>
        <w:spacing w:before="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2.1 </w:t>
      </w:r>
      <w:r>
        <w:rPr>
          <w:rFonts w:hint="eastAsia" w:ascii="黑体" w:hAnsi="黑体" w:eastAsia="黑体"/>
          <w:b/>
          <w:color w:val="auto"/>
          <w:sz w:val="24"/>
        </w:rPr>
        <w:t>初步评审标准</w:t>
      </w:r>
    </w:p>
    <w:p w14:paraId="633038BB">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2.1.1 </w:t>
      </w:r>
      <w:r>
        <w:rPr>
          <w:rFonts w:hint="eastAsia" w:ascii="宋体" w:hAnsi="宋体"/>
          <w:color w:val="auto"/>
          <w:sz w:val="24"/>
        </w:rPr>
        <w:t>资格性审查标准：见评审办法前附表。</w:t>
      </w:r>
    </w:p>
    <w:p w14:paraId="53D0E1DB">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2.1.2 </w:t>
      </w:r>
      <w:r>
        <w:rPr>
          <w:rFonts w:hint="eastAsia" w:ascii="宋体" w:hAnsi="宋体"/>
          <w:color w:val="auto"/>
          <w:sz w:val="24"/>
        </w:rPr>
        <w:t>符合性审查标准：见评审办法前附表。</w:t>
      </w:r>
    </w:p>
    <w:p w14:paraId="43BFB6B8">
      <w:pPr>
        <w:autoSpaceDE w:val="0"/>
        <w:autoSpaceDN w:val="0"/>
        <w:adjustRightInd w:val="0"/>
        <w:snapToGrid w:val="0"/>
        <w:spacing w:before="120" w:beforeLines="50" w:line="300" w:lineRule="auto"/>
        <w:ind w:left="540" w:leftChars="257"/>
        <w:jc w:val="left"/>
        <w:rPr>
          <w:rFonts w:ascii="宋体"/>
          <w:color w:val="auto"/>
          <w:sz w:val="24"/>
        </w:rPr>
      </w:pPr>
    </w:p>
    <w:p w14:paraId="7975646B">
      <w:pPr>
        <w:pStyle w:val="66"/>
        <w:snapToGrid w:val="0"/>
        <w:spacing w:before="120" w:beforeLines="50" w:line="300" w:lineRule="auto"/>
        <w:ind w:firstLine="562" w:firstLineChars="200"/>
        <w:jc w:val="both"/>
        <w:outlineLvl w:val="1"/>
        <w:rPr>
          <w:rFonts w:ascii="黑体" w:hAnsi="黑体" w:eastAsia="黑体" w:cs="楷体_GB2312"/>
          <w:b/>
          <w:bCs/>
          <w:color w:val="auto"/>
          <w:sz w:val="28"/>
          <w:szCs w:val="28"/>
          <w:u w:color="000000"/>
          <w:lang w:val="zh-CN"/>
        </w:rPr>
      </w:pPr>
      <w:bookmarkStart w:id="37" w:name="_Toc58858981"/>
      <w:bookmarkStart w:id="38" w:name="_Toc423723405"/>
      <w:r>
        <w:rPr>
          <w:rFonts w:ascii="黑体" w:hAnsi="黑体" w:eastAsia="黑体" w:cs="楷体_GB2312"/>
          <w:b/>
          <w:bCs/>
          <w:color w:val="auto"/>
          <w:sz w:val="28"/>
          <w:szCs w:val="28"/>
          <w:u w:color="000000"/>
          <w:lang w:val="zh-CN"/>
        </w:rPr>
        <w:t xml:space="preserve">3. </w:t>
      </w:r>
      <w:r>
        <w:rPr>
          <w:rFonts w:hint="eastAsia" w:ascii="黑体" w:hAnsi="黑体" w:eastAsia="黑体" w:cs="楷体_GB2312"/>
          <w:b/>
          <w:bCs/>
          <w:color w:val="auto"/>
          <w:sz w:val="28"/>
          <w:szCs w:val="28"/>
          <w:u w:color="000000"/>
          <w:lang w:val="zh-CN"/>
        </w:rPr>
        <w:t>评审程序</w:t>
      </w:r>
      <w:bookmarkEnd w:id="37"/>
      <w:bookmarkEnd w:id="38"/>
    </w:p>
    <w:p w14:paraId="4641CDF8">
      <w:pPr>
        <w:autoSpaceDE w:val="0"/>
        <w:autoSpaceDN w:val="0"/>
        <w:adjustRightInd w:val="0"/>
        <w:snapToGrid w:val="0"/>
        <w:spacing w:before="120" w:beforeLines="50" w:line="300" w:lineRule="auto"/>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谈判小组按标段（包）进行评审</w:t>
      </w:r>
    </w:p>
    <w:p w14:paraId="4A613F78">
      <w:pPr>
        <w:autoSpaceDE w:val="0"/>
        <w:autoSpaceDN w:val="0"/>
        <w:adjustRightInd w:val="0"/>
        <w:snapToGrid w:val="0"/>
        <w:spacing w:before="120" w:beforeLines="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3.1 </w:t>
      </w:r>
      <w:r>
        <w:rPr>
          <w:rFonts w:hint="eastAsia" w:ascii="黑体" w:hAnsi="黑体" w:eastAsia="黑体"/>
          <w:b/>
          <w:color w:val="auto"/>
          <w:sz w:val="24"/>
        </w:rPr>
        <w:t>确认单一来源采购文件</w:t>
      </w:r>
    </w:p>
    <w:p w14:paraId="2C22B3C3">
      <w:pPr>
        <w:pStyle w:val="66"/>
        <w:snapToGrid w:val="0"/>
        <w:spacing w:before="120" w:beforeLines="50" w:line="300" w:lineRule="auto"/>
        <w:ind w:firstLine="480" w:firstLineChars="200"/>
        <w:jc w:val="both"/>
        <w:rPr>
          <w:rFonts w:hAnsi="宋体"/>
          <w:color w:val="auto"/>
        </w:rPr>
      </w:pPr>
      <w:r>
        <w:rPr>
          <w:rFonts w:hAnsi="宋体"/>
          <w:color w:val="auto"/>
        </w:rPr>
        <w:t xml:space="preserve">3.1.1 </w:t>
      </w:r>
      <w:r>
        <w:rPr>
          <w:rFonts w:hint="eastAsia" w:hAnsi="宋体"/>
          <w:color w:val="auto"/>
        </w:rPr>
        <w:t>谈判小组确认单一来源采购文件，单一来源采购文件内容违反国家有关强制性规定的，谈判小组应当停止评审并向采购人或者采购代理机构书面说明情况。</w:t>
      </w:r>
    </w:p>
    <w:p w14:paraId="578F1DAC">
      <w:pPr>
        <w:pStyle w:val="66"/>
        <w:snapToGrid w:val="0"/>
        <w:spacing w:before="120" w:beforeLines="50" w:line="300" w:lineRule="auto"/>
        <w:ind w:firstLine="480" w:firstLineChars="200"/>
        <w:jc w:val="both"/>
        <w:rPr>
          <w:rFonts w:hAnsi="宋体"/>
          <w:color w:val="auto"/>
        </w:rPr>
      </w:pPr>
      <w:r>
        <w:rPr>
          <w:rFonts w:hAnsi="宋体"/>
          <w:color w:val="auto"/>
        </w:rPr>
        <w:t>3.1.2</w:t>
      </w:r>
      <w:r>
        <w:rPr>
          <w:rFonts w:hint="eastAsia" w:hAnsi="宋体"/>
          <w:color w:val="auto"/>
        </w:rPr>
        <w:t xml:space="preserve"> 谈判小组</w:t>
      </w:r>
      <w:r>
        <w:rPr>
          <w:rFonts w:hint="eastAsia" w:ascii="??" w:hAnsi="??" w:cs="宋体"/>
          <w:color w:val="auto"/>
          <w:szCs w:val="21"/>
        </w:rPr>
        <w:t>要求解释</w:t>
      </w:r>
      <w:r>
        <w:rPr>
          <w:rFonts w:hint="eastAsia" w:hAnsi="宋体"/>
          <w:color w:val="auto"/>
        </w:rPr>
        <w:t>单一来源采购文件的，书面提出需解释的相关单一来源采购文件的具体内容后、由采购代理机构或者采购人进行书面解释。</w:t>
      </w:r>
    </w:p>
    <w:p w14:paraId="39ED0FBC">
      <w:pPr>
        <w:autoSpaceDE w:val="0"/>
        <w:autoSpaceDN w:val="0"/>
        <w:adjustRightInd w:val="0"/>
        <w:snapToGrid w:val="0"/>
        <w:spacing w:before="120" w:beforeLines="50" w:line="300" w:lineRule="auto"/>
        <w:ind w:firstLine="482" w:firstLineChars="200"/>
        <w:jc w:val="left"/>
        <w:rPr>
          <w:rFonts w:ascii="黑体" w:hAnsi="黑体" w:eastAsia="黑体"/>
          <w:b/>
          <w:color w:val="auto"/>
          <w:sz w:val="24"/>
        </w:rPr>
      </w:pPr>
      <w:bookmarkStart w:id="39" w:name="_Toc423723406"/>
      <w:r>
        <w:rPr>
          <w:rFonts w:ascii="黑体" w:hAnsi="黑体" w:eastAsia="黑体"/>
          <w:b/>
          <w:color w:val="auto"/>
          <w:sz w:val="24"/>
        </w:rPr>
        <w:t>3.2</w:t>
      </w:r>
      <w:bookmarkEnd w:id="39"/>
      <w:r>
        <w:rPr>
          <w:rFonts w:hint="eastAsia" w:ascii="黑体" w:hAnsi="黑体" w:eastAsia="黑体"/>
          <w:b/>
          <w:color w:val="auto"/>
          <w:sz w:val="24"/>
        </w:rPr>
        <w:t xml:space="preserve"> 初步评审</w:t>
      </w:r>
    </w:p>
    <w:p w14:paraId="52FC9B81">
      <w:pPr>
        <w:autoSpaceDE w:val="0"/>
        <w:autoSpaceDN w:val="0"/>
        <w:adjustRightInd w:val="0"/>
        <w:snapToGrid w:val="0"/>
        <w:spacing w:before="120" w:beforeLines="50" w:line="300" w:lineRule="auto"/>
        <w:ind w:firstLine="616" w:firstLineChars="257"/>
        <w:jc w:val="left"/>
        <w:rPr>
          <w:rFonts w:ascii="宋体"/>
          <w:color w:val="auto"/>
          <w:sz w:val="24"/>
        </w:rPr>
      </w:pPr>
      <w:r>
        <w:rPr>
          <w:rFonts w:ascii="宋体" w:hAnsi="宋体"/>
          <w:color w:val="auto"/>
          <w:sz w:val="24"/>
        </w:rPr>
        <w:t>3.2.1</w:t>
      </w:r>
      <w:r>
        <w:rPr>
          <w:rFonts w:hint="eastAsia" w:ascii="宋体" w:hAnsi="宋体"/>
          <w:color w:val="auto"/>
          <w:sz w:val="24"/>
        </w:rPr>
        <w:t xml:space="preserve"> 谈判小组依据本章第2.</w:t>
      </w:r>
      <w:r>
        <w:rPr>
          <w:rFonts w:ascii="宋体" w:hAnsi="宋体"/>
          <w:color w:val="auto"/>
          <w:sz w:val="24"/>
        </w:rPr>
        <w:t>1.1</w:t>
      </w:r>
      <w:r>
        <w:rPr>
          <w:rFonts w:hint="eastAsia" w:ascii="宋体" w:hAnsi="宋体"/>
          <w:color w:val="auto"/>
          <w:sz w:val="24"/>
        </w:rPr>
        <w:t>、2.</w:t>
      </w:r>
      <w:r>
        <w:rPr>
          <w:rFonts w:ascii="宋体" w:hAnsi="宋体"/>
          <w:color w:val="auto"/>
          <w:sz w:val="24"/>
        </w:rPr>
        <w:t>1.2</w:t>
      </w:r>
      <w:r>
        <w:rPr>
          <w:rFonts w:hint="eastAsia" w:ascii="宋体" w:hAnsi="宋体"/>
          <w:color w:val="auto"/>
          <w:sz w:val="24"/>
        </w:rPr>
        <w:t>款规定的标准对投标文件进行资格性、符合性评审。有一项不符合评审标准的，作无效投标处理。</w:t>
      </w:r>
    </w:p>
    <w:p w14:paraId="499A8FDB">
      <w:pPr>
        <w:autoSpaceDE w:val="0"/>
        <w:autoSpaceDN w:val="0"/>
        <w:adjustRightInd w:val="0"/>
        <w:snapToGrid w:val="0"/>
        <w:spacing w:before="120" w:beforeLines="50" w:line="300" w:lineRule="auto"/>
        <w:ind w:firstLine="616" w:firstLineChars="257"/>
        <w:jc w:val="left"/>
        <w:rPr>
          <w:rFonts w:ascii="宋体"/>
          <w:color w:val="auto"/>
          <w:sz w:val="24"/>
        </w:rPr>
      </w:pPr>
      <w:r>
        <w:rPr>
          <w:rFonts w:ascii="宋体" w:hAnsi="宋体"/>
          <w:color w:val="auto"/>
          <w:sz w:val="24"/>
        </w:rPr>
        <w:t xml:space="preserve">3.2.2 </w:t>
      </w:r>
      <w:r>
        <w:rPr>
          <w:rFonts w:hint="eastAsia" w:ascii="宋体" w:hAnsi="宋体"/>
          <w:color w:val="auto"/>
          <w:sz w:val="24"/>
        </w:rPr>
        <w:t>投标人有以下情形之一的，其投标作无效投标处理：</w:t>
      </w:r>
    </w:p>
    <w:p w14:paraId="792B0453">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）投标人不符合国家或者单一来源采购文件规定的资格条件；</w:t>
      </w:r>
    </w:p>
    <w:p w14:paraId="12E62CE3">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）投标人没有按照单一来源采购文件要求提供投标承诺函；</w:t>
      </w:r>
    </w:p>
    <w:p w14:paraId="3F84FC98">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）投标联合体不符合单一来源采购文件规定；</w:t>
      </w:r>
    </w:p>
    <w:p w14:paraId="18527E68">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）投标文件的签字盖章不符合单一来源采购文件规定；</w:t>
      </w:r>
    </w:p>
    <w:p w14:paraId="7AD5EBFA">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）投标报价高于谈判邀请函公布的预算金额；</w:t>
      </w:r>
    </w:p>
    <w:p w14:paraId="535E2F59">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）同一投标人提交两个以上不同的投标文件（响应文件）或者投标报价，投标文件（响应文件）的每种报价有两个报价或其他选择性报价的。</w:t>
      </w:r>
    </w:p>
    <w:p w14:paraId="6BCD599A">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7</w:t>
      </w:r>
      <w:r>
        <w:rPr>
          <w:rFonts w:hint="eastAsia" w:ascii="宋体" w:hAnsi="宋体"/>
          <w:color w:val="auto"/>
          <w:sz w:val="24"/>
        </w:rPr>
        <w:t>）投标文件（响应文件）没有对单一来源采购文件的实质性要求和条件作出实质性响应，或不符合单一来源采购文件的实质性要求和条件；</w:t>
      </w:r>
    </w:p>
    <w:p w14:paraId="7DCD886D">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8</w:t>
      </w:r>
      <w:r>
        <w:rPr>
          <w:rFonts w:hint="eastAsia" w:ascii="宋体" w:hAnsi="宋体"/>
          <w:color w:val="auto"/>
          <w:sz w:val="24"/>
        </w:rPr>
        <w:t>）投标文件（响应文件）附有采购项目不能接受的条件或不符合国家强制性规定的；</w:t>
      </w:r>
    </w:p>
    <w:p w14:paraId="21B25727">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9</w:t>
      </w:r>
      <w:r>
        <w:rPr>
          <w:rFonts w:hint="eastAsia" w:ascii="宋体" w:hAnsi="宋体"/>
          <w:color w:val="auto"/>
          <w:sz w:val="24"/>
        </w:rPr>
        <w:t>）单位负责人为同一人或者存在控股、管理关系的不同单位，参加同一项目（标段&lt;包&gt;）投标的；</w:t>
      </w:r>
    </w:p>
    <w:p w14:paraId="5B5F68BC">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10</w:t>
      </w:r>
      <w:r>
        <w:rPr>
          <w:rFonts w:hint="eastAsia" w:ascii="宋体" w:hAnsi="宋体"/>
          <w:color w:val="auto"/>
          <w:sz w:val="24"/>
        </w:rPr>
        <w:t>）为采购项目提供整体设计、规范编制或者项目管理、监理、检测等服务的供应商，不得再参加该采购项目的其他采购活动；</w:t>
      </w:r>
    </w:p>
    <w:p w14:paraId="674E7D49">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w:t>
      </w:r>
      <w:r>
        <w:rPr>
          <w:rFonts w:ascii="宋体" w:hAnsi="宋体"/>
          <w:color w:val="auto"/>
          <w:sz w:val="24"/>
        </w:rPr>
        <w:t>11</w:t>
      </w:r>
      <w:r>
        <w:rPr>
          <w:rFonts w:hint="eastAsia" w:ascii="宋体" w:hAnsi="宋体"/>
          <w:color w:val="auto"/>
          <w:sz w:val="24"/>
        </w:rPr>
        <w:t>）提供虚假材料谋取中标（成交）的。</w:t>
      </w:r>
    </w:p>
    <w:p w14:paraId="431BF2E9">
      <w:pPr>
        <w:autoSpaceDE w:val="0"/>
        <w:autoSpaceDN w:val="0"/>
        <w:adjustRightInd w:val="0"/>
        <w:snapToGrid w:val="0"/>
        <w:spacing w:before="120" w:beforeLines="50" w:line="300" w:lineRule="auto"/>
        <w:ind w:firstLine="600" w:firstLineChars="250"/>
        <w:rPr>
          <w:rFonts w:ascii="宋体" w:hAnsi="宋体"/>
          <w:b/>
          <w:color w:val="auto"/>
          <w:sz w:val="24"/>
        </w:rPr>
      </w:pPr>
      <w:r>
        <w:rPr>
          <w:rFonts w:hint="eastAsia" w:ascii="宋体" w:hAnsi="宋体"/>
          <w:color w:val="auto"/>
          <w:sz w:val="24"/>
        </w:rPr>
        <w:t xml:space="preserve">(12)据豫财购〔2021〕6号文件精神，工程领域招标投标行政主管部门对供应商串通投标等予以市场禁入的，在本次政府采购活动中，该供应商投标(响应)文件无效。 </w:t>
      </w:r>
    </w:p>
    <w:p w14:paraId="3BFE5060">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hAnsi="宋体"/>
          <w:color w:val="auto"/>
          <w:sz w:val="24"/>
        </w:rPr>
        <w:t>3.2.3</w:t>
      </w:r>
      <w:r>
        <w:rPr>
          <w:rFonts w:hint="eastAsia" w:ascii="宋体" w:hAnsi="宋体"/>
          <w:color w:val="auto"/>
          <w:sz w:val="24"/>
        </w:rPr>
        <w:t xml:space="preserve"> </w:t>
      </w:r>
      <w:r>
        <w:rPr>
          <w:rFonts w:hint="eastAsia" w:ascii="宋体" w:hAnsi="宋体"/>
          <w:b/>
          <w:color w:val="auto"/>
          <w:sz w:val="24"/>
        </w:rPr>
        <w:t>未实质性响应单一来源采购文件的响应文件按无效处理，谈判小组应当通过评审界面的对话框告知有关供应商。</w:t>
      </w:r>
    </w:p>
    <w:p w14:paraId="7882576F">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hAnsi="宋体"/>
          <w:color w:val="auto"/>
          <w:sz w:val="24"/>
        </w:rPr>
        <w:t>3.2</w:t>
      </w:r>
      <w:r>
        <w:rPr>
          <w:rFonts w:ascii="宋体"/>
          <w:color w:val="auto"/>
          <w:sz w:val="24"/>
        </w:rPr>
        <w:t>.</w:t>
      </w:r>
      <w:r>
        <w:rPr>
          <w:rFonts w:ascii="宋体" w:hAnsi="宋体"/>
          <w:color w:val="auto"/>
          <w:sz w:val="24"/>
        </w:rPr>
        <w:t>4</w:t>
      </w:r>
      <w:r>
        <w:rPr>
          <w:rFonts w:hint="eastAsia" w:ascii="宋体" w:hAnsi="宋体"/>
          <w:color w:val="auto"/>
          <w:sz w:val="24"/>
        </w:rPr>
        <w:t>开标一览表（报价一览表）与报价明细表有差别时，以开标一览表（报价一览表）为准；大写文字表示的数据与小写数字表示的有差别时，以大写文字表示的数据为准；单价与开标一览表（报价一览表）总价不符时，以开标一览表（报价一览表）总价为准。如投标人拒绝接受上述意见，其</w:t>
      </w:r>
      <w:r>
        <w:rPr>
          <w:rFonts w:hint="eastAsia" w:ascii="宋体" w:hAnsi="宋体"/>
          <w:b/>
          <w:color w:val="auto"/>
          <w:sz w:val="24"/>
        </w:rPr>
        <w:t>投标将被拒绝。</w:t>
      </w:r>
    </w:p>
    <w:p w14:paraId="7A5A7BE3">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hAnsi="宋体"/>
          <w:color w:val="auto"/>
          <w:sz w:val="24"/>
        </w:rPr>
        <w:t xml:space="preserve">3.2.5 </w:t>
      </w:r>
      <w:r>
        <w:rPr>
          <w:rFonts w:hint="eastAsia" w:ascii="宋体" w:hAnsi="宋体"/>
          <w:color w:val="auto"/>
          <w:sz w:val="24"/>
        </w:rPr>
        <w:t>谈判小组负责审查确定每一投标项目（标段&lt;包&gt;）是否对单一来源采购文件的实质性要求作出了实质性的响应，而没有重大偏离和保留。实质性响应的投标是指投标符合单一来源采购文件的所有条款、条件和规定且没有重大偏离和保留（重大偏离和保留是指影响到单一来源采购文件和投标人的义务的规定，而纠正这些偏离将影响到其他提交实质性响应投标人的公平竞争地位）。</w:t>
      </w:r>
    </w:p>
    <w:p w14:paraId="732F1617">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hAnsi="宋体"/>
          <w:color w:val="auto"/>
          <w:sz w:val="24"/>
        </w:rPr>
        <w:t xml:space="preserve">3.2.6 </w:t>
      </w:r>
      <w:r>
        <w:rPr>
          <w:rFonts w:hint="eastAsia" w:ascii="宋体" w:hAnsi="宋体"/>
          <w:color w:val="auto"/>
          <w:sz w:val="24"/>
        </w:rPr>
        <w:t>谈判小组判断投标文件（响应文件）的响应性仅基于投标文件（响应文件）本身而不靠外部证据。</w:t>
      </w:r>
    </w:p>
    <w:p w14:paraId="527DEC43">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hAnsi="宋体"/>
          <w:color w:val="auto"/>
          <w:sz w:val="24"/>
        </w:rPr>
        <w:t xml:space="preserve">3.2.7 </w:t>
      </w:r>
      <w:r>
        <w:rPr>
          <w:rFonts w:hint="eastAsia" w:ascii="宋体" w:hAnsi="宋体"/>
          <w:color w:val="auto"/>
          <w:sz w:val="24"/>
        </w:rPr>
        <w:t>谈判小组拒绝被确定为非实质性响应的投标人，投标人不得通过修正或撤销不符之处而使其投标成为实质性响应的投标。</w:t>
      </w:r>
    </w:p>
    <w:p w14:paraId="0F5642E1">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hAnsi="宋体"/>
          <w:color w:val="auto"/>
          <w:sz w:val="24"/>
        </w:rPr>
        <w:t xml:space="preserve">3.2.8 </w:t>
      </w:r>
      <w:r>
        <w:rPr>
          <w:rFonts w:hint="eastAsia" w:ascii="宋体" w:hAnsi="宋体"/>
          <w:color w:val="auto"/>
          <w:sz w:val="24"/>
        </w:rPr>
        <w:t>允许投标人修改投标中不构成重大偏离的、微小的、非正规、不一致或不规则的地方。</w:t>
      </w:r>
    </w:p>
    <w:p w14:paraId="3E3F1664">
      <w:pPr>
        <w:autoSpaceDE w:val="0"/>
        <w:autoSpaceDN w:val="0"/>
        <w:adjustRightInd w:val="0"/>
        <w:snapToGrid w:val="0"/>
        <w:spacing w:before="120"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3.3 </w:t>
      </w:r>
      <w:r>
        <w:rPr>
          <w:rFonts w:hint="eastAsia" w:ascii="黑体" w:hAnsi="黑体" w:eastAsia="黑体"/>
          <w:b/>
          <w:color w:val="auto"/>
          <w:sz w:val="24"/>
        </w:rPr>
        <w:t>详细评审</w:t>
      </w:r>
    </w:p>
    <w:p w14:paraId="5BC46BA7">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hAnsi="宋体"/>
          <w:color w:val="auto"/>
          <w:sz w:val="24"/>
        </w:rPr>
        <w:t>3.3.1</w:t>
      </w:r>
      <w:r>
        <w:rPr>
          <w:rFonts w:hint="eastAsia" w:ascii="宋体" w:hAnsi="宋体"/>
          <w:color w:val="auto"/>
          <w:sz w:val="24"/>
        </w:rPr>
        <w:t xml:space="preserve"> 执行促进中小企业发展扶持政策。</w:t>
      </w:r>
    </w:p>
    <w:p w14:paraId="5A8842BA">
      <w:pPr>
        <w:autoSpaceDE w:val="0"/>
        <w:autoSpaceDN w:val="0"/>
        <w:adjustRightInd w:val="0"/>
        <w:snapToGrid w:val="0"/>
        <w:spacing w:before="120" w:beforeLines="50" w:line="300" w:lineRule="auto"/>
        <w:ind w:firstLine="566" w:firstLineChars="236"/>
        <w:jc w:val="left"/>
        <w:rPr>
          <w:rFonts w:ascii="宋体" w:hAnsi="宋体"/>
          <w:color w:val="auto"/>
          <w:sz w:val="24"/>
        </w:rPr>
      </w:pPr>
      <w:r>
        <w:rPr>
          <w:rFonts w:ascii="宋体" w:hAnsi="宋体"/>
          <w:color w:val="auto"/>
          <w:sz w:val="24"/>
        </w:rPr>
        <w:t xml:space="preserve">3.3.2 </w:t>
      </w:r>
      <w:r>
        <w:rPr>
          <w:rFonts w:hint="eastAsia" w:ascii="宋体"/>
          <w:color w:val="auto"/>
          <w:sz w:val="24"/>
        </w:rPr>
        <w:t>谈判小组认为供应商的报价明显低于其他通过符合性审查投标人的报价，有可能影响产品质量或者不能诚信履约的，应当要求其在合理的时间内提供书面说明，必要时提交相关证明材料；供应商不能证明其报价合理性的，谈判小组应当将其作为无效投标处理。</w:t>
      </w:r>
    </w:p>
    <w:p w14:paraId="0506D527">
      <w:pPr>
        <w:autoSpaceDE w:val="0"/>
        <w:autoSpaceDN w:val="0"/>
        <w:adjustRightInd w:val="0"/>
        <w:snapToGrid w:val="0"/>
        <w:spacing w:before="120"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3.4 </w:t>
      </w:r>
      <w:r>
        <w:rPr>
          <w:rFonts w:hint="eastAsia" w:ascii="黑体" w:hAnsi="黑体" w:eastAsia="黑体"/>
          <w:b/>
          <w:color w:val="auto"/>
          <w:sz w:val="24"/>
        </w:rPr>
        <w:t>投标文件（响应文件）的澄清</w:t>
      </w:r>
    </w:p>
    <w:p w14:paraId="7DF9E5C6">
      <w:pPr>
        <w:autoSpaceDE w:val="0"/>
        <w:autoSpaceDN w:val="0"/>
        <w:adjustRightInd w:val="0"/>
        <w:snapToGrid w:val="0"/>
        <w:spacing w:before="120" w:beforeLines="50" w:line="300" w:lineRule="auto"/>
        <w:ind w:firstLine="569" w:firstLineChars="236"/>
        <w:jc w:val="left"/>
        <w:rPr>
          <w:rFonts w:ascii="宋体"/>
          <w:b/>
          <w:color w:val="auto"/>
          <w:sz w:val="24"/>
        </w:rPr>
      </w:pPr>
      <w:r>
        <w:rPr>
          <w:rFonts w:hint="eastAsia" w:ascii="宋体" w:hAnsi="宋体"/>
          <w:b/>
          <w:color w:val="auto"/>
          <w:sz w:val="24"/>
        </w:rPr>
        <w:t>投标文件（响应文件）的澄清在谈判邀请函所述网上电子交易系统进行。</w:t>
      </w:r>
    </w:p>
    <w:p w14:paraId="35104949">
      <w:pPr>
        <w:autoSpaceDE w:val="0"/>
        <w:autoSpaceDN w:val="0"/>
        <w:adjustRightInd w:val="0"/>
        <w:snapToGrid w:val="0"/>
        <w:spacing w:before="120" w:beforeLines="50" w:line="300" w:lineRule="auto"/>
        <w:ind w:firstLine="569" w:firstLineChars="236"/>
        <w:jc w:val="left"/>
        <w:rPr>
          <w:rFonts w:ascii="宋体"/>
          <w:b/>
          <w:color w:val="auto"/>
          <w:sz w:val="24"/>
        </w:rPr>
      </w:pPr>
      <w:r>
        <w:rPr>
          <w:rFonts w:ascii="宋体" w:hAnsi="宋体"/>
          <w:b/>
          <w:color w:val="auto"/>
          <w:sz w:val="24"/>
        </w:rPr>
        <w:t xml:space="preserve">3.4.1 </w:t>
      </w:r>
      <w:r>
        <w:rPr>
          <w:rFonts w:hint="eastAsia" w:ascii="宋体" w:hAnsi="宋体"/>
          <w:b/>
          <w:color w:val="auto"/>
          <w:sz w:val="24"/>
        </w:rPr>
        <w:t>评审期间，投标人法定代表人须时刻关注电子开标室并保持通讯畅通。如因通讯不畅导致投标人无法及时澄清而被认定为无效响应等后果的，由投标人自行承担。</w:t>
      </w:r>
    </w:p>
    <w:p w14:paraId="0874765B">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hAnsi="宋体"/>
          <w:color w:val="auto"/>
          <w:sz w:val="24"/>
        </w:rPr>
        <w:t>3.4.2</w:t>
      </w:r>
      <w:r>
        <w:rPr>
          <w:rFonts w:hint="eastAsia" w:ascii="宋体" w:hAnsi="宋体"/>
          <w:color w:val="auto"/>
          <w:sz w:val="24"/>
        </w:rPr>
        <w:t xml:space="preserve"> 为有助于对投标文件（响应文件）进行审查、评估和比较，谈判小组有权个别的向投标人提出质疑，请投标人澄清其投标内容。</w:t>
      </w:r>
    </w:p>
    <w:p w14:paraId="6188FEAC">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hAnsi="宋体"/>
          <w:color w:val="auto"/>
          <w:sz w:val="24"/>
        </w:rPr>
        <w:t>3.4.3</w:t>
      </w:r>
      <w:r>
        <w:rPr>
          <w:rFonts w:hint="eastAsia" w:ascii="宋体" w:hAnsi="宋体"/>
          <w:color w:val="auto"/>
          <w:sz w:val="24"/>
        </w:rPr>
        <w:t xml:space="preserve"> 谈判小组可以要求投标人对投标文件（响应文件）中含义不明确、同类问题表述不一致或者有明显文字和计算错误的内容等作出必要的澄清、说明或者更正。投标人的澄清、说明或者更正不得超出投标文件（响应文件）的范围或者改变投标文件（响应文件）的实质性内容。</w:t>
      </w:r>
    </w:p>
    <w:p w14:paraId="2BDE9D02">
      <w:pPr>
        <w:autoSpaceDE w:val="0"/>
        <w:autoSpaceDN w:val="0"/>
        <w:adjustRightInd w:val="0"/>
        <w:snapToGrid w:val="0"/>
        <w:spacing w:before="120" w:beforeLines="50" w:line="300" w:lineRule="auto"/>
        <w:ind w:firstLine="569" w:firstLineChars="236"/>
        <w:jc w:val="left"/>
        <w:rPr>
          <w:rFonts w:ascii="宋体"/>
          <w:b/>
          <w:color w:val="auto"/>
          <w:sz w:val="24"/>
        </w:rPr>
      </w:pPr>
      <w:r>
        <w:rPr>
          <w:rFonts w:ascii="宋体" w:hAnsi="宋体"/>
          <w:b/>
          <w:color w:val="auto"/>
          <w:sz w:val="24"/>
        </w:rPr>
        <w:t>3.4.4</w:t>
      </w:r>
      <w:r>
        <w:rPr>
          <w:rFonts w:hint="eastAsia" w:ascii="宋体" w:hAnsi="宋体"/>
          <w:b/>
          <w:color w:val="auto"/>
          <w:sz w:val="24"/>
        </w:rPr>
        <w:t xml:space="preserve"> 投标人的澄清、说明或者更正应当采用书面形式，应加盖投标人电子签章或其法定代表人电子签名</w:t>
      </w:r>
      <w:r>
        <w:rPr>
          <w:rFonts w:hint="eastAsia" w:ascii="宋体" w:hAnsi="宋体" w:cs="楷体_GB2312"/>
          <w:b/>
          <w:color w:val="auto"/>
          <w:sz w:val="24"/>
        </w:rPr>
        <w:t>（签章）</w:t>
      </w:r>
      <w:r>
        <w:rPr>
          <w:rFonts w:hint="eastAsia" w:ascii="宋体" w:hAnsi="宋体"/>
          <w:b/>
          <w:color w:val="auto"/>
          <w:sz w:val="24"/>
        </w:rPr>
        <w:t>。并将澄清等内容作为附件上传至系统中。</w:t>
      </w:r>
    </w:p>
    <w:p w14:paraId="0C068268">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hAnsi="宋体"/>
          <w:color w:val="auto"/>
          <w:sz w:val="24"/>
        </w:rPr>
        <w:t>3.4.5</w:t>
      </w:r>
      <w:r>
        <w:rPr>
          <w:rFonts w:hint="eastAsia" w:ascii="宋体" w:hAnsi="宋体"/>
          <w:color w:val="auto"/>
          <w:sz w:val="24"/>
        </w:rPr>
        <w:t xml:space="preserve"> 投标人的澄清文件是投标文件（响应文件）的组成部分，并取代投标文件（响应文件）中被澄清的部分。</w:t>
      </w:r>
    </w:p>
    <w:p w14:paraId="23AA7B89">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hAnsi="宋体"/>
          <w:color w:val="auto"/>
          <w:sz w:val="24"/>
        </w:rPr>
        <w:t>3.4.6</w:t>
      </w:r>
      <w:r>
        <w:rPr>
          <w:rFonts w:hint="eastAsia" w:ascii="宋体" w:hAnsi="宋体"/>
          <w:color w:val="auto"/>
          <w:sz w:val="24"/>
        </w:rPr>
        <w:t xml:space="preserve"> 澄清文件应按谈判小组规定的时间提交。</w:t>
      </w:r>
    </w:p>
    <w:p w14:paraId="632064CD">
      <w:pPr>
        <w:autoSpaceDE w:val="0"/>
        <w:autoSpaceDN w:val="0"/>
        <w:adjustRightInd w:val="0"/>
        <w:snapToGrid w:val="0"/>
        <w:spacing w:before="120"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3.5 </w:t>
      </w:r>
      <w:r>
        <w:rPr>
          <w:rFonts w:hint="eastAsia" w:ascii="黑体" w:hAnsi="黑体" w:eastAsia="黑体"/>
          <w:b/>
          <w:color w:val="auto"/>
          <w:sz w:val="24"/>
        </w:rPr>
        <w:t>谈判规则</w:t>
      </w:r>
    </w:p>
    <w:p w14:paraId="11BB4799">
      <w:pPr>
        <w:autoSpaceDE w:val="0"/>
        <w:autoSpaceDN w:val="0"/>
        <w:adjustRightInd w:val="0"/>
        <w:snapToGrid w:val="0"/>
        <w:spacing w:before="120" w:beforeLines="50" w:line="300" w:lineRule="auto"/>
        <w:ind w:firstLine="569" w:firstLineChars="236"/>
        <w:jc w:val="left"/>
        <w:rPr>
          <w:rFonts w:ascii="黑体" w:hAnsi="黑体" w:eastAsia="黑体"/>
          <w:b/>
          <w:color w:val="auto"/>
          <w:sz w:val="24"/>
        </w:rPr>
      </w:pPr>
      <w:r>
        <w:rPr>
          <w:rFonts w:hint="eastAsia" w:ascii="宋体" w:hAnsi="宋体"/>
          <w:b/>
          <w:color w:val="auto"/>
          <w:sz w:val="24"/>
        </w:rPr>
        <w:t>评审谈判在谈判邀请函所述网上电子交易系统进行。</w:t>
      </w:r>
    </w:p>
    <w:p w14:paraId="5D03FA2E">
      <w:pPr>
        <w:autoSpaceDE w:val="0"/>
        <w:autoSpaceDN w:val="0"/>
        <w:adjustRightInd w:val="0"/>
        <w:snapToGrid w:val="0"/>
        <w:spacing w:before="120" w:beforeLines="50" w:line="300" w:lineRule="auto"/>
        <w:ind w:firstLine="566" w:firstLineChars="236"/>
        <w:rPr>
          <w:rFonts w:ascii="宋体"/>
          <w:color w:val="auto"/>
          <w:sz w:val="24"/>
        </w:rPr>
      </w:pPr>
      <w:r>
        <w:rPr>
          <w:rFonts w:ascii="宋体" w:hAnsi="宋体"/>
          <w:color w:val="auto"/>
          <w:sz w:val="24"/>
        </w:rPr>
        <w:t xml:space="preserve">3.5.1 </w:t>
      </w:r>
      <w:r>
        <w:rPr>
          <w:rFonts w:hint="eastAsia" w:ascii="宋体" w:hAnsi="宋体"/>
          <w:color w:val="auto"/>
          <w:sz w:val="24"/>
        </w:rPr>
        <w:t>本次政府采购采取单一来源采购方式。谈判小组将据评审情况就所投货物的技术、服务、价格等事项与有关投标人进行谈判。谈判的任何一方不得将与谈判有关的技术资料、价格和其他信息透露给其他供应商。</w:t>
      </w:r>
    </w:p>
    <w:p w14:paraId="70711051">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hAnsi="宋体"/>
          <w:color w:val="auto"/>
          <w:sz w:val="24"/>
        </w:rPr>
        <w:t xml:space="preserve">3.5.2 </w:t>
      </w:r>
      <w:r>
        <w:rPr>
          <w:rFonts w:hint="eastAsia" w:ascii="宋体" w:hAnsi="宋体"/>
          <w:color w:val="auto"/>
          <w:sz w:val="24"/>
        </w:rPr>
        <w:t>谈判小组根据单一来源采购文件规定的程序、评定成交的标准等事项与实质性响应单一来源采购文件要求的投标人进行谈判。</w:t>
      </w:r>
    </w:p>
    <w:p w14:paraId="1A93C7C4">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hAnsi="宋体"/>
          <w:color w:val="auto"/>
          <w:sz w:val="24"/>
        </w:rPr>
        <w:t xml:space="preserve">3.5.3 </w:t>
      </w:r>
      <w:r>
        <w:rPr>
          <w:rFonts w:hint="eastAsia" w:ascii="宋体" w:hAnsi="宋体"/>
          <w:color w:val="auto"/>
          <w:sz w:val="24"/>
        </w:rPr>
        <w:t>在谈判过程中，谈判小组可以根据单一来源采购文件和谈判情况实质性变动采购需求中的技术、服务要求以及合同草案条款，单一来源采购文件中的其他内容将不再变动。实质性变动的内容，经采购人代表确认后，</w:t>
      </w:r>
      <w:r>
        <w:rPr>
          <w:rFonts w:hint="eastAsia" w:ascii="宋体" w:hAnsi="宋体"/>
          <w:b/>
          <w:color w:val="auto"/>
          <w:sz w:val="24"/>
        </w:rPr>
        <w:t>谈判小组将在评审界面的对话框及时通知参加谈判的供应商。评审期间，供应商可通过评审界面的对话框接受询问。谈判结束后，未实质性响应单一来源采购文件的响应文件按无效处理，谈判小组应当通过评审界面的对话框告知有关供应商。</w:t>
      </w:r>
    </w:p>
    <w:p w14:paraId="7FEDEE31">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hAnsi="宋体"/>
          <w:color w:val="auto"/>
          <w:sz w:val="24"/>
        </w:rPr>
        <w:t xml:space="preserve">3.5.4 </w:t>
      </w:r>
      <w:r>
        <w:rPr>
          <w:rFonts w:hint="eastAsia" w:ascii="宋体" w:hAnsi="宋体"/>
          <w:color w:val="auto"/>
          <w:sz w:val="24"/>
        </w:rPr>
        <w:t>对单一来源采购文件作出的实质性变动是单一来源采购文件的有效组成部分。</w:t>
      </w:r>
    </w:p>
    <w:p w14:paraId="4606A2CA">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hAnsi="宋体"/>
          <w:color w:val="auto"/>
          <w:sz w:val="24"/>
        </w:rPr>
        <w:t xml:space="preserve">3.5.5 </w:t>
      </w:r>
      <w:r>
        <w:rPr>
          <w:rFonts w:hint="eastAsia" w:ascii="宋体" w:hAnsi="宋体"/>
          <w:color w:val="auto"/>
          <w:sz w:val="24"/>
        </w:rPr>
        <w:t>投标人应当按照单一来源采购文件的变动情况和谈判小组的要求重新提交投标文件（响应文件）或修订投标文件相应条款，</w:t>
      </w:r>
      <w:r>
        <w:rPr>
          <w:rFonts w:hint="eastAsia" w:ascii="宋体" w:hAnsi="宋体"/>
          <w:b/>
          <w:color w:val="auto"/>
          <w:sz w:val="24"/>
        </w:rPr>
        <w:t>并应加盖投标人或其法定代表人的电子签名</w:t>
      </w:r>
      <w:r>
        <w:rPr>
          <w:rFonts w:hint="eastAsia" w:ascii="宋体" w:hAnsi="宋体" w:cs="楷体_GB2312"/>
          <w:b/>
          <w:color w:val="auto"/>
          <w:sz w:val="24"/>
        </w:rPr>
        <w:t>（签章）</w:t>
      </w:r>
      <w:r>
        <w:rPr>
          <w:rFonts w:hint="eastAsia" w:ascii="宋体" w:hAnsi="宋体"/>
          <w:b/>
          <w:color w:val="auto"/>
          <w:sz w:val="24"/>
        </w:rPr>
        <w:t>。</w:t>
      </w:r>
    </w:p>
    <w:p w14:paraId="7526A167">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hAnsi="宋体"/>
          <w:color w:val="auto"/>
          <w:sz w:val="24"/>
        </w:rPr>
        <w:t xml:space="preserve">3.5.6 </w:t>
      </w:r>
      <w:r>
        <w:rPr>
          <w:rFonts w:hint="eastAsia" w:ascii="宋体" w:hAnsi="宋体"/>
          <w:color w:val="auto"/>
          <w:sz w:val="24"/>
        </w:rPr>
        <w:t>价格谈判</w:t>
      </w:r>
    </w:p>
    <w:p w14:paraId="0B695E9B">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hAnsi="宋体"/>
          <w:color w:val="auto"/>
          <w:sz w:val="24"/>
        </w:rPr>
        <w:t xml:space="preserve">3.5.6.1 </w:t>
      </w:r>
      <w:r>
        <w:rPr>
          <w:rFonts w:hint="eastAsia" w:ascii="宋体" w:hAnsi="宋体"/>
          <w:color w:val="auto"/>
          <w:sz w:val="24"/>
        </w:rPr>
        <w:t>见第二章“采购项目及服务要求”</w:t>
      </w:r>
      <w:r>
        <w:rPr>
          <w:rFonts w:ascii="宋体" w:hAnsi="宋体"/>
          <w:color w:val="auto"/>
          <w:sz w:val="24"/>
        </w:rPr>
        <w:t>1.3.2</w:t>
      </w:r>
      <w:r>
        <w:rPr>
          <w:rFonts w:hint="eastAsia" w:ascii="宋体" w:hAnsi="宋体"/>
          <w:color w:val="auto"/>
          <w:sz w:val="24"/>
        </w:rPr>
        <w:t>项规定</w:t>
      </w:r>
    </w:p>
    <w:p w14:paraId="27DBBA94">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hAnsi="宋体"/>
          <w:color w:val="auto"/>
          <w:sz w:val="24"/>
        </w:rPr>
        <w:t xml:space="preserve">3.5.6.2 </w:t>
      </w:r>
      <w:r>
        <w:rPr>
          <w:rFonts w:hint="eastAsia" w:ascii="宋体" w:hAnsi="宋体"/>
          <w:color w:val="auto"/>
          <w:sz w:val="24"/>
        </w:rPr>
        <w:t>谈判小组应当要求继续参加谈判的供应商在规定时间内提交最后报价，最后报价是投标文件（响应文件）的有效组成部分。</w:t>
      </w:r>
    </w:p>
    <w:p w14:paraId="17E7DE48">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hAnsi="宋体"/>
          <w:color w:val="auto"/>
          <w:sz w:val="24"/>
        </w:rPr>
        <w:t xml:space="preserve">3.5.7 </w:t>
      </w:r>
      <w:r>
        <w:rPr>
          <w:rFonts w:hint="eastAsia" w:ascii="宋体" w:hAnsi="宋体"/>
          <w:color w:val="auto"/>
          <w:sz w:val="24"/>
        </w:rPr>
        <w:t>单一来源采购文件的实质性变动影响到投标人因此无法继续参加谈判的，投标人可以在提交最后报价之前退出谈判。其响应文件按无效处理的投标人，所提交的最后报价也按无效处理。</w:t>
      </w:r>
    </w:p>
    <w:p w14:paraId="26619B90">
      <w:pPr>
        <w:autoSpaceDE w:val="0"/>
        <w:autoSpaceDN w:val="0"/>
        <w:adjustRightInd w:val="0"/>
        <w:snapToGrid w:val="0"/>
        <w:spacing w:before="120" w:beforeLines="50" w:line="300" w:lineRule="auto"/>
        <w:ind w:firstLine="569" w:firstLineChars="236"/>
        <w:jc w:val="left"/>
        <w:rPr>
          <w:rFonts w:ascii="宋体"/>
          <w:b/>
          <w:color w:val="auto"/>
          <w:sz w:val="24"/>
        </w:rPr>
      </w:pPr>
      <w:r>
        <w:rPr>
          <w:rFonts w:ascii="宋体" w:hAnsi="宋体"/>
          <w:b/>
          <w:color w:val="auto"/>
          <w:sz w:val="24"/>
        </w:rPr>
        <w:t>3.5.</w:t>
      </w:r>
      <w:r>
        <w:rPr>
          <w:rFonts w:hint="eastAsia" w:ascii="宋体" w:hAnsi="宋体"/>
          <w:b/>
          <w:color w:val="auto"/>
          <w:sz w:val="24"/>
        </w:rPr>
        <w:t>8</w:t>
      </w:r>
      <w:r>
        <w:rPr>
          <w:rFonts w:ascii="宋体" w:hAnsi="宋体"/>
          <w:b/>
          <w:color w:val="auto"/>
          <w:sz w:val="24"/>
        </w:rPr>
        <w:t xml:space="preserve"> </w:t>
      </w:r>
      <w:r>
        <w:rPr>
          <w:rFonts w:hint="eastAsia" w:ascii="宋体" w:hAnsi="宋体"/>
          <w:b/>
          <w:color w:val="auto"/>
          <w:sz w:val="24"/>
        </w:rPr>
        <w:t>投标人提交最后报价应在系统中填列。</w:t>
      </w:r>
    </w:p>
    <w:p w14:paraId="41D7A5E9">
      <w:pPr>
        <w:autoSpaceDE w:val="0"/>
        <w:autoSpaceDN w:val="0"/>
        <w:adjustRightInd w:val="0"/>
        <w:snapToGrid w:val="0"/>
        <w:spacing w:before="120" w:beforeLines="50" w:line="300" w:lineRule="auto"/>
        <w:ind w:firstLine="569" w:firstLineChars="236"/>
        <w:jc w:val="left"/>
        <w:rPr>
          <w:rFonts w:ascii="宋体" w:hAnsi="宋体"/>
          <w:b/>
          <w:color w:val="auto"/>
          <w:sz w:val="24"/>
        </w:rPr>
      </w:pPr>
      <w:r>
        <w:rPr>
          <w:rFonts w:ascii="宋体" w:hAnsi="宋体"/>
          <w:b/>
          <w:color w:val="auto"/>
          <w:sz w:val="24"/>
        </w:rPr>
        <w:t>3.5.</w:t>
      </w:r>
      <w:r>
        <w:rPr>
          <w:rFonts w:hint="eastAsia" w:ascii="宋体" w:hAnsi="宋体"/>
          <w:b/>
          <w:color w:val="auto"/>
          <w:sz w:val="24"/>
        </w:rPr>
        <w:t>9</w:t>
      </w:r>
      <w:r>
        <w:rPr>
          <w:rFonts w:ascii="宋体" w:hAnsi="宋体"/>
          <w:b/>
          <w:color w:val="auto"/>
          <w:sz w:val="24"/>
        </w:rPr>
        <w:t xml:space="preserve"> </w:t>
      </w:r>
      <w:r>
        <w:rPr>
          <w:rFonts w:hint="eastAsia" w:ascii="宋体" w:hAnsi="宋体"/>
          <w:b/>
          <w:color w:val="auto"/>
          <w:sz w:val="24"/>
        </w:rPr>
        <w:t>本项目在开标后只进行一轮报价，即最后报价。网上交易系统中管理员发起最后报价后，如投标人未在指定时限内提交最后报价，视为该供应商根据谈判情况退出谈判。</w:t>
      </w:r>
    </w:p>
    <w:p w14:paraId="3088CF5D">
      <w:pPr>
        <w:autoSpaceDE w:val="0"/>
        <w:autoSpaceDN w:val="0"/>
        <w:adjustRightInd w:val="0"/>
        <w:snapToGrid w:val="0"/>
        <w:spacing w:before="120" w:beforeLines="50" w:line="300" w:lineRule="auto"/>
        <w:ind w:firstLine="569" w:firstLineChars="236"/>
        <w:jc w:val="left"/>
        <w:rPr>
          <w:rFonts w:ascii="宋体" w:hAnsi="宋体"/>
          <w:b/>
          <w:color w:val="auto"/>
          <w:sz w:val="24"/>
        </w:rPr>
      </w:pPr>
      <w:r>
        <w:rPr>
          <w:rFonts w:ascii="宋体" w:hAnsi="宋体"/>
          <w:b/>
          <w:color w:val="auto"/>
          <w:sz w:val="24"/>
        </w:rPr>
        <w:t>3.5.1</w:t>
      </w:r>
      <w:r>
        <w:rPr>
          <w:rFonts w:hint="eastAsia" w:ascii="宋体" w:hAnsi="宋体"/>
          <w:b/>
          <w:color w:val="auto"/>
          <w:sz w:val="24"/>
        </w:rPr>
        <w:t>0</w:t>
      </w:r>
      <w:r>
        <w:rPr>
          <w:rFonts w:ascii="宋体" w:hAnsi="宋体"/>
          <w:b/>
          <w:color w:val="auto"/>
          <w:sz w:val="24"/>
        </w:rPr>
        <w:t xml:space="preserve"> </w:t>
      </w:r>
      <w:r>
        <w:rPr>
          <w:rFonts w:hint="eastAsia" w:ascii="宋体" w:hAnsi="宋体"/>
          <w:b/>
          <w:color w:val="auto"/>
          <w:sz w:val="24"/>
        </w:rPr>
        <w:t>投标人在网上报价过程中，如遇到网上投标系统的操作问题，可通过网上预留的咨询电话进行咨询。投标人因未按照要求进行操作、投标人办理的数字证书失效等其他自身原因导致响应文件错误或无效的，谈判小组将认定其为无效投标。</w:t>
      </w:r>
    </w:p>
    <w:p w14:paraId="59F30007">
      <w:pPr>
        <w:autoSpaceDE w:val="0"/>
        <w:autoSpaceDN w:val="0"/>
        <w:adjustRightInd w:val="0"/>
        <w:snapToGrid w:val="0"/>
        <w:spacing w:before="120" w:beforeLines="50" w:line="300" w:lineRule="auto"/>
        <w:ind w:firstLine="569" w:firstLineChars="236"/>
        <w:jc w:val="left"/>
        <w:rPr>
          <w:rFonts w:ascii="宋体"/>
          <w:color w:val="auto"/>
          <w:sz w:val="24"/>
        </w:rPr>
      </w:pPr>
      <w:r>
        <w:rPr>
          <w:rFonts w:ascii="黑体" w:hAnsi="黑体" w:eastAsia="黑体"/>
          <w:b/>
          <w:color w:val="auto"/>
          <w:sz w:val="24"/>
        </w:rPr>
        <w:t xml:space="preserve">3.6 </w:t>
      </w:r>
      <w:r>
        <w:rPr>
          <w:rFonts w:hint="eastAsia" w:ascii="黑体" w:hAnsi="黑体" w:eastAsia="黑体"/>
          <w:b/>
          <w:color w:val="auto"/>
          <w:sz w:val="24"/>
        </w:rPr>
        <w:t>复核</w:t>
      </w:r>
      <w:r>
        <w:rPr>
          <w:rFonts w:hint="eastAsia" w:ascii="宋体" w:hAnsi="宋体"/>
          <w:color w:val="auto"/>
          <w:sz w:val="24"/>
        </w:rPr>
        <w:t>：谈判小组对排名第一的、报价最低的、投标或相应文件被认定为无效的情形按单一来源采购文件实质性要求进行重点复核。</w:t>
      </w:r>
    </w:p>
    <w:p w14:paraId="481F168C">
      <w:pPr>
        <w:autoSpaceDE w:val="0"/>
        <w:autoSpaceDN w:val="0"/>
        <w:adjustRightInd w:val="0"/>
        <w:snapToGrid w:val="0"/>
        <w:spacing w:before="120" w:beforeLines="50" w:line="300" w:lineRule="auto"/>
        <w:ind w:firstLine="569" w:firstLineChars="236"/>
        <w:jc w:val="left"/>
        <w:rPr>
          <w:rFonts w:ascii="黑体" w:hAnsi="黑体" w:eastAsia="黑体"/>
          <w:b/>
          <w:color w:val="auto"/>
          <w:sz w:val="24"/>
        </w:rPr>
      </w:pPr>
      <w:bookmarkStart w:id="40" w:name="_Toc423723408"/>
      <w:r>
        <w:rPr>
          <w:rFonts w:ascii="黑体" w:hAnsi="黑体" w:eastAsia="黑体"/>
          <w:b/>
          <w:color w:val="auto"/>
          <w:sz w:val="24"/>
        </w:rPr>
        <w:t xml:space="preserve">3.7 </w:t>
      </w:r>
      <w:r>
        <w:rPr>
          <w:rFonts w:hint="eastAsia" w:ascii="黑体" w:hAnsi="黑体" w:eastAsia="黑体"/>
          <w:b/>
          <w:color w:val="auto"/>
          <w:sz w:val="24"/>
        </w:rPr>
        <w:t>评审结果</w:t>
      </w:r>
      <w:bookmarkEnd w:id="40"/>
    </w:p>
    <w:p w14:paraId="7E4E57EF">
      <w:pPr>
        <w:autoSpaceDE w:val="0"/>
        <w:autoSpaceDN w:val="0"/>
        <w:adjustRightInd w:val="0"/>
        <w:snapToGrid w:val="0"/>
        <w:spacing w:before="120" w:beforeLines="50" w:line="300" w:lineRule="auto"/>
        <w:ind w:firstLine="616" w:firstLineChars="257"/>
        <w:jc w:val="left"/>
        <w:rPr>
          <w:rFonts w:ascii="宋体"/>
          <w:color w:val="auto"/>
          <w:sz w:val="24"/>
        </w:rPr>
      </w:pPr>
      <w:r>
        <w:rPr>
          <w:rFonts w:ascii="宋体" w:hAnsi="宋体"/>
          <w:color w:val="auto"/>
          <w:sz w:val="24"/>
        </w:rPr>
        <w:t>3.7.1</w:t>
      </w:r>
      <w:r>
        <w:rPr>
          <w:rFonts w:hint="eastAsia" w:ascii="宋体" w:hAnsi="宋体"/>
          <w:color w:val="auto"/>
          <w:sz w:val="24"/>
        </w:rPr>
        <w:t xml:space="preserve"> 谈判小组对质量和服务均能满足单一来源采购文件实质性响应要求的投标人，提出成交候选人，并编写书面评审报告。</w:t>
      </w:r>
    </w:p>
    <w:p w14:paraId="5E93727E">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hAnsi="宋体"/>
          <w:color w:val="auto"/>
          <w:sz w:val="24"/>
        </w:rPr>
        <w:t xml:space="preserve">3.7.2 </w:t>
      </w:r>
      <w:r>
        <w:rPr>
          <w:rFonts w:hint="eastAsia" w:ascii="宋体" w:hAnsi="宋体"/>
          <w:color w:val="auto"/>
          <w:sz w:val="24"/>
        </w:rPr>
        <w:t>确定成交供应商：按第三章“投标人须知前附表”</w:t>
      </w:r>
      <w:r>
        <w:rPr>
          <w:rFonts w:ascii="宋体" w:hAnsi="宋体"/>
          <w:color w:val="auto"/>
          <w:sz w:val="24"/>
        </w:rPr>
        <w:t>7.1</w:t>
      </w:r>
      <w:r>
        <w:rPr>
          <w:rFonts w:hint="eastAsia" w:ascii="宋体" w:hAnsi="宋体"/>
          <w:color w:val="auto"/>
          <w:sz w:val="24"/>
        </w:rPr>
        <w:t>款规定及本章第</w:t>
      </w:r>
      <w:r>
        <w:rPr>
          <w:rFonts w:ascii="宋体" w:hAnsi="宋体"/>
          <w:color w:val="auto"/>
          <w:sz w:val="24"/>
        </w:rPr>
        <w:t>1</w:t>
      </w:r>
      <w:r>
        <w:rPr>
          <w:rFonts w:hint="eastAsia" w:ascii="宋体" w:hAnsi="宋体"/>
          <w:color w:val="auto"/>
          <w:sz w:val="24"/>
        </w:rPr>
        <w:t>条规定。</w:t>
      </w:r>
    </w:p>
    <w:p w14:paraId="1A706136">
      <w:pPr>
        <w:autoSpaceDE w:val="0"/>
        <w:autoSpaceDN w:val="0"/>
        <w:adjustRightInd w:val="0"/>
        <w:snapToGrid w:val="0"/>
        <w:spacing w:before="120"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3.8 </w:t>
      </w:r>
      <w:r>
        <w:rPr>
          <w:rFonts w:hint="eastAsia" w:ascii="黑体" w:hAnsi="黑体" w:eastAsia="黑体"/>
          <w:b/>
          <w:color w:val="auto"/>
          <w:sz w:val="24"/>
        </w:rPr>
        <w:t>谈判终止</w:t>
      </w:r>
    </w:p>
    <w:p w14:paraId="5CCE2ED3">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hAnsi="宋体"/>
          <w:color w:val="auto"/>
          <w:sz w:val="24"/>
        </w:rPr>
        <w:t xml:space="preserve">3.8.1 </w:t>
      </w:r>
      <w:r>
        <w:rPr>
          <w:rFonts w:hint="eastAsia" w:ascii="宋体" w:hAnsi="宋体"/>
          <w:color w:val="auto"/>
          <w:sz w:val="24"/>
        </w:rPr>
        <w:t>出现下列情形之一的，终止单一来源活动：</w:t>
      </w:r>
    </w:p>
    <w:p w14:paraId="778C879E">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）因情况变化，不再符合规定的单一来源方式适用情形的；</w:t>
      </w:r>
    </w:p>
    <w:p w14:paraId="5D1C354F">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）出现影响采购公正的违法、违规行为的；</w:t>
      </w:r>
    </w:p>
    <w:p w14:paraId="5ACF8CF4">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）在采购活动中因重大变故，采购任务取消的。</w:t>
      </w:r>
    </w:p>
    <w:p w14:paraId="7A27AE9D">
      <w:pPr>
        <w:autoSpaceDE w:val="0"/>
        <w:autoSpaceDN w:val="0"/>
        <w:adjustRightInd w:val="0"/>
        <w:snapToGrid w:val="0"/>
        <w:spacing w:line="300" w:lineRule="auto"/>
        <w:ind w:firstLine="566" w:firstLineChars="236"/>
        <w:jc w:val="left"/>
        <w:rPr>
          <w:rFonts w:ascii="宋体"/>
          <w:color w:val="auto"/>
          <w:sz w:val="24"/>
        </w:rPr>
      </w:pPr>
      <w:r>
        <w:rPr>
          <w:rFonts w:ascii="宋体" w:hAnsi="宋体"/>
          <w:color w:val="auto"/>
          <w:sz w:val="24"/>
        </w:rPr>
        <w:t xml:space="preserve">3.8.2 </w:t>
      </w:r>
      <w:r>
        <w:rPr>
          <w:rFonts w:hint="eastAsia" w:ascii="宋体" w:hAnsi="宋体"/>
          <w:color w:val="auto"/>
          <w:sz w:val="24"/>
        </w:rPr>
        <w:t>谈判小组要在采购项目（标段&lt;包&gt;）谈判失败时，出具单一来源采购文件是否存在不合理条款的论证意见，要协助采购人、采购代理机构、财政部门答复质疑或处理投诉事项。　</w:t>
      </w:r>
    </w:p>
    <w:p w14:paraId="0EA446F7">
      <w:pPr>
        <w:autoSpaceDE w:val="0"/>
        <w:autoSpaceDN w:val="0"/>
        <w:adjustRightInd w:val="0"/>
        <w:snapToGrid w:val="0"/>
        <w:spacing w:before="120" w:beforeLines="50" w:line="300" w:lineRule="auto"/>
        <w:ind w:firstLine="566" w:firstLineChars="236"/>
        <w:jc w:val="left"/>
        <w:rPr>
          <w:rFonts w:ascii="宋体"/>
          <w:color w:val="auto"/>
          <w:sz w:val="24"/>
        </w:rPr>
      </w:pPr>
      <w:r>
        <w:rPr>
          <w:rFonts w:ascii="宋体"/>
          <w:color w:val="auto"/>
          <w:sz w:val="24"/>
        </w:rPr>
        <w:br w:type="page"/>
      </w:r>
    </w:p>
    <w:p w14:paraId="333DED4A">
      <w:pPr>
        <w:widowControl w:val="0"/>
        <w:snapToGrid w:val="0"/>
        <w:spacing w:line="657" w:lineRule="atLeast"/>
        <w:outlineLvl w:val="0"/>
        <w:rPr>
          <w:rFonts w:ascii="黑体" w:eastAsia="黑体"/>
          <w:b/>
          <w:color w:val="auto"/>
          <w:sz w:val="36"/>
          <w:szCs w:val="36"/>
        </w:rPr>
      </w:pPr>
      <w:bookmarkStart w:id="41" w:name="_Toc498520247"/>
      <w:bookmarkStart w:id="42" w:name="_Toc469930444"/>
    </w:p>
    <w:p w14:paraId="5CAB9809">
      <w:pPr>
        <w:widowControl w:val="0"/>
        <w:snapToGrid w:val="0"/>
        <w:spacing w:line="657" w:lineRule="atLeast"/>
        <w:jc w:val="center"/>
        <w:outlineLvl w:val="0"/>
        <w:rPr>
          <w:rFonts w:ascii="黑体" w:eastAsia="黑体"/>
          <w:b/>
          <w:color w:val="auto"/>
          <w:sz w:val="36"/>
          <w:szCs w:val="36"/>
        </w:rPr>
      </w:pPr>
      <w:bookmarkStart w:id="43" w:name="_Toc58858982"/>
      <w:r>
        <w:rPr>
          <w:rFonts w:hint="eastAsia" w:ascii="黑体" w:eastAsia="黑体"/>
          <w:b/>
          <w:color w:val="auto"/>
          <w:sz w:val="36"/>
          <w:szCs w:val="36"/>
        </w:rPr>
        <w:t>第五章</w:t>
      </w:r>
      <w:r>
        <w:rPr>
          <w:rFonts w:ascii="黑体" w:eastAsia="黑体"/>
          <w:b/>
          <w:color w:val="auto"/>
          <w:sz w:val="36"/>
          <w:szCs w:val="36"/>
        </w:rPr>
        <w:t xml:space="preserve">  </w:t>
      </w:r>
      <w:r>
        <w:rPr>
          <w:rFonts w:hint="eastAsia" w:ascii="黑体" w:eastAsia="黑体"/>
          <w:b/>
          <w:color w:val="auto"/>
          <w:sz w:val="36"/>
          <w:szCs w:val="36"/>
        </w:rPr>
        <w:t>合同主要条款</w:t>
      </w:r>
      <w:bookmarkEnd w:id="41"/>
      <w:bookmarkEnd w:id="42"/>
      <w:bookmarkEnd w:id="43"/>
    </w:p>
    <w:p w14:paraId="67A03F52">
      <w:pPr>
        <w:widowControl w:val="0"/>
        <w:snapToGrid w:val="0"/>
        <w:spacing w:line="657" w:lineRule="atLeast"/>
        <w:jc w:val="center"/>
        <w:rPr>
          <w:rFonts w:ascii="黑体" w:eastAsia="黑体"/>
          <w:b/>
          <w:color w:val="auto"/>
          <w:spacing w:val="20"/>
          <w:sz w:val="36"/>
          <w:szCs w:val="36"/>
        </w:rPr>
      </w:pPr>
    </w:p>
    <w:p w14:paraId="01E7BCC3">
      <w:pPr>
        <w:widowControl w:val="0"/>
        <w:snapToGrid w:val="0"/>
        <w:spacing w:line="657" w:lineRule="atLeast"/>
        <w:jc w:val="center"/>
        <w:rPr>
          <w:rFonts w:ascii="黑体" w:eastAsia="黑体"/>
          <w:b/>
          <w:color w:val="auto"/>
          <w:spacing w:val="20"/>
          <w:sz w:val="36"/>
          <w:szCs w:val="36"/>
        </w:rPr>
      </w:pPr>
      <w:r>
        <w:rPr>
          <w:rFonts w:hint="eastAsia" w:ascii="黑体" w:eastAsia="黑体"/>
          <w:b/>
          <w:color w:val="auto"/>
          <w:spacing w:val="20"/>
          <w:sz w:val="36"/>
          <w:szCs w:val="36"/>
        </w:rPr>
        <w:t>服</w:t>
      </w:r>
      <w:r>
        <w:rPr>
          <w:rFonts w:ascii="黑体" w:eastAsia="黑体"/>
          <w:b/>
          <w:color w:val="auto"/>
          <w:spacing w:val="20"/>
          <w:sz w:val="36"/>
          <w:szCs w:val="36"/>
        </w:rPr>
        <w:t xml:space="preserve"> </w:t>
      </w:r>
      <w:r>
        <w:rPr>
          <w:rFonts w:hint="eastAsia" w:ascii="黑体" w:eastAsia="黑体"/>
          <w:b/>
          <w:color w:val="auto"/>
          <w:spacing w:val="20"/>
          <w:sz w:val="36"/>
          <w:szCs w:val="36"/>
        </w:rPr>
        <w:t>务</w:t>
      </w:r>
      <w:r>
        <w:rPr>
          <w:rFonts w:ascii="黑体" w:eastAsia="黑体"/>
          <w:b/>
          <w:color w:val="auto"/>
          <w:spacing w:val="20"/>
          <w:sz w:val="36"/>
          <w:szCs w:val="36"/>
        </w:rPr>
        <w:t xml:space="preserve"> </w:t>
      </w:r>
      <w:r>
        <w:rPr>
          <w:rFonts w:hint="eastAsia" w:ascii="黑体" w:eastAsia="黑体"/>
          <w:b/>
          <w:color w:val="auto"/>
          <w:spacing w:val="20"/>
          <w:sz w:val="36"/>
          <w:szCs w:val="36"/>
        </w:rPr>
        <w:t>合</w:t>
      </w:r>
      <w:r>
        <w:rPr>
          <w:rFonts w:ascii="黑体" w:eastAsia="黑体"/>
          <w:b/>
          <w:color w:val="auto"/>
          <w:spacing w:val="20"/>
          <w:sz w:val="36"/>
          <w:szCs w:val="36"/>
        </w:rPr>
        <w:t xml:space="preserve"> </w:t>
      </w:r>
      <w:r>
        <w:rPr>
          <w:rFonts w:hint="eastAsia" w:ascii="黑体" w:eastAsia="黑体"/>
          <w:b/>
          <w:color w:val="auto"/>
          <w:spacing w:val="20"/>
          <w:sz w:val="36"/>
          <w:szCs w:val="36"/>
        </w:rPr>
        <w:t>同</w:t>
      </w:r>
    </w:p>
    <w:p w14:paraId="70F3BD7A">
      <w:pPr>
        <w:widowControl w:val="0"/>
        <w:snapToGrid w:val="0"/>
        <w:spacing w:line="657" w:lineRule="atLeast"/>
        <w:jc w:val="center"/>
        <w:rPr>
          <w:rFonts w:ascii="黑体" w:eastAsia="黑体"/>
          <w:b/>
          <w:color w:val="auto"/>
          <w:spacing w:val="20"/>
          <w:sz w:val="36"/>
          <w:szCs w:val="36"/>
        </w:rPr>
      </w:pPr>
    </w:p>
    <w:p w14:paraId="4087BB34">
      <w:pPr>
        <w:widowControl w:val="0"/>
        <w:snapToGrid w:val="0"/>
        <w:spacing w:before="56" w:after="56" w:line="360" w:lineRule="auto"/>
        <w:ind w:right="85"/>
        <w:jc w:val="left"/>
        <w:textAlignment w:val="top"/>
        <w:rPr>
          <w:color w:val="auto"/>
          <w:sz w:val="24"/>
          <w:szCs w:val="24"/>
        </w:rPr>
      </w:pPr>
      <w:r>
        <w:rPr>
          <w:rFonts w:hint="eastAsia"/>
          <w:color w:val="auto"/>
          <w:sz w:val="24"/>
          <w:szCs w:val="24"/>
        </w:rPr>
        <w:t>合同编号：</w:t>
      </w:r>
    </w:p>
    <w:p w14:paraId="7E760384">
      <w:pPr>
        <w:widowControl w:val="0"/>
        <w:snapToGrid w:val="0"/>
        <w:spacing w:before="56" w:after="56" w:line="360" w:lineRule="auto"/>
        <w:ind w:right="85"/>
        <w:jc w:val="left"/>
        <w:textAlignment w:val="top"/>
        <w:rPr>
          <w:color w:val="auto"/>
          <w:sz w:val="24"/>
          <w:szCs w:val="24"/>
        </w:rPr>
      </w:pPr>
      <w:r>
        <w:rPr>
          <w:rFonts w:hint="eastAsia"/>
          <w:color w:val="auto"/>
          <w:sz w:val="24"/>
          <w:szCs w:val="24"/>
        </w:rPr>
        <w:t>甲方：（采购人）</w:t>
      </w:r>
    </w:p>
    <w:p w14:paraId="0F5B3B51">
      <w:pPr>
        <w:widowControl w:val="0"/>
        <w:snapToGrid w:val="0"/>
        <w:spacing w:before="56" w:after="56" w:line="360" w:lineRule="auto"/>
        <w:ind w:right="85"/>
        <w:jc w:val="left"/>
        <w:textAlignment w:val="top"/>
        <w:rPr>
          <w:color w:val="auto"/>
          <w:sz w:val="24"/>
          <w:szCs w:val="24"/>
        </w:rPr>
      </w:pPr>
      <w:r>
        <w:rPr>
          <w:rFonts w:hint="eastAsia"/>
          <w:color w:val="auto"/>
          <w:sz w:val="24"/>
          <w:szCs w:val="24"/>
        </w:rPr>
        <w:t>乙方：（供应商）</w:t>
      </w:r>
    </w:p>
    <w:p w14:paraId="4DB138F1">
      <w:pPr>
        <w:widowControl w:val="0"/>
        <w:snapToGrid w:val="0"/>
        <w:spacing w:line="360" w:lineRule="auto"/>
        <w:ind w:right="85" w:firstLine="460" w:firstLineChars="192"/>
        <w:rPr>
          <w:color w:val="auto"/>
          <w:spacing w:val="20"/>
          <w:sz w:val="24"/>
          <w:szCs w:val="24"/>
        </w:rPr>
      </w:pPr>
      <w:r>
        <w:rPr>
          <w:rFonts w:hint="eastAsia"/>
          <w:color w:val="auto"/>
          <w:sz w:val="24"/>
          <w:szCs w:val="24"/>
        </w:rPr>
        <w:t>甲、乙双方持安阳市方正招标采购服务有限责任公司</w:t>
      </w:r>
      <w:r>
        <w:rPr>
          <w:color w:val="auto"/>
          <w:sz w:val="24"/>
          <w:szCs w:val="24"/>
        </w:rPr>
        <w:t>202</w:t>
      </w:r>
      <w:r>
        <w:rPr>
          <w:rFonts w:hint="eastAsia"/>
          <w:color w:val="auto"/>
          <w:sz w:val="24"/>
          <w:szCs w:val="24"/>
        </w:rPr>
        <w:t>4年</w:t>
      </w:r>
      <w:r>
        <w:rPr>
          <w:rFonts w:hint="eastAsia"/>
          <w:color w:val="auto"/>
          <w:sz w:val="24"/>
          <w:szCs w:val="24"/>
          <w:u w:val="single"/>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rPr>
        <w:t>日签发的</w:t>
      </w:r>
      <w:r>
        <w:rPr>
          <w:rFonts w:hint="eastAsia"/>
          <w:color w:val="auto"/>
          <w:sz w:val="24"/>
          <w:szCs w:val="24"/>
          <w:u w:val="single"/>
        </w:rPr>
        <w:t>（采购人及项目名称）</w:t>
      </w:r>
      <w:r>
        <w:rPr>
          <w:rFonts w:hint="eastAsia"/>
          <w:color w:val="auto"/>
          <w:sz w:val="24"/>
          <w:szCs w:val="24"/>
        </w:rPr>
        <w:t>〔项目编号：</w:t>
      </w:r>
      <w:r>
        <w:rPr>
          <w:color w:val="auto"/>
          <w:sz w:val="24"/>
          <w:szCs w:val="24"/>
        </w:rPr>
        <w:t xml:space="preserve">    </w:t>
      </w:r>
      <w:r>
        <w:rPr>
          <w:rFonts w:hint="eastAsia"/>
          <w:color w:val="auto"/>
          <w:sz w:val="24"/>
          <w:szCs w:val="24"/>
        </w:rPr>
        <w:t>〕成交通知书，根据单一来源采购文件</w:t>
      </w:r>
      <w:r>
        <w:rPr>
          <w:rFonts w:hint="eastAsia"/>
          <w:color w:val="auto"/>
          <w:spacing w:val="20"/>
          <w:sz w:val="24"/>
          <w:szCs w:val="24"/>
        </w:rPr>
        <w:t>及其修改补充澄清、《响应文件》及其修改补充澄清的内容，经双方平等协商一致，达成以下合同条款：</w:t>
      </w:r>
    </w:p>
    <w:p w14:paraId="17678507">
      <w:pPr>
        <w:widowControl w:val="0"/>
        <w:snapToGrid w:val="0"/>
        <w:spacing w:line="360" w:lineRule="auto"/>
        <w:ind w:right="85" w:firstLine="460" w:firstLineChars="192"/>
        <w:rPr>
          <w:color w:val="auto"/>
          <w:sz w:val="24"/>
          <w:szCs w:val="24"/>
        </w:rPr>
      </w:pPr>
      <w:r>
        <w:rPr>
          <w:rFonts w:hint="eastAsia"/>
          <w:color w:val="auto"/>
          <w:sz w:val="24"/>
          <w:szCs w:val="24"/>
        </w:rPr>
        <w:t>一、本合同所指服务为此次单一来源采购的服务，包括</w:t>
      </w:r>
      <w:r>
        <w:rPr>
          <w:rFonts w:hint="eastAsia"/>
          <w:color w:val="auto"/>
          <w:sz w:val="24"/>
          <w:szCs w:val="24"/>
          <w:u w:val="single"/>
        </w:rPr>
        <w:t xml:space="preserve">              </w:t>
      </w:r>
      <w:r>
        <w:rPr>
          <w:rFonts w:hint="eastAsia"/>
          <w:color w:val="auto"/>
          <w:sz w:val="24"/>
          <w:szCs w:val="24"/>
        </w:rPr>
        <w:t>，合同总价款为元（大写：）。</w:t>
      </w:r>
    </w:p>
    <w:p w14:paraId="09DBAA15">
      <w:pPr>
        <w:widowControl w:val="0"/>
        <w:snapToGrid w:val="0"/>
        <w:spacing w:line="360" w:lineRule="auto"/>
        <w:ind w:right="85" w:firstLine="537" w:firstLineChars="192"/>
        <w:rPr>
          <w:color w:val="auto"/>
          <w:sz w:val="24"/>
          <w:szCs w:val="24"/>
        </w:rPr>
      </w:pPr>
      <w:r>
        <w:rPr>
          <w:rFonts w:hint="eastAsia"/>
          <w:color w:val="auto"/>
          <w:spacing w:val="20"/>
          <w:sz w:val="24"/>
          <w:szCs w:val="24"/>
        </w:rPr>
        <w:t>本合同为固定总价合同，不因人工、材料和产品等价格的波动而影响合同价格。</w:t>
      </w:r>
    </w:p>
    <w:p w14:paraId="55AB12A6">
      <w:pPr>
        <w:widowControl w:val="0"/>
        <w:snapToGrid w:val="0"/>
        <w:spacing w:before="56" w:after="56" w:line="360" w:lineRule="auto"/>
        <w:ind w:right="85" w:firstLine="555"/>
        <w:rPr>
          <w:color w:val="auto"/>
          <w:sz w:val="24"/>
          <w:szCs w:val="24"/>
        </w:rPr>
      </w:pPr>
      <w:r>
        <w:rPr>
          <w:rFonts w:hint="eastAsia"/>
          <w:color w:val="auto"/>
          <w:sz w:val="24"/>
          <w:szCs w:val="24"/>
        </w:rPr>
        <w:t>二、服务质量要求及乙方对质量负责条件和期限：</w:t>
      </w:r>
    </w:p>
    <w:p w14:paraId="4980763B">
      <w:pPr>
        <w:widowControl w:val="0"/>
        <w:snapToGrid w:val="0"/>
        <w:spacing w:line="360" w:lineRule="auto"/>
        <w:ind w:firstLine="561"/>
        <w:rPr>
          <w:color w:val="auto"/>
          <w:spacing w:val="20"/>
          <w:sz w:val="24"/>
          <w:szCs w:val="24"/>
        </w:rPr>
      </w:pPr>
      <w:r>
        <w:rPr>
          <w:color w:val="auto"/>
          <w:sz w:val="24"/>
          <w:szCs w:val="24"/>
        </w:rPr>
        <w:t>1</w:t>
      </w:r>
      <w:r>
        <w:rPr>
          <w:rFonts w:hint="eastAsia"/>
          <w:color w:val="auto"/>
          <w:sz w:val="24"/>
          <w:szCs w:val="24"/>
        </w:rPr>
        <w:t>、</w:t>
      </w:r>
    </w:p>
    <w:p w14:paraId="67743511">
      <w:pPr>
        <w:widowControl w:val="0"/>
        <w:snapToGrid w:val="0"/>
        <w:spacing w:before="56" w:after="56" w:line="360" w:lineRule="auto"/>
        <w:ind w:right="85" w:firstLine="555"/>
        <w:rPr>
          <w:color w:val="auto"/>
          <w:sz w:val="24"/>
          <w:szCs w:val="24"/>
        </w:rPr>
      </w:pPr>
      <w:r>
        <w:rPr>
          <w:color w:val="auto"/>
          <w:sz w:val="24"/>
          <w:szCs w:val="24"/>
        </w:rPr>
        <w:t>2</w:t>
      </w:r>
      <w:r>
        <w:rPr>
          <w:rFonts w:hint="eastAsia"/>
          <w:color w:val="auto"/>
          <w:sz w:val="24"/>
          <w:szCs w:val="24"/>
        </w:rPr>
        <w:t>、</w:t>
      </w:r>
    </w:p>
    <w:p w14:paraId="27A4942F">
      <w:pPr>
        <w:widowControl w:val="0"/>
        <w:snapToGrid w:val="0"/>
        <w:spacing w:before="56" w:after="56" w:line="360" w:lineRule="auto"/>
        <w:ind w:right="85" w:firstLine="555"/>
        <w:rPr>
          <w:color w:val="auto"/>
          <w:sz w:val="24"/>
          <w:szCs w:val="24"/>
        </w:rPr>
      </w:pPr>
      <w:r>
        <w:rPr>
          <w:rFonts w:hint="eastAsia"/>
          <w:color w:val="auto"/>
          <w:sz w:val="24"/>
          <w:szCs w:val="24"/>
        </w:rPr>
        <w:t>三、交付时间、地点、方式：</w:t>
      </w:r>
    </w:p>
    <w:p w14:paraId="0AE76830">
      <w:pPr>
        <w:widowControl w:val="0"/>
        <w:snapToGrid w:val="0"/>
        <w:spacing w:before="56" w:after="56" w:line="360" w:lineRule="auto"/>
        <w:ind w:right="85" w:firstLine="555"/>
        <w:rPr>
          <w:color w:val="auto"/>
          <w:spacing w:val="20"/>
          <w:sz w:val="24"/>
          <w:szCs w:val="24"/>
        </w:rPr>
      </w:pPr>
    </w:p>
    <w:p w14:paraId="42B54936">
      <w:pPr>
        <w:widowControl w:val="0"/>
        <w:snapToGrid w:val="0"/>
        <w:spacing w:before="56" w:after="56" w:line="360" w:lineRule="auto"/>
        <w:ind w:right="85" w:firstLine="555"/>
        <w:rPr>
          <w:color w:val="auto"/>
          <w:sz w:val="24"/>
          <w:szCs w:val="24"/>
        </w:rPr>
      </w:pPr>
      <w:r>
        <w:rPr>
          <w:rFonts w:hint="eastAsia"/>
          <w:color w:val="auto"/>
          <w:sz w:val="24"/>
          <w:szCs w:val="24"/>
        </w:rPr>
        <w:t>四、验收程序和要求</w:t>
      </w:r>
    </w:p>
    <w:p w14:paraId="219D54D8">
      <w:pPr>
        <w:widowControl w:val="0"/>
        <w:adjustRightInd w:val="0"/>
        <w:snapToGrid w:val="0"/>
        <w:spacing w:before="120" w:beforeLines="50" w:line="300" w:lineRule="auto"/>
        <w:ind w:firstLine="561"/>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、验收时间：项目具备验收条件时，由采购</w:t>
      </w:r>
      <w:r>
        <w:rPr>
          <w:rFonts w:hint="eastAsia" w:ascii="宋体" w:hAnsi="宋体" w:cs="楷体_GB2312"/>
          <w:color w:val="auto"/>
          <w:sz w:val="24"/>
        </w:rPr>
        <w:t>人</w:t>
      </w:r>
      <w:r>
        <w:rPr>
          <w:rFonts w:hint="eastAsia" w:ascii="宋体" w:hAnsi="宋体" w:cs="楷体_GB2312"/>
          <w:color w:val="auto"/>
          <w:sz w:val="24"/>
          <w:lang w:val="zh-CN"/>
        </w:rPr>
        <w:t>成立验收工作组负责验收。</w:t>
      </w:r>
      <w:r>
        <w:rPr>
          <w:rFonts w:hint="eastAsia" w:ascii="宋体" w:hAnsi="宋体" w:cs="楷体_GB2312"/>
          <w:color w:val="auto"/>
          <w:sz w:val="24"/>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19040D3B">
      <w:pPr>
        <w:widowControl w:val="0"/>
        <w:adjustRightInd w:val="0"/>
        <w:snapToGrid w:val="0"/>
        <w:spacing w:before="120" w:beforeLines="50" w:line="300" w:lineRule="auto"/>
        <w:ind w:firstLine="561"/>
        <w:rPr>
          <w:rFonts w:ascii="宋体" w:hAnsi="宋体" w:cs="楷体_GB2312"/>
          <w:color w:val="auto"/>
          <w:sz w:val="24"/>
          <w:lang w:val="zh-CN"/>
        </w:rPr>
      </w:pPr>
      <w:r>
        <w:rPr>
          <w:rFonts w:ascii="宋体" w:hAnsi="宋体" w:cs="楷体_GB2312"/>
          <w:color w:val="auto"/>
          <w:sz w:val="24"/>
          <w:lang w:val="zh-CN"/>
        </w:rPr>
        <w:t>2</w:t>
      </w:r>
      <w:r>
        <w:rPr>
          <w:rFonts w:hint="eastAsia" w:ascii="宋体" w:hAnsi="宋体" w:cs="楷体_GB2312"/>
          <w:color w:val="auto"/>
          <w:sz w:val="24"/>
          <w:lang w:val="zh-CN"/>
        </w:rPr>
        <w:t>、验收工作组：合同履约验收工作应成立验收工作组专门负责。</w:t>
      </w:r>
    </w:p>
    <w:p w14:paraId="5EBE5776">
      <w:pPr>
        <w:widowControl w:val="0"/>
        <w:adjustRightInd w:val="0"/>
        <w:snapToGrid w:val="0"/>
        <w:spacing w:before="120" w:beforeLines="50" w:line="300" w:lineRule="auto"/>
        <w:ind w:firstLine="561"/>
        <w:rPr>
          <w:rFonts w:ascii="宋体" w:hAnsi="宋体" w:cs="楷体_GB2312"/>
          <w:color w:val="auto"/>
          <w:sz w:val="24"/>
          <w:lang w:val="zh-CN"/>
        </w:rPr>
      </w:pPr>
      <w:r>
        <w:rPr>
          <w:rFonts w:hint="eastAsia" w:ascii="宋体" w:hAnsi="宋体" w:cs="楷体_GB2312"/>
          <w:color w:val="auto"/>
          <w:sz w:val="24"/>
          <w:lang w:val="zh-CN"/>
        </w:rPr>
        <w:t>直接参与该项目政府采购活动的主要负责人不得作为验收工作的主要负责人。</w:t>
      </w:r>
      <w:r>
        <w:rPr>
          <w:rFonts w:hint="eastAsia" w:ascii="宋体" w:hAnsi="宋体" w:cs="楷体_GB2312"/>
          <w:color w:val="auto"/>
          <w:sz w:val="24"/>
        </w:rPr>
        <w:t>对于采购人和使用人分离的采购项目，应当邀请实际使用人参与验收；政府向社会公众提供的公共服务项目，验收时应当邀请服务对象参与并出具意见，验收结果应当向社会公告。</w:t>
      </w:r>
    </w:p>
    <w:p w14:paraId="7895788A">
      <w:pPr>
        <w:widowControl w:val="0"/>
        <w:adjustRightInd w:val="0"/>
        <w:snapToGrid w:val="0"/>
        <w:spacing w:before="120" w:beforeLines="50" w:line="300" w:lineRule="auto"/>
        <w:ind w:firstLine="561"/>
        <w:rPr>
          <w:rFonts w:ascii="宋体" w:hAnsi="宋体" w:cs="楷体_GB2312"/>
          <w:color w:val="auto"/>
          <w:sz w:val="24"/>
        </w:rPr>
      </w:pPr>
      <w:r>
        <w:rPr>
          <w:rFonts w:hint="eastAsia" w:ascii="宋体" w:hAnsi="宋体" w:cs="楷体_GB2312"/>
          <w:color w:val="auto"/>
          <w:sz w:val="24"/>
        </w:rPr>
        <w:t>2.1、</w:t>
      </w:r>
      <w:r>
        <w:rPr>
          <w:rFonts w:hint="eastAsia" w:ascii="宋体" w:hAnsi="宋体" w:cs="楷体_GB2312"/>
          <w:color w:val="auto"/>
          <w:sz w:val="24"/>
          <w:lang w:val="zh-CN"/>
        </w:rPr>
        <w:t>政府采购合同金额</w:t>
      </w:r>
      <w:r>
        <w:rPr>
          <w:rFonts w:hint="eastAsia" w:ascii="宋体" w:hAnsi="宋体" w:cs="楷体_GB2312"/>
          <w:color w:val="auto"/>
          <w:sz w:val="24"/>
        </w:rPr>
        <w:t>在</w:t>
      </w:r>
      <w:r>
        <w:rPr>
          <w:rFonts w:hint="eastAsia" w:ascii="宋体" w:hAnsi="宋体" w:cs="楷体_GB2312"/>
          <w:color w:val="auto"/>
          <w:sz w:val="24"/>
          <w:lang w:val="zh-CN"/>
        </w:rPr>
        <w:t>10万元以下（</w:t>
      </w:r>
      <w:r>
        <w:rPr>
          <w:rFonts w:hint="eastAsia" w:ascii="宋体" w:hAnsi="宋体" w:cs="楷体_GB2312"/>
          <w:color w:val="auto"/>
          <w:sz w:val="24"/>
        </w:rPr>
        <w:t>含10万元</w:t>
      </w:r>
      <w:r>
        <w:rPr>
          <w:rFonts w:hint="eastAsia" w:ascii="宋体" w:hAnsi="宋体" w:cs="楷体_GB2312"/>
          <w:color w:val="auto"/>
          <w:sz w:val="24"/>
          <w:lang w:val="zh-CN"/>
        </w:rPr>
        <w:t>）的项目，原则上可以不邀请评审专家参加，组织方成立验收小组自行验收。</w:t>
      </w:r>
      <w:r>
        <w:rPr>
          <w:rFonts w:hint="eastAsia" w:ascii="宋体" w:hAnsi="宋体" w:cs="楷体_GB2312"/>
          <w:color w:val="auto"/>
          <w:sz w:val="24"/>
        </w:rPr>
        <w:t>自行验收时，验收小组应仔细对照采购文件及合同，对标的物的数量、质量、规格、型号等参数逐一核对，并编制验收报告。组织方认为不能独立完成验收任务的，可以邀请评审专家参与验收。</w:t>
      </w:r>
    </w:p>
    <w:p w14:paraId="3D09829F">
      <w:pPr>
        <w:widowControl w:val="0"/>
        <w:adjustRightInd w:val="0"/>
        <w:snapToGrid w:val="0"/>
        <w:spacing w:before="120" w:beforeLines="50" w:line="300" w:lineRule="auto"/>
        <w:ind w:firstLine="561"/>
        <w:rPr>
          <w:rFonts w:ascii="宋体" w:hAnsi="宋体" w:cs="楷体_GB2312"/>
          <w:color w:val="auto"/>
          <w:sz w:val="24"/>
        </w:rPr>
      </w:pPr>
      <w:r>
        <w:rPr>
          <w:rFonts w:hint="eastAsia" w:ascii="宋体" w:hAnsi="宋体" w:cs="楷体_GB2312"/>
          <w:color w:val="auto"/>
          <w:sz w:val="24"/>
        </w:rPr>
        <w:t>2.2、</w:t>
      </w:r>
      <w:r>
        <w:rPr>
          <w:rFonts w:hint="eastAsia" w:ascii="宋体" w:hAnsi="宋体" w:cs="楷体_GB2312"/>
          <w:color w:val="auto"/>
          <w:sz w:val="24"/>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rPr>
        <w:t>采购人</w:t>
      </w:r>
      <w:r>
        <w:rPr>
          <w:rFonts w:hint="eastAsia" w:ascii="宋体" w:hAnsi="宋体" w:cs="楷体_GB2312"/>
          <w:color w:val="auto"/>
          <w:sz w:val="24"/>
          <w:lang w:val="zh-CN"/>
        </w:rPr>
        <w:t>领导牵头，财务、审计、监察、资产管理、技术等部门人员参与，成员不少于五人。验收工作</w:t>
      </w:r>
      <w:r>
        <w:rPr>
          <w:rFonts w:hint="eastAsia" w:ascii="宋体" w:hAnsi="宋体" w:cs="楷体_GB2312"/>
          <w:color w:val="auto"/>
          <w:sz w:val="24"/>
        </w:rPr>
        <w:t>原则上</w:t>
      </w:r>
      <w:r>
        <w:rPr>
          <w:rFonts w:hint="eastAsia" w:ascii="宋体" w:hAnsi="宋体" w:cs="楷体_GB2312"/>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rPr>
        <w:t>采购人</w:t>
      </w:r>
      <w:r>
        <w:rPr>
          <w:rFonts w:hint="eastAsia" w:ascii="宋体" w:hAnsi="宋体" w:cs="楷体_GB2312"/>
          <w:color w:val="auto"/>
          <w:sz w:val="24"/>
          <w:lang w:val="zh-CN"/>
        </w:rPr>
        <w:t>必须委托国家认可专业检测机构进行验收。</w:t>
      </w:r>
    </w:p>
    <w:p w14:paraId="28E7D3FC">
      <w:pPr>
        <w:widowControl w:val="0"/>
        <w:adjustRightInd w:val="0"/>
        <w:snapToGrid w:val="0"/>
        <w:spacing w:before="120" w:beforeLines="50" w:line="300" w:lineRule="auto"/>
        <w:ind w:firstLine="561"/>
        <w:rPr>
          <w:rFonts w:ascii="宋体" w:hAnsi="宋体" w:cs="楷体_GB2312"/>
          <w:color w:val="auto"/>
          <w:sz w:val="24"/>
        </w:rPr>
      </w:pPr>
      <w:r>
        <w:rPr>
          <w:rFonts w:hint="eastAsia" w:ascii="宋体" w:hAnsi="宋体" w:cs="楷体_GB2312"/>
          <w:color w:val="auto"/>
          <w:sz w:val="24"/>
        </w:rPr>
        <w:t>3、验收时，验收小组按照采购合同的约定对每一项技术、服务、安全标准的履约情况进行确认。</w:t>
      </w:r>
      <w:r>
        <w:rPr>
          <w:rFonts w:hint="eastAsia" w:ascii="宋体" w:hAnsi="宋体" w:cs="楷体_GB2312"/>
          <w:color w:val="auto"/>
          <w:sz w:val="24"/>
          <w:lang w:val="zh-CN"/>
        </w:rPr>
        <w:t>验收时需要进行破坏性试验的，供应商应进行充分的配合并提供备品备件。</w:t>
      </w:r>
    </w:p>
    <w:p w14:paraId="78E19C60">
      <w:pPr>
        <w:widowControl w:val="0"/>
        <w:adjustRightInd w:val="0"/>
        <w:snapToGrid w:val="0"/>
        <w:spacing w:before="120" w:beforeLines="50" w:line="300" w:lineRule="auto"/>
        <w:ind w:firstLine="561"/>
        <w:rPr>
          <w:rFonts w:ascii="宋体" w:hAnsi="宋体" w:cs="楷体_GB2312"/>
          <w:color w:val="auto"/>
          <w:sz w:val="24"/>
        </w:rPr>
      </w:pPr>
      <w:r>
        <w:rPr>
          <w:rFonts w:hint="eastAsia" w:ascii="宋体" w:hAnsi="宋体" w:cs="楷体_GB2312"/>
          <w:color w:val="auto"/>
          <w:sz w:val="24"/>
        </w:rPr>
        <w:t>4、</w:t>
      </w:r>
      <w:r>
        <w:rPr>
          <w:rFonts w:ascii="宋体" w:hAnsi="宋体" w:cs="楷体_GB2312"/>
          <w:color w:val="auto"/>
          <w:sz w:val="24"/>
          <w:lang w:val="zh-CN"/>
        </w:rPr>
        <w:t xml:space="preserve"> </w:t>
      </w:r>
      <w:r>
        <w:rPr>
          <w:rFonts w:hint="eastAsia" w:ascii="宋体" w:hAnsi="宋体" w:cs="楷体_GB2312"/>
          <w:color w:val="auto"/>
          <w:sz w:val="24"/>
          <w:lang w:val="zh-CN"/>
        </w:rPr>
        <w:t>验收报告：验收后，由采购</w:t>
      </w:r>
      <w:r>
        <w:rPr>
          <w:rFonts w:hint="eastAsia" w:ascii="宋体" w:hAnsi="宋体" w:cs="楷体_GB2312"/>
          <w:color w:val="auto"/>
          <w:sz w:val="24"/>
        </w:rPr>
        <w:t>人</w:t>
      </w:r>
      <w:r>
        <w:rPr>
          <w:rFonts w:hint="eastAsia" w:ascii="宋体" w:hAnsi="宋体" w:cs="楷体_GB2312"/>
          <w:color w:val="auto"/>
          <w:sz w:val="24"/>
          <w:lang w:val="zh-CN"/>
        </w:rPr>
        <w:t>及专家等出具验收报告（</w:t>
      </w:r>
      <w:r>
        <w:rPr>
          <w:rFonts w:hint="eastAsia" w:ascii="宋体" w:hAnsi="宋体" w:cs="楷体_GB2312"/>
          <w:color w:val="auto"/>
          <w:sz w:val="24"/>
        </w:rPr>
        <w:t>自行验收的，由采购人出具</w:t>
      </w:r>
      <w:r>
        <w:rPr>
          <w:rFonts w:hint="eastAsia" w:ascii="宋体" w:hAnsi="宋体" w:cs="楷体_GB2312"/>
          <w:color w:val="auto"/>
          <w:sz w:val="24"/>
          <w:lang w:val="zh-CN"/>
        </w:rPr>
        <w:t>），国家规定强制性检测的采购项目应附国家认可的专业检测机构出具的验收报告。</w:t>
      </w:r>
    </w:p>
    <w:p w14:paraId="1EC57378">
      <w:pPr>
        <w:widowControl w:val="0"/>
        <w:snapToGrid w:val="0"/>
        <w:spacing w:before="56" w:after="56" w:line="360" w:lineRule="auto"/>
        <w:ind w:right="85" w:firstLine="555"/>
        <w:rPr>
          <w:color w:val="auto"/>
          <w:sz w:val="24"/>
          <w:szCs w:val="24"/>
        </w:rPr>
      </w:pPr>
      <w:r>
        <w:rPr>
          <w:rFonts w:hint="eastAsia" w:ascii="宋体" w:hAnsi="宋体" w:cs="楷体_GB2312"/>
          <w:color w:val="auto"/>
          <w:sz w:val="24"/>
        </w:rPr>
        <w:t>5、</w:t>
      </w:r>
      <w:r>
        <w:rPr>
          <w:rFonts w:hint="eastAsia" w:ascii="宋体" w:hAnsi="宋体" w:cs="楷体_GB2312"/>
          <w:color w:val="auto"/>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w:t>
      </w:r>
      <w:r>
        <w:rPr>
          <w:rFonts w:hint="eastAsia"/>
          <w:color w:val="auto"/>
          <w:sz w:val="24"/>
          <w:szCs w:val="24"/>
        </w:rPr>
        <w:t>（市场监督管理机关）</w:t>
      </w:r>
      <w:r>
        <w:rPr>
          <w:rFonts w:hint="eastAsia" w:ascii="宋体" w:hAnsi="宋体" w:cs="楷体_GB2312"/>
          <w:color w:val="auto"/>
          <w:sz w:val="24"/>
          <w:lang w:val="zh-CN"/>
        </w:rPr>
        <w:t>等行政执法部门举报。</w:t>
      </w:r>
    </w:p>
    <w:p w14:paraId="03FCB10B">
      <w:pPr>
        <w:widowControl w:val="0"/>
        <w:snapToGrid w:val="0"/>
        <w:spacing w:before="56" w:after="56" w:line="360" w:lineRule="auto"/>
        <w:ind w:right="85" w:firstLine="555"/>
        <w:rPr>
          <w:color w:val="auto"/>
          <w:sz w:val="24"/>
          <w:szCs w:val="24"/>
        </w:rPr>
      </w:pPr>
      <w:r>
        <w:rPr>
          <w:rFonts w:hint="eastAsia"/>
          <w:color w:val="auto"/>
          <w:sz w:val="24"/>
          <w:szCs w:val="24"/>
        </w:rPr>
        <w:t>五、履约保证金</w:t>
      </w:r>
      <w:r>
        <w:rPr>
          <w:rFonts w:hint="eastAsia"/>
          <w:color w:val="auto"/>
          <w:sz w:val="24"/>
          <w:szCs w:val="24"/>
          <w:u w:val="single"/>
        </w:rPr>
        <w:t>： 无  。</w:t>
      </w:r>
    </w:p>
    <w:p w14:paraId="2FD41CE1">
      <w:pPr>
        <w:widowControl w:val="0"/>
        <w:snapToGrid w:val="0"/>
        <w:spacing w:before="56" w:after="56" w:line="360" w:lineRule="auto"/>
        <w:ind w:right="85" w:firstLine="555"/>
        <w:rPr>
          <w:color w:val="auto"/>
          <w:sz w:val="24"/>
          <w:szCs w:val="24"/>
        </w:rPr>
      </w:pPr>
      <w:r>
        <w:rPr>
          <w:rFonts w:hint="eastAsia"/>
          <w:color w:val="auto"/>
          <w:sz w:val="24"/>
          <w:szCs w:val="24"/>
        </w:rPr>
        <w:t>六、付款程序：按供应商须知相关条款编列。</w:t>
      </w:r>
    </w:p>
    <w:p w14:paraId="70AB3CAF">
      <w:pPr>
        <w:widowControl w:val="0"/>
        <w:snapToGrid w:val="0"/>
        <w:spacing w:before="56" w:after="56" w:line="360" w:lineRule="auto"/>
        <w:ind w:right="85" w:firstLine="555"/>
        <w:rPr>
          <w:color w:val="auto"/>
          <w:sz w:val="24"/>
          <w:szCs w:val="24"/>
        </w:rPr>
      </w:pPr>
      <w:r>
        <w:rPr>
          <w:rFonts w:hint="eastAsia" w:ascii="宋体" w:hAnsi="宋体"/>
          <w:color w:val="auto"/>
          <w:sz w:val="24"/>
          <w:szCs w:val="24"/>
        </w:rPr>
        <w:t>七、合同遵行《保障中小企业款项支付条例》。</w:t>
      </w:r>
    </w:p>
    <w:p w14:paraId="239819FD">
      <w:pPr>
        <w:widowControl w:val="0"/>
        <w:snapToGrid w:val="0"/>
        <w:spacing w:before="56" w:after="56" w:line="360" w:lineRule="auto"/>
        <w:ind w:right="85" w:firstLine="555"/>
        <w:rPr>
          <w:color w:val="auto"/>
          <w:sz w:val="24"/>
          <w:szCs w:val="24"/>
        </w:rPr>
      </w:pPr>
      <w:r>
        <w:rPr>
          <w:rFonts w:hint="eastAsia"/>
          <w:color w:val="auto"/>
          <w:sz w:val="24"/>
          <w:szCs w:val="24"/>
        </w:rPr>
        <w:t>八、责任和义务</w:t>
      </w:r>
    </w:p>
    <w:p w14:paraId="6DF30828">
      <w:pPr>
        <w:widowControl w:val="0"/>
        <w:snapToGrid w:val="0"/>
        <w:spacing w:before="56" w:after="56" w:line="360" w:lineRule="auto"/>
        <w:ind w:right="85" w:firstLine="555"/>
        <w:rPr>
          <w:color w:val="auto"/>
          <w:sz w:val="24"/>
          <w:szCs w:val="24"/>
        </w:rPr>
      </w:pPr>
      <w:r>
        <w:rPr>
          <w:color w:val="auto"/>
          <w:sz w:val="24"/>
          <w:szCs w:val="24"/>
        </w:rPr>
        <w:t>1</w:t>
      </w:r>
      <w:r>
        <w:rPr>
          <w:rFonts w:hint="eastAsia"/>
          <w:color w:val="auto"/>
          <w:sz w:val="24"/>
          <w:szCs w:val="24"/>
        </w:rPr>
        <w:t>、甲方的责任和义务</w:t>
      </w:r>
    </w:p>
    <w:p w14:paraId="251B3C0D">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1</w:t>
      </w:r>
      <w:r>
        <w:rPr>
          <w:rFonts w:hint="eastAsia"/>
          <w:color w:val="auto"/>
          <w:sz w:val="24"/>
          <w:szCs w:val="24"/>
        </w:rPr>
        <w:t>）对乙方给予必要的协助。</w:t>
      </w:r>
    </w:p>
    <w:p w14:paraId="09529817">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2</w:t>
      </w:r>
      <w:r>
        <w:rPr>
          <w:rFonts w:hint="eastAsia"/>
          <w:color w:val="auto"/>
          <w:sz w:val="24"/>
          <w:szCs w:val="24"/>
        </w:rPr>
        <w:t>）按时验收、及时支付资金；</w:t>
      </w:r>
    </w:p>
    <w:p w14:paraId="6459114F">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3</w:t>
      </w:r>
      <w:r>
        <w:rPr>
          <w:rFonts w:hint="eastAsia"/>
          <w:color w:val="auto"/>
          <w:sz w:val="24"/>
          <w:szCs w:val="24"/>
        </w:rPr>
        <w:t>）遵守国家法律法规，不得要求乙方虚开发票，不得向乙方索要“好处”、“回扣”、“礼品”，或要求乙方提供合同以外的其他物品或服务；</w:t>
      </w:r>
    </w:p>
    <w:p w14:paraId="5477B80B">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4</w:t>
      </w:r>
      <w:r>
        <w:rPr>
          <w:rFonts w:hint="eastAsia"/>
          <w:color w:val="auto"/>
          <w:sz w:val="24"/>
          <w:szCs w:val="24"/>
        </w:rPr>
        <w:t>）对乙方未按合同约定履约在验收报告中注明违约情形和事项，并应及时通知财政部门。违反相关法规的向相关行政执法部门举报。</w:t>
      </w:r>
    </w:p>
    <w:p w14:paraId="05318D98">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5</w:t>
      </w:r>
      <w:r>
        <w:rPr>
          <w:rFonts w:hint="eastAsia"/>
          <w:color w:val="auto"/>
          <w:sz w:val="24"/>
          <w:szCs w:val="24"/>
        </w:rPr>
        <w:t>）其他法律法规规定应尽的义务。</w:t>
      </w:r>
    </w:p>
    <w:p w14:paraId="2D2AED26">
      <w:pPr>
        <w:widowControl w:val="0"/>
        <w:snapToGrid w:val="0"/>
        <w:spacing w:before="56" w:after="56" w:line="360" w:lineRule="auto"/>
        <w:ind w:right="85" w:firstLine="555"/>
        <w:rPr>
          <w:color w:val="auto"/>
          <w:sz w:val="24"/>
          <w:szCs w:val="24"/>
        </w:rPr>
      </w:pPr>
      <w:r>
        <w:rPr>
          <w:color w:val="auto"/>
          <w:sz w:val="24"/>
          <w:szCs w:val="24"/>
        </w:rPr>
        <w:t>2</w:t>
      </w:r>
      <w:r>
        <w:rPr>
          <w:rFonts w:hint="eastAsia"/>
          <w:color w:val="auto"/>
          <w:sz w:val="24"/>
          <w:szCs w:val="24"/>
        </w:rPr>
        <w:t>、乙方的责任和义务</w:t>
      </w:r>
    </w:p>
    <w:p w14:paraId="0FE92F29">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1</w:t>
      </w:r>
      <w:r>
        <w:rPr>
          <w:rFonts w:hint="eastAsia"/>
          <w:color w:val="auto"/>
          <w:sz w:val="24"/>
          <w:szCs w:val="24"/>
        </w:rPr>
        <w:t>）严格按单一来源采购文件要求与投标文件的质量及服务承诺执行，保质、按期履行。</w:t>
      </w:r>
    </w:p>
    <w:p w14:paraId="408A0718">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2</w:t>
      </w:r>
      <w:r>
        <w:rPr>
          <w:rFonts w:hint="eastAsia"/>
          <w:color w:val="auto"/>
          <w:sz w:val="24"/>
          <w:szCs w:val="24"/>
        </w:rPr>
        <w:t>）不得将合同权利义务全部或部分转让给第三人。</w:t>
      </w:r>
    </w:p>
    <w:p w14:paraId="10FECE66">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3</w:t>
      </w:r>
      <w:r>
        <w:rPr>
          <w:rFonts w:hint="eastAsia"/>
          <w:color w:val="auto"/>
          <w:sz w:val="24"/>
          <w:szCs w:val="24"/>
        </w:rPr>
        <w:t>）验收合格前，对货物和人员的安全负责，应采取安全措施，确保人员、材料、设备和设施的安全，防止货物验收合格前的人身伤害和财产损失；应对其履行合同所雇佣的全部人员的工伤事故承担责任。</w:t>
      </w:r>
    </w:p>
    <w:p w14:paraId="3C189980">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4</w:t>
      </w:r>
      <w:r>
        <w:rPr>
          <w:rFonts w:hint="eastAsia"/>
          <w:color w:val="auto"/>
          <w:sz w:val="24"/>
          <w:szCs w:val="24"/>
        </w:rPr>
        <w:t>）遵守法律、依法纳税</w:t>
      </w:r>
    </w:p>
    <w:p w14:paraId="2AA5A143">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5</w:t>
      </w:r>
      <w:r>
        <w:rPr>
          <w:rFonts w:hint="eastAsia"/>
          <w:color w:val="auto"/>
          <w:sz w:val="24"/>
          <w:szCs w:val="24"/>
        </w:rPr>
        <w:t>）遵守职业道德和行业规范，坚决杜绝送礼、回扣、报销费用等一切不正当竞争行为和商业贿赂行为；对甲方索要回扣、礼品等违规行为，向同级财政局政府采购监督管理科及相关执法机关举报。</w:t>
      </w:r>
    </w:p>
    <w:p w14:paraId="744FF534">
      <w:pPr>
        <w:widowControl w:val="0"/>
        <w:snapToGrid w:val="0"/>
        <w:spacing w:before="56" w:after="56" w:line="360" w:lineRule="auto"/>
        <w:ind w:right="85" w:firstLine="555"/>
        <w:rPr>
          <w:color w:val="auto"/>
          <w:sz w:val="24"/>
          <w:szCs w:val="24"/>
        </w:rPr>
      </w:pPr>
      <w:r>
        <w:rPr>
          <w:rFonts w:hint="eastAsia"/>
          <w:color w:val="auto"/>
          <w:sz w:val="24"/>
          <w:szCs w:val="24"/>
        </w:rPr>
        <w:t>（</w:t>
      </w:r>
      <w:r>
        <w:rPr>
          <w:color w:val="auto"/>
          <w:sz w:val="24"/>
          <w:szCs w:val="24"/>
        </w:rPr>
        <w:t>6</w:t>
      </w:r>
      <w:r>
        <w:rPr>
          <w:rFonts w:hint="eastAsia"/>
          <w:color w:val="auto"/>
          <w:sz w:val="24"/>
          <w:szCs w:val="24"/>
        </w:rPr>
        <w:t>）其他法律法规规定应尽的义务。</w:t>
      </w:r>
    </w:p>
    <w:p w14:paraId="21297B1D">
      <w:pPr>
        <w:widowControl w:val="0"/>
        <w:snapToGrid w:val="0"/>
        <w:spacing w:before="56" w:after="56" w:line="360" w:lineRule="auto"/>
        <w:ind w:right="85" w:firstLine="555"/>
        <w:rPr>
          <w:color w:val="auto"/>
          <w:sz w:val="24"/>
          <w:szCs w:val="24"/>
        </w:rPr>
      </w:pPr>
      <w:r>
        <w:rPr>
          <w:rFonts w:hint="eastAsia"/>
          <w:color w:val="auto"/>
          <w:sz w:val="24"/>
          <w:szCs w:val="24"/>
        </w:rPr>
        <w:t>九、违约责任：</w:t>
      </w:r>
    </w:p>
    <w:p w14:paraId="575B6F50">
      <w:pPr>
        <w:widowControl w:val="0"/>
        <w:snapToGrid w:val="0"/>
        <w:spacing w:before="56" w:after="56" w:line="360" w:lineRule="auto"/>
        <w:ind w:right="85" w:firstLine="555"/>
        <w:rPr>
          <w:color w:val="auto"/>
          <w:sz w:val="24"/>
          <w:szCs w:val="24"/>
        </w:rPr>
      </w:pPr>
      <w:r>
        <w:rPr>
          <w:color w:val="auto"/>
          <w:sz w:val="24"/>
          <w:szCs w:val="24"/>
        </w:rPr>
        <w:t>1</w:t>
      </w:r>
      <w:r>
        <w:rPr>
          <w:rFonts w:hint="eastAsia"/>
          <w:color w:val="auto"/>
          <w:sz w:val="24"/>
          <w:szCs w:val="24"/>
        </w:rPr>
        <w:t>、甲方无正当理由拒付款项的，向乙方偿付拒收拒付部分款项总额</w:t>
      </w:r>
      <w:r>
        <w:rPr>
          <w:color w:val="auto"/>
          <w:sz w:val="24"/>
          <w:szCs w:val="24"/>
        </w:rPr>
        <w:t xml:space="preserve">  %</w:t>
      </w:r>
      <w:r>
        <w:rPr>
          <w:rFonts w:hint="eastAsia"/>
          <w:color w:val="auto"/>
          <w:sz w:val="24"/>
          <w:szCs w:val="24"/>
        </w:rPr>
        <w:t>的违约金。</w:t>
      </w:r>
    </w:p>
    <w:p w14:paraId="2A151E4A">
      <w:pPr>
        <w:widowControl w:val="0"/>
        <w:snapToGrid w:val="0"/>
        <w:spacing w:before="56" w:after="56" w:line="360" w:lineRule="auto"/>
        <w:ind w:right="85" w:firstLine="555"/>
        <w:rPr>
          <w:color w:val="auto"/>
          <w:sz w:val="24"/>
          <w:szCs w:val="24"/>
        </w:rPr>
      </w:pPr>
      <w:r>
        <w:rPr>
          <w:color w:val="auto"/>
          <w:sz w:val="24"/>
          <w:szCs w:val="24"/>
        </w:rPr>
        <w:t>2</w:t>
      </w:r>
      <w:r>
        <w:rPr>
          <w:rFonts w:hint="eastAsia"/>
          <w:color w:val="auto"/>
          <w:sz w:val="24"/>
          <w:szCs w:val="24"/>
        </w:rPr>
        <w:t>、乙方提供服务不符合合同规定，甲方有权拒付相关款项。</w:t>
      </w:r>
    </w:p>
    <w:p w14:paraId="27AFBA48">
      <w:pPr>
        <w:widowControl w:val="0"/>
        <w:snapToGrid w:val="0"/>
        <w:spacing w:before="56" w:after="56" w:line="360" w:lineRule="auto"/>
        <w:ind w:right="85" w:firstLine="555"/>
        <w:rPr>
          <w:color w:val="auto"/>
          <w:sz w:val="24"/>
          <w:szCs w:val="24"/>
        </w:rPr>
      </w:pPr>
      <w:r>
        <w:rPr>
          <w:color w:val="auto"/>
          <w:sz w:val="24"/>
          <w:szCs w:val="24"/>
        </w:rPr>
        <w:t>3</w:t>
      </w:r>
      <w:r>
        <w:rPr>
          <w:rFonts w:hint="eastAsia"/>
          <w:color w:val="auto"/>
          <w:sz w:val="24"/>
          <w:szCs w:val="24"/>
        </w:rPr>
        <w:t>、乙方逾期，乙方向甲方每日偿付</w:t>
      </w:r>
      <w:r>
        <w:rPr>
          <w:color w:val="auto"/>
          <w:sz w:val="24"/>
          <w:szCs w:val="24"/>
        </w:rPr>
        <w:t xml:space="preserve">     %</w:t>
      </w:r>
      <w:r>
        <w:rPr>
          <w:rFonts w:hint="eastAsia"/>
          <w:color w:val="auto"/>
          <w:sz w:val="24"/>
          <w:szCs w:val="24"/>
        </w:rPr>
        <w:t>赔偿费。</w:t>
      </w:r>
    </w:p>
    <w:p w14:paraId="58CB32EF">
      <w:pPr>
        <w:widowControl w:val="0"/>
        <w:snapToGrid w:val="0"/>
        <w:spacing w:before="56" w:after="56" w:line="360" w:lineRule="auto"/>
        <w:ind w:right="85" w:firstLine="555"/>
        <w:rPr>
          <w:color w:val="auto"/>
          <w:sz w:val="24"/>
          <w:szCs w:val="24"/>
        </w:rPr>
      </w:pPr>
      <w:r>
        <w:rPr>
          <w:rFonts w:hint="eastAsia"/>
          <w:color w:val="auto"/>
          <w:sz w:val="24"/>
          <w:szCs w:val="24"/>
        </w:rPr>
        <w:t>十、《单一来源采购文件》及其修改补充、投标文件及其修改补充澄清均为本合同的组成部分。</w:t>
      </w:r>
    </w:p>
    <w:p w14:paraId="3738FDCB">
      <w:pPr>
        <w:widowControl w:val="0"/>
        <w:snapToGrid w:val="0"/>
        <w:spacing w:before="56" w:after="56" w:line="360" w:lineRule="auto"/>
        <w:ind w:right="85" w:firstLine="555"/>
        <w:rPr>
          <w:color w:val="auto"/>
          <w:sz w:val="24"/>
          <w:szCs w:val="24"/>
        </w:rPr>
      </w:pPr>
      <w:r>
        <w:rPr>
          <w:rFonts w:hint="eastAsia"/>
          <w:color w:val="auto"/>
          <w:sz w:val="24"/>
          <w:szCs w:val="24"/>
        </w:rPr>
        <w:t>十一、本合同发生争议时双方应按合同条款协商解决。双方协商不成的，可以根据仲裁协议向当地仲裁机构申请仲裁。当事人没有订立仲裁协议或者仲裁协议无效的，可以向当地人民法院起诉。</w:t>
      </w:r>
    </w:p>
    <w:p w14:paraId="446C00AE">
      <w:pPr>
        <w:widowControl w:val="0"/>
        <w:snapToGrid w:val="0"/>
        <w:spacing w:before="56" w:after="56" w:line="360" w:lineRule="auto"/>
        <w:ind w:right="85" w:firstLine="555"/>
        <w:rPr>
          <w:color w:val="auto"/>
          <w:sz w:val="24"/>
          <w:szCs w:val="24"/>
        </w:rPr>
      </w:pPr>
      <w:r>
        <w:rPr>
          <w:rFonts w:hint="eastAsia"/>
          <w:color w:val="auto"/>
          <w:sz w:val="24"/>
          <w:szCs w:val="24"/>
        </w:rPr>
        <w:t>十二、合同生效及其它：</w:t>
      </w:r>
    </w:p>
    <w:p w14:paraId="48600080">
      <w:pPr>
        <w:widowControl w:val="0"/>
        <w:snapToGrid w:val="0"/>
        <w:spacing w:before="56" w:after="56" w:line="360" w:lineRule="auto"/>
        <w:ind w:right="85" w:firstLine="555"/>
        <w:rPr>
          <w:color w:val="auto"/>
          <w:sz w:val="24"/>
          <w:szCs w:val="24"/>
        </w:rPr>
      </w:pPr>
      <w:r>
        <w:rPr>
          <w:rFonts w:hint="eastAsia"/>
          <w:color w:val="auto"/>
          <w:sz w:val="24"/>
          <w:szCs w:val="24"/>
        </w:rPr>
        <w:t>本合同经甲乙双方代表签字、加盖公章和骑缝章后生效。本合同一式</w:t>
      </w:r>
      <w:r>
        <w:rPr>
          <w:rFonts w:hint="eastAsia"/>
          <w:color w:val="auto"/>
          <w:sz w:val="24"/>
          <w:szCs w:val="24"/>
          <w:u w:val="single"/>
        </w:rPr>
        <w:t xml:space="preserve">  </w:t>
      </w:r>
      <w:r>
        <w:rPr>
          <w:rFonts w:hint="eastAsia"/>
          <w:color w:val="auto"/>
          <w:sz w:val="24"/>
          <w:szCs w:val="24"/>
        </w:rPr>
        <w:t>份，甲乙双方各持</w:t>
      </w:r>
      <w:r>
        <w:rPr>
          <w:rFonts w:hint="eastAsia"/>
          <w:color w:val="auto"/>
          <w:sz w:val="24"/>
          <w:szCs w:val="24"/>
          <w:u w:val="single"/>
        </w:rPr>
        <w:t xml:space="preserve">   </w:t>
      </w:r>
      <w:r>
        <w:rPr>
          <w:rFonts w:hint="eastAsia"/>
          <w:color w:val="auto"/>
          <w:sz w:val="24"/>
          <w:szCs w:val="24"/>
        </w:rPr>
        <w:t>份。</w:t>
      </w:r>
    </w:p>
    <w:p w14:paraId="124F8258">
      <w:pPr>
        <w:widowControl w:val="0"/>
        <w:adjustRightInd w:val="0"/>
        <w:snapToGrid w:val="0"/>
        <w:spacing w:before="120" w:beforeLines="50" w:line="300" w:lineRule="auto"/>
        <w:ind w:firstLine="566"/>
        <w:rPr>
          <w:rFonts w:ascii="宋体" w:hAnsi="宋体"/>
          <w:color w:val="auto"/>
          <w:sz w:val="24"/>
          <w:szCs w:val="24"/>
        </w:rPr>
      </w:pPr>
      <w:r>
        <w:rPr>
          <w:rFonts w:hint="eastAsia" w:ascii="宋体" w:hAnsi="宋体"/>
          <w:color w:val="auto"/>
          <w:sz w:val="24"/>
          <w:szCs w:val="24"/>
        </w:rPr>
        <w:t>甲方要在合同签订后1个工作日内登陆安阳市政府采购网进行备案并公告。</w:t>
      </w:r>
    </w:p>
    <w:p w14:paraId="2463EC97">
      <w:pPr>
        <w:widowControl w:val="0"/>
        <w:adjustRightInd w:val="0"/>
        <w:snapToGrid w:val="0"/>
        <w:spacing w:before="120" w:beforeLines="50" w:line="300" w:lineRule="auto"/>
        <w:ind w:firstLine="566"/>
        <w:rPr>
          <w:color w:val="auto"/>
          <w:sz w:val="24"/>
          <w:szCs w:val="24"/>
        </w:rPr>
      </w:pPr>
    </w:p>
    <w:p w14:paraId="1B2DA163">
      <w:pPr>
        <w:widowControl w:val="0"/>
        <w:snapToGrid w:val="0"/>
        <w:spacing w:before="56" w:after="56" w:line="360" w:lineRule="auto"/>
        <w:ind w:right="85" w:firstLine="555"/>
        <w:rPr>
          <w:color w:val="auto"/>
          <w:sz w:val="24"/>
          <w:szCs w:val="24"/>
        </w:rPr>
      </w:pPr>
      <w:r>
        <w:rPr>
          <w:rFonts w:hint="eastAsia"/>
          <w:color w:val="auto"/>
          <w:sz w:val="24"/>
          <w:szCs w:val="24"/>
        </w:rPr>
        <w:t>甲方：</w:t>
      </w:r>
      <w:r>
        <w:rPr>
          <w:color w:val="auto"/>
          <w:sz w:val="24"/>
          <w:szCs w:val="24"/>
        </w:rPr>
        <w:tab/>
      </w:r>
      <w:r>
        <w:rPr>
          <w:color w:val="auto"/>
          <w:sz w:val="24"/>
          <w:szCs w:val="24"/>
        </w:rPr>
        <w:tab/>
      </w:r>
      <w:r>
        <w:rPr>
          <w:color w:val="auto"/>
          <w:sz w:val="24"/>
          <w:szCs w:val="24"/>
        </w:rPr>
        <w:tab/>
      </w:r>
      <w:r>
        <w:rPr>
          <w:color w:val="auto"/>
          <w:sz w:val="24"/>
          <w:szCs w:val="24"/>
        </w:rPr>
        <w:tab/>
      </w:r>
      <w:r>
        <w:rPr>
          <w:rFonts w:hint="eastAsia"/>
          <w:color w:val="auto"/>
          <w:sz w:val="24"/>
          <w:szCs w:val="24"/>
        </w:rPr>
        <w:t>乙方：</w:t>
      </w:r>
    </w:p>
    <w:p w14:paraId="153DBCFB">
      <w:pPr>
        <w:widowControl w:val="0"/>
        <w:snapToGrid w:val="0"/>
        <w:spacing w:before="56" w:after="56" w:line="360" w:lineRule="auto"/>
        <w:ind w:right="85" w:firstLine="555"/>
        <w:rPr>
          <w:color w:val="auto"/>
          <w:sz w:val="24"/>
          <w:szCs w:val="24"/>
        </w:rPr>
      </w:pPr>
      <w:r>
        <w:rPr>
          <w:rFonts w:hint="eastAsia"/>
          <w:color w:val="auto"/>
          <w:sz w:val="24"/>
          <w:szCs w:val="24"/>
        </w:rPr>
        <w:t>地址：</w:t>
      </w:r>
      <w:r>
        <w:rPr>
          <w:color w:val="auto"/>
          <w:sz w:val="24"/>
          <w:szCs w:val="24"/>
        </w:rPr>
        <w:tab/>
      </w:r>
      <w:r>
        <w:rPr>
          <w:color w:val="auto"/>
          <w:sz w:val="24"/>
          <w:szCs w:val="24"/>
        </w:rPr>
        <w:tab/>
      </w:r>
      <w:r>
        <w:rPr>
          <w:color w:val="auto"/>
          <w:sz w:val="24"/>
          <w:szCs w:val="24"/>
        </w:rPr>
        <w:tab/>
      </w:r>
      <w:r>
        <w:rPr>
          <w:color w:val="auto"/>
          <w:sz w:val="24"/>
          <w:szCs w:val="24"/>
        </w:rPr>
        <w:tab/>
      </w:r>
      <w:r>
        <w:rPr>
          <w:rFonts w:hint="eastAsia"/>
          <w:color w:val="auto"/>
          <w:sz w:val="24"/>
          <w:szCs w:val="24"/>
        </w:rPr>
        <w:t>地址：</w:t>
      </w:r>
    </w:p>
    <w:p w14:paraId="6DA94AB2">
      <w:pPr>
        <w:widowControl w:val="0"/>
        <w:snapToGrid w:val="0"/>
        <w:spacing w:before="56" w:after="56" w:line="360" w:lineRule="auto"/>
        <w:ind w:right="85" w:firstLine="555"/>
        <w:rPr>
          <w:color w:val="auto"/>
          <w:sz w:val="24"/>
          <w:szCs w:val="24"/>
        </w:rPr>
      </w:pPr>
      <w:r>
        <w:rPr>
          <w:rFonts w:hint="eastAsia"/>
          <w:color w:val="auto"/>
          <w:sz w:val="24"/>
          <w:szCs w:val="24"/>
        </w:rPr>
        <w:t>法定代表人：</w:t>
      </w:r>
      <w:r>
        <w:rPr>
          <w:color w:val="auto"/>
          <w:sz w:val="24"/>
          <w:szCs w:val="24"/>
        </w:rPr>
        <w:tab/>
      </w:r>
      <w:r>
        <w:rPr>
          <w:color w:val="auto"/>
          <w:sz w:val="24"/>
          <w:szCs w:val="24"/>
        </w:rPr>
        <w:tab/>
      </w:r>
      <w:r>
        <w:rPr>
          <w:color w:val="auto"/>
          <w:sz w:val="24"/>
          <w:szCs w:val="24"/>
        </w:rPr>
        <w:tab/>
      </w:r>
      <w:r>
        <w:rPr>
          <w:rFonts w:hint="eastAsia"/>
          <w:color w:val="auto"/>
          <w:sz w:val="24"/>
          <w:szCs w:val="24"/>
        </w:rPr>
        <w:t>法定代表人：</w:t>
      </w:r>
    </w:p>
    <w:p w14:paraId="3734FE01">
      <w:pPr>
        <w:widowControl w:val="0"/>
        <w:snapToGrid w:val="0"/>
        <w:spacing w:before="56" w:after="56" w:line="360" w:lineRule="auto"/>
        <w:ind w:right="85" w:firstLine="555"/>
        <w:rPr>
          <w:color w:val="auto"/>
          <w:sz w:val="24"/>
          <w:szCs w:val="24"/>
        </w:rPr>
      </w:pPr>
      <w:r>
        <w:rPr>
          <w:rFonts w:hint="eastAsia"/>
          <w:color w:val="auto"/>
          <w:sz w:val="24"/>
          <w:szCs w:val="24"/>
        </w:rPr>
        <w:t>委托代理人：</w:t>
      </w:r>
      <w:r>
        <w:rPr>
          <w:color w:val="auto"/>
          <w:sz w:val="24"/>
          <w:szCs w:val="24"/>
        </w:rPr>
        <w:tab/>
      </w:r>
      <w:r>
        <w:rPr>
          <w:color w:val="auto"/>
          <w:sz w:val="24"/>
          <w:szCs w:val="24"/>
        </w:rPr>
        <w:tab/>
      </w:r>
      <w:r>
        <w:rPr>
          <w:color w:val="auto"/>
          <w:sz w:val="24"/>
          <w:szCs w:val="24"/>
        </w:rPr>
        <w:tab/>
      </w:r>
      <w:r>
        <w:rPr>
          <w:rFonts w:hint="eastAsia"/>
          <w:color w:val="auto"/>
          <w:sz w:val="24"/>
          <w:szCs w:val="24"/>
        </w:rPr>
        <w:t>委托代理人：</w:t>
      </w:r>
    </w:p>
    <w:p w14:paraId="147D5D76">
      <w:pPr>
        <w:widowControl w:val="0"/>
        <w:snapToGrid w:val="0"/>
        <w:spacing w:before="56" w:after="56" w:line="360" w:lineRule="auto"/>
        <w:ind w:right="85" w:firstLine="555"/>
        <w:rPr>
          <w:color w:val="auto"/>
          <w:sz w:val="24"/>
          <w:szCs w:val="24"/>
        </w:rPr>
      </w:pPr>
      <w:r>
        <w:rPr>
          <w:rFonts w:hint="eastAsia"/>
          <w:color w:val="auto"/>
          <w:sz w:val="24"/>
          <w:szCs w:val="24"/>
        </w:rPr>
        <w:t>电话：</w:t>
      </w:r>
      <w:r>
        <w:rPr>
          <w:color w:val="auto"/>
          <w:sz w:val="24"/>
          <w:szCs w:val="24"/>
        </w:rPr>
        <w:tab/>
      </w:r>
      <w:r>
        <w:rPr>
          <w:color w:val="auto"/>
          <w:sz w:val="24"/>
          <w:szCs w:val="24"/>
        </w:rPr>
        <w:tab/>
      </w:r>
      <w:r>
        <w:rPr>
          <w:color w:val="auto"/>
          <w:sz w:val="24"/>
          <w:szCs w:val="24"/>
        </w:rPr>
        <w:tab/>
      </w:r>
      <w:r>
        <w:rPr>
          <w:color w:val="auto"/>
          <w:sz w:val="24"/>
          <w:szCs w:val="24"/>
        </w:rPr>
        <w:tab/>
      </w:r>
      <w:r>
        <w:rPr>
          <w:rFonts w:hint="eastAsia"/>
          <w:color w:val="auto"/>
          <w:sz w:val="24"/>
          <w:szCs w:val="24"/>
        </w:rPr>
        <w:t>电话：</w:t>
      </w:r>
    </w:p>
    <w:p w14:paraId="77EEF9F9">
      <w:pPr>
        <w:widowControl w:val="0"/>
        <w:snapToGrid w:val="0"/>
        <w:spacing w:before="56" w:after="56" w:line="360" w:lineRule="auto"/>
        <w:ind w:right="85" w:firstLine="555"/>
        <w:rPr>
          <w:color w:val="auto"/>
          <w:sz w:val="24"/>
          <w:szCs w:val="24"/>
        </w:rPr>
      </w:pPr>
      <w:r>
        <w:rPr>
          <w:rFonts w:hint="eastAsia"/>
          <w:color w:val="auto"/>
          <w:sz w:val="24"/>
          <w:szCs w:val="24"/>
        </w:rPr>
        <w:t>开户银行：</w:t>
      </w:r>
      <w:r>
        <w:rPr>
          <w:color w:val="auto"/>
          <w:sz w:val="24"/>
          <w:szCs w:val="24"/>
        </w:rPr>
        <w:tab/>
      </w:r>
      <w:r>
        <w:rPr>
          <w:color w:val="auto"/>
          <w:sz w:val="24"/>
          <w:szCs w:val="24"/>
        </w:rPr>
        <w:tab/>
      </w:r>
      <w:r>
        <w:rPr>
          <w:color w:val="auto"/>
          <w:sz w:val="24"/>
          <w:szCs w:val="24"/>
        </w:rPr>
        <w:tab/>
      </w:r>
      <w:r>
        <w:rPr>
          <w:rFonts w:hint="eastAsia"/>
          <w:color w:val="auto"/>
          <w:sz w:val="24"/>
          <w:szCs w:val="24"/>
        </w:rPr>
        <w:t>开户银行：</w:t>
      </w:r>
    </w:p>
    <w:p w14:paraId="1F03ADF2">
      <w:pPr>
        <w:widowControl w:val="0"/>
        <w:snapToGrid w:val="0"/>
        <w:spacing w:before="56" w:after="56" w:line="360" w:lineRule="auto"/>
        <w:ind w:right="85" w:firstLine="555"/>
        <w:rPr>
          <w:color w:val="auto"/>
          <w:sz w:val="24"/>
          <w:szCs w:val="24"/>
        </w:rPr>
      </w:pPr>
      <w:r>
        <w:rPr>
          <w:rFonts w:hint="eastAsia"/>
          <w:color w:val="auto"/>
          <w:sz w:val="24"/>
          <w:szCs w:val="24"/>
        </w:rPr>
        <w:t>银行账号：</w:t>
      </w:r>
      <w:r>
        <w:rPr>
          <w:color w:val="auto"/>
          <w:sz w:val="24"/>
          <w:szCs w:val="24"/>
        </w:rPr>
        <w:tab/>
      </w:r>
      <w:r>
        <w:rPr>
          <w:color w:val="auto"/>
          <w:sz w:val="24"/>
          <w:szCs w:val="24"/>
        </w:rPr>
        <w:tab/>
      </w:r>
      <w:r>
        <w:rPr>
          <w:color w:val="auto"/>
          <w:sz w:val="24"/>
          <w:szCs w:val="24"/>
        </w:rPr>
        <w:t xml:space="preserve">    </w:t>
      </w:r>
      <w:r>
        <w:rPr>
          <w:rFonts w:hint="eastAsia"/>
          <w:color w:val="auto"/>
          <w:sz w:val="24"/>
          <w:szCs w:val="24"/>
        </w:rPr>
        <w:t>银行账号：</w:t>
      </w:r>
    </w:p>
    <w:p w14:paraId="458EBF33">
      <w:pPr>
        <w:widowControl w:val="0"/>
        <w:snapToGrid w:val="0"/>
        <w:spacing w:before="56" w:after="56" w:line="360" w:lineRule="auto"/>
        <w:ind w:right="85" w:firstLine="555"/>
        <w:rPr>
          <w:color w:val="auto"/>
          <w:sz w:val="24"/>
          <w:szCs w:val="24"/>
        </w:rPr>
      </w:pPr>
    </w:p>
    <w:p w14:paraId="57B595FE">
      <w:pPr>
        <w:widowControl w:val="0"/>
        <w:snapToGrid w:val="0"/>
        <w:spacing w:before="56" w:after="56" w:line="360" w:lineRule="auto"/>
        <w:ind w:right="85" w:firstLine="555"/>
        <w:rPr>
          <w:color w:val="auto"/>
          <w:sz w:val="24"/>
          <w:szCs w:val="24"/>
        </w:rPr>
      </w:pPr>
    </w:p>
    <w:p w14:paraId="4C83624A">
      <w:pPr>
        <w:widowControl w:val="0"/>
        <w:tabs>
          <w:tab w:val="left" w:pos="4678"/>
        </w:tabs>
        <w:snapToGrid w:val="0"/>
        <w:spacing w:before="56" w:after="56" w:line="360" w:lineRule="auto"/>
        <w:ind w:right="85" w:firstLine="555"/>
        <w:rPr>
          <w:color w:val="auto"/>
          <w:sz w:val="24"/>
          <w:szCs w:val="24"/>
        </w:rPr>
      </w:pPr>
      <w:r>
        <w:rPr>
          <w:rFonts w:hint="eastAsia"/>
          <w:color w:val="auto"/>
          <w:sz w:val="24"/>
          <w:szCs w:val="24"/>
        </w:rPr>
        <w:t>签约时间：</w:t>
      </w:r>
      <w:r>
        <w:rPr>
          <w:color w:val="auto"/>
          <w:sz w:val="24"/>
          <w:szCs w:val="24"/>
        </w:rPr>
        <w:t xml:space="preserve">           </w:t>
      </w:r>
      <w:r>
        <w:rPr>
          <w:rFonts w:hint="eastAsia"/>
          <w:color w:val="auto"/>
          <w:sz w:val="24"/>
          <w:szCs w:val="24"/>
        </w:rPr>
        <w:t>签约地点：</w:t>
      </w:r>
    </w:p>
    <w:p w14:paraId="3E70BDB6">
      <w:pPr>
        <w:widowControl w:val="0"/>
        <w:tabs>
          <w:tab w:val="left" w:pos="4678"/>
        </w:tabs>
        <w:snapToGrid w:val="0"/>
        <w:spacing w:before="56" w:after="56" w:line="360" w:lineRule="auto"/>
        <w:ind w:right="85" w:firstLine="555"/>
        <w:rPr>
          <w:color w:val="auto"/>
          <w:sz w:val="24"/>
          <w:szCs w:val="24"/>
        </w:rPr>
      </w:pPr>
    </w:p>
    <w:p w14:paraId="715F1347">
      <w:pPr>
        <w:widowControl w:val="0"/>
        <w:tabs>
          <w:tab w:val="left" w:pos="4678"/>
        </w:tabs>
        <w:snapToGrid w:val="0"/>
        <w:spacing w:before="56" w:after="56" w:line="360" w:lineRule="auto"/>
        <w:ind w:right="85" w:firstLine="555"/>
        <w:rPr>
          <w:rFonts w:ascii="宋体"/>
          <w:b/>
          <w:color w:val="auto"/>
          <w:sz w:val="32"/>
          <w:szCs w:val="32"/>
          <w:lang w:val="zh-CN"/>
        </w:rPr>
      </w:pPr>
      <w:r>
        <w:rPr>
          <w:rFonts w:ascii="宋体"/>
          <w:b/>
          <w:color w:val="auto"/>
          <w:sz w:val="36"/>
          <w:szCs w:val="36"/>
          <w:lang w:val="zh-CN"/>
        </w:rPr>
        <w:br w:type="page"/>
      </w:r>
    </w:p>
    <w:p w14:paraId="307EC69C">
      <w:pPr>
        <w:autoSpaceDE w:val="0"/>
        <w:autoSpaceDN w:val="0"/>
        <w:adjustRightInd w:val="0"/>
        <w:spacing w:line="360" w:lineRule="auto"/>
        <w:jc w:val="center"/>
        <w:outlineLvl w:val="0"/>
        <w:rPr>
          <w:rFonts w:ascii="黑体" w:hAnsi="黑体" w:eastAsia="黑体"/>
          <w:b/>
          <w:color w:val="auto"/>
          <w:sz w:val="36"/>
          <w:szCs w:val="36"/>
          <w:lang w:val="zh-CN"/>
        </w:rPr>
      </w:pPr>
      <w:bookmarkStart w:id="44" w:name="_Toc529972274"/>
      <w:bookmarkStart w:id="45" w:name="_Toc58858983"/>
      <w:r>
        <w:rPr>
          <w:rFonts w:hint="eastAsia" w:ascii="黑体" w:hAnsi="黑体" w:eastAsia="黑体"/>
          <w:b/>
          <w:color w:val="auto"/>
          <w:sz w:val="36"/>
          <w:szCs w:val="36"/>
          <w:lang w:val="zh-CN"/>
        </w:rPr>
        <w:t>第六章</w:t>
      </w:r>
      <w:r>
        <w:rPr>
          <w:rFonts w:ascii="黑体" w:hAnsi="黑体" w:eastAsia="黑体"/>
          <w:b/>
          <w:color w:val="auto"/>
          <w:sz w:val="36"/>
          <w:szCs w:val="36"/>
          <w:lang w:val="zh-CN"/>
        </w:rPr>
        <w:t xml:space="preserve"> </w:t>
      </w:r>
      <w:r>
        <w:rPr>
          <w:rFonts w:hint="eastAsia" w:ascii="黑体" w:hAnsi="黑体" w:eastAsia="黑体"/>
          <w:b/>
          <w:color w:val="auto"/>
          <w:sz w:val="36"/>
          <w:szCs w:val="36"/>
          <w:lang w:val="zh-CN"/>
        </w:rPr>
        <w:t xml:space="preserve"> 投标文件格式</w:t>
      </w:r>
      <w:bookmarkEnd w:id="44"/>
      <w:bookmarkEnd w:id="45"/>
    </w:p>
    <w:p w14:paraId="3A6E7B92">
      <w:pPr>
        <w:widowControl w:val="0"/>
        <w:tabs>
          <w:tab w:val="left" w:pos="4678"/>
        </w:tabs>
        <w:snapToGrid w:val="0"/>
        <w:spacing w:before="56" w:after="56" w:line="360" w:lineRule="auto"/>
        <w:ind w:right="85" w:firstLine="555"/>
        <w:rPr>
          <w:rFonts w:ascii="黑体" w:hAnsi="黑体" w:eastAsia="黑体"/>
          <w:b/>
          <w:color w:val="auto"/>
          <w:sz w:val="32"/>
          <w:szCs w:val="32"/>
          <w:lang w:val="zh-CN"/>
        </w:rPr>
      </w:pPr>
    </w:p>
    <w:p w14:paraId="3A56A45B">
      <w:pPr>
        <w:autoSpaceDE w:val="0"/>
        <w:autoSpaceDN w:val="0"/>
        <w:adjustRightInd w:val="0"/>
        <w:spacing w:line="276" w:lineRule="auto"/>
        <w:ind w:firstLine="514" w:firstLineChars="245"/>
        <w:jc w:val="left"/>
        <w:rPr>
          <w:rFonts w:ascii="宋体"/>
          <w:color w:val="auto"/>
          <w:sz w:val="36"/>
          <w:szCs w:val="36"/>
          <w:lang w:val="zh-CN"/>
        </w:rPr>
      </w:pPr>
      <w:r>
        <w:rPr>
          <w:rFonts w:hint="eastAsia" w:ascii="宋体" w:hAnsi="宋体"/>
          <w:color w:val="auto"/>
          <w:szCs w:val="21"/>
          <w:lang w:val="zh-CN"/>
        </w:rPr>
        <w:t>投标人应按“投标人须知</w:t>
      </w:r>
      <w:r>
        <w:rPr>
          <w:rFonts w:ascii="宋体"/>
          <w:color w:val="auto"/>
          <w:szCs w:val="21"/>
          <w:lang w:val="zh-CN"/>
        </w:rPr>
        <w:t>--</w:t>
      </w:r>
      <w:r>
        <w:rPr>
          <w:rFonts w:hint="eastAsia" w:ascii="宋体" w:hAnsi="宋体"/>
          <w:color w:val="auto"/>
          <w:szCs w:val="21"/>
          <w:lang w:val="zh-CN"/>
        </w:rPr>
        <w:t>投标文件的组成”列示内容编制投标文件，本章“投标文件格式”仅为对投标文件部分内容的格式化规范，并非投标文件所应具备的全部内容</w:t>
      </w:r>
      <w:r>
        <w:rPr>
          <w:rFonts w:hint="eastAsia" w:ascii="宋体" w:hAnsi="宋体"/>
          <w:color w:val="auto"/>
          <w:sz w:val="36"/>
          <w:szCs w:val="36"/>
          <w:lang w:val="zh-CN"/>
        </w:rPr>
        <w:t>。</w:t>
      </w:r>
    </w:p>
    <w:p w14:paraId="79929F1F">
      <w:pPr>
        <w:autoSpaceDE w:val="0"/>
        <w:autoSpaceDN w:val="0"/>
        <w:adjustRightInd w:val="0"/>
        <w:spacing w:line="276" w:lineRule="auto"/>
        <w:ind w:firstLine="882" w:firstLineChars="245"/>
        <w:jc w:val="left"/>
        <w:rPr>
          <w:rFonts w:ascii="宋体"/>
          <w:color w:val="auto"/>
          <w:sz w:val="36"/>
          <w:szCs w:val="36"/>
          <w:lang w:val="zh-CN"/>
        </w:rPr>
      </w:pPr>
    </w:p>
    <w:p w14:paraId="2BA31FA2">
      <w:pPr>
        <w:autoSpaceDE w:val="0"/>
        <w:autoSpaceDN w:val="0"/>
        <w:adjustRightInd w:val="0"/>
        <w:spacing w:line="360" w:lineRule="auto"/>
        <w:ind w:right="-817"/>
        <w:rPr>
          <w:rFonts w:ascii="宋体"/>
          <w:color w:val="auto"/>
          <w:sz w:val="24"/>
          <w:u w:val="single"/>
        </w:rPr>
      </w:pPr>
    </w:p>
    <w:p w14:paraId="2AD100D6">
      <w:pPr>
        <w:autoSpaceDE w:val="0"/>
        <w:autoSpaceDN w:val="0"/>
        <w:adjustRightInd w:val="0"/>
        <w:spacing w:line="360" w:lineRule="auto"/>
        <w:ind w:firstLine="480" w:firstLineChars="200"/>
        <w:jc w:val="left"/>
        <w:rPr>
          <w:rFonts w:ascii="宋体"/>
          <w:color w:val="auto"/>
          <w:sz w:val="24"/>
          <w:u w:val="single"/>
        </w:rPr>
      </w:pPr>
    </w:p>
    <w:p w14:paraId="1665668C">
      <w:pPr>
        <w:autoSpaceDE w:val="0"/>
        <w:autoSpaceDN w:val="0"/>
        <w:adjustRightInd w:val="0"/>
        <w:spacing w:line="360" w:lineRule="auto"/>
        <w:jc w:val="left"/>
        <w:rPr>
          <w:rFonts w:ascii="宋体"/>
          <w:color w:val="auto"/>
          <w:sz w:val="44"/>
          <w:szCs w:val="44"/>
          <w:u w:val="single"/>
        </w:rPr>
      </w:pPr>
      <w:r>
        <w:rPr>
          <w:rFonts w:hint="eastAsia" w:ascii="宋体" w:hAnsi="宋体"/>
          <w:color w:val="auto"/>
          <w:sz w:val="44"/>
          <w:szCs w:val="44"/>
        </w:rPr>
        <w:t>项目名称：</w:t>
      </w:r>
      <w:r>
        <w:rPr>
          <w:rFonts w:ascii="宋体" w:hAnsi="宋体"/>
          <w:color w:val="auto"/>
          <w:sz w:val="44"/>
          <w:szCs w:val="44"/>
          <w:u w:val="single"/>
        </w:rPr>
        <w:t xml:space="preserve">                                 </w:t>
      </w:r>
    </w:p>
    <w:p w14:paraId="50CD26CD">
      <w:pPr>
        <w:autoSpaceDE w:val="0"/>
        <w:autoSpaceDN w:val="0"/>
        <w:adjustRightInd w:val="0"/>
        <w:spacing w:line="360" w:lineRule="auto"/>
        <w:jc w:val="left"/>
        <w:rPr>
          <w:rFonts w:ascii="宋体"/>
          <w:color w:val="auto"/>
          <w:sz w:val="24"/>
        </w:rPr>
      </w:pPr>
      <w:r>
        <w:rPr>
          <w:rFonts w:hint="eastAsia" w:ascii="宋体" w:hAnsi="宋体"/>
          <w:color w:val="auto"/>
          <w:sz w:val="44"/>
          <w:szCs w:val="44"/>
        </w:rPr>
        <w:t>项目编号：</w:t>
      </w:r>
      <w:r>
        <w:rPr>
          <w:rFonts w:ascii="宋体" w:hAnsi="宋体"/>
          <w:color w:val="auto"/>
          <w:sz w:val="44"/>
          <w:szCs w:val="44"/>
          <w:u w:val="single"/>
        </w:rPr>
        <w:t xml:space="preserve">                                 </w:t>
      </w:r>
    </w:p>
    <w:p w14:paraId="30203A01">
      <w:pPr>
        <w:autoSpaceDE w:val="0"/>
        <w:autoSpaceDN w:val="0"/>
        <w:adjustRightInd w:val="0"/>
        <w:spacing w:line="360" w:lineRule="auto"/>
        <w:jc w:val="left"/>
        <w:rPr>
          <w:rFonts w:ascii="宋体"/>
          <w:color w:val="auto"/>
          <w:sz w:val="84"/>
          <w:szCs w:val="84"/>
        </w:rPr>
      </w:pPr>
    </w:p>
    <w:p w14:paraId="1CFF2C5B">
      <w:pPr>
        <w:autoSpaceDE w:val="0"/>
        <w:autoSpaceDN w:val="0"/>
        <w:adjustRightInd w:val="0"/>
        <w:spacing w:line="360" w:lineRule="auto"/>
        <w:jc w:val="center"/>
        <w:rPr>
          <w:rFonts w:ascii="黑体" w:hAnsi="黑体" w:eastAsia="黑体"/>
          <w:b/>
          <w:color w:val="auto"/>
          <w:spacing w:val="60"/>
          <w:sz w:val="84"/>
          <w:szCs w:val="84"/>
        </w:rPr>
      </w:pPr>
      <w:r>
        <w:rPr>
          <w:rFonts w:hint="eastAsia" w:ascii="黑体" w:hAnsi="黑体" w:eastAsia="黑体"/>
          <w:b/>
          <w:color w:val="auto"/>
          <w:spacing w:val="60"/>
          <w:sz w:val="84"/>
          <w:szCs w:val="84"/>
        </w:rPr>
        <w:t>投</w:t>
      </w:r>
      <w:r>
        <w:rPr>
          <w:rFonts w:ascii="黑体" w:hAnsi="黑体" w:eastAsia="黑体"/>
          <w:b/>
          <w:color w:val="auto"/>
          <w:spacing w:val="60"/>
          <w:sz w:val="84"/>
          <w:szCs w:val="84"/>
        </w:rPr>
        <w:t xml:space="preserve"> </w:t>
      </w:r>
      <w:r>
        <w:rPr>
          <w:rFonts w:hint="eastAsia" w:ascii="黑体" w:hAnsi="黑体" w:eastAsia="黑体"/>
          <w:b/>
          <w:color w:val="auto"/>
          <w:spacing w:val="60"/>
          <w:sz w:val="84"/>
          <w:szCs w:val="84"/>
        </w:rPr>
        <w:t>标</w:t>
      </w:r>
      <w:r>
        <w:rPr>
          <w:rFonts w:ascii="黑体" w:hAnsi="黑体" w:eastAsia="黑体"/>
          <w:b/>
          <w:color w:val="auto"/>
          <w:spacing w:val="60"/>
          <w:sz w:val="84"/>
          <w:szCs w:val="84"/>
        </w:rPr>
        <w:t xml:space="preserve"> </w:t>
      </w:r>
      <w:r>
        <w:rPr>
          <w:rFonts w:hint="eastAsia" w:ascii="黑体" w:hAnsi="黑体" w:eastAsia="黑体"/>
          <w:b/>
          <w:color w:val="auto"/>
          <w:spacing w:val="60"/>
          <w:sz w:val="84"/>
          <w:szCs w:val="84"/>
        </w:rPr>
        <w:t>文</w:t>
      </w:r>
      <w:r>
        <w:rPr>
          <w:rFonts w:ascii="黑体" w:hAnsi="黑体" w:eastAsia="黑体"/>
          <w:b/>
          <w:color w:val="auto"/>
          <w:spacing w:val="60"/>
          <w:sz w:val="84"/>
          <w:szCs w:val="84"/>
        </w:rPr>
        <w:t xml:space="preserve"> </w:t>
      </w:r>
      <w:r>
        <w:rPr>
          <w:rFonts w:hint="eastAsia" w:ascii="黑体" w:hAnsi="黑体" w:eastAsia="黑体"/>
          <w:b/>
          <w:color w:val="auto"/>
          <w:spacing w:val="60"/>
          <w:sz w:val="84"/>
          <w:szCs w:val="84"/>
        </w:rPr>
        <w:t>件</w:t>
      </w:r>
    </w:p>
    <w:p w14:paraId="19C903EB">
      <w:pPr>
        <w:autoSpaceDE w:val="0"/>
        <w:autoSpaceDN w:val="0"/>
        <w:adjustRightInd w:val="0"/>
        <w:spacing w:line="360" w:lineRule="auto"/>
        <w:jc w:val="center"/>
        <w:rPr>
          <w:rFonts w:ascii="宋体"/>
          <w:color w:val="auto"/>
          <w:sz w:val="24"/>
        </w:rPr>
      </w:pPr>
    </w:p>
    <w:p w14:paraId="094EDCD4">
      <w:pPr>
        <w:autoSpaceDE w:val="0"/>
        <w:autoSpaceDN w:val="0"/>
        <w:adjustRightInd w:val="0"/>
        <w:spacing w:line="360" w:lineRule="auto"/>
        <w:jc w:val="center"/>
        <w:rPr>
          <w:rFonts w:ascii="宋体"/>
          <w:color w:val="auto"/>
          <w:sz w:val="24"/>
        </w:rPr>
      </w:pPr>
    </w:p>
    <w:p w14:paraId="171CCD9E">
      <w:pPr>
        <w:autoSpaceDE w:val="0"/>
        <w:autoSpaceDN w:val="0"/>
        <w:adjustRightInd w:val="0"/>
        <w:spacing w:line="360" w:lineRule="auto"/>
        <w:jc w:val="center"/>
        <w:rPr>
          <w:rFonts w:ascii="宋体"/>
          <w:color w:val="auto"/>
          <w:sz w:val="24"/>
        </w:rPr>
      </w:pPr>
    </w:p>
    <w:p w14:paraId="3B289602">
      <w:pPr>
        <w:autoSpaceDE w:val="0"/>
        <w:autoSpaceDN w:val="0"/>
        <w:adjustRightInd w:val="0"/>
        <w:spacing w:line="360" w:lineRule="auto"/>
        <w:jc w:val="center"/>
        <w:rPr>
          <w:rFonts w:ascii="宋体"/>
          <w:color w:val="auto"/>
          <w:sz w:val="24"/>
        </w:rPr>
      </w:pPr>
    </w:p>
    <w:p w14:paraId="5E39C272">
      <w:pPr>
        <w:pStyle w:val="66"/>
        <w:spacing w:line="360" w:lineRule="auto"/>
        <w:rPr>
          <w:rFonts w:hAnsi="宋体"/>
          <w:color w:val="auto"/>
          <w:szCs w:val="24"/>
          <w:u w:val="single"/>
        </w:rPr>
      </w:pPr>
    </w:p>
    <w:p w14:paraId="0C6DD213">
      <w:pPr>
        <w:pStyle w:val="66"/>
        <w:spacing w:line="360" w:lineRule="auto"/>
        <w:jc w:val="both"/>
        <w:rPr>
          <w:rFonts w:hAnsi="宋体"/>
          <w:color w:val="auto"/>
          <w:sz w:val="28"/>
          <w:szCs w:val="28"/>
          <w:u w:val="single"/>
        </w:rPr>
      </w:pPr>
      <w:r>
        <w:rPr>
          <w:rFonts w:hAnsi="宋体"/>
          <w:color w:val="auto"/>
          <w:sz w:val="28"/>
          <w:szCs w:val="28"/>
        </w:rPr>
        <w:t xml:space="preserve">  </w:t>
      </w:r>
      <w:r>
        <w:rPr>
          <w:rFonts w:hint="eastAsia" w:hAnsi="宋体"/>
          <w:color w:val="auto"/>
          <w:sz w:val="28"/>
          <w:szCs w:val="28"/>
        </w:rPr>
        <w:t>投标人（</w:t>
      </w:r>
      <w:r>
        <w:rPr>
          <w:rFonts w:hint="eastAsia"/>
          <w:color w:val="auto"/>
          <w:szCs w:val="24"/>
        </w:rPr>
        <w:t>电子签</w:t>
      </w:r>
      <w:r>
        <w:rPr>
          <w:rFonts w:hint="eastAsia" w:hAnsi="宋体"/>
          <w:color w:val="auto"/>
          <w:szCs w:val="24"/>
        </w:rPr>
        <w:t>章</w:t>
      </w:r>
      <w:r>
        <w:rPr>
          <w:rFonts w:hint="eastAsia" w:hAnsi="宋体"/>
          <w:color w:val="auto"/>
          <w:sz w:val="28"/>
          <w:szCs w:val="28"/>
        </w:rPr>
        <w:t>）：</w:t>
      </w:r>
      <w:r>
        <w:rPr>
          <w:rFonts w:hAnsi="宋体"/>
          <w:color w:val="auto"/>
          <w:sz w:val="28"/>
          <w:szCs w:val="28"/>
          <w:u w:val="single"/>
        </w:rPr>
        <w:t xml:space="preserve">                                       </w:t>
      </w:r>
    </w:p>
    <w:p w14:paraId="6EEC0867">
      <w:pPr>
        <w:pStyle w:val="66"/>
        <w:spacing w:line="360" w:lineRule="auto"/>
        <w:ind w:firstLine="280" w:firstLineChars="100"/>
        <w:rPr>
          <w:rFonts w:hAnsi="宋体"/>
          <w:color w:val="auto"/>
          <w:sz w:val="28"/>
          <w:szCs w:val="28"/>
        </w:rPr>
      </w:pPr>
    </w:p>
    <w:p w14:paraId="42E5CE94">
      <w:pPr>
        <w:pStyle w:val="66"/>
        <w:spacing w:line="360" w:lineRule="auto"/>
        <w:ind w:firstLine="280" w:firstLineChars="100"/>
        <w:rPr>
          <w:rFonts w:hAnsi="宋体"/>
          <w:color w:val="auto"/>
          <w:sz w:val="28"/>
          <w:szCs w:val="28"/>
          <w:u w:val="single"/>
        </w:rPr>
      </w:pPr>
      <w:r>
        <w:rPr>
          <w:rFonts w:hint="eastAsia" w:hAnsi="宋体"/>
          <w:color w:val="auto"/>
          <w:sz w:val="28"/>
          <w:szCs w:val="28"/>
        </w:rPr>
        <w:t>法定代表人（电子签名或签章）：</w:t>
      </w:r>
      <w:r>
        <w:rPr>
          <w:rFonts w:hAnsi="宋体"/>
          <w:color w:val="auto"/>
          <w:sz w:val="28"/>
          <w:szCs w:val="28"/>
          <w:u w:val="single"/>
        </w:rPr>
        <w:t xml:space="preserve">                                    </w:t>
      </w:r>
    </w:p>
    <w:p w14:paraId="2318DFED">
      <w:pPr>
        <w:pStyle w:val="66"/>
        <w:spacing w:line="360" w:lineRule="auto"/>
        <w:jc w:val="center"/>
        <w:rPr>
          <w:rFonts w:hAnsi="宋体"/>
          <w:color w:val="auto"/>
          <w:sz w:val="28"/>
          <w:szCs w:val="28"/>
        </w:rPr>
      </w:pPr>
    </w:p>
    <w:p w14:paraId="65AD2C98">
      <w:pPr>
        <w:pStyle w:val="66"/>
        <w:spacing w:line="360" w:lineRule="auto"/>
        <w:jc w:val="both"/>
        <w:rPr>
          <w:rFonts w:hAnsi="宋体"/>
          <w:color w:val="auto"/>
          <w:sz w:val="28"/>
          <w:szCs w:val="28"/>
        </w:rPr>
      </w:pPr>
    </w:p>
    <w:p w14:paraId="0E23959D">
      <w:pPr>
        <w:widowControl w:val="0"/>
        <w:tabs>
          <w:tab w:val="left" w:pos="9365"/>
        </w:tabs>
        <w:snapToGrid w:val="0"/>
        <w:spacing w:before="56" w:after="56" w:line="560" w:lineRule="atLeast"/>
        <w:jc w:val="left"/>
        <w:textAlignment w:val="top"/>
        <w:rPr>
          <w:color w:val="auto"/>
          <w:sz w:val="28"/>
        </w:rPr>
      </w:pPr>
      <w:r>
        <w:rPr>
          <w:rFonts w:ascii="宋体" w:cs="楷体_GB2312"/>
          <w:b/>
          <w:bCs/>
          <w:color w:val="auto"/>
          <w:sz w:val="44"/>
          <w:szCs w:val="44"/>
          <w:lang w:val="zh-CN"/>
        </w:rPr>
        <w:br w:type="page"/>
      </w:r>
      <w:bookmarkStart w:id="46" w:name="OLE_LINK35"/>
      <w:bookmarkStart w:id="47" w:name="OLE_LINK10"/>
    </w:p>
    <w:p w14:paraId="2A2848B4">
      <w:pPr>
        <w:spacing w:line="351" w:lineRule="atLeast"/>
        <w:ind w:left="419"/>
        <w:jc w:val="center"/>
        <w:rPr>
          <w:rFonts w:ascii="黑体" w:eastAsia="黑体"/>
          <w:b/>
          <w:color w:val="auto"/>
          <w:spacing w:val="60"/>
          <w:sz w:val="36"/>
          <w:szCs w:val="36"/>
        </w:rPr>
      </w:pPr>
      <w:r>
        <w:rPr>
          <w:rFonts w:hint="eastAsia" w:ascii="黑体" w:eastAsia="黑体"/>
          <w:b/>
          <w:color w:val="auto"/>
          <w:spacing w:val="60"/>
          <w:sz w:val="36"/>
          <w:szCs w:val="36"/>
        </w:rPr>
        <w:t>一、投标书</w:t>
      </w:r>
      <w:bookmarkEnd w:id="46"/>
    </w:p>
    <w:bookmarkEnd w:id="47"/>
    <w:p w14:paraId="38C2F98D">
      <w:pPr>
        <w:widowControl w:val="0"/>
        <w:snapToGrid w:val="0"/>
        <w:spacing w:line="560" w:lineRule="exact"/>
        <w:rPr>
          <w:color w:val="auto"/>
          <w:sz w:val="28"/>
        </w:rPr>
      </w:pPr>
    </w:p>
    <w:p w14:paraId="79AACBDD">
      <w:pPr>
        <w:widowControl w:val="0"/>
        <w:snapToGrid w:val="0"/>
        <w:spacing w:line="360" w:lineRule="auto"/>
        <w:rPr>
          <w:color w:val="auto"/>
          <w:sz w:val="24"/>
          <w:szCs w:val="24"/>
        </w:rPr>
      </w:pPr>
      <w:r>
        <w:rPr>
          <w:rFonts w:hint="eastAsia"/>
          <w:color w:val="auto"/>
          <w:sz w:val="24"/>
          <w:szCs w:val="24"/>
        </w:rPr>
        <w:t>致：安阳市方正招标采购服务有限责任公司</w:t>
      </w:r>
    </w:p>
    <w:p w14:paraId="7DB351F1">
      <w:pPr>
        <w:widowControl w:val="0"/>
        <w:snapToGrid w:val="0"/>
        <w:spacing w:line="360" w:lineRule="auto"/>
        <w:ind w:firstLine="578"/>
        <w:textAlignment w:val="top"/>
        <w:rPr>
          <w:color w:val="auto"/>
          <w:sz w:val="24"/>
          <w:szCs w:val="24"/>
        </w:rPr>
      </w:pPr>
      <w:r>
        <w:rPr>
          <w:rFonts w:hint="eastAsia"/>
          <w:color w:val="auto"/>
          <w:sz w:val="24"/>
          <w:szCs w:val="24"/>
        </w:rPr>
        <w:t>根据贵方单一来源采购</w:t>
      </w:r>
      <w:r>
        <w:rPr>
          <w:rFonts w:hint="eastAsia"/>
          <w:color w:val="auto"/>
          <w:sz w:val="18"/>
          <w:szCs w:val="18"/>
          <w:u w:val="single"/>
        </w:rPr>
        <w:t>（项目名称）</w:t>
      </w:r>
      <w:r>
        <w:rPr>
          <w:color w:val="auto"/>
          <w:sz w:val="18"/>
          <w:szCs w:val="18"/>
          <w:u w:val="single"/>
        </w:rPr>
        <w:t xml:space="preserve">               </w:t>
      </w:r>
      <w:r>
        <w:rPr>
          <w:rFonts w:hint="eastAsia"/>
          <w:color w:val="auto"/>
          <w:sz w:val="24"/>
          <w:szCs w:val="24"/>
        </w:rPr>
        <w:t>的单一来源采购文件（项目编号：</w:t>
      </w:r>
      <w:r>
        <w:rPr>
          <w:color w:val="auto"/>
          <w:sz w:val="24"/>
          <w:szCs w:val="24"/>
          <w:u w:val="single"/>
        </w:rPr>
        <w:t xml:space="preserve">         </w:t>
      </w:r>
      <w:r>
        <w:rPr>
          <w:rFonts w:hint="eastAsia"/>
          <w:color w:val="auto"/>
          <w:sz w:val="24"/>
          <w:szCs w:val="24"/>
        </w:rPr>
        <w:t>），经详细研究，我们决定参加该项目的采购活动并按要求提交响应文件。我们郑重声明对我单位提交的所有投标资料的真实准确完整承担完全责任、并对之负法律责任。</w:t>
      </w:r>
    </w:p>
    <w:p w14:paraId="327F3B47">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）投标书。</w:t>
      </w:r>
    </w:p>
    <w:p w14:paraId="0502C363">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ascii="宋体" w:hAnsi="宋体"/>
          <w:color w:val="auto"/>
          <w:sz w:val="24"/>
          <w:szCs w:val="24"/>
        </w:rPr>
        <w:t>开标一览表（即交易系统中报价一览表）</w:t>
      </w:r>
    </w:p>
    <w:p w14:paraId="1D544A5B">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）投标报价明细表</w:t>
      </w:r>
    </w:p>
    <w:p w14:paraId="12A82C5F">
      <w:pPr>
        <w:adjustRightInd w:val="0"/>
        <w:snapToGrid w:val="0"/>
        <w:spacing w:line="300" w:lineRule="auto"/>
        <w:ind w:firstLine="539"/>
        <w:textAlignment w:val="top"/>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）服务方案及服务质量承诺</w:t>
      </w:r>
    </w:p>
    <w:p w14:paraId="40EC7208">
      <w:pPr>
        <w:adjustRightInd w:val="0"/>
        <w:snapToGrid w:val="0"/>
        <w:spacing w:line="300" w:lineRule="auto"/>
        <w:ind w:firstLine="539"/>
        <w:textAlignment w:val="top"/>
        <w:rPr>
          <w:rFonts w:ascii="宋体" w:cs="楷体_GB2312"/>
          <w:color w:val="auto"/>
          <w:sz w:val="24"/>
        </w:rPr>
      </w:pPr>
      <w:r>
        <w:rPr>
          <w:rFonts w:hint="eastAsia" w:ascii="宋体" w:hAnsi="宋体" w:cs="楷体_GB2312"/>
          <w:color w:val="auto"/>
          <w:sz w:val="24"/>
          <w:lang w:val="zh-CN"/>
        </w:rPr>
        <w:t>（5）服务拟投入设备清单及其技术参数</w:t>
      </w:r>
    </w:p>
    <w:p w14:paraId="555B072B">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（6）服务拟投入的人员情况表</w:t>
      </w:r>
    </w:p>
    <w:p w14:paraId="4814B413">
      <w:pPr>
        <w:adjustRightInd w:val="0"/>
        <w:snapToGrid w:val="0"/>
        <w:spacing w:line="300" w:lineRule="auto"/>
        <w:ind w:firstLine="539"/>
        <w:textAlignment w:val="top"/>
        <w:rPr>
          <w:rFonts w:ascii="宋体" w:cs="楷体_GB2312"/>
          <w:color w:val="auto"/>
          <w:sz w:val="24"/>
        </w:rPr>
      </w:pPr>
      <w:r>
        <w:rPr>
          <w:rFonts w:hint="eastAsia" w:ascii="宋体" w:cs="楷体_GB2312"/>
          <w:color w:val="auto"/>
          <w:sz w:val="24"/>
        </w:rPr>
        <w:t>（7）采购标的成本或同类项目合同价格</w:t>
      </w:r>
    </w:p>
    <w:p w14:paraId="42C159AF">
      <w:pPr>
        <w:adjustRightInd w:val="0"/>
        <w:snapToGrid w:val="0"/>
        <w:spacing w:line="300" w:lineRule="auto"/>
        <w:ind w:firstLine="539"/>
        <w:textAlignment w:val="top"/>
        <w:rPr>
          <w:rFonts w:ascii="宋体" w:cs="楷体_GB2312"/>
          <w:color w:val="auto"/>
          <w:sz w:val="24"/>
        </w:rPr>
      </w:pPr>
      <w:r>
        <w:rPr>
          <w:rFonts w:hint="eastAsia" w:ascii="宋体" w:cs="楷体_GB2312"/>
          <w:color w:val="auto"/>
          <w:sz w:val="24"/>
        </w:rPr>
        <w:t>（8）相关专利、专有技术等情况说明</w:t>
      </w:r>
    </w:p>
    <w:p w14:paraId="79FDBDED">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（9）偏差表</w:t>
      </w:r>
    </w:p>
    <w:p w14:paraId="1153F920">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（10）关于资格的声明函</w:t>
      </w:r>
    </w:p>
    <w:p w14:paraId="6D1E45E7">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（11）反商业贿赂承诺书</w:t>
      </w:r>
    </w:p>
    <w:p w14:paraId="034F1930">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2）履约承诺书</w:t>
      </w:r>
    </w:p>
    <w:p w14:paraId="3BE81466">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3）资格要求相关证明材料（文件）</w:t>
      </w:r>
    </w:p>
    <w:p w14:paraId="13D66360">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4）采购项目及服务要求所需的其他材料（按条款需要）</w:t>
      </w:r>
    </w:p>
    <w:p w14:paraId="1A2CED18">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5）投标人须知所需的其他材料（按条款需要）</w:t>
      </w:r>
    </w:p>
    <w:p w14:paraId="47FA8AE8">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6）评审办法所需的其他材料（按条款需要）</w:t>
      </w:r>
    </w:p>
    <w:p w14:paraId="65B5A0FE">
      <w:pPr>
        <w:adjustRightInd w:val="0"/>
        <w:snapToGrid w:val="0"/>
        <w:spacing w:line="300" w:lineRule="auto"/>
        <w:ind w:firstLine="539"/>
        <w:textAlignment w:val="top"/>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7）投标人认为有必要提交的其它材料</w:t>
      </w:r>
    </w:p>
    <w:p w14:paraId="13CDB290">
      <w:pPr>
        <w:adjustRightInd w:val="0"/>
        <w:snapToGrid w:val="0"/>
        <w:spacing w:line="300" w:lineRule="auto"/>
        <w:ind w:firstLine="539"/>
        <w:textAlignment w:val="top"/>
        <w:rPr>
          <w:rFonts w:ascii="宋体" w:cs="楷体_GB2312"/>
          <w:color w:val="auto"/>
          <w:sz w:val="24"/>
          <w:lang w:val="zh-CN"/>
        </w:rPr>
      </w:pPr>
      <w:r>
        <w:rPr>
          <w:color w:val="auto"/>
          <w:sz w:val="24"/>
          <w:szCs w:val="24"/>
        </w:rPr>
        <w:t>.........</w:t>
      </w:r>
    </w:p>
    <w:p w14:paraId="7C6F75BC">
      <w:pPr>
        <w:widowControl w:val="0"/>
        <w:snapToGrid w:val="0"/>
        <w:spacing w:before="120" w:beforeLines="50" w:line="300" w:lineRule="auto"/>
        <w:ind w:firstLine="556"/>
        <w:rPr>
          <w:rFonts w:ascii="宋体"/>
          <w:color w:val="auto"/>
          <w:sz w:val="24"/>
          <w:szCs w:val="24"/>
        </w:rPr>
      </w:pPr>
      <w:r>
        <w:rPr>
          <w:rFonts w:hint="eastAsia" w:ascii="宋体" w:hAnsi="宋体"/>
          <w:color w:val="auto"/>
          <w:sz w:val="24"/>
          <w:szCs w:val="24"/>
        </w:rPr>
        <w:t>据此函，签字代表宣布同意如下：</w:t>
      </w:r>
    </w:p>
    <w:p w14:paraId="1D9A9BCB">
      <w:pPr>
        <w:widowControl w:val="0"/>
        <w:snapToGrid w:val="0"/>
        <w:spacing w:before="120" w:beforeLines="50" w:line="300" w:lineRule="auto"/>
        <w:ind w:firstLine="556"/>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 xml:space="preserve"> 所附“开标一览表”中规定的应提供和交付的投标总价为：</w:t>
      </w:r>
    </w:p>
    <w:p w14:paraId="27B813FE">
      <w:pPr>
        <w:widowControl w:val="0"/>
        <w:snapToGrid w:val="0"/>
        <w:spacing w:before="120" w:beforeLines="50" w:line="300" w:lineRule="auto"/>
        <w:ind w:firstLine="556"/>
        <w:rPr>
          <w:color w:val="auto"/>
          <w:sz w:val="24"/>
          <w:szCs w:val="24"/>
        </w:rPr>
      </w:pPr>
      <w:r>
        <w:rPr>
          <w:rFonts w:hint="eastAsia" w:ascii="宋体" w:hAnsi="宋体"/>
          <w:color w:val="auto"/>
          <w:sz w:val="24"/>
          <w:szCs w:val="24"/>
        </w:rPr>
        <w:t>人民币</w:t>
      </w:r>
      <w:r>
        <w:rPr>
          <w:rFonts w:ascii="宋体" w:hAnsi="宋体"/>
          <w:color w:val="auto"/>
          <w:sz w:val="24"/>
          <w:szCs w:val="24"/>
          <w:u w:val="single"/>
        </w:rPr>
        <w:tab/>
      </w:r>
      <w:r>
        <w:rPr>
          <w:rFonts w:hint="eastAsia" w:ascii="宋体" w:hAnsi="宋体"/>
          <w:color w:val="auto"/>
          <w:sz w:val="24"/>
          <w:szCs w:val="24"/>
        </w:rPr>
        <w:t>，即</w:t>
      </w:r>
      <w:r>
        <w:rPr>
          <w:rFonts w:ascii="宋体" w:hAnsi="宋体"/>
          <w:color w:val="auto"/>
          <w:sz w:val="24"/>
          <w:szCs w:val="24"/>
          <w:u w:val="single"/>
        </w:rPr>
        <w:tab/>
      </w:r>
      <w:r>
        <w:rPr>
          <w:rFonts w:ascii="宋体" w:hAnsi="宋体"/>
          <w:color w:val="auto"/>
          <w:sz w:val="24"/>
          <w:szCs w:val="24"/>
          <w:u w:val="single"/>
        </w:rPr>
        <w:tab/>
      </w:r>
      <w:r>
        <w:rPr>
          <w:rFonts w:ascii="宋体" w:hAnsi="宋体"/>
          <w:color w:val="auto"/>
          <w:sz w:val="24"/>
          <w:szCs w:val="24"/>
          <w:u w:val="single"/>
        </w:rPr>
        <w:tab/>
      </w:r>
      <w:r>
        <w:rPr>
          <w:rFonts w:hint="eastAsia" w:ascii="宋体" w:hAnsi="宋体"/>
          <w:color w:val="auto"/>
          <w:sz w:val="24"/>
          <w:szCs w:val="24"/>
        </w:rPr>
        <w:t>（文字表述）</w:t>
      </w:r>
      <w:r>
        <w:rPr>
          <w:rFonts w:hint="eastAsia"/>
          <w:color w:val="auto"/>
          <w:sz w:val="24"/>
          <w:szCs w:val="24"/>
        </w:rPr>
        <w:t>服务期：</w:t>
      </w:r>
      <w:r>
        <w:rPr>
          <w:rFonts w:hint="eastAsia"/>
          <w:color w:val="auto"/>
          <w:sz w:val="24"/>
          <w:szCs w:val="24"/>
          <w:u w:val="single"/>
        </w:rPr>
        <w:t xml:space="preserve">                   </w:t>
      </w:r>
      <w:r>
        <w:rPr>
          <w:rFonts w:hint="eastAsia"/>
          <w:color w:val="auto"/>
          <w:sz w:val="24"/>
          <w:szCs w:val="24"/>
        </w:rPr>
        <w:t>，</w:t>
      </w:r>
    </w:p>
    <w:p w14:paraId="28652FDB">
      <w:pPr>
        <w:widowControl w:val="0"/>
        <w:snapToGrid w:val="0"/>
        <w:spacing w:before="120" w:beforeLines="50" w:line="300" w:lineRule="auto"/>
        <w:ind w:firstLine="556"/>
        <w:rPr>
          <w:rFonts w:ascii="宋体" w:hAnsi="宋体"/>
          <w:color w:val="auto"/>
          <w:sz w:val="24"/>
          <w:szCs w:val="24"/>
        </w:rPr>
      </w:pPr>
      <w:r>
        <w:rPr>
          <w:rFonts w:hint="eastAsia"/>
          <w:color w:val="auto"/>
          <w:sz w:val="24"/>
          <w:szCs w:val="24"/>
        </w:rPr>
        <w:t>服务地点：</w:t>
      </w:r>
      <w:r>
        <w:rPr>
          <w:rFonts w:hint="eastAsia"/>
          <w:color w:val="auto"/>
          <w:sz w:val="24"/>
          <w:szCs w:val="24"/>
          <w:u w:val="single"/>
        </w:rPr>
        <w:t xml:space="preserve">                                 </w:t>
      </w:r>
      <w:r>
        <w:rPr>
          <w:rFonts w:hint="eastAsia"/>
          <w:color w:val="auto"/>
          <w:sz w:val="24"/>
          <w:szCs w:val="24"/>
        </w:rPr>
        <w:t>。</w:t>
      </w:r>
    </w:p>
    <w:p w14:paraId="246BC613">
      <w:pPr>
        <w:widowControl w:val="0"/>
        <w:snapToGrid w:val="0"/>
        <w:spacing w:before="120" w:beforeLines="50" w:line="300" w:lineRule="auto"/>
        <w:ind w:firstLine="556"/>
        <w:rPr>
          <w:rFonts w:ascii="宋体"/>
          <w:color w:val="auto"/>
          <w:sz w:val="24"/>
          <w:szCs w:val="24"/>
        </w:rPr>
      </w:pPr>
      <w:r>
        <w:rPr>
          <w:rFonts w:ascii="宋体" w:hAnsi="宋体"/>
          <w:color w:val="auto"/>
          <w:sz w:val="24"/>
          <w:szCs w:val="24"/>
        </w:rPr>
        <w:t>2.</w:t>
      </w:r>
      <w:r>
        <w:rPr>
          <w:rFonts w:hint="eastAsia" w:ascii="宋体" w:hAnsi="宋体"/>
          <w:color w:val="auto"/>
          <w:sz w:val="24"/>
          <w:szCs w:val="24"/>
        </w:rPr>
        <w:t xml:space="preserve"> 如果我单位的投标书被接受，我单位将履行单一来源采购文件中规定的每一项要求，按期、按质、按量履行合同。</w:t>
      </w:r>
    </w:p>
    <w:p w14:paraId="0654B7EC">
      <w:pPr>
        <w:widowControl w:val="0"/>
        <w:snapToGrid w:val="0"/>
        <w:spacing w:before="120" w:beforeLines="50" w:line="300" w:lineRule="auto"/>
        <w:ind w:firstLine="556"/>
        <w:rPr>
          <w:rFonts w:ascii="宋体"/>
          <w:color w:val="auto"/>
          <w:sz w:val="24"/>
          <w:szCs w:val="24"/>
        </w:rPr>
      </w:pPr>
      <w:r>
        <w:rPr>
          <w:rFonts w:ascii="宋体" w:hAnsi="宋体"/>
          <w:color w:val="auto"/>
          <w:sz w:val="24"/>
          <w:szCs w:val="24"/>
        </w:rPr>
        <w:t xml:space="preserve">3. </w:t>
      </w:r>
      <w:r>
        <w:rPr>
          <w:rFonts w:hint="eastAsia" w:ascii="宋体" w:hAnsi="宋体"/>
          <w:color w:val="auto"/>
          <w:sz w:val="24"/>
          <w:szCs w:val="24"/>
        </w:rPr>
        <w:t>我单位愿按《中华人民共和国民法典》履行我单位的全部责任。</w:t>
      </w:r>
    </w:p>
    <w:p w14:paraId="17C47C07">
      <w:pPr>
        <w:widowControl w:val="0"/>
        <w:snapToGrid w:val="0"/>
        <w:spacing w:before="120" w:beforeLines="50" w:line="300" w:lineRule="auto"/>
        <w:ind w:firstLine="556"/>
        <w:rPr>
          <w:rFonts w:ascii="宋体"/>
          <w:color w:val="auto"/>
          <w:sz w:val="24"/>
          <w:szCs w:val="24"/>
        </w:rPr>
      </w:pPr>
      <w:r>
        <w:rPr>
          <w:rFonts w:ascii="宋体" w:hAnsi="宋体"/>
          <w:color w:val="auto"/>
          <w:sz w:val="24"/>
          <w:szCs w:val="24"/>
        </w:rPr>
        <w:t xml:space="preserve">4. </w:t>
      </w:r>
      <w:r>
        <w:rPr>
          <w:rFonts w:hint="eastAsia" w:ascii="宋体" w:hAnsi="宋体"/>
          <w:color w:val="auto"/>
          <w:sz w:val="24"/>
          <w:szCs w:val="24"/>
        </w:rPr>
        <w:t>我单位已详细阅读并完全理解、同意单一来源采购文件的全部内容，包括澄清、修改、补充文件（谈判邀请函所述媒体公布）以及全部参考资料和有关附件；除我单位在单一来源采购文件规定期间内书面提出的疑问外，我单位放弃对这方面有不明及误解的权力。</w:t>
      </w:r>
    </w:p>
    <w:p w14:paraId="3700F6AD">
      <w:pPr>
        <w:widowControl w:val="0"/>
        <w:snapToGrid w:val="0"/>
        <w:spacing w:before="120" w:beforeLines="50" w:line="300" w:lineRule="auto"/>
        <w:ind w:firstLine="556"/>
        <w:rPr>
          <w:rFonts w:ascii="宋体" w:hAnsi="宋体"/>
          <w:color w:val="auto"/>
          <w:sz w:val="24"/>
          <w:szCs w:val="24"/>
        </w:rPr>
      </w:pPr>
      <w:r>
        <w:rPr>
          <w:rFonts w:ascii="宋体" w:hAnsi="宋体"/>
          <w:color w:val="auto"/>
          <w:sz w:val="24"/>
          <w:szCs w:val="24"/>
        </w:rPr>
        <w:t>5.</w:t>
      </w:r>
      <w:r>
        <w:rPr>
          <w:rFonts w:hint="eastAsia" w:ascii="宋体" w:hAnsi="宋体"/>
          <w:color w:val="auto"/>
          <w:sz w:val="24"/>
          <w:szCs w:val="24"/>
        </w:rPr>
        <w:t xml:space="preserve"> 本投标自开标日起有效期为</w:t>
      </w:r>
      <w:r>
        <w:rPr>
          <w:rFonts w:ascii="宋体" w:hAnsi="宋体"/>
          <w:color w:val="auto"/>
          <w:sz w:val="24"/>
          <w:szCs w:val="24"/>
        </w:rPr>
        <w:t>90</w:t>
      </w:r>
      <w:r>
        <w:rPr>
          <w:rFonts w:hint="eastAsia" w:ascii="宋体" w:hAnsi="宋体"/>
          <w:color w:val="auto"/>
          <w:sz w:val="24"/>
          <w:szCs w:val="24"/>
        </w:rPr>
        <w:t>日历天。</w:t>
      </w:r>
    </w:p>
    <w:p w14:paraId="2F091FCC">
      <w:pPr>
        <w:widowControl w:val="0"/>
        <w:snapToGrid w:val="0"/>
        <w:spacing w:before="120" w:beforeLines="50" w:line="300" w:lineRule="auto"/>
        <w:ind w:firstLine="556"/>
        <w:rPr>
          <w:rFonts w:ascii="宋体" w:hAnsi="宋体"/>
          <w:color w:val="auto"/>
          <w:sz w:val="24"/>
          <w:szCs w:val="24"/>
        </w:rPr>
      </w:pPr>
      <w:r>
        <w:rPr>
          <w:rFonts w:hint="eastAsia" w:ascii="宋体" w:hAnsi="宋体"/>
          <w:color w:val="auto"/>
          <w:sz w:val="24"/>
          <w:szCs w:val="24"/>
        </w:rPr>
        <w:t>6</w:t>
      </w:r>
      <w:r>
        <w:rPr>
          <w:rFonts w:ascii="宋体" w:hAnsi="宋体"/>
          <w:color w:val="auto"/>
          <w:sz w:val="24"/>
          <w:szCs w:val="24"/>
        </w:rPr>
        <w:t>.</w:t>
      </w:r>
      <w:r>
        <w:rPr>
          <w:rFonts w:hint="eastAsia" w:ascii="宋体" w:hAnsi="宋体"/>
          <w:color w:val="auto"/>
          <w:sz w:val="24"/>
          <w:szCs w:val="24"/>
        </w:rPr>
        <w:t>我单位承诺按照《单一来源采购文件》规定的付款方式执行。</w:t>
      </w:r>
    </w:p>
    <w:p w14:paraId="5D0DF662">
      <w:pPr>
        <w:widowControl w:val="0"/>
        <w:snapToGrid w:val="0"/>
        <w:spacing w:before="120" w:beforeLines="50" w:line="300" w:lineRule="auto"/>
        <w:ind w:firstLine="556"/>
        <w:rPr>
          <w:rFonts w:ascii="宋体" w:hAnsi="宋体"/>
          <w:color w:val="auto"/>
          <w:sz w:val="24"/>
          <w:szCs w:val="24"/>
        </w:rPr>
      </w:pPr>
      <w:r>
        <w:rPr>
          <w:rFonts w:hint="eastAsia" w:ascii="宋体" w:hAnsi="宋体"/>
          <w:color w:val="auto"/>
          <w:sz w:val="24"/>
          <w:szCs w:val="24"/>
        </w:rPr>
        <w:t>7</w:t>
      </w:r>
      <w:r>
        <w:rPr>
          <w:rFonts w:ascii="宋体" w:hAnsi="宋体"/>
          <w:color w:val="auto"/>
          <w:sz w:val="24"/>
          <w:szCs w:val="24"/>
        </w:rPr>
        <w:t>.</w:t>
      </w:r>
      <w:r>
        <w:rPr>
          <w:rFonts w:hint="eastAsia" w:ascii="宋体" w:hAnsi="宋体"/>
          <w:color w:val="auto"/>
          <w:sz w:val="24"/>
          <w:szCs w:val="24"/>
        </w:rPr>
        <w:t xml:space="preserve"> 如果在规定的开标时间后，我单位在投标有效期内撤回投标的，依据单一来源采购文件“第三章 3.5.5 违背承诺的责任追究措施”，我单位承担相应法律责任及违约责任。</w:t>
      </w:r>
    </w:p>
    <w:p w14:paraId="7B0DCDA0">
      <w:pPr>
        <w:widowControl w:val="0"/>
        <w:snapToGrid w:val="0"/>
        <w:spacing w:before="120" w:beforeLines="50" w:line="300" w:lineRule="auto"/>
        <w:ind w:firstLine="556"/>
        <w:rPr>
          <w:rFonts w:ascii="宋体"/>
          <w:color w:val="auto"/>
          <w:sz w:val="24"/>
          <w:szCs w:val="24"/>
        </w:rPr>
      </w:pPr>
      <w:r>
        <w:rPr>
          <w:rFonts w:hint="eastAsia" w:ascii="宋体" w:hAnsi="宋体"/>
          <w:color w:val="auto"/>
          <w:sz w:val="24"/>
          <w:szCs w:val="24"/>
        </w:rPr>
        <w:t>8</w:t>
      </w:r>
      <w:r>
        <w:rPr>
          <w:rFonts w:ascii="宋体" w:hAnsi="宋体"/>
          <w:color w:val="auto"/>
          <w:sz w:val="24"/>
          <w:szCs w:val="24"/>
        </w:rPr>
        <w:t xml:space="preserve">. </w:t>
      </w:r>
      <w:r>
        <w:rPr>
          <w:rFonts w:hint="eastAsia" w:ascii="宋体" w:hAnsi="宋体"/>
          <w:color w:val="auto"/>
          <w:sz w:val="24"/>
          <w:szCs w:val="24"/>
        </w:rPr>
        <w:t>我单位同意提供按照贵方可能要求的与投标有关的一切数据或资料，理解贵方不一定要接受最低价的投标或收到的任何投标。</w:t>
      </w:r>
    </w:p>
    <w:p w14:paraId="4494F7D3">
      <w:pPr>
        <w:widowControl w:val="0"/>
        <w:snapToGrid w:val="0"/>
        <w:spacing w:line="560" w:lineRule="exact"/>
        <w:ind w:firstLine="555"/>
        <w:rPr>
          <w:rFonts w:ascii="宋体"/>
          <w:color w:val="auto"/>
          <w:sz w:val="24"/>
          <w:szCs w:val="24"/>
        </w:rPr>
      </w:pPr>
      <w:r>
        <w:rPr>
          <w:rFonts w:hint="eastAsia" w:ascii="宋体" w:hAnsi="宋体"/>
          <w:color w:val="auto"/>
          <w:sz w:val="24"/>
          <w:szCs w:val="24"/>
        </w:rPr>
        <w:t>9</w:t>
      </w:r>
      <w:r>
        <w:rPr>
          <w:rFonts w:ascii="宋体" w:hAnsi="宋体"/>
          <w:color w:val="auto"/>
          <w:sz w:val="24"/>
          <w:szCs w:val="24"/>
        </w:rPr>
        <w:t>.</w:t>
      </w:r>
      <w:r>
        <w:rPr>
          <w:rFonts w:hint="eastAsia" w:ascii="宋体" w:hAnsi="宋体"/>
          <w:color w:val="auto"/>
          <w:sz w:val="24"/>
          <w:szCs w:val="24"/>
        </w:rPr>
        <w:t>与本投标有关的一切正式往来请寄：</w:t>
      </w:r>
    </w:p>
    <w:p w14:paraId="49810A4B">
      <w:pPr>
        <w:widowControl w:val="0"/>
        <w:snapToGrid w:val="0"/>
        <w:spacing w:line="560" w:lineRule="exact"/>
        <w:ind w:firstLine="555"/>
        <w:jc w:val="left"/>
        <w:rPr>
          <w:rFonts w:ascii="宋体"/>
          <w:color w:val="auto"/>
          <w:sz w:val="24"/>
          <w:szCs w:val="24"/>
        </w:rPr>
      </w:pPr>
      <w:r>
        <w:rPr>
          <w:rFonts w:hint="eastAsia" w:ascii="宋体" w:hAnsi="宋体"/>
          <w:color w:val="auto"/>
          <w:sz w:val="24"/>
          <w:szCs w:val="24"/>
        </w:rPr>
        <w:t>地址：</w:t>
      </w:r>
      <w:r>
        <w:rPr>
          <w:rFonts w:ascii="宋体"/>
          <w:color w:val="auto"/>
          <w:sz w:val="24"/>
          <w:szCs w:val="24"/>
        </w:rPr>
        <w:tab/>
      </w:r>
      <w:r>
        <w:rPr>
          <w:rFonts w:ascii="宋体"/>
          <w:color w:val="auto"/>
          <w:sz w:val="24"/>
          <w:szCs w:val="24"/>
        </w:rPr>
        <w:tab/>
      </w:r>
      <w:r>
        <w:rPr>
          <w:rFonts w:hint="eastAsia" w:ascii="宋体" w:hAnsi="宋体"/>
          <w:color w:val="auto"/>
          <w:sz w:val="24"/>
          <w:szCs w:val="24"/>
        </w:rPr>
        <w:t>邮政编码：</w:t>
      </w:r>
      <w:r>
        <w:rPr>
          <w:rFonts w:ascii="宋体"/>
          <w:color w:val="auto"/>
          <w:sz w:val="24"/>
          <w:szCs w:val="24"/>
        </w:rPr>
        <w:tab/>
      </w:r>
    </w:p>
    <w:p w14:paraId="3BBD6BD7">
      <w:pPr>
        <w:widowControl w:val="0"/>
        <w:snapToGrid w:val="0"/>
        <w:spacing w:line="560" w:lineRule="exact"/>
        <w:ind w:firstLine="555"/>
        <w:rPr>
          <w:rFonts w:ascii="宋体"/>
          <w:color w:val="auto"/>
          <w:sz w:val="24"/>
          <w:szCs w:val="24"/>
        </w:rPr>
      </w:pPr>
      <w:r>
        <w:rPr>
          <w:rFonts w:hint="eastAsia" w:ascii="宋体" w:hAnsi="宋体"/>
          <w:color w:val="auto"/>
          <w:sz w:val="24"/>
          <w:szCs w:val="24"/>
        </w:rPr>
        <w:t>电话：</w:t>
      </w:r>
      <w:r>
        <w:rPr>
          <w:rFonts w:ascii="宋体"/>
          <w:color w:val="auto"/>
          <w:sz w:val="24"/>
          <w:szCs w:val="24"/>
        </w:rPr>
        <w:tab/>
      </w:r>
      <w:r>
        <w:rPr>
          <w:rFonts w:ascii="宋体"/>
          <w:color w:val="auto"/>
          <w:sz w:val="24"/>
          <w:szCs w:val="24"/>
        </w:rPr>
        <w:tab/>
      </w:r>
      <w:r>
        <w:rPr>
          <w:rFonts w:hint="eastAsia" w:ascii="宋体" w:hAnsi="宋体"/>
          <w:color w:val="auto"/>
          <w:sz w:val="24"/>
          <w:szCs w:val="24"/>
        </w:rPr>
        <w:t>传真：</w:t>
      </w:r>
    </w:p>
    <w:p w14:paraId="7BF1281A">
      <w:pPr>
        <w:widowControl w:val="0"/>
        <w:snapToGrid w:val="0"/>
        <w:spacing w:line="560" w:lineRule="exact"/>
        <w:ind w:firstLine="555"/>
        <w:rPr>
          <w:rFonts w:ascii="宋体"/>
          <w:color w:val="auto"/>
          <w:sz w:val="24"/>
          <w:szCs w:val="24"/>
        </w:rPr>
      </w:pPr>
    </w:p>
    <w:p w14:paraId="0F12F6B5">
      <w:pPr>
        <w:widowControl w:val="0"/>
        <w:snapToGrid w:val="0"/>
        <w:spacing w:line="560" w:lineRule="exact"/>
        <w:ind w:firstLine="555"/>
        <w:rPr>
          <w:rFonts w:ascii="宋体"/>
          <w:color w:val="auto"/>
          <w:sz w:val="24"/>
          <w:szCs w:val="24"/>
        </w:rPr>
      </w:pPr>
    </w:p>
    <w:p w14:paraId="25465B4E">
      <w:pPr>
        <w:widowControl w:val="0"/>
        <w:snapToGrid w:val="0"/>
        <w:spacing w:line="560" w:lineRule="exact"/>
        <w:ind w:firstLine="555"/>
        <w:rPr>
          <w:rFonts w:ascii="宋体"/>
          <w:color w:val="auto"/>
          <w:sz w:val="24"/>
          <w:szCs w:val="24"/>
        </w:rPr>
      </w:pPr>
    </w:p>
    <w:p w14:paraId="4386741C">
      <w:pPr>
        <w:widowControl w:val="0"/>
        <w:tabs>
          <w:tab w:val="left" w:pos="9365"/>
        </w:tabs>
        <w:snapToGrid w:val="0"/>
        <w:spacing w:after="56" w:line="560" w:lineRule="exact"/>
        <w:ind w:right="85"/>
        <w:jc w:val="left"/>
        <w:textAlignment w:val="top"/>
        <w:rPr>
          <w:rFonts w:ascii="宋体"/>
          <w:color w:val="auto"/>
          <w:sz w:val="24"/>
          <w:szCs w:val="24"/>
        </w:rPr>
      </w:pPr>
      <w:r>
        <w:rPr>
          <w:rFonts w:hint="eastAsia" w:ascii="宋体" w:hAnsi="宋体"/>
          <w:color w:val="auto"/>
          <w:sz w:val="24"/>
          <w:szCs w:val="24"/>
        </w:rPr>
        <w:t>投标人（电子签章）：</w:t>
      </w:r>
    </w:p>
    <w:p w14:paraId="0D4FD2C1">
      <w:pPr>
        <w:widowControl w:val="0"/>
        <w:tabs>
          <w:tab w:val="left" w:pos="9365"/>
        </w:tabs>
        <w:snapToGrid w:val="0"/>
        <w:spacing w:after="56" w:line="560" w:lineRule="exact"/>
        <w:ind w:right="85"/>
        <w:jc w:val="left"/>
        <w:textAlignment w:val="top"/>
        <w:rPr>
          <w:rFonts w:ascii="宋体"/>
          <w:color w:val="auto"/>
          <w:sz w:val="24"/>
          <w:szCs w:val="24"/>
        </w:rPr>
      </w:pPr>
      <w:r>
        <w:rPr>
          <w:rFonts w:hint="eastAsia" w:ascii="宋体" w:hAnsi="宋体"/>
          <w:color w:val="auto"/>
          <w:sz w:val="24"/>
          <w:szCs w:val="24"/>
        </w:rPr>
        <w:t>法定代表人（电子签名或签章）：</w:t>
      </w:r>
    </w:p>
    <w:p w14:paraId="1FBC2114">
      <w:pPr>
        <w:autoSpaceDE w:val="0"/>
        <w:autoSpaceDN w:val="0"/>
        <w:adjustRightInd w:val="0"/>
        <w:spacing w:line="360" w:lineRule="auto"/>
        <w:ind w:right="-817"/>
        <w:rPr>
          <w:rFonts w:ascii="宋体" w:cs="楷体_GB2312"/>
          <w:color w:val="auto"/>
          <w:sz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5174465E">
      <w:pPr>
        <w:spacing w:line="240" w:lineRule="auto"/>
        <w:jc w:val="left"/>
        <w:textAlignment w:val="auto"/>
        <w:rPr>
          <w:color w:val="auto"/>
          <w:sz w:val="24"/>
          <w:szCs w:val="24"/>
        </w:rPr>
      </w:pPr>
      <w:r>
        <w:rPr>
          <w:color w:val="auto"/>
          <w:sz w:val="24"/>
          <w:szCs w:val="24"/>
        </w:rPr>
        <w:br w:type="page"/>
      </w:r>
    </w:p>
    <w:p w14:paraId="41E30F84">
      <w:pPr>
        <w:widowControl w:val="0"/>
        <w:snapToGrid w:val="0"/>
        <w:spacing w:line="560" w:lineRule="exact"/>
        <w:jc w:val="center"/>
        <w:rPr>
          <w:rFonts w:ascii="黑体" w:hAnsi="黑体" w:eastAsia="黑体"/>
          <w:b/>
          <w:color w:val="auto"/>
          <w:sz w:val="30"/>
          <w:szCs w:val="30"/>
        </w:rPr>
      </w:pPr>
      <w:r>
        <w:rPr>
          <w:rFonts w:hint="eastAsia" w:ascii="黑体" w:hAnsi="黑体" w:eastAsia="黑体"/>
          <w:b/>
          <w:color w:val="auto"/>
          <w:sz w:val="30"/>
          <w:szCs w:val="30"/>
        </w:rPr>
        <w:t>二、开标一览表</w:t>
      </w:r>
      <w:r>
        <w:rPr>
          <w:rFonts w:hint="eastAsia" w:ascii="宋体" w:hAnsi="宋体"/>
          <w:b/>
          <w:color w:val="auto"/>
          <w:sz w:val="24"/>
          <w:szCs w:val="24"/>
        </w:rPr>
        <w:t>（即交易系统中报价一览表）</w:t>
      </w:r>
    </w:p>
    <w:p w14:paraId="4CA483DA">
      <w:pPr>
        <w:widowControl w:val="0"/>
        <w:snapToGrid w:val="0"/>
        <w:spacing w:line="560" w:lineRule="exact"/>
        <w:jc w:val="left"/>
        <w:rPr>
          <w:b/>
          <w:color w:val="auto"/>
          <w:sz w:val="24"/>
          <w:szCs w:val="24"/>
        </w:rPr>
      </w:pPr>
    </w:p>
    <w:p w14:paraId="6BB61BC6">
      <w:pPr>
        <w:widowControl w:val="0"/>
        <w:snapToGrid w:val="0"/>
        <w:spacing w:before="120" w:beforeLines="50" w:line="240" w:lineRule="auto"/>
        <w:ind w:firstLine="542"/>
        <w:rPr>
          <w:b/>
          <w:color w:val="auto"/>
          <w:sz w:val="24"/>
          <w:szCs w:val="24"/>
        </w:rPr>
      </w:pPr>
      <w:r>
        <w:rPr>
          <w:rFonts w:hint="eastAsia"/>
          <w:b/>
          <w:color w:val="auto"/>
          <w:sz w:val="24"/>
          <w:szCs w:val="24"/>
        </w:rPr>
        <w:t>注：</w:t>
      </w:r>
      <w:r>
        <w:rPr>
          <w:b/>
          <w:color w:val="auto"/>
          <w:sz w:val="24"/>
          <w:szCs w:val="24"/>
        </w:rPr>
        <w:t>1</w:t>
      </w:r>
      <w:r>
        <w:rPr>
          <w:rFonts w:hint="eastAsia"/>
          <w:b/>
          <w:color w:val="auto"/>
          <w:sz w:val="24"/>
          <w:szCs w:val="24"/>
        </w:rPr>
        <w:t>、投标人需在安阳市公共资源电子交易平台投标文件制作工具中、按系统要求填列报价一览表（即开标一览表），系统中填列的报价一览表（即开标一览表）为投标人《投标文件》的一部分。</w:t>
      </w:r>
    </w:p>
    <w:p w14:paraId="39DF83F6">
      <w:pPr>
        <w:widowControl w:val="0"/>
        <w:snapToGrid w:val="0"/>
        <w:spacing w:before="120" w:beforeLines="50" w:line="240" w:lineRule="auto"/>
        <w:ind w:firstLine="540"/>
        <w:rPr>
          <w:color w:val="auto"/>
          <w:sz w:val="24"/>
          <w:szCs w:val="24"/>
        </w:rPr>
      </w:pPr>
      <w:r>
        <w:rPr>
          <w:color w:val="auto"/>
          <w:sz w:val="24"/>
          <w:szCs w:val="24"/>
        </w:rPr>
        <w:t>2</w:t>
      </w:r>
      <w:r>
        <w:rPr>
          <w:rFonts w:hint="eastAsia"/>
          <w:color w:val="auto"/>
          <w:sz w:val="24"/>
          <w:szCs w:val="24"/>
        </w:rPr>
        <w:t>、投标人的投标报价（价格构成）应包括单一来源采购文件所述投标报价的所有内容。</w:t>
      </w:r>
    </w:p>
    <w:p w14:paraId="26586463">
      <w:pPr>
        <w:widowControl w:val="0"/>
        <w:snapToGrid w:val="0"/>
        <w:spacing w:before="120" w:beforeLines="50" w:line="240" w:lineRule="auto"/>
        <w:ind w:firstLine="540"/>
        <w:jc w:val="left"/>
        <w:rPr>
          <w:color w:val="auto"/>
          <w:sz w:val="24"/>
          <w:szCs w:val="24"/>
        </w:rPr>
      </w:pPr>
      <w:r>
        <w:rPr>
          <w:color w:val="auto"/>
          <w:sz w:val="24"/>
          <w:szCs w:val="24"/>
        </w:rPr>
        <w:t>3</w:t>
      </w:r>
      <w:r>
        <w:rPr>
          <w:rFonts w:hint="eastAsia"/>
          <w:color w:val="auto"/>
          <w:sz w:val="24"/>
          <w:szCs w:val="24"/>
        </w:rPr>
        <w:t>、投标人可对单一来源采购文件中所列的所有标段（包）进行分别投标，也可选择其中一个标段（包）或几个标段（包）投标，但不得将单一来源采购文件规定的同一标段（包）的内容拆开投标，否则将按无效投标处理。</w:t>
      </w:r>
    </w:p>
    <w:p w14:paraId="53EE10E5">
      <w:pPr>
        <w:widowControl w:val="0"/>
        <w:snapToGrid w:val="0"/>
        <w:spacing w:before="120" w:beforeLines="50" w:line="240" w:lineRule="auto"/>
        <w:ind w:firstLine="540"/>
        <w:jc w:val="left"/>
        <w:rPr>
          <w:color w:val="auto"/>
          <w:sz w:val="24"/>
          <w:szCs w:val="24"/>
        </w:rPr>
      </w:pPr>
      <w:r>
        <w:rPr>
          <w:color w:val="auto"/>
          <w:sz w:val="24"/>
          <w:szCs w:val="24"/>
        </w:rPr>
        <w:t>4</w:t>
      </w:r>
      <w:r>
        <w:rPr>
          <w:rFonts w:hint="eastAsia"/>
          <w:color w:val="auto"/>
          <w:sz w:val="24"/>
          <w:szCs w:val="24"/>
        </w:rPr>
        <w:t>、开标一览表与报价明细表有差别时，以开标一览表为准；大写文字表示的数据与小写数字表示的有差别时，以大写文字表示的数据为准。</w:t>
      </w:r>
    </w:p>
    <w:p w14:paraId="2369DB52">
      <w:pPr>
        <w:widowControl w:val="0"/>
        <w:snapToGrid w:val="0"/>
        <w:spacing w:line="360" w:lineRule="auto"/>
        <w:textAlignment w:val="top"/>
        <w:rPr>
          <w:b/>
          <w:color w:val="auto"/>
          <w:sz w:val="24"/>
          <w:szCs w:val="24"/>
        </w:rPr>
      </w:pPr>
    </w:p>
    <w:p w14:paraId="3047817C">
      <w:pPr>
        <w:widowControl w:val="0"/>
        <w:snapToGrid w:val="0"/>
        <w:spacing w:line="360" w:lineRule="auto"/>
        <w:textAlignment w:val="top"/>
        <w:rPr>
          <w:b/>
          <w:color w:val="auto"/>
          <w:sz w:val="24"/>
          <w:szCs w:val="24"/>
        </w:rPr>
      </w:pPr>
    </w:p>
    <w:p w14:paraId="6AE8E8FC">
      <w:pPr>
        <w:widowControl w:val="0"/>
        <w:snapToGrid w:val="0"/>
        <w:spacing w:line="360" w:lineRule="auto"/>
        <w:textAlignment w:val="top"/>
        <w:rPr>
          <w:b/>
          <w:color w:val="auto"/>
          <w:sz w:val="24"/>
          <w:szCs w:val="24"/>
        </w:rPr>
      </w:pPr>
    </w:p>
    <w:p w14:paraId="6DEC5D44">
      <w:pPr>
        <w:widowControl w:val="0"/>
        <w:snapToGrid w:val="0"/>
        <w:spacing w:line="360" w:lineRule="auto"/>
        <w:textAlignment w:val="top"/>
        <w:rPr>
          <w:b/>
          <w:color w:val="auto"/>
          <w:sz w:val="24"/>
          <w:szCs w:val="24"/>
        </w:rPr>
      </w:pPr>
    </w:p>
    <w:p w14:paraId="5D706E83">
      <w:pPr>
        <w:widowControl w:val="0"/>
        <w:snapToGrid w:val="0"/>
        <w:spacing w:line="360" w:lineRule="auto"/>
        <w:textAlignment w:val="top"/>
        <w:rPr>
          <w:color w:val="auto"/>
          <w:sz w:val="24"/>
          <w:szCs w:val="24"/>
        </w:rPr>
      </w:pPr>
      <w:r>
        <w:rPr>
          <w:rFonts w:hint="eastAsia"/>
          <w:color w:val="auto"/>
          <w:sz w:val="24"/>
          <w:szCs w:val="24"/>
        </w:rPr>
        <w:t>投标人（电子签章）：</w:t>
      </w:r>
    </w:p>
    <w:p w14:paraId="14DA7FA5">
      <w:pPr>
        <w:widowControl w:val="0"/>
        <w:snapToGrid w:val="0"/>
        <w:spacing w:line="360" w:lineRule="auto"/>
        <w:textAlignment w:val="top"/>
        <w:rPr>
          <w:color w:val="auto"/>
          <w:sz w:val="24"/>
          <w:szCs w:val="24"/>
        </w:rPr>
      </w:pPr>
      <w:r>
        <w:rPr>
          <w:rFonts w:hint="eastAsia"/>
          <w:color w:val="auto"/>
          <w:sz w:val="24"/>
          <w:szCs w:val="24"/>
        </w:rPr>
        <w:t>法定代表人（电子签名或签章）：</w:t>
      </w:r>
    </w:p>
    <w:p w14:paraId="2D4C77D8">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0D85027B">
      <w:pPr>
        <w:widowControl w:val="0"/>
        <w:snapToGrid w:val="0"/>
        <w:spacing w:line="560" w:lineRule="exact"/>
        <w:jc w:val="center"/>
        <w:rPr>
          <w:color w:val="auto"/>
        </w:rPr>
      </w:pPr>
      <w:r>
        <w:rPr>
          <w:color w:val="auto"/>
        </w:rPr>
        <w:br w:type="page"/>
      </w:r>
    </w:p>
    <w:p w14:paraId="4A86C503">
      <w:pPr>
        <w:widowControl w:val="0"/>
        <w:snapToGrid w:val="0"/>
        <w:spacing w:line="560" w:lineRule="exact"/>
        <w:jc w:val="center"/>
        <w:rPr>
          <w:b/>
          <w:color w:val="auto"/>
          <w:sz w:val="24"/>
          <w:szCs w:val="24"/>
        </w:rPr>
      </w:pPr>
      <w:r>
        <w:rPr>
          <w:rFonts w:hint="eastAsia" w:ascii="黑体" w:hAnsi="黑体" w:eastAsia="黑体"/>
          <w:b/>
          <w:color w:val="auto"/>
          <w:sz w:val="30"/>
          <w:szCs w:val="30"/>
        </w:rPr>
        <w:t>三、投标报价明细表</w:t>
      </w:r>
    </w:p>
    <w:p w14:paraId="1CF241B1">
      <w:pPr>
        <w:pStyle w:val="22"/>
        <w:adjustRightInd w:val="0"/>
        <w:snapToGrid w:val="0"/>
        <w:spacing w:before="120" w:beforeLines="50" w:beforeAutospacing="0" w:after="0" w:afterAutospacing="0"/>
        <w:rPr>
          <w:color w:val="auto"/>
        </w:rPr>
      </w:pPr>
    </w:p>
    <w:p w14:paraId="4972A594">
      <w:pPr>
        <w:pStyle w:val="22"/>
        <w:adjustRightInd w:val="0"/>
        <w:snapToGrid w:val="0"/>
        <w:spacing w:before="0" w:beforeAutospacing="0" w:after="0" w:afterAutospacing="0"/>
        <w:rPr>
          <w:color w:val="auto"/>
          <w:u w:val="single"/>
        </w:rPr>
      </w:pPr>
      <w:r>
        <w:rPr>
          <w:rFonts w:hint="eastAsia"/>
          <w:color w:val="auto"/>
        </w:rPr>
        <w:t>项目名称：</w:t>
      </w:r>
      <w:r>
        <w:rPr>
          <w:rFonts w:hint="eastAsia"/>
          <w:color w:val="auto"/>
          <w:u w:val="single"/>
        </w:rPr>
        <w:t xml:space="preserve">             </w:t>
      </w:r>
    </w:p>
    <w:p w14:paraId="3BF86BFB">
      <w:pPr>
        <w:pStyle w:val="22"/>
        <w:adjustRightInd w:val="0"/>
        <w:snapToGrid w:val="0"/>
        <w:spacing w:before="0" w:beforeAutospacing="0" w:after="0" w:afterAutospacing="0"/>
        <w:rPr>
          <w:color w:val="auto"/>
          <w:u w:val="single"/>
        </w:rPr>
      </w:pPr>
      <w:r>
        <w:rPr>
          <w:rFonts w:hint="eastAsia"/>
          <w:color w:val="auto"/>
        </w:rPr>
        <w:t>项目编号：</w:t>
      </w:r>
      <w:r>
        <w:rPr>
          <w:rFonts w:hint="eastAsia"/>
          <w:color w:val="auto"/>
          <w:u w:val="single"/>
        </w:rPr>
        <w:t xml:space="preserve">             </w:t>
      </w:r>
    </w:p>
    <w:tbl>
      <w:tblPr>
        <w:tblStyle w:val="24"/>
        <w:tblW w:w="924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2336"/>
        <w:gridCol w:w="2835"/>
        <w:gridCol w:w="992"/>
        <w:gridCol w:w="895"/>
        <w:gridCol w:w="720"/>
        <w:gridCol w:w="1000"/>
      </w:tblGrid>
      <w:tr w14:paraId="74AC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65" w:type="dxa"/>
            <w:tcBorders>
              <w:top w:val="single" w:color="000000" w:sz="8" w:space="0"/>
              <w:left w:val="single" w:color="000000" w:sz="8" w:space="0"/>
              <w:bottom w:val="single" w:color="000000" w:sz="4" w:space="0"/>
              <w:right w:val="single" w:color="000000" w:sz="4" w:space="0"/>
            </w:tcBorders>
            <w:vAlign w:val="center"/>
          </w:tcPr>
          <w:p w14:paraId="30B3C2C5">
            <w:pPr>
              <w:spacing w:line="560" w:lineRule="exact"/>
              <w:jc w:val="center"/>
              <w:rPr>
                <w:color w:val="auto"/>
                <w:sz w:val="28"/>
              </w:rPr>
            </w:pPr>
            <w:r>
              <w:rPr>
                <w:rFonts w:hint="eastAsia"/>
                <w:color w:val="auto"/>
              </w:rPr>
              <w:t>序号</w:t>
            </w:r>
          </w:p>
        </w:tc>
        <w:tc>
          <w:tcPr>
            <w:tcW w:w="2336" w:type="dxa"/>
            <w:tcBorders>
              <w:top w:val="single" w:color="000000" w:sz="8" w:space="0"/>
              <w:bottom w:val="single" w:color="000000" w:sz="4" w:space="0"/>
              <w:right w:val="single" w:color="000000" w:sz="4" w:space="0"/>
            </w:tcBorders>
            <w:vAlign w:val="center"/>
          </w:tcPr>
          <w:p w14:paraId="1C026684">
            <w:pPr>
              <w:spacing w:line="560" w:lineRule="exact"/>
              <w:jc w:val="center"/>
              <w:rPr>
                <w:color w:val="auto"/>
                <w:sz w:val="28"/>
              </w:rPr>
            </w:pPr>
            <w:r>
              <w:rPr>
                <w:rFonts w:hint="eastAsia"/>
                <w:color w:val="auto"/>
              </w:rPr>
              <w:t>款项、费用名称</w:t>
            </w:r>
          </w:p>
        </w:tc>
        <w:tc>
          <w:tcPr>
            <w:tcW w:w="2835" w:type="dxa"/>
            <w:tcBorders>
              <w:top w:val="single" w:color="000000" w:sz="8" w:space="0"/>
              <w:bottom w:val="single" w:color="000000" w:sz="4" w:space="0"/>
              <w:right w:val="single" w:color="000000" w:sz="4" w:space="0"/>
            </w:tcBorders>
            <w:vAlign w:val="center"/>
          </w:tcPr>
          <w:p w14:paraId="606832AA">
            <w:pPr>
              <w:spacing w:line="560" w:lineRule="exact"/>
              <w:jc w:val="center"/>
              <w:rPr>
                <w:color w:val="auto"/>
                <w:sz w:val="28"/>
              </w:rPr>
            </w:pPr>
            <w:r>
              <w:rPr>
                <w:rFonts w:hint="eastAsia"/>
                <w:color w:val="auto"/>
              </w:rPr>
              <w:t>费用说明</w:t>
            </w:r>
          </w:p>
        </w:tc>
        <w:tc>
          <w:tcPr>
            <w:tcW w:w="992" w:type="dxa"/>
            <w:tcBorders>
              <w:top w:val="single" w:color="000000" w:sz="8" w:space="0"/>
              <w:bottom w:val="single" w:color="000000" w:sz="4" w:space="0"/>
              <w:right w:val="single" w:color="000000" w:sz="4" w:space="0"/>
            </w:tcBorders>
            <w:vAlign w:val="center"/>
          </w:tcPr>
          <w:p w14:paraId="7FBACB21">
            <w:pPr>
              <w:spacing w:line="560" w:lineRule="exact"/>
              <w:jc w:val="center"/>
              <w:rPr>
                <w:color w:val="auto"/>
                <w:sz w:val="28"/>
              </w:rPr>
            </w:pPr>
            <w:r>
              <w:rPr>
                <w:rFonts w:hint="eastAsia"/>
                <w:color w:val="auto"/>
              </w:rPr>
              <w:t>单位</w:t>
            </w:r>
          </w:p>
        </w:tc>
        <w:tc>
          <w:tcPr>
            <w:tcW w:w="895" w:type="dxa"/>
            <w:tcBorders>
              <w:top w:val="single" w:color="000000" w:sz="8" w:space="0"/>
              <w:bottom w:val="single" w:color="000000" w:sz="4" w:space="0"/>
              <w:right w:val="single" w:color="000000" w:sz="4" w:space="0"/>
            </w:tcBorders>
            <w:vAlign w:val="center"/>
          </w:tcPr>
          <w:p w14:paraId="46B9183D">
            <w:pPr>
              <w:spacing w:line="560" w:lineRule="exact"/>
              <w:jc w:val="center"/>
              <w:rPr>
                <w:color w:val="auto"/>
                <w:sz w:val="28"/>
              </w:rPr>
            </w:pPr>
            <w:r>
              <w:rPr>
                <w:rFonts w:hint="eastAsia"/>
                <w:color w:val="auto"/>
              </w:rPr>
              <w:t>数量</w:t>
            </w:r>
          </w:p>
        </w:tc>
        <w:tc>
          <w:tcPr>
            <w:tcW w:w="720" w:type="dxa"/>
            <w:tcBorders>
              <w:top w:val="single" w:color="000000" w:sz="8" w:space="0"/>
              <w:bottom w:val="single" w:color="000000" w:sz="4" w:space="0"/>
              <w:right w:val="single" w:color="000000" w:sz="4" w:space="0"/>
            </w:tcBorders>
            <w:vAlign w:val="center"/>
          </w:tcPr>
          <w:p w14:paraId="1E8A5D6F">
            <w:pPr>
              <w:spacing w:line="560" w:lineRule="exact"/>
              <w:jc w:val="center"/>
              <w:rPr>
                <w:color w:val="auto"/>
                <w:sz w:val="28"/>
              </w:rPr>
            </w:pPr>
            <w:r>
              <w:rPr>
                <w:rFonts w:hint="eastAsia"/>
                <w:color w:val="auto"/>
              </w:rPr>
              <w:t>单价</w:t>
            </w:r>
          </w:p>
        </w:tc>
        <w:tc>
          <w:tcPr>
            <w:tcW w:w="1000" w:type="dxa"/>
            <w:tcBorders>
              <w:top w:val="single" w:color="000000" w:sz="8" w:space="0"/>
              <w:bottom w:val="single" w:color="000000" w:sz="4" w:space="0"/>
              <w:right w:val="single" w:color="000000" w:sz="8" w:space="0"/>
            </w:tcBorders>
            <w:vAlign w:val="center"/>
          </w:tcPr>
          <w:p w14:paraId="1513429F">
            <w:pPr>
              <w:spacing w:line="560" w:lineRule="exact"/>
              <w:jc w:val="center"/>
              <w:rPr>
                <w:color w:val="auto"/>
                <w:sz w:val="28"/>
              </w:rPr>
            </w:pPr>
            <w:r>
              <w:rPr>
                <w:rFonts w:hint="eastAsia"/>
                <w:color w:val="auto"/>
              </w:rPr>
              <w:t>小计</w:t>
            </w:r>
          </w:p>
        </w:tc>
      </w:tr>
      <w:tr w14:paraId="63E2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465" w:type="dxa"/>
            <w:tcBorders>
              <w:left w:val="single" w:color="000000" w:sz="8" w:space="0"/>
              <w:bottom w:val="single" w:color="000000" w:sz="4" w:space="0"/>
              <w:right w:val="single" w:color="000000" w:sz="4" w:space="0"/>
            </w:tcBorders>
            <w:vAlign w:val="center"/>
          </w:tcPr>
          <w:p w14:paraId="5AA34C9D">
            <w:pPr>
              <w:spacing w:line="560" w:lineRule="exact"/>
              <w:jc w:val="center"/>
              <w:rPr>
                <w:color w:val="auto"/>
                <w:sz w:val="28"/>
              </w:rPr>
            </w:pPr>
            <w:r>
              <w:rPr>
                <w:color w:val="auto"/>
              </w:rPr>
              <w:t>1</w:t>
            </w:r>
          </w:p>
        </w:tc>
        <w:tc>
          <w:tcPr>
            <w:tcW w:w="2336" w:type="dxa"/>
            <w:tcBorders>
              <w:bottom w:val="single" w:color="000000" w:sz="4" w:space="0"/>
              <w:right w:val="single" w:color="000000" w:sz="4" w:space="0"/>
            </w:tcBorders>
            <w:vAlign w:val="center"/>
          </w:tcPr>
          <w:p w14:paraId="6ABDD546">
            <w:pPr>
              <w:spacing w:line="560" w:lineRule="exact"/>
              <w:jc w:val="center"/>
              <w:rPr>
                <w:color w:val="auto"/>
                <w:sz w:val="28"/>
              </w:rPr>
            </w:pPr>
          </w:p>
        </w:tc>
        <w:tc>
          <w:tcPr>
            <w:tcW w:w="2835" w:type="dxa"/>
            <w:tcBorders>
              <w:bottom w:val="single" w:color="000000" w:sz="4" w:space="0"/>
              <w:right w:val="single" w:color="000000" w:sz="4" w:space="0"/>
            </w:tcBorders>
            <w:vAlign w:val="center"/>
          </w:tcPr>
          <w:p w14:paraId="1BFBBB36">
            <w:pPr>
              <w:spacing w:line="560" w:lineRule="exact"/>
              <w:jc w:val="left"/>
              <w:rPr>
                <w:color w:val="auto"/>
                <w:sz w:val="28"/>
              </w:rPr>
            </w:pPr>
          </w:p>
        </w:tc>
        <w:tc>
          <w:tcPr>
            <w:tcW w:w="992" w:type="dxa"/>
            <w:tcBorders>
              <w:bottom w:val="single" w:color="000000" w:sz="4" w:space="0"/>
              <w:right w:val="single" w:color="000000" w:sz="4" w:space="0"/>
            </w:tcBorders>
            <w:vAlign w:val="center"/>
          </w:tcPr>
          <w:p w14:paraId="24709E16">
            <w:pPr>
              <w:spacing w:line="560" w:lineRule="exact"/>
              <w:jc w:val="center"/>
              <w:rPr>
                <w:color w:val="auto"/>
                <w:sz w:val="28"/>
              </w:rPr>
            </w:pPr>
          </w:p>
        </w:tc>
        <w:tc>
          <w:tcPr>
            <w:tcW w:w="895" w:type="dxa"/>
            <w:tcBorders>
              <w:bottom w:val="single" w:color="000000" w:sz="4" w:space="0"/>
              <w:right w:val="single" w:color="000000" w:sz="4" w:space="0"/>
            </w:tcBorders>
            <w:vAlign w:val="center"/>
          </w:tcPr>
          <w:p w14:paraId="4A37DA07">
            <w:pPr>
              <w:spacing w:line="560" w:lineRule="exact"/>
              <w:jc w:val="center"/>
              <w:rPr>
                <w:color w:val="auto"/>
                <w:sz w:val="28"/>
              </w:rPr>
            </w:pPr>
          </w:p>
        </w:tc>
        <w:tc>
          <w:tcPr>
            <w:tcW w:w="720" w:type="dxa"/>
            <w:tcBorders>
              <w:bottom w:val="single" w:color="000000" w:sz="4" w:space="0"/>
              <w:right w:val="single" w:color="000000" w:sz="4" w:space="0"/>
            </w:tcBorders>
            <w:vAlign w:val="center"/>
          </w:tcPr>
          <w:p w14:paraId="28F20FE5">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558B6BA6">
            <w:pPr>
              <w:spacing w:line="560" w:lineRule="exact"/>
              <w:jc w:val="center"/>
              <w:rPr>
                <w:color w:val="auto"/>
                <w:sz w:val="28"/>
              </w:rPr>
            </w:pPr>
          </w:p>
        </w:tc>
      </w:tr>
      <w:tr w14:paraId="6EC6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14:paraId="1BFD24AE">
            <w:pPr>
              <w:spacing w:line="560" w:lineRule="exact"/>
              <w:jc w:val="center"/>
              <w:rPr>
                <w:color w:val="auto"/>
                <w:sz w:val="28"/>
              </w:rPr>
            </w:pPr>
            <w:r>
              <w:rPr>
                <w:color w:val="auto"/>
              </w:rPr>
              <w:t>2</w:t>
            </w:r>
          </w:p>
        </w:tc>
        <w:tc>
          <w:tcPr>
            <w:tcW w:w="2336" w:type="dxa"/>
            <w:tcBorders>
              <w:bottom w:val="single" w:color="000000" w:sz="4" w:space="0"/>
              <w:right w:val="single" w:color="000000" w:sz="4" w:space="0"/>
            </w:tcBorders>
            <w:vAlign w:val="center"/>
          </w:tcPr>
          <w:p w14:paraId="24A3335F">
            <w:pPr>
              <w:spacing w:line="560" w:lineRule="exact"/>
              <w:jc w:val="center"/>
              <w:rPr>
                <w:color w:val="auto"/>
                <w:sz w:val="28"/>
              </w:rPr>
            </w:pPr>
          </w:p>
        </w:tc>
        <w:tc>
          <w:tcPr>
            <w:tcW w:w="2835" w:type="dxa"/>
            <w:tcBorders>
              <w:bottom w:val="single" w:color="000000" w:sz="4" w:space="0"/>
              <w:right w:val="single" w:color="000000" w:sz="4" w:space="0"/>
            </w:tcBorders>
            <w:vAlign w:val="center"/>
          </w:tcPr>
          <w:p w14:paraId="7D6E5F90">
            <w:pPr>
              <w:spacing w:line="560" w:lineRule="exact"/>
              <w:jc w:val="left"/>
              <w:rPr>
                <w:color w:val="auto"/>
                <w:sz w:val="28"/>
              </w:rPr>
            </w:pPr>
          </w:p>
        </w:tc>
        <w:tc>
          <w:tcPr>
            <w:tcW w:w="992" w:type="dxa"/>
            <w:tcBorders>
              <w:bottom w:val="single" w:color="000000" w:sz="4" w:space="0"/>
              <w:right w:val="single" w:color="000000" w:sz="4" w:space="0"/>
            </w:tcBorders>
            <w:vAlign w:val="center"/>
          </w:tcPr>
          <w:p w14:paraId="28B9C285">
            <w:pPr>
              <w:spacing w:line="560" w:lineRule="exact"/>
              <w:jc w:val="center"/>
              <w:rPr>
                <w:color w:val="auto"/>
                <w:sz w:val="28"/>
              </w:rPr>
            </w:pPr>
          </w:p>
        </w:tc>
        <w:tc>
          <w:tcPr>
            <w:tcW w:w="895" w:type="dxa"/>
            <w:tcBorders>
              <w:bottom w:val="single" w:color="000000" w:sz="4" w:space="0"/>
              <w:right w:val="single" w:color="000000" w:sz="4" w:space="0"/>
            </w:tcBorders>
            <w:vAlign w:val="center"/>
          </w:tcPr>
          <w:p w14:paraId="01A631BC">
            <w:pPr>
              <w:spacing w:line="560" w:lineRule="exact"/>
              <w:jc w:val="center"/>
              <w:rPr>
                <w:color w:val="auto"/>
                <w:sz w:val="28"/>
              </w:rPr>
            </w:pPr>
          </w:p>
        </w:tc>
        <w:tc>
          <w:tcPr>
            <w:tcW w:w="720" w:type="dxa"/>
            <w:tcBorders>
              <w:bottom w:val="single" w:color="000000" w:sz="4" w:space="0"/>
              <w:right w:val="single" w:color="000000" w:sz="4" w:space="0"/>
            </w:tcBorders>
            <w:vAlign w:val="center"/>
          </w:tcPr>
          <w:p w14:paraId="543F08F9">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7ECB72C6">
            <w:pPr>
              <w:spacing w:line="560" w:lineRule="exact"/>
              <w:jc w:val="center"/>
              <w:rPr>
                <w:color w:val="auto"/>
                <w:sz w:val="28"/>
              </w:rPr>
            </w:pPr>
          </w:p>
        </w:tc>
      </w:tr>
      <w:tr w14:paraId="1B88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14:paraId="4641FE9E">
            <w:pPr>
              <w:spacing w:line="560" w:lineRule="exact"/>
              <w:jc w:val="center"/>
              <w:rPr>
                <w:color w:val="auto"/>
                <w:sz w:val="28"/>
              </w:rPr>
            </w:pPr>
            <w:r>
              <w:rPr>
                <w:color w:val="auto"/>
              </w:rPr>
              <w:t>3</w:t>
            </w:r>
          </w:p>
        </w:tc>
        <w:tc>
          <w:tcPr>
            <w:tcW w:w="2336" w:type="dxa"/>
            <w:tcBorders>
              <w:bottom w:val="single" w:color="000000" w:sz="4" w:space="0"/>
              <w:right w:val="single" w:color="000000" w:sz="4" w:space="0"/>
            </w:tcBorders>
            <w:vAlign w:val="center"/>
          </w:tcPr>
          <w:p w14:paraId="780172EE">
            <w:pPr>
              <w:spacing w:line="560" w:lineRule="exact"/>
              <w:jc w:val="center"/>
              <w:rPr>
                <w:color w:val="auto"/>
                <w:sz w:val="28"/>
              </w:rPr>
            </w:pPr>
          </w:p>
        </w:tc>
        <w:tc>
          <w:tcPr>
            <w:tcW w:w="2835" w:type="dxa"/>
            <w:tcBorders>
              <w:bottom w:val="single" w:color="000000" w:sz="4" w:space="0"/>
              <w:right w:val="single" w:color="000000" w:sz="4" w:space="0"/>
            </w:tcBorders>
            <w:vAlign w:val="center"/>
          </w:tcPr>
          <w:p w14:paraId="3C4FA2A5">
            <w:pPr>
              <w:spacing w:line="560" w:lineRule="exact"/>
              <w:jc w:val="left"/>
              <w:rPr>
                <w:color w:val="auto"/>
                <w:sz w:val="28"/>
              </w:rPr>
            </w:pPr>
          </w:p>
        </w:tc>
        <w:tc>
          <w:tcPr>
            <w:tcW w:w="992" w:type="dxa"/>
            <w:tcBorders>
              <w:bottom w:val="single" w:color="000000" w:sz="4" w:space="0"/>
              <w:right w:val="single" w:color="000000" w:sz="4" w:space="0"/>
            </w:tcBorders>
            <w:vAlign w:val="center"/>
          </w:tcPr>
          <w:p w14:paraId="7F3D2701">
            <w:pPr>
              <w:spacing w:line="560" w:lineRule="exact"/>
              <w:jc w:val="center"/>
              <w:rPr>
                <w:color w:val="auto"/>
                <w:sz w:val="28"/>
              </w:rPr>
            </w:pPr>
          </w:p>
        </w:tc>
        <w:tc>
          <w:tcPr>
            <w:tcW w:w="895" w:type="dxa"/>
            <w:tcBorders>
              <w:bottom w:val="single" w:color="000000" w:sz="4" w:space="0"/>
              <w:right w:val="single" w:color="000000" w:sz="4" w:space="0"/>
            </w:tcBorders>
            <w:vAlign w:val="center"/>
          </w:tcPr>
          <w:p w14:paraId="37405CA7">
            <w:pPr>
              <w:spacing w:line="560" w:lineRule="exact"/>
              <w:jc w:val="center"/>
              <w:rPr>
                <w:color w:val="auto"/>
                <w:sz w:val="28"/>
              </w:rPr>
            </w:pPr>
          </w:p>
        </w:tc>
        <w:tc>
          <w:tcPr>
            <w:tcW w:w="720" w:type="dxa"/>
            <w:tcBorders>
              <w:bottom w:val="single" w:color="000000" w:sz="4" w:space="0"/>
              <w:right w:val="single" w:color="000000" w:sz="4" w:space="0"/>
            </w:tcBorders>
            <w:vAlign w:val="center"/>
          </w:tcPr>
          <w:p w14:paraId="70DDEDA9">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283536EA">
            <w:pPr>
              <w:spacing w:line="560" w:lineRule="exact"/>
              <w:jc w:val="center"/>
              <w:rPr>
                <w:color w:val="auto"/>
                <w:sz w:val="28"/>
              </w:rPr>
            </w:pPr>
          </w:p>
        </w:tc>
      </w:tr>
      <w:tr w14:paraId="7C6D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14:paraId="7F283973">
            <w:pPr>
              <w:spacing w:line="560" w:lineRule="exact"/>
              <w:jc w:val="center"/>
              <w:rPr>
                <w:color w:val="auto"/>
                <w:sz w:val="28"/>
              </w:rPr>
            </w:pPr>
            <w:r>
              <w:rPr>
                <w:color w:val="auto"/>
              </w:rPr>
              <w:t>4</w:t>
            </w:r>
          </w:p>
        </w:tc>
        <w:tc>
          <w:tcPr>
            <w:tcW w:w="2336" w:type="dxa"/>
            <w:tcBorders>
              <w:bottom w:val="single" w:color="000000" w:sz="4" w:space="0"/>
              <w:right w:val="single" w:color="000000" w:sz="4" w:space="0"/>
            </w:tcBorders>
            <w:vAlign w:val="center"/>
          </w:tcPr>
          <w:p w14:paraId="2067BEF8">
            <w:pPr>
              <w:spacing w:line="560" w:lineRule="exact"/>
              <w:jc w:val="center"/>
              <w:rPr>
                <w:color w:val="auto"/>
                <w:sz w:val="28"/>
              </w:rPr>
            </w:pPr>
          </w:p>
        </w:tc>
        <w:tc>
          <w:tcPr>
            <w:tcW w:w="2835" w:type="dxa"/>
            <w:tcBorders>
              <w:bottom w:val="single" w:color="000000" w:sz="4" w:space="0"/>
              <w:right w:val="single" w:color="000000" w:sz="4" w:space="0"/>
            </w:tcBorders>
            <w:vAlign w:val="center"/>
          </w:tcPr>
          <w:p w14:paraId="61FAF8AB">
            <w:pPr>
              <w:spacing w:line="560" w:lineRule="exact"/>
              <w:jc w:val="center"/>
              <w:rPr>
                <w:color w:val="auto"/>
                <w:sz w:val="28"/>
              </w:rPr>
            </w:pPr>
          </w:p>
        </w:tc>
        <w:tc>
          <w:tcPr>
            <w:tcW w:w="992" w:type="dxa"/>
            <w:tcBorders>
              <w:bottom w:val="single" w:color="000000" w:sz="4" w:space="0"/>
              <w:right w:val="single" w:color="000000" w:sz="4" w:space="0"/>
            </w:tcBorders>
            <w:vAlign w:val="center"/>
          </w:tcPr>
          <w:p w14:paraId="3A498B7A">
            <w:pPr>
              <w:spacing w:line="560" w:lineRule="exact"/>
              <w:jc w:val="center"/>
              <w:rPr>
                <w:color w:val="auto"/>
                <w:sz w:val="28"/>
              </w:rPr>
            </w:pPr>
          </w:p>
        </w:tc>
        <w:tc>
          <w:tcPr>
            <w:tcW w:w="895" w:type="dxa"/>
            <w:tcBorders>
              <w:bottom w:val="single" w:color="000000" w:sz="4" w:space="0"/>
              <w:right w:val="single" w:color="000000" w:sz="4" w:space="0"/>
            </w:tcBorders>
            <w:vAlign w:val="center"/>
          </w:tcPr>
          <w:p w14:paraId="34394768">
            <w:pPr>
              <w:spacing w:line="560" w:lineRule="exact"/>
              <w:jc w:val="center"/>
              <w:rPr>
                <w:color w:val="auto"/>
                <w:sz w:val="28"/>
              </w:rPr>
            </w:pPr>
          </w:p>
        </w:tc>
        <w:tc>
          <w:tcPr>
            <w:tcW w:w="720" w:type="dxa"/>
            <w:tcBorders>
              <w:bottom w:val="single" w:color="000000" w:sz="4" w:space="0"/>
              <w:right w:val="single" w:color="000000" w:sz="4" w:space="0"/>
            </w:tcBorders>
            <w:vAlign w:val="center"/>
          </w:tcPr>
          <w:p w14:paraId="75C7DEA0">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013C5384">
            <w:pPr>
              <w:spacing w:line="560" w:lineRule="exact"/>
              <w:jc w:val="center"/>
              <w:rPr>
                <w:color w:val="auto"/>
                <w:sz w:val="28"/>
              </w:rPr>
            </w:pPr>
          </w:p>
        </w:tc>
      </w:tr>
      <w:tr w14:paraId="16E5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65" w:type="dxa"/>
            <w:tcBorders>
              <w:left w:val="single" w:color="000000" w:sz="8" w:space="0"/>
              <w:bottom w:val="single" w:color="000000" w:sz="4" w:space="0"/>
              <w:right w:val="single" w:color="000000" w:sz="4" w:space="0"/>
            </w:tcBorders>
            <w:vAlign w:val="center"/>
          </w:tcPr>
          <w:p w14:paraId="6C4D8BA4">
            <w:pPr>
              <w:spacing w:line="560" w:lineRule="exact"/>
              <w:jc w:val="center"/>
              <w:rPr>
                <w:color w:val="auto"/>
                <w:sz w:val="28"/>
              </w:rPr>
            </w:pPr>
            <w:r>
              <w:rPr>
                <w:color w:val="auto"/>
              </w:rPr>
              <w:t>5</w:t>
            </w:r>
          </w:p>
        </w:tc>
        <w:tc>
          <w:tcPr>
            <w:tcW w:w="2336" w:type="dxa"/>
            <w:tcBorders>
              <w:bottom w:val="single" w:color="000000" w:sz="4" w:space="0"/>
              <w:right w:val="single" w:color="000000" w:sz="4" w:space="0"/>
            </w:tcBorders>
            <w:vAlign w:val="center"/>
          </w:tcPr>
          <w:p w14:paraId="74DD7279">
            <w:pPr>
              <w:spacing w:line="560" w:lineRule="exact"/>
              <w:jc w:val="center"/>
              <w:rPr>
                <w:color w:val="auto"/>
                <w:sz w:val="28"/>
              </w:rPr>
            </w:pPr>
          </w:p>
        </w:tc>
        <w:tc>
          <w:tcPr>
            <w:tcW w:w="2835" w:type="dxa"/>
            <w:tcBorders>
              <w:bottom w:val="single" w:color="000000" w:sz="4" w:space="0"/>
              <w:right w:val="single" w:color="000000" w:sz="4" w:space="0"/>
            </w:tcBorders>
            <w:vAlign w:val="center"/>
          </w:tcPr>
          <w:p w14:paraId="07C6C2E9">
            <w:pPr>
              <w:spacing w:line="560" w:lineRule="exact"/>
              <w:jc w:val="center"/>
              <w:rPr>
                <w:color w:val="auto"/>
                <w:sz w:val="28"/>
              </w:rPr>
            </w:pPr>
          </w:p>
        </w:tc>
        <w:tc>
          <w:tcPr>
            <w:tcW w:w="992" w:type="dxa"/>
            <w:tcBorders>
              <w:bottom w:val="single" w:color="000000" w:sz="4" w:space="0"/>
              <w:right w:val="single" w:color="000000" w:sz="4" w:space="0"/>
            </w:tcBorders>
            <w:vAlign w:val="center"/>
          </w:tcPr>
          <w:p w14:paraId="0D4589F9">
            <w:pPr>
              <w:spacing w:line="560" w:lineRule="exact"/>
              <w:jc w:val="center"/>
              <w:rPr>
                <w:color w:val="auto"/>
                <w:sz w:val="28"/>
              </w:rPr>
            </w:pPr>
          </w:p>
        </w:tc>
        <w:tc>
          <w:tcPr>
            <w:tcW w:w="895" w:type="dxa"/>
            <w:tcBorders>
              <w:bottom w:val="single" w:color="000000" w:sz="4" w:space="0"/>
              <w:right w:val="single" w:color="000000" w:sz="4" w:space="0"/>
            </w:tcBorders>
            <w:vAlign w:val="center"/>
          </w:tcPr>
          <w:p w14:paraId="34F4FC8F">
            <w:pPr>
              <w:spacing w:line="560" w:lineRule="exact"/>
              <w:jc w:val="center"/>
              <w:rPr>
                <w:color w:val="auto"/>
                <w:sz w:val="28"/>
              </w:rPr>
            </w:pPr>
          </w:p>
        </w:tc>
        <w:tc>
          <w:tcPr>
            <w:tcW w:w="720" w:type="dxa"/>
            <w:tcBorders>
              <w:bottom w:val="single" w:color="000000" w:sz="4" w:space="0"/>
              <w:right w:val="single" w:color="000000" w:sz="4" w:space="0"/>
            </w:tcBorders>
            <w:vAlign w:val="center"/>
          </w:tcPr>
          <w:p w14:paraId="28B2B8B9">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63338254">
            <w:pPr>
              <w:spacing w:line="560" w:lineRule="exact"/>
              <w:jc w:val="center"/>
              <w:rPr>
                <w:color w:val="auto"/>
                <w:sz w:val="28"/>
              </w:rPr>
            </w:pPr>
          </w:p>
        </w:tc>
      </w:tr>
      <w:tr w14:paraId="1292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14:paraId="0324C461">
            <w:pPr>
              <w:spacing w:line="560" w:lineRule="exact"/>
              <w:jc w:val="center"/>
              <w:rPr>
                <w:color w:val="auto"/>
                <w:sz w:val="28"/>
              </w:rPr>
            </w:pPr>
            <w:r>
              <w:rPr>
                <w:color w:val="auto"/>
              </w:rPr>
              <w:t>6</w:t>
            </w:r>
          </w:p>
        </w:tc>
        <w:tc>
          <w:tcPr>
            <w:tcW w:w="2336" w:type="dxa"/>
            <w:tcBorders>
              <w:bottom w:val="single" w:color="000000" w:sz="4" w:space="0"/>
              <w:right w:val="single" w:color="000000" w:sz="4" w:space="0"/>
            </w:tcBorders>
            <w:vAlign w:val="center"/>
          </w:tcPr>
          <w:p w14:paraId="6D1616ED">
            <w:pPr>
              <w:spacing w:line="560" w:lineRule="exact"/>
              <w:jc w:val="center"/>
              <w:rPr>
                <w:color w:val="auto"/>
                <w:sz w:val="28"/>
              </w:rPr>
            </w:pPr>
          </w:p>
        </w:tc>
        <w:tc>
          <w:tcPr>
            <w:tcW w:w="2835" w:type="dxa"/>
            <w:tcBorders>
              <w:bottom w:val="single" w:color="000000" w:sz="4" w:space="0"/>
              <w:right w:val="single" w:color="000000" w:sz="4" w:space="0"/>
            </w:tcBorders>
            <w:vAlign w:val="center"/>
          </w:tcPr>
          <w:p w14:paraId="767E4989">
            <w:pPr>
              <w:spacing w:line="560" w:lineRule="exact"/>
              <w:jc w:val="center"/>
              <w:rPr>
                <w:color w:val="auto"/>
                <w:sz w:val="28"/>
              </w:rPr>
            </w:pPr>
          </w:p>
        </w:tc>
        <w:tc>
          <w:tcPr>
            <w:tcW w:w="992" w:type="dxa"/>
            <w:tcBorders>
              <w:bottom w:val="single" w:color="000000" w:sz="4" w:space="0"/>
              <w:right w:val="single" w:color="000000" w:sz="4" w:space="0"/>
            </w:tcBorders>
            <w:vAlign w:val="center"/>
          </w:tcPr>
          <w:p w14:paraId="358F651A">
            <w:pPr>
              <w:spacing w:line="560" w:lineRule="exact"/>
              <w:jc w:val="center"/>
              <w:rPr>
                <w:color w:val="auto"/>
                <w:sz w:val="28"/>
              </w:rPr>
            </w:pPr>
          </w:p>
        </w:tc>
        <w:tc>
          <w:tcPr>
            <w:tcW w:w="895" w:type="dxa"/>
            <w:tcBorders>
              <w:bottom w:val="single" w:color="000000" w:sz="4" w:space="0"/>
              <w:right w:val="single" w:color="000000" w:sz="4" w:space="0"/>
            </w:tcBorders>
            <w:vAlign w:val="center"/>
          </w:tcPr>
          <w:p w14:paraId="3B3083AC">
            <w:pPr>
              <w:spacing w:line="560" w:lineRule="exact"/>
              <w:jc w:val="center"/>
              <w:rPr>
                <w:color w:val="auto"/>
                <w:sz w:val="28"/>
              </w:rPr>
            </w:pPr>
          </w:p>
        </w:tc>
        <w:tc>
          <w:tcPr>
            <w:tcW w:w="720" w:type="dxa"/>
            <w:tcBorders>
              <w:bottom w:val="single" w:color="000000" w:sz="4" w:space="0"/>
              <w:right w:val="single" w:color="000000" w:sz="4" w:space="0"/>
            </w:tcBorders>
            <w:vAlign w:val="center"/>
          </w:tcPr>
          <w:p w14:paraId="507F8C93">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3E5B4F16">
            <w:pPr>
              <w:spacing w:line="560" w:lineRule="exact"/>
              <w:jc w:val="center"/>
              <w:rPr>
                <w:color w:val="auto"/>
                <w:sz w:val="28"/>
              </w:rPr>
            </w:pPr>
          </w:p>
        </w:tc>
      </w:tr>
      <w:tr w14:paraId="5C32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14:paraId="576A0508">
            <w:pPr>
              <w:spacing w:line="560" w:lineRule="exact"/>
              <w:jc w:val="center"/>
              <w:rPr>
                <w:color w:val="auto"/>
                <w:sz w:val="28"/>
              </w:rPr>
            </w:pPr>
            <w:r>
              <w:rPr>
                <w:color w:val="auto"/>
              </w:rPr>
              <w:t>7</w:t>
            </w:r>
          </w:p>
        </w:tc>
        <w:tc>
          <w:tcPr>
            <w:tcW w:w="2336" w:type="dxa"/>
            <w:tcBorders>
              <w:bottom w:val="single" w:color="000000" w:sz="4" w:space="0"/>
              <w:right w:val="single" w:color="000000" w:sz="4" w:space="0"/>
            </w:tcBorders>
            <w:vAlign w:val="center"/>
          </w:tcPr>
          <w:p w14:paraId="5A0209B3">
            <w:pPr>
              <w:spacing w:line="560" w:lineRule="exact"/>
              <w:jc w:val="center"/>
              <w:rPr>
                <w:color w:val="auto"/>
                <w:sz w:val="28"/>
              </w:rPr>
            </w:pPr>
          </w:p>
        </w:tc>
        <w:tc>
          <w:tcPr>
            <w:tcW w:w="2835" w:type="dxa"/>
            <w:tcBorders>
              <w:bottom w:val="single" w:color="000000" w:sz="4" w:space="0"/>
              <w:right w:val="single" w:color="000000" w:sz="4" w:space="0"/>
            </w:tcBorders>
            <w:vAlign w:val="center"/>
          </w:tcPr>
          <w:p w14:paraId="152B3CAB">
            <w:pPr>
              <w:spacing w:line="560" w:lineRule="exact"/>
              <w:jc w:val="center"/>
              <w:rPr>
                <w:color w:val="auto"/>
                <w:sz w:val="28"/>
              </w:rPr>
            </w:pPr>
          </w:p>
        </w:tc>
        <w:tc>
          <w:tcPr>
            <w:tcW w:w="992" w:type="dxa"/>
            <w:tcBorders>
              <w:bottom w:val="single" w:color="000000" w:sz="4" w:space="0"/>
              <w:right w:val="single" w:color="000000" w:sz="4" w:space="0"/>
            </w:tcBorders>
            <w:vAlign w:val="center"/>
          </w:tcPr>
          <w:p w14:paraId="3D5E5DF4">
            <w:pPr>
              <w:spacing w:line="560" w:lineRule="exact"/>
              <w:jc w:val="center"/>
              <w:rPr>
                <w:color w:val="auto"/>
                <w:sz w:val="28"/>
              </w:rPr>
            </w:pPr>
          </w:p>
        </w:tc>
        <w:tc>
          <w:tcPr>
            <w:tcW w:w="895" w:type="dxa"/>
            <w:tcBorders>
              <w:bottom w:val="single" w:color="000000" w:sz="4" w:space="0"/>
              <w:right w:val="single" w:color="000000" w:sz="4" w:space="0"/>
            </w:tcBorders>
            <w:vAlign w:val="center"/>
          </w:tcPr>
          <w:p w14:paraId="7385C32B">
            <w:pPr>
              <w:spacing w:line="560" w:lineRule="exact"/>
              <w:jc w:val="center"/>
              <w:rPr>
                <w:color w:val="auto"/>
                <w:sz w:val="28"/>
              </w:rPr>
            </w:pPr>
          </w:p>
        </w:tc>
        <w:tc>
          <w:tcPr>
            <w:tcW w:w="720" w:type="dxa"/>
            <w:tcBorders>
              <w:bottom w:val="single" w:color="000000" w:sz="4" w:space="0"/>
              <w:right w:val="single" w:color="000000" w:sz="4" w:space="0"/>
            </w:tcBorders>
            <w:vAlign w:val="center"/>
          </w:tcPr>
          <w:p w14:paraId="06547E8B">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5A6CBB04">
            <w:pPr>
              <w:spacing w:line="560" w:lineRule="exact"/>
              <w:jc w:val="center"/>
              <w:rPr>
                <w:color w:val="auto"/>
                <w:sz w:val="28"/>
              </w:rPr>
            </w:pPr>
          </w:p>
        </w:tc>
      </w:tr>
      <w:tr w14:paraId="209E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14:paraId="67DD3CA5">
            <w:pPr>
              <w:spacing w:line="560" w:lineRule="exact"/>
              <w:jc w:val="center"/>
              <w:rPr>
                <w:color w:val="auto"/>
                <w:sz w:val="28"/>
              </w:rPr>
            </w:pPr>
            <w:r>
              <w:rPr>
                <w:color w:val="auto"/>
              </w:rPr>
              <w:t>8</w:t>
            </w:r>
          </w:p>
        </w:tc>
        <w:tc>
          <w:tcPr>
            <w:tcW w:w="2336" w:type="dxa"/>
            <w:tcBorders>
              <w:bottom w:val="single" w:color="000000" w:sz="4" w:space="0"/>
              <w:right w:val="single" w:color="000000" w:sz="4" w:space="0"/>
            </w:tcBorders>
            <w:vAlign w:val="center"/>
          </w:tcPr>
          <w:p w14:paraId="417ECB2A">
            <w:pPr>
              <w:spacing w:line="560" w:lineRule="exact"/>
              <w:jc w:val="center"/>
              <w:rPr>
                <w:color w:val="auto"/>
                <w:sz w:val="28"/>
              </w:rPr>
            </w:pPr>
          </w:p>
        </w:tc>
        <w:tc>
          <w:tcPr>
            <w:tcW w:w="2835" w:type="dxa"/>
            <w:tcBorders>
              <w:bottom w:val="single" w:color="000000" w:sz="4" w:space="0"/>
              <w:right w:val="single" w:color="000000" w:sz="4" w:space="0"/>
            </w:tcBorders>
            <w:vAlign w:val="center"/>
          </w:tcPr>
          <w:p w14:paraId="75F9331C">
            <w:pPr>
              <w:spacing w:line="560" w:lineRule="exact"/>
              <w:jc w:val="center"/>
              <w:rPr>
                <w:color w:val="auto"/>
                <w:sz w:val="28"/>
              </w:rPr>
            </w:pPr>
          </w:p>
        </w:tc>
        <w:tc>
          <w:tcPr>
            <w:tcW w:w="992" w:type="dxa"/>
            <w:tcBorders>
              <w:bottom w:val="single" w:color="000000" w:sz="4" w:space="0"/>
              <w:right w:val="single" w:color="000000" w:sz="4" w:space="0"/>
            </w:tcBorders>
            <w:vAlign w:val="center"/>
          </w:tcPr>
          <w:p w14:paraId="7F7962DA">
            <w:pPr>
              <w:spacing w:line="560" w:lineRule="exact"/>
              <w:jc w:val="center"/>
              <w:rPr>
                <w:color w:val="auto"/>
                <w:sz w:val="28"/>
              </w:rPr>
            </w:pPr>
          </w:p>
        </w:tc>
        <w:tc>
          <w:tcPr>
            <w:tcW w:w="895" w:type="dxa"/>
            <w:tcBorders>
              <w:bottom w:val="single" w:color="000000" w:sz="4" w:space="0"/>
              <w:right w:val="single" w:color="000000" w:sz="4" w:space="0"/>
            </w:tcBorders>
            <w:vAlign w:val="center"/>
          </w:tcPr>
          <w:p w14:paraId="4E64613E">
            <w:pPr>
              <w:spacing w:line="560" w:lineRule="exact"/>
              <w:jc w:val="center"/>
              <w:rPr>
                <w:color w:val="auto"/>
                <w:sz w:val="28"/>
              </w:rPr>
            </w:pPr>
          </w:p>
        </w:tc>
        <w:tc>
          <w:tcPr>
            <w:tcW w:w="720" w:type="dxa"/>
            <w:tcBorders>
              <w:bottom w:val="single" w:color="000000" w:sz="4" w:space="0"/>
              <w:right w:val="single" w:color="000000" w:sz="4" w:space="0"/>
            </w:tcBorders>
            <w:vAlign w:val="center"/>
          </w:tcPr>
          <w:p w14:paraId="1F17EC64">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28811C30">
            <w:pPr>
              <w:spacing w:line="560" w:lineRule="exact"/>
              <w:jc w:val="center"/>
              <w:rPr>
                <w:color w:val="auto"/>
                <w:sz w:val="28"/>
              </w:rPr>
            </w:pPr>
          </w:p>
        </w:tc>
      </w:tr>
      <w:tr w14:paraId="2B36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65" w:type="dxa"/>
            <w:tcBorders>
              <w:left w:val="single" w:color="000000" w:sz="8" w:space="0"/>
              <w:bottom w:val="single" w:color="000000" w:sz="4" w:space="0"/>
              <w:right w:val="single" w:color="000000" w:sz="4" w:space="0"/>
            </w:tcBorders>
            <w:vAlign w:val="center"/>
          </w:tcPr>
          <w:p w14:paraId="3396457D">
            <w:pPr>
              <w:spacing w:line="560" w:lineRule="exact"/>
              <w:jc w:val="center"/>
              <w:rPr>
                <w:color w:val="auto"/>
                <w:sz w:val="28"/>
              </w:rPr>
            </w:pPr>
            <w:r>
              <w:rPr>
                <w:color w:val="auto"/>
              </w:rPr>
              <w:t>9</w:t>
            </w:r>
          </w:p>
        </w:tc>
        <w:tc>
          <w:tcPr>
            <w:tcW w:w="2336" w:type="dxa"/>
            <w:tcBorders>
              <w:bottom w:val="single" w:color="000000" w:sz="4" w:space="0"/>
              <w:right w:val="single" w:color="000000" w:sz="4" w:space="0"/>
            </w:tcBorders>
            <w:vAlign w:val="center"/>
          </w:tcPr>
          <w:p w14:paraId="79988D67">
            <w:pPr>
              <w:spacing w:line="560" w:lineRule="exact"/>
              <w:jc w:val="center"/>
              <w:rPr>
                <w:color w:val="auto"/>
                <w:sz w:val="28"/>
              </w:rPr>
            </w:pPr>
          </w:p>
        </w:tc>
        <w:tc>
          <w:tcPr>
            <w:tcW w:w="2835" w:type="dxa"/>
            <w:tcBorders>
              <w:bottom w:val="single" w:color="000000" w:sz="4" w:space="0"/>
              <w:right w:val="single" w:color="000000" w:sz="4" w:space="0"/>
            </w:tcBorders>
            <w:vAlign w:val="center"/>
          </w:tcPr>
          <w:p w14:paraId="7054B98B">
            <w:pPr>
              <w:spacing w:line="560" w:lineRule="exact"/>
              <w:jc w:val="center"/>
              <w:rPr>
                <w:color w:val="auto"/>
                <w:sz w:val="28"/>
              </w:rPr>
            </w:pPr>
          </w:p>
        </w:tc>
        <w:tc>
          <w:tcPr>
            <w:tcW w:w="992" w:type="dxa"/>
            <w:tcBorders>
              <w:bottom w:val="single" w:color="000000" w:sz="4" w:space="0"/>
              <w:right w:val="single" w:color="000000" w:sz="4" w:space="0"/>
            </w:tcBorders>
            <w:vAlign w:val="center"/>
          </w:tcPr>
          <w:p w14:paraId="44A093BA">
            <w:pPr>
              <w:spacing w:line="560" w:lineRule="exact"/>
              <w:jc w:val="center"/>
              <w:rPr>
                <w:color w:val="auto"/>
                <w:sz w:val="28"/>
              </w:rPr>
            </w:pPr>
          </w:p>
        </w:tc>
        <w:tc>
          <w:tcPr>
            <w:tcW w:w="895" w:type="dxa"/>
            <w:tcBorders>
              <w:bottom w:val="single" w:color="000000" w:sz="4" w:space="0"/>
              <w:right w:val="single" w:color="000000" w:sz="4" w:space="0"/>
            </w:tcBorders>
            <w:vAlign w:val="center"/>
          </w:tcPr>
          <w:p w14:paraId="4E433465">
            <w:pPr>
              <w:spacing w:line="560" w:lineRule="exact"/>
              <w:jc w:val="center"/>
              <w:rPr>
                <w:color w:val="auto"/>
                <w:sz w:val="28"/>
              </w:rPr>
            </w:pPr>
          </w:p>
        </w:tc>
        <w:tc>
          <w:tcPr>
            <w:tcW w:w="720" w:type="dxa"/>
            <w:tcBorders>
              <w:bottom w:val="single" w:color="000000" w:sz="4" w:space="0"/>
              <w:right w:val="single" w:color="000000" w:sz="4" w:space="0"/>
            </w:tcBorders>
            <w:vAlign w:val="center"/>
          </w:tcPr>
          <w:p w14:paraId="493E1CE5">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60BA0423">
            <w:pPr>
              <w:spacing w:line="560" w:lineRule="exact"/>
              <w:jc w:val="center"/>
              <w:rPr>
                <w:color w:val="auto"/>
                <w:sz w:val="28"/>
              </w:rPr>
            </w:pPr>
          </w:p>
        </w:tc>
      </w:tr>
      <w:tr w14:paraId="07AD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65" w:type="dxa"/>
            <w:tcBorders>
              <w:left w:val="single" w:color="000000" w:sz="8" w:space="0"/>
              <w:bottom w:val="single" w:color="000000" w:sz="4" w:space="0"/>
              <w:right w:val="single" w:color="000000" w:sz="4" w:space="0"/>
            </w:tcBorders>
            <w:vAlign w:val="center"/>
          </w:tcPr>
          <w:p w14:paraId="2F31B03A">
            <w:pPr>
              <w:spacing w:line="560" w:lineRule="exact"/>
              <w:jc w:val="center"/>
              <w:rPr>
                <w:color w:val="auto"/>
                <w:sz w:val="28"/>
              </w:rPr>
            </w:pPr>
            <w:r>
              <w:rPr>
                <w:color w:val="auto"/>
              </w:rPr>
              <w:t>......</w:t>
            </w:r>
          </w:p>
        </w:tc>
        <w:tc>
          <w:tcPr>
            <w:tcW w:w="2336" w:type="dxa"/>
            <w:tcBorders>
              <w:bottom w:val="single" w:color="000000" w:sz="4" w:space="0"/>
              <w:right w:val="single" w:color="000000" w:sz="4" w:space="0"/>
            </w:tcBorders>
            <w:vAlign w:val="center"/>
          </w:tcPr>
          <w:p w14:paraId="24EB3D1D">
            <w:pPr>
              <w:spacing w:line="560" w:lineRule="exact"/>
              <w:jc w:val="center"/>
              <w:rPr>
                <w:color w:val="auto"/>
                <w:sz w:val="28"/>
              </w:rPr>
            </w:pPr>
          </w:p>
        </w:tc>
        <w:tc>
          <w:tcPr>
            <w:tcW w:w="2835" w:type="dxa"/>
            <w:tcBorders>
              <w:bottom w:val="single" w:color="000000" w:sz="4" w:space="0"/>
              <w:right w:val="single" w:color="000000" w:sz="4" w:space="0"/>
            </w:tcBorders>
            <w:vAlign w:val="center"/>
          </w:tcPr>
          <w:p w14:paraId="146DB64B">
            <w:pPr>
              <w:spacing w:line="560" w:lineRule="exact"/>
              <w:jc w:val="center"/>
              <w:rPr>
                <w:color w:val="auto"/>
                <w:sz w:val="28"/>
              </w:rPr>
            </w:pPr>
          </w:p>
        </w:tc>
        <w:tc>
          <w:tcPr>
            <w:tcW w:w="992" w:type="dxa"/>
            <w:tcBorders>
              <w:bottom w:val="single" w:color="000000" w:sz="4" w:space="0"/>
              <w:right w:val="single" w:color="000000" w:sz="4" w:space="0"/>
            </w:tcBorders>
            <w:vAlign w:val="center"/>
          </w:tcPr>
          <w:p w14:paraId="3FC72835">
            <w:pPr>
              <w:spacing w:line="560" w:lineRule="exact"/>
              <w:jc w:val="center"/>
              <w:rPr>
                <w:color w:val="auto"/>
                <w:sz w:val="28"/>
              </w:rPr>
            </w:pPr>
          </w:p>
        </w:tc>
        <w:tc>
          <w:tcPr>
            <w:tcW w:w="895" w:type="dxa"/>
            <w:tcBorders>
              <w:bottom w:val="single" w:color="000000" w:sz="4" w:space="0"/>
              <w:right w:val="single" w:color="000000" w:sz="4" w:space="0"/>
            </w:tcBorders>
            <w:vAlign w:val="center"/>
          </w:tcPr>
          <w:p w14:paraId="259528E0">
            <w:pPr>
              <w:spacing w:line="560" w:lineRule="exact"/>
              <w:jc w:val="center"/>
              <w:rPr>
                <w:color w:val="auto"/>
                <w:sz w:val="28"/>
              </w:rPr>
            </w:pPr>
          </w:p>
        </w:tc>
        <w:tc>
          <w:tcPr>
            <w:tcW w:w="720" w:type="dxa"/>
            <w:tcBorders>
              <w:bottom w:val="single" w:color="000000" w:sz="4" w:space="0"/>
              <w:right w:val="single" w:color="000000" w:sz="4" w:space="0"/>
            </w:tcBorders>
            <w:vAlign w:val="center"/>
          </w:tcPr>
          <w:p w14:paraId="09462AFF">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78CA98F3">
            <w:pPr>
              <w:spacing w:line="560" w:lineRule="exact"/>
              <w:jc w:val="center"/>
              <w:rPr>
                <w:color w:val="auto"/>
                <w:sz w:val="28"/>
              </w:rPr>
            </w:pPr>
          </w:p>
        </w:tc>
      </w:tr>
      <w:tr w14:paraId="2948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9243" w:type="dxa"/>
            <w:gridSpan w:val="7"/>
            <w:tcBorders>
              <w:left w:val="single" w:color="000000" w:sz="8" w:space="0"/>
              <w:bottom w:val="single" w:color="000000" w:sz="8" w:space="0"/>
              <w:right w:val="single" w:color="000000" w:sz="8" w:space="0"/>
            </w:tcBorders>
            <w:vAlign w:val="center"/>
          </w:tcPr>
          <w:p w14:paraId="2FA4A97D">
            <w:pPr>
              <w:spacing w:line="560" w:lineRule="exact"/>
              <w:jc w:val="left"/>
              <w:rPr>
                <w:color w:val="auto"/>
              </w:rPr>
            </w:pPr>
            <w:r>
              <w:rPr>
                <w:rFonts w:hint="eastAsia"/>
                <w:color w:val="auto"/>
              </w:rPr>
              <w:t>投标报价：佰</w:t>
            </w:r>
            <w:r>
              <w:rPr>
                <w:color w:val="auto"/>
              </w:rPr>
              <w:t xml:space="preserve">   </w:t>
            </w:r>
            <w:r>
              <w:rPr>
                <w:rFonts w:hint="eastAsia"/>
                <w:color w:val="auto"/>
              </w:rPr>
              <w:t>拾</w:t>
            </w:r>
            <w:r>
              <w:rPr>
                <w:color w:val="auto"/>
              </w:rPr>
              <w:t xml:space="preserve">   </w:t>
            </w:r>
            <w:r>
              <w:rPr>
                <w:rFonts w:hint="eastAsia"/>
                <w:color w:val="auto"/>
              </w:rPr>
              <w:t>万</w:t>
            </w:r>
            <w:r>
              <w:rPr>
                <w:color w:val="auto"/>
              </w:rPr>
              <w:t xml:space="preserve">   </w:t>
            </w:r>
            <w:r>
              <w:rPr>
                <w:rFonts w:hint="eastAsia"/>
                <w:color w:val="auto"/>
              </w:rPr>
              <w:t>仟</w:t>
            </w:r>
            <w:r>
              <w:rPr>
                <w:color w:val="auto"/>
              </w:rPr>
              <w:t xml:space="preserve">   </w:t>
            </w:r>
            <w:r>
              <w:rPr>
                <w:rFonts w:hint="eastAsia"/>
                <w:color w:val="auto"/>
              </w:rPr>
              <w:t>佰</w:t>
            </w:r>
            <w:r>
              <w:rPr>
                <w:color w:val="auto"/>
              </w:rPr>
              <w:t xml:space="preserve">   </w:t>
            </w:r>
            <w:r>
              <w:rPr>
                <w:rFonts w:hint="eastAsia"/>
                <w:color w:val="auto"/>
              </w:rPr>
              <w:t>拾</w:t>
            </w:r>
            <w:r>
              <w:rPr>
                <w:color w:val="auto"/>
              </w:rPr>
              <w:t xml:space="preserve">     </w:t>
            </w:r>
            <w:r>
              <w:rPr>
                <w:rFonts w:hint="eastAsia"/>
                <w:color w:val="auto"/>
              </w:rPr>
              <w:t>元整</w:t>
            </w:r>
          </w:p>
          <w:p w14:paraId="78237ACB">
            <w:pPr>
              <w:spacing w:line="560" w:lineRule="exact"/>
              <w:jc w:val="center"/>
              <w:rPr>
                <w:color w:val="auto"/>
                <w:sz w:val="28"/>
              </w:rPr>
            </w:pPr>
            <w:r>
              <w:rPr>
                <w:rFonts w:hint="eastAsia"/>
                <w:color w:val="auto"/>
              </w:rPr>
              <w:t>（小写：¥　　　元）</w:t>
            </w:r>
          </w:p>
        </w:tc>
      </w:tr>
    </w:tbl>
    <w:p w14:paraId="4B1D9F3E">
      <w:pPr>
        <w:widowControl w:val="0"/>
        <w:tabs>
          <w:tab w:val="left" w:pos="9365"/>
        </w:tabs>
        <w:snapToGrid w:val="0"/>
        <w:spacing w:after="56" w:line="360" w:lineRule="exact"/>
        <w:ind w:right="85" w:firstLine="601"/>
        <w:textAlignment w:val="top"/>
        <w:rPr>
          <w:color w:val="auto"/>
        </w:rPr>
      </w:pPr>
    </w:p>
    <w:p w14:paraId="1458BE50">
      <w:pPr>
        <w:widowControl w:val="0"/>
        <w:tabs>
          <w:tab w:val="left" w:pos="9365"/>
        </w:tabs>
        <w:snapToGrid w:val="0"/>
        <w:spacing w:after="56" w:line="360" w:lineRule="exact"/>
        <w:ind w:right="85" w:firstLine="601"/>
        <w:textAlignment w:val="top"/>
        <w:rPr>
          <w:color w:val="auto"/>
        </w:rPr>
      </w:pPr>
    </w:p>
    <w:p w14:paraId="56AE4972">
      <w:pPr>
        <w:widowControl w:val="0"/>
        <w:tabs>
          <w:tab w:val="left" w:pos="9365"/>
        </w:tabs>
        <w:snapToGrid w:val="0"/>
        <w:spacing w:after="56" w:line="360" w:lineRule="exact"/>
        <w:ind w:right="85" w:firstLine="601"/>
        <w:textAlignment w:val="top"/>
        <w:rPr>
          <w:b/>
          <w:color w:val="auto"/>
        </w:rPr>
      </w:pPr>
    </w:p>
    <w:p w14:paraId="3ECFE216">
      <w:pPr>
        <w:widowControl w:val="0"/>
        <w:tabs>
          <w:tab w:val="left" w:pos="9365"/>
        </w:tabs>
        <w:snapToGrid w:val="0"/>
        <w:spacing w:after="56" w:line="240" w:lineRule="auto"/>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14:paraId="1FE2AF7D">
      <w:pPr>
        <w:widowControl w:val="0"/>
        <w:tabs>
          <w:tab w:val="left" w:pos="9365"/>
        </w:tabs>
        <w:snapToGrid w:val="0"/>
        <w:spacing w:after="56" w:line="240" w:lineRule="auto"/>
        <w:ind w:right="85"/>
        <w:jc w:val="left"/>
        <w:textAlignment w:val="top"/>
        <w:rPr>
          <w:rFonts w:ascii="宋体" w:cs="楷体_GB2312"/>
          <w:color w:val="auto"/>
          <w:sz w:val="24"/>
          <w:lang w:val="zh-CN"/>
        </w:rPr>
      </w:pPr>
      <w:r>
        <w:rPr>
          <w:rFonts w:hint="eastAsia"/>
          <w:color w:val="auto"/>
          <w:sz w:val="24"/>
          <w:szCs w:val="24"/>
        </w:rPr>
        <w:t>法定代表人（电子签名或签章）：</w:t>
      </w:r>
      <w:r>
        <w:rPr>
          <w:rFonts w:ascii="宋体" w:hAnsi="宋体" w:cs="楷体_GB2312"/>
          <w:color w:val="auto"/>
          <w:sz w:val="24"/>
          <w:lang w:val="zh-CN"/>
        </w:rPr>
        <w:t xml:space="preserve">  </w:t>
      </w:r>
    </w:p>
    <w:p w14:paraId="3DFD342B">
      <w:pPr>
        <w:widowControl w:val="0"/>
        <w:tabs>
          <w:tab w:val="left" w:pos="9365"/>
        </w:tabs>
        <w:snapToGrid w:val="0"/>
        <w:spacing w:after="56" w:line="240" w:lineRule="auto"/>
        <w:ind w:right="85"/>
        <w:textAlignment w:val="top"/>
        <w:rPr>
          <w:b/>
          <w:color w:val="auto"/>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09168677">
      <w:pPr>
        <w:tabs>
          <w:tab w:val="left" w:pos="540"/>
        </w:tabs>
        <w:spacing w:line="440" w:lineRule="exact"/>
        <w:jc w:val="center"/>
        <w:rPr>
          <w:rFonts w:ascii="宋体"/>
          <w:color w:val="auto"/>
          <w:sz w:val="24"/>
        </w:rPr>
      </w:pPr>
      <w:r>
        <w:rPr>
          <w:color w:val="auto"/>
          <w:sz w:val="28"/>
        </w:rPr>
        <w:br w:type="page"/>
      </w:r>
    </w:p>
    <w:p w14:paraId="205C6206">
      <w:pPr>
        <w:widowControl w:val="0"/>
        <w:snapToGrid w:val="0"/>
        <w:spacing w:line="560" w:lineRule="exact"/>
        <w:jc w:val="center"/>
        <w:rPr>
          <w:rFonts w:eastAsia="方正黑体简体" w:cs="方正黑体简体"/>
          <w:b/>
          <w:bCs/>
          <w:color w:val="auto"/>
          <w:sz w:val="30"/>
          <w:szCs w:val="30"/>
        </w:rPr>
      </w:pPr>
      <w:r>
        <w:rPr>
          <w:rFonts w:hint="eastAsia" w:eastAsia="方正黑体简体" w:cs="方正黑体简体"/>
          <w:b/>
          <w:bCs/>
          <w:color w:val="auto"/>
          <w:sz w:val="30"/>
          <w:szCs w:val="30"/>
        </w:rPr>
        <w:t>四、服务方案及服务质量承诺</w:t>
      </w:r>
    </w:p>
    <w:p w14:paraId="669F020F">
      <w:pPr>
        <w:tabs>
          <w:tab w:val="left" w:pos="540"/>
        </w:tabs>
        <w:spacing w:line="440" w:lineRule="exact"/>
        <w:jc w:val="center"/>
        <w:rPr>
          <w:rFonts w:eastAsia="方正黑体简体" w:cs="方正黑体简体"/>
          <w:b/>
          <w:bCs/>
          <w:color w:val="auto"/>
          <w:sz w:val="30"/>
          <w:szCs w:val="30"/>
        </w:rPr>
      </w:pPr>
    </w:p>
    <w:p w14:paraId="69C70DEA">
      <w:pPr>
        <w:pStyle w:val="22"/>
        <w:adjustRightInd w:val="0"/>
        <w:snapToGrid w:val="0"/>
        <w:spacing w:before="0" w:beforeAutospacing="0" w:after="0" w:afterAutospacing="0"/>
        <w:rPr>
          <w:color w:val="auto"/>
          <w:u w:val="single"/>
        </w:rPr>
      </w:pPr>
      <w:r>
        <w:rPr>
          <w:rFonts w:hint="eastAsia"/>
          <w:color w:val="auto"/>
        </w:rPr>
        <w:t>项目名称：</w:t>
      </w:r>
      <w:r>
        <w:rPr>
          <w:color w:val="auto"/>
          <w:u w:val="single"/>
        </w:rPr>
        <w:t xml:space="preserve">              </w:t>
      </w:r>
    </w:p>
    <w:p w14:paraId="433F4DEA">
      <w:pPr>
        <w:pStyle w:val="22"/>
        <w:adjustRightInd w:val="0"/>
        <w:snapToGrid w:val="0"/>
        <w:spacing w:before="0" w:beforeAutospacing="0" w:after="0" w:afterAutospacing="0"/>
        <w:rPr>
          <w:color w:val="auto"/>
        </w:rPr>
      </w:pPr>
      <w:r>
        <w:rPr>
          <w:rFonts w:hint="eastAsia"/>
          <w:color w:val="auto"/>
        </w:rPr>
        <w:t>项目编号：</w:t>
      </w:r>
      <w:r>
        <w:rPr>
          <w:color w:val="auto"/>
          <w:u w:val="single"/>
        </w:rPr>
        <w:t xml:space="preserve">              </w:t>
      </w:r>
    </w:p>
    <w:tbl>
      <w:tblPr>
        <w:tblStyle w:val="24"/>
        <w:tblW w:w="947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76"/>
      </w:tblGrid>
      <w:tr w14:paraId="6A7C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8" w:hRule="atLeast"/>
        </w:trPr>
        <w:tc>
          <w:tcPr>
            <w:tcW w:w="9476" w:type="dxa"/>
            <w:tcBorders>
              <w:top w:val="single" w:color="000000" w:sz="8" w:space="0"/>
              <w:right w:val="single" w:color="000000" w:sz="4" w:space="0"/>
            </w:tcBorders>
            <w:vAlign w:val="center"/>
          </w:tcPr>
          <w:p w14:paraId="2933C50F">
            <w:pPr>
              <w:spacing w:line="360" w:lineRule="exact"/>
              <w:jc w:val="center"/>
              <w:rPr>
                <w:color w:val="auto"/>
                <w:sz w:val="28"/>
                <w:szCs w:val="28"/>
              </w:rPr>
            </w:pPr>
          </w:p>
        </w:tc>
      </w:tr>
    </w:tbl>
    <w:p w14:paraId="540323AC">
      <w:pPr>
        <w:tabs>
          <w:tab w:val="left" w:pos="540"/>
        </w:tabs>
        <w:spacing w:line="440" w:lineRule="exact"/>
        <w:jc w:val="center"/>
        <w:rPr>
          <w:rFonts w:eastAsia="方正黑体简体"/>
          <w:b/>
          <w:color w:val="auto"/>
          <w:sz w:val="30"/>
          <w:szCs w:val="30"/>
        </w:rPr>
      </w:pPr>
    </w:p>
    <w:p w14:paraId="5B6BB439">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14:paraId="73536C91">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14:paraId="0EECD1C3">
      <w:pPr>
        <w:widowControl w:val="0"/>
        <w:tabs>
          <w:tab w:val="left" w:pos="9365"/>
        </w:tabs>
        <w:snapToGrid w:val="0"/>
        <w:spacing w:after="56" w:line="560" w:lineRule="exact"/>
        <w:ind w:right="56"/>
        <w:jc w:val="left"/>
        <w:textAlignment w:val="top"/>
        <w:rPr>
          <w:color w:val="auto"/>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27DB03E1">
      <w:pPr>
        <w:spacing w:line="240" w:lineRule="auto"/>
        <w:jc w:val="left"/>
        <w:textAlignment w:val="auto"/>
        <w:rPr>
          <w:rFonts w:eastAsia="方正黑体简体"/>
          <w:b/>
          <w:color w:val="auto"/>
          <w:sz w:val="30"/>
          <w:szCs w:val="30"/>
        </w:rPr>
      </w:pPr>
    </w:p>
    <w:p w14:paraId="78AF283C">
      <w:pPr>
        <w:tabs>
          <w:tab w:val="left" w:pos="540"/>
        </w:tabs>
        <w:spacing w:line="440" w:lineRule="exact"/>
        <w:jc w:val="center"/>
        <w:rPr>
          <w:rFonts w:eastAsia="方正黑体简体"/>
          <w:b/>
          <w:color w:val="auto"/>
          <w:sz w:val="30"/>
          <w:szCs w:val="30"/>
        </w:rPr>
      </w:pPr>
    </w:p>
    <w:p w14:paraId="19A8CCCE">
      <w:pPr>
        <w:spacing w:line="240" w:lineRule="auto"/>
        <w:jc w:val="left"/>
        <w:textAlignment w:val="auto"/>
        <w:rPr>
          <w:rFonts w:eastAsia="方正黑体简体"/>
          <w:b/>
          <w:color w:val="auto"/>
          <w:sz w:val="30"/>
          <w:szCs w:val="30"/>
        </w:rPr>
      </w:pPr>
      <w:r>
        <w:rPr>
          <w:rFonts w:eastAsia="方正黑体简体"/>
          <w:b/>
          <w:color w:val="auto"/>
          <w:sz w:val="30"/>
          <w:szCs w:val="30"/>
        </w:rPr>
        <w:br w:type="page"/>
      </w:r>
    </w:p>
    <w:p w14:paraId="2C0D77C1">
      <w:pPr>
        <w:widowControl w:val="0"/>
        <w:snapToGrid w:val="0"/>
        <w:spacing w:line="560" w:lineRule="exact"/>
        <w:jc w:val="center"/>
        <w:rPr>
          <w:rFonts w:ascii="黑体" w:hAnsi="黑体" w:eastAsia="黑体"/>
          <w:b/>
          <w:color w:val="auto"/>
          <w:sz w:val="30"/>
          <w:szCs w:val="30"/>
        </w:rPr>
      </w:pPr>
      <w:r>
        <w:rPr>
          <w:rFonts w:hint="eastAsia" w:ascii="黑体" w:hAnsi="黑体" w:eastAsia="黑体"/>
          <w:b/>
          <w:color w:val="auto"/>
          <w:sz w:val="30"/>
          <w:szCs w:val="30"/>
        </w:rPr>
        <w:t>五、服务拟投入设备清单及其技术参数</w:t>
      </w:r>
    </w:p>
    <w:p w14:paraId="440218C8">
      <w:pPr>
        <w:pStyle w:val="22"/>
        <w:adjustRightInd w:val="0"/>
        <w:snapToGrid w:val="0"/>
        <w:spacing w:before="0" w:beforeAutospacing="0" w:after="0" w:afterAutospacing="0"/>
        <w:rPr>
          <w:color w:val="auto"/>
        </w:rPr>
      </w:pPr>
    </w:p>
    <w:p w14:paraId="72496DD2">
      <w:pPr>
        <w:pStyle w:val="22"/>
        <w:adjustRightInd w:val="0"/>
        <w:snapToGrid w:val="0"/>
        <w:spacing w:before="0" w:beforeAutospacing="0" w:after="0" w:afterAutospacing="0"/>
        <w:rPr>
          <w:color w:val="auto"/>
          <w:u w:val="single"/>
        </w:rPr>
      </w:pPr>
      <w:r>
        <w:rPr>
          <w:rFonts w:hint="eastAsia"/>
          <w:color w:val="auto"/>
        </w:rPr>
        <w:t>项目名称：</w:t>
      </w:r>
      <w:r>
        <w:rPr>
          <w:color w:val="auto"/>
          <w:u w:val="single"/>
        </w:rPr>
        <w:t xml:space="preserve">           </w:t>
      </w:r>
    </w:p>
    <w:p w14:paraId="50DFD4A7">
      <w:pPr>
        <w:pStyle w:val="22"/>
        <w:adjustRightInd w:val="0"/>
        <w:snapToGrid w:val="0"/>
        <w:spacing w:before="0" w:beforeAutospacing="0" w:after="0" w:afterAutospacing="0"/>
        <w:rPr>
          <w:color w:val="auto"/>
        </w:rPr>
      </w:pPr>
      <w:r>
        <w:rPr>
          <w:rFonts w:hint="eastAsia"/>
          <w:color w:val="auto"/>
        </w:rPr>
        <w:t>项目编号：</w:t>
      </w:r>
      <w:r>
        <w:rPr>
          <w:color w:val="auto"/>
          <w:u w:val="single"/>
        </w:rPr>
        <w:t xml:space="preserve">           </w:t>
      </w:r>
    </w:p>
    <w:tbl>
      <w:tblPr>
        <w:tblStyle w:val="24"/>
        <w:tblW w:w="9371"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2759"/>
        <w:gridCol w:w="540"/>
        <w:gridCol w:w="540"/>
        <w:gridCol w:w="1755"/>
        <w:gridCol w:w="3297"/>
      </w:tblGrid>
      <w:tr w14:paraId="38F1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480" w:type="dxa"/>
            <w:tcBorders>
              <w:top w:val="single" w:color="000000" w:sz="8" w:space="0"/>
              <w:bottom w:val="single" w:color="000000" w:sz="4" w:space="0"/>
              <w:right w:val="single" w:color="000000" w:sz="4" w:space="0"/>
            </w:tcBorders>
            <w:vAlign w:val="center"/>
          </w:tcPr>
          <w:p w14:paraId="05BF8044">
            <w:pPr>
              <w:spacing w:line="360" w:lineRule="exact"/>
              <w:jc w:val="center"/>
              <w:rPr>
                <w:color w:val="auto"/>
                <w:sz w:val="28"/>
              </w:rPr>
            </w:pPr>
            <w:r>
              <w:rPr>
                <w:rFonts w:hint="eastAsia"/>
                <w:color w:val="auto"/>
              </w:rPr>
              <w:t>序号</w:t>
            </w:r>
          </w:p>
        </w:tc>
        <w:tc>
          <w:tcPr>
            <w:tcW w:w="2759" w:type="dxa"/>
            <w:tcBorders>
              <w:top w:val="single" w:color="000000" w:sz="8" w:space="0"/>
              <w:bottom w:val="single" w:color="000000" w:sz="4" w:space="0"/>
              <w:right w:val="single" w:color="000000" w:sz="4" w:space="0"/>
            </w:tcBorders>
            <w:vAlign w:val="center"/>
          </w:tcPr>
          <w:p w14:paraId="3D1048E8">
            <w:pPr>
              <w:widowControl w:val="0"/>
              <w:snapToGrid w:val="0"/>
              <w:spacing w:line="360" w:lineRule="exact"/>
              <w:jc w:val="center"/>
              <w:rPr>
                <w:color w:val="auto"/>
                <w:sz w:val="28"/>
              </w:rPr>
            </w:pPr>
            <w:r>
              <w:rPr>
                <w:rFonts w:hint="eastAsia"/>
                <w:color w:val="auto"/>
              </w:rPr>
              <w:t>设备名称</w:t>
            </w:r>
          </w:p>
        </w:tc>
        <w:tc>
          <w:tcPr>
            <w:tcW w:w="540" w:type="dxa"/>
            <w:tcBorders>
              <w:top w:val="single" w:color="000000" w:sz="8" w:space="0"/>
              <w:bottom w:val="single" w:color="000000" w:sz="4" w:space="0"/>
              <w:right w:val="single" w:color="000000" w:sz="4" w:space="0"/>
            </w:tcBorders>
            <w:vAlign w:val="center"/>
          </w:tcPr>
          <w:p w14:paraId="2D98BE5C">
            <w:pPr>
              <w:spacing w:line="360" w:lineRule="exact"/>
              <w:jc w:val="center"/>
              <w:rPr>
                <w:color w:val="auto"/>
                <w:sz w:val="28"/>
              </w:rPr>
            </w:pPr>
            <w:r>
              <w:rPr>
                <w:rFonts w:hint="eastAsia"/>
                <w:color w:val="auto"/>
              </w:rPr>
              <w:t>单位</w:t>
            </w:r>
          </w:p>
        </w:tc>
        <w:tc>
          <w:tcPr>
            <w:tcW w:w="540" w:type="dxa"/>
            <w:tcBorders>
              <w:top w:val="single" w:color="000000" w:sz="8" w:space="0"/>
              <w:bottom w:val="single" w:color="000000" w:sz="4" w:space="0"/>
              <w:right w:val="single" w:color="000000" w:sz="4" w:space="0"/>
            </w:tcBorders>
            <w:vAlign w:val="center"/>
          </w:tcPr>
          <w:p w14:paraId="0DA3077B">
            <w:pPr>
              <w:spacing w:line="360" w:lineRule="exact"/>
              <w:jc w:val="center"/>
              <w:rPr>
                <w:color w:val="auto"/>
                <w:sz w:val="28"/>
              </w:rPr>
            </w:pPr>
            <w:r>
              <w:rPr>
                <w:rFonts w:hint="eastAsia"/>
                <w:color w:val="auto"/>
              </w:rPr>
              <w:t>数量</w:t>
            </w:r>
          </w:p>
        </w:tc>
        <w:tc>
          <w:tcPr>
            <w:tcW w:w="1755" w:type="dxa"/>
            <w:tcBorders>
              <w:top w:val="single" w:color="000000" w:sz="8" w:space="0"/>
              <w:bottom w:val="single" w:color="000000" w:sz="4" w:space="0"/>
              <w:right w:val="single" w:color="000000" w:sz="4" w:space="0"/>
            </w:tcBorders>
            <w:vAlign w:val="center"/>
          </w:tcPr>
          <w:p w14:paraId="2374A1F9">
            <w:pPr>
              <w:spacing w:line="360" w:lineRule="exact"/>
              <w:jc w:val="center"/>
              <w:rPr>
                <w:color w:val="auto"/>
                <w:sz w:val="28"/>
              </w:rPr>
            </w:pPr>
            <w:r>
              <w:rPr>
                <w:rFonts w:hint="eastAsia"/>
                <w:color w:val="auto"/>
              </w:rPr>
              <w:t>品牌型号</w:t>
            </w:r>
          </w:p>
        </w:tc>
        <w:tc>
          <w:tcPr>
            <w:tcW w:w="3297" w:type="dxa"/>
            <w:tcBorders>
              <w:top w:val="single" w:color="000000" w:sz="8" w:space="0"/>
              <w:bottom w:val="single" w:color="000000" w:sz="4" w:space="0"/>
              <w:right w:val="single" w:color="000000" w:sz="4" w:space="0"/>
            </w:tcBorders>
            <w:vAlign w:val="center"/>
          </w:tcPr>
          <w:p w14:paraId="4ADE81BC">
            <w:pPr>
              <w:spacing w:line="360" w:lineRule="exact"/>
              <w:jc w:val="center"/>
              <w:rPr>
                <w:color w:val="auto"/>
                <w:sz w:val="28"/>
              </w:rPr>
            </w:pPr>
            <w:r>
              <w:rPr>
                <w:rFonts w:hint="eastAsia"/>
                <w:color w:val="auto"/>
              </w:rPr>
              <w:t>技术参数</w:t>
            </w:r>
          </w:p>
        </w:tc>
      </w:tr>
      <w:tr w14:paraId="0DDA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trPr>
        <w:tc>
          <w:tcPr>
            <w:tcW w:w="480" w:type="dxa"/>
            <w:tcBorders>
              <w:bottom w:val="single" w:color="000000" w:sz="4" w:space="0"/>
              <w:right w:val="single" w:color="000000" w:sz="4" w:space="0"/>
            </w:tcBorders>
            <w:vAlign w:val="center"/>
          </w:tcPr>
          <w:p w14:paraId="3D979DD9">
            <w:pPr>
              <w:spacing w:line="360" w:lineRule="exact"/>
              <w:jc w:val="center"/>
              <w:rPr>
                <w:color w:val="auto"/>
                <w:sz w:val="28"/>
              </w:rPr>
            </w:pPr>
            <w:r>
              <w:rPr>
                <w:color w:val="auto"/>
              </w:rPr>
              <w:t>1</w:t>
            </w:r>
          </w:p>
        </w:tc>
        <w:tc>
          <w:tcPr>
            <w:tcW w:w="2759" w:type="dxa"/>
            <w:tcBorders>
              <w:bottom w:val="single" w:color="000000" w:sz="4" w:space="0"/>
              <w:right w:val="single" w:color="000000" w:sz="4" w:space="0"/>
            </w:tcBorders>
            <w:vAlign w:val="center"/>
          </w:tcPr>
          <w:p w14:paraId="527B3310">
            <w:pPr>
              <w:spacing w:line="360" w:lineRule="exact"/>
              <w:jc w:val="center"/>
              <w:rPr>
                <w:color w:val="auto"/>
                <w:sz w:val="28"/>
              </w:rPr>
            </w:pPr>
          </w:p>
        </w:tc>
        <w:tc>
          <w:tcPr>
            <w:tcW w:w="540" w:type="dxa"/>
            <w:tcBorders>
              <w:bottom w:val="single" w:color="000000" w:sz="4" w:space="0"/>
              <w:right w:val="single" w:color="000000" w:sz="4" w:space="0"/>
            </w:tcBorders>
            <w:vAlign w:val="center"/>
          </w:tcPr>
          <w:p w14:paraId="62393C1F">
            <w:pPr>
              <w:spacing w:line="360" w:lineRule="exact"/>
              <w:jc w:val="center"/>
              <w:rPr>
                <w:color w:val="auto"/>
                <w:sz w:val="28"/>
              </w:rPr>
            </w:pPr>
          </w:p>
        </w:tc>
        <w:tc>
          <w:tcPr>
            <w:tcW w:w="540" w:type="dxa"/>
            <w:tcBorders>
              <w:bottom w:val="single" w:color="000000" w:sz="4" w:space="0"/>
              <w:right w:val="single" w:color="000000" w:sz="4" w:space="0"/>
            </w:tcBorders>
            <w:vAlign w:val="center"/>
          </w:tcPr>
          <w:p w14:paraId="501F11F1">
            <w:pPr>
              <w:spacing w:line="360" w:lineRule="exact"/>
              <w:jc w:val="center"/>
              <w:rPr>
                <w:color w:val="auto"/>
                <w:sz w:val="28"/>
              </w:rPr>
            </w:pPr>
          </w:p>
        </w:tc>
        <w:tc>
          <w:tcPr>
            <w:tcW w:w="1755" w:type="dxa"/>
            <w:tcBorders>
              <w:bottom w:val="single" w:color="000000" w:sz="4" w:space="0"/>
              <w:right w:val="single" w:color="000000" w:sz="4" w:space="0"/>
            </w:tcBorders>
            <w:vAlign w:val="center"/>
          </w:tcPr>
          <w:p w14:paraId="4A8A6451">
            <w:pPr>
              <w:spacing w:line="360" w:lineRule="exact"/>
              <w:jc w:val="center"/>
              <w:rPr>
                <w:color w:val="auto"/>
                <w:sz w:val="28"/>
              </w:rPr>
            </w:pPr>
          </w:p>
        </w:tc>
        <w:tc>
          <w:tcPr>
            <w:tcW w:w="3297" w:type="dxa"/>
            <w:tcBorders>
              <w:bottom w:val="single" w:color="000000" w:sz="4" w:space="0"/>
              <w:right w:val="single" w:color="000000" w:sz="4" w:space="0"/>
            </w:tcBorders>
            <w:vAlign w:val="center"/>
          </w:tcPr>
          <w:p w14:paraId="7339DBCC">
            <w:pPr>
              <w:spacing w:line="360" w:lineRule="exact"/>
              <w:jc w:val="center"/>
              <w:rPr>
                <w:color w:val="auto"/>
                <w:sz w:val="28"/>
              </w:rPr>
            </w:pPr>
          </w:p>
        </w:tc>
      </w:tr>
      <w:tr w14:paraId="63D6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9" w:hRule="atLeast"/>
        </w:trPr>
        <w:tc>
          <w:tcPr>
            <w:tcW w:w="480" w:type="dxa"/>
            <w:tcBorders>
              <w:left w:val="single" w:color="000000" w:sz="4" w:space="0"/>
              <w:bottom w:val="single" w:color="000000" w:sz="4" w:space="0"/>
              <w:right w:val="single" w:color="000000" w:sz="4" w:space="0"/>
            </w:tcBorders>
            <w:vAlign w:val="center"/>
          </w:tcPr>
          <w:p w14:paraId="43C1F345">
            <w:pPr>
              <w:spacing w:line="360" w:lineRule="exact"/>
              <w:jc w:val="center"/>
              <w:rPr>
                <w:color w:val="auto"/>
                <w:sz w:val="28"/>
              </w:rPr>
            </w:pPr>
            <w:r>
              <w:rPr>
                <w:color w:val="auto"/>
              </w:rPr>
              <w:t>2</w:t>
            </w:r>
          </w:p>
        </w:tc>
        <w:tc>
          <w:tcPr>
            <w:tcW w:w="2759" w:type="dxa"/>
            <w:tcBorders>
              <w:bottom w:val="single" w:color="000000" w:sz="4" w:space="0"/>
              <w:right w:val="single" w:color="000000" w:sz="4" w:space="0"/>
            </w:tcBorders>
            <w:vAlign w:val="center"/>
          </w:tcPr>
          <w:p w14:paraId="147CFF2A">
            <w:pPr>
              <w:spacing w:line="360" w:lineRule="exact"/>
              <w:jc w:val="center"/>
              <w:rPr>
                <w:color w:val="auto"/>
                <w:sz w:val="28"/>
              </w:rPr>
            </w:pPr>
          </w:p>
        </w:tc>
        <w:tc>
          <w:tcPr>
            <w:tcW w:w="540" w:type="dxa"/>
            <w:tcBorders>
              <w:bottom w:val="single" w:color="000000" w:sz="4" w:space="0"/>
              <w:right w:val="single" w:color="000000" w:sz="4" w:space="0"/>
            </w:tcBorders>
            <w:vAlign w:val="center"/>
          </w:tcPr>
          <w:p w14:paraId="4E6BB2BE">
            <w:pPr>
              <w:spacing w:line="360" w:lineRule="exact"/>
              <w:jc w:val="center"/>
              <w:rPr>
                <w:color w:val="auto"/>
                <w:sz w:val="28"/>
              </w:rPr>
            </w:pPr>
          </w:p>
        </w:tc>
        <w:tc>
          <w:tcPr>
            <w:tcW w:w="540" w:type="dxa"/>
            <w:tcBorders>
              <w:bottom w:val="single" w:color="000000" w:sz="4" w:space="0"/>
              <w:right w:val="single" w:color="000000" w:sz="4" w:space="0"/>
            </w:tcBorders>
            <w:vAlign w:val="center"/>
          </w:tcPr>
          <w:p w14:paraId="6476BB5A">
            <w:pPr>
              <w:spacing w:line="360" w:lineRule="exact"/>
              <w:jc w:val="center"/>
              <w:rPr>
                <w:color w:val="auto"/>
                <w:sz w:val="28"/>
              </w:rPr>
            </w:pPr>
          </w:p>
        </w:tc>
        <w:tc>
          <w:tcPr>
            <w:tcW w:w="1755" w:type="dxa"/>
            <w:tcBorders>
              <w:bottom w:val="single" w:color="000000" w:sz="4" w:space="0"/>
              <w:right w:val="single" w:color="000000" w:sz="4" w:space="0"/>
            </w:tcBorders>
            <w:vAlign w:val="center"/>
          </w:tcPr>
          <w:p w14:paraId="4B9450FE">
            <w:pPr>
              <w:spacing w:line="360" w:lineRule="exact"/>
              <w:jc w:val="center"/>
              <w:rPr>
                <w:color w:val="auto"/>
                <w:sz w:val="28"/>
              </w:rPr>
            </w:pPr>
          </w:p>
        </w:tc>
        <w:tc>
          <w:tcPr>
            <w:tcW w:w="3297" w:type="dxa"/>
            <w:tcBorders>
              <w:bottom w:val="single" w:color="000000" w:sz="4" w:space="0"/>
              <w:right w:val="single" w:color="000000" w:sz="4" w:space="0"/>
            </w:tcBorders>
            <w:vAlign w:val="center"/>
          </w:tcPr>
          <w:p w14:paraId="56B31C84">
            <w:pPr>
              <w:spacing w:line="360" w:lineRule="exact"/>
              <w:jc w:val="center"/>
              <w:rPr>
                <w:color w:val="auto"/>
                <w:sz w:val="28"/>
              </w:rPr>
            </w:pPr>
          </w:p>
        </w:tc>
      </w:tr>
      <w:tr w14:paraId="2D06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14:paraId="1DB78AA4">
            <w:pPr>
              <w:spacing w:line="360" w:lineRule="exact"/>
              <w:jc w:val="center"/>
              <w:rPr>
                <w:color w:val="auto"/>
                <w:sz w:val="28"/>
              </w:rPr>
            </w:pPr>
            <w:r>
              <w:rPr>
                <w:color w:val="auto"/>
              </w:rPr>
              <w:t>3</w:t>
            </w:r>
          </w:p>
        </w:tc>
        <w:tc>
          <w:tcPr>
            <w:tcW w:w="2759" w:type="dxa"/>
            <w:tcBorders>
              <w:right w:val="single" w:color="000000" w:sz="4" w:space="0"/>
            </w:tcBorders>
            <w:vAlign w:val="center"/>
          </w:tcPr>
          <w:p w14:paraId="3074E9ED">
            <w:pPr>
              <w:spacing w:line="360" w:lineRule="exact"/>
              <w:jc w:val="center"/>
              <w:rPr>
                <w:color w:val="auto"/>
                <w:sz w:val="28"/>
              </w:rPr>
            </w:pPr>
          </w:p>
        </w:tc>
        <w:tc>
          <w:tcPr>
            <w:tcW w:w="540" w:type="dxa"/>
            <w:tcBorders>
              <w:right w:val="single" w:color="000000" w:sz="4" w:space="0"/>
            </w:tcBorders>
            <w:vAlign w:val="center"/>
          </w:tcPr>
          <w:p w14:paraId="26784B94">
            <w:pPr>
              <w:spacing w:line="360" w:lineRule="exact"/>
              <w:jc w:val="center"/>
              <w:rPr>
                <w:color w:val="auto"/>
                <w:sz w:val="28"/>
              </w:rPr>
            </w:pPr>
          </w:p>
        </w:tc>
        <w:tc>
          <w:tcPr>
            <w:tcW w:w="540" w:type="dxa"/>
            <w:tcBorders>
              <w:right w:val="single" w:color="000000" w:sz="4" w:space="0"/>
            </w:tcBorders>
            <w:vAlign w:val="center"/>
          </w:tcPr>
          <w:p w14:paraId="115ECA5B">
            <w:pPr>
              <w:spacing w:line="360" w:lineRule="exact"/>
              <w:jc w:val="center"/>
              <w:rPr>
                <w:color w:val="auto"/>
                <w:sz w:val="28"/>
              </w:rPr>
            </w:pPr>
          </w:p>
        </w:tc>
        <w:tc>
          <w:tcPr>
            <w:tcW w:w="1755" w:type="dxa"/>
            <w:tcBorders>
              <w:right w:val="single" w:color="000000" w:sz="4" w:space="0"/>
            </w:tcBorders>
            <w:vAlign w:val="center"/>
          </w:tcPr>
          <w:p w14:paraId="1929B201">
            <w:pPr>
              <w:spacing w:line="360" w:lineRule="exact"/>
              <w:jc w:val="center"/>
              <w:rPr>
                <w:color w:val="auto"/>
                <w:sz w:val="28"/>
              </w:rPr>
            </w:pPr>
          </w:p>
        </w:tc>
        <w:tc>
          <w:tcPr>
            <w:tcW w:w="3297" w:type="dxa"/>
            <w:tcBorders>
              <w:right w:val="single" w:color="000000" w:sz="4" w:space="0"/>
            </w:tcBorders>
            <w:vAlign w:val="center"/>
          </w:tcPr>
          <w:p w14:paraId="48570E7C">
            <w:pPr>
              <w:spacing w:line="360" w:lineRule="exact"/>
              <w:jc w:val="center"/>
              <w:rPr>
                <w:color w:val="auto"/>
                <w:sz w:val="28"/>
              </w:rPr>
            </w:pPr>
          </w:p>
        </w:tc>
      </w:tr>
      <w:tr w14:paraId="2C06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14:paraId="05E7D29B">
            <w:pPr>
              <w:spacing w:line="360" w:lineRule="exact"/>
              <w:jc w:val="center"/>
              <w:rPr>
                <w:color w:val="auto"/>
              </w:rPr>
            </w:pPr>
            <w:r>
              <w:rPr>
                <w:rFonts w:hint="eastAsia"/>
                <w:color w:val="auto"/>
              </w:rPr>
              <w:t>……</w:t>
            </w:r>
          </w:p>
        </w:tc>
        <w:tc>
          <w:tcPr>
            <w:tcW w:w="2759" w:type="dxa"/>
            <w:tcBorders>
              <w:right w:val="single" w:color="000000" w:sz="4" w:space="0"/>
            </w:tcBorders>
            <w:vAlign w:val="center"/>
          </w:tcPr>
          <w:p w14:paraId="3C5C4F5F">
            <w:pPr>
              <w:spacing w:line="360" w:lineRule="exact"/>
              <w:jc w:val="center"/>
              <w:rPr>
                <w:color w:val="auto"/>
                <w:sz w:val="28"/>
              </w:rPr>
            </w:pPr>
          </w:p>
        </w:tc>
        <w:tc>
          <w:tcPr>
            <w:tcW w:w="540" w:type="dxa"/>
            <w:tcBorders>
              <w:right w:val="single" w:color="000000" w:sz="4" w:space="0"/>
            </w:tcBorders>
            <w:vAlign w:val="center"/>
          </w:tcPr>
          <w:p w14:paraId="1F32E73F">
            <w:pPr>
              <w:spacing w:line="360" w:lineRule="exact"/>
              <w:jc w:val="center"/>
              <w:rPr>
                <w:color w:val="auto"/>
                <w:sz w:val="28"/>
              </w:rPr>
            </w:pPr>
          </w:p>
        </w:tc>
        <w:tc>
          <w:tcPr>
            <w:tcW w:w="540" w:type="dxa"/>
            <w:tcBorders>
              <w:right w:val="single" w:color="000000" w:sz="4" w:space="0"/>
            </w:tcBorders>
            <w:vAlign w:val="center"/>
          </w:tcPr>
          <w:p w14:paraId="5DC42D6C">
            <w:pPr>
              <w:spacing w:line="360" w:lineRule="exact"/>
              <w:jc w:val="center"/>
              <w:rPr>
                <w:color w:val="auto"/>
                <w:sz w:val="28"/>
              </w:rPr>
            </w:pPr>
          </w:p>
        </w:tc>
        <w:tc>
          <w:tcPr>
            <w:tcW w:w="1755" w:type="dxa"/>
            <w:tcBorders>
              <w:right w:val="single" w:color="000000" w:sz="4" w:space="0"/>
            </w:tcBorders>
            <w:vAlign w:val="center"/>
          </w:tcPr>
          <w:p w14:paraId="36AA1A04">
            <w:pPr>
              <w:spacing w:line="360" w:lineRule="exact"/>
              <w:jc w:val="center"/>
              <w:rPr>
                <w:color w:val="auto"/>
                <w:sz w:val="28"/>
              </w:rPr>
            </w:pPr>
          </w:p>
        </w:tc>
        <w:tc>
          <w:tcPr>
            <w:tcW w:w="3297" w:type="dxa"/>
            <w:tcBorders>
              <w:right w:val="single" w:color="000000" w:sz="4" w:space="0"/>
            </w:tcBorders>
            <w:vAlign w:val="center"/>
          </w:tcPr>
          <w:p w14:paraId="621AA01E">
            <w:pPr>
              <w:spacing w:line="360" w:lineRule="exact"/>
              <w:jc w:val="center"/>
              <w:rPr>
                <w:color w:val="auto"/>
                <w:sz w:val="28"/>
              </w:rPr>
            </w:pPr>
          </w:p>
        </w:tc>
      </w:tr>
    </w:tbl>
    <w:p w14:paraId="3C3D5A70">
      <w:pPr>
        <w:autoSpaceDE w:val="0"/>
        <w:autoSpaceDN w:val="0"/>
        <w:adjustRightInd w:val="0"/>
        <w:spacing w:line="240" w:lineRule="auto"/>
        <w:rPr>
          <w:color w:val="auto"/>
        </w:rPr>
      </w:pPr>
      <w:r>
        <w:rPr>
          <w:rFonts w:hint="eastAsia"/>
          <w:color w:val="auto"/>
        </w:rPr>
        <w:t>注：投标人应详细填写服务投入设备的具体技术参数。包括设备的品牌型号、规格等技术参数。</w:t>
      </w:r>
    </w:p>
    <w:p w14:paraId="45C7520F">
      <w:pPr>
        <w:widowControl w:val="0"/>
        <w:snapToGrid w:val="0"/>
        <w:spacing w:line="560" w:lineRule="exact"/>
        <w:jc w:val="center"/>
        <w:rPr>
          <w:rFonts w:ascii="宋体"/>
          <w:color w:val="auto"/>
          <w:sz w:val="24"/>
        </w:rPr>
      </w:pPr>
    </w:p>
    <w:p w14:paraId="0FA55F68">
      <w:pPr>
        <w:widowControl w:val="0"/>
        <w:snapToGrid w:val="0"/>
        <w:spacing w:line="560" w:lineRule="exact"/>
        <w:jc w:val="center"/>
        <w:rPr>
          <w:rFonts w:ascii="宋体"/>
          <w:color w:val="auto"/>
          <w:sz w:val="24"/>
        </w:rPr>
      </w:pPr>
    </w:p>
    <w:p w14:paraId="6BEC0CB5">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14:paraId="415766D6">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14:paraId="2915890B">
      <w:pPr>
        <w:autoSpaceDE w:val="0"/>
        <w:autoSpaceDN w:val="0"/>
        <w:adjustRightInd w:val="0"/>
        <w:spacing w:line="360" w:lineRule="auto"/>
        <w:ind w:right="-817"/>
        <w:jc w:val="left"/>
        <w:rPr>
          <w:rFonts w:ascii="宋体" w:cs="楷体_GB2312"/>
          <w:color w:val="auto"/>
          <w:sz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72AC060C">
      <w:pPr>
        <w:autoSpaceDE w:val="0"/>
        <w:autoSpaceDN w:val="0"/>
        <w:adjustRightInd w:val="0"/>
        <w:spacing w:line="360" w:lineRule="auto"/>
        <w:jc w:val="center"/>
        <w:rPr>
          <w:rFonts w:eastAsia="方正黑体简体" w:cs="方正黑体简体"/>
          <w:b/>
          <w:bCs/>
          <w:color w:val="auto"/>
          <w:sz w:val="30"/>
          <w:szCs w:val="30"/>
        </w:rPr>
      </w:pPr>
    </w:p>
    <w:p w14:paraId="7795A96C">
      <w:pPr>
        <w:autoSpaceDE w:val="0"/>
        <w:autoSpaceDN w:val="0"/>
        <w:adjustRightInd w:val="0"/>
        <w:spacing w:line="360" w:lineRule="auto"/>
        <w:jc w:val="center"/>
        <w:rPr>
          <w:rFonts w:eastAsia="方正黑体简体" w:cs="方正黑体简体"/>
          <w:b/>
          <w:bCs/>
          <w:color w:val="auto"/>
          <w:sz w:val="30"/>
          <w:szCs w:val="30"/>
        </w:rPr>
      </w:pPr>
    </w:p>
    <w:p w14:paraId="5BB6BC8A">
      <w:pPr>
        <w:autoSpaceDE w:val="0"/>
        <w:autoSpaceDN w:val="0"/>
        <w:adjustRightInd w:val="0"/>
        <w:spacing w:line="360" w:lineRule="auto"/>
        <w:jc w:val="center"/>
        <w:rPr>
          <w:rFonts w:eastAsia="方正黑体简体" w:cs="方正黑体简体"/>
          <w:b/>
          <w:bCs/>
          <w:color w:val="auto"/>
          <w:sz w:val="30"/>
          <w:szCs w:val="30"/>
        </w:rPr>
      </w:pPr>
    </w:p>
    <w:p w14:paraId="755FDC43">
      <w:pPr>
        <w:autoSpaceDE w:val="0"/>
        <w:autoSpaceDN w:val="0"/>
        <w:adjustRightInd w:val="0"/>
        <w:spacing w:line="360" w:lineRule="auto"/>
        <w:jc w:val="center"/>
        <w:rPr>
          <w:rFonts w:eastAsia="方正黑体简体" w:cs="方正黑体简体"/>
          <w:b/>
          <w:bCs/>
          <w:color w:val="auto"/>
          <w:sz w:val="30"/>
          <w:szCs w:val="30"/>
        </w:rPr>
      </w:pPr>
    </w:p>
    <w:p w14:paraId="40564858">
      <w:pPr>
        <w:autoSpaceDE w:val="0"/>
        <w:autoSpaceDN w:val="0"/>
        <w:adjustRightInd w:val="0"/>
        <w:spacing w:line="360" w:lineRule="auto"/>
        <w:jc w:val="center"/>
        <w:rPr>
          <w:rFonts w:eastAsia="方正黑体简体" w:cs="方正黑体简体"/>
          <w:b/>
          <w:bCs/>
          <w:color w:val="auto"/>
          <w:sz w:val="30"/>
          <w:szCs w:val="30"/>
        </w:rPr>
      </w:pPr>
    </w:p>
    <w:p w14:paraId="19DA0D97">
      <w:pPr>
        <w:autoSpaceDE w:val="0"/>
        <w:autoSpaceDN w:val="0"/>
        <w:adjustRightInd w:val="0"/>
        <w:spacing w:line="360" w:lineRule="auto"/>
        <w:jc w:val="center"/>
        <w:rPr>
          <w:rFonts w:eastAsia="方正黑体简体" w:cs="方正黑体简体"/>
          <w:b/>
          <w:bCs/>
          <w:color w:val="auto"/>
          <w:sz w:val="30"/>
          <w:szCs w:val="30"/>
        </w:rPr>
      </w:pPr>
    </w:p>
    <w:p w14:paraId="7CFD53E6">
      <w:pPr>
        <w:widowControl w:val="0"/>
        <w:snapToGrid w:val="0"/>
        <w:spacing w:line="560" w:lineRule="exact"/>
        <w:jc w:val="center"/>
        <w:rPr>
          <w:rFonts w:ascii="黑体" w:hAnsi="黑体" w:eastAsia="黑体"/>
          <w:b/>
          <w:color w:val="auto"/>
          <w:sz w:val="30"/>
          <w:szCs w:val="30"/>
        </w:rPr>
      </w:pPr>
      <w:r>
        <w:rPr>
          <w:rFonts w:hint="eastAsia" w:ascii="黑体" w:hAnsi="黑体" w:eastAsia="黑体"/>
          <w:b/>
          <w:color w:val="auto"/>
          <w:sz w:val="30"/>
          <w:szCs w:val="30"/>
        </w:rPr>
        <w:t>六、服务拟投入的人员情况表</w:t>
      </w:r>
    </w:p>
    <w:p w14:paraId="5D89CDFC">
      <w:pPr>
        <w:widowControl w:val="0"/>
        <w:snapToGrid w:val="0"/>
        <w:spacing w:line="560" w:lineRule="exact"/>
        <w:jc w:val="center"/>
        <w:rPr>
          <w:rFonts w:ascii="黑体" w:hAnsi="黑体" w:eastAsia="黑体"/>
          <w:b/>
          <w:color w:val="auto"/>
          <w:sz w:val="30"/>
          <w:szCs w:val="30"/>
        </w:rPr>
      </w:pPr>
      <w:r>
        <w:rPr>
          <w:rFonts w:hint="eastAsia" w:ascii="黑体" w:hAnsi="黑体" w:eastAsia="黑体"/>
          <w:b/>
          <w:color w:val="auto"/>
          <w:sz w:val="30"/>
          <w:szCs w:val="30"/>
        </w:rPr>
        <w:t>（格式自定）</w:t>
      </w:r>
    </w:p>
    <w:p w14:paraId="262C2F44">
      <w:pPr>
        <w:widowControl w:val="0"/>
        <w:snapToGrid w:val="0"/>
        <w:spacing w:line="560" w:lineRule="exact"/>
        <w:jc w:val="center"/>
        <w:rPr>
          <w:rFonts w:ascii="Adobe 宋体 Std L" w:hAnsi="Adobe 宋体 Std L" w:eastAsia="Adobe 宋体 Std L"/>
          <w:b/>
          <w:color w:val="auto"/>
          <w:sz w:val="30"/>
          <w:szCs w:val="30"/>
        </w:rPr>
      </w:pPr>
    </w:p>
    <w:p w14:paraId="7A22CCDC">
      <w:pPr>
        <w:pStyle w:val="22"/>
        <w:adjustRightInd w:val="0"/>
        <w:snapToGrid w:val="0"/>
        <w:spacing w:before="0" w:beforeAutospacing="0" w:after="0" w:afterAutospacing="0"/>
        <w:rPr>
          <w:color w:val="auto"/>
          <w:u w:val="single"/>
        </w:rPr>
      </w:pPr>
      <w:r>
        <w:rPr>
          <w:rFonts w:hint="eastAsia"/>
          <w:color w:val="auto"/>
        </w:rPr>
        <w:t>项目名称：</w:t>
      </w:r>
      <w:r>
        <w:rPr>
          <w:color w:val="auto"/>
          <w:u w:val="single"/>
        </w:rPr>
        <w:t xml:space="preserve">           </w:t>
      </w:r>
    </w:p>
    <w:p w14:paraId="3B04FE19">
      <w:pPr>
        <w:pStyle w:val="22"/>
        <w:adjustRightInd w:val="0"/>
        <w:snapToGrid w:val="0"/>
        <w:spacing w:before="0" w:beforeAutospacing="0" w:after="0" w:afterAutospacing="0"/>
        <w:rPr>
          <w:color w:val="auto"/>
        </w:rPr>
      </w:pPr>
      <w:r>
        <w:rPr>
          <w:rFonts w:hint="eastAsia"/>
          <w:color w:val="auto"/>
        </w:rPr>
        <w:t>项目编号：</w:t>
      </w:r>
      <w:r>
        <w:rPr>
          <w:color w:val="auto"/>
          <w:u w:val="single"/>
        </w:rPr>
        <w:t xml:space="preserve">           </w:t>
      </w:r>
    </w:p>
    <w:p w14:paraId="4D7502D9">
      <w:pPr>
        <w:widowControl w:val="0"/>
        <w:tabs>
          <w:tab w:val="left" w:pos="9365"/>
        </w:tabs>
        <w:snapToGrid w:val="0"/>
        <w:spacing w:after="56" w:line="560" w:lineRule="exact"/>
        <w:ind w:right="85"/>
        <w:jc w:val="left"/>
        <w:textAlignment w:val="top"/>
        <w:rPr>
          <w:color w:val="auto"/>
          <w:sz w:val="24"/>
          <w:szCs w:val="24"/>
        </w:rPr>
      </w:pPr>
    </w:p>
    <w:p w14:paraId="7E74EF49">
      <w:pPr>
        <w:widowControl w:val="0"/>
        <w:tabs>
          <w:tab w:val="left" w:pos="9365"/>
        </w:tabs>
        <w:snapToGrid w:val="0"/>
        <w:spacing w:after="56" w:line="560" w:lineRule="exact"/>
        <w:ind w:right="85"/>
        <w:jc w:val="left"/>
        <w:textAlignment w:val="top"/>
        <w:rPr>
          <w:color w:val="auto"/>
          <w:sz w:val="24"/>
          <w:szCs w:val="24"/>
        </w:rPr>
      </w:pPr>
    </w:p>
    <w:p w14:paraId="2A3371FB">
      <w:pPr>
        <w:widowControl w:val="0"/>
        <w:tabs>
          <w:tab w:val="left" w:pos="9365"/>
        </w:tabs>
        <w:snapToGrid w:val="0"/>
        <w:spacing w:after="56" w:line="560" w:lineRule="exact"/>
        <w:ind w:right="85"/>
        <w:jc w:val="left"/>
        <w:textAlignment w:val="top"/>
        <w:rPr>
          <w:color w:val="auto"/>
          <w:sz w:val="24"/>
          <w:szCs w:val="24"/>
        </w:rPr>
      </w:pPr>
    </w:p>
    <w:p w14:paraId="3A951DE6">
      <w:pPr>
        <w:widowControl w:val="0"/>
        <w:tabs>
          <w:tab w:val="left" w:pos="9365"/>
        </w:tabs>
        <w:snapToGrid w:val="0"/>
        <w:spacing w:after="56" w:line="560" w:lineRule="exact"/>
        <w:ind w:right="85"/>
        <w:jc w:val="left"/>
        <w:textAlignment w:val="top"/>
        <w:rPr>
          <w:color w:val="auto"/>
          <w:sz w:val="24"/>
          <w:szCs w:val="24"/>
        </w:rPr>
      </w:pPr>
    </w:p>
    <w:p w14:paraId="54CA80F8">
      <w:pPr>
        <w:widowControl w:val="0"/>
        <w:tabs>
          <w:tab w:val="left" w:pos="9365"/>
        </w:tabs>
        <w:snapToGrid w:val="0"/>
        <w:spacing w:after="56" w:line="560" w:lineRule="exact"/>
        <w:ind w:right="85"/>
        <w:jc w:val="left"/>
        <w:textAlignment w:val="top"/>
        <w:rPr>
          <w:color w:val="auto"/>
          <w:sz w:val="24"/>
          <w:szCs w:val="24"/>
        </w:rPr>
      </w:pPr>
    </w:p>
    <w:p w14:paraId="2F1FAE84">
      <w:pPr>
        <w:widowControl w:val="0"/>
        <w:tabs>
          <w:tab w:val="left" w:pos="9365"/>
        </w:tabs>
        <w:snapToGrid w:val="0"/>
        <w:spacing w:after="56" w:line="560" w:lineRule="exact"/>
        <w:ind w:right="85"/>
        <w:jc w:val="left"/>
        <w:textAlignment w:val="top"/>
        <w:rPr>
          <w:color w:val="auto"/>
          <w:sz w:val="24"/>
          <w:szCs w:val="24"/>
        </w:rPr>
      </w:pPr>
    </w:p>
    <w:p w14:paraId="4EBEA0E6">
      <w:pPr>
        <w:widowControl w:val="0"/>
        <w:tabs>
          <w:tab w:val="left" w:pos="9365"/>
        </w:tabs>
        <w:snapToGrid w:val="0"/>
        <w:spacing w:after="56" w:line="560" w:lineRule="exact"/>
        <w:ind w:right="85"/>
        <w:jc w:val="left"/>
        <w:textAlignment w:val="top"/>
        <w:rPr>
          <w:color w:val="auto"/>
          <w:sz w:val="24"/>
          <w:szCs w:val="24"/>
        </w:rPr>
      </w:pPr>
    </w:p>
    <w:p w14:paraId="6B0BDC70">
      <w:pPr>
        <w:widowControl w:val="0"/>
        <w:tabs>
          <w:tab w:val="left" w:pos="9365"/>
        </w:tabs>
        <w:snapToGrid w:val="0"/>
        <w:spacing w:after="56" w:line="560" w:lineRule="exact"/>
        <w:ind w:right="85"/>
        <w:jc w:val="left"/>
        <w:textAlignment w:val="top"/>
        <w:rPr>
          <w:color w:val="auto"/>
          <w:sz w:val="24"/>
          <w:szCs w:val="24"/>
        </w:rPr>
      </w:pPr>
    </w:p>
    <w:p w14:paraId="54192C46">
      <w:pPr>
        <w:widowControl w:val="0"/>
        <w:tabs>
          <w:tab w:val="left" w:pos="9365"/>
        </w:tabs>
        <w:snapToGrid w:val="0"/>
        <w:spacing w:after="56" w:line="560" w:lineRule="exact"/>
        <w:ind w:right="85"/>
        <w:jc w:val="left"/>
        <w:textAlignment w:val="top"/>
        <w:rPr>
          <w:color w:val="auto"/>
          <w:sz w:val="24"/>
          <w:szCs w:val="24"/>
        </w:rPr>
      </w:pPr>
    </w:p>
    <w:p w14:paraId="5BD7F136">
      <w:pPr>
        <w:widowControl w:val="0"/>
        <w:tabs>
          <w:tab w:val="left" w:pos="9365"/>
        </w:tabs>
        <w:snapToGrid w:val="0"/>
        <w:spacing w:after="56" w:line="560" w:lineRule="exact"/>
        <w:ind w:right="85"/>
        <w:jc w:val="left"/>
        <w:textAlignment w:val="top"/>
        <w:rPr>
          <w:color w:val="auto"/>
          <w:sz w:val="24"/>
          <w:szCs w:val="24"/>
        </w:rPr>
      </w:pPr>
    </w:p>
    <w:p w14:paraId="725C8B8E">
      <w:pPr>
        <w:widowControl w:val="0"/>
        <w:tabs>
          <w:tab w:val="left" w:pos="9365"/>
        </w:tabs>
        <w:snapToGrid w:val="0"/>
        <w:spacing w:after="56" w:line="560" w:lineRule="exact"/>
        <w:ind w:right="85"/>
        <w:jc w:val="left"/>
        <w:textAlignment w:val="top"/>
        <w:rPr>
          <w:color w:val="auto"/>
          <w:sz w:val="24"/>
          <w:szCs w:val="24"/>
        </w:rPr>
      </w:pPr>
    </w:p>
    <w:p w14:paraId="35CCB7E8">
      <w:pPr>
        <w:widowControl w:val="0"/>
        <w:tabs>
          <w:tab w:val="left" w:pos="9365"/>
        </w:tabs>
        <w:snapToGrid w:val="0"/>
        <w:spacing w:after="56" w:line="560" w:lineRule="exact"/>
        <w:ind w:right="85"/>
        <w:jc w:val="left"/>
        <w:textAlignment w:val="top"/>
        <w:rPr>
          <w:color w:val="auto"/>
          <w:sz w:val="24"/>
          <w:szCs w:val="24"/>
        </w:rPr>
      </w:pPr>
    </w:p>
    <w:p w14:paraId="5F3EA40A">
      <w:pPr>
        <w:widowControl w:val="0"/>
        <w:tabs>
          <w:tab w:val="left" w:pos="9365"/>
        </w:tabs>
        <w:snapToGrid w:val="0"/>
        <w:spacing w:after="56" w:line="560" w:lineRule="exact"/>
        <w:ind w:right="85"/>
        <w:jc w:val="left"/>
        <w:textAlignment w:val="top"/>
        <w:rPr>
          <w:color w:val="auto"/>
          <w:sz w:val="24"/>
          <w:szCs w:val="24"/>
        </w:rPr>
      </w:pPr>
    </w:p>
    <w:p w14:paraId="4469EE2B">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14:paraId="7B38C250">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14:paraId="7BA965D0">
      <w:pPr>
        <w:widowControl w:val="0"/>
        <w:tabs>
          <w:tab w:val="left" w:pos="9365"/>
        </w:tabs>
        <w:snapToGrid w:val="0"/>
        <w:spacing w:after="56" w:line="560" w:lineRule="exact"/>
        <w:ind w:right="56"/>
        <w:jc w:val="left"/>
        <w:textAlignment w:val="top"/>
        <w:rPr>
          <w:color w:val="auto"/>
        </w:rPr>
      </w:pPr>
      <w:r>
        <w:rPr>
          <w:rFonts w:hint="eastAsia" w:ascii="宋体" w:hAnsi="宋体" w:cs="楷体_GB2312"/>
          <w:color w:val="auto"/>
          <w:sz w:val="24"/>
          <w:lang w:val="zh-CN"/>
        </w:rPr>
        <w:t>日期</w:t>
      </w:r>
      <w:r>
        <w:rPr>
          <w:rFonts w:hint="eastAsia" w:ascii="宋体" w:hAnsi="宋体" w:cs="楷体_GB2312"/>
          <w:color w:val="auto"/>
          <w:sz w:val="24"/>
        </w:rPr>
        <w:t>：</w:t>
      </w:r>
      <w:r>
        <w:rPr>
          <w:rFonts w:ascii="宋体" w:hAnsi="宋体" w:cs="楷体_GB2312"/>
          <w:color w:val="auto"/>
          <w:sz w:val="24"/>
        </w:rPr>
        <w:t xml:space="preserve">   </w:t>
      </w:r>
      <w:r>
        <w:rPr>
          <w:rFonts w:hint="eastAsia" w:ascii="宋体" w:hAnsi="宋体" w:cs="楷体_GB2312"/>
          <w:color w:val="auto"/>
          <w:sz w:val="24"/>
          <w:lang w:val="zh-CN"/>
        </w:rPr>
        <w:t>年</w:t>
      </w:r>
      <w:r>
        <w:rPr>
          <w:rFonts w:ascii="宋体" w:hAnsi="宋体" w:cs="楷体_GB2312"/>
          <w:color w:val="auto"/>
          <w:sz w:val="24"/>
        </w:rPr>
        <w:t xml:space="preserve">   </w:t>
      </w:r>
      <w:r>
        <w:rPr>
          <w:rFonts w:hint="eastAsia" w:ascii="宋体" w:hAnsi="宋体" w:cs="楷体_GB2312"/>
          <w:color w:val="auto"/>
          <w:sz w:val="24"/>
          <w:lang w:val="zh-CN"/>
        </w:rPr>
        <w:t>月</w:t>
      </w:r>
      <w:r>
        <w:rPr>
          <w:rFonts w:ascii="宋体" w:hAnsi="宋体" w:cs="楷体_GB2312"/>
          <w:color w:val="auto"/>
          <w:sz w:val="24"/>
        </w:rPr>
        <w:t xml:space="preserve">   </w:t>
      </w:r>
      <w:r>
        <w:rPr>
          <w:rFonts w:hint="eastAsia" w:ascii="宋体" w:hAnsi="宋体" w:cs="楷体_GB2312"/>
          <w:color w:val="auto"/>
          <w:sz w:val="24"/>
          <w:lang w:val="zh-CN"/>
        </w:rPr>
        <w:t>日</w:t>
      </w:r>
    </w:p>
    <w:p w14:paraId="25EBF084">
      <w:pPr>
        <w:spacing w:line="240" w:lineRule="auto"/>
        <w:jc w:val="left"/>
        <w:textAlignment w:val="auto"/>
        <w:rPr>
          <w:rFonts w:eastAsia="方正黑体简体"/>
          <w:b/>
          <w:color w:val="auto"/>
          <w:sz w:val="30"/>
          <w:szCs w:val="30"/>
        </w:rPr>
      </w:pPr>
      <w:r>
        <w:rPr>
          <w:rFonts w:eastAsia="方正黑体简体"/>
          <w:b/>
          <w:color w:val="auto"/>
          <w:sz w:val="30"/>
          <w:szCs w:val="30"/>
        </w:rPr>
        <w:br w:type="page"/>
      </w:r>
    </w:p>
    <w:p w14:paraId="1AABA21C">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七、采购标的成本或同类项目合同价格</w:t>
      </w:r>
    </w:p>
    <w:p w14:paraId="658167AC">
      <w:pPr>
        <w:adjustRightInd w:val="0"/>
        <w:snapToGrid w:val="0"/>
        <w:spacing w:line="300" w:lineRule="auto"/>
        <w:ind w:firstLine="539"/>
        <w:textAlignment w:val="top"/>
        <w:rPr>
          <w:color w:val="auto"/>
          <w:sz w:val="24"/>
        </w:rPr>
      </w:pPr>
    </w:p>
    <w:p w14:paraId="25433401">
      <w:pPr>
        <w:adjustRightInd w:val="0"/>
        <w:snapToGrid w:val="0"/>
        <w:spacing w:line="300" w:lineRule="auto"/>
        <w:ind w:firstLine="539"/>
        <w:jc w:val="center"/>
        <w:textAlignment w:val="top"/>
        <w:rPr>
          <w:color w:val="auto"/>
          <w:sz w:val="24"/>
        </w:rPr>
      </w:pPr>
    </w:p>
    <w:p w14:paraId="6AE3B32A">
      <w:pPr>
        <w:widowControl w:val="0"/>
        <w:snapToGrid w:val="0"/>
        <w:spacing w:line="560" w:lineRule="exact"/>
        <w:jc w:val="center"/>
        <w:rPr>
          <w:rFonts w:eastAsia="方正黑体简体"/>
          <w:b/>
          <w:color w:val="auto"/>
          <w:sz w:val="30"/>
          <w:szCs w:val="30"/>
        </w:rPr>
      </w:pPr>
    </w:p>
    <w:p w14:paraId="17B52438">
      <w:pPr>
        <w:widowControl w:val="0"/>
        <w:snapToGrid w:val="0"/>
        <w:spacing w:line="560" w:lineRule="exact"/>
        <w:jc w:val="center"/>
        <w:rPr>
          <w:rFonts w:eastAsia="方正黑体简体"/>
          <w:b/>
          <w:color w:val="auto"/>
          <w:sz w:val="30"/>
          <w:szCs w:val="30"/>
        </w:rPr>
      </w:pPr>
    </w:p>
    <w:p w14:paraId="45D1AB8F">
      <w:pPr>
        <w:widowControl w:val="0"/>
        <w:snapToGrid w:val="0"/>
        <w:spacing w:line="560" w:lineRule="exact"/>
        <w:jc w:val="center"/>
        <w:rPr>
          <w:rFonts w:eastAsia="方正黑体简体"/>
          <w:b/>
          <w:color w:val="auto"/>
          <w:sz w:val="30"/>
          <w:szCs w:val="30"/>
        </w:rPr>
      </w:pPr>
    </w:p>
    <w:p w14:paraId="1A65E88D">
      <w:pPr>
        <w:widowControl w:val="0"/>
        <w:snapToGrid w:val="0"/>
        <w:spacing w:line="560" w:lineRule="exact"/>
        <w:jc w:val="center"/>
        <w:rPr>
          <w:rFonts w:eastAsia="方正黑体简体"/>
          <w:b/>
          <w:color w:val="auto"/>
          <w:sz w:val="30"/>
          <w:szCs w:val="30"/>
        </w:rPr>
      </w:pPr>
    </w:p>
    <w:p w14:paraId="14163F1A">
      <w:pPr>
        <w:widowControl w:val="0"/>
        <w:snapToGrid w:val="0"/>
        <w:spacing w:line="560" w:lineRule="exact"/>
        <w:jc w:val="center"/>
        <w:rPr>
          <w:rFonts w:eastAsia="方正黑体简体"/>
          <w:b/>
          <w:color w:val="auto"/>
          <w:sz w:val="30"/>
          <w:szCs w:val="30"/>
        </w:rPr>
      </w:pPr>
    </w:p>
    <w:p w14:paraId="21B71E55">
      <w:pPr>
        <w:widowControl w:val="0"/>
        <w:snapToGrid w:val="0"/>
        <w:spacing w:line="560" w:lineRule="exact"/>
        <w:jc w:val="center"/>
        <w:rPr>
          <w:rFonts w:eastAsia="方正黑体简体"/>
          <w:b/>
          <w:color w:val="auto"/>
          <w:sz w:val="30"/>
          <w:szCs w:val="30"/>
        </w:rPr>
      </w:pPr>
    </w:p>
    <w:p w14:paraId="6D44CD24">
      <w:pPr>
        <w:widowControl w:val="0"/>
        <w:snapToGrid w:val="0"/>
        <w:spacing w:line="560" w:lineRule="exact"/>
        <w:jc w:val="center"/>
        <w:rPr>
          <w:rFonts w:eastAsia="方正黑体简体"/>
          <w:b/>
          <w:color w:val="auto"/>
          <w:sz w:val="30"/>
          <w:szCs w:val="30"/>
        </w:rPr>
      </w:pPr>
    </w:p>
    <w:p w14:paraId="38605EBE">
      <w:pPr>
        <w:widowControl w:val="0"/>
        <w:snapToGrid w:val="0"/>
        <w:spacing w:line="560" w:lineRule="exact"/>
        <w:jc w:val="center"/>
        <w:rPr>
          <w:rFonts w:eastAsia="方正黑体简体"/>
          <w:b/>
          <w:color w:val="auto"/>
          <w:sz w:val="30"/>
          <w:szCs w:val="30"/>
        </w:rPr>
      </w:pPr>
    </w:p>
    <w:p w14:paraId="0C4C7CF0">
      <w:pPr>
        <w:widowControl w:val="0"/>
        <w:snapToGrid w:val="0"/>
        <w:spacing w:line="560" w:lineRule="exact"/>
        <w:jc w:val="center"/>
        <w:rPr>
          <w:rFonts w:eastAsia="方正黑体简体"/>
          <w:b/>
          <w:color w:val="auto"/>
          <w:sz w:val="30"/>
          <w:szCs w:val="30"/>
        </w:rPr>
      </w:pPr>
    </w:p>
    <w:p w14:paraId="4C4CE856">
      <w:pPr>
        <w:widowControl w:val="0"/>
        <w:snapToGrid w:val="0"/>
        <w:spacing w:line="560" w:lineRule="exact"/>
        <w:jc w:val="center"/>
        <w:rPr>
          <w:rFonts w:eastAsia="方正黑体简体"/>
          <w:b/>
          <w:color w:val="auto"/>
          <w:sz w:val="30"/>
          <w:szCs w:val="30"/>
        </w:rPr>
      </w:pPr>
    </w:p>
    <w:p w14:paraId="40159BB2">
      <w:pPr>
        <w:widowControl w:val="0"/>
        <w:snapToGrid w:val="0"/>
        <w:spacing w:line="560" w:lineRule="exact"/>
        <w:jc w:val="center"/>
        <w:rPr>
          <w:rFonts w:eastAsia="方正黑体简体"/>
          <w:b/>
          <w:color w:val="auto"/>
          <w:sz w:val="30"/>
          <w:szCs w:val="30"/>
        </w:rPr>
      </w:pPr>
    </w:p>
    <w:p w14:paraId="60149A8B">
      <w:pPr>
        <w:widowControl w:val="0"/>
        <w:snapToGrid w:val="0"/>
        <w:spacing w:line="560" w:lineRule="exact"/>
        <w:jc w:val="center"/>
        <w:rPr>
          <w:rFonts w:eastAsia="方正黑体简体"/>
          <w:b/>
          <w:color w:val="auto"/>
          <w:sz w:val="30"/>
          <w:szCs w:val="30"/>
        </w:rPr>
      </w:pPr>
    </w:p>
    <w:p w14:paraId="7D612ED2">
      <w:pPr>
        <w:widowControl w:val="0"/>
        <w:snapToGrid w:val="0"/>
        <w:spacing w:line="560" w:lineRule="exact"/>
        <w:jc w:val="center"/>
        <w:rPr>
          <w:rFonts w:eastAsia="方正黑体简体"/>
          <w:b/>
          <w:color w:val="auto"/>
          <w:sz w:val="30"/>
          <w:szCs w:val="30"/>
        </w:rPr>
      </w:pPr>
    </w:p>
    <w:p w14:paraId="298220A6">
      <w:pPr>
        <w:widowControl w:val="0"/>
        <w:snapToGrid w:val="0"/>
        <w:spacing w:line="560" w:lineRule="exact"/>
        <w:jc w:val="center"/>
        <w:rPr>
          <w:rFonts w:eastAsia="方正黑体简体"/>
          <w:b/>
          <w:color w:val="auto"/>
          <w:sz w:val="30"/>
          <w:szCs w:val="30"/>
        </w:rPr>
      </w:pPr>
    </w:p>
    <w:p w14:paraId="069C1257">
      <w:pPr>
        <w:widowControl w:val="0"/>
        <w:snapToGrid w:val="0"/>
        <w:spacing w:line="560" w:lineRule="exact"/>
        <w:jc w:val="center"/>
        <w:rPr>
          <w:rFonts w:eastAsia="方正黑体简体"/>
          <w:b/>
          <w:color w:val="auto"/>
          <w:sz w:val="30"/>
          <w:szCs w:val="30"/>
        </w:rPr>
      </w:pPr>
    </w:p>
    <w:p w14:paraId="4A8C3256">
      <w:pPr>
        <w:widowControl w:val="0"/>
        <w:snapToGrid w:val="0"/>
        <w:spacing w:line="560" w:lineRule="exact"/>
        <w:jc w:val="center"/>
        <w:rPr>
          <w:rFonts w:eastAsia="方正黑体简体"/>
          <w:b/>
          <w:color w:val="auto"/>
          <w:sz w:val="30"/>
          <w:szCs w:val="30"/>
        </w:rPr>
      </w:pPr>
    </w:p>
    <w:p w14:paraId="65FC65B9">
      <w:pPr>
        <w:widowControl w:val="0"/>
        <w:snapToGrid w:val="0"/>
        <w:spacing w:line="560" w:lineRule="exact"/>
        <w:jc w:val="center"/>
        <w:rPr>
          <w:rFonts w:eastAsia="方正黑体简体"/>
          <w:b/>
          <w:color w:val="auto"/>
          <w:sz w:val="30"/>
          <w:szCs w:val="30"/>
        </w:rPr>
      </w:pPr>
    </w:p>
    <w:p w14:paraId="6C83B395">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14:paraId="16348279">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14:paraId="347294DC">
      <w:pPr>
        <w:widowControl w:val="0"/>
        <w:tabs>
          <w:tab w:val="left" w:pos="9365"/>
        </w:tabs>
        <w:snapToGrid w:val="0"/>
        <w:spacing w:after="56" w:line="560" w:lineRule="exact"/>
        <w:ind w:right="56"/>
        <w:jc w:val="left"/>
        <w:textAlignment w:val="top"/>
        <w:rPr>
          <w:color w:val="auto"/>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1E9894B3">
      <w:pPr>
        <w:widowControl w:val="0"/>
        <w:snapToGrid w:val="0"/>
        <w:spacing w:line="560" w:lineRule="exact"/>
        <w:jc w:val="center"/>
        <w:rPr>
          <w:rFonts w:eastAsia="方正黑体简体"/>
          <w:b/>
          <w:color w:val="auto"/>
          <w:sz w:val="30"/>
          <w:szCs w:val="30"/>
        </w:rPr>
      </w:pPr>
    </w:p>
    <w:p w14:paraId="6A224905">
      <w:pPr>
        <w:widowControl w:val="0"/>
        <w:snapToGrid w:val="0"/>
        <w:spacing w:line="560" w:lineRule="exact"/>
        <w:rPr>
          <w:color w:val="auto"/>
          <w:sz w:val="24"/>
        </w:rPr>
      </w:pPr>
      <w:r>
        <w:rPr>
          <w:color w:val="auto"/>
          <w:sz w:val="24"/>
        </w:rPr>
        <w:br w:type="page"/>
      </w:r>
    </w:p>
    <w:p w14:paraId="7810C67C">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八、相关专利、专有技术等情况说明</w:t>
      </w:r>
    </w:p>
    <w:p w14:paraId="71D17FFD">
      <w:pPr>
        <w:widowControl w:val="0"/>
        <w:snapToGrid w:val="0"/>
        <w:spacing w:line="560" w:lineRule="exact"/>
        <w:jc w:val="center"/>
        <w:rPr>
          <w:rFonts w:eastAsia="方正黑体简体"/>
          <w:b/>
          <w:color w:val="auto"/>
          <w:sz w:val="30"/>
          <w:szCs w:val="30"/>
        </w:rPr>
      </w:pPr>
    </w:p>
    <w:p w14:paraId="5ADA6EEC">
      <w:pPr>
        <w:widowControl w:val="0"/>
        <w:snapToGrid w:val="0"/>
        <w:spacing w:line="560" w:lineRule="exact"/>
        <w:jc w:val="center"/>
        <w:rPr>
          <w:rFonts w:eastAsia="方正黑体简体"/>
          <w:b/>
          <w:color w:val="auto"/>
          <w:sz w:val="30"/>
          <w:szCs w:val="30"/>
        </w:rPr>
      </w:pPr>
    </w:p>
    <w:p w14:paraId="29C1579B">
      <w:pPr>
        <w:widowControl w:val="0"/>
        <w:snapToGrid w:val="0"/>
        <w:spacing w:line="560" w:lineRule="exact"/>
        <w:jc w:val="center"/>
        <w:rPr>
          <w:rFonts w:eastAsia="方正黑体简体"/>
          <w:b/>
          <w:color w:val="auto"/>
          <w:sz w:val="30"/>
          <w:szCs w:val="30"/>
        </w:rPr>
      </w:pPr>
    </w:p>
    <w:p w14:paraId="740216C3">
      <w:pPr>
        <w:widowControl w:val="0"/>
        <w:snapToGrid w:val="0"/>
        <w:spacing w:line="560" w:lineRule="exact"/>
        <w:jc w:val="center"/>
        <w:rPr>
          <w:rFonts w:eastAsia="方正黑体简体"/>
          <w:b/>
          <w:color w:val="auto"/>
          <w:sz w:val="30"/>
          <w:szCs w:val="30"/>
        </w:rPr>
      </w:pPr>
    </w:p>
    <w:p w14:paraId="2256D846">
      <w:pPr>
        <w:widowControl w:val="0"/>
        <w:snapToGrid w:val="0"/>
        <w:spacing w:line="560" w:lineRule="exact"/>
        <w:jc w:val="center"/>
        <w:rPr>
          <w:rFonts w:eastAsia="方正黑体简体"/>
          <w:b/>
          <w:color w:val="auto"/>
          <w:sz w:val="30"/>
          <w:szCs w:val="30"/>
        </w:rPr>
      </w:pPr>
    </w:p>
    <w:p w14:paraId="2F208FE2">
      <w:pPr>
        <w:widowControl w:val="0"/>
        <w:snapToGrid w:val="0"/>
        <w:spacing w:line="560" w:lineRule="exact"/>
        <w:jc w:val="center"/>
        <w:rPr>
          <w:rFonts w:eastAsia="方正黑体简体"/>
          <w:b/>
          <w:color w:val="auto"/>
          <w:sz w:val="30"/>
          <w:szCs w:val="30"/>
        </w:rPr>
      </w:pPr>
    </w:p>
    <w:p w14:paraId="4643D2E9">
      <w:pPr>
        <w:widowControl w:val="0"/>
        <w:snapToGrid w:val="0"/>
        <w:spacing w:line="560" w:lineRule="exact"/>
        <w:jc w:val="center"/>
        <w:rPr>
          <w:rFonts w:eastAsia="方正黑体简体"/>
          <w:b/>
          <w:color w:val="auto"/>
          <w:sz w:val="30"/>
          <w:szCs w:val="30"/>
        </w:rPr>
      </w:pPr>
    </w:p>
    <w:p w14:paraId="0A887736">
      <w:pPr>
        <w:widowControl w:val="0"/>
        <w:snapToGrid w:val="0"/>
        <w:spacing w:line="560" w:lineRule="exact"/>
        <w:jc w:val="center"/>
        <w:rPr>
          <w:rFonts w:eastAsia="方正黑体简体"/>
          <w:b/>
          <w:color w:val="auto"/>
          <w:sz w:val="30"/>
          <w:szCs w:val="30"/>
        </w:rPr>
      </w:pPr>
    </w:p>
    <w:p w14:paraId="36E2B3A4">
      <w:pPr>
        <w:widowControl w:val="0"/>
        <w:snapToGrid w:val="0"/>
        <w:spacing w:line="560" w:lineRule="exact"/>
        <w:jc w:val="center"/>
        <w:rPr>
          <w:rFonts w:eastAsia="方正黑体简体"/>
          <w:b/>
          <w:color w:val="auto"/>
          <w:sz w:val="30"/>
          <w:szCs w:val="30"/>
        </w:rPr>
      </w:pPr>
    </w:p>
    <w:p w14:paraId="74F85EB1">
      <w:pPr>
        <w:widowControl w:val="0"/>
        <w:snapToGrid w:val="0"/>
        <w:spacing w:line="560" w:lineRule="exact"/>
        <w:jc w:val="center"/>
        <w:rPr>
          <w:rFonts w:eastAsia="方正黑体简体"/>
          <w:b/>
          <w:color w:val="auto"/>
          <w:sz w:val="30"/>
          <w:szCs w:val="30"/>
        </w:rPr>
      </w:pPr>
    </w:p>
    <w:p w14:paraId="130CBAE7">
      <w:pPr>
        <w:widowControl w:val="0"/>
        <w:snapToGrid w:val="0"/>
        <w:spacing w:line="560" w:lineRule="exact"/>
        <w:jc w:val="center"/>
        <w:rPr>
          <w:rFonts w:eastAsia="方正黑体简体"/>
          <w:b/>
          <w:color w:val="auto"/>
          <w:sz w:val="30"/>
          <w:szCs w:val="30"/>
        </w:rPr>
      </w:pPr>
    </w:p>
    <w:p w14:paraId="441F30E5">
      <w:pPr>
        <w:widowControl w:val="0"/>
        <w:snapToGrid w:val="0"/>
        <w:spacing w:line="560" w:lineRule="exact"/>
        <w:jc w:val="center"/>
        <w:rPr>
          <w:rFonts w:eastAsia="方正黑体简体"/>
          <w:b/>
          <w:color w:val="auto"/>
          <w:sz w:val="30"/>
          <w:szCs w:val="30"/>
        </w:rPr>
      </w:pPr>
    </w:p>
    <w:p w14:paraId="0423BBDD">
      <w:pPr>
        <w:widowControl w:val="0"/>
        <w:snapToGrid w:val="0"/>
        <w:spacing w:line="560" w:lineRule="exact"/>
        <w:jc w:val="center"/>
        <w:rPr>
          <w:rFonts w:eastAsia="方正黑体简体"/>
          <w:b/>
          <w:color w:val="auto"/>
          <w:sz w:val="30"/>
          <w:szCs w:val="30"/>
        </w:rPr>
      </w:pPr>
    </w:p>
    <w:p w14:paraId="3C50905E">
      <w:pPr>
        <w:widowControl w:val="0"/>
        <w:snapToGrid w:val="0"/>
        <w:spacing w:line="560" w:lineRule="exact"/>
        <w:jc w:val="center"/>
        <w:rPr>
          <w:rFonts w:eastAsia="方正黑体简体"/>
          <w:b/>
          <w:color w:val="auto"/>
          <w:sz w:val="30"/>
          <w:szCs w:val="30"/>
        </w:rPr>
      </w:pPr>
    </w:p>
    <w:p w14:paraId="3F0292FB">
      <w:pPr>
        <w:widowControl w:val="0"/>
        <w:snapToGrid w:val="0"/>
        <w:spacing w:line="560" w:lineRule="exact"/>
        <w:jc w:val="center"/>
        <w:rPr>
          <w:rFonts w:eastAsia="方正黑体简体"/>
          <w:b/>
          <w:color w:val="auto"/>
          <w:sz w:val="30"/>
          <w:szCs w:val="30"/>
        </w:rPr>
      </w:pPr>
    </w:p>
    <w:p w14:paraId="605434AF">
      <w:pPr>
        <w:widowControl w:val="0"/>
        <w:snapToGrid w:val="0"/>
        <w:spacing w:line="560" w:lineRule="exact"/>
        <w:jc w:val="center"/>
        <w:rPr>
          <w:rFonts w:eastAsia="方正黑体简体"/>
          <w:b/>
          <w:color w:val="auto"/>
          <w:sz w:val="30"/>
          <w:szCs w:val="30"/>
        </w:rPr>
      </w:pPr>
    </w:p>
    <w:p w14:paraId="024760AC">
      <w:pPr>
        <w:widowControl w:val="0"/>
        <w:snapToGrid w:val="0"/>
        <w:spacing w:line="560" w:lineRule="exact"/>
        <w:jc w:val="center"/>
        <w:rPr>
          <w:rFonts w:eastAsia="方正黑体简体"/>
          <w:b/>
          <w:color w:val="auto"/>
          <w:sz w:val="30"/>
          <w:szCs w:val="30"/>
        </w:rPr>
      </w:pPr>
    </w:p>
    <w:p w14:paraId="2674F9E3">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14:paraId="0FA2CACE">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14:paraId="48EED65B">
      <w:pPr>
        <w:widowControl w:val="0"/>
        <w:tabs>
          <w:tab w:val="left" w:pos="9365"/>
        </w:tabs>
        <w:snapToGrid w:val="0"/>
        <w:spacing w:after="56" w:line="560" w:lineRule="exact"/>
        <w:ind w:right="56"/>
        <w:jc w:val="left"/>
        <w:textAlignment w:val="top"/>
        <w:rPr>
          <w:color w:val="auto"/>
        </w:rPr>
      </w:pPr>
      <w:r>
        <w:rPr>
          <w:rFonts w:hint="eastAsia" w:ascii="宋体" w:hAnsi="宋体" w:cs="楷体_GB2312"/>
          <w:color w:val="auto"/>
          <w:sz w:val="24"/>
          <w:lang w:val="zh-CN"/>
        </w:rPr>
        <w:t>日期</w:t>
      </w:r>
      <w:r>
        <w:rPr>
          <w:rFonts w:hint="eastAsia" w:ascii="宋体" w:hAnsi="宋体" w:cs="楷体_GB2312"/>
          <w:color w:val="auto"/>
          <w:sz w:val="24"/>
        </w:rPr>
        <w:t>：</w:t>
      </w:r>
      <w:r>
        <w:rPr>
          <w:rFonts w:ascii="宋体" w:hAnsi="宋体" w:cs="楷体_GB2312"/>
          <w:color w:val="auto"/>
          <w:sz w:val="24"/>
        </w:rPr>
        <w:t xml:space="preserve">   </w:t>
      </w:r>
      <w:r>
        <w:rPr>
          <w:rFonts w:hint="eastAsia" w:ascii="宋体" w:hAnsi="宋体" w:cs="楷体_GB2312"/>
          <w:color w:val="auto"/>
          <w:sz w:val="24"/>
          <w:lang w:val="zh-CN"/>
        </w:rPr>
        <w:t>年</w:t>
      </w:r>
      <w:r>
        <w:rPr>
          <w:rFonts w:ascii="宋体" w:hAnsi="宋体" w:cs="楷体_GB2312"/>
          <w:color w:val="auto"/>
          <w:sz w:val="24"/>
        </w:rPr>
        <w:t xml:space="preserve">   </w:t>
      </w:r>
      <w:r>
        <w:rPr>
          <w:rFonts w:hint="eastAsia" w:ascii="宋体" w:hAnsi="宋体" w:cs="楷体_GB2312"/>
          <w:color w:val="auto"/>
          <w:sz w:val="24"/>
          <w:lang w:val="zh-CN"/>
        </w:rPr>
        <w:t>月</w:t>
      </w:r>
      <w:r>
        <w:rPr>
          <w:rFonts w:ascii="宋体" w:hAnsi="宋体" w:cs="楷体_GB2312"/>
          <w:color w:val="auto"/>
          <w:sz w:val="24"/>
        </w:rPr>
        <w:t xml:space="preserve">   </w:t>
      </w:r>
      <w:r>
        <w:rPr>
          <w:rFonts w:hint="eastAsia" w:ascii="宋体" w:hAnsi="宋体" w:cs="楷体_GB2312"/>
          <w:color w:val="auto"/>
          <w:sz w:val="24"/>
          <w:lang w:val="zh-CN"/>
        </w:rPr>
        <w:t>日</w:t>
      </w:r>
    </w:p>
    <w:p w14:paraId="2D3C107A">
      <w:pPr>
        <w:widowControl w:val="0"/>
        <w:snapToGrid w:val="0"/>
        <w:spacing w:line="560" w:lineRule="exact"/>
        <w:jc w:val="center"/>
        <w:rPr>
          <w:color w:val="auto"/>
          <w:sz w:val="24"/>
        </w:rPr>
      </w:pPr>
    </w:p>
    <w:p w14:paraId="3F3D2087">
      <w:pPr>
        <w:autoSpaceDE w:val="0"/>
        <w:autoSpaceDN w:val="0"/>
        <w:adjustRightInd w:val="0"/>
        <w:spacing w:line="360" w:lineRule="auto"/>
        <w:jc w:val="center"/>
        <w:rPr>
          <w:rFonts w:eastAsia="方正黑体简体"/>
          <w:b/>
          <w:color w:val="auto"/>
          <w:sz w:val="30"/>
          <w:szCs w:val="30"/>
        </w:rPr>
      </w:pPr>
      <w:r>
        <w:rPr>
          <w:rFonts w:eastAsia="方正黑体简体"/>
          <w:b/>
          <w:color w:val="auto"/>
          <w:sz w:val="30"/>
          <w:szCs w:val="30"/>
        </w:rPr>
        <w:br w:type="page"/>
      </w:r>
    </w:p>
    <w:p w14:paraId="1F66016F">
      <w:pPr>
        <w:autoSpaceDE w:val="0"/>
        <w:autoSpaceDN w:val="0"/>
        <w:adjustRightInd w:val="0"/>
        <w:spacing w:line="360" w:lineRule="auto"/>
        <w:jc w:val="center"/>
        <w:rPr>
          <w:rFonts w:eastAsia="方正黑体简体"/>
          <w:b/>
          <w:color w:val="auto"/>
          <w:sz w:val="30"/>
          <w:szCs w:val="30"/>
        </w:rPr>
      </w:pPr>
      <w:r>
        <w:rPr>
          <w:rFonts w:hint="eastAsia" w:eastAsia="方正黑体简体"/>
          <w:b/>
          <w:color w:val="auto"/>
          <w:sz w:val="30"/>
          <w:szCs w:val="30"/>
        </w:rPr>
        <w:t>九、偏差表</w:t>
      </w:r>
    </w:p>
    <w:p w14:paraId="0B67EA00">
      <w:pPr>
        <w:pStyle w:val="22"/>
        <w:adjustRightInd w:val="0"/>
        <w:snapToGrid w:val="0"/>
        <w:spacing w:before="0" w:beforeAutospacing="0" w:after="0" w:afterAutospacing="0"/>
        <w:rPr>
          <w:color w:val="auto"/>
          <w:u w:val="single"/>
        </w:rPr>
      </w:pPr>
      <w:r>
        <w:rPr>
          <w:rFonts w:hint="eastAsia"/>
          <w:color w:val="auto"/>
        </w:rPr>
        <w:t>项目名称：</w:t>
      </w:r>
      <w:r>
        <w:rPr>
          <w:rFonts w:hint="eastAsia"/>
          <w:color w:val="auto"/>
          <w:u w:val="single"/>
        </w:rPr>
        <w:t xml:space="preserve">            </w:t>
      </w:r>
    </w:p>
    <w:p w14:paraId="66C0A992">
      <w:pPr>
        <w:pStyle w:val="22"/>
        <w:adjustRightInd w:val="0"/>
        <w:snapToGrid w:val="0"/>
        <w:spacing w:before="0" w:beforeAutospacing="0" w:after="0" w:afterAutospacing="0"/>
        <w:rPr>
          <w:color w:val="auto"/>
          <w:u w:val="single"/>
        </w:rPr>
      </w:pPr>
      <w:r>
        <w:rPr>
          <w:rFonts w:hint="eastAsia"/>
          <w:color w:val="auto"/>
        </w:rPr>
        <w:t>项目编号：</w:t>
      </w:r>
      <w:r>
        <w:rPr>
          <w:rFonts w:hint="eastAsia"/>
          <w:color w:val="auto"/>
          <w:u w:val="single"/>
        </w:rPr>
        <w:t xml:space="preserve">            </w:t>
      </w:r>
    </w:p>
    <w:tbl>
      <w:tblPr>
        <w:tblStyle w:val="24"/>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14:paraId="1F1C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14:paraId="5AC1D572">
            <w:pPr>
              <w:spacing w:line="560" w:lineRule="exact"/>
              <w:jc w:val="center"/>
              <w:rPr>
                <w:b/>
                <w:color w:val="auto"/>
                <w:sz w:val="28"/>
              </w:rPr>
            </w:pPr>
            <w:r>
              <w:rPr>
                <w:rFonts w:hint="eastAsia"/>
                <w:b/>
                <w:color w:val="auto"/>
              </w:rPr>
              <w:t>序号</w:t>
            </w:r>
          </w:p>
        </w:tc>
        <w:tc>
          <w:tcPr>
            <w:tcW w:w="3098" w:type="dxa"/>
            <w:tcBorders>
              <w:top w:val="single" w:color="000000" w:sz="8" w:space="0"/>
              <w:bottom w:val="single" w:color="000000" w:sz="4" w:space="0"/>
              <w:right w:val="single" w:color="000000" w:sz="4" w:space="0"/>
            </w:tcBorders>
            <w:vAlign w:val="center"/>
          </w:tcPr>
          <w:p w14:paraId="4772C05E">
            <w:pPr>
              <w:spacing w:line="560" w:lineRule="exact"/>
              <w:jc w:val="center"/>
              <w:rPr>
                <w:b/>
                <w:color w:val="auto"/>
                <w:sz w:val="28"/>
              </w:rPr>
            </w:pPr>
            <w:r>
              <w:rPr>
                <w:rFonts w:hint="eastAsia"/>
                <w:b/>
                <w:color w:val="auto"/>
              </w:rPr>
              <w:t>单一来源采购文件要求</w:t>
            </w:r>
          </w:p>
        </w:tc>
        <w:tc>
          <w:tcPr>
            <w:tcW w:w="2947" w:type="dxa"/>
            <w:tcBorders>
              <w:top w:val="single" w:color="000000" w:sz="8" w:space="0"/>
              <w:bottom w:val="single" w:color="000000" w:sz="4" w:space="0"/>
              <w:right w:val="single" w:color="000000" w:sz="4" w:space="0"/>
            </w:tcBorders>
            <w:vAlign w:val="center"/>
          </w:tcPr>
          <w:p w14:paraId="70EA5DBC">
            <w:pPr>
              <w:spacing w:line="560" w:lineRule="exact"/>
              <w:jc w:val="center"/>
              <w:rPr>
                <w:b/>
                <w:color w:val="auto"/>
                <w:sz w:val="28"/>
              </w:rPr>
            </w:pPr>
            <w:r>
              <w:rPr>
                <w:rFonts w:hint="eastAsia"/>
                <w:b/>
                <w:color w:val="auto"/>
              </w:rPr>
              <w:t>投标文件响应</w:t>
            </w:r>
          </w:p>
        </w:tc>
        <w:tc>
          <w:tcPr>
            <w:tcW w:w="2638" w:type="dxa"/>
            <w:tcBorders>
              <w:top w:val="single" w:color="000000" w:sz="8" w:space="0"/>
              <w:bottom w:val="single" w:color="000000" w:sz="4" w:space="0"/>
              <w:right w:val="single" w:color="000000" w:sz="8" w:space="0"/>
            </w:tcBorders>
            <w:vAlign w:val="center"/>
          </w:tcPr>
          <w:p w14:paraId="0FDCE7BF">
            <w:pPr>
              <w:spacing w:line="560" w:lineRule="exact"/>
              <w:jc w:val="center"/>
              <w:rPr>
                <w:b/>
                <w:color w:val="auto"/>
                <w:sz w:val="28"/>
              </w:rPr>
            </w:pPr>
            <w:r>
              <w:rPr>
                <w:rFonts w:hint="eastAsia"/>
                <w:b/>
                <w:color w:val="auto"/>
              </w:rPr>
              <w:t>偏差描述</w:t>
            </w:r>
          </w:p>
        </w:tc>
      </w:tr>
      <w:tr w14:paraId="41DF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47370BEA">
            <w:pPr>
              <w:spacing w:line="560" w:lineRule="exact"/>
              <w:jc w:val="center"/>
              <w:rPr>
                <w:color w:val="auto"/>
                <w:sz w:val="28"/>
              </w:rPr>
            </w:pPr>
            <w:r>
              <w:rPr>
                <w:color w:val="auto"/>
              </w:rPr>
              <w:t>1</w:t>
            </w:r>
          </w:p>
        </w:tc>
        <w:tc>
          <w:tcPr>
            <w:tcW w:w="3098" w:type="dxa"/>
            <w:tcBorders>
              <w:bottom w:val="single" w:color="000000" w:sz="4" w:space="0"/>
              <w:right w:val="single" w:color="000000" w:sz="4" w:space="0"/>
            </w:tcBorders>
            <w:vAlign w:val="center"/>
          </w:tcPr>
          <w:p w14:paraId="3BAAC340">
            <w:pPr>
              <w:spacing w:line="560" w:lineRule="exact"/>
              <w:jc w:val="center"/>
              <w:rPr>
                <w:color w:val="auto"/>
                <w:sz w:val="28"/>
              </w:rPr>
            </w:pPr>
          </w:p>
        </w:tc>
        <w:tc>
          <w:tcPr>
            <w:tcW w:w="2947" w:type="dxa"/>
            <w:tcBorders>
              <w:bottom w:val="single" w:color="000000" w:sz="4" w:space="0"/>
              <w:right w:val="single" w:color="000000" w:sz="4" w:space="0"/>
            </w:tcBorders>
            <w:vAlign w:val="center"/>
          </w:tcPr>
          <w:p w14:paraId="7AE91A6C">
            <w:pPr>
              <w:spacing w:line="560" w:lineRule="exact"/>
              <w:jc w:val="center"/>
              <w:rPr>
                <w:color w:val="auto"/>
                <w:sz w:val="28"/>
              </w:rPr>
            </w:pPr>
          </w:p>
        </w:tc>
        <w:tc>
          <w:tcPr>
            <w:tcW w:w="2638" w:type="dxa"/>
            <w:tcBorders>
              <w:bottom w:val="single" w:color="000000" w:sz="4" w:space="0"/>
              <w:right w:val="single" w:color="000000" w:sz="8" w:space="0"/>
            </w:tcBorders>
            <w:vAlign w:val="center"/>
          </w:tcPr>
          <w:p w14:paraId="46AC56AD">
            <w:pPr>
              <w:spacing w:line="560" w:lineRule="exact"/>
              <w:jc w:val="center"/>
              <w:rPr>
                <w:color w:val="auto"/>
                <w:sz w:val="28"/>
              </w:rPr>
            </w:pPr>
          </w:p>
        </w:tc>
      </w:tr>
      <w:tr w14:paraId="07E5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133C631B">
            <w:pPr>
              <w:spacing w:line="560" w:lineRule="exact"/>
              <w:jc w:val="center"/>
              <w:rPr>
                <w:color w:val="auto"/>
                <w:sz w:val="28"/>
              </w:rPr>
            </w:pPr>
            <w:r>
              <w:rPr>
                <w:color w:val="auto"/>
              </w:rPr>
              <w:t>2</w:t>
            </w:r>
          </w:p>
        </w:tc>
        <w:tc>
          <w:tcPr>
            <w:tcW w:w="3098" w:type="dxa"/>
            <w:tcBorders>
              <w:bottom w:val="single" w:color="000000" w:sz="4" w:space="0"/>
              <w:right w:val="single" w:color="000000" w:sz="4" w:space="0"/>
            </w:tcBorders>
            <w:vAlign w:val="center"/>
          </w:tcPr>
          <w:p w14:paraId="083E414E">
            <w:pPr>
              <w:spacing w:line="560" w:lineRule="exact"/>
              <w:jc w:val="center"/>
              <w:rPr>
                <w:color w:val="auto"/>
                <w:sz w:val="28"/>
              </w:rPr>
            </w:pPr>
          </w:p>
        </w:tc>
        <w:tc>
          <w:tcPr>
            <w:tcW w:w="2947" w:type="dxa"/>
            <w:tcBorders>
              <w:bottom w:val="single" w:color="000000" w:sz="4" w:space="0"/>
              <w:right w:val="single" w:color="000000" w:sz="4" w:space="0"/>
            </w:tcBorders>
            <w:vAlign w:val="center"/>
          </w:tcPr>
          <w:p w14:paraId="02B9B3A6">
            <w:pPr>
              <w:spacing w:line="560" w:lineRule="exact"/>
              <w:jc w:val="center"/>
              <w:rPr>
                <w:color w:val="auto"/>
                <w:sz w:val="28"/>
              </w:rPr>
            </w:pPr>
          </w:p>
        </w:tc>
        <w:tc>
          <w:tcPr>
            <w:tcW w:w="2638" w:type="dxa"/>
            <w:tcBorders>
              <w:bottom w:val="single" w:color="000000" w:sz="4" w:space="0"/>
              <w:right w:val="single" w:color="000000" w:sz="8" w:space="0"/>
            </w:tcBorders>
            <w:vAlign w:val="center"/>
          </w:tcPr>
          <w:p w14:paraId="076B9B56">
            <w:pPr>
              <w:spacing w:line="560" w:lineRule="exact"/>
              <w:jc w:val="center"/>
              <w:rPr>
                <w:color w:val="auto"/>
                <w:sz w:val="28"/>
              </w:rPr>
            </w:pPr>
          </w:p>
        </w:tc>
      </w:tr>
      <w:tr w14:paraId="5887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730F497C">
            <w:pPr>
              <w:spacing w:line="560" w:lineRule="exact"/>
              <w:jc w:val="center"/>
              <w:rPr>
                <w:color w:val="auto"/>
                <w:sz w:val="28"/>
              </w:rPr>
            </w:pPr>
            <w:r>
              <w:rPr>
                <w:color w:val="auto"/>
              </w:rPr>
              <w:t>3</w:t>
            </w:r>
          </w:p>
        </w:tc>
        <w:tc>
          <w:tcPr>
            <w:tcW w:w="3098" w:type="dxa"/>
            <w:tcBorders>
              <w:bottom w:val="single" w:color="000000" w:sz="4" w:space="0"/>
              <w:right w:val="single" w:color="000000" w:sz="4" w:space="0"/>
            </w:tcBorders>
            <w:vAlign w:val="center"/>
          </w:tcPr>
          <w:p w14:paraId="4C910542">
            <w:pPr>
              <w:spacing w:line="560" w:lineRule="exact"/>
              <w:jc w:val="center"/>
              <w:rPr>
                <w:color w:val="auto"/>
                <w:sz w:val="28"/>
              </w:rPr>
            </w:pPr>
          </w:p>
        </w:tc>
        <w:tc>
          <w:tcPr>
            <w:tcW w:w="2947" w:type="dxa"/>
            <w:tcBorders>
              <w:bottom w:val="single" w:color="000000" w:sz="4" w:space="0"/>
              <w:right w:val="single" w:color="000000" w:sz="4" w:space="0"/>
            </w:tcBorders>
            <w:vAlign w:val="center"/>
          </w:tcPr>
          <w:p w14:paraId="5C32F547">
            <w:pPr>
              <w:spacing w:line="560" w:lineRule="exact"/>
              <w:jc w:val="center"/>
              <w:rPr>
                <w:color w:val="auto"/>
                <w:sz w:val="28"/>
              </w:rPr>
            </w:pPr>
          </w:p>
        </w:tc>
        <w:tc>
          <w:tcPr>
            <w:tcW w:w="2638" w:type="dxa"/>
            <w:tcBorders>
              <w:bottom w:val="single" w:color="000000" w:sz="4" w:space="0"/>
              <w:right w:val="single" w:color="000000" w:sz="8" w:space="0"/>
            </w:tcBorders>
            <w:vAlign w:val="center"/>
          </w:tcPr>
          <w:p w14:paraId="4094A9CB">
            <w:pPr>
              <w:spacing w:line="560" w:lineRule="exact"/>
              <w:jc w:val="center"/>
              <w:rPr>
                <w:color w:val="auto"/>
                <w:sz w:val="28"/>
              </w:rPr>
            </w:pPr>
          </w:p>
        </w:tc>
      </w:tr>
      <w:tr w14:paraId="2C04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2D55573D">
            <w:pPr>
              <w:spacing w:line="560" w:lineRule="exact"/>
              <w:jc w:val="center"/>
              <w:rPr>
                <w:color w:val="auto"/>
                <w:sz w:val="28"/>
              </w:rPr>
            </w:pPr>
            <w:r>
              <w:rPr>
                <w:color w:val="auto"/>
              </w:rPr>
              <w:t>4</w:t>
            </w:r>
          </w:p>
        </w:tc>
        <w:tc>
          <w:tcPr>
            <w:tcW w:w="3098" w:type="dxa"/>
            <w:tcBorders>
              <w:bottom w:val="single" w:color="000000" w:sz="4" w:space="0"/>
              <w:right w:val="single" w:color="000000" w:sz="4" w:space="0"/>
            </w:tcBorders>
            <w:vAlign w:val="center"/>
          </w:tcPr>
          <w:p w14:paraId="505B8692">
            <w:pPr>
              <w:spacing w:line="560" w:lineRule="exact"/>
              <w:jc w:val="center"/>
              <w:rPr>
                <w:color w:val="auto"/>
                <w:sz w:val="28"/>
              </w:rPr>
            </w:pPr>
          </w:p>
        </w:tc>
        <w:tc>
          <w:tcPr>
            <w:tcW w:w="2947" w:type="dxa"/>
            <w:tcBorders>
              <w:bottom w:val="single" w:color="000000" w:sz="4" w:space="0"/>
              <w:right w:val="single" w:color="000000" w:sz="4" w:space="0"/>
            </w:tcBorders>
            <w:vAlign w:val="center"/>
          </w:tcPr>
          <w:p w14:paraId="2A480B82">
            <w:pPr>
              <w:spacing w:line="560" w:lineRule="exact"/>
              <w:jc w:val="center"/>
              <w:rPr>
                <w:color w:val="auto"/>
                <w:sz w:val="28"/>
              </w:rPr>
            </w:pPr>
          </w:p>
        </w:tc>
        <w:tc>
          <w:tcPr>
            <w:tcW w:w="2638" w:type="dxa"/>
            <w:tcBorders>
              <w:bottom w:val="single" w:color="000000" w:sz="4" w:space="0"/>
              <w:right w:val="single" w:color="000000" w:sz="8" w:space="0"/>
            </w:tcBorders>
            <w:vAlign w:val="center"/>
          </w:tcPr>
          <w:p w14:paraId="13D77CEA">
            <w:pPr>
              <w:spacing w:line="560" w:lineRule="exact"/>
              <w:jc w:val="center"/>
              <w:rPr>
                <w:color w:val="auto"/>
                <w:sz w:val="28"/>
              </w:rPr>
            </w:pPr>
          </w:p>
        </w:tc>
      </w:tr>
      <w:tr w14:paraId="7BC3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14:paraId="5F350433">
            <w:pPr>
              <w:spacing w:line="560" w:lineRule="exact"/>
              <w:jc w:val="center"/>
              <w:rPr>
                <w:color w:val="auto"/>
                <w:sz w:val="28"/>
              </w:rPr>
            </w:pPr>
            <w:r>
              <w:rPr>
                <w:color w:val="auto"/>
              </w:rPr>
              <w:t>5</w:t>
            </w:r>
          </w:p>
        </w:tc>
        <w:tc>
          <w:tcPr>
            <w:tcW w:w="3098" w:type="dxa"/>
            <w:tcBorders>
              <w:bottom w:val="single" w:color="000000" w:sz="4" w:space="0"/>
              <w:right w:val="single" w:color="000000" w:sz="4" w:space="0"/>
            </w:tcBorders>
            <w:vAlign w:val="center"/>
          </w:tcPr>
          <w:p w14:paraId="03CCF7CA">
            <w:pPr>
              <w:spacing w:line="560" w:lineRule="exact"/>
              <w:jc w:val="center"/>
              <w:rPr>
                <w:color w:val="auto"/>
                <w:sz w:val="28"/>
              </w:rPr>
            </w:pPr>
          </w:p>
        </w:tc>
        <w:tc>
          <w:tcPr>
            <w:tcW w:w="2947" w:type="dxa"/>
            <w:tcBorders>
              <w:bottom w:val="single" w:color="000000" w:sz="4" w:space="0"/>
              <w:right w:val="single" w:color="000000" w:sz="4" w:space="0"/>
            </w:tcBorders>
            <w:vAlign w:val="center"/>
          </w:tcPr>
          <w:p w14:paraId="3593BA82">
            <w:pPr>
              <w:spacing w:line="560" w:lineRule="exact"/>
              <w:jc w:val="center"/>
              <w:rPr>
                <w:color w:val="auto"/>
                <w:sz w:val="28"/>
              </w:rPr>
            </w:pPr>
          </w:p>
        </w:tc>
        <w:tc>
          <w:tcPr>
            <w:tcW w:w="2638" w:type="dxa"/>
            <w:tcBorders>
              <w:bottom w:val="single" w:color="000000" w:sz="4" w:space="0"/>
              <w:right w:val="single" w:color="000000" w:sz="8" w:space="0"/>
            </w:tcBorders>
            <w:vAlign w:val="center"/>
          </w:tcPr>
          <w:p w14:paraId="5FC10195">
            <w:pPr>
              <w:spacing w:line="560" w:lineRule="exact"/>
              <w:jc w:val="center"/>
              <w:rPr>
                <w:color w:val="auto"/>
                <w:sz w:val="28"/>
              </w:rPr>
            </w:pPr>
          </w:p>
        </w:tc>
      </w:tr>
      <w:tr w14:paraId="7910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14:paraId="3828B9A4">
            <w:pPr>
              <w:spacing w:line="560" w:lineRule="exact"/>
              <w:jc w:val="center"/>
              <w:rPr>
                <w:color w:val="auto"/>
                <w:sz w:val="28"/>
              </w:rPr>
            </w:pPr>
            <w:r>
              <w:rPr>
                <w:color w:val="auto"/>
              </w:rPr>
              <w:t>6</w:t>
            </w:r>
          </w:p>
        </w:tc>
        <w:tc>
          <w:tcPr>
            <w:tcW w:w="3098" w:type="dxa"/>
            <w:tcBorders>
              <w:bottom w:val="single" w:color="000000" w:sz="4" w:space="0"/>
              <w:right w:val="single" w:color="000000" w:sz="4" w:space="0"/>
            </w:tcBorders>
            <w:vAlign w:val="center"/>
          </w:tcPr>
          <w:p w14:paraId="15F058A9">
            <w:pPr>
              <w:spacing w:line="560" w:lineRule="exact"/>
              <w:jc w:val="center"/>
              <w:rPr>
                <w:color w:val="auto"/>
                <w:sz w:val="28"/>
              </w:rPr>
            </w:pPr>
          </w:p>
        </w:tc>
        <w:tc>
          <w:tcPr>
            <w:tcW w:w="2947" w:type="dxa"/>
            <w:tcBorders>
              <w:bottom w:val="single" w:color="000000" w:sz="4" w:space="0"/>
              <w:right w:val="single" w:color="000000" w:sz="4" w:space="0"/>
            </w:tcBorders>
            <w:vAlign w:val="center"/>
          </w:tcPr>
          <w:p w14:paraId="25BBE526">
            <w:pPr>
              <w:spacing w:line="560" w:lineRule="exact"/>
              <w:jc w:val="center"/>
              <w:rPr>
                <w:color w:val="auto"/>
                <w:sz w:val="28"/>
              </w:rPr>
            </w:pPr>
          </w:p>
        </w:tc>
        <w:tc>
          <w:tcPr>
            <w:tcW w:w="2638" w:type="dxa"/>
            <w:tcBorders>
              <w:bottom w:val="single" w:color="000000" w:sz="4" w:space="0"/>
              <w:right w:val="single" w:color="000000" w:sz="8" w:space="0"/>
            </w:tcBorders>
            <w:vAlign w:val="center"/>
          </w:tcPr>
          <w:p w14:paraId="0C59A152">
            <w:pPr>
              <w:spacing w:line="560" w:lineRule="exact"/>
              <w:jc w:val="center"/>
              <w:rPr>
                <w:color w:val="auto"/>
                <w:sz w:val="28"/>
              </w:rPr>
            </w:pPr>
          </w:p>
        </w:tc>
      </w:tr>
      <w:tr w14:paraId="601A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313C7EFD">
            <w:pPr>
              <w:spacing w:line="560" w:lineRule="exact"/>
              <w:jc w:val="center"/>
              <w:rPr>
                <w:color w:val="auto"/>
                <w:sz w:val="28"/>
              </w:rPr>
            </w:pPr>
            <w:r>
              <w:rPr>
                <w:color w:val="auto"/>
              </w:rPr>
              <w:t>7</w:t>
            </w:r>
          </w:p>
        </w:tc>
        <w:tc>
          <w:tcPr>
            <w:tcW w:w="3098" w:type="dxa"/>
            <w:tcBorders>
              <w:bottom w:val="single" w:color="000000" w:sz="4" w:space="0"/>
              <w:right w:val="single" w:color="000000" w:sz="4" w:space="0"/>
            </w:tcBorders>
            <w:vAlign w:val="center"/>
          </w:tcPr>
          <w:p w14:paraId="2BE91792">
            <w:pPr>
              <w:spacing w:line="560" w:lineRule="exact"/>
              <w:jc w:val="center"/>
              <w:rPr>
                <w:color w:val="auto"/>
                <w:sz w:val="28"/>
              </w:rPr>
            </w:pPr>
          </w:p>
        </w:tc>
        <w:tc>
          <w:tcPr>
            <w:tcW w:w="2947" w:type="dxa"/>
            <w:tcBorders>
              <w:bottom w:val="single" w:color="000000" w:sz="4" w:space="0"/>
              <w:right w:val="single" w:color="000000" w:sz="4" w:space="0"/>
            </w:tcBorders>
            <w:vAlign w:val="center"/>
          </w:tcPr>
          <w:p w14:paraId="7479B5AA">
            <w:pPr>
              <w:spacing w:line="560" w:lineRule="exact"/>
              <w:jc w:val="center"/>
              <w:rPr>
                <w:color w:val="auto"/>
                <w:sz w:val="28"/>
              </w:rPr>
            </w:pPr>
          </w:p>
        </w:tc>
        <w:tc>
          <w:tcPr>
            <w:tcW w:w="2638" w:type="dxa"/>
            <w:tcBorders>
              <w:bottom w:val="single" w:color="000000" w:sz="4" w:space="0"/>
              <w:right w:val="single" w:color="000000" w:sz="8" w:space="0"/>
            </w:tcBorders>
            <w:vAlign w:val="center"/>
          </w:tcPr>
          <w:p w14:paraId="306DF16A">
            <w:pPr>
              <w:spacing w:line="560" w:lineRule="exact"/>
              <w:jc w:val="center"/>
              <w:rPr>
                <w:color w:val="auto"/>
                <w:sz w:val="28"/>
              </w:rPr>
            </w:pPr>
          </w:p>
        </w:tc>
      </w:tr>
      <w:tr w14:paraId="3D38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654D347C">
            <w:pPr>
              <w:spacing w:line="560" w:lineRule="exact"/>
              <w:jc w:val="center"/>
              <w:rPr>
                <w:color w:val="auto"/>
                <w:sz w:val="28"/>
              </w:rPr>
            </w:pPr>
            <w:r>
              <w:rPr>
                <w:color w:val="auto"/>
              </w:rPr>
              <w:t>8</w:t>
            </w:r>
          </w:p>
        </w:tc>
        <w:tc>
          <w:tcPr>
            <w:tcW w:w="3098" w:type="dxa"/>
            <w:tcBorders>
              <w:bottom w:val="single" w:color="000000" w:sz="4" w:space="0"/>
              <w:right w:val="single" w:color="000000" w:sz="4" w:space="0"/>
            </w:tcBorders>
            <w:vAlign w:val="center"/>
          </w:tcPr>
          <w:p w14:paraId="17A7C4E5">
            <w:pPr>
              <w:spacing w:line="560" w:lineRule="exact"/>
              <w:jc w:val="center"/>
              <w:rPr>
                <w:color w:val="auto"/>
                <w:sz w:val="28"/>
              </w:rPr>
            </w:pPr>
          </w:p>
        </w:tc>
        <w:tc>
          <w:tcPr>
            <w:tcW w:w="2947" w:type="dxa"/>
            <w:tcBorders>
              <w:bottom w:val="single" w:color="000000" w:sz="4" w:space="0"/>
              <w:right w:val="single" w:color="000000" w:sz="4" w:space="0"/>
            </w:tcBorders>
            <w:vAlign w:val="center"/>
          </w:tcPr>
          <w:p w14:paraId="60E962D3">
            <w:pPr>
              <w:spacing w:line="560" w:lineRule="exact"/>
              <w:jc w:val="center"/>
              <w:rPr>
                <w:color w:val="auto"/>
                <w:sz w:val="28"/>
              </w:rPr>
            </w:pPr>
          </w:p>
        </w:tc>
        <w:tc>
          <w:tcPr>
            <w:tcW w:w="2638" w:type="dxa"/>
            <w:tcBorders>
              <w:bottom w:val="single" w:color="000000" w:sz="4" w:space="0"/>
              <w:right w:val="single" w:color="000000" w:sz="8" w:space="0"/>
            </w:tcBorders>
            <w:vAlign w:val="center"/>
          </w:tcPr>
          <w:p w14:paraId="09C0FF6F">
            <w:pPr>
              <w:spacing w:line="560" w:lineRule="exact"/>
              <w:jc w:val="center"/>
              <w:rPr>
                <w:color w:val="auto"/>
                <w:sz w:val="28"/>
              </w:rPr>
            </w:pPr>
          </w:p>
        </w:tc>
      </w:tr>
      <w:tr w14:paraId="74E1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14:paraId="3E67C8B6">
            <w:pPr>
              <w:spacing w:line="560" w:lineRule="exact"/>
              <w:jc w:val="center"/>
              <w:rPr>
                <w:color w:val="auto"/>
                <w:sz w:val="28"/>
              </w:rPr>
            </w:pPr>
            <w:r>
              <w:rPr>
                <w:color w:val="auto"/>
              </w:rPr>
              <w:t>9</w:t>
            </w:r>
          </w:p>
        </w:tc>
        <w:tc>
          <w:tcPr>
            <w:tcW w:w="3098" w:type="dxa"/>
            <w:tcBorders>
              <w:bottom w:val="single" w:color="000000" w:sz="4" w:space="0"/>
              <w:right w:val="single" w:color="000000" w:sz="4" w:space="0"/>
            </w:tcBorders>
            <w:vAlign w:val="center"/>
          </w:tcPr>
          <w:p w14:paraId="377275CF">
            <w:pPr>
              <w:spacing w:line="560" w:lineRule="exact"/>
              <w:jc w:val="center"/>
              <w:rPr>
                <w:color w:val="auto"/>
                <w:sz w:val="28"/>
              </w:rPr>
            </w:pPr>
          </w:p>
        </w:tc>
        <w:tc>
          <w:tcPr>
            <w:tcW w:w="2947" w:type="dxa"/>
            <w:tcBorders>
              <w:bottom w:val="single" w:color="000000" w:sz="4" w:space="0"/>
              <w:right w:val="single" w:color="000000" w:sz="4" w:space="0"/>
            </w:tcBorders>
            <w:vAlign w:val="center"/>
          </w:tcPr>
          <w:p w14:paraId="0F937A47">
            <w:pPr>
              <w:spacing w:line="560" w:lineRule="exact"/>
              <w:jc w:val="center"/>
              <w:rPr>
                <w:color w:val="auto"/>
                <w:sz w:val="28"/>
              </w:rPr>
            </w:pPr>
          </w:p>
        </w:tc>
        <w:tc>
          <w:tcPr>
            <w:tcW w:w="2638" w:type="dxa"/>
            <w:tcBorders>
              <w:bottom w:val="single" w:color="000000" w:sz="4" w:space="0"/>
              <w:right w:val="single" w:color="000000" w:sz="8" w:space="0"/>
            </w:tcBorders>
            <w:vAlign w:val="center"/>
          </w:tcPr>
          <w:p w14:paraId="7976735B">
            <w:pPr>
              <w:spacing w:line="560" w:lineRule="exact"/>
              <w:jc w:val="center"/>
              <w:rPr>
                <w:color w:val="auto"/>
                <w:sz w:val="28"/>
              </w:rPr>
            </w:pPr>
          </w:p>
        </w:tc>
      </w:tr>
      <w:tr w14:paraId="6239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14:paraId="51F94626">
            <w:pPr>
              <w:spacing w:line="560" w:lineRule="exact"/>
              <w:jc w:val="center"/>
              <w:rPr>
                <w:color w:val="auto"/>
                <w:sz w:val="28"/>
              </w:rPr>
            </w:pPr>
            <w:r>
              <w:rPr>
                <w:color w:val="auto"/>
              </w:rPr>
              <w:t>......</w:t>
            </w:r>
          </w:p>
        </w:tc>
        <w:tc>
          <w:tcPr>
            <w:tcW w:w="3098" w:type="dxa"/>
            <w:tcBorders>
              <w:bottom w:val="single" w:color="000000" w:sz="8" w:space="0"/>
              <w:right w:val="single" w:color="000000" w:sz="4" w:space="0"/>
            </w:tcBorders>
            <w:vAlign w:val="center"/>
          </w:tcPr>
          <w:p w14:paraId="1174A39D">
            <w:pPr>
              <w:spacing w:line="560" w:lineRule="exact"/>
              <w:jc w:val="center"/>
              <w:rPr>
                <w:color w:val="auto"/>
                <w:sz w:val="28"/>
              </w:rPr>
            </w:pPr>
          </w:p>
        </w:tc>
        <w:tc>
          <w:tcPr>
            <w:tcW w:w="2947" w:type="dxa"/>
            <w:tcBorders>
              <w:bottom w:val="single" w:color="000000" w:sz="8" w:space="0"/>
              <w:right w:val="single" w:color="000000" w:sz="4" w:space="0"/>
            </w:tcBorders>
            <w:vAlign w:val="center"/>
          </w:tcPr>
          <w:p w14:paraId="06A992D0">
            <w:pPr>
              <w:spacing w:line="560" w:lineRule="exact"/>
              <w:jc w:val="center"/>
              <w:rPr>
                <w:color w:val="auto"/>
                <w:sz w:val="28"/>
              </w:rPr>
            </w:pPr>
          </w:p>
        </w:tc>
        <w:tc>
          <w:tcPr>
            <w:tcW w:w="2638" w:type="dxa"/>
            <w:tcBorders>
              <w:bottom w:val="single" w:color="000000" w:sz="8" w:space="0"/>
              <w:right w:val="single" w:color="000000" w:sz="8" w:space="0"/>
            </w:tcBorders>
            <w:vAlign w:val="center"/>
          </w:tcPr>
          <w:p w14:paraId="2330D38F">
            <w:pPr>
              <w:spacing w:line="560" w:lineRule="exact"/>
              <w:jc w:val="center"/>
              <w:rPr>
                <w:color w:val="auto"/>
                <w:sz w:val="28"/>
              </w:rPr>
            </w:pPr>
          </w:p>
        </w:tc>
      </w:tr>
    </w:tbl>
    <w:p w14:paraId="5FE95AD1">
      <w:pPr>
        <w:tabs>
          <w:tab w:val="left" w:pos="0"/>
        </w:tabs>
        <w:adjustRightInd w:val="0"/>
        <w:snapToGrid w:val="0"/>
        <w:spacing w:before="120" w:beforeLines="50" w:line="300" w:lineRule="auto"/>
        <w:ind w:right="25"/>
        <w:rPr>
          <w:rFonts w:ascii="宋体"/>
          <w:color w:val="auto"/>
          <w:spacing w:val="8"/>
          <w:szCs w:val="21"/>
        </w:rPr>
      </w:pPr>
      <w:r>
        <w:rPr>
          <w:rFonts w:hint="eastAsia" w:ascii="宋体" w:hAnsi="宋体"/>
          <w:color w:val="auto"/>
          <w:spacing w:val="8"/>
          <w:szCs w:val="21"/>
        </w:rPr>
        <w:t>注：</w:t>
      </w:r>
      <w:r>
        <w:rPr>
          <w:rFonts w:ascii="宋体" w:hAnsi="宋体"/>
          <w:color w:val="auto"/>
          <w:spacing w:val="8"/>
          <w:szCs w:val="21"/>
        </w:rPr>
        <w:t>1</w:t>
      </w:r>
      <w:r>
        <w:rPr>
          <w:rFonts w:hint="eastAsia" w:ascii="宋体" w:hAnsi="宋体"/>
          <w:color w:val="auto"/>
          <w:spacing w:val="8"/>
          <w:szCs w:val="21"/>
        </w:rPr>
        <w:t>、“偏差表”应详细注明与《</w:t>
      </w:r>
      <w:r>
        <w:rPr>
          <w:rFonts w:hint="eastAsia"/>
          <w:color w:val="auto"/>
        </w:rPr>
        <w:t>单一来源采购文件</w:t>
      </w:r>
      <w:r>
        <w:rPr>
          <w:rFonts w:hint="eastAsia" w:ascii="宋体" w:hAnsi="宋体"/>
          <w:color w:val="auto"/>
          <w:spacing w:val="8"/>
          <w:szCs w:val="21"/>
        </w:rPr>
        <w:t>》中各项要求有何不同，并说明其符合性（优于、或低于《</w:t>
      </w:r>
      <w:r>
        <w:rPr>
          <w:rFonts w:hint="eastAsia"/>
          <w:color w:val="auto"/>
        </w:rPr>
        <w:t>单一来源采购文件</w:t>
      </w:r>
      <w:r>
        <w:rPr>
          <w:rFonts w:hint="eastAsia" w:ascii="宋体" w:hAnsi="宋体"/>
          <w:color w:val="auto"/>
          <w:spacing w:val="8"/>
          <w:szCs w:val="21"/>
        </w:rPr>
        <w:t>》要求）。页数不够时请自行复印或按格式添加。</w:t>
      </w:r>
    </w:p>
    <w:p w14:paraId="001BDF0E">
      <w:pPr>
        <w:tabs>
          <w:tab w:val="left" w:pos="0"/>
        </w:tabs>
        <w:adjustRightInd w:val="0"/>
        <w:snapToGrid w:val="0"/>
        <w:spacing w:before="120" w:beforeLines="50" w:line="300" w:lineRule="auto"/>
        <w:ind w:right="25" w:firstLine="452" w:firstLineChars="200"/>
        <w:rPr>
          <w:rFonts w:ascii="宋体"/>
          <w:color w:val="auto"/>
          <w:spacing w:val="8"/>
          <w:szCs w:val="21"/>
        </w:rPr>
      </w:pPr>
      <w:r>
        <w:rPr>
          <w:rFonts w:ascii="宋体" w:hAnsi="宋体"/>
          <w:color w:val="auto"/>
          <w:spacing w:val="8"/>
          <w:szCs w:val="21"/>
        </w:rPr>
        <w:t>2</w:t>
      </w:r>
      <w:r>
        <w:rPr>
          <w:rFonts w:hint="eastAsia" w:ascii="宋体" w:hAnsi="宋体"/>
          <w:color w:val="auto"/>
          <w:spacing w:val="8"/>
          <w:szCs w:val="21"/>
        </w:rPr>
        <w:t>、如投标条款与《</w:t>
      </w:r>
      <w:r>
        <w:rPr>
          <w:rFonts w:hint="eastAsia"/>
          <w:color w:val="auto"/>
        </w:rPr>
        <w:t>单一来源采购文件</w:t>
      </w:r>
      <w:r>
        <w:rPr>
          <w:rFonts w:hint="eastAsia" w:ascii="宋体" w:hAnsi="宋体"/>
          <w:color w:val="auto"/>
          <w:spacing w:val="8"/>
          <w:szCs w:val="21"/>
        </w:rPr>
        <w:t>》要求一致，仍需在本表填列“与《</w:t>
      </w:r>
      <w:r>
        <w:rPr>
          <w:rFonts w:hint="eastAsia"/>
          <w:color w:val="auto"/>
        </w:rPr>
        <w:t>单一来源采购文件</w:t>
      </w:r>
      <w:r>
        <w:rPr>
          <w:rFonts w:hint="eastAsia" w:ascii="宋体" w:hAnsi="宋体"/>
          <w:color w:val="auto"/>
          <w:spacing w:val="8"/>
          <w:szCs w:val="21"/>
        </w:rPr>
        <w:t>》所有条款要求一致，无偏差”等相似表述。</w:t>
      </w:r>
    </w:p>
    <w:p w14:paraId="33E0565D">
      <w:pPr>
        <w:widowControl w:val="0"/>
        <w:tabs>
          <w:tab w:val="left" w:pos="9365"/>
        </w:tabs>
        <w:snapToGrid w:val="0"/>
        <w:spacing w:after="56" w:line="560" w:lineRule="exact"/>
        <w:ind w:right="85"/>
        <w:jc w:val="left"/>
        <w:textAlignment w:val="top"/>
        <w:rPr>
          <w:color w:val="auto"/>
          <w:sz w:val="24"/>
          <w:szCs w:val="24"/>
        </w:rPr>
      </w:pPr>
    </w:p>
    <w:p w14:paraId="3C63E461">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14:paraId="0C016B30">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14:paraId="2E2F8069">
      <w:pPr>
        <w:spacing w:line="240" w:lineRule="auto"/>
        <w:jc w:val="left"/>
        <w:textAlignment w:val="auto"/>
        <w:rPr>
          <w:rFonts w:eastAsia="方正黑体简体"/>
          <w:b/>
          <w:color w:val="auto"/>
          <w:sz w:val="30"/>
          <w:szCs w:val="30"/>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r>
        <w:rPr>
          <w:rFonts w:eastAsia="方正黑体简体"/>
          <w:b/>
          <w:color w:val="auto"/>
          <w:sz w:val="30"/>
          <w:szCs w:val="30"/>
        </w:rPr>
        <w:br w:type="page"/>
      </w:r>
    </w:p>
    <w:p w14:paraId="05E7C256">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rPr>
        <w:t>十、关于资格的声明函</w:t>
      </w:r>
    </w:p>
    <w:p w14:paraId="5ACD268D">
      <w:pPr>
        <w:snapToGrid w:val="0"/>
        <w:spacing w:line="560" w:lineRule="exact"/>
        <w:ind w:firstLine="839"/>
        <w:rPr>
          <w:color w:val="auto"/>
        </w:rPr>
      </w:pPr>
    </w:p>
    <w:p w14:paraId="2992C7BB">
      <w:pPr>
        <w:snapToGrid w:val="0"/>
        <w:spacing w:line="560" w:lineRule="exact"/>
        <w:rPr>
          <w:rFonts w:ascii="宋体"/>
          <w:color w:val="auto"/>
          <w:sz w:val="24"/>
        </w:rPr>
      </w:pPr>
      <w:r>
        <w:rPr>
          <w:rFonts w:hint="eastAsia" w:ascii="宋体" w:hAnsi="宋体"/>
          <w:color w:val="auto"/>
          <w:sz w:val="24"/>
        </w:rPr>
        <w:t>安阳市方正招标采购服务有限责任公司：</w:t>
      </w:r>
    </w:p>
    <w:p w14:paraId="2E2E98DE">
      <w:pPr>
        <w:snapToGrid w:val="0"/>
        <w:spacing w:line="560" w:lineRule="exact"/>
        <w:ind w:firstLine="555"/>
        <w:rPr>
          <w:rFonts w:ascii="宋体"/>
          <w:color w:val="auto"/>
          <w:sz w:val="24"/>
        </w:rPr>
      </w:pPr>
      <w:r>
        <w:rPr>
          <w:rFonts w:hint="eastAsia" w:ascii="宋体" w:hAnsi="宋体"/>
          <w:color w:val="auto"/>
          <w:sz w:val="24"/>
        </w:rPr>
        <w:t>关于贵方项目编号为</w:t>
      </w:r>
      <w:r>
        <w:rPr>
          <w:rFonts w:ascii="宋体" w:hAnsi="宋体"/>
          <w:color w:val="auto"/>
          <w:sz w:val="24"/>
          <w:u w:val="single"/>
        </w:rPr>
        <w:t xml:space="preserve">       </w:t>
      </w:r>
      <w:r>
        <w:rPr>
          <w:rFonts w:hint="eastAsia" w:ascii="宋体" w:hAnsi="宋体"/>
          <w:color w:val="auto"/>
          <w:sz w:val="24"/>
        </w:rPr>
        <w:t>的项目，本签字人愿意参加投标，提供单一来源采购文件中规定的产品及服务，并声明提交下列文件是准确的、真实的和有效的。</w:t>
      </w:r>
    </w:p>
    <w:p w14:paraId="3758C021">
      <w:pPr>
        <w:numPr>
          <w:ilvl w:val="0"/>
          <w:numId w:val="1"/>
        </w:numPr>
        <w:snapToGrid w:val="0"/>
        <w:spacing w:line="560" w:lineRule="exact"/>
        <w:ind w:firstLine="555"/>
        <w:rPr>
          <w:rFonts w:ascii="宋体" w:hAnsi="宋体"/>
          <w:color w:val="auto"/>
          <w:sz w:val="24"/>
        </w:rPr>
      </w:pPr>
      <w:r>
        <w:rPr>
          <w:rFonts w:hint="eastAsia" w:ascii="宋体" w:hAnsi="宋体"/>
          <w:color w:val="auto"/>
          <w:sz w:val="24"/>
        </w:rPr>
        <w:t>《单一来源采购文件》第一章“谈判邀请函”第二条所要求的资格性证明文件（证件或证明资料或承诺）</w:t>
      </w:r>
    </w:p>
    <w:p w14:paraId="26201334">
      <w:pPr>
        <w:snapToGrid w:val="0"/>
        <w:spacing w:line="560" w:lineRule="exact"/>
        <w:ind w:firstLine="555"/>
        <w:rPr>
          <w:rFonts w:asci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采购项目中必须的其他证件。</w:t>
      </w:r>
    </w:p>
    <w:p w14:paraId="073C75E5">
      <w:pPr>
        <w:snapToGrid w:val="0"/>
        <w:spacing w:line="560" w:lineRule="exact"/>
        <w:ind w:firstLine="555"/>
        <w:rPr>
          <w:rFonts w:ascii="宋体"/>
          <w:color w:val="auto"/>
          <w:sz w:val="24"/>
        </w:rPr>
      </w:pP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本签字人确认资格文件中的说明是真实的、准确的。</w:t>
      </w:r>
    </w:p>
    <w:p w14:paraId="25A372A2">
      <w:pPr>
        <w:snapToGrid w:val="0"/>
        <w:spacing w:line="560" w:lineRule="exact"/>
        <w:ind w:firstLine="555"/>
        <w:rPr>
          <w:rFonts w:ascii="宋体"/>
          <w:color w:val="auto"/>
          <w:sz w:val="24"/>
        </w:rPr>
      </w:pPr>
    </w:p>
    <w:p w14:paraId="0C54595F">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14:paraId="562518D3">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14:paraId="579ECA7B">
      <w:pPr>
        <w:widowControl w:val="0"/>
        <w:tabs>
          <w:tab w:val="left" w:pos="9365"/>
        </w:tabs>
        <w:snapToGrid w:val="0"/>
        <w:spacing w:after="56" w:line="560" w:lineRule="exact"/>
        <w:ind w:right="85"/>
        <w:jc w:val="left"/>
        <w:textAlignment w:val="top"/>
        <w:rPr>
          <w:rFonts w:ascii="宋体" w:hAnsi="宋体" w:cs="楷体_GB2312"/>
          <w:color w:val="auto"/>
          <w:sz w:val="24"/>
          <w:lang w:val="zh-CN"/>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126B70C7">
      <w:pPr>
        <w:spacing w:line="240" w:lineRule="auto"/>
        <w:jc w:val="left"/>
        <w:textAlignment w:val="auto"/>
        <w:rPr>
          <w:rFonts w:eastAsia="方正黑体简体"/>
          <w:b/>
          <w:color w:val="auto"/>
          <w:sz w:val="30"/>
          <w:szCs w:val="30"/>
        </w:rPr>
      </w:pPr>
      <w:r>
        <w:rPr>
          <w:rFonts w:eastAsia="方正黑体简体"/>
          <w:b/>
          <w:color w:val="auto"/>
          <w:sz w:val="30"/>
          <w:szCs w:val="30"/>
        </w:rPr>
        <w:br w:type="page"/>
      </w:r>
    </w:p>
    <w:p w14:paraId="71C08E1D">
      <w:pPr>
        <w:spacing w:line="240" w:lineRule="auto"/>
        <w:jc w:val="left"/>
        <w:textAlignment w:val="auto"/>
        <w:rPr>
          <w:rFonts w:eastAsia="方正黑体简体"/>
          <w:b/>
          <w:color w:val="auto"/>
          <w:sz w:val="30"/>
          <w:szCs w:val="30"/>
        </w:rPr>
      </w:pPr>
    </w:p>
    <w:p w14:paraId="63F2497D">
      <w:pPr>
        <w:tabs>
          <w:tab w:val="left" w:pos="540"/>
        </w:tabs>
        <w:spacing w:line="440" w:lineRule="exact"/>
        <w:jc w:val="center"/>
        <w:rPr>
          <w:rFonts w:eastAsia="方正黑体简体"/>
          <w:b/>
          <w:color w:val="auto"/>
          <w:sz w:val="30"/>
          <w:szCs w:val="30"/>
        </w:rPr>
      </w:pPr>
      <w:r>
        <w:rPr>
          <w:rFonts w:hint="eastAsia" w:eastAsia="方正黑体简体"/>
          <w:b/>
          <w:color w:val="auto"/>
          <w:sz w:val="30"/>
          <w:szCs w:val="30"/>
        </w:rPr>
        <w:t>十一、反商业贿赂承诺书</w:t>
      </w:r>
    </w:p>
    <w:p w14:paraId="4C10B06E">
      <w:pPr>
        <w:rPr>
          <w:b/>
          <w:color w:val="auto"/>
          <w:sz w:val="48"/>
          <w:szCs w:val="48"/>
        </w:rPr>
      </w:pPr>
    </w:p>
    <w:p w14:paraId="6A0872A9">
      <w:pPr>
        <w:snapToGrid w:val="0"/>
        <w:spacing w:line="560" w:lineRule="atLeast"/>
        <w:ind w:right="56" w:firstLine="555"/>
        <w:rPr>
          <w:color w:val="auto"/>
          <w:sz w:val="24"/>
        </w:rPr>
      </w:pPr>
      <w:r>
        <w:rPr>
          <w:rFonts w:hint="eastAsia"/>
          <w:color w:val="auto"/>
          <w:sz w:val="24"/>
        </w:rPr>
        <w:t>我公司承诺：</w:t>
      </w:r>
    </w:p>
    <w:p w14:paraId="72297A93">
      <w:pPr>
        <w:snapToGrid w:val="0"/>
        <w:spacing w:line="560" w:lineRule="atLeast"/>
        <w:ind w:right="56" w:firstLine="555"/>
        <w:rPr>
          <w:color w:val="auto"/>
          <w:sz w:val="24"/>
        </w:rPr>
      </w:pPr>
      <w:r>
        <w:rPr>
          <w:rFonts w:hint="eastAsia"/>
          <w:color w:val="auto"/>
          <w:sz w:val="24"/>
        </w:rPr>
        <w:t>在采购活动中，我公司保证做到：</w:t>
      </w:r>
    </w:p>
    <w:p w14:paraId="6AC9E619">
      <w:pPr>
        <w:snapToGrid w:val="0"/>
        <w:spacing w:line="560" w:lineRule="atLeast"/>
        <w:ind w:right="56" w:firstLine="555"/>
        <w:rPr>
          <w:color w:val="auto"/>
          <w:sz w:val="24"/>
        </w:rPr>
      </w:pPr>
      <w:r>
        <w:rPr>
          <w:rFonts w:hint="eastAsia"/>
          <w:color w:val="auto"/>
          <w:sz w:val="24"/>
        </w:rPr>
        <w:t>一、公平竞争参加本次采购活动。</w:t>
      </w:r>
    </w:p>
    <w:p w14:paraId="48C6C603">
      <w:pPr>
        <w:snapToGrid w:val="0"/>
        <w:spacing w:line="560" w:lineRule="atLeast"/>
        <w:ind w:right="56" w:firstLine="555"/>
        <w:rPr>
          <w:color w:val="auto"/>
          <w:sz w:val="24"/>
        </w:rPr>
      </w:pPr>
      <w:r>
        <w:rPr>
          <w:rFonts w:hint="eastAsia"/>
          <w:color w:val="auto"/>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1AD7E07">
      <w:pPr>
        <w:snapToGrid w:val="0"/>
        <w:spacing w:line="560" w:lineRule="atLeast"/>
        <w:ind w:right="56" w:firstLine="555"/>
        <w:rPr>
          <w:color w:val="auto"/>
          <w:sz w:val="24"/>
        </w:rPr>
      </w:pPr>
      <w:r>
        <w:rPr>
          <w:rFonts w:hint="eastAsia"/>
          <w:color w:val="auto"/>
          <w:sz w:val="24"/>
        </w:rPr>
        <w:t>三、若出现上述行为，我公司及其参与投标的工作人员愿意接受按照国家法律法规等有关规定给予的处罚。</w:t>
      </w:r>
    </w:p>
    <w:p w14:paraId="7DBF315C">
      <w:pPr>
        <w:snapToGrid w:val="0"/>
        <w:spacing w:line="560" w:lineRule="atLeast"/>
        <w:ind w:right="56" w:firstLine="555"/>
        <w:rPr>
          <w:color w:val="auto"/>
          <w:sz w:val="24"/>
        </w:rPr>
      </w:pPr>
    </w:p>
    <w:p w14:paraId="4AFBDDD8">
      <w:pPr>
        <w:snapToGrid w:val="0"/>
        <w:spacing w:line="560" w:lineRule="atLeast"/>
        <w:ind w:right="56" w:firstLine="555"/>
        <w:rPr>
          <w:color w:val="auto"/>
          <w:sz w:val="24"/>
        </w:rPr>
      </w:pPr>
    </w:p>
    <w:p w14:paraId="50D77084">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14:paraId="0F59DB1A">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14:paraId="4F1067B1">
      <w:pPr>
        <w:widowControl w:val="0"/>
        <w:tabs>
          <w:tab w:val="left" w:pos="9365"/>
        </w:tabs>
        <w:snapToGrid w:val="0"/>
        <w:spacing w:after="56" w:line="560" w:lineRule="exact"/>
        <w:ind w:right="56"/>
        <w:jc w:val="left"/>
        <w:textAlignment w:val="top"/>
        <w:rPr>
          <w:color w:val="auto"/>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6097EDDD">
      <w:pPr>
        <w:autoSpaceDE w:val="0"/>
        <w:autoSpaceDN w:val="0"/>
        <w:adjustRightInd w:val="0"/>
        <w:spacing w:line="480" w:lineRule="auto"/>
        <w:rPr>
          <w:rFonts w:ascii="宋体"/>
          <w:color w:val="auto"/>
          <w:sz w:val="24"/>
        </w:rPr>
      </w:pPr>
    </w:p>
    <w:p w14:paraId="63375356">
      <w:pPr>
        <w:tabs>
          <w:tab w:val="left" w:pos="540"/>
        </w:tabs>
        <w:spacing w:line="440" w:lineRule="exact"/>
        <w:jc w:val="center"/>
        <w:rPr>
          <w:color w:val="auto"/>
        </w:rPr>
      </w:pPr>
      <w:r>
        <w:rPr>
          <w:color w:val="auto"/>
        </w:rPr>
        <w:br w:type="page"/>
      </w:r>
    </w:p>
    <w:p w14:paraId="69E1CC9D">
      <w:pPr>
        <w:tabs>
          <w:tab w:val="left" w:pos="540"/>
        </w:tabs>
        <w:spacing w:line="440" w:lineRule="exact"/>
        <w:jc w:val="center"/>
        <w:rPr>
          <w:rFonts w:eastAsia="方正黑体简体"/>
          <w:b/>
          <w:color w:val="auto"/>
          <w:sz w:val="30"/>
          <w:szCs w:val="30"/>
        </w:rPr>
      </w:pPr>
    </w:p>
    <w:p w14:paraId="59CBB04A">
      <w:pPr>
        <w:tabs>
          <w:tab w:val="left" w:pos="540"/>
        </w:tabs>
        <w:spacing w:line="440" w:lineRule="exact"/>
        <w:jc w:val="center"/>
        <w:rPr>
          <w:rFonts w:eastAsia="方正黑体简体"/>
          <w:b/>
          <w:color w:val="auto"/>
          <w:sz w:val="30"/>
          <w:szCs w:val="30"/>
        </w:rPr>
      </w:pPr>
      <w:r>
        <w:rPr>
          <w:rFonts w:hint="eastAsia" w:eastAsia="方正黑体简体"/>
          <w:b/>
          <w:color w:val="auto"/>
          <w:sz w:val="30"/>
          <w:szCs w:val="30"/>
        </w:rPr>
        <w:t>十二、</w:t>
      </w:r>
      <w:bookmarkStart w:id="48" w:name="OLE_LINK19"/>
      <w:r>
        <w:rPr>
          <w:rFonts w:hint="eastAsia" w:eastAsia="方正黑体简体"/>
          <w:b/>
          <w:color w:val="auto"/>
          <w:sz w:val="30"/>
          <w:szCs w:val="30"/>
        </w:rPr>
        <w:t>履约承诺书</w:t>
      </w:r>
      <w:bookmarkEnd w:id="48"/>
    </w:p>
    <w:p w14:paraId="627548DB">
      <w:pPr>
        <w:tabs>
          <w:tab w:val="left" w:pos="540"/>
        </w:tabs>
        <w:spacing w:line="440" w:lineRule="exact"/>
        <w:jc w:val="center"/>
        <w:rPr>
          <w:rFonts w:eastAsia="方正黑体简体"/>
          <w:b/>
          <w:color w:val="auto"/>
          <w:sz w:val="30"/>
          <w:szCs w:val="30"/>
        </w:rPr>
      </w:pPr>
    </w:p>
    <w:p w14:paraId="610D308B">
      <w:pPr>
        <w:adjustRightInd w:val="0"/>
        <w:snapToGrid w:val="0"/>
        <w:spacing w:before="120" w:beforeLines="50" w:line="300" w:lineRule="auto"/>
        <w:ind w:right="56" w:firstLine="555"/>
        <w:rPr>
          <w:color w:val="auto"/>
          <w:sz w:val="24"/>
        </w:rPr>
      </w:pPr>
      <w:r>
        <w:rPr>
          <w:rFonts w:hint="eastAsia"/>
          <w:color w:val="auto"/>
          <w:sz w:val="24"/>
        </w:rPr>
        <w:t>一、我单位承诺：</w:t>
      </w:r>
    </w:p>
    <w:p w14:paraId="0E28DFD5">
      <w:pPr>
        <w:adjustRightInd w:val="0"/>
        <w:snapToGrid w:val="0"/>
        <w:spacing w:before="120" w:beforeLines="50" w:line="300" w:lineRule="auto"/>
        <w:ind w:firstLine="555"/>
        <w:rPr>
          <w:color w:val="auto"/>
          <w:sz w:val="24"/>
        </w:rPr>
      </w:pPr>
      <w:r>
        <w:rPr>
          <w:rFonts w:hint="eastAsia"/>
          <w:color w:val="auto"/>
          <w:sz w:val="24"/>
        </w:rPr>
        <w:t>（一）我单位已详细阅读并完全理解、同意单一来源采购文件的全部内容，包括修改补充文件以及全部参考资料和有关附件；除我单位在单一来源采购文件规定期间内书面提出的疑问外，我单位放弃对这方面不明及误解的权力，并严格按采购人确定的技术及商务要求等履行。</w:t>
      </w:r>
    </w:p>
    <w:p w14:paraId="6143604F">
      <w:pPr>
        <w:tabs>
          <w:tab w:val="left" w:pos="9354"/>
        </w:tabs>
        <w:adjustRightInd w:val="0"/>
        <w:snapToGrid w:val="0"/>
        <w:spacing w:before="120" w:beforeLines="50" w:line="300" w:lineRule="auto"/>
        <w:ind w:firstLine="480" w:firstLineChars="200"/>
        <w:rPr>
          <w:color w:val="auto"/>
          <w:sz w:val="24"/>
        </w:rPr>
      </w:pPr>
      <w:r>
        <w:rPr>
          <w:rFonts w:hint="eastAsia"/>
          <w:color w:val="auto"/>
          <w:sz w:val="24"/>
        </w:rPr>
        <w:t>（二）我单位开标前已详细勘察现场，并按采购人现场条件及采购要求编制投标报价；我单位的投标报价括单一来源采购文件所述报价组成的所有内容、并包括单一来源采购文件未列明而与采购项目相关的、必须的所有款项及费用等达到交付使用及验收条件的所有一切风险、责任和义务的费用。</w:t>
      </w:r>
    </w:p>
    <w:p w14:paraId="1E225C7B">
      <w:pPr>
        <w:tabs>
          <w:tab w:val="left" w:pos="9354"/>
        </w:tabs>
        <w:adjustRightInd w:val="0"/>
        <w:snapToGrid w:val="0"/>
        <w:spacing w:before="120" w:beforeLines="50" w:line="300" w:lineRule="auto"/>
        <w:ind w:firstLine="480" w:firstLineChars="200"/>
        <w:rPr>
          <w:color w:val="auto"/>
          <w:sz w:val="24"/>
        </w:rPr>
      </w:pPr>
      <w:r>
        <w:rPr>
          <w:rFonts w:hint="eastAsia"/>
          <w:color w:val="auto"/>
          <w:sz w:val="24"/>
        </w:rPr>
        <w:t>我单位保证按单一来源采购文件要求及投标承诺的质量诚信履约。</w:t>
      </w:r>
    </w:p>
    <w:p w14:paraId="182260BF">
      <w:pPr>
        <w:tabs>
          <w:tab w:val="left" w:pos="9354"/>
        </w:tabs>
        <w:adjustRightInd w:val="0"/>
        <w:snapToGrid w:val="0"/>
        <w:spacing w:before="120" w:beforeLines="50" w:line="300" w:lineRule="auto"/>
        <w:ind w:firstLine="480" w:firstLineChars="200"/>
        <w:rPr>
          <w:color w:val="auto"/>
          <w:sz w:val="24"/>
        </w:rPr>
      </w:pPr>
      <w:r>
        <w:rPr>
          <w:rFonts w:hint="eastAsia"/>
          <w:color w:val="auto"/>
          <w:sz w:val="24"/>
        </w:rPr>
        <w:t>（三）我单位保证在单一来源采购文件要求的时间内按期、保质完成中标项目。我单位在推荐中标结果公示后，将积极、主动的与采购人联系合同签订事宜，合同签订中如有任何的问题，我单位保证及时书面反映情况，否则视为我单位责任、按违约处理。</w:t>
      </w:r>
    </w:p>
    <w:p w14:paraId="6226175D">
      <w:pPr>
        <w:tabs>
          <w:tab w:val="left" w:pos="9354"/>
        </w:tabs>
        <w:adjustRightInd w:val="0"/>
        <w:snapToGrid w:val="0"/>
        <w:spacing w:before="120" w:beforeLines="50" w:line="300" w:lineRule="auto"/>
        <w:ind w:firstLine="480" w:firstLineChars="200"/>
        <w:rPr>
          <w:color w:val="auto"/>
          <w:sz w:val="24"/>
        </w:rPr>
      </w:pPr>
      <w:r>
        <w:rPr>
          <w:rFonts w:hint="eastAsia"/>
          <w:color w:val="auto"/>
          <w:sz w:val="24"/>
        </w:rPr>
        <w:t>二、我单位承诺：</w:t>
      </w:r>
    </w:p>
    <w:p w14:paraId="449EEDA3">
      <w:pPr>
        <w:tabs>
          <w:tab w:val="left" w:pos="9354"/>
        </w:tabs>
        <w:adjustRightInd w:val="0"/>
        <w:snapToGrid w:val="0"/>
        <w:spacing w:before="120" w:beforeLines="50" w:line="300" w:lineRule="auto"/>
        <w:ind w:firstLine="480" w:firstLineChars="200"/>
        <w:rPr>
          <w:color w:val="auto"/>
          <w:sz w:val="24"/>
        </w:rPr>
      </w:pPr>
      <w:r>
        <w:rPr>
          <w:rFonts w:hint="eastAsia"/>
          <w:color w:val="auto"/>
          <w:sz w:val="24"/>
        </w:rPr>
        <w:t>除法律规定的不可抗力因素外，我单位中标后以任何理由（包括违背上述承诺的事项）提出不能满足单一来源采购文件技术、作业期限等要求或不能实现投标承诺的或提出变更的，我单位将无条件接受违约处理、并放弃我单位中标资格。我单位知悉违约责任及其处理，并无条件接受：</w:t>
      </w:r>
      <w:r>
        <w:rPr>
          <w:rFonts w:hint="eastAsia" w:ascii="宋体" w:hAnsi="宋体"/>
          <w:color w:val="auto"/>
          <w:sz w:val="24"/>
          <w:szCs w:val="24"/>
        </w:rPr>
        <w:t xml:space="preserve">依据单一来源采购文件“第三章 </w:t>
      </w:r>
      <w:r>
        <w:rPr>
          <w:rFonts w:hint="eastAsia" w:ascii="宋体" w:hAnsi="宋体" w:cs="楷体_GB2312"/>
          <w:color w:val="auto"/>
          <w:sz w:val="24"/>
          <w:szCs w:val="22"/>
        </w:rPr>
        <w:t>3.5.5 违背承诺的责任追究措施</w:t>
      </w:r>
      <w:r>
        <w:rPr>
          <w:rFonts w:hint="eastAsia" w:ascii="宋体" w:hAnsi="宋体"/>
          <w:color w:val="auto"/>
          <w:sz w:val="24"/>
          <w:szCs w:val="24"/>
        </w:rPr>
        <w:t>”</w:t>
      </w:r>
      <w:r>
        <w:rPr>
          <w:rFonts w:hint="eastAsia" w:ascii="宋体" w:hAnsi="宋体" w:cs="楷体_GB2312"/>
          <w:color w:val="auto"/>
          <w:sz w:val="24"/>
          <w:szCs w:val="22"/>
        </w:rPr>
        <w:t>承担相应法律责任及违约责任。</w:t>
      </w:r>
      <w:r>
        <w:rPr>
          <w:rFonts w:hint="eastAsia"/>
          <w:color w:val="auto"/>
          <w:sz w:val="24"/>
        </w:rPr>
        <w:t>情节严重的，由财政部门列入不良行为记录名单，在一至三年内禁止参加政府采购活动，并予以通报，处以罚金，给采购人及他人造成损失的，承担相应的赔偿责任。</w:t>
      </w:r>
    </w:p>
    <w:p w14:paraId="0BB002D5">
      <w:pPr>
        <w:tabs>
          <w:tab w:val="left" w:pos="9354"/>
        </w:tabs>
        <w:adjustRightInd w:val="0"/>
        <w:snapToGrid w:val="0"/>
        <w:spacing w:before="120" w:beforeLines="50" w:line="300" w:lineRule="auto"/>
        <w:ind w:firstLine="480" w:firstLineChars="200"/>
        <w:rPr>
          <w:color w:val="auto"/>
          <w:sz w:val="24"/>
        </w:rPr>
      </w:pPr>
    </w:p>
    <w:p w14:paraId="37D3CE7F">
      <w:pPr>
        <w:tabs>
          <w:tab w:val="left" w:pos="9354"/>
        </w:tabs>
        <w:adjustRightInd w:val="0"/>
        <w:snapToGrid w:val="0"/>
        <w:spacing w:before="120" w:beforeLines="50" w:line="300" w:lineRule="auto"/>
        <w:ind w:firstLine="480" w:firstLineChars="200"/>
        <w:rPr>
          <w:color w:val="auto"/>
          <w:sz w:val="24"/>
        </w:rPr>
      </w:pPr>
    </w:p>
    <w:p w14:paraId="510F2C16">
      <w:pPr>
        <w:tabs>
          <w:tab w:val="left" w:pos="9354"/>
        </w:tabs>
        <w:adjustRightInd w:val="0"/>
        <w:snapToGrid w:val="0"/>
        <w:spacing w:before="120" w:beforeLines="50" w:line="300" w:lineRule="auto"/>
        <w:ind w:firstLine="480" w:firstLineChars="200"/>
        <w:rPr>
          <w:color w:val="auto"/>
          <w:sz w:val="24"/>
        </w:rPr>
      </w:pPr>
    </w:p>
    <w:p w14:paraId="6F42ACD2">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投标人（电子签</w:t>
      </w:r>
      <w:r>
        <w:rPr>
          <w:rFonts w:hint="eastAsia" w:ascii="宋体" w:hAnsi="宋体"/>
          <w:color w:val="auto"/>
          <w:sz w:val="24"/>
          <w:szCs w:val="24"/>
        </w:rPr>
        <w:t>章</w:t>
      </w:r>
      <w:r>
        <w:rPr>
          <w:rFonts w:hint="eastAsia"/>
          <w:color w:val="auto"/>
          <w:sz w:val="24"/>
          <w:szCs w:val="24"/>
        </w:rPr>
        <w:t>）：</w:t>
      </w:r>
    </w:p>
    <w:p w14:paraId="1B00C4EE">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14:paraId="606BE17F">
      <w:pPr>
        <w:tabs>
          <w:tab w:val="left" w:pos="0"/>
        </w:tabs>
        <w:spacing w:line="500" w:lineRule="exact"/>
        <w:ind w:right="256"/>
        <w:jc w:val="right"/>
        <w:rPr>
          <w:rFonts w:ascii="宋体"/>
          <w:color w:val="auto"/>
          <w:spacing w:val="8"/>
          <w:sz w:val="24"/>
        </w:rPr>
      </w:pPr>
    </w:p>
    <w:p w14:paraId="0C5EE13D">
      <w:pPr>
        <w:autoSpaceDE w:val="0"/>
        <w:autoSpaceDN w:val="0"/>
        <w:adjustRightInd w:val="0"/>
        <w:spacing w:line="360" w:lineRule="auto"/>
        <w:jc w:val="left"/>
        <w:rPr>
          <w:rFonts w:ascii="宋体" w:hAnsi="宋体" w:cs="楷体_GB2312"/>
          <w:color w:val="auto"/>
          <w:sz w:val="24"/>
          <w:lang w:val="zh-CN"/>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4E9B321A">
      <w:pPr>
        <w:autoSpaceDE w:val="0"/>
        <w:autoSpaceDN w:val="0"/>
        <w:adjustRightInd w:val="0"/>
        <w:spacing w:line="360" w:lineRule="auto"/>
        <w:jc w:val="left"/>
        <w:rPr>
          <w:rFonts w:ascii="宋体"/>
          <w:color w:val="auto"/>
          <w:sz w:val="24"/>
        </w:rPr>
      </w:pPr>
    </w:p>
    <w:p w14:paraId="0CE09C55">
      <w:pPr>
        <w:autoSpaceDE w:val="0"/>
        <w:autoSpaceDN w:val="0"/>
        <w:adjustRightInd w:val="0"/>
        <w:spacing w:line="360" w:lineRule="auto"/>
        <w:rPr>
          <w:rFonts w:ascii="宋体" w:cs="楷体_GB2312"/>
          <w:b/>
          <w:color w:val="auto"/>
          <w:sz w:val="30"/>
          <w:szCs w:val="30"/>
          <w:lang w:val="zh-CN"/>
        </w:rPr>
      </w:pPr>
    </w:p>
    <w:p w14:paraId="24D92D5A">
      <w:pPr>
        <w:autoSpaceDE w:val="0"/>
        <w:autoSpaceDN w:val="0"/>
        <w:adjustRightInd w:val="0"/>
        <w:spacing w:line="360" w:lineRule="auto"/>
        <w:rPr>
          <w:rFonts w:eastAsia="方正黑体简体"/>
          <w:b/>
          <w:color w:val="auto"/>
          <w:sz w:val="30"/>
          <w:szCs w:val="30"/>
        </w:rPr>
      </w:pPr>
      <w:r>
        <w:rPr>
          <w:rFonts w:hint="eastAsia" w:eastAsia="方正黑体简体"/>
          <w:b/>
          <w:color w:val="auto"/>
          <w:sz w:val="30"/>
          <w:szCs w:val="30"/>
        </w:rPr>
        <w:t>十三、资格要求相关证明材料（文件）</w:t>
      </w:r>
    </w:p>
    <w:p w14:paraId="778DACBC">
      <w:pPr>
        <w:autoSpaceDE w:val="0"/>
        <w:autoSpaceDN w:val="0"/>
        <w:adjustRightInd w:val="0"/>
        <w:spacing w:line="360" w:lineRule="auto"/>
        <w:jc w:val="left"/>
        <w:rPr>
          <w:rFonts w:ascii="宋体"/>
          <w:color w:val="auto"/>
          <w:sz w:val="24"/>
          <w:szCs w:val="24"/>
        </w:rPr>
      </w:pPr>
      <w:r>
        <w:rPr>
          <w:rFonts w:hint="eastAsia" w:ascii="宋体"/>
          <w:color w:val="auto"/>
          <w:sz w:val="24"/>
          <w:szCs w:val="24"/>
        </w:rPr>
        <w:t>★★★【</w:t>
      </w:r>
      <w:r>
        <w:rPr>
          <w:rFonts w:hint="eastAsia" w:ascii="黑体" w:hAnsi="黑体" w:eastAsia="黑体"/>
          <w:b/>
          <w:color w:val="auto"/>
          <w:sz w:val="24"/>
          <w:szCs w:val="24"/>
        </w:rPr>
        <w:t>请注意：未按公告要求逐一提交资格证明资料的将导致无效投标，为近期常见的因不仔细而缺少某一资格证明资料、导致无效，特此提醒】</w:t>
      </w:r>
    </w:p>
    <w:p w14:paraId="3FC81111">
      <w:pPr>
        <w:autoSpaceDE w:val="0"/>
        <w:autoSpaceDN w:val="0"/>
        <w:adjustRightInd w:val="0"/>
        <w:spacing w:line="360" w:lineRule="auto"/>
        <w:jc w:val="left"/>
        <w:rPr>
          <w:rFonts w:ascii="宋体"/>
          <w:color w:val="auto"/>
          <w:sz w:val="24"/>
          <w:szCs w:val="24"/>
        </w:rPr>
      </w:pPr>
    </w:p>
    <w:p w14:paraId="4CEC6871">
      <w:pPr>
        <w:widowControl w:val="0"/>
        <w:tabs>
          <w:tab w:val="left" w:pos="9365"/>
        </w:tabs>
        <w:snapToGrid w:val="0"/>
        <w:spacing w:after="56" w:line="560" w:lineRule="exact"/>
        <w:ind w:right="85"/>
        <w:jc w:val="left"/>
        <w:textAlignment w:val="top"/>
        <w:rPr>
          <w:rFonts w:ascii="黑体" w:hAnsi="黑体" w:eastAsia="黑体"/>
          <w:b/>
          <w:color w:val="auto"/>
          <w:sz w:val="30"/>
          <w:szCs w:val="30"/>
        </w:rPr>
      </w:pPr>
      <w:r>
        <w:rPr>
          <w:rFonts w:hint="eastAsia" w:ascii="宋体"/>
          <w:color w:val="auto"/>
          <w:sz w:val="24"/>
          <w:szCs w:val="24"/>
        </w:rPr>
        <w:t>★★★【</w:t>
      </w:r>
      <w:r>
        <w:rPr>
          <w:rFonts w:hint="eastAsia" w:ascii="黑体" w:hAnsi="黑体" w:eastAsia="黑体"/>
          <w:b/>
          <w:color w:val="auto"/>
          <w:sz w:val="24"/>
          <w:szCs w:val="24"/>
        </w:rPr>
        <w:t>请注意：未按谈判邀请函要求电子签名</w:t>
      </w:r>
      <w:r>
        <w:rPr>
          <w:rFonts w:ascii="黑体" w:hAnsi="黑体" w:eastAsia="黑体"/>
          <w:b/>
          <w:color w:val="auto"/>
          <w:sz w:val="24"/>
          <w:szCs w:val="24"/>
        </w:rPr>
        <w:t>&lt;</w:t>
      </w:r>
      <w:r>
        <w:rPr>
          <w:rFonts w:hint="eastAsia" w:ascii="黑体" w:hAnsi="黑体" w:eastAsia="黑体"/>
          <w:b/>
          <w:color w:val="auto"/>
          <w:sz w:val="24"/>
          <w:szCs w:val="24"/>
        </w:rPr>
        <w:t>签章</w:t>
      </w:r>
      <w:r>
        <w:rPr>
          <w:rFonts w:ascii="黑体" w:hAnsi="黑体" w:eastAsia="黑体"/>
          <w:b/>
          <w:color w:val="auto"/>
          <w:sz w:val="24"/>
          <w:szCs w:val="24"/>
        </w:rPr>
        <w:t>&gt;</w:t>
      </w:r>
      <w:r>
        <w:rPr>
          <w:rFonts w:hint="eastAsia" w:ascii="黑体" w:hAnsi="黑体" w:eastAsia="黑体"/>
          <w:b/>
          <w:color w:val="auto"/>
          <w:sz w:val="24"/>
          <w:szCs w:val="24"/>
        </w:rPr>
        <w:t>的将导致无效投标，特此提醒】</w:t>
      </w:r>
      <w:r>
        <w:rPr>
          <w:rFonts w:ascii="黑体" w:hAnsi="黑体" w:eastAsia="黑体"/>
          <w:b/>
          <w:color w:val="auto"/>
          <w:sz w:val="30"/>
          <w:szCs w:val="30"/>
        </w:rPr>
        <w:br w:type="page"/>
      </w:r>
    </w:p>
    <w:p w14:paraId="2CAD5D29">
      <w:pPr>
        <w:spacing w:line="588" w:lineRule="exact"/>
        <w:jc w:val="center"/>
        <w:rPr>
          <w:rFonts w:ascii="黑体" w:hAnsi="黑体" w:eastAsia="黑体"/>
          <w:b/>
          <w:color w:val="auto"/>
          <w:sz w:val="30"/>
          <w:szCs w:val="30"/>
        </w:rPr>
      </w:pPr>
      <w:r>
        <w:rPr>
          <w:rFonts w:ascii="黑体" w:hAnsi="黑体" w:eastAsia="黑体"/>
          <w:b/>
          <w:color w:val="auto"/>
          <w:sz w:val="30"/>
          <w:szCs w:val="30"/>
        </w:rPr>
        <w:t>中小企业声明函</w:t>
      </w:r>
      <w:r>
        <w:rPr>
          <w:rFonts w:hint="eastAsia" w:ascii="宋体" w:hAnsi="宋体" w:cs="MingLiU"/>
          <w:color w:val="auto"/>
          <w:spacing w:val="30"/>
          <w:sz w:val="24"/>
          <w:szCs w:val="24"/>
        </w:rPr>
        <w:t>（如适用）</w:t>
      </w:r>
    </w:p>
    <w:p w14:paraId="11839965">
      <w:pPr>
        <w:pStyle w:val="73"/>
        <w:shd w:val="clear" w:color="auto" w:fill="auto"/>
        <w:spacing w:after="0" w:line="518" w:lineRule="exact"/>
        <w:ind w:firstLine="680"/>
        <w:jc w:val="both"/>
        <w:rPr>
          <w:rFonts w:ascii="宋体" w:hAnsi="宋体" w:eastAsia="宋体"/>
          <w:sz w:val="24"/>
          <w:szCs w:val="24"/>
        </w:rPr>
      </w:pPr>
    </w:p>
    <w:p w14:paraId="1F9C86B2">
      <w:pPr>
        <w:pStyle w:val="73"/>
        <w:shd w:val="clear" w:color="auto" w:fill="auto"/>
        <w:spacing w:after="0" w:line="518" w:lineRule="exact"/>
        <w:ind w:firstLine="680"/>
        <w:jc w:val="both"/>
        <w:rPr>
          <w:rFonts w:ascii="宋体" w:hAnsi="宋体" w:eastAsia="宋体"/>
          <w:sz w:val="24"/>
          <w:szCs w:val="24"/>
        </w:rPr>
      </w:pPr>
      <w:r>
        <w:rPr>
          <w:rFonts w:ascii="宋体" w:hAnsi="宋体" w:eastAsia="宋体"/>
          <w:sz w:val="24"/>
          <w:szCs w:val="24"/>
        </w:rPr>
        <w:t>本公司（联合体）郑重声明，根据《政府采购促进中小企业发展管理办法》（财库〔2020〕46号）的规定，本公司 (联合体</w:t>
      </w:r>
      <w:r>
        <w:rPr>
          <w:rFonts w:ascii="宋体" w:hAnsi="宋体" w:eastAsia="宋体"/>
          <w:i/>
          <w:sz w:val="24"/>
          <w:szCs w:val="24"/>
        </w:rPr>
        <w:t>）</w:t>
      </w:r>
      <w:r>
        <w:rPr>
          <w:rStyle w:val="74"/>
          <w:rFonts w:ascii="宋体" w:hAnsi="宋体" w:eastAsia="宋体"/>
          <w:color w:val="auto"/>
          <w:sz w:val="24"/>
          <w:szCs w:val="24"/>
        </w:rPr>
        <w:t>参加</w:t>
      </w:r>
      <w:r>
        <w:rPr>
          <w:rStyle w:val="74"/>
          <w:rFonts w:ascii="宋体" w:hAnsi="宋体" w:eastAsia="宋体"/>
          <w:color w:val="auto"/>
          <w:sz w:val="24"/>
          <w:szCs w:val="24"/>
          <w:u w:val="single"/>
        </w:rPr>
        <w:t>（单位名称）</w:t>
      </w:r>
      <w:r>
        <w:rPr>
          <w:rStyle w:val="74"/>
          <w:rFonts w:ascii="宋体" w:hAnsi="宋体" w:eastAsia="宋体"/>
          <w:color w:val="auto"/>
          <w:sz w:val="24"/>
          <w:szCs w:val="24"/>
        </w:rPr>
        <w:t>的</w:t>
      </w:r>
      <w:r>
        <w:rPr>
          <w:rStyle w:val="74"/>
          <w:rFonts w:ascii="宋体" w:hAnsi="宋体" w:eastAsia="宋体"/>
          <w:color w:val="auto"/>
          <w:sz w:val="24"/>
          <w:szCs w:val="24"/>
          <w:u w:val="single"/>
        </w:rPr>
        <w:t>（项目名称）</w:t>
      </w:r>
      <w:r>
        <w:rPr>
          <w:rStyle w:val="74"/>
          <w:rFonts w:ascii="宋体" w:hAnsi="宋体" w:eastAsia="宋体"/>
          <w:color w:val="auto"/>
          <w:sz w:val="24"/>
          <w:szCs w:val="24"/>
        </w:rPr>
        <w:t>采购活动，</w:t>
      </w:r>
      <w:r>
        <w:rPr>
          <w:rFonts w:hint="eastAsia" w:ascii="宋体" w:hAnsi="宋体" w:eastAsia="宋体"/>
          <w:sz w:val="24"/>
          <w:szCs w:val="24"/>
        </w:rPr>
        <w:t>服务</w:t>
      </w:r>
      <w:r>
        <w:rPr>
          <w:rFonts w:ascii="宋体" w:hAnsi="宋体" w:eastAsia="宋体"/>
          <w:sz w:val="24"/>
          <w:szCs w:val="24"/>
        </w:rPr>
        <w:t>全部</w:t>
      </w:r>
      <w:r>
        <w:rPr>
          <w:rFonts w:hint="eastAsia" w:ascii="宋体" w:hAnsi="宋体" w:eastAsia="宋体"/>
          <w:sz w:val="24"/>
          <w:szCs w:val="24"/>
        </w:rPr>
        <w:t>由</w:t>
      </w:r>
      <w:r>
        <w:rPr>
          <w:rFonts w:ascii="宋体" w:hAnsi="宋体" w:eastAsia="宋体"/>
          <w:sz w:val="24"/>
          <w:szCs w:val="24"/>
        </w:rPr>
        <w:t>符合政策要求的中小企业</w:t>
      </w:r>
      <w:r>
        <w:rPr>
          <w:rFonts w:hint="eastAsia" w:ascii="宋体" w:hAnsi="宋体" w:eastAsia="宋体"/>
          <w:sz w:val="24"/>
          <w:szCs w:val="24"/>
        </w:rPr>
        <w:t>承接</w:t>
      </w:r>
      <w:r>
        <w:rPr>
          <w:rFonts w:ascii="宋体" w:hAnsi="宋体" w:eastAsia="宋体"/>
          <w:sz w:val="24"/>
          <w:szCs w:val="24"/>
        </w:rPr>
        <w:t>。相关企业</w:t>
      </w:r>
      <w:r>
        <w:rPr>
          <w:rFonts w:ascii="宋体" w:hAnsi="宋体" w:eastAsia="宋体"/>
          <w:sz w:val="24"/>
          <w:szCs w:val="24"/>
          <w:lang w:bidi="en-US"/>
        </w:rPr>
        <w:t>（</w:t>
      </w:r>
      <w:r>
        <w:rPr>
          <w:rFonts w:ascii="宋体" w:hAnsi="宋体" w:eastAsia="宋体"/>
          <w:sz w:val="24"/>
          <w:szCs w:val="24"/>
        </w:rPr>
        <w:t>含联合体中的中小企业、签订分包意向协议的中小企业）的具体情况如下：</w:t>
      </w:r>
    </w:p>
    <w:p w14:paraId="46AA7285">
      <w:pPr>
        <w:spacing w:line="588" w:lineRule="exact"/>
        <w:ind w:firstLine="480" w:firstLineChars="200"/>
        <w:rPr>
          <w:rFonts w:ascii="宋体" w:hAnsi="宋体"/>
          <w:color w:val="auto"/>
          <w:sz w:val="24"/>
          <w:szCs w:val="24"/>
        </w:rPr>
      </w:pPr>
      <w:r>
        <w:rPr>
          <w:rFonts w:hint="eastAsia" w:ascii="宋体" w:hAnsi="宋体"/>
          <w:color w:val="auto"/>
          <w:sz w:val="24"/>
          <w:szCs w:val="24"/>
        </w:rPr>
        <w:t>1.</w:t>
      </w:r>
      <w:r>
        <w:rPr>
          <w:rFonts w:ascii="宋体" w:hAnsi="宋体"/>
          <w:iCs/>
          <w:color w:val="auto"/>
          <w:sz w:val="24"/>
          <w:szCs w:val="24"/>
          <w:u w:val="single"/>
        </w:rPr>
        <w:t>(标的名称)</w:t>
      </w:r>
      <w:r>
        <w:rPr>
          <w:rFonts w:ascii="宋体" w:hAnsi="宋体"/>
          <w:iCs/>
          <w:color w:val="auto"/>
          <w:sz w:val="24"/>
          <w:szCs w:val="24"/>
        </w:rPr>
        <w:t>，</w:t>
      </w:r>
      <w:r>
        <w:rPr>
          <w:rFonts w:ascii="宋体" w:hAnsi="宋体"/>
          <w:color w:val="auto"/>
          <w:sz w:val="24"/>
          <w:szCs w:val="24"/>
        </w:rPr>
        <w:t>属于</w:t>
      </w:r>
      <w:r>
        <w:rPr>
          <w:rFonts w:ascii="宋体" w:hAnsi="宋体"/>
          <w:iCs/>
          <w:color w:val="auto"/>
          <w:sz w:val="24"/>
          <w:szCs w:val="24"/>
          <w:u w:val="single"/>
        </w:rPr>
        <w:t>（采购文件中明确的所属行业)</w:t>
      </w:r>
      <w:r>
        <w:rPr>
          <w:rFonts w:hint="eastAsia" w:ascii="宋体" w:hAnsi="宋体"/>
          <w:iCs/>
          <w:color w:val="auto"/>
          <w:sz w:val="24"/>
          <w:szCs w:val="24"/>
        </w:rPr>
        <w:t>，</w:t>
      </w:r>
      <w:r>
        <w:rPr>
          <w:rFonts w:ascii="宋体" w:hAnsi="宋体"/>
          <w:color w:val="auto"/>
          <w:sz w:val="24"/>
          <w:szCs w:val="24"/>
        </w:rPr>
        <w:t>承</w:t>
      </w:r>
      <w:r>
        <w:rPr>
          <w:rFonts w:hint="eastAsia" w:ascii="宋体" w:hAnsi="宋体"/>
          <w:color w:val="auto"/>
          <w:sz w:val="24"/>
          <w:szCs w:val="24"/>
        </w:rPr>
        <w:t>接</w:t>
      </w:r>
      <w:r>
        <w:rPr>
          <w:rFonts w:ascii="宋体" w:hAnsi="宋体"/>
          <w:iCs/>
          <w:color w:val="auto"/>
          <w:sz w:val="24"/>
          <w:szCs w:val="24"/>
        </w:rPr>
        <w:t>企业为</w:t>
      </w:r>
      <w:r>
        <w:rPr>
          <w:rFonts w:ascii="宋体" w:hAnsi="宋体"/>
          <w:color w:val="auto"/>
          <w:sz w:val="24"/>
          <w:szCs w:val="24"/>
          <w:u w:val="single"/>
        </w:rPr>
        <w:t>（企业名称)</w:t>
      </w:r>
      <w:r>
        <w:rPr>
          <w:rFonts w:ascii="宋体" w:hAnsi="宋体"/>
          <w:color w:val="auto"/>
          <w:sz w:val="24"/>
          <w:szCs w:val="24"/>
        </w:rPr>
        <w:t>，从业人员</w:t>
      </w:r>
      <w:r>
        <w:rPr>
          <w:rFonts w:hint="eastAsia" w:ascii="宋体" w:hAnsi="宋体"/>
          <w:color w:val="auto"/>
          <w:sz w:val="24"/>
          <w:szCs w:val="24"/>
          <w:u w:val="single"/>
        </w:rPr>
        <w:t xml:space="preserve">    </w:t>
      </w:r>
      <w:r>
        <w:rPr>
          <w:rFonts w:ascii="宋体" w:hAnsi="宋体"/>
          <w:color w:val="auto"/>
          <w:sz w:val="24"/>
          <w:szCs w:val="24"/>
        </w:rPr>
        <w:t>人，营业收</w:t>
      </w:r>
      <w:r>
        <w:rPr>
          <w:rFonts w:ascii="宋体" w:hAnsi="宋体"/>
          <w:iCs/>
          <w:color w:val="auto"/>
          <w:sz w:val="24"/>
          <w:szCs w:val="24"/>
        </w:rPr>
        <w:t>入为</w:t>
      </w:r>
      <w:r>
        <w:rPr>
          <w:rFonts w:ascii="宋体" w:hAnsi="宋体"/>
          <w:iCs/>
          <w:color w:val="auto"/>
          <w:sz w:val="24"/>
          <w:szCs w:val="24"/>
          <w:u w:val="single"/>
        </w:rPr>
        <w:t>_</w:t>
      </w:r>
      <w:r>
        <w:rPr>
          <w:rFonts w:hint="eastAsia" w:ascii="宋体" w:hAnsi="宋体"/>
          <w:iCs/>
          <w:color w:val="auto"/>
          <w:sz w:val="24"/>
          <w:szCs w:val="24"/>
          <w:u w:val="single"/>
        </w:rPr>
        <w:t xml:space="preserve">    </w:t>
      </w:r>
      <w:r>
        <w:rPr>
          <w:rFonts w:ascii="宋体" w:hAnsi="宋体"/>
          <w:iCs/>
          <w:color w:val="auto"/>
          <w:sz w:val="24"/>
          <w:szCs w:val="24"/>
        </w:rPr>
        <w:t>万元，资产总额为</w:t>
      </w:r>
      <w:r>
        <w:rPr>
          <w:rFonts w:hint="eastAsia" w:ascii="宋体" w:hAnsi="宋体"/>
          <w:iCs/>
          <w:color w:val="auto"/>
          <w:sz w:val="24"/>
          <w:szCs w:val="24"/>
          <w:u w:val="single"/>
        </w:rPr>
        <w:t xml:space="preserve">    </w:t>
      </w:r>
      <w:r>
        <w:rPr>
          <w:rFonts w:ascii="宋体" w:hAnsi="宋体"/>
          <w:iCs/>
          <w:color w:val="auto"/>
          <w:sz w:val="24"/>
          <w:szCs w:val="24"/>
          <w:u w:val="single"/>
        </w:rPr>
        <w:t>_</w:t>
      </w:r>
      <w:r>
        <w:rPr>
          <w:rFonts w:ascii="宋体" w:hAnsi="宋体"/>
          <w:iCs/>
          <w:color w:val="auto"/>
          <w:sz w:val="24"/>
          <w:szCs w:val="24"/>
        </w:rPr>
        <w:t>万元</w:t>
      </w:r>
      <w:r>
        <w:rPr>
          <w:rFonts w:hint="eastAsia" w:ascii="宋体" w:hAnsi="宋体"/>
          <w:iCs/>
          <w:color w:val="auto"/>
          <w:sz w:val="24"/>
          <w:szCs w:val="24"/>
          <w:vertAlign w:val="superscript"/>
        </w:rPr>
        <w:t>1</w:t>
      </w:r>
      <w:r>
        <w:rPr>
          <w:rFonts w:hint="eastAsia" w:ascii="宋体" w:hAnsi="宋体"/>
          <w:iCs/>
          <w:color w:val="auto"/>
          <w:sz w:val="24"/>
          <w:szCs w:val="24"/>
        </w:rPr>
        <w:t>，按采购文件中明确的所属行业</w:t>
      </w:r>
      <w:r>
        <w:rPr>
          <w:rFonts w:ascii="宋体" w:hAnsi="宋体"/>
          <w:color w:val="auto"/>
          <w:sz w:val="24"/>
          <w:szCs w:val="24"/>
        </w:rPr>
        <w:t>属于</w:t>
      </w:r>
      <w:r>
        <w:rPr>
          <w:rFonts w:ascii="宋体" w:hAnsi="宋体"/>
          <w:iCs/>
          <w:color w:val="auto"/>
          <w:sz w:val="24"/>
          <w:szCs w:val="24"/>
          <w:u w:val="single"/>
        </w:rPr>
        <w:t>（中型企业、小型企业、微型企业）</w:t>
      </w:r>
      <w:r>
        <w:rPr>
          <w:rFonts w:hint="eastAsia" w:ascii="宋体" w:hAnsi="宋体"/>
          <w:color w:val="auto"/>
          <w:sz w:val="24"/>
          <w:szCs w:val="24"/>
        </w:rPr>
        <w:t>；</w:t>
      </w:r>
    </w:p>
    <w:p w14:paraId="549C8A30">
      <w:pPr>
        <w:spacing w:line="588" w:lineRule="exact"/>
        <w:ind w:firstLine="480" w:firstLineChars="200"/>
        <w:rPr>
          <w:rFonts w:ascii="宋体" w:hAnsi="宋体"/>
          <w:color w:val="auto"/>
          <w:sz w:val="24"/>
          <w:szCs w:val="24"/>
        </w:rPr>
      </w:pPr>
      <w:r>
        <w:rPr>
          <w:rFonts w:hint="eastAsia" w:ascii="宋体" w:hAnsi="宋体"/>
          <w:color w:val="auto"/>
          <w:sz w:val="24"/>
          <w:szCs w:val="24"/>
        </w:rPr>
        <w:t>2.</w:t>
      </w:r>
      <w:r>
        <w:rPr>
          <w:rFonts w:ascii="宋体" w:hAnsi="宋体"/>
          <w:iCs/>
          <w:color w:val="auto"/>
          <w:sz w:val="24"/>
          <w:szCs w:val="24"/>
          <w:u w:val="single"/>
        </w:rPr>
        <w:t>(标的名称)</w:t>
      </w:r>
      <w:r>
        <w:rPr>
          <w:rFonts w:ascii="宋体" w:hAnsi="宋体"/>
          <w:iCs/>
          <w:color w:val="auto"/>
          <w:sz w:val="24"/>
          <w:szCs w:val="24"/>
        </w:rPr>
        <w:t>，</w:t>
      </w:r>
      <w:r>
        <w:rPr>
          <w:rFonts w:ascii="宋体" w:hAnsi="宋体"/>
          <w:color w:val="auto"/>
          <w:sz w:val="24"/>
          <w:szCs w:val="24"/>
        </w:rPr>
        <w:t>属于</w:t>
      </w:r>
      <w:r>
        <w:rPr>
          <w:rFonts w:ascii="宋体" w:hAnsi="宋体"/>
          <w:iCs/>
          <w:color w:val="auto"/>
          <w:sz w:val="24"/>
          <w:szCs w:val="24"/>
          <w:u w:val="single"/>
        </w:rPr>
        <w:t>（采购文件中明确的所属行业)</w:t>
      </w:r>
      <w:r>
        <w:rPr>
          <w:rFonts w:hint="eastAsia" w:ascii="宋体" w:hAnsi="宋体"/>
          <w:iCs/>
          <w:color w:val="auto"/>
          <w:sz w:val="24"/>
          <w:szCs w:val="24"/>
        </w:rPr>
        <w:t>，</w:t>
      </w:r>
      <w:r>
        <w:rPr>
          <w:rFonts w:ascii="宋体" w:hAnsi="宋体"/>
          <w:color w:val="auto"/>
          <w:sz w:val="24"/>
          <w:szCs w:val="24"/>
        </w:rPr>
        <w:t>承</w:t>
      </w:r>
      <w:r>
        <w:rPr>
          <w:rFonts w:hint="eastAsia" w:ascii="宋体" w:hAnsi="宋体"/>
          <w:color w:val="auto"/>
          <w:sz w:val="24"/>
          <w:szCs w:val="24"/>
        </w:rPr>
        <w:t>接</w:t>
      </w:r>
      <w:r>
        <w:rPr>
          <w:rFonts w:ascii="宋体" w:hAnsi="宋体"/>
          <w:iCs/>
          <w:color w:val="auto"/>
          <w:sz w:val="24"/>
          <w:szCs w:val="24"/>
        </w:rPr>
        <w:t>企业为</w:t>
      </w:r>
      <w:r>
        <w:rPr>
          <w:rFonts w:ascii="宋体" w:hAnsi="宋体"/>
          <w:color w:val="auto"/>
          <w:sz w:val="24"/>
          <w:szCs w:val="24"/>
          <w:u w:val="single"/>
        </w:rPr>
        <w:t>（企业名称)</w:t>
      </w:r>
      <w:r>
        <w:rPr>
          <w:rFonts w:ascii="宋体" w:hAnsi="宋体"/>
          <w:color w:val="auto"/>
          <w:sz w:val="24"/>
          <w:szCs w:val="24"/>
        </w:rPr>
        <w:t>，从业人员</w:t>
      </w:r>
      <w:r>
        <w:rPr>
          <w:rFonts w:hint="eastAsia" w:ascii="宋体" w:hAnsi="宋体"/>
          <w:color w:val="auto"/>
          <w:sz w:val="24"/>
          <w:szCs w:val="24"/>
          <w:u w:val="single"/>
        </w:rPr>
        <w:t xml:space="preserve">    </w:t>
      </w:r>
      <w:r>
        <w:rPr>
          <w:rFonts w:ascii="宋体" w:hAnsi="宋体"/>
          <w:color w:val="auto"/>
          <w:sz w:val="24"/>
          <w:szCs w:val="24"/>
        </w:rPr>
        <w:t>人，营业收</w:t>
      </w:r>
      <w:r>
        <w:rPr>
          <w:rFonts w:ascii="宋体" w:hAnsi="宋体"/>
          <w:iCs/>
          <w:color w:val="auto"/>
          <w:sz w:val="24"/>
          <w:szCs w:val="24"/>
        </w:rPr>
        <w:t>入为</w:t>
      </w:r>
      <w:r>
        <w:rPr>
          <w:rFonts w:ascii="宋体" w:hAnsi="宋体"/>
          <w:iCs/>
          <w:color w:val="auto"/>
          <w:sz w:val="24"/>
          <w:szCs w:val="24"/>
          <w:u w:val="single"/>
        </w:rPr>
        <w:t>_</w:t>
      </w:r>
      <w:r>
        <w:rPr>
          <w:rFonts w:hint="eastAsia" w:ascii="宋体" w:hAnsi="宋体"/>
          <w:iCs/>
          <w:color w:val="auto"/>
          <w:sz w:val="24"/>
          <w:szCs w:val="24"/>
          <w:u w:val="single"/>
        </w:rPr>
        <w:t xml:space="preserve">    </w:t>
      </w:r>
      <w:r>
        <w:rPr>
          <w:rFonts w:ascii="宋体" w:hAnsi="宋体"/>
          <w:iCs/>
          <w:color w:val="auto"/>
          <w:sz w:val="24"/>
          <w:szCs w:val="24"/>
        </w:rPr>
        <w:t>万元，资产总额为</w:t>
      </w:r>
      <w:r>
        <w:rPr>
          <w:rFonts w:hint="eastAsia" w:ascii="宋体" w:hAnsi="宋体"/>
          <w:iCs/>
          <w:color w:val="auto"/>
          <w:sz w:val="24"/>
          <w:szCs w:val="24"/>
          <w:u w:val="single"/>
        </w:rPr>
        <w:t xml:space="preserve">    </w:t>
      </w:r>
      <w:r>
        <w:rPr>
          <w:rFonts w:ascii="宋体" w:hAnsi="宋体"/>
          <w:iCs/>
          <w:color w:val="auto"/>
          <w:sz w:val="24"/>
          <w:szCs w:val="24"/>
          <w:u w:val="single"/>
        </w:rPr>
        <w:t>_</w:t>
      </w:r>
      <w:r>
        <w:rPr>
          <w:rFonts w:ascii="宋体" w:hAnsi="宋体"/>
          <w:iCs/>
          <w:color w:val="auto"/>
          <w:sz w:val="24"/>
          <w:szCs w:val="24"/>
        </w:rPr>
        <w:t>万元</w:t>
      </w:r>
      <w:r>
        <w:rPr>
          <w:rFonts w:hint="eastAsia" w:ascii="宋体" w:hAnsi="宋体"/>
          <w:iCs/>
          <w:color w:val="auto"/>
          <w:sz w:val="24"/>
          <w:szCs w:val="24"/>
        </w:rPr>
        <w:t>，按采购文件中明确的所属行业</w:t>
      </w:r>
      <w:r>
        <w:rPr>
          <w:rFonts w:ascii="宋体" w:hAnsi="宋体"/>
          <w:color w:val="auto"/>
          <w:sz w:val="24"/>
          <w:szCs w:val="24"/>
        </w:rPr>
        <w:t>属于</w:t>
      </w:r>
      <w:r>
        <w:rPr>
          <w:rFonts w:ascii="宋体" w:hAnsi="宋体"/>
          <w:iCs/>
          <w:color w:val="auto"/>
          <w:sz w:val="24"/>
          <w:szCs w:val="24"/>
          <w:u w:val="single"/>
        </w:rPr>
        <w:t>（中型企业、小型企业、微型企业）</w:t>
      </w:r>
      <w:r>
        <w:rPr>
          <w:rFonts w:hint="eastAsia" w:ascii="宋体" w:hAnsi="宋体"/>
          <w:color w:val="auto"/>
          <w:sz w:val="24"/>
          <w:szCs w:val="24"/>
        </w:rPr>
        <w:t>；</w:t>
      </w:r>
    </w:p>
    <w:p w14:paraId="786B35C2">
      <w:pPr>
        <w:pStyle w:val="73"/>
        <w:shd w:val="clear" w:color="auto" w:fill="auto"/>
        <w:spacing w:after="0" w:line="518" w:lineRule="exact"/>
        <w:ind w:firstLine="680"/>
        <w:jc w:val="both"/>
        <w:rPr>
          <w:rFonts w:ascii="宋体" w:hAnsi="宋体" w:eastAsia="宋体"/>
          <w:sz w:val="24"/>
          <w:szCs w:val="24"/>
        </w:rPr>
      </w:pPr>
      <w:r>
        <w:rPr>
          <w:rFonts w:hint="eastAsia" w:ascii="宋体" w:hAnsi="宋体" w:eastAsia="宋体"/>
          <w:sz w:val="24"/>
          <w:szCs w:val="24"/>
        </w:rPr>
        <w:t>……</w:t>
      </w:r>
    </w:p>
    <w:p w14:paraId="15699510">
      <w:pPr>
        <w:pStyle w:val="73"/>
        <w:shd w:val="clear" w:color="auto" w:fill="auto"/>
        <w:spacing w:after="0" w:line="518" w:lineRule="exact"/>
        <w:ind w:firstLine="680"/>
        <w:jc w:val="both"/>
        <w:rPr>
          <w:rFonts w:ascii="宋体" w:hAnsi="宋体" w:eastAsia="宋体"/>
          <w:sz w:val="24"/>
          <w:szCs w:val="24"/>
        </w:rPr>
      </w:pPr>
      <w:r>
        <w:rPr>
          <w:rFonts w:ascii="宋体" w:hAnsi="宋体" w:eastAsia="宋体"/>
          <w:sz w:val="24"/>
          <w:szCs w:val="24"/>
        </w:rPr>
        <w:t>以上企业，不属于大企业的分支机构，不存在控股股东为大企业的情形，也不存在与大企业的负责人为同一人的情形。</w:t>
      </w:r>
    </w:p>
    <w:p w14:paraId="3C842F7C">
      <w:pPr>
        <w:pStyle w:val="73"/>
        <w:shd w:val="clear" w:color="auto" w:fill="auto"/>
        <w:spacing w:after="0" w:line="518" w:lineRule="exact"/>
        <w:ind w:firstLine="680"/>
        <w:jc w:val="both"/>
        <w:rPr>
          <w:rFonts w:ascii="宋体" w:hAnsi="宋体" w:eastAsia="宋体"/>
          <w:sz w:val="24"/>
          <w:szCs w:val="24"/>
        </w:rPr>
      </w:pPr>
      <w:r>
        <w:rPr>
          <w:rFonts w:ascii="宋体" w:hAnsi="宋体" w:eastAsia="宋体"/>
          <w:sz w:val="24"/>
          <w:szCs w:val="24"/>
        </w:rPr>
        <w:t>本企业对上述声明内容的真实性负责。如有虚假，将依法承担相应责任。</w:t>
      </w:r>
    </w:p>
    <w:p w14:paraId="4CE41E05">
      <w:pPr>
        <w:pStyle w:val="73"/>
        <w:shd w:val="clear" w:color="auto" w:fill="auto"/>
        <w:spacing w:after="228" w:line="300" w:lineRule="exact"/>
        <w:rPr>
          <w:rFonts w:ascii="宋体" w:hAnsi="宋体" w:eastAsia="宋体"/>
          <w:sz w:val="24"/>
          <w:szCs w:val="24"/>
        </w:rPr>
      </w:pPr>
    </w:p>
    <w:p w14:paraId="0CE057ED">
      <w:pPr>
        <w:pStyle w:val="73"/>
        <w:shd w:val="clear" w:color="auto" w:fill="auto"/>
        <w:spacing w:after="228" w:line="300" w:lineRule="exact"/>
        <w:ind w:left="3900"/>
        <w:rPr>
          <w:rFonts w:ascii="宋体" w:hAnsi="宋体" w:eastAsia="宋体"/>
          <w:sz w:val="24"/>
          <w:szCs w:val="24"/>
        </w:rPr>
      </w:pPr>
    </w:p>
    <w:p w14:paraId="29EA356A">
      <w:pPr>
        <w:pStyle w:val="73"/>
        <w:shd w:val="clear" w:color="auto" w:fill="auto"/>
        <w:spacing w:after="228" w:line="300" w:lineRule="exact"/>
        <w:ind w:firstLine="4536" w:firstLineChars="1512"/>
        <w:rPr>
          <w:rFonts w:ascii="宋体" w:hAnsi="宋体" w:eastAsia="宋体"/>
          <w:sz w:val="24"/>
          <w:szCs w:val="24"/>
        </w:rPr>
      </w:pPr>
      <w:r>
        <w:rPr>
          <w:rFonts w:ascii="宋体" w:hAnsi="宋体" w:eastAsia="宋体"/>
          <w:sz w:val="24"/>
          <w:szCs w:val="24"/>
        </w:rPr>
        <w:t>企业名称（盖章</w:t>
      </w:r>
      <w:r>
        <w:rPr>
          <w:rFonts w:ascii="宋体" w:hAnsi="宋体" w:eastAsia="宋体"/>
          <w:sz w:val="24"/>
          <w:szCs w:val="24"/>
          <w:lang w:bidi="en-US"/>
        </w:rPr>
        <w:t>）</w:t>
      </w:r>
    </w:p>
    <w:p w14:paraId="4D051559">
      <w:pPr>
        <w:autoSpaceDE w:val="0"/>
        <w:autoSpaceDN w:val="0"/>
        <w:adjustRightInd w:val="0"/>
        <w:spacing w:line="360" w:lineRule="auto"/>
        <w:ind w:firstLine="4536" w:firstLineChars="1890"/>
        <w:jc w:val="left"/>
        <w:rPr>
          <w:rFonts w:ascii="宋体" w:hAnsi="宋体"/>
          <w:color w:val="auto"/>
          <w:sz w:val="24"/>
          <w:szCs w:val="24"/>
        </w:rPr>
      </w:pPr>
      <w:r>
        <w:rPr>
          <w:rFonts w:ascii="宋体" w:hAnsi="宋体"/>
          <w:color w:val="auto"/>
          <w:sz w:val="24"/>
          <w:szCs w:val="24"/>
        </w:rPr>
        <w:t>日期：</w:t>
      </w:r>
    </w:p>
    <w:p w14:paraId="5AC89EC5">
      <w:pPr>
        <w:autoSpaceDE w:val="0"/>
        <w:autoSpaceDN w:val="0"/>
        <w:adjustRightInd w:val="0"/>
        <w:spacing w:line="360" w:lineRule="auto"/>
        <w:jc w:val="center"/>
        <w:rPr>
          <w:rFonts w:ascii="宋体" w:hAnsi="宋体"/>
          <w:color w:val="auto"/>
          <w:sz w:val="24"/>
          <w:szCs w:val="24"/>
        </w:rPr>
      </w:pPr>
    </w:p>
    <w:p w14:paraId="167C1DE0">
      <w:pPr>
        <w:autoSpaceDE w:val="0"/>
        <w:autoSpaceDN w:val="0"/>
        <w:adjustRightInd w:val="0"/>
        <w:spacing w:line="360" w:lineRule="auto"/>
        <w:jc w:val="center"/>
        <w:rPr>
          <w:rFonts w:ascii="宋体" w:hAnsi="宋体"/>
          <w:color w:val="auto"/>
          <w:sz w:val="24"/>
          <w:szCs w:val="24"/>
        </w:rPr>
      </w:pPr>
    </w:p>
    <w:p w14:paraId="15FB5E74">
      <w:pPr>
        <w:spacing w:line="240" w:lineRule="auto"/>
        <w:rPr>
          <w:rStyle w:val="76"/>
          <w:rFonts w:hAnsi="宋体"/>
          <w:color w:val="auto"/>
        </w:rPr>
      </w:pPr>
      <w:r>
        <w:rPr>
          <w:rFonts w:hint="eastAsia" w:ascii="宋体" w:hAnsi="宋体"/>
          <w:color w:val="auto"/>
          <w:sz w:val="18"/>
          <w:szCs w:val="18"/>
        </w:rPr>
        <w:t>注：1、</w:t>
      </w:r>
      <w:r>
        <w:rPr>
          <w:rStyle w:val="75"/>
          <w:rFonts w:hAnsi="宋体"/>
          <w:color w:val="auto"/>
          <w:sz w:val="18"/>
          <w:szCs w:val="18"/>
          <w:vertAlign w:val="superscript"/>
        </w:rPr>
        <w:t>1</w:t>
      </w:r>
      <w:r>
        <w:rPr>
          <w:rStyle w:val="76"/>
          <w:rFonts w:hAnsi="宋体"/>
          <w:color w:val="auto"/>
        </w:rPr>
        <w:t>从业人员、营业收入、资产总额填报上一年度数据，无上一年度数据的新成立企业可不填报</w:t>
      </w:r>
      <w:r>
        <w:rPr>
          <w:rStyle w:val="76"/>
          <w:rFonts w:hint="eastAsia" w:hAnsi="宋体"/>
          <w:color w:val="auto"/>
        </w:rPr>
        <w:t>。</w:t>
      </w:r>
    </w:p>
    <w:p w14:paraId="7888E01C">
      <w:pPr>
        <w:spacing w:line="240" w:lineRule="auto"/>
        <w:ind w:firstLine="450" w:firstLineChars="250"/>
        <w:rPr>
          <w:rFonts w:ascii="宋体" w:hAnsi="宋体"/>
          <w:color w:val="auto"/>
          <w:sz w:val="18"/>
          <w:szCs w:val="18"/>
        </w:rPr>
      </w:pPr>
      <w:r>
        <w:rPr>
          <w:rStyle w:val="76"/>
          <w:rFonts w:hint="eastAsia" w:hAnsi="宋体"/>
          <w:color w:val="auto"/>
        </w:rPr>
        <w:t>2、“专门面向中小企业采购”项目必须提供《中小企业声明函》。</w:t>
      </w:r>
    </w:p>
    <w:p w14:paraId="25E159F0">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p>
    <w:p w14:paraId="09ACE4FE">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p>
    <w:p w14:paraId="013C8ACF">
      <w:pPr>
        <w:spacing w:line="588" w:lineRule="exact"/>
        <w:jc w:val="center"/>
        <w:rPr>
          <w:rFonts w:ascii="宋体" w:hAnsi="宋体"/>
          <w:color w:val="auto"/>
          <w:spacing w:val="6"/>
          <w:sz w:val="24"/>
          <w:szCs w:val="24"/>
        </w:rPr>
      </w:pPr>
      <w:r>
        <w:rPr>
          <w:rFonts w:hint="eastAsia" w:ascii="黑体" w:hAnsi="黑体" w:eastAsia="黑体"/>
          <w:b/>
          <w:color w:val="auto"/>
          <w:sz w:val="30"/>
          <w:szCs w:val="30"/>
        </w:rPr>
        <w:t>残疾人福利性单位声明函</w:t>
      </w:r>
      <w:r>
        <w:rPr>
          <w:rFonts w:hint="eastAsia" w:ascii="宋体" w:hAnsi="宋体"/>
          <w:color w:val="auto"/>
          <w:spacing w:val="6"/>
          <w:sz w:val="24"/>
          <w:szCs w:val="24"/>
        </w:rPr>
        <w:t>（如符合条件时填写</w:t>
      </w:r>
      <w:r>
        <w:rPr>
          <w:rFonts w:hint="eastAsia" w:ascii="宋体" w:hAnsi="宋体"/>
          <w:color w:val="auto"/>
          <w:spacing w:val="6"/>
          <w:sz w:val="28"/>
          <w:szCs w:val="28"/>
          <w:vertAlign w:val="superscript"/>
        </w:rPr>
        <w:t>*</w:t>
      </w:r>
      <w:r>
        <w:rPr>
          <w:rFonts w:hint="eastAsia" w:ascii="宋体" w:hAnsi="宋体"/>
          <w:color w:val="auto"/>
          <w:spacing w:val="6"/>
          <w:sz w:val="24"/>
          <w:szCs w:val="24"/>
        </w:rPr>
        <w:t>）</w:t>
      </w:r>
    </w:p>
    <w:p w14:paraId="40768C3A">
      <w:pPr>
        <w:spacing w:line="588" w:lineRule="exact"/>
        <w:rPr>
          <w:rFonts w:ascii="宋体" w:hAnsi="宋体"/>
          <w:color w:val="auto"/>
          <w:spacing w:val="6"/>
          <w:sz w:val="24"/>
          <w:szCs w:val="24"/>
        </w:rPr>
      </w:pPr>
    </w:p>
    <w:p w14:paraId="2EA58EF5">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本单位郑重声明，根据《财政部 民政部 中国残疾人联合会关于促进残疾人就业政府采购政策的通知》（财库</w:t>
      </w:r>
      <w:r>
        <w:rPr>
          <w:rFonts w:hint="eastAsia" w:ascii="宋体" w:hAnsi="宋体"/>
          <w:color w:val="auto"/>
          <w:sz w:val="24"/>
          <w:szCs w:val="24"/>
        </w:rPr>
        <w:t>〔2017〕141</w:t>
      </w:r>
      <w:r>
        <w:rPr>
          <w:rFonts w:hint="eastAsia" w:ascii="宋体" w:hAnsi="宋体"/>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FEDB061">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本单位对上述声明的真实性负责。如有虚假，将依法承担相应责任。</w:t>
      </w:r>
    </w:p>
    <w:p w14:paraId="0A99E5DE">
      <w:pPr>
        <w:spacing w:line="588" w:lineRule="exact"/>
        <w:ind w:firstLine="504" w:firstLineChars="200"/>
        <w:rPr>
          <w:rFonts w:ascii="宋体" w:hAnsi="宋体"/>
          <w:color w:val="auto"/>
          <w:spacing w:val="6"/>
          <w:sz w:val="24"/>
          <w:szCs w:val="24"/>
        </w:rPr>
      </w:pPr>
    </w:p>
    <w:p w14:paraId="0A45414B">
      <w:pPr>
        <w:spacing w:line="588" w:lineRule="exact"/>
        <w:ind w:firstLine="504" w:firstLineChars="200"/>
        <w:rPr>
          <w:rFonts w:ascii="宋体" w:hAnsi="宋体"/>
          <w:color w:val="auto"/>
          <w:spacing w:val="6"/>
          <w:sz w:val="24"/>
          <w:szCs w:val="24"/>
        </w:rPr>
      </w:pPr>
    </w:p>
    <w:p w14:paraId="13E19123">
      <w:pPr>
        <w:spacing w:line="588" w:lineRule="exact"/>
        <w:ind w:firstLine="504" w:firstLineChars="200"/>
        <w:rPr>
          <w:rFonts w:ascii="宋体" w:hAnsi="宋体"/>
          <w:color w:val="auto"/>
          <w:spacing w:val="6"/>
          <w:sz w:val="24"/>
          <w:szCs w:val="24"/>
        </w:rPr>
      </w:pPr>
    </w:p>
    <w:p w14:paraId="4322A0C3">
      <w:pPr>
        <w:snapToGrid w:val="0"/>
        <w:spacing w:before="100" w:beforeAutospacing="1" w:after="100" w:afterAutospacing="1" w:line="700" w:lineRule="exact"/>
        <w:ind w:right="641" w:firstLine="4960" w:firstLineChars="2067"/>
        <w:rPr>
          <w:rFonts w:ascii="宋体" w:hAnsi="宋体"/>
          <w:color w:val="auto"/>
          <w:sz w:val="24"/>
          <w:szCs w:val="24"/>
        </w:rPr>
      </w:pPr>
      <w:r>
        <w:rPr>
          <w:rFonts w:hint="eastAsia" w:ascii="宋体" w:hAnsi="宋体"/>
          <w:color w:val="auto"/>
          <w:sz w:val="24"/>
          <w:szCs w:val="24"/>
        </w:rPr>
        <w:t>单位名称</w:t>
      </w:r>
      <w:r>
        <w:rPr>
          <w:rFonts w:ascii="宋体" w:hAnsi="宋体"/>
          <w:color w:val="auto"/>
          <w:sz w:val="24"/>
          <w:szCs w:val="24"/>
        </w:rPr>
        <w:t>（盖章</w:t>
      </w:r>
      <w:r>
        <w:rPr>
          <w:rFonts w:ascii="宋体" w:hAnsi="宋体"/>
          <w:color w:val="auto"/>
          <w:sz w:val="24"/>
          <w:szCs w:val="24"/>
          <w:lang w:bidi="en-US"/>
        </w:rPr>
        <w:t>）</w:t>
      </w:r>
      <w:r>
        <w:rPr>
          <w:rFonts w:hint="eastAsia" w:ascii="宋体" w:hAnsi="宋体"/>
          <w:color w:val="auto"/>
          <w:sz w:val="24"/>
          <w:szCs w:val="24"/>
        </w:rPr>
        <w:t>：</w:t>
      </w:r>
    </w:p>
    <w:p w14:paraId="1D9DE135">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r>
        <w:rPr>
          <w:rFonts w:hint="eastAsia" w:ascii="宋体" w:hAnsi="宋体"/>
          <w:color w:val="auto"/>
          <w:sz w:val="24"/>
          <w:szCs w:val="24"/>
        </w:rPr>
        <w:t>日期：</w:t>
      </w:r>
    </w:p>
    <w:p w14:paraId="15F15EDC">
      <w:pPr>
        <w:autoSpaceDE w:val="0"/>
        <w:autoSpaceDN w:val="0"/>
        <w:adjustRightInd w:val="0"/>
        <w:spacing w:line="360" w:lineRule="auto"/>
        <w:rPr>
          <w:rFonts w:ascii="宋体" w:cs="楷体_GB2312"/>
          <w:b/>
          <w:color w:val="auto"/>
          <w:sz w:val="30"/>
          <w:szCs w:val="30"/>
          <w:lang w:val="zh-CN"/>
        </w:rPr>
      </w:pPr>
    </w:p>
    <w:p w14:paraId="0ACF1EBB">
      <w:pPr>
        <w:autoSpaceDE w:val="0"/>
        <w:autoSpaceDN w:val="0"/>
        <w:adjustRightInd w:val="0"/>
        <w:spacing w:line="360" w:lineRule="auto"/>
        <w:jc w:val="center"/>
        <w:rPr>
          <w:rFonts w:ascii="宋体"/>
          <w:color w:val="auto"/>
          <w:sz w:val="24"/>
          <w:szCs w:val="24"/>
        </w:rPr>
      </w:pPr>
    </w:p>
    <w:p w14:paraId="37989033">
      <w:pPr>
        <w:autoSpaceDE w:val="0"/>
        <w:autoSpaceDN w:val="0"/>
        <w:adjustRightInd w:val="0"/>
        <w:spacing w:line="360" w:lineRule="auto"/>
        <w:jc w:val="center"/>
        <w:rPr>
          <w:rFonts w:ascii="宋体"/>
          <w:color w:val="auto"/>
          <w:sz w:val="24"/>
          <w:szCs w:val="24"/>
        </w:rPr>
      </w:pPr>
    </w:p>
    <w:p w14:paraId="675D9FB3">
      <w:pPr>
        <w:autoSpaceDE w:val="0"/>
        <w:autoSpaceDN w:val="0"/>
        <w:adjustRightInd w:val="0"/>
        <w:spacing w:line="360" w:lineRule="auto"/>
        <w:jc w:val="center"/>
        <w:rPr>
          <w:rFonts w:ascii="宋体"/>
          <w:color w:val="auto"/>
          <w:sz w:val="24"/>
          <w:szCs w:val="24"/>
        </w:rPr>
      </w:pPr>
    </w:p>
    <w:p w14:paraId="27B7F01B">
      <w:pPr>
        <w:spacing w:line="240" w:lineRule="auto"/>
        <w:ind w:firstLine="450" w:firstLineChars="250"/>
        <w:rPr>
          <w:rFonts w:ascii="宋体" w:hAnsi="宋体"/>
          <w:color w:val="auto"/>
          <w:sz w:val="18"/>
          <w:szCs w:val="18"/>
        </w:rPr>
      </w:pPr>
      <w:r>
        <w:rPr>
          <w:rFonts w:hint="eastAsia" w:ascii="宋体" w:hAnsi="宋体"/>
          <w:color w:val="auto"/>
          <w:sz w:val="18"/>
          <w:szCs w:val="18"/>
        </w:rPr>
        <w:t>注：1、按政策规定：符合条件的残疾人福利性单位视同小型、微型企业。残疾人福利性单位属于小型、微型企业的，不重复享受政策。</w:t>
      </w:r>
    </w:p>
    <w:p w14:paraId="4800AA7B">
      <w:pPr>
        <w:spacing w:line="240" w:lineRule="auto"/>
        <w:ind w:firstLine="450" w:firstLineChars="250"/>
        <w:rPr>
          <w:rFonts w:ascii="宋体" w:hAnsi="宋体"/>
          <w:color w:val="auto"/>
          <w:sz w:val="18"/>
          <w:szCs w:val="18"/>
        </w:rPr>
      </w:pPr>
      <w:r>
        <w:rPr>
          <w:rFonts w:hint="eastAsia" w:ascii="宋体" w:hAnsi="宋体"/>
          <w:color w:val="auto"/>
          <w:sz w:val="18"/>
          <w:szCs w:val="18"/>
        </w:rPr>
        <w:t>2、</w:t>
      </w:r>
      <w:r>
        <w:rPr>
          <w:rFonts w:hint="eastAsia" w:ascii="宋体" w:hAnsi="宋体"/>
          <w:b/>
          <w:color w:val="auto"/>
          <w:sz w:val="18"/>
          <w:szCs w:val="18"/>
          <w:vertAlign w:val="superscript"/>
        </w:rPr>
        <w:t>*</w:t>
      </w:r>
      <w:r>
        <w:rPr>
          <w:rFonts w:hint="eastAsia" w:ascii="宋体" w:hAnsi="宋体"/>
          <w:color w:val="auto"/>
          <w:sz w:val="18"/>
          <w:szCs w:val="18"/>
        </w:rPr>
        <w:t>本格式由符合促进残疾人就业政府采购政策条件的残疾人福利性单位填写，非残疾人福利性单位无需填写。本项目（专门面向中小企业采购）中，残疾人福利性单位属于</w:t>
      </w:r>
      <w:r>
        <w:rPr>
          <w:rFonts w:ascii="宋体" w:hAnsi="宋体"/>
          <w:color w:val="auto"/>
          <w:sz w:val="18"/>
          <w:szCs w:val="18"/>
        </w:rPr>
        <w:t>中型企业</w:t>
      </w:r>
      <w:r>
        <w:rPr>
          <w:rFonts w:hint="eastAsia" w:ascii="宋体" w:hAnsi="宋体"/>
          <w:color w:val="auto"/>
          <w:sz w:val="18"/>
          <w:szCs w:val="18"/>
        </w:rPr>
        <w:t>、小型、微型企业的，可只填写“</w:t>
      </w:r>
      <w:r>
        <w:rPr>
          <w:rFonts w:ascii="宋体" w:hAnsi="宋体"/>
          <w:color w:val="auto"/>
          <w:sz w:val="18"/>
          <w:szCs w:val="18"/>
        </w:rPr>
        <w:t xml:space="preserve"> 中小企业声明函</w:t>
      </w:r>
      <w:r>
        <w:rPr>
          <w:rFonts w:hint="eastAsia" w:ascii="宋体" w:hAnsi="宋体"/>
          <w:color w:val="auto"/>
          <w:sz w:val="18"/>
          <w:szCs w:val="18"/>
        </w:rPr>
        <w:t>”，不再填写“残疾人福利性单位</w:t>
      </w:r>
      <w:r>
        <w:rPr>
          <w:rFonts w:ascii="宋体" w:hAnsi="宋体"/>
          <w:color w:val="auto"/>
          <w:sz w:val="18"/>
          <w:szCs w:val="18"/>
        </w:rPr>
        <w:t>声明函</w:t>
      </w:r>
      <w:r>
        <w:rPr>
          <w:rFonts w:hint="eastAsia" w:ascii="宋体" w:hAnsi="宋体"/>
          <w:color w:val="auto"/>
          <w:sz w:val="18"/>
          <w:szCs w:val="18"/>
        </w:rPr>
        <w:t>”。</w:t>
      </w:r>
    </w:p>
    <w:p w14:paraId="5E5174C4">
      <w:pPr>
        <w:spacing w:line="240" w:lineRule="auto"/>
        <w:ind w:firstLine="450" w:firstLineChars="250"/>
        <w:rPr>
          <w:rFonts w:ascii="宋体" w:hAnsi="宋体"/>
          <w:color w:val="auto"/>
          <w:sz w:val="18"/>
          <w:szCs w:val="18"/>
        </w:rPr>
      </w:pPr>
      <w:r>
        <w:rPr>
          <w:rFonts w:hint="eastAsia" w:ascii="宋体" w:hAnsi="宋体"/>
          <w:color w:val="auto"/>
          <w:sz w:val="18"/>
          <w:szCs w:val="18"/>
        </w:rPr>
        <w:t>3、残疾人福利性单位填写“残疾人福利性单位</w:t>
      </w:r>
      <w:r>
        <w:rPr>
          <w:rFonts w:ascii="宋体" w:hAnsi="宋体"/>
          <w:color w:val="auto"/>
          <w:sz w:val="18"/>
          <w:szCs w:val="18"/>
        </w:rPr>
        <w:t>声明函</w:t>
      </w:r>
      <w:r>
        <w:rPr>
          <w:rFonts w:hint="eastAsia" w:ascii="宋体" w:hAnsi="宋体"/>
          <w:color w:val="auto"/>
          <w:sz w:val="18"/>
          <w:szCs w:val="18"/>
        </w:rPr>
        <w:t>”后，仍需同时填写“</w:t>
      </w:r>
      <w:r>
        <w:rPr>
          <w:rFonts w:ascii="宋体" w:hAnsi="宋体"/>
          <w:color w:val="auto"/>
          <w:sz w:val="18"/>
          <w:szCs w:val="18"/>
        </w:rPr>
        <w:t>中小企业声明函</w:t>
      </w:r>
      <w:r>
        <w:rPr>
          <w:rFonts w:hint="eastAsia" w:ascii="宋体" w:hAnsi="宋体"/>
          <w:color w:val="auto"/>
          <w:sz w:val="18"/>
          <w:szCs w:val="18"/>
        </w:rPr>
        <w:t>”、可在“</w:t>
      </w:r>
      <w:r>
        <w:rPr>
          <w:rFonts w:ascii="宋体" w:hAnsi="宋体"/>
          <w:color w:val="auto"/>
          <w:sz w:val="18"/>
          <w:szCs w:val="18"/>
        </w:rPr>
        <w:t>中小企业声明函</w:t>
      </w:r>
      <w:r>
        <w:rPr>
          <w:rFonts w:hint="eastAsia" w:ascii="宋体" w:hAnsi="宋体"/>
          <w:color w:val="auto"/>
          <w:sz w:val="18"/>
          <w:szCs w:val="18"/>
        </w:rPr>
        <w:t>”注明“属于符合条件的残疾人福利性单位、视同小型、微型企业”。</w:t>
      </w:r>
    </w:p>
    <w:p w14:paraId="685E780C">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p>
    <w:p w14:paraId="44C030BC">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ascii="黑体" w:hAnsi="黑体" w:eastAsia="黑体"/>
          <w:b/>
          <w:color w:val="auto"/>
          <w:sz w:val="30"/>
          <w:szCs w:val="30"/>
        </w:rPr>
        <w:br w:type="page"/>
      </w:r>
    </w:p>
    <w:p w14:paraId="00041DEF">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近三年无重大违法记录的声明函</w:t>
      </w:r>
    </w:p>
    <w:p w14:paraId="60C8B937">
      <w:pPr>
        <w:tabs>
          <w:tab w:val="left" w:pos="9365"/>
        </w:tabs>
        <w:spacing w:before="57" w:after="57" w:line="586" w:lineRule="atLeast"/>
        <w:ind w:right="85"/>
        <w:jc w:val="left"/>
        <w:textAlignment w:val="top"/>
        <w:rPr>
          <w:rFonts w:ascii="宋体"/>
          <w:color w:val="auto"/>
          <w:sz w:val="24"/>
          <w:szCs w:val="24"/>
        </w:rPr>
      </w:pPr>
    </w:p>
    <w:p w14:paraId="484D639B">
      <w:pPr>
        <w:tabs>
          <w:tab w:val="left" w:pos="9365"/>
        </w:tabs>
        <w:spacing w:before="57" w:after="57" w:line="586" w:lineRule="atLeast"/>
        <w:ind w:right="85"/>
        <w:jc w:val="left"/>
        <w:textAlignment w:val="top"/>
        <w:rPr>
          <w:rFonts w:ascii="宋体"/>
          <w:color w:val="auto"/>
          <w:sz w:val="24"/>
          <w:szCs w:val="24"/>
        </w:rPr>
      </w:pPr>
      <w:r>
        <w:rPr>
          <w:rFonts w:hint="eastAsia" w:ascii="宋体" w:hAnsi="宋体"/>
          <w:color w:val="auto"/>
          <w:sz w:val="24"/>
        </w:rPr>
        <w:t>安阳市方正招标采购服务有限责任公司：</w:t>
      </w:r>
    </w:p>
    <w:p w14:paraId="243CA353">
      <w:pPr>
        <w:tabs>
          <w:tab w:val="left" w:pos="9365"/>
        </w:tabs>
        <w:spacing w:before="57" w:after="57" w:line="586" w:lineRule="atLeast"/>
        <w:ind w:right="85" w:firstLine="600" w:firstLineChars="250"/>
        <w:jc w:val="left"/>
        <w:textAlignment w:val="top"/>
        <w:rPr>
          <w:rFonts w:ascii="宋体"/>
          <w:color w:val="auto"/>
          <w:sz w:val="24"/>
          <w:szCs w:val="24"/>
        </w:rPr>
      </w:pPr>
      <w:r>
        <w:rPr>
          <w:rFonts w:hint="eastAsia" w:ascii="宋体" w:hAnsi="宋体"/>
          <w:color w:val="auto"/>
          <w:sz w:val="24"/>
          <w:szCs w:val="24"/>
        </w:rPr>
        <w:t>我单位在参加政府采购活动前三年内，在经营活动中没有重大违法记录。</w:t>
      </w:r>
    </w:p>
    <w:p w14:paraId="10E59A1B">
      <w:pPr>
        <w:tabs>
          <w:tab w:val="left" w:pos="9365"/>
        </w:tabs>
        <w:spacing w:before="57" w:after="57" w:line="586" w:lineRule="atLeast"/>
        <w:ind w:right="85" w:firstLine="600" w:firstLineChars="250"/>
        <w:jc w:val="left"/>
        <w:textAlignment w:val="top"/>
        <w:rPr>
          <w:rFonts w:ascii="宋体"/>
          <w:color w:val="auto"/>
          <w:sz w:val="24"/>
          <w:szCs w:val="24"/>
        </w:rPr>
      </w:pPr>
      <w:r>
        <w:rPr>
          <w:rFonts w:hint="eastAsia" w:ascii="宋体" w:hAnsi="宋体"/>
          <w:color w:val="auto"/>
          <w:sz w:val="24"/>
          <w:szCs w:val="24"/>
        </w:rPr>
        <w:t>特此承诺。</w:t>
      </w:r>
    </w:p>
    <w:p w14:paraId="7D0C4031">
      <w:pPr>
        <w:tabs>
          <w:tab w:val="left" w:pos="9365"/>
        </w:tabs>
        <w:spacing w:before="57" w:after="57" w:line="586" w:lineRule="atLeast"/>
        <w:ind w:right="85"/>
        <w:jc w:val="left"/>
        <w:textAlignment w:val="top"/>
        <w:rPr>
          <w:rFonts w:ascii="宋体"/>
          <w:color w:val="auto"/>
          <w:sz w:val="24"/>
          <w:szCs w:val="24"/>
        </w:rPr>
      </w:pPr>
    </w:p>
    <w:p w14:paraId="48A45A76">
      <w:pPr>
        <w:tabs>
          <w:tab w:val="left" w:pos="9365"/>
        </w:tabs>
        <w:spacing w:before="57" w:after="57" w:line="586" w:lineRule="atLeast"/>
        <w:ind w:right="85"/>
        <w:jc w:val="left"/>
        <w:textAlignment w:val="top"/>
        <w:rPr>
          <w:rFonts w:ascii="宋体"/>
          <w:color w:val="auto"/>
          <w:sz w:val="24"/>
          <w:szCs w:val="24"/>
        </w:rPr>
      </w:pPr>
    </w:p>
    <w:p w14:paraId="7F08FD4D">
      <w:pPr>
        <w:tabs>
          <w:tab w:val="left" w:pos="9365"/>
        </w:tabs>
        <w:spacing w:before="57" w:after="57" w:line="586" w:lineRule="atLeast"/>
        <w:ind w:right="85"/>
        <w:jc w:val="left"/>
        <w:textAlignment w:val="top"/>
        <w:rPr>
          <w:rFonts w:ascii="宋体"/>
          <w:color w:val="auto"/>
          <w:sz w:val="24"/>
          <w:szCs w:val="24"/>
        </w:rPr>
      </w:pPr>
    </w:p>
    <w:p w14:paraId="05A3C6FB">
      <w:pPr>
        <w:autoSpaceDE w:val="0"/>
        <w:autoSpaceDN w:val="0"/>
        <w:adjustRightInd w:val="0"/>
        <w:spacing w:line="360" w:lineRule="auto"/>
        <w:ind w:left="-2" w:right="-817" w:hanging="149"/>
        <w:rPr>
          <w:rFonts w:ascii="宋体" w:cs="楷体_GB2312"/>
          <w:color w:val="auto"/>
          <w:sz w:val="24"/>
          <w:lang w:val="zh-CN"/>
        </w:rPr>
      </w:pPr>
    </w:p>
    <w:p w14:paraId="64CF1BC3">
      <w:pPr>
        <w:autoSpaceDE w:val="0"/>
        <w:autoSpaceDN w:val="0"/>
        <w:adjustRightInd w:val="0"/>
        <w:spacing w:line="360" w:lineRule="auto"/>
        <w:jc w:val="center"/>
        <w:rPr>
          <w:rFonts w:ascii="宋体" w:cs="楷体_GB2312"/>
          <w:b/>
          <w:color w:val="auto"/>
          <w:sz w:val="30"/>
          <w:szCs w:val="30"/>
          <w:lang w:val="zh-CN"/>
        </w:rPr>
      </w:pPr>
    </w:p>
    <w:p w14:paraId="70209C92">
      <w:pPr>
        <w:widowControl w:val="0"/>
        <w:snapToGrid w:val="0"/>
        <w:spacing w:line="360" w:lineRule="auto"/>
        <w:textAlignment w:val="top"/>
        <w:rPr>
          <w:color w:val="auto"/>
          <w:sz w:val="24"/>
          <w:szCs w:val="24"/>
        </w:rPr>
      </w:pPr>
      <w:r>
        <w:rPr>
          <w:rFonts w:hint="eastAsia"/>
          <w:color w:val="auto"/>
          <w:sz w:val="24"/>
          <w:szCs w:val="24"/>
        </w:rPr>
        <w:t>投标人（电子签章）：</w:t>
      </w:r>
    </w:p>
    <w:p w14:paraId="5C0EBD64">
      <w:pPr>
        <w:widowControl w:val="0"/>
        <w:snapToGrid w:val="0"/>
        <w:spacing w:line="360" w:lineRule="auto"/>
        <w:textAlignment w:val="top"/>
        <w:rPr>
          <w:color w:val="auto"/>
          <w:sz w:val="24"/>
          <w:szCs w:val="24"/>
        </w:rPr>
      </w:pPr>
      <w:r>
        <w:rPr>
          <w:rFonts w:hint="eastAsia"/>
          <w:color w:val="auto"/>
          <w:sz w:val="24"/>
          <w:szCs w:val="24"/>
        </w:rPr>
        <w:t>法定代表人（电子签名或签章）：</w:t>
      </w:r>
    </w:p>
    <w:p w14:paraId="273866F8">
      <w:pPr>
        <w:widowControl w:val="0"/>
        <w:snapToGrid w:val="0"/>
        <w:spacing w:line="360" w:lineRule="auto"/>
        <w:textAlignment w:val="top"/>
        <w:rPr>
          <w:color w:val="auto"/>
          <w:sz w:val="24"/>
          <w:szCs w:val="24"/>
        </w:rPr>
      </w:pPr>
      <w:r>
        <w:rPr>
          <w:rFonts w:hint="eastAsia"/>
          <w:color w:val="auto"/>
          <w:sz w:val="24"/>
          <w:szCs w:val="24"/>
        </w:rPr>
        <w:t>日期：</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14:paraId="7A3F508D">
      <w:pPr>
        <w:autoSpaceDE w:val="0"/>
        <w:autoSpaceDN w:val="0"/>
        <w:adjustRightInd w:val="0"/>
        <w:spacing w:line="360" w:lineRule="auto"/>
        <w:ind w:right="-817"/>
        <w:rPr>
          <w:rFonts w:ascii="宋体" w:cs="楷体_GB2312"/>
          <w:color w:val="auto"/>
          <w:sz w:val="24"/>
          <w:lang w:val="zh-CN"/>
        </w:rPr>
      </w:pPr>
    </w:p>
    <w:p w14:paraId="16D5B902">
      <w:pPr>
        <w:snapToGrid w:val="0"/>
        <w:spacing w:line="560" w:lineRule="exact"/>
        <w:ind w:firstLine="555"/>
        <w:rPr>
          <w:rFonts w:ascii="宋体"/>
          <w:color w:val="auto"/>
          <w:sz w:val="24"/>
        </w:rPr>
      </w:pPr>
      <w:r>
        <w:rPr>
          <w:rFonts w:ascii="宋体" w:hAnsi="宋体"/>
          <w:color w:val="auto"/>
          <w:sz w:val="24"/>
        </w:rPr>
        <w:t xml:space="preserve">        </w:t>
      </w:r>
    </w:p>
    <w:p w14:paraId="15518171">
      <w:pPr>
        <w:snapToGrid w:val="0"/>
        <w:spacing w:line="560" w:lineRule="atLeast"/>
        <w:rPr>
          <w:rFonts w:ascii="宋体"/>
          <w:color w:val="auto"/>
          <w:sz w:val="24"/>
        </w:rPr>
      </w:pPr>
      <w:r>
        <w:rPr>
          <w:rFonts w:ascii="宋体"/>
          <w:color w:val="auto"/>
          <w:sz w:val="24"/>
          <w:szCs w:val="24"/>
        </w:rPr>
        <w:br w:type="page"/>
      </w:r>
    </w:p>
    <w:p w14:paraId="30B14FBF">
      <w:pPr>
        <w:autoSpaceDE w:val="0"/>
        <w:autoSpaceDN w:val="0"/>
        <w:adjustRightInd w:val="0"/>
        <w:spacing w:line="360" w:lineRule="auto"/>
        <w:jc w:val="center"/>
        <w:rPr>
          <w:rFonts w:ascii="黑体" w:hAnsi="黑体" w:eastAsia="黑体"/>
          <w:b/>
          <w:color w:val="auto"/>
          <w:sz w:val="30"/>
          <w:szCs w:val="30"/>
        </w:rPr>
      </w:pPr>
      <w:r>
        <w:rPr>
          <w:rFonts w:hint="eastAsia" w:ascii="黑体" w:hAnsi="黑体" w:eastAsia="黑体"/>
          <w:b/>
          <w:color w:val="auto"/>
          <w:sz w:val="30"/>
          <w:szCs w:val="30"/>
        </w:rPr>
        <w:t>投标承诺函</w:t>
      </w:r>
    </w:p>
    <w:p w14:paraId="38B456F4">
      <w:pPr>
        <w:widowControl w:val="0"/>
        <w:tabs>
          <w:tab w:val="left" w:pos="9365"/>
        </w:tabs>
        <w:spacing w:before="360" w:after="360" w:line="360" w:lineRule="auto"/>
        <w:ind w:right="85"/>
        <w:jc w:val="left"/>
        <w:textAlignment w:val="top"/>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(采购人名称） 、</w:t>
      </w:r>
      <w:r>
        <w:rPr>
          <w:rFonts w:hint="eastAsia"/>
          <w:color w:val="auto"/>
          <w:sz w:val="24"/>
          <w:szCs w:val="24"/>
        </w:rPr>
        <w:t>安阳市方正招标采购服务有限责任公司</w:t>
      </w:r>
    </w:p>
    <w:p w14:paraId="04785B95">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采购活动中，我</w:t>
      </w:r>
      <w:r>
        <w:rPr>
          <w:rFonts w:hint="eastAsia"/>
          <w:color w:val="auto"/>
          <w:sz w:val="24"/>
        </w:rPr>
        <w:t>单位</w:t>
      </w:r>
      <w:r>
        <w:rPr>
          <w:rFonts w:hint="eastAsia" w:ascii="宋体" w:hAnsi="宋体"/>
          <w:color w:val="auto"/>
          <w:sz w:val="24"/>
          <w:szCs w:val="24"/>
        </w:rPr>
        <w:t>承诺：</w:t>
      </w:r>
    </w:p>
    <w:p w14:paraId="38ABED0C">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一、遵循公开、公平、公正和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的原则自愿参加本项目投标；</w:t>
      </w:r>
      <w:r>
        <w:rPr>
          <w:rFonts w:hint="eastAsia" w:ascii="宋体" w:hAnsi="宋体"/>
          <w:color w:val="auto"/>
          <w:sz w:val="24"/>
          <w:szCs w:val="24"/>
        </w:rPr>
        <w:br w:type="textWrapping"/>
      </w:r>
      <w:r>
        <w:rPr>
          <w:rFonts w:hint="eastAsia" w:ascii="宋体" w:hAnsi="宋体"/>
          <w:color w:val="auto"/>
          <w:sz w:val="24"/>
          <w:szCs w:val="24"/>
        </w:rPr>
        <w:t xml:space="preserve">    二、在政府采购活动中提供真实、准确、有效、合法的材料，不</w:t>
      </w:r>
      <w:r>
        <w:rPr>
          <w:rFonts w:hint="eastAsia" w:ascii="宋体" w:hAnsi="宋体"/>
          <w:color w:val="auto"/>
          <w:sz w:val="24"/>
          <w:szCs w:val="24"/>
          <w:lang w:val="zh-CN"/>
        </w:rPr>
        <w:t>提供虚假材料；</w:t>
      </w:r>
    </w:p>
    <w:p w14:paraId="6EC7F3F7">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三、</w:t>
      </w:r>
      <w:r>
        <w:rPr>
          <w:rFonts w:hint="eastAsia" w:ascii="宋体" w:hAnsi="宋体"/>
          <w:color w:val="auto"/>
          <w:sz w:val="24"/>
          <w:szCs w:val="24"/>
          <w:lang w:val="zh-CN"/>
        </w:rPr>
        <w:t>按照单一来源采购文件规定，在提交投标文件截止时间后，在单一来源采购文件规定的投标有效期限内不撤回投标文件；</w:t>
      </w:r>
    </w:p>
    <w:p w14:paraId="7314492D">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四、不</w:t>
      </w:r>
      <w:r>
        <w:rPr>
          <w:rFonts w:hint="eastAsia" w:ascii="宋体" w:hAnsi="宋体"/>
          <w:color w:val="auto"/>
          <w:sz w:val="24"/>
          <w:szCs w:val="24"/>
          <w:lang w:val="zh-CN"/>
        </w:rPr>
        <w:t>与其他投标人、采购人或采购代理机构串通或恶意串通。</w:t>
      </w:r>
    </w:p>
    <w:p w14:paraId="08591956">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五、如我单位中标，</w:t>
      </w:r>
      <w:r>
        <w:rPr>
          <w:rFonts w:hint="eastAsia" w:ascii="宋体" w:hAnsi="宋体"/>
          <w:color w:val="auto"/>
          <w:sz w:val="24"/>
          <w:szCs w:val="24"/>
          <w:lang w:val="zh-CN"/>
        </w:rPr>
        <w:t>除不可抗拒力或单一来源采购文件认可的情形外</w:t>
      </w:r>
      <w:r>
        <w:rPr>
          <w:rFonts w:hint="eastAsia" w:ascii="宋体" w:hAnsi="宋体"/>
          <w:color w:val="auto"/>
          <w:sz w:val="24"/>
          <w:szCs w:val="24"/>
        </w:rPr>
        <w:t>，我单位承诺及时领取中标通知书，</w:t>
      </w:r>
      <w:r>
        <w:rPr>
          <w:rFonts w:hint="eastAsia" w:ascii="宋体" w:hAnsi="宋体"/>
          <w:color w:val="auto"/>
          <w:sz w:val="24"/>
          <w:szCs w:val="24"/>
          <w:lang w:val="zh-CN"/>
        </w:rPr>
        <w:t>在成交通知书规定时间、地点与采购人签订合同；</w:t>
      </w:r>
      <w:r>
        <w:rPr>
          <w:rFonts w:hint="eastAsia" w:ascii="宋体" w:hAnsi="宋体"/>
          <w:color w:val="auto"/>
          <w:sz w:val="24"/>
          <w:szCs w:val="24"/>
        </w:rPr>
        <w:br w:type="textWrapping"/>
      </w:r>
      <w:r>
        <w:rPr>
          <w:rFonts w:hint="eastAsia" w:ascii="宋体" w:hAnsi="宋体"/>
          <w:color w:val="auto"/>
          <w:sz w:val="24"/>
          <w:szCs w:val="24"/>
        </w:rPr>
        <w:t xml:space="preserve">    六、</w:t>
      </w:r>
      <w:r>
        <w:rPr>
          <w:rFonts w:hint="eastAsia" w:ascii="宋体" w:hAnsi="宋体"/>
          <w:color w:val="auto"/>
          <w:sz w:val="24"/>
          <w:szCs w:val="24"/>
          <w:lang w:val="zh-CN"/>
        </w:rPr>
        <w:t>遵守法律法规及单一来源采购文件规定的其他情况；</w:t>
      </w:r>
    </w:p>
    <w:p w14:paraId="60CA17C5">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七、按</w:t>
      </w:r>
      <w:r>
        <w:rPr>
          <w:rFonts w:hint="eastAsia" w:ascii="宋体" w:hAnsi="宋体"/>
          <w:color w:val="auto"/>
          <w:sz w:val="24"/>
          <w:szCs w:val="24"/>
          <w:lang w:val="zh-CN"/>
        </w:rPr>
        <w:t>单一来源采购文件</w:t>
      </w:r>
      <w:r>
        <w:rPr>
          <w:rFonts w:hint="eastAsia" w:ascii="宋体" w:hAnsi="宋体"/>
          <w:color w:val="auto"/>
          <w:sz w:val="24"/>
          <w:szCs w:val="24"/>
        </w:rPr>
        <w:t>规定及时缴纳中标服务费。</w:t>
      </w:r>
    </w:p>
    <w:p w14:paraId="452B6896">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八、违背上述承诺事项的，我单位无条件接受以下责任追究：</w:t>
      </w:r>
    </w:p>
    <w:p w14:paraId="1C93DF23">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lang w:val="zh-CN"/>
        </w:rPr>
        <w:t>（一）法定责任：</w:t>
      </w:r>
      <w:r>
        <w:rPr>
          <w:rFonts w:hint="eastAsia" w:ascii="宋体" w:hAnsi="宋体"/>
          <w:color w:val="auto"/>
          <w:sz w:val="24"/>
          <w:szCs w:val="24"/>
        </w:rPr>
        <w:t>按照政府采购相关法规，</w:t>
      </w:r>
      <w:r>
        <w:rPr>
          <w:rFonts w:hint="eastAsia" w:ascii="宋体" w:hAnsi="宋体"/>
          <w:color w:val="auto"/>
          <w:sz w:val="24"/>
          <w:szCs w:val="24"/>
          <w:lang w:val="zh-CN"/>
        </w:rPr>
        <w:t>处以罚款，列入不良行为记录名单，在一至三年内禁止参加政府采购活动，有违法所得的，并处没收违法所得，情节严重的，由工商管理</w:t>
      </w:r>
      <w:r>
        <w:rPr>
          <w:rFonts w:hint="eastAsia"/>
          <w:color w:val="auto"/>
          <w:sz w:val="24"/>
          <w:szCs w:val="24"/>
        </w:rPr>
        <w:t>（市场监督管理机关）</w:t>
      </w:r>
      <w:r>
        <w:rPr>
          <w:rFonts w:hint="eastAsia" w:ascii="宋体" w:hAnsi="宋体"/>
          <w:color w:val="auto"/>
          <w:sz w:val="24"/>
          <w:szCs w:val="24"/>
          <w:lang w:val="zh-CN"/>
        </w:rPr>
        <w:t>吊销营业执照；构成犯罪的，依法追究刑事责任。</w:t>
      </w:r>
    </w:p>
    <w:p w14:paraId="55B536ED">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给采购人及他人造成损失的，愿承担相应的赔偿责任。</w:t>
      </w:r>
    </w:p>
    <w:p w14:paraId="12D27051">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lang w:val="zh-CN"/>
        </w:rPr>
        <w:t>（二）违约责任：</w:t>
      </w:r>
      <w:r>
        <w:rPr>
          <w:rFonts w:hint="eastAsia" w:ascii="宋体" w:hAnsi="宋体"/>
          <w:color w:val="auto"/>
          <w:sz w:val="24"/>
          <w:szCs w:val="24"/>
        </w:rPr>
        <w:t xml:space="preserve"> </w:t>
      </w:r>
    </w:p>
    <w:p w14:paraId="20933311">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1、已中标的，中标（成交）无效；</w:t>
      </w:r>
    </w:p>
    <w:p w14:paraId="7CC884C7">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2、支付采购人违约标的预算金额2%的</w:t>
      </w:r>
      <w:r>
        <w:rPr>
          <w:rFonts w:hint="eastAsia" w:ascii="宋体" w:hAnsi="宋体"/>
          <w:color w:val="auto"/>
          <w:sz w:val="24"/>
          <w:szCs w:val="24"/>
          <w:lang w:val="zh-CN"/>
        </w:rPr>
        <w:t>违约金</w:t>
      </w:r>
      <w:r>
        <w:rPr>
          <w:rFonts w:hint="eastAsia" w:ascii="宋体" w:hAnsi="宋体"/>
          <w:color w:val="auto"/>
          <w:sz w:val="24"/>
          <w:szCs w:val="24"/>
        </w:rPr>
        <w:t>；</w:t>
      </w:r>
    </w:p>
    <w:p w14:paraId="023CDA0C">
      <w:pPr>
        <w:widowControl w:val="0"/>
        <w:tabs>
          <w:tab w:val="left" w:pos="65"/>
        </w:tabs>
        <w:spacing w:line="460" w:lineRule="atLeast"/>
        <w:ind w:firstLine="480" w:firstLineChars="200"/>
        <w:textAlignment w:val="auto"/>
        <w:rPr>
          <w:color w:val="auto"/>
          <w:sz w:val="24"/>
          <w:lang w:val="zh-CN"/>
        </w:rPr>
      </w:pPr>
      <w:r>
        <w:rPr>
          <w:rFonts w:hint="eastAsia" w:ascii="宋体" w:hAnsi="宋体"/>
          <w:color w:val="auto"/>
          <w:sz w:val="24"/>
          <w:szCs w:val="24"/>
        </w:rPr>
        <w:t>3、中标后未缴中标服务费的，作为违约及违背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原则，在履行承诺前，代理机构将视我单位为失信企业、不予办理其后相关业务。</w:t>
      </w:r>
    </w:p>
    <w:p w14:paraId="45E1FCB6">
      <w:pPr>
        <w:widowControl w:val="0"/>
        <w:autoSpaceDE w:val="0"/>
        <w:autoSpaceDN w:val="0"/>
        <w:adjustRightInd w:val="0"/>
        <w:spacing w:line="460" w:lineRule="atLeast"/>
        <w:ind w:left="-2" w:right="-817" w:hanging="149"/>
        <w:textAlignment w:val="auto"/>
        <w:rPr>
          <w:rFonts w:ascii="宋体" w:cs="楷体_GB2312"/>
          <w:color w:val="auto"/>
          <w:sz w:val="24"/>
          <w:lang w:val="zh-CN"/>
        </w:rPr>
      </w:pPr>
    </w:p>
    <w:p w14:paraId="162C6AB1">
      <w:pPr>
        <w:widowControl w:val="0"/>
        <w:autoSpaceDE w:val="0"/>
        <w:autoSpaceDN w:val="0"/>
        <w:adjustRightInd w:val="0"/>
        <w:spacing w:line="276" w:lineRule="auto"/>
        <w:ind w:right="-816"/>
        <w:textAlignment w:val="auto"/>
        <w:rPr>
          <w:rFonts w:ascii="宋体" w:hAnsi="宋体"/>
          <w:color w:val="auto"/>
          <w:sz w:val="24"/>
        </w:rPr>
      </w:pPr>
      <w:r>
        <w:rPr>
          <w:rFonts w:hint="eastAsia" w:ascii="宋体" w:hAnsi="宋体"/>
          <w:color w:val="auto"/>
          <w:sz w:val="24"/>
        </w:rPr>
        <w:t>投标人（电子签章）：</w:t>
      </w:r>
    </w:p>
    <w:p w14:paraId="2B36F02E">
      <w:pPr>
        <w:widowControl w:val="0"/>
        <w:autoSpaceDE w:val="0"/>
        <w:autoSpaceDN w:val="0"/>
        <w:adjustRightInd w:val="0"/>
        <w:spacing w:line="276" w:lineRule="auto"/>
        <w:ind w:right="-816"/>
        <w:textAlignment w:val="auto"/>
        <w:rPr>
          <w:rFonts w:ascii="宋体" w:hAnsi="宋体"/>
          <w:color w:val="auto"/>
          <w:sz w:val="24"/>
        </w:rPr>
      </w:pPr>
      <w:r>
        <w:rPr>
          <w:rFonts w:hint="eastAsia" w:ascii="宋体" w:hAnsi="宋体"/>
          <w:color w:val="auto"/>
          <w:sz w:val="24"/>
        </w:rPr>
        <w:t>法定代表人（电子签名或签章）：</w:t>
      </w:r>
    </w:p>
    <w:p w14:paraId="4879217F">
      <w:pPr>
        <w:widowControl w:val="0"/>
        <w:autoSpaceDE w:val="0"/>
        <w:autoSpaceDN w:val="0"/>
        <w:adjustRightInd w:val="0"/>
        <w:spacing w:line="276" w:lineRule="auto"/>
        <w:ind w:right="-816"/>
        <w:textAlignment w:val="auto"/>
        <w:rPr>
          <w:color w:val="auto"/>
          <w:sz w:val="24"/>
          <w:szCs w:val="24"/>
          <w:lang w:val="zh-CN"/>
        </w:rPr>
      </w:pPr>
      <w:r>
        <w:rPr>
          <w:rFonts w:hint="eastAsia" w:ascii="宋体" w:hAnsi="宋体"/>
          <w:color w:val="auto"/>
          <w:sz w:val="24"/>
        </w:rPr>
        <w:t>日期：  年   月   日</w:t>
      </w:r>
    </w:p>
    <w:p w14:paraId="288019DE">
      <w:pPr>
        <w:spacing w:line="240" w:lineRule="auto"/>
        <w:jc w:val="left"/>
        <w:textAlignment w:val="auto"/>
        <w:rPr>
          <w:rFonts w:ascii="黑体" w:hAnsi="黑体" w:eastAsia="黑体"/>
          <w:b/>
          <w:color w:val="auto"/>
          <w:sz w:val="30"/>
          <w:szCs w:val="30"/>
        </w:rPr>
      </w:pPr>
    </w:p>
    <w:p w14:paraId="48FCDF3B">
      <w:pPr>
        <w:spacing w:line="240" w:lineRule="auto"/>
        <w:jc w:val="left"/>
        <w:textAlignment w:val="auto"/>
        <w:rPr>
          <w:rFonts w:ascii="黑体" w:hAnsi="黑体" w:eastAsia="黑体"/>
          <w:b/>
          <w:color w:val="auto"/>
          <w:sz w:val="30"/>
          <w:szCs w:val="30"/>
        </w:rPr>
      </w:pPr>
    </w:p>
    <w:p w14:paraId="1B7E2690">
      <w:pPr>
        <w:spacing w:line="240" w:lineRule="auto"/>
        <w:jc w:val="left"/>
        <w:textAlignment w:val="auto"/>
        <w:rPr>
          <w:rFonts w:ascii="黑体" w:hAnsi="黑体" w:eastAsia="黑体"/>
          <w:b/>
          <w:color w:val="auto"/>
          <w:sz w:val="30"/>
          <w:szCs w:val="30"/>
        </w:rPr>
      </w:pPr>
    </w:p>
    <w:p w14:paraId="6CAED5DE">
      <w:pPr>
        <w:spacing w:line="240" w:lineRule="auto"/>
        <w:jc w:val="left"/>
        <w:textAlignment w:val="auto"/>
        <w:rPr>
          <w:rFonts w:ascii="黑体" w:hAnsi="黑体" w:eastAsia="黑体"/>
          <w:b/>
          <w:color w:val="auto"/>
          <w:sz w:val="30"/>
          <w:szCs w:val="30"/>
        </w:rPr>
      </w:pPr>
    </w:p>
    <w:p w14:paraId="310A8678">
      <w:pPr>
        <w:spacing w:line="240" w:lineRule="auto"/>
        <w:jc w:val="left"/>
        <w:textAlignment w:val="auto"/>
        <w:rPr>
          <w:rFonts w:ascii="黑体" w:hAnsi="黑体" w:eastAsia="黑体"/>
          <w:b/>
          <w:color w:val="auto"/>
          <w:sz w:val="30"/>
          <w:szCs w:val="30"/>
        </w:rPr>
      </w:pPr>
    </w:p>
    <w:p w14:paraId="38665174">
      <w:pPr>
        <w:spacing w:line="240" w:lineRule="auto"/>
        <w:jc w:val="left"/>
        <w:textAlignment w:val="auto"/>
        <w:rPr>
          <w:rFonts w:ascii="黑体" w:hAnsi="黑体" w:eastAsia="黑体"/>
          <w:b/>
          <w:color w:val="auto"/>
          <w:sz w:val="30"/>
          <w:szCs w:val="30"/>
        </w:rPr>
      </w:pPr>
    </w:p>
    <w:p w14:paraId="0696B539">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十四、采购项目及服务要求所需的其他材料</w:t>
      </w:r>
    </w:p>
    <w:p w14:paraId="4901F22D">
      <w:pPr>
        <w:widowControl w:val="0"/>
        <w:snapToGrid w:val="0"/>
        <w:spacing w:line="560" w:lineRule="exact"/>
        <w:ind w:firstLine="555"/>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w:t>
      </w:r>
      <w:r>
        <w:rPr>
          <w:rFonts w:ascii="宋体" w:hAnsi="宋体" w:cs="楷体_GB2312"/>
          <w:color w:val="auto"/>
          <w:sz w:val="24"/>
          <w:lang w:val="zh-CN"/>
        </w:rPr>
        <w:t>&lt;</w:t>
      </w:r>
      <w:r>
        <w:rPr>
          <w:rFonts w:hint="eastAsia" w:ascii="宋体" w:hAnsi="宋体" w:cs="楷体_GB2312"/>
          <w:color w:val="auto"/>
          <w:sz w:val="24"/>
          <w:lang w:val="zh-CN"/>
        </w:rPr>
        <w:t>签</w:t>
      </w:r>
      <w:r>
        <w:rPr>
          <w:rFonts w:hint="eastAsia" w:ascii="宋体" w:hAnsi="宋体"/>
          <w:color w:val="auto"/>
          <w:sz w:val="24"/>
          <w:szCs w:val="24"/>
        </w:rPr>
        <w:t>章</w:t>
      </w:r>
      <w:r>
        <w:rPr>
          <w:rFonts w:ascii="宋体" w:hAnsi="宋体"/>
          <w:color w:val="auto"/>
          <w:sz w:val="24"/>
          <w:szCs w:val="24"/>
        </w:rPr>
        <w:t>&gt;</w:t>
      </w:r>
      <w:r>
        <w:rPr>
          <w:rFonts w:hint="eastAsia" w:ascii="宋体" w:hAnsi="宋体"/>
          <w:color w:val="auto"/>
          <w:sz w:val="24"/>
          <w:szCs w:val="24"/>
        </w:rPr>
        <w:t>。条款中对</w:t>
      </w:r>
      <w:r>
        <w:rPr>
          <w:rFonts w:hint="eastAsia" w:ascii="宋体" w:hAnsi="宋体" w:cs="楷体_GB2312"/>
          <w:color w:val="auto"/>
          <w:sz w:val="24"/>
          <w:lang w:val="zh-CN"/>
        </w:rPr>
        <w:t>电子签名</w:t>
      </w:r>
      <w:r>
        <w:rPr>
          <w:rFonts w:ascii="宋体" w:hAnsi="宋体" w:cs="楷体_GB2312"/>
          <w:color w:val="auto"/>
          <w:sz w:val="24"/>
          <w:lang w:val="zh-CN"/>
        </w:rPr>
        <w:t>&lt;</w:t>
      </w:r>
      <w:r>
        <w:rPr>
          <w:rFonts w:hint="eastAsia" w:ascii="宋体" w:hAnsi="宋体" w:cs="楷体_GB2312"/>
          <w:color w:val="auto"/>
          <w:sz w:val="24"/>
          <w:lang w:val="zh-CN"/>
        </w:rPr>
        <w:t>签</w:t>
      </w:r>
      <w:r>
        <w:rPr>
          <w:rFonts w:hint="eastAsia" w:ascii="宋体" w:hAnsi="宋体"/>
          <w:color w:val="auto"/>
          <w:sz w:val="24"/>
          <w:szCs w:val="24"/>
        </w:rPr>
        <w:t>章</w:t>
      </w:r>
      <w:r>
        <w:rPr>
          <w:rFonts w:ascii="宋体" w:hAnsi="宋体"/>
          <w:color w:val="auto"/>
          <w:sz w:val="24"/>
          <w:szCs w:val="24"/>
        </w:rPr>
        <w:t>&gt;</w:t>
      </w:r>
      <w:r>
        <w:rPr>
          <w:rFonts w:hint="eastAsia" w:ascii="宋体" w:hAnsi="宋体"/>
          <w:color w:val="auto"/>
          <w:sz w:val="24"/>
          <w:szCs w:val="24"/>
        </w:rPr>
        <w:t>未作明确要求的，由法定代表人</w:t>
      </w:r>
      <w:r>
        <w:rPr>
          <w:rFonts w:hint="eastAsia" w:ascii="宋体" w:hAnsi="宋体" w:cs="楷体_GB2312"/>
          <w:color w:val="auto"/>
          <w:sz w:val="24"/>
          <w:lang w:val="zh-CN"/>
        </w:rPr>
        <w:t>电子签名</w:t>
      </w:r>
      <w:r>
        <w:rPr>
          <w:rFonts w:ascii="宋体" w:hAnsi="宋体" w:cs="楷体_GB2312"/>
          <w:color w:val="auto"/>
          <w:sz w:val="24"/>
          <w:lang w:val="zh-CN"/>
        </w:rPr>
        <w:t>&lt;</w:t>
      </w:r>
      <w:r>
        <w:rPr>
          <w:rFonts w:hint="eastAsia" w:ascii="宋体" w:hAnsi="宋体" w:cs="楷体_GB2312"/>
          <w:color w:val="auto"/>
          <w:sz w:val="24"/>
          <w:lang w:val="zh-CN"/>
        </w:rPr>
        <w:t>签</w:t>
      </w:r>
      <w:r>
        <w:rPr>
          <w:rFonts w:hint="eastAsia" w:ascii="宋体" w:hAnsi="宋体"/>
          <w:color w:val="auto"/>
          <w:sz w:val="24"/>
          <w:szCs w:val="24"/>
        </w:rPr>
        <w:t>章</w:t>
      </w:r>
      <w:r>
        <w:rPr>
          <w:rFonts w:ascii="宋体" w:hAnsi="宋体"/>
          <w:color w:val="auto"/>
          <w:sz w:val="24"/>
          <w:szCs w:val="24"/>
        </w:rPr>
        <w:t>&gt;</w:t>
      </w:r>
      <w:r>
        <w:rPr>
          <w:rFonts w:hint="eastAsia" w:ascii="宋体" w:hAnsi="宋体"/>
          <w:color w:val="auto"/>
          <w:sz w:val="24"/>
          <w:szCs w:val="24"/>
        </w:rPr>
        <w:t>或</w:t>
      </w:r>
      <w:r>
        <w:rPr>
          <w:rFonts w:hint="eastAsia"/>
          <w:color w:val="auto"/>
          <w:sz w:val="24"/>
          <w:szCs w:val="24"/>
        </w:rPr>
        <w:t>投标人</w:t>
      </w:r>
      <w:r>
        <w:rPr>
          <w:rFonts w:hint="eastAsia" w:ascii="宋体" w:hAnsi="宋体" w:cs="楷体_GB2312"/>
          <w:color w:val="auto"/>
          <w:sz w:val="24"/>
          <w:lang w:val="zh-CN"/>
        </w:rPr>
        <w:t>电子签</w:t>
      </w:r>
      <w:r>
        <w:rPr>
          <w:rFonts w:hint="eastAsia" w:ascii="宋体" w:hAnsi="宋体"/>
          <w:color w:val="auto"/>
          <w:sz w:val="24"/>
          <w:szCs w:val="24"/>
        </w:rPr>
        <w:t>章）</w:t>
      </w:r>
    </w:p>
    <w:p w14:paraId="3F07DFAD">
      <w:pPr>
        <w:widowControl w:val="0"/>
        <w:snapToGrid w:val="0"/>
        <w:spacing w:line="560" w:lineRule="exact"/>
        <w:ind w:firstLine="555"/>
        <w:rPr>
          <w:rFonts w:ascii="宋体"/>
          <w:color w:val="auto"/>
          <w:sz w:val="24"/>
          <w:szCs w:val="24"/>
        </w:rPr>
      </w:pPr>
    </w:p>
    <w:p w14:paraId="4ABD8C1E">
      <w:pPr>
        <w:widowControl w:val="0"/>
        <w:snapToGrid w:val="0"/>
        <w:spacing w:line="560" w:lineRule="exact"/>
        <w:ind w:firstLine="555"/>
        <w:rPr>
          <w:rFonts w:ascii="宋体"/>
          <w:color w:val="auto"/>
          <w:sz w:val="24"/>
          <w:szCs w:val="24"/>
        </w:rPr>
      </w:pPr>
    </w:p>
    <w:p w14:paraId="476968E3">
      <w:pPr>
        <w:autoSpaceDE w:val="0"/>
        <w:autoSpaceDN w:val="0"/>
        <w:adjustRightInd w:val="0"/>
        <w:spacing w:line="360" w:lineRule="auto"/>
        <w:jc w:val="center"/>
        <w:rPr>
          <w:rFonts w:eastAsia="方正黑体简体"/>
          <w:b/>
          <w:color w:val="auto"/>
          <w:sz w:val="30"/>
          <w:szCs w:val="30"/>
        </w:rPr>
      </w:pPr>
    </w:p>
    <w:p w14:paraId="0313417E">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十五、投标人须知所需的其他材料</w:t>
      </w:r>
    </w:p>
    <w:p w14:paraId="0FEA7FC7">
      <w:pPr>
        <w:widowControl w:val="0"/>
        <w:snapToGrid w:val="0"/>
        <w:spacing w:line="560" w:lineRule="exact"/>
        <w:ind w:firstLine="555"/>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w:t>
      </w:r>
      <w:r>
        <w:rPr>
          <w:rFonts w:ascii="宋体" w:hAnsi="宋体" w:cs="楷体_GB2312"/>
          <w:color w:val="auto"/>
          <w:sz w:val="24"/>
          <w:lang w:val="zh-CN"/>
        </w:rPr>
        <w:t>&lt;</w:t>
      </w:r>
      <w:r>
        <w:rPr>
          <w:rFonts w:hint="eastAsia" w:ascii="宋体" w:hAnsi="宋体" w:cs="楷体_GB2312"/>
          <w:color w:val="auto"/>
          <w:sz w:val="24"/>
          <w:lang w:val="zh-CN"/>
        </w:rPr>
        <w:t>签</w:t>
      </w:r>
      <w:r>
        <w:rPr>
          <w:rFonts w:hint="eastAsia" w:ascii="宋体" w:hAnsi="宋体"/>
          <w:color w:val="auto"/>
          <w:sz w:val="24"/>
          <w:szCs w:val="24"/>
        </w:rPr>
        <w:t>章</w:t>
      </w:r>
      <w:r>
        <w:rPr>
          <w:rFonts w:ascii="宋体" w:hAnsi="宋体"/>
          <w:color w:val="auto"/>
          <w:sz w:val="24"/>
          <w:szCs w:val="24"/>
        </w:rPr>
        <w:t>&gt;</w:t>
      </w:r>
      <w:r>
        <w:rPr>
          <w:rFonts w:hint="eastAsia" w:ascii="宋体" w:hAnsi="宋体"/>
          <w:color w:val="auto"/>
          <w:sz w:val="24"/>
          <w:szCs w:val="24"/>
        </w:rPr>
        <w:t>。条款中对</w:t>
      </w:r>
      <w:r>
        <w:rPr>
          <w:rFonts w:hint="eastAsia" w:ascii="宋体" w:hAnsi="宋体" w:cs="楷体_GB2312"/>
          <w:color w:val="auto"/>
          <w:sz w:val="24"/>
          <w:lang w:val="zh-CN"/>
        </w:rPr>
        <w:t>电子签名</w:t>
      </w:r>
      <w:r>
        <w:rPr>
          <w:rFonts w:ascii="宋体" w:hAnsi="宋体" w:cs="楷体_GB2312"/>
          <w:color w:val="auto"/>
          <w:sz w:val="24"/>
          <w:lang w:val="zh-CN"/>
        </w:rPr>
        <w:t>&lt;</w:t>
      </w:r>
      <w:r>
        <w:rPr>
          <w:rFonts w:hint="eastAsia" w:ascii="宋体" w:hAnsi="宋体" w:cs="楷体_GB2312"/>
          <w:color w:val="auto"/>
          <w:sz w:val="24"/>
          <w:lang w:val="zh-CN"/>
        </w:rPr>
        <w:t>签</w:t>
      </w:r>
      <w:r>
        <w:rPr>
          <w:rFonts w:hint="eastAsia" w:ascii="宋体" w:hAnsi="宋体"/>
          <w:color w:val="auto"/>
          <w:sz w:val="24"/>
          <w:szCs w:val="24"/>
        </w:rPr>
        <w:t>章</w:t>
      </w:r>
      <w:r>
        <w:rPr>
          <w:rFonts w:ascii="宋体" w:hAnsi="宋体"/>
          <w:color w:val="auto"/>
          <w:sz w:val="24"/>
          <w:szCs w:val="24"/>
        </w:rPr>
        <w:t>&gt;</w:t>
      </w:r>
      <w:r>
        <w:rPr>
          <w:rFonts w:hint="eastAsia" w:ascii="宋体" w:hAnsi="宋体"/>
          <w:color w:val="auto"/>
          <w:sz w:val="24"/>
          <w:szCs w:val="24"/>
        </w:rPr>
        <w:t>未作明确要求的，由法定代表人</w:t>
      </w:r>
      <w:r>
        <w:rPr>
          <w:rFonts w:hint="eastAsia" w:ascii="宋体" w:hAnsi="宋体" w:cs="楷体_GB2312"/>
          <w:color w:val="auto"/>
          <w:sz w:val="24"/>
          <w:lang w:val="zh-CN"/>
        </w:rPr>
        <w:t>电子签名</w:t>
      </w:r>
      <w:r>
        <w:rPr>
          <w:rFonts w:ascii="宋体" w:hAnsi="宋体" w:cs="楷体_GB2312"/>
          <w:color w:val="auto"/>
          <w:sz w:val="24"/>
          <w:lang w:val="zh-CN"/>
        </w:rPr>
        <w:t>&lt;</w:t>
      </w:r>
      <w:r>
        <w:rPr>
          <w:rFonts w:hint="eastAsia" w:ascii="宋体" w:hAnsi="宋体" w:cs="楷体_GB2312"/>
          <w:color w:val="auto"/>
          <w:sz w:val="24"/>
          <w:lang w:val="zh-CN"/>
        </w:rPr>
        <w:t>签</w:t>
      </w:r>
      <w:r>
        <w:rPr>
          <w:rFonts w:hint="eastAsia" w:ascii="宋体" w:hAnsi="宋体"/>
          <w:color w:val="auto"/>
          <w:sz w:val="24"/>
          <w:szCs w:val="24"/>
        </w:rPr>
        <w:t>章</w:t>
      </w:r>
      <w:r>
        <w:rPr>
          <w:rFonts w:ascii="宋体" w:hAnsi="宋体"/>
          <w:color w:val="auto"/>
          <w:sz w:val="24"/>
          <w:szCs w:val="24"/>
        </w:rPr>
        <w:t>&gt;</w:t>
      </w:r>
      <w:r>
        <w:rPr>
          <w:rFonts w:hint="eastAsia" w:ascii="宋体" w:hAnsi="宋体"/>
          <w:color w:val="auto"/>
          <w:sz w:val="24"/>
          <w:szCs w:val="24"/>
        </w:rPr>
        <w:t>或</w:t>
      </w:r>
      <w:r>
        <w:rPr>
          <w:rFonts w:hint="eastAsia"/>
          <w:color w:val="auto"/>
          <w:sz w:val="24"/>
          <w:szCs w:val="24"/>
        </w:rPr>
        <w:t>投标人</w:t>
      </w:r>
      <w:r>
        <w:rPr>
          <w:rFonts w:hint="eastAsia" w:ascii="宋体" w:hAnsi="宋体" w:cs="楷体_GB2312"/>
          <w:color w:val="auto"/>
          <w:sz w:val="24"/>
          <w:lang w:val="zh-CN"/>
        </w:rPr>
        <w:t>电子签</w:t>
      </w:r>
      <w:r>
        <w:rPr>
          <w:rFonts w:hint="eastAsia" w:ascii="宋体" w:hAnsi="宋体"/>
          <w:color w:val="auto"/>
          <w:sz w:val="24"/>
          <w:szCs w:val="24"/>
        </w:rPr>
        <w:t>章）</w:t>
      </w:r>
    </w:p>
    <w:p w14:paraId="60F6019D">
      <w:pPr>
        <w:autoSpaceDE w:val="0"/>
        <w:autoSpaceDN w:val="0"/>
        <w:adjustRightInd w:val="0"/>
        <w:spacing w:line="360" w:lineRule="auto"/>
        <w:jc w:val="center"/>
        <w:rPr>
          <w:rFonts w:ascii="宋体"/>
          <w:color w:val="auto"/>
          <w:sz w:val="24"/>
          <w:szCs w:val="24"/>
        </w:rPr>
      </w:pPr>
    </w:p>
    <w:p w14:paraId="29A52FF5">
      <w:pPr>
        <w:autoSpaceDE w:val="0"/>
        <w:autoSpaceDN w:val="0"/>
        <w:adjustRightInd w:val="0"/>
        <w:spacing w:line="360" w:lineRule="auto"/>
        <w:jc w:val="center"/>
        <w:rPr>
          <w:rFonts w:ascii="宋体"/>
          <w:color w:val="auto"/>
          <w:sz w:val="24"/>
          <w:szCs w:val="24"/>
        </w:rPr>
      </w:pPr>
    </w:p>
    <w:p w14:paraId="651A73F2">
      <w:pPr>
        <w:autoSpaceDE w:val="0"/>
        <w:autoSpaceDN w:val="0"/>
        <w:adjustRightInd w:val="0"/>
        <w:spacing w:line="360" w:lineRule="auto"/>
        <w:jc w:val="center"/>
        <w:rPr>
          <w:rFonts w:ascii="宋体"/>
          <w:color w:val="auto"/>
          <w:sz w:val="24"/>
          <w:szCs w:val="24"/>
        </w:rPr>
      </w:pPr>
    </w:p>
    <w:p w14:paraId="34014280">
      <w:pPr>
        <w:autoSpaceDE w:val="0"/>
        <w:autoSpaceDN w:val="0"/>
        <w:adjustRightInd w:val="0"/>
        <w:spacing w:line="360" w:lineRule="auto"/>
        <w:jc w:val="center"/>
        <w:rPr>
          <w:rFonts w:eastAsia="方正黑体简体"/>
          <w:b/>
          <w:color w:val="auto"/>
          <w:sz w:val="30"/>
          <w:szCs w:val="30"/>
        </w:rPr>
      </w:pPr>
    </w:p>
    <w:p w14:paraId="5D5E7694">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十六、评审办法所需的其他材料</w:t>
      </w:r>
    </w:p>
    <w:p w14:paraId="5BA82D99">
      <w:pPr>
        <w:widowControl w:val="0"/>
        <w:snapToGrid w:val="0"/>
        <w:spacing w:line="560" w:lineRule="exact"/>
        <w:ind w:firstLine="555"/>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w:t>
      </w:r>
      <w:r>
        <w:rPr>
          <w:rFonts w:ascii="宋体" w:hAnsi="宋体" w:cs="楷体_GB2312"/>
          <w:color w:val="auto"/>
          <w:sz w:val="24"/>
          <w:lang w:val="zh-CN"/>
        </w:rPr>
        <w:t>&lt;</w:t>
      </w:r>
      <w:r>
        <w:rPr>
          <w:rFonts w:hint="eastAsia" w:ascii="宋体" w:hAnsi="宋体" w:cs="楷体_GB2312"/>
          <w:color w:val="auto"/>
          <w:sz w:val="24"/>
          <w:lang w:val="zh-CN"/>
        </w:rPr>
        <w:t>签</w:t>
      </w:r>
      <w:r>
        <w:rPr>
          <w:rFonts w:hint="eastAsia" w:ascii="宋体" w:hAnsi="宋体"/>
          <w:color w:val="auto"/>
          <w:sz w:val="24"/>
          <w:szCs w:val="24"/>
        </w:rPr>
        <w:t>章</w:t>
      </w:r>
      <w:r>
        <w:rPr>
          <w:rFonts w:ascii="宋体" w:hAnsi="宋体"/>
          <w:color w:val="auto"/>
          <w:sz w:val="24"/>
          <w:szCs w:val="24"/>
        </w:rPr>
        <w:t>&gt;</w:t>
      </w:r>
      <w:r>
        <w:rPr>
          <w:rFonts w:hint="eastAsia" w:ascii="宋体" w:hAnsi="宋体"/>
          <w:color w:val="auto"/>
          <w:sz w:val="24"/>
          <w:szCs w:val="24"/>
        </w:rPr>
        <w:t>。条款中对</w:t>
      </w:r>
      <w:r>
        <w:rPr>
          <w:rFonts w:hint="eastAsia" w:ascii="宋体" w:hAnsi="宋体" w:cs="楷体_GB2312"/>
          <w:color w:val="auto"/>
          <w:sz w:val="24"/>
          <w:lang w:val="zh-CN"/>
        </w:rPr>
        <w:t>电子签名</w:t>
      </w:r>
      <w:r>
        <w:rPr>
          <w:rFonts w:ascii="宋体" w:hAnsi="宋体" w:cs="楷体_GB2312"/>
          <w:color w:val="auto"/>
          <w:sz w:val="24"/>
          <w:lang w:val="zh-CN"/>
        </w:rPr>
        <w:t>&lt;</w:t>
      </w:r>
      <w:r>
        <w:rPr>
          <w:rFonts w:hint="eastAsia" w:ascii="宋体" w:hAnsi="宋体" w:cs="楷体_GB2312"/>
          <w:color w:val="auto"/>
          <w:sz w:val="24"/>
          <w:lang w:val="zh-CN"/>
        </w:rPr>
        <w:t>签</w:t>
      </w:r>
      <w:r>
        <w:rPr>
          <w:rFonts w:hint="eastAsia" w:ascii="宋体" w:hAnsi="宋体"/>
          <w:color w:val="auto"/>
          <w:sz w:val="24"/>
          <w:szCs w:val="24"/>
        </w:rPr>
        <w:t>章</w:t>
      </w:r>
      <w:r>
        <w:rPr>
          <w:rFonts w:ascii="宋体" w:hAnsi="宋体"/>
          <w:color w:val="auto"/>
          <w:sz w:val="24"/>
          <w:szCs w:val="24"/>
        </w:rPr>
        <w:t>&gt;</w:t>
      </w:r>
      <w:r>
        <w:rPr>
          <w:rFonts w:hint="eastAsia" w:ascii="宋体" w:hAnsi="宋体"/>
          <w:color w:val="auto"/>
          <w:sz w:val="24"/>
          <w:szCs w:val="24"/>
        </w:rPr>
        <w:t>未作明确要求的，由法定代表人</w:t>
      </w:r>
      <w:r>
        <w:rPr>
          <w:rFonts w:hint="eastAsia" w:ascii="宋体" w:hAnsi="宋体" w:cs="楷体_GB2312"/>
          <w:color w:val="auto"/>
          <w:sz w:val="24"/>
          <w:lang w:val="zh-CN"/>
        </w:rPr>
        <w:t>电子签名</w:t>
      </w:r>
      <w:r>
        <w:rPr>
          <w:rFonts w:ascii="宋体" w:hAnsi="宋体" w:cs="楷体_GB2312"/>
          <w:color w:val="auto"/>
          <w:sz w:val="24"/>
          <w:lang w:val="zh-CN"/>
        </w:rPr>
        <w:t>&lt;</w:t>
      </w:r>
      <w:r>
        <w:rPr>
          <w:rFonts w:hint="eastAsia" w:ascii="宋体" w:hAnsi="宋体" w:cs="楷体_GB2312"/>
          <w:color w:val="auto"/>
          <w:sz w:val="24"/>
          <w:lang w:val="zh-CN"/>
        </w:rPr>
        <w:t>签</w:t>
      </w:r>
      <w:r>
        <w:rPr>
          <w:rFonts w:hint="eastAsia" w:ascii="宋体" w:hAnsi="宋体"/>
          <w:color w:val="auto"/>
          <w:sz w:val="24"/>
          <w:szCs w:val="24"/>
        </w:rPr>
        <w:t>章</w:t>
      </w:r>
      <w:r>
        <w:rPr>
          <w:rFonts w:ascii="宋体" w:hAnsi="宋体"/>
          <w:color w:val="auto"/>
          <w:sz w:val="24"/>
          <w:szCs w:val="24"/>
        </w:rPr>
        <w:t>&gt;</w:t>
      </w:r>
      <w:r>
        <w:rPr>
          <w:rFonts w:hint="eastAsia" w:ascii="宋体" w:hAnsi="宋体"/>
          <w:color w:val="auto"/>
          <w:sz w:val="24"/>
          <w:szCs w:val="24"/>
        </w:rPr>
        <w:t>或</w:t>
      </w:r>
      <w:r>
        <w:rPr>
          <w:rFonts w:hint="eastAsia"/>
          <w:color w:val="auto"/>
          <w:sz w:val="24"/>
          <w:szCs w:val="24"/>
        </w:rPr>
        <w:t>投标人</w:t>
      </w:r>
      <w:r>
        <w:rPr>
          <w:rFonts w:hint="eastAsia" w:ascii="宋体" w:hAnsi="宋体" w:cs="楷体_GB2312"/>
          <w:color w:val="auto"/>
          <w:sz w:val="24"/>
          <w:lang w:val="zh-CN"/>
        </w:rPr>
        <w:t>电子签</w:t>
      </w:r>
      <w:r>
        <w:rPr>
          <w:rFonts w:hint="eastAsia" w:ascii="宋体" w:hAnsi="宋体"/>
          <w:color w:val="auto"/>
          <w:sz w:val="24"/>
          <w:szCs w:val="24"/>
        </w:rPr>
        <w:t>章）</w:t>
      </w:r>
    </w:p>
    <w:p w14:paraId="62424295">
      <w:pPr>
        <w:autoSpaceDE w:val="0"/>
        <w:autoSpaceDN w:val="0"/>
        <w:adjustRightInd w:val="0"/>
        <w:spacing w:line="360" w:lineRule="auto"/>
        <w:jc w:val="center"/>
        <w:rPr>
          <w:rFonts w:ascii="宋体"/>
          <w:color w:val="auto"/>
          <w:sz w:val="24"/>
          <w:szCs w:val="24"/>
        </w:rPr>
      </w:pPr>
    </w:p>
    <w:p w14:paraId="4F6F80E5">
      <w:pPr>
        <w:autoSpaceDE w:val="0"/>
        <w:autoSpaceDN w:val="0"/>
        <w:adjustRightInd w:val="0"/>
        <w:spacing w:line="360" w:lineRule="auto"/>
        <w:jc w:val="center"/>
        <w:rPr>
          <w:rFonts w:ascii="宋体"/>
          <w:color w:val="auto"/>
          <w:sz w:val="24"/>
          <w:szCs w:val="24"/>
        </w:rPr>
      </w:pPr>
    </w:p>
    <w:p w14:paraId="22485DE8">
      <w:pPr>
        <w:autoSpaceDE w:val="0"/>
        <w:autoSpaceDN w:val="0"/>
        <w:adjustRightInd w:val="0"/>
        <w:spacing w:line="360" w:lineRule="auto"/>
        <w:jc w:val="center"/>
        <w:rPr>
          <w:rFonts w:ascii="宋体"/>
          <w:color w:val="auto"/>
          <w:sz w:val="24"/>
          <w:szCs w:val="24"/>
        </w:rPr>
      </w:pPr>
    </w:p>
    <w:p w14:paraId="63C1842D">
      <w:pPr>
        <w:autoSpaceDE w:val="0"/>
        <w:autoSpaceDN w:val="0"/>
        <w:adjustRightInd w:val="0"/>
        <w:spacing w:line="360" w:lineRule="auto"/>
        <w:jc w:val="center"/>
        <w:rPr>
          <w:rFonts w:eastAsia="方正黑体简体"/>
          <w:b/>
          <w:color w:val="auto"/>
          <w:sz w:val="30"/>
          <w:szCs w:val="30"/>
        </w:rPr>
      </w:pPr>
    </w:p>
    <w:p w14:paraId="2F5E533A">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十七、投标人认为有必要提交的其它材料</w:t>
      </w:r>
    </w:p>
    <w:p w14:paraId="24B65855">
      <w:pPr>
        <w:autoSpaceDE w:val="0"/>
        <w:autoSpaceDN w:val="0"/>
        <w:adjustRightInd w:val="0"/>
        <w:spacing w:line="360" w:lineRule="auto"/>
        <w:jc w:val="center"/>
        <w:rPr>
          <w:rFonts w:ascii="宋体"/>
          <w:color w:val="auto"/>
          <w:sz w:val="24"/>
          <w:szCs w:val="24"/>
        </w:rPr>
      </w:pPr>
      <w:r>
        <w:rPr>
          <w:rFonts w:hint="eastAsia" w:ascii="宋体" w:hAnsi="宋体"/>
          <w:color w:val="auto"/>
          <w:sz w:val="24"/>
          <w:szCs w:val="24"/>
        </w:rPr>
        <w:t>（由法定代表人</w:t>
      </w:r>
      <w:r>
        <w:rPr>
          <w:rFonts w:hint="eastAsia" w:ascii="宋体" w:hAnsi="宋体" w:cs="楷体_GB2312"/>
          <w:color w:val="auto"/>
          <w:sz w:val="24"/>
          <w:lang w:val="zh-CN"/>
        </w:rPr>
        <w:t>电子签名</w:t>
      </w:r>
      <w:r>
        <w:rPr>
          <w:rFonts w:ascii="宋体" w:hAnsi="宋体" w:cs="楷体_GB2312"/>
          <w:color w:val="auto"/>
          <w:sz w:val="24"/>
          <w:lang w:val="zh-CN"/>
        </w:rPr>
        <w:t>&lt;</w:t>
      </w:r>
      <w:r>
        <w:rPr>
          <w:rFonts w:hint="eastAsia" w:ascii="宋体" w:hAnsi="宋体" w:cs="楷体_GB2312"/>
          <w:color w:val="auto"/>
          <w:sz w:val="24"/>
          <w:lang w:val="zh-CN"/>
        </w:rPr>
        <w:t>签</w:t>
      </w:r>
      <w:r>
        <w:rPr>
          <w:rFonts w:hint="eastAsia" w:ascii="宋体" w:hAnsi="宋体"/>
          <w:color w:val="auto"/>
          <w:sz w:val="24"/>
          <w:szCs w:val="24"/>
        </w:rPr>
        <w:t>章</w:t>
      </w:r>
      <w:r>
        <w:rPr>
          <w:rFonts w:ascii="宋体" w:hAnsi="宋体"/>
          <w:color w:val="auto"/>
          <w:sz w:val="24"/>
          <w:szCs w:val="24"/>
        </w:rPr>
        <w:t>&gt;</w:t>
      </w:r>
      <w:r>
        <w:rPr>
          <w:rFonts w:hint="eastAsia" w:ascii="宋体" w:hAnsi="宋体"/>
          <w:color w:val="auto"/>
          <w:sz w:val="24"/>
          <w:szCs w:val="24"/>
        </w:rPr>
        <w:t>或</w:t>
      </w:r>
      <w:r>
        <w:rPr>
          <w:rFonts w:hint="eastAsia"/>
          <w:color w:val="auto"/>
          <w:sz w:val="24"/>
          <w:szCs w:val="24"/>
        </w:rPr>
        <w:t>投标人</w:t>
      </w:r>
      <w:r>
        <w:rPr>
          <w:rFonts w:hint="eastAsia" w:ascii="宋体" w:hAnsi="宋体" w:cs="楷体_GB2312"/>
          <w:color w:val="auto"/>
          <w:sz w:val="24"/>
          <w:lang w:val="zh-CN"/>
        </w:rPr>
        <w:t>电子签</w:t>
      </w:r>
      <w:r>
        <w:rPr>
          <w:rFonts w:hint="eastAsia" w:ascii="宋体" w:hAnsi="宋体"/>
          <w:color w:val="auto"/>
          <w:sz w:val="24"/>
          <w:szCs w:val="24"/>
        </w:rPr>
        <w:t>章）</w:t>
      </w:r>
    </w:p>
    <w:p w14:paraId="77E7B596">
      <w:pPr>
        <w:autoSpaceDE w:val="0"/>
        <w:autoSpaceDN w:val="0"/>
        <w:adjustRightInd w:val="0"/>
        <w:spacing w:line="360" w:lineRule="auto"/>
        <w:rPr>
          <w:rFonts w:ascii="宋体"/>
          <w:b/>
          <w:bCs/>
          <w:color w:val="auto"/>
          <w:sz w:val="24"/>
        </w:rPr>
      </w:pPr>
    </w:p>
    <w:sectPr>
      <w:pgSz w:w="11905" w:h="16837"/>
      <w:pgMar w:top="1091" w:right="1106" w:bottom="993" w:left="1418" w:header="567" w:footer="567"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华文新魏">
    <w:altName w:val="宋体"/>
    <w:panose1 w:val="0201080004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Adobe 宋体 Std L">
    <w:altName w:val="宋体"/>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75AAD">
    <w:pPr>
      <w:widowControl w:val="0"/>
      <w:snapToGrid w:val="0"/>
      <w:spacing w:line="240" w:lineRule="atLeast"/>
      <w:ind w:right="21"/>
      <w:jc w:val="left"/>
      <w:rPr>
        <w:rFonts w:ascii="宋体"/>
        <w:szCs w:val="21"/>
        <w:u w:val="single"/>
      </w:rPr>
    </w:pPr>
    <w:r>
      <w:rPr>
        <w:rFonts w:hint="eastAsia" w:ascii="宋体" w:hAnsi="宋体"/>
        <w:szCs w:val="21"/>
        <w:u w:val="single"/>
      </w:rPr>
      <w:t>《单一来源采购文件》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8"/>
        <w:rFonts w:ascii="宋体" w:hAnsi="宋体"/>
        <w:szCs w:val="21"/>
        <w:u w:val="single"/>
      </w:rPr>
      <w:fldChar w:fldCharType="begin"/>
    </w:r>
    <w:r>
      <w:rPr>
        <w:rStyle w:val="28"/>
        <w:rFonts w:ascii="宋体" w:hAnsi="宋体"/>
        <w:szCs w:val="21"/>
        <w:u w:val="single"/>
      </w:rPr>
      <w:instrText xml:space="preserve"> PAGE </w:instrText>
    </w:r>
    <w:r>
      <w:rPr>
        <w:rStyle w:val="28"/>
        <w:rFonts w:ascii="宋体" w:hAnsi="宋体"/>
        <w:szCs w:val="21"/>
        <w:u w:val="single"/>
      </w:rPr>
      <w:fldChar w:fldCharType="separate"/>
    </w:r>
    <w:r>
      <w:rPr>
        <w:rStyle w:val="28"/>
        <w:rFonts w:ascii="宋体" w:hAnsi="宋体"/>
        <w:szCs w:val="21"/>
        <w:u w:val="single"/>
      </w:rPr>
      <w:t>- 3 -</w:t>
    </w:r>
    <w:r>
      <w:rPr>
        <w:rStyle w:val="28"/>
        <w:rFonts w:ascii="宋体" w:hAnsi="宋体"/>
        <w:szCs w:val="21"/>
        <w:u w:val="single"/>
      </w:rPr>
      <w:fldChar w:fldCharType="end"/>
    </w:r>
    <w:r>
      <w:rPr>
        <w:rStyle w:val="28"/>
        <w:rFonts w:hint="eastAsia" w:ascii="宋体" w:hAnsi="宋体"/>
        <w:szCs w:val="21"/>
        <w:u w:val="single"/>
      </w:rPr>
      <w:t>（</w:t>
    </w:r>
    <w:r>
      <w:rPr>
        <w:rFonts w:hint="eastAsia" w:ascii="宋体" w:hAnsi="宋体"/>
        <w:szCs w:val="21"/>
        <w:u w:val="single"/>
      </w:rPr>
      <w:t>共</w:t>
    </w:r>
    <w:r>
      <w:fldChar w:fldCharType="begin"/>
    </w:r>
    <w:r>
      <w:instrText xml:space="preserve"> SECTIONPAGES   \* MERGEFORMAT </w:instrText>
    </w:r>
    <w:r>
      <w:fldChar w:fldCharType="separate"/>
    </w:r>
    <w:r>
      <w:rPr>
        <w:rStyle w:val="28"/>
        <w:szCs w:val="21"/>
        <w:u w:val="single"/>
      </w:rPr>
      <w:t>55</w:t>
    </w:r>
    <w:r>
      <w:rPr>
        <w:rStyle w:val="28"/>
        <w:szCs w:val="21"/>
        <w:u w:val="single"/>
      </w:rPr>
      <w:fldChar w:fldCharType="end"/>
    </w:r>
    <w:r>
      <w:rPr>
        <w:rFonts w:hint="eastAsia" w:ascii="宋体" w:hAnsi="宋体"/>
        <w:szCs w:val="21"/>
        <w:u w:val="single"/>
      </w:rPr>
      <w:t>页</w:t>
    </w:r>
    <w:r>
      <w:rPr>
        <w:rFonts w:ascii="宋体" w:hAnsi="宋体"/>
        <w:szCs w:val="21"/>
        <w:u w:val="single"/>
      </w:rPr>
      <w:t>)</w:t>
    </w:r>
    <w:r>
      <w:pict>
        <v:shape id="Text Box 2" o:spid="_x0000_s4098"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v:path/>
          <v:fill on="f" focussize="0,0"/>
          <v:stroke on="f" joinstyle="miter"/>
          <v:imagedata o:title=""/>
          <o:lock v:ext="edit"/>
          <v:textbox inset="0mm,0mm,0mm,0mm"/>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EA449">
    <w:pPr>
      <w:pStyle w:val="14"/>
      <w:framePr w:wrap="around" w:vAnchor="text" w:hAnchor="margin" w:xAlign="right" w:y="1"/>
      <w:rPr>
        <w:rStyle w:val="28"/>
      </w:rPr>
    </w:pPr>
    <w:r>
      <w:rPr>
        <w:rStyle w:val="28"/>
      </w:rPr>
      <w:fldChar w:fldCharType="begin"/>
    </w:r>
    <w:r>
      <w:rPr>
        <w:rStyle w:val="28"/>
      </w:rPr>
      <w:instrText xml:space="preserve">PAGE  </w:instrText>
    </w:r>
    <w:r>
      <w:rPr>
        <w:rStyle w:val="28"/>
      </w:rPr>
      <w:fldChar w:fldCharType="end"/>
    </w:r>
  </w:p>
  <w:p w14:paraId="40D7B420">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7027A">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B3822">
    <w:pPr>
      <w:widowControl w:val="0"/>
      <w:snapToGrid w:val="0"/>
      <w:spacing w:line="240" w:lineRule="atLeast"/>
      <w:rPr>
        <w:rFonts w:asci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pict>
        <v:shape id="Text Box 1" o:spid="_x0000_s4097" o:spt="202" type="#_x0000_t202" style="position:absolute;left:0pt;margin-left:70.85pt;margin-top:28.3pt;height:14.15pt;width:453.5pt;mso-position-horizontal-relative:page;mso-position-vertical-relative:page;z-index:-251657216;mso-width-relative:page;mso-height-relative:page;" filled="f" stroked="f" coordsize="21600,21600" o:allowincell="f">
          <v:path/>
          <v:fill on="f" focussize="0,0"/>
          <v:stroke on="f" joinstyle="miter"/>
          <v:imagedata o:title=""/>
          <o:lock v:ext="edit"/>
          <v:textbox inset="0mm,0mm,0mm,0m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C1C6D">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D92F1">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05C1B"/>
    <w:multiLevelType w:val="singleLevel"/>
    <w:tmpl w:val="B3805C1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formatting="1" w:enforcement="1" w:cryptProviderType="rsaFull" w:cryptAlgorithmClass="hash" w:cryptAlgorithmType="typeAny" w:cryptAlgorithmSid="4" w:cryptSpinCount="0" w:hash="nnDzB1/LIBW1U5SBxgVVnCNt9w8=" w:salt="WTkFZwF9xBtVzhedm2RygQ=="/>
  <w:defaultTabStop w:val="420"/>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rsids>
    <w:rsidRoot w:val="00172A27"/>
    <w:rsid w:val="00001D7A"/>
    <w:rsid w:val="00010336"/>
    <w:rsid w:val="000118C5"/>
    <w:rsid w:val="00011DED"/>
    <w:rsid w:val="00013DB2"/>
    <w:rsid w:val="00017E1E"/>
    <w:rsid w:val="000202D2"/>
    <w:rsid w:val="000203B0"/>
    <w:rsid w:val="00023676"/>
    <w:rsid w:val="00024608"/>
    <w:rsid w:val="00025F1E"/>
    <w:rsid w:val="0002701F"/>
    <w:rsid w:val="00027171"/>
    <w:rsid w:val="000339BC"/>
    <w:rsid w:val="00036AA4"/>
    <w:rsid w:val="00041891"/>
    <w:rsid w:val="00042CA8"/>
    <w:rsid w:val="00042FCE"/>
    <w:rsid w:val="00043821"/>
    <w:rsid w:val="00043AC4"/>
    <w:rsid w:val="00043CBA"/>
    <w:rsid w:val="000514BE"/>
    <w:rsid w:val="00055B52"/>
    <w:rsid w:val="00057F78"/>
    <w:rsid w:val="000602CF"/>
    <w:rsid w:val="0006119C"/>
    <w:rsid w:val="0006134B"/>
    <w:rsid w:val="00062821"/>
    <w:rsid w:val="00064F6C"/>
    <w:rsid w:val="000672ED"/>
    <w:rsid w:val="00070552"/>
    <w:rsid w:val="00071AEF"/>
    <w:rsid w:val="00072834"/>
    <w:rsid w:val="00073247"/>
    <w:rsid w:val="0007390E"/>
    <w:rsid w:val="00073A45"/>
    <w:rsid w:val="00074766"/>
    <w:rsid w:val="00074DF0"/>
    <w:rsid w:val="000753DA"/>
    <w:rsid w:val="00075ECC"/>
    <w:rsid w:val="00075FF7"/>
    <w:rsid w:val="00077629"/>
    <w:rsid w:val="00080AE9"/>
    <w:rsid w:val="00081801"/>
    <w:rsid w:val="00081C6C"/>
    <w:rsid w:val="000823AD"/>
    <w:rsid w:val="000829A8"/>
    <w:rsid w:val="00085B95"/>
    <w:rsid w:val="00086B70"/>
    <w:rsid w:val="00090D6B"/>
    <w:rsid w:val="00090EB6"/>
    <w:rsid w:val="00091C5E"/>
    <w:rsid w:val="00093A6B"/>
    <w:rsid w:val="000956CE"/>
    <w:rsid w:val="000A1C72"/>
    <w:rsid w:val="000A2AFC"/>
    <w:rsid w:val="000A3FE8"/>
    <w:rsid w:val="000A4640"/>
    <w:rsid w:val="000A55EE"/>
    <w:rsid w:val="000A5D10"/>
    <w:rsid w:val="000A66B5"/>
    <w:rsid w:val="000B00EC"/>
    <w:rsid w:val="000B1334"/>
    <w:rsid w:val="000B19F2"/>
    <w:rsid w:val="000B2794"/>
    <w:rsid w:val="000B4758"/>
    <w:rsid w:val="000B5412"/>
    <w:rsid w:val="000B644D"/>
    <w:rsid w:val="000B6571"/>
    <w:rsid w:val="000B79E4"/>
    <w:rsid w:val="000C0064"/>
    <w:rsid w:val="000C2AA6"/>
    <w:rsid w:val="000D0CA0"/>
    <w:rsid w:val="000D1BB7"/>
    <w:rsid w:val="000D2631"/>
    <w:rsid w:val="000D3F42"/>
    <w:rsid w:val="000D413F"/>
    <w:rsid w:val="000E02FC"/>
    <w:rsid w:val="000E0380"/>
    <w:rsid w:val="000E1D32"/>
    <w:rsid w:val="000E3D70"/>
    <w:rsid w:val="000E54A0"/>
    <w:rsid w:val="000F108C"/>
    <w:rsid w:val="000F3188"/>
    <w:rsid w:val="000F3D46"/>
    <w:rsid w:val="000F4146"/>
    <w:rsid w:val="000F5DF1"/>
    <w:rsid w:val="000F71A3"/>
    <w:rsid w:val="000F7917"/>
    <w:rsid w:val="000F7CF9"/>
    <w:rsid w:val="00101EAB"/>
    <w:rsid w:val="001028EA"/>
    <w:rsid w:val="0010460A"/>
    <w:rsid w:val="001068E0"/>
    <w:rsid w:val="00107435"/>
    <w:rsid w:val="00107FB0"/>
    <w:rsid w:val="00110434"/>
    <w:rsid w:val="001109FC"/>
    <w:rsid w:val="00111569"/>
    <w:rsid w:val="001118D4"/>
    <w:rsid w:val="00112111"/>
    <w:rsid w:val="00115259"/>
    <w:rsid w:val="001163D8"/>
    <w:rsid w:val="00123128"/>
    <w:rsid w:val="00126132"/>
    <w:rsid w:val="00126D76"/>
    <w:rsid w:val="0012701C"/>
    <w:rsid w:val="00131B13"/>
    <w:rsid w:val="00131CCB"/>
    <w:rsid w:val="001322A3"/>
    <w:rsid w:val="00132364"/>
    <w:rsid w:val="001324EF"/>
    <w:rsid w:val="001342A5"/>
    <w:rsid w:val="00135227"/>
    <w:rsid w:val="00136F8F"/>
    <w:rsid w:val="001378C9"/>
    <w:rsid w:val="001401E4"/>
    <w:rsid w:val="00146B1E"/>
    <w:rsid w:val="00146D05"/>
    <w:rsid w:val="00146D2B"/>
    <w:rsid w:val="00150BD8"/>
    <w:rsid w:val="00150EA9"/>
    <w:rsid w:val="00151347"/>
    <w:rsid w:val="00151C83"/>
    <w:rsid w:val="00151CEC"/>
    <w:rsid w:val="001532B2"/>
    <w:rsid w:val="001537D5"/>
    <w:rsid w:val="0015443B"/>
    <w:rsid w:val="00165CD0"/>
    <w:rsid w:val="00166938"/>
    <w:rsid w:val="0016693E"/>
    <w:rsid w:val="0016783C"/>
    <w:rsid w:val="001708C3"/>
    <w:rsid w:val="00170AE1"/>
    <w:rsid w:val="00171697"/>
    <w:rsid w:val="00171826"/>
    <w:rsid w:val="001719D7"/>
    <w:rsid w:val="00172A27"/>
    <w:rsid w:val="00172A7E"/>
    <w:rsid w:val="001730ED"/>
    <w:rsid w:val="00175E3A"/>
    <w:rsid w:val="0017776D"/>
    <w:rsid w:val="00186F86"/>
    <w:rsid w:val="00187CB3"/>
    <w:rsid w:val="00190AAF"/>
    <w:rsid w:val="00192B7E"/>
    <w:rsid w:val="00194451"/>
    <w:rsid w:val="00194B5F"/>
    <w:rsid w:val="0019697C"/>
    <w:rsid w:val="00197840"/>
    <w:rsid w:val="001A1BB5"/>
    <w:rsid w:val="001A1D5B"/>
    <w:rsid w:val="001A211A"/>
    <w:rsid w:val="001A6D7C"/>
    <w:rsid w:val="001A6EC8"/>
    <w:rsid w:val="001A733E"/>
    <w:rsid w:val="001B5626"/>
    <w:rsid w:val="001B6072"/>
    <w:rsid w:val="001B7567"/>
    <w:rsid w:val="001C050D"/>
    <w:rsid w:val="001C0BD5"/>
    <w:rsid w:val="001C2D34"/>
    <w:rsid w:val="001C397C"/>
    <w:rsid w:val="001C6505"/>
    <w:rsid w:val="001C744F"/>
    <w:rsid w:val="001D0F8B"/>
    <w:rsid w:val="001D14A1"/>
    <w:rsid w:val="001D17A7"/>
    <w:rsid w:val="001D1DF7"/>
    <w:rsid w:val="001D2F63"/>
    <w:rsid w:val="001D3921"/>
    <w:rsid w:val="001D3B0B"/>
    <w:rsid w:val="001D512B"/>
    <w:rsid w:val="001E04F2"/>
    <w:rsid w:val="001E0A3F"/>
    <w:rsid w:val="001E1A46"/>
    <w:rsid w:val="001E1F83"/>
    <w:rsid w:val="001E30AE"/>
    <w:rsid w:val="001E45BE"/>
    <w:rsid w:val="001E4CF2"/>
    <w:rsid w:val="001E6D2D"/>
    <w:rsid w:val="001E74ED"/>
    <w:rsid w:val="001F3C6D"/>
    <w:rsid w:val="001F6921"/>
    <w:rsid w:val="001F6AF5"/>
    <w:rsid w:val="002047A8"/>
    <w:rsid w:val="00204DD4"/>
    <w:rsid w:val="002052BF"/>
    <w:rsid w:val="00205670"/>
    <w:rsid w:val="00205DC9"/>
    <w:rsid w:val="0020635B"/>
    <w:rsid w:val="002064E1"/>
    <w:rsid w:val="00210346"/>
    <w:rsid w:val="00211C73"/>
    <w:rsid w:val="00212022"/>
    <w:rsid w:val="002149D7"/>
    <w:rsid w:val="00214DD7"/>
    <w:rsid w:val="00214F54"/>
    <w:rsid w:val="002150F0"/>
    <w:rsid w:val="002155C5"/>
    <w:rsid w:val="002174C4"/>
    <w:rsid w:val="002228C6"/>
    <w:rsid w:val="002237B7"/>
    <w:rsid w:val="002238AE"/>
    <w:rsid w:val="00225366"/>
    <w:rsid w:val="00226204"/>
    <w:rsid w:val="00227496"/>
    <w:rsid w:val="0023012A"/>
    <w:rsid w:val="00231D21"/>
    <w:rsid w:val="00233EEC"/>
    <w:rsid w:val="002341A2"/>
    <w:rsid w:val="00234C02"/>
    <w:rsid w:val="0023525D"/>
    <w:rsid w:val="00236D37"/>
    <w:rsid w:val="00237A15"/>
    <w:rsid w:val="0024023A"/>
    <w:rsid w:val="00240733"/>
    <w:rsid w:val="002407A8"/>
    <w:rsid w:val="00241D3A"/>
    <w:rsid w:val="0024269B"/>
    <w:rsid w:val="00244532"/>
    <w:rsid w:val="00247523"/>
    <w:rsid w:val="00247993"/>
    <w:rsid w:val="00250AAC"/>
    <w:rsid w:val="002511FE"/>
    <w:rsid w:val="00254E0B"/>
    <w:rsid w:val="002554FE"/>
    <w:rsid w:val="00256CF3"/>
    <w:rsid w:val="002574D7"/>
    <w:rsid w:val="00257B22"/>
    <w:rsid w:val="002659E5"/>
    <w:rsid w:val="002665E4"/>
    <w:rsid w:val="002673AF"/>
    <w:rsid w:val="00267442"/>
    <w:rsid w:val="0027067C"/>
    <w:rsid w:val="00270FE1"/>
    <w:rsid w:val="00271ABB"/>
    <w:rsid w:val="00272B6B"/>
    <w:rsid w:val="00272DEC"/>
    <w:rsid w:val="002759A2"/>
    <w:rsid w:val="00275B2B"/>
    <w:rsid w:val="00276204"/>
    <w:rsid w:val="00277266"/>
    <w:rsid w:val="00280E45"/>
    <w:rsid w:val="002810F8"/>
    <w:rsid w:val="00283116"/>
    <w:rsid w:val="00290D50"/>
    <w:rsid w:val="00293875"/>
    <w:rsid w:val="0029442F"/>
    <w:rsid w:val="0029595B"/>
    <w:rsid w:val="00295A34"/>
    <w:rsid w:val="00296436"/>
    <w:rsid w:val="00296501"/>
    <w:rsid w:val="002975BF"/>
    <w:rsid w:val="002A4898"/>
    <w:rsid w:val="002A4F6F"/>
    <w:rsid w:val="002A5411"/>
    <w:rsid w:val="002B0279"/>
    <w:rsid w:val="002B2B83"/>
    <w:rsid w:val="002B4916"/>
    <w:rsid w:val="002B5E0D"/>
    <w:rsid w:val="002B6B09"/>
    <w:rsid w:val="002C00FF"/>
    <w:rsid w:val="002C029C"/>
    <w:rsid w:val="002C0AF4"/>
    <w:rsid w:val="002C17CD"/>
    <w:rsid w:val="002C1A1A"/>
    <w:rsid w:val="002C3330"/>
    <w:rsid w:val="002C4508"/>
    <w:rsid w:val="002C6ED8"/>
    <w:rsid w:val="002C7CBB"/>
    <w:rsid w:val="002D2AB1"/>
    <w:rsid w:val="002D40A9"/>
    <w:rsid w:val="002D6349"/>
    <w:rsid w:val="002D6B6F"/>
    <w:rsid w:val="002D6DBB"/>
    <w:rsid w:val="002D7A77"/>
    <w:rsid w:val="002D7BE8"/>
    <w:rsid w:val="002E098C"/>
    <w:rsid w:val="002E3E40"/>
    <w:rsid w:val="002E61E6"/>
    <w:rsid w:val="002E76EF"/>
    <w:rsid w:val="002E7E70"/>
    <w:rsid w:val="002F08C6"/>
    <w:rsid w:val="002F24F3"/>
    <w:rsid w:val="002F2754"/>
    <w:rsid w:val="002F2840"/>
    <w:rsid w:val="002F37CB"/>
    <w:rsid w:val="002F4ADA"/>
    <w:rsid w:val="002F5465"/>
    <w:rsid w:val="002F7435"/>
    <w:rsid w:val="002F7AD0"/>
    <w:rsid w:val="002F7EF3"/>
    <w:rsid w:val="0030169A"/>
    <w:rsid w:val="00301F45"/>
    <w:rsid w:val="00303E7C"/>
    <w:rsid w:val="00306123"/>
    <w:rsid w:val="00306333"/>
    <w:rsid w:val="00306340"/>
    <w:rsid w:val="00307CF1"/>
    <w:rsid w:val="00307F4B"/>
    <w:rsid w:val="0031007D"/>
    <w:rsid w:val="00311B9B"/>
    <w:rsid w:val="00314B3E"/>
    <w:rsid w:val="003157D1"/>
    <w:rsid w:val="00316A48"/>
    <w:rsid w:val="00317222"/>
    <w:rsid w:val="00317EA8"/>
    <w:rsid w:val="003214B1"/>
    <w:rsid w:val="00322799"/>
    <w:rsid w:val="00322D50"/>
    <w:rsid w:val="003241F1"/>
    <w:rsid w:val="00324982"/>
    <w:rsid w:val="00326C38"/>
    <w:rsid w:val="0032789A"/>
    <w:rsid w:val="00330C12"/>
    <w:rsid w:val="00332035"/>
    <w:rsid w:val="00334CC7"/>
    <w:rsid w:val="003355B7"/>
    <w:rsid w:val="003377F9"/>
    <w:rsid w:val="00337927"/>
    <w:rsid w:val="00337CD8"/>
    <w:rsid w:val="00341AF8"/>
    <w:rsid w:val="00342F80"/>
    <w:rsid w:val="00343634"/>
    <w:rsid w:val="00343A1D"/>
    <w:rsid w:val="00343D9C"/>
    <w:rsid w:val="003452F3"/>
    <w:rsid w:val="00346B67"/>
    <w:rsid w:val="0035121B"/>
    <w:rsid w:val="00352D4E"/>
    <w:rsid w:val="0035384A"/>
    <w:rsid w:val="0035387E"/>
    <w:rsid w:val="00357F64"/>
    <w:rsid w:val="003621F9"/>
    <w:rsid w:val="00363B02"/>
    <w:rsid w:val="003642B6"/>
    <w:rsid w:val="00365440"/>
    <w:rsid w:val="00365BD8"/>
    <w:rsid w:val="00365F9B"/>
    <w:rsid w:val="00366715"/>
    <w:rsid w:val="003669F1"/>
    <w:rsid w:val="003679DE"/>
    <w:rsid w:val="00371760"/>
    <w:rsid w:val="00374A9E"/>
    <w:rsid w:val="00376869"/>
    <w:rsid w:val="00380598"/>
    <w:rsid w:val="00380DCD"/>
    <w:rsid w:val="0038118E"/>
    <w:rsid w:val="00381B01"/>
    <w:rsid w:val="0038208B"/>
    <w:rsid w:val="003829D9"/>
    <w:rsid w:val="00383B17"/>
    <w:rsid w:val="00384A92"/>
    <w:rsid w:val="003852D2"/>
    <w:rsid w:val="003854F3"/>
    <w:rsid w:val="00386518"/>
    <w:rsid w:val="00386915"/>
    <w:rsid w:val="00391A61"/>
    <w:rsid w:val="00391B13"/>
    <w:rsid w:val="00394C50"/>
    <w:rsid w:val="003969B6"/>
    <w:rsid w:val="00397B1C"/>
    <w:rsid w:val="00397E86"/>
    <w:rsid w:val="003A032D"/>
    <w:rsid w:val="003A1388"/>
    <w:rsid w:val="003A1D20"/>
    <w:rsid w:val="003A258C"/>
    <w:rsid w:val="003A2C09"/>
    <w:rsid w:val="003A3FE7"/>
    <w:rsid w:val="003A40E7"/>
    <w:rsid w:val="003A4472"/>
    <w:rsid w:val="003A5106"/>
    <w:rsid w:val="003A78B7"/>
    <w:rsid w:val="003A7AC9"/>
    <w:rsid w:val="003B09EC"/>
    <w:rsid w:val="003B1719"/>
    <w:rsid w:val="003B3020"/>
    <w:rsid w:val="003B5D7B"/>
    <w:rsid w:val="003B72E5"/>
    <w:rsid w:val="003B78BD"/>
    <w:rsid w:val="003B79DB"/>
    <w:rsid w:val="003C0436"/>
    <w:rsid w:val="003C0E0B"/>
    <w:rsid w:val="003C1220"/>
    <w:rsid w:val="003C5145"/>
    <w:rsid w:val="003C5626"/>
    <w:rsid w:val="003C6339"/>
    <w:rsid w:val="003C6B76"/>
    <w:rsid w:val="003C6D58"/>
    <w:rsid w:val="003D0E5F"/>
    <w:rsid w:val="003D1FE6"/>
    <w:rsid w:val="003D3B92"/>
    <w:rsid w:val="003D4056"/>
    <w:rsid w:val="003D415D"/>
    <w:rsid w:val="003D46D1"/>
    <w:rsid w:val="003D5621"/>
    <w:rsid w:val="003D7BB6"/>
    <w:rsid w:val="003E0C17"/>
    <w:rsid w:val="003E5257"/>
    <w:rsid w:val="003E58E5"/>
    <w:rsid w:val="003E5D65"/>
    <w:rsid w:val="003E5EE1"/>
    <w:rsid w:val="003E7C9B"/>
    <w:rsid w:val="003E7D25"/>
    <w:rsid w:val="003F0417"/>
    <w:rsid w:val="003F3B51"/>
    <w:rsid w:val="003F60F5"/>
    <w:rsid w:val="0040064E"/>
    <w:rsid w:val="00400CE8"/>
    <w:rsid w:val="00402062"/>
    <w:rsid w:val="004031D3"/>
    <w:rsid w:val="00403958"/>
    <w:rsid w:val="00407E15"/>
    <w:rsid w:val="004137F3"/>
    <w:rsid w:val="00413A68"/>
    <w:rsid w:val="00415470"/>
    <w:rsid w:val="00415CFA"/>
    <w:rsid w:val="00416388"/>
    <w:rsid w:val="00417D4F"/>
    <w:rsid w:val="00424C41"/>
    <w:rsid w:val="00426579"/>
    <w:rsid w:val="004300B5"/>
    <w:rsid w:val="00430CC3"/>
    <w:rsid w:val="00432553"/>
    <w:rsid w:val="004338C9"/>
    <w:rsid w:val="004342C9"/>
    <w:rsid w:val="00437460"/>
    <w:rsid w:val="00437813"/>
    <w:rsid w:val="00440412"/>
    <w:rsid w:val="004412D3"/>
    <w:rsid w:val="004437A8"/>
    <w:rsid w:val="00443935"/>
    <w:rsid w:val="004442B3"/>
    <w:rsid w:val="004449E4"/>
    <w:rsid w:val="00447654"/>
    <w:rsid w:val="00450E24"/>
    <w:rsid w:val="004513F9"/>
    <w:rsid w:val="00452F36"/>
    <w:rsid w:val="00453130"/>
    <w:rsid w:val="0045394E"/>
    <w:rsid w:val="00453952"/>
    <w:rsid w:val="00454B5D"/>
    <w:rsid w:val="00455665"/>
    <w:rsid w:val="00455B44"/>
    <w:rsid w:val="00455E7C"/>
    <w:rsid w:val="00456FA3"/>
    <w:rsid w:val="0045754E"/>
    <w:rsid w:val="00460E98"/>
    <w:rsid w:val="00462427"/>
    <w:rsid w:val="00462592"/>
    <w:rsid w:val="004640E1"/>
    <w:rsid w:val="00465726"/>
    <w:rsid w:val="00466A15"/>
    <w:rsid w:val="00471D06"/>
    <w:rsid w:val="0047305B"/>
    <w:rsid w:val="00474818"/>
    <w:rsid w:val="00475A0F"/>
    <w:rsid w:val="004771A7"/>
    <w:rsid w:val="00477DF1"/>
    <w:rsid w:val="004805E1"/>
    <w:rsid w:val="0048194E"/>
    <w:rsid w:val="004838C1"/>
    <w:rsid w:val="00486D4E"/>
    <w:rsid w:val="00487D56"/>
    <w:rsid w:val="00487F50"/>
    <w:rsid w:val="004901F9"/>
    <w:rsid w:val="0049352F"/>
    <w:rsid w:val="00497052"/>
    <w:rsid w:val="0049712F"/>
    <w:rsid w:val="004A465C"/>
    <w:rsid w:val="004A52C0"/>
    <w:rsid w:val="004A5A5E"/>
    <w:rsid w:val="004A791C"/>
    <w:rsid w:val="004B10CD"/>
    <w:rsid w:val="004B1926"/>
    <w:rsid w:val="004B2765"/>
    <w:rsid w:val="004B2D5B"/>
    <w:rsid w:val="004B6984"/>
    <w:rsid w:val="004B7D65"/>
    <w:rsid w:val="004B7EFF"/>
    <w:rsid w:val="004C05F2"/>
    <w:rsid w:val="004C1EA0"/>
    <w:rsid w:val="004C407E"/>
    <w:rsid w:val="004C506F"/>
    <w:rsid w:val="004C5625"/>
    <w:rsid w:val="004C658A"/>
    <w:rsid w:val="004C6698"/>
    <w:rsid w:val="004C6FEC"/>
    <w:rsid w:val="004C7A15"/>
    <w:rsid w:val="004D0299"/>
    <w:rsid w:val="004D11B7"/>
    <w:rsid w:val="004D14E6"/>
    <w:rsid w:val="004D2F70"/>
    <w:rsid w:val="004D3D19"/>
    <w:rsid w:val="004D57A0"/>
    <w:rsid w:val="004D5D65"/>
    <w:rsid w:val="004D5F36"/>
    <w:rsid w:val="004D7F67"/>
    <w:rsid w:val="004E0791"/>
    <w:rsid w:val="004E44CC"/>
    <w:rsid w:val="004E5CA5"/>
    <w:rsid w:val="004F0183"/>
    <w:rsid w:val="004F3608"/>
    <w:rsid w:val="004F3D15"/>
    <w:rsid w:val="00501A56"/>
    <w:rsid w:val="0050236F"/>
    <w:rsid w:val="005034FC"/>
    <w:rsid w:val="00503F67"/>
    <w:rsid w:val="00504267"/>
    <w:rsid w:val="005044B9"/>
    <w:rsid w:val="005055E2"/>
    <w:rsid w:val="0050640C"/>
    <w:rsid w:val="005106D5"/>
    <w:rsid w:val="00510FF4"/>
    <w:rsid w:val="005111BA"/>
    <w:rsid w:val="005112F3"/>
    <w:rsid w:val="00515F43"/>
    <w:rsid w:val="00517BF1"/>
    <w:rsid w:val="00520645"/>
    <w:rsid w:val="00520920"/>
    <w:rsid w:val="0052461C"/>
    <w:rsid w:val="00525694"/>
    <w:rsid w:val="00530CE7"/>
    <w:rsid w:val="005316A8"/>
    <w:rsid w:val="00533184"/>
    <w:rsid w:val="00534316"/>
    <w:rsid w:val="0053454C"/>
    <w:rsid w:val="00535C65"/>
    <w:rsid w:val="0053682D"/>
    <w:rsid w:val="005403A4"/>
    <w:rsid w:val="00540FEC"/>
    <w:rsid w:val="005414D6"/>
    <w:rsid w:val="00541F24"/>
    <w:rsid w:val="00541F83"/>
    <w:rsid w:val="00542D95"/>
    <w:rsid w:val="00542FE2"/>
    <w:rsid w:val="005430C7"/>
    <w:rsid w:val="00543809"/>
    <w:rsid w:val="00543CB6"/>
    <w:rsid w:val="00543DC3"/>
    <w:rsid w:val="005446B0"/>
    <w:rsid w:val="005448E1"/>
    <w:rsid w:val="005450E8"/>
    <w:rsid w:val="005475A9"/>
    <w:rsid w:val="00547E4F"/>
    <w:rsid w:val="00551074"/>
    <w:rsid w:val="00551DFC"/>
    <w:rsid w:val="0055211A"/>
    <w:rsid w:val="005539CA"/>
    <w:rsid w:val="00555142"/>
    <w:rsid w:val="005605F8"/>
    <w:rsid w:val="0056439F"/>
    <w:rsid w:val="005650C2"/>
    <w:rsid w:val="00565A8C"/>
    <w:rsid w:val="00574068"/>
    <w:rsid w:val="00574ECE"/>
    <w:rsid w:val="00575C01"/>
    <w:rsid w:val="005773BE"/>
    <w:rsid w:val="00580954"/>
    <w:rsid w:val="00583A5C"/>
    <w:rsid w:val="005850D6"/>
    <w:rsid w:val="0058643C"/>
    <w:rsid w:val="00586EDA"/>
    <w:rsid w:val="005927CD"/>
    <w:rsid w:val="0059343A"/>
    <w:rsid w:val="0059524D"/>
    <w:rsid w:val="005964EC"/>
    <w:rsid w:val="00596943"/>
    <w:rsid w:val="005A0661"/>
    <w:rsid w:val="005A172B"/>
    <w:rsid w:val="005A173B"/>
    <w:rsid w:val="005A1FDF"/>
    <w:rsid w:val="005A2BE3"/>
    <w:rsid w:val="005A2E42"/>
    <w:rsid w:val="005A4F1F"/>
    <w:rsid w:val="005A6732"/>
    <w:rsid w:val="005B0972"/>
    <w:rsid w:val="005B153D"/>
    <w:rsid w:val="005B402C"/>
    <w:rsid w:val="005B73F6"/>
    <w:rsid w:val="005C4F8E"/>
    <w:rsid w:val="005D0537"/>
    <w:rsid w:val="005D2C74"/>
    <w:rsid w:val="005D2CB5"/>
    <w:rsid w:val="005D386F"/>
    <w:rsid w:val="005D72C1"/>
    <w:rsid w:val="005E0382"/>
    <w:rsid w:val="005E03E6"/>
    <w:rsid w:val="005E1A5F"/>
    <w:rsid w:val="005E2944"/>
    <w:rsid w:val="005E37F0"/>
    <w:rsid w:val="005E3DC5"/>
    <w:rsid w:val="005E4813"/>
    <w:rsid w:val="005E5B9A"/>
    <w:rsid w:val="005E604C"/>
    <w:rsid w:val="005E6E82"/>
    <w:rsid w:val="005F2068"/>
    <w:rsid w:val="005F4E80"/>
    <w:rsid w:val="005F6167"/>
    <w:rsid w:val="006031DC"/>
    <w:rsid w:val="00604C4E"/>
    <w:rsid w:val="0060535C"/>
    <w:rsid w:val="00611B7F"/>
    <w:rsid w:val="00613D71"/>
    <w:rsid w:val="00615523"/>
    <w:rsid w:val="0062416E"/>
    <w:rsid w:val="00625C51"/>
    <w:rsid w:val="00625CD3"/>
    <w:rsid w:val="00630C4B"/>
    <w:rsid w:val="006313EC"/>
    <w:rsid w:val="00633CD6"/>
    <w:rsid w:val="0063507E"/>
    <w:rsid w:val="00635A6E"/>
    <w:rsid w:val="006362F0"/>
    <w:rsid w:val="006369CC"/>
    <w:rsid w:val="006374EF"/>
    <w:rsid w:val="00637D39"/>
    <w:rsid w:val="00640043"/>
    <w:rsid w:val="00643E16"/>
    <w:rsid w:val="00645D0F"/>
    <w:rsid w:val="00646631"/>
    <w:rsid w:val="00647F26"/>
    <w:rsid w:val="00650955"/>
    <w:rsid w:val="00650C34"/>
    <w:rsid w:val="00650E32"/>
    <w:rsid w:val="006536D6"/>
    <w:rsid w:val="006560FF"/>
    <w:rsid w:val="006561D9"/>
    <w:rsid w:val="00656496"/>
    <w:rsid w:val="00657569"/>
    <w:rsid w:val="00657ED8"/>
    <w:rsid w:val="00660A24"/>
    <w:rsid w:val="00660C75"/>
    <w:rsid w:val="00662875"/>
    <w:rsid w:val="00662ECE"/>
    <w:rsid w:val="00663399"/>
    <w:rsid w:val="00663493"/>
    <w:rsid w:val="0066508C"/>
    <w:rsid w:val="006656A2"/>
    <w:rsid w:val="00665738"/>
    <w:rsid w:val="00665CE2"/>
    <w:rsid w:val="00666247"/>
    <w:rsid w:val="006679EB"/>
    <w:rsid w:val="00667CF0"/>
    <w:rsid w:val="00671BFB"/>
    <w:rsid w:val="0067488C"/>
    <w:rsid w:val="00674F5E"/>
    <w:rsid w:val="006763B3"/>
    <w:rsid w:val="00682F0F"/>
    <w:rsid w:val="00683222"/>
    <w:rsid w:val="00683386"/>
    <w:rsid w:val="006841FA"/>
    <w:rsid w:val="00686A7A"/>
    <w:rsid w:val="00686ED6"/>
    <w:rsid w:val="00686F46"/>
    <w:rsid w:val="006876E5"/>
    <w:rsid w:val="00687B51"/>
    <w:rsid w:val="006900BC"/>
    <w:rsid w:val="006907CD"/>
    <w:rsid w:val="00692DDF"/>
    <w:rsid w:val="0069326D"/>
    <w:rsid w:val="00694B5D"/>
    <w:rsid w:val="00695074"/>
    <w:rsid w:val="0069639D"/>
    <w:rsid w:val="0069716F"/>
    <w:rsid w:val="00697A9F"/>
    <w:rsid w:val="006A035F"/>
    <w:rsid w:val="006A1725"/>
    <w:rsid w:val="006A1D76"/>
    <w:rsid w:val="006A211F"/>
    <w:rsid w:val="006A21CF"/>
    <w:rsid w:val="006A5638"/>
    <w:rsid w:val="006A5EAE"/>
    <w:rsid w:val="006A76FE"/>
    <w:rsid w:val="006B46DC"/>
    <w:rsid w:val="006B625D"/>
    <w:rsid w:val="006B639C"/>
    <w:rsid w:val="006B666A"/>
    <w:rsid w:val="006B7F89"/>
    <w:rsid w:val="006C126F"/>
    <w:rsid w:val="006C19E9"/>
    <w:rsid w:val="006C1A25"/>
    <w:rsid w:val="006C3846"/>
    <w:rsid w:val="006C4725"/>
    <w:rsid w:val="006C7DCA"/>
    <w:rsid w:val="006D3466"/>
    <w:rsid w:val="006D4385"/>
    <w:rsid w:val="006D4845"/>
    <w:rsid w:val="006D535A"/>
    <w:rsid w:val="006D60D4"/>
    <w:rsid w:val="006D6340"/>
    <w:rsid w:val="006D7839"/>
    <w:rsid w:val="006D7C9C"/>
    <w:rsid w:val="006E02B1"/>
    <w:rsid w:val="006E157D"/>
    <w:rsid w:val="006E1793"/>
    <w:rsid w:val="006E1E61"/>
    <w:rsid w:val="006E277C"/>
    <w:rsid w:val="006E5B68"/>
    <w:rsid w:val="006E6DDB"/>
    <w:rsid w:val="006F0AC4"/>
    <w:rsid w:val="006F2CEE"/>
    <w:rsid w:val="006F4F40"/>
    <w:rsid w:val="006F5195"/>
    <w:rsid w:val="006F61C3"/>
    <w:rsid w:val="006F7546"/>
    <w:rsid w:val="00700495"/>
    <w:rsid w:val="007011CF"/>
    <w:rsid w:val="0070375B"/>
    <w:rsid w:val="00705034"/>
    <w:rsid w:val="007064D1"/>
    <w:rsid w:val="00713BF0"/>
    <w:rsid w:val="00715745"/>
    <w:rsid w:val="007158E6"/>
    <w:rsid w:val="00715A07"/>
    <w:rsid w:val="007219A1"/>
    <w:rsid w:val="00722401"/>
    <w:rsid w:val="00722DD9"/>
    <w:rsid w:val="00723E3F"/>
    <w:rsid w:val="007252CC"/>
    <w:rsid w:val="00725B81"/>
    <w:rsid w:val="007269A4"/>
    <w:rsid w:val="00726C34"/>
    <w:rsid w:val="00733082"/>
    <w:rsid w:val="00733E60"/>
    <w:rsid w:val="007341D7"/>
    <w:rsid w:val="00734BF0"/>
    <w:rsid w:val="007358D4"/>
    <w:rsid w:val="00737D3F"/>
    <w:rsid w:val="00741B19"/>
    <w:rsid w:val="00742808"/>
    <w:rsid w:val="00746653"/>
    <w:rsid w:val="00747327"/>
    <w:rsid w:val="00747F8F"/>
    <w:rsid w:val="007506CA"/>
    <w:rsid w:val="00753188"/>
    <w:rsid w:val="00753442"/>
    <w:rsid w:val="00754000"/>
    <w:rsid w:val="0075425D"/>
    <w:rsid w:val="00754372"/>
    <w:rsid w:val="00755134"/>
    <w:rsid w:val="0075584E"/>
    <w:rsid w:val="00756B59"/>
    <w:rsid w:val="007570AD"/>
    <w:rsid w:val="00760447"/>
    <w:rsid w:val="00760AEA"/>
    <w:rsid w:val="00760C76"/>
    <w:rsid w:val="00767099"/>
    <w:rsid w:val="007674E5"/>
    <w:rsid w:val="00770008"/>
    <w:rsid w:val="00770571"/>
    <w:rsid w:val="00770A90"/>
    <w:rsid w:val="00771BDB"/>
    <w:rsid w:val="00780DB4"/>
    <w:rsid w:val="007830DD"/>
    <w:rsid w:val="007831AA"/>
    <w:rsid w:val="00784AE6"/>
    <w:rsid w:val="00784CA4"/>
    <w:rsid w:val="00784D51"/>
    <w:rsid w:val="0078521D"/>
    <w:rsid w:val="0078688D"/>
    <w:rsid w:val="00787769"/>
    <w:rsid w:val="007878FE"/>
    <w:rsid w:val="0079077C"/>
    <w:rsid w:val="0079346B"/>
    <w:rsid w:val="00797162"/>
    <w:rsid w:val="00797F7A"/>
    <w:rsid w:val="007A1347"/>
    <w:rsid w:val="007A1BEB"/>
    <w:rsid w:val="007A31E6"/>
    <w:rsid w:val="007A3201"/>
    <w:rsid w:val="007A36F8"/>
    <w:rsid w:val="007A4951"/>
    <w:rsid w:val="007A515C"/>
    <w:rsid w:val="007A62CE"/>
    <w:rsid w:val="007A7D92"/>
    <w:rsid w:val="007B1D8C"/>
    <w:rsid w:val="007B2424"/>
    <w:rsid w:val="007B39B5"/>
    <w:rsid w:val="007B543B"/>
    <w:rsid w:val="007B76CF"/>
    <w:rsid w:val="007C06DB"/>
    <w:rsid w:val="007C07F2"/>
    <w:rsid w:val="007C442F"/>
    <w:rsid w:val="007C7F1C"/>
    <w:rsid w:val="007D0BA3"/>
    <w:rsid w:val="007D26D0"/>
    <w:rsid w:val="007D2F6E"/>
    <w:rsid w:val="007D502C"/>
    <w:rsid w:val="007D71B9"/>
    <w:rsid w:val="007E03DA"/>
    <w:rsid w:val="007E1346"/>
    <w:rsid w:val="007E21C1"/>
    <w:rsid w:val="007E35CD"/>
    <w:rsid w:val="007E3F60"/>
    <w:rsid w:val="007E7330"/>
    <w:rsid w:val="007F12B7"/>
    <w:rsid w:val="007F25A9"/>
    <w:rsid w:val="007F26AC"/>
    <w:rsid w:val="007F2E10"/>
    <w:rsid w:val="007F33A7"/>
    <w:rsid w:val="007F373C"/>
    <w:rsid w:val="007F79DB"/>
    <w:rsid w:val="00800944"/>
    <w:rsid w:val="00801036"/>
    <w:rsid w:val="00801575"/>
    <w:rsid w:val="0080297D"/>
    <w:rsid w:val="00804F81"/>
    <w:rsid w:val="00811810"/>
    <w:rsid w:val="00813D5B"/>
    <w:rsid w:val="00814560"/>
    <w:rsid w:val="00815D71"/>
    <w:rsid w:val="00820836"/>
    <w:rsid w:val="00822024"/>
    <w:rsid w:val="008231BA"/>
    <w:rsid w:val="00825CAE"/>
    <w:rsid w:val="00826779"/>
    <w:rsid w:val="00826980"/>
    <w:rsid w:val="0083031D"/>
    <w:rsid w:val="008306DE"/>
    <w:rsid w:val="008313B2"/>
    <w:rsid w:val="00831E17"/>
    <w:rsid w:val="00832B98"/>
    <w:rsid w:val="0083458B"/>
    <w:rsid w:val="008357C5"/>
    <w:rsid w:val="008373E8"/>
    <w:rsid w:val="00837F0A"/>
    <w:rsid w:val="00840199"/>
    <w:rsid w:val="008405A7"/>
    <w:rsid w:val="00842423"/>
    <w:rsid w:val="00842761"/>
    <w:rsid w:val="00842CD5"/>
    <w:rsid w:val="00853B1B"/>
    <w:rsid w:val="00854F79"/>
    <w:rsid w:val="008577D4"/>
    <w:rsid w:val="00860DDC"/>
    <w:rsid w:val="00862065"/>
    <w:rsid w:val="00862FA4"/>
    <w:rsid w:val="00863DB6"/>
    <w:rsid w:val="00863FD0"/>
    <w:rsid w:val="00866380"/>
    <w:rsid w:val="008664F3"/>
    <w:rsid w:val="008669E9"/>
    <w:rsid w:val="00867539"/>
    <w:rsid w:val="008720D8"/>
    <w:rsid w:val="0087367F"/>
    <w:rsid w:val="00873A06"/>
    <w:rsid w:val="00874D70"/>
    <w:rsid w:val="00875555"/>
    <w:rsid w:val="00880B4C"/>
    <w:rsid w:val="00883E6C"/>
    <w:rsid w:val="008862B5"/>
    <w:rsid w:val="00886E19"/>
    <w:rsid w:val="008870DF"/>
    <w:rsid w:val="0088721E"/>
    <w:rsid w:val="0088740B"/>
    <w:rsid w:val="00887544"/>
    <w:rsid w:val="008908F5"/>
    <w:rsid w:val="00890A4C"/>
    <w:rsid w:val="00890DDA"/>
    <w:rsid w:val="0089141A"/>
    <w:rsid w:val="00891914"/>
    <w:rsid w:val="00891CBA"/>
    <w:rsid w:val="008945FD"/>
    <w:rsid w:val="008948F1"/>
    <w:rsid w:val="00894B94"/>
    <w:rsid w:val="008951AC"/>
    <w:rsid w:val="008961B7"/>
    <w:rsid w:val="0089677E"/>
    <w:rsid w:val="008978CC"/>
    <w:rsid w:val="008A1053"/>
    <w:rsid w:val="008A3A95"/>
    <w:rsid w:val="008A45E8"/>
    <w:rsid w:val="008A6931"/>
    <w:rsid w:val="008B0553"/>
    <w:rsid w:val="008B3206"/>
    <w:rsid w:val="008B5987"/>
    <w:rsid w:val="008C2A3C"/>
    <w:rsid w:val="008C2E65"/>
    <w:rsid w:val="008C37C8"/>
    <w:rsid w:val="008C40C8"/>
    <w:rsid w:val="008D0652"/>
    <w:rsid w:val="008D0BF5"/>
    <w:rsid w:val="008D114B"/>
    <w:rsid w:val="008D23C1"/>
    <w:rsid w:val="008D37A1"/>
    <w:rsid w:val="008D398B"/>
    <w:rsid w:val="008D7DDB"/>
    <w:rsid w:val="008E0028"/>
    <w:rsid w:val="008E08F8"/>
    <w:rsid w:val="008E1372"/>
    <w:rsid w:val="008E1F19"/>
    <w:rsid w:val="008E4EC8"/>
    <w:rsid w:val="008F11E2"/>
    <w:rsid w:val="008F1424"/>
    <w:rsid w:val="008F3660"/>
    <w:rsid w:val="008F3F09"/>
    <w:rsid w:val="008F6116"/>
    <w:rsid w:val="008F7B87"/>
    <w:rsid w:val="0090029D"/>
    <w:rsid w:val="00900882"/>
    <w:rsid w:val="00902C55"/>
    <w:rsid w:val="00902D31"/>
    <w:rsid w:val="00903E85"/>
    <w:rsid w:val="00906098"/>
    <w:rsid w:val="00907206"/>
    <w:rsid w:val="0090744F"/>
    <w:rsid w:val="00907611"/>
    <w:rsid w:val="00907B3D"/>
    <w:rsid w:val="0091131B"/>
    <w:rsid w:val="00911BFC"/>
    <w:rsid w:val="00911C69"/>
    <w:rsid w:val="009129DD"/>
    <w:rsid w:val="00912DEC"/>
    <w:rsid w:val="00913050"/>
    <w:rsid w:val="0091364C"/>
    <w:rsid w:val="009149A9"/>
    <w:rsid w:val="00915AA5"/>
    <w:rsid w:val="00915D80"/>
    <w:rsid w:val="009164E1"/>
    <w:rsid w:val="009165F2"/>
    <w:rsid w:val="00917556"/>
    <w:rsid w:val="009205BD"/>
    <w:rsid w:val="009209E2"/>
    <w:rsid w:val="0092165B"/>
    <w:rsid w:val="00927F3E"/>
    <w:rsid w:val="00930A46"/>
    <w:rsid w:val="00930D8F"/>
    <w:rsid w:val="00934827"/>
    <w:rsid w:val="009349D0"/>
    <w:rsid w:val="00934A69"/>
    <w:rsid w:val="00936722"/>
    <w:rsid w:val="00936EA7"/>
    <w:rsid w:val="009376A3"/>
    <w:rsid w:val="00937ED6"/>
    <w:rsid w:val="009405F0"/>
    <w:rsid w:val="009408A2"/>
    <w:rsid w:val="00942581"/>
    <w:rsid w:val="00945087"/>
    <w:rsid w:val="009451C2"/>
    <w:rsid w:val="0095018E"/>
    <w:rsid w:val="00950690"/>
    <w:rsid w:val="00950C28"/>
    <w:rsid w:val="009528ED"/>
    <w:rsid w:val="009548FE"/>
    <w:rsid w:val="00954B36"/>
    <w:rsid w:val="00963136"/>
    <w:rsid w:val="00964509"/>
    <w:rsid w:val="00965A62"/>
    <w:rsid w:val="00965A8D"/>
    <w:rsid w:val="00966069"/>
    <w:rsid w:val="00966C54"/>
    <w:rsid w:val="009677FD"/>
    <w:rsid w:val="009678FD"/>
    <w:rsid w:val="00972CB3"/>
    <w:rsid w:val="009736EF"/>
    <w:rsid w:val="00975828"/>
    <w:rsid w:val="00975DA4"/>
    <w:rsid w:val="0097649D"/>
    <w:rsid w:val="00977987"/>
    <w:rsid w:val="00980361"/>
    <w:rsid w:val="00984F86"/>
    <w:rsid w:val="009853EE"/>
    <w:rsid w:val="00990627"/>
    <w:rsid w:val="009906F4"/>
    <w:rsid w:val="00990D29"/>
    <w:rsid w:val="009911C6"/>
    <w:rsid w:val="009916C7"/>
    <w:rsid w:val="00991914"/>
    <w:rsid w:val="009944E0"/>
    <w:rsid w:val="0099762B"/>
    <w:rsid w:val="009A32F5"/>
    <w:rsid w:val="009A4397"/>
    <w:rsid w:val="009A5462"/>
    <w:rsid w:val="009A58EC"/>
    <w:rsid w:val="009A5BBB"/>
    <w:rsid w:val="009A6B0F"/>
    <w:rsid w:val="009A7DF7"/>
    <w:rsid w:val="009B09C6"/>
    <w:rsid w:val="009B0F22"/>
    <w:rsid w:val="009B1323"/>
    <w:rsid w:val="009B13D3"/>
    <w:rsid w:val="009B1ACA"/>
    <w:rsid w:val="009B4A2A"/>
    <w:rsid w:val="009C0A02"/>
    <w:rsid w:val="009C1CBE"/>
    <w:rsid w:val="009C3782"/>
    <w:rsid w:val="009C4B02"/>
    <w:rsid w:val="009C69EB"/>
    <w:rsid w:val="009D182C"/>
    <w:rsid w:val="009D2421"/>
    <w:rsid w:val="009D4ED5"/>
    <w:rsid w:val="009D5869"/>
    <w:rsid w:val="009D5E6C"/>
    <w:rsid w:val="009D6B8C"/>
    <w:rsid w:val="009D6F14"/>
    <w:rsid w:val="009D7CE9"/>
    <w:rsid w:val="009E219A"/>
    <w:rsid w:val="009E2C80"/>
    <w:rsid w:val="009E379A"/>
    <w:rsid w:val="009E40DD"/>
    <w:rsid w:val="009E56B5"/>
    <w:rsid w:val="009E6BFC"/>
    <w:rsid w:val="009E74C5"/>
    <w:rsid w:val="009E776F"/>
    <w:rsid w:val="009E7BA8"/>
    <w:rsid w:val="009F0DB1"/>
    <w:rsid w:val="009F0F4C"/>
    <w:rsid w:val="009F1B47"/>
    <w:rsid w:val="009F1E0E"/>
    <w:rsid w:val="009F2104"/>
    <w:rsid w:val="009F2800"/>
    <w:rsid w:val="009F4D9A"/>
    <w:rsid w:val="009F5DE0"/>
    <w:rsid w:val="009F6808"/>
    <w:rsid w:val="009F6C4C"/>
    <w:rsid w:val="009F6D4F"/>
    <w:rsid w:val="009F769B"/>
    <w:rsid w:val="00A00951"/>
    <w:rsid w:val="00A01EDF"/>
    <w:rsid w:val="00A02610"/>
    <w:rsid w:val="00A034E8"/>
    <w:rsid w:val="00A03BF8"/>
    <w:rsid w:val="00A059DF"/>
    <w:rsid w:val="00A1234F"/>
    <w:rsid w:val="00A17418"/>
    <w:rsid w:val="00A176C5"/>
    <w:rsid w:val="00A203FB"/>
    <w:rsid w:val="00A20FCB"/>
    <w:rsid w:val="00A241C7"/>
    <w:rsid w:val="00A2594E"/>
    <w:rsid w:val="00A26556"/>
    <w:rsid w:val="00A30DAE"/>
    <w:rsid w:val="00A30F8F"/>
    <w:rsid w:val="00A32C0E"/>
    <w:rsid w:val="00A32EFD"/>
    <w:rsid w:val="00A3358B"/>
    <w:rsid w:val="00A34121"/>
    <w:rsid w:val="00A35F40"/>
    <w:rsid w:val="00A405F0"/>
    <w:rsid w:val="00A4131F"/>
    <w:rsid w:val="00A430FB"/>
    <w:rsid w:val="00A44DF0"/>
    <w:rsid w:val="00A451A1"/>
    <w:rsid w:val="00A47396"/>
    <w:rsid w:val="00A50836"/>
    <w:rsid w:val="00A5091A"/>
    <w:rsid w:val="00A52E90"/>
    <w:rsid w:val="00A53970"/>
    <w:rsid w:val="00A6023D"/>
    <w:rsid w:val="00A60D25"/>
    <w:rsid w:val="00A63498"/>
    <w:rsid w:val="00A6575E"/>
    <w:rsid w:val="00A65E12"/>
    <w:rsid w:val="00A66FC6"/>
    <w:rsid w:val="00A67467"/>
    <w:rsid w:val="00A705BC"/>
    <w:rsid w:val="00A71595"/>
    <w:rsid w:val="00A7196F"/>
    <w:rsid w:val="00A72B5D"/>
    <w:rsid w:val="00A74B2E"/>
    <w:rsid w:val="00A758F4"/>
    <w:rsid w:val="00A766B6"/>
    <w:rsid w:val="00A77649"/>
    <w:rsid w:val="00A8480E"/>
    <w:rsid w:val="00A867A3"/>
    <w:rsid w:val="00A91D49"/>
    <w:rsid w:val="00A9411B"/>
    <w:rsid w:val="00AA2CD4"/>
    <w:rsid w:val="00AA347C"/>
    <w:rsid w:val="00AA51FF"/>
    <w:rsid w:val="00AA6023"/>
    <w:rsid w:val="00AA63C5"/>
    <w:rsid w:val="00AA66A4"/>
    <w:rsid w:val="00AA6CAA"/>
    <w:rsid w:val="00AB07AB"/>
    <w:rsid w:val="00AB3041"/>
    <w:rsid w:val="00AB321F"/>
    <w:rsid w:val="00AB3642"/>
    <w:rsid w:val="00AB3D2E"/>
    <w:rsid w:val="00AB4415"/>
    <w:rsid w:val="00AB68C7"/>
    <w:rsid w:val="00AB6C79"/>
    <w:rsid w:val="00AB6EB0"/>
    <w:rsid w:val="00AB7B74"/>
    <w:rsid w:val="00AC298F"/>
    <w:rsid w:val="00AC393A"/>
    <w:rsid w:val="00AC506D"/>
    <w:rsid w:val="00AC5168"/>
    <w:rsid w:val="00AC63BD"/>
    <w:rsid w:val="00AD0070"/>
    <w:rsid w:val="00AD067A"/>
    <w:rsid w:val="00AD1925"/>
    <w:rsid w:val="00AD26E3"/>
    <w:rsid w:val="00AD5870"/>
    <w:rsid w:val="00AD5C4D"/>
    <w:rsid w:val="00AD64D9"/>
    <w:rsid w:val="00AD6B14"/>
    <w:rsid w:val="00AD706A"/>
    <w:rsid w:val="00AE07E9"/>
    <w:rsid w:val="00AE35E2"/>
    <w:rsid w:val="00AE407C"/>
    <w:rsid w:val="00AE4B00"/>
    <w:rsid w:val="00AE5259"/>
    <w:rsid w:val="00AE5E39"/>
    <w:rsid w:val="00AE6B15"/>
    <w:rsid w:val="00AE702C"/>
    <w:rsid w:val="00AF0B6C"/>
    <w:rsid w:val="00AF2763"/>
    <w:rsid w:val="00AF28D2"/>
    <w:rsid w:val="00AF357D"/>
    <w:rsid w:val="00AF6A23"/>
    <w:rsid w:val="00AF6D3A"/>
    <w:rsid w:val="00B0328B"/>
    <w:rsid w:val="00B03E26"/>
    <w:rsid w:val="00B03F76"/>
    <w:rsid w:val="00B0583F"/>
    <w:rsid w:val="00B0669C"/>
    <w:rsid w:val="00B101DC"/>
    <w:rsid w:val="00B11C68"/>
    <w:rsid w:val="00B11E69"/>
    <w:rsid w:val="00B15AE4"/>
    <w:rsid w:val="00B1736F"/>
    <w:rsid w:val="00B222C9"/>
    <w:rsid w:val="00B26D3F"/>
    <w:rsid w:val="00B303DF"/>
    <w:rsid w:val="00B308A3"/>
    <w:rsid w:val="00B30E42"/>
    <w:rsid w:val="00B32234"/>
    <w:rsid w:val="00B33815"/>
    <w:rsid w:val="00B347DC"/>
    <w:rsid w:val="00B35096"/>
    <w:rsid w:val="00B357B5"/>
    <w:rsid w:val="00B35E7F"/>
    <w:rsid w:val="00B36561"/>
    <w:rsid w:val="00B400EA"/>
    <w:rsid w:val="00B41904"/>
    <w:rsid w:val="00B43BD8"/>
    <w:rsid w:val="00B44545"/>
    <w:rsid w:val="00B46129"/>
    <w:rsid w:val="00B46ADD"/>
    <w:rsid w:val="00B47754"/>
    <w:rsid w:val="00B535E8"/>
    <w:rsid w:val="00B53C43"/>
    <w:rsid w:val="00B564A0"/>
    <w:rsid w:val="00B564BB"/>
    <w:rsid w:val="00B57631"/>
    <w:rsid w:val="00B5779D"/>
    <w:rsid w:val="00B578E9"/>
    <w:rsid w:val="00B630CF"/>
    <w:rsid w:val="00B65358"/>
    <w:rsid w:val="00B65ACE"/>
    <w:rsid w:val="00B65C97"/>
    <w:rsid w:val="00B65CE4"/>
    <w:rsid w:val="00B65EC2"/>
    <w:rsid w:val="00B6616F"/>
    <w:rsid w:val="00B66FE1"/>
    <w:rsid w:val="00B7007B"/>
    <w:rsid w:val="00B73982"/>
    <w:rsid w:val="00B73ECE"/>
    <w:rsid w:val="00B73F0A"/>
    <w:rsid w:val="00B74AB4"/>
    <w:rsid w:val="00B75D74"/>
    <w:rsid w:val="00B77029"/>
    <w:rsid w:val="00B77183"/>
    <w:rsid w:val="00B817E0"/>
    <w:rsid w:val="00B83155"/>
    <w:rsid w:val="00B83416"/>
    <w:rsid w:val="00B83DAD"/>
    <w:rsid w:val="00B8411F"/>
    <w:rsid w:val="00B843CD"/>
    <w:rsid w:val="00B85A0A"/>
    <w:rsid w:val="00B86B09"/>
    <w:rsid w:val="00B86B7A"/>
    <w:rsid w:val="00B86F50"/>
    <w:rsid w:val="00B87318"/>
    <w:rsid w:val="00B876EF"/>
    <w:rsid w:val="00B909C6"/>
    <w:rsid w:val="00B92014"/>
    <w:rsid w:val="00B922E1"/>
    <w:rsid w:val="00B92380"/>
    <w:rsid w:val="00B93ADF"/>
    <w:rsid w:val="00B94616"/>
    <w:rsid w:val="00B96979"/>
    <w:rsid w:val="00BA11FD"/>
    <w:rsid w:val="00BA19EC"/>
    <w:rsid w:val="00BA2225"/>
    <w:rsid w:val="00BA2A06"/>
    <w:rsid w:val="00BA39C4"/>
    <w:rsid w:val="00BA3BB4"/>
    <w:rsid w:val="00BA474B"/>
    <w:rsid w:val="00BB1137"/>
    <w:rsid w:val="00BB167F"/>
    <w:rsid w:val="00BB347F"/>
    <w:rsid w:val="00BB3AEE"/>
    <w:rsid w:val="00BB4A8A"/>
    <w:rsid w:val="00BB6334"/>
    <w:rsid w:val="00BC2AA4"/>
    <w:rsid w:val="00BC375A"/>
    <w:rsid w:val="00BC53B3"/>
    <w:rsid w:val="00BC55A1"/>
    <w:rsid w:val="00BC64C9"/>
    <w:rsid w:val="00BD10F4"/>
    <w:rsid w:val="00BD25BF"/>
    <w:rsid w:val="00BD32FA"/>
    <w:rsid w:val="00BD68D3"/>
    <w:rsid w:val="00BD7FA2"/>
    <w:rsid w:val="00BE0054"/>
    <w:rsid w:val="00BE02E9"/>
    <w:rsid w:val="00BE0F2C"/>
    <w:rsid w:val="00BE0F82"/>
    <w:rsid w:val="00BE309E"/>
    <w:rsid w:val="00BE31C6"/>
    <w:rsid w:val="00BE51FD"/>
    <w:rsid w:val="00BE5673"/>
    <w:rsid w:val="00BE5D49"/>
    <w:rsid w:val="00BF0123"/>
    <w:rsid w:val="00BF0778"/>
    <w:rsid w:val="00BF13A5"/>
    <w:rsid w:val="00BF16D6"/>
    <w:rsid w:val="00BF1883"/>
    <w:rsid w:val="00BF1DD6"/>
    <w:rsid w:val="00BF243B"/>
    <w:rsid w:val="00BF2689"/>
    <w:rsid w:val="00BF3213"/>
    <w:rsid w:val="00BF44BF"/>
    <w:rsid w:val="00BF6938"/>
    <w:rsid w:val="00BF760E"/>
    <w:rsid w:val="00BF77EF"/>
    <w:rsid w:val="00C00872"/>
    <w:rsid w:val="00C013BB"/>
    <w:rsid w:val="00C01C8B"/>
    <w:rsid w:val="00C02707"/>
    <w:rsid w:val="00C0489E"/>
    <w:rsid w:val="00C04E48"/>
    <w:rsid w:val="00C0712D"/>
    <w:rsid w:val="00C0725D"/>
    <w:rsid w:val="00C07DA7"/>
    <w:rsid w:val="00C10437"/>
    <w:rsid w:val="00C116D2"/>
    <w:rsid w:val="00C119CC"/>
    <w:rsid w:val="00C126FA"/>
    <w:rsid w:val="00C12952"/>
    <w:rsid w:val="00C14230"/>
    <w:rsid w:val="00C1570A"/>
    <w:rsid w:val="00C167AC"/>
    <w:rsid w:val="00C22776"/>
    <w:rsid w:val="00C22D83"/>
    <w:rsid w:val="00C2476B"/>
    <w:rsid w:val="00C24960"/>
    <w:rsid w:val="00C250DA"/>
    <w:rsid w:val="00C25E5D"/>
    <w:rsid w:val="00C3000A"/>
    <w:rsid w:val="00C30AB3"/>
    <w:rsid w:val="00C32997"/>
    <w:rsid w:val="00C32FFF"/>
    <w:rsid w:val="00C33782"/>
    <w:rsid w:val="00C337C0"/>
    <w:rsid w:val="00C34CCD"/>
    <w:rsid w:val="00C41D4D"/>
    <w:rsid w:val="00C430E3"/>
    <w:rsid w:val="00C45F57"/>
    <w:rsid w:val="00C46500"/>
    <w:rsid w:val="00C50250"/>
    <w:rsid w:val="00C504FC"/>
    <w:rsid w:val="00C51DB8"/>
    <w:rsid w:val="00C5250C"/>
    <w:rsid w:val="00C53508"/>
    <w:rsid w:val="00C62185"/>
    <w:rsid w:val="00C62342"/>
    <w:rsid w:val="00C62CB0"/>
    <w:rsid w:val="00C671F1"/>
    <w:rsid w:val="00C700AE"/>
    <w:rsid w:val="00C72DC4"/>
    <w:rsid w:val="00C733E8"/>
    <w:rsid w:val="00C803A5"/>
    <w:rsid w:val="00C8145D"/>
    <w:rsid w:val="00C8399B"/>
    <w:rsid w:val="00C8592B"/>
    <w:rsid w:val="00C90E4D"/>
    <w:rsid w:val="00C90F6E"/>
    <w:rsid w:val="00C95896"/>
    <w:rsid w:val="00C96E80"/>
    <w:rsid w:val="00CA0AB5"/>
    <w:rsid w:val="00CA19BF"/>
    <w:rsid w:val="00CA279F"/>
    <w:rsid w:val="00CA2D3F"/>
    <w:rsid w:val="00CA652B"/>
    <w:rsid w:val="00CA6FFD"/>
    <w:rsid w:val="00CA7199"/>
    <w:rsid w:val="00CB0D37"/>
    <w:rsid w:val="00CB16CE"/>
    <w:rsid w:val="00CB303B"/>
    <w:rsid w:val="00CB51B6"/>
    <w:rsid w:val="00CB7F74"/>
    <w:rsid w:val="00CC14C1"/>
    <w:rsid w:val="00CC157B"/>
    <w:rsid w:val="00CC25EB"/>
    <w:rsid w:val="00CC4269"/>
    <w:rsid w:val="00CC445C"/>
    <w:rsid w:val="00CC7CE2"/>
    <w:rsid w:val="00CD1819"/>
    <w:rsid w:val="00CD2896"/>
    <w:rsid w:val="00CD3B6A"/>
    <w:rsid w:val="00CD57D3"/>
    <w:rsid w:val="00CD6149"/>
    <w:rsid w:val="00CD69B2"/>
    <w:rsid w:val="00CD6FD1"/>
    <w:rsid w:val="00CD7D98"/>
    <w:rsid w:val="00CE06EC"/>
    <w:rsid w:val="00CE1559"/>
    <w:rsid w:val="00CE2F7D"/>
    <w:rsid w:val="00CE3598"/>
    <w:rsid w:val="00CE5A0A"/>
    <w:rsid w:val="00CF18D8"/>
    <w:rsid w:val="00CF23E3"/>
    <w:rsid w:val="00CF328E"/>
    <w:rsid w:val="00CF4762"/>
    <w:rsid w:val="00CF6310"/>
    <w:rsid w:val="00D01398"/>
    <w:rsid w:val="00D020AE"/>
    <w:rsid w:val="00D0253A"/>
    <w:rsid w:val="00D02DCA"/>
    <w:rsid w:val="00D03688"/>
    <w:rsid w:val="00D04431"/>
    <w:rsid w:val="00D06DA1"/>
    <w:rsid w:val="00D07770"/>
    <w:rsid w:val="00D14E9B"/>
    <w:rsid w:val="00D20263"/>
    <w:rsid w:val="00D2121A"/>
    <w:rsid w:val="00D21456"/>
    <w:rsid w:val="00D21D89"/>
    <w:rsid w:val="00D21F09"/>
    <w:rsid w:val="00D22E5D"/>
    <w:rsid w:val="00D24225"/>
    <w:rsid w:val="00D25A97"/>
    <w:rsid w:val="00D25CC7"/>
    <w:rsid w:val="00D30F98"/>
    <w:rsid w:val="00D3177C"/>
    <w:rsid w:val="00D363F6"/>
    <w:rsid w:val="00D37B8E"/>
    <w:rsid w:val="00D4118C"/>
    <w:rsid w:val="00D4373C"/>
    <w:rsid w:val="00D43BCF"/>
    <w:rsid w:val="00D44FF9"/>
    <w:rsid w:val="00D4654C"/>
    <w:rsid w:val="00D46DF1"/>
    <w:rsid w:val="00D47987"/>
    <w:rsid w:val="00D51C9A"/>
    <w:rsid w:val="00D53255"/>
    <w:rsid w:val="00D541DC"/>
    <w:rsid w:val="00D55A10"/>
    <w:rsid w:val="00D55B60"/>
    <w:rsid w:val="00D5685C"/>
    <w:rsid w:val="00D56AFD"/>
    <w:rsid w:val="00D6227C"/>
    <w:rsid w:val="00D63C60"/>
    <w:rsid w:val="00D64231"/>
    <w:rsid w:val="00D642FB"/>
    <w:rsid w:val="00D64DD5"/>
    <w:rsid w:val="00D651DD"/>
    <w:rsid w:val="00D66DD4"/>
    <w:rsid w:val="00D67A7E"/>
    <w:rsid w:val="00D70BC5"/>
    <w:rsid w:val="00D72AAC"/>
    <w:rsid w:val="00D72F25"/>
    <w:rsid w:val="00D7649C"/>
    <w:rsid w:val="00D82AD9"/>
    <w:rsid w:val="00D83165"/>
    <w:rsid w:val="00D8376F"/>
    <w:rsid w:val="00D84F2B"/>
    <w:rsid w:val="00D855C0"/>
    <w:rsid w:val="00D87121"/>
    <w:rsid w:val="00D87E6F"/>
    <w:rsid w:val="00D91114"/>
    <w:rsid w:val="00D91558"/>
    <w:rsid w:val="00D9279B"/>
    <w:rsid w:val="00D92CF3"/>
    <w:rsid w:val="00D94630"/>
    <w:rsid w:val="00D94E6E"/>
    <w:rsid w:val="00D95D23"/>
    <w:rsid w:val="00D96227"/>
    <w:rsid w:val="00D96679"/>
    <w:rsid w:val="00D96E89"/>
    <w:rsid w:val="00D97EDD"/>
    <w:rsid w:val="00DA176A"/>
    <w:rsid w:val="00DA3D41"/>
    <w:rsid w:val="00DA502B"/>
    <w:rsid w:val="00DA6ACF"/>
    <w:rsid w:val="00DA7026"/>
    <w:rsid w:val="00DB11F4"/>
    <w:rsid w:val="00DB3209"/>
    <w:rsid w:val="00DB6685"/>
    <w:rsid w:val="00DB6C15"/>
    <w:rsid w:val="00DB74DE"/>
    <w:rsid w:val="00DB7C81"/>
    <w:rsid w:val="00DC1CA3"/>
    <w:rsid w:val="00DC25CB"/>
    <w:rsid w:val="00DC393D"/>
    <w:rsid w:val="00DC511E"/>
    <w:rsid w:val="00DC619C"/>
    <w:rsid w:val="00DD091C"/>
    <w:rsid w:val="00DD0DBF"/>
    <w:rsid w:val="00DD427D"/>
    <w:rsid w:val="00DD61F0"/>
    <w:rsid w:val="00DE3DFD"/>
    <w:rsid w:val="00DE584B"/>
    <w:rsid w:val="00DF225D"/>
    <w:rsid w:val="00DF3B78"/>
    <w:rsid w:val="00DF6A98"/>
    <w:rsid w:val="00DF77B6"/>
    <w:rsid w:val="00E00237"/>
    <w:rsid w:val="00E054BB"/>
    <w:rsid w:val="00E05C4C"/>
    <w:rsid w:val="00E05DE6"/>
    <w:rsid w:val="00E06CC8"/>
    <w:rsid w:val="00E107B3"/>
    <w:rsid w:val="00E10F19"/>
    <w:rsid w:val="00E11250"/>
    <w:rsid w:val="00E1181B"/>
    <w:rsid w:val="00E11E49"/>
    <w:rsid w:val="00E14D21"/>
    <w:rsid w:val="00E156E2"/>
    <w:rsid w:val="00E15791"/>
    <w:rsid w:val="00E1590C"/>
    <w:rsid w:val="00E1750C"/>
    <w:rsid w:val="00E200B1"/>
    <w:rsid w:val="00E20CA3"/>
    <w:rsid w:val="00E23D18"/>
    <w:rsid w:val="00E240A5"/>
    <w:rsid w:val="00E245B2"/>
    <w:rsid w:val="00E247F0"/>
    <w:rsid w:val="00E25817"/>
    <w:rsid w:val="00E25E6E"/>
    <w:rsid w:val="00E266D4"/>
    <w:rsid w:val="00E26A37"/>
    <w:rsid w:val="00E27AC3"/>
    <w:rsid w:val="00E30BCB"/>
    <w:rsid w:val="00E32037"/>
    <w:rsid w:val="00E33197"/>
    <w:rsid w:val="00E33667"/>
    <w:rsid w:val="00E338F2"/>
    <w:rsid w:val="00E3399A"/>
    <w:rsid w:val="00E35015"/>
    <w:rsid w:val="00E35694"/>
    <w:rsid w:val="00E3632A"/>
    <w:rsid w:val="00E37B70"/>
    <w:rsid w:val="00E37CEE"/>
    <w:rsid w:val="00E4150F"/>
    <w:rsid w:val="00E42C46"/>
    <w:rsid w:val="00E449A7"/>
    <w:rsid w:val="00E45C02"/>
    <w:rsid w:val="00E465EC"/>
    <w:rsid w:val="00E523EB"/>
    <w:rsid w:val="00E530DB"/>
    <w:rsid w:val="00E60F61"/>
    <w:rsid w:val="00E63CFB"/>
    <w:rsid w:val="00E644E0"/>
    <w:rsid w:val="00E65E72"/>
    <w:rsid w:val="00E66D85"/>
    <w:rsid w:val="00E679D7"/>
    <w:rsid w:val="00E70F72"/>
    <w:rsid w:val="00E76C69"/>
    <w:rsid w:val="00E76C6F"/>
    <w:rsid w:val="00E77246"/>
    <w:rsid w:val="00E775D2"/>
    <w:rsid w:val="00E80091"/>
    <w:rsid w:val="00E80344"/>
    <w:rsid w:val="00E80B46"/>
    <w:rsid w:val="00E80C19"/>
    <w:rsid w:val="00E818AD"/>
    <w:rsid w:val="00E84974"/>
    <w:rsid w:val="00E85EB4"/>
    <w:rsid w:val="00E917E6"/>
    <w:rsid w:val="00E92B2E"/>
    <w:rsid w:val="00E93FEA"/>
    <w:rsid w:val="00E94C9F"/>
    <w:rsid w:val="00E97189"/>
    <w:rsid w:val="00EA1510"/>
    <w:rsid w:val="00EA3FCF"/>
    <w:rsid w:val="00EA499B"/>
    <w:rsid w:val="00EA4F20"/>
    <w:rsid w:val="00EA4F5F"/>
    <w:rsid w:val="00EA6050"/>
    <w:rsid w:val="00EA6552"/>
    <w:rsid w:val="00EA73DB"/>
    <w:rsid w:val="00EA77E5"/>
    <w:rsid w:val="00EB0C2C"/>
    <w:rsid w:val="00EB0E5E"/>
    <w:rsid w:val="00EB16AB"/>
    <w:rsid w:val="00EB1EBB"/>
    <w:rsid w:val="00EB23AB"/>
    <w:rsid w:val="00EB298C"/>
    <w:rsid w:val="00EB5E0E"/>
    <w:rsid w:val="00EB6BC3"/>
    <w:rsid w:val="00EB7153"/>
    <w:rsid w:val="00EB7E5E"/>
    <w:rsid w:val="00EC5402"/>
    <w:rsid w:val="00EC5B6B"/>
    <w:rsid w:val="00EC73BF"/>
    <w:rsid w:val="00ED019F"/>
    <w:rsid w:val="00ED03F3"/>
    <w:rsid w:val="00ED1400"/>
    <w:rsid w:val="00ED1498"/>
    <w:rsid w:val="00ED1FF5"/>
    <w:rsid w:val="00ED4103"/>
    <w:rsid w:val="00ED545D"/>
    <w:rsid w:val="00ED55F6"/>
    <w:rsid w:val="00EE2230"/>
    <w:rsid w:val="00EE5CB2"/>
    <w:rsid w:val="00EE7559"/>
    <w:rsid w:val="00EF5032"/>
    <w:rsid w:val="00EF5D3F"/>
    <w:rsid w:val="00EF6E10"/>
    <w:rsid w:val="00EF712B"/>
    <w:rsid w:val="00EF7D5A"/>
    <w:rsid w:val="00F00B86"/>
    <w:rsid w:val="00F01211"/>
    <w:rsid w:val="00F033C9"/>
    <w:rsid w:val="00F03617"/>
    <w:rsid w:val="00F04EF2"/>
    <w:rsid w:val="00F0541C"/>
    <w:rsid w:val="00F05FA7"/>
    <w:rsid w:val="00F06EAB"/>
    <w:rsid w:val="00F07E63"/>
    <w:rsid w:val="00F07E82"/>
    <w:rsid w:val="00F112EA"/>
    <w:rsid w:val="00F13519"/>
    <w:rsid w:val="00F16C66"/>
    <w:rsid w:val="00F17781"/>
    <w:rsid w:val="00F25C21"/>
    <w:rsid w:val="00F2615A"/>
    <w:rsid w:val="00F26B4C"/>
    <w:rsid w:val="00F307DA"/>
    <w:rsid w:val="00F320C1"/>
    <w:rsid w:val="00F32C8C"/>
    <w:rsid w:val="00F34DA5"/>
    <w:rsid w:val="00F35EC8"/>
    <w:rsid w:val="00F37667"/>
    <w:rsid w:val="00F377A4"/>
    <w:rsid w:val="00F377C1"/>
    <w:rsid w:val="00F41368"/>
    <w:rsid w:val="00F41834"/>
    <w:rsid w:val="00F42447"/>
    <w:rsid w:val="00F43A16"/>
    <w:rsid w:val="00F44420"/>
    <w:rsid w:val="00F44BEF"/>
    <w:rsid w:val="00F45CFC"/>
    <w:rsid w:val="00F469BA"/>
    <w:rsid w:val="00F46EE0"/>
    <w:rsid w:val="00F52628"/>
    <w:rsid w:val="00F540E0"/>
    <w:rsid w:val="00F545DD"/>
    <w:rsid w:val="00F546D2"/>
    <w:rsid w:val="00F55FA6"/>
    <w:rsid w:val="00F5774B"/>
    <w:rsid w:val="00F60480"/>
    <w:rsid w:val="00F613D7"/>
    <w:rsid w:val="00F619CC"/>
    <w:rsid w:val="00F627A7"/>
    <w:rsid w:val="00F6338E"/>
    <w:rsid w:val="00F63896"/>
    <w:rsid w:val="00F6471F"/>
    <w:rsid w:val="00F64D99"/>
    <w:rsid w:val="00F678E0"/>
    <w:rsid w:val="00F703CA"/>
    <w:rsid w:val="00F715E6"/>
    <w:rsid w:val="00F7263B"/>
    <w:rsid w:val="00F7265E"/>
    <w:rsid w:val="00F72E5F"/>
    <w:rsid w:val="00F743FE"/>
    <w:rsid w:val="00F76B51"/>
    <w:rsid w:val="00F76FB5"/>
    <w:rsid w:val="00F774B6"/>
    <w:rsid w:val="00F77655"/>
    <w:rsid w:val="00F779CD"/>
    <w:rsid w:val="00F80A6A"/>
    <w:rsid w:val="00F837B8"/>
    <w:rsid w:val="00F84D96"/>
    <w:rsid w:val="00F86588"/>
    <w:rsid w:val="00F87417"/>
    <w:rsid w:val="00F87EC0"/>
    <w:rsid w:val="00F91422"/>
    <w:rsid w:val="00F9167A"/>
    <w:rsid w:val="00F91D30"/>
    <w:rsid w:val="00F91DBB"/>
    <w:rsid w:val="00F925F6"/>
    <w:rsid w:val="00F937B0"/>
    <w:rsid w:val="00F94C8B"/>
    <w:rsid w:val="00F95FE0"/>
    <w:rsid w:val="00F961B9"/>
    <w:rsid w:val="00FA1867"/>
    <w:rsid w:val="00FA3EAA"/>
    <w:rsid w:val="00FA71F3"/>
    <w:rsid w:val="00FB085A"/>
    <w:rsid w:val="00FB0B95"/>
    <w:rsid w:val="00FB2B62"/>
    <w:rsid w:val="00FB3398"/>
    <w:rsid w:val="00FB35F3"/>
    <w:rsid w:val="00FB38B9"/>
    <w:rsid w:val="00FB3EF3"/>
    <w:rsid w:val="00FB3EFF"/>
    <w:rsid w:val="00FB4FC4"/>
    <w:rsid w:val="00FB50D6"/>
    <w:rsid w:val="00FB665C"/>
    <w:rsid w:val="00FB668B"/>
    <w:rsid w:val="00FC072E"/>
    <w:rsid w:val="00FC1CF5"/>
    <w:rsid w:val="00FC5CB4"/>
    <w:rsid w:val="00FD2DC7"/>
    <w:rsid w:val="00FD4511"/>
    <w:rsid w:val="00FD537F"/>
    <w:rsid w:val="00FD5E24"/>
    <w:rsid w:val="00FD5E5E"/>
    <w:rsid w:val="00FE1080"/>
    <w:rsid w:val="00FE133D"/>
    <w:rsid w:val="00FE4D17"/>
    <w:rsid w:val="00FE4F45"/>
    <w:rsid w:val="00FE54BD"/>
    <w:rsid w:val="00FE63A1"/>
    <w:rsid w:val="00FF23BD"/>
    <w:rsid w:val="00FF3A00"/>
    <w:rsid w:val="00FF44B2"/>
    <w:rsid w:val="00FF536D"/>
    <w:rsid w:val="00FF5DC3"/>
    <w:rsid w:val="00FF6018"/>
    <w:rsid w:val="00FF623A"/>
    <w:rsid w:val="00FF6240"/>
    <w:rsid w:val="00FF680E"/>
    <w:rsid w:val="0BAE32D1"/>
    <w:rsid w:val="0E1F0DC9"/>
    <w:rsid w:val="0EE61EC9"/>
    <w:rsid w:val="11D52F49"/>
    <w:rsid w:val="149C4B8C"/>
    <w:rsid w:val="14C8078D"/>
    <w:rsid w:val="1EFC2B5A"/>
    <w:rsid w:val="21A93A00"/>
    <w:rsid w:val="22972A5C"/>
    <w:rsid w:val="33287185"/>
    <w:rsid w:val="3A113895"/>
    <w:rsid w:val="41CC6917"/>
    <w:rsid w:val="42367D4E"/>
    <w:rsid w:val="5D077621"/>
    <w:rsid w:val="6B7650A3"/>
    <w:rsid w:val="6E331AD7"/>
    <w:rsid w:val="6FCD1AA5"/>
    <w:rsid w:val="76770172"/>
    <w:rsid w:val="78AD32CF"/>
    <w:rsid w:val="7D6F37B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ocked="1"/>
    <w:lsdException w:qFormat="1" w:unhideWhenUsed="0" w:uiPriority="99" w:semiHidden="0" w:name="toc 4" w:locked="1"/>
    <w:lsdException w:qFormat="1" w:unhideWhenUsed="0" w:uiPriority="99" w:semiHidden="0" w:name="toc 5" w:locked="1"/>
    <w:lsdException w:qFormat="1" w:unhideWhenUsed="0" w:uiPriority="99" w:semiHidden="0" w:name="toc 6" w:locked="1"/>
    <w:lsdException w:qFormat="1" w:unhideWhenUsed="0" w:uiPriority="99" w:semiHidden="0" w:name="toc 7" w:locked="1"/>
    <w:lsdException w:qFormat="1" w:unhideWhenUsed="0" w:uiPriority="99" w:semiHidden="0" w:name="toc 8" w:locked="1"/>
    <w:lsdException w:qFormat="1" w:unhideWhenUsed="0" w:uiPriority="99" w:semiHidden="0" w:name="toc 9" w:locked="1"/>
    <w:lsdException w:uiPriority="99" w:name="Normal Indent" w:locked="1"/>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3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32"/>
    <w:qFormat/>
    <w:uiPriority w:val="99"/>
    <w:pPr>
      <w:keepNext/>
      <w:keepLines/>
      <w:widowControl w:val="0"/>
      <w:spacing w:before="340" w:after="330" w:line="576" w:lineRule="auto"/>
      <w:textAlignment w:val="auto"/>
      <w:outlineLvl w:val="0"/>
    </w:pPr>
    <w:rPr>
      <w:b/>
      <w:bCs/>
      <w:color w:val="auto"/>
      <w:kern w:val="44"/>
      <w:sz w:val="44"/>
      <w:szCs w:val="44"/>
    </w:rPr>
  </w:style>
  <w:style w:type="paragraph" w:styleId="3">
    <w:name w:val="heading 3"/>
    <w:basedOn w:val="1"/>
    <w:next w:val="1"/>
    <w:link w:val="33"/>
    <w:qFormat/>
    <w:uiPriority w:val="99"/>
    <w:pPr>
      <w:keepNext/>
      <w:keepLines/>
      <w:spacing w:before="260" w:after="260" w:line="416" w:lineRule="atLeast"/>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locked/>
    <w:uiPriority w:val="99"/>
    <w:pPr>
      <w:widowControl w:val="0"/>
      <w:spacing w:line="240" w:lineRule="auto"/>
      <w:ind w:left="2520" w:leftChars="1200"/>
      <w:textAlignment w:val="auto"/>
    </w:pPr>
    <w:rPr>
      <w:rFonts w:ascii="Calibri" w:hAnsi="Calibri"/>
      <w:color w:val="auto"/>
      <w:kern w:val="2"/>
      <w:szCs w:val="22"/>
    </w:rPr>
  </w:style>
  <w:style w:type="paragraph" w:styleId="5">
    <w:name w:val="annotation text"/>
    <w:basedOn w:val="1"/>
    <w:link w:val="34"/>
    <w:semiHidden/>
    <w:qFormat/>
    <w:locked/>
    <w:uiPriority w:val="99"/>
    <w:pPr>
      <w:jc w:val="left"/>
    </w:pPr>
  </w:style>
  <w:style w:type="paragraph" w:styleId="6">
    <w:name w:val="Body Text"/>
    <w:basedOn w:val="1"/>
    <w:link w:val="77"/>
    <w:unhideWhenUsed/>
    <w:qFormat/>
    <w:locked/>
    <w:uiPriority w:val="99"/>
    <w:pPr>
      <w:spacing w:after="120"/>
    </w:pPr>
  </w:style>
  <w:style w:type="paragraph" w:styleId="7">
    <w:name w:val="Body Text Indent"/>
    <w:basedOn w:val="1"/>
    <w:link w:val="36"/>
    <w:qFormat/>
    <w:uiPriority w:val="99"/>
    <w:pPr>
      <w:widowControl w:val="0"/>
      <w:snapToGrid w:val="0"/>
      <w:spacing w:before="283" w:line="560" w:lineRule="exact"/>
      <w:ind w:firstLine="510"/>
    </w:pPr>
    <w:rPr>
      <w:sz w:val="28"/>
    </w:rPr>
  </w:style>
  <w:style w:type="paragraph" w:styleId="8">
    <w:name w:val="toc 5"/>
    <w:basedOn w:val="1"/>
    <w:next w:val="1"/>
    <w:qFormat/>
    <w:locked/>
    <w:uiPriority w:val="99"/>
    <w:pPr>
      <w:widowControl w:val="0"/>
      <w:spacing w:line="240" w:lineRule="auto"/>
      <w:ind w:left="1680" w:leftChars="800"/>
      <w:textAlignment w:val="auto"/>
    </w:pPr>
    <w:rPr>
      <w:rFonts w:ascii="Calibri" w:hAnsi="Calibri"/>
      <w:color w:val="auto"/>
      <w:kern w:val="2"/>
      <w:szCs w:val="22"/>
    </w:rPr>
  </w:style>
  <w:style w:type="paragraph" w:styleId="9">
    <w:name w:val="toc 3"/>
    <w:basedOn w:val="1"/>
    <w:next w:val="1"/>
    <w:qFormat/>
    <w:locked/>
    <w:uiPriority w:val="99"/>
    <w:pPr>
      <w:widowControl w:val="0"/>
      <w:spacing w:line="240" w:lineRule="auto"/>
      <w:ind w:left="840" w:leftChars="400"/>
      <w:textAlignment w:val="auto"/>
    </w:pPr>
    <w:rPr>
      <w:rFonts w:ascii="Calibri" w:hAnsi="Calibri"/>
      <w:color w:val="auto"/>
      <w:kern w:val="2"/>
      <w:szCs w:val="22"/>
    </w:rPr>
  </w:style>
  <w:style w:type="paragraph" w:styleId="10">
    <w:name w:val="Plain Text"/>
    <w:basedOn w:val="1"/>
    <w:link w:val="60"/>
    <w:qFormat/>
    <w:uiPriority w:val="99"/>
    <w:pPr>
      <w:widowControl w:val="0"/>
      <w:spacing w:line="240" w:lineRule="auto"/>
      <w:textAlignment w:val="auto"/>
    </w:pPr>
    <w:rPr>
      <w:rFonts w:ascii="宋体" w:hAnsi="Courier New"/>
      <w:color w:val="auto"/>
      <w:kern w:val="2"/>
    </w:rPr>
  </w:style>
  <w:style w:type="paragraph" w:styleId="11">
    <w:name w:val="toc 8"/>
    <w:basedOn w:val="1"/>
    <w:next w:val="1"/>
    <w:qFormat/>
    <w:locked/>
    <w:uiPriority w:val="99"/>
    <w:pPr>
      <w:widowControl w:val="0"/>
      <w:spacing w:line="240" w:lineRule="auto"/>
      <w:ind w:left="2940" w:leftChars="1400"/>
      <w:textAlignment w:val="auto"/>
    </w:pPr>
    <w:rPr>
      <w:rFonts w:ascii="Calibri" w:hAnsi="Calibri"/>
      <w:color w:val="auto"/>
      <w:kern w:val="2"/>
      <w:szCs w:val="22"/>
    </w:rPr>
  </w:style>
  <w:style w:type="paragraph" w:styleId="12">
    <w:name w:val="Date"/>
    <w:basedOn w:val="1"/>
    <w:next w:val="1"/>
    <w:link w:val="38"/>
    <w:qFormat/>
    <w:uiPriority w:val="99"/>
    <w:pPr>
      <w:ind w:left="100" w:leftChars="2500"/>
    </w:pPr>
  </w:style>
  <w:style w:type="paragraph" w:styleId="13">
    <w:name w:val="Balloon Text"/>
    <w:basedOn w:val="1"/>
    <w:link w:val="39"/>
    <w:qFormat/>
    <w:uiPriority w:val="99"/>
    <w:pPr>
      <w:spacing w:line="240" w:lineRule="auto"/>
    </w:pPr>
    <w:rPr>
      <w:sz w:val="18"/>
      <w:szCs w:val="18"/>
    </w:rPr>
  </w:style>
  <w:style w:type="paragraph" w:styleId="14">
    <w:name w:val="footer"/>
    <w:basedOn w:val="1"/>
    <w:link w:val="40"/>
    <w:qFormat/>
    <w:uiPriority w:val="99"/>
    <w:pPr>
      <w:tabs>
        <w:tab w:val="center" w:pos="4153"/>
        <w:tab w:val="right" w:pos="8306"/>
      </w:tabs>
      <w:snapToGrid w:val="0"/>
      <w:spacing w:line="240" w:lineRule="atLeast"/>
      <w:jc w:val="left"/>
    </w:pPr>
    <w:rPr>
      <w:sz w:val="18"/>
      <w:szCs w:val="18"/>
    </w:rPr>
  </w:style>
  <w:style w:type="paragraph" w:styleId="15">
    <w:name w:val="header"/>
    <w:basedOn w:val="1"/>
    <w:link w:val="4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toc 1"/>
    <w:basedOn w:val="1"/>
    <w:next w:val="1"/>
    <w:qFormat/>
    <w:uiPriority w:val="39"/>
  </w:style>
  <w:style w:type="paragraph" w:styleId="17">
    <w:name w:val="toc 4"/>
    <w:basedOn w:val="1"/>
    <w:next w:val="1"/>
    <w:qFormat/>
    <w:locked/>
    <w:uiPriority w:val="99"/>
    <w:pPr>
      <w:widowControl w:val="0"/>
      <w:spacing w:line="240" w:lineRule="auto"/>
      <w:ind w:left="1260" w:leftChars="600"/>
      <w:textAlignment w:val="auto"/>
    </w:pPr>
    <w:rPr>
      <w:rFonts w:ascii="Calibri" w:hAnsi="Calibri"/>
      <w:color w:val="auto"/>
      <w:kern w:val="2"/>
      <w:szCs w:val="22"/>
    </w:rPr>
  </w:style>
  <w:style w:type="paragraph" w:styleId="18">
    <w:name w:val="toc 6"/>
    <w:basedOn w:val="1"/>
    <w:next w:val="1"/>
    <w:qFormat/>
    <w:locked/>
    <w:uiPriority w:val="99"/>
    <w:pPr>
      <w:widowControl w:val="0"/>
      <w:spacing w:line="240" w:lineRule="auto"/>
      <w:ind w:left="2100" w:leftChars="1000"/>
      <w:textAlignment w:val="auto"/>
    </w:pPr>
    <w:rPr>
      <w:rFonts w:ascii="Calibri" w:hAnsi="Calibri"/>
      <w:color w:val="auto"/>
      <w:kern w:val="2"/>
      <w:szCs w:val="22"/>
    </w:rPr>
  </w:style>
  <w:style w:type="paragraph" w:styleId="19">
    <w:name w:val="toc 2"/>
    <w:basedOn w:val="1"/>
    <w:next w:val="1"/>
    <w:qFormat/>
    <w:uiPriority w:val="39"/>
    <w:pPr>
      <w:ind w:left="420" w:leftChars="200"/>
    </w:pPr>
  </w:style>
  <w:style w:type="paragraph" w:styleId="20">
    <w:name w:val="toc 9"/>
    <w:basedOn w:val="1"/>
    <w:next w:val="1"/>
    <w:qFormat/>
    <w:locked/>
    <w:uiPriority w:val="99"/>
    <w:pPr>
      <w:widowControl w:val="0"/>
      <w:spacing w:line="240" w:lineRule="auto"/>
      <w:ind w:left="3360" w:leftChars="1600"/>
      <w:textAlignment w:val="auto"/>
    </w:pPr>
    <w:rPr>
      <w:rFonts w:ascii="Calibri" w:hAnsi="Calibri"/>
      <w:color w:val="auto"/>
      <w:kern w:val="2"/>
      <w:szCs w:val="22"/>
    </w:rPr>
  </w:style>
  <w:style w:type="paragraph" w:styleId="21">
    <w:name w:val="Body Text 2"/>
    <w:basedOn w:val="1"/>
    <w:link w:val="42"/>
    <w:qFormat/>
    <w:uiPriority w:val="99"/>
    <w:pPr>
      <w:spacing w:after="120" w:line="480" w:lineRule="auto"/>
    </w:pPr>
  </w:style>
  <w:style w:type="paragraph" w:styleId="22">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23">
    <w:name w:val="annotation subject"/>
    <w:basedOn w:val="5"/>
    <w:next w:val="5"/>
    <w:link w:val="35"/>
    <w:semiHidden/>
    <w:qFormat/>
    <w:locked/>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99"/>
    <w:rPr>
      <w:rFonts w:cs="Times New Roman"/>
      <w:b/>
    </w:rPr>
  </w:style>
  <w:style w:type="character" w:styleId="28">
    <w:name w:val="page number"/>
    <w:basedOn w:val="26"/>
    <w:qFormat/>
    <w:uiPriority w:val="99"/>
    <w:rPr>
      <w:rFonts w:cs="Times New Roman"/>
    </w:rPr>
  </w:style>
  <w:style w:type="character" w:styleId="29">
    <w:name w:val="Emphasis"/>
    <w:basedOn w:val="26"/>
    <w:qFormat/>
    <w:locked/>
    <w:uiPriority w:val="99"/>
    <w:rPr>
      <w:rFonts w:cs="Times New Roman"/>
      <w:color w:val="CC0033"/>
    </w:rPr>
  </w:style>
  <w:style w:type="character" w:styleId="30">
    <w:name w:val="Hyperlink"/>
    <w:basedOn w:val="26"/>
    <w:qFormat/>
    <w:uiPriority w:val="99"/>
    <w:rPr>
      <w:rFonts w:cs="Times New Roman"/>
      <w:color w:val="0368A8"/>
      <w:u w:val="none"/>
    </w:rPr>
  </w:style>
  <w:style w:type="character" w:styleId="31">
    <w:name w:val="annotation reference"/>
    <w:basedOn w:val="26"/>
    <w:semiHidden/>
    <w:qFormat/>
    <w:locked/>
    <w:uiPriority w:val="99"/>
    <w:rPr>
      <w:rFonts w:cs="Times New Roman"/>
      <w:sz w:val="21"/>
      <w:szCs w:val="21"/>
    </w:rPr>
  </w:style>
  <w:style w:type="character" w:customStyle="1" w:styleId="32">
    <w:name w:val="标题 1 Char"/>
    <w:basedOn w:val="26"/>
    <w:link w:val="2"/>
    <w:qFormat/>
    <w:locked/>
    <w:uiPriority w:val="99"/>
    <w:rPr>
      <w:rFonts w:cs="Times New Roman"/>
      <w:b/>
      <w:bCs/>
      <w:color w:val="000000"/>
      <w:kern w:val="44"/>
      <w:sz w:val="44"/>
      <w:szCs w:val="44"/>
      <w:u w:color="000000"/>
    </w:rPr>
  </w:style>
  <w:style w:type="character" w:customStyle="1" w:styleId="33">
    <w:name w:val="标题 3 Char"/>
    <w:basedOn w:val="26"/>
    <w:link w:val="3"/>
    <w:semiHidden/>
    <w:qFormat/>
    <w:locked/>
    <w:uiPriority w:val="99"/>
    <w:rPr>
      <w:rFonts w:cs="Times New Roman"/>
      <w:b/>
      <w:bCs/>
      <w:color w:val="000000"/>
      <w:sz w:val="32"/>
      <w:szCs w:val="32"/>
      <w:u w:color="000000"/>
    </w:rPr>
  </w:style>
  <w:style w:type="character" w:customStyle="1" w:styleId="34">
    <w:name w:val="批注文字 Char"/>
    <w:basedOn w:val="26"/>
    <w:link w:val="5"/>
    <w:semiHidden/>
    <w:qFormat/>
    <w:locked/>
    <w:uiPriority w:val="99"/>
    <w:rPr>
      <w:rFonts w:cs="Times New Roman"/>
      <w:color w:val="000000"/>
      <w:kern w:val="0"/>
      <w:sz w:val="20"/>
      <w:szCs w:val="20"/>
      <w:u w:color="000000"/>
    </w:rPr>
  </w:style>
  <w:style w:type="character" w:customStyle="1" w:styleId="35">
    <w:name w:val="批注主题 Char"/>
    <w:basedOn w:val="34"/>
    <w:link w:val="23"/>
    <w:semiHidden/>
    <w:qFormat/>
    <w:locked/>
    <w:uiPriority w:val="99"/>
    <w:rPr>
      <w:rFonts w:cs="Times New Roman"/>
      <w:b/>
      <w:bCs/>
      <w:color w:val="000000"/>
      <w:kern w:val="0"/>
      <w:sz w:val="20"/>
      <w:szCs w:val="20"/>
      <w:u w:color="000000"/>
    </w:rPr>
  </w:style>
  <w:style w:type="character" w:customStyle="1" w:styleId="36">
    <w:name w:val="正文文本缩进 Char"/>
    <w:basedOn w:val="26"/>
    <w:link w:val="7"/>
    <w:semiHidden/>
    <w:qFormat/>
    <w:locked/>
    <w:uiPriority w:val="99"/>
    <w:rPr>
      <w:rFonts w:cs="Times New Roman"/>
      <w:color w:val="000000"/>
      <w:kern w:val="0"/>
      <w:sz w:val="20"/>
      <w:szCs w:val="20"/>
      <w:u w:color="000000"/>
    </w:rPr>
  </w:style>
  <w:style w:type="character" w:customStyle="1" w:styleId="37">
    <w:name w:val="Plain Text Char"/>
    <w:basedOn w:val="26"/>
    <w:qFormat/>
    <w:locked/>
    <w:uiPriority w:val="99"/>
    <w:rPr>
      <w:rFonts w:ascii="宋体" w:hAnsi="Courier New" w:eastAsia="宋体" w:cs="Times New Roman"/>
      <w:kern w:val="2"/>
      <w:sz w:val="21"/>
      <w:lang w:val="en-US" w:eastAsia="zh-CN"/>
    </w:rPr>
  </w:style>
  <w:style w:type="character" w:customStyle="1" w:styleId="38">
    <w:name w:val="日期 Char"/>
    <w:basedOn w:val="26"/>
    <w:link w:val="12"/>
    <w:qFormat/>
    <w:locked/>
    <w:uiPriority w:val="99"/>
    <w:rPr>
      <w:rFonts w:cs="Times New Roman"/>
      <w:color w:val="000000"/>
      <w:sz w:val="21"/>
      <w:u w:color="000000"/>
    </w:rPr>
  </w:style>
  <w:style w:type="character" w:customStyle="1" w:styleId="39">
    <w:name w:val="批注框文本 Char"/>
    <w:basedOn w:val="26"/>
    <w:link w:val="13"/>
    <w:qFormat/>
    <w:locked/>
    <w:uiPriority w:val="99"/>
    <w:rPr>
      <w:rFonts w:cs="Times New Roman"/>
      <w:color w:val="000000"/>
      <w:sz w:val="18"/>
      <w:szCs w:val="18"/>
      <w:u w:color="000000"/>
    </w:rPr>
  </w:style>
  <w:style w:type="character" w:customStyle="1" w:styleId="40">
    <w:name w:val="页脚 Char"/>
    <w:basedOn w:val="26"/>
    <w:link w:val="14"/>
    <w:semiHidden/>
    <w:qFormat/>
    <w:locked/>
    <w:uiPriority w:val="99"/>
    <w:rPr>
      <w:rFonts w:cs="Times New Roman"/>
      <w:color w:val="000000"/>
      <w:kern w:val="0"/>
      <w:sz w:val="18"/>
      <w:szCs w:val="18"/>
      <w:u w:color="000000"/>
    </w:rPr>
  </w:style>
  <w:style w:type="character" w:customStyle="1" w:styleId="41">
    <w:name w:val="页眉 Char"/>
    <w:basedOn w:val="26"/>
    <w:link w:val="15"/>
    <w:qFormat/>
    <w:locked/>
    <w:uiPriority w:val="99"/>
    <w:rPr>
      <w:rFonts w:cs="Times New Roman"/>
      <w:color w:val="000000"/>
      <w:kern w:val="0"/>
      <w:sz w:val="18"/>
      <w:szCs w:val="18"/>
      <w:u w:color="000000"/>
    </w:rPr>
  </w:style>
  <w:style w:type="character" w:customStyle="1" w:styleId="42">
    <w:name w:val="正文文本 2 Char"/>
    <w:basedOn w:val="26"/>
    <w:link w:val="21"/>
    <w:semiHidden/>
    <w:qFormat/>
    <w:locked/>
    <w:uiPriority w:val="99"/>
    <w:rPr>
      <w:rFonts w:cs="Times New Roman"/>
      <w:color w:val="000000"/>
      <w:kern w:val="0"/>
      <w:sz w:val="20"/>
      <w:szCs w:val="20"/>
      <w:u w:color="000000"/>
    </w:rPr>
  </w:style>
  <w:style w:type="character" w:customStyle="1" w:styleId="43">
    <w:name w:val="链接"/>
    <w:qFormat/>
    <w:uiPriority w:val="99"/>
    <w:rPr>
      <w:rFonts w:ascii="Times New Roman" w:eastAsia="宋体"/>
      <w:color w:val="0000FF"/>
      <w:sz w:val="21"/>
      <w:u w:val="single" w:color="0000FF"/>
      <w:vertAlign w:val="baseline"/>
      <w:lang w:val="en-US" w:eastAsia="zh-CN"/>
    </w:rPr>
  </w:style>
  <w:style w:type="character" w:customStyle="1" w:styleId="44">
    <w:name w:val="超级链接"/>
    <w:qFormat/>
    <w:uiPriority w:val="99"/>
    <w:rPr>
      <w:rFonts w:ascii="Times New Roman" w:eastAsia="宋体"/>
      <w:color w:val="0000FF"/>
      <w:sz w:val="21"/>
      <w:u w:val="single" w:color="0000FF"/>
      <w:vertAlign w:val="baseline"/>
      <w:lang w:val="en-US" w:eastAsia="zh-CN"/>
    </w:rPr>
  </w:style>
  <w:style w:type="character" w:customStyle="1" w:styleId="45">
    <w:name w:val="param_td12"/>
    <w:basedOn w:val="26"/>
    <w:qFormat/>
    <w:uiPriority w:val="99"/>
    <w:rPr>
      <w:rFonts w:cs="Times New Roman"/>
    </w:rPr>
  </w:style>
  <w:style w:type="paragraph" w:customStyle="1" w:styleId="46">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47">
    <w:name w:val="章标题"/>
    <w:basedOn w:val="1"/>
    <w:next w:val="48"/>
    <w:qFormat/>
    <w:uiPriority w:val="99"/>
    <w:pPr>
      <w:spacing w:before="158" w:after="153" w:line="323" w:lineRule="atLeast"/>
      <w:jc w:val="center"/>
    </w:pPr>
    <w:rPr>
      <w:rFonts w:ascii="Arial" w:eastAsia="黑体"/>
      <w:sz w:val="31"/>
    </w:rPr>
  </w:style>
  <w:style w:type="paragraph" w:customStyle="1" w:styleId="48">
    <w:name w:val="节标题"/>
    <w:basedOn w:val="1"/>
    <w:next w:val="49"/>
    <w:qFormat/>
    <w:uiPriority w:val="99"/>
    <w:pPr>
      <w:spacing w:line="289" w:lineRule="atLeast"/>
      <w:jc w:val="center"/>
    </w:pPr>
    <w:rPr>
      <w:sz w:val="28"/>
    </w:rPr>
  </w:style>
  <w:style w:type="paragraph" w:customStyle="1" w:styleId="49">
    <w:name w:val="小节标题"/>
    <w:basedOn w:val="1"/>
    <w:next w:val="1"/>
    <w:qFormat/>
    <w:uiPriority w:val="99"/>
    <w:pPr>
      <w:spacing w:before="175" w:after="102" w:line="351" w:lineRule="atLeast"/>
    </w:pPr>
    <w:rPr>
      <w:rFonts w:eastAsia="黑体"/>
    </w:rPr>
  </w:style>
  <w:style w:type="paragraph" w:customStyle="1" w:styleId="50">
    <w:name w:val="目录2"/>
    <w:basedOn w:val="1"/>
    <w:next w:val="1"/>
    <w:qFormat/>
    <w:uiPriority w:val="99"/>
    <w:pPr>
      <w:tabs>
        <w:tab w:val="left" w:leader="dot" w:pos="8503"/>
      </w:tabs>
      <w:spacing w:line="317" w:lineRule="atLeast"/>
      <w:ind w:firstLine="209"/>
    </w:pPr>
  </w:style>
  <w:style w:type="paragraph" w:customStyle="1" w:styleId="51">
    <w:name w:val="目录4"/>
    <w:basedOn w:val="1"/>
    <w:next w:val="1"/>
    <w:qFormat/>
    <w:uiPriority w:val="99"/>
    <w:pPr>
      <w:tabs>
        <w:tab w:val="left" w:leader="dot" w:pos="8503"/>
      </w:tabs>
      <w:spacing w:line="317" w:lineRule="atLeast"/>
      <w:ind w:firstLine="629"/>
    </w:pPr>
  </w:style>
  <w:style w:type="paragraph" w:customStyle="1" w:styleId="52">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53">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54">
    <w:name w:val="目录3"/>
    <w:basedOn w:val="1"/>
    <w:next w:val="1"/>
    <w:qFormat/>
    <w:uiPriority w:val="99"/>
    <w:pPr>
      <w:tabs>
        <w:tab w:val="left" w:leader="dot" w:pos="8503"/>
      </w:tabs>
      <w:spacing w:line="317" w:lineRule="atLeast"/>
      <w:ind w:firstLine="419"/>
    </w:pPr>
  </w:style>
  <w:style w:type="paragraph" w:customStyle="1" w:styleId="55">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56">
    <w:name w:val="文章总标题"/>
    <w:basedOn w:val="1"/>
    <w:next w:val="57"/>
    <w:qFormat/>
    <w:uiPriority w:val="99"/>
    <w:pPr>
      <w:spacing w:before="566" w:after="544" w:line="566" w:lineRule="atLeast"/>
      <w:jc w:val="center"/>
    </w:pPr>
    <w:rPr>
      <w:rFonts w:ascii="Arial" w:eastAsia="黑体"/>
      <w:sz w:val="54"/>
    </w:rPr>
  </w:style>
  <w:style w:type="paragraph" w:customStyle="1" w:styleId="57">
    <w:name w:val="文章附标题"/>
    <w:basedOn w:val="1"/>
    <w:next w:val="47"/>
    <w:qFormat/>
    <w:uiPriority w:val="99"/>
    <w:pPr>
      <w:spacing w:before="187" w:after="175" w:line="374" w:lineRule="atLeast"/>
      <w:jc w:val="center"/>
    </w:pPr>
    <w:rPr>
      <w:sz w:val="36"/>
    </w:rPr>
  </w:style>
  <w:style w:type="paragraph" w:customStyle="1" w:styleId="58">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59">
    <w:name w:val="Char11"/>
    <w:basedOn w:val="1"/>
    <w:qFormat/>
    <w:uiPriority w:val="99"/>
    <w:pPr>
      <w:widowControl w:val="0"/>
      <w:spacing w:line="240" w:lineRule="auto"/>
      <w:textAlignment w:val="auto"/>
    </w:pPr>
    <w:rPr>
      <w:rFonts w:ascii="Tahoma" w:hAnsi="Tahoma"/>
      <w:color w:val="auto"/>
      <w:kern w:val="2"/>
      <w:sz w:val="24"/>
    </w:rPr>
  </w:style>
  <w:style w:type="character" w:customStyle="1" w:styleId="60">
    <w:name w:val="纯文本 Char"/>
    <w:basedOn w:val="26"/>
    <w:link w:val="10"/>
    <w:semiHidden/>
    <w:qFormat/>
    <w:locked/>
    <w:uiPriority w:val="99"/>
    <w:rPr>
      <w:rFonts w:ascii="宋体" w:hAnsi="Courier New" w:cs="Courier New"/>
      <w:color w:val="000000"/>
      <w:kern w:val="0"/>
      <w:sz w:val="21"/>
      <w:szCs w:val="21"/>
      <w:u w:color="000000"/>
    </w:rPr>
  </w:style>
  <w:style w:type="character" w:customStyle="1" w:styleId="61">
    <w:name w:val="纯文本 Char Char"/>
    <w:qFormat/>
    <w:uiPriority w:val="99"/>
    <w:rPr>
      <w:rFonts w:ascii="宋体" w:hAnsi="Courier New" w:eastAsia="宋体"/>
      <w:kern w:val="2"/>
      <w:sz w:val="21"/>
      <w:lang w:val="en-US" w:eastAsia="zh-CN"/>
    </w:rPr>
  </w:style>
  <w:style w:type="character" w:customStyle="1" w:styleId="62">
    <w:name w:val="Char Char4"/>
    <w:qFormat/>
    <w:uiPriority w:val="99"/>
    <w:rPr>
      <w:rFonts w:ascii="宋体" w:eastAsia="宋体"/>
      <w:kern w:val="2"/>
      <w:sz w:val="28"/>
    </w:rPr>
  </w:style>
  <w:style w:type="paragraph" w:customStyle="1" w:styleId="63">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64">
    <w:name w:val="WPS Plain"/>
    <w:qFormat/>
    <w:uiPriority w:val="99"/>
    <w:rPr>
      <w:rFonts w:ascii="Times New Roman" w:hAnsi="Times New Roman" w:eastAsia="宋体" w:cs="Times New Roman"/>
      <w:lang w:val="en-US" w:eastAsia="zh-CN" w:bidi="ar-SA"/>
    </w:rPr>
  </w:style>
  <w:style w:type="paragraph" w:customStyle="1" w:styleId="65">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66">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7">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68">
    <w:name w:val="列出段落1"/>
    <w:basedOn w:val="1"/>
    <w:qFormat/>
    <w:uiPriority w:val="99"/>
    <w:pPr>
      <w:widowControl w:val="0"/>
      <w:spacing w:line="240" w:lineRule="auto"/>
      <w:ind w:firstLine="420" w:firstLineChars="200"/>
      <w:textAlignment w:val="auto"/>
    </w:pPr>
    <w:rPr>
      <w:rFonts w:ascii="Calibri" w:hAnsi="Calibri"/>
      <w:color w:val="auto"/>
      <w:kern w:val="2"/>
      <w:szCs w:val="22"/>
    </w:rPr>
  </w:style>
  <w:style w:type="character" w:customStyle="1" w:styleId="69">
    <w:name w:val="Char Char2"/>
    <w:qFormat/>
    <w:uiPriority w:val="99"/>
    <w:rPr>
      <w:rFonts w:ascii="宋体" w:hAnsi="Courier New" w:eastAsia="宋体"/>
      <w:kern w:val="2"/>
      <w:sz w:val="21"/>
    </w:rPr>
  </w:style>
  <w:style w:type="character" w:customStyle="1" w:styleId="70">
    <w:name w:val="op-map-singlepoint-info-right1"/>
    <w:basedOn w:val="26"/>
    <w:qFormat/>
    <w:uiPriority w:val="99"/>
    <w:rPr>
      <w:rFonts w:cs="Times New Roman"/>
    </w:rPr>
  </w:style>
  <w:style w:type="character" w:customStyle="1" w:styleId="71">
    <w:name w:val="样式 首行缩进:  0 字符 Char"/>
    <w:link w:val="72"/>
    <w:qFormat/>
    <w:locked/>
    <w:uiPriority w:val="0"/>
    <w:rPr>
      <w:sz w:val="24"/>
    </w:rPr>
  </w:style>
  <w:style w:type="paragraph" w:customStyle="1" w:styleId="72">
    <w:name w:val="样式 首行缩进:  0 字符"/>
    <w:basedOn w:val="1"/>
    <w:link w:val="71"/>
    <w:qFormat/>
    <w:uiPriority w:val="0"/>
    <w:pPr>
      <w:widowControl w:val="0"/>
      <w:spacing w:line="360" w:lineRule="auto"/>
      <w:ind w:firstLine="200" w:firstLineChars="200"/>
      <w:textAlignment w:val="auto"/>
    </w:pPr>
    <w:rPr>
      <w:color w:val="auto"/>
      <w:kern w:val="2"/>
      <w:sz w:val="24"/>
      <w:szCs w:val="22"/>
    </w:rPr>
  </w:style>
  <w:style w:type="paragraph" w:customStyle="1" w:styleId="73">
    <w:name w:val="正文文本 (2)"/>
    <w:basedOn w:val="1"/>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74">
    <w:name w:val="正文文本 (2) + 斜体"/>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75">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76">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character" w:customStyle="1" w:styleId="77">
    <w:name w:val="正文文本 Char"/>
    <w:basedOn w:val="26"/>
    <w:link w:val="6"/>
    <w:qFormat/>
    <w:uiPriority w:val="99"/>
    <w:rPr>
      <w:color w:val="000000"/>
      <w:kern w:val="0"/>
      <w:szCs w:val="20"/>
      <w:u w:color="00000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57</Pages>
  <Words>13050</Words>
  <Characters>13990</Characters>
  <Lines>52</Lines>
  <Paragraphs>72</Paragraphs>
  <TotalTime>26</TotalTime>
  <ScaleCrop>false</ScaleCrop>
  <LinksUpToDate>false</LinksUpToDate>
  <CharactersWithSpaces>14230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2019-10-24T03:37:00Z</dcterms:created>
  <dc:creator>ZM</dc:creator>
  <cp:lastModifiedBy>Administrator</cp:lastModifiedBy>
  <cp:lastPrinted>2025-11-05T02:20:00Z</cp:lastPrinted>
  <dcterms:modified xsi:type="dcterms:W3CDTF">2025-11-11T01:19:01Z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D23003AF30A74650B10716C2CEA7B99D_12</vt:lpwstr>
  </property>
  <property fmtid="{D5CDD505-2E9C-101B-9397-08002B2CF9AE}" pid="4" name="KSOTemplateDocerSaveRecord">
    <vt:lpwstr>eyJoZGlkIjoiMTc1YzMyYzNhNDUyYmM3NTIxZjZmZTFlYTc5ZDMzMWQiLCJ1c2VySWQiOiI0Mjg5NzQzNDUifQ==</vt:lpwstr>
  </property>
</Properties>
</file>