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43574">
      <w:pPr>
        <w:widowControl w:val="0"/>
        <w:snapToGrid w:val="0"/>
        <w:spacing w:line="560" w:lineRule="exact"/>
        <w:ind w:firstLine="241" w:firstLineChars="50"/>
        <w:jc w:val="center"/>
        <w:rPr>
          <w:rFonts w:eastAsia="黑体"/>
          <w:b/>
          <w:color w:val="auto"/>
          <w:spacing w:val="40"/>
          <w:sz w:val="40"/>
          <w:szCs w:val="40"/>
          <w:highlight w:val="none"/>
        </w:rPr>
      </w:pPr>
      <w:bookmarkStart w:id="69" w:name="_GoBack"/>
      <w:bookmarkEnd w:id="69"/>
    </w:p>
    <w:p w14:paraId="7E291F30">
      <w:pPr>
        <w:widowControl w:val="0"/>
        <w:snapToGrid w:val="0"/>
        <w:spacing w:line="560" w:lineRule="exact"/>
        <w:ind w:firstLine="241" w:firstLineChars="50"/>
        <w:jc w:val="center"/>
        <w:rPr>
          <w:rFonts w:eastAsia="黑体"/>
          <w:b/>
          <w:color w:val="auto"/>
          <w:spacing w:val="40"/>
          <w:sz w:val="40"/>
          <w:szCs w:val="40"/>
          <w:highlight w:val="none"/>
        </w:rPr>
      </w:pPr>
    </w:p>
    <w:p w14:paraId="170DE9F9">
      <w:pPr>
        <w:widowControl w:val="0"/>
        <w:snapToGrid w:val="0"/>
        <w:spacing w:line="560" w:lineRule="exact"/>
        <w:jc w:val="center"/>
        <w:rPr>
          <w:rFonts w:ascii="黑体" w:eastAsia="黑体"/>
          <w:b/>
          <w:color w:val="auto"/>
          <w:spacing w:val="-20"/>
          <w:sz w:val="44"/>
          <w:szCs w:val="44"/>
          <w:highlight w:val="none"/>
        </w:rPr>
      </w:pPr>
      <w:r>
        <w:rPr>
          <w:rFonts w:hint="eastAsia" w:ascii="黑体" w:eastAsia="黑体"/>
          <w:b/>
          <w:color w:val="auto"/>
          <w:spacing w:val="-20"/>
          <w:sz w:val="44"/>
          <w:szCs w:val="44"/>
          <w:highlight w:val="none"/>
        </w:rPr>
        <w:t>安阳县公安局安阳县看守所智能谈话教育系统项目</w:t>
      </w:r>
    </w:p>
    <w:p w14:paraId="1893E78A">
      <w:pPr>
        <w:widowControl w:val="0"/>
        <w:snapToGrid w:val="0"/>
        <w:spacing w:beforeLines="100" w:line="560" w:lineRule="exact"/>
        <w:jc w:val="center"/>
        <w:rPr>
          <w:rFonts w:eastAsia="黑体"/>
          <w:b/>
          <w:color w:val="auto"/>
          <w:sz w:val="44"/>
          <w:highlight w:val="none"/>
        </w:rPr>
      </w:pPr>
    </w:p>
    <w:p w14:paraId="54C9B38E">
      <w:pPr>
        <w:widowControl w:val="0"/>
        <w:snapToGrid w:val="0"/>
        <w:spacing w:beforeLines="100" w:line="560" w:lineRule="exact"/>
        <w:jc w:val="center"/>
        <w:rPr>
          <w:rFonts w:eastAsia="黑体"/>
          <w:b/>
          <w:color w:val="auto"/>
          <w:sz w:val="44"/>
          <w:highlight w:val="none"/>
        </w:rPr>
      </w:pPr>
    </w:p>
    <w:p w14:paraId="5F68A14F">
      <w:pPr>
        <w:widowControl w:val="0"/>
        <w:snapToGrid w:val="0"/>
        <w:spacing w:beforeLines="100" w:line="240" w:lineRule="auto"/>
        <w:jc w:val="center"/>
        <w:rPr>
          <w:rFonts w:eastAsia="黑体"/>
          <w:b/>
          <w:color w:val="auto"/>
          <w:sz w:val="44"/>
          <w:highlight w:val="none"/>
        </w:rPr>
      </w:pPr>
    </w:p>
    <w:p w14:paraId="4926A0B2">
      <w:pPr>
        <w:widowControl w:val="0"/>
        <w:snapToGrid w:val="0"/>
        <w:spacing w:beforeLines="100" w:line="240" w:lineRule="auto"/>
        <w:jc w:val="center"/>
        <w:rPr>
          <w:rFonts w:eastAsia="黑体"/>
          <w:b/>
          <w:color w:val="auto"/>
          <w:sz w:val="44"/>
          <w:highlight w:val="none"/>
        </w:rPr>
      </w:pPr>
    </w:p>
    <w:p w14:paraId="0F6491DD">
      <w:pPr>
        <w:widowControl w:val="0"/>
        <w:snapToGrid w:val="0"/>
        <w:spacing w:beforeLines="100" w:line="240" w:lineRule="auto"/>
        <w:jc w:val="center"/>
        <w:rPr>
          <w:rFonts w:ascii="华文新魏" w:hAnsi="微软雅黑" w:eastAsia="华文新魏"/>
          <w:b/>
          <w:color w:val="auto"/>
          <w:sz w:val="116"/>
          <w:szCs w:val="116"/>
          <w:highlight w:val="none"/>
        </w:rPr>
      </w:pPr>
      <w:r>
        <w:rPr>
          <w:rFonts w:hint="eastAsia" w:ascii="华文新魏" w:hAnsi="微软雅黑" w:eastAsia="华文新魏"/>
          <w:b/>
          <w:color w:val="auto"/>
          <w:sz w:val="116"/>
          <w:szCs w:val="116"/>
          <w:highlight w:val="none"/>
        </w:rPr>
        <w:t>谈判文件</w:t>
      </w:r>
    </w:p>
    <w:p w14:paraId="27ACBC22">
      <w:pPr>
        <w:widowControl w:val="0"/>
        <w:snapToGrid w:val="0"/>
        <w:spacing w:beforeLines="100" w:line="560" w:lineRule="exact"/>
        <w:jc w:val="center"/>
        <w:rPr>
          <w:rFonts w:eastAsia="黑体"/>
          <w:b/>
          <w:color w:val="auto"/>
          <w:sz w:val="30"/>
          <w:szCs w:val="30"/>
          <w:highlight w:val="none"/>
        </w:rPr>
      </w:pPr>
      <w:r>
        <w:rPr>
          <w:rFonts w:hint="eastAsia" w:ascii="宋体" w:hAnsi="宋体"/>
          <w:color w:val="auto"/>
          <w:sz w:val="32"/>
          <w:szCs w:val="32"/>
          <w:highlight w:val="none"/>
        </w:rPr>
        <w:t>项目编号：安县竞谈采购-2025-30</w:t>
      </w:r>
    </w:p>
    <w:p w14:paraId="7BDAB3D3">
      <w:pPr>
        <w:widowControl w:val="0"/>
        <w:snapToGrid w:val="0"/>
        <w:spacing w:beforeLines="100" w:line="560" w:lineRule="exact"/>
        <w:jc w:val="center"/>
        <w:rPr>
          <w:rFonts w:eastAsia="黑体"/>
          <w:b/>
          <w:color w:val="auto"/>
          <w:sz w:val="44"/>
          <w:highlight w:val="none"/>
        </w:rPr>
      </w:pPr>
    </w:p>
    <w:p w14:paraId="126D75F7">
      <w:pPr>
        <w:widowControl w:val="0"/>
        <w:snapToGrid w:val="0"/>
        <w:spacing w:beforeLines="100" w:line="560" w:lineRule="exact"/>
        <w:jc w:val="center"/>
        <w:rPr>
          <w:rFonts w:eastAsia="黑体"/>
          <w:b/>
          <w:color w:val="auto"/>
          <w:sz w:val="44"/>
          <w:highlight w:val="none"/>
        </w:rPr>
      </w:pPr>
    </w:p>
    <w:p w14:paraId="7A1DF14D">
      <w:pPr>
        <w:widowControl w:val="0"/>
        <w:snapToGrid w:val="0"/>
        <w:spacing w:beforeLines="100" w:line="560" w:lineRule="exact"/>
        <w:jc w:val="center"/>
        <w:rPr>
          <w:rFonts w:eastAsia="黑体"/>
          <w:b/>
          <w:color w:val="auto"/>
          <w:sz w:val="44"/>
          <w:highlight w:val="none"/>
        </w:rPr>
      </w:pPr>
    </w:p>
    <w:p w14:paraId="74643C12">
      <w:pPr>
        <w:widowControl w:val="0"/>
        <w:snapToGrid w:val="0"/>
        <w:spacing w:beforeLines="100" w:line="560" w:lineRule="exact"/>
        <w:jc w:val="center"/>
        <w:rPr>
          <w:rFonts w:eastAsia="黑体"/>
          <w:b/>
          <w:color w:val="auto"/>
          <w:sz w:val="44"/>
          <w:highlight w:val="none"/>
        </w:rPr>
      </w:pPr>
    </w:p>
    <w:p w14:paraId="5DEBF261">
      <w:pPr>
        <w:widowControl w:val="0"/>
        <w:snapToGrid w:val="0"/>
        <w:spacing w:beforeLines="100" w:line="560" w:lineRule="exact"/>
        <w:rPr>
          <w:rFonts w:eastAsia="黑体"/>
          <w:b/>
          <w:color w:val="auto"/>
          <w:sz w:val="44"/>
          <w:highlight w:val="none"/>
        </w:rPr>
      </w:pPr>
    </w:p>
    <w:p w14:paraId="307E7805">
      <w:pPr>
        <w:widowControl w:val="0"/>
        <w:snapToGrid w:val="0"/>
        <w:spacing w:line="660" w:lineRule="exact"/>
        <w:ind w:firstLine="540" w:firstLineChars="168"/>
        <w:rPr>
          <w:rFonts w:ascii="黑体" w:hAnsi="黑体" w:eastAsia="黑体"/>
          <w:b/>
          <w:color w:val="auto"/>
          <w:sz w:val="32"/>
          <w:szCs w:val="32"/>
          <w:highlight w:val="none"/>
        </w:rPr>
      </w:pPr>
      <w:r>
        <w:rPr>
          <w:rFonts w:hint="eastAsia" w:ascii="黑体" w:hAnsi="黑体" w:eastAsia="黑体"/>
          <w:b/>
          <w:color w:val="auto"/>
          <w:sz w:val="32"/>
          <w:szCs w:val="32"/>
          <w:highlight w:val="none"/>
        </w:rPr>
        <w:t>采购人：安阳县看守所</w:t>
      </w:r>
    </w:p>
    <w:p w14:paraId="664CACD3">
      <w:pPr>
        <w:widowControl w:val="0"/>
        <w:snapToGrid w:val="0"/>
        <w:spacing w:line="660" w:lineRule="exact"/>
        <w:ind w:firstLine="540" w:firstLineChars="168"/>
        <w:rPr>
          <w:rFonts w:ascii="黑体" w:hAnsi="黑体" w:eastAsia="黑体"/>
          <w:b/>
          <w:color w:val="auto"/>
          <w:sz w:val="32"/>
          <w:szCs w:val="32"/>
          <w:highlight w:val="none"/>
        </w:rPr>
        <w:sectPr>
          <w:footerReference r:id="rId9" w:type="first"/>
          <w:headerReference r:id="rId5" w:type="default"/>
          <w:footerReference r:id="rId7" w:type="default"/>
          <w:headerReference r:id="rId6" w:type="even"/>
          <w:footerReference r:id="rId8" w:type="even"/>
          <w:pgSz w:w="11905" w:h="16837"/>
          <w:pgMar w:top="1418" w:right="1106" w:bottom="1418" w:left="1418" w:header="567" w:footer="567" w:gutter="0"/>
          <w:pgNumType w:fmt="numberInDash" w:start="0"/>
          <w:cols w:space="720" w:num="1"/>
          <w:titlePg/>
        </w:sectPr>
      </w:pPr>
      <w:r>
        <w:rPr>
          <w:rFonts w:hint="eastAsia" w:ascii="黑体" w:hAnsi="黑体" w:eastAsia="黑体"/>
          <w:b/>
          <w:color w:val="auto"/>
          <w:sz w:val="32"/>
          <w:szCs w:val="32"/>
          <w:highlight w:val="none"/>
        </w:rPr>
        <w:t>代理机构：安阳市方正招标采购服务有限责任公司</w:t>
      </w:r>
    </w:p>
    <w:p w14:paraId="28A51B81">
      <w:pPr>
        <w:widowControl w:val="0"/>
        <w:snapToGrid w:val="0"/>
        <w:spacing w:line="660" w:lineRule="exact"/>
        <w:ind w:firstLine="540" w:firstLineChars="168"/>
        <w:rPr>
          <w:rFonts w:ascii="黑体" w:hAnsi="黑体" w:eastAsia="黑体"/>
          <w:b/>
          <w:color w:val="auto"/>
          <w:sz w:val="32"/>
          <w:szCs w:val="32"/>
          <w:highlight w:val="none"/>
        </w:rPr>
      </w:pPr>
    </w:p>
    <w:p w14:paraId="30B3881B">
      <w:pPr>
        <w:pStyle w:val="49"/>
        <w:jc w:val="center"/>
        <w:rPr>
          <w:rFonts w:ascii="黑体" w:hAnsi="黑体" w:eastAsia="黑体"/>
          <w:color w:val="auto"/>
          <w:sz w:val="36"/>
          <w:szCs w:val="36"/>
          <w:highlight w:val="none"/>
          <w:lang w:val="zh-CN"/>
        </w:rPr>
      </w:pPr>
      <w:r>
        <w:rPr>
          <w:rFonts w:hint="eastAsia" w:ascii="黑体" w:hAnsi="黑体" w:eastAsia="黑体"/>
          <w:color w:val="auto"/>
          <w:sz w:val="36"/>
          <w:szCs w:val="36"/>
          <w:highlight w:val="none"/>
          <w:lang w:val="zh-CN"/>
        </w:rPr>
        <w:t>目录</w:t>
      </w:r>
    </w:p>
    <w:p w14:paraId="7A9A2C25">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color w:val="auto"/>
          <w:highlight w:val="none"/>
        </w:rPr>
        <w:instrText xml:space="preserve"> HYPERLINK \l "_Toc209083622" </w:instrText>
      </w:r>
      <w:r>
        <w:rPr>
          <w:color w:val="auto"/>
          <w:highlight w:val="none"/>
        </w:rPr>
        <w:fldChar w:fldCharType="separate"/>
      </w:r>
      <w:r>
        <w:rPr>
          <w:rStyle w:val="21"/>
          <w:rFonts w:hint="eastAsia" w:eastAsia="黑体"/>
          <w:b/>
          <w:color w:val="auto"/>
          <w:highlight w:val="none"/>
        </w:rPr>
        <w:t>第一章谈判公告</w:t>
      </w:r>
      <w:r>
        <w:rPr>
          <w:color w:val="auto"/>
          <w:highlight w:val="none"/>
        </w:rPr>
        <w:tab/>
      </w:r>
      <w:r>
        <w:rPr>
          <w:color w:val="auto"/>
          <w:highlight w:val="none"/>
        </w:rPr>
        <w:fldChar w:fldCharType="begin"/>
      </w:r>
      <w:r>
        <w:rPr>
          <w:color w:val="auto"/>
          <w:highlight w:val="none"/>
        </w:rPr>
        <w:instrText xml:space="preserve"> PAGEREF _Toc209083622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9EFE0F5">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"_Toc209083623" </w:instrText>
      </w:r>
      <w:r>
        <w:rPr>
          <w:color w:val="auto"/>
          <w:highlight w:val="none"/>
        </w:rPr>
        <w:fldChar w:fldCharType="separate"/>
      </w:r>
      <w:r>
        <w:rPr>
          <w:rStyle w:val="21"/>
          <w:rFonts w:hint="eastAsia" w:eastAsia="黑体"/>
          <w:b/>
          <w:color w:val="auto"/>
          <w:highlight w:val="none"/>
        </w:rPr>
        <w:t>第二章采购项目及技术服务要求</w:t>
      </w:r>
      <w:r>
        <w:rPr>
          <w:color w:val="auto"/>
          <w:highlight w:val="none"/>
        </w:rPr>
        <w:tab/>
      </w:r>
      <w:r>
        <w:rPr>
          <w:color w:val="auto"/>
          <w:highlight w:val="none"/>
        </w:rPr>
        <w:fldChar w:fldCharType="begin"/>
      </w:r>
      <w:r>
        <w:rPr>
          <w:color w:val="auto"/>
          <w:highlight w:val="none"/>
        </w:rPr>
        <w:instrText xml:space="preserve"> PAGEREF _Toc209083623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2D40135">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"_Toc209083624" </w:instrText>
      </w:r>
      <w:r>
        <w:rPr>
          <w:color w:val="auto"/>
          <w:highlight w:val="none"/>
        </w:rPr>
        <w:fldChar w:fldCharType="separate"/>
      </w:r>
      <w:r>
        <w:rPr>
          <w:rStyle w:val="21"/>
          <w:rFonts w:ascii="黑体" w:hAnsi="黑体" w:eastAsia="黑体"/>
          <w:b/>
          <w:color w:val="auto"/>
          <w:highlight w:val="none"/>
        </w:rPr>
        <w:t xml:space="preserve">1. </w:t>
      </w:r>
      <w:r>
        <w:rPr>
          <w:rStyle w:val="21"/>
          <w:rFonts w:hint="eastAsia" w:ascii="黑体" w:hAnsi="黑体" w:eastAsia="黑体"/>
          <w:b/>
          <w:color w:val="auto"/>
          <w:highlight w:val="none"/>
        </w:rPr>
        <w:t>采购项目、标段（包）划分、投标报价</w:t>
      </w:r>
      <w:r>
        <w:rPr>
          <w:color w:val="auto"/>
          <w:highlight w:val="none"/>
        </w:rPr>
        <w:tab/>
      </w:r>
      <w:r>
        <w:rPr>
          <w:color w:val="auto"/>
          <w:highlight w:val="none"/>
        </w:rPr>
        <w:fldChar w:fldCharType="begin"/>
      </w:r>
      <w:r>
        <w:rPr>
          <w:color w:val="auto"/>
          <w:highlight w:val="none"/>
        </w:rPr>
        <w:instrText xml:space="preserve"> PAGEREF _Toc209083624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F3C5DC4">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"_Toc209083625" </w:instrText>
      </w:r>
      <w:r>
        <w:rPr>
          <w:color w:val="auto"/>
          <w:highlight w:val="none"/>
        </w:rPr>
        <w:fldChar w:fldCharType="separate"/>
      </w:r>
      <w:r>
        <w:rPr>
          <w:rStyle w:val="21"/>
          <w:rFonts w:ascii="黑体" w:hAnsi="黑体" w:eastAsia="黑体"/>
          <w:b/>
          <w:color w:val="auto"/>
          <w:highlight w:val="none"/>
        </w:rPr>
        <w:t xml:space="preserve">2. </w:t>
      </w:r>
      <w:r>
        <w:rPr>
          <w:rStyle w:val="21"/>
          <w:rFonts w:hint="eastAsia" w:ascii="黑体" w:hAnsi="黑体" w:eastAsia="黑体"/>
          <w:b/>
          <w:color w:val="auto"/>
          <w:highlight w:val="none"/>
        </w:rPr>
        <w:t>标段（包）内容（范围）及基本技术要求</w:t>
      </w:r>
      <w:r>
        <w:rPr>
          <w:color w:val="auto"/>
          <w:highlight w:val="none"/>
        </w:rPr>
        <w:tab/>
      </w:r>
      <w:r>
        <w:rPr>
          <w:color w:val="auto"/>
          <w:highlight w:val="none"/>
        </w:rPr>
        <w:fldChar w:fldCharType="begin"/>
      </w:r>
      <w:r>
        <w:rPr>
          <w:color w:val="auto"/>
          <w:highlight w:val="none"/>
        </w:rPr>
        <w:instrText xml:space="preserve"> PAGEREF _Toc209083625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6F2A8DC">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"_Toc209083626" </w:instrText>
      </w:r>
      <w:r>
        <w:rPr>
          <w:color w:val="auto"/>
          <w:highlight w:val="none"/>
        </w:rPr>
        <w:fldChar w:fldCharType="separate"/>
      </w:r>
      <w:r>
        <w:rPr>
          <w:rStyle w:val="21"/>
          <w:rFonts w:ascii="黑体" w:hAnsi="黑体" w:eastAsia="黑体"/>
          <w:b/>
          <w:color w:val="auto"/>
          <w:highlight w:val="none"/>
        </w:rPr>
        <w:t xml:space="preserve">2.8  </w:t>
      </w:r>
      <w:r>
        <w:rPr>
          <w:rStyle w:val="21"/>
          <w:rFonts w:hint="eastAsia" w:ascii="黑体" w:hAnsi="黑体" w:eastAsia="黑体"/>
          <w:b/>
          <w:color w:val="auto"/>
          <w:highlight w:val="none"/>
        </w:rPr>
        <w:t>售后服务的基本条款（采购标的需满足的服务标准、期限、效率等要求）</w:t>
      </w:r>
      <w:r>
        <w:rPr>
          <w:color w:val="auto"/>
          <w:highlight w:val="none"/>
        </w:rPr>
        <w:tab/>
      </w:r>
      <w:r>
        <w:rPr>
          <w:color w:val="auto"/>
          <w:highlight w:val="none"/>
        </w:rPr>
        <w:fldChar w:fldCharType="begin"/>
      </w:r>
      <w:r>
        <w:rPr>
          <w:color w:val="auto"/>
          <w:highlight w:val="none"/>
        </w:rPr>
        <w:instrText xml:space="preserve"> PAGEREF _Toc209083626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1075DA0E">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"_Toc209083627" </w:instrText>
      </w:r>
      <w:r>
        <w:rPr>
          <w:color w:val="auto"/>
          <w:highlight w:val="none"/>
        </w:rPr>
        <w:fldChar w:fldCharType="separate"/>
      </w:r>
      <w:r>
        <w:rPr>
          <w:rStyle w:val="21"/>
          <w:rFonts w:ascii="黑体" w:hAnsi="黑体" w:eastAsia="黑体"/>
          <w:b/>
          <w:color w:val="auto"/>
          <w:highlight w:val="none"/>
        </w:rPr>
        <w:t xml:space="preserve">3. </w:t>
      </w:r>
      <w:r>
        <w:rPr>
          <w:rStyle w:val="21"/>
          <w:rFonts w:hint="eastAsia" w:ascii="黑体" w:hAnsi="黑体" w:eastAsia="黑体"/>
          <w:b/>
          <w:color w:val="auto"/>
          <w:highlight w:val="none"/>
        </w:rPr>
        <w:t>项目其他要求</w:t>
      </w:r>
      <w:r>
        <w:rPr>
          <w:color w:val="auto"/>
          <w:highlight w:val="none"/>
        </w:rPr>
        <w:tab/>
      </w:r>
      <w:r>
        <w:rPr>
          <w:color w:val="auto"/>
          <w:highlight w:val="none"/>
        </w:rPr>
        <w:fldChar w:fldCharType="begin"/>
      </w:r>
      <w:r>
        <w:rPr>
          <w:color w:val="auto"/>
          <w:highlight w:val="none"/>
        </w:rPr>
        <w:instrText xml:space="preserve"> PAGEREF _Toc209083627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2A4A994">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"_Toc209083628" </w:instrText>
      </w:r>
      <w:r>
        <w:rPr>
          <w:color w:val="auto"/>
          <w:highlight w:val="none"/>
        </w:rPr>
        <w:fldChar w:fldCharType="separate"/>
      </w:r>
      <w:r>
        <w:rPr>
          <w:rStyle w:val="21"/>
          <w:rFonts w:hint="eastAsia" w:eastAsia="黑体"/>
          <w:b/>
          <w:color w:val="auto"/>
          <w:highlight w:val="none"/>
        </w:rPr>
        <w:t>第三章投标人须知</w:t>
      </w:r>
      <w:r>
        <w:rPr>
          <w:color w:val="auto"/>
          <w:highlight w:val="none"/>
        </w:rPr>
        <w:tab/>
      </w:r>
      <w:r>
        <w:rPr>
          <w:color w:val="auto"/>
          <w:highlight w:val="none"/>
        </w:rPr>
        <w:fldChar w:fldCharType="begin"/>
      </w:r>
      <w:r>
        <w:rPr>
          <w:color w:val="auto"/>
          <w:highlight w:val="none"/>
        </w:rPr>
        <w:instrText xml:space="preserve"> PAGEREF _Toc209083628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24A91557">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"_Toc209083629" </w:instrText>
      </w:r>
      <w:r>
        <w:rPr>
          <w:color w:val="auto"/>
          <w:highlight w:val="none"/>
        </w:rPr>
        <w:fldChar w:fldCharType="separate"/>
      </w:r>
      <w:r>
        <w:rPr>
          <w:rStyle w:val="21"/>
          <w:rFonts w:hint="eastAsia" w:eastAsia="黑体"/>
          <w:b/>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_Toc209083629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D8895F5">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"_Toc209083630" </w:instrText>
      </w:r>
      <w:r>
        <w:rPr>
          <w:color w:val="auto"/>
          <w:highlight w:val="none"/>
        </w:rPr>
        <w:fldChar w:fldCharType="separate"/>
      </w:r>
      <w:r>
        <w:rPr>
          <w:rStyle w:val="21"/>
          <w:rFonts w:ascii="黑体" w:hAnsi="黑体" w:eastAsia="黑体" w:cs="楷体_GB2312"/>
          <w:b/>
          <w:bCs/>
          <w:color w:val="auto"/>
          <w:highlight w:val="none"/>
          <w:lang w:val="zh-CN"/>
        </w:rPr>
        <w:t xml:space="preserve">1. </w:t>
      </w:r>
      <w:r>
        <w:rPr>
          <w:rStyle w:val="21"/>
          <w:rFonts w:hint="eastAsia" w:ascii="黑体" w:hAnsi="黑体" w:eastAsia="黑体" w:cs="楷体_GB2312"/>
          <w:b/>
          <w:bCs/>
          <w:color w:val="auto"/>
          <w:highlight w:val="none"/>
          <w:lang w:val="zh-CN"/>
        </w:rPr>
        <w:t>总则</w:t>
      </w:r>
      <w:r>
        <w:rPr>
          <w:color w:val="auto"/>
          <w:highlight w:val="none"/>
        </w:rPr>
        <w:tab/>
      </w:r>
      <w:r>
        <w:rPr>
          <w:color w:val="auto"/>
          <w:highlight w:val="none"/>
        </w:rPr>
        <w:fldChar w:fldCharType="begin"/>
      </w:r>
      <w:r>
        <w:rPr>
          <w:color w:val="auto"/>
          <w:highlight w:val="none"/>
        </w:rPr>
        <w:instrText xml:space="preserve"> PAGEREF _Toc209083630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2F860F06">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"_Toc209083631" </w:instrText>
      </w:r>
      <w:r>
        <w:rPr>
          <w:color w:val="auto"/>
          <w:highlight w:val="none"/>
        </w:rPr>
        <w:fldChar w:fldCharType="separate"/>
      </w:r>
      <w:r>
        <w:rPr>
          <w:rStyle w:val="21"/>
          <w:rFonts w:ascii="黑体" w:hAnsi="黑体" w:eastAsia="黑体" w:cs="楷体_GB2312"/>
          <w:b/>
          <w:bCs/>
          <w:color w:val="auto"/>
          <w:highlight w:val="none"/>
          <w:lang w:val="zh-CN"/>
        </w:rPr>
        <w:t xml:space="preserve">2. </w:t>
      </w:r>
      <w:r>
        <w:rPr>
          <w:rStyle w:val="21"/>
          <w:rFonts w:hint="eastAsia" w:ascii="黑体" w:hAnsi="黑体" w:eastAsia="黑体" w:cs="楷体_GB2312"/>
          <w:b/>
          <w:bCs/>
          <w:color w:val="auto"/>
          <w:highlight w:val="none"/>
          <w:lang w:val="zh-CN"/>
        </w:rPr>
        <w:t>谈判文件</w:t>
      </w:r>
      <w:r>
        <w:rPr>
          <w:color w:val="auto"/>
          <w:highlight w:val="none"/>
        </w:rPr>
        <w:tab/>
      </w:r>
      <w:r>
        <w:rPr>
          <w:color w:val="auto"/>
          <w:highlight w:val="none"/>
        </w:rPr>
        <w:fldChar w:fldCharType="begin"/>
      </w:r>
      <w:r>
        <w:rPr>
          <w:color w:val="auto"/>
          <w:highlight w:val="none"/>
        </w:rPr>
        <w:instrText xml:space="preserve"> PAGEREF _Toc209083631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57410A99">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"_Toc209083632" </w:instrText>
      </w:r>
      <w:r>
        <w:rPr>
          <w:color w:val="auto"/>
          <w:highlight w:val="none"/>
        </w:rPr>
        <w:fldChar w:fldCharType="separate"/>
      </w:r>
      <w:r>
        <w:rPr>
          <w:rStyle w:val="21"/>
          <w:rFonts w:ascii="黑体" w:hAnsi="黑体" w:eastAsia="黑体" w:cs="楷体_GB2312"/>
          <w:b/>
          <w:bCs/>
          <w:color w:val="auto"/>
          <w:highlight w:val="none"/>
          <w:lang w:val="zh-CN"/>
        </w:rPr>
        <w:t xml:space="preserve">3. </w:t>
      </w:r>
      <w:r>
        <w:rPr>
          <w:rStyle w:val="21"/>
          <w:rFonts w:hint="eastAsia" w:ascii="黑体" w:hAnsi="黑体" w:eastAsia="黑体" w:cs="楷体_GB2312"/>
          <w:b/>
          <w:bCs/>
          <w:color w:val="auto"/>
          <w:highlight w:val="none"/>
          <w:lang w:val="zh-CN"/>
        </w:rPr>
        <w:t>投标文件（响应文件）</w:t>
      </w:r>
      <w:r>
        <w:rPr>
          <w:color w:val="auto"/>
          <w:highlight w:val="none"/>
        </w:rPr>
        <w:tab/>
      </w:r>
      <w:r>
        <w:rPr>
          <w:color w:val="auto"/>
          <w:highlight w:val="none"/>
        </w:rPr>
        <w:fldChar w:fldCharType="begin"/>
      </w:r>
      <w:r>
        <w:rPr>
          <w:color w:val="auto"/>
          <w:highlight w:val="none"/>
        </w:rPr>
        <w:instrText xml:space="preserve"> PAGEREF _Toc209083632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17A4C4F8">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"_Toc209083633" </w:instrText>
      </w:r>
      <w:r>
        <w:rPr>
          <w:color w:val="auto"/>
          <w:highlight w:val="none"/>
        </w:rPr>
        <w:fldChar w:fldCharType="separate"/>
      </w:r>
      <w:r>
        <w:rPr>
          <w:rStyle w:val="21"/>
          <w:rFonts w:ascii="黑体" w:hAnsi="黑体" w:eastAsia="黑体" w:cs="楷体_GB2312"/>
          <w:b/>
          <w:bCs/>
          <w:color w:val="auto"/>
          <w:highlight w:val="none"/>
          <w:lang w:val="zh-CN"/>
        </w:rPr>
        <w:t xml:space="preserve">4. </w:t>
      </w:r>
      <w:r>
        <w:rPr>
          <w:rStyle w:val="21"/>
          <w:rFonts w:hint="eastAsia" w:ascii="黑体" w:hAnsi="黑体" w:eastAsia="黑体" w:cs="楷体_GB2312"/>
          <w:b/>
          <w:bCs/>
          <w:color w:val="auto"/>
          <w:highlight w:val="none"/>
          <w:lang w:val="zh-CN"/>
        </w:rPr>
        <w:t>投标（响应文件的递交）</w:t>
      </w:r>
      <w:r>
        <w:rPr>
          <w:color w:val="auto"/>
          <w:highlight w:val="none"/>
        </w:rPr>
        <w:tab/>
      </w:r>
      <w:r>
        <w:rPr>
          <w:color w:val="auto"/>
          <w:highlight w:val="none"/>
        </w:rPr>
        <w:fldChar w:fldCharType="begin"/>
      </w:r>
      <w:r>
        <w:rPr>
          <w:color w:val="auto"/>
          <w:highlight w:val="none"/>
        </w:rPr>
        <w:instrText xml:space="preserve"> PAGEREF _Toc209083633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7397414">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"_Toc209083634" </w:instrText>
      </w:r>
      <w:r>
        <w:rPr>
          <w:color w:val="auto"/>
          <w:highlight w:val="none"/>
        </w:rPr>
        <w:fldChar w:fldCharType="separate"/>
      </w:r>
      <w:r>
        <w:rPr>
          <w:rStyle w:val="21"/>
          <w:rFonts w:ascii="黑体" w:hAnsi="黑体" w:eastAsia="黑体" w:cs="楷体_GB2312"/>
          <w:b/>
          <w:bCs/>
          <w:color w:val="auto"/>
          <w:highlight w:val="none"/>
          <w:lang w:val="zh-CN"/>
        </w:rPr>
        <w:t xml:space="preserve">5. </w:t>
      </w:r>
      <w:r>
        <w:rPr>
          <w:rStyle w:val="21"/>
          <w:rFonts w:hint="eastAsia" w:ascii="黑体" w:hAnsi="黑体" w:eastAsia="黑体" w:cs="楷体_GB2312"/>
          <w:b/>
          <w:bCs/>
          <w:color w:val="auto"/>
          <w:highlight w:val="none"/>
          <w:lang w:val="zh-CN"/>
        </w:rPr>
        <w:t>开标（响应文件的开启）</w:t>
      </w:r>
      <w:r>
        <w:rPr>
          <w:color w:val="auto"/>
          <w:highlight w:val="none"/>
        </w:rPr>
        <w:tab/>
      </w:r>
      <w:r>
        <w:rPr>
          <w:color w:val="auto"/>
          <w:highlight w:val="none"/>
        </w:rPr>
        <w:fldChar w:fldCharType="begin"/>
      </w:r>
      <w:r>
        <w:rPr>
          <w:color w:val="auto"/>
          <w:highlight w:val="none"/>
        </w:rPr>
        <w:instrText xml:space="preserve"> PAGEREF _Toc209083634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23CB4B1">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"_Toc209083635" </w:instrText>
      </w:r>
      <w:r>
        <w:rPr>
          <w:color w:val="auto"/>
          <w:highlight w:val="none"/>
        </w:rPr>
        <w:fldChar w:fldCharType="separate"/>
      </w:r>
      <w:r>
        <w:rPr>
          <w:rStyle w:val="21"/>
          <w:rFonts w:ascii="黑体" w:hAnsi="黑体" w:eastAsia="黑体" w:cs="楷体_GB2312"/>
          <w:b/>
          <w:bCs/>
          <w:color w:val="auto"/>
          <w:highlight w:val="none"/>
          <w:lang w:val="zh-CN"/>
        </w:rPr>
        <w:t xml:space="preserve">6. </w:t>
      </w:r>
      <w:r>
        <w:rPr>
          <w:rStyle w:val="21"/>
          <w:rFonts w:hint="eastAsia" w:ascii="黑体" w:hAnsi="黑体" w:eastAsia="黑体" w:cs="楷体_GB2312"/>
          <w:b/>
          <w:bCs/>
          <w:color w:val="auto"/>
          <w:highlight w:val="none"/>
          <w:lang w:val="zh-CN"/>
        </w:rPr>
        <w:t>评审</w:t>
      </w:r>
      <w:r>
        <w:rPr>
          <w:color w:val="auto"/>
          <w:highlight w:val="none"/>
        </w:rPr>
        <w:tab/>
      </w:r>
      <w:r>
        <w:rPr>
          <w:color w:val="auto"/>
          <w:highlight w:val="none"/>
        </w:rPr>
        <w:fldChar w:fldCharType="begin"/>
      </w:r>
      <w:r>
        <w:rPr>
          <w:color w:val="auto"/>
          <w:highlight w:val="none"/>
        </w:rPr>
        <w:instrText xml:space="preserve"> PAGEREF _Toc209083635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45A9C35">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"_Toc209083636" </w:instrText>
      </w:r>
      <w:r>
        <w:rPr>
          <w:color w:val="auto"/>
          <w:highlight w:val="none"/>
        </w:rPr>
        <w:fldChar w:fldCharType="separate"/>
      </w:r>
      <w:r>
        <w:rPr>
          <w:rStyle w:val="21"/>
          <w:rFonts w:ascii="黑体" w:hAnsi="黑体" w:eastAsia="黑体" w:cs="楷体_GB2312"/>
          <w:b/>
          <w:bCs/>
          <w:color w:val="auto"/>
          <w:highlight w:val="none"/>
          <w:lang w:val="zh-CN"/>
        </w:rPr>
        <w:t xml:space="preserve">7. </w:t>
      </w:r>
      <w:r>
        <w:rPr>
          <w:rStyle w:val="21"/>
          <w:rFonts w:hint="eastAsia" w:ascii="黑体" w:hAnsi="黑体" w:eastAsia="黑体" w:cs="楷体_GB2312"/>
          <w:b/>
          <w:bCs/>
          <w:color w:val="auto"/>
          <w:highlight w:val="none"/>
          <w:lang w:val="zh-CN"/>
        </w:rPr>
        <w:t>授予合同</w:t>
      </w:r>
      <w:r>
        <w:rPr>
          <w:color w:val="auto"/>
          <w:highlight w:val="none"/>
        </w:rPr>
        <w:tab/>
      </w:r>
      <w:r>
        <w:rPr>
          <w:color w:val="auto"/>
          <w:highlight w:val="none"/>
        </w:rPr>
        <w:fldChar w:fldCharType="begin"/>
      </w:r>
      <w:r>
        <w:rPr>
          <w:color w:val="auto"/>
          <w:highlight w:val="none"/>
        </w:rPr>
        <w:instrText xml:space="preserve"> PAGEREF _Toc209083636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6D4A07BB">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"_Toc209083637" </w:instrText>
      </w:r>
      <w:r>
        <w:rPr>
          <w:color w:val="auto"/>
          <w:highlight w:val="none"/>
        </w:rPr>
        <w:fldChar w:fldCharType="separate"/>
      </w:r>
      <w:r>
        <w:rPr>
          <w:rStyle w:val="21"/>
          <w:rFonts w:ascii="黑体" w:hAnsi="黑体" w:eastAsia="黑体" w:cs="楷体_GB2312"/>
          <w:b/>
          <w:bCs/>
          <w:color w:val="auto"/>
          <w:highlight w:val="none"/>
          <w:lang w:val="zh-CN"/>
        </w:rPr>
        <w:t xml:space="preserve">8. </w:t>
      </w:r>
      <w:r>
        <w:rPr>
          <w:rStyle w:val="21"/>
          <w:rFonts w:hint="eastAsia" w:ascii="黑体" w:hAnsi="黑体" w:eastAsia="黑体" w:cs="楷体_GB2312"/>
          <w:b/>
          <w:bCs/>
          <w:color w:val="auto"/>
          <w:highlight w:val="none"/>
          <w:lang w:val="zh-CN"/>
        </w:rPr>
        <w:t>验收</w:t>
      </w:r>
      <w:r>
        <w:rPr>
          <w:color w:val="auto"/>
          <w:highlight w:val="none"/>
        </w:rPr>
        <w:tab/>
      </w:r>
      <w:r>
        <w:rPr>
          <w:color w:val="auto"/>
          <w:highlight w:val="none"/>
        </w:rPr>
        <w:fldChar w:fldCharType="begin"/>
      </w:r>
      <w:r>
        <w:rPr>
          <w:color w:val="auto"/>
          <w:highlight w:val="none"/>
        </w:rPr>
        <w:instrText xml:space="preserve"> PAGEREF _Toc209083637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5E1F8D47">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"_Toc209083638" </w:instrText>
      </w:r>
      <w:r>
        <w:rPr>
          <w:color w:val="auto"/>
          <w:highlight w:val="none"/>
        </w:rPr>
        <w:fldChar w:fldCharType="separate"/>
      </w:r>
      <w:r>
        <w:rPr>
          <w:rStyle w:val="21"/>
          <w:rFonts w:ascii="黑体" w:hAnsi="黑体" w:eastAsia="黑体" w:cs="楷体_GB2312"/>
          <w:b/>
          <w:bCs/>
          <w:color w:val="auto"/>
          <w:highlight w:val="none"/>
          <w:lang w:val="zh-CN"/>
        </w:rPr>
        <w:t>9.</w:t>
      </w:r>
      <w:r>
        <w:rPr>
          <w:rStyle w:val="21"/>
          <w:rFonts w:hint="eastAsia" w:ascii="黑体" w:hAnsi="黑体" w:eastAsia="黑体" w:cs="楷体_GB2312"/>
          <w:b/>
          <w:bCs/>
          <w:color w:val="auto"/>
          <w:highlight w:val="none"/>
          <w:lang w:val="zh-CN"/>
        </w:rPr>
        <w:t>付款</w:t>
      </w:r>
      <w:r>
        <w:rPr>
          <w:color w:val="auto"/>
          <w:highlight w:val="none"/>
        </w:rPr>
        <w:tab/>
      </w:r>
      <w:r>
        <w:rPr>
          <w:color w:val="auto"/>
          <w:highlight w:val="none"/>
        </w:rPr>
        <w:fldChar w:fldCharType="begin"/>
      </w:r>
      <w:r>
        <w:rPr>
          <w:color w:val="auto"/>
          <w:highlight w:val="none"/>
        </w:rPr>
        <w:instrText xml:space="preserve"> PAGEREF _Toc209083638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6E0A8CBC">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"_Toc209083639" </w:instrText>
      </w:r>
      <w:r>
        <w:rPr>
          <w:color w:val="auto"/>
          <w:highlight w:val="none"/>
        </w:rPr>
        <w:fldChar w:fldCharType="separate"/>
      </w:r>
      <w:r>
        <w:rPr>
          <w:rStyle w:val="21"/>
          <w:rFonts w:ascii="黑体" w:hAnsi="黑体" w:eastAsia="黑体" w:cs="楷体_GB2312"/>
          <w:b/>
          <w:bCs/>
          <w:color w:val="auto"/>
          <w:highlight w:val="none"/>
          <w:lang w:val="zh-CN"/>
        </w:rPr>
        <w:t xml:space="preserve">10. </w:t>
      </w:r>
      <w:r>
        <w:rPr>
          <w:rStyle w:val="21"/>
          <w:rFonts w:hint="eastAsia" w:ascii="黑体" w:hAnsi="黑体" w:eastAsia="黑体" w:cs="楷体_GB2312"/>
          <w:b/>
          <w:bCs/>
          <w:color w:val="auto"/>
          <w:highlight w:val="none"/>
          <w:lang w:val="zh-CN"/>
        </w:rPr>
        <w:t>其他</w:t>
      </w:r>
      <w:r>
        <w:rPr>
          <w:color w:val="auto"/>
          <w:highlight w:val="none"/>
        </w:rPr>
        <w:tab/>
      </w:r>
      <w:r>
        <w:rPr>
          <w:color w:val="auto"/>
          <w:highlight w:val="none"/>
        </w:rPr>
        <w:fldChar w:fldCharType="begin"/>
      </w:r>
      <w:r>
        <w:rPr>
          <w:color w:val="auto"/>
          <w:highlight w:val="none"/>
        </w:rPr>
        <w:instrText xml:space="preserve"> PAGEREF _Toc209083639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6B9654E4">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"_Toc209083640" </w:instrText>
      </w:r>
      <w:r>
        <w:rPr>
          <w:color w:val="auto"/>
          <w:highlight w:val="none"/>
        </w:rPr>
        <w:fldChar w:fldCharType="separate"/>
      </w:r>
      <w:r>
        <w:rPr>
          <w:rStyle w:val="21"/>
          <w:rFonts w:ascii="黑体" w:hAnsi="黑体" w:eastAsia="黑体" w:cs="楷体_GB2312"/>
          <w:b/>
          <w:bCs/>
          <w:color w:val="auto"/>
          <w:highlight w:val="none"/>
          <w:lang w:val="zh-CN"/>
        </w:rPr>
        <w:t xml:space="preserve">11. </w:t>
      </w:r>
      <w:r>
        <w:rPr>
          <w:rStyle w:val="21"/>
          <w:rFonts w:hint="eastAsia" w:ascii="黑体" w:hAnsi="黑体" w:eastAsia="黑体" w:cs="楷体_GB2312"/>
          <w:b/>
          <w:bCs/>
          <w:color w:val="auto"/>
          <w:highlight w:val="none"/>
          <w:lang w:val="zh-CN"/>
        </w:rPr>
        <w:t>河南省政府采购合同融资政策告知函</w:t>
      </w:r>
      <w:r>
        <w:rPr>
          <w:color w:val="auto"/>
          <w:highlight w:val="none"/>
        </w:rPr>
        <w:tab/>
      </w:r>
      <w:r>
        <w:rPr>
          <w:color w:val="auto"/>
          <w:highlight w:val="none"/>
        </w:rPr>
        <w:fldChar w:fldCharType="begin"/>
      </w:r>
      <w:r>
        <w:rPr>
          <w:color w:val="auto"/>
          <w:highlight w:val="none"/>
        </w:rPr>
        <w:instrText xml:space="preserve"> PAGEREF _Toc209083640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5718C985">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"_Toc209083641" </w:instrText>
      </w:r>
      <w:r>
        <w:rPr>
          <w:color w:val="auto"/>
          <w:highlight w:val="none"/>
        </w:rPr>
        <w:fldChar w:fldCharType="separate"/>
      </w:r>
      <w:r>
        <w:rPr>
          <w:rStyle w:val="21"/>
          <w:rFonts w:hint="eastAsia" w:ascii="黑体" w:hAnsi="黑体" w:eastAsia="黑体"/>
          <w:b/>
          <w:color w:val="auto"/>
          <w:highlight w:val="none"/>
          <w:lang w:val="zh-CN"/>
        </w:rPr>
        <w:t>第四章评审办法</w:t>
      </w:r>
      <w:r>
        <w:rPr>
          <w:color w:val="auto"/>
          <w:highlight w:val="none"/>
        </w:rPr>
        <w:tab/>
      </w:r>
      <w:r>
        <w:rPr>
          <w:color w:val="auto"/>
          <w:highlight w:val="none"/>
        </w:rPr>
        <w:fldChar w:fldCharType="begin"/>
      </w:r>
      <w:r>
        <w:rPr>
          <w:color w:val="auto"/>
          <w:highlight w:val="none"/>
        </w:rPr>
        <w:instrText xml:space="preserve"> PAGEREF _Toc209083641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8956A92">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"_Toc209083642" </w:instrText>
      </w:r>
      <w:r>
        <w:rPr>
          <w:color w:val="auto"/>
          <w:highlight w:val="none"/>
        </w:rPr>
        <w:fldChar w:fldCharType="separate"/>
      </w:r>
      <w:r>
        <w:rPr>
          <w:rStyle w:val="21"/>
          <w:rFonts w:hint="eastAsia" w:ascii="黑体" w:hAnsi="黑体" w:eastAsia="黑体"/>
          <w:b/>
          <w:color w:val="auto"/>
          <w:highlight w:val="none"/>
        </w:rPr>
        <w:t>评审办法前附表</w:t>
      </w:r>
      <w:r>
        <w:rPr>
          <w:color w:val="auto"/>
          <w:highlight w:val="none"/>
        </w:rPr>
        <w:tab/>
      </w:r>
      <w:r>
        <w:rPr>
          <w:color w:val="auto"/>
          <w:highlight w:val="none"/>
        </w:rPr>
        <w:fldChar w:fldCharType="begin"/>
      </w:r>
      <w:r>
        <w:rPr>
          <w:color w:val="auto"/>
          <w:highlight w:val="none"/>
        </w:rPr>
        <w:instrText xml:space="preserve"> PAGEREF _Toc209083642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1F02BB1C">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"_Toc209083643" </w:instrText>
      </w:r>
      <w:r>
        <w:rPr>
          <w:color w:val="auto"/>
          <w:highlight w:val="none"/>
        </w:rPr>
        <w:fldChar w:fldCharType="separate"/>
      </w:r>
      <w:r>
        <w:rPr>
          <w:rStyle w:val="21"/>
          <w:rFonts w:ascii="黑体" w:hAnsi="黑体" w:eastAsia="黑体" w:cs="楷体_GB2312"/>
          <w:b/>
          <w:bCs/>
          <w:color w:val="auto"/>
          <w:highlight w:val="none"/>
          <w:lang w:val="zh-CN"/>
        </w:rPr>
        <w:t xml:space="preserve">1. </w:t>
      </w:r>
      <w:r>
        <w:rPr>
          <w:rStyle w:val="21"/>
          <w:rFonts w:hint="eastAsia" w:ascii="黑体" w:hAnsi="黑体" w:eastAsia="黑体" w:cs="楷体_GB2312"/>
          <w:b/>
          <w:bCs/>
          <w:color w:val="auto"/>
          <w:highlight w:val="none"/>
          <w:lang w:val="zh-CN"/>
        </w:rPr>
        <w:t>评审方法（评定成交的标准）</w:t>
      </w:r>
      <w:r>
        <w:rPr>
          <w:color w:val="auto"/>
          <w:highlight w:val="none"/>
        </w:rPr>
        <w:tab/>
      </w:r>
      <w:r>
        <w:rPr>
          <w:color w:val="auto"/>
          <w:highlight w:val="none"/>
        </w:rPr>
        <w:fldChar w:fldCharType="begin"/>
      </w:r>
      <w:r>
        <w:rPr>
          <w:color w:val="auto"/>
          <w:highlight w:val="none"/>
        </w:rPr>
        <w:instrText xml:space="preserve"> PAGEREF _Toc209083643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D7512B1">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"_Toc209083644" </w:instrText>
      </w:r>
      <w:r>
        <w:rPr>
          <w:color w:val="auto"/>
          <w:highlight w:val="none"/>
        </w:rPr>
        <w:fldChar w:fldCharType="separate"/>
      </w:r>
      <w:r>
        <w:rPr>
          <w:rStyle w:val="21"/>
          <w:rFonts w:ascii="黑体" w:hAnsi="黑体" w:eastAsia="黑体" w:cs="楷体_GB2312"/>
          <w:b/>
          <w:bCs/>
          <w:color w:val="auto"/>
          <w:highlight w:val="none"/>
          <w:lang w:val="zh-CN"/>
        </w:rPr>
        <w:t xml:space="preserve">2. </w:t>
      </w:r>
      <w:r>
        <w:rPr>
          <w:rStyle w:val="21"/>
          <w:rFonts w:hint="eastAsia" w:ascii="黑体" w:hAnsi="黑体" w:eastAsia="黑体" w:cs="楷体_GB2312"/>
          <w:b/>
          <w:bCs/>
          <w:color w:val="auto"/>
          <w:highlight w:val="none"/>
          <w:lang w:val="zh-CN"/>
        </w:rPr>
        <w:t>评审标准</w:t>
      </w:r>
      <w:r>
        <w:rPr>
          <w:color w:val="auto"/>
          <w:highlight w:val="none"/>
        </w:rPr>
        <w:tab/>
      </w:r>
      <w:r>
        <w:rPr>
          <w:color w:val="auto"/>
          <w:highlight w:val="none"/>
        </w:rPr>
        <w:fldChar w:fldCharType="begin"/>
      </w:r>
      <w:r>
        <w:rPr>
          <w:color w:val="auto"/>
          <w:highlight w:val="none"/>
        </w:rPr>
        <w:instrText xml:space="preserve"> PAGEREF _Toc209083644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2B44A9C3">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"_Toc209083645" </w:instrText>
      </w:r>
      <w:r>
        <w:rPr>
          <w:color w:val="auto"/>
          <w:highlight w:val="none"/>
        </w:rPr>
        <w:fldChar w:fldCharType="separate"/>
      </w:r>
      <w:r>
        <w:rPr>
          <w:rStyle w:val="21"/>
          <w:rFonts w:ascii="黑体" w:hAnsi="黑体" w:eastAsia="黑体" w:cs="楷体_GB2312"/>
          <w:b/>
          <w:bCs/>
          <w:color w:val="auto"/>
          <w:highlight w:val="none"/>
          <w:lang w:val="zh-CN"/>
        </w:rPr>
        <w:t xml:space="preserve">3. </w:t>
      </w:r>
      <w:r>
        <w:rPr>
          <w:rStyle w:val="21"/>
          <w:rFonts w:hint="eastAsia" w:ascii="黑体" w:hAnsi="黑体" w:eastAsia="黑体" w:cs="楷体_GB2312"/>
          <w:b/>
          <w:bCs/>
          <w:color w:val="auto"/>
          <w:highlight w:val="none"/>
          <w:lang w:val="zh-CN"/>
        </w:rPr>
        <w:t>评审程序</w:t>
      </w:r>
      <w:r>
        <w:rPr>
          <w:color w:val="auto"/>
          <w:highlight w:val="none"/>
        </w:rPr>
        <w:tab/>
      </w:r>
      <w:r>
        <w:rPr>
          <w:color w:val="auto"/>
          <w:highlight w:val="none"/>
        </w:rPr>
        <w:fldChar w:fldCharType="begin"/>
      </w:r>
      <w:r>
        <w:rPr>
          <w:color w:val="auto"/>
          <w:highlight w:val="none"/>
        </w:rPr>
        <w:instrText xml:space="preserve"> PAGEREF _Toc209083645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13A959DE">
      <w:pPr>
        <w:pStyle w:val="13"/>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"_Toc209083646" </w:instrText>
      </w:r>
      <w:r>
        <w:rPr>
          <w:color w:val="auto"/>
          <w:highlight w:val="none"/>
        </w:rPr>
        <w:fldChar w:fldCharType="separate"/>
      </w:r>
      <w:r>
        <w:rPr>
          <w:rStyle w:val="21"/>
          <w:rFonts w:ascii="黑体" w:hAnsi="黑体" w:eastAsia="黑体" w:cs="楷体_GB2312"/>
          <w:b/>
          <w:bCs/>
          <w:color w:val="auto"/>
          <w:highlight w:val="none"/>
          <w:lang w:val="zh-CN"/>
        </w:rPr>
        <w:t xml:space="preserve">4. </w:t>
      </w:r>
      <w:r>
        <w:rPr>
          <w:rStyle w:val="21"/>
          <w:rFonts w:hint="eastAsia" w:ascii="黑体" w:hAnsi="黑体" w:eastAsia="黑体" w:cs="楷体_GB2312"/>
          <w:b/>
          <w:bCs/>
          <w:color w:val="auto"/>
          <w:highlight w:val="none"/>
          <w:lang w:val="zh-CN"/>
        </w:rPr>
        <w:t>政府采购促进中小企业发展扶持政策</w:t>
      </w:r>
      <w:r>
        <w:rPr>
          <w:color w:val="auto"/>
          <w:highlight w:val="none"/>
        </w:rPr>
        <w:tab/>
      </w:r>
      <w:r>
        <w:rPr>
          <w:color w:val="auto"/>
          <w:highlight w:val="none"/>
        </w:rPr>
        <w:fldChar w:fldCharType="begin"/>
      </w:r>
      <w:r>
        <w:rPr>
          <w:color w:val="auto"/>
          <w:highlight w:val="none"/>
        </w:rPr>
        <w:instrText xml:space="preserve"> PAGEREF _Toc209083646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AE907E3">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"_Toc209083647" </w:instrText>
      </w:r>
      <w:r>
        <w:rPr>
          <w:color w:val="auto"/>
          <w:highlight w:val="none"/>
        </w:rPr>
        <w:fldChar w:fldCharType="separate"/>
      </w:r>
      <w:r>
        <w:rPr>
          <w:rStyle w:val="21"/>
          <w:rFonts w:hint="eastAsia" w:ascii="黑体" w:eastAsia="黑体"/>
          <w:b/>
          <w:color w:val="auto"/>
          <w:highlight w:val="none"/>
        </w:rPr>
        <w:t>第五章合同主要条款</w:t>
      </w:r>
      <w:r>
        <w:rPr>
          <w:color w:val="auto"/>
          <w:highlight w:val="none"/>
        </w:rPr>
        <w:tab/>
      </w:r>
      <w:r>
        <w:rPr>
          <w:color w:val="auto"/>
          <w:highlight w:val="none"/>
        </w:rPr>
        <w:fldChar w:fldCharType="begin"/>
      </w:r>
      <w:r>
        <w:rPr>
          <w:color w:val="auto"/>
          <w:highlight w:val="none"/>
        </w:rPr>
        <w:instrText xml:space="preserve"> PAGEREF _Toc209083647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0D1919C3">
      <w:pPr>
        <w:pStyle w:val="12"/>
        <w:tabs>
          <w:tab w:val="right" w:leader="dot" w:pos="9371"/>
        </w:tabs>
        <w:rPr>
          <w:rFonts w:asciiTheme="minorHAnsi" w:hAnsiTheme="minorHAnsi" w:eastAsiaTheme="minorEastAsia" w:cstheme="minorBidi"/>
          <w:color w:val="auto"/>
          <w:kern w:val="2"/>
          <w:szCs w:val="22"/>
          <w:highlight w:val="none"/>
        </w:rPr>
      </w:pPr>
      <w:r>
        <w:rPr>
          <w:color w:val="auto"/>
          <w:highlight w:val="none"/>
        </w:rPr>
        <w:fldChar w:fldCharType="begin"/>
      </w:r>
      <w:r>
        <w:rPr>
          <w:color w:val="auto"/>
          <w:highlight w:val="none"/>
        </w:rPr>
        <w:instrText xml:space="preserve"> HYPERLINK \l "_Toc209083652" </w:instrText>
      </w:r>
      <w:r>
        <w:rPr>
          <w:color w:val="auto"/>
          <w:highlight w:val="none"/>
        </w:rPr>
        <w:fldChar w:fldCharType="separate"/>
      </w:r>
      <w:r>
        <w:rPr>
          <w:rStyle w:val="21"/>
          <w:rFonts w:hint="eastAsia" w:ascii="黑体" w:hAnsi="黑体" w:eastAsia="黑体"/>
          <w:b/>
          <w:color w:val="auto"/>
          <w:highlight w:val="none"/>
          <w:lang w:val="zh-CN"/>
        </w:rPr>
        <w:t>第六章投标文件格式</w:t>
      </w:r>
      <w:r>
        <w:rPr>
          <w:color w:val="auto"/>
          <w:highlight w:val="none"/>
        </w:rPr>
        <w:tab/>
      </w:r>
      <w:r>
        <w:rPr>
          <w:color w:val="auto"/>
          <w:highlight w:val="none"/>
        </w:rPr>
        <w:fldChar w:fldCharType="begin"/>
      </w:r>
      <w:r>
        <w:rPr>
          <w:color w:val="auto"/>
          <w:highlight w:val="none"/>
        </w:rPr>
        <w:instrText xml:space="preserve"> PAGEREF _Toc209083652 \h </w:instrText>
      </w:r>
      <w:r>
        <w:rPr>
          <w:color w:val="auto"/>
          <w:highlight w:val="none"/>
        </w:rPr>
        <w:fldChar w:fldCharType="separate"/>
      </w:r>
      <w:r>
        <w:rPr>
          <w:color w:val="auto"/>
          <w:highlight w:val="none"/>
        </w:rPr>
        <w:t>- 60 -</w:t>
      </w:r>
      <w:r>
        <w:rPr>
          <w:color w:val="auto"/>
          <w:highlight w:val="none"/>
        </w:rPr>
        <w:fldChar w:fldCharType="end"/>
      </w:r>
      <w:r>
        <w:rPr>
          <w:color w:val="auto"/>
          <w:highlight w:val="none"/>
        </w:rPr>
        <w:fldChar w:fldCharType="end"/>
      </w:r>
    </w:p>
    <w:p w14:paraId="7EB8645C">
      <w:pPr>
        <w:rPr>
          <w:color w:val="auto"/>
          <w:highlight w:val="none"/>
        </w:rPr>
      </w:pPr>
      <w:r>
        <w:rPr>
          <w:color w:val="auto"/>
          <w:highlight w:val="none"/>
        </w:rPr>
        <w:fldChar w:fldCharType="end"/>
      </w:r>
    </w:p>
    <w:p w14:paraId="1848D050">
      <w:pPr>
        <w:widowControl w:val="0"/>
        <w:snapToGrid w:val="0"/>
        <w:spacing w:line="660" w:lineRule="exact"/>
        <w:ind w:firstLine="607" w:firstLineChars="168"/>
        <w:rPr>
          <w:rFonts w:ascii="黑体" w:hAnsi="黑体" w:eastAsia="黑体"/>
          <w:b/>
          <w:color w:val="auto"/>
          <w:sz w:val="36"/>
          <w:szCs w:val="36"/>
          <w:highlight w:val="none"/>
        </w:rPr>
      </w:pPr>
    </w:p>
    <w:p w14:paraId="01CC0F07">
      <w:pPr>
        <w:widowControl w:val="0"/>
        <w:snapToGrid w:val="0"/>
        <w:spacing w:line="560" w:lineRule="exact"/>
        <w:ind w:firstLine="181" w:firstLineChars="50"/>
        <w:rPr>
          <w:rFonts w:ascii="黑体" w:eastAsia="黑体"/>
          <w:b/>
          <w:color w:val="auto"/>
          <w:sz w:val="36"/>
          <w:szCs w:val="36"/>
          <w:highlight w:val="none"/>
        </w:rPr>
        <w:sectPr>
          <w:pgSz w:w="11905" w:h="16837"/>
          <w:pgMar w:top="1418" w:right="1106" w:bottom="1418" w:left="1418" w:header="567" w:footer="567" w:gutter="0"/>
          <w:pgNumType w:fmt="numberInDash" w:start="0"/>
          <w:cols w:space="720" w:num="1"/>
          <w:titlePg/>
        </w:sectPr>
      </w:pPr>
    </w:p>
    <w:p w14:paraId="1F8765CB">
      <w:pPr>
        <w:widowControl w:val="0"/>
        <w:snapToGrid w:val="0"/>
        <w:spacing w:line="560" w:lineRule="exact"/>
        <w:jc w:val="left"/>
        <w:rPr>
          <w:rFonts w:ascii="宋体"/>
          <w:b/>
          <w:color w:val="auto"/>
          <w:sz w:val="24"/>
          <w:szCs w:val="24"/>
          <w:highlight w:val="none"/>
        </w:rPr>
      </w:pPr>
    </w:p>
    <w:p w14:paraId="6C890584">
      <w:pPr>
        <w:widowControl w:val="0"/>
        <w:snapToGrid w:val="0"/>
        <w:spacing w:line="560" w:lineRule="exact"/>
        <w:jc w:val="center"/>
        <w:outlineLvl w:val="0"/>
        <w:rPr>
          <w:color w:val="auto"/>
          <w:sz w:val="36"/>
          <w:szCs w:val="36"/>
          <w:highlight w:val="none"/>
        </w:rPr>
      </w:pPr>
      <w:bookmarkStart w:id="0" w:name="_Toc209083622"/>
      <w:r>
        <w:rPr>
          <w:rFonts w:hint="eastAsia" w:eastAsia="黑体"/>
          <w:b/>
          <w:color w:val="auto"/>
          <w:sz w:val="36"/>
          <w:szCs w:val="36"/>
          <w:highlight w:val="none"/>
        </w:rPr>
        <w:t>第一章谈判公告</w:t>
      </w:r>
      <w:bookmarkEnd w:id="0"/>
    </w:p>
    <w:p w14:paraId="7CAC39A7">
      <w:pPr>
        <w:widowControl w:val="0"/>
        <w:adjustRightInd w:val="0"/>
        <w:snapToGrid w:val="0"/>
        <w:spacing w:line="360" w:lineRule="auto"/>
        <w:ind w:firstLine="632" w:firstLineChars="225"/>
        <w:jc w:val="left"/>
        <w:rPr>
          <w:rFonts w:ascii="黑体" w:hAnsi="黑体" w:eastAsia="黑体"/>
          <w:b/>
          <w:color w:val="auto"/>
          <w:sz w:val="28"/>
          <w:szCs w:val="28"/>
          <w:highlight w:val="none"/>
        </w:rPr>
      </w:pPr>
    </w:p>
    <w:p w14:paraId="0D464C48">
      <w:pPr>
        <w:widowControl w:val="0"/>
        <w:adjustRightInd w:val="0"/>
        <w:snapToGrid w:val="0"/>
        <w:spacing w:line="360" w:lineRule="auto"/>
        <w:ind w:firstLine="632" w:firstLineChars="225"/>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1.项目基本情况</w:t>
      </w:r>
    </w:p>
    <w:p w14:paraId="13DAC9D2">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1.1</w:t>
      </w:r>
      <w:r>
        <w:rPr>
          <w:rFonts w:hint="eastAsia" w:ascii="宋体" w:hAnsi="宋体"/>
          <w:color w:val="auto"/>
          <w:sz w:val="24"/>
          <w:szCs w:val="24"/>
          <w:highlight w:val="none"/>
        </w:rPr>
        <w:t>项目编号：安县竞谈采购-2025-30</w:t>
      </w:r>
    </w:p>
    <w:p w14:paraId="3A4B6E14">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1.2</w:t>
      </w:r>
      <w:r>
        <w:rPr>
          <w:rFonts w:hint="eastAsia" w:ascii="宋体" w:hAnsi="宋体"/>
          <w:color w:val="auto"/>
          <w:sz w:val="24"/>
          <w:szCs w:val="24"/>
          <w:highlight w:val="none"/>
        </w:rPr>
        <w:t>项目名称：</w:t>
      </w:r>
      <w:r>
        <w:rPr>
          <w:rFonts w:hint="eastAsia"/>
          <w:color w:val="auto"/>
          <w:sz w:val="24"/>
          <w:szCs w:val="24"/>
          <w:highlight w:val="none"/>
        </w:rPr>
        <w:t>安阳县公安局安阳县看守所智能谈话教育系统项目</w:t>
      </w:r>
    </w:p>
    <w:p w14:paraId="7B661FB9">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1.3采购方式：竞争性谈判</w:t>
      </w:r>
    </w:p>
    <w:p w14:paraId="1B1E600A">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4预算金额：354360元</w:t>
      </w:r>
    </w:p>
    <w:p w14:paraId="4D13CFF8">
      <w:pPr>
        <w:adjustRightInd w:val="0"/>
        <w:snapToGrid w:val="0"/>
        <w:spacing w:line="360" w:lineRule="auto"/>
        <w:ind w:firstLine="540" w:firstLineChars="225"/>
        <w:rPr>
          <w:rFonts w:ascii="宋体"/>
          <w:b/>
          <w:color w:val="auto"/>
          <w:szCs w:val="21"/>
          <w:highlight w:val="none"/>
        </w:rPr>
      </w:pPr>
      <w:r>
        <w:rPr>
          <w:rFonts w:hint="eastAsia" w:ascii="宋体" w:hAnsi="宋体"/>
          <w:color w:val="auto"/>
          <w:sz w:val="24"/>
          <w:szCs w:val="24"/>
          <w:highlight w:val="none"/>
        </w:rPr>
        <w:t>1.5采购需求：</w:t>
      </w:r>
      <w:r>
        <w:rPr>
          <w:rFonts w:hint="eastAsia"/>
          <w:color w:val="auto"/>
          <w:sz w:val="24"/>
          <w:szCs w:val="24"/>
          <w:highlight w:val="none"/>
        </w:rPr>
        <w:t>智能谈话教育系统</w:t>
      </w:r>
      <w:r>
        <w:rPr>
          <w:rFonts w:hint="eastAsia"/>
          <w:color w:val="auto"/>
          <w:sz w:val="24"/>
          <w:szCs w:val="24"/>
          <w:highlight w:val="none"/>
          <w:lang w:val="en-US" w:eastAsia="zh-CN"/>
        </w:rPr>
        <w:t>4套、防误放系统1套</w:t>
      </w:r>
      <w:r>
        <w:rPr>
          <w:rFonts w:hint="eastAsia" w:ascii="宋体" w:hAnsi="宋体"/>
          <w:color w:val="auto"/>
          <w:sz w:val="24"/>
          <w:szCs w:val="24"/>
          <w:highlight w:val="none"/>
        </w:rPr>
        <w:t>，技术参数详见《谈判文件》“基本技术要求”</w:t>
      </w:r>
    </w:p>
    <w:p w14:paraId="517AB17C">
      <w:pPr>
        <w:adjustRightInd w:val="0"/>
        <w:snapToGrid w:val="0"/>
        <w:spacing w:line="360" w:lineRule="auto"/>
        <w:ind w:firstLine="540" w:firstLineChars="225"/>
        <w:rPr>
          <w:color w:val="auto"/>
          <w:sz w:val="24"/>
          <w:szCs w:val="24"/>
          <w:highlight w:val="none"/>
        </w:rPr>
      </w:pPr>
      <w:r>
        <w:rPr>
          <w:rFonts w:hint="eastAsia" w:ascii="宋体" w:hAnsi="宋体"/>
          <w:color w:val="auto"/>
          <w:sz w:val="24"/>
          <w:szCs w:val="24"/>
          <w:highlight w:val="none"/>
        </w:rPr>
        <w:t>1.6合同履行期限：</w:t>
      </w:r>
      <w:r>
        <w:rPr>
          <w:rFonts w:hint="eastAsia"/>
          <w:color w:val="auto"/>
          <w:sz w:val="24"/>
          <w:szCs w:val="24"/>
          <w:highlight w:val="none"/>
        </w:rPr>
        <w:t>合同签订日起</w:t>
      </w:r>
      <w:r>
        <w:rPr>
          <w:rFonts w:hint="eastAsia" w:ascii="宋体" w:hAnsi="宋体"/>
          <w:color w:val="auto"/>
          <w:sz w:val="24"/>
          <w:szCs w:val="24"/>
          <w:highlight w:val="none"/>
        </w:rPr>
        <w:t>20日内</w:t>
      </w:r>
    </w:p>
    <w:p w14:paraId="184DFE1D">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1.7本项目（是/否）接受联合体投标：</w:t>
      </w:r>
      <w:r>
        <w:rPr>
          <w:rFonts w:hint="eastAsia" w:ascii="宋体" w:hAnsi="宋体" w:cs="楷体_GB2312"/>
          <w:color w:val="auto"/>
          <w:sz w:val="24"/>
          <w:highlight w:val="none"/>
          <w:lang w:val="zh-CN"/>
        </w:rPr>
        <w:t>否</w:t>
      </w:r>
    </w:p>
    <w:p w14:paraId="2E7BDE5C">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1.8是否接受进口产品：</w:t>
      </w:r>
      <w:r>
        <w:rPr>
          <w:rFonts w:hint="eastAsia" w:ascii="宋体" w:hAnsi="宋体" w:cs="楷体_GB2312"/>
          <w:color w:val="auto"/>
          <w:sz w:val="24"/>
          <w:highlight w:val="none"/>
          <w:lang w:val="zh-CN"/>
        </w:rPr>
        <w:t>否</w:t>
      </w:r>
    </w:p>
    <w:p w14:paraId="68A2CD59">
      <w:pPr>
        <w:widowControl w:val="0"/>
        <w:snapToGrid w:val="0"/>
        <w:spacing w:line="360" w:lineRule="auto"/>
        <w:ind w:firstLine="566"/>
        <w:rPr>
          <w:color w:val="auto"/>
          <w:sz w:val="28"/>
          <w:szCs w:val="28"/>
          <w:highlight w:val="none"/>
        </w:rPr>
      </w:pPr>
    </w:p>
    <w:p w14:paraId="45FCD436">
      <w:pPr>
        <w:widowControl w:val="0"/>
        <w:snapToGrid w:val="0"/>
        <w:spacing w:line="360" w:lineRule="auto"/>
        <w:ind w:firstLine="562" w:firstLineChars="200"/>
        <w:rPr>
          <w:rFonts w:ascii="黑体" w:hAnsi="黑体" w:eastAsia="黑体"/>
          <w:b/>
          <w:color w:val="auto"/>
          <w:sz w:val="28"/>
          <w:szCs w:val="28"/>
          <w:highlight w:val="none"/>
        </w:rPr>
      </w:pPr>
      <w:bookmarkStart w:id="1" w:name="_Toc35393791"/>
      <w:bookmarkStart w:id="2" w:name="_Toc28359080"/>
      <w:bookmarkStart w:id="3" w:name="_Toc35393622"/>
      <w:bookmarkStart w:id="4" w:name="_Toc28359003"/>
      <w:r>
        <w:rPr>
          <w:rFonts w:hint="eastAsia" w:ascii="黑体" w:hAnsi="黑体" w:eastAsia="黑体"/>
          <w:b/>
          <w:color w:val="auto"/>
          <w:sz w:val="28"/>
          <w:szCs w:val="28"/>
          <w:highlight w:val="none"/>
        </w:rPr>
        <w:t>2.申请人的资格要求：</w:t>
      </w:r>
      <w:bookmarkEnd w:id="1"/>
      <w:bookmarkEnd w:id="2"/>
      <w:bookmarkEnd w:id="3"/>
      <w:bookmarkEnd w:id="4"/>
    </w:p>
    <w:p w14:paraId="03AF64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2.1满足《中华人民共和国政府采购法》第二十二条规定；</w:t>
      </w:r>
    </w:p>
    <w:p w14:paraId="4FF2379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2</w:t>
      </w:r>
      <w:r>
        <w:rPr>
          <w:rFonts w:hint="eastAsia" w:ascii="宋体" w:hAnsi="宋体"/>
          <w:color w:val="auto"/>
          <w:sz w:val="24"/>
          <w:szCs w:val="24"/>
          <w:highlight w:val="none"/>
        </w:rPr>
        <w:t>落实政府采购政策需满足的资格要求：无专项资格要求。</w:t>
      </w:r>
    </w:p>
    <w:p w14:paraId="5C13F1C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2.3本项目的特定资格要求：</w:t>
      </w:r>
    </w:p>
    <w:p w14:paraId="6793D6A3">
      <w:pPr>
        <w:widowControl w:val="0"/>
        <w:adjustRightInd w:val="0"/>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.1</w:t>
      </w:r>
      <w:r>
        <w:rPr>
          <w:rFonts w:hint="eastAsia" w:ascii="宋体" w:hAnsi="宋体"/>
          <w:color w:val="auto"/>
          <w:sz w:val="24"/>
          <w:szCs w:val="24"/>
          <w:highlight w:val="none"/>
        </w:rPr>
        <w:t>《政府采购法》第二十二条第一款--法定基本资格条件需提供的相关资格证明材料（文件）：</w:t>
      </w:r>
    </w:p>
    <w:p w14:paraId="35A2B86B">
      <w:pPr>
        <w:widowControl w:val="0"/>
        <w:snapToGrid w:val="0"/>
        <w:spacing w:line="360" w:lineRule="auto"/>
        <w:ind w:firstLine="540" w:firstLineChars="225"/>
        <w:rPr>
          <w:rFonts w:ascii="宋体"/>
          <w:color w:val="auto"/>
          <w:szCs w:val="21"/>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）具有独立承担民事责任的能力。■提供营业执照或事业单位法人证书，■提供税务登记证（三证合一的只需提供三证合一的营业执照）</w:t>
      </w:r>
      <w:r>
        <w:rPr>
          <w:rFonts w:hint="eastAsia" w:ascii="微软雅黑" w:hAnsi="微软雅黑" w:eastAsia="微软雅黑"/>
          <w:color w:val="auto"/>
          <w:szCs w:val="21"/>
          <w:highlight w:val="none"/>
          <w:shd w:val="clear" w:color="auto" w:fill="FFFFFF"/>
        </w:rPr>
        <w:t>。</w:t>
      </w:r>
    </w:p>
    <w:p w14:paraId="61D9B442">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）具有良好的商业信誉和健全的财务会计制度，有依法缴纳税收和社会保障资金的良好记录。■提供银行出具的近</w:t>
      </w:r>
      <w:r>
        <w:rPr>
          <w:rFonts w:ascii="宋体" w:hAnsi="宋体"/>
          <w:color w:val="auto"/>
          <w:sz w:val="24"/>
          <w:szCs w:val="24"/>
          <w:highlight w:val="none"/>
        </w:rPr>
        <w:t>1</w:t>
      </w:r>
      <w:r>
        <w:rPr>
          <w:rFonts w:hint="eastAsia" w:ascii="宋体" w:hAnsi="宋体"/>
          <w:color w:val="auto"/>
          <w:sz w:val="24"/>
          <w:szCs w:val="24"/>
          <w:highlight w:val="none"/>
        </w:rPr>
        <w:t>年内资信证明（法人为基本开户行）、或2023年度以来（任一年度）经审计的财务报告、或银行（保险公司）出具的投标担保函；■提供近</w:t>
      </w:r>
      <w:r>
        <w:rPr>
          <w:rFonts w:ascii="宋体" w:hAnsi="宋体"/>
          <w:color w:val="auto"/>
          <w:sz w:val="24"/>
          <w:szCs w:val="24"/>
          <w:highlight w:val="none"/>
        </w:rPr>
        <w:t>12</w:t>
      </w:r>
      <w:r>
        <w:rPr>
          <w:rFonts w:hint="eastAsia" w:ascii="宋体" w:hAnsi="宋体"/>
          <w:color w:val="auto"/>
          <w:sz w:val="24"/>
          <w:szCs w:val="24"/>
          <w:highlight w:val="none"/>
        </w:rPr>
        <w:t>个月内（任意</w:t>
      </w:r>
      <w:r>
        <w:rPr>
          <w:rFonts w:ascii="宋体" w:hAnsi="宋体"/>
          <w:color w:val="auto"/>
          <w:sz w:val="24"/>
          <w:szCs w:val="24"/>
          <w:highlight w:val="none"/>
        </w:rPr>
        <w:t>1</w:t>
      </w:r>
      <w:r>
        <w:rPr>
          <w:rFonts w:hint="eastAsia" w:ascii="宋体" w:hAnsi="宋体"/>
          <w:color w:val="auto"/>
          <w:sz w:val="24"/>
          <w:szCs w:val="24"/>
          <w:highlight w:val="none"/>
        </w:rPr>
        <w:t>个月）已依法缴纳税收的凭据；■提供近</w:t>
      </w:r>
      <w:r>
        <w:rPr>
          <w:rFonts w:ascii="宋体" w:hAnsi="宋体"/>
          <w:color w:val="auto"/>
          <w:sz w:val="24"/>
          <w:szCs w:val="24"/>
          <w:highlight w:val="none"/>
        </w:rPr>
        <w:t>12</w:t>
      </w:r>
      <w:r>
        <w:rPr>
          <w:rFonts w:hint="eastAsia" w:ascii="宋体" w:hAnsi="宋体"/>
          <w:color w:val="auto"/>
          <w:sz w:val="24"/>
          <w:szCs w:val="24"/>
          <w:highlight w:val="none"/>
        </w:rPr>
        <w:t>个月内（任意</w:t>
      </w:r>
      <w:r>
        <w:rPr>
          <w:rFonts w:ascii="宋体" w:hAnsi="宋体"/>
          <w:color w:val="auto"/>
          <w:sz w:val="24"/>
          <w:szCs w:val="24"/>
          <w:highlight w:val="none"/>
        </w:rPr>
        <w:t>1</w:t>
      </w:r>
      <w:r>
        <w:rPr>
          <w:rFonts w:hint="eastAsia" w:ascii="宋体" w:hAnsi="宋体"/>
          <w:color w:val="auto"/>
          <w:sz w:val="24"/>
          <w:szCs w:val="24"/>
          <w:highlight w:val="none"/>
        </w:rPr>
        <w:t>个月）已依法缴纳社会保险的凭据。</w:t>
      </w:r>
    </w:p>
    <w:p w14:paraId="01E262A3">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依法免税或不需要缴纳社会保障资金的供应商，应提供相应证明文件。</w:t>
      </w:r>
    </w:p>
    <w:p w14:paraId="61420E44">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具备履行合同所必需的设备和专业技术能力。■提供相关设备或设施的购置发票或单据（任一），■专业人员用工合同（任一人），或技术人员的职称证书或职业（执业）资格证或等级证书等相关证书（任一人）等的证明材料。</w:t>
      </w:r>
    </w:p>
    <w:p w14:paraId="73F43ECC">
      <w:pPr>
        <w:widowControl w:val="0"/>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4</w:t>
      </w:r>
      <w:r>
        <w:rPr>
          <w:rFonts w:hint="eastAsia" w:ascii="宋体" w:hAnsi="宋体"/>
          <w:color w:val="auto"/>
          <w:sz w:val="24"/>
          <w:szCs w:val="24"/>
          <w:highlight w:val="none"/>
        </w:rPr>
        <w:t>）参加政府采购活动前</w:t>
      </w:r>
      <w:r>
        <w:rPr>
          <w:rFonts w:ascii="宋体" w:hAnsi="宋体"/>
          <w:color w:val="auto"/>
          <w:sz w:val="24"/>
          <w:szCs w:val="24"/>
          <w:highlight w:val="none"/>
        </w:rPr>
        <w:t>3</w:t>
      </w:r>
      <w:r>
        <w:rPr>
          <w:rFonts w:hint="eastAsia" w:ascii="宋体" w:hAnsi="宋体"/>
          <w:color w:val="auto"/>
          <w:sz w:val="24"/>
          <w:szCs w:val="24"/>
          <w:highlight w:val="none"/>
        </w:rPr>
        <w:t>年内在经营活动中没有重大违法记录。■提供供应商书面声明；供应商自行承诺并承担后果，声明函不实的，按《政府采购法》有关提供虚假材料的有关规定给予处罚。</w:t>
      </w:r>
    </w:p>
    <w:p w14:paraId="423A35D6">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2对供应商的限制性规定</w:t>
      </w:r>
    </w:p>
    <w:p w14:paraId="2F51DC00">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（1）供应商应当无不良信用记录。</w:t>
      </w:r>
      <w:r>
        <w:rPr>
          <w:rFonts w:ascii="宋体" w:hAnsi="宋体"/>
          <w:color w:val="auto"/>
          <w:sz w:val="24"/>
          <w:szCs w:val="24"/>
          <w:highlight w:val="none"/>
        </w:rPr>
        <w:t>(</w:t>
      </w:r>
      <w:r>
        <w:rPr>
          <w:rFonts w:hint="eastAsia" w:ascii="宋体" w:hAnsi="宋体"/>
          <w:color w:val="auto"/>
          <w:sz w:val="24"/>
          <w:szCs w:val="24"/>
          <w:highlight w:val="none"/>
        </w:rPr>
        <w:t>在“信用中国”</w:t>
      </w:r>
      <w:r>
        <w:rPr>
          <w:rFonts w:ascii="宋体" w:hAnsi="宋体"/>
          <w:color w:val="auto"/>
          <w:sz w:val="24"/>
          <w:szCs w:val="24"/>
          <w:highlight w:val="none"/>
        </w:rPr>
        <w:t>&lt;www.creditchina.gov.cn&gt;</w:t>
      </w:r>
      <w:r>
        <w:rPr>
          <w:rFonts w:hint="eastAsia" w:ascii="宋体" w:hAnsi="宋体"/>
          <w:color w:val="auto"/>
          <w:sz w:val="24"/>
          <w:szCs w:val="24"/>
          <w:highlight w:val="none"/>
        </w:rPr>
        <w:t>网站的“失信被执行人”和“重大税收违法失信主体”及“中国政府采购网”</w:t>
      </w:r>
      <w:r>
        <w:rPr>
          <w:rFonts w:ascii="宋体" w:hAnsi="宋体"/>
          <w:color w:val="auto"/>
          <w:sz w:val="24"/>
          <w:szCs w:val="24"/>
          <w:highlight w:val="none"/>
        </w:rPr>
        <w:t>&lt;www.ccgp.gov.cn&gt;</w:t>
      </w:r>
      <w:r>
        <w:rPr>
          <w:rFonts w:hint="eastAsia" w:ascii="宋体" w:hAnsi="宋体"/>
          <w:color w:val="auto"/>
          <w:sz w:val="24"/>
          <w:szCs w:val="24"/>
          <w:highlight w:val="none"/>
        </w:rPr>
        <w:t>网站的“政府采购严重违法失信行为记录名单”</w:t>
      </w:r>
      <w:r>
        <w:rPr>
          <w:rFonts w:hint="eastAsia" w:ascii="宋体" w:hAnsi="宋体"/>
          <w:b/>
          <w:color w:val="auto"/>
          <w:sz w:val="24"/>
          <w:szCs w:val="24"/>
          <w:highlight w:val="none"/>
        </w:rPr>
        <w:t>均未列入</w:t>
      </w:r>
      <w:r>
        <w:rPr>
          <w:rFonts w:ascii="宋体" w:hAnsi="宋体"/>
          <w:color w:val="auto"/>
          <w:sz w:val="24"/>
          <w:szCs w:val="24"/>
          <w:highlight w:val="none"/>
        </w:rPr>
        <w:t>)</w:t>
      </w:r>
    </w:p>
    <w:p w14:paraId="631CF43F">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供应商递交《投标文件》后，采购人或者采购代理机构将按以上信用信息查询渠道在解密《投标文件》之前对参加本项目的供应商信用记录进行查询，供应商有上述任一不良信用记录的，其</w:t>
      </w:r>
      <w:r>
        <w:rPr>
          <w:rFonts w:ascii="宋体" w:hAnsi="宋体"/>
          <w:color w:val="auto"/>
          <w:sz w:val="24"/>
          <w:szCs w:val="24"/>
          <w:highlight w:val="none"/>
        </w:rPr>
        <w:t>投标将被</w:t>
      </w:r>
      <w:r>
        <w:rPr>
          <w:rFonts w:hint="eastAsia" w:ascii="宋体" w:hAnsi="宋体"/>
          <w:color w:val="auto"/>
          <w:sz w:val="24"/>
          <w:szCs w:val="24"/>
          <w:highlight w:val="none"/>
        </w:rPr>
        <w:t>拒</w:t>
      </w:r>
      <w:r>
        <w:rPr>
          <w:rFonts w:ascii="宋体" w:hAnsi="宋体"/>
          <w:color w:val="auto"/>
          <w:sz w:val="24"/>
          <w:szCs w:val="24"/>
          <w:highlight w:val="none"/>
        </w:rPr>
        <w:t>绝</w:t>
      </w:r>
      <w:r>
        <w:rPr>
          <w:rFonts w:hint="eastAsia" w:ascii="宋体" w:hAnsi="宋体"/>
          <w:color w:val="auto"/>
          <w:sz w:val="24"/>
          <w:szCs w:val="24"/>
          <w:highlight w:val="none"/>
        </w:rPr>
        <w:t>、</w:t>
      </w:r>
      <w:r>
        <w:rPr>
          <w:rFonts w:ascii="宋体" w:hAnsi="宋体"/>
          <w:color w:val="auto"/>
          <w:sz w:val="24"/>
          <w:szCs w:val="24"/>
          <w:highlight w:val="none"/>
        </w:rPr>
        <w:t>为无效投</w:t>
      </w:r>
      <w:r>
        <w:rPr>
          <w:rFonts w:hint="eastAsia" w:ascii="宋体" w:hAnsi="宋体"/>
          <w:color w:val="auto"/>
          <w:sz w:val="24"/>
          <w:szCs w:val="24"/>
          <w:highlight w:val="none"/>
        </w:rPr>
        <w:t>标。查询的网页内容将以截图或者拍照作为证据留存。</w:t>
      </w:r>
    </w:p>
    <w:p w14:paraId="40F31E12">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单位负责人为同一人或者存在直接控股、管理关系的不同供应商，不得参加本合同项下的政府采购活动。供应商自行承诺并承担后果，承诺书不实的，按《政府采购法》有关提供虚假材料的有关规定给予处罚。</w:t>
      </w:r>
    </w:p>
    <w:p w14:paraId="7DCC107A">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33921E05">
      <w:pPr>
        <w:widowControl w:val="0"/>
        <w:snapToGrid w:val="0"/>
        <w:spacing w:line="360" w:lineRule="auto"/>
        <w:ind w:firstLine="540" w:firstLineChars="225"/>
        <w:rPr>
          <w:color w:val="auto"/>
          <w:highlight w:val="none"/>
        </w:rPr>
      </w:pPr>
      <w:r>
        <w:rPr>
          <w:rFonts w:hint="eastAsia" w:ascii="宋体" w:hAnsi="宋体"/>
          <w:color w:val="auto"/>
          <w:sz w:val="24"/>
          <w:szCs w:val="24"/>
          <w:highlight w:val="none"/>
        </w:rPr>
        <w:t>2.3</w:t>
      </w:r>
      <w:r>
        <w:rPr>
          <w:rFonts w:ascii="宋体" w:hAnsi="宋体"/>
          <w:color w:val="auto"/>
          <w:sz w:val="24"/>
          <w:szCs w:val="24"/>
          <w:highlight w:val="none"/>
        </w:rPr>
        <w:t>.</w:t>
      </w:r>
      <w:r>
        <w:rPr>
          <w:rFonts w:hint="eastAsia" w:ascii="宋体" w:hAnsi="宋体"/>
          <w:color w:val="auto"/>
          <w:sz w:val="24"/>
          <w:szCs w:val="24"/>
          <w:highlight w:val="none"/>
        </w:rPr>
        <w:t>3项目的特定资格要求：</w:t>
      </w:r>
    </w:p>
    <w:p w14:paraId="4D072B44">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（1）具备法律、行政法规规定的其他条件。</w:t>
      </w:r>
    </w:p>
    <w:p w14:paraId="11EDD40B">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（2）本项目（是/否）接受联合体投标：同“项目基本情况”1.7款要求。</w:t>
      </w:r>
    </w:p>
    <w:p w14:paraId="1F2B2E15">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注：（1）所有证照均应为有效的证照；文中“近”、“前”指距投标截止时间。</w:t>
      </w:r>
    </w:p>
    <w:p w14:paraId="1A3F37ED">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（2）资格证明材料（文件）应附于投标文件中并经投标人电子签章。投标人对资格证明文件真实性有效合规承担责任，提供虚假材料的为无效投标并将进一步追究其责任。（按</w:t>
      </w:r>
      <w:r>
        <w:rPr>
          <w:rFonts w:hint="eastAsia" w:ascii="宋体" w:hAnsi="宋体"/>
          <w:color w:val="auto"/>
          <w:sz w:val="24"/>
          <w:szCs w:val="24"/>
          <w:highlight w:val="none"/>
          <w:lang w:val="zh-CN"/>
        </w:rPr>
        <w:t>第六章</w:t>
      </w:r>
      <w:r>
        <w:rPr>
          <w:rFonts w:hint="eastAsia" w:ascii="宋体" w:hAnsi="宋体"/>
          <w:color w:val="auto"/>
          <w:sz w:val="24"/>
          <w:szCs w:val="24"/>
          <w:highlight w:val="none"/>
        </w:rPr>
        <w:t>14-3附件提供核验材料）</w:t>
      </w:r>
    </w:p>
    <w:p w14:paraId="4798522C">
      <w:pPr>
        <w:widowControl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（3）本项目采取资格后审，开标后，将由谈判小组对投标人的资格证明材料（文件）进行资格审核，未按要求逐一提供、或资格审查不合格的为无效投标，投标人应自负其风险费用。</w:t>
      </w:r>
    </w:p>
    <w:p w14:paraId="7323783C">
      <w:pPr>
        <w:pStyle w:val="15"/>
        <w:shd w:val="clear" w:color="auto" w:fill="FFFFFF"/>
        <w:adjustRightInd w:val="0"/>
        <w:spacing w:before="50" w:beforeAutospacing="0" w:after="0" w:afterAutospacing="0" w:line="300" w:lineRule="auto"/>
        <w:ind w:firstLine="542" w:firstLineChars="225"/>
        <w:rPr>
          <w:b/>
          <w:color w:val="auto"/>
          <w:highlight w:val="none"/>
        </w:rPr>
      </w:pPr>
    </w:p>
    <w:p w14:paraId="5E7531CE">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3</w:t>
      </w:r>
      <w:r>
        <w:rPr>
          <w:rFonts w:hint="eastAsia" w:ascii="黑体" w:hAnsi="黑体" w:eastAsia="黑体"/>
          <w:b/>
          <w:color w:val="auto"/>
          <w:sz w:val="28"/>
          <w:szCs w:val="28"/>
          <w:highlight w:val="none"/>
        </w:rPr>
        <w:t>．获取谈判文件</w:t>
      </w:r>
    </w:p>
    <w:p w14:paraId="44E390A2">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3.1</w:t>
      </w:r>
      <w:r>
        <w:rPr>
          <w:rFonts w:hint="eastAsia"/>
          <w:color w:val="auto"/>
          <w:sz w:val="24"/>
          <w:szCs w:val="24"/>
          <w:highlight w:val="none"/>
        </w:rPr>
        <w:t>时间：</w:t>
      </w:r>
      <w:r>
        <w:rPr>
          <w:rFonts w:hint="eastAsia"/>
          <w:color w:val="auto"/>
          <w:sz w:val="24"/>
          <w:szCs w:val="24"/>
          <w:highlight w:val="none"/>
          <w:lang w:val="en-US" w:eastAsia="zh-CN"/>
        </w:rPr>
        <w:t>2025</w:t>
      </w:r>
      <w:r>
        <w:rPr>
          <w:rFonts w:hint="eastAsia"/>
          <w:color w:val="auto"/>
          <w:sz w:val="24"/>
          <w:szCs w:val="24"/>
          <w:highlight w:val="none"/>
        </w:rPr>
        <w:t>年</w:t>
      </w:r>
      <w:r>
        <w:rPr>
          <w:rFonts w:hint="eastAsia"/>
          <w:color w:val="auto"/>
          <w:sz w:val="24"/>
          <w:szCs w:val="24"/>
          <w:highlight w:val="none"/>
          <w:lang w:val="en-US" w:eastAsia="zh-CN"/>
        </w:rPr>
        <w:t>11</w:t>
      </w:r>
      <w:r>
        <w:rPr>
          <w:rFonts w:hint="eastAsia"/>
          <w:color w:val="auto"/>
          <w:sz w:val="24"/>
          <w:szCs w:val="24"/>
          <w:highlight w:val="none"/>
        </w:rPr>
        <w:t>月</w:t>
      </w:r>
      <w:r>
        <w:rPr>
          <w:rFonts w:hint="eastAsia"/>
          <w:color w:val="auto"/>
          <w:sz w:val="24"/>
          <w:szCs w:val="24"/>
          <w:highlight w:val="none"/>
          <w:lang w:val="en-US" w:eastAsia="zh-CN"/>
        </w:rPr>
        <w:t>28</w:t>
      </w:r>
      <w:r>
        <w:rPr>
          <w:rFonts w:hint="eastAsia"/>
          <w:color w:val="auto"/>
          <w:sz w:val="24"/>
          <w:szCs w:val="24"/>
          <w:highlight w:val="none"/>
        </w:rPr>
        <w:t>日至</w:t>
      </w:r>
      <w:r>
        <w:rPr>
          <w:rFonts w:hint="eastAsia"/>
          <w:color w:val="auto"/>
          <w:sz w:val="24"/>
          <w:szCs w:val="24"/>
          <w:highlight w:val="none"/>
          <w:lang w:val="en-US" w:eastAsia="zh-CN"/>
        </w:rPr>
        <w:t>2025</w:t>
      </w:r>
      <w:r>
        <w:rPr>
          <w:rFonts w:hint="eastAsia"/>
          <w:color w:val="auto"/>
          <w:sz w:val="24"/>
          <w:szCs w:val="24"/>
          <w:highlight w:val="none"/>
        </w:rPr>
        <w:t>年</w:t>
      </w:r>
      <w:r>
        <w:rPr>
          <w:rFonts w:hint="eastAsia"/>
          <w:color w:val="auto"/>
          <w:sz w:val="24"/>
          <w:szCs w:val="24"/>
          <w:highlight w:val="none"/>
          <w:lang w:val="en-US" w:eastAsia="zh-CN"/>
        </w:rPr>
        <w:t>12</w:t>
      </w:r>
      <w:r>
        <w:rPr>
          <w:rFonts w:hint="eastAsia"/>
          <w:color w:val="auto"/>
          <w:sz w:val="24"/>
          <w:szCs w:val="24"/>
          <w:highlight w:val="none"/>
        </w:rPr>
        <w:t>月</w:t>
      </w:r>
      <w:r>
        <w:rPr>
          <w:rFonts w:hint="eastAsia"/>
          <w:color w:val="auto"/>
          <w:sz w:val="24"/>
          <w:szCs w:val="24"/>
          <w:highlight w:val="none"/>
          <w:lang w:val="en-US" w:eastAsia="zh-CN"/>
        </w:rPr>
        <w:t>3</w:t>
      </w:r>
      <w:r>
        <w:rPr>
          <w:rFonts w:hint="eastAsia"/>
          <w:color w:val="auto"/>
          <w:sz w:val="24"/>
          <w:szCs w:val="24"/>
          <w:highlight w:val="none"/>
        </w:rPr>
        <w:t>日，每天上午</w:t>
      </w:r>
      <w:r>
        <w:rPr>
          <w:rFonts w:hint="eastAsia"/>
          <w:color w:val="auto"/>
          <w:sz w:val="24"/>
          <w:szCs w:val="24"/>
          <w:highlight w:val="none"/>
          <w:u w:val="single" w:color="auto"/>
          <w:lang w:val="en-US" w:eastAsia="zh-CN"/>
        </w:rPr>
        <w:t>00:00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rPr>
        <w:t>，下午</w:t>
      </w:r>
      <w:r>
        <w:rPr>
          <w:rFonts w:hint="eastAsia"/>
          <w:color w:val="auto"/>
          <w:sz w:val="24"/>
          <w:szCs w:val="24"/>
          <w:highlight w:val="none"/>
          <w:u w:val="single"/>
          <w:lang w:val="en-US" w:eastAsia="zh-CN"/>
        </w:rPr>
        <w:t>12:00</w:t>
      </w:r>
      <w:r>
        <w:rPr>
          <w:rFonts w:hint="eastAsia"/>
          <w:color w:val="auto"/>
          <w:sz w:val="24"/>
          <w:szCs w:val="24"/>
          <w:highlight w:val="none"/>
        </w:rPr>
        <w:t>至</w:t>
      </w:r>
      <w:r>
        <w:rPr>
          <w:rFonts w:hint="eastAsia"/>
          <w:color w:val="auto"/>
          <w:sz w:val="24"/>
          <w:szCs w:val="24"/>
          <w:highlight w:val="none"/>
          <w:u w:val="single"/>
          <w:lang w:val="en-US" w:eastAsia="zh-CN"/>
        </w:rPr>
        <w:t>23:59</w:t>
      </w:r>
      <w:r>
        <w:rPr>
          <w:rFonts w:hint="eastAsia"/>
          <w:color w:val="auto"/>
          <w:sz w:val="24"/>
          <w:szCs w:val="24"/>
          <w:highlight w:val="none"/>
        </w:rPr>
        <w:t>（北京时间，</w:t>
      </w:r>
      <w:r>
        <w:rPr>
          <w:color w:val="auto"/>
          <w:sz w:val="24"/>
          <w:szCs w:val="24"/>
          <w:highlight w:val="none"/>
        </w:rPr>
        <w:t>法定节假日</w:t>
      </w:r>
      <w:r>
        <w:rPr>
          <w:rFonts w:hint="eastAsia"/>
          <w:color w:val="auto"/>
          <w:sz w:val="24"/>
          <w:szCs w:val="24"/>
          <w:highlight w:val="none"/>
        </w:rPr>
        <w:t>除外）</w:t>
      </w:r>
    </w:p>
    <w:p w14:paraId="090250E0">
      <w:pPr>
        <w:widowControl w:val="0"/>
        <w:snapToGrid w:val="0"/>
        <w:spacing w:line="360" w:lineRule="auto"/>
        <w:ind w:left="55" w:leftChars="26" w:firstLine="472" w:firstLineChars="225"/>
        <w:rPr>
          <w:rFonts w:ascii="宋体" w:hAnsi="宋体"/>
          <w:b/>
          <w:color w:val="auto"/>
          <w:sz w:val="24"/>
          <w:szCs w:val="24"/>
          <w:highlight w:val="none"/>
        </w:rPr>
      </w:pPr>
      <w:r>
        <w:rPr>
          <w:rFonts w:hint="eastAsia"/>
          <w:color w:val="auto"/>
          <w:highlight w:val="none"/>
        </w:rPr>
        <w:t>3.2地点：</w:t>
      </w:r>
      <w:r>
        <w:rPr>
          <w:rFonts w:hint="eastAsia"/>
          <w:b/>
          <w:bCs/>
          <w:color w:val="auto"/>
          <w:sz w:val="24"/>
          <w:szCs w:val="24"/>
          <w:highlight w:val="none"/>
        </w:rPr>
        <w:t>登陆安阳县公共资源交易分中心网站（</w:t>
      </w:r>
      <w:r>
        <w:rPr>
          <w:b/>
          <w:bCs/>
          <w:color w:val="auto"/>
          <w:sz w:val="24"/>
          <w:szCs w:val="24"/>
          <w:highlight w:val="none"/>
        </w:rPr>
        <w:t>https://ggzy.anyang.gov.cn/ayxggzy/</w:t>
      </w:r>
      <w:r>
        <w:rPr>
          <w:rFonts w:hint="eastAsia"/>
          <w:b/>
          <w:bCs/>
          <w:color w:val="auto"/>
          <w:sz w:val="24"/>
          <w:szCs w:val="24"/>
          <w:highlight w:val="none"/>
        </w:rPr>
        <w:t>），在【交易主体登录】入口完成注册。凭数字证书下载谈判文件及其它资料。</w:t>
      </w:r>
    </w:p>
    <w:p w14:paraId="7EB9934F">
      <w:pPr>
        <w:spacing w:line="360" w:lineRule="auto"/>
        <w:ind w:firstLine="540"/>
        <w:rPr>
          <w:b/>
          <w:bCs/>
          <w:color w:val="auto"/>
          <w:sz w:val="24"/>
          <w:szCs w:val="24"/>
          <w:highlight w:val="none"/>
        </w:rPr>
      </w:pPr>
      <w:r>
        <w:rPr>
          <w:rFonts w:hint="eastAsia" w:ascii="宋体" w:hAnsi="宋体"/>
          <w:color w:val="auto"/>
          <w:sz w:val="24"/>
          <w:szCs w:val="24"/>
          <w:highlight w:val="none"/>
        </w:rPr>
        <w:t>3.3方式：</w:t>
      </w:r>
      <w:r>
        <w:rPr>
          <w:rFonts w:hint="eastAsia"/>
          <w:b/>
          <w:bCs/>
          <w:color w:val="auto"/>
          <w:sz w:val="24"/>
          <w:szCs w:val="24"/>
          <w:highlight w:val="none"/>
        </w:rPr>
        <w:t>网上</w:t>
      </w:r>
      <w:r>
        <w:rPr>
          <w:b/>
          <w:bCs/>
          <w:color w:val="auto"/>
          <w:sz w:val="24"/>
          <w:szCs w:val="24"/>
          <w:highlight w:val="none"/>
        </w:rPr>
        <w:t>下载</w:t>
      </w:r>
      <w:r>
        <w:rPr>
          <w:rFonts w:hint="eastAsia"/>
          <w:b/>
          <w:bCs/>
          <w:color w:val="auto"/>
          <w:sz w:val="24"/>
          <w:szCs w:val="24"/>
          <w:highlight w:val="none"/>
        </w:rPr>
        <w:t>；</w:t>
      </w:r>
    </w:p>
    <w:p w14:paraId="0342455C">
      <w:pPr>
        <w:spacing w:line="360" w:lineRule="auto"/>
        <w:ind w:firstLine="540"/>
        <w:rPr>
          <w:b/>
          <w:bCs/>
          <w:color w:val="auto"/>
          <w:sz w:val="24"/>
          <w:szCs w:val="24"/>
          <w:highlight w:val="none"/>
        </w:rPr>
      </w:pPr>
      <w:r>
        <w:rPr>
          <w:rFonts w:hint="eastAsia"/>
          <w:b/>
          <w:bCs/>
          <w:color w:val="auto"/>
          <w:sz w:val="24"/>
          <w:szCs w:val="24"/>
          <w:highlight w:val="none"/>
        </w:rPr>
        <w:t>具体流程请查询安阳县公共资源交易分中心网站-服务指南-操作手册-《安阳市公共资源交易系统投标人（供应商）操作手册》。</w:t>
      </w:r>
      <w:r>
        <w:rPr>
          <w:b/>
          <w:bCs/>
          <w:color w:val="auto"/>
          <w:sz w:val="24"/>
          <w:szCs w:val="24"/>
          <w:highlight w:val="none"/>
        </w:rPr>
        <w:t>如有技术问题请咨询</w:t>
      </w:r>
      <w:r>
        <w:rPr>
          <w:rFonts w:hint="eastAsia"/>
          <w:b/>
          <w:bCs/>
          <w:color w:val="auto"/>
          <w:sz w:val="24"/>
          <w:szCs w:val="24"/>
          <w:highlight w:val="none"/>
        </w:rPr>
        <w:t>400-998-0000、0372-3387739。</w:t>
      </w:r>
    </w:p>
    <w:p w14:paraId="4707F529">
      <w:pPr>
        <w:spacing w:line="360" w:lineRule="auto"/>
        <w:ind w:firstLine="540"/>
        <w:rPr>
          <w:rFonts w:ascii="宋体" w:hAnsi="宋体" w:cs="宋体"/>
          <w:color w:val="auto"/>
          <w:sz w:val="24"/>
          <w:szCs w:val="24"/>
          <w:highlight w:val="none"/>
        </w:rPr>
      </w:pPr>
      <w:r>
        <w:rPr>
          <w:rFonts w:hint="eastAsia" w:ascii="宋体" w:hAnsi="宋体"/>
          <w:color w:val="auto"/>
          <w:sz w:val="24"/>
          <w:szCs w:val="24"/>
          <w:highlight w:val="none"/>
        </w:rPr>
        <w:t>3.4售价：</w:t>
      </w:r>
      <w:r>
        <w:rPr>
          <w:rFonts w:hint="eastAsia" w:ascii="宋体" w:hAnsi="宋体" w:cs="宋体"/>
          <w:color w:val="auto"/>
          <w:sz w:val="24"/>
          <w:szCs w:val="24"/>
          <w:highlight w:val="none"/>
        </w:rPr>
        <w:t>0元</w:t>
      </w:r>
    </w:p>
    <w:p w14:paraId="7292E3D2">
      <w:pPr>
        <w:widowControl w:val="0"/>
        <w:snapToGrid w:val="0"/>
        <w:spacing w:line="360" w:lineRule="auto"/>
        <w:rPr>
          <w:rFonts w:ascii="黑体" w:hAnsi="黑体" w:eastAsia="黑体"/>
          <w:b/>
          <w:color w:val="auto"/>
          <w:sz w:val="28"/>
          <w:szCs w:val="28"/>
          <w:highlight w:val="none"/>
        </w:rPr>
      </w:pPr>
    </w:p>
    <w:p w14:paraId="5A78600B">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4</w:t>
      </w:r>
      <w:r>
        <w:rPr>
          <w:rFonts w:hint="eastAsia" w:ascii="黑体" w:hAnsi="黑体" w:eastAsia="黑体"/>
          <w:b/>
          <w:color w:val="auto"/>
          <w:sz w:val="28"/>
          <w:szCs w:val="28"/>
          <w:highlight w:val="none"/>
        </w:rPr>
        <w:t>．响应文件提交</w:t>
      </w:r>
    </w:p>
    <w:p w14:paraId="022444DC">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4.1截止时间：2025年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日09时00分（北京时间）</w:t>
      </w:r>
    </w:p>
    <w:p w14:paraId="79F27286">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4.2地点：于安阳县公共资源交易平台网</w:t>
      </w:r>
      <w:r>
        <w:rPr>
          <w:rFonts w:ascii="宋体" w:hAnsi="宋体"/>
          <w:color w:val="auto"/>
          <w:sz w:val="24"/>
          <w:szCs w:val="24"/>
          <w:highlight w:val="none"/>
        </w:rPr>
        <w:t>上</w:t>
      </w:r>
      <w:r>
        <w:rPr>
          <w:rFonts w:hint="eastAsia" w:ascii="宋体" w:hAnsi="宋体"/>
          <w:color w:val="auto"/>
          <w:sz w:val="24"/>
          <w:szCs w:val="24"/>
          <w:highlight w:val="none"/>
        </w:rPr>
        <w:t>上传</w:t>
      </w:r>
      <w:r>
        <w:rPr>
          <w:rFonts w:ascii="宋体" w:hAnsi="宋体"/>
          <w:color w:val="auto"/>
          <w:sz w:val="24"/>
          <w:szCs w:val="24"/>
          <w:highlight w:val="none"/>
        </w:rPr>
        <w:t>递</w:t>
      </w:r>
      <w:r>
        <w:rPr>
          <w:rFonts w:hint="eastAsia" w:ascii="宋体" w:hAnsi="宋体"/>
          <w:color w:val="auto"/>
          <w:sz w:val="24"/>
          <w:szCs w:val="24"/>
          <w:highlight w:val="none"/>
        </w:rPr>
        <w:t>交、</w:t>
      </w:r>
      <w:r>
        <w:rPr>
          <w:rFonts w:ascii="宋体" w:hAnsi="宋体"/>
          <w:color w:val="auto"/>
          <w:sz w:val="24"/>
          <w:szCs w:val="24"/>
          <w:highlight w:val="none"/>
        </w:rPr>
        <w:t>并</w:t>
      </w:r>
      <w:r>
        <w:rPr>
          <w:rFonts w:hint="eastAsia" w:ascii="宋体" w:hAnsi="宋体"/>
          <w:color w:val="auto"/>
          <w:sz w:val="24"/>
          <w:szCs w:val="24"/>
          <w:highlight w:val="none"/>
        </w:rPr>
        <w:t>由投标人</w:t>
      </w:r>
      <w:r>
        <w:rPr>
          <w:rFonts w:ascii="宋体" w:hAnsi="宋体"/>
          <w:color w:val="auto"/>
          <w:sz w:val="24"/>
          <w:szCs w:val="24"/>
          <w:highlight w:val="none"/>
        </w:rPr>
        <w:t>在规定时间</w:t>
      </w:r>
      <w:r>
        <w:rPr>
          <w:rFonts w:hint="eastAsia" w:ascii="宋体" w:hAnsi="宋体"/>
          <w:color w:val="auto"/>
          <w:sz w:val="24"/>
          <w:szCs w:val="24"/>
          <w:highlight w:val="none"/>
        </w:rPr>
        <w:t>远程解密。</w:t>
      </w:r>
    </w:p>
    <w:p w14:paraId="43DDAC9D">
      <w:pPr>
        <w:snapToGrid w:val="0"/>
        <w:spacing w:line="360" w:lineRule="auto"/>
        <w:ind w:firstLine="472" w:firstLineChars="225"/>
        <w:jc w:val="left"/>
        <w:rPr>
          <w:rFonts w:ascii="微软雅黑" w:hAnsi="微软雅黑" w:eastAsia="微软雅黑"/>
          <w:color w:val="auto"/>
          <w:szCs w:val="21"/>
          <w:highlight w:val="none"/>
        </w:rPr>
      </w:pPr>
    </w:p>
    <w:p w14:paraId="021AF49C">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5.响应文件开启</w:t>
      </w:r>
    </w:p>
    <w:p w14:paraId="0D71DC24">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5.1时间：2025年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日09时00分（北京时间）</w:t>
      </w:r>
    </w:p>
    <w:p w14:paraId="5E111FA5">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5.2地点（管理员网上操作地点）：安阳县公共资源交易分中心第</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开标厅（安阳市文明大道东段—安阳市城乡一体化示范区管委会院内）。</w:t>
      </w:r>
    </w:p>
    <w:p w14:paraId="71620839">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5.3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因投标人原因未能解密、解密失败或解密超时的将被拒绝。</w:t>
      </w:r>
    </w:p>
    <w:p w14:paraId="6E9BA0FD">
      <w:pPr>
        <w:snapToGrid w:val="0"/>
        <w:spacing w:line="360" w:lineRule="auto"/>
        <w:ind w:firstLine="540" w:firstLineChars="225"/>
        <w:jc w:val="left"/>
        <w:rPr>
          <w:rFonts w:ascii="宋体" w:hAnsi="宋体"/>
          <w:color w:val="auto"/>
          <w:sz w:val="24"/>
          <w:szCs w:val="24"/>
          <w:highlight w:val="none"/>
        </w:rPr>
      </w:pPr>
    </w:p>
    <w:p w14:paraId="17BFCECE">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6.发布公告的媒介及公告期限</w:t>
      </w:r>
    </w:p>
    <w:p w14:paraId="49C5DB2C">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本项目在“河南省政府采购网（安阳市政府采购网）”、“</w:t>
      </w:r>
      <w:r>
        <w:rPr>
          <w:rFonts w:hint="eastAsia" w:ascii="宋体" w:hAnsi="宋体" w:cs="宋体"/>
          <w:color w:val="auto"/>
          <w:sz w:val="24"/>
          <w:szCs w:val="24"/>
          <w:highlight w:val="none"/>
        </w:rPr>
        <w:t>全国公共资源交易平台（河南省·安阳县）</w:t>
      </w:r>
      <w:r>
        <w:rPr>
          <w:rFonts w:hint="eastAsia"/>
          <w:color w:val="auto"/>
          <w:sz w:val="24"/>
          <w:szCs w:val="24"/>
          <w:highlight w:val="none"/>
        </w:rPr>
        <w:t>安阳县公共资源交易分中心</w:t>
      </w:r>
      <w:r>
        <w:rPr>
          <w:rFonts w:hint="eastAsia" w:ascii="宋体" w:hAnsi="宋体"/>
          <w:color w:val="auto"/>
          <w:sz w:val="24"/>
          <w:szCs w:val="24"/>
          <w:highlight w:val="none"/>
        </w:rPr>
        <w:t>”、“安阳招标采购网”网站上同期发布。公告期限为三个工作日</w:t>
      </w:r>
      <w:r>
        <w:rPr>
          <w:rFonts w:hint="eastAsia" w:ascii="宋体" w:hAnsi="宋体" w:cs="宋体"/>
          <w:color w:val="auto"/>
          <w:sz w:val="24"/>
          <w:szCs w:val="24"/>
          <w:highlight w:val="none"/>
        </w:rPr>
        <w:t>。</w:t>
      </w:r>
    </w:p>
    <w:p w14:paraId="5E2DFBD5">
      <w:pPr>
        <w:widowControl w:val="0"/>
        <w:tabs>
          <w:tab w:val="left" w:pos="39"/>
          <w:tab w:val="left" w:pos="96"/>
        </w:tabs>
        <w:snapToGrid w:val="0"/>
        <w:spacing w:line="360" w:lineRule="auto"/>
        <w:ind w:firstLine="566" w:firstLineChars="236"/>
        <w:rPr>
          <w:rFonts w:ascii="宋体" w:hAnsi="宋体" w:cs="宋体"/>
          <w:color w:val="auto"/>
          <w:sz w:val="24"/>
          <w:szCs w:val="24"/>
          <w:highlight w:val="none"/>
        </w:rPr>
      </w:pPr>
    </w:p>
    <w:p w14:paraId="6EFFD47B">
      <w:pPr>
        <w:widowControl w:val="0"/>
        <w:tabs>
          <w:tab w:val="left" w:pos="39"/>
          <w:tab w:val="left" w:pos="96"/>
        </w:tabs>
        <w:snapToGrid w:val="0"/>
        <w:spacing w:line="360" w:lineRule="auto"/>
        <w:ind w:firstLine="663" w:firstLineChars="236"/>
        <w:rPr>
          <w:rFonts w:ascii="黑体" w:hAnsi="黑体" w:eastAsia="黑体"/>
          <w:b/>
          <w:color w:val="auto"/>
          <w:sz w:val="28"/>
          <w:szCs w:val="28"/>
          <w:highlight w:val="none"/>
        </w:rPr>
      </w:pPr>
      <w:r>
        <w:rPr>
          <w:rFonts w:hint="eastAsia" w:ascii="黑体" w:hAnsi="黑体" w:eastAsia="黑体"/>
          <w:b/>
          <w:color w:val="auto"/>
          <w:sz w:val="28"/>
          <w:szCs w:val="28"/>
          <w:highlight w:val="none"/>
        </w:rPr>
        <w:t>7. 其他补充事宜</w:t>
      </w:r>
    </w:p>
    <w:p w14:paraId="5BB20358">
      <w:pPr>
        <w:widowControl w:val="0"/>
        <w:snapToGrid w:val="0"/>
        <w:spacing w:line="360" w:lineRule="auto"/>
        <w:ind w:firstLine="540" w:firstLineChars="225"/>
        <w:jc w:val="left"/>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7.1项目落实的政府采购政策：强制节能产品强制采购、节能产品、环境标志产品优先采购、促进中小企业发展扶持政策、进口产品政策、信息安全产品、社会信用体系建设、促进残疾人就业、支持监狱企业发展、支持绿色建筑、绿色建材，支持不发达、少数民族地区的企业，促进自主创新产业发展，支持脱贫攻坚等。</w:t>
      </w:r>
    </w:p>
    <w:p w14:paraId="3084B430">
      <w:pPr>
        <w:widowControl w:val="0"/>
        <w:snapToGrid w:val="0"/>
        <w:spacing w:line="360" w:lineRule="auto"/>
        <w:ind w:firstLine="540" w:firstLineChars="225"/>
        <w:jc w:val="left"/>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7.2政府采购合同融资</w:t>
      </w:r>
    </w:p>
    <w:p w14:paraId="3080E72A">
      <w:pPr>
        <w:widowControl w:val="0"/>
        <w:snapToGrid w:val="0"/>
        <w:spacing w:line="360" w:lineRule="auto"/>
        <w:ind w:firstLine="540" w:firstLineChars="225"/>
        <w:jc w:val="left"/>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根据豫财购〔2017〕10号和安财购〔2017〕7号文要求，参加政府采购项目的中小微企业供应商，持中标（成交）通知书可向金融机构申请合同融资，详情请登录安阳市政府采购网（http://anyang.hngp.gov.cn/anyang），进入网站飘窗或业务指南窗口了解金融机构提供的融资服务内容。</w:t>
      </w:r>
    </w:p>
    <w:p w14:paraId="5B5FC5AD">
      <w:pPr>
        <w:widowControl w:val="0"/>
        <w:snapToGrid w:val="0"/>
        <w:spacing w:line="360" w:lineRule="auto"/>
        <w:ind w:firstLine="540" w:firstLineChars="225"/>
        <w:jc w:val="left"/>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7.3网上电子交易系统网址</w:t>
      </w:r>
    </w:p>
    <w:p w14:paraId="424BC125">
      <w:pPr>
        <w:widowControl w:val="0"/>
        <w:adjustRightInd w:val="0"/>
        <w:snapToGrid w:val="0"/>
        <w:spacing w:line="360" w:lineRule="auto"/>
        <w:ind w:firstLine="542" w:firstLineChars="225"/>
        <w:rPr>
          <w:rFonts w:ascii="宋体" w:hAnsi="宋体"/>
          <w:b/>
          <w:color w:val="auto"/>
          <w:sz w:val="24"/>
          <w:szCs w:val="24"/>
          <w:highlight w:val="none"/>
        </w:rPr>
      </w:pPr>
      <w:r>
        <w:rPr>
          <w:rFonts w:ascii="宋体" w:hAnsi="宋体"/>
          <w:b/>
          <w:color w:val="auto"/>
          <w:sz w:val="24"/>
          <w:szCs w:val="24"/>
          <w:highlight w:val="none"/>
        </w:rPr>
        <w:t>7.</w:t>
      </w:r>
      <w:r>
        <w:rPr>
          <w:rFonts w:hint="eastAsia" w:ascii="宋体" w:hAnsi="宋体"/>
          <w:b/>
          <w:color w:val="auto"/>
          <w:sz w:val="24"/>
          <w:szCs w:val="24"/>
          <w:highlight w:val="none"/>
        </w:rPr>
        <w:t>3.</w:t>
      </w:r>
      <w:r>
        <w:rPr>
          <w:rFonts w:ascii="宋体" w:hAnsi="宋体"/>
          <w:b/>
          <w:color w:val="auto"/>
          <w:sz w:val="24"/>
          <w:szCs w:val="24"/>
          <w:highlight w:val="none"/>
        </w:rPr>
        <w:t>1</w:t>
      </w:r>
      <w:r>
        <w:rPr>
          <w:rFonts w:hint="eastAsia" w:ascii="宋体" w:hAnsi="宋体"/>
          <w:b/>
          <w:color w:val="auto"/>
          <w:sz w:val="24"/>
          <w:szCs w:val="24"/>
          <w:highlight w:val="none"/>
        </w:rPr>
        <w:t xml:space="preserve"> 全国公共资源交易平台（</w:t>
      </w:r>
      <w:r>
        <w:rPr>
          <w:rFonts w:hint="eastAsia" w:ascii="宋体" w:hAnsi="宋体" w:cs="宋体"/>
          <w:b/>
          <w:color w:val="auto"/>
          <w:sz w:val="24"/>
          <w:szCs w:val="24"/>
          <w:highlight w:val="none"/>
        </w:rPr>
        <w:t>河南省·安阳县</w:t>
      </w:r>
      <w:r>
        <w:rPr>
          <w:rFonts w:hint="eastAsia" w:ascii="宋体" w:hAnsi="宋体"/>
          <w:b/>
          <w:color w:val="auto"/>
          <w:sz w:val="24"/>
          <w:szCs w:val="24"/>
          <w:highlight w:val="none"/>
        </w:rPr>
        <w:t>）</w:t>
      </w:r>
      <w:r>
        <w:rPr>
          <w:rFonts w:ascii="宋体" w:hAnsi="宋体"/>
          <w:b/>
          <w:color w:val="auto"/>
          <w:sz w:val="24"/>
          <w:szCs w:val="24"/>
          <w:highlight w:val="none"/>
        </w:rPr>
        <w:t>https://ggzy.anyang.gov.cn/ayxggzy/</w:t>
      </w:r>
      <w:r>
        <w:rPr>
          <w:rFonts w:hint="eastAsia" w:ascii="宋体" w:hAnsi="宋体"/>
          <w:b/>
          <w:color w:val="auto"/>
          <w:sz w:val="24"/>
          <w:szCs w:val="24"/>
          <w:highlight w:val="none"/>
        </w:rPr>
        <w:t>谈判文件简称“安阳县公共资源交易平台”</w:t>
      </w:r>
    </w:p>
    <w:p w14:paraId="5BBE976E">
      <w:pPr>
        <w:widowControl w:val="0"/>
        <w:tabs>
          <w:tab w:val="left" w:pos="39"/>
          <w:tab w:val="left" w:pos="96"/>
        </w:tabs>
        <w:snapToGrid w:val="0"/>
        <w:spacing w:line="360" w:lineRule="auto"/>
        <w:ind w:firstLine="602" w:firstLineChars="250"/>
        <w:rPr>
          <w:rFonts w:ascii="宋体"/>
          <w:b/>
          <w:color w:val="auto"/>
          <w:sz w:val="24"/>
          <w:szCs w:val="24"/>
          <w:highlight w:val="none"/>
        </w:rPr>
      </w:pPr>
      <w:r>
        <w:rPr>
          <w:rFonts w:ascii="宋体" w:hAnsi="宋体"/>
          <w:b/>
          <w:color w:val="auto"/>
          <w:sz w:val="24"/>
          <w:szCs w:val="24"/>
          <w:highlight w:val="none"/>
        </w:rPr>
        <w:t>7.</w:t>
      </w:r>
      <w:r>
        <w:rPr>
          <w:rFonts w:hint="eastAsia" w:ascii="宋体" w:hAnsi="宋体"/>
          <w:b/>
          <w:color w:val="auto"/>
          <w:sz w:val="24"/>
          <w:szCs w:val="24"/>
          <w:highlight w:val="none"/>
        </w:rPr>
        <w:t>3.</w:t>
      </w:r>
      <w:r>
        <w:rPr>
          <w:rFonts w:ascii="宋体" w:hAnsi="宋体"/>
          <w:b/>
          <w:color w:val="auto"/>
          <w:sz w:val="24"/>
          <w:szCs w:val="24"/>
          <w:highlight w:val="none"/>
        </w:rPr>
        <w:t>2</w:t>
      </w:r>
      <w:r>
        <w:rPr>
          <w:rFonts w:hint="eastAsia" w:ascii="宋体"/>
          <w:b/>
          <w:color w:val="auto"/>
          <w:sz w:val="24"/>
          <w:szCs w:val="24"/>
          <w:highlight w:val="none"/>
        </w:rPr>
        <w:t>投标文件制作软件：</w:t>
      </w:r>
      <w:r>
        <w:rPr>
          <w:rFonts w:hint="eastAsia" w:ascii="宋体" w:hAnsi="宋体"/>
          <w:b/>
          <w:color w:val="auto"/>
          <w:sz w:val="24"/>
          <w:szCs w:val="24"/>
          <w:highlight w:val="none"/>
        </w:rPr>
        <w:t>在安阳县公共资源交易平台内进行下载</w:t>
      </w:r>
      <w:r>
        <w:rPr>
          <w:rFonts w:hint="eastAsia" w:ascii="宋体"/>
          <w:b/>
          <w:color w:val="auto"/>
          <w:sz w:val="24"/>
          <w:szCs w:val="24"/>
          <w:highlight w:val="none"/>
        </w:rPr>
        <w:t>、并安装投标文件制作工具，查看</w:t>
      </w:r>
      <w:r>
        <w:rPr>
          <w:rFonts w:hint="eastAsia" w:ascii="宋体" w:hAnsi="宋体"/>
          <w:b/>
          <w:color w:val="auto"/>
          <w:sz w:val="24"/>
          <w:szCs w:val="24"/>
          <w:highlight w:val="none"/>
        </w:rPr>
        <w:t>谈判</w:t>
      </w:r>
      <w:r>
        <w:rPr>
          <w:rFonts w:hint="eastAsia" w:ascii="宋体"/>
          <w:b/>
          <w:color w:val="auto"/>
          <w:sz w:val="24"/>
          <w:szCs w:val="24"/>
          <w:highlight w:val="none"/>
        </w:rPr>
        <w:t>文件和制作电子投标文件。</w:t>
      </w:r>
    </w:p>
    <w:p w14:paraId="75E0B8FE">
      <w:pPr>
        <w:widowControl w:val="0"/>
        <w:snapToGrid w:val="0"/>
        <w:spacing w:line="360" w:lineRule="auto"/>
        <w:jc w:val="left"/>
        <w:rPr>
          <w:rFonts w:ascii="黑体" w:hAnsi="黑体" w:eastAsia="黑体"/>
          <w:b/>
          <w:color w:val="auto"/>
          <w:sz w:val="28"/>
          <w:szCs w:val="28"/>
          <w:highlight w:val="none"/>
        </w:rPr>
      </w:pPr>
    </w:p>
    <w:p w14:paraId="693AFCC4">
      <w:pPr>
        <w:widowControl w:val="0"/>
        <w:snapToGrid w:val="0"/>
        <w:spacing w:line="360" w:lineRule="auto"/>
        <w:ind w:firstLine="562" w:firstLineChars="200"/>
        <w:rPr>
          <w:rFonts w:ascii="黑体" w:hAnsi="黑体" w:eastAsia="黑体"/>
          <w:b/>
          <w:color w:val="auto"/>
          <w:sz w:val="28"/>
          <w:szCs w:val="28"/>
          <w:highlight w:val="none"/>
        </w:rPr>
      </w:pPr>
      <w:bookmarkStart w:id="5" w:name="_Toc28359085"/>
      <w:bookmarkStart w:id="6" w:name="_Toc35393627"/>
      <w:bookmarkStart w:id="7" w:name="_Toc28359008"/>
      <w:bookmarkStart w:id="8" w:name="_Toc35393796"/>
      <w:r>
        <w:rPr>
          <w:rFonts w:hint="eastAsia" w:ascii="黑体" w:hAnsi="黑体" w:eastAsia="黑体"/>
          <w:b/>
          <w:color w:val="auto"/>
          <w:sz w:val="28"/>
          <w:szCs w:val="28"/>
          <w:highlight w:val="none"/>
        </w:rPr>
        <w:t>8.凡对本次采购提出询问，请按</w:t>
      </w:r>
      <w:r>
        <w:rPr>
          <w:rFonts w:ascii="黑体" w:hAnsi="黑体" w:eastAsia="黑体"/>
          <w:b/>
          <w:color w:val="auto"/>
          <w:sz w:val="28"/>
          <w:szCs w:val="28"/>
          <w:highlight w:val="none"/>
        </w:rPr>
        <w:t>以下方式</w:t>
      </w:r>
      <w:r>
        <w:rPr>
          <w:rFonts w:hint="eastAsia" w:ascii="黑体" w:hAnsi="黑体" w:eastAsia="黑体"/>
          <w:b/>
          <w:color w:val="auto"/>
          <w:sz w:val="28"/>
          <w:szCs w:val="28"/>
          <w:highlight w:val="none"/>
        </w:rPr>
        <w:t>联系。</w:t>
      </w:r>
      <w:bookmarkEnd w:id="5"/>
      <w:bookmarkEnd w:id="6"/>
      <w:bookmarkEnd w:id="7"/>
      <w:bookmarkEnd w:id="8"/>
    </w:p>
    <w:p w14:paraId="708050F5">
      <w:pPr>
        <w:ind w:firstLine="600" w:firstLineChars="250"/>
        <w:jc w:val="left"/>
        <w:rPr>
          <w:rFonts w:ascii="宋体" w:hAnsi="宋体"/>
          <w:color w:val="auto"/>
          <w:sz w:val="24"/>
          <w:szCs w:val="24"/>
          <w:highlight w:val="none"/>
        </w:rPr>
      </w:pPr>
      <w:r>
        <w:rPr>
          <w:rFonts w:hint="eastAsia" w:ascii="宋体" w:hAnsi="宋体" w:cs="宋体"/>
          <w:color w:val="auto"/>
          <w:sz w:val="24"/>
          <w:szCs w:val="24"/>
          <w:highlight w:val="none"/>
        </w:rPr>
        <w:t>8.1采购人信息</w:t>
      </w:r>
    </w:p>
    <w:p w14:paraId="1F6CFF7D">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名 称：安阳县看守所</w:t>
      </w:r>
    </w:p>
    <w:p w14:paraId="522538DF">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地址：安阳县韩陵镇东大佛村</w:t>
      </w:r>
    </w:p>
    <w:p w14:paraId="3A2DF077">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联系人：张希太</w:t>
      </w:r>
    </w:p>
    <w:p w14:paraId="1A9A6559">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联系方式：</w:t>
      </w:r>
      <w:bookmarkStart w:id="9" w:name="_Toc28359086"/>
      <w:bookmarkStart w:id="10" w:name="_Toc28359009"/>
      <w:r>
        <w:rPr>
          <w:rFonts w:hint="eastAsia" w:ascii="宋体" w:hAnsi="宋体"/>
          <w:color w:val="auto"/>
          <w:sz w:val="24"/>
          <w:szCs w:val="24"/>
          <w:highlight w:val="none"/>
        </w:rPr>
        <w:t>15837209771</w:t>
      </w:r>
    </w:p>
    <w:p w14:paraId="209F3149">
      <w:pPr>
        <w:spacing w:line="360" w:lineRule="auto"/>
        <w:ind w:firstLine="480" w:firstLineChars="200"/>
        <w:jc w:val="left"/>
        <w:rPr>
          <w:rFonts w:ascii="宋体" w:hAnsi="宋体"/>
          <w:color w:val="auto"/>
          <w:sz w:val="24"/>
          <w:szCs w:val="24"/>
          <w:highlight w:val="none"/>
        </w:rPr>
      </w:pPr>
      <w:r>
        <w:rPr>
          <w:rFonts w:hint="eastAsia" w:ascii="宋体" w:hAnsi="宋体" w:cs="宋体"/>
          <w:color w:val="auto"/>
          <w:sz w:val="24"/>
          <w:szCs w:val="24"/>
          <w:highlight w:val="none"/>
        </w:rPr>
        <w:t>8.2采购代理机构信息</w:t>
      </w:r>
      <w:bookmarkEnd w:id="9"/>
      <w:bookmarkEnd w:id="10"/>
    </w:p>
    <w:p w14:paraId="035AE8BF">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名 称：安阳市方正招标采购服务有限责任公司  　</w:t>
      </w:r>
    </w:p>
    <w:p w14:paraId="752886A1">
      <w:pPr>
        <w:spacing w:line="360" w:lineRule="auto"/>
        <w:ind w:left="1678" w:leftChars="342" w:hanging="960" w:hangingChars="400"/>
        <w:rPr>
          <w:rFonts w:ascii="宋体" w:hAnsi="宋体"/>
          <w:color w:val="auto"/>
          <w:sz w:val="24"/>
          <w:szCs w:val="24"/>
          <w:highlight w:val="none"/>
        </w:rPr>
      </w:pPr>
      <w:r>
        <w:rPr>
          <w:rFonts w:hint="eastAsia" w:ascii="宋体" w:hAnsi="宋体"/>
          <w:color w:val="auto"/>
          <w:sz w:val="24"/>
          <w:szCs w:val="24"/>
          <w:highlight w:val="none"/>
        </w:rPr>
        <w:t>地　址：安阳市安钢大道39号（人民大道北地下道口南侧、安阳粮食产业集团-后院办公楼五楼）　</w:t>
      </w:r>
    </w:p>
    <w:p w14:paraId="246EC2AC">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 xml:space="preserve">联系人：白杨 </w:t>
      </w:r>
    </w:p>
    <w:p w14:paraId="083DB94B">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联系方式：</w:t>
      </w:r>
      <w:bookmarkStart w:id="11" w:name="_Toc28359087"/>
      <w:bookmarkStart w:id="12" w:name="_Toc28359010"/>
      <w:r>
        <w:rPr>
          <w:rFonts w:hint="eastAsia" w:ascii="宋体" w:hAnsi="宋体"/>
          <w:color w:val="auto"/>
          <w:sz w:val="24"/>
          <w:szCs w:val="24"/>
          <w:highlight w:val="none"/>
        </w:rPr>
        <w:t>0372-2283981、2283982   财务部咨询电话：0372-2283983　</w:t>
      </w:r>
    </w:p>
    <w:p w14:paraId="211C7ACC">
      <w:pP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8.3项目</w:t>
      </w:r>
      <w:r>
        <w:rPr>
          <w:rFonts w:ascii="宋体" w:hAnsi="宋体" w:cs="宋体"/>
          <w:color w:val="auto"/>
          <w:sz w:val="24"/>
          <w:szCs w:val="24"/>
          <w:highlight w:val="none"/>
        </w:rPr>
        <w:t>联系方式</w:t>
      </w:r>
      <w:bookmarkEnd w:id="11"/>
      <w:bookmarkEnd w:id="12"/>
    </w:p>
    <w:p w14:paraId="024DB656">
      <w:pPr>
        <w:pStyle w:val="7"/>
        <w:spacing w:line="360" w:lineRule="auto"/>
        <w:ind w:firstLine="720" w:firstLineChars="300"/>
        <w:rPr>
          <w:rFonts w:hAnsi="宋体"/>
          <w:color w:val="auto"/>
          <w:sz w:val="24"/>
          <w:szCs w:val="24"/>
          <w:highlight w:val="none"/>
        </w:rPr>
      </w:pPr>
      <w:r>
        <w:rPr>
          <w:rFonts w:hint="eastAsia" w:hAnsi="宋体"/>
          <w:color w:val="auto"/>
          <w:sz w:val="24"/>
          <w:szCs w:val="24"/>
          <w:highlight w:val="none"/>
        </w:rPr>
        <w:t xml:space="preserve">项目联系人：白杨  </w:t>
      </w:r>
    </w:p>
    <w:p w14:paraId="40CEDD7E">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 xml:space="preserve">联系方式：0372-2283981、2283982 </w:t>
      </w:r>
    </w:p>
    <w:p w14:paraId="25EE7191">
      <w:pPr>
        <w:pStyle w:val="15"/>
        <w:shd w:val="clear" w:color="auto" w:fill="FFFFFF"/>
        <w:adjustRightInd w:val="0"/>
        <w:spacing w:before="50" w:beforeAutospacing="0" w:after="0" w:afterAutospacing="0" w:line="300" w:lineRule="auto"/>
        <w:rPr>
          <w:color w:val="auto"/>
          <w:highlight w:val="none"/>
        </w:rPr>
      </w:pPr>
    </w:p>
    <w:p w14:paraId="38E3F02C">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9</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网</w:t>
      </w:r>
      <w:r>
        <w:rPr>
          <w:rFonts w:ascii="黑体" w:hAnsi="黑体" w:eastAsia="黑体"/>
          <w:b/>
          <w:color w:val="auto"/>
          <w:sz w:val="28"/>
          <w:szCs w:val="28"/>
          <w:highlight w:val="none"/>
        </w:rPr>
        <w:t>上</w:t>
      </w:r>
      <w:r>
        <w:rPr>
          <w:rFonts w:hint="eastAsia" w:ascii="黑体" w:hAnsi="黑体" w:eastAsia="黑体"/>
          <w:b/>
          <w:color w:val="auto"/>
          <w:sz w:val="28"/>
          <w:szCs w:val="28"/>
          <w:highlight w:val="none"/>
        </w:rPr>
        <w:t>电子交易提示：</w:t>
      </w:r>
    </w:p>
    <w:p w14:paraId="087EFC0E">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w:t>
      </w:r>
      <w:r>
        <w:rPr>
          <w:rFonts w:ascii="宋体" w:hAnsi="宋体"/>
          <w:color w:val="auto"/>
          <w:sz w:val="24"/>
          <w:szCs w:val="24"/>
          <w:highlight w:val="none"/>
        </w:rPr>
        <w:t>.1</w:t>
      </w:r>
      <w:r>
        <w:rPr>
          <w:rFonts w:hint="eastAsia" w:ascii="宋体" w:hAnsi="宋体"/>
          <w:color w:val="auto"/>
          <w:sz w:val="24"/>
          <w:szCs w:val="24"/>
          <w:highlight w:val="none"/>
        </w:rPr>
        <w:t xml:space="preserve"> 注</w:t>
      </w:r>
      <w:r>
        <w:rPr>
          <w:rFonts w:ascii="宋体" w:hAnsi="宋体"/>
          <w:color w:val="auto"/>
          <w:sz w:val="24"/>
          <w:szCs w:val="24"/>
          <w:highlight w:val="none"/>
        </w:rPr>
        <w:t>册</w:t>
      </w:r>
      <w:r>
        <w:rPr>
          <w:rFonts w:hint="eastAsia" w:ascii="宋体" w:hAnsi="宋体"/>
          <w:color w:val="auto"/>
          <w:sz w:val="24"/>
          <w:szCs w:val="24"/>
          <w:highlight w:val="none"/>
        </w:rPr>
        <w:t>：投标人完成注</w:t>
      </w:r>
      <w:r>
        <w:rPr>
          <w:rFonts w:ascii="宋体" w:hAnsi="宋体"/>
          <w:color w:val="auto"/>
          <w:sz w:val="24"/>
          <w:szCs w:val="24"/>
          <w:highlight w:val="none"/>
        </w:rPr>
        <w:t>册</w:t>
      </w:r>
      <w:r>
        <w:rPr>
          <w:rFonts w:hint="eastAsia" w:ascii="宋体" w:hAnsi="宋体"/>
          <w:color w:val="auto"/>
          <w:sz w:val="24"/>
          <w:szCs w:val="24"/>
          <w:highlight w:val="none"/>
        </w:rPr>
        <w:t>、办理数字证书后</w:t>
      </w:r>
      <w:r>
        <w:rPr>
          <w:rFonts w:ascii="宋体" w:hAnsi="宋体"/>
          <w:color w:val="auto"/>
          <w:sz w:val="24"/>
          <w:szCs w:val="24"/>
          <w:highlight w:val="none"/>
        </w:rPr>
        <w:t>，方可</w:t>
      </w:r>
      <w:r>
        <w:rPr>
          <w:rFonts w:hint="eastAsia" w:ascii="宋体" w:hAnsi="宋体"/>
          <w:color w:val="auto"/>
          <w:sz w:val="24"/>
          <w:szCs w:val="24"/>
          <w:highlight w:val="none"/>
        </w:rPr>
        <w:t>获</w:t>
      </w:r>
      <w:r>
        <w:rPr>
          <w:rFonts w:ascii="宋体" w:hAnsi="宋体"/>
          <w:color w:val="auto"/>
          <w:sz w:val="24"/>
          <w:szCs w:val="24"/>
          <w:highlight w:val="none"/>
        </w:rPr>
        <w:t>取谈判文件、</w:t>
      </w:r>
      <w:r>
        <w:rPr>
          <w:rFonts w:hint="eastAsia" w:ascii="宋体" w:hAnsi="宋体"/>
          <w:color w:val="auto"/>
          <w:sz w:val="24"/>
          <w:szCs w:val="24"/>
          <w:highlight w:val="none"/>
        </w:rPr>
        <w:t>参</w:t>
      </w:r>
      <w:r>
        <w:rPr>
          <w:rFonts w:ascii="宋体" w:hAnsi="宋体"/>
          <w:color w:val="auto"/>
          <w:sz w:val="24"/>
          <w:szCs w:val="24"/>
          <w:highlight w:val="none"/>
        </w:rPr>
        <w:t>加</w:t>
      </w:r>
      <w:r>
        <w:rPr>
          <w:rFonts w:hint="eastAsia" w:ascii="宋体" w:hAnsi="宋体"/>
          <w:color w:val="auto"/>
          <w:sz w:val="24"/>
          <w:szCs w:val="24"/>
          <w:highlight w:val="none"/>
        </w:rPr>
        <w:t>投标等网上电子交易。</w:t>
      </w:r>
    </w:p>
    <w:p w14:paraId="26F46CFD">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9.2 获取谈判文件：</w:t>
      </w:r>
      <w:r>
        <w:rPr>
          <w:rFonts w:ascii="宋体" w:hAnsi="宋体"/>
          <w:color w:val="auto"/>
          <w:sz w:val="24"/>
          <w:szCs w:val="24"/>
          <w:highlight w:val="none"/>
        </w:rPr>
        <w:t>按</w:t>
      </w:r>
      <w:r>
        <w:rPr>
          <w:rFonts w:hint="eastAsia" w:ascii="宋体" w:hAnsi="宋体"/>
          <w:color w:val="auto"/>
          <w:sz w:val="24"/>
          <w:szCs w:val="24"/>
          <w:highlight w:val="none"/>
        </w:rPr>
        <w:t>本</w:t>
      </w:r>
      <w:r>
        <w:rPr>
          <w:rFonts w:ascii="宋体" w:hAnsi="宋体"/>
          <w:color w:val="auto"/>
          <w:sz w:val="24"/>
          <w:szCs w:val="24"/>
          <w:highlight w:val="none"/>
        </w:rPr>
        <w:t>章第</w:t>
      </w:r>
      <w:r>
        <w:rPr>
          <w:rFonts w:hint="eastAsia" w:ascii="宋体" w:hAnsi="宋体"/>
          <w:color w:val="auto"/>
          <w:sz w:val="24"/>
          <w:szCs w:val="24"/>
          <w:highlight w:val="none"/>
        </w:rPr>
        <w:t>3条</w:t>
      </w:r>
      <w:r>
        <w:rPr>
          <w:rFonts w:ascii="宋体" w:hAnsi="宋体"/>
          <w:color w:val="auto"/>
          <w:sz w:val="24"/>
          <w:szCs w:val="24"/>
          <w:highlight w:val="none"/>
        </w:rPr>
        <w:t>“</w:t>
      </w:r>
      <w:r>
        <w:rPr>
          <w:rFonts w:hint="eastAsia" w:ascii="宋体" w:hAnsi="宋体"/>
          <w:color w:val="auto"/>
          <w:sz w:val="24"/>
          <w:szCs w:val="24"/>
          <w:highlight w:val="none"/>
        </w:rPr>
        <w:t>获取谈判文件</w:t>
      </w:r>
      <w:r>
        <w:rPr>
          <w:rFonts w:ascii="宋体" w:hAnsi="宋体"/>
          <w:color w:val="auto"/>
          <w:sz w:val="24"/>
          <w:szCs w:val="24"/>
          <w:highlight w:val="none"/>
        </w:rPr>
        <w:t>”</w:t>
      </w:r>
      <w:r>
        <w:rPr>
          <w:rFonts w:hint="eastAsia" w:ascii="宋体" w:hAnsi="宋体"/>
          <w:color w:val="auto"/>
          <w:sz w:val="24"/>
          <w:szCs w:val="24"/>
          <w:highlight w:val="none"/>
        </w:rPr>
        <w:t>办</w:t>
      </w:r>
      <w:r>
        <w:rPr>
          <w:rFonts w:ascii="宋体" w:hAnsi="宋体"/>
          <w:color w:val="auto"/>
          <w:sz w:val="24"/>
          <w:szCs w:val="24"/>
          <w:highlight w:val="none"/>
        </w:rPr>
        <w:t>理。</w:t>
      </w:r>
    </w:p>
    <w:p w14:paraId="58ED22A0">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9.3 谈判文件的澄清与修改或延期的</w:t>
      </w:r>
      <w:r>
        <w:rPr>
          <w:rFonts w:ascii="宋体" w:hAnsi="宋体"/>
          <w:color w:val="auto"/>
          <w:sz w:val="24"/>
          <w:szCs w:val="24"/>
          <w:highlight w:val="none"/>
        </w:rPr>
        <w:t>通知</w:t>
      </w:r>
      <w:r>
        <w:rPr>
          <w:rFonts w:hint="eastAsia" w:ascii="宋体" w:hAnsi="宋体"/>
          <w:color w:val="auto"/>
          <w:sz w:val="24"/>
          <w:szCs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2</w:t>
      </w:r>
      <w:r>
        <w:rPr>
          <w:rFonts w:hint="eastAsia" w:ascii="宋体" w:hAnsi="宋体"/>
          <w:color w:val="auto"/>
          <w:sz w:val="24"/>
          <w:szCs w:val="24"/>
          <w:highlight w:val="none"/>
        </w:rPr>
        <w:t>条“2.4 谈判文件的澄清、修改、补充的通知，及相应时间变更</w:t>
      </w:r>
      <w:r>
        <w:rPr>
          <w:rFonts w:ascii="宋体" w:hAnsi="宋体"/>
          <w:color w:val="auto"/>
          <w:sz w:val="24"/>
          <w:szCs w:val="24"/>
          <w:highlight w:val="none"/>
        </w:rPr>
        <w:t>”执行</w:t>
      </w:r>
      <w:r>
        <w:rPr>
          <w:rFonts w:hint="eastAsia" w:ascii="宋体" w:hAnsi="宋体"/>
          <w:color w:val="auto"/>
          <w:sz w:val="24"/>
          <w:szCs w:val="24"/>
          <w:highlight w:val="none"/>
        </w:rPr>
        <w:t>。</w:t>
      </w:r>
      <w:r>
        <w:rPr>
          <w:rFonts w:hint="eastAsia" w:ascii="黑体" w:hAnsi="黑体" w:eastAsia="黑体" w:cs="楷体_GB2312"/>
          <w:b/>
          <w:color w:val="auto"/>
          <w:sz w:val="24"/>
          <w:highlight w:val="none"/>
          <w:lang w:val="zh-CN"/>
        </w:rPr>
        <w:t>不</w:t>
      </w:r>
      <w:r>
        <w:rPr>
          <w:rFonts w:ascii="黑体" w:hAnsi="黑体" w:eastAsia="黑体" w:cs="楷体_GB2312"/>
          <w:b/>
          <w:color w:val="auto"/>
          <w:sz w:val="24"/>
          <w:highlight w:val="none"/>
          <w:lang w:val="zh-CN"/>
        </w:rPr>
        <w:t>另行通知。</w:t>
      </w:r>
    </w:p>
    <w:p w14:paraId="7F5B9BB0">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w:t>
      </w:r>
      <w:r>
        <w:rPr>
          <w:rFonts w:ascii="宋体" w:hAnsi="宋体"/>
          <w:color w:val="auto"/>
          <w:sz w:val="24"/>
          <w:szCs w:val="24"/>
          <w:highlight w:val="none"/>
        </w:rPr>
        <w:t>.4</w:t>
      </w:r>
      <w:r>
        <w:rPr>
          <w:rFonts w:hint="eastAsia" w:ascii="宋体" w:hAnsi="宋体"/>
          <w:color w:val="auto"/>
          <w:sz w:val="24"/>
          <w:szCs w:val="24"/>
          <w:highlight w:val="none"/>
        </w:rPr>
        <w:t xml:space="preserve"> 响应文件编制：在安阳县公共资源交易中心网站下载并安装投标文件制作工具、进行编制，按《谈判文件》第三章“投标人须知”第3条第</w:t>
      </w:r>
      <w:r>
        <w:rPr>
          <w:rFonts w:ascii="宋体" w:hAnsi="宋体"/>
          <w:color w:val="auto"/>
          <w:sz w:val="24"/>
          <w:szCs w:val="24"/>
          <w:highlight w:val="none"/>
        </w:rPr>
        <w:t>7</w:t>
      </w:r>
      <w:r>
        <w:rPr>
          <w:rFonts w:hint="eastAsia" w:ascii="宋体" w:hAnsi="宋体"/>
          <w:color w:val="auto"/>
          <w:sz w:val="24"/>
          <w:szCs w:val="24"/>
          <w:highlight w:val="none"/>
        </w:rPr>
        <w:t>款“</w:t>
      </w:r>
      <w:r>
        <w:rPr>
          <w:rFonts w:ascii="宋体" w:hAnsi="宋体"/>
          <w:color w:val="auto"/>
          <w:sz w:val="24"/>
          <w:szCs w:val="24"/>
          <w:highlight w:val="none"/>
        </w:rPr>
        <w:t>3.7</w:t>
      </w:r>
      <w:r>
        <w:rPr>
          <w:rFonts w:hint="eastAsia" w:ascii="宋体" w:hAnsi="宋体"/>
          <w:color w:val="auto"/>
          <w:sz w:val="24"/>
          <w:szCs w:val="24"/>
          <w:highlight w:val="none"/>
        </w:rPr>
        <w:t>投标文件的编制”执行，</w:t>
      </w:r>
      <w:r>
        <w:rPr>
          <w:rFonts w:hint="eastAsia" w:ascii="黑体" w:hAnsi="黑体" w:eastAsia="黑体" w:cs="楷体_GB2312"/>
          <w:b/>
          <w:color w:val="auto"/>
          <w:sz w:val="24"/>
          <w:highlight w:val="none"/>
          <w:lang w:val="zh-CN"/>
        </w:rPr>
        <w:t>否则将会评定为无效投标。</w:t>
      </w:r>
    </w:p>
    <w:p w14:paraId="63692CDA">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color w:val="auto"/>
          <w:sz w:val="24"/>
          <w:szCs w:val="24"/>
          <w:highlight w:val="none"/>
        </w:rPr>
        <w:t>9.5 响应文件递交：</w:t>
      </w:r>
      <w:r>
        <w:rPr>
          <w:rFonts w:hint="eastAsia" w:ascii="宋体" w:hAnsi="宋体"/>
          <w:color w:val="auto"/>
          <w:sz w:val="24"/>
          <w:szCs w:val="24"/>
          <w:highlight w:val="none"/>
        </w:rPr>
        <w:t>投标人应在投标截止时间前上传加密的电子投标文件（*.aytf）到安阳县公共资源交易平台，</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4</w:t>
      </w:r>
      <w:r>
        <w:rPr>
          <w:rFonts w:hint="eastAsia" w:ascii="宋体" w:hAnsi="宋体"/>
          <w:color w:val="auto"/>
          <w:sz w:val="24"/>
          <w:szCs w:val="24"/>
          <w:highlight w:val="none"/>
        </w:rPr>
        <w:t>条</w:t>
      </w:r>
      <w:r>
        <w:rPr>
          <w:rFonts w:ascii="宋体" w:hAnsi="宋体"/>
          <w:color w:val="auto"/>
          <w:sz w:val="24"/>
          <w:szCs w:val="24"/>
          <w:highlight w:val="none"/>
        </w:rPr>
        <w:t xml:space="preserve"> “</w:t>
      </w:r>
      <w:r>
        <w:rPr>
          <w:rFonts w:hint="eastAsia" w:ascii="宋体" w:hAnsi="宋体"/>
          <w:color w:val="auto"/>
          <w:sz w:val="24"/>
          <w:szCs w:val="24"/>
          <w:highlight w:val="none"/>
        </w:rPr>
        <w:t>4. 投标（响应文件的递交）”</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495F0DFD">
      <w:pPr>
        <w:widowControl w:val="0"/>
        <w:tabs>
          <w:tab w:val="left" w:pos="39"/>
          <w:tab w:val="left" w:pos="96"/>
        </w:tabs>
        <w:snapToGrid w:val="0"/>
        <w:spacing w:line="360" w:lineRule="auto"/>
        <w:ind w:firstLine="480" w:firstLineChars="200"/>
        <w:rPr>
          <w:rFonts w:ascii="宋体"/>
          <w:color w:val="auto"/>
          <w:sz w:val="24"/>
          <w:szCs w:val="24"/>
          <w:highlight w:val="none"/>
        </w:rPr>
      </w:pPr>
      <w:r>
        <w:rPr>
          <w:rFonts w:hint="eastAsia" w:ascii="宋体"/>
          <w:color w:val="auto"/>
          <w:sz w:val="24"/>
          <w:szCs w:val="24"/>
          <w:highlight w:val="none"/>
        </w:rPr>
        <w:t>9</w:t>
      </w:r>
      <w:r>
        <w:rPr>
          <w:rFonts w:ascii="宋体"/>
          <w:color w:val="auto"/>
          <w:sz w:val="24"/>
          <w:szCs w:val="24"/>
          <w:highlight w:val="none"/>
        </w:rPr>
        <w:t>.</w:t>
      </w:r>
      <w:r>
        <w:rPr>
          <w:rFonts w:hint="eastAsia" w:ascii="宋体"/>
          <w:color w:val="auto"/>
          <w:sz w:val="24"/>
          <w:szCs w:val="24"/>
          <w:highlight w:val="none"/>
        </w:rPr>
        <w:t>6 响应文件</w:t>
      </w:r>
      <w:r>
        <w:rPr>
          <w:rFonts w:hint="eastAsia" w:ascii="宋体" w:hAnsi="宋体"/>
          <w:color w:val="auto"/>
          <w:sz w:val="24"/>
          <w:szCs w:val="24"/>
          <w:highlight w:val="none"/>
        </w:rPr>
        <w:t>解密</w:t>
      </w:r>
      <w:r>
        <w:rPr>
          <w:rFonts w:hint="eastAsia" w:ascii="宋体"/>
          <w:color w:val="auto"/>
          <w:sz w:val="24"/>
          <w:szCs w:val="24"/>
          <w:highlight w:val="none"/>
        </w:rPr>
        <w:t>：</w:t>
      </w:r>
      <w:r>
        <w:rPr>
          <w:bCs/>
          <w:color w:val="auto"/>
          <w:sz w:val="24"/>
          <w:szCs w:val="24"/>
          <w:highlight w:val="none"/>
        </w:rPr>
        <w:t>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5</w:t>
      </w:r>
      <w:r>
        <w:rPr>
          <w:rFonts w:hint="eastAsia" w:ascii="宋体" w:hAnsi="宋体"/>
          <w:color w:val="auto"/>
          <w:sz w:val="24"/>
          <w:szCs w:val="24"/>
          <w:highlight w:val="none"/>
        </w:rPr>
        <w:t>条</w:t>
      </w:r>
      <w:r>
        <w:rPr>
          <w:rFonts w:ascii="宋体" w:hAnsi="宋体"/>
          <w:color w:val="auto"/>
          <w:sz w:val="24"/>
          <w:szCs w:val="24"/>
          <w:highlight w:val="none"/>
        </w:rPr>
        <w:t xml:space="preserve">“5 </w:t>
      </w:r>
      <w:r>
        <w:rPr>
          <w:rFonts w:hint="eastAsia" w:ascii="宋体"/>
          <w:color w:val="auto"/>
          <w:sz w:val="24"/>
          <w:szCs w:val="24"/>
          <w:highlight w:val="none"/>
        </w:rPr>
        <w:t>开标（响应文件的开启）</w:t>
      </w:r>
      <w:r>
        <w:rPr>
          <w:rFonts w:hint="eastAsia" w:ascii="宋体" w:hAnsi="宋体"/>
          <w:color w:val="auto"/>
          <w:sz w:val="24"/>
          <w:szCs w:val="24"/>
          <w:highlight w:val="none"/>
        </w:rPr>
        <w:t>”</w:t>
      </w:r>
      <w:r>
        <w:rPr>
          <w:rFonts w:ascii="宋体" w:hAnsi="宋体"/>
          <w:color w:val="auto"/>
          <w:sz w:val="24"/>
          <w:szCs w:val="24"/>
          <w:highlight w:val="none"/>
        </w:rPr>
        <w:t>执行，</w:t>
      </w:r>
      <w:r>
        <w:rPr>
          <w:rFonts w:hint="eastAsia" w:ascii="宋体" w:hAnsi="宋体" w:cs="楷体_GB2312"/>
          <w:color w:val="auto"/>
          <w:sz w:val="24"/>
          <w:highlight w:val="none"/>
          <w:lang w:val="zh-CN"/>
        </w:rPr>
        <w:t>否</w:t>
      </w:r>
      <w:r>
        <w:rPr>
          <w:rFonts w:ascii="宋体" w:hAnsi="宋体" w:cs="楷体_GB2312"/>
          <w:color w:val="auto"/>
          <w:sz w:val="24"/>
          <w:highlight w:val="none"/>
          <w:lang w:val="zh-CN"/>
        </w:rPr>
        <w:t>则</w:t>
      </w:r>
      <w:r>
        <w:rPr>
          <w:rFonts w:hint="eastAsia" w:ascii="宋体" w:hAnsi="宋体" w:cs="楷体_GB2312"/>
          <w:color w:val="auto"/>
          <w:sz w:val="24"/>
          <w:highlight w:val="none"/>
          <w:lang w:val="zh-CN"/>
        </w:rPr>
        <w:t>其投标将不能被接受</w:t>
      </w:r>
      <w:r>
        <w:rPr>
          <w:rFonts w:ascii="宋体" w:hAnsi="宋体" w:cs="楷体_GB2312"/>
          <w:color w:val="auto"/>
          <w:sz w:val="24"/>
          <w:highlight w:val="none"/>
          <w:lang w:val="zh-CN"/>
        </w:rPr>
        <w:t>。</w:t>
      </w:r>
    </w:p>
    <w:p w14:paraId="078677F6">
      <w:pPr>
        <w:widowControl w:val="0"/>
        <w:tabs>
          <w:tab w:val="left" w:pos="39"/>
          <w:tab w:val="left" w:pos="96"/>
        </w:tabs>
        <w:snapToGrid w:val="0"/>
        <w:spacing w:line="360" w:lineRule="auto"/>
        <w:ind w:firstLine="480" w:firstLineChars="200"/>
        <w:rPr>
          <w:rFonts w:ascii="黑体" w:hAnsi="黑体" w:eastAsia="黑体" w:cs="楷体_GB2312"/>
          <w:b/>
          <w:color w:val="auto"/>
          <w:sz w:val="24"/>
          <w:highlight w:val="none"/>
          <w:lang w:val="zh-CN"/>
        </w:rPr>
      </w:pPr>
      <w:r>
        <w:rPr>
          <w:rFonts w:hint="eastAsia" w:ascii="宋体" w:hAnsi="宋体"/>
          <w:color w:val="auto"/>
          <w:sz w:val="24"/>
          <w:szCs w:val="24"/>
          <w:highlight w:val="none"/>
        </w:rPr>
        <w:t>9</w:t>
      </w:r>
      <w:r>
        <w:rPr>
          <w:rFonts w:ascii="宋体" w:hAnsi="宋体"/>
          <w:color w:val="auto"/>
          <w:sz w:val="24"/>
          <w:szCs w:val="24"/>
          <w:highlight w:val="none"/>
        </w:rPr>
        <w:t>.</w:t>
      </w:r>
      <w:r>
        <w:rPr>
          <w:rFonts w:hint="eastAsia" w:ascii="宋体" w:hAnsi="宋体"/>
          <w:color w:val="auto"/>
          <w:sz w:val="24"/>
          <w:szCs w:val="24"/>
          <w:highlight w:val="none"/>
        </w:rPr>
        <w:t>7谈</w:t>
      </w:r>
      <w:r>
        <w:rPr>
          <w:rFonts w:ascii="宋体" w:hAnsi="宋体"/>
          <w:color w:val="auto"/>
          <w:sz w:val="24"/>
          <w:szCs w:val="24"/>
          <w:highlight w:val="none"/>
        </w:rPr>
        <w:t>判：</w:t>
      </w:r>
      <w:r>
        <w:rPr>
          <w:rFonts w:hint="eastAsia" w:ascii="宋体" w:hAnsi="宋体"/>
          <w:color w:val="auto"/>
          <w:sz w:val="24"/>
          <w:highlight w:val="none"/>
        </w:rPr>
        <w:t>时刻关注电子开标室并及时澄清，有</w:t>
      </w:r>
      <w:r>
        <w:rPr>
          <w:rFonts w:ascii="宋体" w:hAnsi="宋体"/>
          <w:color w:val="auto"/>
          <w:sz w:val="24"/>
          <w:highlight w:val="none"/>
        </w:rPr>
        <w:t>效投标人在规定时间进行</w:t>
      </w:r>
      <w:r>
        <w:rPr>
          <w:rFonts w:hint="eastAsia" w:ascii="宋体" w:hAnsi="宋体"/>
          <w:color w:val="auto"/>
          <w:sz w:val="24"/>
          <w:highlight w:val="none"/>
        </w:rPr>
        <w:t>最后报价</w:t>
      </w:r>
      <w:r>
        <w:rPr>
          <w:rFonts w:ascii="宋体" w:hAnsi="宋体"/>
          <w:color w:val="auto"/>
          <w:sz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》第四章“评审办法”</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4DDD96DB">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9.8锁名称变更或者延期可能会导致开标过程无法正常解密标书。开标过程中解密必须使用生成标书时使用的CA锁，丢失、变更、延期都会导致无法解密。如无待开标解密项目，变更或者延期不影响正常的业务操作，但需要注意如下事项：</w:t>
      </w:r>
    </w:p>
    <w:p w14:paraId="671F12DC">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①锁名称变更前建议先在交易系统修改单位名称为最新的，变更完成后再变更锁名称，以免因名称不一致无法正常登录系统。</w:t>
      </w:r>
    </w:p>
    <w:p w14:paraId="51A4DEA3">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②锁延期之后序列号可能会发生改变（视不同CA而定），变更后需要重新进行绑定。</w:t>
      </w:r>
    </w:p>
    <w:p w14:paraId="3FAED176">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9.9政府采购电子交易中，投标人网上电子交易的系统操作规则应以安阳市公共资源交易平台即时发布的相关规则为准。</w:t>
      </w:r>
    </w:p>
    <w:p w14:paraId="1C575254">
      <w:pPr>
        <w:widowControl w:val="0"/>
        <w:tabs>
          <w:tab w:val="left" w:pos="39"/>
          <w:tab w:val="left" w:pos="96"/>
        </w:tabs>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9.10 望投标人充分熟悉网上电子交易操作流程、以便有效投标。</w:t>
      </w:r>
    </w:p>
    <w:p w14:paraId="34F53823">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bCs/>
          <w:color w:val="auto"/>
          <w:sz w:val="24"/>
          <w:szCs w:val="24"/>
          <w:highlight w:val="none"/>
        </w:rPr>
        <w:t>9.11 如遇到网上系统操作等技术问题请咨询</w:t>
      </w:r>
      <w:r>
        <w:rPr>
          <w:rFonts w:hint="eastAsia" w:ascii="宋体" w:hAnsi="宋体"/>
          <w:color w:val="auto"/>
          <w:sz w:val="24"/>
          <w:szCs w:val="24"/>
          <w:highlight w:val="none"/>
        </w:rPr>
        <w:t>400-998-0000、0372-3387739。</w:t>
      </w:r>
    </w:p>
    <w:p w14:paraId="24CD8A9B">
      <w:pPr>
        <w:widowControl w:val="0"/>
        <w:tabs>
          <w:tab w:val="left" w:pos="39"/>
          <w:tab w:val="left" w:pos="96"/>
        </w:tabs>
        <w:snapToGrid w:val="0"/>
        <w:spacing w:line="360" w:lineRule="auto"/>
        <w:ind w:firstLine="540" w:firstLineChars="225"/>
        <w:rPr>
          <w:rFonts w:ascii="宋体"/>
          <w:color w:val="auto"/>
          <w:sz w:val="24"/>
          <w:szCs w:val="24"/>
          <w:highlight w:val="none"/>
        </w:rPr>
      </w:pPr>
    </w:p>
    <w:p w14:paraId="0947C174">
      <w:pPr>
        <w:widowControl w:val="0"/>
        <w:tabs>
          <w:tab w:val="left" w:pos="39"/>
          <w:tab w:val="left" w:pos="96"/>
        </w:tabs>
        <w:snapToGrid w:val="0"/>
        <w:spacing w:line="360" w:lineRule="auto"/>
        <w:ind w:firstLine="5220" w:firstLineChars="2175"/>
        <w:jc w:val="right"/>
        <w:rPr>
          <w:rFonts w:ascii="宋体"/>
          <w:color w:val="auto"/>
          <w:sz w:val="24"/>
          <w:szCs w:val="24"/>
          <w:highlight w:val="none"/>
        </w:rPr>
      </w:pPr>
      <w:r>
        <w:rPr>
          <w:rFonts w:hint="eastAsia" w:ascii="宋体"/>
          <w:color w:val="auto"/>
          <w:sz w:val="24"/>
          <w:szCs w:val="24"/>
          <w:highlight w:val="none"/>
        </w:rPr>
        <w:t>安阳市方正招标采购服务有限责任公司</w:t>
      </w:r>
    </w:p>
    <w:p w14:paraId="024C153B">
      <w:pPr>
        <w:widowControl w:val="0"/>
        <w:tabs>
          <w:tab w:val="left" w:pos="39"/>
          <w:tab w:val="left" w:pos="96"/>
        </w:tabs>
        <w:snapToGrid w:val="0"/>
        <w:spacing w:line="360" w:lineRule="auto"/>
        <w:ind w:firstLine="540" w:firstLineChars="225"/>
        <w:jc w:val="right"/>
        <w:rPr>
          <w:rFonts w:ascii="宋体"/>
          <w:color w:val="auto"/>
          <w:sz w:val="24"/>
          <w:szCs w:val="24"/>
          <w:highlight w:val="none"/>
        </w:rPr>
      </w:pPr>
      <w:r>
        <w:rPr>
          <w:rFonts w:hint="eastAsia" w:ascii="宋体"/>
          <w:color w:val="auto"/>
          <w:sz w:val="24"/>
          <w:szCs w:val="24"/>
          <w:highlight w:val="none"/>
        </w:rPr>
        <w:t>二〇二五年</w:t>
      </w:r>
      <w:r>
        <w:rPr>
          <w:rFonts w:hint="eastAsia" w:ascii="宋体"/>
          <w:color w:val="auto"/>
          <w:sz w:val="24"/>
          <w:szCs w:val="24"/>
          <w:highlight w:val="none"/>
          <w:lang w:eastAsia="zh-CN"/>
        </w:rPr>
        <w:t>十一</w:t>
      </w:r>
      <w:r>
        <w:rPr>
          <w:rFonts w:hint="eastAsia" w:ascii="宋体"/>
          <w:color w:val="auto"/>
          <w:sz w:val="24"/>
          <w:szCs w:val="24"/>
          <w:highlight w:val="none"/>
        </w:rPr>
        <w:t>月</w:t>
      </w:r>
      <w:r>
        <w:rPr>
          <w:rFonts w:hint="eastAsia" w:ascii="宋体"/>
          <w:color w:val="auto"/>
          <w:sz w:val="24"/>
          <w:szCs w:val="24"/>
          <w:highlight w:val="none"/>
          <w:lang w:eastAsia="zh-CN"/>
        </w:rPr>
        <w:t>二十七</w:t>
      </w:r>
      <w:r>
        <w:rPr>
          <w:rFonts w:hint="eastAsia" w:ascii="宋体"/>
          <w:color w:val="auto"/>
          <w:sz w:val="24"/>
          <w:szCs w:val="24"/>
          <w:highlight w:val="none"/>
        </w:rPr>
        <w:t>日</w:t>
      </w:r>
    </w:p>
    <w:p w14:paraId="3B4B6895">
      <w:pPr>
        <w:widowControl w:val="0"/>
        <w:tabs>
          <w:tab w:val="left" w:pos="39"/>
          <w:tab w:val="left" w:pos="96"/>
        </w:tabs>
        <w:snapToGrid w:val="0"/>
        <w:spacing w:line="360" w:lineRule="auto"/>
        <w:ind w:firstLine="630" w:firstLineChars="225"/>
        <w:rPr>
          <w:rFonts w:ascii="宋体" w:hAnsi="宋体"/>
          <w:color w:val="auto"/>
          <w:sz w:val="24"/>
          <w:szCs w:val="24"/>
          <w:highlight w:val="none"/>
        </w:rPr>
      </w:pPr>
      <w:r>
        <w:rPr>
          <w:rFonts w:eastAsia="方正黑体简体"/>
          <w:color w:val="auto"/>
          <w:sz w:val="28"/>
          <w:szCs w:val="28"/>
          <w:highlight w:val="none"/>
        </w:rPr>
        <w:br w:type="page"/>
      </w:r>
    </w:p>
    <w:p w14:paraId="166C7415">
      <w:pPr>
        <w:widowControl w:val="0"/>
        <w:snapToGrid w:val="0"/>
        <w:spacing w:line="360" w:lineRule="auto"/>
        <w:jc w:val="center"/>
        <w:outlineLvl w:val="0"/>
        <w:rPr>
          <w:rFonts w:eastAsia="方正黑体简体"/>
          <w:color w:val="auto"/>
          <w:sz w:val="36"/>
          <w:szCs w:val="36"/>
          <w:highlight w:val="none"/>
        </w:rPr>
      </w:pPr>
      <w:bookmarkStart w:id="13" w:name="_Toc209083623"/>
      <w:r>
        <w:rPr>
          <w:rFonts w:hint="eastAsia" w:eastAsia="黑体"/>
          <w:b/>
          <w:color w:val="auto"/>
          <w:sz w:val="36"/>
          <w:szCs w:val="36"/>
          <w:highlight w:val="none"/>
        </w:rPr>
        <w:t>第二章 采购项目及技术服务要求</w:t>
      </w:r>
      <w:bookmarkEnd w:id="13"/>
    </w:p>
    <w:p w14:paraId="1E7B742F">
      <w:pPr>
        <w:widowControl w:val="0"/>
        <w:snapToGrid w:val="0"/>
        <w:spacing w:line="360" w:lineRule="auto"/>
        <w:rPr>
          <w:b/>
          <w:color w:val="auto"/>
          <w:sz w:val="28"/>
          <w:highlight w:val="none"/>
        </w:rPr>
      </w:pPr>
    </w:p>
    <w:p w14:paraId="4EF7EE34">
      <w:pPr>
        <w:widowControl w:val="0"/>
        <w:snapToGrid w:val="0"/>
        <w:spacing w:line="360" w:lineRule="auto"/>
        <w:ind w:firstLine="422" w:firstLineChars="150"/>
        <w:jc w:val="left"/>
        <w:outlineLvl w:val="1"/>
        <w:rPr>
          <w:rFonts w:ascii="黑体" w:hAnsi="黑体" w:eastAsia="黑体"/>
          <w:b/>
          <w:color w:val="auto"/>
          <w:sz w:val="28"/>
          <w:highlight w:val="none"/>
        </w:rPr>
      </w:pPr>
      <w:bookmarkStart w:id="14" w:name="_Toc209083624"/>
      <w:r>
        <w:rPr>
          <w:rFonts w:ascii="黑体" w:hAnsi="黑体" w:eastAsia="黑体"/>
          <w:b/>
          <w:color w:val="auto"/>
          <w:sz w:val="28"/>
          <w:highlight w:val="none"/>
        </w:rPr>
        <w:t xml:space="preserve">1. </w:t>
      </w:r>
      <w:r>
        <w:rPr>
          <w:rFonts w:hint="eastAsia" w:ascii="黑体" w:hAnsi="黑体" w:eastAsia="黑体"/>
          <w:b/>
          <w:color w:val="auto"/>
          <w:sz w:val="28"/>
          <w:highlight w:val="none"/>
        </w:rPr>
        <w:t>采购项目、标段（包）划分、投标报价</w:t>
      </w:r>
      <w:bookmarkEnd w:id="14"/>
    </w:p>
    <w:p w14:paraId="1C72249C">
      <w:pPr>
        <w:widowControl w:val="0"/>
        <w:snapToGrid w:val="0"/>
        <w:spacing w:line="360" w:lineRule="auto"/>
        <w:ind w:firstLine="482" w:firstLineChars="200"/>
        <w:jc w:val="left"/>
        <w:rPr>
          <w:color w:val="auto"/>
          <w:sz w:val="24"/>
          <w:szCs w:val="24"/>
          <w:highlight w:val="none"/>
        </w:rPr>
      </w:pPr>
      <w:r>
        <w:rPr>
          <w:rFonts w:ascii="黑体" w:hAnsi="黑体" w:eastAsia="黑体"/>
          <w:b/>
          <w:color w:val="auto"/>
          <w:sz w:val="24"/>
          <w:szCs w:val="24"/>
          <w:highlight w:val="none"/>
        </w:rPr>
        <w:t>1.1</w:t>
      </w:r>
      <w:r>
        <w:rPr>
          <w:rFonts w:hint="eastAsia" w:ascii="黑体" w:hAnsi="黑体" w:eastAsia="黑体"/>
          <w:b/>
          <w:color w:val="auto"/>
          <w:sz w:val="24"/>
          <w:szCs w:val="24"/>
          <w:highlight w:val="none"/>
        </w:rPr>
        <w:t>采购项目名称</w:t>
      </w:r>
      <w:r>
        <w:rPr>
          <w:rFonts w:hint="eastAsia"/>
          <w:color w:val="auto"/>
          <w:sz w:val="24"/>
          <w:szCs w:val="24"/>
          <w:highlight w:val="none"/>
        </w:rPr>
        <w:t>：安阳县公安局安阳县看守所智能谈话教育系统项目</w:t>
      </w:r>
    </w:p>
    <w:p w14:paraId="6A006193">
      <w:pPr>
        <w:widowControl w:val="0"/>
        <w:snapToGrid w:val="0"/>
        <w:spacing w:line="360" w:lineRule="auto"/>
        <w:ind w:firstLine="482" w:firstLineChars="200"/>
        <w:jc w:val="left"/>
        <w:rPr>
          <w:rFonts w:ascii="宋体" w:hAnsi="宋体"/>
          <w:color w:val="auto"/>
          <w:sz w:val="24"/>
          <w:szCs w:val="24"/>
          <w:highlight w:val="none"/>
        </w:rPr>
      </w:pPr>
      <w:r>
        <w:rPr>
          <w:rFonts w:ascii="黑体" w:hAnsi="黑体" w:eastAsia="黑体"/>
          <w:b/>
          <w:color w:val="auto"/>
          <w:sz w:val="24"/>
          <w:szCs w:val="24"/>
          <w:highlight w:val="none"/>
        </w:rPr>
        <w:t xml:space="preserve">1.2 </w:t>
      </w:r>
      <w:r>
        <w:rPr>
          <w:rFonts w:hint="eastAsia" w:ascii="黑体" w:hAnsi="黑体" w:eastAsia="黑体"/>
          <w:b/>
          <w:color w:val="auto"/>
          <w:sz w:val="24"/>
          <w:szCs w:val="24"/>
          <w:highlight w:val="none"/>
        </w:rPr>
        <w:t>标段（包）划分及其交验期交验地点</w:t>
      </w:r>
      <w:r>
        <w:rPr>
          <w:rFonts w:hint="eastAsia"/>
          <w:color w:val="auto"/>
          <w:sz w:val="24"/>
          <w:szCs w:val="24"/>
          <w:highlight w:val="none"/>
        </w:rPr>
        <w:t>：</w:t>
      </w:r>
      <w:r>
        <w:rPr>
          <w:rFonts w:hint="eastAsia" w:ascii="宋体" w:hAnsi="宋体"/>
          <w:color w:val="auto"/>
          <w:sz w:val="24"/>
          <w:szCs w:val="24"/>
          <w:highlight w:val="none"/>
        </w:rPr>
        <w:t>本次采购项目划分为1个标段（包）。</w:t>
      </w:r>
    </w:p>
    <w:tbl>
      <w:tblPr>
        <w:tblStyle w:val="16"/>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1835"/>
        <w:gridCol w:w="2835"/>
        <w:gridCol w:w="1701"/>
        <w:gridCol w:w="1207"/>
      </w:tblGrid>
      <w:tr w14:paraId="7D09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9679" w:type="dxa"/>
            <w:gridSpan w:val="5"/>
            <w:vAlign w:val="center"/>
          </w:tcPr>
          <w:p w14:paraId="1E751B03">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标段（包）一览表</w:t>
            </w:r>
          </w:p>
        </w:tc>
      </w:tr>
      <w:tr w14:paraId="23B0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01" w:type="dxa"/>
            <w:vAlign w:val="center"/>
          </w:tcPr>
          <w:p w14:paraId="06A81125">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项目名称</w:t>
            </w:r>
          </w:p>
        </w:tc>
        <w:tc>
          <w:tcPr>
            <w:tcW w:w="1835" w:type="dxa"/>
            <w:vAlign w:val="center"/>
          </w:tcPr>
          <w:p w14:paraId="385E71F0">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标段（包）名称</w:t>
            </w:r>
          </w:p>
        </w:tc>
        <w:tc>
          <w:tcPr>
            <w:tcW w:w="2835" w:type="dxa"/>
            <w:vAlign w:val="center"/>
          </w:tcPr>
          <w:p w14:paraId="39F9700C">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标段（包）内容（范围）</w:t>
            </w:r>
          </w:p>
        </w:tc>
        <w:tc>
          <w:tcPr>
            <w:tcW w:w="1701" w:type="dxa"/>
            <w:vAlign w:val="center"/>
          </w:tcPr>
          <w:p w14:paraId="68282717">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合同履行期限</w:t>
            </w:r>
          </w:p>
          <w:p w14:paraId="4AFB8695">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（交验期）</w:t>
            </w:r>
          </w:p>
        </w:tc>
        <w:tc>
          <w:tcPr>
            <w:tcW w:w="1207" w:type="dxa"/>
            <w:vAlign w:val="center"/>
          </w:tcPr>
          <w:p w14:paraId="1837B54C">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交验地点</w:t>
            </w:r>
          </w:p>
        </w:tc>
      </w:tr>
      <w:tr w14:paraId="544A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101" w:type="dxa"/>
            <w:vAlign w:val="center"/>
          </w:tcPr>
          <w:p w14:paraId="69374093">
            <w:pPr>
              <w:widowControl w:val="0"/>
              <w:snapToGrid w:val="0"/>
              <w:spacing w:line="240" w:lineRule="auto"/>
              <w:rPr>
                <w:rFonts w:ascii="宋体" w:hAnsi="宋体"/>
                <w:color w:val="auto"/>
                <w:sz w:val="24"/>
                <w:szCs w:val="24"/>
                <w:highlight w:val="none"/>
              </w:rPr>
            </w:pPr>
            <w:r>
              <w:rPr>
                <w:rFonts w:hint="eastAsia"/>
                <w:color w:val="auto"/>
                <w:sz w:val="24"/>
                <w:szCs w:val="24"/>
                <w:highlight w:val="none"/>
              </w:rPr>
              <w:t>安阳县公安局安阳县看守所智能谈话教育系统项目</w:t>
            </w:r>
          </w:p>
        </w:tc>
        <w:tc>
          <w:tcPr>
            <w:tcW w:w="1835" w:type="dxa"/>
            <w:vAlign w:val="center"/>
          </w:tcPr>
          <w:p w14:paraId="625EB611">
            <w:pPr>
              <w:widowControl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同项目名称</w:t>
            </w:r>
          </w:p>
        </w:tc>
        <w:tc>
          <w:tcPr>
            <w:tcW w:w="2835" w:type="dxa"/>
            <w:vAlign w:val="center"/>
          </w:tcPr>
          <w:p w14:paraId="034C31E5">
            <w:pPr>
              <w:widowControl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见“第二章第</w:t>
            </w:r>
            <w:r>
              <w:rPr>
                <w:rFonts w:ascii="宋体" w:hAnsi="宋体"/>
                <w:color w:val="auto"/>
                <w:sz w:val="24"/>
                <w:szCs w:val="24"/>
                <w:highlight w:val="none"/>
              </w:rPr>
              <w:t>2</w:t>
            </w:r>
            <w:r>
              <w:rPr>
                <w:rFonts w:hint="eastAsia" w:ascii="宋体" w:hAnsi="宋体"/>
                <w:color w:val="auto"/>
                <w:sz w:val="24"/>
                <w:szCs w:val="24"/>
                <w:highlight w:val="none"/>
              </w:rPr>
              <w:t>条：标段（包）内容（范围）及基本技术要求”</w:t>
            </w:r>
          </w:p>
        </w:tc>
        <w:tc>
          <w:tcPr>
            <w:tcW w:w="1701" w:type="dxa"/>
            <w:vAlign w:val="center"/>
          </w:tcPr>
          <w:p w14:paraId="6F34D37B">
            <w:pPr>
              <w:rPr>
                <w:rFonts w:ascii="宋体" w:hAnsi="宋体"/>
                <w:color w:val="auto"/>
                <w:sz w:val="24"/>
                <w:szCs w:val="24"/>
                <w:highlight w:val="none"/>
              </w:rPr>
            </w:pPr>
            <w:r>
              <w:rPr>
                <w:rFonts w:hint="eastAsia"/>
                <w:color w:val="auto"/>
                <w:sz w:val="24"/>
                <w:szCs w:val="24"/>
                <w:highlight w:val="none"/>
              </w:rPr>
              <w:t>见谈判公告</w:t>
            </w:r>
            <w:r>
              <w:rPr>
                <w:color w:val="auto"/>
                <w:sz w:val="24"/>
                <w:szCs w:val="24"/>
                <w:highlight w:val="none"/>
              </w:rPr>
              <w:t>1.6</w:t>
            </w:r>
          </w:p>
        </w:tc>
        <w:tc>
          <w:tcPr>
            <w:tcW w:w="1207" w:type="dxa"/>
            <w:vAlign w:val="center"/>
          </w:tcPr>
          <w:p w14:paraId="156CD963">
            <w:pPr>
              <w:widowControl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采购人指定地点</w:t>
            </w:r>
          </w:p>
        </w:tc>
      </w:tr>
    </w:tbl>
    <w:p w14:paraId="4391E3DA">
      <w:pPr>
        <w:widowControl w:val="0"/>
        <w:snapToGrid w:val="0"/>
        <w:spacing w:line="360" w:lineRule="auto"/>
        <w:ind w:firstLine="482" w:firstLineChars="200"/>
        <w:jc w:val="left"/>
        <w:rPr>
          <w:rFonts w:ascii="宋体" w:hAnsi="宋体"/>
          <w:color w:val="auto"/>
          <w:sz w:val="24"/>
          <w:szCs w:val="24"/>
          <w:highlight w:val="none"/>
        </w:rPr>
      </w:pPr>
      <w:r>
        <w:rPr>
          <w:rFonts w:ascii="宋体" w:hAnsi="宋体"/>
          <w:b/>
          <w:color w:val="auto"/>
          <w:sz w:val="24"/>
          <w:szCs w:val="24"/>
          <w:highlight w:val="none"/>
        </w:rPr>
        <w:t xml:space="preserve">1.3 </w:t>
      </w:r>
      <w:r>
        <w:rPr>
          <w:rFonts w:hint="eastAsia" w:ascii="宋体" w:hAnsi="宋体"/>
          <w:b/>
          <w:color w:val="auto"/>
          <w:sz w:val="24"/>
          <w:szCs w:val="24"/>
          <w:highlight w:val="none"/>
        </w:rPr>
        <w:t>投标报价（价格构成）</w:t>
      </w:r>
    </w:p>
    <w:p w14:paraId="03951AB3">
      <w:pPr>
        <w:widowControl w:val="0"/>
        <w:snapToGrid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1.3.1 投标人的投标报价应为达到正常使用条件下的目的地交验价，包括产品价款、相关税款、备品备件价、易损件价、专用工具价、售后及技术服务费、知识产权（如有）、保险（如需）、货物包装、安装调试费、培训费及运送到安阳地区指定地点的运杂费、装卸费等与采购项目相关的、必须的款项及费用（包括未列明而完成交验所必须的所有产品、材料、工具、费用）。成交价格在成交合同范围内固定不变。</w:t>
      </w:r>
    </w:p>
    <w:p w14:paraId="21CE1C20">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1.3.2</w:t>
      </w:r>
      <w:r>
        <w:rPr>
          <w:rFonts w:hint="eastAsia" w:ascii="宋体" w:hAnsi="宋体"/>
          <w:color w:val="auto"/>
          <w:sz w:val="24"/>
          <w:szCs w:val="24"/>
          <w:highlight w:val="none"/>
        </w:rPr>
        <w:t>本次竞争性谈判共二次报价（含系统中开标一览表报价共二次价格谈判）。谈判小组未对谈判文件作优化变更增加的，谈判中的报价均不应超过前次报价，投标人擅自调高报价的，谈判小组将按二次报价中的最低报价作为有效报价。投标人拒绝接受上述意见的，谈判小组将视为变相在提交投标文件（响应文件）截止时间后撤回投标文件（响应文件），并评定其为无效投标。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p>
    <w:p w14:paraId="7D63CFD8">
      <w:pPr>
        <w:autoSpaceDE w:val="0"/>
        <w:autoSpaceDN w:val="0"/>
        <w:adjustRightInd w:val="0"/>
        <w:snapToGrid w:val="0"/>
        <w:spacing w:beforeLines="50" w:line="300" w:lineRule="auto"/>
        <w:ind w:firstLine="569" w:firstLineChars="236"/>
        <w:jc w:val="left"/>
        <w:rPr>
          <w:rFonts w:ascii="宋体" w:hAnsi="宋体"/>
          <w:b/>
          <w:color w:val="auto"/>
          <w:sz w:val="24"/>
          <w:szCs w:val="24"/>
          <w:highlight w:val="none"/>
        </w:rPr>
      </w:pPr>
      <w:r>
        <w:rPr>
          <w:rFonts w:hint="eastAsia" w:ascii="宋体" w:hAnsi="宋体"/>
          <w:b/>
          <w:color w:val="auto"/>
          <w:sz w:val="24"/>
          <w:szCs w:val="24"/>
          <w:highlight w:val="none"/>
        </w:rPr>
        <w:t>价</w:t>
      </w:r>
      <w:r>
        <w:rPr>
          <w:rFonts w:ascii="宋体" w:hAnsi="宋体"/>
          <w:b/>
          <w:color w:val="auto"/>
          <w:sz w:val="24"/>
          <w:szCs w:val="24"/>
          <w:highlight w:val="none"/>
        </w:rPr>
        <w:t>格谈</w:t>
      </w:r>
      <w:r>
        <w:rPr>
          <w:rFonts w:hint="eastAsia" w:ascii="宋体" w:hAnsi="宋体"/>
          <w:b/>
          <w:color w:val="auto"/>
          <w:sz w:val="24"/>
          <w:szCs w:val="24"/>
          <w:highlight w:val="none"/>
        </w:rPr>
        <w:t>判</w:t>
      </w:r>
      <w:r>
        <w:rPr>
          <w:rFonts w:ascii="宋体" w:hAnsi="宋体"/>
          <w:b/>
          <w:color w:val="auto"/>
          <w:sz w:val="24"/>
          <w:szCs w:val="24"/>
          <w:highlight w:val="none"/>
        </w:rPr>
        <w:t>规</w:t>
      </w:r>
      <w:r>
        <w:rPr>
          <w:rFonts w:hint="eastAsia" w:ascii="宋体" w:hAnsi="宋体"/>
          <w:b/>
          <w:color w:val="auto"/>
          <w:sz w:val="24"/>
          <w:szCs w:val="24"/>
          <w:highlight w:val="none"/>
        </w:rPr>
        <w:t>则</w:t>
      </w:r>
      <w:r>
        <w:rPr>
          <w:rFonts w:ascii="宋体" w:hAnsi="宋体"/>
          <w:b/>
          <w:color w:val="auto"/>
          <w:sz w:val="24"/>
          <w:szCs w:val="24"/>
          <w:highlight w:val="none"/>
        </w:rPr>
        <w:t>详见第四章</w:t>
      </w:r>
      <w:r>
        <w:rPr>
          <w:rFonts w:hint="eastAsia" w:ascii="宋体" w:hAnsi="宋体"/>
          <w:b/>
          <w:color w:val="auto"/>
          <w:sz w:val="24"/>
          <w:szCs w:val="24"/>
          <w:highlight w:val="none"/>
        </w:rPr>
        <w:t>“评审办法”</w:t>
      </w:r>
      <w:r>
        <w:rPr>
          <w:rFonts w:ascii="宋体" w:hAnsi="宋体"/>
          <w:b/>
          <w:color w:val="auto"/>
          <w:sz w:val="24"/>
          <w:szCs w:val="24"/>
          <w:highlight w:val="none"/>
        </w:rPr>
        <w:t>第</w:t>
      </w:r>
      <w:r>
        <w:rPr>
          <w:rFonts w:hint="eastAsia" w:ascii="宋体" w:hAnsi="宋体"/>
          <w:b/>
          <w:color w:val="auto"/>
          <w:sz w:val="24"/>
          <w:szCs w:val="24"/>
          <w:highlight w:val="none"/>
        </w:rPr>
        <w:t>“</w:t>
      </w:r>
      <w:r>
        <w:rPr>
          <w:rFonts w:ascii="宋体" w:hAnsi="宋体"/>
          <w:b/>
          <w:color w:val="auto"/>
          <w:sz w:val="24"/>
          <w:szCs w:val="24"/>
          <w:highlight w:val="none"/>
        </w:rPr>
        <w:t xml:space="preserve">3.5.7 </w:t>
      </w:r>
      <w:r>
        <w:rPr>
          <w:rFonts w:hint="eastAsia" w:ascii="宋体" w:hAnsi="宋体"/>
          <w:b/>
          <w:color w:val="auto"/>
          <w:sz w:val="24"/>
          <w:szCs w:val="24"/>
          <w:highlight w:val="none"/>
        </w:rPr>
        <w:t>价格谈判”</w:t>
      </w:r>
      <w:r>
        <w:rPr>
          <w:rFonts w:ascii="宋体" w:hAnsi="宋体"/>
          <w:b/>
          <w:color w:val="auto"/>
          <w:sz w:val="24"/>
          <w:szCs w:val="24"/>
          <w:highlight w:val="none"/>
        </w:rPr>
        <w:t>条款</w:t>
      </w:r>
      <w:r>
        <w:rPr>
          <w:rFonts w:hint="eastAsia" w:ascii="宋体" w:hAnsi="宋体"/>
          <w:b/>
          <w:color w:val="auto"/>
          <w:sz w:val="24"/>
          <w:szCs w:val="24"/>
          <w:highlight w:val="none"/>
        </w:rPr>
        <w:t>。</w:t>
      </w:r>
    </w:p>
    <w:p w14:paraId="07807307">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 xml:space="preserve">1.3.3 </w:t>
      </w:r>
      <w:r>
        <w:rPr>
          <w:rFonts w:hint="eastAsia" w:ascii="宋体" w:hAnsi="宋体"/>
          <w:color w:val="auto"/>
          <w:sz w:val="24"/>
          <w:szCs w:val="24"/>
          <w:highlight w:val="none"/>
        </w:rPr>
        <w:t>如投标人的投标报价未超过预算金额（见谈判公告</w:t>
      </w:r>
      <w:r>
        <w:rPr>
          <w:rFonts w:ascii="宋体" w:hAnsi="宋体"/>
          <w:color w:val="auto"/>
          <w:sz w:val="24"/>
          <w:szCs w:val="24"/>
          <w:highlight w:val="none"/>
        </w:rPr>
        <w:t>1.</w:t>
      </w: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及标段（包）内容中最高限价</w:t>
      </w:r>
      <w:r>
        <w:rPr>
          <w:rFonts w:hint="eastAsia" w:ascii="宋体" w:hAnsi="宋体"/>
          <w:color w:val="auto"/>
          <w:sz w:val="24"/>
          <w:szCs w:val="24"/>
          <w:highlight w:val="none"/>
        </w:rPr>
        <w:t>的供应商不足三家的，该标段（包）做废标处理。</w:t>
      </w:r>
    </w:p>
    <w:p w14:paraId="47879A21">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1.3.4</w:t>
      </w:r>
      <w:r>
        <w:rPr>
          <w:rFonts w:hint="eastAsia" w:ascii="宋体" w:hAnsi="宋体"/>
          <w:color w:val="auto"/>
          <w:sz w:val="24"/>
          <w:szCs w:val="24"/>
          <w:highlight w:val="none"/>
        </w:rPr>
        <w:t>遵循第三章投标人须知</w:t>
      </w:r>
      <w:r>
        <w:rPr>
          <w:rFonts w:ascii="宋体" w:hAnsi="宋体"/>
          <w:color w:val="auto"/>
          <w:sz w:val="24"/>
          <w:szCs w:val="24"/>
          <w:highlight w:val="none"/>
        </w:rPr>
        <w:t>3.7.</w:t>
      </w:r>
      <w:r>
        <w:rPr>
          <w:rFonts w:hint="eastAsia" w:ascii="宋体" w:hAnsi="宋体"/>
          <w:color w:val="auto"/>
          <w:sz w:val="24"/>
          <w:szCs w:val="24"/>
          <w:highlight w:val="none"/>
        </w:rPr>
        <w:t>5项规定。</w:t>
      </w:r>
    </w:p>
    <w:p w14:paraId="0309D7DA">
      <w:pPr>
        <w:spacing w:line="560" w:lineRule="exact"/>
        <w:ind w:firstLine="562" w:firstLineChars="200"/>
        <w:rPr>
          <w:rFonts w:ascii="黑体" w:hAnsi="黑体" w:eastAsia="黑体"/>
          <w:b/>
          <w:color w:val="auto"/>
          <w:sz w:val="28"/>
          <w:highlight w:val="none"/>
        </w:rPr>
      </w:pPr>
    </w:p>
    <w:p w14:paraId="3C524F2A">
      <w:pPr>
        <w:spacing w:line="560" w:lineRule="exact"/>
        <w:ind w:firstLine="562" w:firstLineChars="200"/>
        <w:outlineLvl w:val="1"/>
        <w:rPr>
          <w:rFonts w:ascii="黑体" w:hAnsi="黑体" w:eastAsia="黑体"/>
          <w:b/>
          <w:color w:val="auto"/>
          <w:sz w:val="28"/>
          <w:highlight w:val="none"/>
        </w:rPr>
      </w:pPr>
      <w:bookmarkStart w:id="15" w:name="_Toc209083625"/>
      <w:r>
        <w:rPr>
          <w:rFonts w:ascii="黑体" w:hAnsi="黑体" w:eastAsia="黑体"/>
          <w:b/>
          <w:color w:val="auto"/>
          <w:sz w:val="28"/>
          <w:highlight w:val="none"/>
        </w:rPr>
        <w:t xml:space="preserve">2. </w:t>
      </w:r>
      <w:r>
        <w:rPr>
          <w:rFonts w:hint="eastAsia" w:ascii="黑体" w:hAnsi="黑体" w:eastAsia="黑体"/>
          <w:b/>
          <w:color w:val="auto"/>
          <w:sz w:val="28"/>
          <w:highlight w:val="none"/>
        </w:rPr>
        <w:t>标段（包）内容（范围）及基本技术要求</w:t>
      </w:r>
      <w:bookmarkEnd w:id="15"/>
    </w:p>
    <w:p w14:paraId="3D06BC43">
      <w:pPr>
        <w:spacing w:line="560" w:lineRule="exact"/>
        <w:ind w:firstLine="482" w:firstLineChars="200"/>
        <w:rPr>
          <w:color w:val="auto"/>
          <w:sz w:val="24"/>
          <w:szCs w:val="24"/>
          <w:highlight w:val="none"/>
        </w:rPr>
      </w:pPr>
      <w:r>
        <w:rPr>
          <w:rFonts w:ascii="黑体" w:hAnsi="黑体" w:eastAsia="黑体"/>
          <w:b/>
          <w:color w:val="auto"/>
          <w:sz w:val="24"/>
          <w:szCs w:val="24"/>
          <w:highlight w:val="none"/>
        </w:rPr>
        <w:t xml:space="preserve">2.1 </w:t>
      </w:r>
      <w:r>
        <w:rPr>
          <w:rFonts w:hint="eastAsia" w:ascii="黑体" w:hAnsi="黑体" w:eastAsia="黑体"/>
          <w:b/>
          <w:color w:val="auto"/>
          <w:sz w:val="24"/>
          <w:szCs w:val="24"/>
          <w:highlight w:val="none"/>
        </w:rPr>
        <w:t>总体技术（方案）要求及标段（包）内容（范围）：</w:t>
      </w:r>
      <w:r>
        <w:rPr>
          <w:rFonts w:hint="eastAsia"/>
          <w:color w:val="auto"/>
          <w:sz w:val="24"/>
          <w:szCs w:val="24"/>
          <w:highlight w:val="none"/>
        </w:rPr>
        <w:t>详见下述</w:t>
      </w:r>
      <w:r>
        <w:rPr>
          <w:color w:val="auto"/>
          <w:sz w:val="24"/>
          <w:szCs w:val="24"/>
          <w:highlight w:val="none"/>
        </w:rPr>
        <w:t>2.</w:t>
      </w:r>
      <w:r>
        <w:rPr>
          <w:rFonts w:hint="eastAsia"/>
          <w:color w:val="auto"/>
          <w:sz w:val="24"/>
          <w:szCs w:val="24"/>
          <w:highlight w:val="none"/>
        </w:rPr>
        <w:t>4款</w:t>
      </w:r>
    </w:p>
    <w:p w14:paraId="7E414DC2">
      <w:pPr>
        <w:adjustRightInd w:val="0"/>
        <w:snapToGrid w:val="0"/>
        <w:spacing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 xml:space="preserve">2.2 </w:t>
      </w:r>
      <w:r>
        <w:rPr>
          <w:rFonts w:hint="eastAsia" w:ascii="黑体" w:hAnsi="黑体" w:eastAsia="黑体"/>
          <w:b/>
          <w:color w:val="auto"/>
          <w:sz w:val="24"/>
          <w:szCs w:val="24"/>
          <w:highlight w:val="none"/>
        </w:rPr>
        <w:t>项目落实的政府采购政策（法规标准条款）</w:t>
      </w:r>
    </w:p>
    <w:p w14:paraId="0B7E251A">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.1 </w:t>
      </w:r>
      <w:r>
        <w:rPr>
          <w:rFonts w:hint="eastAsia" w:ascii="宋体" w:hAnsi="宋体"/>
          <w:color w:val="auto"/>
          <w:sz w:val="24"/>
          <w:szCs w:val="24"/>
          <w:highlight w:val="none"/>
        </w:rPr>
        <w:t>政府采购节能产品、环境标志产品实施品目清单管理后，对本次采购产品属于“节能产品政府采购品目清单”中强制采购品目的</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标产</w:t>
      </w:r>
      <w:r>
        <w:rPr>
          <w:rFonts w:hint="eastAsia" w:ascii="宋体" w:hAnsi="宋体" w:cs="宋体"/>
          <w:color w:val="auto"/>
          <w:sz w:val="24"/>
          <w:szCs w:val="24"/>
          <w:highlight w:val="none"/>
        </w:rPr>
        <w:t>品</w:t>
      </w:r>
      <w:r>
        <w:rPr>
          <w:rFonts w:ascii="宋体" w:hAnsi="宋体" w:cs="宋体"/>
          <w:color w:val="auto"/>
          <w:sz w:val="24"/>
          <w:szCs w:val="24"/>
          <w:highlight w:val="none"/>
        </w:rPr>
        <w:t>应当具有</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标文件中应当提供</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p>
    <w:p w14:paraId="54BE5545">
      <w:pPr>
        <w:adjustRightInd w:val="0"/>
        <w:snapToGrid w:val="0"/>
        <w:spacing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属于政府强制采购</w:t>
      </w:r>
      <w:r>
        <w:rPr>
          <w:rFonts w:hint="eastAsia" w:ascii="宋体" w:hAnsi="宋体" w:cs="宋体"/>
          <w:color w:val="auto"/>
          <w:sz w:val="24"/>
          <w:szCs w:val="24"/>
          <w:highlight w:val="none"/>
        </w:rPr>
        <w:t>品目</w:t>
      </w:r>
      <w:r>
        <w:rPr>
          <w:rFonts w:hint="eastAsia" w:ascii="宋体" w:hAnsi="宋体"/>
          <w:color w:val="auto"/>
          <w:sz w:val="24"/>
          <w:szCs w:val="24"/>
          <w:highlight w:val="none"/>
        </w:rPr>
        <w:t>、而未按要求提供相应资料的，</w:t>
      </w:r>
      <w:r>
        <w:rPr>
          <w:rFonts w:hint="eastAsia" w:ascii="宋体" w:hAnsi="宋体"/>
          <w:b/>
          <w:color w:val="auto"/>
          <w:sz w:val="24"/>
          <w:szCs w:val="24"/>
          <w:highlight w:val="none"/>
        </w:rPr>
        <w:t>为无效投标</w:t>
      </w:r>
      <w:r>
        <w:rPr>
          <w:rFonts w:hint="eastAsia" w:ascii="宋体" w:hAnsi="宋体"/>
          <w:color w:val="auto"/>
          <w:sz w:val="24"/>
          <w:szCs w:val="24"/>
          <w:highlight w:val="none"/>
        </w:rPr>
        <w:t>。</w:t>
      </w:r>
    </w:p>
    <w:p w14:paraId="5F6D0875">
      <w:pPr>
        <w:adjustRightInd w:val="0"/>
        <w:snapToGrid w:val="0"/>
        <w:spacing w:beforeLines="50" w:line="300" w:lineRule="auto"/>
        <w:ind w:firstLine="480" w:firstLineChars="200"/>
        <w:rPr>
          <w:rFonts w:ascii="宋体" w:hAnsi="宋体" w:cs="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.2 </w:t>
      </w:r>
      <w:r>
        <w:rPr>
          <w:rFonts w:hint="eastAsia" w:ascii="宋体" w:hAnsi="宋体"/>
          <w:color w:val="auto"/>
          <w:sz w:val="24"/>
          <w:szCs w:val="24"/>
          <w:highlight w:val="none"/>
        </w:rPr>
        <w:t>同等条件下，</w:t>
      </w:r>
      <w:r>
        <w:rPr>
          <w:rFonts w:hint="eastAsia" w:ascii="宋体" w:hAnsi="宋体" w:cs="宋体"/>
          <w:color w:val="auto"/>
          <w:sz w:val="24"/>
          <w:szCs w:val="24"/>
          <w:highlight w:val="none"/>
        </w:rPr>
        <w:t>获得节能产品认证证书或环境标志产品认证证书的产品优先采购。(认证证书应</w:t>
      </w:r>
      <w:r>
        <w:rPr>
          <w:rFonts w:ascii="宋体" w:hAnsi="宋体" w:cs="宋体"/>
          <w:color w:val="auto"/>
          <w:sz w:val="24"/>
          <w:szCs w:val="24"/>
          <w:highlight w:val="none"/>
        </w:rPr>
        <w:t>当为</w:t>
      </w:r>
      <w:r>
        <w:rPr>
          <w:rFonts w:hint="eastAsia" w:ascii="宋体" w:hAnsi="宋体" w:cs="宋体"/>
          <w:color w:val="auto"/>
          <w:sz w:val="24"/>
          <w:szCs w:val="24"/>
          <w:highlight w:val="none"/>
        </w:rPr>
        <w:t>国家确定的认证机构出具、且</w:t>
      </w:r>
      <w:r>
        <w:rPr>
          <w:rFonts w:ascii="宋体" w:hAnsi="宋体" w:cs="宋体"/>
          <w:color w:val="auto"/>
          <w:sz w:val="24"/>
          <w:szCs w:val="24"/>
          <w:highlight w:val="none"/>
        </w:rPr>
        <w:t>应</w:t>
      </w:r>
      <w:r>
        <w:rPr>
          <w:rFonts w:hint="eastAsia" w:ascii="宋体" w:hAnsi="宋体" w:cs="宋体"/>
          <w:color w:val="auto"/>
          <w:sz w:val="24"/>
          <w:szCs w:val="24"/>
          <w:highlight w:val="none"/>
        </w:rPr>
        <w:t>处于有效期之内。)</w:t>
      </w:r>
    </w:p>
    <w:p w14:paraId="29C5AE62">
      <w:pPr>
        <w:adjustRightInd w:val="0"/>
        <w:snapToGrid w:val="0"/>
        <w:spacing w:beforeLines="50" w:line="300" w:lineRule="auto"/>
        <w:ind w:firstLine="480" w:firstLineChars="200"/>
        <w:rPr>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3本次采购产品如有列入《网络关键设备和网络安全专用产品目录》的网络安全专用产品，该产品应当按照《关于调整网络安全专用产品安全管理有关事项的公告》要求进行安全认证或安全检测、或已获得《计算机信息系统安全专用产品销售许可证》（</w:t>
      </w:r>
      <w:r>
        <w:rPr>
          <w:rFonts w:hint="eastAsia" w:ascii="宋体" w:hAnsi="宋体" w:cs="宋体"/>
          <w:color w:val="auto"/>
          <w:sz w:val="24"/>
          <w:szCs w:val="24"/>
          <w:highlight w:val="none"/>
        </w:rPr>
        <w:t>应处于有效期内</w:t>
      </w:r>
      <w:r>
        <w:rPr>
          <w:rFonts w:hint="eastAsia" w:ascii="宋体" w:hAnsi="宋体"/>
          <w:color w:val="auto"/>
          <w:sz w:val="24"/>
          <w:szCs w:val="24"/>
          <w:highlight w:val="none"/>
        </w:rPr>
        <w:t>）。</w:t>
      </w:r>
    </w:p>
    <w:p w14:paraId="10211CBC">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4计算机产品须预装正版操作系统软件。</w:t>
      </w:r>
    </w:p>
    <w:p w14:paraId="31811417">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5本次采购不允许进口产品参加。</w:t>
      </w:r>
    </w:p>
    <w:p w14:paraId="2FDAAA60">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6如允许采购进口产品的，优先采购向我国企业转让技术、与我国企业签订消化吸收再创新方案的供应商的进口产品。</w:t>
      </w:r>
    </w:p>
    <w:p w14:paraId="16C3BD6E">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7促进中小企业发展扶持政策：见第四章“评审办法”第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0BF184DC">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8促进残疾人就业、支持监狱企业发展：见第四章“评审办法”第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727700FA">
      <w:pPr>
        <w:adjustRightInd w:val="0"/>
        <w:snapToGrid w:val="0"/>
        <w:spacing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9所供产品有商品包装的应当使用绿色包装。所供产品有其他环保政策要求的，应符合相关环保法律政策要求。</w:t>
      </w:r>
    </w:p>
    <w:p w14:paraId="5A387ADF">
      <w:pPr>
        <w:adjustRightInd w:val="0"/>
        <w:snapToGrid w:val="0"/>
        <w:spacing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2.2.10支持绿色建筑、绿色建材，支持使用低</w:t>
      </w:r>
      <w:r>
        <w:rPr>
          <w:rFonts w:ascii="Arial" w:hAnsi="Arial" w:cs="Arial"/>
          <w:color w:val="auto"/>
          <w:szCs w:val="21"/>
          <w:highlight w:val="none"/>
          <w:shd w:val="clear" w:color="auto" w:fill="FFFFFF"/>
        </w:rPr>
        <w:t>VOCs</w:t>
      </w:r>
      <w:r>
        <w:rPr>
          <w:rFonts w:hint="eastAsia" w:ascii="宋体" w:hAnsi="宋体"/>
          <w:color w:val="auto"/>
          <w:sz w:val="24"/>
          <w:szCs w:val="24"/>
          <w:highlight w:val="none"/>
        </w:rPr>
        <w:t>含量涂料和胶黏剂，支持不发达、少数民族地区的企业，促进自主创新产业发展，支持脱贫攻坚等；同等条件下，优先采购。</w:t>
      </w:r>
    </w:p>
    <w:p w14:paraId="4F90F00F">
      <w:pPr>
        <w:adjustRightInd w:val="0"/>
        <w:snapToGrid w:val="0"/>
        <w:spacing w:line="300" w:lineRule="auto"/>
        <w:ind w:firstLine="482" w:firstLineChars="200"/>
        <w:jc w:val="left"/>
        <w:rPr>
          <w:rFonts w:ascii="黑体" w:hAnsi="黑体" w:eastAsia="黑体"/>
          <w:b/>
          <w:color w:val="auto"/>
          <w:sz w:val="24"/>
          <w:szCs w:val="24"/>
          <w:highlight w:val="none"/>
        </w:rPr>
      </w:pPr>
      <w:r>
        <w:rPr>
          <w:rFonts w:ascii="黑体" w:hAnsi="黑体" w:eastAsia="黑体"/>
          <w:b/>
          <w:color w:val="auto"/>
          <w:sz w:val="24"/>
          <w:szCs w:val="24"/>
          <w:highlight w:val="none"/>
        </w:rPr>
        <w:t>2.3</w:t>
      </w:r>
      <w:r>
        <w:rPr>
          <w:rFonts w:hint="eastAsia" w:ascii="黑体" w:hAnsi="黑体" w:eastAsia="黑体"/>
          <w:b/>
          <w:color w:val="auto"/>
          <w:sz w:val="24"/>
          <w:szCs w:val="24"/>
          <w:highlight w:val="none"/>
        </w:rPr>
        <w:t>采购标的需执行的国家相关标准、行业标准、地方标准或者其他标准、规范；</w:t>
      </w:r>
    </w:p>
    <w:p w14:paraId="49D09EC3">
      <w:pPr>
        <w:widowControl w:val="0"/>
        <w:adjustRightInd w:val="0"/>
        <w:snapToGrid w:val="0"/>
        <w:spacing w:beforeLines="50" w:line="300" w:lineRule="auto"/>
        <w:ind w:left="22" w:firstLine="555"/>
        <w:jc w:val="left"/>
        <w:rPr>
          <w:color w:val="auto"/>
          <w:sz w:val="24"/>
          <w:szCs w:val="24"/>
          <w:highlight w:val="none"/>
        </w:rPr>
      </w:pPr>
      <w:r>
        <w:rPr>
          <w:rFonts w:hint="eastAsia"/>
          <w:color w:val="auto"/>
          <w:sz w:val="24"/>
          <w:szCs w:val="24"/>
          <w:highlight w:val="none"/>
        </w:rPr>
        <w:t>投标人所投产品应为全新产品且符合国家质量标准、部颁标准及行业规范的要求，符合国家各项强制性规范及安全标准，投标产品不应与第三方存在知识产权权属问题；投标人应本着服务客户、为客户着想的宗旨，来完善产品及技术要求未尽事宜，不得以谈判文件未列明事项为由，来降低投标产品的质量。</w:t>
      </w:r>
    </w:p>
    <w:p w14:paraId="12BD1FAD">
      <w:pPr>
        <w:spacing w:line="560" w:lineRule="exact"/>
        <w:ind w:firstLine="482" w:firstLineChars="200"/>
        <w:rPr>
          <w:rFonts w:hint="eastAsia"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4具体技术要求及标段（包）内容（范围）</w:t>
      </w:r>
    </w:p>
    <w:tbl>
      <w:tblPr>
        <w:tblStyle w:val="16"/>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1"/>
        <w:gridCol w:w="1080"/>
        <w:gridCol w:w="6272"/>
        <w:gridCol w:w="709"/>
        <w:gridCol w:w="705"/>
        <w:gridCol w:w="845"/>
      </w:tblGrid>
      <w:tr w14:paraId="574B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311" w:type="dxa"/>
            <w:vAlign w:val="center"/>
          </w:tcPr>
          <w:p w14:paraId="6B912217">
            <w:pPr>
              <w:snapToGrid w:val="0"/>
              <w:spacing w:line="276"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序号</w:t>
            </w:r>
          </w:p>
        </w:tc>
        <w:tc>
          <w:tcPr>
            <w:tcW w:w="1080" w:type="dxa"/>
            <w:tcMar>
              <w:top w:w="15" w:type="dxa"/>
              <w:left w:w="15" w:type="dxa"/>
              <w:bottom w:w="0" w:type="dxa"/>
              <w:right w:w="15" w:type="dxa"/>
            </w:tcMar>
            <w:vAlign w:val="center"/>
          </w:tcPr>
          <w:p w14:paraId="3A2BAC52">
            <w:pPr>
              <w:snapToGrid w:val="0"/>
              <w:spacing w:line="276"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标段（包）内容</w:t>
            </w:r>
          </w:p>
        </w:tc>
        <w:tc>
          <w:tcPr>
            <w:tcW w:w="6272" w:type="dxa"/>
            <w:vAlign w:val="center"/>
          </w:tcPr>
          <w:p w14:paraId="203EC68B">
            <w:pPr>
              <w:snapToGrid w:val="0"/>
              <w:spacing w:line="276"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基本技术要求</w:t>
            </w:r>
          </w:p>
        </w:tc>
        <w:tc>
          <w:tcPr>
            <w:tcW w:w="709" w:type="dxa"/>
            <w:vAlign w:val="center"/>
          </w:tcPr>
          <w:p w14:paraId="66C6D280">
            <w:pPr>
              <w:snapToGrid w:val="0"/>
              <w:spacing w:line="276"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单位</w:t>
            </w:r>
          </w:p>
        </w:tc>
        <w:tc>
          <w:tcPr>
            <w:tcW w:w="705" w:type="dxa"/>
            <w:vAlign w:val="center"/>
          </w:tcPr>
          <w:p w14:paraId="0F20E3E7">
            <w:pPr>
              <w:snapToGrid w:val="0"/>
              <w:spacing w:line="276" w:lineRule="auto"/>
              <w:jc w:val="center"/>
              <w:rPr>
                <w:rFonts w:hint="eastAsia" w:asciiTheme="minorEastAsia" w:hAnsiTheme="minorEastAsia" w:eastAsiaTheme="minorEastAsia"/>
                <w:b/>
                <w:color w:val="auto"/>
                <w:sz w:val="24"/>
                <w:szCs w:val="24"/>
                <w:highlight w:val="none"/>
                <w:lang w:eastAsia="zh-CN"/>
              </w:rPr>
            </w:pPr>
            <w:r>
              <w:rPr>
                <w:rFonts w:hint="eastAsia" w:asciiTheme="minorEastAsia" w:hAnsiTheme="minorEastAsia" w:eastAsiaTheme="minorEastAsia"/>
                <w:b/>
                <w:color w:val="auto"/>
                <w:sz w:val="24"/>
                <w:szCs w:val="24"/>
                <w:highlight w:val="none"/>
                <w:lang w:val="en-US" w:eastAsia="zh-CN"/>
              </w:rPr>
              <w:t>最高限价</w:t>
            </w:r>
          </w:p>
        </w:tc>
        <w:tc>
          <w:tcPr>
            <w:tcW w:w="845" w:type="dxa"/>
            <w:vAlign w:val="center"/>
          </w:tcPr>
          <w:p w14:paraId="482024C9">
            <w:pPr>
              <w:snapToGrid w:val="0"/>
              <w:spacing w:line="276" w:lineRule="auto"/>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货物所属行业</w:t>
            </w:r>
          </w:p>
        </w:tc>
      </w:tr>
      <w:tr w14:paraId="3CC5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9922" w:type="dxa"/>
            <w:gridSpan w:val="6"/>
            <w:vAlign w:val="center"/>
          </w:tcPr>
          <w:p w14:paraId="5C577FAD">
            <w:pPr>
              <w:snapToGrid w:val="0"/>
              <w:spacing w:line="276" w:lineRule="auto"/>
              <w:jc w:val="left"/>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智能谈话教育系统4套（含：执法记录仪8台，智能音视频采集终端及签字捺印板各4台，被监管人员谈话教育系统、管教谈话AI主机、视音频记录仪采集站、视音频记录仪采集站挂机及采集站中间件各</w:t>
            </w:r>
            <w:r>
              <w:rPr>
                <w:rFonts w:hint="eastAsia" w:asciiTheme="minorEastAsia" w:hAnsiTheme="minorEastAsia" w:eastAsiaTheme="minorEastAsia"/>
                <w:b/>
                <w:color w:val="auto"/>
                <w:sz w:val="24"/>
                <w:szCs w:val="24"/>
                <w:highlight w:val="none"/>
                <w:lang w:val="en-US" w:eastAsia="zh-CN"/>
              </w:rPr>
              <w:t>1</w:t>
            </w:r>
            <w:r>
              <w:rPr>
                <w:rFonts w:hint="eastAsia" w:asciiTheme="minorEastAsia" w:hAnsiTheme="minorEastAsia" w:eastAsiaTheme="minorEastAsia"/>
                <w:b/>
                <w:color w:val="auto"/>
                <w:sz w:val="24"/>
                <w:szCs w:val="24"/>
                <w:highlight w:val="none"/>
              </w:rPr>
              <w:t>台/套）</w:t>
            </w:r>
          </w:p>
        </w:tc>
      </w:tr>
      <w:tr w14:paraId="6C06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311" w:type="dxa"/>
            <w:shd w:val="clear" w:color="auto" w:fill="auto"/>
            <w:vAlign w:val="center"/>
          </w:tcPr>
          <w:p w14:paraId="174508C2">
            <w:pPr>
              <w:spacing w:line="276" w:lineRule="auto"/>
              <w:jc w:val="center"/>
              <w:rPr>
                <w:rFonts w:hint="eastAsia"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1</w:t>
            </w:r>
          </w:p>
        </w:tc>
        <w:tc>
          <w:tcPr>
            <w:tcW w:w="1080" w:type="dxa"/>
            <w:tcMar>
              <w:top w:w="15" w:type="dxa"/>
              <w:left w:w="15" w:type="dxa"/>
              <w:bottom w:w="0" w:type="dxa"/>
              <w:right w:w="15" w:type="dxa"/>
            </w:tcMar>
            <w:vAlign w:val="center"/>
          </w:tcPr>
          <w:p w14:paraId="28C2CD4B">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执法记录仪</w:t>
            </w:r>
          </w:p>
        </w:tc>
        <w:tc>
          <w:tcPr>
            <w:tcW w:w="6272" w:type="dxa"/>
            <w:vAlign w:val="center"/>
          </w:tcPr>
          <w:p w14:paraId="72955CC9">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与管教身份信息做绑定，支持手动上传谈话文件与谈话教育系统关联</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操作系统：</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Android 9.0；</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存储空间：</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2G+128G（内置128G内存卡）；</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屏幕尺寸：</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2.0英寸；</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视频压缩标准：H.264/H.265可选，默认H.265；</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视频格式：dav/mp4可选，默认dav；</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图像分辨率及像素：4M/16M/34M；</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图像格式：JPEG；</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连拍：2/3/5/10连拍；</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红外可视距离：红外可视距离5米看清人脸，10米看清轮廓；</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红外切换方式：支持自动或手动，默认自动，支持亮度高中低调节；</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支持重点标记，自动降噪、自动曝光、自动白平衡</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电池容量：</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3000mAh；</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充电时长：小于2.5h；</w:t>
            </w:r>
          </w:p>
          <w:p w14:paraId="69076F25">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重量：≤160g（裸机），≤180g（含背夹）</w:t>
            </w:r>
          </w:p>
        </w:tc>
        <w:tc>
          <w:tcPr>
            <w:tcW w:w="709" w:type="dxa"/>
            <w:vAlign w:val="center"/>
          </w:tcPr>
          <w:p w14:paraId="218B7EAB">
            <w:pPr>
              <w:spacing w:line="276"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8台</w:t>
            </w:r>
          </w:p>
        </w:tc>
        <w:tc>
          <w:tcPr>
            <w:tcW w:w="705" w:type="dxa"/>
            <w:vAlign w:val="center"/>
          </w:tcPr>
          <w:p w14:paraId="6B59580D">
            <w:pPr>
              <w:spacing w:line="276" w:lineRule="auto"/>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2500元/台</w:t>
            </w:r>
          </w:p>
        </w:tc>
        <w:tc>
          <w:tcPr>
            <w:tcW w:w="845" w:type="dxa"/>
            <w:vMerge w:val="restart"/>
            <w:vAlign w:val="center"/>
          </w:tcPr>
          <w:p w14:paraId="1022469D">
            <w:pPr>
              <w:spacing w:line="276"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工业</w:t>
            </w:r>
          </w:p>
        </w:tc>
      </w:tr>
      <w:tr w14:paraId="0CAC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311" w:type="dxa"/>
            <w:shd w:val="clear" w:color="auto" w:fill="auto"/>
            <w:vAlign w:val="center"/>
          </w:tcPr>
          <w:p w14:paraId="36CE11BF">
            <w:pPr>
              <w:spacing w:line="276" w:lineRule="auto"/>
              <w:jc w:val="center"/>
              <w:rPr>
                <w:rFonts w:hint="eastAsia" w:cs="宋体" w:asciiTheme="minorEastAsia" w:hAnsiTheme="minorEastAsia" w:eastAsiaTheme="minorEastAsia"/>
                <w:color w:val="auto"/>
                <w:sz w:val="24"/>
                <w:szCs w:val="24"/>
                <w:highlight w:val="none"/>
                <w:u w:color="000000"/>
                <w:lang w:val="en-US" w:eastAsia="zh-CN" w:bidi="ar-SA"/>
              </w:rPr>
            </w:pPr>
            <w:r>
              <w:rPr>
                <w:rFonts w:hint="eastAsia" w:cs="宋体" w:asciiTheme="minorEastAsia" w:hAnsiTheme="minorEastAsia" w:eastAsiaTheme="minorEastAsia"/>
                <w:color w:val="auto"/>
                <w:sz w:val="24"/>
                <w:szCs w:val="24"/>
                <w:highlight w:val="none"/>
              </w:rPr>
              <w:t>2</w:t>
            </w:r>
          </w:p>
        </w:tc>
        <w:tc>
          <w:tcPr>
            <w:tcW w:w="1080" w:type="dxa"/>
            <w:tcMar>
              <w:top w:w="15" w:type="dxa"/>
              <w:left w:w="15" w:type="dxa"/>
              <w:bottom w:w="0" w:type="dxa"/>
              <w:right w:w="15" w:type="dxa"/>
            </w:tcMar>
            <w:vAlign w:val="center"/>
          </w:tcPr>
          <w:p w14:paraId="3B41E0C0">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智能音视频采集终端</w:t>
            </w:r>
          </w:p>
        </w:tc>
        <w:tc>
          <w:tcPr>
            <w:tcW w:w="6272" w:type="dxa"/>
            <w:vAlign w:val="center"/>
          </w:tcPr>
          <w:p w14:paraId="1FA4074D">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高清摄像头:1080p，录音采访指向音头/30平米有效监听/前后对称配置两个全向音头，数位信号处理/指向特性：界面指向；灵敏度：-52dB；信噪比：70dB；输出阻抗：600～1000欧姆非平衡；工作环境温度：-40℃～75℃；可靠性指标：MTNF≥80000小时。</w:t>
            </w:r>
          </w:p>
        </w:tc>
        <w:tc>
          <w:tcPr>
            <w:tcW w:w="709" w:type="dxa"/>
            <w:vAlign w:val="center"/>
          </w:tcPr>
          <w:p w14:paraId="23F460E3">
            <w:pPr>
              <w:spacing w:line="276"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4台</w:t>
            </w:r>
          </w:p>
        </w:tc>
        <w:tc>
          <w:tcPr>
            <w:tcW w:w="705" w:type="dxa"/>
            <w:vAlign w:val="center"/>
          </w:tcPr>
          <w:p w14:paraId="293D0140">
            <w:pPr>
              <w:spacing w:line="276" w:lineRule="auto"/>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1200元/台</w:t>
            </w:r>
          </w:p>
        </w:tc>
        <w:tc>
          <w:tcPr>
            <w:tcW w:w="845" w:type="dxa"/>
            <w:vMerge w:val="continue"/>
            <w:vAlign w:val="center"/>
          </w:tcPr>
          <w:p w14:paraId="41DAFA0C">
            <w:pPr>
              <w:spacing w:line="276" w:lineRule="auto"/>
              <w:jc w:val="center"/>
              <w:rPr>
                <w:rFonts w:hint="eastAsia" w:asciiTheme="minorEastAsia" w:hAnsiTheme="minorEastAsia" w:eastAsiaTheme="minorEastAsia"/>
                <w:color w:val="auto"/>
                <w:sz w:val="24"/>
                <w:szCs w:val="24"/>
                <w:highlight w:val="none"/>
              </w:rPr>
            </w:pPr>
          </w:p>
        </w:tc>
      </w:tr>
      <w:tr w14:paraId="4254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311" w:type="dxa"/>
            <w:shd w:val="clear" w:color="auto" w:fill="auto"/>
            <w:vAlign w:val="center"/>
          </w:tcPr>
          <w:p w14:paraId="639CDB49">
            <w:pPr>
              <w:spacing w:line="276" w:lineRule="auto"/>
              <w:jc w:val="center"/>
              <w:rPr>
                <w:rFonts w:hint="eastAsia"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3</w:t>
            </w:r>
          </w:p>
        </w:tc>
        <w:tc>
          <w:tcPr>
            <w:tcW w:w="1080" w:type="dxa"/>
            <w:tcMar>
              <w:top w:w="15" w:type="dxa"/>
              <w:left w:w="15" w:type="dxa"/>
              <w:bottom w:w="0" w:type="dxa"/>
              <w:right w:w="15" w:type="dxa"/>
            </w:tcMar>
            <w:vAlign w:val="center"/>
          </w:tcPr>
          <w:p w14:paraId="67964818">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签字捺印板</w:t>
            </w:r>
          </w:p>
        </w:tc>
        <w:tc>
          <w:tcPr>
            <w:tcW w:w="6272" w:type="dxa"/>
            <w:vAlign w:val="center"/>
          </w:tcPr>
          <w:p w14:paraId="377CA2B4">
            <w:pPr>
              <w:spacing w:line="276"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1、功能：实现管教谈话教育结束后，被监管人员通过该设备对谈话内容核对无误后签字按捺指纹确认。</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2、产品特性：</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硬件：签名屏将液晶显示屏(LCD)和签名数位板整合到一起，使用无源压感笔。</w:t>
            </w:r>
            <w:r>
              <w:rPr>
                <w:rFonts w:hint="eastAsia" w:asciiTheme="minorEastAsia" w:hAnsiTheme="minorEastAsia" w:eastAsiaTheme="minorEastAsia"/>
                <w:color w:val="auto"/>
                <w:sz w:val="24"/>
                <w:szCs w:val="24"/>
                <w:highlight w:val="none"/>
                <w:lang w:val="en-US" w:eastAsia="zh-CN"/>
              </w:rPr>
              <w:t>不低于</w:t>
            </w:r>
            <w:r>
              <w:rPr>
                <w:rFonts w:hint="eastAsia" w:asciiTheme="minorEastAsia" w:hAnsiTheme="minorEastAsia" w:eastAsiaTheme="minorEastAsia"/>
                <w:color w:val="auto"/>
                <w:sz w:val="24"/>
                <w:szCs w:val="24"/>
                <w:highlight w:val="none"/>
              </w:rPr>
              <w:t>10寸的彩色LCD屏。手写笔无需电池，无须维护。标配挂笔绳，防止笔丢失。专业绘画级显示屏，USB 视频接口。具备电容活体生物指纹采集。具备高清语音功能。SDK开发包提供签名轨迹的 x/y 坐标、压力、时间信息参数，能够采集用户签名的轻重缓急，形成用户签名的生物特征信息。驱动：签名屏的驱动程序可以直接嵌入到第三方应用程序中，并且驱动程序可以完全卸载。</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3、技术参数：</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屏幕尺寸：</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屏幕类型：IPS LCD</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分辨率：1280*800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亮度：200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对比度：800:1</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颜色：16.7M Colors</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响应时间：TR 14 ms (Typ) TF 11 ms (Typ)</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可视角度：水平170°,垂直170°@CR≥10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表面处理：6H钢化玻璃。</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手写感应方式：电磁感应</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手写分辨率：10206*7422</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压感：2048</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报点率：200pps</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精度：±0.5mm (Center),±2mm(Edge)</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笔倾斜角度：+/-45°</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感应高度：5-15mm。</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类型：无线无源</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笔尖：可更换。</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指纹采集头类型：电容型</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指纹图像大小：256*288/256*360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指纹图像分辨率：50ODPI</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灰度动态范围：大于等于150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指纹图像畸变：小于等于1%。</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供电类型：USB 5V+DC 5V</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功耗：5W</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触控接口：USB*1</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输入接口：USB</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工作环境：0~65℃/20~80%</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存储环境：-10~80℃/10~90%。</w:t>
            </w:r>
          </w:p>
        </w:tc>
        <w:tc>
          <w:tcPr>
            <w:tcW w:w="709" w:type="dxa"/>
            <w:vAlign w:val="center"/>
          </w:tcPr>
          <w:p w14:paraId="7AC707C0">
            <w:pPr>
              <w:spacing w:line="276" w:lineRule="auto"/>
              <w:jc w:val="center"/>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4台</w:t>
            </w:r>
          </w:p>
        </w:tc>
        <w:tc>
          <w:tcPr>
            <w:tcW w:w="705" w:type="dxa"/>
            <w:vAlign w:val="center"/>
          </w:tcPr>
          <w:p w14:paraId="285FCF19">
            <w:pPr>
              <w:spacing w:line="276" w:lineRule="auto"/>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5040元/台</w:t>
            </w:r>
          </w:p>
        </w:tc>
        <w:tc>
          <w:tcPr>
            <w:tcW w:w="845" w:type="dxa"/>
            <w:vMerge w:val="continue"/>
            <w:vAlign w:val="center"/>
          </w:tcPr>
          <w:p w14:paraId="111F3C71">
            <w:pPr>
              <w:spacing w:line="276" w:lineRule="auto"/>
              <w:jc w:val="center"/>
              <w:rPr>
                <w:rFonts w:hint="eastAsia" w:asciiTheme="minorEastAsia" w:hAnsiTheme="minorEastAsia" w:eastAsiaTheme="minorEastAsia"/>
                <w:color w:val="auto"/>
                <w:sz w:val="24"/>
                <w:szCs w:val="24"/>
                <w:highlight w:val="none"/>
              </w:rPr>
            </w:pPr>
          </w:p>
        </w:tc>
      </w:tr>
      <w:tr w14:paraId="5108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311" w:type="dxa"/>
            <w:shd w:val="clear" w:color="auto" w:fill="auto"/>
            <w:vAlign w:val="center"/>
          </w:tcPr>
          <w:p w14:paraId="029009E1">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4</w:t>
            </w:r>
          </w:p>
        </w:tc>
        <w:tc>
          <w:tcPr>
            <w:tcW w:w="1080" w:type="dxa"/>
            <w:tcMar>
              <w:top w:w="15" w:type="dxa"/>
              <w:left w:w="15" w:type="dxa"/>
              <w:bottom w:w="0" w:type="dxa"/>
              <w:right w:w="15" w:type="dxa"/>
            </w:tcMar>
            <w:vAlign w:val="center"/>
          </w:tcPr>
          <w:p w14:paraId="20BC7243">
            <w:pPr>
              <w:spacing w:line="276" w:lineRule="auto"/>
              <w:rPr>
                <w:rFonts w:cs="宋体" w:asciiTheme="minorEastAsia" w:hAnsiTheme="minorEastAsia" w:eastAsiaTheme="minorEastAsia"/>
                <w:color w:val="auto"/>
                <w:sz w:val="24"/>
                <w:szCs w:val="24"/>
                <w:highlight w:val="none"/>
              </w:rPr>
            </w:pPr>
            <w:bookmarkStart w:id="16" w:name="OLE_LINK4"/>
            <w:bookmarkStart w:id="17" w:name="OLE_LINK3"/>
            <w:r>
              <w:rPr>
                <w:rFonts w:hint="eastAsia" w:asciiTheme="minorEastAsia" w:hAnsiTheme="minorEastAsia" w:eastAsiaTheme="minorEastAsia"/>
                <w:color w:val="auto"/>
                <w:sz w:val="24"/>
                <w:szCs w:val="24"/>
                <w:highlight w:val="none"/>
              </w:rPr>
              <w:t>被监管人员谈话教育系统</w:t>
            </w:r>
            <w:bookmarkEnd w:id="16"/>
            <w:bookmarkEnd w:id="17"/>
          </w:p>
        </w:tc>
        <w:tc>
          <w:tcPr>
            <w:tcW w:w="6272" w:type="dxa"/>
            <w:vAlign w:val="center"/>
          </w:tcPr>
          <w:p w14:paraId="0DCB15DC">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1、软件支持总队、支队、监所部署，支持国产信创系统。</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2、用户管理：支持与省级监所管理综合系统或违法犯罪人员信息系统的用户管理体系共享，实现多系统一入口登录，</w:t>
            </w:r>
            <w:r>
              <w:rPr>
                <w:rFonts w:hint="eastAsia" w:asciiTheme="minorEastAsia" w:hAnsiTheme="minorEastAsia" w:eastAsiaTheme="minorEastAsia"/>
                <w:b/>
                <w:bCs/>
                <w:color w:val="auto"/>
                <w:sz w:val="24"/>
                <w:szCs w:val="24"/>
                <w:highlight w:val="none"/>
              </w:rPr>
              <w:t>提供相关证明材料</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lang w:val="en-US" w:eastAsia="zh-CN"/>
              </w:rPr>
              <w:t>如：软件功能</w:t>
            </w:r>
            <w:r>
              <w:rPr>
                <w:rFonts w:hint="eastAsia" w:asciiTheme="minorEastAsia" w:hAnsiTheme="minorEastAsia" w:eastAsiaTheme="minorEastAsia"/>
                <w:b/>
                <w:bCs/>
                <w:color w:val="auto"/>
                <w:sz w:val="24"/>
                <w:szCs w:val="24"/>
                <w:highlight w:val="none"/>
              </w:rPr>
              <w:t>截图或技术证明</w:t>
            </w:r>
            <w:r>
              <w:rPr>
                <w:rFonts w:hint="eastAsia" w:asciiTheme="minorEastAsia" w:hAnsiTheme="minorEastAsia" w:eastAsiaTheme="minorEastAsia"/>
                <w:b/>
                <w:bCs/>
                <w:color w:val="auto"/>
                <w:sz w:val="24"/>
                <w:szCs w:val="24"/>
                <w:highlight w:val="none"/>
                <w:lang w:val="en-US" w:eastAsia="zh-CN"/>
              </w:rPr>
              <w:t>等</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佐证该功能。</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3、接入录音器、签字板、打印机设备SDK，实现本地设备统一管理。</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系统详细功能：</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1、用户管理：支持与监所实战平台或违法犯罪人员信息系统的用户管理体系共享，实现多系统一入口登陆。</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2、主协管监室设置：为有权限的用户设置主管监室和协管监室。</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3、录音录像上传：谈话结束后，录音文件通过后台程序进行压缩后存储到FTP服务器上，并提供远程回放服务。保存到FTP服务器上的录音文件，通过本地服务可让总队、支队及所领导用户进行回放。</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4、存储管理：查看录音文件存储情况，设置永久存储或者删除录音文件等。如：删除某个时间段的，当前已出所人员的录音。</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5、谈话类型及提纲管理：可以选择启用或停用系统提供的谈话类型，也可自己增删改谈话类型。部分谈话类型，用户可以设置待谈提醒参数。</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6.登录方式：与违法犯罪人员信息系统一键登录。</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7.待谈提醒：具备主动提醒管教民警进行谈话功能，8必谈智能提醒等，民警可以点击提醒消息打开待谈人员列表，选择相应的被监管人员进行谈话。</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8.谈话类型选择：进入谈话页面谈话类型可以进行更改，八必谈+其他业务系统已有的谈话类型。</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9、谈话记录：支持在谈话过程中，进行谈话内容登记，支持谈话过程录音（录像）。登记信息有被谈话人姓名、管教民警姓名、谈话时间、谈话地点、谈话时长、谈话录音录像文件存储位置等信息。</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10、谈话评估：支持谈话结束后，通过单选方式对被监管人员进行思想动态进行评估，可选择稳定、较稳定、不稳定进行评估。</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11、业务协作：谈话结束后，可对需要其他岗位如医生、巡控协作的事项进行选择登记，协作项可后台定制。登记的业务协作信息，其他岗位民警可在系统里进行自动提醒。</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12.谈话台账：列表查询，详情查看，谈话录音播放，快进，快退、音量大小调节。</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13.谈话统计：可按时间、管教、监区条件进行查询。</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14.谈话类型设置：对各类谈话设置常用谈话类型。</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15.谈话录音（录像）：具备谈话录音（录像）功能，录音具备开始、停止、暂停的。</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16、支持对接执法记录仪进行谈话记录关联。</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17、支持移动平板谈话记录关联。</w:t>
            </w:r>
          </w:p>
        </w:tc>
        <w:tc>
          <w:tcPr>
            <w:tcW w:w="709" w:type="dxa"/>
            <w:vAlign w:val="center"/>
          </w:tcPr>
          <w:p w14:paraId="5898E781">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1套</w:t>
            </w:r>
          </w:p>
        </w:tc>
        <w:tc>
          <w:tcPr>
            <w:tcW w:w="705" w:type="dxa"/>
            <w:vAlign w:val="center"/>
          </w:tcPr>
          <w:p w14:paraId="51BD062E">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13400</w:t>
            </w:r>
            <w:r>
              <w:rPr>
                <w:rFonts w:hint="eastAsia" w:asciiTheme="minorEastAsia" w:hAnsiTheme="minorEastAsia" w:eastAsiaTheme="minorEastAsia"/>
                <w:color w:val="auto"/>
                <w:sz w:val="24"/>
                <w:szCs w:val="24"/>
                <w:highlight w:val="none"/>
                <w:lang w:val="en-US" w:eastAsia="zh-CN"/>
              </w:rPr>
              <w:t>元/套</w:t>
            </w:r>
          </w:p>
        </w:tc>
        <w:tc>
          <w:tcPr>
            <w:tcW w:w="845" w:type="dxa"/>
            <w:vAlign w:val="center"/>
          </w:tcPr>
          <w:p w14:paraId="475AEAFA">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软件和信息技术服务业</w:t>
            </w:r>
          </w:p>
        </w:tc>
      </w:tr>
      <w:tr w14:paraId="0C5C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shd w:val="clear" w:color="auto" w:fill="auto"/>
            <w:vAlign w:val="center"/>
          </w:tcPr>
          <w:p w14:paraId="010AAB8B">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5</w:t>
            </w:r>
          </w:p>
        </w:tc>
        <w:tc>
          <w:tcPr>
            <w:tcW w:w="1080" w:type="dxa"/>
            <w:tcMar>
              <w:top w:w="15" w:type="dxa"/>
              <w:left w:w="15" w:type="dxa"/>
              <w:bottom w:w="0" w:type="dxa"/>
              <w:right w:w="15" w:type="dxa"/>
            </w:tcMar>
            <w:vAlign w:val="center"/>
          </w:tcPr>
          <w:p w14:paraId="27D06FF9">
            <w:pPr>
              <w:spacing w:line="276" w:lineRule="auto"/>
              <w:rPr>
                <w:rFonts w:cs="宋体" w:asciiTheme="minorEastAsia" w:hAnsiTheme="minorEastAsia" w:eastAsiaTheme="minorEastAsia"/>
                <w:color w:val="auto"/>
                <w:sz w:val="24"/>
                <w:szCs w:val="24"/>
                <w:highlight w:val="none"/>
              </w:rPr>
            </w:pPr>
            <w:bookmarkStart w:id="18" w:name="OLE_LINK6"/>
            <w:bookmarkStart w:id="19" w:name="OLE_LINK5"/>
            <w:r>
              <w:rPr>
                <w:rFonts w:hint="eastAsia" w:asciiTheme="minorEastAsia" w:hAnsiTheme="minorEastAsia" w:eastAsiaTheme="minorEastAsia"/>
                <w:color w:val="auto"/>
                <w:sz w:val="24"/>
                <w:szCs w:val="24"/>
                <w:highlight w:val="none"/>
              </w:rPr>
              <w:t>管教谈话AI主机</w:t>
            </w:r>
            <w:bookmarkEnd w:id="18"/>
            <w:bookmarkEnd w:id="19"/>
          </w:p>
        </w:tc>
        <w:tc>
          <w:tcPr>
            <w:tcW w:w="6272" w:type="dxa"/>
            <w:vAlign w:val="center"/>
          </w:tcPr>
          <w:p w14:paraId="316933A7">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一、硬件不低于如下配置：</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CPU：24核2.6GHz，国产CPU；</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内存：64GB 3200M DDR4；</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硬盘：1 * 960G SSD，8*12TBSATA硬盘 </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网卡：1块4*GE 接口卡</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阵列卡：支持RAID 0/1/5/10；</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电源：2个750W交流电源模组；</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滑轨：2U短机箱静态滑轨</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操作系统：国产服务器操作系统（统信服务器操作系统V20或银河麒麟高级服务器操作系统V10）；</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对离线采集的视频进行AI语音转写、视频人脸识别功能：</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（1）视频中的人脸比对分析，截取出对应人员的视频段落；  </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（2）将原视频以及视频段落转换为音频；   </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（3）将原视频和视频段落进行语音转写为文字；   </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（4）支持热词替换；支持敏感词识别。</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二、文件存储管理功能： </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（1）提供文件管理主机web服务，配置SSL安全访问，提供对监所、支队、总队用户访问对应录音录像文件；</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（2）提供文件管理主机文件存储服务，提供音视频文件解码、编码、格式转换，音视频文件存储、播放、下载，过期文件自动清理，服务器、应用程序服务状态自动检测、上报，音视频文件存储权限控制；</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（3）文件管理主机文件管理模块，提供音视频文件独立存储、多副本存储、集群存储（多副本、集群存储需要额外存储空间支持）；</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（4）系统磁盘配置管理，配置操作系统LVM(Logical Volume Manager,逻辑卷管理)。</w:t>
            </w:r>
          </w:p>
        </w:tc>
        <w:tc>
          <w:tcPr>
            <w:tcW w:w="709" w:type="dxa"/>
            <w:vAlign w:val="center"/>
          </w:tcPr>
          <w:p w14:paraId="7CC13D8C">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1台</w:t>
            </w:r>
          </w:p>
        </w:tc>
        <w:tc>
          <w:tcPr>
            <w:tcW w:w="705" w:type="dxa"/>
            <w:vAlign w:val="center"/>
          </w:tcPr>
          <w:p w14:paraId="3FDE1D1A">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2"/>
                <w:szCs w:val="22"/>
                <w:highlight w:val="none"/>
                <w:lang w:val="en-US" w:eastAsia="zh-CN"/>
              </w:rPr>
              <w:t>168000元/台</w:t>
            </w:r>
          </w:p>
        </w:tc>
        <w:tc>
          <w:tcPr>
            <w:tcW w:w="845" w:type="dxa"/>
            <w:vAlign w:val="center"/>
          </w:tcPr>
          <w:p w14:paraId="655A4672">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工业</w:t>
            </w:r>
          </w:p>
        </w:tc>
      </w:tr>
      <w:tr w14:paraId="1EA1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shd w:val="clear" w:color="auto" w:fill="auto"/>
            <w:vAlign w:val="center"/>
          </w:tcPr>
          <w:p w14:paraId="3BC75999">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6</w:t>
            </w:r>
          </w:p>
        </w:tc>
        <w:tc>
          <w:tcPr>
            <w:tcW w:w="1080" w:type="dxa"/>
            <w:tcMar>
              <w:top w:w="15" w:type="dxa"/>
              <w:left w:w="15" w:type="dxa"/>
              <w:bottom w:w="0" w:type="dxa"/>
              <w:right w:w="15" w:type="dxa"/>
            </w:tcMar>
            <w:vAlign w:val="center"/>
          </w:tcPr>
          <w:p w14:paraId="2E819FAA">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视音频记录仪采集站</w:t>
            </w:r>
          </w:p>
        </w:tc>
        <w:tc>
          <w:tcPr>
            <w:tcW w:w="6272" w:type="dxa"/>
            <w:vAlign w:val="center"/>
          </w:tcPr>
          <w:p w14:paraId="08CA1CD2">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1、获取执法记录仪的视频，照片，录音与谈话教育系统关联。</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2、储存容量：标配物理存储容量4TB，6个SATA3.0，单盘最大8TB。</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3、主处理器：工业级嵌入式微控制器。</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4、操作系统：嵌入式Linux操作系统。</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5、显示屏：不低于13英寸液晶屏，电容触摸屏。</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6、屏幕分辩率：1920*1080</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7、摄像头：</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200万CMOS高清摄像头</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8、身份认证：支持人脸、指纹、用户名密码认证方式。</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9、喇叭：1*2W</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10、白光灯：仅在人脸识别场景下会依据环境自动开启。</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11、网络接口：2个RJ45千兆网口</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12、USB接口：USB2.0和USB3.0各一个</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13、拓展口（母头）：1个，用于连接挂机，进行数据传输使用，最多可扩展4个挂机。</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14、人脸识别：支持最大330个人脸库，人脸识别距离：0.5m～1.5m</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15、指纹识别：支持最大1000个指纹库。</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16、解锁模式：支持一键解锁和单舱位解锁，支持钥匙解锁。</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17、采集速度：最大128MB/S，支持数据自动采集、数据优先采集。</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18、RAID：Raid0,1,5,10</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19、电源：三芯电源接口，供电方式：AC100~240V，50/60Hz。</w:t>
            </w:r>
          </w:p>
        </w:tc>
        <w:tc>
          <w:tcPr>
            <w:tcW w:w="709" w:type="dxa"/>
            <w:vAlign w:val="center"/>
          </w:tcPr>
          <w:p w14:paraId="3C74555B">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1台</w:t>
            </w:r>
          </w:p>
        </w:tc>
        <w:tc>
          <w:tcPr>
            <w:tcW w:w="705" w:type="dxa"/>
            <w:vAlign w:val="center"/>
          </w:tcPr>
          <w:p w14:paraId="1DDE4F20">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17600</w:t>
            </w:r>
            <w:r>
              <w:rPr>
                <w:rFonts w:hint="eastAsia" w:asciiTheme="minorEastAsia" w:hAnsiTheme="minorEastAsia" w:eastAsiaTheme="minorEastAsia"/>
                <w:color w:val="auto"/>
                <w:sz w:val="24"/>
                <w:szCs w:val="24"/>
                <w:highlight w:val="none"/>
                <w:lang w:val="en-US" w:eastAsia="zh-CN"/>
              </w:rPr>
              <w:t>元/台</w:t>
            </w:r>
          </w:p>
        </w:tc>
        <w:tc>
          <w:tcPr>
            <w:tcW w:w="845" w:type="dxa"/>
            <w:vAlign w:val="center"/>
          </w:tcPr>
          <w:p w14:paraId="7F78C6FA">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工业</w:t>
            </w:r>
          </w:p>
        </w:tc>
      </w:tr>
      <w:tr w14:paraId="3936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shd w:val="clear" w:color="auto" w:fill="auto"/>
            <w:vAlign w:val="center"/>
          </w:tcPr>
          <w:p w14:paraId="4E73ED99">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cs="宋体" w:asciiTheme="minorEastAsia" w:hAnsiTheme="minorEastAsia" w:eastAsiaTheme="minorEastAsia"/>
                <w:color w:val="auto"/>
                <w:sz w:val="24"/>
                <w:szCs w:val="24"/>
                <w:highlight w:val="none"/>
              </w:rPr>
              <w:t>7</w:t>
            </w:r>
          </w:p>
        </w:tc>
        <w:tc>
          <w:tcPr>
            <w:tcW w:w="1080" w:type="dxa"/>
            <w:tcMar>
              <w:top w:w="15" w:type="dxa"/>
              <w:left w:w="15" w:type="dxa"/>
              <w:bottom w:w="0" w:type="dxa"/>
              <w:right w:w="15" w:type="dxa"/>
            </w:tcMar>
            <w:vAlign w:val="center"/>
          </w:tcPr>
          <w:p w14:paraId="442942DE">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视音频记录仪采集站挂机</w:t>
            </w:r>
          </w:p>
        </w:tc>
        <w:tc>
          <w:tcPr>
            <w:tcW w:w="6272" w:type="dxa"/>
            <w:vAlign w:val="center"/>
          </w:tcPr>
          <w:p w14:paraId="3888001E">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采集接口：自带8个，需要搭配主机使用，一台主机</w:t>
            </w:r>
            <w:r>
              <w:rPr>
                <w:rFonts w:hint="eastAsia" w:asciiTheme="minorEastAsia" w:hAnsiTheme="minorEastAsia" w:eastAsiaTheme="minorEastAsia"/>
                <w:color w:val="auto"/>
                <w:sz w:val="24"/>
                <w:szCs w:val="24"/>
                <w:highlight w:val="none"/>
                <w:lang w:val="en-US" w:eastAsia="zh-CN"/>
              </w:rPr>
              <w:t>至少</w:t>
            </w:r>
            <w:r>
              <w:rPr>
                <w:rFonts w:hint="eastAsia" w:asciiTheme="minorEastAsia" w:hAnsiTheme="minorEastAsia" w:eastAsiaTheme="minorEastAsia"/>
                <w:color w:val="auto"/>
                <w:sz w:val="24"/>
                <w:szCs w:val="24"/>
                <w:highlight w:val="none"/>
              </w:rPr>
              <w:t>支持4台挂机拓展；</w:t>
            </w:r>
            <w:r>
              <w:rPr>
                <w:rFonts w:hint="eastAsia" w:asciiTheme="minorEastAsia" w:hAnsiTheme="minorEastAsia" w:eastAsiaTheme="minorEastAsia"/>
                <w:color w:val="auto"/>
                <w:sz w:val="24"/>
                <w:szCs w:val="24"/>
                <w:highlight w:val="none"/>
              </w:rPr>
              <w:br w:type="page"/>
            </w:r>
            <w:r>
              <w:rPr>
                <w:rFonts w:hint="eastAsia" w:asciiTheme="minorEastAsia" w:hAnsiTheme="minorEastAsia" w:eastAsiaTheme="minorEastAsia"/>
                <w:color w:val="auto"/>
                <w:sz w:val="24"/>
                <w:szCs w:val="24"/>
                <w:highlight w:val="none"/>
              </w:rPr>
              <w:t>钥匙锁：1个，一次同时控制所有舱门开启；</w:t>
            </w:r>
            <w:r>
              <w:rPr>
                <w:rFonts w:hint="eastAsia" w:asciiTheme="minorEastAsia" w:hAnsiTheme="minorEastAsia" w:eastAsiaTheme="minorEastAsia"/>
                <w:color w:val="auto"/>
                <w:sz w:val="24"/>
                <w:szCs w:val="24"/>
                <w:highlight w:val="none"/>
              </w:rPr>
              <w:br w:type="page"/>
            </w:r>
            <w:r>
              <w:rPr>
                <w:rFonts w:hint="eastAsia" w:asciiTheme="minorEastAsia" w:hAnsiTheme="minorEastAsia" w:eastAsiaTheme="minorEastAsia"/>
                <w:color w:val="auto"/>
                <w:sz w:val="24"/>
                <w:szCs w:val="24"/>
                <w:highlight w:val="none"/>
              </w:rPr>
              <w:t>供电方式：通过主机拓展口供电；</w:t>
            </w:r>
            <w:r>
              <w:rPr>
                <w:rFonts w:hint="eastAsia" w:asciiTheme="minorEastAsia" w:hAnsiTheme="minorEastAsia" w:eastAsiaTheme="minorEastAsia"/>
                <w:color w:val="auto"/>
                <w:sz w:val="24"/>
                <w:szCs w:val="24"/>
                <w:highlight w:val="none"/>
              </w:rPr>
              <w:br w:type="page"/>
            </w:r>
            <w:r>
              <w:rPr>
                <w:rFonts w:hint="eastAsia" w:asciiTheme="minorEastAsia" w:hAnsiTheme="minorEastAsia" w:eastAsiaTheme="minorEastAsia"/>
                <w:color w:val="auto"/>
                <w:sz w:val="24"/>
                <w:szCs w:val="24"/>
                <w:highlight w:val="none"/>
              </w:rPr>
              <w:t>拓展口（公头/母头）：左右两侧各2个。用于连接主机或扩展挂机；</w:t>
            </w:r>
            <w:r>
              <w:rPr>
                <w:rFonts w:hint="eastAsia" w:asciiTheme="minorEastAsia" w:hAnsiTheme="minorEastAsia" w:eastAsiaTheme="minorEastAsia"/>
                <w:color w:val="auto"/>
                <w:sz w:val="24"/>
                <w:szCs w:val="24"/>
                <w:highlight w:val="none"/>
              </w:rPr>
              <w:br w:type="page"/>
            </w:r>
            <w:r>
              <w:rPr>
                <w:rFonts w:hint="eastAsia" w:asciiTheme="minorEastAsia" w:hAnsiTheme="minorEastAsia" w:eastAsiaTheme="minorEastAsia"/>
                <w:color w:val="auto"/>
                <w:sz w:val="24"/>
                <w:szCs w:val="24"/>
                <w:highlight w:val="none"/>
              </w:rPr>
              <w:t>指示灯：支持。每个舱门2个指示灯。一个标示数据采集，一个标示充电。</w:t>
            </w:r>
          </w:p>
        </w:tc>
        <w:tc>
          <w:tcPr>
            <w:tcW w:w="709" w:type="dxa"/>
            <w:vAlign w:val="center"/>
          </w:tcPr>
          <w:p w14:paraId="2E5D254C">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1台</w:t>
            </w:r>
          </w:p>
        </w:tc>
        <w:tc>
          <w:tcPr>
            <w:tcW w:w="705" w:type="dxa"/>
            <w:vAlign w:val="center"/>
          </w:tcPr>
          <w:p w14:paraId="43109A82">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6500</w:t>
            </w:r>
            <w:r>
              <w:rPr>
                <w:rFonts w:hint="eastAsia" w:asciiTheme="minorEastAsia" w:hAnsiTheme="minorEastAsia" w:eastAsiaTheme="minorEastAsia"/>
                <w:color w:val="auto"/>
                <w:sz w:val="24"/>
                <w:szCs w:val="24"/>
                <w:highlight w:val="none"/>
                <w:lang w:val="en-US" w:eastAsia="zh-CN"/>
              </w:rPr>
              <w:t>元/台</w:t>
            </w:r>
          </w:p>
        </w:tc>
        <w:tc>
          <w:tcPr>
            <w:tcW w:w="845" w:type="dxa"/>
            <w:vAlign w:val="center"/>
          </w:tcPr>
          <w:p w14:paraId="37F07C35">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工业</w:t>
            </w:r>
          </w:p>
        </w:tc>
      </w:tr>
      <w:tr w14:paraId="5362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shd w:val="clear" w:color="auto" w:fill="auto"/>
            <w:vAlign w:val="center"/>
          </w:tcPr>
          <w:p w14:paraId="66C56FDF">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cs="宋体" w:asciiTheme="minorEastAsia" w:hAnsiTheme="minorEastAsia" w:eastAsiaTheme="minorEastAsia"/>
                <w:color w:val="auto"/>
                <w:sz w:val="24"/>
                <w:szCs w:val="24"/>
                <w:highlight w:val="none"/>
              </w:rPr>
              <w:t>8</w:t>
            </w:r>
          </w:p>
        </w:tc>
        <w:tc>
          <w:tcPr>
            <w:tcW w:w="1080" w:type="dxa"/>
            <w:shd w:val="clear" w:color="auto" w:fill="auto"/>
            <w:tcMar>
              <w:top w:w="15" w:type="dxa"/>
              <w:left w:w="15" w:type="dxa"/>
              <w:bottom w:w="0" w:type="dxa"/>
              <w:right w:w="15" w:type="dxa"/>
            </w:tcMar>
            <w:vAlign w:val="center"/>
          </w:tcPr>
          <w:p w14:paraId="67EADB80">
            <w:pPr>
              <w:spacing w:line="276" w:lineRule="auto"/>
              <w:rPr>
                <w:rFonts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采集站中间件</w:t>
            </w:r>
          </w:p>
        </w:tc>
        <w:tc>
          <w:tcPr>
            <w:tcW w:w="6272" w:type="dxa"/>
            <w:shd w:val="clear" w:color="auto" w:fill="auto"/>
            <w:vAlign w:val="center"/>
          </w:tcPr>
          <w:p w14:paraId="2338CFBC">
            <w:pPr>
              <w:spacing w:line="276" w:lineRule="auto"/>
              <w:rPr>
                <w:rFonts w:hint="eastAsia"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支持被监管人员信息与管教民警信息同步，将执法记录仪录音录像文件与管教谈话业务智能关联：</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一是对接采集工作站，实现文件上传点播。</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二是对接厂家采集管理平台，实现文件传输。</w:t>
            </w:r>
          </w:p>
        </w:tc>
        <w:tc>
          <w:tcPr>
            <w:tcW w:w="709" w:type="dxa"/>
            <w:shd w:val="clear" w:color="auto" w:fill="auto"/>
            <w:vAlign w:val="center"/>
          </w:tcPr>
          <w:p w14:paraId="648F4C42">
            <w:pPr>
              <w:spacing w:line="276" w:lineRule="auto"/>
              <w:jc w:val="center"/>
              <w:rPr>
                <w:rFonts w:cs="宋体"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1套</w:t>
            </w:r>
          </w:p>
        </w:tc>
        <w:tc>
          <w:tcPr>
            <w:tcW w:w="705" w:type="dxa"/>
            <w:shd w:val="clear" w:color="auto" w:fill="auto"/>
            <w:vAlign w:val="center"/>
          </w:tcPr>
          <w:p w14:paraId="77E6E4CA">
            <w:pPr>
              <w:spacing w:line="276" w:lineRule="auto"/>
              <w:jc w:val="center"/>
              <w:rPr>
                <w:rFonts w:hint="default" w:cs="宋体" w:asciiTheme="minorEastAsia" w:hAnsiTheme="minorEastAsia" w:eastAsiaTheme="minorEastAsia"/>
                <w:color w:val="auto"/>
                <w:sz w:val="24"/>
                <w:szCs w:val="24"/>
                <w:highlight w:val="none"/>
                <w:u w:color="000000"/>
                <w:lang w:val="en-US" w:eastAsia="zh-CN" w:bidi="ar-SA"/>
              </w:rPr>
            </w:pPr>
            <w:r>
              <w:rPr>
                <w:rFonts w:hint="eastAsia" w:cs="宋体" w:asciiTheme="minorEastAsia" w:hAnsiTheme="minorEastAsia" w:eastAsiaTheme="minorEastAsia"/>
                <w:color w:val="auto"/>
                <w:sz w:val="24"/>
                <w:szCs w:val="24"/>
                <w:highlight w:val="none"/>
                <w:u w:color="000000"/>
                <w:lang w:val="en-US" w:eastAsia="zh-CN" w:bidi="ar-SA"/>
              </w:rPr>
              <w:t>29000</w:t>
            </w:r>
            <w:r>
              <w:rPr>
                <w:rFonts w:hint="eastAsia" w:asciiTheme="minorEastAsia" w:hAnsiTheme="minorEastAsia" w:eastAsiaTheme="minorEastAsia"/>
                <w:color w:val="auto"/>
                <w:sz w:val="24"/>
                <w:szCs w:val="24"/>
                <w:highlight w:val="none"/>
                <w:lang w:val="en-US" w:eastAsia="zh-CN"/>
              </w:rPr>
              <w:t>元/套</w:t>
            </w:r>
          </w:p>
        </w:tc>
        <w:tc>
          <w:tcPr>
            <w:tcW w:w="845" w:type="dxa"/>
            <w:shd w:val="clear" w:color="auto" w:fill="auto"/>
            <w:vAlign w:val="top"/>
          </w:tcPr>
          <w:p w14:paraId="65AE32F0">
            <w:pPr>
              <w:spacing w:line="276" w:lineRule="auto"/>
              <w:jc w:val="center"/>
              <w:rPr>
                <w:rFonts w:cs="Times New Roman" w:asciiTheme="minorEastAsia" w:hAnsiTheme="minorEastAsia" w:eastAsiaTheme="minorEastAsia"/>
                <w:color w:val="auto"/>
                <w:sz w:val="24"/>
                <w:szCs w:val="24"/>
                <w:highlight w:val="none"/>
                <w:u w:color="000000"/>
                <w:lang w:val="en-US" w:eastAsia="zh-CN" w:bidi="ar-SA"/>
              </w:rPr>
            </w:pPr>
            <w:r>
              <w:rPr>
                <w:rFonts w:hint="eastAsia" w:asciiTheme="minorEastAsia" w:hAnsiTheme="minorEastAsia" w:eastAsiaTheme="minorEastAsia"/>
                <w:color w:val="auto"/>
                <w:sz w:val="24"/>
                <w:szCs w:val="24"/>
                <w:highlight w:val="none"/>
              </w:rPr>
              <w:t>软件和信息技术服务业</w:t>
            </w:r>
          </w:p>
        </w:tc>
      </w:tr>
      <w:tr w14:paraId="584F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jc w:val="center"/>
        </w:trPr>
        <w:tc>
          <w:tcPr>
            <w:tcW w:w="9922" w:type="dxa"/>
            <w:gridSpan w:val="6"/>
            <w:vAlign w:val="center"/>
          </w:tcPr>
          <w:p w14:paraId="526340BC">
            <w:pPr>
              <w:snapToGrid w:val="0"/>
              <w:spacing w:line="276" w:lineRule="auto"/>
              <w:jc w:val="left"/>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防误放系统1套（含：防误放人终端、监所防误放人信息系统及被监管人员出入口管控模块各1台/套/项）</w:t>
            </w:r>
          </w:p>
        </w:tc>
      </w:tr>
      <w:tr w14:paraId="0F20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vAlign w:val="center"/>
          </w:tcPr>
          <w:p w14:paraId="3B12F8D9">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9</w:t>
            </w:r>
          </w:p>
        </w:tc>
        <w:tc>
          <w:tcPr>
            <w:tcW w:w="1080" w:type="dxa"/>
            <w:tcMar>
              <w:top w:w="15" w:type="dxa"/>
              <w:left w:w="15" w:type="dxa"/>
              <w:bottom w:w="0" w:type="dxa"/>
              <w:right w:w="15" w:type="dxa"/>
            </w:tcMar>
            <w:vAlign w:val="center"/>
          </w:tcPr>
          <w:p w14:paraId="10B0054C">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防误放人终端（人脸+指纹型）</w:t>
            </w:r>
          </w:p>
        </w:tc>
        <w:tc>
          <w:tcPr>
            <w:tcW w:w="6272" w:type="dxa"/>
            <w:vAlign w:val="center"/>
          </w:tcPr>
          <w:p w14:paraId="15B02780">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身份验证：人脸或指纹登录                                                                     双目摄像头：有效像素均为500万以上，可支持人脸活体检测、自动曝光、自动白平衡</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指纹模块：与控制模块无缝集成，有效采集面积：14×18mm/认假率：</w:t>
            </w:r>
            <w:r>
              <w:rPr>
                <w:rFonts w:hint="eastAsia" w:asciiTheme="minorEastAsia" w:hAnsiTheme="minorEastAsia" w:eastAsiaTheme="minorEastAsia"/>
                <w:color w:val="auto"/>
                <w:sz w:val="24"/>
                <w:szCs w:val="24"/>
                <w:highlight w:val="none"/>
                <w:lang w:val="en-US" w:eastAsia="zh-CN"/>
              </w:rPr>
              <w:t>≤</w:t>
            </w:r>
            <w:r>
              <w:rPr>
                <w:rFonts w:hint="eastAsia" w:asciiTheme="minorEastAsia" w:hAnsiTheme="minorEastAsia" w:eastAsiaTheme="minorEastAsia"/>
                <w:color w:val="auto"/>
                <w:sz w:val="24"/>
                <w:szCs w:val="24"/>
                <w:highlight w:val="none"/>
              </w:rPr>
              <w:t>0.001%/拒真率：</w:t>
            </w:r>
            <w:r>
              <w:rPr>
                <w:rFonts w:hint="eastAsia" w:asciiTheme="minorEastAsia" w:hAnsiTheme="minorEastAsia" w:eastAsiaTheme="minorEastAsia"/>
                <w:color w:val="auto"/>
                <w:sz w:val="24"/>
                <w:szCs w:val="24"/>
                <w:highlight w:val="none"/>
                <w:lang w:val="en-US" w:eastAsia="zh-CN"/>
              </w:rPr>
              <w:t>≤</w:t>
            </w:r>
            <w:r>
              <w:rPr>
                <w:rFonts w:hint="eastAsia" w:asciiTheme="minorEastAsia" w:hAnsiTheme="minorEastAsia" w:eastAsiaTheme="minorEastAsia"/>
                <w:color w:val="auto"/>
                <w:sz w:val="24"/>
                <w:szCs w:val="24"/>
                <w:highlight w:val="none"/>
              </w:rPr>
              <w:t>1%/分辨率：500dpi±3%/图像灰度级：256级灰度</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屏幕尺寸：</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 xml:space="preserve">21.5寸   </w:t>
            </w:r>
          </w:p>
          <w:p w14:paraId="6A06DFD0">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显示比例：16:9，面板类型：TFT-LCD</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最大分辨率：1920×1080    </w:t>
            </w:r>
          </w:p>
          <w:p w14:paraId="0B2256F9">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操作系统：</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Android 7.1</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CPU：超强四核 GPU主频：1.8G      </w:t>
            </w:r>
          </w:p>
          <w:p w14:paraId="3A191914">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内存：</w:t>
            </w:r>
            <w:r>
              <w:rPr>
                <w:rFonts w:hint="eastAsia" w:ascii="宋体" w:hAnsi="宋体"/>
                <w:color w:val="auto"/>
                <w:sz w:val="24"/>
                <w:szCs w:val="24"/>
                <w:highlight w:val="none"/>
              </w:rPr>
              <w:t>不低于</w:t>
            </w:r>
            <w:r>
              <w:rPr>
                <w:rFonts w:hint="eastAsia" w:asciiTheme="minorEastAsia" w:hAnsiTheme="minorEastAsia" w:eastAsiaTheme="minorEastAsia"/>
                <w:color w:val="auto"/>
                <w:sz w:val="24"/>
                <w:szCs w:val="24"/>
                <w:highlight w:val="none"/>
              </w:rPr>
              <w:t>2G DDR3，FLASH：8GB</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支持定时重启，响应时间 ＜10     </w:t>
            </w:r>
          </w:p>
          <w:p w14:paraId="24A006E3">
            <w:pPr>
              <w:spacing w:line="276" w:lineRule="auto"/>
              <w:jc w:val="lef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USB*1，RJ45*1</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触摸：标配10点电容触摸       </w:t>
            </w:r>
          </w:p>
          <w:p w14:paraId="0E4F120F">
            <w:pPr>
              <w:spacing w:line="276" w:lineRule="auto"/>
              <w:jc w:val="left"/>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读卡器：IC读卡器、电源DC：12V</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最大功率损耗≤36W、待机功率损耗≤1W</w:t>
            </w:r>
          </w:p>
        </w:tc>
        <w:tc>
          <w:tcPr>
            <w:tcW w:w="709" w:type="dxa"/>
            <w:vAlign w:val="center"/>
          </w:tcPr>
          <w:p w14:paraId="0E3C4604">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1台</w:t>
            </w:r>
          </w:p>
        </w:tc>
        <w:tc>
          <w:tcPr>
            <w:tcW w:w="705" w:type="dxa"/>
            <w:vAlign w:val="center"/>
          </w:tcPr>
          <w:p w14:paraId="188E1D74">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9800</w:t>
            </w:r>
            <w:r>
              <w:rPr>
                <w:rFonts w:hint="eastAsia" w:asciiTheme="minorEastAsia" w:hAnsiTheme="minorEastAsia" w:eastAsiaTheme="minorEastAsia"/>
                <w:color w:val="auto"/>
                <w:sz w:val="24"/>
                <w:szCs w:val="24"/>
                <w:highlight w:val="none"/>
                <w:lang w:val="en-US" w:eastAsia="zh-CN"/>
              </w:rPr>
              <w:t>元/台</w:t>
            </w:r>
          </w:p>
        </w:tc>
        <w:tc>
          <w:tcPr>
            <w:tcW w:w="845" w:type="dxa"/>
            <w:vAlign w:val="center"/>
          </w:tcPr>
          <w:p w14:paraId="607E8611">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工业</w:t>
            </w:r>
          </w:p>
        </w:tc>
      </w:tr>
      <w:tr w14:paraId="5338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vAlign w:val="center"/>
          </w:tcPr>
          <w:p w14:paraId="7BD43938">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10</w:t>
            </w:r>
          </w:p>
        </w:tc>
        <w:tc>
          <w:tcPr>
            <w:tcW w:w="1080" w:type="dxa"/>
            <w:tcMar>
              <w:top w:w="15" w:type="dxa"/>
              <w:left w:w="15" w:type="dxa"/>
              <w:bottom w:w="0" w:type="dxa"/>
              <w:right w:w="15" w:type="dxa"/>
            </w:tcMar>
            <w:vAlign w:val="center"/>
          </w:tcPr>
          <w:p w14:paraId="67F460BD">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监所防误放人信息系统</w:t>
            </w:r>
          </w:p>
        </w:tc>
        <w:tc>
          <w:tcPr>
            <w:tcW w:w="6272" w:type="dxa"/>
            <w:vAlign w:val="center"/>
          </w:tcPr>
          <w:p w14:paraId="4A7ACCA3">
            <w:pPr>
              <w:numPr>
                <w:ilvl w:val="0"/>
                <w:numId w:val="1"/>
              </w:num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接入监所实战平台：对接省级违法犯罪人员信息系统，实时获取被监管人员信息。</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出所比对：被监管人员办理提讯、会见、换押、出所或临时离所各项业务时，在监室、监区、重要通道使用“防误放人终端”，验证人脸或指纹进行身份确认，确认成功后会显示人员信息。在人员列表选择人员后可查看信息或单独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3、民警登入：监管场所民警通过登入系统（支持刷卡、人脸、密码比对）可查询人员信息等。</w:t>
            </w:r>
          </w:p>
          <w:p w14:paraId="6C6D8238">
            <w:pPr>
              <w:spacing w:line="276"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4、智能终端应用：实现监管民警、被监管人员的动态业务数据关联，被监管人员带出/带入确认由民警通过触摸方式选择。</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5、其它信息比对：通过后台程序，调用人脸比对接口，请求人脸比对，在通过后，将人脸信息发送到接口，自动进行比对，最后将结果进行返回。</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6、历史记录：记录并显示历次业务办理类型与时间。</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 xml:space="preserve">7、自定义配置：设置服务器的ip地址与相关配置，可支持不同功能。                  </w:t>
            </w:r>
          </w:p>
          <w:p w14:paraId="419B9599">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8.具有相关的著作权证书。</w:t>
            </w:r>
          </w:p>
        </w:tc>
        <w:tc>
          <w:tcPr>
            <w:tcW w:w="709" w:type="dxa"/>
            <w:vAlign w:val="center"/>
          </w:tcPr>
          <w:p w14:paraId="24C58AB9">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1套</w:t>
            </w:r>
          </w:p>
        </w:tc>
        <w:tc>
          <w:tcPr>
            <w:tcW w:w="705" w:type="dxa"/>
            <w:vAlign w:val="center"/>
          </w:tcPr>
          <w:p w14:paraId="18DA81B2">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53100</w:t>
            </w:r>
            <w:r>
              <w:rPr>
                <w:rFonts w:hint="eastAsia" w:asciiTheme="minorEastAsia" w:hAnsiTheme="minorEastAsia" w:eastAsiaTheme="minorEastAsia"/>
                <w:color w:val="auto"/>
                <w:sz w:val="24"/>
                <w:szCs w:val="24"/>
                <w:highlight w:val="none"/>
                <w:lang w:val="en-US" w:eastAsia="zh-CN"/>
              </w:rPr>
              <w:t>元/台</w:t>
            </w:r>
          </w:p>
        </w:tc>
        <w:tc>
          <w:tcPr>
            <w:tcW w:w="845" w:type="dxa"/>
            <w:vMerge w:val="restart"/>
            <w:vAlign w:val="center"/>
          </w:tcPr>
          <w:p w14:paraId="29A590C5">
            <w:pPr>
              <w:spacing w:line="276"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软件和信息技术服务业</w:t>
            </w:r>
          </w:p>
        </w:tc>
      </w:tr>
      <w:tr w14:paraId="0A8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vAlign w:val="center"/>
          </w:tcPr>
          <w:p w14:paraId="09AB6B59">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11</w:t>
            </w:r>
          </w:p>
        </w:tc>
        <w:tc>
          <w:tcPr>
            <w:tcW w:w="1080" w:type="dxa"/>
            <w:tcMar>
              <w:top w:w="15" w:type="dxa"/>
              <w:left w:w="15" w:type="dxa"/>
              <w:bottom w:w="0" w:type="dxa"/>
              <w:right w:w="15" w:type="dxa"/>
            </w:tcMar>
            <w:vAlign w:val="center"/>
          </w:tcPr>
          <w:p w14:paraId="16A5AECE">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被监管人员出入口管控模块</w:t>
            </w:r>
          </w:p>
        </w:tc>
        <w:tc>
          <w:tcPr>
            <w:tcW w:w="6272" w:type="dxa"/>
            <w:vAlign w:val="center"/>
          </w:tcPr>
          <w:p w14:paraId="086C6C60">
            <w:pPr>
              <w:spacing w:line="276" w:lineRule="auto"/>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1、业务配置：在配置界面选择性定制业务。</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2、信息展示：历史记录，时间展示，公司售后联系方式。</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3、家属会见出监区：在业务后台办理业务的人员进行信息比对。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4、律师会见出监区：在业务后台办理业务的人员进行信息比对。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5、提讯出监区：在业务后台办理业务的人员进行信息比对。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6、提解出监区：在业务后台办理业务的人员进行信息比对。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7、家属会见回监区：业务后人员再次进行信息比对。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8、律师会见回监区：业务后人员再次进行信息比对。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9、提讯出回监区：业务后人员再次进行信息比对。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10、提解出回监区：业务后人员再次进行信息比对。</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11、全所人员查询：其他比对中可以根据所内分布，快随查找人员信息。</w:t>
            </w:r>
            <w:r>
              <w:rPr>
                <w:rFonts w:hint="eastAsia" w:asciiTheme="minorEastAsia" w:hAnsiTheme="minorEastAsia" w:eastAsiaTheme="minorEastAsia"/>
                <w:color w:val="auto"/>
                <w:sz w:val="24"/>
                <w:szCs w:val="24"/>
                <w:highlight w:val="none"/>
              </w:rPr>
              <w:br w:type="textWrapping"/>
            </w:r>
            <w:r>
              <w:rPr>
                <w:rFonts w:hint="eastAsia" w:asciiTheme="minorEastAsia" w:hAnsiTheme="minorEastAsia" w:eastAsiaTheme="minorEastAsia"/>
                <w:color w:val="auto"/>
                <w:sz w:val="24"/>
                <w:szCs w:val="24"/>
                <w:highlight w:val="none"/>
              </w:rPr>
              <w:t>12、数据同步：数据同步分两类：自动同步和手动同步。自动同步是一小时同步一次新增业务办理信息，手动同步分为出所信息同步和全所人员同步。</w:t>
            </w:r>
          </w:p>
        </w:tc>
        <w:tc>
          <w:tcPr>
            <w:tcW w:w="709" w:type="dxa"/>
            <w:vAlign w:val="center"/>
          </w:tcPr>
          <w:p w14:paraId="67913D2A">
            <w:pPr>
              <w:spacing w:line="276" w:lineRule="auto"/>
              <w:jc w:val="center"/>
              <w:rPr>
                <w:rFonts w:cs="宋体"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1项</w:t>
            </w:r>
          </w:p>
        </w:tc>
        <w:tc>
          <w:tcPr>
            <w:tcW w:w="705" w:type="dxa"/>
            <w:vAlign w:val="center"/>
          </w:tcPr>
          <w:p w14:paraId="502D38E6">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8500</w:t>
            </w:r>
            <w:r>
              <w:rPr>
                <w:rFonts w:hint="eastAsia" w:asciiTheme="minorEastAsia" w:hAnsiTheme="minorEastAsia" w:eastAsiaTheme="minorEastAsia"/>
                <w:color w:val="auto"/>
                <w:sz w:val="24"/>
                <w:szCs w:val="24"/>
                <w:highlight w:val="none"/>
                <w:lang w:val="en-US" w:eastAsia="zh-CN"/>
              </w:rPr>
              <w:t>元/台</w:t>
            </w:r>
          </w:p>
        </w:tc>
        <w:tc>
          <w:tcPr>
            <w:tcW w:w="845" w:type="dxa"/>
            <w:vMerge w:val="continue"/>
            <w:vAlign w:val="center"/>
          </w:tcPr>
          <w:p w14:paraId="28EFB99B">
            <w:pPr>
              <w:spacing w:line="276" w:lineRule="auto"/>
              <w:jc w:val="center"/>
              <w:rPr>
                <w:rFonts w:asciiTheme="minorEastAsia" w:hAnsiTheme="minorEastAsia" w:eastAsiaTheme="minorEastAsia"/>
                <w:color w:val="auto"/>
                <w:sz w:val="24"/>
                <w:szCs w:val="24"/>
                <w:highlight w:val="none"/>
              </w:rPr>
            </w:pPr>
          </w:p>
        </w:tc>
      </w:tr>
      <w:tr w14:paraId="1D4A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11" w:type="dxa"/>
            <w:vAlign w:val="center"/>
          </w:tcPr>
          <w:p w14:paraId="273E67C4">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12</w:t>
            </w:r>
          </w:p>
        </w:tc>
        <w:tc>
          <w:tcPr>
            <w:tcW w:w="1080" w:type="dxa"/>
            <w:tcMar>
              <w:top w:w="15" w:type="dxa"/>
              <w:left w:w="15" w:type="dxa"/>
              <w:bottom w:w="0" w:type="dxa"/>
              <w:right w:w="15" w:type="dxa"/>
            </w:tcMar>
            <w:vAlign w:val="center"/>
          </w:tcPr>
          <w:p w14:paraId="71E56AEA">
            <w:pPr>
              <w:spacing w:line="276" w:lineRule="auto"/>
              <w:rPr>
                <w:rFonts w:hint="eastAsia" w:asciiTheme="minorEastAsia" w:hAnsiTheme="minorEastAsia" w:eastAsiaTheme="minorEastAsia"/>
                <w:color w:val="auto"/>
                <w:sz w:val="24"/>
                <w:szCs w:val="24"/>
                <w:highlight w:val="none"/>
              </w:rPr>
            </w:pPr>
            <w:r>
              <w:rPr>
                <w:rFonts w:hint="eastAsia"/>
                <w:color w:val="auto"/>
                <w:sz w:val="24"/>
                <w:szCs w:val="24"/>
                <w:highlight w:val="none"/>
                <w:lang w:val="en-US" w:eastAsia="zh-CN"/>
              </w:rPr>
              <w:t>安装调试</w:t>
            </w:r>
          </w:p>
        </w:tc>
        <w:tc>
          <w:tcPr>
            <w:tcW w:w="6272" w:type="dxa"/>
            <w:vAlign w:val="center"/>
          </w:tcPr>
          <w:p w14:paraId="0048E5F2">
            <w:pPr>
              <w:spacing w:line="276" w:lineRule="auto"/>
              <w:rPr>
                <w:rFonts w:hint="eastAsia" w:asciiTheme="minorEastAsia" w:hAnsiTheme="minorEastAsia" w:eastAsiaTheme="minorEastAsia"/>
                <w:color w:val="auto"/>
                <w:sz w:val="24"/>
                <w:szCs w:val="24"/>
                <w:highlight w:val="none"/>
              </w:rPr>
            </w:pPr>
            <w:r>
              <w:rPr>
                <w:rFonts w:hint="eastAsia"/>
                <w:color w:val="auto"/>
                <w:sz w:val="24"/>
                <w:szCs w:val="24"/>
                <w:highlight w:val="none"/>
                <w:lang w:val="en-US" w:eastAsia="zh-CN"/>
              </w:rPr>
              <w:t>满足以上智能谈话教育系统、防误放系统至正常使用状态，含相关所有附件、材料。</w:t>
            </w:r>
          </w:p>
        </w:tc>
        <w:tc>
          <w:tcPr>
            <w:tcW w:w="709" w:type="dxa"/>
            <w:vAlign w:val="center"/>
          </w:tcPr>
          <w:p w14:paraId="36DAD85D">
            <w:pPr>
              <w:spacing w:line="276" w:lineRule="auto"/>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1批</w:t>
            </w:r>
          </w:p>
        </w:tc>
        <w:tc>
          <w:tcPr>
            <w:tcW w:w="705" w:type="dxa"/>
            <w:vAlign w:val="center"/>
          </w:tcPr>
          <w:p w14:paraId="2DD9D4BE">
            <w:pPr>
              <w:spacing w:line="276" w:lineRule="auto"/>
              <w:jc w:val="center"/>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eastAsiaTheme="minorEastAsia"/>
                <w:color w:val="auto"/>
                <w:sz w:val="24"/>
                <w:szCs w:val="24"/>
                <w:highlight w:val="none"/>
                <w:lang w:val="en-US" w:eastAsia="zh-CN"/>
              </w:rPr>
              <w:t>3500元</w:t>
            </w:r>
          </w:p>
        </w:tc>
        <w:tc>
          <w:tcPr>
            <w:tcW w:w="845" w:type="dxa"/>
            <w:vAlign w:val="center"/>
          </w:tcPr>
          <w:p w14:paraId="2C4E93E5">
            <w:pPr>
              <w:spacing w:line="276" w:lineRule="auto"/>
              <w:jc w:val="center"/>
              <w:rPr>
                <w:rFonts w:asciiTheme="minorEastAsia" w:hAnsiTheme="minorEastAsia" w:eastAsiaTheme="minorEastAsia"/>
                <w:color w:val="auto"/>
                <w:sz w:val="24"/>
                <w:szCs w:val="24"/>
                <w:highlight w:val="none"/>
              </w:rPr>
            </w:pPr>
          </w:p>
        </w:tc>
      </w:tr>
    </w:tbl>
    <w:p w14:paraId="3067FE08">
      <w:pPr>
        <w:widowControl w:val="0"/>
        <w:adjustRightInd w:val="0"/>
        <w:snapToGrid w:val="0"/>
        <w:spacing w:beforeLines="50" w:line="30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rPr>
        <w:t>注：</w:t>
      </w:r>
      <w:r>
        <w:rPr>
          <w:rFonts w:hint="eastAsia"/>
          <w:color w:val="auto"/>
          <w:sz w:val="24"/>
          <w:szCs w:val="24"/>
          <w:highlight w:val="none"/>
          <w:lang w:val="en-US" w:eastAsia="zh-CN"/>
        </w:rPr>
        <w:t>1、本次采购智能谈话教育系统、防误放系统均要求安装调试至正常使用状态，含相关所有附件、材料。</w:t>
      </w:r>
    </w:p>
    <w:p w14:paraId="1B22F6C0">
      <w:pPr>
        <w:widowControl w:val="0"/>
        <w:adjustRightInd w:val="0"/>
        <w:snapToGrid w:val="0"/>
        <w:spacing w:beforeLines="50" w:line="300" w:lineRule="auto"/>
        <w:ind w:firstLine="480" w:firstLineChars="200"/>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、投标人按照上述各产品（货物）所对应标明的所属行业，判断所投标的各产品（货物）的制造企业是否属该行业（采购文件标明的）的小微企业。</w:t>
      </w:r>
    </w:p>
    <w:p w14:paraId="0C08BBED">
      <w:pPr>
        <w:widowControl w:val="0"/>
        <w:adjustRightInd w:val="0"/>
        <w:snapToGrid w:val="0"/>
        <w:spacing w:beforeLines="50" w:line="300" w:lineRule="auto"/>
        <w:ind w:firstLine="480" w:firstLineChars="200"/>
        <w:rPr>
          <w:rFonts w:hint="eastAsia"/>
          <w:color w:val="auto"/>
          <w:sz w:val="24"/>
          <w:szCs w:val="24"/>
          <w:highlight w:val="none"/>
        </w:rPr>
      </w:pPr>
      <w:r>
        <w:rPr>
          <w:rFonts w:hint="eastAsia"/>
          <w:color w:val="auto"/>
          <w:sz w:val="24"/>
          <w:szCs w:val="24"/>
          <w:highlight w:val="none"/>
        </w:rPr>
        <w:t>提醒：产品(货物）的制造企业不应按照自身的行业属性作为小微企业的判断标准（应按采购文件标明的产品所属行业进行判断）。</w:t>
      </w:r>
    </w:p>
    <w:p w14:paraId="49938CB8">
      <w:pPr>
        <w:widowControl w:val="0"/>
        <w:adjustRightInd w:val="0"/>
        <w:snapToGrid w:val="0"/>
        <w:spacing w:beforeLines="50" w:line="300" w:lineRule="auto"/>
        <w:ind w:firstLine="480" w:firstLineChars="200"/>
        <w:rPr>
          <w:rFonts w:hint="eastAsia"/>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、本</w:t>
      </w:r>
      <w:r>
        <w:rPr>
          <w:rFonts w:hint="eastAsia"/>
          <w:color w:val="auto"/>
          <w:sz w:val="24"/>
          <w:szCs w:val="24"/>
          <w:highlight w:val="none"/>
          <w:lang w:val="en-US" w:eastAsia="zh-CN"/>
        </w:rPr>
        <w:t>项目</w:t>
      </w:r>
      <w:r>
        <w:rPr>
          <w:rFonts w:hint="eastAsia"/>
          <w:color w:val="auto"/>
          <w:sz w:val="24"/>
          <w:szCs w:val="24"/>
          <w:highlight w:val="none"/>
        </w:rPr>
        <w:t>核心产品为：被监管人员谈话教育系统、管教谈话AI主机、监所防误放人信息系统。</w:t>
      </w:r>
    </w:p>
    <w:p w14:paraId="590BB35C">
      <w:pPr>
        <w:widowControl w:val="0"/>
        <w:adjustRightInd w:val="0"/>
        <w:snapToGrid w:val="0"/>
        <w:spacing w:beforeLines="50" w:line="300" w:lineRule="auto"/>
        <w:ind w:firstLine="480" w:firstLineChars="200"/>
        <w:rPr>
          <w:rFonts w:hint="eastAsia"/>
          <w:color w:val="auto"/>
          <w:sz w:val="24"/>
          <w:szCs w:val="24"/>
          <w:highlight w:val="none"/>
        </w:rPr>
      </w:pPr>
      <w:r>
        <w:rPr>
          <w:rFonts w:hint="eastAsia"/>
          <w:color w:val="auto"/>
          <w:sz w:val="24"/>
          <w:szCs w:val="24"/>
          <w:highlight w:val="none"/>
          <w:lang w:val="en-US" w:eastAsia="zh-CN"/>
        </w:rPr>
        <w:t>4</w:t>
      </w:r>
      <w:r>
        <w:rPr>
          <w:rFonts w:hint="eastAsia"/>
          <w:color w:val="auto"/>
          <w:sz w:val="24"/>
          <w:szCs w:val="24"/>
          <w:highlight w:val="none"/>
        </w:rPr>
        <w:t>、如涉及台式计算机、便携式计算机、一体式计算机、工作站、通用服务器、操作系统、数据库的，按第六章14-2附件要求执行。</w:t>
      </w:r>
    </w:p>
    <w:p w14:paraId="065068F8">
      <w:pPr>
        <w:widowControl w:val="0"/>
        <w:adjustRightInd w:val="0"/>
        <w:snapToGrid w:val="0"/>
        <w:spacing w:beforeLines="50" w:line="300" w:lineRule="auto"/>
        <w:ind w:firstLine="460" w:firstLineChars="192"/>
        <w:rPr>
          <w:rFonts w:ascii="宋体" w:hAnsi="宋体"/>
          <w:color w:val="auto"/>
          <w:sz w:val="24"/>
          <w:szCs w:val="24"/>
          <w:highlight w:val="none"/>
        </w:rPr>
      </w:pPr>
    </w:p>
    <w:p w14:paraId="4617BCB8">
      <w:pPr>
        <w:widowControl w:val="0"/>
        <w:adjustRightInd w:val="0"/>
        <w:snapToGrid w:val="0"/>
        <w:spacing w:beforeLines="50" w:line="300" w:lineRule="auto"/>
        <w:ind w:firstLine="460" w:firstLineChars="192"/>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4</w:t>
      </w:r>
      <w:r>
        <w:rPr>
          <w:rFonts w:ascii="宋体" w:hAnsi="宋体"/>
          <w:color w:val="auto"/>
          <w:sz w:val="24"/>
          <w:szCs w:val="24"/>
          <w:highlight w:val="none"/>
        </w:rPr>
        <w:t xml:space="preserve">.1 </w:t>
      </w:r>
      <w:r>
        <w:rPr>
          <w:rFonts w:hint="eastAsia" w:ascii="宋体" w:hAnsi="宋体"/>
          <w:color w:val="auto"/>
          <w:sz w:val="24"/>
          <w:szCs w:val="24"/>
          <w:highlight w:val="none"/>
        </w:rPr>
        <w:t>应遵循第三章投标人须知</w:t>
      </w:r>
      <w:r>
        <w:rPr>
          <w:rFonts w:ascii="宋体" w:hAnsi="宋体"/>
          <w:color w:val="auto"/>
          <w:sz w:val="24"/>
          <w:szCs w:val="24"/>
          <w:highlight w:val="none"/>
        </w:rPr>
        <w:t>3.7.4</w:t>
      </w:r>
      <w:r>
        <w:rPr>
          <w:rFonts w:hint="eastAsia" w:ascii="宋体" w:hAnsi="宋体"/>
          <w:color w:val="auto"/>
          <w:sz w:val="24"/>
          <w:szCs w:val="24"/>
          <w:highlight w:val="none"/>
        </w:rPr>
        <w:t>项规定。</w:t>
      </w:r>
    </w:p>
    <w:p w14:paraId="5BD64B67">
      <w:pPr>
        <w:widowControl w:val="0"/>
        <w:adjustRightInd w:val="0"/>
        <w:snapToGrid w:val="0"/>
        <w:spacing w:beforeLines="50" w:line="300" w:lineRule="auto"/>
        <w:ind w:firstLine="460" w:firstLineChars="192"/>
        <w:rPr>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4</w:t>
      </w:r>
      <w:r>
        <w:rPr>
          <w:rFonts w:ascii="宋体" w:hAnsi="宋体"/>
          <w:color w:val="auto"/>
          <w:sz w:val="24"/>
          <w:szCs w:val="24"/>
          <w:highlight w:val="none"/>
        </w:rPr>
        <w:t xml:space="preserve">.2 </w:t>
      </w:r>
      <w:r>
        <w:rPr>
          <w:rFonts w:hint="eastAsia" w:ascii="宋体" w:hAnsi="宋体"/>
          <w:color w:val="auto"/>
          <w:sz w:val="24"/>
          <w:szCs w:val="24"/>
          <w:highlight w:val="none"/>
        </w:rPr>
        <w:t>成交供应商负责产品的安装、调试，并</w:t>
      </w:r>
      <w:r>
        <w:rPr>
          <w:rFonts w:hint="eastAsia"/>
          <w:color w:val="auto"/>
          <w:sz w:val="24"/>
          <w:szCs w:val="24"/>
          <w:highlight w:val="none"/>
        </w:rPr>
        <w:t>具备正常使用条件。</w:t>
      </w:r>
    </w:p>
    <w:p w14:paraId="4620742B">
      <w:pPr>
        <w:widowControl w:val="0"/>
        <w:adjustRightInd w:val="0"/>
        <w:snapToGrid w:val="0"/>
        <w:spacing w:beforeLines="50" w:line="300" w:lineRule="auto"/>
        <w:ind w:firstLine="361" w:firstLineChars="150"/>
        <w:rPr>
          <w:rFonts w:ascii="宋体" w:cs="宋体"/>
          <w:b/>
          <w:color w:val="auto"/>
          <w:sz w:val="24"/>
          <w:szCs w:val="24"/>
          <w:highlight w:val="none"/>
        </w:rPr>
      </w:pPr>
    </w:p>
    <w:p w14:paraId="51D64C05">
      <w:pPr>
        <w:adjustRightInd w:val="0"/>
        <w:snapToGrid w:val="0"/>
        <w:spacing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5安</w:t>
      </w:r>
      <w:r>
        <w:rPr>
          <w:rFonts w:ascii="黑体" w:hAnsi="黑体" w:eastAsia="黑体"/>
          <w:b/>
          <w:color w:val="auto"/>
          <w:sz w:val="24"/>
          <w:szCs w:val="24"/>
          <w:highlight w:val="none"/>
        </w:rPr>
        <w:t>全</w:t>
      </w:r>
    </w:p>
    <w:p w14:paraId="573119F8">
      <w:pPr>
        <w:widowControl w:val="0"/>
        <w:adjustRightInd w:val="0"/>
        <w:snapToGrid w:val="0"/>
        <w:spacing w:beforeLines="50" w:line="300" w:lineRule="auto"/>
        <w:ind w:left="22" w:firstLine="555"/>
        <w:jc w:val="left"/>
        <w:rPr>
          <w:rFonts w:ascii="宋体" w:hAnsi="宋体"/>
          <w:color w:val="auto"/>
          <w:sz w:val="24"/>
          <w:szCs w:val="24"/>
          <w:highlight w:val="none"/>
        </w:rPr>
      </w:pPr>
      <w:r>
        <w:rPr>
          <w:rFonts w:hint="eastAsia" w:ascii="宋体" w:hAnsi="宋体"/>
          <w:color w:val="auto"/>
          <w:sz w:val="24"/>
          <w:szCs w:val="24"/>
          <w:highlight w:val="none"/>
        </w:rPr>
        <w:t>投标产品应符合国家、行业的各</w:t>
      </w:r>
      <w:r>
        <w:rPr>
          <w:rFonts w:ascii="宋体" w:hAnsi="宋体"/>
          <w:color w:val="auto"/>
          <w:sz w:val="24"/>
          <w:szCs w:val="24"/>
          <w:highlight w:val="none"/>
        </w:rPr>
        <w:t>项</w:t>
      </w:r>
      <w:r>
        <w:rPr>
          <w:rFonts w:hint="eastAsia" w:ascii="宋体" w:hAnsi="宋体"/>
          <w:color w:val="auto"/>
          <w:sz w:val="24"/>
          <w:szCs w:val="24"/>
          <w:highlight w:val="none"/>
        </w:rPr>
        <w:t>安全标准，投</w:t>
      </w:r>
      <w:r>
        <w:rPr>
          <w:rFonts w:ascii="宋体" w:hAnsi="宋体"/>
          <w:color w:val="auto"/>
          <w:sz w:val="24"/>
          <w:szCs w:val="24"/>
          <w:highlight w:val="none"/>
        </w:rPr>
        <w:t>标</w:t>
      </w:r>
      <w:r>
        <w:rPr>
          <w:rFonts w:hint="eastAsia" w:ascii="宋体" w:hAnsi="宋体"/>
          <w:color w:val="auto"/>
          <w:sz w:val="24"/>
          <w:szCs w:val="24"/>
          <w:highlight w:val="none"/>
        </w:rPr>
        <w:t>人</w:t>
      </w:r>
      <w:r>
        <w:rPr>
          <w:rFonts w:ascii="宋体" w:hAnsi="宋体"/>
          <w:color w:val="auto"/>
          <w:sz w:val="24"/>
          <w:szCs w:val="24"/>
          <w:highlight w:val="none"/>
        </w:rPr>
        <w:t>对</w:t>
      </w:r>
      <w:r>
        <w:rPr>
          <w:rFonts w:hint="eastAsia" w:ascii="宋体" w:hAnsi="宋体"/>
          <w:color w:val="auto"/>
          <w:sz w:val="24"/>
          <w:szCs w:val="24"/>
          <w:highlight w:val="none"/>
        </w:rPr>
        <w:t>投标产品的</w:t>
      </w:r>
      <w:r>
        <w:rPr>
          <w:rFonts w:ascii="宋体" w:hAnsi="宋体"/>
          <w:color w:val="auto"/>
          <w:sz w:val="24"/>
          <w:szCs w:val="24"/>
          <w:highlight w:val="none"/>
        </w:rPr>
        <w:t>安全性承担全部责任。</w:t>
      </w:r>
      <w:r>
        <w:rPr>
          <w:rFonts w:hint="eastAsia" w:ascii="宋体" w:hAnsi="宋体"/>
          <w:color w:val="auto"/>
          <w:sz w:val="24"/>
          <w:szCs w:val="24"/>
          <w:highlight w:val="none"/>
        </w:rPr>
        <w:t>生产或销售不符合保障人身、财产安全的国家标准、行业标准的产品，将</w:t>
      </w:r>
      <w:r>
        <w:rPr>
          <w:rFonts w:ascii="宋体" w:hAnsi="宋体"/>
          <w:color w:val="auto"/>
          <w:sz w:val="24"/>
          <w:szCs w:val="24"/>
          <w:highlight w:val="none"/>
        </w:rPr>
        <w:t>依法承担民事及相应刑事责任</w:t>
      </w:r>
      <w:r>
        <w:rPr>
          <w:rFonts w:hint="eastAsia" w:ascii="宋体" w:hAnsi="宋体"/>
          <w:color w:val="auto"/>
          <w:sz w:val="24"/>
          <w:szCs w:val="24"/>
          <w:highlight w:val="none"/>
        </w:rPr>
        <w:t>。合</w:t>
      </w:r>
      <w:r>
        <w:rPr>
          <w:rFonts w:ascii="宋体" w:hAnsi="宋体"/>
          <w:color w:val="auto"/>
          <w:sz w:val="24"/>
          <w:szCs w:val="24"/>
          <w:highlight w:val="none"/>
        </w:rPr>
        <w:t>同履行中的安全责任由</w:t>
      </w:r>
      <w:r>
        <w:rPr>
          <w:rFonts w:hint="eastAsia"/>
          <w:color w:val="auto"/>
          <w:sz w:val="24"/>
          <w:szCs w:val="24"/>
          <w:highlight w:val="none"/>
        </w:rPr>
        <w:t>成交供应商</w:t>
      </w:r>
      <w:r>
        <w:rPr>
          <w:rFonts w:ascii="宋体" w:hAnsi="宋体"/>
          <w:color w:val="auto"/>
          <w:sz w:val="24"/>
          <w:szCs w:val="24"/>
          <w:highlight w:val="none"/>
        </w:rPr>
        <w:t>承担全部责任。</w:t>
      </w:r>
    </w:p>
    <w:p w14:paraId="1030F8DE">
      <w:pPr>
        <w:adjustRightInd w:val="0"/>
        <w:snapToGrid w:val="0"/>
        <w:spacing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6投</w:t>
      </w:r>
      <w:r>
        <w:rPr>
          <w:rFonts w:ascii="黑体" w:hAnsi="黑体" w:eastAsia="黑体"/>
          <w:b/>
          <w:color w:val="auto"/>
          <w:sz w:val="24"/>
          <w:szCs w:val="24"/>
          <w:highlight w:val="none"/>
        </w:rPr>
        <w:t>标文件</w:t>
      </w:r>
      <w:r>
        <w:rPr>
          <w:rFonts w:hint="eastAsia" w:ascii="黑体" w:hAnsi="黑体" w:eastAsia="黑体"/>
          <w:b/>
          <w:color w:val="auto"/>
          <w:sz w:val="24"/>
          <w:szCs w:val="24"/>
          <w:highlight w:val="none"/>
        </w:rPr>
        <w:t>对“基本技术要求”的</w:t>
      </w:r>
      <w:r>
        <w:rPr>
          <w:rFonts w:ascii="黑体" w:hAnsi="黑体" w:eastAsia="黑体"/>
          <w:b/>
          <w:color w:val="auto"/>
          <w:sz w:val="24"/>
          <w:szCs w:val="24"/>
          <w:highlight w:val="none"/>
        </w:rPr>
        <w:t>响应</w:t>
      </w:r>
    </w:p>
    <w:p w14:paraId="35C66101">
      <w:pPr>
        <w:widowControl w:val="0"/>
        <w:adjustRightInd w:val="0"/>
        <w:snapToGrid w:val="0"/>
        <w:spacing w:beforeLines="50" w:line="300" w:lineRule="auto"/>
        <w:ind w:left="22" w:firstLine="555"/>
        <w:jc w:val="left"/>
        <w:rPr>
          <w:rFonts w:ascii="宋体" w:hAnsi="宋体"/>
          <w:color w:val="auto"/>
          <w:sz w:val="24"/>
          <w:szCs w:val="24"/>
          <w:highlight w:val="none"/>
        </w:rPr>
      </w:pPr>
      <w:r>
        <w:rPr>
          <w:rFonts w:hint="eastAsia" w:ascii="宋体" w:hAnsi="宋体"/>
          <w:color w:val="auto"/>
          <w:sz w:val="24"/>
          <w:szCs w:val="24"/>
          <w:highlight w:val="none"/>
        </w:rPr>
        <w:t>“基本技术要求”为采购</w:t>
      </w:r>
      <w:r>
        <w:rPr>
          <w:rFonts w:ascii="宋体" w:hAnsi="宋体"/>
          <w:color w:val="auto"/>
          <w:sz w:val="24"/>
          <w:szCs w:val="24"/>
          <w:highlight w:val="none"/>
        </w:rPr>
        <w:t>需求的</w:t>
      </w:r>
      <w:r>
        <w:rPr>
          <w:rFonts w:hint="eastAsia" w:ascii="宋体" w:hAnsi="宋体"/>
          <w:color w:val="auto"/>
          <w:sz w:val="24"/>
          <w:szCs w:val="24"/>
          <w:highlight w:val="none"/>
        </w:rPr>
        <w:t>基础</w:t>
      </w:r>
      <w:r>
        <w:rPr>
          <w:rFonts w:ascii="宋体" w:hAnsi="宋体"/>
          <w:color w:val="auto"/>
          <w:sz w:val="24"/>
          <w:szCs w:val="24"/>
          <w:highlight w:val="none"/>
        </w:rPr>
        <w:t>性</w:t>
      </w:r>
      <w:r>
        <w:rPr>
          <w:rFonts w:hint="eastAsia" w:ascii="宋体" w:hAnsi="宋体"/>
          <w:color w:val="auto"/>
          <w:sz w:val="24"/>
          <w:szCs w:val="24"/>
          <w:highlight w:val="none"/>
        </w:rPr>
        <w:t>要求，投</w:t>
      </w:r>
      <w:r>
        <w:rPr>
          <w:rFonts w:ascii="宋体" w:hAnsi="宋体"/>
          <w:color w:val="auto"/>
          <w:sz w:val="24"/>
          <w:szCs w:val="24"/>
          <w:highlight w:val="none"/>
        </w:rPr>
        <w:t>标产品应当明确，</w:t>
      </w:r>
      <w:r>
        <w:rPr>
          <w:rFonts w:hint="eastAsia" w:ascii="宋体" w:hAnsi="宋体"/>
          <w:color w:val="auto"/>
          <w:sz w:val="24"/>
          <w:szCs w:val="24"/>
          <w:highlight w:val="none"/>
        </w:rPr>
        <w:t>投</w:t>
      </w:r>
      <w:r>
        <w:rPr>
          <w:rFonts w:ascii="宋体" w:hAnsi="宋体"/>
          <w:color w:val="auto"/>
          <w:sz w:val="24"/>
          <w:szCs w:val="24"/>
          <w:highlight w:val="none"/>
        </w:rPr>
        <w:t>标</w:t>
      </w:r>
      <w:r>
        <w:rPr>
          <w:rFonts w:hint="eastAsia" w:ascii="宋体" w:hAnsi="宋体"/>
          <w:color w:val="auto"/>
          <w:sz w:val="24"/>
          <w:szCs w:val="24"/>
          <w:highlight w:val="none"/>
        </w:rPr>
        <w:t>技术参数应最</w:t>
      </w:r>
      <w:r>
        <w:rPr>
          <w:rFonts w:ascii="宋体" w:hAnsi="宋体"/>
          <w:color w:val="auto"/>
          <w:sz w:val="24"/>
          <w:szCs w:val="24"/>
          <w:highlight w:val="none"/>
        </w:rPr>
        <w:t>终指向具体明确的产</w:t>
      </w:r>
      <w:r>
        <w:rPr>
          <w:rFonts w:hint="eastAsia" w:ascii="宋体" w:hAnsi="宋体"/>
          <w:color w:val="auto"/>
          <w:sz w:val="24"/>
          <w:szCs w:val="24"/>
          <w:highlight w:val="none"/>
        </w:rPr>
        <w:t>品。投</w:t>
      </w:r>
      <w:r>
        <w:rPr>
          <w:rFonts w:ascii="宋体" w:hAnsi="宋体"/>
          <w:color w:val="auto"/>
          <w:sz w:val="24"/>
          <w:szCs w:val="24"/>
          <w:highlight w:val="none"/>
        </w:rPr>
        <w:t>标</w:t>
      </w:r>
      <w:r>
        <w:rPr>
          <w:rFonts w:hint="eastAsia" w:ascii="宋体" w:hAnsi="宋体"/>
          <w:color w:val="auto"/>
          <w:sz w:val="24"/>
          <w:szCs w:val="24"/>
          <w:highlight w:val="none"/>
        </w:rPr>
        <w:t>文</w:t>
      </w:r>
      <w:r>
        <w:rPr>
          <w:rFonts w:ascii="宋体" w:hAnsi="宋体"/>
          <w:color w:val="auto"/>
          <w:sz w:val="24"/>
          <w:szCs w:val="24"/>
          <w:highlight w:val="none"/>
        </w:rPr>
        <w:t>件</w:t>
      </w:r>
      <w:r>
        <w:rPr>
          <w:rFonts w:hint="eastAsia" w:ascii="宋体" w:hAnsi="宋体"/>
          <w:color w:val="auto"/>
          <w:sz w:val="24"/>
          <w:szCs w:val="24"/>
          <w:highlight w:val="none"/>
        </w:rPr>
        <w:t>技术参数抄袭谈判文件“基本技术要求”，投</w:t>
      </w:r>
      <w:r>
        <w:rPr>
          <w:rFonts w:ascii="宋体" w:hAnsi="宋体"/>
          <w:color w:val="auto"/>
          <w:sz w:val="24"/>
          <w:szCs w:val="24"/>
          <w:highlight w:val="none"/>
        </w:rPr>
        <w:t>标产品</w:t>
      </w:r>
      <w:r>
        <w:rPr>
          <w:rFonts w:hint="eastAsia" w:ascii="宋体" w:hAnsi="宋体"/>
          <w:color w:val="auto"/>
          <w:sz w:val="24"/>
          <w:szCs w:val="24"/>
          <w:highlight w:val="none"/>
        </w:rPr>
        <w:t>不</w:t>
      </w:r>
      <w:r>
        <w:rPr>
          <w:rFonts w:ascii="宋体" w:hAnsi="宋体"/>
          <w:color w:val="auto"/>
          <w:sz w:val="24"/>
          <w:szCs w:val="24"/>
          <w:highlight w:val="none"/>
        </w:rPr>
        <w:t>明确</w:t>
      </w:r>
      <w:r>
        <w:rPr>
          <w:rFonts w:hint="eastAsia" w:ascii="宋体" w:hAnsi="宋体"/>
          <w:color w:val="auto"/>
          <w:sz w:val="24"/>
          <w:szCs w:val="24"/>
          <w:highlight w:val="none"/>
        </w:rPr>
        <w:t>的</w:t>
      </w:r>
      <w:r>
        <w:rPr>
          <w:rFonts w:ascii="宋体" w:hAnsi="宋体"/>
          <w:color w:val="auto"/>
          <w:sz w:val="24"/>
          <w:szCs w:val="24"/>
          <w:highlight w:val="none"/>
        </w:rPr>
        <w:t>、或</w:t>
      </w:r>
      <w:r>
        <w:rPr>
          <w:rFonts w:hint="eastAsia" w:ascii="宋体" w:hAnsi="宋体"/>
          <w:color w:val="auto"/>
          <w:sz w:val="24"/>
          <w:szCs w:val="24"/>
          <w:highlight w:val="none"/>
        </w:rPr>
        <w:t>与投</w:t>
      </w:r>
      <w:r>
        <w:rPr>
          <w:rFonts w:ascii="宋体" w:hAnsi="宋体"/>
          <w:color w:val="auto"/>
          <w:sz w:val="24"/>
          <w:szCs w:val="24"/>
          <w:highlight w:val="none"/>
        </w:rPr>
        <w:t>标产品</w:t>
      </w:r>
      <w:r>
        <w:rPr>
          <w:rFonts w:hint="eastAsia" w:ascii="宋体" w:hAnsi="宋体"/>
          <w:color w:val="auto"/>
          <w:sz w:val="24"/>
          <w:szCs w:val="24"/>
          <w:highlight w:val="none"/>
        </w:rPr>
        <w:t>不</w:t>
      </w:r>
      <w:r>
        <w:rPr>
          <w:rFonts w:ascii="宋体" w:hAnsi="宋体"/>
          <w:color w:val="auto"/>
          <w:sz w:val="24"/>
          <w:szCs w:val="24"/>
          <w:highlight w:val="none"/>
        </w:rPr>
        <w:t>一致</w:t>
      </w:r>
      <w:r>
        <w:rPr>
          <w:rFonts w:hint="eastAsia" w:ascii="宋体" w:hAnsi="宋体"/>
          <w:color w:val="auto"/>
          <w:sz w:val="24"/>
          <w:szCs w:val="24"/>
          <w:highlight w:val="none"/>
        </w:rPr>
        <w:t>的</w:t>
      </w:r>
      <w:r>
        <w:rPr>
          <w:rFonts w:ascii="宋体" w:hAnsi="宋体"/>
          <w:color w:val="auto"/>
          <w:sz w:val="24"/>
          <w:szCs w:val="24"/>
          <w:highlight w:val="none"/>
        </w:rPr>
        <w:t>，</w:t>
      </w:r>
      <w:r>
        <w:rPr>
          <w:rFonts w:hint="eastAsia" w:ascii="宋体" w:hAnsi="宋体"/>
          <w:color w:val="auto"/>
          <w:sz w:val="24"/>
          <w:szCs w:val="24"/>
          <w:highlight w:val="none"/>
        </w:rPr>
        <w:t>谈判小组有权按照实质性判断原则评定其为无效投标。</w:t>
      </w:r>
    </w:p>
    <w:p w14:paraId="534EDB61">
      <w:pPr>
        <w:adjustRightInd w:val="0"/>
        <w:snapToGrid w:val="0"/>
        <w:spacing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7技术偏离</w:t>
      </w:r>
    </w:p>
    <w:p w14:paraId="5BBE7D50">
      <w:pPr>
        <w:widowControl w:val="0"/>
        <w:adjustRightInd w:val="0"/>
        <w:snapToGrid w:val="0"/>
        <w:spacing w:beforeLines="50" w:line="300" w:lineRule="auto"/>
        <w:ind w:left="22" w:firstLine="555"/>
        <w:jc w:val="left"/>
        <w:rPr>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 xml:space="preserve">.1 </w:t>
      </w:r>
      <w:r>
        <w:rPr>
          <w:rFonts w:hint="eastAsia"/>
          <w:color w:val="auto"/>
          <w:sz w:val="24"/>
          <w:szCs w:val="24"/>
          <w:highlight w:val="none"/>
        </w:rPr>
        <w:t>“基本技术要求”列示的参数、规格为基础</w:t>
      </w:r>
      <w:r>
        <w:rPr>
          <w:color w:val="auto"/>
          <w:sz w:val="24"/>
          <w:szCs w:val="24"/>
          <w:highlight w:val="none"/>
        </w:rPr>
        <w:t>性</w:t>
      </w:r>
      <w:r>
        <w:rPr>
          <w:rFonts w:hint="eastAsia"/>
          <w:color w:val="auto"/>
          <w:sz w:val="24"/>
          <w:szCs w:val="24"/>
          <w:highlight w:val="none"/>
        </w:rPr>
        <w:t>要求，投标人可提供质量性能参数相等或优于的其他产品；投</w:t>
      </w:r>
      <w:r>
        <w:rPr>
          <w:color w:val="auto"/>
          <w:sz w:val="24"/>
          <w:szCs w:val="24"/>
          <w:highlight w:val="none"/>
        </w:rPr>
        <w:t>标产品的</w:t>
      </w:r>
      <w:r>
        <w:rPr>
          <w:rFonts w:hint="eastAsia"/>
          <w:color w:val="auto"/>
          <w:sz w:val="24"/>
          <w:szCs w:val="24"/>
          <w:highlight w:val="none"/>
        </w:rPr>
        <w:t>规格参数与“基本技术要求”不</w:t>
      </w:r>
      <w:r>
        <w:rPr>
          <w:color w:val="auto"/>
          <w:sz w:val="24"/>
          <w:szCs w:val="24"/>
          <w:highlight w:val="none"/>
        </w:rPr>
        <w:t>同</w:t>
      </w:r>
      <w:r>
        <w:rPr>
          <w:rFonts w:hint="eastAsia"/>
          <w:color w:val="auto"/>
          <w:sz w:val="24"/>
          <w:szCs w:val="24"/>
          <w:highlight w:val="none"/>
        </w:rPr>
        <w:t>、</w:t>
      </w:r>
      <w:r>
        <w:rPr>
          <w:color w:val="auto"/>
          <w:sz w:val="24"/>
          <w:szCs w:val="24"/>
          <w:highlight w:val="none"/>
        </w:rPr>
        <w:t>且</w:t>
      </w:r>
      <w:r>
        <w:rPr>
          <w:rFonts w:hint="eastAsia"/>
          <w:color w:val="auto"/>
          <w:sz w:val="24"/>
          <w:szCs w:val="24"/>
          <w:highlight w:val="none"/>
        </w:rPr>
        <w:t>投标人认</w:t>
      </w:r>
      <w:r>
        <w:rPr>
          <w:color w:val="auto"/>
          <w:sz w:val="24"/>
          <w:szCs w:val="24"/>
          <w:highlight w:val="none"/>
        </w:rPr>
        <w:t>为</w:t>
      </w:r>
      <w:r>
        <w:rPr>
          <w:rFonts w:hint="eastAsia"/>
          <w:color w:val="auto"/>
          <w:sz w:val="24"/>
          <w:szCs w:val="24"/>
          <w:highlight w:val="none"/>
        </w:rPr>
        <w:t>投</w:t>
      </w:r>
      <w:r>
        <w:rPr>
          <w:color w:val="auto"/>
          <w:sz w:val="24"/>
          <w:szCs w:val="24"/>
          <w:highlight w:val="none"/>
        </w:rPr>
        <w:t>标产品的</w:t>
      </w:r>
      <w:r>
        <w:rPr>
          <w:rFonts w:hint="eastAsia"/>
          <w:color w:val="auto"/>
          <w:sz w:val="24"/>
          <w:szCs w:val="24"/>
          <w:highlight w:val="none"/>
        </w:rPr>
        <w:t>规格参数等</w:t>
      </w:r>
      <w:r>
        <w:rPr>
          <w:color w:val="auto"/>
          <w:sz w:val="24"/>
          <w:szCs w:val="24"/>
          <w:highlight w:val="none"/>
        </w:rPr>
        <w:t>于或优于</w:t>
      </w:r>
      <w:r>
        <w:rPr>
          <w:rFonts w:hint="eastAsia"/>
          <w:color w:val="auto"/>
          <w:sz w:val="24"/>
          <w:szCs w:val="24"/>
          <w:highlight w:val="none"/>
        </w:rPr>
        <w:t>“基本技术要求”的</w:t>
      </w:r>
      <w:r>
        <w:rPr>
          <w:color w:val="auto"/>
          <w:sz w:val="24"/>
          <w:szCs w:val="24"/>
          <w:highlight w:val="none"/>
        </w:rPr>
        <w:t>，</w:t>
      </w:r>
      <w:r>
        <w:rPr>
          <w:rFonts w:hint="eastAsia"/>
          <w:color w:val="auto"/>
          <w:sz w:val="24"/>
          <w:szCs w:val="24"/>
          <w:highlight w:val="none"/>
        </w:rPr>
        <w:t>投标人应提供相关证明材料（如权威评测资料、及印刷品产品说明书或印刷品图册等）以供谈判小组评审投标产品是</w:t>
      </w:r>
      <w:r>
        <w:rPr>
          <w:color w:val="auto"/>
          <w:sz w:val="24"/>
          <w:szCs w:val="24"/>
          <w:highlight w:val="none"/>
        </w:rPr>
        <w:t>否</w:t>
      </w:r>
      <w:r>
        <w:rPr>
          <w:rFonts w:hint="eastAsia"/>
          <w:color w:val="auto"/>
          <w:sz w:val="24"/>
          <w:szCs w:val="24"/>
          <w:highlight w:val="none"/>
        </w:rPr>
        <w:t>等于或优于“基本技术要求”、从而</w:t>
      </w:r>
      <w:r>
        <w:rPr>
          <w:color w:val="auto"/>
          <w:sz w:val="24"/>
          <w:szCs w:val="24"/>
          <w:highlight w:val="none"/>
        </w:rPr>
        <w:t>评定</w:t>
      </w:r>
      <w:r>
        <w:rPr>
          <w:rFonts w:hint="eastAsia"/>
          <w:color w:val="auto"/>
          <w:sz w:val="24"/>
          <w:szCs w:val="24"/>
          <w:highlight w:val="none"/>
        </w:rPr>
        <w:t>投标产品是</w:t>
      </w:r>
      <w:r>
        <w:rPr>
          <w:color w:val="auto"/>
          <w:sz w:val="24"/>
          <w:szCs w:val="24"/>
          <w:highlight w:val="none"/>
        </w:rPr>
        <w:t>否</w:t>
      </w:r>
      <w:r>
        <w:rPr>
          <w:rFonts w:hint="eastAsia"/>
          <w:color w:val="auto"/>
          <w:sz w:val="24"/>
          <w:szCs w:val="24"/>
          <w:highlight w:val="none"/>
        </w:rPr>
        <w:t>满</w:t>
      </w:r>
      <w:r>
        <w:rPr>
          <w:color w:val="auto"/>
          <w:sz w:val="24"/>
          <w:szCs w:val="24"/>
          <w:highlight w:val="none"/>
        </w:rPr>
        <w:t>足</w:t>
      </w:r>
      <w:r>
        <w:rPr>
          <w:rFonts w:hint="eastAsia"/>
          <w:color w:val="auto"/>
          <w:sz w:val="24"/>
          <w:szCs w:val="24"/>
          <w:highlight w:val="none"/>
        </w:rPr>
        <w:t>“基本技术要求”。</w:t>
      </w:r>
    </w:p>
    <w:p w14:paraId="7B2E54F9">
      <w:pPr>
        <w:widowControl w:val="0"/>
        <w:adjustRightInd w:val="0"/>
        <w:snapToGrid w:val="0"/>
        <w:spacing w:beforeLines="50" w:line="300" w:lineRule="auto"/>
        <w:ind w:left="22" w:firstLine="555"/>
        <w:jc w:val="left"/>
        <w:rPr>
          <w:color w:val="auto"/>
          <w:sz w:val="24"/>
          <w:szCs w:val="24"/>
          <w:highlight w:val="none"/>
        </w:rPr>
      </w:pPr>
      <w:r>
        <w:rPr>
          <w:rFonts w:hint="eastAsia"/>
          <w:color w:val="auto"/>
          <w:sz w:val="24"/>
          <w:szCs w:val="24"/>
          <w:highlight w:val="none"/>
        </w:rPr>
        <w:t xml:space="preserve"> “基本技术要求”列示的参数、规格为区</w:t>
      </w:r>
      <w:r>
        <w:rPr>
          <w:color w:val="auto"/>
          <w:sz w:val="24"/>
          <w:szCs w:val="24"/>
          <w:highlight w:val="none"/>
        </w:rPr>
        <w:t>间性描述的，</w:t>
      </w:r>
      <w:r>
        <w:rPr>
          <w:rFonts w:hint="eastAsia"/>
          <w:color w:val="auto"/>
          <w:sz w:val="24"/>
          <w:szCs w:val="24"/>
          <w:highlight w:val="none"/>
        </w:rPr>
        <w:t>投</w:t>
      </w:r>
      <w:r>
        <w:rPr>
          <w:color w:val="auto"/>
          <w:sz w:val="24"/>
          <w:szCs w:val="24"/>
          <w:highlight w:val="none"/>
        </w:rPr>
        <w:t>标产品</w:t>
      </w:r>
      <w:r>
        <w:rPr>
          <w:rFonts w:hint="eastAsia"/>
          <w:color w:val="auto"/>
          <w:sz w:val="24"/>
          <w:szCs w:val="24"/>
          <w:highlight w:val="none"/>
        </w:rPr>
        <w:t>参数规格</w:t>
      </w:r>
      <w:r>
        <w:rPr>
          <w:color w:val="auto"/>
          <w:sz w:val="24"/>
          <w:szCs w:val="24"/>
          <w:highlight w:val="none"/>
        </w:rPr>
        <w:t>在此区间内的</w:t>
      </w:r>
      <w:r>
        <w:rPr>
          <w:rFonts w:hint="eastAsia"/>
          <w:color w:val="auto"/>
          <w:sz w:val="24"/>
          <w:szCs w:val="24"/>
          <w:highlight w:val="none"/>
        </w:rPr>
        <w:t>、则</w:t>
      </w:r>
      <w:r>
        <w:rPr>
          <w:color w:val="auto"/>
          <w:sz w:val="24"/>
          <w:szCs w:val="24"/>
          <w:highlight w:val="none"/>
        </w:rPr>
        <w:t>显见的为</w:t>
      </w:r>
      <w:r>
        <w:rPr>
          <w:rFonts w:hint="eastAsia"/>
          <w:color w:val="auto"/>
          <w:sz w:val="24"/>
          <w:szCs w:val="24"/>
          <w:highlight w:val="none"/>
        </w:rPr>
        <w:t>符</w:t>
      </w:r>
      <w:r>
        <w:rPr>
          <w:color w:val="auto"/>
          <w:sz w:val="24"/>
          <w:szCs w:val="24"/>
          <w:highlight w:val="none"/>
        </w:rPr>
        <w:t>合</w:t>
      </w:r>
      <w:r>
        <w:rPr>
          <w:rFonts w:hint="eastAsia"/>
          <w:color w:val="auto"/>
          <w:sz w:val="24"/>
          <w:szCs w:val="24"/>
          <w:highlight w:val="none"/>
        </w:rPr>
        <w:t>“基本技术要求”。</w:t>
      </w:r>
    </w:p>
    <w:p w14:paraId="78DBF2E1">
      <w:pPr>
        <w:widowControl w:val="0"/>
        <w:adjustRightInd w:val="0"/>
        <w:snapToGrid w:val="0"/>
        <w:spacing w:beforeLines="50" w:line="300" w:lineRule="auto"/>
        <w:ind w:left="22" w:firstLine="555"/>
        <w:jc w:val="left"/>
        <w:rPr>
          <w:color w:val="auto"/>
          <w:sz w:val="24"/>
          <w:szCs w:val="24"/>
          <w:highlight w:val="none"/>
        </w:rPr>
      </w:pPr>
      <w:r>
        <w:rPr>
          <w:color w:val="auto"/>
          <w:sz w:val="24"/>
          <w:szCs w:val="24"/>
          <w:highlight w:val="none"/>
        </w:rPr>
        <w:t>如</w:t>
      </w:r>
      <w:r>
        <w:rPr>
          <w:rFonts w:hint="eastAsia"/>
          <w:color w:val="auto"/>
          <w:sz w:val="24"/>
          <w:szCs w:val="24"/>
          <w:highlight w:val="none"/>
        </w:rPr>
        <w:t>“基本技术要求”中列示有品牌</w:t>
      </w:r>
      <w:r>
        <w:rPr>
          <w:color w:val="auto"/>
          <w:sz w:val="24"/>
          <w:szCs w:val="24"/>
          <w:highlight w:val="none"/>
        </w:rPr>
        <w:t>、</w:t>
      </w:r>
      <w:r>
        <w:rPr>
          <w:rFonts w:hint="eastAsia"/>
          <w:color w:val="auto"/>
          <w:sz w:val="24"/>
          <w:szCs w:val="24"/>
          <w:highlight w:val="none"/>
        </w:rPr>
        <w:t>型号、生</w:t>
      </w:r>
      <w:r>
        <w:rPr>
          <w:color w:val="auto"/>
          <w:sz w:val="24"/>
          <w:szCs w:val="24"/>
          <w:highlight w:val="none"/>
        </w:rPr>
        <w:t>产供应商名称</w:t>
      </w:r>
      <w:r>
        <w:rPr>
          <w:rFonts w:hint="eastAsia"/>
          <w:color w:val="auto"/>
          <w:sz w:val="24"/>
          <w:szCs w:val="24"/>
          <w:highlight w:val="none"/>
        </w:rPr>
        <w:t>、</w:t>
      </w:r>
      <w:r>
        <w:rPr>
          <w:color w:val="auto"/>
          <w:sz w:val="24"/>
          <w:szCs w:val="24"/>
          <w:highlight w:val="none"/>
        </w:rPr>
        <w:t>专利、商标</w:t>
      </w:r>
      <w:r>
        <w:rPr>
          <w:rFonts w:hint="eastAsia"/>
          <w:color w:val="auto"/>
          <w:sz w:val="24"/>
          <w:szCs w:val="24"/>
          <w:highlight w:val="none"/>
        </w:rPr>
        <w:t>的</w:t>
      </w:r>
      <w:r>
        <w:rPr>
          <w:color w:val="auto"/>
          <w:sz w:val="24"/>
          <w:szCs w:val="24"/>
          <w:highlight w:val="none"/>
        </w:rPr>
        <w:t>，</w:t>
      </w:r>
      <w:r>
        <w:rPr>
          <w:rFonts w:hint="eastAsia"/>
          <w:color w:val="auto"/>
          <w:sz w:val="24"/>
          <w:szCs w:val="24"/>
          <w:highlight w:val="none"/>
        </w:rPr>
        <w:t>均为“参</w:t>
      </w:r>
      <w:r>
        <w:rPr>
          <w:color w:val="auto"/>
          <w:sz w:val="24"/>
          <w:szCs w:val="24"/>
          <w:highlight w:val="none"/>
        </w:rPr>
        <w:t>照或相当于</w:t>
      </w:r>
      <w:r>
        <w:rPr>
          <w:rFonts w:hint="eastAsia"/>
          <w:color w:val="auto"/>
          <w:sz w:val="24"/>
          <w:szCs w:val="24"/>
          <w:highlight w:val="none"/>
        </w:rPr>
        <w:t>”的</w:t>
      </w:r>
      <w:r>
        <w:rPr>
          <w:color w:val="auto"/>
          <w:sz w:val="24"/>
          <w:szCs w:val="24"/>
          <w:highlight w:val="none"/>
        </w:rPr>
        <w:t>技术标准</w:t>
      </w:r>
      <w:r>
        <w:rPr>
          <w:rFonts w:hint="eastAsia"/>
          <w:color w:val="auto"/>
          <w:sz w:val="24"/>
          <w:szCs w:val="24"/>
          <w:highlight w:val="none"/>
        </w:rPr>
        <w:t>，投标人可提供等于或优于的其他产品（其他</w:t>
      </w:r>
      <w:r>
        <w:rPr>
          <w:color w:val="auto"/>
          <w:sz w:val="24"/>
          <w:szCs w:val="24"/>
          <w:highlight w:val="none"/>
        </w:rPr>
        <w:t>的</w:t>
      </w:r>
      <w:r>
        <w:rPr>
          <w:rFonts w:hint="eastAsia"/>
          <w:color w:val="auto"/>
          <w:sz w:val="24"/>
          <w:szCs w:val="24"/>
          <w:highlight w:val="none"/>
        </w:rPr>
        <w:t>品牌、型号、生产供应商、专利、商标</w:t>
      </w:r>
      <w:r>
        <w:rPr>
          <w:color w:val="auto"/>
          <w:sz w:val="24"/>
          <w:szCs w:val="24"/>
          <w:highlight w:val="none"/>
        </w:rPr>
        <w:t>）</w:t>
      </w:r>
      <w:r>
        <w:rPr>
          <w:rFonts w:hint="eastAsia"/>
          <w:color w:val="auto"/>
          <w:sz w:val="24"/>
          <w:szCs w:val="24"/>
          <w:highlight w:val="none"/>
        </w:rPr>
        <w:t>；投标人应提供相关证明材料（如权威评测资料、及印刷品产品说明书或印刷品图册等）以供谈判小组评审投标产品是否等于或优于“基本技术要求”、从而评定投标产品是否满足“基本技术要求”。</w:t>
      </w:r>
    </w:p>
    <w:p w14:paraId="175DF31A">
      <w:pPr>
        <w:widowControl w:val="0"/>
        <w:adjustRightInd w:val="0"/>
        <w:snapToGrid w:val="0"/>
        <w:spacing w:beforeLines="50" w:line="300" w:lineRule="auto"/>
        <w:ind w:firstLine="540"/>
        <w:rPr>
          <w:rFonts w:ascii="宋体" w:hAnsi="宋体"/>
          <w:color w:val="auto"/>
          <w:sz w:val="24"/>
          <w:szCs w:val="24"/>
          <w:highlight w:val="none"/>
        </w:rPr>
      </w:pPr>
      <w:r>
        <w:rPr>
          <w:rFonts w:hint="eastAsia"/>
          <w:color w:val="auto"/>
          <w:sz w:val="24"/>
          <w:szCs w:val="24"/>
          <w:highlight w:val="none"/>
        </w:rPr>
        <w:t>2.7.2</w:t>
      </w:r>
      <w:r>
        <w:rPr>
          <w:rFonts w:hint="eastAsia" w:ascii="黑体" w:hAnsi="黑体" w:eastAsia="黑体"/>
          <w:b/>
          <w:color w:val="auto"/>
          <w:sz w:val="24"/>
          <w:szCs w:val="24"/>
          <w:highlight w:val="none"/>
        </w:rPr>
        <w:t>不</w:t>
      </w:r>
      <w:r>
        <w:rPr>
          <w:rFonts w:ascii="黑体" w:hAnsi="黑体" w:eastAsia="黑体"/>
          <w:b/>
          <w:color w:val="auto"/>
          <w:sz w:val="24"/>
          <w:szCs w:val="24"/>
          <w:highlight w:val="none"/>
        </w:rPr>
        <w:t>接受负</w:t>
      </w:r>
      <w:r>
        <w:rPr>
          <w:rFonts w:hint="eastAsia" w:ascii="黑体" w:hAnsi="黑体" w:eastAsia="黑体"/>
          <w:b/>
          <w:color w:val="auto"/>
          <w:sz w:val="24"/>
          <w:szCs w:val="24"/>
          <w:highlight w:val="none"/>
        </w:rPr>
        <w:t>偏差，低</w:t>
      </w:r>
      <w:r>
        <w:rPr>
          <w:rFonts w:ascii="黑体" w:hAnsi="黑体" w:eastAsia="黑体"/>
          <w:b/>
          <w:color w:val="auto"/>
          <w:sz w:val="24"/>
          <w:szCs w:val="24"/>
          <w:highlight w:val="none"/>
        </w:rPr>
        <w:t>于</w:t>
      </w:r>
      <w:r>
        <w:rPr>
          <w:rFonts w:hint="eastAsia" w:ascii="黑体" w:hAnsi="黑体" w:eastAsia="黑体"/>
          <w:b/>
          <w:color w:val="auto"/>
          <w:sz w:val="24"/>
          <w:szCs w:val="24"/>
          <w:highlight w:val="none"/>
        </w:rPr>
        <w:t>“基本技术要求”</w:t>
      </w:r>
      <w:r>
        <w:rPr>
          <w:rFonts w:ascii="黑体" w:hAnsi="黑体" w:eastAsia="黑体"/>
          <w:b/>
          <w:color w:val="auto"/>
          <w:sz w:val="24"/>
          <w:szCs w:val="24"/>
          <w:highlight w:val="none"/>
        </w:rPr>
        <w:t>的、为无效投标。</w:t>
      </w:r>
    </w:p>
    <w:p w14:paraId="3CC02F14">
      <w:pPr>
        <w:widowControl w:val="0"/>
        <w:adjustRightInd w:val="0"/>
        <w:snapToGrid w:val="0"/>
        <w:spacing w:beforeLines="50" w:line="300" w:lineRule="auto"/>
        <w:ind w:left="22" w:firstLine="555"/>
        <w:jc w:val="left"/>
        <w:rPr>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7</w:t>
      </w:r>
      <w:r>
        <w:rPr>
          <w:rFonts w:ascii="宋体" w:hAnsi="宋体"/>
          <w:color w:val="auto"/>
          <w:sz w:val="24"/>
          <w:szCs w:val="24"/>
          <w:highlight w:val="none"/>
        </w:rPr>
        <w:t>.</w:t>
      </w:r>
      <w:r>
        <w:rPr>
          <w:rFonts w:hint="eastAsia" w:ascii="宋体" w:hAnsi="宋体"/>
          <w:color w:val="auto"/>
          <w:sz w:val="24"/>
          <w:szCs w:val="24"/>
          <w:highlight w:val="none"/>
        </w:rPr>
        <w:t>3除谈判文件“基本技术要求”有明确说明外，投标人所投标的各项产品均应为该产品的标准</w:t>
      </w:r>
      <w:r>
        <w:rPr>
          <w:rFonts w:hint="eastAsia"/>
          <w:color w:val="auto"/>
          <w:sz w:val="24"/>
          <w:szCs w:val="24"/>
          <w:highlight w:val="none"/>
        </w:rPr>
        <w:t>配置、不应改变或调换厂家的出厂标准配置；如确因市场因素无法按上述规格产品进行投标，应提供优于“基本技术要求”的同类产品进行投标，投标人应提供印刷品产品说明书或印刷品图册等予以佐证（电子档）。</w:t>
      </w:r>
    </w:p>
    <w:p w14:paraId="5CF50444">
      <w:pPr>
        <w:widowControl w:val="0"/>
        <w:adjustRightInd w:val="0"/>
        <w:snapToGrid w:val="0"/>
        <w:spacing w:beforeLines="50" w:line="300" w:lineRule="auto"/>
        <w:ind w:firstLine="54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7</w:t>
      </w:r>
      <w:r>
        <w:rPr>
          <w:rFonts w:ascii="宋体" w:hAnsi="宋体"/>
          <w:color w:val="auto"/>
          <w:sz w:val="24"/>
          <w:szCs w:val="24"/>
          <w:highlight w:val="none"/>
        </w:rPr>
        <w:t>.</w:t>
      </w:r>
      <w:r>
        <w:rPr>
          <w:rFonts w:hint="eastAsia" w:ascii="宋体" w:hAnsi="宋体"/>
          <w:color w:val="auto"/>
          <w:sz w:val="24"/>
          <w:szCs w:val="24"/>
          <w:highlight w:val="none"/>
        </w:rPr>
        <w:t>4 投标文件对技术偏差的描述要求：见第三章投标人须知</w:t>
      </w:r>
      <w:r>
        <w:rPr>
          <w:rFonts w:ascii="宋体" w:hAnsi="宋体"/>
          <w:color w:val="auto"/>
          <w:sz w:val="24"/>
          <w:szCs w:val="24"/>
          <w:highlight w:val="none"/>
        </w:rPr>
        <w:t>3.7.3</w:t>
      </w:r>
      <w:r>
        <w:rPr>
          <w:rFonts w:hint="eastAsia" w:ascii="宋体" w:hAnsi="宋体"/>
          <w:color w:val="auto"/>
          <w:sz w:val="24"/>
          <w:szCs w:val="24"/>
          <w:highlight w:val="none"/>
        </w:rPr>
        <w:t>项。</w:t>
      </w:r>
    </w:p>
    <w:p w14:paraId="222DCF34">
      <w:pPr>
        <w:widowControl w:val="0"/>
        <w:adjustRightInd w:val="0"/>
        <w:snapToGrid w:val="0"/>
        <w:spacing w:beforeLines="50" w:line="300" w:lineRule="auto"/>
        <w:ind w:left="23" w:firstLine="556"/>
        <w:outlineLvl w:val="1"/>
        <w:rPr>
          <w:rFonts w:ascii="黑体" w:hAnsi="黑体" w:eastAsia="黑体"/>
          <w:b/>
          <w:color w:val="auto"/>
          <w:sz w:val="24"/>
          <w:szCs w:val="24"/>
          <w:highlight w:val="none"/>
        </w:rPr>
      </w:pPr>
      <w:bookmarkStart w:id="20" w:name="_Toc209083626"/>
      <w:r>
        <w:rPr>
          <w:rFonts w:hint="eastAsia" w:ascii="黑体" w:hAnsi="黑体" w:eastAsia="黑体"/>
          <w:b/>
          <w:color w:val="auto"/>
          <w:sz w:val="24"/>
          <w:szCs w:val="24"/>
          <w:highlight w:val="none"/>
        </w:rPr>
        <w:t>2.8 售后服务的基本条款（采购标的需满足的服务标准、期限、效率等要求）</w:t>
      </w:r>
      <w:bookmarkEnd w:id="20"/>
    </w:p>
    <w:p w14:paraId="088DE48D">
      <w:pPr>
        <w:widowControl w:val="0"/>
        <w:adjustRightInd w:val="0"/>
        <w:snapToGrid w:val="0"/>
        <w:spacing w:beforeLines="50" w:line="300" w:lineRule="auto"/>
        <w:ind w:firstLine="538"/>
        <w:rPr>
          <w:rFonts w:ascii="宋体" w:hAnsi="宋体"/>
          <w:color w:val="auto"/>
          <w:sz w:val="24"/>
          <w:szCs w:val="24"/>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.1</w:t>
      </w:r>
      <w:r>
        <w:rPr>
          <w:rFonts w:hint="eastAsia" w:ascii="宋体" w:hAnsi="宋体"/>
          <w:color w:val="auto"/>
          <w:sz w:val="24"/>
          <w:szCs w:val="24"/>
          <w:highlight w:val="none"/>
        </w:rPr>
        <w:t>货物的保修除按国家有关规定、各产品生产厂家规定及项目特殊要求处理外，还应满足下述条款：</w:t>
      </w:r>
    </w:p>
    <w:p w14:paraId="02CB4D2C">
      <w:pPr>
        <w:widowControl w:val="0"/>
        <w:adjustRightInd w:val="0"/>
        <w:snapToGrid w:val="0"/>
        <w:spacing w:beforeLines="50" w:line="300" w:lineRule="auto"/>
        <w:ind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谈判文件中未明确列明保修条款的产品，均需提供至少一年的免费保修；国家规定或产品生产厂家规定大于一年的，按国家规定与厂家规定最有利于采购人原则执行；谈判文件已明确列明大于一年保修的，按该条款及其响应执行，并终身维护；</w:t>
      </w:r>
    </w:p>
    <w:p w14:paraId="1D9DD61E">
      <w:pPr>
        <w:widowControl w:val="0"/>
        <w:adjustRightInd w:val="0"/>
        <w:snapToGrid w:val="0"/>
        <w:spacing w:beforeLines="50" w:line="300" w:lineRule="auto"/>
        <w:ind w:left="22"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）保修期内货物发生故障系货物出现质量问题，必须无偿更换；</w:t>
      </w:r>
    </w:p>
    <w:p w14:paraId="44763BDB">
      <w:pPr>
        <w:widowControl w:val="0"/>
        <w:adjustRightInd w:val="0"/>
        <w:snapToGrid w:val="0"/>
        <w:spacing w:beforeLines="50" w:line="300" w:lineRule="auto"/>
        <w:ind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）货物超过保修期发生故障，采购人可自由选择维修单位，如委托给成交供应商，成交供应商不得借故推诿，且维修费优于市场价格；</w:t>
      </w:r>
    </w:p>
    <w:p w14:paraId="64604755">
      <w:pPr>
        <w:widowControl w:val="0"/>
        <w:adjustRightInd w:val="0"/>
        <w:snapToGrid w:val="0"/>
        <w:spacing w:beforeLines="50" w:line="300" w:lineRule="auto"/>
        <w:ind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4</w:t>
      </w:r>
      <w:r>
        <w:rPr>
          <w:rFonts w:hint="eastAsia" w:ascii="宋体" w:hAnsi="宋体"/>
          <w:color w:val="auto"/>
          <w:sz w:val="24"/>
          <w:szCs w:val="24"/>
          <w:highlight w:val="none"/>
        </w:rPr>
        <w:t>）如货物发生故障，接到通知后需尽快做出响应，并在</w:t>
      </w:r>
      <w:r>
        <w:rPr>
          <w:rFonts w:ascii="宋体" w:hAnsi="宋体"/>
          <w:color w:val="auto"/>
          <w:sz w:val="24"/>
          <w:szCs w:val="24"/>
          <w:highlight w:val="none"/>
        </w:rPr>
        <w:t>24</w:t>
      </w:r>
      <w:r>
        <w:rPr>
          <w:rFonts w:hint="eastAsia" w:ascii="宋体" w:hAnsi="宋体"/>
          <w:color w:val="auto"/>
          <w:sz w:val="24"/>
          <w:szCs w:val="24"/>
          <w:highlight w:val="none"/>
        </w:rPr>
        <w:t>小时内及时赶到现场，负责故障原因的诊断，尽快排除故障。</w:t>
      </w:r>
    </w:p>
    <w:p w14:paraId="6C8356C6">
      <w:pPr>
        <w:widowControl w:val="0"/>
        <w:adjustRightInd w:val="0"/>
        <w:snapToGrid w:val="0"/>
        <w:spacing w:beforeLines="50" w:line="300" w:lineRule="auto"/>
        <w:ind w:firstLine="538"/>
        <w:rPr>
          <w:rFonts w:ascii="宋体" w:hAnsi="宋体"/>
          <w:color w:val="auto"/>
          <w:sz w:val="24"/>
          <w:szCs w:val="24"/>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w:t>
      </w:r>
      <w:r>
        <w:rPr>
          <w:rFonts w:ascii="宋体" w:hAnsi="宋体"/>
          <w:color w:val="auto"/>
          <w:sz w:val="24"/>
          <w:szCs w:val="24"/>
          <w:highlight w:val="none"/>
        </w:rPr>
        <w:t xml:space="preserve">2 </w:t>
      </w:r>
      <w:r>
        <w:rPr>
          <w:rFonts w:hint="eastAsia" w:ascii="宋体" w:hAnsi="宋体"/>
          <w:color w:val="auto"/>
          <w:sz w:val="24"/>
          <w:szCs w:val="24"/>
          <w:highlight w:val="none"/>
        </w:rPr>
        <w:t>在成交供应商</w:t>
      </w:r>
      <w:r>
        <w:rPr>
          <w:rFonts w:hint="eastAsia"/>
          <w:color w:val="auto"/>
          <w:sz w:val="24"/>
          <w:szCs w:val="24"/>
          <w:highlight w:val="none"/>
        </w:rPr>
        <w:t>未按照合同规定的地点交验前，货物毁坏或灭失，</w:t>
      </w:r>
      <w:r>
        <w:rPr>
          <w:rFonts w:hint="eastAsia" w:ascii="宋体" w:hAnsi="宋体"/>
          <w:color w:val="auto"/>
          <w:sz w:val="24"/>
          <w:szCs w:val="24"/>
          <w:highlight w:val="none"/>
        </w:rPr>
        <w:t>由成交供应商承担责任。</w:t>
      </w:r>
    </w:p>
    <w:p w14:paraId="1402B662">
      <w:pPr>
        <w:widowControl w:val="0"/>
        <w:adjustRightInd w:val="0"/>
        <w:snapToGrid w:val="0"/>
        <w:spacing w:beforeLines="50" w:line="300" w:lineRule="auto"/>
        <w:ind w:firstLine="538"/>
        <w:rPr>
          <w:color w:val="auto"/>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投标人需提供详尽的售后服务承诺；如由产品生产厂家提供相关售后服务的，投标人负有连带售后服</w:t>
      </w:r>
      <w:r>
        <w:rPr>
          <w:rFonts w:hint="eastAsia"/>
          <w:color w:val="auto"/>
          <w:sz w:val="24"/>
          <w:szCs w:val="24"/>
          <w:highlight w:val="none"/>
        </w:rPr>
        <w:t>务责任。</w:t>
      </w:r>
    </w:p>
    <w:p w14:paraId="1E288794">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9保险、货物包装</w:t>
      </w:r>
    </w:p>
    <w:p w14:paraId="2C2E2AD5">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2.9.1保险（如需）：</w:t>
      </w:r>
    </w:p>
    <w:p w14:paraId="21C71B49">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投标人应遵循国家相关保险的规定，依法办理采购需求范围内的相关法定保险，相关保险费用及相应责任由成交供应商承担。</w:t>
      </w:r>
    </w:p>
    <w:p w14:paraId="69720881">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在成交供应商未按照合同规定的地点交验前，货物毁坏或灭失，人身、安全责任，均由成交供应商承担责任。投标人可以按照最有利于项目风险控制的原则，为项目办理货物、人身及第三方公众责任险。</w:t>
      </w:r>
    </w:p>
    <w:p w14:paraId="548DC6B2">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2.9.2货物包装：</w:t>
      </w:r>
    </w:p>
    <w:p w14:paraId="4913A821">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成交供应商负责按国家相关标准进行货物包装，设备的包装均应有良好的防湿、防锈、防潮、防雨、防腐及防碰撞的措施，凡由于包装不良造成的损失和由此产生的费用均由成交供应商承担。</w:t>
      </w:r>
    </w:p>
    <w:p w14:paraId="46D1B06A">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10采购标的的验收标准</w:t>
      </w:r>
    </w:p>
    <w:p w14:paraId="31F259A3">
      <w:pPr>
        <w:adjustRightInd w:val="0"/>
        <w:snapToGrid w:val="0"/>
        <w:spacing w:line="300" w:lineRule="auto"/>
        <w:ind w:firstLine="564" w:firstLineChars="235"/>
        <w:jc w:val="left"/>
        <w:rPr>
          <w:rFonts w:ascii="宋体" w:hAnsi="宋体" w:cs="楷体_GB2312"/>
          <w:color w:val="auto"/>
          <w:sz w:val="24"/>
          <w:highlight w:val="none"/>
          <w:lang w:val="zh-CN"/>
        </w:rPr>
      </w:pPr>
      <w:r>
        <w:rPr>
          <w:rFonts w:hint="eastAsia" w:ascii="宋体" w:hAnsi="宋体" w:cs="楷体_GB2312"/>
          <w:color w:val="auto"/>
          <w:sz w:val="24"/>
          <w:highlight w:val="none"/>
          <w:lang w:val="zh-CN"/>
        </w:rPr>
        <w:t>见“第三章投标人须知”第</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条“验收”条款。</w:t>
      </w:r>
    </w:p>
    <w:p w14:paraId="0C9AB987">
      <w:pPr>
        <w:adjustRightInd w:val="0"/>
        <w:snapToGrid w:val="0"/>
        <w:spacing w:beforeLines="50" w:line="300" w:lineRule="auto"/>
        <w:ind w:firstLine="566" w:firstLineChars="235"/>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11采购标的的其他技术、服务等要求</w:t>
      </w:r>
    </w:p>
    <w:p w14:paraId="6473CAC0">
      <w:pPr>
        <w:adjustRightInd w:val="0"/>
        <w:snapToGrid w:val="0"/>
        <w:spacing w:beforeLines="50" w:line="300" w:lineRule="auto"/>
        <w:ind w:firstLine="480" w:firstLineChars="200"/>
        <w:rPr>
          <w:color w:val="auto"/>
          <w:sz w:val="24"/>
          <w:szCs w:val="24"/>
          <w:highlight w:val="none"/>
        </w:rPr>
      </w:pPr>
      <w:r>
        <w:rPr>
          <w:rFonts w:hint="eastAsia"/>
          <w:color w:val="auto"/>
          <w:sz w:val="24"/>
          <w:szCs w:val="24"/>
          <w:highlight w:val="none"/>
        </w:rPr>
        <w:t xml:space="preserve">  无</w:t>
      </w:r>
    </w:p>
    <w:p w14:paraId="27979E6A">
      <w:pPr>
        <w:adjustRightInd w:val="0"/>
        <w:snapToGrid w:val="0"/>
        <w:spacing w:beforeLines="50" w:line="300" w:lineRule="auto"/>
        <w:ind w:firstLine="480" w:firstLineChars="200"/>
        <w:rPr>
          <w:color w:val="auto"/>
          <w:sz w:val="24"/>
          <w:szCs w:val="24"/>
          <w:highlight w:val="none"/>
        </w:rPr>
      </w:pPr>
    </w:p>
    <w:p w14:paraId="796F0279">
      <w:pPr>
        <w:adjustRightInd w:val="0"/>
        <w:snapToGrid w:val="0"/>
        <w:spacing w:beforeLines="50" w:line="300" w:lineRule="auto"/>
        <w:ind w:firstLine="562" w:firstLineChars="200"/>
        <w:outlineLvl w:val="1"/>
        <w:rPr>
          <w:rFonts w:ascii="黑体" w:hAnsi="黑体" w:eastAsia="黑体"/>
          <w:b/>
          <w:color w:val="auto"/>
          <w:sz w:val="28"/>
          <w:highlight w:val="none"/>
        </w:rPr>
      </w:pPr>
      <w:bookmarkStart w:id="21" w:name="_Toc209083627"/>
      <w:bookmarkStart w:id="22" w:name="_Toc65574702"/>
      <w:r>
        <w:rPr>
          <w:rFonts w:ascii="黑体" w:hAnsi="黑体" w:eastAsia="黑体"/>
          <w:b/>
          <w:color w:val="auto"/>
          <w:sz w:val="28"/>
          <w:highlight w:val="none"/>
        </w:rPr>
        <w:t xml:space="preserve">3. </w:t>
      </w:r>
      <w:r>
        <w:rPr>
          <w:rFonts w:hint="eastAsia" w:ascii="黑体" w:hAnsi="黑体" w:eastAsia="黑体"/>
          <w:b/>
          <w:color w:val="auto"/>
          <w:sz w:val="28"/>
          <w:highlight w:val="none"/>
        </w:rPr>
        <w:t>项目其他要求</w:t>
      </w:r>
      <w:bookmarkEnd w:id="21"/>
      <w:bookmarkEnd w:id="22"/>
    </w:p>
    <w:p w14:paraId="6CBB6897">
      <w:pPr>
        <w:widowControl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3.1防范虚假证明材料的要求</w:t>
      </w:r>
    </w:p>
    <w:p w14:paraId="59D65AB4">
      <w:pPr>
        <w:widowControl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基于当前监督检查工作要求，为防范虚假材料，投标人（成交人）应按</w:t>
      </w:r>
      <w:r>
        <w:rPr>
          <w:rFonts w:hint="eastAsia" w:ascii="宋体" w:cs="楷体_GB2312"/>
          <w:color w:val="auto"/>
          <w:sz w:val="24"/>
          <w:highlight w:val="none"/>
          <w:lang w:val="zh-CN"/>
        </w:rPr>
        <w:t>第六章</w:t>
      </w:r>
      <w:r>
        <w:rPr>
          <w:rFonts w:hint="eastAsia" w:ascii="宋体" w:hAnsi="宋体" w:cs="宋体"/>
          <w:color w:val="auto"/>
          <w:sz w:val="24"/>
          <w:szCs w:val="24"/>
          <w:highlight w:val="none"/>
        </w:rPr>
        <w:t>14-3附件“证明材料查询核验工作的清单及要求”执行。</w:t>
      </w:r>
    </w:p>
    <w:p w14:paraId="2F82C781">
      <w:pPr>
        <w:spacing w:line="360" w:lineRule="auto"/>
        <w:ind w:right="238"/>
        <w:jc w:val="center"/>
        <w:outlineLvl w:val="0"/>
        <w:rPr>
          <w:rFonts w:eastAsia="黑体"/>
          <w:b/>
          <w:color w:val="auto"/>
          <w:spacing w:val="36"/>
          <w:sz w:val="36"/>
          <w:szCs w:val="36"/>
          <w:highlight w:val="none"/>
        </w:rPr>
      </w:pPr>
      <w:r>
        <w:rPr>
          <w:rFonts w:ascii="黑体" w:hAnsi="黑体" w:eastAsia="黑体"/>
          <w:b/>
          <w:color w:val="auto"/>
          <w:sz w:val="24"/>
          <w:szCs w:val="24"/>
          <w:highlight w:val="none"/>
        </w:rPr>
        <w:br w:type="page"/>
      </w:r>
    </w:p>
    <w:p w14:paraId="0EDED796">
      <w:pPr>
        <w:spacing w:line="360" w:lineRule="auto"/>
        <w:ind w:right="238"/>
        <w:jc w:val="center"/>
        <w:outlineLvl w:val="0"/>
        <w:rPr>
          <w:rFonts w:eastAsia="黑体"/>
          <w:b/>
          <w:color w:val="auto"/>
          <w:sz w:val="36"/>
          <w:szCs w:val="36"/>
          <w:highlight w:val="none"/>
        </w:rPr>
      </w:pPr>
      <w:bookmarkStart w:id="23" w:name="_Toc209083628"/>
      <w:r>
        <w:rPr>
          <w:rFonts w:hint="eastAsia" w:eastAsia="黑体"/>
          <w:b/>
          <w:color w:val="auto"/>
          <w:sz w:val="36"/>
          <w:szCs w:val="36"/>
          <w:highlight w:val="none"/>
        </w:rPr>
        <w:t>第三章 投标人须知</w:t>
      </w:r>
      <w:bookmarkEnd w:id="23"/>
    </w:p>
    <w:p w14:paraId="07FEE6A7">
      <w:pPr>
        <w:spacing w:line="360" w:lineRule="auto"/>
        <w:ind w:right="238"/>
        <w:jc w:val="left"/>
        <w:outlineLvl w:val="1"/>
        <w:rPr>
          <w:rFonts w:eastAsia="黑体"/>
          <w:b/>
          <w:color w:val="auto"/>
          <w:sz w:val="28"/>
          <w:szCs w:val="28"/>
          <w:highlight w:val="none"/>
        </w:rPr>
      </w:pPr>
      <w:bookmarkStart w:id="24" w:name="_Toc209083629"/>
      <w:r>
        <w:rPr>
          <w:rFonts w:hint="eastAsia" w:eastAsia="黑体"/>
          <w:b/>
          <w:color w:val="auto"/>
          <w:sz w:val="28"/>
          <w:szCs w:val="28"/>
          <w:highlight w:val="none"/>
        </w:rPr>
        <w:t>投标人须知前附表</w:t>
      </w:r>
      <w:bookmarkEnd w:id="24"/>
    </w:p>
    <w:tbl>
      <w:tblPr>
        <w:tblStyle w:val="16"/>
        <w:tblW w:w="9755" w:type="dxa"/>
        <w:jc w:val="center"/>
        <w:tblLayout w:type="fixed"/>
        <w:tblCellMar>
          <w:top w:w="0" w:type="dxa"/>
          <w:left w:w="108" w:type="dxa"/>
          <w:bottom w:w="0" w:type="dxa"/>
          <w:right w:w="108" w:type="dxa"/>
        </w:tblCellMar>
      </w:tblPr>
      <w:tblGrid>
        <w:gridCol w:w="608"/>
        <w:gridCol w:w="694"/>
        <w:gridCol w:w="1874"/>
        <w:gridCol w:w="6579"/>
      </w:tblGrid>
      <w:tr w14:paraId="5D8A6A83">
        <w:tblPrEx>
          <w:tblCellMar>
            <w:top w:w="0" w:type="dxa"/>
            <w:left w:w="108" w:type="dxa"/>
            <w:bottom w:w="0" w:type="dxa"/>
            <w:right w:w="108" w:type="dxa"/>
          </w:tblCellMar>
        </w:tblPrEx>
        <w:trPr>
          <w:trHeight w:val="571" w:hRule="atLeast"/>
          <w:jc w:val="center"/>
        </w:trPr>
        <w:tc>
          <w:tcPr>
            <w:tcW w:w="608" w:type="dxa"/>
            <w:tcBorders>
              <w:top w:val="single" w:color="auto" w:sz="12" w:space="0"/>
              <w:left w:val="single" w:color="auto" w:sz="12" w:space="0"/>
              <w:bottom w:val="single" w:color="auto" w:sz="6" w:space="0"/>
              <w:right w:val="single" w:color="auto" w:sz="6" w:space="0"/>
            </w:tcBorders>
          </w:tcPr>
          <w:p w14:paraId="3915B148">
            <w:pPr>
              <w:autoSpaceDE w:val="0"/>
              <w:autoSpaceDN w:val="0"/>
              <w:adjustRightInd w:val="0"/>
              <w:spacing w:line="240" w:lineRule="auto"/>
              <w:rPr>
                <w:rFonts w:ascii="宋体" w:cs="楷体_GB2312"/>
                <w:b/>
                <w:bCs/>
                <w:color w:val="auto"/>
                <w:sz w:val="24"/>
                <w:highlight w:val="none"/>
                <w:lang w:val="zh-CN"/>
              </w:rPr>
            </w:pPr>
            <w:r>
              <w:rPr>
                <w:rFonts w:hint="eastAsia" w:ascii="宋体" w:hAnsi="宋体" w:cs="楷体_GB2312"/>
                <w:b/>
                <w:bCs/>
                <w:color w:val="auto"/>
                <w:sz w:val="24"/>
                <w:highlight w:val="none"/>
                <w:lang w:val="zh-CN"/>
              </w:rPr>
              <w:t>章节</w:t>
            </w:r>
          </w:p>
        </w:tc>
        <w:tc>
          <w:tcPr>
            <w:tcW w:w="694" w:type="dxa"/>
            <w:tcBorders>
              <w:top w:val="single" w:color="auto" w:sz="12" w:space="0"/>
              <w:left w:val="single" w:color="auto" w:sz="12" w:space="0"/>
              <w:bottom w:val="single" w:color="auto" w:sz="6" w:space="0"/>
              <w:right w:val="single" w:color="auto" w:sz="6" w:space="0"/>
            </w:tcBorders>
            <w:vAlign w:val="center"/>
          </w:tcPr>
          <w:p w14:paraId="4622D51D">
            <w:pPr>
              <w:autoSpaceDE w:val="0"/>
              <w:autoSpaceDN w:val="0"/>
              <w:adjustRightInd w:val="0"/>
              <w:spacing w:line="240" w:lineRule="auto"/>
              <w:ind w:right="-126" w:rightChars="-60"/>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条款号</w:t>
            </w:r>
          </w:p>
        </w:tc>
        <w:tc>
          <w:tcPr>
            <w:tcW w:w="1874" w:type="dxa"/>
            <w:tcBorders>
              <w:top w:val="single" w:color="auto" w:sz="12" w:space="0"/>
              <w:left w:val="single" w:color="auto" w:sz="6" w:space="0"/>
              <w:bottom w:val="single" w:color="auto" w:sz="6" w:space="0"/>
              <w:right w:val="single" w:color="auto" w:sz="6" w:space="0"/>
            </w:tcBorders>
            <w:vAlign w:val="center"/>
          </w:tcPr>
          <w:p w14:paraId="5D203758">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条款名称</w:t>
            </w:r>
          </w:p>
        </w:tc>
        <w:tc>
          <w:tcPr>
            <w:tcW w:w="6579" w:type="dxa"/>
            <w:tcBorders>
              <w:top w:val="single" w:color="auto" w:sz="12" w:space="0"/>
              <w:left w:val="single" w:color="auto" w:sz="6" w:space="0"/>
              <w:bottom w:val="single" w:color="auto" w:sz="6" w:space="0"/>
              <w:right w:val="single" w:color="auto" w:sz="12" w:space="0"/>
            </w:tcBorders>
            <w:vAlign w:val="center"/>
          </w:tcPr>
          <w:p w14:paraId="02C34848">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编列内容</w:t>
            </w:r>
          </w:p>
        </w:tc>
      </w:tr>
      <w:tr w14:paraId="579D1405">
        <w:tblPrEx>
          <w:tblCellMar>
            <w:top w:w="0" w:type="dxa"/>
            <w:left w:w="108" w:type="dxa"/>
            <w:bottom w:w="0" w:type="dxa"/>
            <w:right w:w="108" w:type="dxa"/>
          </w:tblCellMar>
        </w:tblPrEx>
        <w:trPr>
          <w:trHeight w:val="649" w:hRule="atLeast"/>
          <w:jc w:val="center"/>
        </w:trPr>
        <w:tc>
          <w:tcPr>
            <w:tcW w:w="608" w:type="dxa"/>
            <w:vMerge w:val="restart"/>
            <w:tcBorders>
              <w:top w:val="single" w:color="auto" w:sz="6" w:space="0"/>
              <w:left w:val="single" w:color="auto" w:sz="12" w:space="0"/>
              <w:right w:val="single" w:color="auto" w:sz="6" w:space="0"/>
            </w:tcBorders>
            <w:vAlign w:val="center"/>
          </w:tcPr>
          <w:p w14:paraId="46DFDFC0">
            <w:pPr>
              <w:autoSpaceDE w:val="0"/>
              <w:autoSpaceDN w:val="0"/>
              <w:adjustRightInd w:val="0"/>
              <w:snapToGrid w:val="0"/>
              <w:spacing w:line="240" w:lineRule="auto"/>
              <w:rPr>
                <w:rFonts w:ascii="宋体" w:cs="楷体_GB2312"/>
                <w:b/>
                <w:bCs/>
                <w:color w:val="auto"/>
                <w:sz w:val="24"/>
                <w:highlight w:val="none"/>
              </w:rPr>
            </w:pPr>
            <w:r>
              <w:rPr>
                <w:rFonts w:hint="eastAsia" w:ascii="宋体" w:hAnsi="宋体" w:cs="楷体_GB2312"/>
                <w:b/>
                <w:bCs/>
                <w:color w:val="auto"/>
                <w:sz w:val="24"/>
                <w:highlight w:val="none"/>
              </w:rPr>
              <w:t>第一章</w:t>
            </w:r>
          </w:p>
        </w:tc>
        <w:tc>
          <w:tcPr>
            <w:tcW w:w="694" w:type="dxa"/>
            <w:tcBorders>
              <w:top w:val="single" w:color="auto" w:sz="6" w:space="0"/>
              <w:left w:val="single" w:color="auto" w:sz="12" w:space="0"/>
              <w:bottom w:val="single" w:color="auto" w:sz="6" w:space="0"/>
              <w:right w:val="single" w:color="auto" w:sz="6" w:space="0"/>
            </w:tcBorders>
            <w:vAlign w:val="center"/>
          </w:tcPr>
          <w:p w14:paraId="2F916A9E">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2</w:t>
            </w:r>
          </w:p>
        </w:tc>
        <w:tc>
          <w:tcPr>
            <w:tcW w:w="1874" w:type="dxa"/>
            <w:tcBorders>
              <w:top w:val="single" w:color="auto" w:sz="6" w:space="0"/>
              <w:left w:val="single" w:color="auto" w:sz="6" w:space="0"/>
              <w:bottom w:val="single" w:color="auto" w:sz="6" w:space="0"/>
              <w:right w:val="single" w:color="auto" w:sz="6" w:space="0"/>
            </w:tcBorders>
            <w:vAlign w:val="center"/>
          </w:tcPr>
          <w:p w14:paraId="4D1AA007">
            <w:pPr>
              <w:autoSpaceDE w:val="0"/>
              <w:autoSpaceDN w:val="0"/>
              <w:adjustRightInd w:val="0"/>
              <w:snapToGrid w:val="0"/>
              <w:spacing w:line="240" w:lineRule="auto"/>
              <w:jc w:val="center"/>
              <w:rPr>
                <w:rFonts w:ascii="宋体" w:cs="楷体_GB2312"/>
                <w:color w:val="auto"/>
                <w:sz w:val="24"/>
                <w:highlight w:val="none"/>
                <w:lang w:val="zh-CN"/>
              </w:rPr>
            </w:pPr>
            <w:r>
              <w:rPr>
                <w:rFonts w:hint="eastAsia" w:ascii="宋体" w:hAnsi="宋体" w:cs="楷体_GB2312"/>
                <w:b/>
                <w:bCs/>
                <w:color w:val="auto"/>
                <w:sz w:val="24"/>
                <w:highlight w:val="none"/>
              </w:rPr>
              <w:t>采购项目名称</w:t>
            </w:r>
          </w:p>
        </w:tc>
        <w:tc>
          <w:tcPr>
            <w:tcW w:w="6579" w:type="dxa"/>
            <w:tcBorders>
              <w:top w:val="single" w:color="auto" w:sz="6" w:space="0"/>
              <w:left w:val="single" w:color="auto" w:sz="6" w:space="0"/>
              <w:bottom w:val="single" w:color="auto" w:sz="6" w:space="0"/>
              <w:right w:val="single" w:color="auto" w:sz="12" w:space="0"/>
            </w:tcBorders>
            <w:vAlign w:val="center"/>
          </w:tcPr>
          <w:p w14:paraId="51D7453B">
            <w:pPr>
              <w:autoSpaceDE w:val="0"/>
              <w:autoSpaceDN w:val="0"/>
              <w:adjustRightInd w:val="0"/>
              <w:snapToGrid w:val="0"/>
              <w:spacing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p>
        </w:tc>
      </w:tr>
      <w:tr w14:paraId="19E5FEF0">
        <w:tblPrEx>
          <w:tblCellMar>
            <w:top w:w="0" w:type="dxa"/>
            <w:left w:w="108" w:type="dxa"/>
            <w:bottom w:w="0" w:type="dxa"/>
            <w:right w:w="108" w:type="dxa"/>
          </w:tblCellMar>
        </w:tblPrEx>
        <w:trPr>
          <w:trHeight w:val="531" w:hRule="atLeast"/>
          <w:jc w:val="center"/>
        </w:trPr>
        <w:tc>
          <w:tcPr>
            <w:tcW w:w="608" w:type="dxa"/>
            <w:vMerge w:val="continue"/>
            <w:tcBorders>
              <w:top w:val="single" w:color="auto" w:sz="6" w:space="0"/>
              <w:left w:val="single" w:color="auto" w:sz="12" w:space="0"/>
              <w:right w:val="single" w:color="auto" w:sz="6" w:space="0"/>
            </w:tcBorders>
            <w:vAlign w:val="center"/>
          </w:tcPr>
          <w:p w14:paraId="5895E616">
            <w:pPr>
              <w:autoSpaceDE w:val="0"/>
              <w:autoSpaceDN w:val="0"/>
              <w:adjustRightInd w:val="0"/>
              <w:snapToGrid w:val="0"/>
              <w:spacing w:line="24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1240FDF0">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w:t>
            </w:r>
          </w:p>
        </w:tc>
        <w:tc>
          <w:tcPr>
            <w:tcW w:w="1874" w:type="dxa"/>
            <w:tcBorders>
              <w:top w:val="single" w:color="auto" w:sz="6" w:space="0"/>
              <w:left w:val="single" w:color="auto" w:sz="6" w:space="0"/>
              <w:bottom w:val="single" w:color="auto" w:sz="6" w:space="0"/>
              <w:right w:val="single" w:color="auto" w:sz="6" w:space="0"/>
            </w:tcBorders>
            <w:vAlign w:val="center"/>
          </w:tcPr>
          <w:p w14:paraId="15D73347">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项目编号</w:t>
            </w:r>
          </w:p>
        </w:tc>
        <w:tc>
          <w:tcPr>
            <w:tcW w:w="6579" w:type="dxa"/>
            <w:tcBorders>
              <w:top w:val="single" w:color="auto" w:sz="6" w:space="0"/>
              <w:left w:val="single" w:color="auto" w:sz="6" w:space="0"/>
              <w:bottom w:val="single" w:color="auto" w:sz="6" w:space="0"/>
              <w:right w:val="single" w:color="auto" w:sz="12" w:space="0"/>
            </w:tcBorders>
            <w:vAlign w:val="center"/>
          </w:tcPr>
          <w:p w14:paraId="06A26083">
            <w:pPr>
              <w:autoSpaceDE w:val="0"/>
              <w:autoSpaceDN w:val="0"/>
              <w:adjustRightInd w:val="0"/>
              <w:snapToGrid w:val="0"/>
              <w:spacing w:beforeLines="50" w:line="240" w:lineRule="auto"/>
              <w:rPr>
                <w:color w:val="auto"/>
                <w:sz w:val="24"/>
                <w:szCs w:val="24"/>
                <w:highlight w:val="none"/>
              </w:rPr>
            </w:pPr>
            <w:r>
              <w:rPr>
                <w:rFonts w:hint="eastAsia"/>
                <w:color w:val="auto"/>
                <w:sz w:val="24"/>
                <w:szCs w:val="24"/>
                <w:highlight w:val="none"/>
              </w:rPr>
              <w:t>见“第一章谈判公告”相应条款</w:t>
            </w:r>
          </w:p>
        </w:tc>
      </w:tr>
      <w:tr w14:paraId="42BBD20A">
        <w:tblPrEx>
          <w:tblCellMar>
            <w:top w:w="0" w:type="dxa"/>
            <w:left w:w="108" w:type="dxa"/>
            <w:bottom w:w="0" w:type="dxa"/>
            <w:right w:w="108" w:type="dxa"/>
          </w:tblCellMar>
        </w:tblPrEx>
        <w:trPr>
          <w:trHeight w:val="567" w:hRule="atLeast"/>
          <w:jc w:val="center"/>
        </w:trPr>
        <w:tc>
          <w:tcPr>
            <w:tcW w:w="608" w:type="dxa"/>
            <w:vMerge w:val="continue"/>
            <w:tcBorders>
              <w:top w:val="single" w:color="auto" w:sz="6" w:space="0"/>
              <w:left w:val="single" w:color="auto" w:sz="12" w:space="0"/>
              <w:right w:val="single" w:color="auto" w:sz="6" w:space="0"/>
            </w:tcBorders>
            <w:vAlign w:val="center"/>
          </w:tcPr>
          <w:p w14:paraId="4A356CB2">
            <w:pPr>
              <w:autoSpaceDE w:val="0"/>
              <w:autoSpaceDN w:val="0"/>
              <w:adjustRightInd w:val="0"/>
              <w:snapToGrid w:val="0"/>
              <w:spacing w:line="24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B29E3C0">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1.3</w:t>
            </w:r>
          </w:p>
        </w:tc>
        <w:tc>
          <w:tcPr>
            <w:tcW w:w="1874" w:type="dxa"/>
            <w:tcBorders>
              <w:top w:val="single" w:color="auto" w:sz="6" w:space="0"/>
              <w:left w:val="single" w:color="auto" w:sz="6" w:space="0"/>
              <w:bottom w:val="single" w:color="auto" w:sz="6" w:space="0"/>
              <w:right w:val="single" w:color="auto" w:sz="6" w:space="0"/>
            </w:tcBorders>
            <w:vAlign w:val="center"/>
          </w:tcPr>
          <w:p w14:paraId="1C9FB743">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采购方式</w:t>
            </w:r>
          </w:p>
        </w:tc>
        <w:tc>
          <w:tcPr>
            <w:tcW w:w="6579" w:type="dxa"/>
            <w:tcBorders>
              <w:top w:val="single" w:color="auto" w:sz="6" w:space="0"/>
              <w:left w:val="single" w:color="auto" w:sz="6" w:space="0"/>
              <w:bottom w:val="single" w:color="auto" w:sz="6" w:space="0"/>
              <w:right w:val="single" w:color="auto" w:sz="12" w:space="0"/>
            </w:tcBorders>
            <w:vAlign w:val="center"/>
          </w:tcPr>
          <w:p w14:paraId="0F044C6D">
            <w:pPr>
              <w:autoSpaceDE w:val="0"/>
              <w:autoSpaceDN w:val="0"/>
              <w:adjustRightInd w:val="0"/>
              <w:snapToGrid w:val="0"/>
              <w:spacing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p>
        </w:tc>
      </w:tr>
      <w:tr w14:paraId="1B3E9A27">
        <w:tblPrEx>
          <w:tblCellMar>
            <w:top w:w="0" w:type="dxa"/>
            <w:left w:w="108" w:type="dxa"/>
            <w:bottom w:w="0" w:type="dxa"/>
            <w:right w:w="108" w:type="dxa"/>
          </w:tblCellMar>
        </w:tblPrEx>
        <w:trPr>
          <w:trHeight w:val="370" w:hRule="atLeast"/>
          <w:jc w:val="center"/>
        </w:trPr>
        <w:tc>
          <w:tcPr>
            <w:tcW w:w="608" w:type="dxa"/>
            <w:vMerge w:val="continue"/>
            <w:tcBorders>
              <w:left w:val="single" w:color="auto" w:sz="12" w:space="0"/>
              <w:right w:val="single" w:color="auto" w:sz="6" w:space="0"/>
            </w:tcBorders>
          </w:tcPr>
          <w:p w14:paraId="78B5EE4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34DC17C">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w:t>
            </w:r>
            <w:r>
              <w:rPr>
                <w:rFonts w:hint="eastAsia" w:ascii="宋体" w:hAnsi="宋体" w:cs="楷体_GB2312"/>
                <w:b/>
                <w:bCs/>
                <w:color w:val="auto"/>
                <w:szCs w:val="21"/>
                <w:highlight w:val="none"/>
                <w:lang w:val="zh-CN"/>
              </w:rPr>
              <w:t>4</w:t>
            </w:r>
          </w:p>
        </w:tc>
        <w:tc>
          <w:tcPr>
            <w:tcW w:w="1874" w:type="dxa"/>
            <w:tcBorders>
              <w:top w:val="single" w:color="auto" w:sz="6" w:space="0"/>
              <w:left w:val="single" w:color="auto" w:sz="6" w:space="0"/>
              <w:bottom w:val="single" w:color="auto" w:sz="6" w:space="0"/>
              <w:right w:val="single" w:color="auto" w:sz="6" w:space="0"/>
            </w:tcBorders>
            <w:vAlign w:val="center"/>
          </w:tcPr>
          <w:p w14:paraId="798C786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预算金额</w:t>
            </w:r>
          </w:p>
        </w:tc>
        <w:tc>
          <w:tcPr>
            <w:tcW w:w="6579" w:type="dxa"/>
            <w:tcBorders>
              <w:top w:val="single" w:color="auto" w:sz="6" w:space="0"/>
              <w:left w:val="single" w:color="auto" w:sz="6" w:space="0"/>
              <w:bottom w:val="single" w:color="auto" w:sz="6" w:space="0"/>
              <w:right w:val="single" w:color="auto" w:sz="12" w:space="0"/>
            </w:tcBorders>
            <w:vAlign w:val="center"/>
          </w:tcPr>
          <w:p w14:paraId="654CF9D3">
            <w:pPr>
              <w:autoSpaceDE w:val="0"/>
              <w:autoSpaceDN w:val="0"/>
              <w:adjustRightInd w:val="0"/>
              <w:snapToGrid w:val="0"/>
              <w:spacing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r>
              <w:rPr>
                <w:rFonts w:hint="eastAsia" w:ascii="宋体" w:hAnsi="宋体" w:cs="楷体_GB2312"/>
                <w:b/>
                <w:color w:val="auto"/>
                <w:sz w:val="24"/>
                <w:highlight w:val="none"/>
                <w:lang w:val="zh-CN"/>
              </w:rPr>
              <w:t>注：投标人的投标报价未超过预算金额的不足三家时，该项目（标段&lt;包&gt;）终止。</w:t>
            </w:r>
          </w:p>
        </w:tc>
      </w:tr>
      <w:tr w14:paraId="57D0756A">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3DE52A74">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7657DCFC">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74" w:type="dxa"/>
            <w:tcBorders>
              <w:top w:val="single" w:color="auto" w:sz="6" w:space="0"/>
              <w:left w:val="single" w:color="auto" w:sz="6" w:space="0"/>
              <w:bottom w:val="single" w:color="auto" w:sz="6" w:space="0"/>
              <w:right w:val="single" w:color="auto" w:sz="6" w:space="0"/>
            </w:tcBorders>
            <w:vAlign w:val="center"/>
          </w:tcPr>
          <w:p w14:paraId="793C4EEF">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申请人的资格要求及相关证明材料要求</w:t>
            </w:r>
          </w:p>
        </w:tc>
        <w:tc>
          <w:tcPr>
            <w:tcW w:w="6579" w:type="dxa"/>
            <w:tcBorders>
              <w:top w:val="single" w:color="auto" w:sz="6" w:space="0"/>
              <w:left w:val="single" w:color="auto" w:sz="6" w:space="0"/>
              <w:bottom w:val="single" w:color="auto" w:sz="6" w:space="0"/>
              <w:right w:val="single" w:color="auto" w:sz="12" w:space="0"/>
            </w:tcBorders>
            <w:vAlign w:val="center"/>
          </w:tcPr>
          <w:p w14:paraId="499D9D27">
            <w:pPr>
              <w:autoSpaceDE w:val="0"/>
              <w:autoSpaceDN w:val="0"/>
              <w:adjustRightInd w:val="0"/>
              <w:snapToGrid w:val="0"/>
              <w:spacing w:beforeLines="50" w:line="240" w:lineRule="auto"/>
              <w:rPr>
                <w:color w:val="auto"/>
                <w:sz w:val="24"/>
                <w:szCs w:val="24"/>
                <w:highlight w:val="none"/>
              </w:rPr>
            </w:pPr>
            <w:r>
              <w:rPr>
                <w:rFonts w:hint="eastAsia"/>
                <w:color w:val="auto"/>
                <w:sz w:val="24"/>
                <w:szCs w:val="24"/>
                <w:highlight w:val="none"/>
              </w:rPr>
              <w:t>见“第一章谈判公告”相应条款</w:t>
            </w:r>
          </w:p>
        </w:tc>
      </w:tr>
      <w:tr w14:paraId="36A1E6F7">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0580F79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1F6316EC">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8.1</w:t>
            </w:r>
          </w:p>
        </w:tc>
        <w:tc>
          <w:tcPr>
            <w:tcW w:w="1874" w:type="dxa"/>
            <w:tcBorders>
              <w:top w:val="single" w:color="auto" w:sz="6" w:space="0"/>
              <w:left w:val="single" w:color="auto" w:sz="6" w:space="0"/>
              <w:bottom w:val="single" w:color="auto" w:sz="6" w:space="0"/>
              <w:right w:val="single" w:color="auto" w:sz="6" w:space="0"/>
            </w:tcBorders>
            <w:vAlign w:val="center"/>
          </w:tcPr>
          <w:p w14:paraId="003C3AE3">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采购人</w:t>
            </w:r>
          </w:p>
        </w:tc>
        <w:tc>
          <w:tcPr>
            <w:tcW w:w="6579" w:type="dxa"/>
            <w:tcBorders>
              <w:top w:val="single" w:color="auto" w:sz="6" w:space="0"/>
              <w:left w:val="single" w:color="auto" w:sz="6" w:space="0"/>
              <w:bottom w:val="single" w:color="auto" w:sz="6" w:space="0"/>
              <w:right w:val="single" w:color="auto" w:sz="12" w:space="0"/>
            </w:tcBorders>
            <w:vAlign w:val="center"/>
          </w:tcPr>
          <w:p w14:paraId="4DA19CD7">
            <w:pPr>
              <w:autoSpaceDE w:val="0"/>
              <w:autoSpaceDN w:val="0"/>
              <w:adjustRightInd w:val="0"/>
              <w:snapToGrid w:val="0"/>
              <w:spacing w:beforeLines="50" w:line="240" w:lineRule="auto"/>
              <w:rPr>
                <w:color w:val="auto"/>
                <w:sz w:val="24"/>
                <w:szCs w:val="24"/>
                <w:highlight w:val="none"/>
              </w:rPr>
            </w:pPr>
            <w:r>
              <w:rPr>
                <w:rFonts w:hint="eastAsia"/>
                <w:color w:val="auto"/>
                <w:sz w:val="24"/>
                <w:szCs w:val="24"/>
                <w:highlight w:val="none"/>
              </w:rPr>
              <w:t>见“第一章谈判公告”相应条款</w:t>
            </w:r>
          </w:p>
        </w:tc>
      </w:tr>
      <w:tr w14:paraId="694370AA">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bottom w:val="single" w:color="auto" w:sz="6" w:space="0"/>
              <w:right w:val="single" w:color="auto" w:sz="6" w:space="0"/>
            </w:tcBorders>
          </w:tcPr>
          <w:p w14:paraId="36E2F9A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A828181">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8.2</w:t>
            </w:r>
          </w:p>
        </w:tc>
        <w:tc>
          <w:tcPr>
            <w:tcW w:w="1874" w:type="dxa"/>
            <w:tcBorders>
              <w:top w:val="single" w:color="auto" w:sz="6" w:space="0"/>
              <w:left w:val="single" w:color="auto" w:sz="6" w:space="0"/>
              <w:bottom w:val="single" w:color="auto" w:sz="6" w:space="0"/>
              <w:right w:val="single" w:color="auto" w:sz="6" w:space="0"/>
            </w:tcBorders>
            <w:vAlign w:val="center"/>
          </w:tcPr>
          <w:p w14:paraId="4455A857">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采购代理机构</w:t>
            </w:r>
          </w:p>
        </w:tc>
        <w:tc>
          <w:tcPr>
            <w:tcW w:w="6579" w:type="dxa"/>
            <w:tcBorders>
              <w:top w:val="single" w:color="auto" w:sz="6" w:space="0"/>
              <w:left w:val="single" w:color="auto" w:sz="6" w:space="0"/>
              <w:bottom w:val="single" w:color="auto" w:sz="6" w:space="0"/>
              <w:right w:val="single" w:color="auto" w:sz="12" w:space="0"/>
            </w:tcBorders>
            <w:vAlign w:val="center"/>
          </w:tcPr>
          <w:p w14:paraId="142AEBEB">
            <w:pPr>
              <w:autoSpaceDE w:val="0"/>
              <w:autoSpaceDN w:val="0"/>
              <w:adjustRightInd w:val="0"/>
              <w:snapToGrid w:val="0"/>
              <w:spacing w:beforeLines="50" w:line="240" w:lineRule="auto"/>
              <w:rPr>
                <w:color w:val="auto"/>
                <w:sz w:val="24"/>
                <w:szCs w:val="24"/>
                <w:highlight w:val="none"/>
              </w:rPr>
            </w:pPr>
            <w:r>
              <w:rPr>
                <w:rFonts w:hint="eastAsia"/>
                <w:color w:val="auto"/>
                <w:sz w:val="24"/>
                <w:szCs w:val="24"/>
                <w:highlight w:val="none"/>
              </w:rPr>
              <w:t>见“第一章谈判公告”相应条款</w:t>
            </w:r>
          </w:p>
        </w:tc>
      </w:tr>
      <w:tr w14:paraId="3E55F9C3">
        <w:tblPrEx>
          <w:tblCellMar>
            <w:top w:w="0" w:type="dxa"/>
            <w:left w:w="108" w:type="dxa"/>
            <w:bottom w:w="0" w:type="dxa"/>
            <w:right w:w="108" w:type="dxa"/>
          </w:tblCellMar>
        </w:tblPrEx>
        <w:trPr>
          <w:trHeight w:val="90" w:hRule="atLeast"/>
          <w:jc w:val="center"/>
        </w:trPr>
        <w:tc>
          <w:tcPr>
            <w:tcW w:w="608" w:type="dxa"/>
            <w:vMerge w:val="restart"/>
            <w:tcBorders>
              <w:top w:val="single" w:color="auto" w:sz="6" w:space="0"/>
              <w:left w:val="single" w:color="auto" w:sz="12" w:space="0"/>
              <w:right w:val="single" w:color="auto" w:sz="6" w:space="0"/>
            </w:tcBorders>
            <w:vAlign w:val="center"/>
          </w:tcPr>
          <w:p w14:paraId="3395F138">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第二章</w:t>
            </w:r>
          </w:p>
        </w:tc>
        <w:tc>
          <w:tcPr>
            <w:tcW w:w="694" w:type="dxa"/>
            <w:tcBorders>
              <w:top w:val="single" w:color="auto" w:sz="6" w:space="0"/>
              <w:left w:val="single" w:color="auto" w:sz="12" w:space="0"/>
              <w:bottom w:val="single" w:color="auto" w:sz="6" w:space="0"/>
              <w:right w:val="single" w:color="auto" w:sz="6" w:space="0"/>
            </w:tcBorders>
            <w:vAlign w:val="center"/>
          </w:tcPr>
          <w:p w14:paraId="1374C06A">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1782A65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b/>
                <w:color w:val="auto"/>
                <w:sz w:val="24"/>
                <w:szCs w:val="24"/>
                <w:highlight w:val="none"/>
              </w:rPr>
              <w:t>标段（包）划分</w:t>
            </w:r>
          </w:p>
        </w:tc>
        <w:tc>
          <w:tcPr>
            <w:tcW w:w="6579" w:type="dxa"/>
            <w:tcBorders>
              <w:top w:val="single" w:color="auto" w:sz="6" w:space="0"/>
              <w:left w:val="single" w:color="auto" w:sz="6" w:space="0"/>
              <w:bottom w:val="single" w:color="auto" w:sz="6" w:space="0"/>
              <w:right w:val="single" w:color="auto" w:sz="12" w:space="0"/>
            </w:tcBorders>
            <w:vAlign w:val="center"/>
          </w:tcPr>
          <w:p w14:paraId="4E2545B3">
            <w:pPr>
              <w:autoSpaceDE w:val="0"/>
              <w:autoSpaceDN w:val="0"/>
              <w:adjustRightInd w:val="0"/>
              <w:snapToGrid w:val="0"/>
              <w:spacing w:beforeLines="50" w:line="240" w:lineRule="auto"/>
              <w:rPr>
                <w:rFonts w:ascii="宋体" w:cs="楷体_GB2312"/>
                <w:color w:val="auto"/>
                <w:sz w:val="24"/>
                <w:highlight w:val="none"/>
                <w:lang w:val="zh-CN"/>
              </w:rPr>
            </w:pPr>
            <w:r>
              <w:rPr>
                <w:rFonts w:hint="eastAsia"/>
                <w:color w:val="auto"/>
                <w:sz w:val="24"/>
                <w:szCs w:val="24"/>
                <w:highlight w:val="none"/>
              </w:rPr>
              <w:t>见“第二章采购项目及技术服务要求”相应条款</w:t>
            </w:r>
          </w:p>
        </w:tc>
      </w:tr>
      <w:tr w14:paraId="63D5531B">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3054ACD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70E23DE">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56EAD8B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rPr>
              <w:t>交验</w:t>
            </w:r>
            <w:r>
              <w:rPr>
                <w:rFonts w:hint="eastAsia" w:ascii="宋体" w:hAnsi="宋体" w:cs="楷体_GB2312"/>
                <w:b/>
                <w:bCs/>
                <w:color w:val="auto"/>
                <w:sz w:val="24"/>
                <w:highlight w:val="none"/>
                <w:lang w:val="zh-CN"/>
              </w:rPr>
              <w:t>期</w:t>
            </w:r>
          </w:p>
        </w:tc>
        <w:tc>
          <w:tcPr>
            <w:tcW w:w="6579" w:type="dxa"/>
            <w:tcBorders>
              <w:top w:val="single" w:color="auto" w:sz="6" w:space="0"/>
              <w:left w:val="single" w:color="auto" w:sz="6" w:space="0"/>
              <w:bottom w:val="single" w:color="auto" w:sz="6" w:space="0"/>
              <w:right w:val="single" w:color="auto" w:sz="12" w:space="0"/>
            </w:tcBorders>
            <w:vAlign w:val="center"/>
          </w:tcPr>
          <w:p w14:paraId="0A90863D">
            <w:pPr>
              <w:autoSpaceDE w:val="0"/>
              <w:autoSpaceDN w:val="0"/>
              <w:adjustRightInd w:val="0"/>
              <w:snapToGrid w:val="0"/>
              <w:spacing w:beforeLines="50" w:line="240" w:lineRule="auto"/>
              <w:rPr>
                <w:rFonts w:ascii="宋体" w:cs="楷体_GB2312"/>
                <w:bCs/>
                <w:color w:val="auto"/>
                <w:sz w:val="24"/>
                <w:highlight w:val="none"/>
                <w:lang w:val="zh-CN"/>
              </w:rPr>
            </w:pPr>
            <w:r>
              <w:rPr>
                <w:rFonts w:hint="eastAsia" w:ascii="宋体" w:hAnsi="宋体"/>
                <w:color w:val="auto"/>
                <w:sz w:val="24"/>
                <w:highlight w:val="none"/>
              </w:rPr>
              <w:t>见“第二部分采购项目及技术服务要求”</w:t>
            </w:r>
            <w:r>
              <w:rPr>
                <w:rFonts w:hint="eastAsia"/>
                <w:color w:val="auto"/>
                <w:sz w:val="24"/>
                <w:szCs w:val="24"/>
                <w:highlight w:val="none"/>
              </w:rPr>
              <w:t>相应条款</w:t>
            </w:r>
          </w:p>
        </w:tc>
      </w:tr>
      <w:tr w14:paraId="1E438E17">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7CD30C8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55B01A9">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7EFD28E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交验地</w:t>
            </w:r>
          </w:p>
        </w:tc>
        <w:tc>
          <w:tcPr>
            <w:tcW w:w="6579" w:type="dxa"/>
            <w:tcBorders>
              <w:top w:val="single" w:color="auto" w:sz="6" w:space="0"/>
              <w:left w:val="single" w:color="auto" w:sz="6" w:space="0"/>
              <w:bottom w:val="single" w:color="auto" w:sz="6" w:space="0"/>
              <w:right w:val="single" w:color="auto" w:sz="12" w:space="0"/>
            </w:tcBorders>
            <w:vAlign w:val="center"/>
          </w:tcPr>
          <w:p w14:paraId="716AF2D9">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6EF3537E">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341D55EA">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5D444A7">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1.3</w:t>
            </w:r>
          </w:p>
        </w:tc>
        <w:tc>
          <w:tcPr>
            <w:tcW w:w="1874" w:type="dxa"/>
            <w:tcBorders>
              <w:top w:val="single" w:color="auto" w:sz="6" w:space="0"/>
              <w:left w:val="single" w:color="auto" w:sz="6" w:space="0"/>
              <w:bottom w:val="single" w:color="auto" w:sz="6" w:space="0"/>
              <w:right w:val="single" w:color="auto" w:sz="6" w:space="0"/>
            </w:tcBorders>
            <w:vAlign w:val="center"/>
          </w:tcPr>
          <w:p w14:paraId="7A3C5363">
            <w:pPr>
              <w:autoSpaceDE w:val="0"/>
              <w:autoSpaceDN w:val="0"/>
              <w:adjustRightInd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投标报价</w:t>
            </w:r>
          </w:p>
        </w:tc>
        <w:tc>
          <w:tcPr>
            <w:tcW w:w="6579" w:type="dxa"/>
            <w:tcBorders>
              <w:top w:val="single" w:color="auto" w:sz="6" w:space="0"/>
              <w:left w:val="single" w:color="auto" w:sz="6" w:space="0"/>
              <w:bottom w:val="single" w:color="auto" w:sz="6" w:space="0"/>
              <w:right w:val="single" w:color="auto" w:sz="12" w:space="0"/>
            </w:tcBorders>
            <w:vAlign w:val="center"/>
          </w:tcPr>
          <w:p w14:paraId="3F53773E">
            <w:pPr>
              <w:autoSpaceDE w:val="0"/>
              <w:autoSpaceDN w:val="0"/>
              <w:adjustRightInd w:val="0"/>
              <w:snapToGrid w:val="0"/>
              <w:spacing w:beforeLines="50" w:line="240" w:lineRule="auto"/>
              <w:rPr>
                <w:color w:val="auto"/>
                <w:sz w:val="24"/>
                <w:szCs w:val="24"/>
                <w:highlight w:val="none"/>
              </w:rPr>
            </w:pPr>
            <w:r>
              <w:rPr>
                <w:rFonts w:hint="eastAsia"/>
                <w:color w:val="auto"/>
                <w:sz w:val="24"/>
                <w:szCs w:val="24"/>
                <w:highlight w:val="none"/>
              </w:rPr>
              <w:t>见“第二章采购项目及技术服务要求”相应条款</w:t>
            </w:r>
          </w:p>
        </w:tc>
      </w:tr>
      <w:tr w14:paraId="654FF442">
        <w:tblPrEx>
          <w:tblCellMar>
            <w:top w:w="0" w:type="dxa"/>
            <w:left w:w="108" w:type="dxa"/>
            <w:bottom w:w="0" w:type="dxa"/>
            <w:right w:w="108" w:type="dxa"/>
          </w:tblCellMar>
        </w:tblPrEx>
        <w:trPr>
          <w:trHeight w:val="321" w:hRule="atLeast"/>
          <w:jc w:val="center"/>
        </w:trPr>
        <w:tc>
          <w:tcPr>
            <w:tcW w:w="608" w:type="dxa"/>
            <w:vMerge w:val="continue"/>
            <w:tcBorders>
              <w:left w:val="single" w:color="auto" w:sz="12" w:space="0"/>
              <w:right w:val="single" w:color="auto" w:sz="6" w:space="0"/>
            </w:tcBorders>
          </w:tcPr>
          <w:p w14:paraId="792BF1B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6ED64CFC">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74" w:type="dxa"/>
            <w:tcBorders>
              <w:top w:val="single" w:color="auto" w:sz="6" w:space="0"/>
              <w:left w:val="single" w:color="auto" w:sz="6" w:space="0"/>
              <w:bottom w:val="single" w:color="auto" w:sz="6" w:space="0"/>
              <w:right w:val="single" w:color="auto" w:sz="6" w:space="0"/>
            </w:tcBorders>
            <w:vAlign w:val="center"/>
          </w:tcPr>
          <w:p w14:paraId="75126E22">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标段（包）内容（范围）及基本技术要求</w:t>
            </w:r>
          </w:p>
        </w:tc>
        <w:tc>
          <w:tcPr>
            <w:tcW w:w="6579" w:type="dxa"/>
            <w:tcBorders>
              <w:top w:val="single" w:color="auto" w:sz="6" w:space="0"/>
              <w:left w:val="single" w:color="auto" w:sz="6" w:space="0"/>
              <w:bottom w:val="single" w:color="auto" w:sz="6" w:space="0"/>
              <w:right w:val="single" w:color="auto" w:sz="12" w:space="0"/>
            </w:tcBorders>
            <w:vAlign w:val="center"/>
          </w:tcPr>
          <w:p w14:paraId="01CC3FDB">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575EE141">
        <w:tblPrEx>
          <w:tblCellMar>
            <w:top w:w="0" w:type="dxa"/>
            <w:left w:w="108" w:type="dxa"/>
            <w:bottom w:w="0" w:type="dxa"/>
            <w:right w:w="108" w:type="dxa"/>
          </w:tblCellMar>
        </w:tblPrEx>
        <w:trPr>
          <w:trHeight w:val="321" w:hRule="atLeast"/>
          <w:jc w:val="center"/>
        </w:trPr>
        <w:tc>
          <w:tcPr>
            <w:tcW w:w="608" w:type="dxa"/>
            <w:vMerge w:val="continue"/>
            <w:tcBorders>
              <w:left w:val="single" w:color="auto" w:sz="12" w:space="0"/>
              <w:right w:val="single" w:color="auto" w:sz="6" w:space="0"/>
            </w:tcBorders>
          </w:tcPr>
          <w:p w14:paraId="3EA17FEF">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32101164">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r>
              <w:rPr>
                <w:rFonts w:hint="eastAsia" w:ascii="宋体" w:hAnsi="宋体" w:cs="楷体_GB2312"/>
                <w:b/>
                <w:bCs/>
                <w:color w:val="auto"/>
                <w:szCs w:val="21"/>
                <w:highlight w:val="none"/>
                <w:lang w:val="zh-CN"/>
              </w:rPr>
              <w:t>7</w:t>
            </w:r>
          </w:p>
        </w:tc>
        <w:tc>
          <w:tcPr>
            <w:tcW w:w="1874" w:type="dxa"/>
            <w:tcBorders>
              <w:top w:val="single" w:color="auto" w:sz="6" w:space="0"/>
              <w:left w:val="single" w:color="auto" w:sz="6" w:space="0"/>
              <w:bottom w:val="single" w:color="auto" w:sz="6" w:space="0"/>
              <w:right w:val="single" w:color="auto" w:sz="6" w:space="0"/>
            </w:tcBorders>
            <w:vAlign w:val="center"/>
          </w:tcPr>
          <w:p w14:paraId="58EB82F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技术偏离</w:t>
            </w:r>
          </w:p>
        </w:tc>
        <w:tc>
          <w:tcPr>
            <w:tcW w:w="6579" w:type="dxa"/>
            <w:tcBorders>
              <w:top w:val="single" w:color="auto" w:sz="6" w:space="0"/>
              <w:left w:val="single" w:color="auto" w:sz="6" w:space="0"/>
              <w:bottom w:val="single" w:color="auto" w:sz="6" w:space="0"/>
              <w:right w:val="single" w:color="auto" w:sz="12" w:space="0"/>
            </w:tcBorders>
            <w:vAlign w:val="center"/>
          </w:tcPr>
          <w:p w14:paraId="776848AA">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3A540D36">
        <w:tblPrEx>
          <w:tblCellMar>
            <w:top w:w="0" w:type="dxa"/>
            <w:left w:w="108" w:type="dxa"/>
            <w:bottom w:w="0" w:type="dxa"/>
            <w:right w:w="108" w:type="dxa"/>
          </w:tblCellMar>
        </w:tblPrEx>
        <w:trPr>
          <w:trHeight w:val="303" w:hRule="atLeast"/>
          <w:jc w:val="center"/>
        </w:trPr>
        <w:tc>
          <w:tcPr>
            <w:tcW w:w="608" w:type="dxa"/>
            <w:vMerge w:val="continue"/>
            <w:tcBorders>
              <w:left w:val="single" w:color="auto" w:sz="12" w:space="0"/>
              <w:bottom w:val="single" w:color="auto" w:sz="6" w:space="0"/>
              <w:right w:val="single" w:color="auto" w:sz="6" w:space="0"/>
            </w:tcBorders>
          </w:tcPr>
          <w:p w14:paraId="6B6FA376">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29B58BC4">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2.8</w:t>
            </w:r>
          </w:p>
        </w:tc>
        <w:tc>
          <w:tcPr>
            <w:tcW w:w="1874" w:type="dxa"/>
            <w:tcBorders>
              <w:top w:val="single" w:color="auto" w:sz="6" w:space="0"/>
              <w:left w:val="single" w:color="auto" w:sz="6" w:space="0"/>
              <w:bottom w:val="single" w:color="auto" w:sz="6" w:space="0"/>
              <w:right w:val="single" w:color="auto" w:sz="6" w:space="0"/>
            </w:tcBorders>
            <w:vAlign w:val="center"/>
          </w:tcPr>
          <w:p w14:paraId="252E8A8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售后服务</w:t>
            </w:r>
          </w:p>
        </w:tc>
        <w:tc>
          <w:tcPr>
            <w:tcW w:w="6579" w:type="dxa"/>
            <w:tcBorders>
              <w:top w:val="single" w:color="auto" w:sz="6" w:space="0"/>
              <w:left w:val="single" w:color="auto" w:sz="6" w:space="0"/>
              <w:bottom w:val="single" w:color="auto" w:sz="6" w:space="0"/>
              <w:right w:val="single" w:color="auto" w:sz="12" w:space="0"/>
            </w:tcBorders>
            <w:vAlign w:val="center"/>
          </w:tcPr>
          <w:p w14:paraId="00529C0D">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见“第二章采购项目及技术服务要求”</w:t>
            </w:r>
            <w:r>
              <w:rPr>
                <w:rFonts w:hint="eastAsia"/>
                <w:color w:val="auto"/>
                <w:sz w:val="24"/>
                <w:szCs w:val="24"/>
                <w:highlight w:val="none"/>
              </w:rPr>
              <w:t>相应条款</w:t>
            </w:r>
          </w:p>
        </w:tc>
      </w:tr>
      <w:tr w14:paraId="3235DB26">
        <w:tblPrEx>
          <w:tblCellMar>
            <w:top w:w="0" w:type="dxa"/>
            <w:left w:w="108" w:type="dxa"/>
            <w:bottom w:w="0" w:type="dxa"/>
            <w:right w:w="108" w:type="dxa"/>
          </w:tblCellMar>
        </w:tblPrEx>
        <w:trPr>
          <w:trHeight w:val="366" w:hRule="atLeast"/>
          <w:jc w:val="center"/>
        </w:trPr>
        <w:tc>
          <w:tcPr>
            <w:tcW w:w="608" w:type="dxa"/>
            <w:vMerge w:val="restart"/>
            <w:tcBorders>
              <w:top w:val="single" w:color="auto" w:sz="6" w:space="0"/>
              <w:left w:val="single" w:color="auto" w:sz="12" w:space="0"/>
              <w:right w:val="single" w:color="auto" w:sz="6" w:space="0"/>
            </w:tcBorders>
          </w:tcPr>
          <w:p w14:paraId="0EB1D1D9">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1F7CDDD2">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1.4</w:t>
            </w:r>
          </w:p>
        </w:tc>
        <w:tc>
          <w:tcPr>
            <w:tcW w:w="1874" w:type="dxa"/>
            <w:tcBorders>
              <w:top w:val="single" w:color="auto" w:sz="6" w:space="0"/>
              <w:left w:val="single" w:color="auto" w:sz="6" w:space="0"/>
              <w:bottom w:val="single" w:color="auto" w:sz="6" w:space="0"/>
              <w:right w:val="single" w:color="auto" w:sz="6" w:space="0"/>
            </w:tcBorders>
            <w:vAlign w:val="center"/>
          </w:tcPr>
          <w:p w14:paraId="15968759">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联合体投标</w:t>
            </w:r>
          </w:p>
        </w:tc>
        <w:tc>
          <w:tcPr>
            <w:tcW w:w="6579" w:type="dxa"/>
            <w:tcBorders>
              <w:top w:val="single" w:color="auto" w:sz="6" w:space="0"/>
              <w:left w:val="single" w:color="auto" w:sz="6" w:space="0"/>
              <w:bottom w:val="single" w:color="auto" w:sz="6" w:space="0"/>
              <w:right w:val="single" w:color="auto" w:sz="12" w:space="0"/>
            </w:tcBorders>
            <w:vAlign w:val="center"/>
          </w:tcPr>
          <w:p w14:paraId="3D1E2C7A">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 xml:space="preserve">不接受  </w:t>
            </w:r>
          </w:p>
        </w:tc>
      </w:tr>
      <w:tr w14:paraId="4E3C7F06">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54DB5FDA">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3DA4B557">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10</w:t>
            </w:r>
          </w:p>
        </w:tc>
        <w:tc>
          <w:tcPr>
            <w:tcW w:w="1874" w:type="dxa"/>
            <w:tcBorders>
              <w:top w:val="single" w:color="auto" w:sz="6" w:space="0"/>
              <w:left w:val="single" w:color="auto" w:sz="6" w:space="0"/>
              <w:bottom w:val="single" w:color="auto" w:sz="6" w:space="0"/>
              <w:right w:val="single" w:color="auto" w:sz="6" w:space="0"/>
            </w:tcBorders>
            <w:vAlign w:val="center"/>
          </w:tcPr>
          <w:p w14:paraId="09F94E2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踏勘现场</w:t>
            </w:r>
          </w:p>
        </w:tc>
        <w:tc>
          <w:tcPr>
            <w:tcW w:w="6579" w:type="dxa"/>
            <w:tcBorders>
              <w:top w:val="single" w:color="auto" w:sz="6" w:space="0"/>
              <w:left w:val="single" w:color="auto" w:sz="6" w:space="0"/>
              <w:bottom w:val="single" w:color="auto" w:sz="6" w:space="0"/>
              <w:right w:val="single" w:color="auto" w:sz="12" w:space="0"/>
            </w:tcBorders>
            <w:vAlign w:val="center"/>
          </w:tcPr>
          <w:p w14:paraId="6A3384A7">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不组织</w:t>
            </w:r>
          </w:p>
        </w:tc>
      </w:tr>
      <w:tr w14:paraId="6D080ED0">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312D71E6">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6FB16846">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1</w:t>
            </w:r>
          </w:p>
        </w:tc>
        <w:tc>
          <w:tcPr>
            <w:tcW w:w="1874" w:type="dxa"/>
            <w:tcBorders>
              <w:top w:val="single" w:color="auto" w:sz="6" w:space="0"/>
              <w:left w:val="single" w:color="auto" w:sz="6" w:space="0"/>
              <w:bottom w:val="single" w:color="auto" w:sz="6" w:space="0"/>
              <w:right w:val="single" w:color="auto" w:sz="6" w:space="0"/>
            </w:tcBorders>
            <w:vAlign w:val="center"/>
          </w:tcPr>
          <w:p w14:paraId="39B61FB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投标预备会</w:t>
            </w:r>
          </w:p>
        </w:tc>
        <w:tc>
          <w:tcPr>
            <w:tcW w:w="6579" w:type="dxa"/>
            <w:tcBorders>
              <w:top w:val="single" w:color="auto" w:sz="6" w:space="0"/>
              <w:left w:val="single" w:color="auto" w:sz="6" w:space="0"/>
              <w:bottom w:val="single" w:color="auto" w:sz="6" w:space="0"/>
              <w:right w:val="single" w:color="auto" w:sz="12" w:space="0"/>
            </w:tcBorders>
            <w:vAlign w:val="center"/>
          </w:tcPr>
          <w:p w14:paraId="36FF2282">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不召开</w:t>
            </w:r>
          </w:p>
        </w:tc>
      </w:tr>
      <w:tr w14:paraId="3722AAFC">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52B01F19">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5728BAD8">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2</w:t>
            </w:r>
          </w:p>
        </w:tc>
        <w:tc>
          <w:tcPr>
            <w:tcW w:w="1874" w:type="dxa"/>
            <w:tcBorders>
              <w:top w:val="single" w:color="auto" w:sz="6" w:space="0"/>
              <w:left w:val="single" w:color="auto" w:sz="6" w:space="0"/>
              <w:bottom w:val="single" w:color="auto" w:sz="6" w:space="0"/>
              <w:right w:val="single" w:color="auto" w:sz="6" w:space="0"/>
            </w:tcBorders>
            <w:vAlign w:val="center"/>
          </w:tcPr>
          <w:p w14:paraId="4FBEFD8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分包</w:t>
            </w:r>
          </w:p>
        </w:tc>
        <w:tc>
          <w:tcPr>
            <w:tcW w:w="6579" w:type="dxa"/>
            <w:tcBorders>
              <w:top w:val="single" w:color="auto" w:sz="6" w:space="0"/>
              <w:left w:val="single" w:color="auto" w:sz="6" w:space="0"/>
              <w:bottom w:val="single" w:color="auto" w:sz="6" w:space="0"/>
              <w:right w:val="single" w:color="auto" w:sz="12" w:space="0"/>
            </w:tcBorders>
            <w:vAlign w:val="center"/>
          </w:tcPr>
          <w:p w14:paraId="68390D0C">
            <w:pPr>
              <w:autoSpaceDE w:val="0"/>
              <w:autoSpaceDN w:val="0"/>
              <w:adjustRightInd w:val="0"/>
              <w:snapToGrid w:val="0"/>
              <w:spacing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 xml:space="preserve">不允许  </w:t>
            </w:r>
          </w:p>
        </w:tc>
      </w:tr>
      <w:tr w14:paraId="4767FF36">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04EFE833">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30E3780E">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2.1</w:t>
            </w:r>
          </w:p>
        </w:tc>
        <w:tc>
          <w:tcPr>
            <w:tcW w:w="1874" w:type="dxa"/>
            <w:tcBorders>
              <w:top w:val="single" w:color="auto" w:sz="6" w:space="0"/>
              <w:left w:val="single" w:color="auto" w:sz="6" w:space="0"/>
              <w:bottom w:val="single" w:color="auto" w:sz="6" w:space="0"/>
              <w:right w:val="single" w:color="auto" w:sz="6" w:space="0"/>
            </w:tcBorders>
            <w:vAlign w:val="center"/>
          </w:tcPr>
          <w:p w14:paraId="54451FD8">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构成谈判文件的其他材料</w:t>
            </w:r>
          </w:p>
        </w:tc>
        <w:tc>
          <w:tcPr>
            <w:tcW w:w="6579" w:type="dxa"/>
            <w:tcBorders>
              <w:top w:val="single" w:color="auto" w:sz="6" w:space="0"/>
              <w:left w:val="single" w:color="auto" w:sz="6" w:space="0"/>
              <w:bottom w:val="single" w:color="auto" w:sz="6" w:space="0"/>
              <w:right w:val="single" w:color="auto" w:sz="12" w:space="0"/>
            </w:tcBorders>
            <w:vAlign w:val="center"/>
          </w:tcPr>
          <w:p w14:paraId="60E24964">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见“第三章投标人须知”相应条款</w:t>
            </w:r>
          </w:p>
        </w:tc>
      </w:tr>
      <w:tr w14:paraId="077E9933">
        <w:tblPrEx>
          <w:tblCellMar>
            <w:top w:w="0" w:type="dxa"/>
            <w:left w:w="108" w:type="dxa"/>
            <w:bottom w:w="0" w:type="dxa"/>
            <w:right w:w="108" w:type="dxa"/>
          </w:tblCellMar>
        </w:tblPrEx>
        <w:trPr>
          <w:trHeight w:val="604" w:hRule="atLeast"/>
          <w:jc w:val="center"/>
        </w:trPr>
        <w:tc>
          <w:tcPr>
            <w:tcW w:w="608" w:type="dxa"/>
            <w:vMerge w:val="continue"/>
            <w:tcBorders>
              <w:left w:val="single" w:color="auto" w:sz="12" w:space="0"/>
              <w:right w:val="single" w:color="auto" w:sz="6" w:space="0"/>
            </w:tcBorders>
          </w:tcPr>
          <w:p w14:paraId="00B6D699">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76CFE582">
            <w:pPr>
              <w:autoSpaceDE w:val="0"/>
              <w:autoSpaceDN w:val="0"/>
              <w:adjustRightInd w:val="0"/>
              <w:snapToGrid w:val="0"/>
              <w:spacing w:line="240" w:lineRule="auto"/>
              <w:ind w:left="-134" w:leftChars="-64" w:right="-88" w:rightChars="-42"/>
              <w:jc w:val="center"/>
              <w:rPr>
                <w:rFonts w:ascii="宋体" w:hAnsi="宋体" w:cs="楷体_GB2312"/>
                <w:b/>
                <w:bCs/>
                <w:color w:val="auto"/>
                <w:szCs w:val="21"/>
                <w:highlight w:val="none"/>
              </w:rPr>
            </w:pPr>
            <w:r>
              <w:rPr>
                <w:rFonts w:ascii="宋体" w:hAnsi="宋体" w:cs="楷体_GB2312"/>
                <w:b/>
                <w:bCs/>
                <w:color w:val="auto"/>
                <w:szCs w:val="21"/>
                <w:highlight w:val="none"/>
              </w:rPr>
              <w:t>2.2.1</w:t>
            </w:r>
          </w:p>
        </w:tc>
        <w:tc>
          <w:tcPr>
            <w:tcW w:w="1874" w:type="dxa"/>
            <w:tcBorders>
              <w:top w:val="single" w:color="auto" w:sz="6" w:space="0"/>
              <w:left w:val="single" w:color="auto" w:sz="6" w:space="0"/>
              <w:bottom w:val="single" w:color="auto" w:sz="6" w:space="0"/>
              <w:right w:val="single" w:color="auto" w:sz="6" w:space="0"/>
            </w:tcBorders>
            <w:vAlign w:val="center"/>
          </w:tcPr>
          <w:p w14:paraId="2967CBB8">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投标人提出问题的截止时间</w:t>
            </w:r>
          </w:p>
        </w:tc>
        <w:tc>
          <w:tcPr>
            <w:tcW w:w="6579" w:type="dxa"/>
            <w:tcBorders>
              <w:top w:val="single" w:color="auto" w:sz="6" w:space="0"/>
              <w:left w:val="single" w:color="auto" w:sz="6" w:space="0"/>
              <w:bottom w:val="single" w:color="auto" w:sz="6" w:space="0"/>
              <w:right w:val="single" w:color="auto" w:sz="12" w:space="0"/>
            </w:tcBorders>
            <w:vAlign w:val="center"/>
          </w:tcPr>
          <w:p w14:paraId="238954CC">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日前</w:t>
            </w:r>
          </w:p>
        </w:tc>
      </w:tr>
      <w:tr w14:paraId="50734580">
        <w:tblPrEx>
          <w:tblCellMar>
            <w:top w:w="0" w:type="dxa"/>
            <w:left w:w="108" w:type="dxa"/>
            <w:bottom w:w="0" w:type="dxa"/>
            <w:right w:w="108" w:type="dxa"/>
          </w:tblCellMar>
        </w:tblPrEx>
        <w:trPr>
          <w:trHeight w:val="300" w:hRule="atLeast"/>
          <w:jc w:val="center"/>
        </w:trPr>
        <w:tc>
          <w:tcPr>
            <w:tcW w:w="608" w:type="dxa"/>
            <w:vMerge w:val="continue"/>
            <w:tcBorders>
              <w:left w:val="single" w:color="auto" w:sz="12" w:space="0"/>
              <w:right w:val="single" w:color="auto" w:sz="6" w:space="0"/>
            </w:tcBorders>
          </w:tcPr>
          <w:p w14:paraId="6617941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2E3368F0">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2.3</w:t>
            </w:r>
          </w:p>
        </w:tc>
        <w:tc>
          <w:tcPr>
            <w:tcW w:w="1874" w:type="dxa"/>
            <w:tcBorders>
              <w:top w:val="single" w:color="auto" w:sz="6" w:space="0"/>
              <w:left w:val="single" w:color="auto" w:sz="6" w:space="0"/>
              <w:bottom w:val="single" w:color="auto" w:sz="6" w:space="0"/>
              <w:right w:val="single" w:color="auto" w:sz="6" w:space="0"/>
            </w:tcBorders>
            <w:vAlign w:val="center"/>
          </w:tcPr>
          <w:p w14:paraId="6B90B9AA">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谈判文件澄清修改补充时间</w:t>
            </w:r>
          </w:p>
        </w:tc>
        <w:tc>
          <w:tcPr>
            <w:tcW w:w="6579" w:type="dxa"/>
            <w:tcBorders>
              <w:top w:val="single" w:color="auto" w:sz="6" w:space="0"/>
              <w:left w:val="single" w:color="auto" w:sz="6" w:space="0"/>
              <w:bottom w:val="single" w:color="auto" w:sz="6" w:space="0"/>
              <w:right w:val="single" w:color="auto" w:sz="12" w:space="0"/>
            </w:tcBorders>
            <w:vAlign w:val="center"/>
          </w:tcPr>
          <w:p w14:paraId="6872D828">
            <w:pPr>
              <w:autoSpaceDE w:val="0"/>
              <w:autoSpaceDN w:val="0"/>
              <w:adjustRightInd w:val="0"/>
              <w:snapToGrid w:val="0"/>
              <w:spacing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rPr>
              <w:t>3</w:t>
            </w:r>
            <w:r>
              <w:rPr>
                <w:rFonts w:hint="eastAsia" w:ascii="宋体" w:hAnsi="宋体" w:cs="楷体_GB2312"/>
                <w:color w:val="auto"/>
                <w:sz w:val="24"/>
                <w:highlight w:val="none"/>
              </w:rPr>
              <w:t>个工作</w:t>
            </w:r>
            <w:r>
              <w:rPr>
                <w:rFonts w:hint="eastAsia" w:ascii="宋体" w:hAnsi="宋体" w:cs="楷体_GB2312"/>
                <w:color w:val="auto"/>
                <w:sz w:val="24"/>
                <w:highlight w:val="none"/>
                <w:lang w:val="zh-CN"/>
              </w:rPr>
              <w:t>日前。</w:t>
            </w:r>
          </w:p>
        </w:tc>
      </w:tr>
      <w:tr w14:paraId="7234BF58">
        <w:tblPrEx>
          <w:tblCellMar>
            <w:top w:w="0" w:type="dxa"/>
            <w:left w:w="108" w:type="dxa"/>
            <w:bottom w:w="0" w:type="dxa"/>
            <w:right w:w="108" w:type="dxa"/>
          </w:tblCellMar>
        </w:tblPrEx>
        <w:trPr>
          <w:trHeight w:val="300" w:hRule="atLeast"/>
          <w:jc w:val="center"/>
        </w:trPr>
        <w:tc>
          <w:tcPr>
            <w:tcW w:w="608" w:type="dxa"/>
            <w:vMerge w:val="continue"/>
            <w:tcBorders>
              <w:left w:val="single" w:color="auto" w:sz="12" w:space="0"/>
              <w:right w:val="single" w:color="auto" w:sz="6" w:space="0"/>
            </w:tcBorders>
          </w:tcPr>
          <w:p w14:paraId="4470B17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4A5359E4">
            <w:pPr>
              <w:autoSpaceDE w:val="0"/>
              <w:autoSpaceDN w:val="0"/>
              <w:adjustRightInd w:val="0"/>
              <w:snapToGrid w:val="0"/>
              <w:spacing w:line="240" w:lineRule="auto"/>
              <w:ind w:left="-134" w:leftChars="-64" w:right="-88" w:rightChars="-42"/>
              <w:jc w:val="center"/>
              <w:rPr>
                <w:rFonts w:ascii="宋体" w:hAnsi="宋体" w:cs="楷体_GB2312"/>
                <w:b/>
                <w:bCs/>
                <w:color w:val="auto"/>
                <w:szCs w:val="21"/>
                <w:highlight w:val="none"/>
              </w:rPr>
            </w:pPr>
            <w:r>
              <w:rPr>
                <w:rFonts w:ascii="宋体" w:hAnsi="宋体" w:cs="楷体_GB2312"/>
                <w:b/>
                <w:bCs/>
                <w:color w:val="auto"/>
                <w:szCs w:val="21"/>
                <w:highlight w:val="none"/>
              </w:rPr>
              <w:t>2.4</w:t>
            </w:r>
          </w:p>
        </w:tc>
        <w:tc>
          <w:tcPr>
            <w:tcW w:w="1874" w:type="dxa"/>
            <w:tcBorders>
              <w:top w:val="single" w:color="auto" w:sz="6" w:space="0"/>
              <w:left w:val="single" w:color="auto" w:sz="6" w:space="0"/>
              <w:bottom w:val="single" w:color="auto" w:sz="6" w:space="0"/>
              <w:right w:val="single" w:color="auto" w:sz="6" w:space="0"/>
            </w:tcBorders>
            <w:vAlign w:val="center"/>
          </w:tcPr>
          <w:p w14:paraId="505B98D8">
            <w:pPr>
              <w:autoSpaceDE w:val="0"/>
              <w:autoSpaceDN w:val="0"/>
              <w:adjustRightInd w:val="0"/>
              <w:snapToGrid w:val="0"/>
              <w:spacing w:line="240" w:lineRule="auto"/>
              <w:ind w:left="-126" w:leftChars="-60" w:right="-36" w:rightChars="-17"/>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谈判文件的澄清修改补充告知方式</w:t>
            </w:r>
          </w:p>
        </w:tc>
        <w:tc>
          <w:tcPr>
            <w:tcW w:w="6579" w:type="dxa"/>
            <w:tcBorders>
              <w:top w:val="single" w:color="auto" w:sz="6" w:space="0"/>
              <w:left w:val="single" w:color="auto" w:sz="6" w:space="0"/>
              <w:bottom w:val="single" w:color="auto" w:sz="6" w:space="0"/>
              <w:right w:val="single" w:color="auto" w:sz="12" w:space="0"/>
            </w:tcBorders>
            <w:vAlign w:val="center"/>
          </w:tcPr>
          <w:p w14:paraId="0C00607B">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见“第三章投标人须知”相应条款</w:t>
            </w:r>
          </w:p>
        </w:tc>
      </w:tr>
      <w:tr w14:paraId="1AA595BC">
        <w:tblPrEx>
          <w:tblCellMar>
            <w:top w:w="0" w:type="dxa"/>
            <w:left w:w="108" w:type="dxa"/>
            <w:bottom w:w="0" w:type="dxa"/>
            <w:right w:w="108" w:type="dxa"/>
          </w:tblCellMar>
        </w:tblPrEx>
        <w:trPr>
          <w:trHeight w:val="535" w:hRule="atLeast"/>
          <w:jc w:val="center"/>
        </w:trPr>
        <w:tc>
          <w:tcPr>
            <w:tcW w:w="608" w:type="dxa"/>
            <w:vMerge w:val="continue"/>
            <w:tcBorders>
              <w:left w:val="single" w:color="auto" w:sz="12" w:space="0"/>
              <w:bottom w:val="single" w:color="auto" w:sz="6" w:space="0"/>
              <w:right w:val="single" w:color="auto" w:sz="6" w:space="0"/>
            </w:tcBorders>
          </w:tcPr>
          <w:p w14:paraId="30818A2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4E822F22">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3.2</w:t>
            </w:r>
          </w:p>
        </w:tc>
        <w:tc>
          <w:tcPr>
            <w:tcW w:w="1874" w:type="dxa"/>
            <w:tcBorders>
              <w:top w:val="single" w:color="auto" w:sz="6" w:space="0"/>
              <w:left w:val="single" w:color="auto" w:sz="6" w:space="0"/>
              <w:bottom w:val="single" w:color="auto" w:sz="6" w:space="0"/>
              <w:right w:val="single" w:color="auto" w:sz="6" w:space="0"/>
            </w:tcBorders>
            <w:vAlign w:val="center"/>
          </w:tcPr>
          <w:p w14:paraId="063E7D2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投标文件的组成</w:t>
            </w:r>
          </w:p>
        </w:tc>
        <w:tc>
          <w:tcPr>
            <w:tcW w:w="6579" w:type="dxa"/>
            <w:tcBorders>
              <w:top w:val="single" w:color="auto" w:sz="6" w:space="0"/>
              <w:left w:val="single" w:color="auto" w:sz="6" w:space="0"/>
              <w:bottom w:val="single" w:color="auto" w:sz="6" w:space="0"/>
              <w:right w:val="single" w:color="auto" w:sz="12" w:space="0"/>
            </w:tcBorders>
            <w:vAlign w:val="center"/>
          </w:tcPr>
          <w:p w14:paraId="06753D29">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见“第三章投标人须知”相应条款</w:t>
            </w:r>
          </w:p>
        </w:tc>
      </w:tr>
      <w:tr w14:paraId="1F193D42">
        <w:tblPrEx>
          <w:tblCellMar>
            <w:top w:w="0" w:type="dxa"/>
            <w:left w:w="108" w:type="dxa"/>
            <w:bottom w:w="0" w:type="dxa"/>
            <w:right w:w="108" w:type="dxa"/>
          </w:tblCellMar>
        </w:tblPrEx>
        <w:trPr>
          <w:trHeight w:val="564" w:hRule="atLeast"/>
          <w:jc w:val="center"/>
        </w:trPr>
        <w:tc>
          <w:tcPr>
            <w:tcW w:w="608" w:type="dxa"/>
            <w:vMerge w:val="restart"/>
            <w:tcBorders>
              <w:top w:val="single" w:color="auto" w:sz="6" w:space="0"/>
              <w:left w:val="single" w:color="auto" w:sz="12" w:space="0"/>
              <w:right w:val="single" w:color="auto" w:sz="6" w:space="0"/>
            </w:tcBorders>
          </w:tcPr>
          <w:p w14:paraId="05966A4E">
            <w:pPr>
              <w:autoSpaceDE w:val="0"/>
              <w:autoSpaceDN w:val="0"/>
              <w:adjustRightInd w:val="0"/>
              <w:snapToGrid w:val="0"/>
              <w:spacing w:line="240" w:lineRule="auto"/>
              <w:jc w:val="center"/>
              <w:rPr>
                <w:rFonts w:ascii="宋体" w:hAnsi="宋体" w:cs="楷体_GB2312"/>
                <w:b/>
                <w:bCs/>
                <w:color w:val="auto"/>
                <w:sz w:val="24"/>
                <w:highlight w:val="none"/>
                <w:lang w:val="zh-CN"/>
              </w:rPr>
            </w:pPr>
            <w:r>
              <w:rPr>
                <w:rFonts w:hint="eastAsia" w:ascii="宋体" w:hAnsi="宋体" w:cs="楷体_GB2312"/>
                <w:b/>
                <w:bCs/>
                <w:color w:val="auto"/>
                <w:sz w:val="24"/>
                <w:highlight w:val="none"/>
                <w:lang w:val="zh-CN"/>
              </w:rPr>
              <w:t>第三章</w:t>
            </w:r>
          </w:p>
          <w:p w14:paraId="13A975FE">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6F09BB5F">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3.4.1</w:t>
            </w:r>
          </w:p>
        </w:tc>
        <w:tc>
          <w:tcPr>
            <w:tcW w:w="1874" w:type="dxa"/>
            <w:tcBorders>
              <w:top w:val="single" w:color="auto" w:sz="6" w:space="0"/>
              <w:left w:val="single" w:color="auto" w:sz="6" w:space="0"/>
              <w:bottom w:val="single" w:color="auto" w:sz="6" w:space="0"/>
              <w:right w:val="single" w:color="auto" w:sz="6" w:space="0"/>
            </w:tcBorders>
            <w:vAlign w:val="center"/>
          </w:tcPr>
          <w:p w14:paraId="4729B878">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投标有效期</w:t>
            </w:r>
          </w:p>
        </w:tc>
        <w:tc>
          <w:tcPr>
            <w:tcW w:w="6579" w:type="dxa"/>
            <w:tcBorders>
              <w:top w:val="single" w:color="auto" w:sz="6" w:space="0"/>
              <w:left w:val="single" w:color="auto" w:sz="6" w:space="0"/>
              <w:bottom w:val="single" w:color="auto" w:sz="6" w:space="0"/>
              <w:right w:val="single" w:color="auto" w:sz="12" w:space="0"/>
            </w:tcBorders>
            <w:vAlign w:val="center"/>
          </w:tcPr>
          <w:p w14:paraId="782001E1">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从开标之日起，投标有效期为</w:t>
            </w:r>
            <w:r>
              <w:rPr>
                <w:rFonts w:ascii="宋体" w:hAnsi="宋体" w:cs="楷体_GB2312"/>
                <w:color w:val="auto"/>
                <w:sz w:val="24"/>
                <w:highlight w:val="none"/>
                <w:lang w:val="zh-CN"/>
              </w:rPr>
              <w:t>90</w:t>
            </w:r>
            <w:r>
              <w:rPr>
                <w:rFonts w:hint="eastAsia" w:ascii="宋体" w:hAnsi="宋体" w:cs="楷体_GB2312"/>
                <w:color w:val="auto"/>
                <w:sz w:val="24"/>
                <w:highlight w:val="none"/>
                <w:lang w:val="zh-CN"/>
              </w:rPr>
              <w:t>日历天</w:t>
            </w:r>
          </w:p>
        </w:tc>
      </w:tr>
      <w:tr w14:paraId="72B7C4E5">
        <w:tblPrEx>
          <w:tblCellMar>
            <w:top w:w="0" w:type="dxa"/>
            <w:left w:w="108" w:type="dxa"/>
            <w:bottom w:w="0" w:type="dxa"/>
            <w:right w:w="108" w:type="dxa"/>
          </w:tblCellMar>
        </w:tblPrEx>
        <w:trPr>
          <w:trHeight w:val="694" w:hRule="atLeast"/>
          <w:jc w:val="center"/>
        </w:trPr>
        <w:tc>
          <w:tcPr>
            <w:tcW w:w="608" w:type="dxa"/>
            <w:vMerge w:val="continue"/>
            <w:tcBorders>
              <w:left w:val="single" w:color="auto" w:sz="12" w:space="0"/>
              <w:right w:val="single" w:color="auto" w:sz="6" w:space="0"/>
            </w:tcBorders>
          </w:tcPr>
          <w:p w14:paraId="3C99963D">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right w:val="single" w:color="auto" w:sz="6" w:space="0"/>
            </w:tcBorders>
            <w:vAlign w:val="center"/>
          </w:tcPr>
          <w:p w14:paraId="4FFA6DD2">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3.5</w:t>
            </w:r>
          </w:p>
        </w:tc>
        <w:tc>
          <w:tcPr>
            <w:tcW w:w="1874" w:type="dxa"/>
            <w:tcBorders>
              <w:top w:val="single" w:color="auto" w:sz="6" w:space="0"/>
              <w:left w:val="single" w:color="auto" w:sz="6" w:space="0"/>
              <w:right w:val="single" w:color="auto" w:sz="6" w:space="0"/>
            </w:tcBorders>
            <w:vAlign w:val="center"/>
          </w:tcPr>
          <w:p w14:paraId="6BB14D9C">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cs="楷体_GB2312"/>
                <w:b/>
                <w:bCs/>
                <w:color w:val="auto"/>
                <w:sz w:val="24"/>
                <w:highlight w:val="none"/>
                <w:lang w:val="zh-CN"/>
              </w:rPr>
              <w:t>投标承诺函</w:t>
            </w:r>
          </w:p>
        </w:tc>
        <w:tc>
          <w:tcPr>
            <w:tcW w:w="6579" w:type="dxa"/>
            <w:tcBorders>
              <w:top w:val="single" w:color="auto" w:sz="6" w:space="0"/>
              <w:left w:val="single" w:color="auto" w:sz="6" w:space="0"/>
              <w:right w:val="single" w:color="auto" w:sz="12" w:space="0"/>
            </w:tcBorders>
            <w:vAlign w:val="center"/>
          </w:tcPr>
          <w:p w14:paraId="6755419C">
            <w:pPr>
              <w:widowControl w:val="0"/>
              <w:snapToGrid w:val="0"/>
              <w:spacing w:beforeLines="50" w:line="240" w:lineRule="auto"/>
              <w:rPr>
                <w:rFonts w:cs="楷体_GB2312"/>
                <w:b/>
                <w:color w:val="auto"/>
                <w:sz w:val="24"/>
                <w:highlight w:val="none"/>
                <w:lang w:val="zh-CN"/>
              </w:rPr>
            </w:pPr>
            <w:r>
              <w:rPr>
                <w:rFonts w:hint="eastAsia"/>
                <w:color w:val="auto"/>
                <w:sz w:val="24"/>
                <w:szCs w:val="24"/>
                <w:highlight w:val="none"/>
              </w:rPr>
              <w:t>供应商应按附件格式进行投标承诺、违背承诺的责任追究。</w:t>
            </w:r>
          </w:p>
        </w:tc>
      </w:tr>
      <w:tr w14:paraId="426541F2">
        <w:tblPrEx>
          <w:tblCellMar>
            <w:top w:w="0" w:type="dxa"/>
            <w:left w:w="108" w:type="dxa"/>
            <w:bottom w:w="0" w:type="dxa"/>
            <w:right w:w="108" w:type="dxa"/>
          </w:tblCellMar>
        </w:tblPrEx>
        <w:trPr>
          <w:trHeight w:val="577" w:hRule="atLeast"/>
          <w:jc w:val="center"/>
        </w:trPr>
        <w:tc>
          <w:tcPr>
            <w:tcW w:w="608" w:type="dxa"/>
            <w:vMerge w:val="continue"/>
            <w:tcBorders>
              <w:left w:val="single" w:color="auto" w:sz="12" w:space="0"/>
              <w:right w:val="single" w:color="auto" w:sz="6" w:space="0"/>
            </w:tcBorders>
          </w:tcPr>
          <w:p w14:paraId="14B2AD2D">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4" w:space="0"/>
              <w:left w:val="single" w:color="auto" w:sz="12" w:space="0"/>
              <w:bottom w:val="single" w:color="auto" w:sz="6" w:space="0"/>
              <w:right w:val="single" w:color="auto" w:sz="6" w:space="0"/>
            </w:tcBorders>
            <w:vAlign w:val="center"/>
          </w:tcPr>
          <w:p w14:paraId="2D02D686">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3.7.3</w:t>
            </w:r>
          </w:p>
        </w:tc>
        <w:tc>
          <w:tcPr>
            <w:tcW w:w="1874" w:type="dxa"/>
            <w:tcBorders>
              <w:top w:val="single" w:color="auto" w:sz="4" w:space="0"/>
              <w:left w:val="single" w:color="auto" w:sz="6" w:space="0"/>
              <w:bottom w:val="single" w:color="auto" w:sz="6" w:space="0"/>
              <w:right w:val="single" w:color="auto" w:sz="6" w:space="0"/>
            </w:tcBorders>
            <w:vAlign w:val="center"/>
          </w:tcPr>
          <w:p w14:paraId="3F827DB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偏差描述</w:t>
            </w:r>
          </w:p>
        </w:tc>
        <w:tc>
          <w:tcPr>
            <w:tcW w:w="6579" w:type="dxa"/>
            <w:tcBorders>
              <w:top w:val="single" w:color="auto" w:sz="4" w:space="0"/>
              <w:left w:val="single" w:color="auto" w:sz="6" w:space="0"/>
              <w:bottom w:val="single" w:color="auto" w:sz="6" w:space="0"/>
              <w:right w:val="single" w:color="auto" w:sz="12" w:space="0"/>
            </w:tcBorders>
            <w:vAlign w:val="center"/>
          </w:tcPr>
          <w:p w14:paraId="40AB2960">
            <w:pPr>
              <w:widowControl w:val="0"/>
              <w:snapToGrid w:val="0"/>
              <w:spacing w:beforeLines="50" w:line="240" w:lineRule="auto"/>
              <w:rPr>
                <w:b/>
                <w:color w:val="auto"/>
                <w:sz w:val="24"/>
                <w:szCs w:val="24"/>
                <w:highlight w:val="none"/>
              </w:rPr>
            </w:pPr>
            <w:r>
              <w:rPr>
                <w:rFonts w:hint="eastAsia" w:ascii="宋体" w:hAnsi="宋体" w:cs="楷体_GB2312"/>
                <w:color w:val="auto"/>
                <w:sz w:val="24"/>
                <w:highlight w:val="none"/>
                <w:lang w:val="zh-CN"/>
              </w:rPr>
              <w:t>见“第三章投标人须知”相应条款</w:t>
            </w:r>
          </w:p>
        </w:tc>
      </w:tr>
      <w:tr w14:paraId="15F64511">
        <w:tblPrEx>
          <w:tblCellMar>
            <w:top w:w="0" w:type="dxa"/>
            <w:left w:w="108" w:type="dxa"/>
            <w:bottom w:w="0" w:type="dxa"/>
            <w:right w:w="108" w:type="dxa"/>
          </w:tblCellMar>
        </w:tblPrEx>
        <w:trPr>
          <w:trHeight w:val="65" w:hRule="atLeast"/>
          <w:jc w:val="center"/>
        </w:trPr>
        <w:tc>
          <w:tcPr>
            <w:tcW w:w="608" w:type="dxa"/>
            <w:vMerge w:val="continue"/>
            <w:tcBorders>
              <w:left w:val="single" w:color="auto" w:sz="12" w:space="0"/>
              <w:right w:val="single" w:color="auto" w:sz="6" w:space="0"/>
            </w:tcBorders>
          </w:tcPr>
          <w:p w14:paraId="5F012002">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C71C603">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3.7.4</w:t>
            </w:r>
          </w:p>
        </w:tc>
        <w:tc>
          <w:tcPr>
            <w:tcW w:w="1874" w:type="dxa"/>
            <w:tcBorders>
              <w:top w:val="single" w:color="auto" w:sz="6" w:space="0"/>
              <w:left w:val="single" w:color="auto" w:sz="6" w:space="0"/>
              <w:bottom w:val="single" w:color="auto" w:sz="6" w:space="0"/>
              <w:right w:val="single" w:color="auto" w:sz="6" w:space="0"/>
            </w:tcBorders>
            <w:vAlign w:val="center"/>
          </w:tcPr>
          <w:p w14:paraId="34AD1B2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签字或盖章要求</w:t>
            </w:r>
          </w:p>
        </w:tc>
        <w:tc>
          <w:tcPr>
            <w:tcW w:w="6579" w:type="dxa"/>
            <w:tcBorders>
              <w:top w:val="single" w:color="auto" w:sz="6" w:space="0"/>
              <w:left w:val="single" w:color="auto" w:sz="6" w:space="0"/>
              <w:bottom w:val="single" w:color="auto" w:sz="6" w:space="0"/>
              <w:right w:val="single" w:color="auto" w:sz="12" w:space="0"/>
            </w:tcBorders>
            <w:vAlign w:val="center"/>
          </w:tcPr>
          <w:p w14:paraId="31302306">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见“第三章投标人须知”相应条款</w:t>
            </w:r>
          </w:p>
        </w:tc>
      </w:tr>
      <w:tr w14:paraId="2D084286">
        <w:tblPrEx>
          <w:tblCellMar>
            <w:top w:w="0" w:type="dxa"/>
            <w:left w:w="108" w:type="dxa"/>
            <w:bottom w:w="0" w:type="dxa"/>
            <w:right w:w="108" w:type="dxa"/>
          </w:tblCellMar>
        </w:tblPrEx>
        <w:trPr>
          <w:trHeight w:val="343" w:hRule="atLeast"/>
          <w:jc w:val="center"/>
        </w:trPr>
        <w:tc>
          <w:tcPr>
            <w:tcW w:w="608" w:type="dxa"/>
            <w:vMerge w:val="continue"/>
            <w:tcBorders>
              <w:left w:val="single" w:color="auto" w:sz="12" w:space="0"/>
              <w:right w:val="single" w:color="auto" w:sz="6" w:space="0"/>
            </w:tcBorders>
          </w:tcPr>
          <w:p w14:paraId="663F0487">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1F67ED92">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4.2.4</w:t>
            </w:r>
          </w:p>
        </w:tc>
        <w:tc>
          <w:tcPr>
            <w:tcW w:w="1874" w:type="dxa"/>
            <w:tcBorders>
              <w:top w:val="single" w:color="auto" w:sz="6" w:space="0"/>
              <w:left w:val="single" w:color="auto" w:sz="6" w:space="0"/>
              <w:bottom w:val="single" w:color="auto" w:sz="6" w:space="0"/>
              <w:right w:val="single" w:color="auto" w:sz="6" w:space="0"/>
            </w:tcBorders>
            <w:vAlign w:val="center"/>
          </w:tcPr>
          <w:p w14:paraId="7EC3A48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是否退还投标文件</w:t>
            </w:r>
          </w:p>
        </w:tc>
        <w:tc>
          <w:tcPr>
            <w:tcW w:w="6579" w:type="dxa"/>
            <w:tcBorders>
              <w:top w:val="single" w:color="auto" w:sz="6" w:space="0"/>
              <w:left w:val="single" w:color="auto" w:sz="6" w:space="0"/>
              <w:bottom w:val="single" w:color="auto" w:sz="6" w:space="0"/>
              <w:right w:val="single" w:color="auto" w:sz="12" w:space="0"/>
            </w:tcBorders>
            <w:vAlign w:val="center"/>
          </w:tcPr>
          <w:p w14:paraId="71F966F1">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否</w:t>
            </w:r>
          </w:p>
        </w:tc>
      </w:tr>
      <w:tr w14:paraId="247CEBF0">
        <w:tblPrEx>
          <w:tblCellMar>
            <w:top w:w="0" w:type="dxa"/>
            <w:left w:w="108" w:type="dxa"/>
            <w:bottom w:w="0" w:type="dxa"/>
            <w:right w:w="108" w:type="dxa"/>
          </w:tblCellMar>
        </w:tblPrEx>
        <w:trPr>
          <w:trHeight w:val="507" w:hRule="atLeast"/>
          <w:jc w:val="center"/>
        </w:trPr>
        <w:tc>
          <w:tcPr>
            <w:tcW w:w="608" w:type="dxa"/>
            <w:vMerge w:val="continue"/>
            <w:tcBorders>
              <w:left w:val="single" w:color="auto" w:sz="12" w:space="0"/>
              <w:bottom w:val="single" w:color="auto" w:sz="6" w:space="0"/>
              <w:right w:val="single" w:color="auto" w:sz="6" w:space="0"/>
            </w:tcBorders>
          </w:tcPr>
          <w:p w14:paraId="2B9F2ED4">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6DA2AD5D">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6.1</w:t>
            </w:r>
          </w:p>
        </w:tc>
        <w:tc>
          <w:tcPr>
            <w:tcW w:w="1874" w:type="dxa"/>
            <w:tcBorders>
              <w:top w:val="single" w:color="auto" w:sz="6" w:space="0"/>
              <w:left w:val="single" w:color="auto" w:sz="6" w:space="0"/>
              <w:bottom w:val="single" w:color="auto" w:sz="6" w:space="0"/>
              <w:right w:val="single" w:color="auto" w:sz="6" w:space="0"/>
            </w:tcBorders>
            <w:vAlign w:val="center"/>
          </w:tcPr>
          <w:p w14:paraId="018EA3F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谈判小组的组建</w:t>
            </w:r>
          </w:p>
        </w:tc>
        <w:tc>
          <w:tcPr>
            <w:tcW w:w="6579" w:type="dxa"/>
            <w:tcBorders>
              <w:top w:val="single" w:color="auto" w:sz="6" w:space="0"/>
              <w:left w:val="single" w:color="auto" w:sz="6" w:space="0"/>
              <w:bottom w:val="single" w:color="auto" w:sz="6" w:space="0"/>
              <w:right w:val="single" w:color="auto" w:sz="12" w:space="0"/>
            </w:tcBorders>
            <w:vAlign w:val="center"/>
          </w:tcPr>
          <w:p w14:paraId="01ACDFBC">
            <w:pPr>
              <w:autoSpaceDE w:val="0"/>
              <w:autoSpaceDN w:val="0"/>
              <w:adjustRightInd w:val="0"/>
              <w:snapToGrid w:val="0"/>
              <w:spacing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见“第三章投标人须知”相应条款</w:t>
            </w:r>
          </w:p>
        </w:tc>
      </w:tr>
      <w:tr w14:paraId="2D9D70FE">
        <w:tblPrEx>
          <w:tblCellMar>
            <w:top w:w="0" w:type="dxa"/>
            <w:left w:w="108" w:type="dxa"/>
            <w:bottom w:w="0" w:type="dxa"/>
            <w:right w:w="108" w:type="dxa"/>
          </w:tblCellMar>
        </w:tblPrEx>
        <w:trPr>
          <w:trHeight w:val="543" w:hRule="atLeast"/>
          <w:jc w:val="center"/>
        </w:trPr>
        <w:tc>
          <w:tcPr>
            <w:tcW w:w="608" w:type="dxa"/>
            <w:vMerge w:val="restart"/>
            <w:tcBorders>
              <w:left w:val="single" w:color="auto" w:sz="12" w:space="0"/>
              <w:right w:val="single" w:color="auto" w:sz="6" w:space="0"/>
            </w:tcBorders>
          </w:tcPr>
          <w:p w14:paraId="3932A5EB">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77A830D5">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7.1</w:t>
            </w:r>
          </w:p>
        </w:tc>
        <w:tc>
          <w:tcPr>
            <w:tcW w:w="1874" w:type="dxa"/>
            <w:tcBorders>
              <w:top w:val="single" w:color="auto" w:sz="6" w:space="0"/>
              <w:left w:val="single" w:color="auto" w:sz="6" w:space="0"/>
              <w:bottom w:val="single" w:color="auto" w:sz="6" w:space="0"/>
              <w:right w:val="single" w:color="auto" w:sz="6" w:space="0"/>
            </w:tcBorders>
            <w:vAlign w:val="center"/>
          </w:tcPr>
          <w:p w14:paraId="58B2C47C">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是否授权谈判小组确定成交供应商</w:t>
            </w:r>
          </w:p>
        </w:tc>
        <w:tc>
          <w:tcPr>
            <w:tcW w:w="6579" w:type="dxa"/>
            <w:tcBorders>
              <w:top w:val="single" w:color="auto" w:sz="6" w:space="0"/>
              <w:left w:val="single" w:color="auto" w:sz="6" w:space="0"/>
              <w:bottom w:val="single" w:color="auto" w:sz="6" w:space="0"/>
              <w:right w:val="single" w:color="auto" w:sz="12" w:space="0"/>
            </w:tcBorders>
            <w:vAlign w:val="center"/>
          </w:tcPr>
          <w:p w14:paraId="60F08C65">
            <w:pPr>
              <w:adjustRightInd w:val="0"/>
              <w:snapToGrid w:val="0"/>
              <w:spacing w:beforeLines="50" w:line="240" w:lineRule="auto"/>
              <w:rPr>
                <w:rFonts w:ascii="宋体" w:hAnsi="宋体"/>
                <w:color w:val="auto"/>
                <w:sz w:val="24"/>
                <w:highlight w:val="none"/>
              </w:rPr>
            </w:pPr>
            <w:r>
              <w:rPr>
                <w:rFonts w:hint="eastAsia" w:ascii="宋体" w:hAnsi="宋体"/>
                <w:color w:val="auto"/>
                <w:sz w:val="24"/>
                <w:highlight w:val="none"/>
              </w:rPr>
              <w:t>是。谈判小组按照最后报价由低到高的顺序提出</w:t>
            </w:r>
            <w:r>
              <w:rPr>
                <w:rFonts w:ascii="宋体" w:hAnsi="宋体"/>
                <w:color w:val="auto"/>
                <w:sz w:val="24"/>
                <w:highlight w:val="none"/>
              </w:rPr>
              <w:t>3</w:t>
            </w:r>
            <w:r>
              <w:rPr>
                <w:rFonts w:hint="eastAsia" w:ascii="宋体" w:hAnsi="宋体"/>
                <w:color w:val="auto"/>
                <w:sz w:val="24"/>
                <w:highlight w:val="none"/>
              </w:rPr>
              <w:t>名成交候选人，并确定排名第一的成交候选人为成交供应商。</w:t>
            </w:r>
          </w:p>
        </w:tc>
      </w:tr>
      <w:tr w14:paraId="5A002E4B">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058746EF">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1DC1B5D4">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7.2</w:t>
            </w:r>
          </w:p>
        </w:tc>
        <w:tc>
          <w:tcPr>
            <w:tcW w:w="1874" w:type="dxa"/>
            <w:tcBorders>
              <w:top w:val="single" w:color="auto" w:sz="6" w:space="0"/>
              <w:left w:val="single" w:color="auto" w:sz="6" w:space="0"/>
              <w:bottom w:val="single" w:color="auto" w:sz="6" w:space="0"/>
              <w:right w:val="single" w:color="auto" w:sz="6" w:space="0"/>
            </w:tcBorders>
            <w:vAlign w:val="center"/>
          </w:tcPr>
          <w:p w14:paraId="163F1648">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成交结果公告</w:t>
            </w:r>
          </w:p>
        </w:tc>
        <w:tc>
          <w:tcPr>
            <w:tcW w:w="6579" w:type="dxa"/>
            <w:tcBorders>
              <w:top w:val="single" w:color="auto" w:sz="6" w:space="0"/>
              <w:left w:val="single" w:color="auto" w:sz="6" w:space="0"/>
              <w:bottom w:val="single" w:color="auto" w:sz="6" w:space="0"/>
              <w:right w:val="single" w:color="auto" w:sz="12" w:space="0"/>
            </w:tcBorders>
            <w:vAlign w:val="center"/>
          </w:tcPr>
          <w:p w14:paraId="3D219618">
            <w:pPr>
              <w:adjustRightInd w:val="0"/>
              <w:snapToGrid w:val="0"/>
              <w:spacing w:beforeLines="50" w:line="240" w:lineRule="auto"/>
              <w:rPr>
                <w:rFonts w:ascii="宋体" w:hAnsi="宋体"/>
                <w:color w:val="auto"/>
                <w:sz w:val="24"/>
                <w:highlight w:val="none"/>
              </w:rPr>
            </w:pPr>
            <w:r>
              <w:rPr>
                <w:rFonts w:hint="eastAsia" w:ascii="宋体" w:hAnsi="宋体"/>
                <w:color w:val="auto"/>
                <w:sz w:val="24"/>
                <w:highlight w:val="none"/>
              </w:rPr>
              <w:t>本次竞争性谈判的成交结果将在成交供应商确定之日起1个工作日内，在谈判公告所述媒介公告</w:t>
            </w:r>
            <w:r>
              <w:rPr>
                <w:rFonts w:ascii="宋体" w:hAnsi="宋体"/>
                <w:color w:val="auto"/>
                <w:sz w:val="24"/>
                <w:highlight w:val="none"/>
              </w:rPr>
              <w:t>1</w:t>
            </w:r>
            <w:r>
              <w:rPr>
                <w:rFonts w:hint="eastAsia" w:ascii="宋体" w:hAnsi="宋体"/>
                <w:color w:val="auto"/>
                <w:sz w:val="24"/>
                <w:highlight w:val="none"/>
              </w:rPr>
              <w:t>个工作日。</w:t>
            </w:r>
          </w:p>
        </w:tc>
      </w:tr>
      <w:tr w14:paraId="6CA66EB5">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14A87B45">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2391E4A4">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7.3</w:t>
            </w:r>
          </w:p>
        </w:tc>
        <w:tc>
          <w:tcPr>
            <w:tcW w:w="1874" w:type="dxa"/>
            <w:tcBorders>
              <w:top w:val="single" w:color="auto" w:sz="6" w:space="0"/>
              <w:left w:val="single" w:color="auto" w:sz="6" w:space="0"/>
              <w:bottom w:val="single" w:color="auto" w:sz="6" w:space="0"/>
              <w:right w:val="single" w:color="auto" w:sz="6" w:space="0"/>
            </w:tcBorders>
            <w:vAlign w:val="center"/>
          </w:tcPr>
          <w:p w14:paraId="2A8D31E3">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质疑、投诉</w:t>
            </w:r>
          </w:p>
        </w:tc>
        <w:tc>
          <w:tcPr>
            <w:tcW w:w="6579" w:type="dxa"/>
            <w:tcBorders>
              <w:top w:val="single" w:color="auto" w:sz="6" w:space="0"/>
              <w:left w:val="single" w:color="auto" w:sz="6" w:space="0"/>
              <w:bottom w:val="single" w:color="auto" w:sz="6" w:space="0"/>
              <w:right w:val="single" w:color="auto" w:sz="12" w:space="0"/>
            </w:tcBorders>
            <w:vAlign w:val="center"/>
          </w:tcPr>
          <w:p w14:paraId="46249B43">
            <w:pPr>
              <w:adjustRightInd w:val="0"/>
              <w:snapToGrid w:val="0"/>
              <w:spacing w:beforeLines="50" w:line="240" w:lineRule="auto"/>
              <w:rPr>
                <w:rFonts w:ascii="宋体"/>
                <w:color w:val="auto"/>
                <w:sz w:val="24"/>
                <w:highlight w:val="none"/>
              </w:rPr>
            </w:pPr>
            <w:r>
              <w:rPr>
                <w:rFonts w:hint="eastAsia" w:ascii="宋体" w:hAnsi="宋体"/>
                <w:color w:val="auto"/>
                <w:sz w:val="24"/>
                <w:highlight w:val="none"/>
              </w:rPr>
              <w:t>参与本次采购活动的供应商如有异议，可在各环节法定质疑期内向采购代理机构一次性提出针对该采购程序环节的纸质书面质疑函，书面原件送达至采购文件列示的采购代理机构及采购人联系人处；依据法规规定，质疑函应当有明确的请求和必要的证明材料，应当包括下列内容：1、供应商的姓名或者名称、地址、邮编、联系人及联系电话；2、质疑项目的名称、编号；3、具体、明确的质疑事项和与质疑事项相关的请求；4、事实依据；5、必要的法律依据；6、提出质疑的日期。供应商为自然人的，应当由本人签字；供应商为法人或者其他组织的，应当由法定代表人、主要负责人，或者其授权代表签字或者盖章，并加盖公章。如对采购代理机构的答复仍有异议的，可向同级财政局政府采购监督管理办公室提出书面投诉。（具体程序按照《政府采购质疑和投诉办法》执行）。</w:t>
            </w:r>
          </w:p>
        </w:tc>
      </w:tr>
      <w:tr w14:paraId="45F98918">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01357D74">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11522483">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7.4</w:t>
            </w:r>
          </w:p>
        </w:tc>
        <w:tc>
          <w:tcPr>
            <w:tcW w:w="1874" w:type="dxa"/>
            <w:tcBorders>
              <w:top w:val="single" w:color="auto" w:sz="6" w:space="0"/>
              <w:left w:val="single" w:color="auto" w:sz="6" w:space="0"/>
              <w:bottom w:val="single" w:color="auto" w:sz="6" w:space="0"/>
              <w:right w:val="single" w:color="auto" w:sz="6" w:space="0"/>
            </w:tcBorders>
            <w:vAlign w:val="center"/>
          </w:tcPr>
          <w:p w14:paraId="13437B0D">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成交通知书</w:t>
            </w:r>
          </w:p>
        </w:tc>
        <w:tc>
          <w:tcPr>
            <w:tcW w:w="6579" w:type="dxa"/>
            <w:tcBorders>
              <w:top w:val="single" w:color="auto" w:sz="6" w:space="0"/>
              <w:left w:val="single" w:color="auto" w:sz="6" w:space="0"/>
              <w:bottom w:val="single" w:color="auto" w:sz="6" w:space="0"/>
              <w:right w:val="single" w:color="auto" w:sz="12" w:space="0"/>
            </w:tcBorders>
            <w:vAlign w:val="center"/>
          </w:tcPr>
          <w:p w14:paraId="36F4562B">
            <w:pPr>
              <w:adjustRightInd w:val="0"/>
              <w:snapToGrid w:val="0"/>
              <w:spacing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采购代理机构在成交供应商确定后1个工作日内，向成交供应商发出成交通知书。成交供应商应凭缴费凭证及时领取成交通知书。</w:t>
            </w:r>
          </w:p>
        </w:tc>
      </w:tr>
      <w:tr w14:paraId="4FFD4984">
        <w:tblPrEx>
          <w:tblCellMar>
            <w:top w:w="0" w:type="dxa"/>
            <w:left w:w="108" w:type="dxa"/>
            <w:bottom w:w="0" w:type="dxa"/>
            <w:right w:w="108" w:type="dxa"/>
          </w:tblCellMar>
        </w:tblPrEx>
        <w:trPr>
          <w:trHeight w:val="453" w:hRule="atLeast"/>
          <w:jc w:val="center"/>
        </w:trPr>
        <w:tc>
          <w:tcPr>
            <w:tcW w:w="608" w:type="dxa"/>
            <w:vMerge w:val="restart"/>
            <w:tcBorders>
              <w:left w:val="single" w:color="auto" w:sz="12" w:space="0"/>
              <w:right w:val="single" w:color="auto" w:sz="6" w:space="0"/>
            </w:tcBorders>
          </w:tcPr>
          <w:p w14:paraId="5113DC7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4D7CA092">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7.5</w:t>
            </w:r>
          </w:p>
        </w:tc>
        <w:tc>
          <w:tcPr>
            <w:tcW w:w="1874" w:type="dxa"/>
            <w:tcBorders>
              <w:top w:val="single" w:color="auto" w:sz="6" w:space="0"/>
              <w:left w:val="single" w:color="auto" w:sz="6" w:space="0"/>
              <w:bottom w:val="single" w:color="auto" w:sz="6" w:space="0"/>
              <w:right w:val="single" w:color="auto" w:sz="6" w:space="0"/>
            </w:tcBorders>
            <w:vAlign w:val="center"/>
          </w:tcPr>
          <w:p w14:paraId="74CEAE8D">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履约保证金</w:t>
            </w:r>
          </w:p>
        </w:tc>
        <w:tc>
          <w:tcPr>
            <w:tcW w:w="6579" w:type="dxa"/>
            <w:tcBorders>
              <w:top w:val="single" w:color="auto" w:sz="6" w:space="0"/>
              <w:left w:val="single" w:color="auto" w:sz="6" w:space="0"/>
              <w:bottom w:val="single" w:color="auto" w:sz="6" w:space="0"/>
              <w:right w:val="single" w:color="auto" w:sz="12" w:space="0"/>
            </w:tcBorders>
            <w:vAlign w:val="center"/>
          </w:tcPr>
          <w:p w14:paraId="1360BDA4">
            <w:pPr>
              <w:widowControl w:val="0"/>
              <w:snapToGrid w:val="0"/>
              <w:spacing w:beforeLines="50" w:line="240" w:lineRule="auto"/>
              <w:rPr>
                <w:color w:val="auto"/>
                <w:sz w:val="24"/>
                <w:szCs w:val="24"/>
                <w:highlight w:val="none"/>
              </w:rPr>
            </w:pPr>
            <w:r>
              <w:rPr>
                <w:rFonts w:hint="eastAsia"/>
                <w:color w:val="auto"/>
                <w:sz w:val="24"/>
                <w:szCs w:val="24"/>
                <w:highlight w:val="none"/>
              </w:rPr>
              <w:t>不需缴纳</w:t>
            </w:r>
          </w:p>
        </w:tc>
      </w:tr>
      <w:tr w14:paraId="7ACCE134">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1387621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1069501A">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8</w:t>
            </w:r>
          </w:p>
        </w:tc>
        <w:tc>
          <w:tcPr>
            <w:tcW w:w="1874" w:type="dxa"/>
            <w:tcBorders>
              <w:top w:val="single" w:color="auto" w:sz="6" w:space="0"/>
              <w:left w:val="single" w:color="auto" w:sz="6" w:space="0"/>
              <w:bottom w:val="single" w:color="auto" w:sz="6" w:space="0"/>
              <w:right w:val="single" w:color="auto" w:sz="6" w:space="0"/>
            </w:tcBorders>
            <w:vAlign w:val="center"/>
          </w:tcPr>
          <w:p w14:paraId="0FBCCF52">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验收</w:t>
            </w:r>
          </w:p>
        </w:tc>
        <w:tc>
          <w:tcPr>
            <w:tcW w:w="6579" w:type="dxa"/>
            <w:tcBorders>
              <w:top w:val="single" w:color="auto" w:sz="6" w:space="0"/>
              <w:left w:val="single" w:color="auto" w:sz="6" w:space="0"/>
              <w:bottom w:val="single" w:color="auto" w:sz="6" w:space="0"/>
              <w:right w:val="single" w:color="auto" w:sz="12" w:space="0"/>
            </w:tcBorders>
            <w:vAlign w:val="center"/>
          </w:tcPr>
          <w:p w14:paraId="550D236E">
            <w:pPr>
              <w:widowControl w:val="0"/>
              <w:snapToGrid w:val="0"/>
              <w:spacing w:beforeLines="50" w:line="240" w:lineRule="auto"/>
              <w:rPr>
                <w:color w:val="auto"/>
                <w:sz w:val="24"/>
                <w:szCs w:val="24"/>
                <w:highlight w:val="none"/>
              </w:rPr>
            </w:pPr>
            <w:r>
              <w:rPr>
                <w:rFonts w:hint="eastAsia"/>
                <w:color w:val="auto"/>
                <w:sz w:val="24"/>
                <w:szCs w:val="24"/>
                <w:highlight w:val="none"/>
              </w:rPr>
              <w:t>见“第三章投标人须知”相应条款</w:t>
            </w:r>
          </w:p>
        </w:tc>
      </w:tr>
      <w:tr w14:paraId="13B8D4E2">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38FB61C6">
            <w:pPr>
              <w:autoSpaceDE w:val="0"/>
              <w:autoSpaceDN w:val="0"/>
              <w:adjustRightInd w:val="0"/>
              <w:spacing w:line="36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163093FC">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9</w:t>
            </w:r>
          </w:p>
        </w:tc>
        <w:tc>
          <w:tcPr>
            <w:tcW w:w="1874" w:type="dxa"/>
            <w:tcBorders>
              <w:top w:val="single" w:color="auto" w:sz="6" w:space="0"/>
              <w:left w:val="single" w:color="auto" w:sz="6" w:space="0"/>
              <w:bottom w:val="single" w:color="auto" w:sz="6" w:space="0"/>
              <w:right w:val="single" w:color="auto" w:sz="6" w:space="0"/>
            </w:tcBorders>
            <w:vAlign w:val="center"/>
          </w:tcPr>
          <w:p w14:paraId="41180390">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付款</w:t>
            </w:r>
          </w:p>
        </w:tc>
        <w:tc>
          <w:tcPr>
            <w:tcW w:w="6579" w:type="dxa"/>
            <w:tcBorders>
              <w:top w:val="single" w:color="auto" w:sz="6" w:space="0"/>
              <w:left w:val="single" w:color="auto" w:sz="6" w:space="0"/>
              <w:bottom w:val="single" w:color="auto" w:sz="6" w:space="0"/>
              <w:right w:val="single" w:color="auto" w:sz="12" w:space="0"/>
            </w:tcBorders>
            <w:vAlign w:val="center"/>
          </w:tcPr>
          <w:p w14:paraId="25D56930">
            <w:pPr>
              <w:snapToGrid w:val="0"/>
              <w:spacing w:beforeLines="50" w:line="240" w:lineRule="auto"/>
              <w:ind w:firstLine="480" w:firstLineChars="200"/>
              <w:rPr>
                <w:color w:val="auto"/>
                <w:sz w:val="24"/>
                <w:szCs w:val="24"/>
                <w:highlight w:val="none"/>
              </w:rPr>
            </w:pPr>
            <w:bookmarkStart w:id="25" w:name="OLE_LINK11"/>
            <w:r>
              <w:rPr>
                <w:rFonts w:hint="eastAsia"/>
                <w:color w:val="auto"/>
                <w:sz w:val="24"/>
                <w:szCs w:val="24"/>
                <w:highlight w:val="none"/>
              </w:rPr>
              <w:t>为优化政府采购营商环境，根据安财购﹝2019﹞8号文件落实政府采购预付款的规定，采购人可视资金情况在政府采购合同履约前向成交供应商预付</w:t>
            </w:r>
            <w:r>
              <w:rPr>
                <w:color w:val="auto"/>
                <w:sz w:val="24"/>
                <w:szCs w:val="24"/>
                <w:highlight w:val="none"/>
                <w:u w:val="single"/>
              </w:rPr>
              <w:t>30%</w:t>
            </w:r>
            <w:r>
              <w:rPr>
                <w:rFonts w:hint="eastAsia"/>
                <w:color w:val="auto"/>
                <w:sz w:val="24"/>
                <w:szCs w:val="24"/>
                <w:highlight w:val="none"/>
              </w:rPr>
              <w:t>的合同资金，成交供应商应向采购人提交预付款保函，未提供保函的，视同其放弃项目预付款的支付。</w:t>
            </w:r>
          </w:p>
          <w:p w14:paraId="2F0D71A2">
            <w:pPr>
              <w:snapToGrid w:val="0"/>
              <w:spacing w:beforeLines="50" w:line="240" w:lineRule="auto"/>
              <w:ind w:firstLine="480" w:firstLineChars="200"/>
              <w:rPr>
                <w:color w:val="auto"/>
                <w:sz w:val="24"/>
                <w:szCs w:val="24"/>
                <w:highlight w:val="none"/>
              </w:rPr>
            </w:pPr>
            <w:r>
              <w:rPr>
                <w:rFonts w:hint="eastAsia"/>
                <w:color w:val="auto"/>
                <w:sz w:val="24"/>
                <w:szCs w:val="24"/>
                <w:highlight w:val="none"/>
              </w:rPr>
              <w:t>为进一步优化营商环境，根据安财购﹝</w:t>
            </w:r>
            <w:r>
              <w:rPr>
                <w:color w:val="auto"/>
                <w:sz w:val="24"/>
                <w:szCs w:val="24"/>
                <w:highlight w:val="none"/>
              </w:rPr>
              <w:t>2022</w:t>
            </w:r>
            <w:r>
              <w:rPr>
                <w:rFonts w:hint="eastAsia"/>
                <w:color w:val="auto"/>
                <w:sz w:val="24"/>
                <w:szCs w:val="24"/>
                <w:highlight w:val="none"/>
              </w:rPr>
              <w:t>﹞</w:t>
            </w:r>
            <w:r>
              <w:rPr>
                <w:color w:val="auto"/>
                <w:sz w:val="24"/>
                <w:szCs w:val="24"/>
                <w:highlight w:val="none"/>
              </w:rPr>
              <w:t>8</w:t>
            </w:r>
            <w:r>
              <w:rPr>
                <w:rFonts w:hint="eastAsia"/>
                <w:color w:val="auto"/>
                <w:sz w:val="24"/>
                <w:szCs w:val="24"/>
                <w:highlight w:val="none"/>
              </w:rPr>
              <w:t>号文件落实政府采购中小企业预付款的规定，采购人可视资金情况在政府采购合同签订后，向成交供应商原则上预付不低于合同金额</w:t>
            </w:r>
            <w:r>
              <w:rPr>
                <w:color w:val="auto"/>
                <w:sz w:val="24"/>
                <w:szCs w:val="24"/>
                <w:highlight w:val="none"/>
              </w:rPr>
              <w:t>50%</w:t>
            </w:r>
            <w:r>
              <w:rPr>
                <w:rFonts w:hint="eastAsia"/>
                <w:color w:val="auto"/>
                <w:sz w:val="24"/>
                <w:szCs w:val="24"/>
                <w:highlight w:val="none"/>
              </w:rPr>
              <w:t>的预付款，成交供应商应向采购人提交预付款保函，未提供保函的，视同其放弃项目预付款的支付。</w:t>
            </w:r>
          </w:p>
          <w:p w14:paraId="01FC47EE">
            <w:pPr>
              <w:snapToGrid w:val="0"/>
              <w:spacing w:beforeLines="50" w:line="240" w:lineRule="auto"/>
              <w:ind w:firstLine="352" w:firstLineChars="147"/>
              <w:rPr>
                <w:rFonts w:hint="eastAsia"/>
                <w:color w:val="auto"/>
                <w:sz w:val="24"/>
                <w:szCs w:val="24"/>
                <w:highlight w:val="none"/>
              </w:rPr>
            </w:pPr>
            <w:r>
              <w:rPr>
                <w:rFonts w:hint="eastAsia"/>
                <w:color w:val="auto"/>
                <w:sz w:val="24"/>
                <w:szCs w:val="24"/>
                <w:highlight w:val="none"/>
              </w:rPr>
              <w:t>成交人持采购人及专家等出具的《政府采购验收报告》及成交人填写的《政府采购资金支付申请书》，经采购人与成交人签字盖章后，作为付款依据，报同级财政局政府采购管理办公室审核确认后由采购人一次无息付清。</w:t>
            </w:r>
            <w:bookmarkEnd w:id="25"/>
          </w:p>
          <w:p w14:paraId="4901EF7E">
            <w:pPr>
              <w:snapToGrid w:val="0"/>
              <w:spacing w:beforeLines="50" w:line="240" w:lineRule="auto"/>
              <w:ind w:firstLine="352" w:firstLineChars="147"/>
              <w:rPr>
                <w:rFonts w:hint="eastAsia"/>
                <w:color w:val="auto"/>
                <w:sz w:val="24"/>
                <w:szCs w:val="24"/>
                <w:highlight w:val="none"/>
              </w:rPr>
            </w:pPr>
            <w:r>
              <w:rPr>
                <w:rFonts w:hint="eastAsia"/>
                <w:color w:val="auto"/>
                <w:sz w:val="24"/>
                <w:szCs w:val="24"/>
                <w:highlight w:val="none"/>
              </w:rPr>
              <w:t>并按照《安阳县公安局项目审计监督管理办法(试行)》相关结算审计环节要求执行。</w:t>
            </w:r>
          </w:p>
        </w:tc>
      </w:tr>
      <w:tr w14:paraId="52A11F22">
        <w:tblPrEx>
          <w:tblCellMar>
            <w:top w:w="0" w:type="dxa"/>
            <w:left w:w="108" w:type="dxa"/>
            <w:bottom w:w="0" w:type="dxa"/>
            <w:right w:w="108" w:type="dxa"/>
          </w:tblCellMar>
        </w:tblPrEx>
        <w:trPr>
          <w:trHeight w:val="471" w:hRule="atLeast"/>
          <w:jc w:val="center"/>
        </w:trPr>
        <w:tc>
          <w:tcPr>
            <w:tcW w:w="608" w:type="dxa"/>
            <w:tcBorders>
              <w:left w:val="single" w:color="auto" w:sz="12" w:space="0"/>
              <w:bottom w:val="single" w:color="auto" w:sz="6" w:space="0"/>
              <w:right w:val="single" w:color="auto" w:sz="6" w:space="0"/>
            </w:tcBorders>
          </w:tcPr>
          <w:p w14:paraId="3872569A">
            <w:pPr>
              <w:autoSpaceDE w:val="0"/>
              <w:autoSpaceDN w:val="0"/>
              <w:adjustRightInd w:val="0"/>
              <w:spacing w:line="36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D042394">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10.1</w:t>
            </w:r>
          </w:p>
        </w:tc>
        <w:tc>
          <w:tcPr>
            <w:tcW w:w="1874" w:type="dxa"/>
            <w:tcBorders>
              <w:top w:val="single" w:color="auto" w:sz="6" w:space="0"/>
              <w:left w:val="single" w:color="auto" w:sz="6" w:space="0"/>
              <w:bottom w:val="single" w:color="auto" w:sz="6" w:space="0"/>
              <w:right w:val="single" w:color="auto" w:sz="6" w:space="0"/>
            </w:tcBorders>
            <w:vAlign w:val="center"/>
          </w:tcPr>
          <w:p w14:paraId="605B663D">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代理服务费</w:t>
            </w:r>
          </w:p>
        </w:tc>
        <w:tc>
          <w:tcPr>
            <w:tcW w:w="6579" w:type="dxa"/>
            <w:tcBorders>
              <w:top w:val="single" w:color="auto" w:sz="6" w:space="0"/>
              <w:left w:val="single" w:color="auto" w:sz="6" w:space="0"/>
              <w:bottom w:val="single" w:color="auto" w:sz="6" w:space="0"/>
              <w:right w:val="single" w:color="auto" w:sz="12" w:space="0"/>
            </w:tcBorders>
            <w:vAlign w:val="center"/>
          </w:tcPr>
          <w:p w14:paraId="49AF0170">
            <w:pPr>
              <w:adjustRightInd w:val="0"/>
              <w:snapToGrid w:val="0"/>
              <w:spacing w:beforeLines="50" w:line="240" w:lineRule="auto"/>
              <w:rPr>
                <w:rFonts w:ascii="宋体" w:hAnsi="宋体"/>
                <w:color w:val="auto"/>
                <w:sz w:val="24"/>
                <w:highlight w:val="none"/>
              </w:rPr>
            </w:pPr>
            <w:r>
              <w:rPr>
                <w:rFonts w:hint="eastAsia" w:ascii="宋体" w:hAnsi="宋体"/>
                <w:color w:val="auto"/>
                <w:sz w:val="24"/>
                <w:highlight w:val="none"/>
              </w:rPr>
              <w:t>按照预算参照国家计委《招标代理服务收费管理暂行办法》（计价格【2002】1980号）、《国家发展和改革委员会办公厅关于招标代理服务费有关问题的通知》（发改办价格【2003】857号）及发改价格【2011】534号文件的规定，招标代理服务费（</w:t>
            </w:r>
            <w:r>
              <w:rPr>
                <w:rFonts w:hint="eastAsia" w:ascii="宋体" w:hAnsi="宋体"/>
                <w:color w:val="auto"/>
                <w:sz w:val="24"/>
                <w:highlight w:val="none"/>
                <w:lang w:val="en-US" w:eastAsia="zh-CN"/>
              </w:rPr>
              <w:t>5315</w:t>
            </w:r>
            <w:r>
              <w:rPr>
                <w:rFonts w:hint="eastAsia" w:ascii="宋体" w:hAnsi="宋体"/>
                <w:color w:val="auto"/>
                <w:sz w:val="24"/>
                <w:highlight w:val="none"/>
              </w:rPr>
              <w:t>元）由中标（成交）供应商支付。</w:t>
            </w:r>
          </w:p>
        </w:tc>
      </w:tr>
    </w:tbl>
    <w:p w14:paraId="6A3C72FE">
      <w:pPr>
        <w:autoSpaceDE w:val="0"/>
        <w:autoSpaceDN w:val="0"/>
        <w:adjustRightInd w:val="0"/>
        <w:spacing w:line="360" w:lineRule="auto"/>
        <w:ind w:firstLine="539"/>
        <w:rPr>
          <w:color w:val="auto"/>
          <w:highlight w:val="none"/>
        </w:rPr>
      </w:pPr>
      <w:r>
        <w:rPr>
          <w:color w:val="auto"/>
          <w:highlight w:val="none"/>
        </w:rPr>
        <w:br w:type="page"/>
      </w:r>
    </w:p>
    <w:p w14:paraId="1CCC562A">
      <w:pPr>
        <w:autoSpaceDE w:val="0"/>
        <w:autoSpaceDN w:val="0"/>
        <w:adjustRightInd w:val="0"/>
        <w:snapToGrid w:val="0"/>
        <w:spacing w:beforeLines="50" w:line="300" w:lineRule="auto"/>
        <w:ind w:firstLine="539"/>
        <w:outlineLvl w:val="1"/>
        <w:rPr>
          <w:rFonts w:ascii="黑体" w:hAnsi="黑体" w:eastAsia="黑体"/>
          <w:color w:val="auto"/>
          <w:sz w:val="28"/>
          <w:szCs w:val="28"/>
          <w:highlight w:val="none"/>
          <w:lang w:val="zh-CN"/>
        </w:rPr>
      </w:pPr>
      <w:bookmarkStart w:id="26" w:name="_Toc209083630"/>
      <w:r>
        <w:rPr>
          <w:rFonts w:ascii="黑体" w:hAnsi="黑体" w:eastAsia="黑体" w:cs="楷体_GB2312"/>
          <w:b/>
          <w:bCs/>
          <w:color w:val="auto"/>
          <w:sz w:val="28"/>
          <w:szCs w:val="28"/>
          <w:highlight w:val="none"/>
          <w:lang w:val="zh-CN"/>
        </w:rPr>
        <w:t xml:space="preserve">1. </w:t>
      </w:r>
      <w:r>
        <w:rPr>
          <w:rFonts w:hint="eastAsia" w:ascii="黑体" w:hAnsi="黑体" w:eastAsia="黑体" w:cs="楷体_GB2312"/>
          <w:b/>
          <w:bCs/>
          <w:color w:val="auto"/>
          <w:sz w:val="28"/>
          <w:szCs w:val="28"/>
          <w:highlight w:val="none"/>
          <w:lang w:val="zh-CN"/>
        </w:rPr>
        <w:t>总则</w:t>
      </w:r>
      <w:bookmarkEnd w:id="26"/>
    </w:p>
    <w:p w14:paraId="49838F65">
      <w:pPr>
        <w:autoSpaceDE w:val="0"/>
        <w:autoSpaceDN w:val="0"/>
        <w:adjustRightInd w:val="0"/>
        <w:snapToGrid w:val="0"/>
        <w:spacing w:beforeLines="50" w:line="300" w:lineRule="auto"/>
        <w:ind w:firstLine="539"/>
        <w:rPr>
          <w:rFonts w:ascii="宋体"/>
          <w:color w:val="auto"/>
          <w:sz w:val="24"/>
          <w:szCs w:val="24"/>
          <w:highlight w:val="none"/>
        </w:rPr>
      </w:pPr>
      <w:r>
        <w:rPr>
          <w:rFonts w:ascii="黑体" w:hAnsi="黑体" w:eastAsia="黑体" w:cs="楷体_GB2312"/>
          <w:b/>
          <w:color w:val="auto"/>
          <w:sz w:val="24"/>
          <w:highlight w:val="none"/>
          <w:lang w:val="zh-CN"/>
        </w:rPr>
        <w:t xml:space="preserve">1.1 </w:t>
      </w:r>
      <w:r>
        <w:rPr>
          <w:rFonts w:hint="eastAsia" w:ascii="宋体" w:hAnsi="宋体"/>
          <w:color w:val="auto"/>
          <w:sz w:val="24"/>
          <w:szCs w:val="24"/>
          <w:highlight w:val="none"/>
        </w:rPr>
        <w:t>根据《中华人民共和国政府采购法》、《中华人民共和国政府采购法实施条例》、《政府采购非招标采购方式管理办法》及相关政府采购法律法规等制定本文件。</w:t>
      </w:r>
    </w:p>
    <w:p w14:paraId="131D47D1">
      <w:pPr>
        <w:adjustRightInd w:val="0"/>
        <w:snapToGrid w:val="0"/>
        <w:spacing w:beforeLines="50" w:line="300" w:lineRule="auto"/>
        <w:ind w:right="240" w:firstLine="482" w:firstLineChars="200"/>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1.2 </w:t>
      </w:r>
      <w:r>
        <w:rPr>
          <w:rFonts w:hint="eastAsia" w:ascii="黑体" w:hAnsi="黑体" w:eastAsia="黑体" w:cs="楷体_GB2312"/>
          <w:b/>
          <w:color w:val="auto"/>
          <w:sz w:val="24"/>
          <w:highlight w:val="none"/>
          <w:lang w:val="zh-CN"/>
        </w:rPr>
        <w:t>谈判文件的法律适用及法律效力</w:t>
      </w:r>
    </w:p>
    <w:p w14:paraId="7DF73857">
      <w:pPr>
        <w:adjustRightInd w:val="0"/>
        <w:snapToGrid w:val="0"/>
        <w:spacing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1.2.1</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所述内容，仅适用于本次项目采购。</w:t>
      </w:r>
    </w:p>
    <w:p w14:paraId="2EAC7BF8">
      <w:pPr>
        <w:adjustRightInd w:val="0"/>
        <w:snapToGrid w:val="0"/>
        <w:spacing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1.2.2 </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的修改性文件、补充文件、澄清文件或说明具有同等法律效力。</w:t>
      </w:r>
    </w:p>
    <w:p w14:paraId="3573DD5D">
      <w:pPr>
        <w:adjustRightInd w:val="0"/>
        <w:snapToGrid w:val="0"/>
        <w:spacing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1.2.3 </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适用于并执行《政府采购法》和其它相关的法律、法规。</w:t>
      </w:r>
    </w:p>
    <w:p w14:paraId="28077876">
      <w:pPr>
        <w:adjustRightInd w:val="0"/>
        <w:snapToGrid w:val="0"/>
        <w:spacing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1.2.4 </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的解释权属采购人及代理机构。</w:t>
      </w:r>
    </w:p>
    <w:p w14:paraId="7B9A24F6">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1.3 </w:t>
      </w:r>
      <w:r>
        <w:rPr>
          <w:rFonts w:hint="eastAsia" w:ascii="黑体" w:hAnsi="黑体" w:eastAsia="黑体" w:cs="楷体_GB2312"/>
          <w:b/>
          <w:color w:val="auto"/>
          <w:sz w:val="24"/>
          <w:highlight w:val="none"/>
          <w:lang w:val="zh-CN"/>
        </w:rPr>
        <w:t>合格的投标人</w:t>
      </w:r>
    </w:p>
    <w:p w14:paraId="713D6659">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1.3.1 </w:t>
      </w:r>
      <w:r>
        <w:rPr>
          <w:rFonts w:hint="eastAsia" w:ascii="宋体" w:hAnsi="宋体" w:cs="楷体_GB2312"/>
          <w:color w:val="auto"/>
          <w:sz w:val="24"/>
          <w:highlight w:val="none"/>
          <w:lang w:val="zh-CN"/>
        </w:rPr>
        <w:t>凡符合谈判文件规定，承认本谈判文件所有内容的投标人为合格的投标人。</w:t>
      </w:r>
    </w:p>
    <w:p w14:paraId="1F43EED1">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1.3.2 </w:t>
      </w:r>
      <w:r>
        <w:rPr>
          <w:rFonts w:hint="eastAsia" w:ascii="宋体" w:hAnsi="宋体" w:cs="楷体_GB2312"/>
          <w:color w:val="auto"/>
          <w:sz w:val="24"/>
          <w:highlight w:val="none"/>
          <w:lang w:val="zh-CN"/>
        </w:rPr>
        <w:t>单位负责人为同一人或者存在直接控股、管理关系的不同供应商，不得参加同一合同项下的政府采购活动。</w:t>
      </w:r>
    </w:p>
    <w:p w14:paraId="7FB4988F">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1.3.3 </w:t>
      </w:r>
      <w:r>
        <w:rPr>
          <w:rFonts w:hint="eastAsia" w:ascii="宋体" w:hAnsi="宋体" w:cs="楷体_GB2312"/>
          <w:color w:val="auto"/>
          <w:sz w:val="24"/>
          <w:highlight w:val="none"/>
          <w:lang w:val="zh-CN"/>
        </w:rPr>
        <w:t>为采购项目提供整体设计、规范编制或者项目管理、监理、检测等服务的供应商，不得再参加该采购项目的其他采购活动。</w:t>
      </w:r>
    </w:p>
    <w:p w14:paraId="5AC90EF6">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1.3.4 </w:t>
      </w:r>
      <w:r>
        <w:rPr>
          <w:rFonts w:hint="eastAsia" w:ascii="宋体" w:hAnsi="宋体" w:cs="楷体_GB2312"/>
          <w:color w:val="auto"/>
          <w:sz w:val="24"/>
          <w:highlight w:val="none"/>
          <w:lang w:val="zh-CN"/>
        </w:rPr>
        <w:t>投标人应遵守国家法律、法规和谈判文件的规定。</w:t>
      </w:r>
    </w:p>
    <w:p w14:paraId="0C012C79">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1.4</w:t>
      </w:r>
      <w:r>
        <w:rPr>
          <w:rFonts w:hint="eastAsia" w:ascii="黑体" w:hAnsi="黑体" w:eastAsia="黑体" w:cs="楷体_GB2312"/>
          <w:b/>
          <w:color w:val="auto"/>
          <w:sz w:val="24"/>
          <w:highlight w:val="none"/>
          <w:lang w:val="zh-CN"/>
        </w:rPr>
        <w:t>　联合体</w:t>
      </w:r>
    </w:p>
    <w:p w14:paraId="768640A6">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黑体" w:hAnsi="黑体" w:eastAsia="黑体" w:cs="楷体_GB2312"/>
          <w:b/>
          <w:color w:val="auto"/>
          <w:sz w:val="24"/>
          <w:highlight w:val="none"/>
          <w:lang w:val="zh-CN"/>
        </w:rPr>
        <w:t>如</w:t>
      </w:r>
      <w:r>
        <w:rPr>
          <w:rFonts w:hint="eastAsia" w:ascii="宋体" w:hAnsi="宋体" w:cs="楷体_GB2312"/>
          <w:color w:val="auto"/>
          <w:sz w:val="24"/>
          <w:highlight w:val="none"/>
          <w:lang w:val="zh-CN"/>
        </w:rPr>
        <w:t>投标人须知前附表规定接受联合体投标的，应遵守以下规定：</w:t>
      </w:r>
    </w:p>
    <w:p w14:paraId="5B31F86B">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w:t>
      </w:r>
      <w:r>
        <w:rPr>
          <w:rFonts w:ascii="宋体" w:cs="楷体_GB2312"/>
          <w:color w:val="auto"/>
          <w:sz w:val="24"/>
          <w:highlight w:val="none"/>
          <w:lang w:val="zh-CN"/>
        </w:rPr>
        <w:t>1</w:t>
      </w:r>
      <w:r>
        <w:rPr>
          <w:rFonts w:hint="eastAsia" w:ascii="宋体" w:cs="楷体_GB2312"/>
          <w:color w:val="auto"/>
          <w:sz w:val="24"/>
          <w:highlight w:val="none"/>
          <w:lang w:val="zh-CN"/>
        </w:rPr>
        <w:t>）两个以上的自然人、法人或者其他组织组成一个联合体，以一个供应商的身份共同参加政府采购活动的，应当对所有的联合体成员进行信用记录查询，联合体成员存在不良信用记录的，视同联合体存在不良信用记录。</w:t>
      </w:r>
    </w:p>
    <w:p w14:paraId="31D7DADF">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）两个以上供应商可以组成一个投标联合体，以一个投标人的身份投标，但必须确定其中一个单位为投标的全权代表参加投标活动，并承担投标及履约中应承担的全部责任和义务。</w:t>
      </w:r>
    </w:p>
    <w:p w14:paraId="198AB45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以联合体形式参加投标的，应符投标人须知前附表的要求，联合体各方均应当符合政府采购法第二十二条第一款规定的条件，联合体各方均应当具备承担采购项目（标段&lt;包&gt;）的相应能力、具备规定的相应资格条件。</w:t>
      </w:r>
    </w:p>
    <w:p w14:paraId="6E225030">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）联合体中有同类资质的供应商按照联合体分工承担相同工作的，应当按照资质等级较低的供应商确定资质等级。</w:t>
      </w:r>
    </w:p>
    <w:p w14:paraId="1AC045CB">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）联合体各方之间应当签订联合投标协议，明确约定联合体各方承担的工作和相应的责任，并将联合投标协议连同投标文件一并提交采购代理机构。</w:t>
      </w:r>
    </w:p>
    <w:p w14:paraId="0834363F">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）联合体各方签订联合投标协议后，不得再以自己名义单独在同一项目中投标，也不得组成新的联合体参加同一项目投标。</w:t>
      </w:r>
    </w:p>
    <w:p w14:paraId="785E7A94">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）联合体中标（成交）的，联合体各方应当共同与采购人签订合同，就中标（成交）项目（标段&lt;包&gt;）向采购人承担连带责任。</w:t>
      </w:r>
    </w:p>
    <w:p w14:paraId="2C293AA1">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（8）预留中小企业份额项目中，</w:t>
      </w:r>
      <w:r>
        <w:rPr>
          <w:rFonts w:hint="eastAsia" w:ascii="宋体" w:hAnsi="宋体"/>
          <w:color w:val="auto"/>
          <w:sz w:val="24"/>
          <w:szCs w:val="24"/>
          <w:highlight w:val="none"/>
        </w:rPr>
        <w:t>组成联合体的中小企业与联合体内其他企业不得存在直接控股、管理关系。</w:t>
      </w:r>
    </w:p>
    <w:p w14:paraId="437EF514">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hint="eastAsia" w:ascii="黑体" w:hAnsi="黑体" w:eastAsia="黑体" w:cs="楷体_GB2312"/>
          <w:b/>
          <w:color w:val="auto"/>
          <w:sz w:val="24"/>
          <w:highlight w:val="none"/>
          <w:lang w:val="zh-CN"/>
        </w:rPr>
        <w:t>1.5  知识产权</w:t>
      </w:r>
    </w:p>
    <w:p w14:paraId="2B2C36F0">
      <w:pPr>
        <w:ind w:firstLine="480" w:firstLineChars="200"/>
        <w:rPr>
          <w:rFonts w:ascii="宋体" w:hAnsi="宋体"/>
          <w:color w:val="auto"/>
          <w:sz w:val="24"/>
          <w:highlight w:val="none"/>
        </w:rPr>
      </w:pPr>
      <w:r>
        <w:rPr>
          <w:rFonts w:hint="eastAsia" w:ascii="宋体" w:hAnsi="宋体" w:cs="楷体_GB2312"/>
          <w:color w:val="auto"/>
          <w:sz w:val="24"/>
          <w:highlight w:val="none"/>
          <w:lang w:val="zh-CN"/>
        </w:rPr>
        <w:t>1.5.1 供应商须保证采购人使用投标货物、资料、技术、服务或其任何一部分时，享有不受限制的无偿使用权，不会产生因第三方提出侵犯其专利权、商标权或其它知识产权而引起的法律或经济纠纷。</w:t>
      </w:r>
      <w:r>
        <w:rPr>
          <w:rFonts w:hint="eastAsia" w:ascii="宋体" w:hAnsi="宋体"/>
          <w:color w:val="auto"/>
          <w:sz w:val="24"/>
          <w:highlight w:val="none"/>
        </w:rPr>
        <w:t>如因专利权、商标权或其它知识产权而引起法律和经济纠纷，由供应商承担所有相关责任。</w:t>
      </w:r>
    </w:p>
    <w:p w14:paraId="4136F0C9">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如供应商不拥有相应的知识产权，则在投标报价中必须包括合法获取该知识产权的一切相关费用。如因此导致采购人损失的，供应商须承担全部赔偿责任。</w:t>
      </w:r>
    </w:p>
    <w:p w14:paraId="2418169D">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1.5.2供应商将在采购项目实施过程中采用自有或者第三方知识成果的，应当在投标文件中载明，并提供相关知识产权证明文件。使用该知识成果后，供应商需提供开发接口和开发手册等技术资料，并承诺提供无限期支持，采购人享有使用权（含采购人委托第三方在该项目后续开发的使用权）。</w:t>
      </w:r>
    </w:p>
    <w:p w14:paraId="211067E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除非谈判文件特别规定，采购人享有本项目实施过程中产生的知识成果及知识产权。</w:t>
      </w:r>
    </w:p>
    <w:p w14:paraId="075B4F11">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6投标费用</w:t>
      </w:r>
    </w:p>
    <w:p w14:paraId="03BF7FD8">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无论投标过程中的做法和结果如何，无论何种原因的谈判失败废标或终止，投标人应自行承担所有与准备和参加投标有关的全部费用（类比商业采购中的客户洽谈费用），采购代理机构在任何情况下均无义务和责任承担投标人的任何费用。</w:t>
      </w:r>
    </w:p>
    <w:p w14:paraId="1A4C4497">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7保密</w:t>
      </w:r>
    </w:p>
    <w:p w14:paraId="65C663A8">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参与竞争性谈判活动的各方应对谈判文件和投标文件中的商业和技术等秘密保密，投标人应在投标文件中对需保密事项予以书面声明，否则视为非保密事项。</w:t>
      </w:r>
    </w:p>
    <w:p w14:paraId="53FD0E6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依据政府采购成交结果及合同公告规定，成交（合同）标的名称、规格型号、单价及成交（合同）金额等内容不得作为商业秘密。</w:t>
      </w:r>
    </w:p>
    <w:p w14:paraId="7469809F">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8语言文字</w:t>
      </w:r>
    </w:p>
    <w:p w14:paraId="0917EAA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专用术语外，与竞争性谈判有关的语言均使用中文。必要时专用术语应附有中文注释。如果投标文件或与投标有关的其它文件、信件及来往函电以其它语言书写，投标人应将其译成中文，并对中文译稿的真实、准确、完整承担责任。</w:t>
      </w:r>
    </w:p>
    <w:p w14:paraId="63188C44">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9计量单位</w:t>
      </w:r>
    </w:p>
    <w:p w14:paraId="1904708E">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所有计量均采用中华人民共和国法定计量单位。</w:t>
      </w:r>
    </w:p>
    <w:p w14:paraId="0D16FFCB">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10踏勘现场</w:t>
      </w:r>
    </w:p>
    <w:p w14:paraId="64159988">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投标人踏勘现场发生的费用自理，投标人自行负责在踏勘现场中所发生的人员伤亡和财产损失。</w:t>
      </w:r>
    </w:p>
    <w:p w14:paraId="3FE4945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投标人须知前附表规定组织踏勘现场的，采购人及代理机构按投标人须知前附表规定的时间、地点组织投标人踏勘项目现场。采购人及代理机构在踏勘现场中介绍的交验安装条件和相关的周边环境情况，供投标人在编制投标文件时参考，采购人及代理机构不对投标人据此作出的判断和决策负责。</w:t>
      </w:r>
    </w:p>
    <w:p w14:paraId="1F7E487E">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投标人须知前附表规定不组织踏勘现场的，谈判文件不单独提供交验地自然环境、气候条件、交验安装条件等情况说明，投标人被视为熟悉前述与履行合同有关的一切情况，投标人可自行踏勘现场并自行了解相关情况。</w:t>
      </w:r>
    </w:p>
    <w:p w14:paraId="7E042F06">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1投标预备会</w:t>
      </w:r>
    </w:p>
    <w:p w14:paraId="04DED3C9">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投标人须知前附表规定召开投标预备会的，采购人及代理机构按投标人须知前附表规定的时间和地点召开投标预备会，澄清投标人提出的问题。</w:t>
      </w:r>
    </w:p>
    <w:p w14:paraId="493B5FF3">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投标人应在投标人须知前附表规定的时间前，以书面形式将提出的问题送达采购人及代理机构，以便采购人及代理机构在会议期间澄清。</w:t>
      </w:r>
    </w:p>
    <w:p w14:paraId="7F598AA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投标预备会后，采购人及代理机构在投标人须知前附表规定的时间内，将对投标人所提问题的澄清，以本章</w:t>
      </w:r>
      <w:r>
        <w:rPr>
          <w:rFonts w:ascii="宋体" w:hAnsi="宋体" w:cs="楷体_GB2312"/>
          <w:color w:val="auto"/>
          <w:sz w:val="24"/>
          <w:highlight w:val="none"/>
          <w:lang w:val="zh-CN"/>
        </w:rPr>
        <w:t>2.3.2</w:t>
      </w:r>
      <w:r>
        <w:rPr>
          <w:rFonts w:hint="eastAsia" w:ascii="宋体" w:hAnsi="宋体" w:cs="楷体_GB2312"/>
          <w:color w:val="auto"/>
          <w:sz w:val="24"/>
          <w:highlight w:val="none"/>
          <w:lang w:val="zh-CN"/>
        </w:rPr>
        <w:t>项方式通告潜在投标人。该澄清内容为谈判文件的组成部分。</w:t>
      </w:r>
    </w:p>
    <w:p w14:paraId="44DFD9AC">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2 分包</w:t>
      </w:r>
    </w:p>
    <w:p w14:paraId="52CAB9F7">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投标人拟在成交后将成交项目</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标段&lt;包&gt;</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的部分非主体、非关键性工作进行分包的，应符合投标人须知前附表规定的分包内容、分包金额和接受分包的第三人资质要求等限制性条件。</w:t>
      </w:r>
    </w:p>
    <w:p w14:paraId="0EB46E4E">
      <w:pPr>
        <w:autoSpaceDE w:val="0"/>
        <w:autoSpaceDN w:val="0"/>
        <w:adjustRightInd w:val="0"/>
        <w:snapToGrid w:val="0"/>
        <w:spacing w:beforeLines="50" w:line="300" w:lineRule="auto"/>
        <w:ind w:firstLine="539"/>
        <w:rPr>
          <w:rFonts w:ascii="宋体" w:hAnsi="宋体"/>
          <w:color w:val="auto"/>
          <w:sz w:val="24"/>
          <w:szCs w:val="24"/>
          <w:highlight w:val="none"/>
        </w:rPr>
      </w:pPr>
      <w:r>
        <w:rPr>
          <w:rFonts w:hint="eastAsia" w:ascii="宋体" w:hAnsi="宋体" w:cs="楷体_GB2312"/>
          <w:color w:val="auto"/>
          <w:sz w:val="24"/>
          <w:highlight w:val="none"/>
          <w:lang w:val="zh-CN"/>
        </w:rPr>
        <w:t>预留中小企业份额项目中，</w:t>
      </w:r>
      <w:r>
        <w:rPr>
          <w:rFonts w:hint="eastAsia" w:ascii="宋体" w:hAnsi="宋体"/>
          <w:color w:val="auto"/>
          <w:sz w:val="24"/>
          <w:szCs w:val="24"/>
          <w:highlight w:val="none"/>
        </w:rPr>
        <w:t>接受分包合同的中小企业与分包企业之间不得存在直接控股、管理关系。</w:t>
      </w:r>
    </w:p>
    <w:p w14:paraId="09821A67">
      <w:pPr>
        <w:autoSpaceDE w:val="0"/>
        <w:autoSpaceDN w:val="0"/>
        <w:adjustRightInd w:val="0"/>
        <w:snapToGrid w:val="0"/>
        <w:spacing w:beforeLines="50" w:line="300" w:lineRule="auto"/>
        <w:ind w:firstLine="539"/>
        <w:rPr>
          <w:rFonts w:ascii="宋体" w:cs="楷体_GB2312"/>
          <w:color w:val="auto"/>
          <w:sz w:val="24"/>
          <w:highlight w:val="none"/>
        </w:rPr>
      </w:pPr>
      <w:r>
        <w:rPr>
          <w:rFonts w:hint="eastAsia" w:ascii="宋体" w:cs="楷体_GB2312"/>
          <w:color w:val="auto"/>
          <w:sz w:val="24"/>
          <w:highlight w:val="none"/>
        </w:rPr>
        <w:t>依法享受扶持政策获得政府采购合同的，小微企业不得将合同分包给大中型企业，中型企业不得将合同分包给大型企业。</w:t>
      </w:r>
    </w:p>
    <w:p w14:paraId="0E516549">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3 偏离</w:t>
      </w:r>
    </w:p>
    <w:p w14:paraId="1402099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谈判文件允许投标文件偏离谈判文件某些要求的，偏离应当符合谈判文件规定的偏离范围和幅度。</w:t>
      </w:r>
    </w:p>
    <w:p w14:paraId="243D0D8E">
      <w:pPr>
        <w:autoSpaceDE w:val="0"/>
        <w:autoSpaceDN w:val="0"/>
        <w:adjustRightInd w:val="0"/>
        <w:snapToGrid w:val="0"/>
        <w:spacing w:beforeLines="50" w:line="300" w:lineRule="auto"/>
        <w:ind w:firstLine="539"/>
        <w:rPr>
          <w:rFonts w:ascii="黑体" w:hAnsi="黑体" w:eastAsia="黑体" w:cs="楷体_GB2312"/>
          <w:b/>
          <w:bCs/>
          <w:color w:val="auto"/>
          <w:sz w:val="28"/>
          <w:szCs w:val="28"/>
          <w:highlight w:val="none"/>
          <w:lang w:val="zh-CN"/>
        </w:rPr>
      </w:pPr>
    </w:p>
    <w:p w14:paraId="55B530DC">
      <w:pPr>
        <w:autoSpaceDE w:val="0"/>
        <w:autoSpaceDN w:val="0"/>
        <w:adjustRightInd w:val="0"/>
        <w:snapToGrid w:val="0"/>
        <w:spacing w:beforeLines="50" w:line="300" w:lineRule="auto"/>
        <w:ind w:firstLine="539"/>
        <w:outlineLvl w:val="1"/>
        <w:rPr>
          <w:rFonts w:ascii="黑体" w:hAnsi="黑体" w:eastAsia="黑体" w:cs="楷体_GB2312"/>
          <w:b/>
          <w:bCs/>
          <w:color w:val="auto"/>
          <w:sz w:val="28"/>
          <w:szCs w:val="28"/>
          <w:highlight w:val="none"/>
          <w:lang w:val="zh-CN"/>
        </w:rPr>
      </w:pPr>
      <w:bookmarkStart w:id="27" w:name="_Toc209083631"/>
      <w:r>
        <w:rPr>
          <w:rFonts w:ascii="黑体" w:hAnsi="黑体" w:eastAsia="黑体" w:cs="楷体_GB2312"/>
          <w:b/>
          <w:bCs/>
          <w:color w:val="auto"/>
          <w:sz w:val="28"/>
          <w:szCs w:val="28"/>
          <w:highlight w:val="none"/>
          <w:lang w:val="zh-CN"/>
        </w:rPr>
        <w:t xml:space="preserve">2. </w:t>
      </w:r>
      <w:r>
        <w:rPr>
          <w:rFonts w:hint="eastAsia" w:ascii="黑体" w:hAnsi="黑体" w:eastAsia="黑体" w:cs="楷体_GB2312"/>
          <w:b/>
          <w:bCs/>
          <w:color w:val="auto"/>
          <w:sz w:val="28"/>
          <w:szCs w:val="28"/>
          <w:highlight w:val="none"/>
          <w:lang w:val="zh-CN"/>
        </w:rPr>
        <w:t>谈判文件</w:t>
      </w:r>
      <w:bookmarkEnd w:id="27"/>
    </w:p>
    <w:p w14:paraId="769A1B2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2.1</w:t>
      </w:r>
      <w:r>
        <w:rPr>
          <w:rFonts w:hint="eastAsia" w:ascii="黑体" w:hAnsi="黑体" w:eastAsia="黑体" w:cs="楷体_GB2312"/>
          <w:b/>
          <w:color w:val="auto"/>
          <w:sz w:val="24"/>
          <w:highlight w:val="none"/>
          <w:lang w:val="zh-CN"/>
        </w:rPr>
        <w:t>谈判文件的组成</w:t>
      </w:r>
      <w:r>
        <w:rPr>
          <w:rFonts w:hint="eastAsia" w:ascii="宋体" w:hAnsi="宋体" w:cs="楷体_GB2312"/>
          <w:color w:val="auto"/>
          <w:sz w:val="24"/>
          <w:highlight w:val="none"/>
          <w:lang w:val="zh-CN"/>
        </w:rPr>
        <w:t>：</w:t>
      </w:r>
    </w:p>
    <w:p w14:paraId="07C0F26C">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2.1.1 </w:t>
      </w:r>
      <w:r>
        <w:rPr>
          <w:rFonts w:hint="eastAsia" w:ascii="宋体" w:hAnsi="宋体" w:cs="楷体_GB2312"/>
          <w:color w:val="auto"/>
          <w:sz w:val="24"/>
          <w:highlight w:val="none"/>
          <w:lang w:val="zh-CN"/>
        </w:rPr>
        <w:t>谈判文件用以阐明采购项目的内容、程序和合同主要条款。谈判文件由下述部分组成：</w:t>
      </w:r>
    </w:p>
    <w:p w14:paraId="0F00D0C6">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）谈判公告</w:t>
      </w:r>
    </w:p>
    <w:p w14:paraId="046EF1BF">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）采购项目及技术、服务要求</w:t>
      </w:r>
    </w:p>
    <w:p w14:paraId="2283DC23">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）投标人须知</w:t>
      </w:r>
    </w:p>
    <w:p w14:paraId="24839BD8">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）评审办法</w:t>
      </w:r>
    </w:p>
    <w:p w14:paraId="6D1465EA">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）合同主要条款</w:t>
      </w:r>
    </w:p>
    <w:p w14:paraId="02DDFB38">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）投标文件格式</w:t>
      </w:r>
    </w:p>
    <w:p w14:paraId="610B1B7C">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2.1.2 </w:t>
      </w:r>
      <w:r>
        <w:rPr>
          <w:rFonts w:hint="eastAsia" w:ascii="宋体" w:hAnsi="宋体" w:cs="楷体_GB2312"/>
          <w:color w:val="auto"/>
          <w:sz w:val="24"/>
          <w:highlight w:val="none"/>
          <w:lang w:val="zh-CN"/>
        </w:rPr>
        <w:t>根据本章第</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1款、第</w:t>
      </w:r>
      <w:r>
        <w:rPr>
          <w:rFonts w:ascii="宋体" w:hAnsi="宋体" w:cs="楷体_GB2312"/>
          <w:color w:val="auto"/>
          <w:sz w:val="24"/>
          <w:highlight w:val="none"/>
          <w:lang w:val="zh-CN"/>
        </w:rPr>
        <w:t>2.2</w:t>
      </w:r>
      <w:r>
        <w:rPr>
          <w:rFonts w:hint="eastAsia" w:ascii="宋体" w:hAnsi="宋体" w:cs="楷体_GB2312"/>
          <w:color w:val="auto"/>
          <w:sz w:val="24"/>
          <w:highlight w:val="none"/>
          <w:lang w:val="zh-CN"/>
        </w:rPr>
        <w:t>款和第</w:t>
      </w:r>
      <w:r>
        <w:rPr>
          <w:rFonts w:ascii="宋体" w:hAnsi="宋体" w:cs="楷体_GB2312"/>
          <w:color w:val="auto"/>
          <w:sz w:val="24"/>
          <w:highlight w:val="none"/>
          <w:lang w:val="zh-CN"/>
        </w:rPr>
        <w:t>2.3</w:t>
      </w:r>
      <w:r>
        <w:rPr>
          <w:rFonts w:hint="eastAsia" w:ascii="宋体" w:hAnsi="宋体" w:cs="楷体_GB2312"/>
          <w:color w:val="auto"/>
          <w:sz w:val="24"/>
          <w:highlight w:val="none"/>
          <w:lang w:val="zh-CN"/>
        </w:rPr>
        <w:t>款、对谈判文件的澄清、修改、补充书构成谈判文件的组成部分，并取代谈判文件中被澄清、修改处，对所有投标人均有约束力。</w:t>
      </w:r>
    </w:p>
    <w:p w14:paraId="2C171156">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2.1.3 </w:t>
      </w:r>
      <w:r>
        <w:rPr>
          <w:rFonts w:hint="eastAsia" w:ascii="宋体" w:hAnsi="宋体" w:cs="楷体_GB2312"/>
          <w:color w:val="auto"/>
          <w:sz w:val="24"/>
          <w:highlight w:val="none"/>
          <w:lang w:val="zh-CN"/>
        </w:rPr>
        <w:t>当谈判文件、谈判文件的澄清、修改、补充等在同一内容的表述上不一致时，以最后发出（发布）的文件为准。</w:t>
      </w:r>
    </w:p>
    <w:p w14:paraId="04C33EF0">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2.1.4 </w:t>
      </w:r>
      <w:r>
        <w:rPr>
          <w:rFonts w:hint="eastAsia" w:ascii="宋体" w:hAnsi="宋体" w:cs="楷体_GB2312"/>
          <w:color w:val="auto"/>
          <w:sz w:val="24"/>
          <w:highlight w:val="none"/>
          <w:lang w:val="zh-CN"/>
        </w:rPr>
        <w:t>投标人与任何人的口头协议不影响《谈判文件》的任何条款和内容。</w:t>
      </w:r>
    </w:p>
    <w:p w14:paraId="73F5EDBF">
      <w:pPr>
        <w:autoSpaceDE w:val="0"/>
        <w:autoSpaceDN w:val="0"/>
        <w:adjustRightInd w:val="0"/>
        <w:snapToGrid w:val="0"/>
        <w:spacing w:beforeLines="50" w:line="300" w:lineRule="auto"/>
        <w:ind w:firstLine="539"/>
        <w:rPr>
          <w:rFonts w:ascii="宋体" w:cs="楷体_GB2312"/>
          <w:color w:val="auto"/>
          <w:sz w:val="24"/>
          <w:highlight w:val="none"/>
        </w:rPr>
      </w:pPr>
      <w:r>
        <w:rPr>
          <w:rFonts w:ascii="宋体" w:hAnsi="宋体" w:cs="楷体_GB2312"/>
          <w:color w:val="auto"/>
          <w:sz w:val="24"/>
          <w:highlight w:val="none"/>
        </w:rPr>
        <w:t xml:space="preserve">2.1.5 </w:t>
      </w:r>
      <w:r>
        <w:rPr>
          <w:rFonts w:hint="eastAsia" w:ascii="宋体" w:hAnsi="宋体" w:cs="楷体_GB2312"/>
          <w:color w:val="auto"/>
          <w:sz w:val="24"/>
          <w:highlight w:val="none"/>
        </w:rPr>
        <w:t>投标人应仔细阅读和检查谈判文件的全部内容是否齐全，如发现缺页或附件不全等遗漏，应及时向采购代理机构提出并索取补齐，否则责任及风险自负。</w:t>
      </w:r>
    </w:p>
    <w:p w14:paraId="09E52B63">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2.2 </w:t>
      </w:r>
      <w:r>
        <w:rPr>
          <w:rFonts w:hint="eastAsia" w:ascii="黑体" w:hAnsi="黑体" w:eastAsia="黑体" w:cs="楷体_GB2312"/>
          <w:b/>
          <w:color w:val="auto"/>
          <w:sz w:val="24"/>
          <w:highlight w:val="none"/>
          <w:lang w:val="zh-CN"/>
        </w:rPr>
        <w:t>谈判文件的澄清</w:t>
      </w:r>
    </w:p>
    <w:p w14:paraId="09E68C7F">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2.2.1 </w:t>
      </w:r>
      <w:r>
        <w:rPr>
          <w:rFonts w:hint="eastAsia" w:ascii="宋体" w:hAnsi="宋体" w:cs="楷体_GB2312"/>
          <w:color w:val="auto"/>
          <w:sz w:val="24"/>
          <w:highlight w:val="none"/>
          <w:lang w:val="zh-CN"/>
        </w:rPr>
        <w:t>合规获取谈判文件的所有潜在投标人对谈判文件如有需澄清的疑问，应在投标人须知前附表规定的时间内按谈判公告中载明的地址以纸质书面形式通知到采购代理机构。在规定的时间内未提出疑问的，将视为对谈判文件的完全认可。</w:t>
      </w:r>
    </w:p>
    <w:p w14:paraId="503F0A8E">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2.2.2 </w:t>
      </w:r>
      <w:r>
        <w:rPr>
          <w:rFonts w:hint="eastAsia" w:ascii="宋体" w:hAnsi="宋体" w:cs="楷体_GB2312"/>
          <w:color w:val="auto"/>
          <w:sz w:val="24"/>
          <w:highlight w:val="none"/>
          <w:lang w:val="zh-CN"/>
        </w:rPr>
        <w:t>采购代理机构对潜在投标人在规定的时间内提出的疑问，将视情况以书面形式予以答复，并在其认为必要时，将不标明查询来源的书面答复，在“谈判公告”所述媒体通告所有潜在投标人。</w:t>
      </w:r>
    </w:p>
    <w:p w14:paraId="1C6C4B4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2.2.3 </w:t>
      </w:r>
      <w:r>
        <w:rPr>
          <w:rFonts w:hint="eastAsia" w:ascii="宋体" w:hAnsi="宋体" w:cs="楷体_GB2312"/>
          <w:color w:val="auto"/>
          <w:sz w:val="24"/>
          <w:highlight w:val="none"/>
          <w:lang w:val="zh-CN"/>
        </w:rPr>
        <w:t>谈判文件中如有不符合国家有关强制性规定、不符合国家标准及行业标准的，投标人应在投标阶段或成交实施阶段予以纠正或尽提醒义务。如作为有经验的投标人（成交供应商）应当知道而未尽提醒义务的，执行指令而造成的损失及风险由投标人（成交供应商）承担。</w:t>
      </w:r>
    </w:p>
    <w:p w14:paraId="30A6109D">
      <w:pPr>
        <w:adjustRightInd w:val="0"/>
        <w:snapToGrid w:val="0"/>
        <w:spacing w:beforeLines="50" w:line="300" w:lineRule="auto"/>
        <w:ind w:firstLine="480" w:firstLineChars="200"/>
        <w:jc w:val="left"/>
        <w:rPr>
          <w:rFonts w:ascii="宋体" w:hAnsi="宋体" w:cs="楷体_GB2312"/>
          <w:color w:val="auto"/>
          <w:sz w:val="24"/>
          <w:highlight w:val="none"/>
          <w:lang w:val="zh-CN"/>
        </w:rPr>
      </w:pPr>
      <w:r>
        <w:rPr>
          <w:rFonts w:ascii="宋体" w:hAnsi="宋体" w:cs="楷体_GB2312"/>
          <w:color w:val="auto"/>
          <w:sz w:val="24"/>
          <w:highlight w:val="none"/>
          <w:lang w:val="zh-CN"/>
        </w:rPr>
        <w:t>2.2.4</w:t>
      </w:r>
      <w:r>
        <w:rPr>
          <w:rFonts w:hint="eastAsia" w:ascii="宋体" w:hAnsi="宋体" w:cs="楷体_GB2312"/>
          <w:color w:val="auto"/>
          <w:sz w:val="24"/>
          <w:highlight w:val="none"/>
          <w:lang w:val="zh-CN"/>
        </w:rPr>
        <w:t>采购代理机构可视情况在投标截止前答疑。</w:t>
      </w:r>
    </w:p>
    <w:p w14:paraId="6B0FBE8A">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2.3 </w:t>
      </w:r>
      <w:r>
        <w:rPr>
          <w:rFonts w:hint="eastAsia" w:ascii="黑体" w:hAnsi="黑体" w:eastAsia="黑体" w:cs="楷体_GB2312"/>
          <w:b/>
          <w:color w:val="auto"/>
          <w:sz w:val="24"/>
          <w:highlight w:val="none"/>
          <w:lang w:val="zh-CN"/>
        </w:rPr>
        <w:t>谈判文件的澄清、修改、补充</w:t>
      </w:r>
    </w:p>
    <w:p w14:paraId="2A7E68CA">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2.3.1 </w:t>
      </w:r>
      <w:r>
        <w:rPr>
          <w:rFonts w:hint="eastAsia" w:ascii="宋体" w:hAnsi="宋体" w:cs="楷体_GB2312"/>
          <w:color w:val="auto"/>
          <w:sz w:val="24"/>
          <w:highlight w:val="none"/>
          <w:lang w:val="zh-CN"/>
        </w:rPr>
        <w:t>采购人、代理机构在投标截止时间前有权澄清修改、补充已发售的谈判文件。</w:t>
      </w:r>
    </w:p>
    <w:p w14:paraId="5270BBDF">
      <w:pPr>
        <w:autoSpaceDE w:val="0"/>
        <w:autoSpaceDN w:val="0"/>
        <w:adjustRightInd w:val="0"/>
        <w:snapToGrid w:val="0"/>
        <w:spacing w:beforeLines="50" w:line="300" w:lineRule="auto"/>
        <w:ind w:firstLine="539"/>
        <w:rPr>
          <w:rFonts w:ascii="宋体" w:hAnsi="宋体"/>
          <w:color w:val="auto"/>
          <w:sz w:val="24"/>
          <w:highlight w:val="none"/>
        </w:rPr>
      </w:pPr>
      <w:r>
        <w:rPr>
          <w:rFonts w:ascii="宋体" w:hAnsi="宋体" w:cs="楷体_GB2312"/>
          <w:color w:val="auto"/>
          <w:sz w:val="24"/>
          <w:highlight w:val="none"/>
          <w:lang w:val="zh-CN"/>
        </w:rPr>
        <w:t>2.3.</w:t>
      </w:r>
      <w:r>
        <w:rPr>
          <w:rFonts w:ascii="宋体" w:hAnsi="宋体"/>
          <w:color w:val="auto"/>
          <w:sz w:val="24"/>
          <w:highlight w:val="none"/>
        </w:rPr>
        <w:t xml:space="preserve">2 </w:t>
      </w:r>
      <w:r>
        <w:rPr>
          <w:rFonts w:hint="eastAsia" w:ascii="宋体" w:hAnsi="宋体"/>
          <w:color w:val="auto"/>
          <w:sz w:val="24"/>
          <w:highlight w:val="none"/>
        </w:rPr>
        <w:t>谈判过程中对谈判文件的变动见第四章评审办法</w:t>
      </w:r>
      <w:r>
        <w:rPr>
          <w:rFonts w:ascii="宋体" w:hAnsi="宋体"/>
          <w:color w:val="auto"/>
          <w:sz w:val="24"/>
          <w:highlight w:val="none"/>
        </w:rPr>
        <w:t>3.5</w:t>
      </w:r>
      <w:r>
        <w:rPr>
          <w:rFonts w:hint="eastAsia" w:ascii="宋体" w:hAnsi="宋体"/>
          <w:color w:val="auto"/>
          <w:sz w:val="24"/>
          <w:highlight w:val="none"/>
        </w:rPr>
        <w:t>款谈判规则。</w:t>
      </w:r>
    </w:p>
    <w:p w14:paraId="06CE5A2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2.4 </w:t>
      </w:r>
      <w:r>
        <w:rPr>
          <w:rFonts w:hint="eastAsia" w:ascii="黑体" w:hAnsi="黑体" w:eastAsia="黑体" w:cs="楷体_GB2312"/>
          <w:b/>
          <w:color w:val="auto"/>
          <w:sz w:val="24"/>
          <w:highlight w:val="none"/>
          <w:lang w:val="zh-CN"/>
        </w:rPr>
        <w:t>谈判文件的澄清、修改、补充的</w:t>
      </w:r>
      <w:r>
        <w:rPr>
          <w:rFonts w:ascii="黑体" w:hAnsi="黑体" w:eastAsia="黑体" w:cs="楷体_GB2312"/>
          <w:b/>
          <w:color w:val="auto"/>
          <w:sz w:val="24"/>
          <w:highlight w:val="none"/>
          <w:lang w:val="zh-CN"/>
        </w:rPr>
        <w:t>通知</w:t>
      </w:r>
      <w:r>
        <w:rPr>
          <w:rFonts w:hint="eastAsia" w:ascii="黑体" w:hAnsi="黑体" w:eastAsia="黑体" w:cs="楷体_GB2312"/>
          <w:b/>
          <w:color w:val="auto"/>
          <w:sz w:val="24"/>
          <w:highlight w:val="none"/>
          <w:lang w:val="zh-CN"/>
        </w:rPr>
        <w:t>，及</w:t>
      </w:r>
      <w:r>
        <w:rPr>
          <w:rFonts w:ascii="黑体" w:hAnsi="黑体" w:eastAsia="黑体" w:cs="楷体_GB2312"/>
          <w:b/>
          <w:color w:val="auto"/>
          <w:sz w:val="24"/>
          <w:highlight w:val="none"/>
          <w:lang w:val="zh-CN"/>
        </w:rPr>
        <w:t>相应</w:t>
      </w:r>
      <w:r>
        <w:rPr>
          <w:rFonts w:hint="eastAsia" w:ascii="黑体" w:hAnsi="黑体" w:eastAsia="黑体" w:cs="楷体_GB2312"/>
          <w:b/>
          <w:color w:val="auto"/>
          <w:sz w:val="24"/>
          <w:highlight w:val="none"/>
          <w:lang w:val="zh-CN"/>
        </w:rPr>
        <w:t>时间变更</w:t>
      </w:r>
    </w:p>
    <w:p w14:paraId="70E27648">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color w:val="auto"/>
          <w:sz w:val="24"/>
          <w:highlight w:val="none"/>
          <w:lang w:val="zh-CN"/>
        </w:rPr>
        <w:t xml:space="preserve">2.4.1 </w:t>
      </w:r>
      <w:r>
        <w:rPr>
          <w:rFonts w:hint="eastAsia" w:ascii="宋体" w:hAnsi="宋体" w:cs="楷体_GB2312"/>
          <w:color w:val="auto"/>
          <w:sz w:val="24"/>
          <w:highlight w:val="none"/>
          <w:lang w:val="zh-CN"/>
        </w:rPr>
        <w:t>谈判文件在投标截止时间前的所有澄清、修改（包括时间变更等）、补充事项，均在“谈判公告”所述媒体予以公告。</w:t>
      </w:r>
      <w:r>
        <w:rPr>
          <w:rFonts w:hint="eastAsia" w:ascii="宋体" w:hAnsi="宋体" w:cs="楷体_GB2312"/>
          <w:b/>
          <w:color w:val="auto"/>
          <w:sz w:val="24"/>
          <w:highlight w:val="none"/>
          <w:lang w:val="zh-CN"/>
        </w:rPr>
        <w:t>澄清或修改公告一经在</w:t>
      </w:r>
      <w:r>
        <w:rPr>
          <w:rFonts w:ascii="宋体" w:hAnsi="宋体" w:cs="楷体_GB2312"/>
          <w:b/>
          <w:color w:val="auto"/>
          <w:sz w:val="24"/>
          <w:highlight w:val="none"/>
          <w:lang w:val="zh-CN"/>
        </w:rPr>
        <w:t>法定网</w:t>
      </w:r>
      <w:r>
        <w:rPr>
          <w:rFonts w:hint="eastAsia" w:ascii="宋体" w:hAnsi="宋体" w:cs="楷体_GB2312"/>
          <w:b/>
          <w:color w:val="auto"/>
          <w:sz w:val="24"/>
          <w:highlight w:val="none"/>
          <w:lang w:val="zh-CN"/>
        </w:rPr>
        <w:t>站以</w:t>
      </w:r>
      <w:r>
        <w:rPr>
          <w:rFonts w:ascii="宋体" w:hAnsi="宋体" w:cs="楷体_GB2312"/>
          <w:b/>
          <w:color w:val="auto"/>
          <w:sz w:val="24"/>
          <w:highlight w:val="none"/>
          <w:lang w:val="zh-CN"/>
        </w:rPr>
        <w:t>公</w:t>
      </w:r>
      <w:r>
        <w:rPr>
          <w:rFonts w:hint="eastAsia" w:ascii="宋体" w:hAnsi="宋体" w:cs="楷体_GB2312"/>
          <w:b/>
          <w:color w:val="auto"/>
          <w:sz w:val="24"/>
          <w:highlight w:val="none"/>
          <w:lang w:val="zh-CN"/>
        </w:rPr>
        <w:t>告</w:t>
      </w:r>
      <w:r>
        <w:rPr>
          <w:rFonts w:ascii="宋体" w:hAnsi="宋体" w:cs="楷体_GB2312"/>
          <w:b/>
          <w:color w:val="auto"/>
          <w:sz w:val="24"/>
          <w:highlight w:val="none"/>
          <w:lang w:val="zh-CN"/>
        </w:rPr>
        <w:t>形式</w:t>
      </w:r>
      <w:r>
        <w:rPr>
          <w:rFonts w:hint="eastAsia" w:ascii="宋体" w:hAnsi="宋体" w:cs="楷体_GB2312"/>
          <w:b/>
          <w:color w:val="auto"/>
          <w:sz w:val="24"/>
          <w:highlight w:val="none"/>
          <w:lang w:val="zh-CN"/>
        </w:rPr>
        <w:t>发布，依法视为书面通知，不再另行通知。</w:t>
      </w:r>
    </w:p>
    <w:p w14:paraId="019A92BB">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基于网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w:t>
      </w:r>
      <w:r>
        <w:rPr>
          <w:rFonts w:ascii="宋体" w:hAnsi="宋体" w:cs="楷体_GB2312"/>
          <w:b/>
          <w:color w:val="auto"/>
          <w:sz w:val="24"/>
          <w:highlight w:val="none"/>
          <w:lang w:val="zh-CN"/>
        </w:rPr>
        <w:t>子</w:t>
      </w:r>
      <w:r>
        <w:rPr>
          <w:rFonts w:hint="eastAsia" w:ascii="宋体" w:hAnsi="宋体" w:cs="楷体_GB2312"/>
          <w:b/>
          <w:color w:val="auto"/>
          <w:sz w:val="24"/>
          <w:highlight w:val="none"/>
          <w:lang w:val="zh-CN"/>
        </w:rPr>
        <w:t>交易</w:t>
      </w:r>
      <w:r>
        <w:rPr>
          <w:rFonts w:ascii="宋体" w:hAnsi="宋体" w:cs="楷体_GB2312"/>
          <w:b/>
          <w:color w:val="auto"/>
          <w:sz w:val="24"/>
          <w:highlight w:val="none"/>
          <w:lang w:val="zh-CN"/>
        </w:rPr>
        <w:t>的特点—</w:t>
      </w:r>
      <w:r>
        <w:rPr>
          <w:rFonts w:ascii="宋体" w:cs="楷体_GB2312"/>
          <w:b/>
          <w:color w:val="auto"/>
          <w:sz w:val="24"/>
          <w:highlight w:val="none"/>
          <w:lang w:val="zh-CN"/>
        </w:rPr>
        <w:t>-</w:t>
      </w:r>
      <w:r>
        <w:rPr>
          <w:rFonts w:hint="eastAsia" w:ascii="宋体" w:hAnsi="宋体" w:cs="楷体_GB2312"/>
          <w:b/>
          <w:color w:val="auto"/>
          <w:sz w:val="24"/>
          <w:highlight w:val="none"/>
          <w:lang w:val="zh-CN"/>
        </w:rPr>
        <w:t>无权限获知或通知潜在投标人，潜在投标人应随时关注“谈判公告”所</w:t>
      </w:r>
      <w:r>
        <w:rPr>
          <w:rFonts w:ascii="宋体" w:hAnsi="宋体" w:cs="楷体_GB2312"/>
          <w:b/>
          <w:color w:val="auto"/>
          <w:sz w:val="24"/>
          <w:highlight w:val="none"/>
          <w:lang w:val="zh-CN"/>
        </w:rPr>
        <w:t>述媒体</w:t>
      </w:r>
      <w:r>
        <w:rPr>
          <w:rFonts w:hint="eastAsia" w:ascii="宋体" w:hAnsi="宋体" w:cs="楷体_GB2312"/>
          <w:b/>
          <w:color w:val="auto"/>
          <w:sz w:val="24"/>
          <w:highlight w:val="none"/>
          <w:lang w:val="zh-CN"/>
        </w:rPr>
        <w:t>相关项目信息（为免各部门网站出现维护等情况，潜在投标人应对“谈判公告”所述媒体逐一查阅），如有遗漏，后果自负。</w:t>
      </w:r>
    </w:p>
    <w:p w14:paraId="5F94D166">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2.</w:t>
      </w:r>
      <w:r>
        <w:rPr>
          <w:rFonts w:ascii="宋体" w:cs="楷体_GB2312"/>
          <w:color w:val="auto"/>
          <w:sz w:val="24"/>
          <w:highlight w:val="none"/>
          <w:lang w:val="zh-CN"/>
        </w:rPr>
        <w:t>4</w:t>
      </w:r>
      <w:r>
        <w:rPr>
          <w:rFonts w:hint="eastAsia" w:ascii="宋体" w:cs="楷体_GB2312"/>
          <w:color w:val="auto"/>
          <w:sz w:val="24"/>
          <w:highlight w:val="none"/>
          <w:lang w:val="zh-CN"/>
        </w:rPr>
        <w:t>.2谈判文件的澄清、修改、补充书构成谈判文件的组成部分，并取代谈判文件中被澄清、修改处，对所有投标人均有约束力。</w:t>
      </w:r>
    </w:p>
    <w:p w14:paraId="58A43FC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2.4.3 </w:t>
      </w:r>
      <w:r>
        <w:rPr>
          <w:rFonts w:hint="eastAsia" w:ascii="宋体" w:hAnsi="宋体" w:cs="楷体_GB2312"/>
          <w:color w:val="auto"/>
          <w:sz w:val="24"/>
          <w:highlight w:val="none"/>
          <w:lang w:val="zh-CN"/>
        </w:rPr>
        <w:t>如果投标截止时间前的澄清修改补充发出的时间不满足投标人须知前附表规定时间，并且澄清修改补充内容影响投标文件编制的，代理机构可视采购具体情况延长投标截止时间和开标时间，并将在“谈判公告”所述媒体予以公告。</w:t>
      </w:r>
    </w:p>
    <w:p w14:paraId="58CAD3F7">
      <w:pPr>
        <w:autoSpaceDE w:val="0"/>
        <w:autoSpaceDN w:val="0"/>
        <w:adjustRightInd w:val="0"/>
        <w:snapToGrid w:val="0"/>
        <w:spacing w:beforeLines="50" w:line="300" w:lineRule="auto"/>
        <w:ind w:firstLine="539"/>
        <w:rPr>
          <w:rFonts w:ascii="宋体" w:cs="楷体_GB2312"/>
          <w:color w:val="auto"/>
          <w:sz w:val="24"/>
          <w:highlight w:val="none"/>
        </w:rPr>
      </w:pPr>
    </w:p>
    <w:p w14:paraId="58A0581D">
      <w:pPr>
        <w:autoSpaceDE w:val="0"/>
        <w:autoSpaceDN w:val="0"/>
        <w:adjustRightInd w:val="0"/>
        <w:snapToGrid w:val="0"/>
        <w:spacing w:beforeLines="50" w:line="300" w:lineRule="auto"/>
        <w:ind w:firstLine="539"/>
        <w:outlineLvl w:val="1"/>
        <w:rPr>
          <w:rFonts w:ascii="黑体" w:hAnsi="黑体" w:eastAsia="黑体" w:cs="楷体_GB2312"/>
          <w:b/>
          <w:bCs/>
          <w:color w:val="auto"/>
          <w:sz w:val="28"/>
          <w:szCs w:val="28"/>
          <w:highlight w:val="none"/>
          <w:lang w:val="zh-CN"/>
        </w:rPr>
      </w:pPr>
      <w:bookmarkStart w:id="28" w:name="_Toc209083632"/>
      <w:r>
        <w:rPr>
          <w:rFonts w:ascii="黑体" w:hAnsi="黑体" w:eastAsia="黑体" w:cs="楷体_GB2312"/>
          <w:b/>
          <w:bCs/>
          <w:color w:val="auto"/>
          <w:sz w:val="28"/>
          <w:szCs w:val="28"/>
          <w:highlight w:val="none"/>
          <w:lang w:val="zh-CN"/>
        </w:rPr>
        <w:t xml:space="preserve">3. </w:t>
      </w:r>
      <w:r>
        <w:rPr>
          <w:rFonts w:hint="eastAsia" w:ascii="黑体" w:hAnsi="黑体" w:eastAsia="黑体" w:cs="楷体_GB2312"/>
          <w:b/>
          <w:bCs/>
          <w:color w:val="auto"/>
          <w:sz w:val="28"/>
          <w:szCs w:val="28"/>
          <w:highlight w:val="none"/>
          <w:lang w:val="zh-CN"/>
        </w:rPr>
        <w:t>投标文件（响应文件）</w:t>
      </w:r>
      <w:bookmarkEnd w:id="28"/>
    </w:p>
    <w:p w14:paraId="6F0B0C3C">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3.1</w:t>
      </w:r>
      <w:r>
        <w:rPr>
          <w:rFonts w:hint="eastAsia" w:ascii="宋体" w:hAnsi="宋体" w:cs="楷体_GB2312"/>
          <w:color w:val="auto"/>
          <w:sz w:val="24"/>
          <w:highlight w:val="none"/>
          <w:lang w:val="zh-CN"/>
        </w:rPr>
        <w:t xml:space="preserve"> 投标人应仔细阅读谈判文件的所有内容，按谈判文件的要求提供投标文件（响应文件），并保证所提供全部资料的真实性。投标文件（响应文件）应对谈判文件实质性要求作出实质性响应。谈判小组对投标文件（响应文件）的有效性、完整性和响应程度进行审查，不满足实质性要求的为</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w:t>
      </w:r>
    </w:p>
    <w:p w14:paraId="337B9411">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3.2 </w:t>
      </w:r>
      <w:r>
        <w:rPr>
          <w:rFonts w:hint="eastAsia" w:ascii="黑体" w:hAnsi="黑体" w:eastAsia="黑体" w:cs="楷体_GB2312"/>
          <w:b/>
          <w:color w:val="auto"/>
          <w:sz w:val="24"/>
          <w:highlight w:val="none"/>
          <w:lang w:val="zh-CN"/>
        </w:rPr>
        <w:t>投标文件（响应文件）的组成</w:t>
      </w:r>
    </w:p>
    <w:p w14:paraId="49BFACAE">
      <w:pPr>
        <w:adjustRightInd w:val="0"/>
        <w:snapToGrid w:val="0"/>
        <w:spacing w:beforeLines="50" w:line="300" w:lineRule="auto"/>
        <w:ind w:firstLine="539"/>
        <w:textAlignment w:val="top"/>
        <w:rPr>
          <w:rFonts w:ascii="宋体" w:cs="楷体_GB2312"/>
          <w:color w:val="auto"/>
          <w:sz w:val="24"/>
          <w:highlight w:val="none"/>
          <w:lang w:val="zh-CN"/>
        </w:rPr>
      </w:pPr>
      <w:r>
        <w:rPr>
          <w:rFonts w:ascii="宋体" w:hAnsi="宋体" w:cs="楷体_GB2312"/>
          <w:color w:val="auto"/>
          <w:sz w:val="24"/>
          <w:highlight w:val="none"/>
          <w:lang w:val="zh-CN"/>
        </w:rPr>
        <w:t xml:space="preserve">3.2.1 </w:t>
      </w:r>
      <w:r>
        <w:rPr>
          <w:rFonts w:hint="eastAsia" w:ascii="宋体" w:hAnsi="宋体" w:cs="楷体_GB2312"/>
          <w:color w:val="auto"/>
          <w:sz w:val="24"/>
          <w:highlight w:val="none"/>
          <w:lang w:val="zh-CN"/>
        </w:rPr>
        <w:t>投标文件（响应文件）组成如有缺项，谈判小组按照实质性判断原则（实质性要求和实质性响应两因素）、有权视情况将其作无效投标处理，投标人自负此项风险；投标文件组成内容未对谈判文件实质性要求作出实质性响应，谈判小组按照实质性判断原则、视情况将其作无效投标处理，投标人自负此项风险</w:t>
      </w:r>
    </w:p>
    <w:p w14:paraId="21428B06">
      <w:pPr>
        <w:adjustRightInd w:val="0"/>
        <w:snapToGrid w:val="0"/>
        <w:spacing w:beforeLines="50" w:line="300" w:lineRule="auto"/>
        <w:ind w:firstLine="539"/>
        <w:textAlignment w:val="top"/>
        <w:rPr>
          <w:color w:val="auto"/>
          <w:highlight w:val="none"/>
        </w:rPr>
      </w:pPr>
      <w:r>
        <w:rPr>
          <w:rFonts w:ascii="宋体" w:hAnsi="宋体" w:cs="楷体_GB2312"/>
          <w:color w:val="auto"/>
          <w:sz w:val="24"/>
          <w:highlight w:val="none"/>
          <w:lang w:val="zh-CN"/>
        </w:rPr>
        <w:t xml:space="preserve">3.2.2 </w:t>
      </w:r>
      <w:r>
        <w:rPr>
          <w:rFonts w:hint="eastAsia" w:ascii="宋体" w:hAnsi="宋体" w:cs="楷体_GB2312"/>
          <w:color w:val="auto"/>
          <w:sz w:val="24"/>
          <w:highlight w:val="none"/>
          <w:lang w:val="zh-CN"/>
        </w:rPr>
        <w:t>投标文件（响应文件）应包括下列内容：</w:t>
      </w:r>
    </w:p>
    <w:p w14:paraId="442C7DAD">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）投标书。</w:t>
      </w:r>
    </w:p>
    <w:p w14:paraId="72C0FAA6">
      <w:pPr>
        <w:adjustRightInd w:val="0"/>
        <w:snapToGrid w:val="0"/>
        <w:spacing w:line="300" w:lineRule="auto"/>
        <w:ind w:firstLine="539"/>
        <w:textAlignment w:val="top"/>
        <w:rPr>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w:t>
      </w:r>
      <w:r>
        <w:rPr>
          <w:rFonts w:hint="eastAsia" w:ascii="宋体" w:hAnsi="宋体"/>
          <w:color w:val="auto"/>
          <w:sz w:val="24"/>
          <w:szCs w:val="24"/>
          <w:highlight w:val="none"/>
        </w:rPr>
        <w:t xml:space="preserve">开标一览表（即交易系统中报价一览表） </w:t>
      </w:r>
    </w:p>
    <w:p w14:paraId="210AFC79">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w:t>
      </w:r>
      <w:r>
        <w:rPr>
          <w:rFonts w:hint="eastAsia" w:ascii="宋体" w:hAnsi="宋体"/>
          <w:color w:val="auto"/>
          <w:sz w:val="24"/>
          <w:highlight w:val="none"/>
        </w:rPr>
        <w:t>投标报价明细表</w:t>
      </w:r>
    </w:p>
    <w:p w14:paraId="30AB52D5">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w:t>
      </w:r>
      <w:r>
        <w:rPr>
          <w:rFonts w:hint="eastAsia" w:ascii="宋体" w:hAnsi="宋体"/>
          <w:color w:val="auto"/>
          <w:sz w:val="24"/>
          <w:highlight w:val="none"/>
        </w:rPr>
        <w:t>投标产品清单及其技术参数，安装调试方案</w:t>
      </w:r>
    </w:p>
    <w:p w14:paraId="0D7AC24A">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）技术偏差表。</w:t>
      </w:r>
    </w:p>
    <w:p w14:paraId="35AF0471">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w:t>
      </w:r>
      <w:r>
        <w:rPr>
          <w:rFonts w:hint="eastAsia" w:ascii="宋体" w:hAnsi="宋体"/>
          <w:color w:val="auto"/>
          <w:sz w:val="24"/>
          <w:highlight w:val="none"/>
        </w:rPr>
        <w:t>其他偏差表</w:t>
      </w:r>
    </w:p>
    <w:p w14:paraId="4E1C482D">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w:t>
      </w:r>
      <w:r>
        <w:rPr>
          <w:rFonts w:hint="eastAsia" w:ascii="宋体" w:hAnsi="宋体"/>
          <w:color w:val="auto"/>
          <w:sz w:val="24"/>
          <w:highlight w:val="none"/>
        </w:rPr>
        <w:t>售后服务计划</w:t>
      </w:r>
    </w:p>
    <w:p w14:paraId="00B9E9D1">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w:t>
      </w:r>
      <w:r>
        <w:rPr>
          <w:rFonts w:hint="eastAsia" w:ascii="宋体" w:hAnsi="宋体"/>
          <w:color w:val="auto"/>
          <w:sz w:val="24"/>
          <w:highlight w:val="none"/>
        </w:rPr>
        <w:t>关于资格的声明函</w:t>
      </w:r>
    </w:p>
    <w:p w14:paraId="183962E9">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9</w:t>
      </w:r>
      <w:r>
        <w:rPr>
          <w:rFonts w:hint="eastAsia" w:ascii="宋体" w:hAnsi="宋体" w:cs="楷体_GB2312"/>
          <w:color w:val="auto"/>
          <w:sz w:val="24"/>
          <w:highlight w:val="none"/>
          <w:lang w:val="zh-CN"/>
        </w:rPr>
        <w:t>）</w:t>
      </w:r>
      <w:r>
        <w:rPr>
          <w:rFonts w:hint="eastAsia" w:ascii="宋体" w:hAnsi="宋体"/>
          <w:color w:val="auto"/>
          <w:sz w:val="24"/>
          <w:highlight w:val="none"/>
        </w:rPr>
        <w:t>反商业贿赂承诺书。</w:t>
      </w:r>
    </w:p>
    <w:p w14:paraId="388E6BCE">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10</w:t>
      </w:r>
      <w:r>
        <w:rPr>
          <w:rFonts w:hint="eastAsia" w:ascii="宋体" w:hAnsi="宋体" w:cs="楷体_GB2312"/>
          <w:color w:val="auto"/>
          <w:sz w:val="24"/>
          <w:highlight w:val="none"/>
          <w:lang w:val="zh-CN"/>
        </w:rPr>
        <w:t>）</w:t>
      </w:r>
      <w:r>
        <w:rPr>
          <w:rFonts w:hint="eastAsia" w:ascii="宋体" w:hAnsi="宋体"/>
          <w:color w:val="auto"/>
          <w:sz w:val="24"/>
          <w:highlight w:val="none"/>
        </w:rPr>
        <w:t>履约承诺书。</w:t>
      </w:r>
    </w:p>
    <w:p w14:paraId="23B39FB9">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11</w:t>
      </w:r>
      <w:r>
        <w:rPr>
          <w:rFonts w:hint="eastAsia" w:ascii="宋体" w:hAnsi="宋体"/>
          <w:color w:val="auto"/>
          <w:sz w:val="24"/>
          <w:highlight w:val="none"/>
        </w:rPr>
        <w:t>）资格要求相关证明材料（文件）</w:t>
      </w:r>
    </w:p>
    <w:p w14:paraId="299CAC99">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12</w:t>
      </w:r>
      <w:r>
        <w:rPr>
          <w:rFonts w:hint="eastAsia" w:ascii="宋体" w:hAnsi="宋体"/>
          <w:color w:val="auto"/>
          <w:sz w:val="24"/>
          <w:highlight w:val="none"/>
        </w:rPr>
        <w:t>）采购项目及技术服务要求所需的其他材料（按条款需要）</w:t>
      </w:r>
    </w:p>
    <w:p w14:paraId="48A8F4C2">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13</w:t>
      </w:r>
      <w:r>
        <w:rPr>
          <w:rFonts w:hint="eastAsia" w:ascii="宋体" w:hAnsi="宋体"/>
          <w:color w:val="auto"/>
          <w:sz w:val="24"/>
          <w:highlight w:val="none"/>
        </w:rPr>
        <w:t>）投标人须知所需的其他材料（按条款需要）</w:t>
      </w:r>
    </w:p>
    <w:p w14:paraId="041644F3">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14</w:t>
      </w:r>
      <w:r>
        <w:rPr>
          <w:rFonts w:hint="eastAsia" w:ascii="宋体" w:hAnsi="宋体"/>
          <w:color w:val="auto"/>
          <w:sz w:val="24"/>
          <w:highlight w:val="none"/>
        </w:rPr>
        <w:t>）评审办法所需的其他材料（按条款需要）</w:t>
      </w:r>
    </w:p>
    <w:p w14:paraId="7370E66D">
      <w:pPr>
        <w:autoSpaceDE w:val="0"/>
        <w:autoSpaceDN w:val="0"/>
        <w:adjustRightInd w:val="0"/>
        <w:snapToGrid w:val="0"/>
        <w:spacing w:line="300" w:lineRule="auto"/>
        <w:ind w:firstLine="520" w:firstLineChars="217"/>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15</w:t>
      </w:r>
      <w:r>
        <w:rPr>
          <w:rFonts w:hint="eastAsia" w:ascii="宋体" w:hAnsi="宋体" w:cs="楷体_GB2312"/>
          <w:color w:val="auto"/>
          <w:sz w:val="24"/>
          <w:highlight w:val="none"/>
          <w:lang w:val="zh-CN"/>
        </w:rPr>
        <w:t>）</w:t>
      </w:r>
      <w:r>
        <w:rPr>
          <w:rFonts w:hint="eastAsia" w:ascii="宋体" w:hAnsi="宋体"/>
          <w:color w:val="auto"/>
          <w:sz w:val="24"/>
          <w:highlight w:val="none"/>
        </w:rPr>
        <w:t>投标人认为有必要提交的其它材料</w:t>
      </w:r>
    </w:p>
    <w:p w14:paraId="77DCEE37">
      <w:pPr>
        <w:topLinePunct/>
        <w:adjustRightInd w:val="0"/>
        <w:snapToGrid w:val="0"/>
        <w:spacing w:beforeLines="50" w:line="300" w:lineRule="auto"/>
        <w:ind w:firstLine="564" w:firstLineChars="235"/>
        <w:rPr>
          <w:rFonts w:ascii="宋体" w:hAnsi="宋体" w:cs="楷体_GB2312"/>
          <w:color w:val="auto"/>
          <w:sz w:val="24"/>
          <w:highlight w:val="none"/>
          <w:lang w:val="zh-CN"/>
        </w:rPr>
      </w:pPr>
      <w:r>
        <w:rPr>
          <w:rFonts w:ascii="宋体" w:hAnsi="宋体" w:cs="楷体_GB2312"/>
          <w:color w:val="auto"/>
          <w:sz w:val="24"/>
          <w:highlight w:val="none"/>
          <w:lang w:val="zh-CN"/>
        </w:rPr>
        <w:t>3.2.3</w:t>
      </w:r>
      <w:r>
        <w:rPr>
          <w:rFonts w:hint="eastAsia" w:ascii="宋体" w:hAnsi="宋体" w:cs="楷体_GB2312"/>
          <w:color w:val="auto"/>
          <w:sz w:val="24"/>
          <w:highlight w:val="none"/>
          <w:lang w:val="zh-CN"/>
        </w:rPr>
        <w:t>按照本章第</w:t>
      </w:r>
      <w:r>
        <w:rPr>
          <w:rFonts w:ascii="宋体" w:hAnsi="宋体" w:cs="楷体_GB2312"/>
          <w:color w:val="auto"/>
          <w:sz w:val="24"/>
          <w:highlight w:val="none"/>
          <w:lang w:val="zh-CN"/>
        </w:rPr>
        <w:t>4.3</w:t>
      </w:r>
      <w:r>
        <w:rPr>
          <w:rFonts w:hint="eastAsia" w:ascii="宋体" w:hAnsi="宋体" w:cs="楷体_GB2312"/>
          <w:color w:val="auto"/>
          <w:sz w:val="24"/>
          <w:highlight w:val="none"/>
          <w:lang w:val="zh-CN"/>
        </w:rPr>
        <w:t>款、第四章第</w:t>
      </w:r>
      <w:r>
        <w:rPr>
          <w:rFonts w:ascii="宋体" w:hAnsi="宋体" w:cs="楷体_GB2312"/>
          <w:color w:val="auto"/>
          <w:sz w:val="24"/>
          <w:highlight w:val="none"/>
          <w:lang w:val="zh-CN"/>
        </w:rPr>
        <w:t>3.4</w:t>
      </w:r>
      <w:r>
        <w:rPr>
          <w:rFonts w:hint="eastAsia" w:ascii="宋体" w:hAnsi="宋体" w:cs="楷体_GB2312"/>
          <w:color w:val="auto"/>
          <w:sz w:val="24"/>
          <w:highlight w:val="none"/>
          <w:lang w:val="zh-CN"/>
        </w:rPr>
        <w:t>款规定，对投标文件（响应文件）的补充、修改、澄清、说明或者更正构成投标文件（响应文件）的组成部分，</w:t>
      </w:r>
    </w:p>
    <w:p w14:paraId="74C9C9D7">
      <w:pPr>
        <w:topLinePunct/>
        <w:adjustRightInd w:val="0"/>
        <w:snapToGrid w:val="0"/>
        <w:spacing w:beforeLines="50" w:line="300" w:lineRule="auto"/>
        <w:ind w:firstLine="566" w:firstLineChars="235"/>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3.3 </w:t>
      </w:r>
      <w:r>
        <w:rPr>
          <w:rFonts w:hint="eastAsia" w:ascii="黑体" w:hAnsi="黑体" w:eastAsia="黑体" w:cs="楷体_GB2312"/>
          <w:b/>
          <w:color w:val="auto"/>
          <w:sz w:val="24"/>
          <w:highlight w:val="none"/>
          <w:lang w:val="zh-CN"/>
        </w:rPr>
        <w:t>投标报价</w:t>
      </w:r>
      <w:r>
        <w:rPr>
          <w:rFonts w:hint="eastAsia" w:ascii="宋体" w:hAnsi="宋体" w:cs="楷体_GB2312"/>
          <w:color w:val="auto"/>
          <w:sz w:val="24"/>
          <w:highlight w:val="none"/>
          <w:lang w:val="zh-CN"/>
        </w:rPr>
        <w:t>（价格构成）：见第二章</w:t>
      </w:r>
      <w:r>
        <w:rPr>
          <w:rFonts w:ascii="宋体" w:hAnsi="宋体" w:cs="楷体_GB2312"/>
          <w:color w:val="auto"/>
          <w:sz w:val="24"/>
          <w:highlight w:val="none"/>
          <w:lang w:val="zh-CN"/>
        </w:rPr>
        <w:t>1.3</w:t>
      </w:r>
      <w:r>
        <w:rPr>
          <w:rFonts w:hint="eastAsia" w:ascii="宋体" w:hAnsi="宋体" w:cs="楷体_GB2312"/>
          <w:color w:val="auto"/>
          <w:sz w:val="24"/>
          <w:highlight w:val="none"/>
          <w:lang w:val="zh-CN"/>
        </w:rPr>
        <w:t>款。</w:t>
      </w:r>
    </w:p>
    <w:p w14:paraId="05661CD2">
      <w:pPr>
        <w:topLinePunct/>
        <w:adjustRightInd w:val="0"/>
        <w:snapToGrid w:val="0"/>
        <w:spacing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3.4 </w:t>
      </w:r>
      <w:r>
        <w:rPr>
          <w:rFonts w:hint="eastAsia" w:ascii="黑体" w:hAnsi="黑体" w:eastAsia="黑体" w:cs="楷体_GB2312"/>
          <w:b/>
          <w:color w:val="auto"/>
          <w:sz w:val="24"/>
          <w:highlight w:val="none"/>
          <w:lang w:val="zh-CN"/>
        </w:rPr>
        <w:t>投标有效期</w:t>
      </w:r>
    </w:p>
    <w:p w14:paraId="550AD32C">
      <w:pPr>
        <w:topLinePunct/>
        <w:adjustRightInd w:val="0"/>
        <w:snapToGrid w:val="0"/>
        <w:spacing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3.4.1</w:t>
      </w:r>
      <w:r>
        <w:rPr>
          <w:rFonts w:hint="eastAsia" w:ascii="宋体" w:hAnsi="宋体" w:cs="楷体_GB2312"/>
          <w:color w:val="auto"/>
          <w:sz w:val="24"/>
          <w:highlight w:val="none"/>
          <w:lang w:val="zh-CN"/>
        </w:rPr>
        <w:t>投标有效期见投标人须知前附表。投标文件（响应文件）在投标有效期内保持不变（包括价格等投标文件各项条款）。</w:t>
      </w:r>
    </w:p>
    <w:p w14:paraId="101AED04">
      <w:pPr>
        <w:topLinePunct/>
        <w:adjustRightInd w:val="0"/>
        <w:snapToGrid w:val="0"/>
        <w:spacing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3.4.2</w:t>
      </w:r>
      <w:r>
        <w:rPr>
          <w:rFonts w:hint="eastAsia" w:ascii="宋体" w:hAnsi="宋体" w:cs="楷体_GB2312"/>
          <w:color w:val="auto"/>
          <w:sz w:val="24"/>
          <w:highlight w:val="none"/>
          <w:lang w:val="zh-CN"/>
        </w:rPr>
        <w:t>在投标有效期内，投标人撤销或修改其投标文件（响应文件）的，应承担谈判文件和法律规定的责任。</w:t>
      </w:r>
    </w:p>
    <w:p w14:paraId="1884DF94">
      <w:pPr>
        <w:topLinePunct/>
        <w:adjustRightInd w:val="0"/>
        <w:snapToGrid w:val="0"/>
        <w:spacing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3.5 </w:t>
      </w:r>
      <w:r>
        <w:rPr>
          <w:rFonts w:hint="eastAsia" w:ascii="黑体" w:hAnsi="黑体" w:eastAsia="黑体" w:cs="楷体_GB2312"/>
          <w:b/>
          <w:color w:val="auto"/>
          <w:sz w:val="24"/>
          <w:highlight w:val="none"/>
        </w:rPr>
        <w:t>投标承诺函</w:t>
      </w:r>
      <w:r>
        <w:rPr>
          <w:rFonts w:hint="eastAsia" w:ascii="黑体" w:hAnsi="黑体" w:eastAsia="黑体" w:cs="楷体_GB2312"/>
          <w:b/>
          <w:color w:val="auto"/>
          <w:sz w:val="24"/>
          <w:highlight w:val="none"/>
          <w:lang w:val="zh-CN"/>
        </w:rPr>
        <w:t>（</w:t>
      </w:r>
      <w:r>
        <w:rPr>
          <w:rFonts w:hint="eastAsia" w:ascii="黑体" w:hAnsi="黑体" w:eastAsia="黑体" w:cs="楷体_GB2312"/>
          <w:b/>
          <w:color w:val="auto"/>
          <w:sz w:val="24"/>
          <w:highlight w:val="none"/>
        </w:rPr>
        <w:t>替代</w:t>
      </w:r>
      <w:r>
        <w:rPr>
          <w:rFonts w:hint="eastAsia" w:ascii="黑体" w:hAnsi="黑体" w:eastAsia="黑体" w:cs="楷体_GB2312"/>
          <w:b/>
          <w:color w:val="auto"/>
          <w:sz w:val="24"/>
          <w:highlight w:val="none"/>
          <w:lang w:val="zh-CN"/>
        </w:rPr>
        <w:t>投标保证金）：</w:t>
      </w:r>
    </w:p>
    <w:p w14:paraId="7A952166">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zh-CN"/>
        </w:rPr>
        <w:t xml:space="preserve">3.5.1 </w:t>
      </w:r>
      <w:r>
        <w:rPr>
          <w:rFonts w:hint="eastAsia" w:ascii="宋体" w:hAnsi="宋体"/>
          <w:color w:val="auto"/>
          <w:sz w:val="24"/>
          <w:szCs w:val="24"/>
          <w:highlight w:val="none"/>
        </w:rPr>
        <w:t>按照豫财购〔2019〕4号文件规定，本项目以投标承诺函的形式替代投标保证金，供应商应按附件格式进行投标承诺，违背承诺的将承担相应的法律责任及违约责任。</w:t>
      </w:r>
    </w:p>
    <w:p w14:paraId="3DCBD6EA">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3.5.2 未提供投标承诺函的为</w:t>
      </w:r>
      <w:r>
        <w:rPr>
          <w:rFonts w:hint="eastAsia" w:ascii="宋体" w:hAnsi="宋体"/>
          <w:b/>
          <w:bCs/>
          <w:color w:val="auto"/>
          <w:sz w:val="24"/>
          <w:szCs w:val="24"/>
          <w:highlight w:val="none"/>
        </w:rPr>
        <w:t>无效投标</w:t>
      </w:r>
      <w:r>
        <w:rPr>
          <w:rFonts w:hint="eastAsia" w:ascii="宋体" w:hAnsi="宋体"/>
          <w:color w:val="auto"/>
          <w:sz w:val="24"/>
          <w:szCs w:val="24"/>
          <w:highlight w:val="none"/>
        </w:rPr>
        <w:t>。</w:t>
      </w:r>
    </w:p>
    <w:p w14:paraId="5254F0BB">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3.5.3 投标人的投标承诺函包含投标人承诺的事项及违背承诺的责任追究措施。</w:t>
      </w:r>
    </w:p>
    <w:p w14:paraId="2E8DD565">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 承诺事项：</w:t>
      </w:r>
    </w:p>
    <w:p w14:paraId="13374C61">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3.5.4.1、投标人应遵循公开、公平、公正和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的原则自愿参加项目的投标；</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3.5.4.2、投标人在政府采购活动中应提供真实、准确、有效、合法的材料，不</w:t>
      </w:r>
      <w:r>
        <w:rPr>
          <w:rFonts w:hint="eastAsia" w:ascii="宋体" w:hAnsi="宋体"/>
          <w:color w:val="auto"/>
          <w:sz w:val="24"/>
          <w:szCs w:val="24"/>
          <w:highlight w:val="none"/>
          <w:lang w:val="zh-CN"/>
        </w:rPr>
        <w:t>提供虚假材料；</w:t>
      </w:r>
    </w:p>
    <w:p w14:paraId="33D97968">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3.5.4.3、投标人</w:t>
      </w:r>
      <w:r>
        <w:rPr>
          <w:rFonts w:hint="eastAsia" w:ascii="宋体" w:hAnsi="宋体"/>
          <w:color w:val="auto"/>
          <w:sz w:val="24"/>
          <w:szCs w:val="24"/>
          <w:highlight w:val="none"/>
          <w:lang w:val="zh-CN"/>
        </w:rPr>
        <w:t>按照</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文件规定，在提交投标文件截止时间后，在</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文件规定的投标有效期限内不</w:t>
      </w:r>
      <w:r>
        <w:rPr>
          <w:rFonts w:hint="eastAsia" w:ascii="宋体" w:hAnsi="宋体"/>
          <w:color w:val="auto"/>
          <w:sz w:val="24"/>
          <w:szCs w:val="24"/>
          <w:highlight w:val="none"/>
        </w:rPr>
        <w:t>应</w:t>
      </w:r>
      <w:r>
        <w:rPr>
          <w:rFonts w:hint="eastAsia" w:ascii="宋体" w:hAnsi="宋体"/>
          <w:color w:val="auto"/>
          <w:sz w:val="24"/>
          <w:szCs w:val="24"/>
          <w:highlight w:val="none"/>
          <w:lang w:val="zh-CN"/>
        </w:rPr>
        <w:t>撤回投标文件；</w:t>
      </w:r>
    </w:p>
    <w:p w14:paraId="17F7A967">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3.5.4.4、不应</w:t>
      </w:r>
      <w:r>
        <w:rPr>
          <w:rFonts w:hint="eastAsia" w:ascii="宋体" w:hAnsi="宋体"/>
          <w:color w:val="auto"/>
          <w:sz w:val="24"/>
          <w:szCs w:val="24"/>
          <w:highlight w:val="none"/>
          <w:lang w:val="zh-CN"/>
        </w:rPr>
        <w:t>与其他投标人、采购人或采购代理机构串通或恶意串通。</w:t>
      </w:r>
    </w:p>
    <w:p w14:paraId="51EF274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3.5.4.5、中标后</w:t>
      </w:r>
      <w:r>
        <w:rPr>
          <w:rFonts w:hint="eastAsia" w:ascii="宋体" w:hAnsi="宋体"/>
          <w:color w:val="auto"/>
          <w:sz w:val="24"/>
          <w:szCs w:val="24"/>
          <w:highlight w:val="none"/>
          <w:lang w:val="zh-CN"/>
        </w:rPr>
        <w:t>除不可抗拒力或谈判文件认可的情形外</w:t>
      </w:r>
      <w:r>
        <w:rPr>
          <w:rFonts w:hint="eastAsia" w:ascii="宋体" w:hAnsi="宋体"/>
          <w:color w:val="auto"/>
          <w:sz w:val="24"/>
          <w:szCs w:val="24"/>
          <w:highlight w:val="none"/>
        </w:rPr>
        <w:t>，投标人应及时领取中标通知书，</w:t>
      </w:r>
      <w:r>
        <w:rPr>
          <w:rFonts w:hint="eastAsia" w:ascii="宋体" w:hAnsi="宋体"/>
          <w:color w:val="auto"/>
          <w:sz w:val="24"/>
          <w:szCs w:val="24"/>
          <w:highlight w:val="none"/>
          <w:lang w:val="zh-CN"/>
        </w:rPr>
        <w:t>在成交通知书规定时间、地点与采购人签订合同；</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3.5.4.6、投标人应</w:t>
      </w:r>
      <w:r>
        <w:rPr>
          <w:rFonts w:hint="eastAsia" w:ascii="宋体" w:hAnsi="宋体"/>
          <w:color w:val="auto"/>
          <w:sz w:val="24"/>
          <w:szCs w:val="24"/>
          <w:highlight w:val="none"/>
          <w:lang w:val="zh-CN"/>
        </w:rPr>
        <w:t>遵守法律法规及</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文件规定的其他情况；</w:t>
      </w:r>
    </w:p>
    <w:p w14:paraId="4F516225">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3.5.4.7、投标人应按谈判文件规定及时缴纳中标服务费。</w:t>
      </w:r>
    </w:p>
    <w:p w14:paraId="0E016794">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 违背承诺的责任追究措施</w:t>
      </w:r>
    </w:p>
    <w:p w14:paraId="55FBDA9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投标人如违背上述承诺事项，应无条件接受以下责任追究：</w:t>
      </w:r>
    </w:p>
    <w:p w14:paraId="5B98BEAD">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3.5.5.1</w:t>
      </w:r>
      <w:r>
        <w:rPr>
          <w:rFonts w:hint="eastAsia" w:ascii="宋体" w:hAnsi="宋体"/>
          <w:color w:val="auto"/>
          <w:sz w:val="24"/>
          <w:szCs w:val="24"/>
          <w:highlight w:val="none"/>
          <w:lang w:val="zh-CN"/>
        </w:rPr>
        <w:t>法定责任：</w:t>
      </w:r>
      <w:r>
        <w:rPr>
          <w:rFonts w:hint="eastAsia" w:ascii="宋体" w:hAnsi="宋体"/>
          <w:color w:val="auto"/>
          <w:sz w:val="24"/>
          <w:szCs w:val="24"/>
          <w:highlight w:val="none"/>
        </w:rPr>
        <w:t>按照政府采购相关法规，</w:t>
      </w:r>
      <w:r>
        <w:rPr>
          <w:rFonts w:hint="eastAsia" w:ascii="宋体" w:hAnsi="宋体"/>
          <w:color w:val="auto"/>
          <w:sz w:val="24"/>
          <w:szCs w:val="24"/>
          <w:highlight w:val="none"/>
          <w:lang w:val="zh-CN"/>
        </w:rPr>
        <w:t>处以罚款，列入不良行为记录名单，在一至三年内禁止参加政府采购活动，有违法所得的，并处没收违法所得，情节严重的，由工商行政管理机关（市场监督机关）吊销营业执照；构成犯罪的，依法追究刑事责任。</w:t>
      </w:r>
    </w:p>
    <w:p w14:paraId="20B54E09">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给采购人及他人造成损失的，应承担相应的赔偿责任。</w:t>
      </w:r>
    </w:p>
    <w:p w14:paraId="2EFD2B71">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w:t>
      </w:r>
      <w:r>
        <w:rPr>
          <w:rFonts w:hint="eastAsia" w:ascii="宋体" w:hAnsi="宋体"/>
          <w:color w:val="auto"/>
          <w:sz w:val="24"/>
          <w:szCs w:val="24"/>
          <w:highlight w:val="none"/>
          <w:lang w:val="zh-CN"/>
        </w:rPr>
        <w:t>违约责任：</w:t>
      </w:r>
    </w:p>
    <w:p w14:paraId="0C3CD9B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3.5.5.2.1 已中标的，中标（成交）无效；</w:t>
      </w:r>
    </w:p>
    <w:p w14:paraId="30CFC13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3.5.5.2.2 支付采购人违约标的预算金额2%的</w:t>
      </w:r>
      <w:r>
        <w:rPr>
          <w:rFonts w:hint="eastAsia" w:ascii="宋体" w:hAnsi="宋体"/>
          <w:color w:val="auto"/>
          <w:sz w:val="24"/>
          <w:szCs w:val="24"/>
          <w:highlight w:val="none"/>
          <w:lang w:val="zh-CN"/>
        </w:rPr>
        <w:t>违约金</w:t>
      </w:r>
      <w:r>
        <w:rPr>
          <w:rFonts w:hint="eastAsia" w:ascii="宋体" w:hAnsi="宋体"/>
          <w:color w:val="auto"/>
          <w:sz w:val="24"/>
          <w:szCs w:val="24"/>
          <w:highlight w:val="none"/>
        </w:rPr>
        <w:t>；</w:t>
      </w:r>
    </w:p>
    <w:p w14:paraId="5B2E6CF3">
      <w:pPr>
        <w:widowControl w:val="0"/>
        <w:tabs>
          <w:tab w:val="left" w:pos="65"/>
        </w:tabs>
        <w:spacing w:line="460" w:lineRule="atLeast"/>
        <w:ind w:firstLine="480" w:firstLineChars="200"/>
        <w:textAlignment w:val="auto"/>
        <w:rPr>
          <w:rFonts w:ascii="宋体" w:cs="楷体_GB2312"/>
          <w:color w:val="auto"/>
          <w:sz w:val="24"/>
          <w:highlight w:val="none"/>
          <w:lang w:val="zh-CN"/>
        </w:rPr>
      </w:pPr>
      <w:r>
        <w:rPr>
          <w:rFonts w:hint="eastAsia" w:ascii="宋体" w:hAnsi="宋体"/>
          <w:color w:val="auto"/>
          <w:sz w:val="24"/>
          <w:szCs w:val="24"/>
          <w:highlight w:val="none"/>
        </w:rPr>
        <w:t>3.5.5.2.3中标后未缴中标服</w:t>
      </w:r>
      <w:r>
        <w:rPr>
          <w:rFonts w:hint="eastAsia"/>
          <w:color w:val="auto"/>
          <w:sz w:val="24"/>
          <w:highlight w:val="none"/>
        </w:rPr>
        <w:t>务费的，作为违约及违背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原则，在履行承诺前，代理机构将视该单位为失信企业、不予办理其后相关业务。</w:t>
      </w:r>
    </w:p>
    <w:p w14:paraId="4ADC337D">
      <w:pPr>
        <w:autoSpaceDE w:val="0"/>
        <w:autoSpaceDN w:val="0"/>
        <w:adjustRightInd w:val="0"/>
        <w:spacing w:beforeLines="50" w:line="360" w:lineRule="auto"/>
        <w:ind w:firstLine="539"/>
        <w:rPr>
          <w:rFonts w:ascii="黑体" w:hAnsi="黑体" w:eastAsia="黑体" w:cs="楷体_GB2312"/>
          <w:b/>
          <w:bCs/>
          <w:color w:val="auto"/>
          <w:sz w:val="28"/>
          <w:szCs w:val="28"/>
          <w:highlight w:val="none"/>
          <w:lang w:val="zh-CN"/>
        </w:rPr>
      </w:pPr>
      <w:r>
        <w:rPr>
          <w:rFonts w:ascii="黑体" w:hAnsi="黑体" w:eastAsia="黑体" w:cs="楷体_GB2312"/>
          <w:b/>
          <w:color w:val="auto"/>
          <w:sz w:val="24"/>
          <w:highlight w:val="none"/>
          <w:lang w:val="zh-CN"/>
        </w:rPr>
        <w:t xml:space="preserve">3.6 </w:t>
      </w:r>
      <w:r>
        <w:rPr>
          <w:rFonts w:hint="eastAsia" w:ascii="黑体" w:hAnsi="黑体" w:eastAsia="黑体" w:cs="楷体_GB2312"/>
          <w:b/>
          <w:color w:val="auto"/>
          <w:sz w:val="24"/>
          <w:highlight w:val="none"/>
          <w:lang w:val="zh-CN"/>
        </w:rPr>
        <w:t>投标资格文件：</w:t>
      </w:r>
      <w:r>
        <w:rPr>
          <w:rFonts w:hint="eastAsia" w:ascii="宋体" w:hAnsi="宋体" w:cs="楷体_GB2312"/>
          <w:color w:val="auto"/>
          <w:sz w:val="24"/>
          <w:highlight w:val="none"/>
          <w:lang w:val="zh-CN"/>
        </w:rPr>
        <w:t>要求见谈判公告</w:t>
      </w:r>
    </w:p>
    <w:p w14:paraId="7FEED90F">
      <w:pPr>
        <w:topLinePunct/>
        <w:adjustRightInd w:val="0"/>
        <w:snapToGrid w:val="0"/>
        <w:spacing w:beforeLines="50" w:line="300" w:lineRule="auto"/>
        <w:ind w:left="561" w:leftChars="267" w:firstLine="5" w:firstLineChars="2"/>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3.7</w:t>
      </w:r>
      <w:r>
        <w:rPr>
          <w:rFonts w:hint="eastAsia" w:ascii="黑体" w:hAnsi="黑体" w:eastAsia="黑体" w:cs="楷体_GB2312"/>
          <w:b/>
          <w:color w:val="auto"/>
          <w:sz w:val="24"/>
          <w:highlight w:val="none"/>
          <w:lang w:val="zh-CN"/>
        </w:rPr>
        <w:t>投标文件的编制</w:t>
      </w:r>
    </w:p>
    <w:p w14:paraId="1BEA1BAE">
      <w:pPr>
        <w:topLinePunct/>
        <w:adjustRightInd w:val="0"/>
        <w:snapToGrid w:val="0"/>
        <w:spacing w:beforeLines="50" w:line="300" w:lineRule="auto"/>
        <w:ind w:firstLine="564" w:firstLineChars="235"/>
        <w:rPr>
          <w:rFonts w:ascii="宋体" w:hAnsi="宋体" w:cs="楷体_GB2312"/>
          <w:color w:val="auto"/>
          <w:sz w:val="24"/>
          <w:highlight w:val="none"/>
          <w:lang w:val="zh-CN"/>
        </w:rPr>
      </w:pPr>
      <w:r>
        <w:rPr>
          <w:rFonts w:ascii="宋体" w:hAnsi="宋体" w:cs="楷体_GB2312"/>
          <w:color w:val="auto"/>
          <w:sz w:val="24"/>
          <w:highlight w:val="none"/>
          <w:lang w:val="zh-CN"/>
        </w:rPr>
        <w:t>3.7.1</w:t>
      </w:r>
      <w:r>
        <w:rPr>
          <w:rFonts w:hint="eastAsia" w:ascii="宋体" w:hAnsi="宋体" w:cs="楷体_GB2312"/>
          <w:color w:val="auto"/>
          <w:sz w:val="24"/>
          <w:highlight w:val="none"/>
          <w:lang w:val="zh-CN"/>
        </w:rPr>
        <w:t>投标文件（响应文件）应按第六章“投标文件格式”进行编写，如有必要，可以增加附页，作为投标文件（响应文件）的组成部分。谈判文件中未列明格式的，由投标人按一般通用格式自行设计编写。</w:t>
      </w:r>
    </w:p>
    <w:p w14:paraId="34B08667">
      <w:pPr>
        <w:widowControl w:val="0"/>
        <w:adjustRightInd w:val="0"/>
        <w:spacing w:beforeLines="50" w:line="30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投标文件编制后，</w:t>
      </w:r>
      <w:r>
        <w:rPr>
          <w:rFonts w:hint="eastAsia" w:ascii="宋体" w:hAnsi="宋体"/>
          <w:color w:val="auto"/>
          <w:sz w:val="24"/>
          <w:szCs w:val="24"/>
          <w:highlight w:val="none"/>
        </w:rPr>
        <w:t>投标人应在投标截止时间前上传加密的电子投标文件（*.aytf）到安阳县公共资源交易平台。上传时投标人须使用制作该投标文件的同一CA锁进行上传操作。请投标人在上传时认真检查上传投标文件是否完整、正确。投标人应充分考虑上传文件时的不可预见因素，未在投标截止时间前完成上传的，视为逾期送达，安阳县公共资源交易平台将拒绝接收。</w:t>
      </w:r>
    </w:p>
    <w:p w14:paraId="46859A69">
      <w:pPr>
        <w:topLinePunct/>
        <w:adjustRightInd w:val="0"/>
        <w:snapToGrid w:val="0"/>
        <w:spacing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 xml:space="preserve">3.7.2 </w:t>
      </w:r>
      <w:r>
        <w:rPr>
          <w:rFonts w:hint="eastAsia" w:ascii="宋体" w:hAnsi="宋体" w:cs="楷体_GB2312"/>
          <w:color w:val="auto"/>
          <w:sz w:val="24"/>
          <w:highlight w:val="none"/>
          <w:lang w:val="zh-CN"/>
        </w:rPr>
        <w:t>“投标文件格式”仅为对投标文件（响应文件）部分内容的格式化规范，并非投标文件所应具备的全部内容。投标人应按本章“</w:t>
      </w:r>
      <w:r>
        <w:rPr>
          <w:rFonts w:ascii="宋体" w:hAnsi="宋体" w:cs="楷体_GB2312"/>
          <w:color w:val="auto"/>
          <w:sz w:val="24"/>
          <w:highlight w:val="none"/>
          <w:lang w:val="zh-CN"/>
        </w:rPr>
        <w:t>3.2</w:t>
      </w:r>
      <w:r>
        <w:rPr>
          <w:rFonts w:hint="eastAsia" w:ascii="宋体" w:hAnsi="宋体" w:cs="楷体_GB2312"/>
          <w:color w:val="auto"/>
          <w:sz w:val="24"/>
          <w:highlight w:val="none"/>
          <w:lang w:val="zh-CN"/>
        </w:rPr>
        <w:t>投标文件的组成”列示内容编制投标文件（响应文件）。</w:t>
      </w:r>
    </w:p>
    <w:p w14:paraId="6EB335FD">
      <w:pPr>
        <w:adjustRightInd w:val="0"/>
        <w:snapToGrid w:val="0"/>
        <w:spacing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w:t>
      </w:r>
      <w:r>
        <w:rPr>
          <w:rFonts w:asci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投标文件（响应文件）应当对谈判文件有关标段（包）内容（范围）、技术要求、售后服务、交验期、投标有效期等实质性内容作出响应。在满足谈判文件实质性要求的基础上，可以提出比谈判文件要求更有利于采购人的承诺。并符合谈判文件偏差规定。</w:t>
      </w:r>
    </w:p>
    <w:p w14:paraId="54D9D028">
      <w:pPr>
        <w:adjustRightInd w:val="0"/>
        <w:snapToGrid w:val="0"/>
        <w:spacing w:beforeLines="50" w:line="300" w:lineRule="auto"/>
        <w:ind w:firstLine="480" w:firstLineChars="200"/>
        <w:rPr>
          <w:rFonts w:ascii="宋体" w:cs="楷体_GB2312"/>
          <w:color w:val="auto"/>
          <w:sz w:val="24"/>
          <w:highlight w:val="none"/>
          <w:lang w:val="zh-CN"/>
        </w:rPr>
      </w:pPr>
      <w:r>
        <w:rPr>
          <w:rFonts w:hint="eastAsia" w:ascii="宋体" w:hAnsi="宋体" w:cs="楷体_GB2312"/>
          <w:color w:val="auto"/>
          <w:sz w:val="24"/>
          <w:highlight w:val="none"/>
          <w:lang w:val="zh-CN"/>
        </w:rPr>
        <w:t>投标文件（响应文件）的所有条款与谈判文件要求有任何不同之处，应按《技术偏差表》、《其他偏差表》格式逐一填列。投标文件（响应文件）与谈判文件所有要求存在偏差而未填列的，谈判小组有权按照实质性判断原则（实质性要求和实质性响应两因素）评定其为</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。投标人应认真编制投标文件（响应文件）并自负此项风险。</w:t>
      </w:r>
    </w:p>
    <w:p w14:paraId="4EAE3B29">
      <w:pPr>
        <w:autoSpaceDE w:val="0"/>
        <w:autoSpaceDN w:val="0"/>
        <w:adjustRightInd w:val="0"/>
        <w:snapToGrid w:val="0"/>
        <w:spacing w:beforeLines="50" w:line="300" w:lineRule="auto"/>
        <w:ind w:firstLine="539"/>
        <w:rPr>
          <w:rFonts w:ascii="宋体" w:cs="楷体_GB2312"/>
          <w:b/>
          <w:color w:val="auto"/>
          <w:sz w:val="24"/>
          <w:highlight w:val="none"/>
        </w:rPr>
      </w:pPr>
      <w:r>
        <w:rPr>
          <w:rFonts w:ascii="宋体" w:hAnsi="宋体" w:cs="楷体_GB2312"/>
          <w:b/>
          <w:color w:val="auto"/>
          <w:sz w:val="24"/>
          <w:highlight w:val="none"/>
          <w:lang w:val="zh-CN"/>
        </w:rPr>
        <w:t>3.7.</w:t>
      </w:r>
      <w:r>
        <w:rPr>
          <w:rFonts w:hint="eastAsia" w:ascii="宋体" w:hAnsi="宋体" w:cs="楷体_GB2312"/>
          <w:b/>
          <w:color w:val="auto"/>
          <w:sz w:val="24"/>
          <w:highlight w:val="none"/>
          <w:lang w:val="zh-CN"/>
        </w:rPr>
        <w:t>4投标文件（响应文件）</w:t>
      </w:r>
      <w:r>
        <w:rPr>
          <w:rFonts w:hint="eastAsia" w:ascii="宋体" w:hAnsi="宋体" w:cs="楷体_GB2312"/>
          <w:b/>
          <w:color w:val="auto"/>
          <w:sz w:val="24"/>
          <w:highlight w:val="none"/>
        </w:rPr>
        <w:t>应</w:t>
      </w:r>
      <w:r>
        <w:rPr>
          <w:rFonts w:hint="eastAsia" w:ascii="宋体" w:hAnsi="宋体" w:cs="楷体_GB2312"/>
          <w:b/>
          <w:color w:val="auto"/>
          <w:sz w:val="24"/>
          <w:highlight w:val="none"/>
          <w:lang w:val="zh-CN"/>
        </w:rPr>
        <w:t>按谈判文件相关要求（含格式上标注的要求）、</w:t>
      </w:r>
      <w:r>
        <w:rPr>
          <w:rFonts w:hint="eastAsia" w:ascii="宋体" w:hAnsi="宋体" w:cs="楷体_GB2312"/>
          <w:b/>
          <w:color w:val="auto"/>
          <w:sz w:val="24"/>
          <w:highlight w:val="none"/>
        </w:rPr>
        <w:t>使用供应商企业数字证书进行电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签章和供应商法定代表人数字证书进行电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签名（签章）、并加密，没有使用供应商企业数字证书和供应商法定代表人数字证书进行电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签名（签章）并加密的响应文件，属于未按照谈判文件要求进行签署。</w:t>
      </w:r>
    </w:p>
    <w:p w14:paraId="074C245C">
      <w:pPr>
        <w:autoSpaceDE w:val="0"/>
        <w:autoSpaceDN w:val="0"/>
        <w:adjustRightInd w:val="0"/>
        <w:snapToGrid w:val="0"/>
        <w:spacing w:beforeLines="50" w:line="300" w:lineRule="auto"/>
        <w:ind w:firstLine="539"/>
        <w:rPr>
          <w:rFonts w:ascii="宋体" w:cs="楷体_GB2312"/>
          <w:color w:val="auto"/>
          <w:sz w:val="24"/>
          <w:highlight w:val="none"/>
        </w:rPr>
      </w:pPr>
      <w:r>
        <w:rPr>
          <w:rFonts w:hint="eastAsia" w:ascii="宋体" w:hAnsi="宋体" w:cs="楷体_GB2312"/>
          <w:b/>
          <w:color w:val="auto"/>
          <w:sz w:val="24"/>
          <w:highlight w:val="none"/>
        </w:rPr>
        <w:t>根据《中华人民共和国电子签名法》规定，可靠的电子签名与手写签名或者盖章具有同等的法律效力。本次采购活动中，供应商使用有效的企业数字证书对响应文件进行电子签章与加盖投标</w:t>
      </w:r>
      <w:r>
        <w:rPr>
          <w:rFonts w:ascii="宋体" w:hAnsi="宋体" w:cs="楷体_GB2312"/>
          <w:b/>
          <w:color w:val="auto"/>
          <w:sz w:val="24"/>
          <w:highlight w:val="none"/>
        </w:rPr>
        <w:t>人公</w:t>
      </w:r>
      <w:r>
        <w:rPr>
          <w:rFonts w:hint="eastAsia" w:ascii="宋体" w:hAnsi="宋体" w:cs="楷体_GB2312"/>
          <w:b/>
          <w:color w:val="auto"/>
          <w:sz w:val="24"/>
          <w:highlight w:val="none"/>
        </w:rPr>
        <w:t>章具有同等法律效力；供应商法定代表人使用有效的个人数字证书对响应文件进行签名（签章）与法人签章具有同等法律效力。</w:t>
      </w:r>
    </w:p>
    <w:p w14:paraId="0B89B3C7">
      <w:pPr>
        <w:adjustRightInd w:val="0"/>
        <w:snapToGrid w:val="0"/>
        <w:spacing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3.7.5</w:t>
      </w:r>
      <w:r>
        <w:rPr>
          <w:rFonts w:hint="eastAsia" w:ascii="宋体" w:hAnsi="宋体" w:cs="楷体_GB2312"/>
          <w:color w:val="auto"/>
          <w:sz w:val="24"/>
          <w:highlight w:val="none"/>
          <w:lang w:val="zh-CN"/>
        </w:rPr>
        <w:t>投标人可对本谈判文件“标段（包）一览表”中所列的所有标段（包）进行分别投标，也可选择其中一个标段（包）或几个标段（包）投标，但不得将谈判文件规定的同一标段（包）的内容拆开投标，否则将按</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处理。</w:t>
      </w:r>
    </w:p>
    <w:p w14:paraId="7C58A957">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3.7.6 </w:t>
      </w:r>
      <w:r>
        <w:rPr>
          <w:rFonts w:hint="eastAsia" w:ascii="宋体" w:hAnsi="宋体" w:cs="楷体_GB2312"/>
          <w:color w:val="auto"/>
          <w:sz w:val="24"/>
          <w:highlight w:val="none"/>
          <w:lang w:val="zh-CN"/>
        </w:rPr>
        <w:t>投标文件（响应文件）因字迹或表述不清所引起的后果由投标人自行负责。</w:t>
      </w:r>
    </w:p>
    <w:p w14:paraId="5A8021A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3.7.7 </w:t>
      </w:r>
      <w:r>
        <w:rPr>
          <w:rFonts w:hint="eastAsia" w:ascii="宋体" w:hAnsi="宋体" w:cs="楷体_GB2312"/>
          <w:color w:val="auto"/>
          <w:sz w:val="24"/>
          <w:highlight w:val="none"/>
          <w:lang w:val="zh-CN"/>
        </w:rPr>
        <w:t>未按上述要求提供的投标文件（响应文件）将视为</w:t>
      </w:r>
      <w:r>
        <w:rPr>
          <w:rFonts w:hint="eastAsia" w:ascii="宋体" w:hAnsi="宋体" w:cs="楷体_GB2312"/>
          <w:b/>
          <w:color w:val="auto"/>
          <w:sz w:val="24"/>
          <w:highlight w:val="none"/>
          <w:lang w:val="zh-CN"/>
        </w:rPr>
        <w:t>无效投标。</w:t>
      </w:r>
    </w:p>
    <w:p w14:paraId="5405962A">
      <w:pPr>
        <w:autoSpaceDE w:val="0"/>
        <w:autoSpaceDN w:val="0"/>
        <w:adjustRightInd w:val="0"/>
        <w:spacing w:line="360" w:lineRule="auto"/>
        <w:ind w:firstLine="539"/>
        <w:rPr>
          <w:rFonts w:ascii="黑体" w:hAnsi="黑体" w:eastAsia="黑体" w:cs="楷体_GB2312"/>
          <w:b/>
          <w:bCs/>
          <w:color w:val="auto"/>
          <w:sz w:val="28"/>
          <w:szCs w:val="28"/>
          <w:highlight w:val="none"/>
          <w:lang w:val="zh-CN"/>
        </w:rPr>
      </w:pPr>
    </w:p>
    <w:p w14:paraId="1ED6FE5C">
      <w:pPr>
        <w:autoSpaceDE w:val="0"/>
        <w:autoSpaceDN w:val="0"/>
        <w:adjustRightInd w:val="0"/>
        <w:snapToGrid w:val="0"/>
        <w:spacing w:beforeLines="50" w:line="300" w:lineRule="auto"/>
        <w:ind w:firstLine="539"/>
        <w:outlineLvl w:val="1"/>
        <w:rPr>
          <w:rFonts w:ascii="黑体" w:hAnsi="黑体" w:eastAsia="黑体" w:cs="楷体_GB2312"/>
          <w:b/>
          <w:bCs/>
          <w:color w:val="auto"/>
          <w:sz w:val="28"/>
          <w:szCs w:val="28"/>
          <w:highlight w:val="none"/>
          <w:lang w:val="zh-CN"/>
        </w:rPr>
      </w:pPr>
      <w:bookmarkStart w:id="29" w:name="_Toc209083633"/>
      <w:r>
        <w:rPr>
          <w:rFonts w:ascii="黑体" w:hAnsi="黑体" w:eastAsia="黑体" w:cs="楷体_GB2312"/>
          <w:b/>
          <w:bCs/>
          <w:color w:val="auto"/>
          <w:sz w:val="28"/>
          <w:szCs w:val="28"/>
          <w:highlight w:val="none"/>
          <w:lang w:val="zh-CN"/>
        </w:rPr>
        <w:t xml:space="preserve">4. </w:t>
      </w:r>
      <w:r>
        <w:rPr>
          <w:rFonts w:hint="eastAsia" w:ascii="黑体" w:hAnsi="黑体" w:eastAsia="黑体" w:cs="楷体_GB2312"/>
          <w:b/>
          <w:bCs/>
          <w:color w:val="auto"/>
          <w:sz w:val="28"/>
          <w:szCs w:val="28"/>
          <w:highlight w:val="none"/>
          <w:lang w:val="zh-CN"/>
        </w:rPr>
        <w:t>投标（响应文件的递交）</w:t>
      </w:r>
      <w:bookmarkEnd w:id="29"/>
    </w:p>
    <w:p w14:paraId="57116D38">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4.1 </w:t>
      </w:r>
      <w:r>
        <w:rPr>
          <w:rFonts w:hint="eastAsia" w:ascii="黑体" w:hAnsi="黑体" w:eastAsia="黑体" w:cs="楷体_GB2312"/>
          <w:b/>
          <w:color w:val="auto"/>
          <w:sz w:val="24"/>
          <w:highlight w:val="none"/>
          <w:lang w:val="zh-CN"/>
        </w:rPr>
        <w:t>投标文件（响应文件）的加</w:t>
      </w:r>
      <w:r>
        <w:rPr>
          <w:rFonts w:ascii="黑体" w:hAnsi="黑体" w:eastAsia="黑体" w:cs="楷体_GB2312"/>
          <w:b/>
          <w:color w:val="auto"/>
          <w:sz w:val="24"/>
          <w:highlight w:val="none"/>
          <w:lang w:val="zh-CN"/>
        </w:rPr>
        <w:t>密</w:t>
      </w:r>
      <w:r>
        <w:rPr>
          <w:rFonts w:hint="eastAsia" w:ascii="黑体" w:hAnsi="黑体" w:eastAsia="黑体" w:cs="楷体_GB2312"/>
          <w:b/>
          <w:color w:val="auto"/>
          <w:sz w:val="24"/>
          <w:highlight w:val="none"/>
          <w:lang w:val="zh-CN"/>
        </w:rPr>
        <w:t>和标记：</w:t>
      </w:r>
    </w:p>
    <w:p w14:paraId="671C9802">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bookmarkStart w:id="30" w:name="OLE_LINK2"/>
      <w:r>
        <w:rPr>
          <w:rFonts w:ascii="宋体" w:hAnsi="宋体" w:cs="楷体_GB2312"/>
          <w:b/>
          <w:color w:val="auto"/>
          <w:sz w:val="24"/>
          <w:highlight w:val="none"/>
          <w:lang w:val="zh-CN"/>
        </w:rPr>
        <w:t xml:space="preserve">4.1.1 </w:t>
      </w:r>
      <w:r>
        <w:rPr>
          <w:rFonts w:hint="eastAsia" w:ascii="宋体" w:hAnsi="宋体" w:cs="楷体_GB2312"/>
          <w:b/>
          <w:color w:val="auto"/>
          <w:sz w:val="24"/>
          <w:highlight w:val="none"/>
          <w:lang w:val="zh-CN"/>
        </w:rPr>
        <w:t>投标文件（响应文件）应</w:t>
      </w:r>
      <w:r>
        <w:rPr>
          <w:rFonts w:ascii="宋体" w:hAnsi="宋体" w:cs="楷体_GB2312"/>
          <w:b/>
          <w:color w:val="auto"/>
          <w:sz w:val="24"/>
          <w:highlight w:val="none"/>
          <w:lang w:val="zh-CN"/>
        </w:rPr>
        <w:t>当</w:t>
      </w:r>
      <w:r>
        <w:rPr>
          <w:rFonts w:hint="eastAsia" w:ascii="宋体" w:hAnsi="宋体" w:cs="楷体_GB2312"/>
          <w:b/>
          <w:color w:val="auto"/>
          <w:sz w:val="24"/>
          <w:highlight w:val="none"/>
          <w:lang w:val="zh-CN"/>
        </w:rPr>
        <w:t>按网上电子交易系统要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进行</w:t>
      </w:r>
      <w:r>
        <w:rPr>
          <w:rFonts w:ascii="宋体" w:hAnsi="宋体" w:cs="楷体_GB2312"/>
          <w:b/>
          <w:color w:val="auto"/>
          <w:sz w:val="24"/>
          <w:highlight w:val="none"/>
          <w:lang w:val="zh-CN"/>
        </w:rPr>
        <w:t>加密</w:t>
      </w:r>
      <w:r>
        <w:rPr>
          <w:rFonts w:hint="eastAsia" w:ascii="宋体" w:hAnsi="宋体" w:cs="楷体_GB2312"/>
          <w:b/>
          <w:color w:val="auto"/>
          <w:sz w:val="24"/>
          <w:highlight w:val="none"/>
          <w:lang w:val="zh-CN"/>
        </w:rPr>
        <w:t>和标记，</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投标文件（响应文件）提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截止时间前，将</w:t>
      </w:r>
      <w:r>
        <w:rPr>
          <w:rFonts w:ascii="宋体" w:hAnsi="宋体" w:cs="楷体_GB2312"/>
          <w:b/>
          <w:color w:val="auto"/>
          <w:sz w:val="24"/>
          <w:highlight w:val="none"/>
          <w:lang w:val="zh-CN"/>
        </w:rPr>
        <w:t>加密的</w:t>
      </w:r>
      <w:r>
        <w:rPr>
          <w:rFonts w:hint="eastAsia" w:ascii="宋体" w:hAnsi="宋体" w:cs="楷体_GB2312"/>
          <w:b/>
          <w:color w:val="auto"/>
          <w:sz w:val="24"/>
          <w:highlight w:val="none"/>
          <w:lang w:val="zh-CN"/>
        </w:rPr>
        <w:t>投标文件（响应文件）</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传至谈判公告所述网上电子交易系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w:t>
      </w:r>
    </w:p>
    <w:p w14:paraId="5AD2C92E">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bookmarkStart w:id="31" w:name="OLE_LINK1"/>
      <w:r>
        <w:rPr>
          <w:rFonts w:ascii="宋体" w:hAnsi="宋体" w:cs="楷体_GB2312"/>
          <w:b/>
          <w:color w:val="auto"/>
          <w:sz w:val="24"/>
          <w:highlight w:val="none"/>
          <w:lang w:val="zh-CN"/>
        </w:rPr>
        <w:t xml:space="preserve">4.1.2 </w:t>
      </w:r>
      <w:r>
        <w:rPr>
          <w:rFonts w:hint="eastAsia" w:ascii="宋体" w:hAnsi="宋体" w:cs="楷体_GB2312"/>
          <w:b/>
          <w:color w:val="auto"/>
          <w:sz w:val="24"/>
          <w:highlight w:val="none"/>
          <w:lang w:val="zh-CN"/>
        </w:rPr>
        <w:t>投标文件（响应文件）没有按照上述要求进行</w:t>
      </w:r>
      <w:r>
        <w:rPr>
          <w:rFonts w:ascii="宋体" w:hAnsi="宋体" w:cs="楷体_GB2312"/>
          <w:b/>
          <w:color w:val="auto"/>
          <w:sz w:val="24"/>
          <w:highlight w:val="none"/>
          <w:lang w:val="zh-CN"/>
        </w:rPr>
        <w:t>加密</w:t>
      </w:r>
      <w:r>
        <w:rPr>
          <w:rFonts w:hint="eastAsia" w:ascii="黑体" w:hAnsi="黑体" w:eastAsia="黑体" w:cs="楷体_GB2312"/>
          <w:b/>
          <w:color w:val="auto"/>
          <w:sz w:val="24"/>
          <w:highlight w:val="none"/>
          <w:lang w:val="zh-CN"/>
        </w:rPr>
        <w:t>和标记</w:t>
      </w:r>
      <w:r>
        <w:rPr>
          <w:rFonts w:hint="eastAsia" w:ascii="宋体" w:hAnsi="宋体" w:cs="楷体_GB2312"/>
          <w:b/>
          <w:color w:val="auto"/>
          <w:sz w:val="24"/>
          <w:highlight w:val="none"/>
          <w:lang w:val="zh-CN"/>
        </w:rPr>
        <w:t>的、网上电子交易系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将</w:t>
      </w:r>
      <w:r>
        <w:rPr>
          <w:rFonts w:ascii="宋体" w:hAnsi="宋体" w:cs="楷体_GB2312"/>
          <w:b/>
          <w:color w:val="auto"/>
          <w:sz w:val="24"/>
          <w:highlight w:val="none"/>
          <w:lang w:val="zh-CN"/>
        </w:rPr>
        <w:t>据系统设定</w:t>
      </w:r>
      <w:r>
        <w:rPr>
          <w:rFonts w:hint="eastAsia" w:ascii="宋体" w:hAnsi="宋体" w:cs="楷体_GB2312"/>
          <w:b/>
          <w:color w:val="auto"/>
          <w:sz w:val="24"/>
          <w:highlight w:val="none"/>
          <w:lang w:val="zh-CN"/>
        </w:rPr>
        <w:t>拒收其投标文件（响应文件），投标人应自负该项风险，采购代理机构对可能产</w:t>
      </w:r>
      <w:r>
        <w:rPr>
          <w:rFonts w:ascii="宋体" w:hAnsi="宋体" w:cs="楷体_GB2312"/>
          <w:b/>
          <w:color w:val="auto"/>
          <w:sz w:val="24"/>
          <w:highlight w:val="none"/>
          <w:lang w:val="zh-CN"/>
        </w:rPr>
        <w:t>生的</w:t>
      </w:r>
      <w:r>
        <w:rPr>
          <w:rFonts w:hint="eastAsia" w:ascii="宋体" w:hAnsi="宋体" w:cs="楷体_GB2312"/>
          <w:b/>
          <w:color w:val="auto"/>
          <w:sz w:val="24"/>
          <w:highlight w:val="none"/>
          <w:lang w:val="zh-CN"/>
        </w:rPr>
        <w:t>误投或提前启封概不负责。</w:t>
      </w:r>
      <w:bookmarkEnd w:id="30"/>
      <w:bookmarkEnd w:id="31"/>
      <w:bookmarkStart w:id="32" w:name="_Toc296602445"/>
    </w:p>
    <w:p w14:paraId="1D0DFD44">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4.2 </w:t>
      </w:r>
      <w:r>
        <w:rPr>
          <w:rFonts w:hint="eastAsia" w:ascii="黑体" w:hAnsi="黑体" w:eastAsia="黑体" w:cs="楷体_GB2312"/>
          <w:b/>
          <w:color w:val="auto"/>
          <w:sz w:val="24"/>
          <w:highlight w:val="none"/>
          <w:lang w:val="zh-CN"/>
        </w:rPr>
        <w:t>投标文件的递交</w:t>
      </w:r>
      <w:bookmarkEnd w:id="32"/>
    </w:p>
    <w:p w14:paraId="675EF9C4">
      <w:pPr>
        <w:autoSpaceDE w:val="0"/>
        <w:autoSpaceDN w:val="0"/>
        <w:adjustRightInd w:val="0"/>
        <w:snapToGrid w:val="0"/>
        <w:spacing w:beforeLines="50" w:line="300" w:lineRule="auto"/>
        <w:ind w:firstLine="539"/>
        <w:rPr>
          <w:rFonts w:ascii="宋体" w:hAnsi="宋体"/>
          <w:color w:val="auto"/>
          <w:sz w:val="24"/>
          <w:szCs w:val="24"/>
          <w:highlight w:val="none"/>
        </w:rPr>
      </w:pPr>
      <w:r>
        <w:rPr>
          <w:rFonts w:ascii="宋体" w:hAnsi="宋体" w:cs="楷体_GB2312"/>
          <w:b/>
          <w:color w:val="auto"/>
          <w:sz w:val="24"/>
          <w:highlight w:val="none"/>
          <w:lang w:val="zh-CN"/>
        </w:rPr>
        <w:t>4.2.1</w:t>
      </w:r>
      <w:r>
        <w:rPr>
          <w:rFonts w:hint="eastAsia" w:ascii="宋体" w:hAnsi="宋体"/>
          <w:color w:val="auto"/>
          <w:sz w:val="24"/>
          <w:szCs w:val="24"/>
          <w:highlight w:val="none"/>
        </w:rPr>
        <w:t>投标人应在投标截止时间前上传加密的电子投标文件（*.aytf）到安阳县公共资源交易平台。上传时投标人须使用制作该投标文件的同一CA锁进行上传操作。请投标人在上传时认真检查上传投标文件是否完整、正确。投标人应充分考虑上传文件时的不可预见因素，未在投标截止时间前完成上传的，视为逾期送达，安阳县公共资源交易平台将拒绝接收。</w:t>
      </w:r>
    </w:p>
    <w:p w14:paraId="50D50994">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4.2.2 </w:t>
      </w:r>
      <w:r>
        <w:rPr>
          <w:rFonts w:hint="eastAsia" w:ascii="宋体" w:hAnsi="宋体" w:cs="楷体_GB2312"/>
          <w:b/>
          <w:color w:val="auto"/>
          <w:sz w:val="24"/>
          <w:highlight w:val="none"/>
          <w:lang w:val="zh-CN"/>
        </w:rPr>
        <w:t>据网上电子交易系统设</w:t>
      </w:r>
      <w:r>
        <w:rPr>
          <w:rFonts w:ascii="宋体" w:hAnsi="宋体" w:cs="楷体_GB2312"/>
          <w:b/>
          <w:color w:val="auto"/>
          <w:sz w:val="24"/>
          <w:highlight w:val="none"/>
          <w:lang w:val="zh-CN"/>
        </w:rPr>
        <w:t>定，</w:t>
      </w:r>
      <w:r>
        <w:rPr>
          <w:rFonts w:hint="eastAsia" w:ascii="宋体" w:hAnsi="宋体" w:cs="楷体_GB2312"/>
          <w:b/>
          <w:color w:val="auto"/>
          <w:sz w:val="24"/>
          <w:highlight w:val="none"/>
          <w:lang w:val="zh-CN"/>
        </w:rPr>
        <w:t>投标文件（响应文件）提交截止时间后，系统将自动锁定已经提交的电子投标文件（响应文件），拒绝再次提交。投</w:t>
      </w:r>
      <w:r>
        <w:rPr>
          <w:rFonts w:ascii="宋体" w:hAnsi="宋体" w:cs="楷体_GB2312"/>
          <w:b/>
          <w:color w:val="auto"/>
          <w:sz w:val="24"/>
          <w:highlight w:val="none"/>
          <w:lang w:val="zh-CN"/>
        </w:rPr>
        <w:t>标人</w:t>
      </w:r>
      <w:r>
        <w:rPr>
          <w:rFonts w:hint="eastAsia" w:ascii="宋体" w:hAnsi="宋体" w:cs="楷体_GB2312"/>
          <w:b/>
          <w:color w:val="auto"/>
          <w:sz w:val="24"/>
          <w:highlight w:val="none"/>
          <w:lang w:val="zh-CN"/>
        </w:rPr>
        <w:t>将无法通过网上电子交易系统进行上传，采购代理机构将无法接受并拒绝接受投标截止时间以后提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的投标文件（响应文件）</w:t>
      </w:r>
    </w:p>
    <w:p w14:paraId="31594B18">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 xml:space="preserve">4.2.3 </w:t>
      </w:r>
      <w:r>
        <w:rPr>
          <w:rFonts w:hint="eastAsia" w:ascii="宋体" w:hAnsi="宋体" w:cs="楷体_GB2312"/>
          <w:color w:val="auto"/>
          <w:sz w:val="24"/>
          <w:highlight w:val="none"/>
          <w:lang w:val="zh-CN"/>
        </w:rPr>
        <w:t>由于不可抗拒的原因，代理机构对投标文件（响应文件）的遗失和损坏不负任何责任。</w:t>
      </w:r>
    </w:p>
    <w:p w14:paraId="185C3F57">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4.2.4 </w:t>
      </w:r>
      <w:r>
        <w:rPr>
          <w:rFonts w:hint="eastAsia" w:ascii="宋体" w:hAnsi="宋体" w:cs="楷体_GB2312"/>
          <w:color w:val="auto"/>
          <w:sz w:val="24"/>
          <w:highlight w:val="none"/>
          <w:lang w:val="zh-CN"/>
        </w:rPr>
        <w:t>除投标人须知前附表另有规定外，投标人所递交的投标文件（响应文件）不予退还。</w:t>
      </w:r>
    </w:p>
    <w:p w14:paraId="44F2450F">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4.2.5 </w:t>
      </w:r>
      <w:r>
        <w:rPr>
          <w:rFonts w:hint="eastAsia" w:ascii="宋体" w:hAnsi="宋体" w:cs="楷体_GB2312"/>
          <w:b/>
          <w:color w:val="auto"/>
          <w:sz w:val="24"/>
          <w:highlight w:val="none"/>
          <w:lang w:val="zh-CN"/>
        </w:rPr>
        <w:t>基于</w:t>
      </w:r>
      <w:r>
        <w:rPr>
          <w:rFonts w:ascii="宋体" w:hAnsi="宋体" w:cs="楷体_GB2312"/>
          <w:b/>
          <w:color w:val="auto"/>
          <w:sz w:val="24"/>
          <w:highlight w:val="none"/>
          <w:lang w:val="zh-CN"/>
        </w:rPr>
        <w:t>网上电子交易的</w:t>
      </w:r>
      <w:r>
        <w:rPr>
          <w:rFonts w:hint="eastAsia" w:ascii="宋体" w:hAnsi="宋体" w:cs="楷体_GB2312"/>
          <w:b/>
          <w:color w:val="auto"/>
          <w:sz w:val="24"/>
          <w:highlight w:val="none"/>
          <w:lang w:val="zh-CN"/>
        </w:rPr>
        <w:t>系统</w:t>
      </w:r>
      <w:r>
        <w:rPr>
          <w:rFonts w:ascii="宋体" w:hAnsi="宋体" w:cs="楷体_GB2312"/>
          <w:b/>
          <w:color w:val="auto"/>
          <w:sz w:val="24"/>
          <w:highlight w:val="none"/>
          <w:lang w:val="zh-CN"/>
        </w:rPr>
        <w:t>要求及</w:t>
      </w:r>
      <w:r>
        <w:rPr>
          <w:rFonts w:hint="eastAsia" w:ascii="宋体" w:hAnsi="宋体" w:cs="楷体_GB2312"/>
          <w:b/>
          <w:color w:val="auto"/>
          <w:sz w:val="24"/>
          <w:highlight w:val="none"/>
          <w:lang w:val="zh-CN"/>
        </w:rPr>
        <w:t>特点</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只</w:t>
      </w:r>
      <w:r>
        <w:rPr>
          <w:rFonts w:ascii="宋体" w:hAnsi="宋体" w:cs="楷体_GB2312"/>
          <w:b/>
          <w:color w:val="auto"/>
          <w:sz w:val="24"/>
          <w:highlight w:val="none"/>
          <w:lang w:val="zh-CN"/>
        </w:rPr>
        <w:t>接受基于</w:t>
      </w:r>
      <w:r>
        <w:rPr>
          <w:rFonts w:hint="eastAsia" w:ascii="宋体" w:hAnsi="宋体" w:cs="楷体_GB2312"/>
          <w:b/>
          <w:color w:val="auto"/>
          <w:sz w:val="24"/>
          <w:highlight w:val="none"/>
          <w:lang w:val="zh-CN"/>
        </w:rPr>
        <w:t>符</w:t>
      </w:r>
      <w:r>
        <w:rPr>
          <w:rFonts w:ascii="宋体" w:hAnsi="宋体" w:cs="楷体_GB2312"/>
          <w:b/>
          <w:color w:val="auto"/>
          <w:sz w:val="24"/>
          <w:highlight w:val="none"/>
          <w:lang w:val="zh-CN"/>
        </w:rPr>
        <w:t>合</w:t>
      </w:r>
      <w:r>
        <w:rPr>
          <w:rFonts w:hint="eastAsia" w:ascii="宋体" w:hAnsi="宋体" w:cs="楷体_GB2312"/>
          <w:b/>
          <w:color w:val="auto"/>
          <w:sz w:val="24"/>
          <w:highlight w:val="none"/>
          <w:lang w:val="zh-CN"/>
        </w:rPr>
        <w:t>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的</w:t>
      </w:r>
      <w:r>
        <w:rPr>
          <w:rFonts w:ascii="宋体" w:hAnsi="宋体" w:cs="楷体_GB2312"/>
          <w:b/>
          <w:color w:val="auto"/>
          <w:sz w:val="24"/>
          <w:highlight w:val="none"/>
          <w:lang w:val="zh-CN"/>
        </w:rPr>
        <w:t>投标</w:t>
      </w:r>
      <w:r>
        <w:rPr>
          <w:rFonts w:hint="eastAsia" w:ascii="宋体" w:hAnsi="宋体" w:cs="楷体_GB2312"/>
          <w:b/>
          <w:color w:val="auto"/>
          <w:sz w:val="24"/>
          <w:highlight w:val="none"/>
          <w:lang w:val="zh-CN"/>
        </w:rPr>
        <w:t>，</w:t>
      </w:r>
      <w:r>
        <w:rPr>
          <w:rFonts w:ascii="宋体" w:hAnsi="宋体" w:cs="楷体_GB2312"/>
          <w:b/>
          <w:color w:val="auto"/>
          <w:sz w:val="24"/>
          <w:highlight w:val="none"/>
          <w:lang w:val="zh-CN"/>
        </w:rPr>
        <w:t>其他如纸制、送达、</w:t>
      </w:r>
      <w:r>
        <w:rPr>
          <w:rFonts w:hint="eastAsia" w:ascii="宋体" w:hAnsi="宋体" w:cs="楷体_GB2312"/>
          <w:b/>
          <w:color w:val="auto"/>
          <w:sz w:val="24"/>
          <w:highlight w:val="none"/>
          <w:lang w:val="zh-CN"/>
        </w:rPr>
        <w:t>电报、电话、电子邮件等形式的投标概不接受。</w:t>
      </w:r>
    </w:p>
    <w:p w14:paraId="06405850">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4.3 </w:t>
      </w:r>
      <w:r>
        <w:rPr>
          <w:rFonts w:hint="eastAsia" w:ascii="黑体" w:hAnsi="黑体" w:eastAsia="黑体" w:cs="楷体_GB2312"/>
          <w:b/>
          <w:color w:val="auto"/>
          <w:sz w:val="24"/>
          <w:highlight w:val="none"/>
          <w:lang w:val="zh-CN"/>
        </w:rPr>
        <w:t>投标文件（响应文件）的修改与撤回</w:t>
      </w:r>
      <w:r>
        <w:rPr>
          <w:rFonts w:hint="eastAsia" w:ascii="宋体" w:hAnsi="宋体" w:cs="楷体_GB2312"/>
          <w:color w:val="auto"/>
          <w:sz w:val="24"/>
          <w:highlight w:val="none"/>
          <w:lang w:val="zh-CN"/>
        </w:rPr>
        <w:t>：</w:t>
      </w:r>
    </w:p>
    <w:p w14:paraId="04F37A92">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4.3.1</w:t>
      </w:r>
      <w:r>
        <w:rPr>
          <w:rFonts w:hint="eastAsia" w:ascii="宋体" w:hAnsi="宋体" w:cs="楷体_GB2312"/>
          <w:b/>
          <w:color w:val="auto"/>
          <w:sz w:val="24"/>
          <w:highlight w:val="none"/>
          <w:lang w:val="zh-CN"/>
        </w:rPr>
        <w:t xml:space="preserve"> 投标人于提交投标文件（响应文件）截止时间前如对投标文件进行补充、修改，可以上传新的投标文件进行覆盖。投标人如撤回投标文件，应及时书面通知采购代理机构进行办理。</w:t>
      </w:r>
    </w:p>
    <w:p w14:paraId="3A83E793">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w:t>
      </w:r>
      <w:r>
        <w:rPr>
          <w:rFonts w:hint="eastAsia" w:ascii="宋体" w:hAnsi="宋体" w:cs="楷体_GB2312"/>
          <w:b/>
          <w:color w:val="auto"/>
          <w:sz w:val="24"/>
          <w:highlight w:val="none"/>
          <w:lang w:val="zh-CN"/>
        </w:rPr>
        <w:t>2 投标人在投标文件（响应文件）提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截止时间后不得自行修改或撤回其投标，否则</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p>
    <w:p w14:paraId="59739D1A">
      <w:pPr>
        <w:autoSpaceDE w:val="0"/>
        <w:autoSpaceDN w:val="0"/>
        <w:adjustRightInd w:val="0"/>
        <w:snapToGrid w:val="0"/>
        <w:spacing w:beforeLines="50" w:line="300" w:lineRule="auto"/>
        <w:ind w:firstLine="539"/>
        <w:rPr>
          <w:rFonts w:ascii="宋体" w:cs="楷体_GB2312"/>
          <w:color w:val="auto"/>
          <w:sz w:val="24"/>
          <w:highlight w:val="none"/>
          <w:lang w:val="zh-CN"/>
        </w:rPr>
      </w:pPr>
    </w:p>
    <w:p w14:paraId="53014568">
      <w:pPr>
        <w:autoSpaceDE w:val="0"/>
        <w:autoSpaceDN w:val="0"/>
        <w:adjustRightInd w:val="0"/>
        <w:snapToGrid w:val="0"/>
        <w:spacing w:beforeLines="50" w:line="300" w:lineRule="auto"/>
        <w:ind w:firstLine="539"/>
        <w:outlineLvl w:val="1"/>
        <w:rPr>
          <w:rFonts w:ascii="宋体" w:cs="楷体_GB2312"/>
          <w:color w:val="auto"/>
          <w:sz w:val="24"/>
          <w:highlight w:val="none"/>
          <w:lang w:val="zh-CN"/>
        </w:rPr>
      </w:pPr>
      <w:bookmarkStart w:id="33" w:name="_Toc209083634"/>
      <w:r>
        <w:rPr>
          <w:rFonts w:ascii="黑体" w:hAnsi="黑体" w:eastAsia="黑体" w:cs="楷体_GB2312"/>
          <w:b/>
          <w:bCs/>
          <w:color w:val="auto"/>
          <w:sz w:val="28"/>
          <w:szCs w:val="28"/>
          <w:highlight w:val="none"/>
          <w:lang w:val="zh-CN"/>
        </w:rPr>
        <w:t xml:space="preserve">5. </w:t>
      </w:r>
      <w:r>
        <w:rPr>
          <w:rFonts w:hint="eastAsia" w:ascii="黑体" w:hAnsi="黑体" w:eastAsia="黑体" w:cs="楷体_GB2312"/>
          <w:b/>
          <w:bCs/>
          <w:color w:val="auto"/>
          <w:sz w:val="28"/>
          <w:szCs w:val="28"/>
          <w:highlight w:val="none"/>
          <w:lang w:val="zh-CN"/>
        </w:rPr>
        <w:t>开标（响应文件的开启）</w:t>
      </w:r>
      <w:bookmarkEnd w:id="33"/>
    </w:p>
    <w:p w14:paraId="3FDC74D7">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5.1 </w:t>
      </w:r>
      <w:r>
        <w:rPr>
          <w:rFonts w:hint="eastAsia" w:ascii="黑体" w:hAnsi="黑体" w:eastAsia="黑体" w:cs="楷体_GB2312"/>
          <w:b/>
          <w:color w:val="auto"/>
          <w:sz w:val="24"/>
          <w:highlight w:val="none"/>
          <w:lang w:val="zh-CN"/>
        </w:rPr>
        <w:t>开标时间和地点</w:t>
      </w:r>
    </w:p>
    <w:p w14:paraId="302BDA12">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5.1.1 </w:t>
      </w:r>
      <w:r>
        <w:rPr>
          <w:rFonts w:hint="eastAsia" w:ascii="宋体" w:hAnsi="宋体" w:cs="楷体_GB2312"/>
          <w:b/>
          <w:color w:val="auto"/>
          <w:sz w:val="24"/>
          <w:highlight w:val="none"/>
          <w:lang w:val="zh-CN"/>
        </w:rPr>
        <w:t>采购人和采购代理机构按谈判公告规定的时间和地点于</w:t>
      </w:r>
      <w:r>
        <w:rPr>
          <w:rFonts w:ascii="宋体" w:hAnsi="宋体" w:cs="楷体_GB2312"/>
          <w:b/>
          <w:color w:val="auto"/>
          <w:sz w:val="24"/>
          <w:highlight w:val="none"/>
          <w:lang w:val="zh-CN"/>
        </w:rPr>
        <w:t>网上</w:t>
      </w:r>
      <w:r>
        <w:rPr>
          <w:rFonts w:hint="eastAsia" w:ascii="宋体" w:hAnsi="宋体" w:cs="楷体_GB2312"/>
          <w:b/>
          <w:color w:val="auto"/>
          <w:sz w:val="24"/>
          <w:highlight w:val="none"/>
          <w:lang w:val="zh-CN"/>
        </w:rPr>
        <w:t>（谈判公告所述网上电子交易系统</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公开开标。</w:t>
      </w:r>
    </w:p>
    <w:p w14:paraId="7B446AA3">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5.1.2</w:t>
      </w:r>
      <w:r>
        <w:rPr>
          <w:rFonts w:hint="eastAsia" w:ascii="宋体" w:hAnsi="宋体" w:cs="楷体_GB2312"/>
          <w:b/>
          <w:color w:val="auto"/>
          <w:sz w:val="24"/>
          <w:highlight w:val="none"/>
          <w:lang w:val="zh-CN"/>
        </w:rPr>
        <w:t>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因投标人原因未能解密、解密失败或解密超时的将被拒绝。</w:t>
      </w:r>
    </w:p>
    <w:p w14:paraId="40E38597">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5.2 </w:t>
      </w:r>
      <w:r>
        <w:rPr>
          <w:rFonts w:hint="eastAsia" w:ascii="黑体" w:hAnsi="黑体" w:eastAsia="黑体" w:cs="楷体_GB2312"/>
          <w:b/>
          <w:color w:val="auto"/>
          <w:sz w:val="24"/>
          <w:highlight w:val="none"/>
          <w:lang w:val="zh-CN"/>
        </w:rPr>
        <w:t>开标程序</w:t>
      </w:r>
    </w:p>
    <w:p w14:paraId="2035F63B">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5.2.1</w:t>
      </w:r>
      <w:r>
        <w:rPr>
          <w:rFonts w:hint="eastAsia" w:ascii="宋体" w:hAnsi="宋体" w:cs="楷体_GB2312"/>
          <w:b/>
          <w:color w:val="auto"/>
          <w:sz w:val="24"/>
          <w:highlight w:val="none"/>
          <w:lang w:val="zh-CN"/>
        </w:rPr>
        <w:t xml:space="preserve"> 本项目为网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电子交易方</w:t>
      </w:r>
      <w:r>
        <w:rPr>
          <w:rFonts w:ascii="宋体" w:hAnsi="宋体" w:cs="楷体_GB2312"/>
          <w:b/>
          <w:color w:val="auto"/>
          <w:sz w:val="24"/>
          <w:highlight w:val="none"/>
          <w:lang w:val="zh-CN"/>
        </w:rPr>
        <w:t>式，</w:t>
      </w:r>
      <w:r>
        <w:rPr>
          <w:rFonts w:hint="eastAsia" w:ascii="宋体" w:hAnsi="宋体" w:cs="楷体_GB2312"/>
          <w:b/>
          <w:color w:val="auto"/>
          <w:sz w:val="24"/>
          <w:highlight w:val="none"/>
          <w:lang w:val="zh-CN"/>
        </w:rPr>
        <w:t>投标文件（响应文件）的开启方式为远程解密，为保证开标工作顺利进行，投标人需在开标阶段</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管理员下达解密指令后的指定时限内，完成对本单位的加密投标文件（响应文件）的远程解密。如投标人因自身原因、在指定时限内没</w:t>
      </w:r>
      <w:r>
        <w:rPr>
          <w:rFonts w:ascii="宋体" w:hAnsi="宋体" w:cs="楷体_GB2312"/>
          <w:b/>
          <w:color w:val="auto"/>
          <w:sz w:val="24"/>
          <w:highlight w:val="none"/>
          <w:lang w:val="zh-CN"/>
        </w:rPr>
        <w:t>有</w:t>
      </w:r>
      <w:r>
        <w:rPr>
          <w:rFonts w:hint="eastAsia" w:ascii="宋体" w:hAnsi="宋体" w:cs="楷体_GB2312"/>
          <w:b/>
          <w:color w:val="auto"/>
          <w:sz w:val="24"/>
          <w:highlight w:val="none"/>
          <w:lang w:val="zh-CN"/>
        </w:rPr>
        <w:t>解密成功的，其投标将不能被接受，投标人自行承担相应后果。</w:t>
      </w:r>
    </w:p>
    <w:p w14:paraId="3DF9F0FB">
      <w:pPr>
        <w:autoSpaceDE w:val="0"/>
        <w:autoSpaceDN w:val="0"/>
        <w:adjustRightInd w:val="0"/>
        <w:snapToGrid w:val="0"/>
        <w:spacing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鉴于网上电子交易方式的特点，管理员将根据系统情况下达解密指令。</w:t>
      </w:r>
    </w:p>
    <w:p w14:paraId="78F0078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b/>
          <w:color w:val="auto"/>
          <w:sz w:val="24"/>
          <w:highlight w:val="none"/>
          <w:lang w:val="zh-CN"/>
        </w:rPr>
        <w:t>5.2.2</w:t>
      </w:r>
      <w:r>
        <w:rPr>
          <w:rFonts w:hint="eastAsia" w:ascii="宋体" w:hAnsi="宋体" w:cs="楷体_GB2312"/>
          <w:b/>
          <w:color w:val="auto"/>
          <w:sz w:val="24"/>
          <w:highlight w:val="none"/>
          <w:lang w:val="zh-CN"/>
        </w:rPr>
        <w:t xml:space="preserve"> 投标人对开标过程和开标记录有疑义，以及认为采购人、采购代理机构相关工作人员有需要回避的情形的，应在系统中提出询问或者回避申请，否则，视为对开标无异议。</w:t>
      </w:r>
    </w:p>
    <w:p w14:paraId="3EE47783">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5.2.3 </w:t>
      </w:r>
      <w:r>
        <w:rPr>
          <w:rFonts w:hint="eastAsia" w:ascii="宋体" w:hAnsi="宋体" w:cs="楷体_GB2312"/>
          <w:color w:val="auto"/>
          <w:sz w:val="24"/>
          <w:highlight w:val="none"/>
          <w:lang w:val="zh-CN"/>
        </w:rPr>
        <w:t>在开标或评审过程中，有效投标应在三家以上（包括三家）；有效投标不足三家的应予终止（废标）。</w:t>
      </w:r>
    </w:p>
    <w:p w14:paraId="4BE18B22">
      <w:pPr>
        <w:autoSpaceDE w:val="0"/>
        <w:autoSpaceDN w:val="0"/>
        <w:adjustRightInd w:val="0"/>
        <w:snapToGrid w:val="0"/>
        <w:spacing w:beforeLines="50" w:line="300" w:lineRule="auto"/>
        <w:ind w:firstLine="539"/>
        <w:rPr>
          <w:rFonts w:ascii="宋体" w:cs="楷体_GB2312"/>
          <w:color w:val="auto"/>
          <w:sz w:val="24"/>
          <w:highlight w:val="none"/>
          <w:lang w:val="zh-CN"/>
        </w:rPr>
      </w:pPr>
    </w:p>
    <w:p w14:paraId="3795CE23">
      <w:pPr>
        <w:autoSpaceDE w:val="0"/>
        <w:autoSpaceDN w:val="0"/>
        <w:adjustRightInd w:val="0"/>
        <w:snapToGrid w:val="0"/>
        <w:spacing w:beforeLines="50" w:line="300" w:lineRule="auto"/>
        <w:ind w:firstLine="539"/>
        <w:outlineLvl w:val="1"/>
        <w:rPr>
          <w:rFonts w:ascii="宋体" w:cs="楷体_GB2312"/>
          <w:color w:val="auto"/>
          <w:sz w:val="24"/>
          <w:highlight w:val="none"/>
          <w:lang w:val="zh-CN"/>
        </w:rPr>
      </w:pPr>
      <w:bookmarkStart w:id="34" w:name="_Toc209083635"/>
      <w:r>
        <w:rPr>
          <w:rFonts w:ascii="黑体" w:hAnsi="黑体" w:eastAsia="黑体" w:cs="楷体_GB2312"/>
          <w:b/>
          <w:bCs/>
          <w:color w:val="auto"/>
          <w:sz w:val="28"/>
          <w:szCs w:val="28"/>
          <w:highlight w:val="none"/>
          <w:lang w:val="zh-CN"/>
        </w:rPr>
        <w:t xml:space="preserve">6. </w:t>
      </w:r>
      <w:r>
        <w:rPr>
          <w:rFonts w:hint="eastAsia" w:ascii="黑体" w:hAnsi="黑体" w:eastAsia="黑体" w:cs="楷体_GB2312"/>
          <w:b/>
          <w:bCs/>
          <w:color w:val="auto"/>
          <w:sz w:val="28"/>
          <w:szCs w:val="28"/>
          <w:highlight w:val="none"/>
          <w:lang w:val="zh-CN"/>
        </w:rPr>
        <w:t>评审</w:t>
      </w:r>
      <w:bookmarkEnd w:id="34"/>
    </w:p>
    <w:p w14:paraId="17DEEE36">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6.1 </w:t>
      </w:r>
      <w:r>
        <w:rPr>
          <w:rFonts w:hint="eastAsia" w:ascii="黑体" w:hAnsi="黑体" w:eastAsia="黑体" w:cs="楷体_GB2312"/>
          <w:b/>
          <w:color w:val="auto"/>
          <w:sz w:val="24"/>
          <w:highlight w:val="none"/>
          <w:lang w:val="zh-CN"/>
        </w:rPr>
        <w:t xml:space="preserve">谈判小组  </w:t>
      </w:r>
    </w:p>
    <w:p w14:paraId="6721A7F6">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评审工作由依法组建的谈判小组负责。谈判小组由3人及以上单数组成，其中评审专家人数不少于谈判小组成员总数的2/3，评审专家是在监督部门监督下从政府采购专家库中随机抽取产生。</w:t>
      </w:r>
    </w:p>
    <w:p w14:paraId="5502C4FE">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6.2 </w:t>
      </w:r>
      <w:r>
        <w:rPr>
          <w:rFonts w:hint="eastAsia" w:ascii="黑体" w:hAnsi="黑体" w:eastAsia="黑体" w:cs="楷体_GB2312"/>
          <w:b/>
          <w:color w:val="auto"/>
          <w:sz w:val="24"/>
          <w:highlight w:val="none"/>
          <w:lang w:val="zh-CN"/>
        </w:rPr>
        <w:t>评审原则</w:t>
      </w:r>
    </w:p>
    <w:p w14:paraId="40884392">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6.2.1 </w:t>
      </w:r>
      <w:r>
        <w:rPr>
          <w:rFonts w:hint="eastAsia" w:ascii="宋体" w:hAnsi="宋体" w:cs="楷体_GB2312"/>
          <w:color w:val="auto"/>
          <w:sz w:val="24"/>
          <w:highlight w:val="none"/>
          <w:lang w:val="zh-CN"/>
        </w:rPr>
        <w:t>坚持公开、公平、公正地对待所有投标人。</w:t>
      </w:r>
    </w:p>
    <w:p w14:paraId="7B2A2804">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6.2.2 </w:t>
      </w:r>
      <w:r>
        <w:rPr>
          <w:rFonts w:hint="eastAsia" w:ascii="宋体" w:hAnsi="宋体" w:cs="楷体_GB2312"/>
          <w:color w:val="auto"/>
          <w:sz w:val="24"/>
          <w:highlight w:val="none"/>
          <w:lang w:val="zh-CN"/>
        </w:rPr>
        <w:t>按照同一评审程序及方法审查所有投标人的投标文件。</w:t>
      </w:r>
    </w:p>
    <w:p w14:paraId="377F49CC">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6.2.3 </w:t>
      </w:r>
      <w:r>
        <w:rPr>
          <w:rFonts w:hint="eastAsia" w:ascii="宋体" w:hAnsi="宋体" w:cs="楷体_GB2312"/>
          <w:color w:val="auto"/>
          <w:sz w:val="24"/>
          <w:highlight w:val="none"/>
          <w:lang w:val="zh-CN"/>
        </w:rPr>
        <w:t>反对不正当竞争</w:t>
      </w:r>
    </w:p>
    <w:p w14:paraId="4792869E">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6.3 </w:t>
      </w:r>
      <w:r>
        <w:rPr>
          <w:rFonts w:hint="eastAsia" w:ascii="黑体" w:hAnsi="黑体" w:eastAsia="黑体" w:cs="楷体_GB2312"/>
          <w:b/>
          <w:color w:val="auto"/>
          <w:sz w:val="24"/>
          <w:highlight w:val="none"/>
          <w:lang w:val="zh-CN"/>
        </w:rPr>
        <w:t>评审</w:t>
      </w:r>
    </w:p>
    <w:p w14:paraId="59E6799D">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6.3.1</w:t>
      </w:r>
      <w:r>
        <w:rPr>
          <w:rFonts w:hint="eastAsia" w:ascii="宋体" w:hAnsi="宋体" w:cs="楷体_GB2312"/>
          <w:color w:val="auto"/>
          <w:sz w:val="24"/>
          <w:highlight w:val="none"/>
          <w:lang w:val="zh-CN"/>
        </w:rPr>
        <w:t xml:space="preserve"> 评审工作在谈判小组内独立进行。谈判小组按照第四章“评审办法”规定的方法、评审因素、标准和程序对投标文件进行评审。第四章“评审办法”没有规定的方法、评审因素和标准，不作为评审依据。</w:t>
      </w:r>
    </w:p>
    <w:p w14:paraId="78621BF1">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6.3.2</w:t>
      </w:r>
      <w:r>
        <w:rPr>
          <w:rFonts w:hint="eastAsia" w:ascii="宋体" w:hAnsi="宋体" w:cs="楷体_GB2312"/>
          <w:color w:val="auto"/>
          <w:sz w:val="24"/>
          <w:highlight w:val="none"/>
          <w:lang w:val="zh-CN"/>
        </w:rPr>
        <w:t xml:space="preserve"> 在开标、评审期间，投标人不得向谈判小组成员询问情况，不得进行旨在影响评审结果的活动。</w:t>
      </w:r>
    </w:p>
    <w:p w14:paraId="63B060F7">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6.4 </w:t>
      </w:r>
      <w:r>
        <w:rPr>
          <w:rFonts w:hint="eastAsia" w:ascii="黑体" w:hAnsi="黑体" w:eastAsia="黑体" w:cs="楷体_GB2312"/>
          <w:b/>
          <w:color w:val="auto"/>
          <w:sz w:val="24"/>
          <w:highlight w:val="none"/>
          <w:lang w:val="zh-CN"/>
        </w:rPr>
        <w:t xml:space="preserve"> 谈判：</w:t>
      </w:r>
      <w:r>
        <w:rPr>
          <w:rFonts w:hint="eastAsia" w:ascii="宋体" w:hAnsi="宋体" w:cs="楷体_GB2312"/>
          <w:color w:val="auto"/>
          <w:sz w:val="24"/>
          <w:highlight w:val="none"/>
          <w:lang w:val="zh-CN"/>
        </w:rPr>
        <w:t>见第四章评审办法</w:t>
      </w:r>
      <w:r>
        <w:rPr>
          <w:rFonts w:ascii="宋体" w:hAnsi="宋体" w:cs="楷体_GB2312"/>
          <w:color w:val="auto"/>
          <w:sz w:val="24"/>
          <w:highlight w:val="none"/>
          <w:lang w:val="zh-CN"/>
        </w:rPr>
        <w:t>3.5</w:t>
      </w:r>
      <w:r>
        <w:rPr>
          <w:rFonts w:hint="eastAsia" w:ascii="宋体" w:hAnsi="宋体" w:cs="楷体_GB2312"/>
          <w:color w:val="auto"/>
          <w:sz w:val="24"/>
          <w:highlight w:val="none"/>
          <w:lang w:val="zh-CN"/>
        </w:rPr>
        <w:t>款谈判规则。</w:t>
      </w:r>
    </w:p>
    <w:p w14:paraId="39CE0A64">
      <w:pPr>
        <w:autoSpaceDE w:val="0"/>
        <w:autoSpaceDN w:val="0"/>
        <w:adjustRightInd w:val="0"/>
        <w:snapToGrid w:val="0"/>
        <w:spacing w:beforeLines="50" w:line="300" w:lineRule="auto"/>
        <w:ind w:firstLine="539"/>
        <w:rPr>
          <w:rFonts w:ascii="宋体" w:cs="楷体_GB2312"/>
          <w:color w:val="auto"/>
          <w:sz w:val="24"/>
          <w:highlight w:val="none"/>
          <w:lang w:val="zh-CN"/>
        </w:rPr>
      </w:pPr>
    </w:p>
    <w:p w14:paraId="1470812C">
      <w:pPr>
        <w:autoSpaceDE w:val="0"/>
        <w:autoSpaceDN w:val="0"/>
        <w:adjustRightInd w:val="0"/>
        <w:snapToGrid w:val="0"/>
        <w:spacing w:beforeLines="50" w:line="300" w:lineRule="auto"/>
        <w:ind w:firstLine="539"/>
        <w:outlineLvl w:val="1"/>
        <w:rPr>
          <w:rFonts w:ascii="黑体" w:hAnsi="黑体" w:eastAsia="黑体" w:cs="楷体_GB2312"/>
          <w:b/>
          <w:bCs/>
          <w:color w:val="auto"/>
          <w:sz w:val="28"/>
          <w:szCs w:val="28"/>
          <w:highlight w:val="none"/>
          <w:lang w:val="zh-CN"/>
        </w:rPr>
      </w:pPr>
      <w:bookmarkStart w:id="35" w:name="_Toc209083636"/>
      <w:r>
        <w:rPr>
          <w:rFonts w:ascii="黑体" w:hAnsi="黑体" w:eastAsia="黑体" w:cs="楷体_GB2312"/>
          <w:b/>
          <w:bCs/>
          <w:color w:val="auto"/>
          <w:sz w:val="28"/>
          <w:szCs w:val="28"/>
          <w:highlight w:val="none"/>
          <w:lang w:val="zh-CN"/>
        </w:rPr>
        <w:t xml:space="preserve">7. </w:t>
      </w:r>
      <w:r>
        <w:rPr>
          <w:rFonts w:hint="eastAsia" w:ascii="黑体" w:hAnsi="黑体" w:eastAsia="黑体" w:cs="楷体_GB2312"/>
          <w:b/>
          <w:bCs/>
          <w:color w:val="auto"/>
          <w:sz w:val="28"/>
          <w:szCs w:val="28"/>
          <w:highlight w:val="none"/>
          <w:lang w:val="zh-CN"/>
        </w:rPr>
        <w:t>授予合同</w:t>
      </w:r>
      <w:bookmarkEnd w:id="35"/>
    </w:p>
    <w:p w14:paraId="7C46B99F">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7.1 </w:t>
      </w:r>
      <w:r>
        <w:rPr>
          <w:rFonts w:hint="eastAsia" w:ascii="黑体" w:hAnsi="黑体" w:eastAsia="黑体" w:cs="楷体_GB2312"/>
          <w:b/>
          <w:color w:val="auto"/>
          <w:sz w:val="24"/>
          <w:highlight w:val="none"/>
          <w:lang w:val="zh-CN"/>
        </w:rPr>
        <w:t>确定成交供应商方式</w:t>
      </w:r>
    </w:p>
    <w:p w14:paraId="67482721">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除投标人须知前附表规定授权谈判小组直接确定成交供应商外，采购人应当自收到评审报告之日起</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个工作日内在评审报告推荐的成交候选人中按顺序确定成交供应商。若排名第一的成交候选人放弃中标（成交），或者因不可抗力不能履行合同，或者被查实存在影响成交结果的违法行为等情形、不符合成交条件的，采购人可以按照谈判小组提出的成交候选人名单排序依次确定其他成交候选人为成交供应商，也可以重新采购。</w:t>
      </w:r>
    </w:p>
    <w:p w14:paraId="53A70866">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7.2 </w:t>
      </w:r>
      <w:r>
        <w:rPr>
          <w:rFonts w:hint="eastAsia" w:ascii="黑体" w:hAnsi="黑体" w:eastAsia="黑体" w:cs="楷体_GB2312"/>
          <w:b/>
          <w:color w:val="auto"/>
          <w:sz w:val="24"/>
          <w:highlight w:val="none"/>
          <w:lang w:val="zh-CN"/>
        </w:rPr>
        <w:t>成交结果公告</w:t>
      </w:r>
    </w:p>
    <w:p w14:paraId="24AD0B5B">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采购代理机构在成交供应商确定后1个工作日内，在谈判公告所述媒体公告成交结果。同时向成交供应商发出成交通知书。成交结果公告期限为</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个工作日。</w:t>
      </w:r>
    </w:p>
    <w:p w14:paraId="6ECF0680">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7.3 </w:t>
      </w:r>
      <w:r>
        <w:rPr>
          <w:rFonts w:hint="eastAsia" w:ascii="黑体" w:hAnsi="黑体" w:eastAsia="黑体" w:cs="楷体_GB2312"/>
          <w:b/>
          <w:color w:val="auto"/>
          <w:sz w:val="24"/>
          <w:highlight w:val="none"/>
          <w:lang w:val="zh-CN"/>
        </w:rPr>
        <w:t>质疑、投诉：</w:t>
      </w:r>
    </w:p>
    <w:p w14:paraId="784DB10C">
      <w:pPr>
        <w:autoSpaceDE w:val="0"/>
        <w:autoSpaceDN w:val="0"/>
        <w:adjustRightInd w:val="0"/>
        <w:snapToGrid w:val="0"/>
        <w:spacing w:beforeLines="50" w:line="300" w:lineRule="auto"/>
        <w:ind w:firstLine="537" w:firstLineChars="224"/>
        <w:rPr>
          <w:rFonts w:ascii="宋体" w:cs="楷体_GB2312"/>
          <w:color w:val="auto"/>
          <w:sz w:val="24"/>
          <w:highlight w:val="none"/>
          <w:lang w:val="zh-CN"/>
        </w:rPr>
      </w:pPr>
      <w:r>
        <w:rPr>
          <w:rFonts w:ascii="宋体" w:hAnsi="宋体"/>
          <w:color w:val="auto"/>
          <w:sz w:val="24"/>
          <w:highlight w:val="none"/>
        </w:rPr>
        <w:t>7.3.1</w:t>
      </w:r>
      <w:r>
        <w:rPr>
          <w:rFonts w:hint="eastAsia" w:ascii="宋体" w:hAnsi="宋体" w:cs="楷体_GB2312"/>
          <w:color w:val="auto"/>
          <w:sz w:val="24"/>
          <w:highlight w:val="none"/>
          <w:lang w:val="zh-CN"/>
        </w:rPr>
        <w:t>见投标人须知前附表</w:t>
      </w:r>
    </w:p>
    <w:p w14:paraId="558F24CD">
      <w:pPr>
        <w:adjustRightInd w:val="0"/>
        <w:snapToGrid w:val="0"/>
        <w:spacing w:beforeLines="50" w:line="240" w:lineRule="auto"/>
        <w:ind w:firstLine="600" w:firstLineChars="250"/>
        <w:rPr>
          <w:rFonts w:ascii="宋体"/>
          <w:color w:val="auto"/>
          <w:sz w:val="24"/>
          <w:highlight w:val="none"/>
        </w:rPr>
      </w:pPr>
      <w:r>
        <w:rPr>
          <w:rFonts w:ascii="宋体" w:hAnsi="宋体"/>
          <w:color w:val="auto"/>
          <w:sz w:val="24"/>
          <w:highlight w:val="none"/>
        </w:rPr>
        <w:t>7.3.2</w:t>
      </w:r>
      <w:r>
        <w:rPr>
          <w:rFonts w:hint="eastAsia" w:ascii="宋体" w:hAnsi="宋体"/>
          <w:color w:val="auto"/>
          <w:sz w:val="24"/>
          <w:highlight w:val="none"/>
        </w:rPr>
        <w:t>询问或者质疑事项可能影响成交结果的，采购人应当暂停签订合同，已经签订合同的，应当中止履行合同。</w:t>
      </w:r>
    </w:p>
    <w:p w14:paraId="4ADF7DBC">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7.4 </w:t>
      </w:r>
      <w:r>
        <w:rPr>
          <w:rFonts w:hint="eastAsia" w:ascii="黑体" w:hAnsi="黑体" w:eastAsia="黑体" w:cs="楷体_GB2312"/>
          <w:b/>
          <w:color w:val="auto"/>
          <w:sz w:val="24"/>
          <w:highlight w:val="none"/>
          <w:lang w:val="zh-CN"/>
        </w:rPr>
        <w:t>成交通知：</w:t>
      </w:r>
      <w:r>
        <w:rPr>
          <w:rFonts w:hint="eastAsia" w:ascii="宋体" w:hAnsi="宋体" w:cs="楷体_GB2312"/>
          <w:color w:val="auto"/>
          <w:sz w:val="24"/>
          <w:highlight w:val="none"/>
          <w:lang w:val="zh-CN"/>
        </w:rPr>
        <w:t>见投标人须知前附表</w:t>
      </w:r>
    </w:p>
    <w:p w14:paraId="0182CEBC">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7.5 </w:t>
      </w:r>
      <w:r>
        <w:rPr>
          <w:rFonts w:hint="eastAsia" w:ascii="黑体" w:hAnsi="黑体" w:eastAsia="黑体" w:cs="楷体_GB2312"/>
          <w:b/>
          <w:color w:val="auto"/>
          <w:sz w:val="24"/>
          <w:highlight w:val="none"/>
          <w:lang w:val="zh-CN"/>
        </w:rPr>
        <w:t>履约保证金</w:t>
      </w:r>
    </w:p>
    <w:p w14:paraId="49069567">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 xml:space="preserve"> 在签订合同时，成交供应商应按投标人须知前附表规定向采购人提交履约保证金。</w:t>
      </w:r>
    </w:p>
    <w:p w14:paraId="0ACDF8DE">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 xml:space="preserve">7.5.2 </w:t>
      </w:r>
      <w:r>
        <w:rPr>
          <w:rFonts w:hint="eastAsia" w:ascii="宋体" w:hAnsi="宋体" w:cs="楷体_GB2312"/>
          <w:color w:val="auto"/>
          <w:sz w:val="24"/>
          <w:highlight w:val="none"/>
          <w:lang w:val="zh-CN"/>
        </w:rPr>
        <w:t>成交供应商不能按本章第</w:t>
      </w: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项要求提交履约保证金的，视为放弃成交资格，</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给采购人及采购代理机构造成损失的，成交供应商应当予以赔偿。</w:t>
      </w:r>
    </w:p>
    <w:p w14:paraId="421F506F">
      <w:pPr>
        <w:autoSpaceDE w:val="0"/>
        <w:autoSpaceDN w:val="0"/>
        <w:adjustRightInd w:val="0"/>
        <w:snapToGrid w:val="0"/>
        <w:spacing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7.6 </w:t>
      </w:r>
      <w:r>
        <w:rPr>
          <w:rFonts w:hint="eastAsia" w:ascii="黑体" w:hAnsi="黑体" w:eastAsia="黑体" w:cs="楷体_GB2312"/>
          <w:b/>
          <w:color w:val="auto"/>
          <w:sz w:val="24"/>
          <w:highlight w:val="none"/>
          <w:lang w:val="zh-CN"/>
        </w:rPr>
        <w:t>签订合同</w:t>
      </w:r>
    </w:p>
    <w:p w14:paraId="025DBC19">
      <w:pPr>
        <w:autoSpaceDE w:val="0"/>
        <w:autoSpaceDN w:val="0"/>
        <w:adjustRightInd w:val="0"/>
        <w:snapToGrid w:val="0"/>
        <w:spacing w:beforeLines="50" w:line="300" w:lineRule="auto"/>
        <w:ind w:firstLine="539"/>
        <w:rPr>
          <w:rFonts w:ascii="宋体" w:hAnsi="宋体"/>
          <w:color w:val="auto"/>
          <w:sz w:val="24"/>
          <w:highlight w:val="none"/>
        </w:rPr>
      </w:pPr>
      <w:r>
        <w:rPr>
          <w:rFonts w:ascii="宋体" w:hAnsi="宋体"/>
          <w:color w:val="auto"/>
          <w:sz w:val="24"/>
          <w:highlight w:val="none"/>
        </w:rPr>
        <w:t xml:space="preserve">7.6.1 </w:t>
      </w:r>
      <w:r>
        <w:rPr>
          <w:rFonts w:hint="eastAsia" w:ascii="宋体" w:hAnsi="宋体"/>
          <w:color w:val="auto"/>
          <w:sz w:val="24"/>
          <w:highlight w:val="none"/>
        </w:rPr>
        <w:t>据优化营商环境精神，成交供应商应在《成交通知书》发出后1个工作日内，按照谈判文件确定的合同文本以及成交标的、技术和服务等事项与采购人签订</w:t>
      </w:r>
      <w:r>
        <w:rPr>
          <w:rFonts w:hint="eastAsia" w:ascii="宋体" w:hAnsi="宋体" w:cs="楷体_GB2312"/>
          <w:color w:val="auto"/>
          <w:sz w:val="24"/>
          <w:highlight w:val="none"/>
          <w:lang w:val="zh-CN"/>
        </w:rPr>
        <w:t>书面</w:t>
      </w:r>
      <w:r>
        <w:rPr>
          <w:rFonts w:hint="eastAsia" w:ascii="宋体" w:hAnsi="宋体"/>
          <w:color w:val="auto"/>
          <w:sz w:val="24"/>
          <w:highlight w:val="none"/>
        </w:rPr>
        <w:t>政府采购合同。</w:t>
      </w:r>
    </w:p>
    <w:p w14:paraId="2967EB19">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ascii="宋体" w:hAnsi="宋体"/>
          <w:color w:val="auto"/>
          <w:sz w:val="24"/>
          <w:highlight w:val="none"/>
        </w:rPr>
        <w:t xml:space="preserve">7.6.2 </w:t>
      </w:r>
      <w:r>
        <w:rPr>
          <w:rFonts w:hint="eastAsia" w:ascii="宋体" w:hAnsi="宋体"/>
          <w:color w:val="auto"/>
          <w:sz w:val="24"/>
          <w:highlight w:val="none"/>
        </w:rPr>
        <w:t>如成交供应商不按时签订合同、</w:t>
      </w:r>
      <w:r>
        <w:rPr>
          <w:rFonts w:hint="eastAsia" w:ascii="宋体" w:hAnsi="宋体" w:cs="楷体_GB2312"/>
          <w:color w:val="auto"/>
          <w:sz w:val="24"/>
          <w:highlight w:val="none"/>
          <w:lang w:val="zh-CN"/>
        </w:rPr>
        <w:t>拒签合同的，取消其成交资格，</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给采购人造成损失的，成交供应商应当予以赔偿。</w:t>
      </w:r>
    </w:p>
    <w:p w14:paraId="74A19F5C">
      <w:pPr>
        <w:widowControl w:val="0"/>
        <w:adjustRightInd w:val="0"/>
        <w:snapToGrid w:val="0"/>
        <w:spacing w:beforeLines="50" w:line="300" w:lineRule="auto"/>
        <w:ind w:firstLine="566"/>
        <w:rPr>
          <w:rFonts w:ascii="宋体" w:hAnsi="宋体"/>
          <w:color w:val="auto"/>
          <w:sz w:val="24"/>
          <w:szCs w:val="24"/>
          <w:highlight w:val="none"/>
        </w:rPr>
      </w:pPr>
      <w:r>
        <w:rPr>
          <w:rFonts w:ascii="宋体" w:hAnsi="宋体"/>
          <w:color w:val="auto"/>
          <w:sz w:val="24"/>
          <w:szCs w:val="24"/>
          <w:highlight w:val="none"/>
        </w:rPr>
        <w:t>7.6.3</w:t>
      </w:r>
      <w:r>
        <w:rPr>
          <w:rFonts w:hint="eastAsia" w:ascii="宋体" w:hAnsi="宋体"/>
          <w:color w:val="auto"/>
          <w:sz w:val="24"/>
          <w:szCs w:val="24"/>
          <w:highlight w:val="none"/>
        </w:rPr>
        <w:t xml:space="preserve"> 合同生效：成交供应商与采购人签订的合同，双方签字后盖章生效</w:t>
      </w:r>
      <w:r>
        <w:rPr>
          <w:rFonts w:hint="eastAsia"/>
          <w:color w:val="auto"/>
          <w:sz w:val="24"/>
          <w:szCs w:val="24"/>
          <w:highlight w:val="none"/>
        </w:rPr>
        <w:t>。</w:t>
      </w:r>
      <w:r>
        <w:rPr>
          <w:rFonts w:hint="eastAsia" w:ascii="宋体" w:hAnsi="宋体"/>
          <w:color w:val="auto"/>
          <w:sz w:val="24"/>
          <w:szCs w:val="24"/>
          <w:highlight w:val="none"/>
        </w:rPr>
        <w:t>采购人要在合同签订后1个工作日内登陆安阳市政府采购网进行备案并公告。</w:t>
      </w:r>
    </w:p>
    <w:p w14:paraId="56E00B51">
      <w:pPr>
        <w:widowControl w:val="0"/>
        <w:adjustRightInd w:val="0"/>
        <w:snapToGrid w:val="0"/>
        <w:spacing w:beforeLines="50" w:line="300" w:lineRule="auto"/>
        <w:ind w:firstLine="549"/>
        <w:rPr>
          <w:rFonts w:ascii="宋体" w:hAnsi="宋体"/>
          <w:color w:val="auto"/>
          <w:sz w:val="24"/>
          <w:szCs w:val="24"/>
          <w:highlight w:val="none"/>
        </w:rPr>
      </w:pPr>
      <w:r>
        <w:rPr>
          <w:rFonts w:ascii="宋体" w:hAnsi="宋体"/>
          <w:color w:val="auto"/>
          <w:sz w:val="24"/>
          <w:szCs w:val="24"/>
          <w:highlight w:val="none"/>
        </w:rPr>
        <w:t>7.6.4</w:t>
      </w:r>
      <w:r>
        <w:rPr>
          <w:rFonts w:hint="eastAsia" w:ascii="宋体" w:hAnsi="宋体"/>
          <w:color w:val="auto"/>
          <w:sz w:val="24"/>
          <w:szCs w:val="24"/>
          <w:highlight w:val="none"/>
        </w:rPr>
        <w:t>《成交通知书》、谈判文件</w:t>
      </w:r>
      <w:r>
        <w:rPr>
          <w:rFonts w:hint="eastAsia" w:ascii="宋体" w:hAnsi="宋体"/>
          <w:color w:val="auto"/>
          <w:spacing w:val="20"/>
          <w:sz w:val="24"/>
          <w:szCs w:val="24"/>
          <w:highlight w:val="none"/>
        </w:rPr>
        <w:t>及其修改补充澄清</w:t>
      </w:r>
      <w:r>
        <w:rPr>
          <w:rFonts w:hint="eastAsia" w:ascii="宋体" w:hAnsi="宋体"/>
          <w:color w:val="auto"/>
          <w:sz w:val="24"/>
          <w:szCs w:val="24"/>
          <w:highlight w:val="none"/>
        </w:rPr>
        <w:t>、成交供应商的投标文件</w:t>
      </w:r>
      <w:r>
        <w:rPr>
          <w:rFonts w:hint="eastAsia" w:ascii="宋体" w:hAnsi="宋体"/>
          <w:color w:val="auto"/>
          <w:spacing w:val="20"/>
          <w:sz w:val="24"/>
          <w:szCs w:val="24"/>
          <w:highlight w:val="none"/>
        </w:rPr>
        <w:t>及其修改补充澄清</w:t>
      </w:r>
      <w:r>
        <w:rPr>
          <w:rFonts w:hint="eastAsia" w:ascii="宋体" w:hAnsi="宋体"/>
          <w:color w:val="auto"/>
          <w:sz w:val="24"/>
          <w:szCs w:val="24"/>
          <w:highlight w:val="none"/>
        </w:rPr>
        <w:t>等，均为签订合同的依据。所定合同不得对谈判文件和成交供应商的投标文件作实质性修改，采购人和成交供应商不得私下订立背离合同实质性内容的协议。</w:t>
      </w:r>
    </w:p>
    <w:p w14:paraId="70AFB0DA">
      <w:pPr>
        <w:widowControl w:val="0"/>
        <w:adjustRightInd w:val="0"/>
        <w:snapToGrid w:val="0"/>
        <w:spacing w:beforeLines="50" w:line="300" w:lineRule="auto"/>
        <w:ind w:firstLine="549"/>
        <w:rPr>
          <w:rFonts w:ascii="宋体" w:hAnsi="宋体"/>
          <w:color w:val="auto"/>
          <w:sz w:val="24"/>
          <w:szCs w:val="24"/>
          <w:highlight w:val="none"/>
        </w:rPr>
      </w:pPr>
      <w:r>
        <w:rPr>
          <w:rFonts w:ascii="宋体" w:hAnsi="宋体"/>
          <w:color w:val="auto"/>
          <w:sz w:val="24"/>
          <w:szCs w:val="24"/>
          <w:highlight w:val="none"/>
        </w:rPr>
        <w:t xml:space="preserve">7.6.5 </w:t>
      </w:r>
      <w:r>
        <w:rPr>
          <w:rFonts w:hint="eastAsia" w:ascii="宋体" w:hAnsi="宋体"/>
          <w:color w:val="auto"/>
          <w:sz w:val="24"/>
          <w:szCs w:val="24"/>
          <w:highlight w:val="none"/>
        </w:rPr>
        <w:t>评审会后，成交供应商、采购人之间擅自私下谈判、变更中标（成交）标的、价格及</w:t>
      </w:r>
      <w:r>
        <w:rPr>
          <w:rFonts w:hint="eastAsia" w:ascii="宋体" w:hAnsi="宋体"/>
          <w:color w:val="auto"/>
          <w:sz w:val="24"/>
          <w:highlight w:val="none"/>
        </w:rPr>
        <w:t>招投</w:t>
      </w:r>
      <w:r>
        <w:rPr>
          <w:rFonts w:hint="eastAsia" w:ascii="宋体" w:hAnsi="宋体"/>
          <w:color w:val="auto"/>
          <w:sz w:val="24"/>
          <w:szCs w:val="24"/>
          <w:highlight w:val="none"/>
        </w:rPr>
        <w:t>标文件实质性内容的，有关部门将按《中华人民共和国政府采购法》及相关法规的规定处理。</w:t>
      </w:r>
    </w:p>
    <w:p w14:paraId="49C402BF">
      <w:pPr>
        <w:widowControl w:val="0"/>
        <w:adjustRightInd w:val="0"/>
        <w:snapToGrid w:val="0"/>
        <w:spacing w:beforeLines="50" w:line="300" w:lineRule="auto"/>
        <w:ind w:firstLine="549"/>
        <w:rPr>
          <w:color w:val="auto"/>
          <w:sz w:val="24"/>
          <w:szCs w:val="24"/>
          <w:highlight w:val="none"/>
        </w:rPr>
      </w:pPr>
      <w:r>
        <w:rPr>
          <w:rFonts w:ascii="宋体" w:hAnsi="宋体"/>
          <w:color w:val="auto"/>
          <w:sz w:val="24"/>
          <w:szCs w:val="24"/>
          <w:highlight w:val="none"/>
        </w:rPr>
        <w:t>7.6.</w:t>
      </w:r>
      <w:r>
        <w:rPr>
          <w:rFonts w:hint="eastAsia" w:ascii="宋体" w:hAnsi="宋体"/>
          <w:color w:val="auto"/>
          <w:sz w:val="24"/>
          <w:szCs w:val="24"/>
          <w:highlight w:val="none"/>
        </w:rPr>
        <w:t>6采购人与成交供应商签订《政府采购合同》后，合同履行中产生的纠纷、争议，由采购人与成交供应</w:t>
      </w:r>
      <w:r>
        <w:rPr>
          <w:rFonts w:hint="eastAsia"/>
          <w:color w:val="auto"/>
          <w:sz w:val="24"/>
          <w:szCs w:val="24"/>
          <w:highlight w:val="none"/>
        </w:rPr>
        <w:t>商按合同条款及《中华人民共和国民法典》处理。</w:t>
      </w:r>
    </w:p>
    <w:p w14:paraId="008CD245">
      <w:pPr>
        <w:widowControl w:val="0"/>
        <w:adjustRightInd w:val="0"/>
        <w:snapToGrid w:val="0"/>
        <w:spacing w:beforeLines="50" w:line="300" w:lineRule="auto"/>
        <w:ind w:firstLine="55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7.7 </w:t>
      </w:r>
      <w:r>
        <w:rPr>
          <w:rFonts w:hint="eastAsia" w:ascii="黑体" w:hAnsi="黑体" w:eastAsia="黑体" w:cs="楷体_GB2312"/>
          <w:b/>
          <w:color w:val="auto"/>
          <w:sz w:val="24"/>
          <w:highlight w:val="none"/>
          <w:lang w:val="zh-CN"/>
        </w:rPr>
        <w:t>合同补充变更</w:t>
      </w:r>
    </w:p>
    <w:p w14:paraId="260ECFA3">
      <w:pPr>
        <w:widowControl w:val="0"/>
        <w:adjustRightInd w:val="0"/>
        <w:snapToGrid w:val="0"/>
        <w:spacing w:beforeLines="50" w:line="300" w:lineRule="auto"/>
        <w:ind w:firstLine="555"/>
        <w:rPr>
          <w:rFonts w:ascii="宋体" w:hAnsi="宋体"/>
          <w:color w:val="auto"/>
          <w:sz w:val="24"/>
          <w:szCs w:val="24"/>
          <w:highlight w:val="none"/>
        </w:rPr>
      </w:pPr>
      <w:r>
        <w:rPr>
          <w:rFonts w:ascii="宋体" w:hAnsi="宋体"/>
          <w:color w:val="auto"/>
          <w:sz w:val="24"/>
          <w:szCs w:val="24"/>
          <w:highlight w:val="none"/>
        </w:rPr>
        <w:t xml:space="preserve">7.7.1 </w:t>
      </w:r>
      <w:r>
        <w:rPr>
          <w:rFonts w:hint="eastAsia" w:ascii="宋体" w:hAnsi="宋体"/>
          <w:color w:val="auto"/>
          <w:sz w:val="24"/>
          <w:szCs w:val="24"/>
          <w:highlight w:val="none"/>
        </w:rPr>
        <w:t>政府采购合同履行中，采购人需追加或减少与合同标的相同的货物、工程和服务的（即追加或减少原合同标的数量），在不改变合同条款（包括原合同单价）的前提下，双方可以协商签订补充合同，但所有补充合同总金额不得超过原合同采购金额的</w:t>
      </w:r>
      <w:r>
        <w:rPr>
          <w:rFonts w:ascii="宋体" w:hAnsi="宋体"/>
          <w:color w:val="auto"/>
          <w:sz w:val="24"/>
          <w:szCs w:val="24"/>
          <w:highlight w:val="none"/>
        </w:rPr>
        <w:t>10%</w:t>
      </w:r>
      <w:r>
        <w:rPr>
          <w:rFonts w:hint="eastAsia" w:ascii="宋体" w:hAnsi="宋体"/>
          <w:color w:val="auto"/>
          <w:sz w:val="24"/>
          <w:szCs w:val="24"/>
          <w:highlight w:val="none"/>
        </w:rPr>
        <w:t>，不得调增原合同单价，不得超出项目预算，超过原合同采购金额的</w:t>
      </w:r>
      <w:r>
        <w:rPr>
          <w:rFonts w:ascii="宋体" w:hAnsi="宋体"/>
          <w:color w:val="auto"/>
          <w:sz w:val="24"/>
          <w:szCs w:val="24"/>
          <w:highlight w:val="none"/>
        </w:rPr>
        <w:t>10%</w:t>
      </w:r>
      <w:r>
        <w:rPr>
          <w:rFonts w:hint="eastAsia" w:ascii="宋体" w:hAnsi="宋体"/>
          <w:color w:val="auto"/>
          <w:sz w:val="24"/>
          <w:szCs w:val="24"/>
          <w:highlight w:val="none"/>
        </w:rPr>
        <w:t>，应重新组织采购活动。</w:t>
      </w:r>
    </w:p>
    <w:p w14:paraId="4B13632F">
      <w:pPr>
        <w:widowControl w:val="0"/>
        <w:adjustRightInd w:val="0"/>
        <w:snapToGrid w:val="0"/>
        <w:spacing w:beforeLines="50" w:line="300" w:lineRule="auto"/>
        <w:ind w:firstLine="555"/>
        <w:rPr>
          <w:color w:val="auto"/>
          <w:sz w:val="24"/>
          <w:szCs w:val="24"/>
          <w:highlight w:val="none"/>
        </w:rPr>
      </w:pPr>
    </w:p>
    <w:p w14:paraId="4AAD4C5C">
      <w:pPr>
        <w:widowControl w:val="0"/>
        <w:adjustRightInd w:val="0"/>
        <w:snapToGrid w:val="0"/>
        <w:spacing w:beforeLines="50" w:line="300" w:lineRule="auto"/>
        <w:ind w:firstLine="561"/>
        <w:outlineLvl w:val="1"/>
        <w:rPr>
          <w:rFonts w:ascii="黑体" w:hAnsi="黑体" w:eastAsia="黑体" w:cs="楷体_GB2312"/>
          <w:b/>
          <w:bCs/>
          <w:color w:val="auto"/>
          <w:sz w:val="28"/>
          <w:szCs w:val="28"/>
          <w:highlight w:val="none"/>
          <w:lang w:val="zh-CN"/>
        </w:rPr>
      </w:pPr>
      <w:bookmarkStart w:id="36" w:name="_Toc209083637"/>
      <w:r>
        <w:rPr>
          <w:rFonts w:ascii="黑体" w:hAnsi="黑体" w:eastAsia="黑体" w:cs="楷体_GB2312"/>
          <w:b/>
          <w:bCs/>
          <w:color w:val="auto"/>
          <w:sz w:val="28"/>
          <w:szCs w:val="28"/>
          <w:highlight w:val="none"/>
          <w:lang w:val="zh-CN"/>
        </w:rPr>
        <w:t xml:space="preserve">8. </w:t>
      </w:r>
      <w:r>
        <w:rPr>
          <w:rFonts w:hint="eastAsia" w:ascii="黑体" w:hAnsi="黑体" w:eastAsia="黑体" w:cs="楷体_GB2312"/>
          <w:b/>
          <w:bCs/>
          <w:color w:val="auto"/>
          <w:sz w:val="28"/>
          <w:szCs w:val="28"/>
          <w:highlight w:val="none"/>
          <w:lang w:val="zh-CN"/>
        </w:rPr>
        <w:t>验收</w:t>
      </w:r>
      <w:bookmarkEnd w:id="36"/>
    </w:p>
    <w:p w14:paraId="0CB1AC26">
      <w:pPr>
        <w:widowControl w:val="0"/>
        <w:adjustRightInd w:val="0"/>
        <w:snapToGrid w:val="0"/>
        <w:spacing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8.1</w:t>
      </w:r>
      <w:r>
        <w:rPr>
          <w:rFonts w:hint="eastAsia" w:ascii="宋体" w:hAnsi="宋体" w:cs="楷体_GB2312"/>
          <w:color w:val="auto"/>
          <w:sz w:val="24"/>
          <w:highlight w:val="none"/>
          <w:lang w:val="zh-CN"/>
        </w:rPr>
        <w:t>验收时间：所供货物安装调试结束、具备正常使用及验收条件时，由采购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成立验收工作组负责验收。</w:t>
      </w:r>
      <w:r>
        <w:rPr>
          <w:rFonts w:hint="eastAsia" w:ascii="宋体" w:hAnsi="宋体" w:cs="楷体_GB2312"/>
          <w:color w:val="auto"/>
          <w:sz w:val="24"/>
          <w:highlight w:val="none"/>
        </w:rPr>
        <w:t>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14:paraId="00059D2E">
      <w:pPr>
        <w:widowControl w:val="0"/>
        <w:adjustRightInd w:val="0"/>
        <w:snapToGrid w:val="0"/>
        <w:spacing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8.2</w:t>
      </w:r>
      <w:r>
        <w:rPr>
          <w:rFonts w:hint="eastAsia" w:ascii="宋体" w:hAnsi="宋体" w:cs="楷体_GB2312"/>
          <w:color w:val="auto"/>
          <w:sz w:val="24"/>
          <w:highlight w:val="none"/>
          <w:lang w:val="zh-CN"/>
        </w:rPr>
        <w:t>验收工作组：合同履约验收工作应成立验收工作组专门负责。</w:t>
      </w:r>
    </w:p>
    <w:p w14:paraId="64073BE8">
      <w:pPr>
        <w:widowControl w:val="0"/>
        <w:adjustRightInd w:val="0"/>
        <w:snapToGrid w:val="0"/>
        <w:spacing w:beforeLines="50" w:line="300" w:lineRule="auto"/>
        <w:ind w:firstLine="561"/>
        <w:rPr>
          <w:rFonts w:ascii="宋体" w:hAnsi="宋体" w:cs="楷体_GB2312"/>
          <w:color w:val="auto"/>
          <w:sz w:val="24"/>
          <w:highlight w:val="none"/>
          <w:lang w:val="zh-CN"/>
        </w:rPr>
      </w:pPr>
      <w:r>
        <w:rPr>
          <w:rFonts w:hint="eastAsia" w:ascii="宋体" w:hAnsi="宋体" w:cs="楷体_GB2312"/>
          <w:color w:val="auto"/>
          <w:sz w:val="24"/>
          <w:highlight w:val="none"/>
          <w:lang w:val="zh-CN"/>
        </w:rPr>
        <w:t>直接参与该项目政府采购活动的主要负责人不得作为验收工作的主要负责人。</w:t>
      </w:r>
      <w:r>
        <w:rPr>
          <w:rFonts w:hint="eastAsia" w:ascii="宋体" w:hAnsi="宋体" w:cs="楷体_GB2312"/>
          <w:color w:val="auto"/>
          <w:sz w:val="24"/>
          <w:highlight w:val="none"/>
        </w:rPr>
        <w:t>对于采购人和使用人分离的采购项目，应当邀请实际使用人参与验收；政府向社会公众提供的公共服务项目，验收时应当邀请服务对象参与并出具意见，验收结果应当向社会公告。</w:t>
      </w:r>
    </w:p>
    <w:p w14:paraId="61265EF7">
      <w:pPr>
        <w:widowControl w:val="0"/>
        <w:adjustRightInd w:val="0"/>
        <w:snapToGrid w:val="0"/>
        <w:spacing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8.2.1</w:t>
      </w:r>
      <w:r>
        <w:rPr>
          <w:rFonts w:hint="eastAsia" w:ascii="宋体" w:hAnsi="宋体" w:cs="楷体_GB2312"/>
          <w:color w:val="auto"/>
          <w:sz w:val="24"/>
          <w:highlight w:val="none"/>
          <w:lang w:val="zh-CN"/>
        </w:rPr>
        <w:t>政府采购合同金额</w:t>
      </w:r>
      <w:r>
        <w:rPr>
          <w:rFonts w:hint="eastAsia" w:ascii="宋体" w:hAnsi="宋体" w:cs="楷体_GB2312"/>
          <w:color w:val="auto"/>
          <w:sz w:val="24"/>
          <w:highlight w:val="none"/>
        </w:rPr>
        <w:t>在</w:t>
      </w:r>
      <w:r>
        <w:rPr>
          <w:rFonts w:hint="eastAsia" w:ascii="宋体" w:hAnsi="宋体" w:cs="楷体_GB2312"/>
          <w:color w:val="auto"/>
          <w:sz w:val="24"/>
          <w:highlight w:val="none"/>
          <w:lang w:val="zh-CN"/>
        </w:rPr>
        <w:t>10万元以下（</w:t>
      </w:r>
      <w:r>
        <w:rPr>
          <w:rFonts w:hint="eastAsia" w:ascii="宋体" w:hAnsi="宋体" w:cs="楷体_GB2312"/>
          <w:color w:val="auto"/>
          <w:sz w:val="24"/>
          <w:highlight w:val="none"/>
        </w:rPr>
        <w:t>含10万元</w:t>
      </w:r>
      <w:r>
        <w:rPr>
          <w:rFonts w:hint="eastAsia" w:ascii="宋体" w:hAnsi="宋体" w:cs="楷体_GB2312"/>
          <w:color w:val="auto"/>
          <w:sz w:val="24"/>
          <w:highlight w:val="none"/>
          <w:lang w:val="zh-CN"/>
        </w:rPr>
        <w:t>）的项目，原则上可以不邀请评审专家参加，组织方成立验收小组自行验收。</w:t>
      </w:r>
      <w:r>
        <w:rPr>
          <w:rFonts w:hint="eastAsia" w:ascii="宋体" w:hAnsi="宋体" w:cs="楷体_GB2312"/>
          <w:color w:val="auto"/>
          <w:sz w:val="24"/>
          <w:highlight w:val="none"/>
        </w:rPr>
        <w:t>自行验收时，验收小组应仔细对照采购文件及合同，对标的物的数量、质量、规格、型号等参数逐一核对，并编制验收报告。组织方认为不能独立完成验收任务的，可以邀请评审专家参与验收。</w:t>
      </w:r>
    </w:p>
    <w:p w14:paraId="32110E75">
      <w:pPr>
        <w:widowControl w:val="0"/>
        <w:adjustRightInd w:val="0"/>
        <w:snapToGrid w:val="0"/>
        <w:spacing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8.2.2</w:t>
      </w:r>
      <w:r>
        <w:rPr>
          <w:rFonts w:hint="eastAsia" w:ascii="宋体" w:hAnsi="宋体" w:cs="楷体_GB2312"/>
          <w:color w:val="auto"/>
          <w:sz w:val="24"/>
          <w:highlight w:val="none"/>
          <w:lang w:val="zh-CN"/>
        </w:rPr>
        <w:t>政府采购合同金额50万元以下的（含50万元）的项目，验收工作组应不少于三人；政府采购合同金额50万元以上的项目，验收工作组应由</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领导牵头，财务、审计、监察、资产管理、技术等部门人员参与，成员不少于五人。验收工作</w:t>
      </w:r>
      <w:r>
        <w:rPr>
          <w:rFonts w:hint="eastAsia" w:ascii="宋体" w:hAnsi="宋体" w:cs="楷体_GB2312"/>
          <w:color w:val="auto"/>
          <w:sz w:val="24"/>
          <w:highlight w:val="none"/>
        </w:rPr>
        <w:t>原则上</w:t>
      </w:r>
      <w:r>
        <w:rPr>
          <w:rFonts w:hint="eastAsia" w:ascii="宋体" w:hAnsi="宋体" w:cs="楷体_GB2312"/>
          <w:color w:val="auto"/>
          <w:sz w:val="24"/>
          <w:highlight w:val="none"/>
          <w:lang w:val="zh-CN"/>
        </w:rPr>
        <w:t>应当邀请采购评审专家参加验收；大型、复杂或者技术性很强的政府采购项目，应当邀请国家认可的质量检测机构参加验收工作；国家规定强制性检测的采购项目，</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必须委托国家认可专业检测机构进行验收。</w:t>
      </w:r>
    </w:p>
    <w:p w14:paraId="2F17E823">
      <w:pPr>
        <w:widowControl w:val="0"/>
        <w:adjustRightInd w:val="0"/>
        <w:snapToGrid w:val="0"/>
        <w:spacing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8.3验收时，验收小组按照采购合同的约定对每一项技术、服务、安全标准的履约情况进行确认。</w:t>
      </w:r>
      <w:r>
        <w:rPr>
          <w:rFonts w:hint="eastAsia" w:ascii="宋体" w:hAnsi="宋体" w:cs="楷体_GB2312"/>
          <w:color w:val="auto"/>
          <w:sz w:val="24"/>
          <w:highlight w:val="none"/>
          <w:lang w:val="zh-CN"/>
        </w:rPr>
        <w:t>验收时需要进行破坏性试验的，供应商应进行充分的配合并提供备品备件。</w:t>
      </w:r>
    </w:p>
    <w:p w14:paraId="47AFEDF1">
      <w:pPr>
        <w:widowControl w:val="0"/>
        <w:adjustRightInd w:val="0"/>
        <w:snapToGrid w:val="0"/>
        <w:spacing w:beforeLines="50" w:line="300" w:lineRule="auto"/>
        <w:ind w:firstLine="561"/>
        <w:rPr>
          <w:rFonts w:ascii="宋体" w:hAnsi="宋体" w:cs="楷体_GB2312"/>
          <w:color w:val="auto"/>
          <w:sz w:val="24"/>
          <w:highlight w:val="none"/>
        </w:rPr>
      </w:pPr>
      <w:r>
        <w:rPr>
          <w:rFonts w:ascii="宋体" w:hAnsi="宋体" w:cs="楷体_GB2312"/>
          <w:color w:val="auto"/>
          <w:sz w:val="24"/>
          <w:highlight w:val="none"/>
          <w:lang w:val="zh-CN"/>
        </w:rPr>
        <w:t>8.</w:t>
      </w:r>
      <w:r>
        <w:rPr>
          <w:rFonts w:hint="eastAsia" w:ascii="宋体" w:hAnsi="宋体" w:cs="楷体_GB2312"/>
          <w:color w:val="auto"/>
          <w:sz w:val="24"/>
          <w:highlight w:val="none"/>
        </w:rPr>
        <w:t>4</w:t>
      </w:r>
      <w:r>
        <w:rPr>
          <w:rFonts w:hint="eastAsia" w:ascii="宋体" w:hAnsi="宋体" w:cs="楷体_GB2312"/>
          <w:color w:val="auto"/>
          <w:sz w:val="24"/>
          <w:highlight w:val="none"/>
          <w:lang w:val="zh-CN"/>
        </w:rPr>
        <w:t>验收报告：验收后，由采购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及专家等出具验收报告（</w:t>
      </w:r>
      <w:r>
        <w:rPr>
          <w:rFonts w:hint="eastAsia" w:ascii="宋体" w:hAnsi="宋体" w:cs="楷体_GB2312"/>
          <w:color w:val="auto"/>
          <w:sz w:val="24"/>
          <w:highlight w:val="none"/>
        </w:rPr>
        <w:t>自行验收的，由采购人出具</w:t>
      </w:r>
      <w:r>
        <w:rPr>
          <w:rFonts w:hint="eastAsia" w:ascii="宋体" w:hAnsi="宋体" w:cs="楷体_GB2312"/>
          <w:color w:val="auto"/>
          <w:sz w:val="24"/>
          <w:highlight w:val="none"/>
          <w:lang w:val="zh-CN"/>
        </w:rPr>
        <w:t>），国家规定强制性检测的采购项目应附国家认可的专业检测机构出具的验收报告。</w:t>
      </w:r>
    </w:p>
    <w:p w14:paraId="6E74C39C">
      <w:pPr>
        <w:widowControl w:val="0"/>
        <w:adjustRightInd w:val="0"/>
        <w:snapToGrid w:val="0"/>
        <w:spacing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8.</w:t>
      </w:r>
      <w:r>
        <w:rPr>
          <w:rFonts w:hint="eastAsia" w:ascii="宋体" w:hAnsi="宋体" w:cs="楷体_GB2312"/>
          <w:color w:val="auto"/>
          <w:sz w:val="24"/>
          <w:highlight w:val="none"/>
        </w:rPr>
        <w:t>5</w:t>
      </w:r>
      <w:r>
        <w:rPr>
          <w:rFonts w:hint="eastAsia" w:ascii="宋体" w:hAnsi="宋体" w:cs="楷体_GB2312"/>
          <w:color w:val="auto"/>
          <w:sz w:val="24"/>
          <w:highlight w:val="none"/>
          <w:lang w:val="zh-CN"/>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0995B8C7">
      <w:pPr>
        <w:autoSpaceDE w:val="0"/>
        <w:autoSpaceDN w:val="0"/>
        <w:adjustRightInd w:val="0"/>
        <w:snapToGrid w:val="0"/>
        <w:spacing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8.6 验收公告的时限：采购人要在政府采购项目验收完成后1个工作日内登陆安阳市政府采购网进行验收公告。</w:t>
      </w:r>
    </w:p>
    <w:p w14:paraId="408AEE24">
      <w:pPr>
        <w:widowControl w:val="0"/>
        <w:adjustRightInd w:val="0"/>
        <w:snapToGrid w:val="0"/>
        <w:spacing w:beforeLines="50" w:line="300" w:lineRule="auto"/>
        <w:ind w:firstLine="561"/>
        <w:rPr>
          <w:rFonts w:ascii="宋体" w:cs="楷体_GB2312"/>
          <w:color w:val="auto"/>
          <w:sz w:val="24"/>
          <w:highlight w:val="none"/>
          <w:lang w:val="zh-CN"/>
        </w:rPr>
      </w:pPr>
    </w:p>
    <w:p w14:paraId="27FA57BB">
      <w:pPr>
        <w:widowControl w:val="0"/>
        <w:adjustRightInd w:val="0"/>
        <w:snapToGrid w:val="0"/>
        <w:spacing w:beforeLines="50" w:line="300" w:lineRule="auto"/>
        <w:ind w:firstLine="561"/>
        <w:outlineLvl w:val="1"/>
        <w:rPr>
          <w:rFonts w:ascii="黑体" w:hAnsi="黑体" w:eastAsia="黑体" w:cs="楷体_GB2312"/>
          <w:b/>
          <w:bCs/>
          <w:color w:val="auto"/>
          <w:sz w:val="28"/>
          <w:szCs w:val="28"/>
          <w:highlight w:val="none"/>
          <w:lang w:val="zh-CN"/>
        </w:rPr>
      </w:pPr>
      <w:bookmarkStart w:id="37" w:name="_Toc209083638"/>
      <w:r>
        <w:rPr>
          <w:rFonts w:ascii="黑体" w:hAnsi="黑体" w:eastAsia="黑体" w:cs="楷体_GB2312"/>
          <w:b/>
          <w:bCs/>
          <w:color w:val="auto"/>
          <w:sz w:val="28"/>
          <w:szCs w:val="28"/>
          <w:highlight w:val="none"/>
          <w:lang w:val="zh-CN"/>
        </w:rPr>
        <w:t>9.</w:t>
      </w:r>
      <w:r>
        <w:rPr>
          <w:rFonts w:hint="eastAsia" w:ascii="黑体" w:hAnsi="黑体" w:eastAsia="黑体" w:cs="楷体_GB2312"/>
          <w:b/>
          <w:bCs/>
          <w:color w:val="auto"/>
          <w:sz w:val="28"/>
          <w:szCs w:val="28"/>
          <w:highlight w:val="none"/>
          <w:lang w:val="zh-CN"/>
        </w:rPr>
        <w:t>付款</w:t>
      </w:r>
      <w:bookmarkEnd w:id="37"/>
    </w:p>
    <w:p w14:paraId="25BD2A08">
      <w:pPr>
        <w:widowControl w:val="0"/>
        <w:adjustRightInd w:val="0"/>
        <w:snapToGrid w:val="0"/>
        <w:spacing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见投标人须知前附表</w:t>
      </w:r>
    </w:p>
    <w:p w14:paraId="74ED66D9">
      <w:pPr>
        <w:widowControl w:val="0"/>
        <w:adjustRightInd w:val="0"/>
        <w:snapToGrid w:val="0"/>
        <w:spacing w:beforeLines="50" w:line="300" w:lineRule="auto"/>
        <w:ind w:firstLine="561"/>
        <w:rPr>
          <w:rFonts w:ascii="黑体" w:hAnsi="黑体" w:eastAsia="黑体" w:cs="楷体_GB2312"/>
          <w:b/>
          <w:bCs/>
          <w:color w:val="auto"/>
          <w:sz w:val="28"/>
          <w:szCs w:val="28"/>
          <w:highlight w:val="none"/>
          <w:lang w:val="zh-CN"/>
        </w:rPr>
      </w:pPr>
    </w:p>
    <w:p w14:paraId="46F0165D">
      <w:pPr>
        <w:widowControl w:val="0"/>
        <w:adjustRightInd w:val="0"/>
        <w:snapToGrid w:val="0"/>
        <w:spacing w:beforeLines="50" w:line="300" w:lineRule="auto"/>
        <w:ind w:firstLine="561"/>
        <w:outlineLvl w:val="1"/>
        <w:rPr>
          <w:rFonts w:ascii="黑体" w:hAnsi="黑体" w:eastAsia="黑体" w:cs="楷体_GB2312"/>
          <w:b/>
          <w:bCs/>
          <w:color w:val="auto"/>
          <w:sz w:val="28"/>
          <w:szCs w:val="28"/>
          <w:highlight w:val="none"/>
          <w:lang w:val="zh-CN"/>
        </w:rPr>
      </w:pPr>
      <w:bookmarkStart w:id="38" w:name="_Toc209083639"/>
      <w:r>
        <w:rPr>
          <w:rFonts w:ascii="黑体" w:hAnsi="黑体" w:eastAsia="黑体" w:cs="楷体_GB2312"/>
          <w:b/>
          <w:bCs/>
          <w:color w:val="auto"/>
          <w:sz w:val="28"/>
          <w:szCs w:val="28"/>
          <w:highlight w:val="none"/>
          <w:lang w:val="zh-CN"/>
        </w:rPr>
        <w:t xml:space="preserve">10. </w:t>
      </w:r>
      <w:r>
        <w:rPr>
          <w:rFonts w:hint="eastAsia" w:ascii="黑体" w:hAnsi="黑体" w:eastAsia="黑体" w:cs="楷体_GB2312"/>
          <w:b/>
          <w:bCs/>
          <w:color w:val="auto"/>
          <w:sz w:val="28"/>
          <w:szCs w:val="28"/>
          <w:highlight w:val="none"/>
          <w:lang w:val="zh-CN"/>
        </w:rPr>
        <w:t>其他</w:t>
      </w:r>
      <w:bookmarkEnd w:id="38"/>
    </w:p>
    <w:p w14:paraId="63FD9B47">
      <w:pPr>
        <w:widowControl w:val="0"/>
        <w:adjustRightInd w:val="0"/>
        <w:snapToGrid w:val="0"/>
        <w:spacing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 xml:space="preserve">10.1 </w:t>
      </w:r>
      <w:r>
        <w:rPr>
          <w:rFonts w:hint="eastAsia" w:ascii="宋体" w:hAnsi="宋体" w:cs="楷体_GB2312"/>
          <w:color w:val="auto"/>
          <w:sz w:val="24"/>
          <w:highlight w:val="none"/>
          <w:lang w:val="zh-CN"/>
        </w:rPr>
        <w:t>中标服务费等：见投标人须知前附表</w:t>
      </w:r>
    </w:p>
    <w:p w14:paraId="469F721D">
      <w:pPr>
        <w:widowControl w:val="0"/>
        <w:adjustRightInd w:val="0"/>
        <w:snapToGrid w:val="0"/>
        <w:spacing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 xml:space="preserve">10.2 </w:t>
      </w:r>
      <w:r>
        <w:rPr>
          <w:rFonts w:hint="eastAsia" w:ascii="宋体" w:hAnsi="宋体" w:cs="楷体_GB2312"/>
          <w:color w:val="auto"/>
          <w:sz w:val="24"/>
          <w:highlight w:val="none"/>
          <w:lang w:val="zh-CN"/>
        </w:rPr>
        <w:t>同义解释。谈判文件中：“投标”同义“提交响应文件”，“投标人”同义“提交响应文件的供应商”，“投标文件”同义“响应文件”，</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开标”同义“响应文件的开启</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，“中标”同义“成交”，“中标供应商”同义“成交供应商</w:t>
      </w:r>
      <w:r>
        <w:rPr>
          <w:rFonts w:hint="eastAsia" w:ascii="宋体" w:cs="楷体_GB2312"/>
          <w:color w:val="auto"/>
          <w:sz w:val="24"/>
          <w:highlight w:val="none"/>
          <w:lang w:val="zh-CN"/>
        </w:rPr>
        <w:t>”。</w:t>
      </w:r>
    </w:p>
    <w:p w14:paraId="35B9AD6D">
      <w:pPr>
        <w:widowControl w:val="0"/>
        <w:adjustRightInd w:val="0"/>
        <w:snapToGrid w:val="0"/>
        <w:spacing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 xml:space="preserve">10.3 </w:t>
      </w:r>
      <w:r>
        <w:rPr>
          <w:rFonts w:hint="eastAsia" w:ascii="宋体" w:hAnsi="宋体" w:cs="楷体_GB2312"/>
          <w:color w:val="auto"/>
          <w:sz w:val="24"/>
          <w:highlight w:val="none"/>
          <w:lang w:val="zh-CN"/>
        </w:rPr>
        <w:t>投标人资格条件中包含非法人单位的，谈判文件中法定代表人一词相应包含表示证照标示的负责人；投标人资格条件中包含自然人的，谈判文件中法定代表人一词相应包含表示自然人，自然人应由其本人签署投标文件、参加投标，不应再授权他人。</w:t>
      </w:r>
    </w:p>
    <w:p w14:paraId="22132476">
      <w:pPr>
        <w:widowControl w:val="0"/>
        <w:autoSpaceDE w:val="0"/>
        <w:autoSpaceDN w:val="0"/>
        <w:adjustRightInd w:val="0"/>
        <w:spacing w:beforeLines="50" w:line="300" w:lineRule="auto"/>
        <w:ind w:firstLine="480" w:firstLineChars="200"/>
        <w:jc w:val="left"/>
        <w:textAlignment w:val="auto"/>
        <w:rPr>
          <w:rFonts w:ascii="宋体" w:hAnsi="宋体" w:cs="楷体_GB2312"/>
          <w:color w:val="auto"/>
          <w:sz w:val="24"/>
          <w:highlight w:val="none"/>
          <w:lang w:val="zh-CN"/>
        </w:rPr>
      </w:pPr>
      <w:r>
        <w:rPr>
          <w:rFonts w:ascii="宋体" w:hAnsi="宋体" w:cs="楷体_GB2312"/>
          <w:color w:val="auto"/>
          <w:sz w:val="24"/>
          <w:highlight w:val="none"/>
          <w:lang w:val="zh-CN"/>
        </w:rPr>
        <w:t xml:space="preserve">10.4  </w:t>
      </w:r>
      <w:r>
        <w:rPr>
          <w:rFonts w:hint="eastAsia" w:ascii="宋体" w:hAnsi="宋体" w:cs="楷体_GB2312"/>
          <w:color w:val="auto"/>
          <w:sz w:val="24"/>
          <w:highlight w:val="none"/>
          <w:lang w:val="zh-CN"/>
        </w:rPr>
        <w:t>谈判文件第一章至第四章各章中，用序号标示条、款、项、目，例如：</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条，</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款（简称</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款），</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项（简称</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项）。“条”包含款、项、目；“款”包含项、目；“项”包含目。</w:t>
      </w:r>
    </w:p>
    <w:p w14:paraId="048A3EF1">
      <w:pPr>
        <w:widowControl w:val="0"/>
        <w:autoSpaceDE w:val="0"/>
        <w:autoSpaceDN w:val="0"/>
        <w:adjustRightInd w:val="0"/>
        <w:spacing w:beforeLines="50" w:line="300" w:lineRule="auto"/>
        <w:ind w:firstLine="480" w:firstLineChars="200"/>
        <w:jc w:val="left"/>
        <w:textAlignment w:val="auto"/>
        <w:rPr>
          <w:rFonts w:ascii="宋体" w:hAnsi="宋体" w:cs="楷体_GB2312"/>
          <w:color w:val="auto"/>
          <w:sz w:val="24"/>
          <w:highlight w:val="none"/>
          <w:lang w:val="zh-CN"/>
        </w:rPr>
      </w:pPr>
    </w:p>
    <w:p w14:paraId="43C16730">
      <w:pPr>
        <w:widowControl w:val="0"/>
        <w:adjustRightInd w:val="0"/>
        <w:snapToGrid w:val="0"/>
        <w:spacing w:beforeLines="50" w:line="300" w:lineRule="auto"/>
        <w:ind w:firstLine="561"/>
        <w:outlineLvl w:val="1"/>
        <w:rPr>
          <w:rFonts w:ascii="黑体" w:hAnsi="黑体" w:eastAsia="黑体" w:cs="楷体_GB2312"/>
          <w:b/>
          <w:bCs/>
          <w:color w:val="auto"/>
          <w:sz w:val="28"/>
          <w:szCs w:val="28"/>
          <w:highlight w:val="none"/>
          <w:lang w:val="zh-CN"/>
        </w:rPr>
      </w:pPr>
      <w:bookmarkStart w:id="39" w:name="_Toc209083640"/>
      <w:bookmarkStart w:id="40" w:name="_Toc58858635"/>
      <w:r>
        <w:rPr>
          <w:rFonts w:hint="eastAsia" w:ascii="黑体" w:hAnsi="黑体" w:eastAsia="黑体" w:cs="楷体_GB2312"/>
          <w:b/>
          <w:bCs/>
          <w:color w:val="auto"/>
          <w:sz w:val="28"/>
          <w:szCs w:val="28"/>
          <w:highlight w:val="none"/>
          <w:lang w:val="zh-CN"/>
        </w:rPr>
        <w:t>11. 河南省政府采购合同融资政策告知函</w:t>
      </w:r>
      <w:bookmarkEnd w:id="39"/>
      <w:bookmarkEnd w:id="40"/>
    </w:p>
    <w:p w14:paraId="78F99F9E">
      <w:pPr>
        <w:widowControl w:val="0"/>
        <w:adjustRightInd w:val="0"/>
        <w:snapToGrid w:val="0"/>
        <w:spacing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各供应商：</w:t>
      </w:r>
    </w:p>
    <w:p w14:paraId="5B17AEF6">
      <w:pPr>
        <w:widowControl w:val="0"/>
        <w:adjustRightInd w:val="0"/>
        <w:snapToGrid w:val="0"/>
        <w:spacing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欢迎贵公司参与河南省政府采购活动！</w:t>
      </w:r>
    </w:p>
    <w:p w14:paraId="3BD4331D">
      <w:pPr>
        <w:widowControl w:val="0"/>
        <w:adjustRightInd w:val="0"/>
        <w:snapToGrid w:val="0"/>
        <w:spacing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DADFCD5">
      <w:pPr>
        <w:widowControl w:val="0"/>
        <w:adjustRightInd w:val="0"/>
        <w:snapToGrid w:val="0"/>
        <w:spacing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贷款渠道和提供贷款的金融机构，可在河南省政府采购网“河南省政府采购合同融资平台”查询联系。</w:t>
      </w:r>
    </w:p>
    <w:p w14:paraId="0BC9AF8A">
      <w:pPr>
        <w:widowControl w:val="0"/>
        <w:adjustRightInd w:val="0"/>
        <w:snapToGrid w:val="0"/>
        <w:spacing w:beforeLines="50" w:line="300" w:lineRule="auto"/>
        <w:ind w:firstLine="555"/>
        <w:rPr>
          <w:rFonts w:ascii="宋体" w:hAnsi="宋体"/>
          <w:b/>
          <w:color w:val="auto"/>
          <w:sz w:val="24"/>
          <w:szCs w:val="24"/>
          <w:highlight w:val="none"/>
        </w:rPr>
      </w:pPr>
      <w:r>
        <w:rPr>
          <w:rFonts w:ascii="宋体" w:hAnsi="宋体"/>
          <w:color w:val="auto"/>
          <w:sz w:val="24"/>
          <w:szCs w:val="24"/>
          <w:highlight w:val="none"/>
        </w:rPr>
        <w:br w:type="page"/>
      </w:r>
    </w:p>
    <w:p w14:paraId="5F09BBFC">
      <w:pPr>
        <w:widowControl w:val="0"/>
        <w:snapToGrid w:val="0"/>
        <w:spacing w:line="360" w:lineRule="auto"/>
        <w:ind w:firstLine="567"/>
        <w:jc w:val="center"/>
        <w:outlineLvl w:val="0"/>
        <w:rPr>
          <w:rFonts w:ascii="黑体" w:hAnsi="黑体" w:eastAsia="黑体"/>
          <w:b/>
          <w:color w:val="auto"/>
          <w:sz w:val="36"/>
          <w:szCs w:val="36"/>
          <w:highlight w:val="none"/>
          <w:lang w:val="zh-CN"/>
        </w:rPr>
      </w:pPr>
      <w:bookmarkStart w:id="41" w:name="_Toc209083641"/>
      <w:r>
        <w:rPr>
          <w:rFonts w:hint="eastAsia" w:ascii="黑体" w:hAnsi="黑体" w:eastAsia="黑体"/>
          <w:b/>
          <w:color w:val="auto"/>
          <w:sz w:val="36"/>
          <w:szCs w:val="36"/>
          <w:highlight w:val="none"/>
          <w:lang w:val="zh-CN"/>
        </w:rPr>
        <w:t>第四章 评审办法</w:t>
      </w:r>
      <w:bookmarkEnd w:id="41"/>
    </w:p>
    <w:p w14:paraId="673512A7">
      <w:pPr>
        <w:widowControl w:val="0"/>
        <w:snapToGrid w:val="0"/>
        <w:spacing w:line="360" w:lineRule="auto"/>
        <w:outlineLvl w:val="0"/>
        <w:rPr>
          <w:b/>
          <w:color w:val="auto"/>
          <w:sz w:val="24"/>
          <w:szCs w:val="24"/>
          <w:highlight w:val="none"/>
        </w:rPr>
      </w:pPr>
    </w:p>
    <w:p w14:paraId="7D445C16">
      <w:pPr>
        <w:spacing w:line="500" w:lineRule="exact"/>
        <w:jc w:val="left"/>
        <w:outlineLvl w:val="1"/>
        <w:rPr>
          <w:rFonts w:ascii="黑体" w:hAnsi="黑体" w:eastAsia="黑体"/>
          <w:b/>
          <w:color w:val="auto"/>
          <w:sz w:val="28"/>
          <w:szCs w:val="28"/>
          <w:highlight w:val="none"/>
          <w:lang w:val="zh-CN"/>
        </w:rPr>
      </w:pPr>
      <w:bookmarkStart w:id="42" w:name="_Toc209083642"/>
      <w:r>
        <w:rPr>
          <w:rFonts w:hint="eastAsia" w:ascii="黑体" w:hAnsi="黑体" w:eastAsia="黑体"/>
          <w:b/>
          <w:color w:val="auto"/>
          <w:sz w:val="28"/>
          <w:szCs w:val="28"/>
          <w:highlight w:val="none"/>
        </w:rPr>
        <w:t>评审办法前附表</w:t>
      </w:r>
      <w:bookmarkEnd w:id="42"/>
    </w:p>
    <w:tbl>
      <w:tblPr>
        <w:tblStyle w:val="16"/>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560"/>
        <w:gridCol w:w="960"/>
        <w:gridCol w:w="2217"/>
        <w:gridCol w:w="5736"/>
      </w:tblGrid>
      <w:tr w14:paraId="0BB0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24" w:type="dxa"/>
            <w:gridSpan w:val="2"/>
            <w:vAlign w:val="center"/>
          </w:tcPr>
          <w:p w14:paraId="3AE59891">
            <w:pPr>
              <w:pStyle w:val="48"/>
              <w:jc w:val="center"/>
              <w:rPr>
                <w:rFonts w:hAnsi="宋体"/>
                <w:b/>
                <w:color w:val="auto"/>
                <w:szCs w:val="24"/>
                <w:highlight w:val="none"/>
              </w:rPr>
            </w:pPr>
            <w:r>
              <w:rPr>
                <w:rFonts w:hint="eastAsia" w:hAnsi="宋体"/>
                <w:b/>
                <w:color w:val="auto"/>
                <w:szCs w:val="24"/>
                <w:highlight w:val="none"/>
              </w:rPr>
              <w:t>条款号</w:t>
            </w:r>
          </w:p>
        </w:tc>
        <w:tc>
          <w:tcPr>
            <w:tcW w:w="3177" w:type="dxa"/>
            <w:gridSpan w:val="2"/>
            <w:vAlign w:val="center"/>
          </w:tcPr>
          <w:p w14:paraId="00847C84">
            <w:pPr>
              <w:pStyle w:val="48"/>
              <w:jc w:val="center"/>
              <w:rPr>
                <w:rFonts w:hAnsi="宋体"/>
                <w:b/>
                <w:color w:val="auto"/>
                <w:szCs w:val="24"/>
                <w:highlight w:val="none"/>
              </w:rPr>
            </w:pPr>
            <w:r>
              <w:rPr>
                <w:rFonts w:hint="eastAsia" w:hAnsi="宋体"/>
                <w:b/>
                <w:color w:val="auto"/>
                <w:szCs w:val="24"/>
                <w:highlight w:val="none"/>
              </w:rPr>
              <w:t>评审因素</w:t>
            </w:r>
          </w:p>
        </w:tc>
        <w:tc>
          <w:tcPr>
            <w:tcW w:w="5736" w:type="dxa"/>
            <w:vAlign w:val="center"/>
          </w:tcPr>
          <w:p w14:paraId="23ED55F3">
            <w:pPr>
              <w:pStyle w:val="48"/>
              <w:jc w:val="center"/>
              <w:rPr>
                <w:rFonts w:hAnsi="宋体"/>
                <w:b/>
                <w:color w:val="auto"/>
                <w:szCs w:val="24"/>
                <w:highlight w:val="none"/>
              </w:rPr>
            </w:pPr>
            <w:r>
              <w:rPr>
                <w:rFonts w:hint="eastAsia" w:hAnsi="宋体"/>
                <w:b/>
                <w:color w:val="auto"/>
                <w:szCs w:val="24"/>
                <w:highlight w:val="none"/>
              </w:rPr>
              <w:t>评审标准</w:t>
            </w:r>
          </w:p>
        </w:tc>
      </w:tr>
      <w:tr w14:paraId="40BE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564" w:type="dxa"/>
            <w:vMerge w:val="restart"/>
            <w:vAlign w:val="center"/>
          </w:tcPr>
          <w:p w14:paraId="25F84F2A">
            <w:pPr>
              <w:pStyle w:val="48"/>
              <w:spacing w:line="360" w:lineRule="auto"/>
              <w:ind w:right="-101" w:rightChars="-48"/>
              <w:jc w:val="center"/>
              <w:rPr>
                <w:rFonts w:hAnsi="宋体"/>
                <w:color w:val="auto"/>
                <w:szCs w:val="24"/>
                <w:highlight w:val="none"/>
              </w:rPr>
            </w:pPr>
            <w:r>
              <w:rPr>
                <w:rFonts w:hAnsi="宋体"/>
                <w:color w:val="auto"/>
                <w:szCs w:val="24"/>
                <w:highlight w:val="none"/>
              </w:rPr>
              <w:t>2.1.1</w:t>
            </w:r>
          </w:p>
        </w:tc>
        <w:tc>
          <w:tcPr>
            <w:tcW w:w="560" w:type="dxa"/>
            <w:vMerge w:val="restart"/>
            <w:vAlign w:val="center"/>
          </w:tcPr>
          <w:p w14:paraId="3D19E47A">
            <w:pPr>
              <w:pStyle w:val="48"/>
              <w:jc w:val="center"/>
              <w:rPr>
                <w:rFonts w:hAnsi="宋体"/>
                <w:color w:val="auto"/>
                <w:szCs w:val="24"/>
                <w:highlight w:val="none"/>
              </w:rPr>
            </w:pPr>
            <w:r>
              <w:rPr>
                <w:rFonts w:hint="eastAsia" w:hAnsi="宋体"/>
                <w:color w:val="auto"/>
                <w:szCs w:val="24"/>
                <w:highlight w:val="none"/>
              </w:rPr>
              <w:t>资</w:t>
            </w:r>
          </w:p>
          <w:p w14:paraId="6E8954F0">
            <w:pPr>
              <w:pStyle w:val="48"/>
              <w:jc w:val="center"/>
              <w:rPr>
                <w:rFonts w:hAnsi="宋体"/>
                <w:color w:val="auto"/>
                <w:szCs w:val="24"/>
                <w:highlight w:val="none"/>
              </w:rPr>
            </w:pPr>
            <w:r>
              <w:rPr>
                <w:rFonts w:hint="eastAsia" w:hAnsi="宋体"/>
                <w:color w:val="auto"/>
                <w:szCs w:val="24"/>
                <w:highlight w:val="none"/>
              </w:rPr>
              <w:t>格</w:t>
            </w:r>
          </w:p>
          <w:p w14:paraId="49A94084">
            <w:pPr>
              <w:pStyle w:val="48"/>
              <w:jc w:val="center"/>
              <w:rPr>
                <w:rFonts w:hAnsi="宋体"/>
                <w:color w:val="auto"/>
                <w:szCs w:val="24"/>
                <w:highlight w:val="none"/>
              </w:rPr>
            </w:pPr>
            <w:r>
              <w:rPr>
                <w:rFonts w:hint="eastAsia" w:hAnsi="宋体"/>
                <w:color w:val="auto"/>
                <w:szCs w:val="24"/>
                <w:highlight w:val="none"/>
              </w:rPr>
              <w:t>性</w:t>
            </w:r>
          </w:p>
          <w:p w14:paraId="662B7260">
            <w:pPr>
              <w:pStyle w:val="48"/>
              <w:jc w:val="center"/>
              <w:rPr>
                <w:rFonts w:hAnsi="宋体"/>
                <w:color w:val="auto"/>
                <w:szCs w:val="24"/>
                <w:highlight w:val="none"/>
              </w:rPr>
            </w:pPr>
            <w:r>
              <w:rPr>
                <w:rFonts w:hint="eastAsia" w:hAnsi="宋体"/>
                <w:color w:val="auto"/>
                <w:szCs w:val="24"/>
                <w:highlight w:val="none"/>
              </w:rPr>
              <w:t>审</w:t>
            </w:r>
          </w:p>
          <w:p w14:paraId="106F8DE7">
            <w:pPr>
              <w:pStyle w:val="48"/>
              <w:jc w:val="center"/>
              <w:rPr>
                <w:rFonts w:hAnsi="宋体"/>
                <w:color w:val="auto"/>
                <w:szCs w:val="24"/>
                <w:highlight w:val="none"/>
              </w:rPr>
            </w:pPr>
            <w:r>
              <w:rPr>
                <w:rFonts w:hint="eastAsia" w:hAnsi="宋体"/>
                <w:color w:val="auto"/>
                <w:szCs w:val="24"/>
                <w:highlight w:val="none"/>
              </w:rPr>
              <w:t>查</w:t>
            </w:r>
          </w:p>
        </w:tc>
        <w:tc>
          <w:tcPr>
            <w:tcW w:w="3177" w:type="dxa"/>
            <w:gridSpan w:val="2"/>
            <w:vAlign w:val="center"/>
          </w:tcPr>
          <w:p w14:paraId="0708185E">
            <w:pPr>
              <w:widowControl w:val="0"/>
              <w:snapToGrid w:val="0"/>
              <w:spacing w:line="240" w:lineRule="auto"/>
              <w:rPr>
                <w:rFonts w:ascii="宋体"/>
                <w:color w:val="auto"/>
                <w:sz w:val="24"/>
                <w:szCs w:val="24"/>
                <w:highlight w:val="none"/>
              </w:rPr>
            </w:pPr>
            <w:r>
              <w:rPr>
                <w:rFonts w:hint="eastAsia"/>
                <w:color w:val="auto"/>
                <w:sz w:val="24"/>
                <w:szCs w:val="24"/>
                <w:highlight w:val="none"/>
              </w:rPr>
              <w:t>第一章“谈判公告”第</w:t>
            </w:r>
            <w:r>
              <w:rPr>
                <w:color w:val="auto"/>
                <w:sz w:val="24"/>
                <w:szCs w:val="24"/>
                <w:highlight w:val="none"/>
              </w:rPr>
              <w:t>2</w:t>
            </w:r>
            <w:r>
              <w:rPr>
                <w:rFonts w:hint="eastAsia"/>
                <w:color w:val="auto"/>
                <w:sz w:val="24"/>
                <w:szCs w:val="24"/>
                <w:highlight w:val="none"/>
              </w:rPr>
              <w:t>条各项资格要求</w:t>
            </w:r>
          </w:p>
        </w:tc>
        <w:tc>
          <w:tcPr>
            <w:tcW w:w="5736" w:type="dxa"/>
            <w:vAlign w:val="center"/>
          </w:tcPr>
          <w:p w14:paraId="1E0D012B">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符合第一章“谈判公告”第</w:t>
            </w:r>
            <w:r>
              <w:rPr>
                <w:rFonts w:ascii="宋体" w:hAnsi="宋体"/>
                <w:color w:val="auto"/>
                <w:sz w:val="24"/>
                <w:szCs w:val="24"/>
                <w:highlight w:val="none"/>
              </w:rPr>
              <w:t>2</w:t>
            </w:r>
            <w:r>
              <w:rPr>
                <w:rFonts w:hint="eastAsia" w:ascii="宋体" w:hAnsi="宋体"/>
                <w:color w:val="auto"/>
                <w:sz w:val="24"/>
                <w:szCs w:val="24"/>
                <w:highlight w:val="none"/>
              </w:rPr>
              <w:t>条各项</w:t>
            </w:r>
            <w:r>
              <w:rPr>
                <w:rFonts w:hint="eastAsia"/>
                <w:color w:val="auto"/>
                <w:sz w:val="24"/>
                <w:szCs w:val="24"/>
                <w:highlight w:val="none"/>
              </w:rPr>
              <w:t>资格要求所需证件材料及证明材料</w:t>
            </w:r>
          </w:p>
        </w:tc>
      </w:tr>
      <w:tr w14:paraId="4375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564" w:type="dxa"/>
            <w:vMerge w:val="continue"/>
            <w:vAlign w:val="center"/>
          </w:tcPr>
          <w:p w14:paraId="6F466038">
            <w:pPr>
              <w:pStyle w:val="48"/>
              <w:spacing w:line="360" w:lineRule="auto"/>
              <w:jc w:val="center"/>
              <w:rPr>
                <w:rFonts w:hAnsi="宋体"/>
                <w:color w:val="auto"/>
                <w:szCs w:val="24"/>
                <w:highlight w:val="none"/>
              </w:rPr>
            </w:pPr>
          </w:p>
        </w:tc>
        <w:tc>
          <w:tcPr>
            <w:tcW w:w="560" w:type="dxa"/>
            <w:vMerge w:val="continue"/>
            <w:vAlign w:val="center"/>
          </w:tcPr>
          <w:p w14:paraId="3F01ACF7">
            <w:pPr>
              <w:pStyle w:val="48"/>
              <w:spacing w:line="360" w:lineRule="auto"/>
              <w:jc w:val="center"/>
              <w:rPr>
                <w:rFonts w:hAnsi="宋体"/>
                <w:color w:val="auto"/>
                <w:szCs w:val="24"/>
                <w:highlight w:val="none"/>
              </w:rPr>
            </w:pPr>
          </w:p>
        </w:tc>
        <w:tc>
          <w:tcPr>
            <w:tcW w:w="3177" w:type="dxa"/>
            <w:gridSpan w:val="2"/>
            <w:vAlign w:val="center"/>
          </w:tcPr>
          <w:p w14:paraId="760CB568">
            <w:pPr>
              <w:widowControl w:val="0"/>
              <w:snapToGrid w:val="0"/>
              <w:spacing w:line="240" w:lineRule="auto"/>
              <w:rPr>
                <w:color w:val="auto"/>
                <w:sz w:val="24"/>
                <w:szCs w:val="24"/>
                <w:highlight w:val="none"/>
              </w:rPr>
            </w:pPr>
            <w:r>
              <w:rPr>
                <w:rFonts w:hint="eastAsia"/>
                <w:color w:val="auto"/>
                <w:sz w:val="24"/>
                <w:szCs w:val="24"/>
                <w:highlight w:val="none"/>
              </w:rPr>
              <w:t>投标承诺函</w:t>
            </w:r>
          </w:p>
        </w:tc>
        <w:tc>
          <w:tcPr>
            <w:tcW w:w="5736" w:type="dxa"/>
            <w:vAlign w:val="center"/>
          </w:tcPr>
          <w:p w14:paraId="2826E023">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符合第三章“投标人须知”</w:t>
            </w:r>
            <w:r>
              <w:rPr>
                <w:rFonts w:ascii="宋体" w:hAnsi="宋体"/>
                <w:color w:val="auto"/>
                <w:sz w:val="24"/>
                <w:szCs w:val="24"/>
                <w:highlight w:val="none"/>
              </w:rPr>
              <w:t>3.5</w:t>
            </w:r>
            <w:r>
              <w:rPr>
                <w:rFonts w:hint="eastAsia" w:ascii="宋体" w:hAnsi="宋体"/>
                <w:color w:val="auto"/>
                <w:sz w:val="24"/>
                <w:szCs w:val="24"/>
                <w:highlight w:val="none"/>
              </w:rPr>
              <w:t>款规定</w:t>
            </w:r>
          </w:p>
        </w:tc>
      </w:tr>
      <w:tr w14:paraId="1163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564" w:type="dxa"/>
            <w:vMerge w:val="continue"/>
            <w:vAlign w:val="center"/>
          </w:tcPr>
          <w:p w14:paraId="7D7E932A">
            <w:pPr>
              <w:pStyle w:val="48"/>
              <w:spacing w:line="360" w:lineRule="auto"/>
              <w:jc w:val="center"/>
              <w:rPr>
                <w:rFonts w:hAnsi="宋体"/>
                <w:color w:val="auto"/>
                <w:szCs w:val="24"/>
                <w:highlight w:val="none"/>
              </w:rPr>
            </w:pPr>
          </w:p>
        </w:tc>
        <w:tc>
          <w:tcPr>
            <w:tcW w:w="560" w:type="dxa"/>
            <w:vMerge w:val="continue"/>
            <w:vAlign w:val="center"/>
          </w:tcPr>
          <w:p w14:paraId="6F0A4686">
            <w:pPr>
              <w:pStyle w:val="48"/>
              <w:spacing w:line="360" w:lineRule="auto"/>
              <w:jc w:val="center"/>
              <w:rPr>
                <w:rFonts w:hAnsi="宋体"/>
                <w:color w:val="auto"/>
                <w:szCs w:val="24"/>
                <w:highlight w:val="none"/>
              </w:rPr>
            </w:pPr>
          </w:p>
        </w:tc>
        <w:tc>
          <w:tcPr>
            <w:tcW w:w="3177" w:type="dxa"/>
            <w:gridSpan w:val="2"/>
            <w:vAlign w:val="center"/>
          </w:tcPr>
          <w:p w14:paraId="31FF251F">
            <w:pPr>
              <w:widowControl w:val="0"/>
              <w:snapToGrid w:val="0"/>
              <w:spacing w:line="240" w:lineRule="auto"/>
              <w:rPr>
                <w:color w:val="auto"/>
                <w:sz w:val="24"/>
                <w:szCs w:val="24"/>
                <w:highlight w:val="none"/>
              </w:rPr>
            </w:pPr>
            <w:r>
              <w:rPr>
                <w:rFonts w:hint="eastAsia"/>
                <w:color w:val="auto"/>
                <w:sz w:val="24"/>
                <w:szCs w:val="24"/>
                <w:highlight w:val="none"/>
              </w:rPr>
              <w:t>联合体（如有）</w:t>
            </w:r>
          </w:p>
        </w:tc>
        <w:tc>
          <w:tcPr>
            <w:tcW w:w="5736" w:type="dxa"/>
            <w:vAlign w:val="center"/>
          </w:tcPr>
          <w:p w14:paraId="51794AD6">
            <w:pPr>
              <w:widowControl w:val="0"/>
              <w:snapToGrid w:val="0"/>
              <w:spacing w:line="240" w:lineRule="auto"/>
              <w:rPr>
                <w:rFonts w:ascii="宋体"/>
                <w:color w:val="auto"/>
                <w:sz w:val="24"/>
                <w:szCs w:val="24"/>
                <w:highlight w:val="none"/>
              </w:rPr>
            </w:pPr>
            <w:r>
              <w:rPr>
                <w:rFonts w:hint="eastAsia" w:ascii="宋体" w:hAnsi="宋体"/>
                <w:color w:val="auto"/>
                <w:sz w:val="24"/>
                <w:szCs w:val="24"/>
                <w:highlight w:val="none"/>
              </w:rPr>
              <w:t>符合第三章“投标人须知”</w:t>
            </w:r>
            <w:r>
              <w:rPr>
                <w:rFonts w:ascii="宋体" w:hAnsi="宋体"/>
                <w:color w:val="auto"/>
                <w:sz w:val="24"/>
                <w:szCs w:val="24"/>
                <w:highlight w:val="none"/>
              </w:rPr>
              <w:t>1.4</w:t>
            </w:r>
            <w:r>
              <w:rPr>
                <w:rFonts w:hint="eastAsia" w:ascii="宋体" w:hAnsi="宋体"/>
                <w:color w:val="auto"/>
                <w:sz w:val="24"/>
                <w:szCs w:val="24"/>
                <w:highlight w:val="none"/>
              </w:rPr>
              <w:t>款规定</w:t>
            </w:r>
          </w:p>
        </w:tc>
      </w:tr>
      <w:tr w14:paraId="0131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64" w:type="dxa"/>
            <w:vMerge w:val="restart"/>
            <w:vAlign w:val="center"/>
          </w:tcPr>
          <w:p w14:paraId="45D5DEE6">
            <w:pPr>
              <w:pStyle w:val="48"/>
              <w:spacing w:line="360" w:lineRule="auto"/>
              <w:ind w:right="-160" w:rightChars="-76"/>
              <w:jc w:val="center"/>
              <w:rPr>
                <w:rFonts w:hAnsi="宋体"/>
                <w:color w:val="auto"/>
                <w:szCs w:val="24"/>
                <w:highlight w:val="none"/>
              </w:rPr>
            </w:pPr>
            <w:r>
              <w:rPr>
                <w:rFonts w:hAnsi="宋体"/>
                <w:color w:val="auto"/>
                <w:szCs w:val="24"/>
                <w:highlight w:val="none"/>
              </w:rPr>
              <w:t>2.1.2</w:t>
            </w:r>
          </w:p>
        </w:tc>
        <w:tc>
          <w:tcPr>
            <w:tcW w:w="560" w:type="dxa"/>
            <w:vMerge w:val="restart"/>
            <w:vAlign w:val="center"/>
          </w:tcPr>
          <w:p w14:paraId="3DCB8E26">
            <w:pPr>
              <w:pStyle w:val="48"/>
              <w:spacing w:line="360" w:lineRule="auto"/>
              <w:jc w:val="center"/>
              <w:rPr>
                <w:rFonts w:hAnsi="宋体"/>
                <w:color w:val="auto"/>
                <w:szCs w:val="24"/>
                <w:highlight w:val="none"/>
              </w:rPr>
            </w:pPr>
            <w:r>
              <w:rPr>
                <w:rFonts w:hint="eastAsia" w:hAnsi="宋体"/>
                <w:color w:val="auto"/>
                <w:szCs w:val="24"/>
                <w:highlight w:val="none"/>
              </w:rPr>
              <w:t>符</w:t>
            </w:r>
          </w:p>
          <w:p w14:paraId="442442BA">
            <w:pPr>
              <w:pStyle w:val="48"/>
              <w:spacing w:line="360" w:lineRule="auto"/>
              <w:jc w:val="center"/>
              <w:rPr>
                <w:rFonts w:hAnsi="宋体"/>
                <w:color w:val="auto"/>
                <w:szCs w:val="24"/>
                <w:highlight w:val="none"/>
              </w:rPr>
            </w:pPr>
            <w:r>
              <w:rPr>
                <w:rFonts w:hint="eastAsia" w:hAnsi="宋体"/>
                <w:color w:val="auto"/>
                <w:szCs w:val="24"/>
                <w:highlight w:val="none"/>
              </w:rPr>
              <w:t>合</w:t>
            </w:r>
          </w:p>
          <w:p w14:paraId="192B4A27">
            <w:pPr>
              <w:pStyle w:val="48"/>
              <w:spacing w:line="360" w:lineRule="auto"/>
              <w:jc w:val="center"/>
              <w:rPr>
                <w:rFonts w:hAnsi="宋体"/>
                <w:color w:val="auto"/>
                <w:szCs w:val="24"/>
                <w:highlight w:val="none"/>
              </w:rPr>
            </w:pPr>
            <w:r>
              <w:rPr>
                <w:rFonts w:hint="eastAsia" w:hAnsi="宋体"/>
                <w:color w:val="auto"/>
                <w:szCs w:val="24"/>
                <w:highlight w:val="none"/>
              </w:rPr>
              <w:t>性</w:t>
            </w:r>
          </w:p>
          <w:p w14:paraId="0A462F5E">
            <w:pPr>
              <w:pStyle w:val="48"/>
              <w:spacing w:line="360" w:lineRule="auto"/>
              <w:jc w:val="center"/>
              <w:rPr>
                <w:rFonts w:hAnsi="宋体"/>
                <w:color w:val="auto"/>
                <w:szCs w:val="24"/>
                <w:highlight w:val="none"/>
              </w:rPr>
            </w:pPr>
            <w:r>
              <w:rPr>
                <w:rFonts w:hint="eastAsia" w:hAnsi="宋体"/>
                <w:color w:val="auto"/>
                <w:szCs w:val="24"/>
                <w:highlight w:val="none"/>
              </w:rPr>
              <w:t>审</w:t>
            </w:r>
          </w:p>
          <w:p w14:paraId="4101E1A2">
            <w:pPr>
              <w:pStyle w:val="48"/>
              <w:spacing w:line="360" w:lineRule="auto"/>
              <w:jc w:val="center"/>
              <w:rPr>
                <w:rFonts w:hAnsi="宋体"/>
                <w:color w:val="auto"/>
                <w:szCs w:val="24"/>
                <w:highlight w:val="none"/>
              </w:rPr>
            </w:pPr>
            <w:r>
              <w:rPr>
                <w:rFonts w:hint="eastAsia" w:hAnsi="宋体"/>
                <w:color w:val="auto"/>
                <w:szCs w:val="24"/>
                <w:highlight w:val="none"/>
              </w:rPr>
              <w:t>查</w:t>
            </w:r>
          </w:p>
        </w:tc>
        <w:tc>
          <w:tcPr>
            <w:tcW w:w="960" w:type="dxa"/>
            <w:vMerge w:val="restart"/>
            <w:vAlign w:val="center"/>
          </w:tcPr>
          <w:p w14:paraId="6B17F4E4">
            <w:pPr>
              <w:pStyle w:val="48"/>
              <w:adjustRightInd/>
              <w:snapToGrid w:val="0"/>
              <w:jc w:val="center"/>
              <w:rPr>
                <w:rFonts w:hAnsi="宋体"/>
                <w:color w:val="auto"/>
                <w:szCs w:val="24"/>
                <w:highlight w:val="none"/>
              </w:rPr>
            </w:pPr>
            <w:r>
              <w:rPr>
                <w:rFonts w:hint="eastAsia" w:hAnsi="宋体"/>
                <w:color w:val="auto"/>
                <w:szCs w:val="24"/>
                <w:highlight w:val="none"/>
              </w:rPr>
              <w:t>有效性</w:t>
            </w:r>
          </w:p>
        </w:tc>
        <w:tc>
          <w:tcPr>
            <w:tcW w:w="2217" w:type="dxa"/>
            <w:vAlign w:val="center"/>
          </w:tcPr>
          <w:p w14:paraId="14B4B2F4">
            <w:pPr>
              <w:pStyle w:val="48"/>
              <w:adjustRightInd/>
              <w:snapToGrid w:val="0"/>
              <w:jc w:val="center"/>
              <w:rPr>
                <w:rFonts w:hAnsi="宋体"/>
                <w:color w:val="auto"/>
                <w:szCs w:val="24"/>
                <w:highlight w:val="none"/>
              </w:rPr>
            </w:pPr>
            <w:r>
              <w:rPr>
                <w:rFonts w:hint="eastAsia" w:hAnsi="宋体"/>
                <w:color w:val="auto"/>
                <w:szCs w:val="24"/>
                <w:highlight w:val="none"/>
              </w:rPr>
              <w:t>投标人名称</w:t>
            </w:r>
          </w:p>
        </w:tc>
        <w:tc>
          <w:tcPr>
            <w:tcW w:w="5736" w:type="dxa"/>
            <w:vAlign w:val="center"/>
          </w:tcPr>
          <w:p w14:paraId="5D6438AA">
            <w:pPr>
              <w:pStyle w:val="48"/>
              <w:adjustRightInd/>
              <w:snapToGrid w:val="0"/>
              <w:rPr>
                <w:rFonts w:hAnsi="宋体"/>
                <w:color w:val="auto"/>
                <w:szCs w:val="24"/>
                <w:highlight w:val="none"/>
              </w:rPr>
            </w:pPr>
            <w:r>
              <w:rPr>
                <w:rFonts w:hint="eastAsia" w:hAnsi="宋体"/>
                <w:color w:val="auto"/>
                <w:szCs w:val="24"/>
                <w:highlight w:val="none"/>
              </w:rPr>
              <w:t>与营业执照证等证照及签章一致</w:t>
            </w:r>
          </w:p>
        </w:tc>
      </w:tr>
      <w:tr w14:paraId="36E6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564" w:type="dxa"/>
            <w:vMerge w:val="continue"/>
            <w:vAlign w:val="center"/>
          </w:tcPr>
          <w:p w14:paraId="552FA3BB">
            <w:pPr>
              <w:pStyle w:val="48"/>
              <w:spacing w:line="360" w:lineRule="auto"/>
              <w:jc w:val="center"/>
              <w:rPr>
                <w:rFonts w:hAnsi="宋体"/>
                <w:color w:val="auto"/>
                <w:szCs w:val="24"/>
                <w:highlight w:val="none"/>
              </w:rPr>
            </w:pPr>
          </w:p>
        </w:tc>
        <w:tc>
          <w:tcPr>
            <w:tcW w:w="560" w:type="dxa"/>
            <w:vMerge w:val="continue"/>
            <w:vAlign w:val="center"/>
          </w:tcPr>
          <w:p w14:paraId="6C8D6B85">
            <w:pPr>
              <w:pStyle w:val="48"/>
              <w:spacing w:line="360" w:lineRule="auto"/>
              <w:jc w:val="center"/>
              <w:rPr>
                <w:rFonts w:hAnsi="宋体"/>
                <w:color w:val="auto"/>
                <w:szCs w:val="24"/>
                <w:highlight w:val="none"/>
              </w:rPr>
            </w:pPr>
          </w:p>
        </w:tc>
        <w:tc>
          <w:tcPr>
            <w:tcW w:w="960" w:type="dxa"/>
            <w:vMerge w:val="continue"/>
            <w:vAlign w:val="center"/>
          </w:tcPr>
          <w:p w14:paraId="07BB7604">
            <w:pPr>
              <w:pStyle w:val="48"/>
              <w:adjustRightInd/>
              <w:snapToGrid w:val="0"/>
              <w:jc w:val="center"/>
              <w:rPr>
                <w:rFonts w:hAnsi="宋体"/>
                <w:color w:val="auto"/>
                <w:szCs w:val="24"/>
                <w:highlight w:val="none"/>
              </w:rPr>
            </w:pPr>
          </w:p>
        </w:tc>
        <w:tc>
          <w:tcPr>
            <w:tcW w:w="2217" w:type="dxa"/>
            <w:vAlign w:val="center"/>
          </w:tcPr>
          <w:p w14:paraId="31B805E2">
            <w:pPr>
              <w:pStyle w:val="48"/>
              <w:adjustRightInd/>
              <w:snapToGrid w:val="0"/>
              <w:jc w:val="center"/>
              <w:rPr>
                <w:rFonts w:hAnsi="宋体"/>
                <w:color w:val="auto"/>
                <w:szCs w:val="24"/>
                <w:highlight w:val="none"/>
              </w:rPr>
            </w:pPr>
            <w:r>
              <w:rPr>
                <w:rFonts w:hint="eastAsia" w:hAnsi="宋体"/>
                <w:color w:val="auto"/>
                <w:szCs w:val="24"/>
                <w:highlight w:val="none"/>
              </w:rPr>
              <w:t>签字或盖章</w:t>
            </w:r>
          </w:p>
        </w:tc>
        <w:tc>
          <w:tcPr>
            <w:tcW w:w="5736" w:type="dxa"/>
            <w:vAlign w:val="center"/>
          </w:tcPr>
          <w:p w14:paraId="241F91BB">
            <w:pPr>
              <w:pStyle w:val="48"/>
              <w:adjustRightInd/>
              <w:snapToGrid w:val="0"/>
              <w:rPr>
                <w:rFonts w:hAnsi="宋体"/>
                <w:color w:val="auto"/>
                <w:szCs w:val="24"/>
                <w:highlight w:val="none"/>
              </w:rPr>
            </w:pPr>
            <w:r>
              <w:rPr>
                <w:rFonts w:hint="eastAsia" w:hAnsi="宋体"/>
                <w:color w:val="auto"/>
                <w:szCs w:val="24"/>
                <w:highlight w:val="none"/>
              </w:rPr>
              <w:t>符合第三章“投标人须知”</w:t>
            </w:r>
            <w:r>
              <w:rPr>
                <w:rFonts w:hAnsi="宋体"/>
                <w:color w:val="auto"/>
                <w:szCs w:val="24"/>
                <w:highlight w:val="none"/>
              </w:rPr>
              <w:t>3.7.4</w:t>
            </w:r>
            <w:r>
              <w:rPr>
                <w:rFonts w:hint="eastAsia" w:hAnsi="宋体"/>
                <w:color w:val="auto"/>
                <w:szCs w:val="24"/>
                <w:highlight w:val="none"/>
              </w:rPr>
              <w:t>项规定</w:t>
            </w:r>
          </w:p>
        </w:tc>
      </w:tr>
      <w:tr w14:paraId="3217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564" w:type="dxa"/>
            <w:vMerge w:val="continue"/>
            <w:vAlign w:val="center"/>
          </w:tcPr>
          <w:p w14:paraId="03DB89F6">
            <w:pPr>
              <w:pStyle w:val="48"/>
              <w:spacing w:line="360" w:lineRule="auto"/>
              <w:jc w:val="center"/>
              <w:rPr>
                <w:rFonts w:hAnsi="宋体"/>
                <w:color w:val="auto"/>
                <w:szCs w:val="24"/>
                <w:highlight w:val="none"/>
              </w:rPr>
            </w:pPr>
          </w:p>
        </w:tc>
        <w:tc>
          <w:tcPr>
            <w:tcW w:w="560" w:type="dxa"/>
            <w:vMerge w:val="continue"/>
            <w:vAlign w:val="center"/>
          </w:tcPr>
          <w:p w14:paraId="793F4933">
            <w:pPr>
              <w:pStyle w:val="48"/>
              <w:spacing w:line="360" w:lineRule="auto"/>
              <w:jc w:val="center"/>
              <w:rPr>
                <w:rFonts w:hAnsi="宋体"/>
                <w:color w:val="auto"/>
                <w:szCs w:val="24"/>
                <w:highlight w:val="none"/>
              </w:rPr>
            </w:pPr>
          </w:p>
        </w:tc>
        <w:tc>
          <w:tcPr>
            <w:tcW w:w="960" w:type="dxa"/>
            <w:vAlign w:val="center"/>
          </w:tcPr>
          <w:p w14:paraId="514E5555">
            <w:pPr>
              <w:pStyle w:val="48"/>
              <w:adjustRightInd/>
              <w:snapToGrid w:val="0"/>
              <w:jc w:val="center"/>
              <w:rPr>
                <w:rFonts w:hAnsi="宋体"/>
                <w:color w:val="auto"/>
                <w:szCs w:val="24"/>
                <w:highlight w:val="none"/>
              </w:rPr>
            </w:pPr>
            <w:r>
              <w:rPr>
                <w:rFonts w:hint="eastAsia" w:hAnsi="宋体"/>
                <w:color w:val="auto"/>
                <w:szCs w:val="24"/>
                <w:highlight w:val="none"/>
              </w:rPr>
              <w:t>完整性</w:t>
            </w:r>
          </w:p>
        </w:tc>
        <w:tc>
          <w:tcPr>
            <w:tcW w:w="2217" w:type="dxa"/>
            <w:vAlign w:val="center"/>
          </w:tcPr>
          <w:p w14:paraId="016445A0">
            <w:pPr>
              <w:pStyle w:val="48"/>
              <w:adjustRightInd/>
              <w:snapToGrid w:val="0"/>
              <w:jc w:val="center"/>
              <w:rPr>
                <w:rFonts w:hAnsi="宋体"/>
                <w:color w:val="auto"/>
                <w:szCs w:val="24"/>
                <w:highlight w:val="none"/>
              </w:rPr>
            </w:pPr>
            <w:r>
              <w:rPr>
                <w:rFonts w:hint="eastAsia" w:hAnsi="宋体"/>
                <w:color w:val="auto"/>
                <w:szCs w:val="24"/>
                <w:highlight w:val="none"/>
              </w:rPr>
              <w:t>投标文件组成</w:t>
            </w:r>
          </w:p>
        </w:tc>
        <w:tc>
          <w:tcPr>
            <w:tcW w:w="5736" w:type="dxa"/>
            <w:vAlign w:val="center"/>
          </w:tcPr>
          <w:p w14:paraId="12F0CAA2">
            <w:pPr>
              <w:pStyle w:val="48"/>
              <w:adjustRightInd/>
              <w:snapToGrid w:val="0"/>
              <w:rPr>
                <w:rFonts w:hAnsi="宋体"/>
                <w:color w:val="auto"/>
                <w:szCs w:val="24"/>
                <w:highlight w:val="none"/>
              </w:rPr>
            </w:pPr>
            <w:r>
              <w:rPr>
                <w:rFonts w:hint="eastAsia" w:hAnsi="宋体"/>
                <w:color w:val="auto"/>
                <w:szCs w:val="24"/>
                <w:highlight w:val="none"/>
              </w:rPr>
              <w:t>符合第三章“投标人须知”</w:t>
            </w:r>
            <w:r>
              <w:rPr>
                <w:rFonts w:hAnsi="宋体"/>
                <w:color w:val="auto"/>
                <w:szCs w:val="24"/>
                <w:highlight w:val="none"/>
              </w:rPr>
              <w:t>3.2</w:t>
            </w:r>
            <w:r>
              <w:rPr>
                <w:rFonts w:hint="eastAsia" w:hAnsi="宋体"/>
                <w:color w:val="auto"/>
                <w:szCs w:val="24"/>
                <w:highlight w:val="none"/>
              </w:rPr>
              <w:t>款规定</w:t>
            </w:r>
          </w:p>
        </w:tc>
      </w:tr>
      <w:tr w14:paraId="2F52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564" w:type="dxa"/>
            <w:vMerge w:val="continue"/>
            <w:vAlign w:val="center"/>
          </w:tcPr>
          <w:p w14:paraId="7987B896">
            <w:pPr>
              <w:pStyle w:val="48"/>
              <w:spacing w:line="360" w:lineRule="auto"/>
              <w:jc w:val="center"/>
              <w:rPr>
                <w:rFonts w:hAnsi="宋体"/>
                <w:color w:val="auto"/>
                <w:szCs w:val="24"/>
                <w:highlight w:val="none"/>
              </w:rPr>
            </w:pPr>
          </w:p>
        </w:tc>
        <w:tc>
          <w:tcPr>
            <w:tcW w:w="560" w:type="dxa"/>
            <w:vMerge w:val="continue"/>
            <w:vAlign w:val="center"/>
          </w:tcPr>
          <w:p w14:paraId="7CCACF0D">
            <w:pPr>
              <w:pStyle w:val="48"/>
              <w:spacing w:line="360" w:lineRule="auto"/>
              <w:jc w:val="center"/>
              <w:rPr>
                <w:rFonts w:hAnsi="宋体"/>
                <w:color w:val="auto"/>
                <w:szCs w:val="24"/>
                <w:highlight w:val="none"/>
              </w:rPr>
            </w:pPr>
          </w:p>
        </w:tc>
        <w:tc>
          <w:tcPr>
            <w:tcW w:w="960" w:type="dxa"/>
            <w:vMerge w:val="restart"/>
            <w:vAlign w:val="center"/>
          </w:tcPr>
          <w:p w14:paraId="07932369">
            <w:pPr>
              <w:pStyle w:val="48"/>
              <w:snapToGrid w:val="0"/>
              <w:jc w:val="center"/>
              <w:rPr>
                <w:rFonts w:hAnsi="宋体"/>
                <w:color w:val="auto"/>
                <w:szCs w:val="24"/>
                <w:highlight w:val="none"/>
              </w:rPr>
            </w:pPr>
            <w:r>
              <w:rPr>
                <w:rFonts w:hint="eastAsia" w:hAnsi="宋体"/>
                <w:color w:val="auto"/>
                <w:szCs w:val="24"/>
                <w:highlight w:val="none"/>
              </w:rPr>
              <w:t>响应程度</w:t>
            </w:r>
          </w:p>
        </w:tc>
        <w:tc>
          <w:tcPr>
            <w:tcW w:w="2217" w:type="dxa"/>
            <w:vAlign w:val="center"/>
          </w:tcPr>
          <w:p w14:paraId="5E3EF0B4">
            <w:pPr>
              <w:pStyle w:val="48"/>
              <w:adjustRightInd/>
              <w:snapToGrid w:val="0"/>
              <w:jc w:val="center"/>
              <w:rPr>
                <w:rFonts w:hAnsi="宋体"/>
                <w:color w:val="auto"/>
                <w:szCs w:val="24"/>
                <w:highlight w:val="none"/>
              </w:rPr>
            </w:pPr>
            <w:r>
              <w:rPr>
                <w:rFonts w:hint="eastAsia" w:hAnsi="宋体"/>
                <w:color w:val="auto"/>
                <w:szCs w:val="24"/>
                <w:highlight w:val="none"/>
              </w:rPr>
              <w:t>投标报价</w:t>
            </w:r>
          </w:p>
        </w:tc>
        <w:tc>
          <w:tcPr>
            <w:tcW w:w="5736" w:type="dxa"/>
            <w:vAlign w:val="center"/>
          </w:tcPr>
          <w:p w14:paraId="085C2D43">
            <w:pPr>
              <w:pStyle w:val="48"/>
              <w:adjustRightInd/>
              <w:snapToGrid w:val="0"/>
              <w:rPr>
                <w:rFonts w:hAnsi="宋体"/>
                <w:color w:val="auto"/>
                <w:szCs w:val="24"/>
                <w:highlight w:val="none"/>
              </w:rPr>
            </w:pPr>
            <w:r>
              <w:rPr>
                <w:rFonts w:hint="eastAsia" w:hAnsi="宋体"/>
                <w:color w:val="auto"/>
                <w:szCs w:val="24"/>
                <w:highlight w:val="none"/>
              </w:rPr>
              <w:t>符合第二章“采购项目及技术服务要求”</w:t>
            </w:r>
            <w:r>
              <w:rPr>
                <w:rFonts w:hAnsi="宋体"/>
                <w:color w:val="auto"/>
                <w:szCs w:val="24"/>
                <w:highlight w:val="none"/>
              </w:rPr>
              <w:t>1.3</w:t>
            </w:r>
            <w:r>
              <w:rPr>
                <w:rFonts w:hint="eastAsia" w:hAnsi="宋体"/>
                <w:color w:val="auto"/>
                <w:szCs w:val="24"/>
                <w:highlight w:val="none"/>
              </w:rPr>
              <w:t>款规定</w:t>
            </w:r>
          </w:p>
        </w:tc>
      </w:tr>
      <w:tr w14:paraId="0A26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4" w:type="dxa"/>
            <w:vMerge w:val="continue"/>
            <w:vAlign w:val="center"/>
          </w:tcPr>
          <w:p w14:paraId="0D3A258F">
            <w:pPr>
              <w:pStyle w:val="48"/>
              <w:spacing w:line="360" w:lineRule="auto"/>
              <w:jc w:val="center"/>
              <w:rPr>
                <w:rFonts w:hAnsi="宋体"/>
                <w:color w:val="auto"/>
                <w:szCs w:val="24"/>
                <w:highlight w:val="none"/>
              </w:rPr>
            </w:pPr>
          </w:p>
        </w:tc>
        <w:tc>
          <w:tcPr>
            <w:tcW w:w="560" w:type="dxa"/>
            <w:vMerge w:val="continue"/>
            <w:vAlign w:val="center"/>
          </w:tcPr>
          <w:p w14:paraId="385DE55A">
            <w:pPr>
              <w:pStyle w:val="48"/>
              <w:spacing w:line="360" w:lineRule="auto"/>
              <w:jc w:val="center"/>
              <w:rPr>
                <w:rFonts w:hAnsi="宋体"/>
                <w:color w:val="auto"/>
                <w:szCs w:val="24"/>
                <w:highlight w:val="none"/>
              </w:rPr>
            </w:pPr>
          </w:p>
        </w:tc>
        <w:tc>
          <w:tcPr>
            <w:tcW w:w="960" w:type="dxa"/>
            <w:vMerge w:val="continue"/>
            <w:vAlign w:val="center"/>
          </w:tcPr>
          <w:p w14:paraId="64A599BB">
            <w:pPr>
              <w:pStyle w:val="48"/>
              <w:snapToGrid w:val="0"/>
              <w:jc w:val="center"/>
              <w:rPr>
                <w:rFonts w:hAnsi="宋体"/>
                <w:color w:val="auto"/>
                <w:szCs w:val="24"/>
                <w:highlight w:val="none"/>
              </w:rPr>
            </w:pPr>
          </w:p>
        </w:tc>
        <w:tc>
          <w:tcPr>
            <w:tcW w:w="2217" w:type="dxa"/>
            <w:vAlign w:val="center"/>
          </w:tcPr>
          <w:p w14:paraId="4D5A978B">
            <w:pPr>
              <w:pStyle w:val="48"/>
              <w:adjustRightInd/>
              <w:snapToGrid w:val="0"/>
              <w:jc w:val="center"/>
              <w:rPr>
                <w:rFonts w:hAnsi="宋体"/>
                <w:color w:val="auto"/>
                <w:szCs w:val="24"/>
                <w:highlight w:val="none"/>
              </w:rPr>
            </w:pPr>
            <w:r>
              <w:rPr>
                <w:rFonts w:hint="eastAsia" w:hAnsi="宋体"/>
                <w:color w:val="auto"/>
                <w:szCs w:val="24"/>
                <w:highlight w:val="none"/>
              </w:rPr>
              <w:t>投标内容</w:t>
            </w:r>
          </w:p>
        </w:tc>
        <w:tc>
          <w:tcPr>
            <w:tcW w:w="5736" w:type="dxa"/>
            <w:vAlign w:val="center"/>
          </w:tcPr>
          <w:p w14:paraId="35F77FF9">
            <w:pPr>
              <w:pStyle w:val="48"/>
              <w:adjustRightInd/>
              <w:snapToGrid w:val="0"/>
              <w:rPr>
                <w:rFonts w:hAnsi="宋体"/>
                <w:color w:val="auto"/>
                <w:szCs w:val="24"/>
                <w:highlight w:val="none"/>
              </w:rPr>
            </w:pPr>
            <w:r>
              <w:rPr>
                <w:rFonts w:hint="eastAsia" w:hAnsi="宋体"/>
                <w:color w:val="auto"/>
                <w:szCs w:val="24"/>
                <w:highlight w:val="none"/>
              </w:rPr>
              <w:t>符合第二章“采购项目及技术服务要求”第</w:t>
            </w:r>
            <w:r>
              <w:rPr>
                <w:rFonts w:hAnsi="宋体"/>
                <w:color w:val="auto"/>
                <w:szCs w:val="24"/>
                <w:highlight w:val="none"/>
              </w:rPr>
              <w:t>2</w:t>
            </w:r>
            <w:r>
              <w:rPr>
                <w:rFonts w:hint="eastAsia" w:hAnsi="宋体"/>
                <w:color w:val="auto"/>
                <w:szCs w:val="24"/>
                <w:highlight w:val="none"/>
              </w:rPr>
              <w:t>条规定</w:t>
            </w:r>
          </w:p>
        </w:tc>
      </w:tr>
      <w:tr w14:paraId="1ABE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564" w:type="dxa"/>
            <w:vMerge w:val="continue"/>
            <w:vAlign w:val="center"/>
          </w:tcPr>
          <w:p w14:paraId="6D057C7D">
            <w:pPr>
              <w:pStyle w:val="48"/>
              <w:spacing w:line="360" w:lineRule="auto"/>
              <w:jc w:val="center"/>
              <w:rPr>
                <w:rFonts w:hAnsi="宋体"/>
                <w:color w:val="auto"/>
                <w:szCs w:val="24"/>
                <w:highlight w:val="none"/>
              </w:rPr>
            </w:pPr>
          </w:p>
        </w:tc>
        <w:tc>
          <w:tcPr>
            <w:tcW w:w="560" w:type="dxa"/>
            <w:vMerge w:val="continue"/>
            <w:vAlign w:val="center"/>
          </w:tcPr>
          <w:p w14:paraId="043C5189">
            <w:pPr>
              <w:pStyle w:val="48"/>
              <w:spacing w:line="360" w:lineRule="auto"/>
              <w:jc w:val="center"/>
              <w:rPr>
                <w:rFonts w:hAnsi="宋体"/>
                <w:color w:val="auto"/>
                <w:szCs w:val="24"/>
                <w:highlight w:val="none"/>
              </w:rPr>
            </w:pPr>
          </w:p>
        </w:tc>
        <w:tc>
          <w:tcPr>
            <w:tcW w:w="960" w:type="dxa"/>
            <w:vMerge w:val="continue"/>
            <w:vAlign w:val="center"/>
          </w:tcPr>
          <w:p w14:paraId="76861388">
            <w:pPr>
              <w:pStyle w:val="48"/>
              <w:snapToGrid w:val="0"/>
              <w:jc w:val="center"/>
              <w:rPr>
                <w:rFonts w:hAnsi="宋体"/>
                <w:color w:val="auto"/>
                <w:szCs w:val="24"/>
                <w:highlight w:val="none"/>
              </w:rPr>
            </w:pPr>
          </w:p>
        </w:tc>
        <w:tc>
          <w:tcPr>
            <w:tcW w:w="2217" w:type="dxa"/>
            <w:vAlign w:val="center"/>
          </w:tcPr>
          <w:p w14:paraId="19D096DF">
            <w:pPr>
              <w:pStyle w:val="48"/>
              <w:adjustRightInd/>
              <w:snapToGrid w:val="0"/>
              <w:jc w:val="center"/>
              <w:rPr>
                <w:rFonts w:hAnsi="宋体"/>
                <w:color w:val="auto"/>
                <w:szCs w:val="24"/>
                <w:highlight w:val="none"/>
              </w:rPr>
            </w:pPr>
            <w:r>
              <w:rPr>
                <w:rFonts w:hint="eastAsia" w:hAnsi="宋体"/>
                <w:color w:val="auto"/>
                <w:szCs w:val="24"/>
                <w:highlight w:val="none"/>
              </w:rPr>
              <w:t>交验期、交验地</w:t>
            </w:r>
          </w:p>
        </w:tc>
        <w:tc>
          <w:tcPr>
            <w:tcW w:w="5736" w:type="dxa"/>
            <w:vAlign w:val="center"/>
          </w:tcPr>
          <w:p w14:paraId="4E01546F">
            <w:pPr>
              <w:pStyle w:val="48"/>
              <w:adjustRightInd/>
              <w:snapToGrid w:val="0"/>
              <w:jc w:val="both"/>
              <w:rPr>
                <w:rFonts w:hAnsi="宋体"/>
                <w:color w:val="auto"/>
                <w:szCs w:val="24"/>
                <w:highlight w:val="none"/>
              </w:rPr>
            </w:pPr>
            <w:r>
              <w:rPr>
                <w:rFonts w:hint="eastAsia" w:hAnsi="宋体"/>
                <w:color w:val="auto"/>
                <w:szCs w:val="24"/>
                <w:highlight w:val="none"/>
              </w:rPr>
              <w:t>符合第二章“采购项目及技术服务要求”</w:t>
            </w:r>
            <w:r>
              <w:rPr>
                <w:rFonts w:hAnsi="宋体"/>
                <w:color w:val="auto"/>
                <w:szCs w:val="24"/>
                <w:highlight w:val="none"/>
              </w:rPr>
              <w:t>1.2</w:t>
            </w:r>
            <w:r>
              <w:rPr>
                <w:rFonts w:hint="eastAsia" w:hAnsi="宋体"/>
                <w:color w:val="auto"/>
                <w:szCs w:val="24"/>
                <w:highlight w:val="none"/>
              </w:rPr>
              <w:t>款规定</w:t>
            </w:r>
          </w:p>
        </w:tc>
      </w:tr>
      <w:tr w14:paraId="3063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564" w:type="dxa"/>
            <w:vMerge w:val="continue"/>
            <w:vAlign w:val="center"/>
          </w:tcPr>
          <w:p w14:paraId="5F43A354">
            <w:pPr>
              <w:pStyle w:val="48"/>
              <w:spacing w:line="360" w:lineRule="auto"/>
              <w:jc w:val="center"/>
              <w:rPr>
                <w:rFonts w:hAnsi="宋体"/>
                <w:color w:val="auto"/>
                <w:szCs w:val="24"/>
                <w:highlight w:val="none"/>
              </w:rPr>
            </w:pPr>
          </w:p>
        </w:tc>
        <w:tc>
          <w:tcPr>
            <w:tcW w:w="560" w:type="dxa"/>
            <w:vMerge w:val="continue"/>
            <w:vAlign w:val="center"/>
          </w:tcPr>
          <w:p w14:paraId="1914764B">
            <w:pPr>
              <w:pStyle w:val="48"/>
              <w:spacing w:line="360" w:lineRule="auto"/>
              <w:jc w:val="center"/>
              <w:rPr>
                <w:rFonts w:hAnsi="宋体"/>
                <w:color w:val="auto"/>
                <w:szCs w:val="24"/>
                <w:highlight w:val="none"/>
              </w:rPr>
            </w:pPr>
          </w:p>
        </w:tc>
        <w:tc>
          <w:tcPr>
            <w:tcW w:w="960" w:type="dxa"/>
            <w:vMerge w:val="continue"/>
            <w:vAlign w:val="center"/>
          </w:tcPr>
          <w:p w14:paraId="45E44DB8">
            <w:pPr>
              <w:pStyle w:val="48"/>
              <w:snapToGrid w:val="0"/>
              <w:jc w:val="center"/>
              <w:rPr>
                <w:rFonts w:hAnsi="宋体"/>
                <w:color w:val="auto"/>
                <w:szCs w:val="24"/>
                <w:highlight w:val="none"/>
              </w:rPr>
            </w:pPr>
          </w:p>
        </w:tc>
        <w:tc>
          <w:tcPr>
            <w:tcW w:w="2217" w:type="dxa"/>
            <w:vAlign w:val="center"/>
          </w:tcPr>
          <w:p w14:paraId="23ACB31E">
            <w:pPr>
              <w:pStyle w:val="48"/>
              <w:adjustRightInd/>
              <w:snapToGrid w:val="0"/>
              <w:jc w:val="center"/>
              <w:rPr>
                <w:rFonts w:hAnsi="宋体"/>
                <w:color w:val="auto"/>
                <w:szCs w:val="24"/>
                <w:highlight w:val="none"/>
              </w:rPr>
            </w:pPr>
            <w:r>
              <w:rPr>
                <w:rFonts w:hint="eastAsia" w:hAnsi="宋体"/>
                <w:color w:val="auto"/>
                <w:szCs w:val="24"/>
                <w:highlight w:val="none"/>
              </w:rPr>
              <w:t>技术要求</w:t>
            </w:r>
          </w:p>
        </w:tc>
        <w:tc>
          <w:tcPr>
            <w:tcW w:w="5736" w:type="dxa"/>
            <w:vAlign w:val="center"/>
          </w:tcPr>
          <w:p w14:paraId="7BB4AAE0">
            <w:pPr>
              <w:pStyle w:val="48"/>
              <w:adjustRightInd/>
              <w:snapToGrid w:val="0"/>
              <w:jc w:val="both"/>
              <w:rPr>
                <w:rFonts w:hAnsi="宋体"/>
                <w:color w:val="auto"/>
                <w:szCs w:val="24"/>
                <w:highlight w:val="none"/>
              </w:rPr>
            </w:pPr>
            <w:r>
              <w:rPr>
                <w:rFonts w:hint="eastAsia" w:hAnsi="宋体"/>
                <w:color w:val="auto"/>
                <w:szCs w:val="24"/>
                <w:highlight w:val="none"/>
              </w:rPr>
              <w:t>符合第二章“采购项目及技术服务要求”第</w:t>
            </w:r>
            <w:r>
              <w:rPr>
                <w:rFonts w:hAnsi="宋体"/>
                <w:color w:val="auto"/>
                <w:szCs w:val="24"/>
                <w:highlight w:val="none"/>
              </w:rPr>
              <w:t>2</w:t>
            </w:r>
            <w:r>
              <w:rPr>
                <w:rFonts w:hint="eastAsia" w:hAnsi="宋体"/>
                <w:color w:val="auto"/>
                <w:szCs w:val="24"/>
                <w:highlight w:val="none"/>
              </w:rPr>
              <w:t>条规定。</w:t>
            </w:r>
          </w:p>
        </w:tc>
      </w:tr>
      <w:tr w14:paraId="22F2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564" w:type="dxa"/>
            <w:vMerge w:val="continue"/>
            <w:vAlign w:val="center"/>
          </w:tcPr>
          <w:p w14:paraId="4E3A71D2">
            <w:pPr>
              <w:pStyle w:val="48"/>
              <w:spacing w:line="360" w:lineRule="auto"/>
              <w:jc w:val="center"/>
              <w:rPr>
                <w:rFonts w:hAnsi="宋体"/>
                <w:color w:val="auto"/>
                <w:szCs w:val="24"/>
                <w:highlight w:val="none"/>
              </w:rPr>
            </w:pPr>
          </w:p>
        </w:tc>
        <w:tc>
          <w:tcPr>
            <w:tcW w:w="560" w:type="dxa"/>
            <w:vMerge w:val="continue"/>
            <w:vAlign w:val="center"/>
          </w:tcPr>
          <w:p w14:paraId="3A703AE1">
            <w:pPr>
              <w:pStyle w:val="48"/>
              <w:spacing w:line="360" w:lineRule="auto"/>
              <w:jc w:val="center"/>
              <w:rPr>
                <w:rFonts w:hAnsi="宋体"/>
                <w:color w:val="auto"/>
                <w:szCs w:val="24"/>
                <w:highlight w:val="none"/>
              </w:rPr>
            </w:pPr>
          </w:p>
        </w:tc>
        <w:tc>
          <w:tcPr>
            <w:tcW w:w="960" w:type="dxa"/>
            <w:vMerge w:val="continue"/>
            <w:vAlign w:val="center"/>
          </w:tcPr>
          <w:p w14:paraId="0789145D">
            <w:pPr>
              <w:pStyle w:val="48"/>
              <w:snapToGrid w:val="0"/>
              <w:jc w:val="center"/>
              <w:rPr>
                <w:rFonts w:hAnsi="宋体"/>
                <w:color w:val="auto"/>
                <w:szCs w:val="24"/>
                <w:highlight w:val="none"/>
              </w:rPr>
            </w:pPr>
          </w:p>
        </w:tc>
        <w:tc>
          <w:tcPr>
            <w:tcW w:w="2217" w:type="dxa"/>
            <w:vAlign w:val="center"/>
          </w:tcPr>
          <w:p w14:paraId="790E7156">
            <w:pPr>
              <w:pStyle w:val="48"/>
              <w:adjustRightInd/>
              <w:snapToGrid w:val="0"/>
              <w:jc w:val="center"/>
              <w:rPr>
                <w:rFonts w:hAnsi="宋体"/>
                <w:color w:val="auto"/>
                <w:szCs w:val="24"/>
                <w:highlight w:val="none"/>
              </w:rPr>
            </w:pPr>
            <w:r>
              <w:rPr>
                <w:rFonts w:hint="eastAsia" w:hAnsi="宋体"/>
                <w:color w:val="auto"/>
                <w:szCs w:val="24"/>
                <w:highlight w:val="none"/>
              </w:rPr>
              <w:t>售后服务</w:t>
            </w:r>
          </w:p>
        </w:tc>
        <w:tc>
          <w:tcPr>
            <w:tcW w:w="5736" w:type="dxa"/>
            <w:vAlign w:val="center"/>
          </w:tcPr>
          <w:p w14:paraId="21D044FA">
            <w:pPr>
              <w:pStyle w:val="48"/>
              <w:adjustRightInd/>
              <w:snapToGrid w:val="0"/>
              <w:rPr>
                <w:rFonts w:hAnsi="宋体"/>
                <w:color w:val="auto"/>
                <w:szCs w:val="24"/>
                <w:highlight w:val="none"/>
              </w:rPr>
            </w:pPr>
            <w:r>
              <w:rPr>
                <w:rFonts w:hint="eastAsia" w:hAnsi="宋体"/>
                <w:color w:val="auto"/>
                <w:szCs w:val="24"/>
                <w:highlight w:val="none"/>
              </w:rPr>
              <w:t>符合第二章“采购项目及技术服务要求”</w:t>
            </w:r>
            <w:r>
              <w:rPr>
                <w:rFonts w:hAnsi="宋体" w:cs="宋体"/>
                <w:color w:val="auto"/>
                <w:szCs w:val="24"/>
                <w:highlight w:val="none"/>
              </w:rPr>
              <w:t xml:space="preserve"> 2.</w:t>
            </w:r>
            <w:r>
              <w:rPr>
                <w:rFonts w:hint="eastAsia" w:hAnsi="宋体" w:cs="宋体"/>
                <w:color w:val="auto"/>
                <w:szCs w:val="24"/>
                <w:highlight w:val="none"/>
              </w:rPr>
              <w:t>8款</w:t>
            </w:r>
            <w:r>
              <w:rPr>
                <w:rFonts w:hint="eastAsia" w:hAnsi="宋体"/>
                <w:color w:val="auto"/>
                <w:szCs w:val="24"/>
                <w:highlight w:val="none"/>
              </w:rPr>
              <w:t>规定</w:t>
            </w:r>
          </w:p>
        </w:tc>
      </w:tr>
      <w:tr w14:paraId="625E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564" w:type="dxa"/>
            <w:vMerge w:val="continue"/>
            <w:vAlign w:val="center"/>
          </w:tcPr>
          <w:p w14:paraId="079B655A">
            <w:pPr>
              <w:pStyle w:val="48"/>
              <w:spacing w:line="360" w:lineRule="auto"/>
              <w:jc w:val="center"/>
              <w:rPr>
                <w:rFonts w:hAnsi="宋体"/>
                <w:color w:val="auto"/>
                <w:szCs w:val="24"/>
                <w:highlight w:val="none"/>
              </w:rPr>
            </w:pPr>
          </w:p>
        </w:tc>
        <w:tc>
          <w:tcPr>
            <w:tcW w:w="560" w:type="dxa"/>
            <w:vMerge w:val="continue"/>
            <w:vAlign w:val="center"/>
          </w:tcPr>
          <w:p w14:paraId="225897EE">
            <w:pPr>
              <w:pStyle w:val="48"/>
              <w:spacing w:line="360" w:lineRule="auto"/>
              <w:jc w:val="center"/>
              <w:rPr>
                <w:rFonts w:hAnsi="宋体"/>
                <w:color w:val="auto"/>
                <w:szCs w:val="24"/>
                <w:highlight w:val="none"/>
              </w:rPr>
            </w:pPr>
          </w:p>
        </w:tc>
        <w:tc>
          <w:tcPr>
            <w:tcW w:w="960" w:type="dxa"/>
            <w:vMerge w:val="continue"/>
            <w:vAlign w:val="center"/>
          </w:tcPr>
          <w:p w14:paraId="512069D5">
            <w:pPr>
              <w:pStyle w:val="48"/>
              <w:adjustRightInd/>
              <w:snapToGrid w:val="0"/>
              <w:jc w:val="center"/>
              <w:rPr>
                <w:rFonts w:hAnsi="宋体"/>
                <w:color w:val="auto"/>
                <w:szCs w:val="24"/>
                <w:highlight w:val="none"/>
              </w:rPr>
            </w:pPr>
          </w:p>
        </w:tc>
        <w:tc>
          <w:tcPr>
            <w:tcW w:w="2217" w:type="dxa"/>
            <w:vAlign w:val="center"/>
          </w:tcPr>
          <w:p w14:paraId="50BF6201">
            <w:pPr>
              <w:pStyle w:val="48"/>
              <w:adjustRightInd/>
              <w:snapToGrid w:val="0"/>
              <w:jc w:val="center"/>
              <w:rPr>
                <w:rFonts w:hAnsi="宋体"/>
                <w:color w:val="auto"/>
                <w:szCs w:val="24"/>
                <w:highlight w:val="none"/>
              </w:rPr>
            </w:pPr>
            <w:r>
              <w:rPr>
                <w:rFonts w:hint="eastAsia" w:hAnsi="宋体"/>
                <w:color w:val="auto"/>
                <w:szCs w:val="24"/>
                <w:highlight w:val="none"/>
              </w:rPr>
              <w:t>投标有效期</w:t>
            </w:r>
          </w:p>
        </w:tc>
        <w:tc>
          <w:tcPr>
            <w:tcW w:w="5736" w:type="dxa"/>
            <w:vAlign w:val="center"/>
          </w:tcPr>
          <w:p w14:paraId="00EEF49C">
            <w:pPr>
              <w:snapToGrid w:val="0"/>
              <w:spacing w:line="240" w:lineRule="auto"/>
              <w:rPr>
                <w:rFonts w:ascii="宋体"/>
                <w:color w:val="auto"/>
                <w:sz w:val="24"/>
                <w:highlight w:val="none"/>
              </w:rPr>
            </w:pPr>
            <w:r>
              <w:rPr>
                <w:rFonts w:hint="eastAsia" w:ascii="宋体" w:hAnsi="宋体"/>
                <w:color w:val="auto"/>
                <w:sz w:val="24"/>
                <w:highlight w:val="none"/>
              </w:rPr>
              <w:t>符合第三章“投标人须知”</w:t>
            </w:r>
            <w:r>
              <w:rPr>
                <w:rFonts w:ascii="宋体" w:hAnsi="宋体"/>
                <w:color w:val="auto"/>
                <w:sz w:val="24"/>
                <w:highlight w:val="none"/>
              </w:rPr>
              <w:t>3.4</w:t>
            </w:r>
            <w:r>
              <w:rPr>
                <w:rFonts w:hint="eastAsia" w:ascii="宋体" w:hAnsi="宋体"/>
                <w:color w:val="auto"/>
                <w:sz w:val="24"/>
                <w:highlight w:val="none"/>
              </w:rPr>
              <w:t>款规定</w:t>
            </w:r>
          </w:p>
        </w:tc>
      </w:tr>
      <w:tr w14:paraId="19C9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564" w:type="dxa"/>
            <w:vMerge w:val="continue"/>
            <w:vAlign w:val="center"/>
          </w:tcPr>
          <w:p w14:paraId="7C1E84B6">
            <w:pPr>
              <w:pStyle w:val="48"/>
              <w:spacing w:line="360" w:lineRule="auto"/>
              <w:jc w:val="center"/>
              <w:rPr>
                <w:rFonts w:hAnsi="宋体"/>
                <w:color w:val="auto"/>
                <w:szCs w:val="24"/>
                <w:highlight w:val="none"/>
              </w:rPr>
            </w:pPr>
          </w:p>
        </w:tc>
        <w:tc>
          <w:tcPr>
            <w:tcW w:w="560" w:type="dxa"/>
            <w:vMerge w:val="continue"/>
            <w:vAlign w:val="center"/>
          </w:tcPr>
          <w:p w14:paraId="564A5177">
            <w:pPr>
              <w:pStyle w:val="48"/>
              <w:spacing w:line="360" w:lineRule="auto"/>
              <w:jc w:val="center"/>
              <w:rPr>
                <w:rFonts w:hAnsi="宋体"/>
                <w:color w:val="auto"/>
                <w:szCs w:val="24"/>
                <w:highlight w:val="none"/>
              </w:rPr>
            </w:pPr>
          </w:p>
        </w:tc>
        <w:tc>
          <w:tcPr>
            <w:tcW w:w="960" w:type="dxa"/>
            <w:vMerge w:val="continue"/>
            <w:vAlign w:val="center"/>
          </w:tcPr>
          <w:p w14:paraId="3F878743">
            <w:pPr>
              <w:pStyle w:val="48"/>
              <w:adjustRightInd/>
              <w:snapToGrid w:val="0"/>
              <w:jc w:val="center"/>
              <w:rPr>
                <w:rFonts w:hAnsi="宋体"/>
                <w:color w:val="auto"/>
                <w:szCs w:val="24"/>
                <w:highlight w:val="none"/>
              </w:rPr>
            </w:pPr>
          </w:p>
        </w:tc>
        <w:tc>
          <w:tcPr>
            <w:tcW w:w="2217" w:type="dxa"/>
            <w:vAlign w:val="center"/>
          </w:tcPr>
          <w:p w14:paraId="7423078F">
            <w:pPr>
              <w:pStyle w:val="48"/>
              <w:adjustRightInd/>
              <w:snapToGrid w:val="0"/>
              <w:jc w:val="center"/>
              <w:rPr>
                <w:rFonts w:hAnsi="宋体"/>
                <w:color w:val="auto"/>
                <w:szCs w:val="24"/>
                <w:highlight w:val="none"/>
              </w:rPr>
            </w:pPr>
            <w:r>
              <w:rPr>
                <w:rFonts w:hint="eastAsia" w:hAnsi="宋体"/>
                <w:color w:val="auto"/>
                <w:szCs w:val="24"/>
                <w:highlight w:val="none"/>
              </w:rPr>
              <w:t>投标文件格式</w:t>
            </w:r>
          </w:p>
        </w:tc>
        <w:tc>
          <w:tcPr>
            <w:tcW w:w="5736" w:type="dxa"/>
            <w:vAlign w:val="center"/>
          </w:tcPr>
          <w:p w14:paraId="4337F5B2">
            <w:pPr>
              <w:pStyle w:val="48"/>
              <w:adjustRightInd/>
              <w:snapToGrid w:val="0"/>
              <w:rPr>
                <w:rFonts w:hAnsi="宋体"/>
                <w:color w:val="auto"/>
                <w:szCs w:val="24"/>
                <w:highlight w:val="none"/>
              </w:rPr>
            </w:pPr>
            <w:r>
              <w:rPr>
                <w:rFonts w:hint="eastAsia" w:hAnsi="宋体"/>
                <w:color w:val="auto"/>
                <w:szCs w:val="24"/>
                <w:highlight w:val="none"/>
              </w:rPr>
              <w:t>符合第六章“投标文件格式”规定</w:t>
            </w:r>
          </w:p>
        </w:tc>
      </w:tr>
      <w:tr w14:paraId="2697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64" w:type="dxa"/>
            <w:vMerge w:val="continue"/>
            <w:vAlign w:val="center"/>
          </w:tcPr>
          <w:p w14:paraId="78655A81">
            <w:pPr>
              <w:pStyle w:val="48"/>
              <w:spacing w:line="360" w:lineRule="auto"/>
              <w:jc w:val="center"/>
              <w:rPr>
                <w:rFonts w:hAnsi="宋体"/>
                <w:color w:val="auto"/>
                <w:szCs w:val="24"/>
                <w:highlight w:val="none"/>
              </w:rPr>
            </w:pPr>
          </w:p>
        </w:tc>
        <w:tc>
          <w:tcPr>
            <w:tcW w:w="560" w:type="dxa"/>
            <w:vMerge w:val="continue"/>
            <w:vAlign w:val="center"/>
          </w:tcPr>
          <w:p w14:paraId="53C84027">
            <w:pPr>
              <w:pStyle w:val="48"/>
              <w:spacing w:line="360" w:lineRule="auto"/>
              <w:jc w:val="center"/>
              <w:rPr>
                <w:rFonts w:hAnsi="宋体"/>
                <w:color w:val="auto"/>
                <w:szCs w:val="24"/>
                <w:highlight w:val="none"/>
              </w:rPr>
            </w:pPr>
          </w:p>
        </w:tc>
        <w:tc>
          <w:tcPr>
            <w:tcW w:w="960" w:type="dxa"/>
            <w:vMerge w:val="continue"/>
            <w:vAlign w:val="center"/>
          </w:tcPr>
          <w:p w14:paraId="234FCF4A">
            <w:pPr>
              <w:pStyle w:val="48"/>
              <w:adjustRightInd/>
              <w:snapToGrid w:val="0"/>
              <w:jc w:val="center"/>
              <w:rPr>
                <w:rFonts w:hAnsi="宋体"/>
                <w:color w:val="auto"/>
                <w:szCs w:val="24"/>
                <w:highlight w:val="none"/>
              </w:rPr>
            </w:pPr>
          </w:p>
        </w:tc>
        <w:tc>
          <w:tcPr>
            <w:tcW w:w="2217" w:type="dxa"/>
            <w:vAlign w:val="center"/>
          </w:tcPr>
          <w:p w14:paraId="306BFE5F">
            <w:pPr>
              <w:pStyle w:val="48"/>
              <w:adjustRightInd/>
              <w:snapToGrid w:val="0"/>
              <w:jc w:val="center"/>
              <w:rPr>
                <w:rFonts w:hAnsi="宋体"/>
                <w:color w:val="auto"/>
                <w:szCs w:val="24"/>
                <w:highlight w:val="none"/>
              </w:rPr>
            </w:pPr>
            <w:r>
              <w:rPr>
                <w:rFonts w:hint="eastAsia" w:hAnsi="宋体"/>
                <w:color w:val="auto"/>
                <w:highlight w:val="none"/>
              </w:rPr>
              <w:t>付款</w:t>
            </w:r>
          </w:p>
        </w:tc>
        <w:tc>
          <w:tcPr>
            <w:tcW w:w="5736" w:type="dxa"/>
            <w:vAlign w:val="center"/>
          </w:tcPr>
          <w:p w14:paraId="12F04541">
            <w:pPr>
              <w:snapToGrid w:val="0"/>
              <w:spacing w:line="240" w:lineRule="auto"/>
              <w:rPr>
                <w:rFonts w:ascii="宋体"/>
                <w:color w:val="auto"/>
                <w:sz w:val="24"/>
                <w:highlight w:val="none"/>
              </w:rPr>
            </w:pPr>
            <w:r>
              <w:rPr>
                <w:rFonts w:hint="eastAsia" w:ascii="宋体" w:hAnsi="宋体"/>
                <w:color w:val="auto"/>
                <w:sz w:val="24"/>
                <w:highlight w:val="none"/>
              </w:rPr>
              <w:t>符合第三章“投标人须知”第</w:t>
            </w:r>
            <w:r>
              <w:rPr>
                <w:rFonts w:ascii="宋体" w:hAnsi="宋体"/>
                <w:color w:val="auto"/>
                <w:sz w:val="24"/>
                <w:highlight w:val="none"/>
              </w:rPr>
              <w:t>9</w:t>
            </w:r>
            <w:r>
              <w:rPr>
                <w:rFonts w:hint="eastAsia" w:ascii="宋体" w:hAnsi="宋体"/>
                <w:color w:val="auto"/>
                <w:sz w:val="24"/>
                <w:highlight w:val="none"/>
              </w:rPr>
              <w:t>条规定</w:t>
            </w:r>
          </w:p>
        </w:tc>
      </w:tr>
      <w:tr w14:paraId="47FD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64" w:type="dxa"/>
            <w:vMerge w:val="continue"/>
            <w:vAlign w:val="center"/>
          </w:tcPr>
          <w:p w14:paraId="313713C6">
            <w:pPr>
              <w:pStyle w:val="48"/>
              <w:spacing w:line="360" w:lineRule="auto"/>
              <w:jc w:val="center"/>
              <w:rPr>
                <w:rFonts w:hAnsi="宋体"/>
                <w:color w:val="auto"/>
                <w:szCs w:val="24"/>
                <w:highlight w:val="none"/>
              </w:rPr>
            </w:pPr>
          </w:p>
        </w:tc>
        <w:tc>
          <w:tcPr>
            <w:tcW w:w="560" w:type="dxa"/>
            <w:vMerge w:val="continue"/>
            <w:vAlign w:val="center"/>
          </w:tcPr>
          <w:p w14:paraId="50817ECB">
            <w:pPr>
              <w:pStyle w:val="48"/>
              <w:spacing w:line="360" w:lineRule="auto"/>
              <w:jc w:val="center"/>
              <w:rPr>
                <w:rFonts w:hAnsi="宋体"/>
                <w:color w:val="auto"/>
                <w:szCs w:val="24"/>
                <w:highlight w:val="none"/>
              </w:rPr>
            </w:pPr>
          </w:p>
        </w:tc>
        <w:tc>
          <w:tcPr>
            <w:tcW w:w="960" w:type="dxa"/>
            <w:vMerge w:val="continue"/>
            <w:vAlign w:val="center"/>
          </w:tcPr>
          <w:p w14:paraId="32DD8C83">
            <w:pPr>
              <w:pStyle w:val="48"/>
              <w:adjustRightInd/>
              <w:snapToGrid w:val="0"/>
              <w:jc w:val="center"/>
              <w:rPr>
                <w:rFonts w:hAnsi="宋体"/>
                <w:color w:val="auto"/>
                <w:szCs w:val="24"/>
                <w:highlight w:val="none"/>
              </w:rPr>
            </w:pPr>
          </w:p>
        </w:tc>
        <w:tc>
          <w:tcPr>
            <w:tcW w:w="2217" w:type="dxa"/>
            <w:vAlign w:val="center"/>
          </w:tcPr>
          <w:p w14:paraId="2CEC45C3">
            <w:pPr>
              <w:pStyle w:val="48"/>
              <w:adjustRightInd/>
              <w:snapToGrid w:val="0"/>
              <w:jc w:val="center"/>
              <w:rPr>
                <w:rFonts w:hAnsi="宋体"/>
                <w:color w:val="auto"/>
                <w:highlight w:val="none"/>
              </w:rPr>
            </w:pPr>
            <w:r>
              <w:rPr>
                <w:rFonts w:hint="eastAsia" w:hAnsi="宋体"/>
                <w:color w:val="auto"/>
                <w:highlight w:val="none"/>
              </w:rPr>
              <w:t>偏差描述</w:t>
            </w:r>
          </w:p>
        </w:tc>
        <w:tc>
          <w:tcPr>
            <w:tcW w:w="5736" w:type="dxa"/>
            <w:vAlign w:val="center"/>
          </w:tcPr>
          <w:p w14:paraId="36BAB667">
            <w:pPr>
              <w:snapToGrid w:val="0"/>
              <w:spacing w:line="240" w:lineRule="auto"/>
              <w:rPr>
                <w:rFonts w:ascii="宋体"/>
                <w:color w:val="auto"/>
                <w:sz w:val="24"/>
                <w:highlight w:val="none"/>
              </w:rPr>
            </w:pPr>
            <w:r>
              <w:rPr>
                <w:rFonts w:hint="eastAsia" w:ascii="宋体" w:hAnsi="宋体"/>
                <w:color w:val="auto"/>
                <w:sz w:val="24"/>
                <w:highlight w:val="none"/>
              </w:rPr>
              <w:t>符合第三章“投标人须知”</w:t>
            </w:r>
            <w:r>
              <w:rPr>
                <w:rFonts w:ascii="宋体" w:hAnsi="宋体"/>
                <w:color w:val="auto"/>
                <w:sz w:val="24"/>
                <w:highlight w:val="none"/>
              </w:rPr>
              <w:t>3.7.3</w:t>
            </w:r>
            <w:r>
              <w:rPr>
                <w:rFonts w:hint="eastAsia" w:ascii="宋体" w:hAnsi="宋体"/>
                <w:color w:val="auto"/>
                <w:sz w:val="24"/>
                <w:highlight w:val="none"/>
              </w:rPr>
              <w:t>项规定</w:t>
            </w:r>
          </w:p>
        </w:tc>
      </w:tr>
      <w:tr w14:paraId="6617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564" w:type="dxa"/>
            <w:vMerge w:val="continue"/>
            <w:vAlign w:val="center"/>
          </w:tcPr>
          <w:p w14:paraId="6016D034">
            <w:pPr>
              <w:pStyle w:val="48"/>
              <w:spacing w:line="360" w:lineRule="auto"/>
              <w:jc w:val="center"/>
              <w:rPr>
                <w:rFonts w:hAnsi="宋体"/>
                <w:color w:val="auto"/>
                <w:szCs w:val="24"/>
                <w:highlight w:val="none"/>
              </w:rPr>
            </w:pPr>
          </w:p>
        </w:tc>
        <w:tc>
          <w:tcPr>
            <w:tcW w:w="560" w:type="dxa"/>
            <w:vMerge w:val="continue"/>
            <w:vAlign w:val="center"/>
          </w:tcPr>
          <w:p w14:paraId="68BFF440">
            <w:pPr>
              <w:pStyle w:val="48"/>
              <w:spacing w:line="360" w:lineRule="auto"/>
              <w:jc w:val="center"/>
              <w:rPr>
                <w:rFonts w:hAnsi="宋体"/>
                <w:color w:val="auto"/>
                <w:szCs w:val="24"/>
                <w:highlight w:val="none"/>
              </w:rPr>
            </w:pPr>
          </w:p>
        </w:tc>
        <w:tc>
          <w:tcPr>
            <w:tcW w:w="960" w:type="dxa"/>
            <w:vMerge w:val="continue"/>
            <w:vAlign w:val="center"/>
          </w:tcPr>
          <w:p w14:paraId="4A20C400">
            <w:pPr>
              <w:pStyle w:val="48"/>
              <w:adjustRightInd/>
              <w:snapToGrid w:val="0"/>
              <w:jc w:val="center"/>
              <w:rPr>
                <w:rFonts w:hAnsi="宋体"/>
                <w:color w:val="auto"/>
                <w:szCs w:val="24"/>
                <w:highlight w:val="none"/>
              </w:rPr>
            </w:pPr>
          </w:p>
        </w:tc>
        <w:tc>
          <w:tcPr>
            <w:tcW w:w="2217" w:type="dxa"/>
            <w:vAlign w:val="center"/>
          </w:tcPr>
          <w:p w14:paraId="2FFD3A2C">
            <w:pPr>
              <w:snapToGrid w:val="0"/>
              <w:spacing w:line="240" w:lineRule="auto"/>
              <w:jc w:val="center"/>
              <w:rPr>
                <w:rFonts w:ascii="宋体"/>
                <w:color w:val="auto"/>
                <w:sz w:val="24"/>
                <w:highlight w:val="none"/>
              </w:rPr>
            </w:pPr>
            <w:r>
              <w:rPr>
                <w:rFonts w:hint="eastAsia" w:ascii="宋体" w:hAnsi="宋体"/>
                <w:color w:val="auto"/>
                <w:sz w:val="24"/>
                <w:highlight w:val="none"/>
              </w:rPr>
              <w:t>谈判文件总体响应</w:t>
            </w:r>
          </w:p>
        </w:tc>
        <w:tc>
          <w:tcPr>
            <w:tcW w:w="5736" w:type="dxa"/>
            <w:vAlign w:val="center"/>
          </w:tcPr>
          <w:p w14:paraId="1C51F840">
            <w:pPr>
              <w:autoSpaceDE w:val="0"/>
              <w:autoSpaceDN w:val="0"/>
              <w:snapToGrid w:val="0"/>
              <w:spacing w:line="240" w:lineRule="auto"/>
              <w:rPr>
                <w:rFonts w:ascii="宋体"/>
                <w:color w:val="auto"/>
                <w:sz w:val="24"/>
                <w:highlight w:val="none"/>
              </w:rPr>
            </w:pPr>
            <w:r>
              <w:rPr>
                <w:rFonts w:hint="eastAsia" w:ascii="宋体" w:hAnsi="宋体"/>
                <w:color w:val="auto"/>
                <w:sz w:val="24"/>
                <w:highlight w:val="none"/>
              </w:rPr>
              <w:t>符合第三章“投标人须知”</w:t>
            </w:r>
            <w:r>
              <w:rPr>
                <w:rFonts w:ascii="宋体" w:hAnsi="宋体"/>
                <w:color w:val="auto"/>
                <w:sz w:val="24"/>
                <w:highlight w:val="none"/>
              </w:rPr>
              <w:t>1.3</w:t>
            </w:r>
            <w:r>
              <w:rPr>
                <w:rFonts w:hint="eastAsia" w:ascii="宋体" w:hAnsi="宋体"/>
                <w:color w:val="auto"/>
                <w:sz w:val="24"/>
                <w:highlight w:val="none"/>
              </w:rPr>
              <w:t>项规定</w:t>
            </w:r>
          </w:p>
        </w:tc>
      </w:tr>
      <w:tr w14:paraId="0E60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564" w:type="dxa"/>
            <w:vMerge w:val="continue"/>
            <w:vAlign w:val="center"/>
          </w:tcPr>
          <w:p w14:paraId="242BC844">
            <w:pPr>
              <w:pStyle w:val="48"/>
              <w:spacing w:line="360" w:lineRule="auto"/>
              <w:jc w:val="center"/>
              <w:rPr>
                <w:rFonts w:hAnsi="宋体"/>
                <w:color w:val="auto"/>
                <w:szCs w:val="24"/>
                <w:highlight w:val="none"/>
              </w:rPr>
            </w:pPr>
          </w:p>
        </w:tc>
        <w:tc>
          <w:tcPr>
            <w:tcW w:w="560" w:type="dxa"/>
            <w:vMerge w:val="continue"/>
            <w:vAlign w:val="center"/>
          </w:tcPr>
          <w:p w14:paraId="1E081766">
            <w:pPr>
              <w:pStyle w:val="48"/>
              <w:spacing w:line="360" w:lineRule="auto"/>
              <w:jc w:val="center"/>
              <w:rPr>
                <w:rFonts w:hAnsi="宋体"/>
                <w:color w:val="auto"/>
                <w:szCs w:val="24"/>
                <w:highlight w:val="none"/>
              </w:rPr>
            </w:pPr>
          </w:p>
        </w:tc>
        <w:tc>
          <w:tcPr>
            <w:tcW w:w="960" w:type="dxa"/>
            <w:vMerge w:val="continue"/>
            <w:vAlign w:val="center"/>
          </w:tcPr>
          <w:p w14:paraId="2DB29973">
            <w:pPr>
              <w:snapToGrid w:val="0"/>
              <w:spacing w:line="240" w:lineRule="auto"/>
              <w:jc w:val="center"/>
              <w:rPr>
                <w:rFonts w:ascii="宋体"/>
                <w:color w:val="auto"/>
                <w:sz w:val="24"/>
                <w:highlight w:val="none"/>
              </w:rPr>
            </w:pPr>
          </w:p>
        </w:tc>
        <w:tc>
          <w:tcPr>
            <w:tcW w:w="2217" w:type="dxa"/>
            <w:vAlign w:val="center"/>
          </w:tcPr>
          <w:p w14:paraId="44BBE004">
            <w:pPr>
              <w:snapToGrid w:val="0"/>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其他</w:t>
            </w:r>
          </w:p>
        </w:tc>
        <w:tc>
          <w:tcPr>
            <w:tcW w:w="5736" w:type="dxa"/>
            <w:vAlign w:val="center"/>
          </w:tcPr>
          <w:p w14:paraId="4862250F">
            <w:pPr>
              <w:autoSpaceDE w:val="0"/>
              <w:autoSpaceDN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如涉及台式计算机、便携式计算机、一体式计算机、工作站、通用服务器、操作系统、数据库的，符合第六章14-2附件要求。</w:t>
            </w:r>
          </w:p>
        </w:tc>
      </w:tr>
      <w:tr w14:paraId="4FF3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64" w:type="dxa"/>
            <w:vAlign w:val="center"/>
          </w:tcPr>
          <w:p w14:paraId="52F0DD5A">
            <w:pPr>
              <w:pStyle w:val="48"/>
              <w:spacing w:line="360" w:lineRule="auto"/>
              <w:ind w:right="-155" w:rightChars="-74"/>
              <w:jc w:val="center"/>
              <w:rPr>
                <w:rFonts w:hAnsi="宋体"/>
                <w:color w:val="auto"/>
                <w:szCs w:val="24"/>
                <w:highlight w:val="none"/>
              </w:rPr>
            </w:pPr>
            <w:r>
              <w:rPr>
                <w:rFonts w:hAnsi="宋体"/>
                <w:color w:val="auto"/>
                <w:szCs w:val="24"/>
                <w:highlight w:val="none"/>
              </w:rPr>
              <w:t>2.2</w:t>
            </w:r>
          </w:p>
        </w:tc>
        <w:tc>
          <w:tcPr>
            <w:tcW w:w="560" w:type="dxa"/>
            <w:vAlign w:val="center"/>
          </w:tcPr>
          <w:p w14:paraId="57CD3949">
            <w:pPr>
              <w:pStyle w:val="48"/>
              <w:jc w:val="center"/>
              <w:rPr>
                <w:rFonts w:hAnsi="宋体"/>
                <w:color w:val="auto"/>
                <w:szCs w:val="24"/>
                <w:highlight w:val="none"/>
              </w:rPr>
            </w:pPr>
            <w:r>
              <w:rPr>
                <w:rFonts w:hint="eastAsia" w:hAnsi="宋体"/>
                <w:color w:val="auto"/>
                <w:szCs w:val="24"/>
                <w:highlight w:val="none"/>
              </w:rPr>
              <w:t>详细评审</w:t>
            </w:r>
          </w:p>
        </w:tc>
        <w:tc>
          <w:tcPr>
            <w:tcW w:w="3177" w:type="dxa"/>
            <w:gridSpan w:val="2"/>
            <w:vAlign w:val="center"/>
          </w:tcPr>
          <w:p w14:paraId="2422A546">
            <w:pPr>
              <w:pStyle w:val="48"/>
              <w:adjustRightInd/>
              <w:snapToGrid w:val="0"/>
              <w:jc w:val="center"/>
              <w:rPr>
                <w:rFonts w:hAnsi="宋体"/>
                <w:color w:val="auto"/>
                <w:szCs w:val="24"/>
                <w:highlight w:val="none"/>
              </w:rPr>
            </w:pPr>
            <w:r>
              <w:rPr>
                <w:rFonts w:hint="eastAsia" w:hAnsi="宋体"/>
                <w:color w:val="auto"/>
                <w:szCs w:val="24"/>
                <w:highlight w:val="none"/>
              </w:rPr>
              <w:t>小微企业价格扣除</w:t>
            </w:r>
          </w:p>
        </w:tc>
        <w:tc>
          <w:tcPr>
            <w:tcW w:w="5736" w:type="dxa"/>
            <w:vAlign w:val="center"/>
          </w:tcPr>
          <w:p w14:paraId="31519DFB">
            <w:pPr>
              <w:pStyle w:val="48"/>
              <w:adjustRightInd/>
              <w:snapToGrid w:val="0"/>
              <w:jc w:val="both"/>
              <w:rPr>
                <w:rFonts w:hAnsi="宋体"/>
                <w:color w:val="auto"/>
                <w:szCs w:val="24"/>
                <w:highlight w:val="none"/>
              </w:rPr>
            </w:pPr>
            <w:r>
              <w:rPr>
                <w:rFonts w:hint="eastAsia" w:hAnsi="宋体"/>
                <w:color w:val="auto"/>
                <w:szCs w:val="24"/>
                <w:highlight w:val="none"/>
              </w:rPr>
              <w:t>按照第四章“评审办法”第</w:t>
            </w:r>
            <w:r>
              <w:rPr>
                <w:rFonts w:hAnsi="宋体"/>
                <w:color w:val="auto"/>
                <w:szCs w:val="24"/>
                <w:highlight w:val="none"/>
              </w:rPr>
              <w:t>4</w:t>
            </w:r>
            <w:r>
              <w:rPr>
                <w:rFonts w:hint="eastAsia" w:hAnsi="宋体"/>
                <w:color w:val="auto"/>
                <w:szCs w:val="24"/>
                <w:highlight w:val="none"/>
              </w:rPr>
              <w:t>条规定</w:t>
            </w:r>
          </w:p>
        </w:tc>
      </w:tr>
    </w:tbl>
    <w:p w14:paraId="501AC1BE">
      <w:pPr>
        <w:autoSpaceDE w:val="0"/>
        <w:autoSpaceDN w:val="0"/>
        <w:adjustRightInd w:val="0"/>
        <w:snapToGrid w:val="0"/>
        <w:spacing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注：谈判小组将依据第六章14-3附件“证明材料查询核验工作的清单及要求”对核验证明材料进行形式要件审核。</w:t>
      </w:r>
    </w:p>
    <w:p w14:paraId="6547BD8A">
      <w:pPr>
        <w:spacing w:line="240" w:lineRule="auto"/>
        <w:jc w:val="left"/>
        <w:textAlignment w:val="auto"/>
        <w:rPr>
          <w:rFonts w:ascii="黑体" w:hAnsi="黑体" w:eastAsia="黑体" w:cs="楷体_GB2312"/>
          <w:b/>
          <w:bCs/>
          <w:color w:val="auto"/>
          <w:sz w:val="28"/>
          <w:szCs w:val="28"/>
          <w:highlight w:val="none"/>
          <w:lang w:val="zh-CN"/>
        </w:rPr>
      </w:pPr>
      <w:r>
        <w:rPr>
          <w:rFonts w:ascii="黑体" w:hAnsi="黑体" w:eastAsia="黑体" w:cs="楷体_GB2312"/>
          <w:b/>
          <w:bCs/>
          <w:color w:val="auto"/>
          <w:sz w:val="28"/>
          <w:szCs w:val="28"/>
          <w:highlight w:val="none"/>
          <w:lang w:val="zh-CN"/>
        </w:rPr>
        <w:br w:type="page"/>
      </w:r>
    </w:p>
    <w:p w14:paraId="56AF09E8">
      <w:pPr>
        <w:autoSpaceDE w:val="0"/>
        <w:autoSpaceDN w:val="0"/>
        <w:adjustRightInd w:val="0"/>
        <w:snapToGrid w:val="0"/>
        <w:spacing w:beforeLines="50" w:line="300" w:lineRule="auto"/>
        <w:ind w:firstLine="562" w:firstLineChars="200"/>
        <w:jc w:val="left"/>
        <w:outlineLvl w:val="1"/>
        <w:rPr>
          <w:rFonts w:ascii="黑体" w:hAnsi="黑体" w:eastAsia="黑体" w:cs="楷体_GB2312"/>
          <w:b/>
          <w:bCs/>
          <w:color w:val="auto"/>
          <w:sz w:val="28"/>
          <w:szCs w:val="28"/>
          <w:highlight w:val="none"/>
          <w:lang w:val="zh-CN"/>
        </w:rPr>
      </w:pPr>
      <w:bookmarkStart w:id="43" w:name="_Toc209083643"/>
      <w:r>
        <w:rPr>
          <w:rFonts w:ascii="黑体" w:hAnsi="黑体" w:eastAsia="黑体" w:cs="楷体_GB2312"/>
          <w:b/>
          <w:bCs/>
          <w:color w:val="auto"/>
          <w:sz w:val="28"/>
          <w:szCs w:val="28"/>
          <w:highlight w:val="none"/>
          <w:lang w:val="zh-CN"/>
        </w:rPr>
        <w:t xml:space="preserve">1. </w:t>
      </w:r>
      <w:r>
        <w:rPr>
          <w:rFonts w:hint="eastAsia" w:ascii="黑体" w:hAnsi="黑体" w:eastAsia="黑体" w:cs="楷体_GB2312"/>
          <w:b/>
          <w:bCs/>
          <w:color w:val="auto"/>
          <w:sz w:val="28"/>
          <w:szCs w:val="28"/>
          <w:highlight w:val="none"/>
          <w:lang w:val="zh-CN"/>
        </w:rPr>
        <w:t>评审方法（评定成交的标准）</w:t>
      </w:r>
      <w:bookmarkEnd w:id="43"/>
    </w:p>
    <w:p w14:paraId="5A687422">
      <w:pPr>
        <w:autoSpaceDE w:val="0"/>
        <w:autoSpaceDN w:val="0"/>
        <w:adjustRightInd w:val="0"/>
        <w:snapToGrid w:val="0"/>
        <w:spacing w:beforeLines="50" w:line="300" w:lineRule="auto"/>
        <w:ind w:firstLine="619" w:firstLineChars="257"/>
        <w:jc w:val="left"/>
        <w:rPr>
          <w:rFonts w:ascii="宋体"/>
          <w:b/>
          <w:color w:val="auto"/>
          <w:sz w:val="24"/>
          <w:highlight w:val="none"/>
        </w:rPr>
      </w:pPr>
      <w:r>
        <w:rPr>
          <w:rFonts w:hint="eastAsia"/>
          <w:b/>
          <w:color w:val="auto"/>
          <w:sz w:val="24"/>
          <w:szCs w:val="24"/>
          <w:highlight w:val="none"/>
        </w:rPr>
        <w:t>本次政府采购项目（标段&lt;包&gt;）按照最低评标价法确定成交供应商，即在符合采购需求、提供的产品质量和服务均能满足采购文件规定的实质性要求且最后报价（扣除经评审合格的“价格扣除”，见本章第</w:t>
      </w:r>
      <w:r>
        <w:rPr>
          <w:b/>
          <w:color w:val="auto"/>
          <w:sz w:val="24"/>
          <w:szCs w:val="24"/>
          <w:highlight w:val="none"/>
        </w:rPr>
        <w:t>4</w:t>
      </w:r>
      <w:r>
        <w:rPr>
          <w:rFonts w:hint="eastAsia"/>
          <w:b/>
          <w:color w:val="auto"/>
          <w:sz w:val="24"/>
          <w:szCs w:val="24"/>
          <w:highlight w:val="none"/>
        </w:rPr>
        <w:t>条）最低的原则确定各标段（包）成交供应商。</w:t>
      </w:r>
    </w:p>
    <w:p w14:paraId="2DFE2513">
      <w:pPr>
        <w:autoSpaceDE w:val="0"/>
        <w:autoSpaceDN w:val="0"/>
        <w:adjustRightInd w:val="0"/>
        <w:snapToGrid w:val="0"/>
        <w:spacing w:beforeLines="50" w:line="300" w:lineRule="auto"/>
        <w:ind w:firstLine="616" w:firstLineChars="257"/>
        <w:jc w:val="left"/>
        <w:rPr>
          <w:rFonts w:ascii="宋体"/>
          <w:color w:val="auto"/>
          <w:sz w:val="24"/>
          <w:highlight w:val="none"/>
        </w:rPr>
      </w:pPr>
    </w:p>
    <w:p w14:paraId="5B4FD4A7">
      <w:pPr>
        <w:pStyle w:val="48"/>
        <w:snapToGrid w:val="0"/>
        <w:spacing w:beforeLines="50" w:line="300" w:lineRule="auto"/>
        <w:ind w:firstLine="422" w:firstLineChars="150"/>
        <w:jc w:val="both"/>
        <w:outlineLvl w:val="1"/>
        <w:rPr>
          <w:rFonts w:ascii="黑体" w:hAnsi="黑体" w:eastAsia="黑体" w:cs="楷体_GB2312"/>
          <w:b/>
          <w:bCs/>
          <w:color w:val="auto"/>
          <w:sz w:val="28"/>
          <w:szCs w:val="28"/>
          <w:highlight w:val="none"/>
          <w:u w:color="000000"/>
          <w:lang w:val="zh-CN"/>
        </w:rPr>
      </w:pPr>
      <w:bookmarkStart w:id="44" w:name="_Toc209083644"/>
      <w:r>
        <w:rPr>
          <w:rFonts w:ascii="黑体" w:hAnsi="黑体" w:eastAsia="黑体" w:cs="楷体_GB2312"/>
          <w:b/>
          <w:bCs/>
          <w:color w:val="auto"/>
          <w:sz w:val="28"/>
          <w:szCs w:val="28"/>
          <w:highlight w:val="none"/>
          <w:u w:color="000000"/>
          <w:lang w:val="zh-CN"/>
        </w:rPr>
        <w:t xml:space="preserve">2. </w:t>
      </w:r>
      <w:r>
        <w:rPr>
          <w:rFonts w:hint="eastAsia" w:ascii="黑体" w:hAnsi="黑体" w:eastAsia="黑体" w:cs="楷体_GB2312"/>
          <w:b/>
          <w:bCs/>
          <w:color w:val="auto"/>
          <w:sz w:val="28"/>
          <w:szCs w:val="28"/>
          <w:highlight w:val="none"/>
          <w:u w:color="000000"/>
          <w:lang w:val="zh-CN"/>
        </w:rPr>
        <w:t>评审标准</w:t>
      </w:r>
      <w:bookmarkEnd w:id="44"/>
    </w:p>
    <w:p w14:paraId="5CFBC181">
      <w:pPr>
        <w:autoSpaceDE w:val="0"/>
        <w:autoSpaceDN w:val="0"/>
        <w:adjustRightInd w:val="0"/>
        <w:snapToGrid w:val="0"/>
        <w:spacing w:before="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2.1 </w:t>
      </w:r>
      <w:r>
        <w:rPr>
          <w:rFonts w:hint="eastAsia" w:ascii="黑体" w:hAnsi="黑体" w:eastAsia="黑体"/>
          <w:b/>
          <w:color w:val="auto"/>
          <w:sz w:val="24"/>
          <w:highlight w:val="none"/>
        </w:rPr>
        <w:t>初步评审标准</w:t>
      </w:r>
    </w:p>
    <w:p w14:paraId="442C3831">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2.1.1 </w:t>
      </w:r>
      <w:r>
        <w:rPr>
          <w:rFonts w:hint="eastAsia" w:ascii="宋体" w:hAnsi="宋体"/>
          <w:color w:val="auto"/>
          <w:sz w:val="24"/>
          <w:highlight w:val="none"/>
        </w:rPr>
        <w:t>资格性审查标准：见评审办法前附表。</w:t>
      </w:r>
    </w:p>
    <w:p w14:paraId="56CA410F">
      <w:pPr>
        <w:autoSpaceDE w:val="0"/>
        <w:autoSpaceDN w:val="0"/>
        <w:adjustRightInd w:val="0"/>
        <w:snapToGrid w:val="0"/>
        <w:spacing w:before="50" w:line="300" w:lineRule="auto"/>
        <w:ind w:firstLine="480" w:firstLineChars="200"/>
        <w:jc w:val="left"/>
        <w:rPr>
          <w:rFonts w:ascii="宋体"/>
          <w:color w:val="auto"/>
          <w:sz w:val="24"/>
          <w:highlight w:val="none"/>
        </w:rPr>
      </w:pPr>
      <w:r>
        <w:rPr>
          <w:rFonts w:ascii="宋体" w:hAnsi="宋体"/>
          <w:color w:val="auto"/>
          <w:sz w:val="24"/>
          <w:highlight w:val="none"/>
        </w:rPr>
        <w:t xml:space="preserve">2.1.2 </w:t>
      </w:r>
      <w:r>
        <w:rPr>
          <w:rFonts w:hint="eastAsia" w:ascii="宋体" w:hAnsi="宋体"/>
          <w:color w:val="auto"/>
          <w:sz w:val="24"/>
          <w:highlight w:val="none"/>
        </w:rPr>
        <w:t>符合性审查标准：见评审办法前附表。</w:t>
      </w:r>
    </w:p>
    <w:p w14:paraId="3F7FC33B">
      <w:pPr>
        <w:autoSpaceDE w:val="0"/>
        <w:autoSpaceDN w:val="0"/>
        <w:adjustRightInd w:val="0"/>
        <w:snapToGrid w:val="0"/>
        <w:spacing w:before="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2.2 </w:t>
      </w:r>
      <w:r>
        <w:rPr>
          <w:rFonts w:hint="eastAsia" w:ascii="黑体" w:hAnsi="黑体" w:eastAsia="黑体"/>
          <w:b/>
          <w:color w:val="auto"/>
          <w:sz w:val="24"/>
          <w:highlight w:val="none"/>
        </w:rPr>
        <w:t>详细评审标准</w:t>
      </w:r>
      <w:r>
        <w:rPr>
          <w:rFonts w:hint="eastAsia" w:ascii="宋体" w:hAnsi="宋体"/>
          <w:color w:val="auto"/>
          <w:sz w:val="24"/>
          <w:highlight w:val="none"/>
        </w:rPr>
        <w:t>：见评审办法前附表</w:t>
      </w:r>
    </w:p>
    <w:p w14:paraId="38FC3C7D">
      <w:pPr>
        <w:autoSpaceDE w:val="0"/>
        <w:autoSpaceDN w:val="0"/>
        <w:adjustRightInd w:val="0"/>
        <w:snapToGrid w:val="0"/>
        <w:spacing w:beforeLines="50" w:line="300" w:lineRule="auto"/>
        <w:ind w:left="540" w:leftChars="257"/>
        <w:jc w:val="left"/>
        <w:rPr>
          <w:rFonts w:ascii="宋体"/>
          <w:color w:val="auto"/>
          <w:sz w:val="24"/>
          <w:highlight w:val="none"/>
        </w:rPr>
      </w:pPr>
    </w:p>
    <w:p w14:paraId="47CF84A8">
      <w:pPr>
        <w:pStyle w:val="48"/>
        <w:snapToGrid w:val="0"/>
        <w:spacing w:beforeLines="50" w:line="300" w:lineRule="auto"/>
        <w:ind w:firstLine="562" w:firstLineChars="200"/>
        <w:jc w:val="both"/>
        <w:outlineLvl w:val="1"/>
        <w:rPr>
          <w:rFonts w:ascii="黑体" w:hAnsi="黑体" w:eastAsia="黑体" w:cs="楷体_GB2312"/>
          <w:b/>
          <w:bCs/>
          <w:color w:val="auto"/>
          <w:sz w:val="28"/>
          <w:szCs w:val="28"/>
          <w:highlight w:val="none"/>
          <w:u w:color="000000"/>
          <w:lang w:val="zh-CN"/>
        </w:rPr>
      </w:pPr>
      <w:bookmarkStart w:id="45" w:name="_Toc209083645"/>
      <w:r>
        <w:rPr>
          <w:rFonts w:ascii="黑体" w:hAnsi="黑体" w:eastAsia="黑体" w:cs="楷体_GB2312"/>
          <w:b/>
          <w:bCs/>
          <w:color w:val="auto"/>
          <w:sz w:val="28"/>
          <w:szCs w:val="28"/>
          <w:highlight w:val="none"/>
          <w:u w:color="000000"/>
          <w:lang w:val="zh-CN"/>
        </w:rPr>
        <w:t xml:space="preserve">3. </w:t>
      </w:r>
      <w:r>
        <w:rPr>
          <w:rFonts w:hint="eastAsia" w:ascii="黑体" w:hAnsi="黑体" w:eastAsia="黑体" w:cs="楷体_GB2312"/>
          <w:b/>
          <w:bCs/>
          <w:color w:val="auto"/>
          <w:sz w:val="28"/>
          <w:szCs w:val="28"/>
          <w:highlight w:val="none"/>
          <w:u w:color="000000"/>
          <w:lang w:val="zh-CN"/>
        </w:rPr>
        <w:t>评审程序</w:t>
      </w:r>
      <w:bookmarkEnd w:id="45"/>
    </w:p>
    <w:p w14:paraId="202BE3EF">
      <w:pPr>
        <w:autoSpaceDE w:val="0"/>
        <w:autoSpaceDN w:val="0"/>
        <w:adjustRightInd w:val="0"/>
        <w:snapToGrid w:val="0"/>
        <w:spacing w:beforeLines="50" w:line="300" w:lineRule="auto"/>
        <w:ind w:firstLine="482" w:firstLineChars="200"/>
        <w:jc w:val="left"/>
        <w:rPr>
          <w:rFonts w:ascii="黑体" w:hAnsi="黑体" w:eastAsia="黑体"/>
          <w:b/>
          <w:color w:val="auto"/>
          <w:sz w:val="24"/>
          <w:szCs w:val="24"/>
          <w:highlight w:val="none"/>
        </w:rPr>
      </w:pPr>
      <w:r>
        <w:rPr>
          <w:rFonts w:hint="eastAsia" w:ascii="黑体" w:hAnsi="黑体" w:eastAsia="黑体"/>
          <w:b/>
          <w:color w:val="auto"/>
          <w:sz w:val="24"/>
          <w:szCs w:val="24"/>
          <w:highlight w:val="none"/>
        </w:rPr>
        <w:t>谈判小组按标段（包）进行评审</w:t>
      </w:r>
    </w:p>
    <w:p w14:paraId="6B2A1D2C">
      <w:pPr>
        <w:autoSpaceDE w:val="0"/>
        <w:autoSpaceDN w:val="0"/>
        <w:adjustRightInd w:val="0"/>
        <w:snapToGrid w:val="0"/>
        <w:spacing w:beforeLines="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 xml:space="preserve">3.1 </w:t>
      </w:r>
      <w:r>
        <w:rPr>
          <w:rFonts w:hint="eastAsia" w:ascii="黑体" w:hAnsi="黑体" w:eastAsia="黑体"/>
          <w:b/>
          <w:color w:val="auto"/>
          <w:sz w:val="24"/>
          <w:highlight w:val="none"/>
        </w:rPr>
        <w:t>确认谈判文件</w:t>
      </w:r>
    </w:p>
    <w:p w14:paraId="2D653D25">
      <w:pPr>
        <w:pStyle w:val="48"/>
        <w:snapToGrid w:val="0"/>
        <w:spacing w:beforeLines="50" w:line="300" w:lineRule="auto"/>
        <w:ind w:firstLine="480" w:firstLineChars="200"/>
        <w:jc w:val="both"/>
        <w:rPr>
          <w:rFonts w:hAnsi="宋体"/>
          <w:color w:val="auto"/>
          <w:highlight w:val="none"/>
        </w:rPr>
      </w:pPr>
      <w:r>
        <w:rPr>
          <w:rFonts w:hAnsi="宋体"/>
          <w:color w:val="auto"/>
          <w:highlight w:val="none"/>
        </w:rPr>
        <w:t xml:space="preserve">3.1.1 </w:t>
      </w:r>
      <w:r>
        <w:rPr>
          <w:rFonts w:hint="eastAsia" w:hAnsi="宋体"/>
          <w:color w:val="auto"/>
          <w:highlight w:val="none"/>
        </w:rPr>
        <w:t>谈判小组确认谈判文件，谈判文件内容违反国家有关强制性规定的，谈判小组应当停止评审并向采购人或者采购代理机构书面说明情况。</w:t>
      </w:r>
    </w:p>
    <w:p w14:paraId="52823084">
      <w:pPr>
        <w:pStyle w:val="48"/>
        <w:snapToGrid w:val="0"/>
        <w:spacing w:beforeLines="50" w:line="300" w:lineRule="auto"/>
        <w:ind w:firstLine="480" w:firstLineChars="200"/>
        <w:jc w:val="both"/>
        <w:rPr>
          <w:rFonts w:hAnsi="宋体"/>
          <w:color w:val="auto"/>
          <w:highlight w:val="none"/>
        </w:rPr>
      </w:pPr>
      <w:r>
        <w:rPr>
          <w:rFonts w:hAnsi="宋体"/>
          <w:color w:val="auto"/>
          <w:highlight w:val="none"/>
        </w:rPr>
        <w:t xml:space="preserve">3.1.2  </w:t>
      </w:r>
      <w:r>
        <w:rPr>
          <w:rFonts w:hint="eastAsia" w:hAnsi="宋体"/>
          <w:color w:val="auto"/>
          <w:highlight w:val="none"/>
        </w:rPr>
        <w:t>谈判小组</w:t>
      </w:r>
      <w:r>
        <w:rPr>
          <w:rFonts w:hint="eastAsia" w:ascii="??" w:hAnsi="??" w:cs="宋体"/>
          <w:color w:val="auto"/>
          <w:szCs w:val="21"/>
          <w:highlight w:val="none"/>
        </w:rPr>
        <w:t>要求解释</w:t>
      </w:r>
      <w:r>
        <w:rPr>
          <w:rFonts w:hint="eastAsia" w:hAnsi="宋体"/>
          <w:color w:val="auto"/>
          <w:highlight w:val="none"/>
        </w:rPr>
        <w:t>谈判文件的，书面提出需解释的相关谈判文件的具体内容后、由采购代理机构或者采购人进行书面解释。</w:t>
      </w:r>
    </w:p>
    <w:p w14:paraId="467EEF49">
      <w:pPr>
        <w:autoSpaceDE w:val="0"/>
        <w:autoSpaceDN w:val="0"/>
        <w:adjustRightInd w:val="0"/>
        <w:snapToGrid w:val="0"/>
        <w:spacing w:beforeLines="50" w:line="300" w:lineRule="auto"/>
        <w:ind w:firstLine="482" w:firstLineChars="200"/>
        <w:jc w:val="left"/>
        <w:rPr>
          <w:rFonts w:ascii="黑体" w:hAnsi="黑体" w:eastAsia="黑体"/>
          <w:b/>
          <w:color w:val="auto"/>
          <w:sz w:val="24"/>
          <w:highlight w:val="none"/>
        </w:rPr>
      </w:pPr>
      <w:r>
        <w:rPr>
          <w:rFonts w:ascii="黑体" w:hAnsi="黑体" w:eastAsia="黑体"/>
          <w:b/>
          <w:color w:val="auto"/>
          <w:sz w:val="24"/>
          <w:highlight w:val="none"/>
        </w:rPr>
        <w:t>3.2</w:t>
      </w:r>
      <w:r>
        <w:rPr>
          <w:rFonts w:hint="eastAsia" w:ascii="黑体" w:hAnsi="黑体" w:eastAsia="黑体"/>
          <w:b/>
          <w:color w:val="auto"/>
          <w:sz w:val="24"/>
          <w:highlight w:val="none"/>
        </w:rPr>
        <w:t>初步评审</w:t>
      </w:r>
    </w:p>
    <w:p w14:paraId="4F959EBA">
      <w:pPr>
        <w:autoSpaceDE w:val="0"/>
        <w:autoSpaceDN w:val="0"/>
        <w:adjustRightInd w:val="0"/>
        <w:snapToGrid w:val="0"/>
        <w:spacing w:beforeLines="50" w:line="300" w:lineRule="auto"/>
        <w:ind w:firstLine="616" w:firstLineChars="257"/>
        <w:jc w:val="left"/>
        <w:rPr>
          <w:rFonts w:ascii="宋体"/>
          <w:color w:val="auto"/>
          <w:sz w:val="24"/>
          <w:highlight w:val="none"/>
        </w:rPr>
      </w:pPr>
      <w:r>
        <w:rPr>
          <w:rFonts w:ascii="宋体" w:hAnsi="宋体"/>
          <w:color w:val="auto"/>
          <w:sz w:val="24"/>
          <w:highlight w:val="none"/>
        </w:rPr>
        <w:t>3.2.1</w:t>
      </w:r>
      <w:r>
        <w:rPr>
          <w:rFonts w:hint="eastAsia" w:ascii="宋体" w:hAnsi="宋体"/>
          <w:color w:val="auto"/>
          <w:sz w:val="24"/>
          <w:highlight w:val="none"/>
        </w:rPr>
        <w:t>谈判小组依据本章第2.</w:t>
      </w:r>
      <w:r>
        <w:rPr>
          <w:rFonts w:ascii="宋体" w:hAnsi="宋体"/>
          <w:color w:val="auto"/>
          <w:sz w:val="24"/>
          <w:highlight w:val="none"/>
        </w:rPr>
        <w:t>1.1</w:t>
      </w:r>
      <w:r>
        <w:rPr>
          <w:rFonts w:hint="eastAsia" w:ascii="宋体" w:hAnsi="宋体"/>
          <w:color w:val="auto"/>
          <w:sz w:val="24"/>
          <w:highlight w:val="none"/>
        </w:rPr>
        <w:t>、2.</w:t>
      </w:r>
      <w:r>
        <w:rPr>
          <w:rFonts w:ascii="宋体" w:hAnsi="宋体"/>
          <w:color w:val="auto"/>
          <w:sz w:val="24"/>
          <w:highlight w:val="none"/>
        </w:rPr>
        <w:t xml:space="preserve">1.2 </w:t>
      </w:r>
      <w:r>
        <w:rPr>
          <w:rFonts w:hint="eastAsia" w:ascii="宋体" w:hAnsi="宋体"/>
          <w:color w:val="auto"/>
          <w:sz w:val="24"/>
          <w:highlight w:val="none"/>
        </w:rPr>
        <w:t>款规定的标准对投标文件进行资格性、符合性评审。有一项不符合评审标准的，作无效投标处理。</w:t>
      </w:r>
    </w:p>
    <w:p w14:paraId="6C6C8B84">
      <w:pPr>
        <w:autoSpaceDE w:val="0"/>
        <w:autoSpaceDN w:val="0"/>
        <w:adjustRightInd w:val="0"/>
        <w:snapToGrid w:val="0"/>
        <w:spacing w:beforeLines="50" w:line="300" w:lineRule="auto"/>
        <w:ind w:firstLine="616" w:firstLineChars="257"/>
        <w:jc w:val="left"/>
        <w:rPr>
          <w:rFonts w:ascii="宋体"/>
          <w:color w:val="auto"/>
          <w:sz w:val="24"/>
          <w:highlight w:val="none"/>
        </w:rPr>
      </w:pPr>
      <w:r>
        <w:rPr>
          <w:rFonts w:ascii="宋体" w:hAnsi="宋体"/>
          <w:color w:val="auto"/>
          <w:sz w:val="24"/>
          <w:highlight w:val="none"/>
        </w:rPr>
        <w:t xml:space="preserve">3.2.2 </w:t>
      </w:r>
      <w:r>
        <w:rPr>
          <w:rFonts w:hint="eastAsia" w:ascii="宋体" w:hAnsi="宋体"/>
          <w:color w:val="auto"/>
          <w:sz w:val="24"/>
          <w:highlight w:val="none"/>
        </w:rPr>
        <w:t>投标人有以下情形之一的，其投标作无效投标处理：</w:t>
      </w:r>
    </w:p>
    <w:p w14:paraId="68A614F5">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）投标人不符合国家或者谈判文件规定的资格条件；</w:t>
      </w:r>
    </w:p>
    <w:p w14:paraId="769465E7">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）投标人没有按照谈判文件要求提供投标承诺函；</w:t>
      </w:r>
    </w:p>
    <w:p w14:paraId="7D54CC42">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）投标联合体不符合谈判文件规定；</w:t>
      </w:r>
    </w:p>
    <w:p w14:paraId="1A3E35C3">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）投标文件的签字盖章不符合谈判文件规定；</w:t>
      </w:r>
    </w:p>
    <w:p w14:paraId="2F0C6833">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）投标报价高于谈判公告公布的预算金额</w:t>
      </w:r>
      <w:r>
        <w:rPr>
          <w:rFonts w:hint="eastAsia" w:ascii="宋体" w:hAnsi="宋体"/>
          <w:color w:val="auto"/>
          <w:sz w:val="24"/>
          <w:highlight w:val="none"/>
          <w:lang w:val="en-US" w:eastAsia="zh-CN"/>
        </w:rPr>
        <w:t>及</w:t>
      </w:r>
      <w:r>
        <w:rPr>
          <w:rFonts w:hint="eastAsia" w:ascii="宋体" w:hAnsi="宋体"/>
          <w:color w:val="auto"/>
          <w:sz w:val="24"/>
          <w:highlight w:val="none"/>
        </w:rPr>
        <w:t>标段（包）内容中最高限价；</w:t>
      </w:r>
    </w:p>
    <w:p w14:paraId="707A9A37">
      <w:pPr>
        <w:autoSpaceDE w:val="0"/>
        <w:autoSpaceDN w:val="0"/>
        <w:adjustRightInd w:val="0"/>
        <w:snapToGrid w:val="0"/>
        <w:spacing w:line="300" w:lineRule="auto"/>
        <w:ind w:firstLine="616" w:firstLineChars="257"/>
        <w:jc w:val="left"/>
        <w:rPr>
          <w:rFonts w:hint="eastAsia" w:ascii="宋体" w:eastAsia="宋体"/>
          <w:color w:val="auto"/>
          <w:sz w:val="24"/>
          <w:highlight w:val="none"/>
          <w:lang w:eastAsia="zh-CN"/>
        </w:rPr>
      </w:pPr>
      <w:r>
        <w:rPr>
          <w:rFonts w:hint="eastAsia" w:ascii="宋体" w:hAnsi="宋体"/>
          <w:color w:val="auto"/>
          <w:sz w:val="24"/>
          <w:highlight w:val="none"/>
        </w:rPr>
        <w:t>（</w:t>
      </w:r>
      <w:r>
        <w:rPr>
          <w:rFonts w:ascii="宋体" w:hAnsi="宋体"/>
          <w:color w:val="auto"/>
          <w:sz w:val="24"/>
          <w:highlight w:val="none"/>
        </w:rPr>
        <w:t>6</w:t>
      </w:r>
      <w:r>
        <w:rPr>
          <w:rFonts w:hint="eastAsia" w:ascii="宋体" w:hAnsi="宋体"/>
          <w:color w:val="auto"/>
          <w:sz w:val="24"/>
          <w:highlight w:val="none"/>
        </w:rPr>
        <w:t>）同一投标人提交两个以上不同的投标文件（响应文件）或者投标报价，投标文件（响应文件）的每种报价有两个报价或其他选择性报价的</w:t>
      </w:r>
      <w:r>
        <w:rPr>
          <w:rFonts w:hint="eastAsia" w:ascii="宋体" w:hAnsi="宋体"/>
          <w:color w:val="auto"/>
          <w:sz w:val="24"/>
          <w:highlight w:val="none"/>
          <w:lang w:eastAsia="zh-CN"/>
        </w:rPr>
        <w:t>；</w:t>
      </w:r>
    </w:p>
    <w:p w14:paraId="2C8E22D0">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7</w:t>
      </w:r>
      <w:r>
        <w:rPr>
          <w:rFonts w:hint="eastAsia" w:ascii="宋体" w:hAnsi="宋体"/>
          <w:color w:val="auto"/>
          <w:sz w:val="24"/>
          <w:highlight w:val="none"/>
        </w:rPr>
        <w:t>）投标文件（响应文件）没有对谈判文件的实质性要求和条件作出实质性响应，或不符合谈判文件的实质性要求和条件；</w:t>
      </w:r>
    </w:p>
    <w:p w14:paraId="75C60EFD">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8</w:t>
      </w:r>
      <w:r>
        <w:rPr>
          <w:rFonts w:hint="eastAsia" w:ascii="宋体" w:hAnsi="宋体"/>
          <w:color w:val="auto"/>
          <w:sz w:val="24"/>
          <w:highlight w:val="none"/>
        </w:rPr>
        <w:t>）投标文件（响应文件）附有采购项目不能接受的条件或不符合国家强制性规定的；</w:t>
      </w:r>
    </w:p>
    <w:p w14:paraId="749705B1">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9</w:t>
      </w:r>
      <w:r>
        <w:rPr>
          <w:rFonts w:hint="eastAsia" w:ascii="宋体" w:hAnsi="宋体"/>
          <w:color w:val="auto"/>
          <w:sz w:val="24"/>
          <w:highlight w:val="none"/>
        </w:rPr>
        <w:t>）单位负责人为同一人或者存在控股、管理关系的不同单位，参加同一项目（标段</w:t>
      </w:r>
      <w:r>
        <w:rPr>
          <w:rFonts w:hint="eastAsia" w:ascii="宋体" w:hAnsi="宋体" w:cs="楷体_GB2312"/>
          <w:color w:val="auto"/>
          <w:sz w:val="24"/>
          <w:highlight w:val="none"/>
          <w:lang w:val="zh-CN"/>
        </w:rPr>
        <w:t>&lt;包&gt;</w:t>
      </w:r>
      <w:r>
        <w:rPr>
          <w:rFonts w:hint="eastAsia" w:ascii="宋体" w:hAnsi="宋体"/>
          <w:color w:val="auto"/>
          <w:sz w:val="24"/>
          <w:highlight w:val="none"/>
        </w:rPr>
        <w:t>）投标的；</w:t>
      </w:r>
    </w:p>
    <w:p w14:paraId="1DCA8888">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10</w:t>
      </w:r>
      <w:r>
        <w:rPr>
          <w:rFonts w:hint="eastAsia" w:ascii="宋体" w:hAnsi="宋体"/>
          <w:color w:val="auto"/>
          <w:sz w:val="24"/>
          <w:highlight w:val="none"/>
        </w:rPr>
        <w:t>）为采购项目提供整体设计、规范编制或者项目管理、监理、检测等服务的供应商，不得再参加该采购项目的其他采购活动。</w:t>
      </w:r>
    </w:p>
    <w:p w14:paraId="5480C8CC">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（11）组成联合体或者接受分包的小微企业与联合体内其他企业、分包企业之间存在直接控股、管理关系的。</w:t>
      </w:r>
    </w:p>
    <w:p w14:paraId="6DC00579">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2）提供虚假材料谋取中标（成交）的；</w:t>
      </w:r>
    </w:p>
    <w:p w14:paraId="4FB6FCCD">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3）投标人有串通投标、行贿等违法行为。其中，有下列情形之一的，视为投标人相互串通投标：</w:t>
      </w:r>
    </w:p>
    <w:p w14:paraId="43F93E00">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◆不同投标人的投标文件由同一单位或者个人编制；</w:t>
      </w:r>
    </w:p>
    <w:p w14:paraId="25926FE0">
      <w:pPr>
        <w:autoSpaceDE w:val="0"/>
        <w:autoSpaceDN w:val="0"/>
        <w:adjustRightInd w:val="0"/>
        <w:snapToGrid w:val="0"/>
        <w:spacing w:line="300" w:lineRule="auto"/>
        <w:ind w:firstLine="616" w:firstLineChars="257"/>
        <w:jc w:val="left"/>
        <w:rPr>
          <w:rFonts w:ascii="宋体"/>
          <w:color w:val="auto"/>
          <w:sz w:val="24"/>
          <w:highlight w:val="none"/>
        </w:rPr>
      </w:pPr>
      <w:r>
        <w:rPr>
          <w:rFonts w:ascii="宋体"/>
          <w:color w:val="auto"/>
          <w:sz w:val="24"/>
          <w:highlight w:val="none"/>
        </w:rPr>
        <w:t> </w:t>
      </w:r>
      <w:r>
        <w:rPr>
          <w:rFonts w:hint="eastAsia" w:ascii="宋体" w:hAnsi="宋体"/>
          <w:color w:val="auto"/>
          <w:sz w:val="24"/>
          <w:highlight w:val="none"/>
        </w:rPr>
        <w:t>◆不同投标人委托同一单位或者个人办理投标事宜；</w:t>
      </w:r>
    </w:p>
    <w:p w14:paraId="1714917E">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◆不同投标人的投标文件载明的项目管理成员为同一人；</w:t>
      </w:r>
    </w:p>
    <w:p w14:paraId="6700E226">
      <w:pPr>
        <w:autoSpaceDE w:val="0"/>
        <w:autoSpaceDN w:val="0"/>
        <w:adjustRightInd w:val="0"/>
        <w:snapToGrid w:val="0"/>
        <w:spacing w:line="300" w:lineRule="auto"/>
        <w:ind w:firstLine="616" w:firstLineChars="257"/>
        <w:jc w:val="left"/>
        <w:rPr>
          <w:rFonts w:ascii="宋体"/>
          <w:color w:val="auto"/>
          <w:sz w:val="24"/>
          <w:highlight w:val="none"/>
        </w:rPr>
      </w:pPr>
      <w:r>
        <w:rPr>
          <w:rFonts w:hint="eastAsia" w:ascii="宋体" w:hAnsi="宋体"/>
          <w:color w:val="auto"/>
          <w:sz w:val="24"/>
          <w:highlight w:val="none"/>
        </w:rPr>
        <w:t>◆不同投标人的投标文件异常一致或者投标报价呈规律性差异；</w:t>
      </w:r>
    </w:p>
    <w:p w14:paraId="5A4FFE11">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◆不同投标人的投标文件相互混装。</w:t>
      </w:r>
    </w:p>
    <w:p w14:paraId="2E793F2D">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（14）根据豫财购〔2021〕6号文件，参与同一个标段(包)的供应商存在下列情形之一的，其投标(响应)文件无效:</w:t>
      </w:r>
    </w:p>
    <w:p w14:paraId="75207CA5">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◆不同供应商的电子投标(响应)文件上传计算机的网卡MAC地址、CPU序列号和硬盘序列号等硬件信息相同的；</w:t>
      </w:r>
    </w:p>
    <w:p w14:paraId="20F1497C">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◆不同供应商的投标(响应)文件由同一电子设备编制、打印加密或者上传；</w:t>
      </w:r>
    </w:p>
    <w:p w14:paraId="72208E49">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◆不同供应商的投标(响应)文件由同一电子设备打印、复印；</w:t>
      </w:r>
    </w:p>
    <w:p w14:paraId="3B625E61">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◆不同供应商的投标(响应)文件由同一人送达或者分发，或者不同供应商联系人为同一人或不同联系人的联系电话一致的；</w:t>
      </w:r>
    </w:p>
    <w:p w14:paraId="01252829">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◆不同供应商的投标(响应)文件的内容存在两处以上细节错误一致；</w:t>
      </w:r>
    </w:p>
    <w:p w14:paraId="77C550F3">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◆不同供应商的法定代表人、委托代理人、项目经理、项目负责人等由同一个单位缴纳社会保险或者领取报酬的；</w:t>
      </w:r>
    </w:p>
    <w:p w14:paraId="0BA17316">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◆不同供应商投标(响应)文件中法定代表人或者负责人签字出自同一人之手；</w:t>
      </w:r>
    </w:p>
    <w:p w14:paraId="73DD5B8E">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◆其它涉嫌串通的情形。</w:t>
      </w:r>
    </w:p>
    <w:p w14:paraId="1F3A657D">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(15)不同投标人上传电子投标(响应)文件的IP地址相同，该供应商投标(响应)文件无效。</w:t>
      </w:r>
    </w:p>
    <w:p w14:paraId="5EA31FFB">
      <w:pPr>
        <w:autoSpaceDE w:val="0"/>
        <w:autoSpaceDN w:val="0"/>
        <w:adjustRightInd w:val="0"/>
        <w:snapToGrid w:val="0"/>
        <w:spacing w:line="300" w:lineRule="auto"/>
        <w:ind w:firstLine="616" w:firstLineChars="257"/>
        <w:jc w:val="left"/>
        <w:rPr>
          <w:rFonts w:ascii="宋体" w:hAnsi="宋体"/>
          <w:color w:val="auto"/>
          <w:sz w:val="24"/>
          <w:highlight w:val="none"/>
        </w:rPr>
      </w:pPr>
      <w:r>
        <w:rPr>
          <w:rFonts w:hint="eastAsia" w:ascii="宋体" w:hAnsi="宋体"/>
          <w:color w:val="auto"/>
          <w:sz w:val="24"/>
          <w:highlight w:val="none"/>
        </w:rPr>
        <w:t>(16)据豫财购〔2021〕6号文件精神，工程领域招标投标行政主管部门对供应商串通投标等予以市场禁入的，在本次政府采购活动中，该供应商投标(响应)文件无效。</w:t>
      </w:r>
    </w:p>
    <w:p w14:paraId="7D0E8177">
      <w:pPr>
        <w:autoSpaceDE w:val="0"/>
        <w:autoSpaceDN w:val="0"/>
        <w:adjustRightInd w:val="0"/>
        <w:snapToGrid w:val="0"/>
        <w:spacing w:beforeLines="50" w:line="300" w:lineRule="auto"/>
        <w:ind w:firstLine="539"/>
        <w:rPr>
          <w:rFonts w:ascii="宋体" w:hAnsi="宋体"/>
          <w:color w:val="auto"/>
          <w:sz w:val="24"/>
          <w:highlight w:val="none"/>
        </w:rPr>
      </w:pPr>
      <w:r>
        <w:rPr>
          <w:rFonts w:hint="eastAsia" w:ascii="宋体" w:hAnsi="宋体"/>
          <w:color w:val="auto"/>
          <w:sz w:val="24"/>
          <w:highlight w:val="none"/>
        </w:rPr>
        <w:t>（17）如涉及台式计算机、便携式计算机、一体式计算机、工作站、通用服务器、操作系统、数据库的，不符合第六章14-2附件要求</w:t>
      </w:r>
      <w:r>
        <w:rPr>
          <w:rFonts w:hint="eastAsia" w:ascii="宋体" w:hAnsi="宋体"/>
          <w:color w:val="auto"/>
          <w:sz w:val="24"/>
          <w:szCs w:val="24"/>
          <w:highlight w:val="none"/>
        </w:rPr>
        <w:t>。</w:t>
      </w:r>
    </w:p>
    <w:p w14:paraId="0197D0DE">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3.2.3</w:t>
      </w:r>
      <w:r>
        <w:rPr>
          <w:rFonts w:hint="eastAsia" w:ascii="宋体" w:hAnsi="宋体"/>
          <w:b/>
          <w:color w:val="auto"/>
          <w:sz w:val="24"/>
          <w:highlight w:val="none"/>
        </w:rPr>
        <w:t>未实质性响应谈判文件的响应文件按无效处理，谈判小组应当告知有关供应商。</w:t>
      </w:r>
    </w:p>
    <w:p w14:paraId="6C461D40">
      <w:pPr>
        <w:autoSpaceDE w:val="0"/>
        <w:autoSpaceDN w:val="0"/>
        <w:adjustRightInd w:val="0"/>
        <w:snapToGrid w:val="0"/>
        <w:spacing w:beforeLines="50" w:line="300" w:lineRule="auto"/>
        <w:ind w:firstLine="566" w:firstLineChars="236"/>
        <w:jc w:val="left"/>
        <w:rPr>
          <w:rFonts w:ascii="宋体" w:hAnsi="宋体"/>
          <w:b/>
          <w:color w:val="auto"/>
          <w:sz w:val="24"/>
          <w:highlight w:val="none"/>
        </w:rPr>
      </w:pPr>
      <w:r>
        <w:rPr>
          <w:rFonts w:ascii="宋体" w:hAnsi="宋体"/>
          <w:color w:val="auto"/>
          <w:sz w:val="24"/>
          <w:highlight w:val="none"/>
        </w:rPr>
        <w:t>3.2</w:t>
      </w:r>
      <w:r>
        <w:rPr>
          <w:rFonts w:asci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开标一览表（报价一览表）与报价明细表有差别时，以开标一览表（报价一览表）为准；大写文字表示的数据与小写数字表示的有差别时，以大写文字表示的数据为准；单价与开标一览表（报价一览表）总价不符时，以开标一览表（报价一览表）总价为准。如投标人拒绝接受上述意见，其</w:t>
      </w:r>
      <w:r>
        <w:rPr>
          <w:rFonts w:hint="eastAsia" w:ascii="宋体" w:hAnsi="宋体"/>
          <w:b/>
          <w:color w:val="auto"/>
          <w:sz w:val="24"/>
          <w:highlight w:val="none"/>
        </w:rPr>
        <w:t>投标将被拒绝。</w:t>
      </w:r>
    </w:p>
    <w:p w14:paraId="6F7274E8">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3.2.5 </w:t>
      </w:r>
      <w:r>
        <w:rPr>
          <w:rFonts w:hint="eastAsia" w:ascii="宋体" w:hAnsi="宋体"/>
          <w:color w:val="auto"/>
          <w:sz w:val="24"/>
          <w:highlight w:val="none"/>
        </w:rPr>
        <w:t>谈判小组负责审查确定每一投标项目是否对谈判文件的实质性要求作出了实质性的响应，而没有重大偏离和保留。实质性响应的投标是指投标符合谈判文件的所有条款、条件和规定且没有重大偏离和保留（重大偏离和保留是指影响到谈判文件和投标人的义务的规定，而纠正这些偏离将影响到其他提交实质性响应投标人的公平竞争地位）。</w:t>
      </w:r>
    </w:p>
    <w:p w14:paraId="470E16BB">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3.2.6 </w:t>
      </w:r>
      <w:r>
        <w:rPr>
          <w:rFonts w:hint="eastAsia" w:ascii="宋体" w:hAnsi="宋体"/>
          <w:color w:val="auto"/>
          <w:sz w:val="24"/>
          <w:highlight w:val="none"/>
        </w:rPr>
        <w:t>谈判小组判断投标文件（响应文件）的响应性仅基于投标文件（响应文件）本身而不靠外部证据。</w:t>
      </w:r>
    </w:p>
    <w:p w14:paraId="510E8E3E">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3.2.7 </w:t>
      </w:r>
      <w:r>
        <w:rPr>
          <w:rFonts w:hint="eastAsia" w:ascii="宋体" w:hAnsi="宋体"/>
          <w:color w:val="auto"/>
          <w:sz w:val="24"/>
          <w:highlight w:val="none"/>
        </w:rPr>
        <w:t>谈判小组拒绝被确定为非实质性响应的投标人，投标人不得通过修正或撤销不符之处而使其投标成为实质性响应的投标。</w:t>
      </w:r>
    </w:p>
    <w:p w14:paraId="54A87AF6">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3.2.8 </w:t>
      </w:r>
      <w:r>
        <w:rPr>
          <w:rFonts w:hint="eastAsia" w:ascii="宋体" w:hAnsi="宋体"/>
          <w:color w:val="auto"/>
          <w:sz w:val="24"/>
          <w:highlight w:val="none"/>
        </w:rPr>
        <w:t>允许投标人修改投标中不构成重大偏离的、微小的、非正规、不一致或不规则的地方。</w:t>
      </w:r>
    </w:p>
    <w:p w14:paraId="75CC12D4">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3.3 </w:t>
      </w:r>
      <w:r>
        <w:rPr>
          <w:rFonts w:hint="eastAsia" w:ascii="黑体" w:hAnsi="黑体" w:eastAsia="黑体"/>
          <w:b/>
          <w:color w:val="auto"/>
          <w:sz w:val="24"/>
          <w:highlight w:val="none"/>
        </w:rPr>
        <w:t>详细评审</w:t>
      </w:r>
    </w:p>
    <w:p w14:paraId="2DA4D477">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3.3.1</w:t>
      </w:r>
      <w:r>
        <w:rPr>
          <w:rFonts w:hint="eastAsia" w:ascii="宋体" w:hAnsi="宋体"/>
          <w:color w:val="auto"/>
          <w:sz w:val="24"/>
          <w:highlight w:val="none"/>
        </w:rPr>
        <w:t xml:space="preserve"> 按本章第</w:t>
      </w:r>
      <w:r>
        <w:rPr>
          <w:rFonts w:ascii="宋体" w:hAnsi="宋体"/>
          <w:color w:val="auto"/>
          <w:sz w:val="24"/>
          <w:highlight w:val="none"/>
        </w:rPr>
        <w:t xml:space="preserve">4 </w:t>
      </w:r>
      <w:r>
        <w:rPr>
          <w:rFonts w:hint="eastAsia" w:ascii="宋体" w:hAnsi="宋体"/>
          <w:color w:val="auto"/>
          <w:sz w:val="24"/>
          <w:highlight w:val="none"/>
        </w:rPr>
        <w:t>条规定执行促进中小企业发展扶持政策，用扣除后的价格参与评审。</w:t>
      </w:r>
    </w:p>
    <w:p w14:paraId="11BAB8EA">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color w:val="auto"/>
          <w:sz w:val="24"/>
          <w:highlight w:val="none"/>
        </w:rPr>
        <w:t>3.</w:t>
      </w:r>
      <w:r>
        <w:rPr>
          <w:rFonts w:hint="eastAsia" w:ascii="宋体"/>
          <w:color w:val="auto"/>
          <w:sz w:val="24"/>
          <w:highlight w:val="none"/>
        </w:rPr>
        <w:t>3</w:t>
      </w:r>
      <w:r>
        <w:rPr>
          <w:rFonts w:ascii="宋体"/>
          <w:color w:val="auto"/>
          <w:sz w:val="24"/>
          <w:highlight w:val="none"/>
        </w:rPr>
        <w:t>.</w:t>
      </w:r>
      <w:r>
        <w:rPr>
          <w:rFonts w:hint="eastAsia" w:ascii="宋体"/>
          <w:color w:val="auto"/>
          <w:sz w:val="24"/>
          <w:highlight w:val="none"/>
        </w:rPr>
        <w:t xml:space="preserve">2 </w:t>
      </w:r>
      <w:r>
        <w:rPr>
          <w:rFonts w:hint="eastAsia" w:ascii="宋体" w:hAnsi="宋体"/>
          <w:color w:val="auto"/>
          <w:sz w:val="24"/>
          <w:highlight w:val="none"/>
        </w:rPr>
        <w:t>提供相同品牌产品的不同投标人参加同一合同项下投标的，以其中通过资格审查、符合性审查且报价最低的参加评标；报价相同的，由谈判小组按照随机抽取方式确定一个参加评标的投标人，其他投标无效。</w:t>
      </w:r>
    </w:p>
    <w:p w14:paraId="40801394">
      <w:pPr>
        <w:adjustRightInd w:val="0"/>
        <w:snapToGrid w:val="0"/>
        <w:spacing w:line="300" w:lineRule="auto"/>
        <w:ind w:firstLine="480"/>
        <w:jc w:val="left"/>
        <w:rPr>
          <w:rFonts w:ascii="宋体" w:cs="宋体"/>
          <w:color w:val="auto"/>
          <w:sz w:val="24"/>
          <w:highlight w:val="none"/>
        </w:rPr>
      </w:pPr>
      <w:r>
        <w:rPr>
          <w:rFonts w:hint="eastAsia" w:ascii="宋体" w:hAnsi="宋体" w:cs="宋体"/>
          <w:color w:val="auto"/>
          <w:sz w:val="24"/>
          <w:highlight w:val="none"/>
        </w:rPr>
        <w:t>多家投标人提供的核心产品品牌相同的，按前项规定处理。</w:t>
      </w:r>
    </w:p>
    <w:p w14:paraId="1EB4CDE6">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3.3.</w:t>
      </w:r>
      <w:r>
        <w:rPr>
          <w:rFonts w:hint="eastAsia" w:ascii="宋体" w:hAnsi="宋体"/>
          <w:color w:val="auto"/>
          <w:sz w:val="24"/>
          <w:highlight w:val="none"/>
        </w:rPr>
        <w:t>3 谈判小组认为供应商的报价明显低于其他通过符合性审查投标人的报价，有可能影响产品质量或者不能诚信履约的，应当要求其在合理的时间内提供书面说明，必要时提交相关证明材料；供应商不能证明其报价合理性的，谈判小组应当将其作为无效投标处理。</w:t>
      </w:r>
    </w:p>
    <w:p w14:paraId="291F4ADF">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3.4 </w:t>
      </w:r>
      <w:r>
        <w:rPr>
          <w:rFonts w:hint="eastAsia" w:ascii="黑体" w:hAnsi="黑体" w:eastAsia="黑体"/>
          <w:b/>
          <w:color w:val="auto"/>
          <w:sz w:val="24"/>
          <w:highlight w:val="none"/>
        </w:rPr>
        <w:t>投标文件（响应文件）的澄清</w:t>
      </w:r>
    </w:p>
    <w:p w14:paraId="2445018E">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hint="eastAsia" w:ascii="宋体" w:hAnsi="宋体"/>
          <w:b/>
          <w:color w:val="auto"/>
          <w:sz w:val="24"/>
          <w:highlight w:val="none"/>
        </w:rPr>
        <w:t>投标文件（响应文件）的澄清在谈</w:t>
      </w:r>
      <w:r>
        <w:rPr>
          <w:rFonts w:ascii="宋体" w:hAnsi="宋体"/>
          <w:b/>
          <w:color w:val="auto"/>
          <w:sz w:val="24"/>
          <w:highlight w:val="none"/>
        </w:rPr>
        <w:t>判公告所述</w:t>
      </w:r>
      <w:r>
        <w:rPr>
          <w:rFonts w:hint="eastAsia" w:ascii="宋体" w:hAnsi="宋体"/>
          <w:b/>
          <w:color w:val="auto"/>
          <w:sz w:val="24"/>
          <w:highlight w:val="none"/>
        </w:rPr>
        <w:t>网</w:t>
      </w:r>
      <w:r>
        <w:rPr>
          <w:rFonts w:ascii="宋体" w:hAnsi="宋体"/>
          <w:b/>
          <w:color w:val="auto"/>
          <w:sz w:val="24"/>
          <w:highlight w:val="none"/>
        </w:rPr>
        <w:t>上</w:t>
      </w:r>
      <w:r>
        <w:rPr>
          <w:rFonts w:hint="eastAsia" w:ascii="宋体" w:hAnsi="宋体"/>
          <w:b/>
          <w:color w:val="auto"/>
          <w:sz w:val="24"/>
          <w:highlight w:val="none"/>
        </w:rPr>
        <w:t>电子交易系统</w:t>
      </w:r>
      <w:r>
        <w:rPr>
          <w:rFonts w:ascii="宋体" w:hAnsi="宋体"/>
          <w:b/>
          <w:color w:val="auto"/>
          <w:sz w:val="24"/>
          <w:highlight w:val="none"/>
        </w:rPr>
        <w:t>进行。</w:t>
      </w:r>
    </w:p>
    <w:p w14:paraId="402412E2">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w:t>
      </w:r>
      <w:r>
        <w:rPr>
          <w:rFonts w:hint="eastAsia" w:ascii="宋体" w:hAnsi="宋体"/>
          <w:b/>
          <w:color w:val="auto"/>
          <w:sz w:val="24"/>
          <w:highlight w:val="none"/>
        </w:rPr>
        <w:t>4</w:t>
      </w:r>
      <w:r>
        <w:rPr>
          <w:rFonts w:ascii="宋体" w:hAnsi="宋体"/>
          <w:b/>
          <w:color w:val="auto"/>
          <w:sz w:val="24"/>
          <w:highlight w:val="none"/>
        </w:rPr>
        <w:t>.1</w:t>
      </w:r>
      <w:r>
        <w:rPr>
          <w:rFonts w:hint="eastAsia" w:ascii="宋体" w:hAnsi="宋体"/>
          <w:b/>
          <w:color w:val="auto"/>
          <w:sz w:val="24"/>
          <w:highlight w:val="none"/>
        </w:rPr>
        <w:t xml:space="preserve"> 评审期间，投标人法定代表人须时刻关注电子开标室并保持通讯畅通。如因通讯不畅导致投标人无法及时澄清而被认定为无效响应等后果的</w:t>
      </w:r>
      <w:r>
        <w:rPr>
          <w:rFonts w:ascii="宋体" w:hAnsi="宋体"/>
          <w:b/>
          <w:color w:val="auto"/>
          <w:sz w:val="24"/>
          <w:highlight w:val="none"/>
        </w:rPr>
        <w:t>，</w:t>
      </w:r>
      <w:r>
        <w:rPr>
          <w:rFonts w:hint="eastAsia" w:ascii="宋体" w:hAnsi="宋体"/>
          <w:b/>
          <w:color w:val="auto"/>
          <w:sz w:val="24"/>
          <w:highlight w:val="none"/>
        </w:rPr>
        <w:t>由投标人自行承担。</w:t>
      </w:r>
    </w:p>
    <w:p w14:paraId="2D2CAE0E">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3.4.2</w:t>
      </w:r>
      <w:r>
        <w:rPr>
          <w:rFonts w:hint="eastAsia" w:ascii="宋体" w:hAnsi="宋体"/>
          <w:color w:val="auto"/>
          <w:sz w:val="24"/>
          <w:highlight w:val="none"/>
        </w:rPr>
        <w:t>　为有助于对投标文件（响应文件）进行审查、评估和比较，谈判小组有权个别的向投标人提出质疑，请投标人澄清其投标内容。</w:t>
      </w:r>
    </w:p>
    <w:p w14:paraId="2048FCE2">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3.4.3</w:t>
      </w:r>
      <w:r>
        <w:rPr>
          <w:rFonts w:hint="eastAsia" w:ascii="宋体" w:hAnsi="宋体"/>
          <w:color w:val="auto"/>
          <w:sz w:val="24"/>
          <w:highlight w:val="none"/>
        </w:rPr>
        <w:t>　谈判小组可以要求投标人对投标文件（响应文件）中含义不明确、同类问题表述不一致或者有明显文字和计算错误的内容等作出必要的澄清、说明或者更正。投标人的澄清、说明或者更正不得超出投标文件（响应文件）的范围或者改变投标文件（响应文件）的实质性内容。</w:t>
      </w:r>
    </w:p>
    <w:p w14:paraId="6CE2272F">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3.4.4</w:t>
      </w:r>
      <w:r>
        <w:rPr>
          <w:rFonts w:hint="eastAsia" w:ascii="宋体" w:hAnsi="宋体"/>
          <w:b/>
          <w:color w:val="auto"/>
          <w:sz w:val="24"/>
          <w:highlight w:val="none"/>
        </w:rPr>
        <w:t>　投标人的澄清、说明或者更正应当采用书面形式，应加</w:t>
      </w:r>
      <w:r>
        <w:rPr>
          <w:rFonts w:ascii="宋体" w:hAnsi="宋体"/>
          <w:b/>
          <w:color w:val="auto"/>
          <w:sz w:val="24"/>
          <w:highlight w:val="none"/>
        </w:rPr>
        <w:t>盖</w:t>
      </w:r>
      <w:r>
        <w:rPr>
          <w:rFonts w:hint="eastAsia" w:ascii="宋体" w:hAnsi="宋体"/>
          <w:b/>
          <w:color w:val="auto"/>
          <w:sz w:val="24"/>
          <w:highlight w:val="none"/>
        </w:rPr>
        <w:t>投</w:t>
      </w:r>
      <w:r>
        <w:rPr>
          <w:rFonts w:ascii="宋体" w:hAnsi="宋体"/>
          <w:b/>
          <w:color w:val="auto"/>
          <w:sz w:val="24"/>
          <w:highlight w:val="none"/>
        </w:rPr>
        <w:t>标人</w:t>
      </w:r>
      <w:r>
        <w:rPr>
          <w:rFonts w:hint="eastAsia" w:ascii="宋体" w:hAnsi="宋体"/>
          <w:b/>
          <w:color w:val="auto"/>
          <w:sz w:val="24"/>
          <w:highlight w:val="none"/>
        </w:rPr>
        <w:t>电子签章或其法定代表人电子签名</w:t>
      </w:r>
      <w:r>
        <w:rPr>
          <w:rFonts w:hint="eastAsia" w:ascii="宋体" w:hAnsi="宋体" w:cs="楷体_GB2312"/>
          <w:b/>
          <w:color w:val="auto"/>
          <w:sz w:val="24"/>
          <w:highlight w:val="none"/>
        </w:rPr>
        <w:t>（签章）</w:t>
      </w:r>
      <w:r>
        <w:rPr>
          <w:rFonts w:hint="eastAsia" w:ascii="宋体" w:hAnsi="宋体"/>
          <w:b/>
          <w:color w:val="auto"/>
          <w:sz w:val="24"/>
          <w:highlight w:val="none"/>
        </w:rPr>
        <w:t>。并将澄清等内容作为附件上传至系统中。</w:t>
      </w:r>
    </w:p>
    <w:p w14:paraId="4FAEF8B8">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3.4.5</w:t>
      </w:r>
      <w:r>
        <w:rPr>
          <w:rFonts w:hint="eastAsia" w:ascii="宋体" w:hAnsi="宋体"/>
          <w:color w:val="auto"/>
          <w:sz w:val="24"/>
          <w:highlight w:val="none"/>
        </w:rPr>
        <w:t>　投标人的澄清文件是投标文件（响应文件）的组成部分，并取代投标文件（响应文件）中被澄清的部分。</w:t>
      </w:r>
    </w:p>
    <w:p w14:paraId="74289160">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3.4.6</w:t>
      </w:r>
      <w:r>
        <w:rPr>
          <w:rFonts w:hint="eastAsia" w:ascii="宋体" w:hAnsi="宋体"/>
          <w:color w:val="auto"/>
          <w:sz w:val="24"/>
          <w:highlight w:val="none"/>
        </w:rPr>
        <w:t>　澄清文件应按谈判小组规定的时间提交。</w:t>
      </w:r>
    </w:p>
    <w:p w14:paraId="053303C1">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3.5 </w:t>
      </w:r>
      <w:r>
        <w:rPr>
          <w:rFonts w:hint="eastAsia" w:ascii="黑体" w:hAnsi="黑体" w:eastAsia="黑体"/>
          <w:b/>
          <w:color w:val="auto"/>
          <w:sz w:val="24"/>
          <w:highlight w:val="none"/>
        </w:rPr>
        <w:t>谈判规则</w:t>
      </w:r>
    </w:p>
    <w:p w14:paraId="02C6B298">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hint="eastAsia" w:ascii="宋体" w:hAnsi="宋体"/>
          <w:b/>
          <w:color w:val="auto"/>
          <w:sz w:val="24"/>
          <w:highlight w:val="none"/>
        </w:rPr>
        <w:t>评</w:t>
      </w:r>
      <w:r>
        <w:rPr>
          <w:rFonts w:ascii="宋体" w:hAnsi="宋体"/>
          <w:b/>
          <w:color w:val="auto"/>
          <w:sz w:val="24"/>
          <w:highlight w:val="none"/>
        </w:rPr>
        <w:t>审</w:t>
      </w:r>
      <w:r>
        <w:rPr>
          <w:rFonts w:hint="eastAsia" w:ascii="宋体" w:hAnsi="宋体"/>
          <w:b/>
          <w:color w:val="auto"/>
          <w:sz w:val="24"/>
          <w:highlight w:val="none"/>
        </w:rPr>
        <w:t>谈判在谈</w:t>
      </w:r>
      <w:r>
        <w:rPr>
          <w:rFonts w:ascii="宋体" w:hAnsi="宋体"/>
          <w:b/>
          <w:color w:val="auto"/>
          <w:sz w:val="24"/>
          <w:highlight w:val="none"/>
        </w:rPr>
        <w:t>判公告所述</w:t>
      </w:r>
      <w:r>
        <w:rPr>
          <w:rFonts w:hint="eastAsia" w:ascii="宋体" w:hAnsi="宋体"/>
          <w:b/>
          <w:color w:val="auto"/>
          <w:sz w:val="24"/>
          <w:highlight w:val="none"/>
        </w:rPr>
        <w:t>网</w:t>
      </w:r>
      <w:r>
        <w:rPr>
          <w:rFonts w:ascii="宋体" w:hAnsi="宋体"/>
          <w:b/>
          <w:color w:val="auto"/>
          <w:sz w:val="24"/>
          <w:highlight w:val="none"/>
        </w:rPr>
        <w:t>上</w:t>
      </w:r>
      <w:r>
        <w:rPr>
          <w:rFonts w:hint="eastAsia" w:ascii="宋体" w:hAnsi="宋体"/>
          <w:b/>
          <w:color w:val="auto"/>
          <w:sz w:val="24"/>
          <w:highlight w:val="none"/>
        </w:rPr>
        <w:t>电子交易系统</w:t>
      </w:r>
      <w:r>
        <w:rPr>
          <w:rFonts w:ascii="宋体" w:hAnsi="宋体"/>
          <w:b/>
          <w:color w:val="auto"/>
          <w:sz w:val="24"/>
          <w:highlight w:val="none"/>
        </w:rPr>
        <w:t>进行。</w:t>
      </w:r>
    </w:p>
    <w:p w14:paraId="56FEF013">
      <w:pPr>
        <w:autoSpaceDE w:val="0"/>
        <w:autoSpaceDN w:val="0"/>
        <w:adjustRightInd w:val="0"/>
        <w:snapToGrid w:val="0"/>
        <w:spacing w:beforeLines="50" w:line="300" w:lineRule="auto"/>
        <w:ind w:firstLine="566" w:firstLineChars="236"/>
        <w:rPr>
          <w:rFonts w:ascii="宋体"/>
          <w:color w:val="auto"/>
          <w:sz w:val="24"/>
          <w:highlight w:val="none"/>
        </w:rPr>
      </w:pPr>
      <w:r>
        <w:rPr>
          <w:rFonts w:ascii="宋体" w:hAnsi="宋体"/>
          <w:color w:val="auto"/>
          <w:sz w:val="24"/>
          <w:highlight w:val="none"/>
        </w:rPr>
        <w:t xml:space="preserve">3.5.1 </w:t>
      </w:r>
      <w:r>
        <w:rPr>
          <w:rFonts w:hint="eastAsia" w:ascii="宋体" w:hAnsi="宋体"/>
          <w:color w:val="auto"/>
          <w:sz w:val="24"/>
          <w:highlight w:val="none"/>
        </w:rPr>
        <w:t>本次政府采购采取竞争性谈判方式。谈判小组将据评审情况就所投货物的技术、服务、价格等事项与有关投标人分别进行谈判。谈判的任何一方不得将与谈判有关的技术资料、价格和其他信息透露给其他供应商。</w:t>
      </w:r>
    </w:p>
    <w:p w14:paraId="5AEDBC77">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3.5.2 </w:t>
      </w:r>
      <w:r>
        <w:rPr>
          <w:rFonts w:hint="eastAsia" w:ascii="宋体" w:hAnsi="宋体"/>
          <w:color w:val="auto"/>
          <w:sz w:val="24"/>
          <w:highlight w:val="none"/>
        </w:rPr>
        <w:t>谈判小组根据谈判文件规定的程序、评定成交的标准等事项与实质性响应谈判文件要求的投标人进行谈判。</w:t>
      </w:r>
    </w:p>
    <w:p w14:paraId="1178E40C">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3.5.3 </w:t>
      </w:r>
      <w:r>
        <w:rPr>
          <w:rFonts w:hint="eastAsia" w:ascii="宋体" w:hAnsi="宋体"/>
          <w:color w:val="auto"/>
          <w:sz w:val="24"/>
          <w:highlight w:val="none"/>
        </w:rPr>
        <w:t>谈判小组所有成员集中与单一投标人分别进行谈判，并给予所有参加谈判的投标人平等的谈判机会。</w:t>
      </w:r>
    </w:p>
    <w:p w14:paraId="22FD93B8">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3.5.4 </w:t>
      </w:r>
      <w:r>
        <w:rPr>
          <w:rFonts w:hint="eastAsia" w:ascii="宋体" w:hAnsi="宋体"/>
          <w:color w:val="auto"/>
          <w:sz w:val="24"/>
          <w:highlight w:val="none"/>
        </w:rPr>
        <w:t>在谈判过程中，谈判小组可以根据谈判文件和谈判情况实质性变动采购需求中的技术、服务要求以及合同草案条款，谈判文件中的其他内容将不再变动。实质性变动的内容，经采购人代表确认</w:t>
      </w:r>
      <w:r>
        <w:rPr>
          <w:rFonts w:hint="eastAsia" w:ascii="宋体" w:hAnsi="宋体"/>
          <w:b/>
          <w:color w:val="auto"/>
          <w:sz w:val="24"/>
          <w:highlight w:val="none"/>
        </w:rPr>
        <w:t>后，谈判小组将在评审界面的对话框及时通知所有参加谈判的供应商。评审期间，供应商可通过评审界面的对话框接受询问。谈判结束后，未实质性响应谈判文件的响应文件按无效处理，谈判小组应当告知有关供应商。</w:t>
      </w:r>
    </w:p>
    <w:p w14:paraId="5FC45CBC">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3.5.5 </w:t>
      </w:r>
      <w:r>
        <w:rPr>
          <w:rFonts w:hint="eastAsia" w:ascii="宋体" w:hAnsi="宋体"/>
          <w:color w:val="auto"/>
          <w:sz w:val="24"/>
          <w:highlight w:val="none"/>
        </w:rPr>
        <w:t>对谈判文件作出的实质性变动是谈判文件的有效组成部分。</w:t>
      </w:r>
    </w:p>
    <w:p w14:paraId="3FED09F2">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3.5.6 </w:t>
      </w:r>
      <w:r>
        <w:rPr>
          <w:rFonts w:hint="eastAsia" w:ascii="宋体" w:hAnsi="宋体"/>
          <w:color w:val="auto"/>
          <w:sz w:val="24"/>
          <w:highlight w:val="none"/>
        </w:rPr>
        <w:t>投标人应当按照谈判文件的变动情况和谈判小组的要求重新提交投标文件（响应文件）或修订投标文件相应条款，</w:t>
      </w:r>
      <w:r>
        <w:rPr>
          <w:rFonts w:hint="eastAsia" w:ascii="宋体" w:hAnsi="宋体"/>
          <w:b/>
          <w:color w:val="auto"/>
          <w:sz w:val="24"/>
          <w:highlight w:val="none"/>
        </w:rPr>
        <w:t>并应加</w:t>
      </w:r>
      <w:r>
        <w:rPr>
          <w:rFonts w:ascii="宋体" w:hAnsi="宋体"/>
          <w:b/>
          <w:color w:val="auto"/>
          <w:sz w:val="24"/>
          <w:highlight w:val="none"/>
        </w:rPr>
        <w:t>盖</w:t>
      </w:r>
      <w:r>
        <w:rPr>
          <w:rFonts w:hint="eastAsia" w:ascii="宋体" w:hAnsi="宋体"/>
          <w:b/>
          <w:color w:val="auto"/>
          <w:sz w:val="24"/>
          <w:highlight w:val="none"/>
        </w:rPr>
        <w:t>投</w:t>
      </w:r>
      <w:r>
        <w:rPr>
          <w:rFonts w:ascii="宋体" w:hAnsi="宋体"/>
          <w:b/>
          <w:color w:val="auto"/>
          <w:sz w:val="24"/>
          <w:highlight w:val="none"/>
        </w:rPr>
        <w:t>标人</w:t>
      </w:r>
      <w:r>
        <w:rPr>
          <w:rFonts w:hint="eastAsia" w:ascii="宋体" w:hAnsi="宋体"/>
          <w:b/>
          <w:color w:val="auto"/>
          <w:sz w:val="24"/>
          <w:highlight w:val="none"/>
        </w:rPr>
        <w:t>或其法定代表人的电子签名</w:t>
      </w:r>
      <w:r>
        <w:rPr>
          <w:rFonts w:hint="eastAsia" w:ascii="宋体" w:hAnsi="宋体" w:cs="楷体_GB2312"/>
          <w:b/>
          <w:color w:val="auto"/>
          <w:sz w:val="24"/>
          <w:highlight w:val="none"/>
        </w:rPr>
        <w:t>（签章）</w:t>
      </w:r>
      <w:r>
        <w:rPr>
          <w:rFonts w:hint="eastAsia" w:ascii="宋体" w:hAnsi="宋体"/>
          <w:b/>
          <w:color w:val="auto"/>
          <w:sz w:val="24"/>
          <w:highlight w:val="none"/>
        </w:rPr>
        <w:t>。</w:t>
      </w:r>
    </w:p>
    <w:p w14:paraId="3D3D75D6">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3.5.7 </w:t>
      </w:r>
      <w:r>
        <w:rPr>
          <w:rFonts w:hint="eastAsia" w:ascii="宋体" w:hAnsi="宋体"/>
          <w:color w:val="auto"/>
          <w:sz w:val="24"/>
          <w:highlight w:val="none"/>
        </w:rPr>
        <w:t>价格谈判</w:t>
      </w:r>
    </w:p>
    <w:p w14:paraId="7BAC5A24">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3.5.7.1 </w:t>
      </w:r>
      <w:r>
        <w:rPr>
          <w:rFonts w:hint="eastAsia" w:ascii="宋体" w:hAnsi="宋体"/>
          <w:color w:val="auto"/>
          <w:sz w:val="24"/>
          <w:highlight w:val="none"/>
        </w:rPr>
        <w:t>见第二章“采购项目及技术服务要求”</w:t>
      </w:r>
      <w:r>
        <w:rPr>
          <w:rFonts w:ascii="宋体" w:hAnsi="宋体"/>
          <w:color w:val="auto"/>
          <w:sz w:val="24"/>
          <w:highlight w:val="none"/>
        </w:rPr>
        <w:t>1.3.2</w:t>
      </w:r>
      <w:r>
        <w:rPr>
          <w:rFonts w:hint="eastAsia" w:ascii="宋体" w:hAnsi="宋体"/>
          <w:color w:val="auto"/>
          <w:sz w:val="24"/>
          <w:highlight w:val="none"/>
        </w:rPr>
        <w:t>项规定</w:t>
      </w:r>
    </w:p>
    <w:p w14:paraId="5C1F43EF">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 xml:space="preserve">3.5.7.2 </w:t>
      </w:r>
      <w:r>
        <w:rPr>
          <w:rFonts w:hint="eastAsia" w:ascii="宋体" w:hAnsi="宋体"/>
          <w:color w:val="auto"/>
          <w:sz w:val="24"/>
          <w:highlight w:val="none"/>
        </w:rPr>
        <w:t>谈判小组应当要求所有继续参加谈判的供应商在规定时间内提交最后报价，提交最后报价的供应商不得少于</w:t>
      </w:r>
      <w:r>
        <w:rPr>
          <w:rFonts w:ascii="宋体" w:hAnsi="宋体"/>
          <w:color w:val="auto"/>
          <w:sz w:val="24"/>
          <w:highlight w:val="none"/>
        </w:rPr>
        <w:t>3</w:t>
      </w:r>
      <w:r>
        <w:rPr>
          <w:rFonts w:hint="eastAsia" w:ascii="宋体" w:hAnsi="宋体"/>
          <w:color w:val="auto"/>
          <w:sz w:val="24"/>
          <w:highlight w:val="none"/>
        </w:rPr>
        <w:t>家。最后报价是投标文件（响应文件）的有效组成部分。</w:t>
      </w:r>
    </w:p>
    <w:p w14:paraId="6F1C1931">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3.5.8</w:t>
      </w:r>
      <w:r>
        <w:rPr>
          <w:rFonts w:hint="eastAsia" w:ascii="宋体" w:hAnsi="宋体"/>
          <w:color w:val="auto"/>
          <w:sz w:val="24"/>
          <w:highlight w:val="none"/>
        </w:rPr>
        <w:t xml:space="preserve"> 谈判文件的实质性变动影响到投标人因此无法继续参加谈判的，投标人可以在提交最后报价之前退出谈判。其响应文件按无效处理的投标人，所提交的最后报价也按无效处理。</w:t>
      </w:r>
    </w:p>
    <w:p w14:paraId="605380EC">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3.5.9</w:t>
      </w:r>
      <w:r>
        <w:rPr>
          <w:rFonts w:hint="eastAsia" w:ascii="宋体" w:hAnsi="宋体"/>
          <w:b/>
          <w:color w:val="auto"/>
          <w:sz w:val="24"/>
          <w:highlight w:val="none"/>
        </w:rPr>
        <w:t xml:space="preserve"> 投标人提交最后报价应在系统中填列。</w:t>
      </w:r>
    </w:p>
    <w:p w14:paraId="6EEA9266">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3.5.10</w:t>
      </w:r>
      <w:r>
        <w:rPr>
          <w:rFonts w:hint="eastAsia"/>
          <w:b/>
          <w:color w:val="auto"/>
          <w:sz w:val="24"/>
          <w:szCs w:val="24"/>
          <w:highlight w:val="none"/>
        </w:rPr>
        <w:t>本项目在开标后只进行一轮报价，即最后报价。网</w:t>
      </w:r>
      <w:r>
        <w:rPr>
          <w:b/>
          <w:color w:val="auto"/>
          <w:sz w:val="24"/>
          <w:szCs w:val="24"/>
          <w:highlight w:val="none"/>
        </w:rPr>
        <w:t>上交易系统中</w:t>
      </w:r>
      <w:r>
        <w:rPr>
          <w:rFonts w:hint="eastAsia"/>
          <w:b/>
          <w:color w:val="auto"/>
          <w:sz w:val="24"/>
          <w:szCs w:val="24"/>
          <w:highlight w:val="none"/>
        </w:rPr>
        <w:t>管理员发起最后报价后，</w:t>
      </w:r>
      <w:r>
        <w:rPr>
          <w:rFonts w:hint="eastAsia" w:ascii="宋体" w:hAnsi="宋体"/>
          <w:b/>
          <w:color w:val="auto"/>
          <w:sz w:val="24"/>
          <w:highlight w:val="none"/>
        </w:rPr>
        <w:t>如投标人未在指定时限内提交最后报价，视为该供应商根据谈判情况退出谈判。</w:t>
      </w:r>
    </w:p>
    <w:p w14:paraId="1BD57499">
      <w:pPr>
        <w:autoSpaceDE w:val="0"/>
        <w:autoSpaceDN w:val="0"/>
        <w:adjustRightInd w:val="0"/>
        <w:snapToGrid w:val="0"/>
        <w:spacing w:beforeLines="50" w:line="300" w:lineRule="auto"/>
        <w:ind w:firstLine="569" w:firstLineChars="236"/>
        <w:jc w:val="left"/>
        <w:rPr>
          <w:rFonts w:ascii="宋体" w:hAnsi="宋体"/>
          <w:b/>
          <w:color w:val="auto"/>
          <w:sz w:val="24"/>
          <w:highlight w:val="none"/>
        </w:rPr>
      </w:pPr>
      <w:r>
        <w:rPr>
          <w:rFonts w:ascii="宋体" w:hAnsi="宋体"/>
          <w:b/>
          <w:color w:val="auto"/>
          <w:sz w:val="24"/>
          <w:highlight w:val="none"/>
        </w:rPr>
        <w:t xml:space="preserve">3.5.11 </w:t>
      </w:r>
      <w:r>
        <w:rPr>
          <w:rFonts w:hint="eastAsia" w:ascii="宋体" w:hAnsi="宋体"/>
          <w:b/>
          <w:color w:val="auto"/>
          <w:sz w:val="24"/>
          <w:highlight w:val="none"/>
        </w:rPr>
        <w:t>投标人在网上报价过程中，如遇到网上投标系统的操作问题，可通过网上预留的咨询电话进行咨询。投标人因未按照要求进行操作、投标人办理的数字证书失效等其他自身原因导致响应文件错误或无效的，谈判小组将认定其为无效投</w:t>
      </w:r>
      <w:r>
        <w:rPr>
          <w:rFonts w:ascii="宋体" w:hAnsi="宋体"/>
          <w:b/>
          <w:color w:val="auto"/>
          <w:sz w:val="24"/>
          <w:highlight w:val="none"/>
        </w:rPr>
        <w:t>标</w:t>
      </w:r>
      <w:r>
        <w:rPr>
          <w:rFonts w:hint="eastAsia" w:ascii="宋体" w:hAnsi="宋体"/>
          <w:b/>
          <w:color w:val="auto"/>
          <w:sz w:val="24"/>
          <w:highlight w:val="none"/>
        </w:rPr>
        <w:t>。</w:t>
      </w:r>
    </w:p>
    <w:p w14:paraId="239E31AF">
      <w:pPr>
        <w:autoSpaceDE w:val="0"/>
        <w:autoSpaceDN w:val="0"/>
        <w:adjustRightInd w:val="0"/>
        <w:snapToGrid w:val="0"/>
        <w:spacing w:beforeLines="50" w:line="300" w:lineRule="auto"/>
        <w:ind w:firstLine="569" w:firstLineChars="236"/>
        <w:jc w:val="left"/>
        <w:rPr>
          <w:rFonts w:ascii="宋体"/>
          <w:color w:val="auto"/>
          <w:sz w:val="24"/>
          <w:highlight w:val="none"/>
        </w:rPr>
      </w:pPr>
      <w:r>
        <w:rPr>
          <w:rFonts w:ascii="黑体" w:hAnsi="黑体" w:eastAsia="黑体"/>
          <w:b/>
          <w:color w:val="auto"/>
          <w:sz w:val="24"/>
          <w:highlight w:val="none"/>
        </w:rPr>
        <w:t xml:space="preserve">3.6 </w:t>
      </w:r>
      <w:r>
        <w:rPr>
          <w:rFonts w:hint="eastAsia" w:ascii="黑体" w:hAnsi="黑体" w:eastAsia="黑体"/>
          <w:b/>
          <w:color w:val="auto"/>
          <w:sz w:val="24"/>
          <w:highlight w:val="none"/>
        </w:rPr>
        <w:t>复核</w:t>
      </w:r>
      <w:r>
        <w:rPr>
          <w:rFonts w:hint="eastAsia" w:ascii="宋体" w:hAnsi="宋体"/>
          <w:color w:val="auto"/>
          <w:sz w:val="24"/>
          <w:highlight w:val="none"/>
        </w:rPr>
        <w:t>：谈判小组对排名第一的、报价最低的、投标或相应文件被认定为无效的情形按谈判文件实质性要求进行重点复核。</w:t>
      </w:r>
    </w:p>
    <w:p w14:paraId="327F73FA">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3.7 </w:t>
      </w:r>
      <w:r>
        <w:rPr>
          <w:rFonts w:hint="eastAsia" w:ascii="黑体" w:hAnsi="黑体" w:eastAsia="黑体"/>
          <w:b/>
          <w:color w:val="auto"/>
          <w:sz w:val="24"/>
          <w:highlight w:val="none"/>
        </w:rPr>
        <w:t>评审结果</w:t>
      </w:r>
    </w:p>
    <w:p w14:paraId="2B1CA980">
      <w:pPr>
        <w:autoSpaceDE w:val="0"/>
        <w:autoSpaceDN w:val="0"/>
        <w:adjustRightInd w:val="0"/>
        <w:snapToGrid w:val="0"/>
        <w:spacing w:beforeLines="50" w:line="300" w:lineRule="auto"/>
        <w:ind w:firstLine="616" w:firstLineChars="257"/>
        <w:jc w:val="left"/>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 xml:space="preserve">7 </w:t>
      </w:r>
      <w:r>
        <w:rPr>
          <w:rFonts w:ascii="宋体" w:hAnsi="宋体"/>
          <w:color w:val="auto"/>
          <w:sz w:val="24"/>
          <w:highlight w:val="none"/>
        </w:rPr>
        <w:t>.1</w:t>
      </w:r>
      <w:r>
        <w:rPr>
          <w:rFonts w:hint="eastAsia" w:ascii="宋体" w:hAnsi="宋体"/>
          <w:color w:val="auto"/>
          <w:sz w:val="24"/>
          <w:highlight w:val="none"/>
        </w:rPr>
        <w:t xml:space="preserve"> 谈判小组从质量和服务均能满足谈判文件实质性响应要求的投标人中，按照报价（扣除经评审合格的“价格扣除”，见本章第</w:t>
      </w:r>
      <w:r>
        <w:rPr>
          <w:rFonts w:ascii="宋体" w:hAnsi="宋体"/>
          <w:color w:val="auto"/>
          <w:sz w:val="24"/>
          <w:highlight w:val="none"/>
        </w:rPr>
        <w:t>4</w:t>
      </w:r>
      <w:r>
        <w:rPr>
          <w:rFonts w:hint="eastAsia" w:ascii="宋体" w:hAnsi="宋体"/>
          <w:color w:val="auto"/>
          <w:sz w:val="24"/>
          <w:highlight w:val="none"/>
        </w:rPr>
        <w:t>条）由低到高的顺序提出</w:t>
      </w:r>
      <w:r>
        <w:rPr>
          <w:rFonts w:ascii="宋体" w:hAnsi="宋体"/>
          <w:color w:val="auto"/>
          <w:sz w:val="24"/>
          <w:highlight w:val="none"/>
        </w:rPr>
        <w:t>3</w:t>
      </w:r>
      <w:r>
        <w:rPr>
          <w:rFonts w:hint="eastAsia" w:ascii="宋体" w:hAnsi="宋体"/>
          <w:color w:val="auto"/>
          <w:sz w:val="24"/>
          <w:highlight w:val="none"/>
        </w:rPr>
        <w:t>名以上成交候选人，并编写书面评审报告。</w:t>
      </w:r>
    </w:p>
    <w:p w14:paraId="0B62373B">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7</w:t>
      </w:r>
      <w:r>
        <w:rPr>
          <w:rFonts w:ascii="宋体" w:hAnsi="宋体"/>
          <w:color w:val="auto"/>
          <w:sz w:val="24"/>
          <w:highlight w:val="none"/>
        </w:rPr>
        <w:t xml:space="preserve">.2 </w:t>
      </w:r>
      <w:r>
        <w:rPr>
          <w:rFonts w:hint="eastAsia" w:ascii="宋体" w:hAnsi="宋体"/>
          <w:color w:val="auto"/>
          <w:sz w:val="24"/>
          <w:highlight w:val="none"/>
        </w:rPr>
        <w:t>确定成交供应商：按第三章“投标人须知前附表”</w:t>
      </w:r>
      <w:r>
        <w:rPr>
          <w:rFonts w:ascii="宋体" w:hAnsi="宋体"/>
          <w:color w:val="auto"/>
          <w:sz w:val="24"/>
          <w:highlight w:val="none"/>
        </w:rPr>
        <w:t>7.1</w:t>
      </w:r>
      <w:r>
        <w:rPr>
          <w:rFonts w:hint="eastAsia" w:ascii="宋体" w:hAnsi="宋体"/>
          <w:color w:val="auto"/>
          <w:sz w:val="24"/>
          <w:highlight w:val="none"/>
        </w:rPr>
        <w:t>款规定及本章第</w:t>
      </w:r>
      <w:r>
        <w:rPr>
          <w:rFonts w:ascii="宋体" w:hAnsi="宋体"/>
          <w:color w:val="auto"/>
          <w:sz w:val="24"/>
          <w:highlight w:val="none"/>
        </w:rPr>
        <w:t>1</w:t>
      </w:r>
      <w:r>
        <w:rPr>
          <w:rFonts w:hint="eastAsia" w:ascii="宋体" w:hAnsi="宋体"/>
          <w:color w:val="auto"/>
          <w:sz w:val="24"/>
          <w:highlight w:val="none"/>
        </w:rPr>
        <w:t>条规定。</w:t>
      </w:r>
    </w:p>
    <w:p w14:paraId="04F795BA">
      <w:pPr>
        <w:autoSpaceDE w:val="0"/>
        <w:autoSpaceDN w:val="0"/>
        <w:adjustRightInd w:val="0"/>
        <w:snapToGrid w:val="0"/>
        <w:spacing w:beforeLines="50" w:line="300" w:lineRule="auto"/>
        <w:ind w:firstLine="569" w:firstLineChars="236"/>
        <w:jc w:val="left"/>
        <w:rPr>
          <w:rFonts w:ascii="黑体" w:hAnsi="黑体" w:eastAsia="黑体"/>
          <w:b/>
          <w:color w:val="auto"/>
          <w:sz w:val="24"/>
          <w:highlight w:val="none"/>
        </w:rPr>
      </w:pPr>
      <w:r>
        <w:rPr>
          <w:rFonts w:ascii="黑体" w:hAnsi="黑体" w:eastAsia="黑体"/>
          <w:b/>
          <w:color w:val="auto"/>
          <w:sz w:val="24"/>
          <w:highlight w:val="none"/>
        </w:rPr>
        <w:t xml:space="preserve">3.8 </w:t>
      </w:r>
      <w:r>
        <w:rPr>
          <w:rFonts w:hint="eastAsia" w:ascii="黑体" w:hAnsi="黑体" w:eastAsia="黑体"/>
          <w:b/>
          <w:color w:val="auto"/>
          <w:sz w:val="24"/>
          <w:highlight w:val="none"/>
        </w:rPr>
        <w:t>谈判终止</w:t>
      </w:r>
    </w:p>
    <w:p w14:paraId="208587A3">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8</w:t>
      </w:r>
      <w:r>
        <w:rPr>
          <w:rFonts w:ascii="宋体" w:hAnsi="宋体"/>
          <w:color w:val="auto"/>
          <w:sz w:val="24"/>
          <w:highlight w:val="none"/>
        </w:rPr>
        <w:t xml:space="preserve">.1 </w:t>
      </w:r>
      <w:r>
        <w:rPr>
          <w:rFonts w:hint="eastAsia" w:ascii="宋体" w:hAnsi="宋体"/>
          <w:color w:val="auto"/>
          <w:sz w:val="24"/>
          <w:highlight w:val="none"/>
        </w:rPr>
        <w:t>出现下列情形之一的，终止竞争性谈判活动：</w:t>
      </w:r>
    </w:p>
    <w:p w14:paraId="6639F5AE">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）因情况变化，不再符合规定的竞争性谈判方式适用情形的；</w:t>
      </w:r>
    </w:p>
    <w:p w14:paraId="786A790B">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）出现影响采购公正的违法、违规行为的；</w:t>
      </w:r>
    </w:p>
    <w:p w14:paraId="4C0B4EF0">
      <w:pPr>
        <w:autoSpaceDE w:val="0"/>
        <w:autoSpaceDN w:val="0"/>
        <w:adjustRightInd w:val="0"/>
        <w:snapToGrid w:val="0"/>
        <w:spacing w:line="300" w:lineRule="auto"/>
        <w:ind w:firstLine="566" w:firstLineChars="236"/>
        <w:jc w:val="left"/>
        <w:rPr>
          <w:rFonts w:ascii="宋体"/>
          <w:color w:val="auto"/>
          <w:sz w:val="24"/>
          <w:highlight w:val="none"/>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）在采购过程中符合竞争要求的供应商或者报价未超过预算金额的供应商不足</w:t>
      </w:r>
      <w:r>
        <w:rPr>
          <w:rFonts w:ascii="宋体" w:hAnsi="宋体"/>
          <w:color w:val="auto"/>
          <w:sz w:val="24"/>
          <w:highlight w:val="none"/>
        </w:rPr>
        <w:t>3</w:t>
      </w:r>
      <w:r>
        <w:rPr>
          <w:rFonts w:hint="eastAsia" w:ascii="宋体" w:hAnsi="宋体"/>
          <w:color w:val="auto"/>
          <w:sz w:val="24"/>
          <w:highlight w:val="none"/>
        </w:rPr>
        <w:t>家的。</w:t>
      </w:r>
    </w:p>
    <w:p w14:paraId="4ED3897F">
      <w:pPr>
        <w:autoSpaceDE w:val="0"/>
        <w:autoSpaceDN w:val="0"/>
        <w:adjustRightInd w:val="0"/>
        <w:snapToGrid w:val="0"/>
        <w:spacing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rPr>
        <w:t>）在采购活动中因重大变故，采购任务取消的</w:t>
      </w:r>
      <w:r>
        <w:rPr>
          <w:rFonts w:ascii="宋体" w:hAnsi="宋体"/>
          <w:color w:val="auto"/>
          <w:sz w:val="24"/>
          <w:highlight w:val="none"/>
        </w:rPr>
        <w:t>.</w:t>
      </w:r>
    </w:p>
    <w:p w14:paraId="49F594A4">
      <w:pPr>
        <w:autoSpaceDE w:val="0"/>
        <w:autoSpaceDN w:val="0"/>
        <w:adjustRightInd w:val="0"/>
        <w:snapToGrid w:val="0"/>
        <w:spacing w:beforeLines="50" w:line="300" w:lineRule="auto"/>
        <w:ind w:firstLine="566" w:firstLineChars="236"/>
        <w:jc w:val="left"/>
        <w:rPr>
          <w:rFonts w:ascii="宋体"/>
          <w:color w:val="auto"/>
          <w:sz w:val="24"/>
          <w:highlight w:val="none"/>
        </w:rPr>
      </w:pPr>
      <w:r>
        <w:rPr>
          <w:rFonts w:ascii="宋体" w:hAnsi="宋体"/>
          <w:color w:val="auto"/>
          <w:sz w:val="24"/>
          <w:highlight w:val="none"/>
        </w:rPr>
        <w:t>3.</w:t>
      </w:r>
      <w:r>
        <w:rPr>
          <w:rFonts w:hint="eastAsia" w:ascii="宋体" w:hAnsi="宋体"/>
          <w:color w:val="auto"/>
          <w:sz w:val="24"/>
          <w:highlight w:val="none"/>
        </w:rPr>
        <w:t>8</w:t>
      </w:r>
      <w:r>
        <w:rPr>
          <w:rFonts w:ascii="宋体" w:hAnsi="宋体"/>
          <w:color w:val="auto"/>
          <w:sz w:val="24"/>
          <w:highlight w:val="none"/>
        </w:rPr>
        <w:t xml:space="preserve">.2 </w:t>
      </w:r>
      <w:r>
        <w:rPr>
          <w:rFonts w:hint="eastAsia" w:ascii="宋体" w:hAnsi="宋体"/>
          <w:color w:val="auto"/>
          <w:sz w:val="24"/>
          <w:highlight w:val="none"/>
        </w:rPr>
        <w:t>谈判小组要在采购项目（标段</w:t>
      </w:r>
      <w:r>
        <w:rPr>
          <w:rFonts w:hint="eastAsia" w:ascii="宋体" w:hAnsi="宋体" w:cs="楷体_GB2312"/>
          <w:color w:val="auto"/>
          <w:sz w:val="24"/>
          <w:highlight w:val="none"/>
          <w:lang w:val="zh-CN"/>
        </w:rPr>
        <w:t>&lt;包&gt;</w:t>
      </w:r>
      <w:r>
        <w:rPr>
          <w:rFonts w:hint="eastAsia" w:ascii="宋体" w:hAnsi="宋体"/>
          <w:color w:val="auto"/>
          <w:sz w:val="24"/>
          <w:highlight w:val="none"/>
        </w:rPr>
        <w:t>）谈判失败时，出具谈判文件是否存在不合理条款的论证意见，要协助采购人、采购代理机构、财政部门答复质疑或处理投诉事项。　</w:t>
      </w:r>
    </w:p>
    <w:p w14:paraId="5C28DFF8">
      <w:pPr>
        <w:autoSpaceDE w:val="0"/>
        <w:autoSpaceDN w:val="0"/>
        <w:adjustRightInd w:val="0"/>
        <w:snapToGrid w:val="0"/>
        <w:spacing w:beforeLines="50" w:line="300" w:lineRule="auto"/>
        <w:ind w:firstLine="566" w:firstLineChars="236"/>
        <w:jc w:val="left"/>
        <w:rPr>
          <w:rFonts w:ascii="宋体"/>
          <w:color w:val="auto"/>
          <w:sz w:val="24"/>
          <w:highlight w:val="none"/>
        </w:rPr>
      </w:pPr>
    </w:p>
    <w:p w14:paraId="18EEB89A">
      <w:pPr>
        <w:pStyle w:val="48"/>
        <w:snapToGrid w:val="0"/>
        <w:spacing w:beforeLines="50" w:line="300" w:lineRule="auto"/>
        <w:ind w:firstLine="422" w:firstLineChars="150"/>
        <w:jc w:val="both"/>
        <w:outlineLvl w:val="1"/>
        <w:rPr>
          <w:rFonts w:ascii="黑体" w:hAnsi="黑体" w:eastAsia="黑体" w:cs="楷体_GB2312"/>
          <w:b/>
          <w:bCs/>
          <w:color w:val="auto"/>
          <w:sz w:val="28"/>
          <w:szCs w:val="28"/>
          <w:highlight w:val="none"/>
          <w:lang w:val="zh-CN"/>
        </w:rPr>
      </w:pPr>
      <w:bookmarkStart w:id="46" w:name="_Toc60844012"/>
      <w:bookmarkStart w:id="47" w:name="_Toc209083646"/>
      <w:r>
        <w:rPr>
          <w:rFonts w:ascii="黑体" w:hAnsi="黑体" w:eastAsia="黑体" w:cs="楷体_GB2312"/>
          <w:b/>
          <w:bCs/>
          <w:color w:val="auto"/>
          <w:sz w:val="28"/>
          <w:szCs w:val="28"/>
          <w:highlight w:val="none"/>
          <w:lang w:val="zh-CN"/>
        </w:rPr>
        <w:t xml:space="preserve">4. </w:t>
      </w:r>
      <w:r>
        <w:rPr>
          <w:rFonts w:hint="eastAsia" w:ascii="黑体" w:hAnsi="黑体" w:eastAsia="黑体" w:cs="楷体_GB2312"/>
          <w:b/>
          <w:bCs/>
          <w:color w:val="auto"/>
          <w:sz w:val="28"/>
          <w:szCs w:val="28"/>
          <w:highlight w:val="none"/>
          <w:lang w:val="zh-CN"/>
        </w:rPr>
        <w:t>政府采购促进中小企业发展扶持政策</w:t>
      </w:r>
      <w:bookmarkEnd w:id="46"/>
      <w:bookmarkEnd w:id="47"/>
    </w:p>
    <w:p w14:paraId="2C02FD96">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4.1</w:t>
      </w:r>
      <w:r>
        <w:rPr>
          <w:rFonts w:ascii="宋体" w:hAnsi="宋体"/>
          <w:color w:val="auto"/>
          <w:sz w:val="24"/>
          <w:highlight w:val="none"/>
        </w:rPr>
        <w:t>在政府采购活动中，供应商提供的货物、工程或者服务符合下列情形的， 享受</w:t>
      </w:r>
      <w:r>
        <w:rPr>
          <w:rFonts w:hint="eastAsia" w:ascii="宋体" w:hAnsi="宋体"/>
          <w:color w:val="auto"/>
          <w:sz w:val="24"/>
          <w:highlight w:val="none"/>
        </w:rPr>
        <w:t>《政府采购促进中小企业发展管理办法》</w:t>
      </w:r>
      <w:r>
        <w:rPr>
          <w:rFonts w:ascii="宋体" w:hAnsi="宋体"/>
          <w:color w:val="auto"/>
          <w:sz w:val="24"/>
          <w:highlight w:val="none"/>
        </w:rPr>
        <w:t>规定的中小企业扶持政策：</w:t>
      </w:r>
      <w:r>
        <w:rPr>
          <w:rFonts w:ascii="宋体" w:hAnsi="宋体"/>
          <w:color w:val="auto"/>
          <w:sz w:val="24"/>
          <w:highlight w:val="none"/>
        </w:rPr>
        <w:br w:type="textWrapping"/>
      </w:r>
      <w:r>
        <w:rPr>
          <w:rFonts w:ascii="宋体" w:hAnsi="宋体"/>
          <w:color w:val="auto"/>
          <w:sz w:val="24"/>
          <w:highlight w:val="none"/>
        </w:rPr>
        <w:t>（一） 在货物采购项目中，货物由中小企业制造，即货物由中小企业生产且使用该中小企业商号或者注册商标；</w:t>
      </w:r>
      <w:r>
        <w:rPr>
          <w:rFonts w:ascii="宋体" w:hAnsi="宋体"/>
          <w:color w:val="auto"/>
          <w:sz w:val="24"/>
          <w:highlight w:val="none"/>
        </w:rPr>
        <w:br w:type="textWrapping"/>
      </w:r>
      <w:r>
        <w:rPr>
          <w:rFonts w:ascii="宋体" w:hAnsi="宋体"/>
          <w:color w:val="auto"/>
          <w:sz w:val="24"/>
          <w:highlight w:val="none"/>
        </w:rPr>
        <w:t>（二） 在工程采购项目中，工程由中小企业承建，即工程施工单位为中小企业；</w:t>
      </w:r>
      <w:r>
        <w:rPr>
          <w:rFonts w:ascii="宋体" w:hAnsi="宋体"/>
          <w:color w:val="auto"/>
          <w:sz w:val="24"/>
          <w:highlight w:val="none"/>
        </w:rPr>
        <w:br w:type="textWrapping"/>
      </w:r>
      <w:r>
        <w:rPr>
          <w:rFonts w:ascii="宋体" w:hAnsi="宋体"/>
          <w:color w:val="auto"/>
          <w:sz w:val="24"/>
          <w:highlight w:val="none"/>
        </w:rPr>
        <w:t>（三）在服务采购项目中，服务由中小企业承接，即提供服务的人员为中小企业依照《中华人民共和国劳动合同法》订立劳动合同的从业人员</w:t>
      </w:r>
      <w:r>
        <w:rPr>
          <w:rFonts w:hint="eastAsia" w:ascii="宋体" w:hAnsi="宋体"/>
          <w:color w:val="auto"/>
          <w:sz w:val="24"/>
          <w:highlight w:val="none"/>
        </w:rPr>
        <w:t>。</w:t>
      </w:r>
    </w:p>
    <w:p w14:paraId="563BA4C0">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在货物采购项目中，供应商提供的货物既有中小企业制造货物，也有大型企业制造货物的，不享受中小企业扶持政策。</w:t>
      </w:r>
      <w:r>
        <w:rPr>
          <w:rFonts w:ascii="宋体" w:hAnsi="宋体"/>
          <w:color w:val="auto"/>
          <w:sz w:val="24"/>
          <w:highlight w:val="none"/>
        </w:rPr>
        <w:br w:type="textWrapping"/>
      </w:r>
      <w:r>
        <w:rPr>
          <w:rFonts w:ascii="宋体" w:hAnsi="宋体"/>
          <w:color w:val="auto"/>
          <w:sz w:val="24"/>
          <w:highlight w:val="none"/>
        </w:rPr>
        <w:t>以联合体形式参加政府采购活动，联合体各方均为中小企业的，联合体视同中小企业。其中，联合体各方均为小微企业的，联合体视同小微企业。</w:t>
      </w:r>
    </w:p>
    <w:p w14:paraId="21BCA5A7">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4.2 符合中小企业划分标准的个体工商户，在政府采购活动中视同中小企业。</w:t>
      </w:r>
    </w:p>
    <w:p w14:paraId="73869C4E">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3监狱企业、符合法</w:t>
      </w:r>
      <w:r>
        <w:rPr>
          <w:rFonts w:ascii="宋体" w:hAnsi="宋体"/>
          <w:color w:val="auto"/>
          <w:sz w:val="24"/>
          <w:highlight w:val="none"/>
        </w:rPr>
        <w:t>定</w:t>
      </w:r>
      <w:r>
        <w:rPr>
          <w:rFonts w:hint="eastAsia" w:ascii="宋体" w:hAnsi="宋体"/>
          <w:color w:val="auto"/>
          <w:sz w:val="24"/>
          <w:highlight w:val="none"/>
        </w:rPr>
        <w:t>条件的残疾人福利性单位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符合法定条件的残疾人福利性单位提供财库〔2017〕141号规定的《残疾人福利性单位声明函》，残疾人福利性单位属于小型、微型企业的，不重复享受政策。</w:t>
      </w:r>
    </w:p>
    <w:p w14:paraId="21123ED3">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3</w:t>
      </w:r>
      <w:r>
        <w:rPr>
          <w:rFonts w:ascii="宋体" w:hAnsi="宋体"/>
          <w:color w:val="auto"/>
          <w:sz w:val="24"/>
          <w:highlight w:val="none"/>
        </w:rPr>
        <w:t>.1</w:t>
      </w:r>
      <w:r>
        <w:rPr>
          <w:rFonts w:hint="eastAsia" w:ascii="宋体" w:hAnsi="宋体"/>
          <w:color w:val="auto"/>
          <w:sz w:val="24"/>
          <w:highlight w:val="none"/>
        </w:rPr>
        <w:t xml:space="preserve"> 享受政府采购支持政策的残疾人福利性单位应当同时满足以下条件：</w:t>
      </w:r>
    </w:p>
    <w:p w14:paraId="10B1FDF6">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（1）安置的残疾人占本单位在职职工人数的比例不低于25%（含25%），并且安置的残疾人人数不少于10人（含10人）；</w:t>
      </w:r>
    </w:p>
    <w:p w14:paraId="20410FDB">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（2）依法与安置的每位残疾人签订了一年以上（含一年）的劳动合同或服务协议；</w:t>
      </w:r>
    </w:p>
    <w:p w14:paraId="2A092396">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（3）为安置的每位残疾人按月足额缴纳了基本养老保险、基本医疗保险、失业保险、工伤保险和生育保险等社会保险费；</w:t>
      </w:r>
    </w:p>
    <w:p w14:paraId="015F798A">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（4）通过银行等金融机构向安置的每位残疾人，按月支付了不低于单位所在区县适用的经省级人民政府批准的月最低工资标准的工资；</w:t>
      </w:r>
    </w:p>
    <w:p w14:paraId="6A93D2C7">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（5）提供本单位制造的货物、承担的工程或者服务（以下简称产品），或者提供其他残疾人福利性单位制造的货物（不包括使用非残疾人福利性单位注册商标的货物）。</w:t>
      </w:r>
    </w:p>
    <w:p w14:paraId="4C561F71">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7B4D3E2">
      <w:pPr>
        <w:autoSpaceDE w:val="0"/>
        <w:autoSpaceDN w:val="0"/>
        <w:adjustRightInd w:val="0"/>
        <w:snapToGrid w:val="0"/>
        <w:spacing w:beforeLines="50" w:line="300" w:lineRule="auto"/>
        <w:ind w:firstLine="539"/>
        <w:rPr>
          <w:rFonts w:ascii="宋体" w:hAnsi="宋体"/>
          <w:color w:val="auto"/>
          <w:sz w:val="24"/>
          <w:szCs w:val="22"/>
          <w:highlight w:val="none"/>
        </w:rPr>
      </w:pPr>
      <w:r>
        <w:rPr>
          <w:rFonts w:hint="eastAsia" w:ascii="宋体" w:hAnsi="宋体"/>
          <w:color w:val="auto"/>
          <w:sz w:val="24"/>
          <w:highlight w:val="none"/>
        </w:rPr>
        <w:t xml:space="preserve">4.4 </w:t>
      </w:r>
      <w:r>
        <w:rPr>
          <w:rFonts w:hint="eastAsia"/>
          <w:color w:val="auto"/>
          <w:sz w:val="24"/>
          <w:szCs w:val="24"/>
          <w:highlight w:val="none"/>
        </w:rPr>
        <w:t>参加</w:t>
      </w:r>
      <w:r>
        <w:rPr>
          <w:rFonts w:hint="eastAsia" w:ascii="宋体" w:hAnsi="宋体"/>
          <w:color w:val="auto"/>
          <w:sz w:val="24"/>
          <w:highlight w:val="none"/>
        </w:rPr>
        <w:t>本次政府采购项目的中小企业应按附件格式提供《中小企业声明函》。</w:t>
      </w:r>
      <w:r>
        <w:rPr>
          <w:rFonts w:hint="eastAsia" w:ascii="宋体" w:hAnsi="宋体" w:cs="宋体"/>
          <w:color w:val="auto"/>
          <w:sz w:val="24"/>
          <w:szCs w:val="24"/>
          <w:highlight w:val="none"/>
        </w:rPr>
        <w:t>如谈判文件接受以联合体形式参加投标的，联合体各方均应按附件格式提供《中小企业声明函》。</w:t>
      </w:r>
    </w:p>
    <w:p w14:paraId="566F7768">
      <w:pPr>
        <w:autoSpaceDE w:val="0"/>
        <w:autoSpaceDN w:val="0"/>
        <w:adjustRightInd w:val="0"/>
        <w:snapToGrid w:val="0"/>
        <w:spacing w:beforeLines="50"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供应商按照财库〔2020〕46号规定及谈判文件要求提供声明函内容不实的，属于提供虚假材料谋取中标、成交，依照《中华人民共和国政府采购法》等国家有关规定追究相应责任。</w:t>
      </w:r>
    </w:p>
    <w:p w14:paraId="50A39EA0">
      <w:pPr>
        <w:autoSpaceDE w:val="0"/>
        <w:autoSpaceDN w:val="0"/>
        <w:adjustRightInd w:val="0"/>
        <w:snapToGrid w:val="0"/>
        <w:spacing w:beforeLines="50"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4.5 《政府采购促进中小企业发展管理办法》各项中小企业扶持政策中，价格扣除扶持政策仅小型、微型企业适用。</w:t>
      </w:r>
    </w:p>
    <w:p w14:paraId="4A359058">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4.6 小微企业价格扣除扶持政策：</w:t>
      </w:r>
    </w:p>
    <w:p w14:paraId="517CD836">
      <w:pPr>
        <w:adjustRightInd w:val="0"/>
        <w:snapToGrid w:val="0"/>
        <w:spacing w:beforeLines="50" w:line="300" w:lineRule="auto"/>
        <w:ind w:firstLine="600" w:firstLineChars="250"/>
        <w:rPr>
          <w:rFonts w:ascii="宋体" w:hAnsi="宋体"/>
          <w:color w:val="auto"/>
          <w:sz w:val="24"/>
          <w:szCs w:val="24"/>
          <w:highlight w:val="none"/>
        </w:rPr>
      </w:pPr>
      <w:r>
        <w:rPr>
          <w:rFonts w:hint="eastAsia" w:ascii="宋体" w:hAnsi="宋体"/>
          <w:color w:val="auto"/>
          <w:sz w:val="24"/>
          <w:szCs w:val="24"/>
          <w:highlight w:val="none"/>
        </w:rPr>
        <w:t>4.6.1本次政府采购项目对符合《政府采购促进中小企业发展管理办法》小型和微型企业的报价给予20%的扣除，用扣除后的价格参与评审。</w:t>
      </w:r>
    </w:p>
    <w:p w14:paraId="3CE59D20">
      <w:pPr>
        <w:autoSpaceDE w:val="0"/>
        <w:autoSpaceDN w:val="0"/>
        <w:adjustRightInd w:val="0"/>
        <w:snapToGrid w:val="0"/>
        <w:spacing w:beforeLines="50" w:line="300" w:lineRule="auto"/>
        <w:ind w:firstLine="684" w:firstLineChars="285"/>
        <w:jc w:val="left"/>
        <w:rPr>
          <w:rFonts w:ascii="宋体" w:hAnsi="宋体"/>
          <w:color w:val="auto"/>
          <w:sz w:val="24"/>
          <w:highlight w:val="none"/>
        </w:rPr>
      </w:pPr>
      <w:r>
        <w:rPr>
          <w:rFonts w:hint="eastAsia" w:ascii="宋体" w:hAnsi="宋体"/>
          <w:color w:val="auto"/>
          <w:sz w:val="24"/>
          <w:highlight w:val="none"/>
        </w:rPr>
        <w:t>（1）投标人所投货物均由小型和微型企业制造，享受小微企业价格扣除扶持政策。</w:t>
      </w:r>
    </w:p>
    <w:p w14:paraId="0C0E4A68">
      <w:pPr>
        <w:autoSpaceDE w:val="0"/>
        <w:autoSpaceDN w:val="0"/>
        <w:adjustRightInd w:val="0"/>
        <w:snapToGrid w:val="0"/>
        <w:spacing w:beforeLines="50" w:line="300" w:lineRule="auto"/>
        <w:ind w:firstLine="684" w:firstLineChars="285"/>
        <w:jc w:val="left"/>
        <w:rPr>
          <w:rFonts w:ascii="宋体" w:hAnsi="宋体"/>
          <w:color w:val="auto"/>
          <w:sz w:val="24"/>
          <w:szCs w:val="22"/>
          <w:highlight w:val="none"/>
        </w:rPr>
      </w:pPr>
      <w:r>
        <w:rPr>
          <w:rFonts w:hint="eastAsia" w:ascii="宋体" w:hAnsi="宋体"/>
          <w:color w:val="auto"/>
          <w:sz w:val="24"/>
          <w:highlight w:val="none"/>
        </w:rPr>
        <w:t>（2）投标人所投货物既有小型和微型企业制造，也有中型企业制造或大型企业制造的，不享受小微企业价格扣除扶持政策。</w:t>
      </w:r>
    </w:p>
    <w:p w14:paraId="5E24B0CE">
      <w:pPr>
        <w:adjustRightInd w:val="0"/>
        <w:snapToGrid w:val="0"/>
        <w:spacing w:beforeLines="50" w:line="300" w:lineRule="auto"/>
        <w:ind w:firstLine="600" w:firstLineChars="250"/>
        <w:rPr>
          <w:rFonts w:ascii="宋体" w:hAnsi="宋体"/>
          <w:color w:val="auto"/>
          <w:sz w:val="24"/>
          <w:highlight w:val="none"/>
        </w:rPr>
      </w:pPr>
      <w:r>
        <w:rPr>
          <w:rFonts w:hint="eastAsia" w:ascii="宋体" w:hAnsi="宋体"/>
          <w:color w:val="auto"/>
          <w:sz w:val="24"/>
          <w:szCs w:val="24"/>
          <w:highlight w:val="none"/>
        </w:rPr>
        <w:t>4.6.2</w:t>
      </w:r>
      <w:r>
        <w:rPr>
          <w:rFonts w:hint="eastAsia" w:ascii="宋体" w:hAnsi="宋体"/>
          <w:color w:val="auto"/>
          <w:sz w:val="24"/>
          <w:highlight w:val="none"/>
        </w:rPr>
        <w:t>如谈判文件接受大中型企业与小微企业组成联合体或者允许大中型企业向一家或者多家小微企业分包时，联合协议或分包意向协议约定小微型企业的合同份额占到合同总金额30%以上的，给予联合体或大中型企业6%的价格扣除，用扣除后的价格参加评审。</w:t>
      </w:r>
    </w:p>
    <w:p w14:paraId="6BE385EA">
      <w:pPr>
        <w:adjustRightInd w:val="0"/>
        <w:snapToGrid w:val="0"/>
        <w:spacing w:beforeLines="50" w:line="300" w:lineRule="auto"/>
        <w:ind w:firstLine="600" w:firstLineChars="250"/>
        <w:rPr>
          <w:rFonts w:ascii="宋体" w:hAnsi="宋体"/>
          <w:color w:val="auto"/>
          <w:sz w:val="24"/>
          <w:highlight w:val="none"/>
        </w:rPr>
      </w:pPr>
      <w:r>
        <w:rPr>
          <w:rFonts w:hint="eastAsia" w:ascii="宋体" w:hAnsi="宋体"/>
          <w:color w:val="auto"/>
          <w:sz w:val="24"/>
          <w:highlight w:val="none"/>
        </w:rPr>
        <w:t>组成联合体或者接受分包合同的中小企业与联合体内其他企业、分包企业之间不得存在直接控股、管理关系。</w:t>
      </w:r>
    </w:p>
    <w:p w14:paraId="6449FC87">
      <w:pPr>
        <w:adjustRightInd w:val="0"/>
        <w:snapToGrid w:val="0"/>
        <w:spacing w:beforeLines="50" w:line="300" w:lineRule="auto"/>
        <w:ind w:firstLine="600" w:firstLineChars="250"/>
        <w:rPr>
          <w:rFonts w:ascii="宋体" w:hAnsi="宋体"/>
          <w:color w:val="auto"/>
          <w:sz w:val="24"/>
          <w:szCs w:val="24"/>
          <w:highlight w:val="none"/>
        </w:rPr>
      </w:pPr>
      <w:r>
        <w:rPr>
          <w:rFonts w:hint="eastAsia" w:ascii="宋体" w:hAnsi="宋体"/>
          <w:color w:val="auto"/>
          <w:sz w:val="24"/>
          <w:szCs w:val="24"/>
          <w:highlight w:val="none"/>
        </w:rPr>
        <w:t>4.6.3价格扣除比例或者价格分加分比例对小型企业和微型企业同等对待，不作区分。</w:t>
      </w:r>
    </w:p>
    <w:p w14:paraId="61FFD905">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7 谈判小组对投标人申报的小型和微型企业价格扣除事项进行评审。鉴于小微企业价格扣除政策与合同执行价格无关，为避免投标人申报价格扣除事项的随意性，故特别规定：</w:t>
      </w:r>
    </w:p>
    <w:p w14:paraId="02A45712">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）谈判小组对投标人申报的小型和微型企业价格扣除事项的评审结论，分为合格与不合格。</w:t>
      </w:r>
    </w:p>
    <w:p w14:paraId="252832E0">
      <w:pPr>
        <w:autoSpaceDE w:val="0"/>
        <w:autoSpaceDN w:val="0"/>
        <w:adjustRightInd w:val="0"/>
        <w:snapToGrid w:val="0"/>
        <w:spacing w:beforeLines="50" w:line="300" w:lineRule="auto"/>
        <w:ind w:firstLine="600" w:firstLineChars="250"/>
        <w:jc w:val="left"/>
        <w:rPr>
          <w:rFonts w:ascii="宋体" w:hAnsi="宋体"/>
          <w:color w:val="auto"/>
          <w:sz w:val="24"/>
          <w:highlight w:val="none"/>
        </w:rPr>
      </w:pPr>
      <w:r>
        <w:rPr>
          <w:rFonts w:hint="eastAsia" w:ascii="宋体" w:hAnsi="宋体"/>
          <w:color w:val="auto"/>
          <w:sz w:val="24"/>
          <w:highlight w:val="none"/>
        </w:rPr>
        <w:t>（2） A.投标人所投货物均由小型和微型企业制造，享受小微企业价格扣除扶持政策。</w:t>
      </w:r>
    </w:p>
    <w:p w14:paraId="68A6ABF8">
      <w:pPr>
        <w:autoSpaceDE w:val="0"/>
        <w:autoSpaceDN w:val="0"/>
        <w:adjustRightInd w:val="0"/>
        <w:snapToGrid w:val="0"/>
        <w:spacing w:beforeLines="50" w:line="300" w:lineRule="auto"/>
        <w:ind w:firstLine="684" w:firstLineChars="285"/>
        <w:jc w:val="left"/>
        <w:rPr>
          <w:rFonts w:ascii="宋体" w:hAnsi="宋体"/>
          <w:color w:val="auto"/>
          <w:sz w:val="24"/>
          <w:highlight w:val="none"/>
        </w:rPr>
      </w:pPr>
      <w:r>
        <w:rPr>
          <w:rFonts w:hint="eastAsia" w:ascii="宋体" w:hAnsi="宋体"/>
          <w:color w:val="auto"/>
          <w:sz w:val="24"/>
          <w:highlight w:val="none"/>
        </w:rPr>
        <w:t>B.投标人所投货物既有小型和微型企业制造，也有中型企业制造或大型企业制造的，不享受小微企业价格扣除扶持政策。</w:t>
      </w:r>
    </w:p>
    <w:p w14:paraId="17A5C3CE">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3）经评审，申报的小微价格扣除事项缺失中小企业声明函、中小企业声明函含有大型中型企业制造产品、中小企业声明函中少列产品、《中小企业声明函》中产品承诺与投标产品不一致、联合协议或分包意向协议不符合中小企业价格扣除规定等任一不符合政策要求及不准确的事项，谈判小组均将评审为不合格，该投标人申报的价格扣除事项不予接受、为</w:t>
      </w:r>
      <w:r>
        <w:rPr>
          <w:rFonts w:ascii="宋体" w:hAnsi="宋体"/>
          <w:color w:val="auto"/>
          <w:sz w:val="24"/>
          <w:highlight w:val="none"/>
        </w:rPr>
        <w:t>0</w:t>
      </w:r>
      <w:r>
        <w:rPr>
          <w:rFonts w:hint="eastAsia" w:ascii="宋体" w:hAnsi="宋体"/>
          <w:color w:val="auto"/>
          <w:sz w:val="24"/>
          <w:highlight w:val="none"/>
        </w:rPr>
        <w:t>。</w:t>
      </w:r>
    </w:p>
    <w:p w14:paraId="4797B543">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提供虚假材料的为无效投标、并承担相应的法律责任。</w:t>
      </w:r>
    </w:p>
    <w:p w14:paraId="1AC570FE">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（4）评审合格的，接受其申报的小型和微型企业价格扣除（最后报价的价格扣除），用扣除后的价格参与评审。</w:t>
      </w:r>
    </w:p>
    <w:p w14:paraId="0D748E97">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（5）评审不合格的，不接受其小微企业价格扣除，但将不作为无效投标。</w:t>
      </w:r>
    </w:p>
    <w:p w14:paraId="5DC649F1">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注：小微企业价格扣除，仅作为价格评审的依据，并不影响合同执行价格，合同执行价格为成交供应商的最后报价。</w:t>
      </w:r>
    </w:p>
    <w:p w14:paraId="5DA3DAE8">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4.8 根据财政部、工业和信息化部有关负责人就印发《政府采购促进中小企业发展管理办法》答记者问，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51672C60">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4.9中标、成交供应商享受中小企业扶持政策的，中标、成交供应商的《中小企业声明函》将随中标、成交结果公开。</w:t>
      </w:r>
    </w:p>
    <w:p w14:paraId="67BF7B61">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4.10依法享受扶持政策获得政府采购合同的，小微企业不得将合同分包给大中型企业，中型企业不得将合同分包给大型企业。</w:t>
      </w:r>
    </w:p>
    <w:p w14:paraId="795D2C8A">
      <w:pPr>
        <w:autoSpaceDE w:val="0"/>
        <w:autoSpaceDN w:val="0"/>
        <w:adjustRightInd w:val="0"/>
        <w:snapToGrid w:val="0"/>
        <w:spacing w:beforeLines="50" w:line="300" w:lineRule="auto"/>
        <w:ind w:firstLine="566" w:firstLineChars="236"/>
        <w:jc w:val="left"/>
        <w:rPr>
          <w:rFonts w:ascii="宋体" w:hAnsi="宋体"/>
          <w:color w:val="auto"/>
          <w:sz w:val="24"/>
          <w:highlight w:val="none"/>
        </w:rPr>
      </w:pPr>
      <w:r>
        <w:rPr>
          <w:rFonts w:hint="eastAsia" w:ascii="宋体" w:hAnsi="宋体"/>
          <w:color w:val="auto"/>
          <w:sz w:val="24"/>
          <w:highlight w:val="none"/>
        </w:rPr>
        <w:t>4.11政府采购监督检查、投诉处理及政府采购行政处罚中对中小企业的认定，由货物制造商或者工程、服务供应商注册登记所在地的县级以上人民政府中小企业主管部门负责。</w:t>
      </w:r>
    </w:p>
    <w:p w14:paraId="3685DE1D">
      <w:pPr>
        <w:autoSpaceDE w:val="0"/>
        <w:autoSpaceDN w:val="0"/>
        <w:adjustRightInd w:val="0"/>
        <w:snapToGrid w:val="0"/>
        <w:spacing w:beforeLines="50" w:line="300" w:lineRule="auto"/>
        <w:ind w:firstLine="566" w:firstLineChars="236"/>
        <w:jc w:val="left"/>
        <w:rPr>
          <w:rFonts w:ascii="宋体" w:hAnsi="宋体"/>
          <w:color w:val="auto"/>
          <w:sz w:val="24"/>
          <w:highlight w:val="none"/>
        </w:rPr>
      </w:pPr>
    </w:p>
    <w:p w14:paraId="74CA0B93">
      <w:pPr>
        <w:widowControl w:val="0"/>
        <w:snapToGrid w:val="0"/>
        <w:spacing w:line="657" w:lineRule="atLeast"/>
        <w:jc w:val="center"/>
        <w:outlineLvl w:val="0"/>
        <w:rPr>
          <w:rFonts w:ascii="黑体" w:eastAsia="黑体"/>
          <w:b/>
          <w:color w:val="auto"/>
          <w:sz w:val="36"/>
          <w:szCs w:val="36"/>
          <w:highlight w:val="none"/>
        </w:rPr>
      </w:pPr>
      <w:bookmarkStart w:id="48" w:name="_Toc209083647"/>
      <w:r>
        <w:rPr>
          <w:rFonts w:hint="eastAsia" w:ascii="黑体" w:eastAsia="黑体"/>
          <w:b/>
          <w:color w:val="auto"/>
          <w:sz w:val="36"/>
          <w:szCs w:val="36"/>
          <w:highlight w:val="none"/>
        </w:rPr>
        <w:t>第五章 合同主要条款</w:t>
      </w:r>
      <w:bookmarkEnd w:id="48"/>
    </w:p>
    <w:p w14:paraId="70F00D38">
      <w:pPr>
        <w:widowControl w:val="0"/>
        <w:snapToGrid w:val="0"/>
        <w:spacing w:line="657" w:lineRule="atLeast"/>
        <w:jc w:val="center"/>
        <w:rPr>
          <w:rFonts w:ascii="黑体" w:eastAsia="黑体"/>
          <w:b/>
          <w:color w:val="auto"/>
          <w:spacing w:val="20"/>
          <w:sz w:val="36"/>
          <w:szCs w:val="36"/>
          <w:highlight w:val="none"/>
        </w:rPr>
      </w:pPr>
    </w:p>
    <w:p w14:paraId="29E701CB">
      <w:pPr>
        <w:pStyle w:val="5"/>
        <w:spacing w:after="0"/>
        <w:ind w:left="5250"/>
        <w:jc w:val="center"/>
        <w:rPr>
          <w:rFonts w:ascii="宋体" w:hAnsi="宋体" w:cs="宋体"/>
          <w:b/>
          <w:bCs/>
          <w:color w:val="auto"/>
          <w:spacing w:val="-20"/>
          <w:kern w:val="44"/>
          <w:sz w:val="48"/>
          <w:szCs w:val="48"/>
          <w:highlight w:val="none"/>
        </w:rPr>
      </w:pPr>
    </w:p>
    <w:p w14:paraId="085B9C9C">
      <w:pPr>
        <w:pStyle w:val="5"/>
        <w:spacing w:after="0"/>
        <w:ind w:left="5250"/>
        <w:jc w:val="center"/>
        <w:rPr>
          <w:rFonts w:ascii="宋体" w:hAnsi="宋体" w:cs="宋体"/>
          <w:b/>
          <w:bCs/>
          <w:color w:val="auto"/>
          <w:spacing w:val="-20"/>
          <w:kern w:val="44"/>
          <w:sz w:val="48"/>
          <w:szCs w:val="48"/>
          <w:highlight w:val="none"/>
        </w:rPr>
      </w:pPr>
    </w:p>
    <w:p w14:paraId="34DB4797">
      <w:pPr>
        <w:pStyle w:val="5"/>
        <w:spacing w:after="0"/>
        <w:ind w:left="5250"/>
        <w:jc w:val="center"/>
        <w:rPr>
          <w:rFonts w:ascii="宋体" w:hAnsi="宋体" w:cs="宋体"/>
          <w:b/>
          <w:bCs/>
          <w:color w:val="auto"/>
          <w:spacing w:val="-20"/>
          <w:kern w:val="44"/>
          <w:sz w:val="48"/>
          <w:szCs w:val="48"/>
          <w:highlight w:val="none"/>
        </w:rPr>
      </w:pPr>
    </w:p>
    <w:p w14:paraId="57DB5F74">
      <w:pPr>
        <w:pStyle w:val="5"/>
        <w:spacing w:after="0"/>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政府采购货物买卖合同</w:t>
      </w:r>
    </w:p>
    <w:p w14:paraId="7014A1F2">
      <w:pPr>
        <w:pStyle w:val="5"/>
        <w:spacing w:after="0"/>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（试行）</w:t>
      </w:r>
    </w:p>
    <w:p w14:paraId="2BDEA74F">
      <w:pPr>
        <w:rPr>
          <w:rFonts w:ascii="宋体" w:hAnsi="宋体" w:cs="宋体"/>
          <w:b/>
          <w:bCs/>
          <w:color w:val="auto"/>
          <w:spacing w:val="-20"/>
          <w:kern w:val="44"/>
          <w:sz w:val="40"/>
          <w:szCs w:val="40"/>
          <w:highlight w:val="none"/>
        </w:rPr>
      </w:pPr>
    </w:p>
    <w:p w14:paraId="1A8704BC">
      <w:pPr>
        <w:rPr>
          <w:rFonts w:ascii="宋体" w:hAnsi="宋体" w:cs="宋体"/>
          <w:b/>
          <w:bCs/>
          <w:color w:val="auto"/>
          <w:spacing w:val="-20"/>
          <w:kern w:val="44"/>
          <w:sz w:val="40"/>
          <w:szCs w:val="40"/>
          <w:highlight w:val="none"/>
        </w:rPr>
      </w:pPr>
    </w:p>
    <w:p w14:paraId="15CF00D0">
      <w:pPr>
        <w:rPr>
          <w:rFonts w:ascii="宋体" w:hAnsi="宋体" w:cs="宋体"/>
          <w:b/>
          <w:bCs/>
          <w:color w:val="auto"/>
          <w:spacing w:val="-20"/>
          <w:kern w:val="44"/>
          <w:sz w:val="40"/>
          <w:szCs w:val="40"/>
          <w:highlight w:val="none"/>
        </w:rPr>
      </w:pPr>
    </w:p>
    <w:p w14:paraId="5205ECC4">
      <w:pPr>
        <w:spacing w:line="360" w:lineRule="auto"/>
        <w:ind w:left="420" w:leftChars="200"/>
        <w:rPr>
          <w:color w:val="auto"/>
          <w:sz w:val="32"/>
          <w:szCs w:val="32"/>
          <w:highlight w:val="none"/>
        </w:rPr>
      </w:pPr>
      <w:r>
        <w:rPr>
          <w:rFonts w:hint="eastAsia" w:ascii="宋体" w:hAnsi="宋体" w:cs="宋体"/>
          <w:color w:val="auto"/>
          <w:sz w:val="32"/>
          <w:szCs w:val="32"/>
          <w:highlight w:val="none"/>
        </w:rPr>
        <w:t>项目名称：</w:t>
      </w:r>
    </w:p>
    <w:p w14:paraId="46E41263">
      <w:pPr>
        <w:spacing w:line="360" w:lineRule="auto"/>
        <w:ind w:left="420" w:leftChars="200"/>
        <w:rPr>
          <w:color w:val="auto"/>
          <w:sz w:val="32"/>
          <w:szCs w:val="32"/>
          <w:highlight w:val="none"/>
          <w:u w:val="single"/>
        </w:rPr>
      </w:pPr>
      <w:r>
        <w:rPr>
          <w:rFonts w:hint="eastAsia"/>
          <w:color w:val="auto"/>
          <w:sz w:val="32"/>
          <w:szCs w:val="32"/>
          <w:highlight w:val="none"/>
        </w:rPr>
        <w:t>合同编号：</w:t>
      </w:r>
    </w:p>
    <w:p w14:paraId="58F6CDC6">
      <w:pPr>
        <w:spacing w:line="360" w:lineRule="auto"/>
        <w:ind w:left="420" w:leftChars="200"/>
        <w:rPr>
          <w:color w:val="auto"/>
          <w:sz w:val="32"/>
          <w:szCs w:val="32"/>
          <w:highlight w:val="none"/>
        </w:rPr>
      </w:pPr>
      <w:r>
        <w:rPr>
          <w:rFonts w:hint="eastAsia"/>
          <w:color w:val="auto"/>
          <w:sz w:val="32"/>
          <w:szCs w:val="32"/>
          <w:highlight w:val="none"/>
        </w:rPr>
        <w:t>甲    方：</w:t>
      </w:r>
    </w:p>
    <w:p w14:paraId="672A16FE">
      <w:pPr>
        <w:spacing w:line="360" w:lineRule="auto"/>
        <w:ind w:left="420" w:leftChars="200"/>
        <w:rPr>
          <w:color w:val="auto"/>
          <w:sz w:val="32"/>
          <w:szCs w:val="32"/>
          <w:highlight w:val="none"/>
          <w:u w:val="single"/>
        </w:rPr>
      </w:pPr>
      <w:r>
        <w:rPr>
          <w:rFonts w:hint="eastAsia"/>
          <w:color w:val="auto"/>
          <w:sz w:val="32"/>
          <w:szCs w:val="32"/>
          <w:highlight w:val="none"/>
        </w:rPr>
        <w:t>乙    方：</w:t>
      </w:r>
    </w:p>
    <w:p w14:paraId="30F2A5BA">
      <w:pPr>
        <w:spacing w:line="360" w:lineRule="auto"/>
        <w:ind w:left="420" w:leftChars="200"/>
        <w:rPr>
          <w:color w:val="auto"/>
          <w:sz w:val="32"/>
          <w:szCs w:val="32"/>
          <w:highlight w:val="none"/>
        </w:rPr>
      </w:pPr>
      <w:r>
        <w:rPr>
          <w:rFonts w:hint="eastAsia"/>
          <w:color w:val="auto"/>
          <w:sz w:val="32"/>
          <w:szCs w:val="32"/>
          <w:highlight w:val="none"/>
        </w:rPr>
        <w:t>签订时间：</w:t>
      </w:r>
    </w:p>
    <w:p w14:paraId="4AD84656">
      <w:pPr>
        <w:rPr>
          <w:color w:val="auto"/>
          <w:highlight w:val="none"/>
        </w:rPr>
      </w:pPr>
    </w:p>
    <w:p w14:paraId="5C811546">
      <w:pPr>
        <w:rPr>
          <w:rFonts w:eastAsia="黑体"/>
          <w:color w:val="auto"/>
          <w:sz w:val="44"/>
          <w:szCs w:val="44"/>
          <w:highlight w:val="none"/>
        </w:rPr>
      </w:pPr>
      <w:r>
        <w:rPr>
          <w:rFonts w:eastAsia="黑体"/>
          <w:color w:val="auto"/>
          <w:sz w:val="44"/>
          <w:szCs w:val="44"/>
          <w:highlight w:val="none"/>
        </w:rPr>
        <w:br w:type="page"/>
      </w:r>
    </w:p>
    <w:p w14:paraId="275617B8">
      <w:pPr>
        <w:rPr>
          <w:rFonts w:eastAsia="黑体"/>
          <w:color w:val="auto"/>
          <w:sz w:val="44"/>
          <w:szCs w:val="44"/>
          <w:highlight w:val="none"/>
        </w:rPr>
      </w:pPr>
    </w:p>
    <w:p w14:paraId="0A7D170B">
      <w:pPr>
        <w:rPr>
          <w:rFonts w:eastAsia="黑体"/>
          <w:color w:val="auto"/>
          <w:sz w:val="44"/>
          <w:szCs w:val="44"/>
          <w:highlight w:val="none"/>
        </w:rPr>
      </w:pPr>
    </w:p>
    <w:p w14:paraId="0418C9D9">
      <w:pPr>
        <w:jc w:val="center"/>
        <w:rPr>
          <w:rFonts w:eastAsia="黑体"/>
          <w:color w:val="auto"/>
          <w:sz w:val="44"/>
          <w:szCs w:val="44"/>
          <w:highlight w:val="none"/>
        </w:rPr>
      </w:pPr>
      <w:r>
        <w:rPr>
          <w:rFonts w:hint="eastAsia" w:eastAsia="黑体"/>
          <w:color w:val="auto"/>
          <w:sz w:val="44"/>
          <w:szCs w:val="44"/>
          <w:highlight w:val="none"/>
        </w:rPr>
        <w:t>使 用 说 明</w:t>
      </w:r>
    </w:p>
    <w:p w14:paraId="680AE71F">
      <w:pPr>
        <w:ind w:firstLine="640" w:firstLineChars="200"/>
        <w:rPr>
          <w:rFonts w:ascii="仿宋_GB2312" w:hAnsi="仿宋_GB2312" w:eastAsia="仿宋_GB2312" w:cs="仿宋_GB2312"/>
          <w:color w:val="auto"/>
          <w:sz w:val="32"/>
          <w:szCs w:val="32"/>
          <w:highlight w:val="none"/>
        </w:rPr>
      </w:pPr>
    </w:p>
    <w:p w14:paraId="7A6242FE">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1.本合同标准文本适用于购买现成货物的采购项目，不包括需要供应商定制开发、创新研发的货物采购项目。</w:t>
      </w:r>
    </w:p>
    <w:p w14:paraId="536882D8">
      <w:pPr>
        <w:rPr>
          <w:rFonts w:eastAsia="黑体"/>
          <w:color w:val="auto"/>
          <w:sz w:val="44"/>
          <w:szCs w:val="44"/>
          <w:highlight w:val="none"/>
        </w:rPr>
      </w:pPr>
      <w:r>
        <w:rPr>
          <w:rFonts w:hint="eastAsia" w:ascii="仿宋_GB2312" w:hAnsi="仿宋_GB2312" w:eastAsia="仿宋_GB2312" w:cs="仿宋_GB2312"/>
          <w:color w:val="auto"/>
          <w:sz w:val="32"/>
          <w:szCs w:val="32"/>
          <w:highlight w:val="none"/>
        </w:rPr>
        <w:t>2.本合同标准文本为政府采购货物买卖合同编制提供参考，可以结合采购项目具体情况，对文本作必要的调整修订后使用。</w:t>
      </w:r>
    </w:p>
    <w:p w14:paraId="759BE4FE">
      <w:pPr>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3.本合同标准文本各条款中，如涉及填写多家供应商、制造商，多种采购标的、分包主要内容等信息的，可根据采购项目具体情况添加信息项。</w:t>
      </w:r>
    </w:p>
    <w:p w14:paraId="4E54F5F0">
      <w:pPr>
        <w:ind w:firstLine="560" w:firstLineChars="200"/>
        <w:rPr>
          <w:rFonts w:ascii="仿宋_GB2312" w:hAnsi="仿宋_GB2312" w:eastAsia="仿宋_GB2312" w:cs="仿宋_GB2312"/>
          <w:color w:val="auto"/>
          <w:sz w:val="28"/>
          <w:szCs w:val="28"/>
          <w:highlight w:val="none"/>
        </w:rPr>
        <w:sectPr>
          <w:pgSz w:w="11906" w:h="16838"/>
          <w:pgMar w:top="1440" w:right="991" w:bottom="1440" w:left="1560" w:header="851" w:footer="992" w:gutter="0"/>
          <w:cols w:space="425" w:num="1"/>
          <w:docGrid w:type="lines" w:linePitch="312" w:charSpace="0"/>
        </w:sectPr>
      </w:pPr>
      <w:r>
        <w:rPr>
          <w:rFonts w:hint="eastAsia" w:ascii="仿宋_GB2312" w:hAnsi="仿宋_GB2312" w:eastAsia="仿宋_GB2312" w:cs="仿宋_GB2312"/>
          <w:color w:val="auto"/>
          <w:sz w:val="28"/>
          <w:szCs w:val="28"/>
          <w:highlight w:val="none"/>
        </w:rPr>
        <w:t>据中标文件、采购文件填列修订。</w:t>
      </w:r>
    </w:p>
    <w:p w14:paraId="29CB6B25">
      <w:pPr>
        <w:pStyle w:val="3"/>
        <w:adjustRightInd w:val="0"/>
        <w:snapToGrid w:val="0"/>
        <w:spacing w:line="400" w:lineRule="exact"/>
        <w:jc w:val="center"/>
        <w:rPr>
          <w:rFonts w:ascii="黑体" w:hAnsi="黑体" w:eastAsia="黑体"/>
          <w:color w:val="auto"/>
          <w:sz w:val="28"/>
          <w:szCs w:val="28"/>
          <w:highlight w:val="none"/>
        </w:rPr>
      </w:pPr>
      <w:bookmarkStart w:id="49" w:name="_Toc22209"/>
    </w:p>
    <w:p w14:paraId="73F34D0F">
      <w:pPr>
        <w:pStyle w:val="3"/>
        <w:adjustRightInd w:val="0"/>
        <w:snapToGrid w:val="0"/>
        <w:spacing w:line="400" w:lineRule="exact"/>
        <w:jc w:val="center"/>
        <w:rPr>
          <w:rFonts w:ascii="黑体" w:hAnsi="华文中宋" w:eastAsia="黑体"/>
          <w:b w:val="0"/>
          <w:bCs w:val="0"/>
          <w:color w:val="auto"/>
          <w:sz w:val="28"/>
          <w:szCs w:val="28"/>
          <w:highlight w:val="none"/>
        </w:rPr>
      </w:pPr>
      <w:bookmarkStart w:id="50" w:name="_Toc209083648"/>
      <w:bookmarkStart w:id="51" w:name="_Toc191287885"/>
      <w:r>
        <w:rPr>
          <w:rFonts w:hint="eastAsia" w:ascii="黑体" w:hAnsi="黑体" w:eastAsia="黑体"/>
          <w:b w:val="0"/>
          <w:bCs w:val="0"/>
          <w:color w:val="auto"/>
          <w:sz w:val="28"/>
          <w:szCs w:val="28"/>
          <w:highlight w:val="none"/>
        </w:rPr>
        <w:t xml:space="preserve">第一节 </w:t>
      </w:r>
      <w:r>
        <w:rPr>
          <w:rFonts w:hint="eastAsia" w:ascii="黑体" w:hAnsi="华文中宋" w:eastAsia="黑体"/>
          <w:b w:val="0"/>
          <w:bCs w:val="0"/>
          <w:color w:val="auto"/>
          <w:sz w:val="28"/>
          <w:szCs w:val="28"/>
          <w:highlight w:val="none"/>
        </w:rPr>
        <w:t>政府采购合同协议书</w:t>
      </w:r>
      <w:bookmarkEnd w:id="49"/>
      <w:bookmarkEnd w:id="50"/>
      <w:bookmarkEnd w:id="51"/>
    </w:p>
    <w:p w14:paraId="4F6F1949">
      <w:pPr>
        <w:pStyle w:val="3"/>
        <w:adjustRightInd w:val="0"/>
        <w:snapToGrid w:val="0"/>
        <w:spacing w:line="400" w:lineRule="exact"/>
        <w:jc w:val="center"/>
        <w:rPr>
          <w:rFonts w:ascii="黑体" w:hAnsi="华文中宋" w:eastAsia="黑体"/>
          <w:b w:val="0"/>
          <w:bCs w:val="0"/>
          <w:color w:val="auto"/>
          <w:sz w:val="28"/>
          <w:szCs w:val="28"/>
          <w:highlight w:val="none"/>
        </w:rPr>
      </w:pPr>
    </w:p>
    <w:p w14:paraId="24253880">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甲方（全称）：（采购人、受采购人委托签订合同的单位或采购</w:t>
      </w:r>
      <w:r>
        <w:rPr>
          <w:rFonts w:hint="eastAsia" w:ascii="宋体" w:hAnsi="宋体"/>
          <w:color w:val="auto"/>
          <w:szCs w:val="21"/>
          <w:highlight w:val="none"/>
        </w:rPr>
        <w:tab/>
      </w:r>
      <w:r>
        <w:rPr>
          <w:rFonts w:hint="eastAsia" w:ascii="宋体" w:hAnsi="宋体"/>
          <w:color w:val="auto"/>
          <w:szCs w:val="21"/>
          <w:highlight w:val="none"/>
        </w:rPr>
        <w:t xml:space="preserve">                                   文件约定的合同甲方）</w:t>
      </w:r>
    </w:p>
    <w:p w14:paraId="1AC2B624">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乙方1（全称）：（供应商）</w:t>
      </w:r>
    </w:p>
    <w:p w14:paraId="5EA1BCCC">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乙方2（全称）：（联合体成员供应商或其他合同主体）（如有）</w:t>
      </w:r>
    </w:p>
    <w:p w14:paraId="098E5A16">
      <w:pPr>
        <w:adjustRightInd w:val="0"/>
        <w:snapToGrid w:val="0"/>
        <w:spacing w:line="400" w:lineRule="exact"/>
        <w:rPr>
          <w:rFonts w:ascii="宋体" w:hAnsi="宋体"/>
          <w:color w:val="auto"/>
          <w:szCs w:val="21"/>
          <w:highlight w:val="none"/>
        </w:rPr>
      </w:pPr>
      <w:r>
        <w:rPr>
          <w:rFonts w:hint="eastAsia"/>
          <w:color w:val="auto"/>
          <w:highlight w:val="none"/>
        </w:rPr>
        <w:t>乙方</w:t>
      </w:r>
      <w:r>
        <w:rPr>
          <w:rFonts w:hint="eastAsia" w:ascii="宋体" w:hAnsi="宋体"/>
          <w:color w:val="auto"/>
          <w:szCs w:val="21"/>
          <w:highlight w:val="none"/>
        </w:rPr>
        <w:t>3</w:t>
      </w:r>
      <w:r>
        <w:rPr>
          <w:rFonts w:hint="eastAsia"/>
          <w:color w:val="auto"/>
          <w:highlight w:val="none"/>
        </w:rPr>
        <w:t>（全称）</w:t>
      </w:r>
      <w:r>
        <w:rPr>
          <w:rFonts w:hint="eastAsia" w:ascii="宋体" w:hAnsi="宋体"/>
          <w:color w:val="auto"/>
          <w:szCs w:val="21"/>
          <w:highlight w:val="none"/>
        </w:rPr>
        <w:t>（联合体成员供应商或其他合同主体）（如有）</w:t>
      </w:r>
    </w:p>
    <w:p w14:paraId="6E4AF347">
      <w:pPr>
        <w:spacing w:line="400" w:lineRule="exact"/>
        <w:rPr>
          <w:color w:val="auto"/>
          <w:highlight w:val="none"/>
        </w:rPr>
      </w:pPr>
    </w:p>
    <w:p w14:paraId="18358368">
      <w:pPr>
        <w:pStyle w:val="6"/>
        <w:adjustRightInd w:val="0"/>
        <w:spacing w:line="40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5BEFB5B5">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项目信息</w:t>
      </w:r>
    </w:p>
    <w:p w14:paraId="32415C58">
      <w:pPr>
        <w:pStyle w:val="6"/>
        <w:numPr>
          <w:ilvl w:val="0"/>
          <w:numId w:val="3"/>
        </w:numPr>
        <w:adjustRightInd w:val="0"/>
        <w:spacing w:before="0" w:line="400" w:lineRule="exact"/>
        <w:ind w:firstLine="560" w:firstLineChars="200"/>
        <w:textAlignment w:val="auto"/>
        <w:rPr>
          <w:rFonts w:ascii="宋体" w:hAnsi="宋体"/>
          <w:color w:val="auto"/>
          <w:szCs w:val="21"/>
          <w:highlight w:val="none"/>
          <w:u w:val="single"/>
        </w:rPr>
      </w:pPr>
      <w:r>
        <w:rPr>
          <w:rFonts w:hint="eastAsia" w:ascii="宋体" w:hAnsi="宋体"/>
          <w:color w:val="auto"/>
          <w:szCs w:val="21"/>
          <w:highlight w:val="none"/>
        </w:rPr>
        <w:t>采购项目名称：</w:t>
      </w:r>
    </w:p>
    <w:p w14:paraId="78744F4F">
      <w:pPr>
        <w:pStyle w:val="6"/>
        <w:numPr>
          <w:ilvl w:val="255"/>
          <w:numId w:val="0"/>
        </w:numPr>
        <w:tabs>
          <w:tab w:val="left" w:pos="999"/>
        </w:tabs>
        <w:adjustRightInd w:val="0"/>
        <w:spacing w:line="400" w:lineRule="exact"/>
        <w:rPr>
          <w:rFonts w:ascii="宋体" w:hAnsi="宋体"/>
          <w:color w:val="auto"/>
          <w:szCs w:val="21"/>
          <w:highlight w:val="none"/>
        </w:rPr>
      </w:pPr>
      <w:r>
        <w:rPr>
          <w:rFonts w:hint="eastAsia" w:ascii="宋体" w:hAnsi="宋体"/>
          <w:color w:val="auto"/>
          <w:szCs w:val="21"/>
          <w:highlight w:val="none"/>
        </w:rPr>
        <w:t xml:space="preserve">         采购项目编号：</w:t>
      </w:r>
    </w:p>
    <w:p w14:paraId="13899B20">
      <w:pPr>
        <w:pStyle w:val="6"/>
        <w:adjustRightInd w:val="0"/>
        <w:spacing w:line="400" w:lineRule="exact"/>
        <w:ind w:firstLine="560" w:firstLineChars="200"/>
        <w:rPr>
          <w:rFonts w:ascii="宋体" w:hAnsi="宋体"/>
          <w:color w:val="auto"/>
          <w:szCs w:val="21"/>
          <w:highlight w:val="none"/>
        </w:rPr>
      </w:pPr>
      <w:r>
        <w:rPr>
          <w:rFonts w:hint="eastAsia" w:ascii="宋体" w:hAnsi="宋体"/>
          <w:color w:val="auto"/>
          <w:szCs w:val="21"/>
          <w:highlight w:val="none"/>
        </w:rPr>
        <w:t>（2）采购计划编号：</w:t>
      </w:r>
    </w:p>
    <w:p w14:paraId="08D6A0F1">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（3）项目内容：</w:t>
      </w:r>
    </w:p>
    <w:p w14:paraId="7F99E7CF">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     采购标的及数量（台/套</w:t>
      </w:r>
      <w:r>
        <w:rPr>
          <w:rFonts w:ascii="宋体" w:hAnsi="宋体"/>
          <w:color w:val="auto"/>
          <w:szCs w:val="21"/>
          <w:highlight w:val="none"/>
        </w:rPr>
        <w:t>/</w:t>
      </w:r>
      <w:r>
        <w:rPr>
          <w:rFonts w:hint="eastAsia" w:ascii="宋体" w:hAnsi="宋体"/>
          <w:color w:val="auto"/>
          <w:szCs w:val="21"/>
          <w:highlight w:val="none"/>
        </w:rPr>
        <w:t>个</w:t>
      </w:r>
      <w:r>
        <w:rPr>
          <w:rFonts w:ascii="宋体" w:hAnsi="宋体"/>
          <w:color w:val="auto"/>
          <w:szCs w:val="21"/>
          <w:highlight w:val="none"/>
        </w:rPr>
        <w:t>/</w:t>
      </w:r>
      <w:r>
        <w:rPr>
          <w:rFonts w:hint="eastAsia" w:ascii="宋体" w:hAnsi="宋体"/>
          <w:color w:val="auto"/>
          <w:szCs w:val="21"/>
          <w:highlight w:val="none"/>
        </w:rPr>
        <w:t>架</w:t>
      </w:r>
      <w:r>
        <w:rPr>
          <w:rFonts w:ascii="宋体" w:hAnsi="宋体"/>
          <w:color w:val="auto"/>
          <w:szCs w:val="21"/>
          <w:highlight w:val="none"/>
        </w:rPr>
        <w:t>/</w:t>
      </w:r>
      <w:r>
        <w:rPr>
          <w:rFonts w:hint="eastAsia" w:ascii="宋体" w:hAnsi="宋体"/>
          <w:color w:val="auto"/>
          <w:szCs w:val="21"/>
          <w:highlight w:val="none"/>
        </w:rPr>
        <w:t>组等）：</w:t>
      </w:r>
    </w:p>
    <w:p w14:paraId="0B48F2B9">
      <w:pPr>
        <w:numPr>
          <w:ilvl w:val="255"/>
          <w:numId w:val="0"/>
        </w:num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品牌：规格型号：</w:t>
      </w:r>
    </w:p>
    <w:p w14:paraId="6BD393CB">
      <w:pPr>
        <w:adjustRightInd w:val="0"/>
        <w:snapToGrid w:val="0"/>
        <w:spacing w:line="400" w:lineRule="exact"/>
        <w:ind w:firstLine="945" w:firstLineChars="450"/>
        <w:rPr>
          <w:rFonts w:ascii="宋体" w:hAnsi="宋体"/>
          <w:color w:val="auto"/>
          <w:szCs w:val="21"/>
          <w:highlight w:val="none"/>
          <w:u w:val="single"/>
        </w:rPr>
      </w:pPr>
      <w:r>
        <w:rPr>
          <w:rFonts w:hint="eastAsia" w:ascii="宋体" w:hAnsi="宋体"/>
          <w:color w:val="auto"/>
          <w:szCs w:val="21"/>
          <w:highlight w:val="none"/>
        </w:rPr>
        <w:t>采购标的的技术要求、商务要求具体见附件。</w:t>
      </w:r>
    </w:p>
    <w:p w14:paraId="4A9A550F">
      <w:pPr>
        <w:numPr>
          <w:ilvl w:val="255"/>
          <w:numId w:val="0"/>
        </w:numPr>
        <w:adjustRightInd w:val="0"/>
        <w:snapToGrid w:val="0"/>
        <w:spacing w:line="400" w:lineRule="exact"/>
        <w:ind w:firstLine="945" w:firstLineChars="450"/>
        <w:rPr>
          <w:rFonts w:ascii="宋体" w:hAnsi="宋体" w:cs="宋体"/>
          <w:color w:val="auto"/>
          <w:szCs w:val="21"/>
          <w:highlight w:val="none"/>
        </w:rPr>
      </w:pPr>
      <w:r>
        <w:rPr>
          <w:rFonts w:hint="eastAsia" w:ascii="汉仪书宋二S" w:hAnsi="汉仪书宋二S" w:eastAsia="汉仪书宋二S" w:cs="汉仪书宋二S"/>
          <w:color w:val="auto"/>
          <w:szCs w:val="21"/>
          <w:highlight w:val="none"/>
        </w:rPr>
        <w:t>①</w:t>
      </w:r>
      <w:r>
        <w:rPr>
          <w:rFonts w:hint="eastAsia" w:ascii="宋体" w:hAnsi="宋体" w:cs="宋体"/>
          <w:color w:val="auto"/>
          <w:szCs w:val="21"/>
          <w:highlight w:val="none"/>
        </w:rPr>
        <w:t>涉及信息类产品，请填写该产品关键部件的品牌、型号：</w:t>
      </w:r>
    </w:p>
    <w:p w14:paraId="2E15E6E3">
      <w:pPr>
        <w:numPr>
          <w:ilvl w:val="255"/>
          <w:numId w:val="0"/>
        </w:numPr>
        <w:adjustRightInd w:val="0"/>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     标的名称：</w:t>
      </w:r>
    </w:p>
    <w:p w14:paraId="153351D7">
      <w:pPr>
        <w:numPr>
          <w:ilvl w:val="255"/>
          <w:numId w:val="0"/>
        </w:num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关键部件： 品牌： 型号：</w:t>
      </w:r>
    </w:p>
    <w:p w14:paraId="7B5AD389">
      <w:pPr>
        <w:pStyle w:val="65"/>
        <w:ind w:firstLine="420"/>
        <w:rPr>
          <w:rFonts w:ascii="宋体" w:hAnsi="宋体" w:eastAsia="宋体" w:cs="宋体"/>
          <w:color w:val="auto"/>
          <w:sz w:val="21"/>
          <w:highlight w:val="none"/>
        </w:rPr>
      </w:pPr>
      <w:r>
        <w:rPr>
          <w:rFonts w:hint="eastAsia" w:ascii="宋体" w:hAnsi="宋体" w:eastAsia="宋体" w:cs="宋体"/>
          <w:color w:val="auto"/>
          <w:kern w:val="2"/>
          <w:sz w:val="21"/>
          <w:highlight w:val="none"/>
        </w:rPr>
        <w:t>关键部件</w:t>
      </w:r>
      <w:r>
        <w:rPr>
          <w:rFonts w:hint="eastAsia" w:ascii="宋体" w:hAnsi="宋体" w:eastAsia="宋体" w:cs="宋体"/>
          <w:color w:val="auto"/>
          <w:sz w:val="21"/>
          <w:highlight w:val="none"/>
        </w:rPr>
        <w:t>： 品牌： 型号：</w:t>
      </w:r>
    </w:p>
    <w:p w14:paraId="18CA35DC">
      <w:pPr>
        <w:pStyle w:val="65"/>
        <w:ind w:firstLine="420"/>
        <w:rPr>
          <w:rFonts w:ascii="宋体" w:hAnsi="宋体" w:eastAsia="宋体" w:cs="宋体"/>
          <w:color w:val="auto"/>
          <w:sz w:val="21"/>
          <w:highlight w:val="none"/>
        </w:rPr>
      </w:pPr>
      <w:r>
        <w:rPr>
          <w:rFonts w:hint="eastAsia" w:ascii="宋体" w:hAnsi="宋体" w:eastAsia="宋体" w:cs="宋体"/>
          <w:color w:val="auto"/>
          <w:sz w:val="21"/>
          <w:highlight w:val="none"/>
        </w:rPr>
        <w:t xml:space="preserve">     关键部件： 品牌： 型号：</w:t>
      </w:r>
    </w:p>
    <w:p w14:paraId="39DE3D55">
      <w:pPr>
        <w:pStyle w:val="65"/>
        <w:numPr>
          <w:ilvl w:val="255"/>
          <w:numId w:val="0"/>
        </w:numPr>
        <w:snapToGrid w:val="0"/>
        <w:rPr>
          <w:rFonts w:ascii="宋体" w:hAnsi="宋体" w:eastAsia="宋体" w:cs="宋体"/>
          <w:color w:val="auto"/>
          <w:sz w:val="21"/>
          <w:highlight w:val="none"/>
        </w:rPr>
      </w:pPr>
      <w:r>
        <w:rPr>
          <w:rFonts w:hint="eastAsia" w:ascii="宋体" w:hAnsi="宋体" w:eastAsia="宋体" w:cs="宋体"/>
          <w:color w:val="auto"/>
          <w:sz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72DE4342">
      <w:pPr>
        <w:pStyle w:val="65"/>
        <w:numPr>
          <w:ilvl w:val="255"/>
          <w:numId w:val="0"/>
        </w:numPr>
        <w:snapToGrid w:val="0"/>
        <w:rPr>
          <w:rFonts w:ascii="宋体" w:hAnsi="宋体" w:eastAsia="宋体" w:cs="宋体"/>
          <w:color w:val="auto"/>
          <w:sz w:val="21"/>
          <w:highlight w:val="none"/>
        </w:rPr>
      </w:pPr>
      <w:r>
        <w:rPr>
          <w:rFonts w:hint="eastAsia" w:ascii="汉仪书宋二S" w:hAnsi="汉仪书宋二S" w:eastAsia="汉仪书宋二S" w:cs="汉仪书宋二S"/>
          <w:color w:val="auto"/>
          <w:sz w:val="21"/>
          <w:highlight w:val="none"/>
        </w:rPr>
        <w:t>②</w:t>
      </w:r>
      <w:r>
        <w:rPr>
          <w:rFonts w:hint="eastAsia" w:ascii="宋体" w:hAnsi="宋体" w:eastAsia="宋体" w:cs="宋体"/>
          <w:color w:val="auto"/>
          <w:sz w:val="21"/>
          <w:highlight w:val="none"/>
        </w:rPr>
        <w:t>涉及车辆采购，请填写是否属于新能源汽车：</w:t>
      </w:r>
    </w:p>
    <w:p w14:paraId="69CCA816">
      <w:pPr>
        <w:pStyle w:val="65"/>
        <w:numPr>
          <w:ilvl w:val="255"/>
          <w:numId w:val="0"/>
        </w:numPr>
        <w:snapToGrid w:val="0"/>
        <w:rPr>
          <w:rFonts w:ascii="宋体" w:hAnsi="宋体" w:eastAsia="宋体" w:cs="宋体"/>
          <w:color w:val="auto"/>
          <w:sz w:val="21"/>
          <w:highlight w:val="none"/>
        </w:rPr>
      </w:pP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是，《政府采购品目分类目录》底级品目名称： 数量： 金额：</w:t>
      </w:r>
    </w:p>
    <w:p w14:paraId="72A34FAC">
      <w:pPr>
        <w:pStyle w:val="65"/>
        <w:numPr>
          <w:ilvl w:val="255"/>
          <w:numId w:val="0"/>
        </w:numPr>
        <w:snapToGrid w:val="0"/>
        <w:rPr>
          <w:rFonts w:ascii="宋体" w:hAnsi="宋体" w:eastAsia="宋体" w:cs="宋体"/>
          <w:color w:val="auto"/>
          <w:sz w:val="21"/>
          <w:highlight w:val="none"/>
        </w:rPr>
      </w:pP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否</w:t>
      </w:r>
    </w:p>
    <w:p w14:paraId="756BD150">
      <w:pPr>
        <w:pStyle w:val="65"/>
        <w:numPr>
          <w:ilvl w:val="255"/>
          <w:numId w:val="0"/>
        </w:numPr>
        <w:snapToGrid w:val="0"/>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ascii="宋体" w:hAnsi="宋体" w:eastAsia="宋体" w:cs="宋体"/>
          <w:color w:val="auto"/>
          <w:sz w:val="21"/>
          <w:highlight w:val="none"/>
        </w:rPr>
        <w:t>4</w:t>
      </w:r>
      <w:r>
        <w:rPr>
          <w:rFonts w:hint="eastAsia" w:ascii="宋体" w:hAnsi="宋体" w:eastAsia="宋体" w:cs="宋体"/>
          <w:color w:val="auto"/>
          <w:sz w:val="21"/>
          <w:highlight w:val="none"/>
        </w:rPr>
        <w:t>）政府采购组织形式：</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政府集中采购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部门集中采购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分散采购</w:t>
      </w:r>
    </w:p>
    <w:p w14:paraId="61A5294C">
      <w:pPr>
        <w:pStyle w:val="65"/>
        <w:numPr>
          <w:ilvl w:val="255"/>
          <w:numId w:val="0"/>
        </w:numPr>
        <w:snapToGrid w:val="0"/>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ascii="宋体" w:hAnsi="宋体" w:eastAsia="宋体" w:cs="宋体"/>
          <w:color w:val="auto"/>
          <w:sz w:val="21"/>
          <w:highlight w:val="none"/>
        </w:rPr>
        <w:t>5</w:t>
      </w:r>
      <w:r>
        <w:rPr>
          <w:rFonts w:hint="eastAsia" w:ascii="宋体" w:hAnsi="宋体" w:eastAsia="宋体" w:cs="宋体"/>
          <w:color w:val="auto"/>
          <w:sz w:val="21"/>
          <w:highlight w:val="none"/>
        </w:rPr>
        <w:t>）政府采购方式：</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公开招标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邀请招标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竞争性谈判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竞争性磋商</w:t>
      </w:r>
    </w:p>
    <w:p w14:paraId="1FE50460">
      <w:pPr>
        <w:pStyle w:val="65"/>
        <w:numPr>
          <w:ilvl w:val="255"/>
          <w:numId w:val="0"/>
        </w:numPr>
        <w:snapToGrid w:val="0"/>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询价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单一来源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框架协议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其他：</w:t>
      </w:r>
    </w:p>
    <w:p w14:paraId="75CA442B">
      <w:pPr>
        <w:pStyle w:val="65"/>
        <w:numPr>
          <w:ilvl w:val="255"/>
          <w:numId w:val="0"/>
        </w:numPr>
        <w:snapToGrid w:val="0"/>
        <w:ind w:firstLine="420"/>
        <w:rPr>
          <w:rFonts w:ascii="宋体" w:hAnsi="宋体" w:eastAsia="宋体" w:cs="宋体"/>
          <w:color w:val="auto"/>
          <w:sz w:val="21"/>
          <w:highlight w:val="none"/>
        </w:rPr>
      </w:pPr>
      <w:r>
        <w:rPr>
          <w:rFonts w:hint="eastAsia" w:ascii="宋体" w:hAnsi="宋体" w:eastAsia="宋体" w:cs="宋体"/>
          <w:color w:val="auto"/>
          <w:sz w:val="21"/>
          <w:highlight w:val="none"/>
        </w:rPr>
        <w:t>（注：在框架协议采购的第二阶段，可选择使用该合同文本）</w:t>
      </w:r>
    </w:p>
    <w:p w14:paraId="13DF2E75">
      <w:pPr>
        <w:pStyle w:val="65"/>
        <w:numPr>
          <w:ilvl w:val="255"/>
          <w:numId w:val="0"/>
        </w:numPr>
        <w:snapToGrid w:val="0"/>
        <w:ind w:firstLine="220" w:firstLineChars="100"/>
        <w:rPr>
          <w:rFonts w:ascii="宋体" w:hAnsi="宋体" w:eastAsia="宋体" w:cs="Times New Roman"/>
          <w:color w:val="auto"/>
          <w:kern w:val="2"/>
          <w:sz w:val="21"/>
          <w:highlight w:val="none"/>
        </w:rPr>
      </w:pPr>
      <w:r>
        <w:rPr>
          <w:rFonts w:hint="eastAsia" w:ascii="宋体" w:hAnsi="宋体"/>
          <w:color w:val="auto"/>
          <w:highlight w:val="none"/>
        </w:rPr>
        <w:t xml:space="preserve"> （</w:t>
      </w:r>
      <w:r>
        <w:rPr>
          <w:rFonts w:ascii="宋体" w:hAnsi="宋体"/>
          <w:color w:val="auto"/>
          <w:highlight w:val="none"/>
        </w:rPr>
        <w:t>6</w:t>
      </w:r>
      <w:r>
        <w:rPr>
          <w:rFonts w:hint="eastAsia" w:ascii="宋体" w:hAnsi="宋体"/>
          <w:color w:val="auto"/>
          <w:highlight w:val="none"/>
        </w:rPr>
        <w:t>）</w:t>
      </w:r>
      <w:r>
        <w:rPr>
          <w:rFonts w:hint="eastAsia" w:ascii="宋体" w:hAnsi="宋体" w:eastAsia="宋体" w:cs="Times New Roman"/>
          <w:color w:val="auto"/>
          <w:kern w:val="2"/>
          <w:sz w:val="21"/>
          <w:highlight w:val="none"/>
        </w:rPr>
        <w:t>中标（成交）采购标的制造商是否为中小企业：</w:t>
      </w: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 xml:space="preserve">是      </w:t>
      </w: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否</w:t>
      </w:r>
    </w:p>
    <w:p w14:paraId="4C1E70A2">
      <w:pPr>
        <w:numPr>
          <w:ilvl w:val="255"/>
          <w:numId w:val="0"/>
        </w:numPr>
        <w:adjustRightInd w:val="0"/>
        <w:snapToGrid w:val="0"/>
        <w:spacing w:line="400" w:lineRule="exact"/>
        <w:rPr>
          <w:rFonts w:ascii="宋体" w:hAnsi="宋体"/>
          <w:iCs/>
          <w:color w:val="auto"/>
          <w:szCs w:val="21"/>
          <w:highlight w:val="none"/>
        </w:rPr>
      </w:pPr>
      <w:r>
        <w:rPr>
          <w:rFonts w:hint="eastAsia" w:ascii="宋体" w:hAnsi="宋体"/>
          <w:color w:val="auto"/>
          <w:szCs w:val="21"/>
          <w:highlight w:val="none"/>
        </w:rPr>
        <w:t xml:space="preserve">         本合同是否为专门面向中小企业的采购合同（中小企业预留合同）：</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1DD75930">
      <w:pPr>
        <w:numPr>
          <w:ilvl w:val="255"/>
          <w:numId w:val="0"/>
        </w:numPr>
        <w:adjustRightInd w:val="0"/>
        <w:snapToGrid w:val="0"/>
        <w:spacing w:line="400" w:lineRule="exact"/>
        <w:rPr>
          <w:rFonts w:ascii="宋体" w:hAnsi="宋体"/>
          <w:iCs/>
          <w:color w:val="auto"/>
          <w:szCs w:val="21"/>
          <w:highlight w:val="none"/>
        </w:rPr>
      </w:pPr>
      <w:r>
        <w:rPr>
          <w:rFonts w:hint="eastAsia"/>
          <w:color w:val="auto"/>
          <w:highlight w:val="none"/>
        </w:rPr>
        <w:t xml:space="preserve">         若本项目不专门面向中小企业采购，是否给予小微企业评审优惠：</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2D2E2C9A">
      <w:pPr>
        <w:numPr>
          <w:ilvl w:val="255"/>
          <w:numId w:val="0"/>
        </w:numPr>
        <w:adjustRightInd w:val="0"/>
        <w:snapToGrid w:val="0"/>
        <w:spacing w:line="400" w:lineRule="exact"/>
        <w:rPr>
          <w:rFonts w:ascii="宋体" w:hAnsi="宋体"/>
          <w:iCs/>
          <w:color w:val="auto"/>
          <w:szCs w:val="21"/>
          <w:highlight w:val="none"/>
        </w:rPr>
      </w:pPr>
      <w:r>
        <w:rPr>
          <w:rFonts w:hint="eastAsia"/>
          <w:color w:val="auto"/>
          <w:highlight w:val="none"/>
        </w:rPr>
        <w:t xml:space="preserve">         中标（成交）采购标的制造商是否为残疾人福利性单位：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4C21933D">
      <w:pPr>
        <w:snapToGrid w:val="0"/>
        <w:spacing w:line="400" w:lineRule="exact"/>
        <w:rPr>
          <w:color w:val="auto"/>
          <w:highlight w:val="none"/>
        </w:rPr>
      </w:pPr>
      <w:r>
        <w:rPr>
          <w:rFonts w:hint="eastAsia"/>
          <w:color w:val="auto"/>
          <w:highlight w:val="none"/>
        </w:rPr>
        <w:t xml:space="preserve">         中标（成交）采购标的制造商是否为监狱企业：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4A047B5E">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）合同是否分包：</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72B1B31E">
      <w:pPr>
        <w:adjustRightInd w:val="0"/>
        <w:snapToGrid w:val="0"/>
        <w:spacing w:line="400" w:lineRule="exact"/>
        <w:ind w:firstLine="840" w:firstLineChars="400"/>
        <w:rPr>
          <w:rFonts w:ascii="宋体" w:hAnsi="宋体"/>
          <w:color w:val="auto"/>
          <w:szCs w:val="21"/>
          <w:highlight w:val="none"/>
          <w:u w:val="single"/>
        </w:rPr>
      </w:pPr>
      <w:r>
        <w:rPr>
          <w:rFonts w:hint="eastAsia" w:ascii="宋体" w:hAnsi="宋体"/>
          <w:color w:val="auto"/>
          <w:szCs w:val="21"/>
          <w:highlight w:val="none"/>
        </w:rPr>
        <w:t xml:space="preserve"> 分包主要内容：</w:t>
      </w:r>
    </w:p>
    <w:p w14:paraId="38768AAB">
      <w:pPr>
        <w:adjustRightInd w:val="0"/>
        <w:snapToGrid w:val="0"/>
        <w:spacing w:line="400" w:lineRule="exact"/>
        <w:ind w:firstLine="840" w:firstLineChars="400"/>
        <w:rPr>
          <w:rFonts w:ascii="宋体" w:hAnsi="宋体"/>
          <w:color w:val="auto"/>
          <w:szCs w:val="21"/>
          <w:highlight w:val="none"/>
        </w:rPr>
      </w:pPr>
      <w:r>
        <w:rPr>
          <w:rFonts w:hint="eastAsia" w:ascii="宋体" w:hAnsi="宋体"/>
          <w:color w:val="auto"/>
          <w:szCs w:val="21"/>
          <w:highlight w:val="none"/>
        </w:rPr>
        <w:t xml:space="preserve"> 分包供应商/制造商名称（如供应商和制造商不同，请分别填写）：</w:t>
      </w:r>
    </w:p>
    <w:p w14:paraId="1EE2C154">
      <w:pPr>
        <w:adjustRightInd w:val="0"/>
        <w:snapToGrid w:val="0"/>
        <w:spacing w:line="400" w:lineRule="exact"/>
        <w:ind w:firstLine="840" w:firstLineChars="400"/>
        <w:rPr>
          <w:rFonts w:ascii="宋体" w:hAnsi="宋体"/>
          <w:color w:val="auto"/>
          <w:szCs w:val="21"/>
          <w:highlight w:val="none"/>
          <w:u w:val="single"/>
        </w:rPr>
      </w:pPr>
    </w:p>
    <w:p w14:paraId="20E5FD3F">
      <w:pPr>
        <w:adjustRightInd w:val="0"/>
        <w:snapToGrid w:val="0"/>
        <w:spacing w:line="400" w:lineRule="exact"/>
        <w:ind w:firstLine="840" w:firstLineChars="400"/>
        <w:rPr>
          <w:rFonts w:ascii="宋体" w:hAnsi="宋体"/>
          <w:color w:val="auto"/>
          <w:szCs w:val="21"/>
          <w:highlight w:val="none"/>
        </w:rPr>
      </w:pPr>
      <w:r>
        <w:rPr>
          <w:rFonts w:hint="eastAsia" w:ascii="宋体" w:hAnsi="宋体"/>
          <w:color w:val="auto"/>
          <w:szCs w:val="21"/>
          <w:highlight w:val="none"/>
        </w:rPr>
        <w:t xml:space="preserve"> 分包供应商/制造商类型（如果供应商和制造商不同，只填写制造商类型）：</w:t>
      </w:r>
    </w:p>
    <w:p w14:paraId="4E14AF50">
      <w:pPr>
        <w:adjustRightInd w:val="0"/>
        <w:snapToGrid w:val="0"/>
        <w:spacing w:line="400" w:lineRule="exact"/>
        <w:ind w:firstLine="840" w:firstLineChars="400"/>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大型企业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小微型企业  </w:t>
      </w:r>
    </w:p>
    <w:p w14:paraId="0E934C64">
      <w:pPr>
        <w:adjustRightInd w:val="0"/>
        <w:snapToGrid w:val="0"/>
        <w:spacing w:line="400" w:lineRule="exact"/>
        <w:ind w:firstLine="840" w:firstLineChars="400"/>
        <w:rPr>
          <w:rFonts w:eastAsia="华文楷体"/>
          <w:color w:val="auto"/>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残疾人福利性单位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14:paraId="745691EA">
      <w:pPr>
        <w:numPr>
          <w:ilvl w:val="255"/>
          <w:numId w:val="0"/>
        </w:numPr>
        <w:adjustRightInd w:val="0"/>
        <w:snapToGrid w:val="0"/>
        <w:spacing w:line="400" w:lineRule="exact"/>
        <w:rPr>
          <w:rFonts w:ascii="宋体" w:hAnsi="宋体" w:cs="宋体"/>
          <w:i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27ABC64F">
      <w:pPr>
        <w:pStyle w:val="65"/>
        <w:tabs>
          <w:tab w:val="left" w:pos="1340"/>
        </w:tabs>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 xml:space="preserve">     外商投资企业类型：</w:t>
      </w:r>
      <w:r>
        <w:rPr>
          <w:rFonts w:hint="eastAsia" w:ascii="宋体" w:hAnsi="宋体" w:eastAsia="宋体" w:cs="宋体"/>
          <w:iCs/>
          <w:color w:val="auto"/>
          <w:sz w:val="21"/>
          <w:highlight w:val="none"/>
        </w:rPr>
        <w:sym w:font="Wingdings" w:char="00A8"/>
      </w:r>
      <w:r>
        <w:rPr>
          <w:rFonts w:hint="eastAsia" w:ascii="宋体" w:hAnsi="宋体" w:eastAsia="宋体" w:cs="宋体"/>
          <w:color w:val="auto"/>
          <w:sz w:val="21"/>
          <w:highlight w:val="none"/>
        </w:rPr>
        <w:t xml:space="preserve">全部由外国投资者投资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部分由外国投资者投资</w:t>
      </w:r>
    </w:p>
    <w:p w14:paraId="2CEC9E97">
      <w:pPr>
        <w:numPr>
          <w:ilvl w:val="255"/>
          <w:numId w:val="0"/>
        </w:num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9</w:t>
      </w:r>
      <w:r>
        <w:rPr>
          <w:rFonts w:hint="eastAsia" w:ascii="宋体" w:hAnsi="宋体" w:cs="宋体"/>
          <w:color w:val="auto"/>
          <w:szCs w:val="21"/>
          <w:highlight w:val="none"/>
        </w:rPr>
        <w:t>）是否涉及进口产品：</w:t>
      </w:r>
    </w:p>
    <w:p w14:paraId="1C0719F7">
      <w:pPr>
        <w:numPr>
          <w:ilvl w:val="255"/>
          <w:numId w:val="0"/>
        </w:numPr>
        <w:adjustRightInd w:val="0"/>
        <w:snapToGrid w:val="0"/>
        <w:spacing w:line="400" w:lineRule="exact"/>
        <w:ind w:firstLine="840" w:firstLineChars="400"/>
        <w:rPr>
          <w:rFonts w:ascii="宋体" w:hAnsi="宋体" w:cs="宋体"/>
          <w:color w:val="auto"/>
          <w:szCs w:val="21"/>
          <w:highlight w:val="none"/>
          <w:u w:val="singl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是，《政府采购品目分类目录》底级品目名称： 金额：</w:t>
      </w:r>
    </w:p>
    <w:p w14:paraId="08CEE5F0">
      <w:pPr>
        <w:numPr>
          <w:ilvl w:val="255"/>
          <w:numId w:val="0"/>
        </w:numPr>
        <w:adjustRightInd w:val="0"/>
        <w:snapToGrid w:val="0"/>
        <w:spacing w:line="400" w:lineRule="exact"/>
        <w:ind w:firstLine="840" w:firstLineChars="400"/>
        <w:rPr>
          <w:rFonts w:ascii="宋体" w:hAnsi="宋体"/>
          <w:color w:val="auto"/>
          <w:szCs w:val="21"/>
          <w:highlight w:val="none"/>
        </w:rPr>
      </w:pPr>
      <w:r>
        <w:rPr>
          <w:rFonts w:hint="eastAsia" w:ascii="宋体" w:hAnsi="宋体" w:cs="宋体"/>
          <w:color w:val="auto"/>
          <w:szCs w:val="21"/>
          <w:highlight w:val="none"/>
        </w:rPr>
        <w:t xml:space="preserve">        国别： 品牌： 规格型号：</w:t>
      </w:r>
    </w:p>
    <w:p w14:paraId="15EC75B2">
      <w:pPr>
        <w:adjustRightInd w:val="0"/>
        <w:snapToGrid w:val="0"/>
        <w:spacing w:line="400" w:lineRule="exact"/>
        <w:ind w:firstLine="840" w:firstLineChars="4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1911D95A">
      <w:pPr>
        <w:numPr>
          <w:ilvl w:val="255"/>
          <w:numId w:val="0"/>
        </w:numPr>
        <w:tabs>
          <w:tab w:val="left" w:pos="740"/>
        </w:tabs>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（1</w:t>
      </w:r>
      <w:r>
        <w:rPr>
          <w:rFonts w:ascii="宋体" w:hAnsi="宋体"/>
          <w:color w:val="auto"/>
          <w:szCs w:val="21"/>
          <w:highlight w:val="none"/>
        </w:rPr>
        <w:t>0</w:t>
      </w:r>
      <w:r>
        <w:rPr>
          <w:rFonts w:hint="eastAsia" w:ascii="宋体" w:hAnsi="宋体"/>
          <w:color w:val="auto"/>
          <w:szCs w:val="21"/>
          <w:highlight w:val="none"/>
        </w:rPr>
        <w:t>）是否涉及节能产品：</w:t>
      </w:r>
    </w:p>
    <w:p w14:paraId="06BD36A6">
      <w:pPr>
        <w:numPr>
          <w:ilvl w:val="255"/>
          <w:numId w:val="0"/>
        </w:numPr>
        <w:tabs>
          <w:tab w:val="left" w:pos="740"/>
        </w:tabs>
        <w:adjustRightInd w:val="0"/>
        <w:snapToGrid w:val="0"/>
        <w:spacing w:line="400" w:lineRule="exact"/>
        <w:rPr>
          <w:rFonts w:ascii="宋体" w:hAnsi="宋体"/>
          <w:iCs/>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是，《节能产品政府采购品目清单》的底级品目名称：</w:t>
      </w:r>
    </w:p>
    <w:p w14:paraId="1BF845F7">
      <w:pPr>
        <w:numPr>
          <w:ilvl w:val="255"/>
          <w:numId w:val="0"/>
        </w:numPr>
        <w:tabs>
          <w:tab w:val="left" w:pos="740"/>
        </w:tabs>
        <w:adjustRightInd w:val="0"/>
        <w:snapToGrid w:val="0"/>
        <w:spacing w:line="400" w:lineRule="exact"/>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p>
    <w:p w14:paraId="148002CE">
      <w:pPr>
        <w:numPr>
          <w:ilvl w:val="255"/>
          <w:numId w:val="0"/>
        </w:numPr>
        <w:tabs>
          <w:tab w:val="left" w:pos="740"/>
        </w:tabs>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0B38DA3B">
      <w:pPr>
        <w:numPr>
          <w:ilvl w:val="255"/>
          <w:numId w:val="0"/>
        </w:numPr>
        <w:tabs>
          <w:tab w:val="left" w:pos="740"/>
        </w:tabs>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是否涉及环境标志产品：</w:t>
      </w:r>
    </w:p>
    <w:p w14:paraId="1456A370">
      <w:pPr>
        <w:numPr>
          <w:ilvl w:val="255"/>
          <w:numId w:val="0"/>
        </w:numPr>
        <w:tabs>
          <w:tab w:val="left" w:pos="740"/>
        </w:tabs>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是，《环境标志产品政府采购品目清单》的底级品目名称：</w:t>
      </w:r>
    </w:p>
    <w:p w14:paraId="4FE01B19">
      <w:pPr>
        <w:numPr>
          <w:ilvl w:val="255"/>
          <w:numId w:val="0"/>
        </w:numPr>
        <w:tabs>
          <w:tab w:val="left" w:pos="740"/>
        </w:tabs>
        <w:adjustRightInd w:val="0"/>
        <w:snapToGrid w:val="0"/>
        <w:spacing w:line="400" w:lineRule="exact"/>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p>
    <w:p w14:paraId="5A45DAC6">
      <w:pPr>
        <w:numPr>
          <w:ilvl w:val="255"/>
          <w:numId w:val="0"/>
        </w:numPr>
        <w:tabs>
          <w:tab w:val="left" w:pos="740"/>
        </w:tabs>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130657C1">
      <w:pPr>
        <w:pStyle w:val="65"/>
        <w:numPr>
          <w:ilvl w:val="255"/>
          <w:numId w:val="0"/>
        </w:numPr>
        <w:snapToGrid w:val="0"/>
        <w:rPr>
          <w:rFonts w:ascii="宋体" w:hAnsi="宋体" w:eastAsia="宋体" w:cs="Times New Roman"/>
          <w:color w:val="auto"/>
          <w:kern w:val="2"/>
          <w:sz w:val="21"/>
          <w:highlight w:val="none"/>
        </w:rPr>
      </w:pPr>
      <w:r>
        <w:rPr>
          <w:rFonts w:hint="eastAsia" w:ascii="宋体" w:hAnsi="宋体" w:eastAsia="宋体" w:cs="Times New Roman"/>
          <w:color w:val="auto"/>
          <w:kern w:val="2"/>
          <w:sz w:val="21"/>
          <w:highlight w:val="none"/>
        </w:rPr>
        <w:t xml:space="preserve">是否涉及绿色产品： </w:t>
      </w:r>
    </w:p>
    <w:p w14:paraId="1BE03156">
      <w:pPr>
        <w:pStyle w:val="65"/>
        <w:ind w:firstLine="420" w:firstLineChars="0"/>
        <w:rPr>
          <w:rFonts w:ascii="宋体" w:hAnsi="宋体" w:eastAsia="宋体"/>
          <w:color w:val="auto"/>
          <w:highlight w:val="none"/>
          <w:u w:val="single"/>
        </w:rPr>
      </w:pP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是，绿色产品政府采购相关政策确定的底级品目名称：</w:t>
      </w:r>
    </w:p>
    <w:p w14:paraId="58FC3E6D">
      <w:pPr>
        <w:numPr>
          <w:ilvl w:val="255"/>
          <w:numId w:val="0"/>
        </w:numPr>
        <w:tabs>
          <w:tab w:val="left" w:pos="740"/>
        </w:tabs>
        <w:adjustRightInd w:val="0"/>
        <w:snapToGrid w:val="0"/>
        <w:spacing w:line="400" w:lineRule="exact"/>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强制采购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优先采购    </w:t>
      </w:r>
    </w:p>
    <w:p w14:paraId="30A0A47A">
      <w:pPr>
        <w:pStyle w:val="65"/>
        <w:ind w:firstLine="420" w:firstLineChars="0"/>
        <w:rPr>
          <w:rFonts w:ascii="宋体" w:hAnsi="宋体"/>
          <w:color w:val="auto"/>
          <w:sz w:val="21"/>
          <w:highlight w:val="none"/>
        </w:rPr>
      </w:pP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否</w:t>
      </w:r>
    </w:p>
    <w:p w14:paraId="2C84EB7E">
      <w:pPr>
        <w:numPr>
          <w:ilvl w:val="255"/>
          <w:numId w:val="0"/>
        </w:num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（1</w:t>
      </w:r>
      <w:r>
        <w:rPr>
          <w:rFonts w:ascii="宋体" w:hAnsi="宋体"/>
          <w:color w:val="auto"/>
          <w:szCs w:val="21"/>
          <w:highlight w:val="none"/>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p>
    <w:p w14:paraId="67959DBB">
      <w:pPr>
        <w:numPr>
          <w:ilvl w:val="255"/>
          <w:numId w:val="0"/>
        </w:numPr>
        <w:adjustRightInd w:val="0"/>
        <w:snapToGrid w:val="0"/>
        <w:spacing w:line="400" w:lineRule="exact"/>
        <w:ind w:firstLine="840" w:firstLineChars="4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 xml:space="preserve">否      </w:t>
      </w:r>
      <w:r>
        <w:rPr>
          <w:rFonts w:hint="eastAsia" w:ascii="宋体" w:hAnsi="宋体"/>
          <w:color w:val="auto"/>
          <w:szCs w:val="21"/>
          <w:highlight w:val="none"/>
        </w:rPr>
        <w:sym w:font="Wingdings" w:char="00A8"/>
      </w:r>
      <w:r>
        <w:rPr>
          <w:rFonts w:hint="eastAsia" w:ascii="宋体" w:hAnsi="宋体"/>
          <w:color w:val="auto"/>
          <w:szCs w:val="21"/>
          <w:highlight w:val="none"/>
        </w:rPr>
        <w:t>不涉及</w:t>
      </w:r>
    </w:p>
    <w:p w14:paraId="7834BB89">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合同金额</w:t>
      </w:r>
    </w:p>
    <w:p w14:paraId="6831FF7B">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（1）合同金额小写：</w:t>
      </w:r>
    </w:p>
    <w:p w14:paraId="1FA79340">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 xml:space="preserve">                 大写：</w:t>
      </w:r>
    </w:p>
    <w:p w14:paraId="14358B60">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分包金额（如有）小写：</w:t>
      </w:r>
    </w:p>
    <w:p w14:paraId="43C0A13C">
      <w:pPr>
        <w:adjustRightInd w:val="0"/>
        <w:snapToGrid w:val="0"/>
        <w:spacing w:line="400" w:lineRule="exact"/>
        <w:rPr>
          <w:rFonts w:ascii="宋体" w:hAnsi="宋体"/>
          <w:color w:val="auto"/>
          <w:szCs w:val="21"/>
          <w:highlight w:val="none"/>
          <w:u w:val="single"/>
        </w:rPr>
      </w:pPr>
      <w:r>
        <w:rPr>
          <w:rFonts w:hint="eastAsia" w:ascii="宋体" w:hAnsi="宋体"/>
          <w:color w:val="auto"/>
          <w:szCs w:val="21"/>
          <w:highlight w:val="none"/>
        </w:rPr>
        <w:t xml:space="preserve">                     大写：</w:t>
      </w:r>
    </w:p>
    <w:p w14:paraId="3AF1C967">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（注：固定单价合同应填写单价和最高限价）</w:t>
      </w:r>
    </w:p>
    <w:p w14:paraId="5C05A7C4">
      <w:pPr>
        <w:numPr>
          <w:ilvl w:val="255"/>
          <w:numId w:val="0"/>
        </w:num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 xml:space="preserve">    （2）合同定价方式（采用组合定价方式的，可以勾选多项）：</w:t>
      </w:r>
    </w:p>
    <w:p w14:paraId="4CCE69D7">
      <w:pPr>
        <w:adjustRightInd w:val="0"/>
        <w:snapToGrid w:val="0"/>
        <w:spacing w:line="400" w:lineRule="exact"/>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固定费率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绩效激励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14:paraId="1D7C31C6">
      <w:pPr>
        <w:pStyle w:val="66"/>
        <w:spacing w:line="400" w:lineRule="exact"/>
        <w:rPr>
          <w:color w:val="auto"/>
          <w:highlight w:val="none"/>
        </w:rPr>
      </w:pPr>
      <w:r>
        <w:rPr>
          <w:rFonts w:hint="eastAsia" w:ascii="宋体" w:hAnsi="宋体"/>
          <w:color w:val="auto"/>
          <w:highlight w:val="none"/>
        </w:rPr>
        <w:t>（3）付款方式（按项目实际勾选填写）：</w:t>
      </w:r>
    </w:p>
    <w:p w14:paraId="6BCFE57B">
      <w:pPr>
        <w:adjustRightInd w:val="0"/>
        <w:snapToGrid w:val="0"/>
        <w:spacing w:line="400" w:lineRule="exact"/>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（应明确一次性支付合同款项的条件）                    </w:t>
      </w:r>
    </w:p>
    <w:p w14:paraId="338FB583">
      <w:pPr>
        <w:snapToGrid w:val="0"/>
        <w:spacing w:line="400" w:lineRule="exact"/>
        <w:ind w:firstLine="630" w:firstLineChars="300"/>
        <w:rPr>
          <w:color w:val="auto"/>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（应明确分期支付合同款项的各期比例和支付条件，各期支付条件应与分期履约验收情况挂钩） </w:t>
      </w:r>
      <w:r>
        <w:rPr>
          <w:rFonts w:hint="eastAsia" w:ascii="宋体" w:hAnsi="宋体"/>
          <w:color w:val="auto"/>
          <w:szCs w:val="21"/>
          <w:highlight w:val="none"/>
        </w:rPr>
        <w:t>，其中涉及预付款的：</w:t>
      </w:r>
      <w:r>
        <w:rPr>
          <w:rFonts w:hint="eastAsia" w:ascii="宋体" w:hAnsi="宋体"/>
          <w:color w:val="auto"/>
          <w:szCs w:val="21"/>
          <w:highlight w:val="none"/>
          <w:u w:val="single"/>
        </w:rPr>
        <w:t xml:space="preserve"> （应明确预付款的支付比例和支付条件） </w:t>
      </w:r>
    </w:p>
    <w:p w14:paraId="01A52465">
      <w:pPr>
        <w:adjustRightInd w:val="0"/>
        <w:snapToGrid w:val="0"/>
        <w:spacing w:line="400" w:lineRule="exact"/>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14:paraId="5EA9C0B5">
      <w:pPr>
        <w:adjustRightInd w:val="0"/>
        <w:snapToGrid w:val="0"/>
        <w:spacing w:line="400" w:lineRule="exact"/>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14:paraId="200C100B">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u w:val="single"/>
        </w:rPr>
      </w:pPr>
      <w:r>
        <w:rPr>
          <w:rFonts w:hint="eastAsia" w:ascii="宋体" w:hAnsi="宋体"/>
          <w:b/>
          <w:color w:val="auto"/>
          <w:szCs w:val="21"/>
          <w:highlight w:val="none"/>
        </w:rPr>
        <w:t>合同履行</w:t>
      </w:r>
    </w:p>
    <w:p w14:paraId="167EDD78">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（1）起始日期：年月日，完成日期：年月日。</w:t>
      </w:r>
    </w:p>
    <w:p w14:paraId="536A942E">
      <w:pPr>
        <w:adjustRightInd w:val="0"/>
        <w:snapToGrid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p>
    <w:p w14:paraId="6925A586">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是    </w:t>
      </w:r>
      <w:r>
        <w:rPr>
          <w:rFonts w:hint="eastAsia" w:ascii="MS Mincho" w:hAnsi="MS Mincho" w:eastAsia="MS Mincho" w:cs="MS Mincho"/>
          <w:color w:val="auto"/>
          <w:szCs w:val="21"/>
          <w:highlight w:val="none"/>
        </w:rPr>
        <w:t>☑</w:t>
      </w:r>
      <w:r>
        <w:rPr>
          <w:rFonts w:hint="eastAsia" w:ascii="宋体" w:hAnsi="宋体" w:cs="宋体"/>
          <w:color w:val="auto"/>
          <w:szCs w:val="21"/>
          <w:highlight w:val="none"/>
        </w:rPr>
        <w:t>否</w:t>
      </w:r>
    </w:p>
    <w:p w14:paraId="01E7C753">
      <w:pPr>
        <w:pStyle w:val="65"/>
        <w:ind w:firstLine="420"/>
        <w:rPr>
          <w:rFonts w:ascii="宋体" w:hAnsi="宋体" w:eastAsia="宋体" w:cs="宋体"/>
          <w:color w:val="auto"/>
          <w:sz w:val="21"/>
          <w:highlight w:val="none"/>
        </w:rPr>
      </w:pPr>
      <w:r>
        <w:rPr>
          <w:rFonts w:hint="eastAsia" w:ascii="宋体" w:hAnsi="宋体" w:eastAsia="宋体" w:cs="宋体"/>
          <w:color w:val="auto"/>
          <w:sz w:val="21"/>
          <w:highlight w:val="none"/>
        </w:rPr>
        <w:t xml:space="preserve">  收取履约保证金形式：</w:t>
      </w:r>
    </w:p>
    <w:p w14:paraId="0462330C">
      <w:pPr>
        <w:pStyle w:val="65"/>
        <w:ind w:firstLine="420"/>
        <w:rPr>
          <w:rFonts w:ascii="宋体" w:hAnsi="宋体" w:eastAsia="宋体" w:cs="宋体"/>
          <w:color w:val="auto"/>
          <w:sz w:val="21"/>
          <w:highlight w:val="none"/>
        </w:rPr>
      </w:pPr>
      <w:r>
        <w:rPr>
          <w:rFonts w:hint="eastAsia" w:ascii="宋体" w:hAnsi="宋体" w:eastAsia="宋体" w:cs="宋体"/>
          <w:color w:val="auto"/>
          <w:sz w:val="21"/>
          <w:highlight w:val="none"/>
        </w:rPr>
        <w:t xml:space="preserve">    收取履约保证金金额：</w:t>
      </w:r>
    </w:p>
    <w:p w14:paraId="79F379BC">
      <w:pPr>
        <w:snapToGrid w:val="0"/>
        <w:spacing w:line="400" w:lineRule="exact"/>
        <w:ind w:firstLine="420" w:firstLineChars="200"/>
        <w:rPr>
          <w:rFonts w:ascii="宋体" w:hAnsi="宋体" w:cs="宋体"/>
          <w:color w:val="auto"/>
          <w:highlight w:val="none"/>
        </w:rPr>
      </w:pPr>
      <w:r>
        <w:rPr>
          <w:rFonts w:hint="eastAsia" w:ascii="宋体" w:hAnsi="宋体" w:cs="宋体"/>
          <w:bCs/>
          <w:color w:val="auto"/>
          <w:szCs w:val="21"/>
          <w:highlight w:val="none"/>
        </w:rPr>
        <w:t xml:space="preserve">    履约担保期限：</w:t>
      </w:r>
    </w:p>
    <w:p w14:paraId="05EC70BB">
      <w:pPr>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（4）分期履行要求：</w:t>
      </w:r>
    </w:p>
    <w:p w14:paraId="64E78575">
      <w:pPr>
        <w:adjustRightInd w:val="0"/>
        <w:snapToGrid w:val="0"/>
        <w:spacing w:line="400" w:lineRule="exact"/>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p>
    <w:p w14:paraId="19B78D20">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合同验收</w:t>
      </w:r>
    </w:p>
    <w:p w14:paraId="3D077124">
      <w:pPr>
        <w:widowControl w:val="0"/>
        <w:numPr>
          <w:ilvl w:val="0"/>
          <w:numId w:val="4"/>
        </w:numPr>
        <w:adjustRightInd w:val="0"/>
        <w:snapToGrid w:val="0"/>
        <w:spacing w:line="400" w:lineRule="exact"/>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验收组织方式：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自行组织 </w:t>
      </w:r>
      <w:r>
        <w:rPr>
          <w:rFonts w:hint="eastAsia" w:ascii="宋体" w:hAnsi="宋体" w:cs="宋体"/>
          <w:color w:val="auto"/>
          <w:szCs w:val="21"/>
          <w:highlight w:val="none"/>
        </w:rPr>
        <w:sym w:font="Wingdings" w:char="00A8"/>
      </w:r>
      <w:r>
        <w:rPr>
          <w:rFonts w:hint="eastAsia" w:ascii="宋体" w:hAnsi="宋体"/>
          <w:bCs/>
          <w:color w:val="auto"/>
          <w:szCs w:val="21"/>
          <w:highlight w:val="none"/>
        </w:rPr>
        <w:t>委托第三方组织</w:t>
      </w:r>
    </w:p>
    <w:p w14:paraId="58385A91">
      <w:pPr>
        <w:adjustRightInd w:val="0"/>
        <w:snapToGrid w:val="0"/>
        <w:spacing w:line="400" w:lineRule="exact"/>
        <w:rPr>
          <w:rFonts w:ascii="宋体" w:hAnsi="宋体"/>
          <w:bCs/>
          <w:color w:val="auto"/>
          <w:szCs w:val="21"/>
          <w:highlight w:val="none"/>
        </w:rPr>
      </w:pPr>
      <w:r>
        <w:rPr>
          <w:rFonts w:hint="eastAsia" w:ascii="宋体" w:hAnsi="宋体"/>
          <w:bCs/>
          <w:color w:val="auto"/>
          <w:szCs w:val="21"/>
          <w:highlight w:val="none"/>
        </w:rPr>
        <w:t xml:space="preserve">         验收主体：</w:t>
      </w:r>
    </w:p>
    <w:p w14:paraId="6AF06576">
      <w:pPr>
        <w:adjustRightInd w:val="0"/>
        <w:snapToGrid w:val="0"/>
        <w:spacing w:line="400" w:lineRule="exact"/>
        <w:rPr>
          <w:rFonts w:ascii="宋体" w:hAnsi="宋体"/>
          <w:bCs/>
          <w:color w:val="auto"/>
          <w:szCs w:val="21"/>
          <w:highlight w:val="none"/>
        </w:rPr>
      </w:pPr>
      <w:r>
        <w:rPr>
          <w:rFonts w:hint="eastAsia" w:ascii="宋体" w:hAnsi="宋体"/>
          <w:bCs/>
          <w:color w:val="auto"/>
          <w:szCs w:val="21"/>
          <w:highlight w:val="none"/>
        </w:rPr>
        <w:t xml:space="preserve">        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47191BF2">
      <w:pPr>
        <w:adjustRightInd w:val="0"/>
        <w:snapToGrid w:val="0"/>
        <w:spacing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12CE9EA5">
      <w:pPr>
        <w:adjustRightInd w:val="0"/>
        <w:snapToGrid w:val="0"/>
        <w:spacing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3AE69D27">
      <w:pPr>
        <w:adjustRightInd w:val="0"/>
        <w:snapToGrid w:val="0"/>
        <w:spacing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3FD23F77">
      <w:pPr>
        <w:adjustRightInd w:val="0"/>
        <w:snapToGrid w:val="0"/>
        <w:spacing w:line="400" w:lineRule="exact"/>
        <w:ind w:firstLine="840" w:firstLineChars="400"/>
        <w:rPr>
          <w:rFonts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是，抽查比例：</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53F4B3F7">
      <w:pPr>
        <w:adjustRightInd w:val="0"/>
        <w:snapToGrid w:val="0"/>
        <w:spacing w:line="400" w:lineRule="exact"/>
        <w:ind w:firstLine="840" w:firstLineChars="400"/>
        <w:rPr>
          <w:rFonts w:ascii="宋体" w:hAnsi="宋体"/>
          <w:bCs/>
          <w:color w:val="auto"/>
          <w:szCs w:val="21"/>
          <w:highlight w:val="none"/>
          <w:u w:val="singl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p>
    <w:p w14:paraId="4A426F60">
      <w:pPr>
        <w:adjustRightInd w:val="0"/>
        <w:snapToGrid w:val="0"/>
        <w:spacing w:line="400" w:lineRule="exact"/>
        <w:ind w:firstLine="840" w:firstLineChars="400"/>
        <w:rPr>
          <w:rFonts w:ascii="宋体" w:hAnsi="宋体"/>
          <w:bCs/>
          <w:color w:val="auto"/>
          <w:szCs w:val="21"/>
          <w:highlight w:val="none"/>
        </w:rPr>
      </w:pP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51DA6319">
      <w:pPr>
        <w:adjustRightInd w:val="0"/>
        <w:snapToGrid w:val="0"/>
        <w:spacing w:line="400" w:lineRule="exact"/>
        <w:ind w:firstLine="840" w:firstLineChars="400"/>
        <w:rPr>
          <w:rFonts w:ascii="宋体" w:hAnsi="宋体"/>
          <w:bCs/>
          <w:color w:val="auto"/>
          <w:szCs w:val="21"/>
          <w:highlight w:val="none"/>
          <w:u w:val="single"/>
        </w:rPr>
      </w:pPr>
      <w:r>
        <w:rPr>
          <w:rFonts w:hint="eastAsia" w:ascii="宋体" w:hAnsi="宋体"/>
          <w:bCs/>
          <w:color w:val="auto"/>
          <w:szCs w:val="21"/>
          <w:highlight w:val="none"/>
        </w:rPr>
        <w:t>验收组织的其他事项：</w:t>
      </w:r>
    </w:p>
    <w:p w14:paraId="05568720">
      <w:pPr>
        <w:adjustRightInd w:val="0"/>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bCs/>
          <w:color w:val="auto"/>
          <w:szCs w:val="21"/>
          <w:highlight w:val="none"/>
          <w:u w:val="single"/>
        </w:rPr>
        <w:t xml:space="preserve">（计划于何时验收/供应商提出验收申请之日起   日内组织验收） </w:t>
      </w:r>
    </w:p>
    <w:p w14:paraId="5E26F229">
      <w:pPr>
        <w:adjustRightInd w:val="0"/>
        <w:snapToGrid w:val="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（3）履约验收方式：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一次性验收         </w:t>
      </w:r>
    </w:p>
    <w:p w14:paraId="70B9D3BE">
      <w:pPr>
        <w:adjustRightInd w:val="0"/>
        <w:snapToGrid w:val="0"/>
        <w:spacing w:line="400" w:lineRule="exact"/>
        <w:rPr>
          <w:rFonts w:ascii="宋体" w:hAnsi="宋体"/>
          <w:bCs/>
          <w:color w:val="auto"/>
          <w:szCs w:val="21"/>
          <w:highlight w:val="none"/>
        </w:rPr>
      </w:pPr>
      <w:r>
        <w:rPr>
          <w:rFonts w:hint="eastAsia" w:ascii="宋体" w:hAnsi="宋体" w:cs="宋体"/>
          <w:color w:val="auto"/>
          <w:szCs w:val="21"/>
          <w:highlight w:val="none"/>
        </w:rPr>
        <w:sym w:font="Wingdings" w:char="00A8"/>
      </w:r>
      <w:r>
        <w:rPr>
          <w:rFonts w:hint="eastAsia" w:ascii="宋体" w:hAnsi="宋体"/>
          <w:bCs/>
          <w:color w:val="auto"/>
          <w:szCs w:val="21"/>
          <w:highlight w:val="none"/>
        </w:rPr>
        <w:t>分期/分项验收：</w:t>
      </w:r>
      <w:r>
        <w:rPr>
          <w:rFonts w:hint="eastAsia" w:ascii="宋体" w:hAnsi="宋体"/>
          <w:bCs/>
          <w:color w:val="auto"/>
          <w:szCs w:val="21"/>
          <w:highlight w:val="none"/>
          <w:u w:val="single"/>
        </w:rPr>
        <w:t xml:space="preserve"> （应明确分期</w:t>
      </w:r>
      <w:r>
        <w:rPr>
          <w:rFonts w:ascii="宋体" w:hAnsi="宋体"/>
          <w:bCs/>
          <w:color w:val="auto"/>
          <w:szCs w:val="21"/>
          <w:highlight w:val="none"/>
          <w:u w:val="single"/>
        </w:rPr>
        <w:t>/</w:t>
      </w:r>
      <w:r>
        <w:rPr>
          <w:rFonts w:hint="eastAsia" w:ascii="宋体" w:hAnsi="宋体"/>
          <w:bCs/>
          <w:color w:val="auto"/>
          <w:szCs w:val="21"/>
          <w:highlight w:val="none"/>
          <w:u w:val="single"/>
        </w:rPr>
        <w:t xml:space="preserve">分项验收的工作安排）  </w:t>
      </w:r>
    </w:p>
    <w:p w14:paraId="3BCD0328">
      <w:pPr>
        <w:adjustRightInd w:val="0"/>
        <w:snapToGrid w:val="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（4）履约验收程序：</w:t>
      </w:r>
    </w:p>
    <w:p w14:paraId="7B062751">
      <w:pPr>
        <w:adjustRightInd w:val="0"/>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bCs/>
          <w:color w:val="auto"/>
          <w:szCs w:val="21"/>
          <w:highlight w:val="none"/>
          <w:u w:val="single"/>
        </w:rPr>
        <w:t xml:space="preserve"> （应当包括每一项技术和商务要求的履约情况，特别是落实政府采购扶持中小企业，支持绿色发展和乡村振兴等政策情况）                                      </w:t>
      </w:r>
    </w:p>
    <w:p w14:paraId="27DCEDC8">
      <w:pPr>
        <w:adjustRightInd w:val="0"/>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（6）履约验收标准：</w:t>
      </w:r>
    </w:p>
    <w:p w14:paraId="16F14FA8">
      <w:pPr>
        <w:pStyle w:val="65"/>
        <w:ind w:firstLine="420"/>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hint="eastAsia" w:ascii="宋体" w:hAnsi="宋体" w:eastAsia="宋体" w:cs="宋体"/>
          <w:color w:val="auto"/>
          <w:sz w:val="21"/>
          <w:highlight w:val="none"/>
        </w:rPr>
        <w:sym w:font="Wingdings" w:char="00A8"/>
      </w:r>
      <w:r>
        <w:rPr>
          <w:rFonts w:hint="eastAsia" w:ascii="宋体" w:hAnsi="宋体" w:eastAsia="宋体" w:cs="宋体"/>
          <w:bCs/>
          <w:color w:val="auto"/>
          <w:sz w:val="21"/>
          <w:highlight w:val="none"/>
        </w:rPr>
        <w:t xml:space="preserve">是  </w:t>
      </w:r>
      <w:r>
        <w:rPr>
          <w:rFonts w:hint="eastAsia" w:ascii="宋体" w:hAnsi="宋体" w:eastAsia="宋体" w:cs="宋体"/>
          <w:color w:val="auto"/>
          <w:sz w:val="21"/>
          <w:highlight w:val="none"/>
        </w:rPr>
        <w:sym w:font="Wingdings" w:char="00A8"/>
      </w:r>
      <w:r>
        <w:rPr>
          <w:rFonts w:hint="eastAsia" w:ascii="宋体" w:hAnsi="宋体" w:eastAsia="宋体" w:cs="宋体"/>
          <w:bCs/>
          <w:color w:val="auto"/>
          <w:sz w:val="21"/>
          <w:highlight w:val="none"/>
        </w:rPr>
        <w:t>否</w:t>
      </w:r>
    </w:p>
    <w:p w14:paraId="37CD8B1E">
      <w:pPr>
        <w:adjustRightInd w:val="0"/>
        <w:snapToGrid w:val="0"/>
        <w:spacing w:line="400" w:lineRule="exact"/>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 xml:space="preserve">      （产权过户登记等）          </w:t>
      </w:r>
    </w:p>
    <w:p w14:paraId="791ECD2F">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组成合同的文件</w:t>
      </w:r>
    </w:p>
    <w:p w14:paraId="2A0C64BD">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6C0662AF">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（1）政府采购合同协议书及其变更、补充协议</w:t>
      </w:r>
    </w:p>
    <w:p w14:paraId="096F9EED">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（2）政府采购合同专用条款</w:t>
      </w:r>
    </w:p>
    <w:p w14:paraId="24B8F002">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（3）政府采购合同通用条款</w:t>
      </w:r>
    </w:p>
    <w:p w14:paraId="2177D422">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（4）中标（成交）通知书</w:t>
      </w:r>
    </w:p>
    <w:p w14:paraId="31B52FEA">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（5）投标（响应）文件</w:t>
      </w:r>
    </w:p>
    <w:p w14:paraId="17B12A1C">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（6）采购文件</w:t>
      </w:r>
    </w:p>
    <w:p w14:paraId="5A73FFE9">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（7）有关技术文件，图纸</w:t>
      </w:r>
    </w:p>
    <w:p w14:paraId="2EF124AA">
      <w:pPr>
        <w:pStyle w:val="65"/>
        <w:ind w:firstLine="420"/>
        <w:rPr>
          <w:rFonts w:ascii="宋体" w:hAnsi="宋体" w:eastAsia="宋体" w:cs="宋体"/>
          <w:color w:val="auto"/>
          <w:kern w:val="2"/>
          <w:sz w:val="21"/>
          <w:highlight w:val="none"/>
        </w:rPr>
      </w:pPr>
      <w:r>
        <w:rPr>
          <w:rFonts w:hint="eastAsia" w:ascii="宋体" w:hAnsi="宋体" w:eastAsia="宋体" w:cs="宋体"/>
          <w:color w:val="auto"/>
          <w:sz w:val="21"/>
          <w:highlight w:val="none"/>
        </w:rPr>
        <w:t>（8）</w:t>
      </w:r>
      <w:r>
        <w:rPr>
          <w:rFonts w:hint="eastAsia" w:ascii="宋体" w:hAnsi="宋体" w:eastAsia="宋体" w:cs="宋体"/>
          <w:color w:val="auto"/>
          <w:kern w:val="2"/>
          <w:sz w:val="21"/>
          <w:highlight w:val="none"/>
        </w:rPr>
        <w:t>国家法律、行政法规和规章制度规定或合同约定的作为合同组成部分的其他文件</w:t>
      </w:r>
    </w:p>
    <w:p w14:paraId="4444799D">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合同生效</w:t>
      </w:r>
    </w:p>
    <w:p w14:paraId="686638B1">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本合同自生效。</w:t>
      </w:r>
    </w:p>
    <w:p w14:paraId="2E72FFA8">
      <w:pPr>
        <w:widowControl w:val="0"/>
        <w:numPr>
          <w:ilvl w:val="0"/>
          <w:numId w:val="2"/>
        </w:numPr>
        <w:adjustRightInd w:val="0"/>
        <w:snapToGrid w:val="0"/>
        <w:spacing w:line="40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合同份数</w:t>
      </w:r>
    </w:p>
    <w:p w14:paraId="757E14DF">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本合同一式份，甲方执份，乙方执份，均具有同等法律效力。</w:t>
      </w:r>
    </w:p>
    <w:p w14:paraId="0845F8A7">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合同订立时间：年月日</w:t>
      </w:r>
    </w:p>
    <w:p w14:paraId="694BB5C3">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合同订立地点：</w:t>
      </w:r>
    </w:p>
    <w:p w14:paraId="4D9BA333">
      <w:pPr>
        <w:adjustRightInd w:val="0"/>
        <w:snapToGrid w:val="0"/>
        <w:spacing w:line="400" w:lineRule="exact"/>
        <w:ind w:firstLine="420" w:firstLineChars="200"/>
        <w:rPr>
          <w:color w:val="auto"/>
          <w:highlight w:val="none"/>
        </w:rPr>
      </w:pPr>
      <w:r>
        <w:rPr>
          <w:rFonts w:hint="eastAsia" w:ascii="宋体" w:hAnsi="宋体"/>
          <w:color w:val="auto"/>
          <w:szCs w:val="21"/>
          <w:highlight w:val="none"/>
        </w:rPr>
        <w:t>附件：具体标的及其技术要求和商务要求、联合协议、分包意向协议等。</w:t>
      </w:r>
    </w:p>
    <w:p w14:paraId="52783509">
      <w:pPr>
        <w:pStyle w:val="66"/>
        <w:spacing w:line="400" w:lineRule="exact"/>
        <w:rPr>
          <w:color w:val="auto"/>
          <w:highlight w:val="none"/>
        </w:rPr>
      </w:pPr>
    </w:p>
    <w:p w14:paraId="5F232C96">
      <w:pPr>
        <w:pStyle w:val="3"/>
        <w:spacing w:line="400" w:lineRule="exact"/>
        <w:rPr>
          <w:rFonts w:ascii="宋体" w:hAnsi="宋体"/>
          <w:b w:val="0"/>
          <w:bCs w:val="0"/>
          <w:color w:val="auto"/>
          <w:sz w:val="21"/>
          <w:szCs w:val="21"/>
          <w:highlight w:val="none"/>
        </w:rPr>
      </w:pPr>
    </w:p>
    <w:p w14:paraId="0DC05369">
      <w:pPr>
        <w:rPr>
          <w:color w:val="auto"/>
          <w:highlight w:val="none"/>
        </w:rPr>
      </w:pPr>
      <w:r>
        <w:rPr>
          <w:rFonts w:hint="eastAsia"/>
          <w:color w:val="auto"/>
          <w:highlight w:val="none"/>
        </w:rPr>
        <w:br w:type="page"/>
      </w:r>
    </w:p>
    <w:p w14:paraId="3103391C">
      <w:pPr>
        <w:pStyle w:val="66"/>
        <w:rPr>
          <w:color w:val="auto"/>
          <w:highlight w:val="none"/>
        </w:rPr>
      </w:pPr>
    </w:p>
    <w:tbl>
      <w:tblPr>
        <w:tblStyle w:val="16"/>
        <w:tblW w:w="9457"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130"/>
        <w:gridCol w:w="2716"/>
        <w:gridCol w:w="2228"/>
        <w:gridCol w:w="2383"/>
      </w:tblGrid>
      <w:tr w14:paraId="1FF260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846" w:type="dxa"/>
            <w:gridSpan w:val="2"/>
            <w:tcBorders>
              <w:bottom w:val="single" w:color="auto" w:sz="2" w:space="0"/>
              <w:right w:val="single" w:color="auto" w:sz="2" w:space="0"/>
            </w:tcBorders>
            <w:vAlign w:val="center"/>
          </w:tcPr>
          <w:p w14:paraId="36E9CE3F">
            <w:pPr>
              <w:adjustRightInd w:val="0"/>
              <w:snapToGrid w:val="0"/>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4611" w:type="dxa"/>
            <w:gridSpan w:val="2"/>
            <w:tcBorders>
              <w:left w:val="single" w:color="auto" w:sz="2" w:space="0"/>
              <w:bottom w:val="single" w:color="auto" w:sz="2" w:space="0"/>
            </w:tcBorders>
            <w:vAlign w:val="center"/>
          </w:tcPr>
          <w:p w14:paraId="147EB0D5">
            <w:pPr>
              <w:adjustRightInd w:val="0"/>
              <w:snapToGrid w:val="0"/>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4951C5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130" w:type="dxa"/>
            <w:tcBorders>
              <w:top w:val="single" w:color="auto" w:sz="2" w:space="0"/>
              <w:bottom w:val="single" w:color="auto" w:sz="2" w:space="0"/>
              <w:right w:val="single" w:color="auto" w:sz="2" w:space="0"/>
            </w:tcBorders>
            <w:vAlign w:val="center"/>
          </w:tcPr>
          <w:p w14:paraId="767765BD">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716" w:type="dxa"/>
            <w:tcBorders>
              <w:top w:val="single" w:color="auto" w:sz="2" w:space="0"/>
              <w:left w:val="single" w:color="auto" w:sz="2" w:space="0"/>
              <w:bottom w:val="single" w:color="auto" w:sz="2" w:space="0"/>
              <w:right w:val="single" w:color="auto" w:sz="2" w:space="0"/>
            </w:tcBorders>
            <w:vAlign w:val="center"/>
          </w:tcPr>
          <w:p w14:paraId="257E2586">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39CFD2E7">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2383" w:type="dxa"/>
            <w:tcBorders>
              <w:top w:val="single" w:color="auto" w:sz="2" w:space="0"/>
              <w:left w:val="single" w:color="auto" w:sz="2" w:space="0"/>
              <w:bottom w:val="single" w:color="auto" w:sz="2" w:space="0"/>
            </w:tcBorders>
            <w:vAlign w:val="center"/>
          </w:tcPr>
          <w:p w14:paraId="13FE63F4">
            <w:pPr>
              <w:adjustRightInd w:val="0"/>
              <w:snapToGrid w:val="0"/>
              <w:spacing w:line="300" w:lineRule="exact"/>
              <w:jc w:val="center"/>
              <w:rPr>
                <w:color w:val="auto"/>
                <w:spacing w:val="20"/>
                <w:szCs w:val="21"/>
                <w:highlight w:val="none"/>
              </w:rPr>
            </w:pPr>
          </w:p>
        </w:tc>
      </w:tr>
      <w:tr w14:paraId="3700F3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130" w:type="dxa"/>
            <w:vMerge w:val="restart"/>
            <w:tcBorders>
              <w:top w:val="single" w:color="auto" w:sz="2" w:space="0"/>
              <w:right w:val="single" w:color="auto" w:sz="2" w:space="0"/>
            </w:tcBorders>
            <w:vAlign w:val="center"/>
          </w:tcPr>
          <w:p w14:paraId="7CBAAAA7">
            <w:pPr>
              <w:adjustRightInd w:val="0"/>
              <w:snapToGrid w:val="0"/>
              <w:spacing w:line="300" w:lineRule="exact"/>
              <w:jc w:val="center"/>
              <w:rPr>
                <w:color w:val="auto"/>
                <w:szCs w:val="21"/>
                <w:highlight w:val="none"/>
              </w:rPr>
            </w:pPr>
            <w:r>
              <w:rPr>
                <w:color w:val="auto"/>
                <w:szCs w:val="21"/>
                <w:highlight w:val="none"/>
              </w:rPr>
              <w:t>法定代表人</w:t>
            </w:r>
          </w:p>
          <w:p w14:paraId="6037EB46">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716" w:type="dxa"/>
            <w:vMerge w:val="restart"/>
            <w:tcBorders>
              <w:top w:val="single" w:color="auto" w:sz="2" w:space="0"/>
              <w:left w:val="single" w:color="auto" w:sz="2" w:space="0"/>
              <w:right w:val="single" w:color="auto" w:sz="2" w:space="0"/>
            </w:tcBorders>
            <w:vAlign w:val="center"/>
          </w:tcPr>
          <w:p w14:paraId="22C938AC">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right w:val="single" w:color="auto" w:sz="2" w:space="0"/>
            </w:tcBorders>
            <w:vAlign w:val="center"/>
          </w:tcPr>
          <w:p w14:paraId="7FF9DFB2">
            <w:pPr>
              <w:adjustRightInd w:val="0"/>
              <w:snapToGrid w:val="0"/>
              <w:spacing w:line="300" w:lineRule="exact"/>
              <w:jc w:val="center"/>
              <w:rPr>
                <w:color w:val="auto"/>
                <w:szCs w:val="21"/>
                <w:highlight w:val="none"/>
              </w:rPr>
            </w:pPr>
            <w:r>
              <w:rPr>
                <w:color w:val="auto"/>
                <w:szCs w:val="21"/>
                <w:highlight w:val="none"/>
              </w:rPr>
              <w:t>法定代表人</w:t>
            </w:r>
          </w:p>
          <w:p w14:paraId="5CA5A3E4">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2383" w:type="dxa"/>
            <w:tcBorders>
              <w:top w:val="single" w:color="auto" w:sz="2" w:space="0"/>
              <w:left w:val="single" w:color="auto" w:sz="2" w:space="0"/>
              <w:bottom w:val="single" w:color="auto" w:sz="2" w:space="0"/>
            </w:tcBorders>
            <w:vAlign w:val="center"/>
          </w:tcPr>
          <w:p w14:paraId="357CD43E">
            <w:pPr>
              <w:adjustRightInd w:val="0"/>
              <w:snapToGrid w:val="0"/>
              <w:spacing w:line="300" w:lineRule="exact"/>
              <w:jc w:val="center"/>
              <w:rPr>
                <w:color w:val="auto"/>
                <w:szCs w:val="21"/>
                <w:highlight w:val="none"/>
              </w:rPr>
            </w:pPr>
          </w:p>
        </w:tc>
      </w:tr>
      <w:tr w14:paraId="5F110B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vMerge w:val="continue"/>
            <w:tcBorders>
              <w:bottom w:val="single" w:color="auto" w:sz="2" w:space="0"/>
              <w:right w:val="single" w:color="auto" w:sz="2" w:space="0"/>
            </w:tcBorders>
            <w:vAlign w:val="center"/>
          </w:tcPr>
          <w:p w14:paraId="64A92FB7">
            <w:pPr>
              <w:adjustRightInd w:val="0"/>
              <w:snapToGrid w:val="0"/>
              <w:spacing w:line="300" w:lineRule="exact"/>
              <w:jc w:val="center"/>
              <w:rPr>
                <w:color w:val="auto"/>
                <w:szCs w:val="21"/>
                <w:highlight w:val="none"/>
              </w:rPr>
            </w:pPr>
          </w:p>
        </w:tc>
        <w:tc>
          <w:tcPr>
            <w:tcW w:w="2716" w:type="dxa"/>
            <w:vMerge w:val="continue"/>
            <w:tcBorders>
              <w:left w:val="single" w:color="auto" w:sz="2" w:space="0"/>
              <w:bottom w:val="single" w:color="auto" w:sz="2" w:space="0"/>
              <w:right w:val="single" w:color="auto" w:sz="2" w:space="0"/>
            </w:tcBorders>
            <w:vAlign w:val="center"/>
          </w:tcPr>
          <w:p w14:paraId="28AEA51D">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0A00B4CC">
            <w:pPr>
              <w:adjustRightInd w:val="0"/>
              <w:snapToGrid w:val="0"/>
              <w:spacing w:line="300" w:lineRule="exact"/>
              <w:jc w:val="center"/>
              <w:rPr>
                <w:color w:val="auto"/>
                <w:szCs w:val="21"/>
                <w:highlight w:val="none"/>
              </w:rPr>
            </w:pPr>
            <w:r>
              <w:rPr>
                <w:rFonts w:hint="eastAsia"/>
                <w:color w:val="auto"/>
                <w:szCs w:val="21"/>
                <w:highlight w:val="none"/>
              </w:rPr>
              <w:t>拥有者性别</w:t>
            </w:r>
          </w:p>
        </w:tc>
        <w:tc>
          <w:tcPr>
            <w:tcW w:w="2383" w:type="dxa"/>
            <w:tcBorders>
              <w:top w:val="single" w:color="auto" w:sz="2" w:space="0"/>
              <w:left w:val="single" w:color="auto" w:sz="2" w:space="0"/>
              <w:bottom w:val="single" w:color="auto" w:sz="2" w:space="0"/>
            </w:tcBorders>
            <w:vAlign w:val="center"/>
          </w:tcPr>
          <w:p w14:paraId="14988024">
            <w:pPr>
              <w:adjustRightInd w:val="0"/>
              <w:snapToGrid w:val="0"/>
              <w:spacing w:line="300" w:lineRule="exact"/>
              <w:jc w:val="center"/>
              <w:rPr>
                <w:color w:val="auto"/>
                <w:spacing w:val="20"/>
                <w:szCs w:val="21"/>
                <w:highlight w:val="none"/>
              </w:rPr>
            </w:pPr>
          </w:p>
        </w:tc>
      </w:tr>
      <w:tr w14:paraId="27707C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3E3EE5CF">
            <w:pPr>
              <w:adjustRightInd w:val="0"/>
              <w:snapToGrid w:val="0"/>
              <w:spacing w:line="300" w:lineRule="exact"/>
              <w:jc w:val="center"/>
              <w:rPr>
                <w:color w:val="auto"/>
                <w:szCs w:val="21"/>
                <w:highlight w:val="none"/>
              </w:rPr>
            </w:pPr>
            <w:r>
              <w:rPr>
                <w:rFonts w:hint="eastAsia"/>
                <w:color w:val="auto"/>
                <w:szCs w:val="21"/>
                <w:highlight w:val="none"/>
              </w:rPr>
              <w:t>住  所</w:t>
            </w:r>
          </w:p>
        </w:tc>
        <w:tc>
          <w:tcPr>
            <w:tcW w:w="2716" w:type="dxa"/>
            <w:tcBorders>
              <w:top w:val="single" w:color="auto" w:sz="2" w:space="0"/>
              <w:left w:val="single" w:color="auto" w:sz="2" w:space="0"/>
              <w:bottom w:val="single" w:color="auto" w:sz="2" w:space="0"/>
              <w:right w:val="single" w:color="auto" w:sz="2" w:space="0"/>
            </w:tcBorders>
            <w:vAlign w:val="center"/>
          </w:tcPr>
          <w:p w14:paraId="0568832D">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116FC9B6">
            <w:pPr>
              <w:adjustRightInd w:val="0"/>
              <w:snapToGrid w:val="0"/>
              <w:spacing w:line="300" w:lineRule="exact"/>
              <w:jc w:val="center"/>
              <w:rPr>
                <w:color w:val="auto"/>
                <w:szCs w:val="21"/>
                <w:highlight w:val="none"/>
              </w:rPr>
            </w:pPr>
            <w:r>
              <w:rPr>
                <w:rFonts w:hint="eastAsia"/>
                <w:color w:val="auto"/>
                <w:szCs w:val="21"/>
                <w:highlight w:val="none"/>
              </w:rPr>
              <w:t>住  所</w:t>
            </w:r>
          </w:p>
        </w:tc>
        <w:tc>
          <w:tcPr>
            <w:tcW w:w="2383" w:type="dxa"/>
            <w:tcBorders>
              <w:top w:val="single" w:color="auto" w:sz="2" w:space="0"/>
              <w:left w:val="single" w:color="auto" w:sz="2" w:space="0"/>
              <w:bottom w:val="single" w:color="auto" w:sz="2" w:space="0"/>
            </w:tcBorders>
            <w:vAlign w:val="center"/>
          </w:tcPr>
          <w:p w14:paraId="5A591271">
            <w:pPr>
              <w:adjustRightInd w:val="0"/>
              <w:snapToGrid w:val="0"/>
              <w:spacing w:line="300" w:lineRule="exact"/>
              <w:jc w:val="center"/>
              <w:rPr>
                <w:color w:val="auto"/>
                <w:spacing w:val="20"/>
                <w:szCs w:val="21"/>
                <w:highlight w:val="none"/>
              </w:rPr>
            </w:pPr>
          </w:p>
        </w:tc>
      </w:tr>
      <w:tr w14:paraId="0FFC62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768372DA">
            <w:pPr>
              <w:adjustRightInd w:val="0"/>
              <w:snapToGrid w:val="0"/>
              <w:spacing w:line="300" w:lineRule="exact"/>
              <w:jc w:val="center"/>
              <w:rPr>
                <w:color w:val="auto"/>
                <w:szCs w:val="21"/>
                <w:highlight w:val="none"/>
              </w:rPr>
            </w:pPr>
            <w:r>
              <w:rPr>
                <w:color w:val="auto"/>
                <w:szCs w:val="21"/>
                <w:highlight w:val="none"/>
              </w:rPr>
              <w:t>联 系 人</w:t>
            </w:r>
          </w:p>
        </w:tc>
        <w:tc>
          <w:tcPr>
            <w:tcW w:w="2716" w:type="dxa"/>
            <w:tcBorders>
              <w:top w:val="single" w:color="auto" w:sz="2" w:space="0"/>
              <w:left w:val="single" w:color="auto" w:sz="2" w:space="0"/>
              <w:bottom w:val="single" w:color="auto" w:sz="2" w:space="0"/>
              <w:right w:val="single" w:color="auto" w:sz="2" w:space="0"/>
            </w:tcBorders>
            <w:vAlign w:val="center"/>
          </w:tcPr>
          <w:p w14:paraId="1A8D7DC1">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75398F3E">
            <w:pPr>
              <w:adjustRightInd w:val="0"/>
              <w:snapToGrid w:val="0"/>
              <w:spacing w:line="300" w:lineRule="exact"/>
              <w:jc w:val="center"/>
              <w:rPr>
                <w:color w:val="auto"/>
                <w:szCs w:val="21"/>
                <w:highlight w:val="none"/>
              </w:rPr>
            </w:pPr>
            <w:r>
              <w:rPr>
                <w:color w:val="auto"/>
                <w:szCs w:val="21"/>
                <w:highlight w:val="none"/>
              </w:rPr>
              <w:t>联 系 人</w:t>
            </w:r>
          </w:p>
        </w:tc>
        <w:tc>
          <w:tcPr>
            <w:tcW w:w="2383" w:type="dxa"/>
            <w:tcBorders>
              <w:top w:val="single" w:color="auto" w:sz="2" w:space="0"/>
              <w:left w:val="single" w:color="auto" w:sz="2" w:space="0"/>
              <w:bottom w:val="single" w:color="auto" w:sz="2" w:space="0"/>
            </w:tcBorders>
            <w:vAlign w:val="center"/>
          </w:tcPr>
          <w:p w14:paraId="67DF3370">
            <w:pPr>
              <w:adjustRightInd w:val="0"/>
              <w:snapToGrid w:val="0"/>
              <w:spacing w:line="300" w:lineRule="exact"/>
              <w:jc w:val="center"/>
              <w:rPr>
                <w:color w:val="auto"/>
                <w:spacing w:val="20"/>
                <w:szCs w:val="21"/>
                <w:highlight w:val="none"/>
              </w:rPr>
            </w:pPr>
          </w:p>
        </w:tc>
      </w:tr>
      <w:tr w14:paraId="181A10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5C12356D">
            <w:pPr>
              <w:adjustRightInd w:val="0"/>
              <w:snapToGrid w:val="0"/>
              <w:spacing w:line="300" w:lineRule="exact"/>
              <w:jc w:val="center"/>
              <w:rPr>
                <w:color w:val="auto"/>
                <w:szCs w:val="21"/>
                <w:highlight w:val="none"/>
              </w:rPr>
            </w:pPr>
            <w:r>
              <w:rPr>
                <w:color w:val="auto"/>
                <w:szCs w:val="21"/>
                <w:highlight w:val="none"/>
              </w:rPr>
              <w:t>联系电话</w:t>
            </w:r>
          </w:p>
        </w:tc>
        <w:tc>
          <w:tcPr>
            <w:tcW w:w="2716" w:type="dxa"/>
            <w:tcBorders>
              <w:top w:val="single" w:color="auto" w:sz="2" w:space="0"/>
              <w:left w:val="single" w:color="auto" w:sz="2" w:space="0"/>
              <w:bottom w:val="single" w:color="auto" w:sz="2" w:space="0"/>
              <w:right w:val="single" w:color="auto" w:sz="2" w:space="0"/>
            </w:tcBorders>
            <w:vAlign w:val="center"/>
          </w:tcPr>
          <w:p w14:paraId="5B58C677">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27E3FD0C">
            <w:pPr>
              <w:adjustRightInd w:val="0"/>
              <w:snapToGrid w:val="0"/>
              <w:spacing w:line="300" w:lineRule="exact"/>
              <w:jc w:val="center"/>
              <w:rPr>
                <w:color w:val="auto"/>
                <w:szCs w:val="21"/>
                <w:highlight w:val="none"/>
              </w:rPr>
            </w:pPr>
            <w:r>
              <w:rPr>
                <w:color w:val="auto"/>
                <w:szCs w:val="21"/>
                <w:highlight w:val="none"/>
              </w:rPr>
              <w:t>联系电话</w:t>
            </w:r>
          </w:p>
        </w:tc>
        <w:tc>
          <w:tcPr>
            <w:tcW w:w="2383" w:type="dxa"/>
            <w:tcBorders>
              <w:top w:val="single" w:color="auto" w:sz="2" w:space="0"/>
              <w:left w:val="single" w:color="auto" w:sz="2" w:space="0"/>
              <w:bottom w:val="single" w:color="auto" w:sz="2" w:space="0"/>
            </w:tcBorders>
            <w:vAlign w:val="center"/>
          </w:tcPr>
          <w:p w14:paraId="138EFF9B">
            <w:pPr>
              <w:adjustRightInd w:val="0"/>
              <w:snapToGrid w:val="0"/>
              <w:spacing w:line="300" w:lineRule="exact"/>
              <w:jc w:val="center"/>
              <w:rPr>
                <w:color w:val="auto"/>
                <w:spacing w:val="20"/>
                <w:szCs w:val="21"/>
                <w:highlight w:val="none"/>
              </w:rPr>
            </w:pPr>
          </w:p>
        </w:tc>
      </w:tr>
      <w:tr w14:paraId="2BBE15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66E34531">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2716" w:type="dxa"/>
            <w:tcBorders>
              <w:top w:val="single" w:color="auto" w:sz="2" w:space="0"/>
              <w:left w:val="single" w:color="auto" w:sz="2" w:space="0"/>
              <w:bottom w:val="single" w:color="auto" w:sz="2" w:space="0"/>
              <w:right w:val="single" w:color="auto" w:sz="2" w:space="0"/>
            </w:tcBorders>
            <w:vAlign w:val="center"/>
          </w:tcPr>
          <w:p w14:paraId="40A98521">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14B1F8C0">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2383" w:type="dxa"/>
            <w:tcBorders>
              <w:top w:val="single" w:color="auto" w:sz="2" w:space="0"/>
              <w:left w:val="single" w:color="auto" w:sz="2" w:space="0"/>
              <w:bottom w:val="single" w:color="auto" w:sz="2" w:space="0"/>
            </w:tcBorders>
            <w:vAlign w:val="center"/>
          </w:tcPr>
          <w:p w14:paraId="7B0AE108">
            <w:pPr>
              <w:adjustRightInd w:val="0"/>
              <w:snapToGrid w:val="0"/>
              <w:spacing w:line="300" w:lineRule="exact"/>
              <w:jc w:val="center"/>
              <w:rPr>
                <w:color w:val="auto"/>
                <w:spacing w:val="20"/>
                <w:szCs w:val="21"/>
                <w:highlight w:val="none"/>
              </w:rPr>
            </w:pPr>
          </w:p>
        </w:tc>
      </w:tr>
      <w:tr w14:paraId="35FAD6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2C410742">
            <w:pPr>
              <w:adjustRightInd w:val="0"/>
              <w:snapToGrid w:val="0"/>
              <w:spacing w:line="300" w:lineRule="exact"/>
              <w:jc w:val="center"/>
              <w:rPr>
                <w:color w:val="auto"/>
                <w:szCs w:val="21"/>
                <w:highlight w:val="none"/>
              </w:rPr>
            </w:pPr>
            <w:r>
              <w:rPr>
                <w:color w:val="auto"/>
                <w:szCs w:val="21"/>
                <w:highlight w:val="none"/>
              </w:rPr>
              <w:t>邮政编码</w:t>
            </w:r>
          </w:p>
        </w:tc>
        <w:tc>
          <w:tcPr>
            <w:tcW w:w="2716" w:type="dxa"/>
            <w:tcBorders>
              <w:top w:val="single" w:color="auto" w:sz="2" w:space="0"/>
              <w:left w:val="single" w:color="auto" w:sz="2" w:space="0"/>
              <w:bottom w:val="single" w:color="auto" w:sz="2" w:space="0"/>
              <w:right w:val="single" w:color="auto" w:sz="2" w:space="0"/>
            </w:tcBorders>
            <w:vAlign w:val="center"/>
          </w:tcPr>
          <w:p w14:paraId="76C7FF17">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2E593001">
            <w:pPr>
              <w:adjustRightInd w:val="0"/>
              <w:snapToGrid w:val="0"/>
              <w:spacing w:line="300" w:lineRule="exact"/>
              <w:jc w:val="center"/>
              <w:rPr>
                <w:color w:val="auto"/>
                <w:szCs w:val="21"/>
                <w:highlight w:val="none"/>
              </w:rPr>
            </w:pPr>
            <w:r>
              <w:rPr>
                <w:color w:val="auto"/>
                <w:szCs w:val="21"/>
                <w:highlight w:val="none"/>
              </w:rPr>
              <w:t>邮政编码</w:t>
            </w:r>
          </w:p>
        </w:tc>
        <w:tc>
          <w:tcPr>
            <w:tcW w:w="2383" w:type="dxa"/>
            <w:tcBorders>
              <w:top w:val="single" w:color="auto" w:sz="2" w:space="0"/>
              <w:left w:val="single" w:color="auto" w:sz="2" w:space="0"/>
              <w:bottom w:val="single" w:color="auto" w:sz="2" w:space="0"/>
            </w:tcBorders>
            <w:vAlign w:val="center"/>
          </w:tcPr>
          <w:p w14:paraId="5E94BA27">
            <w:pPr>
              <w:adjustRightInd w:val="0"/>
              <w:snapToGrid w:val="0"/>
              <w:spacing w:line="300" w:lineRule="exact"/>
              <w:jc w:val="center"/>
              <w:rPr>
                <w:color w:val="auto"/>
                <w:spacing w:val="20"/>
                <w:szCs w:val="21"/>
                <w:highlight w:val="none"/>
              </w:rPr>
            </w:pPr>
          </w:p>
        </w:tc>
      </w:tr>
      <w:tr w14:paraId="5CC9B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6628BCE7">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2716" w:type="dxa"/>
            <w:tcBorders>
              <w:top w:val="single" w:color="auto" w:sz="2" w:space="0"/>
              <w:left w:val="single" w:color="auto" w:sz="2" w:space="0"/>
              <w:bottom w:val="single" w:color="auto" w:sz="2" w:space="0"/>
              <w:right w:val="single" w:color="auto" w:sz="2" w:space="0"/>
            </w:tcBorders>
            <w:vAlign w:val="center"/>
          </w:tcPr>
          <w:p w14:paraId="6964961F">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32878A7D">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2383" w:type="dxa"/>
            <w:tcBorders>
              <w:top w:val="single" w:color="auto" w:sz="2" w:space="0"/>
              <w:left w:val="single" w:color="auto" w:sz="2" w:space="0"/>
              <w:bottom w:val="single" w:color="auto" w:sz="2" w:space="0"/>
            </w:tcBorders>
            <w:vAlign w:val="center"/>
          </w:tcPr>
          <w:p w14:paraId="286FB1D2">
            <w:pPr>
              <w:adjustRightInd w:val="0"/>
              <w:snapToGrid w:val="0"/>
              <w:spacing w:line="300" w:lineRule="exact"/>
              <w:jc w:val="center"/>
              <w:rPr>
                <w:color w:val="auto"/>
                <w:spacing w:val="20"/>
                <w:szCs w:val="21"/>
                <w:highlight w:val="none"/>
              </w:rPr>
            </w:pPr>
          </w:p>
        </w:tc>
      </w:tr>
      <w:tr w14:paraId="6CCC54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43AB5420">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2716" w:type="dxa"/>
            <w:tcBorders>
              <w:top w:val="single" w:color="auto" w:sz="2" w:space="0"/>
              <w:left w:val="single" w:color="auto" w:sz="2" w:space="0"/>
              <w:bottom w:val="single" w:color="auto" w:sz="2" w:space="0"/>
              <w:right w:val="single" w:color="auto" w:sz="2" w:space="0"/>
            </w:tcBorders>
            <w:vAlign w:val="center"/>
          </w:tcPr>
          <w:p w14:paraId="6457F09F">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364DC317">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2383" w:type="dxa"/>
            <w:tcBorders>
              <w:top w:val="single" w:color="auto" w:sz="2" w:space="0"/>
              <w:left w:val="single" w:color="auto" w:sz="2" w:space="0"/>
              <w:bottom w:val="single" w:color="auto" w:sz="2" w:space="0"/>
            </w:tcBorders>
            <w:vAlign w:val="center"/>
          </w:tcPr>
          <w:p w14:paraId="3A9265A7">
            <w:pPr>
              <w:adjustRightInd w:val="0"/>
              <w:snapToGrid w:val="0"/>
              <w:spacing w:line="300" w:lineRule="exact"/>
              <w:jc w:val="center"/>
              <w:rPr>
                <w:color w:val="auto"/>
                <w:spacing w:val="20"/>
                <w:szCs w:val="21"/>
                <w:highlight w:val="none"/>
              </w:rPr>
            </w:pPr>
          </w:p>
        </w:tc>
      </w:tr>
      <w:tr w14:paraId="400B3F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0C598AB0">
            <w:pPr>
              <w:adjustRightInd w:val="0"/>
              <w:snapToGrid w:val="0"/>
              <w:spacing w:line="300" w:lineRule="exact"/>
              <w:jc w:val="center"/>
              <w:rPr>
                <w:color w:val="auto"/>
                <w:szCs w:val="21"/>
                <w:highlight w:val="none"/>
              </w:rPr>
            </w:pPr>
          </w:p>
        </w:tc>
        <w:tc>
          <w:tcPr>
            <w:tcW w:w="2716" w:type="dxa"/>
            <w:tcBorders>
              <w:top w:val="single" w:color="auto" w:sz="2" w:space="0"/>
              <w:left w:val="single" w:color="auto" w:sz="2" w:space="0"/>
              <w:bottom w:val="single" w:color="auto" w:sz="2" w:space="0"/>
              <w:right w:val="single" w:color="auto" w:sz="2" w:space="0"/>
            </w:tcBorders>
            <w:vAlign w:val="center"/>
          </w:tcPr>
          <w:p w14:paraId="4A0A4B2D">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5D3001F8">
            <w:pPr>
              <w:adjustRightInd w:val="0"/>
              <w:snapToGrid w:val="0"/>
              <w:spacing w:line="300" w:lineRule="exact"/>
              <w:jc w:val="center"/>
              <w:rPr>
                <w:color w:val="auto"/>
                <w:szCs w:val="21"/>
                <w:highlight w:val="none"/>
              </w:rPr>
            </w:pPr>
            <w:r>
              <w:rPr>
                <w:color w:val="auto"/>
                <w:szCs w:val="21"/>
                <w:highlight w:val="none"/>
              </w:rPr>
              <w:t>开户名称</w:t>
            </w:r>
          </w:p>
        </w:tc>
        <w:tc>
          <w:tcPr>
            <w:tcW w:w="2383" w:type="dxa"/>
            <w:tcBorders>
              <w:top w:val="single" w:color="auto" w:sz="2" w:space="0"/>
              <w:left w:val="single" w:color="auto" w:sz="2" w:space="0"/>
              <w:bottom w:val="single" w:color="auto" w:sz="2" w:space="0"/>
            </w:tcBorders>
            <w:vAlign w:val="center"/>
          </w:tcPr>
          <w:p w14:paraId="4332AD04">
            <w:pPr>
              <w:adjustRightInd w:val="0"/>
              <w:snapToGrid w:val="0"/>
              <w:spacing w:line="300" w:lineRule="exact"/>
              <w:jc w:val="center"/>
              <w:rPr>
                <w:color w:val="auto"/>
                <w:spacing w:val="20"/>
                <w:szCs w:val="21"/>
                <w:highlight w:val="none"/>
              </w:rPr>
            </w:pPr>
          </w:p>
        </w:tc>
      </w:tr>
      <w:tr w14:paraId="165C8A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0FAE37D4">
            <w:pPr>
              <w:adjustRightInd w:val="0"/>
              <w:snapToGrid w:val="0"/>
              <w:spacing w:line="300" w:lineRule="exact"/>
              <w:jc w:val="center"/>
              <w:rPr>
                <w:color w:val="auto"/>
                <w:szCs w:val="21"/>
                <w:highlight w:val="none"/>
              </w:rPr>
            </w:pPr>
          </w:p>
        </w:tc>
        <w:tc>
          <w:tcPr>
            <w:tcW w:w="2716" w:type="dxa"/>
            <w:tcBorders>
              <w:top w:val="single" w:color="auto" w:sz="2" w:space="0"/>
              <w:left w:val="single" w:color="auto" w:sz="2" w:space="0"/>
              <w:bottom w:val="single" w:color="auto" w:sz="2" w:space="0"/>
              <w:right w:val="single" w:color="auto" w:sz="2" w:space="0"/>
            </w:tcBorders>
            <w:vAlign w:val="center"/>
          </w:tcPr>
          <w:p w14:paraId="11C7E9A0">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60F1ADF7">
            <w:pPr>
              <w:adjustRightInd w:val="0"/>
              <w:snapToGrid w:val="0"/>
              <w:spacing w:line="300" w:lineRule="exact"/>
              <w:jc w:val="center"/>
              <w:rPr>
                <w:color w:val="auto"/>
                <w:szCs w:val="21"/>
                <w:highlight w:val="none"/>
              </w:rPr>
            </w:pPr>
            <w:r>
              <w:rPr>
                <w:color w:val="auto"/>
                <w:szCs w:val="21"/>
                <w:highlight w:val="none"/>
              </w:rPr>
              <w:t>开户银行</w:t>
            </w:r>
          </w:p>
        </w:tc>
        <w:tc>
          <w:tcPr>
            <w:tcW w:w="2383" w:type="dxa"/>
            <w:tcBorders>
              <w:top w:val="single" w:color="auto" w:sz="2" w:space="0"/>
              <w:left w:val="single" w:color="auto" w:sz="2" w:space="0"/>
              <w:bottom w:val="single" w:color="auto" w:sz="2" w:space="0"/>
            </w:tcBorders>
            <w:vAlign w:val="center"/>
          </w:tcPr>
          <w:p w14:paraId="4EAFEAF4">
            <w:pPr>
              <w:adjustRightInd w:val="0"/>
              <w:snapToGrid w:val="0"/>
              <w:spacing w:line="300" w:lineRule="exact"/>
              <w:jc w:val="center"/>
              <w:rPr>
                <w:color w:val="auto"/>
                <w:spacing w:val="20"/>
                <w:szCs w:val="21"/>
                <w:highlight w:val="none"/>
              </w:rPr>
            </w:pPr>
          </w:p>
        </w:tc>
      </w:tr>
      <w:tr w14:paraId="4D0C63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0" w:type="dxa"/>
            <w:tcBorders>
              <w:top w:val="single" w:color="auto" w:sz="2" w:space="0"/>
              <w:bottom w:val="single" w:color="auto" w:sz="2" w:space="0"/>
              <w:right w:val="single" w:color="auto" w:sz="2" w:space="0"/>
            </w:tcBorders>
            <w:vAlign w:val="center"/>
          </w:tcPr>
          <w:p w14:paraId="245A641D">
            <w:pPr>
              <w:adjustRightInd w:val="0"/>
              <w:snapToGrid w:val="0"/>
              <w:spacing w:line="300" w:lineRule="exact"/>
              <w:jc w:val="center"/>
              <w:rPr>
                <w:color w:val="auto"/>
                <w:szCs w:val="21"/>
                <w:highlight w:val="none"/>
              </w:rPr>
            </w:pPr>
          </w:p>
        </w:tc>
        <w:tc>
          <w:tcPr>
            <w:tcW w:w="2716" w:type="dxa"/>
            <w:tcBorders>
              <w:top w:val="single" w:color="auto" w:sz="2" w:space="0"/>
              <w:left w:val="single" w:color="auto" w:sz="2" w:space="0"/>
              <w:bottom w:val="single" w:color="auto" w:sz="2" w:space="0"/>
              <w:right w:val="single" w:color="auto" w:sz="2" w:space="0"/>
            </w:tcBorders>
            <w:vAlign w:val="center"/>
          </w:tcPr>
          <w:p w14:paraId="261B134B">
            <w:pPr>
              <w:adjustRightInd w:val="0"/>
              <w:snapToGrid w:val="0"/>
              <w:spacing w:line="300" w:lineRule="exact"/>
              <w:jc w:val="center"/>
              <w:rPr>
                <w:color w:val="auto"/>
                <w:szCs w:val="21"/>
                <w:highlight w:val="none"/>
              </w:rPr>
            </w:pPr>
          </w:p>
        </w:tc>
        <w:tc>
          <w:tcPr>
            <w:tcW w:w="2228" w:type="dxa"/>
            <w:tcBorders>
              <w:top w:val="single" w:color="auto" w:sz="2" w:space="0"/>
              <w:left w:val="single" w:color="auto" w:sz="2" w:space="0"/>
              <w:bottom w:val="single" w:color="auto" w:sz="2" w:space="0"/>
              <w:right w:val="single" w:color="auto" w:sz="2" w:space="0"/>
            </w:tcBorders>
            <w:vAlign w:val="center"/>
          </w:tcPr>
          <w:p w14:paraId="0E4153C1">
            <w:pPr>
              <w:adjustRightInd w:val="0"/>
              <w:snapToGrid w:val="0"/>
              <w:spacing w:line="300" w:lineRule="exact"/>
              <w:jc w:val="center"/>
              <w:rPr>
                <w:color w:val="auto"/>
                <w:szCs w:val="21"/>
                <w:highlight w:val="none"/>
              </w:rPr>
            </w:pPr>
            <w:r>
              <w:rPr>
                <w:color w:val="auto"/>
                <w:szCs w:val="21"/>
                <w:highlight w:val="none"/>
              </w:rPr>
              <w:t>银行账号</w:t>
            </w:r>
          </w:p>
        </w:tc>
        <w:tc>
          <w:tcPr>
            <w:tcW w:w="2383" w:type="dxa"/>
            <w:tcBorders>
              <w:top w:val="single" w:color="auto" w:sz="2" w:space="0"/>
              <w:left w:val="single" w:color="auto" w:sz="2" w:space="0"/>
              <w:bottom w:val="single" w:color="auto" w:sz="2" w:space="0"/>
            </w:tcBorders>
            <w:vAlign w:val="center"/>
          </w:tcPr>
          <w:p w14:paraId="21E8397D">
            <w:pPr>
              <w:adjustRightInd w:val="0"/>
              <w:snapToGrid w:val="0"/>
              <w:spacing w:line="300" w:lineRule="exact"/>
              <w:jc w:val="center"/>
              <w:rPr>
                <w:color w:val="auto"/>
                <w:spacing w:val="20"/>
                <w:szCs w:val="21"/>
                <w:highlight w:val="none"/>
              </w:rPr>
            </w:pPr>
          </w:p>
        </w:tc>
      </w:tr>
      <w:tr w14:paraId="5EEB33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457" w:type="dxa"/>
            <w:gridSpan w:val="4"/>
            <w:tcBorders>
              <w:top w:val="single" w:color="auto" w:sz="2" w:space="0"/>
            </w:tcBorders>
            <w:vAlign w:val="center"/>
          </w:tcPr>
          <w:p w14:paraId="00D67EB5">
            <w:pPr>
              <w:pStyle w:val="6"/>
              <w:adjustRightInd w:val="0"/>
              <w:spacing w:beforeLines="50" w:line="360" w:lineRule="auto"/>
              <w:jc w:val="left"/>
              <w:rPr>
                <w:color w:val="auto"/>
                <w:spacing w:val="20"/>
                <w:sz w:val="21"/>
                <w:szCs w:val="21"/>
                <w:highlight w:val="none"/>
              </w:rPr>
            </w:pPr>
            <w:r>
              <w:rPr>
                <w:rFonts w:hint="eastAsia" w:ascii="宋体" w:hAnsi="宋体"/>
                <w:color w:val="auto"/>
                <w:sz w:val="21"/>
                <w:szCs w:val="21"/>
                <w:highlight w:val="none"/>
              </w:rPr>
              <w:t>注：涉及联合体或其他合同主体的信息应按上表格式加列。</w:t>
            </w:r>
          </w:p>
        </w:tc>
      </w:tr>
    </w:tbl>
    <w:p w14:paraId="10AD28F5">
      <w:pPr>
        <w:pStyle w:val="3"/>
        <w:adjustRightInd w:val="0"/>
        <w:snapToGrid w:val="0"/>
        <w:spacing w:beforeLines="50"/>
        <w:jc w:val="center"/>
        <w:rPr>
          <w:rFonts w:ascii="黑体" w:hAnsi="黑体" w:eastAsia="黑体"/>
          <w:color w:val="auto"/>
          <w:sz w:val="28"/>
          <w:szCs w:val="28"/>
          <w:highlight w:val="none"/>
        </w:rPr>
      </w:pPr>
      <w:r>
        <w:rPr>
          <w:rFonts w:ascii="宋体" w:hAnsi="宋体"/>
          <w:color w:val="auto"/>
          <w:sz w:val="21"/>
          <w:szCs w:val="21"/>
          <w:highlight w:val="none"/>
          <w:u w:val="single"/>
        </w:rPr>
        <w:br w:type="page"/>
      </w:r>
      <w:bookmarkStart w:id="52" w:name="_Toc27624"/>
      <w:bookmarkStart w:id="53" w:name="_Toc209083649"/>
      <w:bookmarkStart w:id="54" w:name="_Toc191287886"/>
      <w:r>
        <w:rPr>
          <w:rFonts w:hint="eastAsia" w:ascii="黑体" w:hAnsi="黑体" w:eastAsia="黑体"/>
          <w:b w:val="0"/>
          <w:bCs w:val="0"/>
          <w:color w:val="auto"/>
          <w:sz w:val="28"/>
          <w:szCs w:val="28"/>
          <w:highlight w:val="none"/>
        </w:rPr>
        <w:t>第二节 政府采购合同通用条款</w:t>
      </w:r>
      <w:bookmarkEnd w:id="52"/>
      <w:bookmarkEnd w:id="53"/>
      <w:bookmarkEnd w:id="54"/>
    </w:p>
    <w:p w14:paraId="3AF44890">
      <w:pPr>
        <w:tabs>
          <w:tab w:val="left" w:pos="8820"/>
          <w:tab w:val="left" w:pos="9345"/>
          <w:tab w:val="left" w:pos="9765"/>
        </w:tabs>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14:paraId="0BED5B4C">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514D412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14:paraId="5D35BA0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67FD87E6">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01FC7E7E">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C1B945E">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7629A642">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3DC7E8E1">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14:paraId="1B9ECB4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14:paraId="454B5945">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2A7690D1">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2F3DA785">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2620B26B">
      <w:pPr>
        <w:widowControl w:val="0"/>
        <w:numPr>
          <w:ilvl w:val="0"/>
          <w:numId w:val="5"/>
        </w:numPr>
        <w:autoSpaceDE w:val="0"/>
        <w:autoSpaceDN w:val="0"/>
        <w:adjustRightInd w:val="0"/>
        <w:snapToGrid w:val="0"/>
        <w:spacing w:line="400" w:lineRule="exact"/>
        <w:jc w:val="left"/>
        <w:textAlignment w:val="auto"/>
        <w:rPr>
          <w:rFonts w:ascii="宋体" w:hAnsi="宋体"/>
          <w:b/>
          <w:bCs/>
          <w:color w:val="auto"/>
          <w:sz w:val="24"/>
          <w:highlight w:val="none"/>
        </w:rPr>
      </w:pPr>
      <w:r>
        <w:rPr>
          <w:rFonts w:hint="eastAsia" w:ascii="宋体" w:hAnsi="宋体"/>
          <w:b/>
          <w:color w:val="auto"/>
          <w:sz w:val="24"/>
          <w:highlight w:val="none"/>
        </w:rPr>
        <w:t>合同标的及金额</w:t>
      </w:r>
    </w:p>
    <w:p w14:paraId="3301053E">
      <w:pPr>
        <w:autoSpaceDE w:val="0"/>
        <w:autoSpaceDN w:val="0"/>
        <w:adjustRightInd w:val="0"/>
        <w:snapToGrid w:val="0"/>
        <w:spacing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14:paraId="1CFDCFF3">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2986AD5F">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231019B8">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335754E0">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37301D21">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4C1F3BB8">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3甲方</w:t>
      </w:r>
      <w:r>
        <w:rPr>
          <w:rFonts w:hint="eastAsia" w:ascii="宋体" w:hAnsi="宋体"/>
          <w:color w:val="auto"/>
          <w:szCs w:val="21"/>
          <w:highlight w:val="none"/>
        </w:rPr>
        <w:t>有权要求乙方对缺陷部分予以修复，并按合同约定享有货物保修及其他合同约定的权利。</w:t>
      </w:r>
    </w:p>
    <w:p w14:paraId="4A95430F">
      <w:pPr>
        <w:snapToGrid w:val="0"/>
        <w:spacing w:line="400" w:lineRule="exact"/>
        <w:ind w:firstLine="420" w:firstLineChars="20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6EEA26BE">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 xml:space="preserve">5 </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6A0B1A32">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4.6国家法律法规规定及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1AA397C2">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5F58DDF3">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2A35F05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308175F5">
      <w:pPr>
        <w:pStyle w:val="5"/>
        <w:spacing w:after="0" w:line="400" w:lineRule="exact"/>
        <w:ind w:firstLine="315" w:firstLineChars="15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2968A9EE">
      <w:pPr>
        <w:pStyle w:val="5"/>
        <w:spacing w:after="0" w:line="400" w:lineRule="exact"/>
        <w:ind w:firstLine="210" w:firstLineChars="10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4A3B5AF1">
      <w:pPr>
        <w:widowControl w:val="0"/>
        <w:numPr>
          <w:ilvl w:val="0"/>
          <w:numId w:val="6"/>
        </w:numPr>
        <w:autoSpaceDE w:val="0"/>
        <w:autoSpaceDN w:val="0"/>
        <w:adjustRightInd w:val="0"/>
        <w:snapToGrid w:val="0"/>
        <w:spacing w:line="400" w:lineRule="exact"/>
        <w:jc w:val="left"/>
        <w:textAlignment w:val="auto"/>
        <w:rPr>
          <w:rFonts w:ascii="宋体" w:hAnsi="宋体"/>
          <w:b/>
          <w:bCs/>
          <w:color w:val="auto"/>
          <w:sz w:val="24"/>
          <w:highlight w:val="none"/>
        </w:rPr>
      </w:pPr>
      <w:r>
        <w:rPr>
          <w:rFonts w:hint="eastAsia" w:ascii="宋体" w:hAnsi="宋体"/>
          <w:b/>
          <w:bCs/>
          <w:color w:val="auto"/>
          <w:sz w:val="24"/>
          <w:highlight w:val="none"/>
        </w:rPr>
        <w:t>合同履行</w:t>
      </w:r>
    </w:p>
    <w:p w14:paraId="05050302">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2AF6152D">
      <w:pPr>
        <w:autoSpaceDE w:val="0"/>
        <w:autoSpaceDN w:val="0"/>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2CC997B4">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599A48B9">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78774D8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1453B894">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0E9F1B01">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167E12E">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3E18E90B">
      <w:pPr>
        <w:pStyle w:val="65"/>
        <w:ind w:firstLine="420"/>
        <w:rPr>
          <w:color w:val="auto"/>
          <w:sz w:val="21"/>
          <w:highlight w:val="none"/>
        </w:rPr>
      </w:pPr>
      <w:r>
        <w:rPr>
          <w:rFonts w:hint="eastAsia" w:ascii="宋体" w:hAnsi="宋体" w:eastAsia="宋体" w:cs="Times New Roman"/>
          <w:color w:val="auto"/>
          <w:kern w:val="2"/>
          <w:sz w:val="21"/>
          <w:highlight w:val="none"/>
        </w:rPr>
        <w:t>7.6 如因包装、运输问题导致货物损毁、丢失或者品质下降，甲方有权要求降价、换货、拒收部分或整批货物，由此产生的费用和损失，均由乙方承担。</w:t>
      </w:r>
    </w:p>
    <w:p w14:paraId="47CB7DC8">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8. 质量标准和保证</w:t>
      </w:r>
    </w:p>
    <w:p w14:paraId="4650BF6E">
      <w:pPr>
        <w:pStyle w:val="7"/>
        <w:adjustRightInd w:val="0"/>
        <w:snapToGrid w:val="0"/>
        <w:spacing w:line="400" w:lineRule="exact"/>
        <w:ind w:firstLine="420" w:firstLineChars="200"/>
        <w:jc w:val="left"/>
        <w:rPr>
          <w:rFonts w:hAnsi="宋体"/>
          <w:b/>
          <w:color w:val="auto"/>
          <w:highlight w:val="none"/>
        </w:rPr>
      </w:pPr>
      <w:r>
        <w:rPr>
          <w:rFonts w:hint="eastAsia" w:hAnsi="宋体"/>
          <w:color w:val="auto"/>
          <w:highlight w:val="none"/>
        </w:rPr>
        <w:t>8.1 质量标准</w:t>
      </w:r>
    </w:p>
    <w:p w14:paraId="2C53A595">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3583E3F">
      <w:pPr>
        <w:pStyle w:val="7"/>
        <w:adjustRightInd w:val="0"/>
        <w:snapToGrid w:val="0"/>
        <w:spacing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01045DFE">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31099072">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1AD838D4">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8.2 保证</w:t>
      </w:r>
    </w:p>
    <w:p w14:paraId="1ABA295E">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767FA80F">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4745D6CA">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D8A873F">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FE9D8D8">
      <w:pPr>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170EDBB6">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9. 权利瑕疵担保</w:t>
      </w:r>
    </w:p>
    <w:p w14:paraId="6AB67505">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14:paraId="74F213A8">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4969C380">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2BA4B757">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10. 知识产权保护</w:t>
      </w:r>
    </w:p>
    <w:p w14:paraId="4D793298">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bookmarkStart w:id="55" w:name="_Hlk163047038"/>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55"/>
      <w:r>
        <w:rPr>
          <w:rFonts w:hint="eastAsia" w:ascii="宋体" w:hAnsi="宋体"/>
          <w:color w:val="auto"/>
          <w:szCs w:val="21"/>
          <w:highlight w:val="none"/>
        </w:rPr>
        <w:t>。</w:t>
      </w:r>
    </w:p>
    <w:p w14:paraId="016CC9D3">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11. 保密义务</w:t>
      </w:r>
    </w:p>
    <w:p w14:paraId="270E80FA">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42F6B957">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12. 合同价款支付</w:t>
      </w:r>
    </w:p>
    <w:p w14:paraId="02BD0D88">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792CDE3E">
      <w:pPr>
        <w:pStyle w:val="3"/>
        <w:spacing w:line="400" w:lineRule="exact"/>
        <w:ind w:firstLine="420" w:firstLineChars="200"/>
        <w:rPr>
          <w:color w:val="auto"/>
          <w:highlight w:val="none"/>
        </w:rPr>
      </w:pPr>
      <w:bookmarkStart w:id="56" w:name="_Toc209083650"/>
      <w:bookmarkStart w:id="57" w:name="_Toc191287887"/>
      <w:r>
        <w:rPr>
          <w:rFonts w:hint="eastAsia" w:ascii="宋体" w:hAnsi="宋体"/>
          <w:b w:val="0"/>
          <w:bCs w:val="0"/>
          <w:color w:val="auto"/>
          <w:sz w:val="21"/>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auto"/>
          <w:sz w:val="21"/>
          <w:szCs w:val="21"/>
          <w:highlight w:val="none"/>
        </w:rPr>
        <w:t>政府采购合同专用条款</w:t>
      </w:r>
      <w:r>
        <w:rPr>
          <w:rFonts w:hint="eastAsia" w:ascii="宋体" w:hAnsi="宋体"/>
          <w:b w:val="0"/>
          <w:bCs w:val="0"/>
          <w:color w:val="auto"/>
          <w:sz w:val="21"/>
          <w:szCs w:val="21"/>
          <w:highlight w:val="none"/>
        </w:rPr>
        <w:t>】中约定。</w:t>
      </w:r>
      <w:bookmarkEnd w:id="56"/>
      <w:bookmarkEnd w:id="57"/>
    </w:p>
    <w:p w14:paraId="3E2AAFEC">
      <w:pPr>
        <w:pStyle w:val="5"/>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13. 履约保证金</w:t>
      </w:r>
    </w:p>
    <w:p w14:paraId="4C6E1299">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45AD02D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79EB494A">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0AF7601B">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6B820739">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0DFD6A08">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66156FD7">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14754FE5">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1068F51E">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0B1D6B43">
      <w:pPr>
        <w:pStyle w:val="65"/>
        <w:ind w:firstLine="420"/>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29662674">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7C5B247A">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103EE325">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15. 违约责任</w:t>
      </w:r>
    </w:p>
    <w:p w14:paraId="1C2FD90B">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15.1质量瑕疵的违约责任</w:t>
      </w:r>
    </w:p>
    <w:p w14:paraId="2CAFBC9F">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66A658EA">
      <w:pPr>
        <w:autoSpaceDE w:val="0"/>
        <w:autoSpaceDN w:val="0"/>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91CC53C">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629B1CF">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6BF3AEE4">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 迟延支付的违约责任</w:t>
      </w:r>
    </w:p>
    <w:p w14:paraId="22BD2173">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21A480CE">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2FCE2BE0">
      <w:pPr>
        <w:widowControl w:val="0"/>
        <w:numPr>
          <w:ilvl w:val="0"/>
          <w:numId w:val="7"/>
        </w:numPr>
        <w:autoSpaceDE w:val="0"/>
        <w:autoSpaceDN w:val="0"/>
        <w:adjustRightInd w:val="0"/>
        <w:snapToGrid w:val="0"/>
        <w:spacing w:line="400" w:lineRule="exact"/>
        <w:jc w:val="left"/>
        <w:textAlignment w:val="auto"/>
        <w:rPr>
          <w:rFonts w:ascii="宋体" w:hAnsi="宋体"/>
          <w:b/>
          <w:color w:val="auto"/>
          <w:sz w:val="24"/>
          <w:highlight w:val="none"/>
        </w:rPr>
      </w:pPr>
      <w:r>
        <w:rPr>
          <w:rFonts w:hint="eastAsia" w:ascii="宋体" w:hAnsi="宋体"/>
          <w:b/>
          <w:color w:val="auto"/>
          <w:sz w:val="24"/>
          <w:highlight w:val="none"/>
        </w:rPr>
        <w:t>合同变更、中止与终止</w:t>
      </w:r>
    </w:p>
    <w:p w14:paraId="619FE93F">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 xml:space="preserve">    16.1合同的变更</w:t>
      </w:r>
    </w:p>
    <w:p w14:paraId="56F770A9">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1933B670">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16.2合同的中止</w:t>
      </w:r>
    </w:p>
    <w:p w14:paraId="5E0F3DC1">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69A0125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28445A7">
      <w:pPr>
        <w:pStyle w:val="65"/>
        <w:ind w:firstLine="420"/>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（3）乙方分立、合并或者变更住所的，应当及时以书面形式告知甲方。乙方没有及时告知甲方，致使合同履行发生困难的，甲方可以中止合同履行并要求乙方承担由此给甲方造成的损失。</w:t>
      </w:r>
    </w:p>
    <w:p w14:paraId="26120202">
      <w:pPr>
        <w:snapToGrid w:val="0"/>
        <w:spacing w:line="400" w:lineRule="exact"/>
        <w:ind w:firstLine="420" w:firstLineChars="20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2F898812">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16.3合同的终止</w:t>
      </w:r>
    </w:p>
    <w:p w14:paraId="25659BF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79C114A1">
      <w:pPr>
        <w:snapToGrid w:val="0"/>
        <w:spacing w:line="400" w:lineRule="exact"/>
        <w:ind w:firstLine="420" w:firstLineChars="20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6711BC25">
      <w:pPr>
        <w:pStyle w:val="65"/>
        <w:rPr>
          <w:rFonts w:ascii="宋体" w:hAnsi="宋体"/>
          <w:color w:val="auto"/>
          <w:highlight w:val="none"/>
        </w:rPr>
      </w:pPr>
      <w:r>
        <w:rPr>
          <w:rFonts w:hint="eastAsia" w:ascii="宋体" w:hAnsi="宋体"/>
          <w:color w:val="auto"/>
          <w:highlight w:val="none"/>
        </w:rPr>
        <w:t xml:space="preserve">16.4 </w:t>
      </w:r>
      <w:r>
        <w:rPr>
          <w:rFonts w:hint="eastAsia" w:ascii="宋体" w:hAnsi="宋体" w:eastAsia="宋体" w:cs="Times New Roman"/>
          <w:color w:val="auto"/>
          <w:kern w:val="2"/>
          <w:sz w:val="21"/>
          <w:highlight w:val="none"/>
        </w:rPr>
        <w:t>涉及国家利益、社会公共利益的情形</w:t>
      </w:r>
    </w:p>
    <w:p w14:paraId="02A073F9">
      <w:pPr>
        <w:pStyle w:val="65"/>
        <w:ind w:firstLine="420"/>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61659CB0">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17. 合同分包</w:t>
      </w:r>
    </w:p>
    <w:p w14:paraId="3A36A700">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56A04C08">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5E99606E">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18. 不可抗力</w:t>
      </w:r>
    </w:p>
    <w:p w14:paraId="6B4EE5E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275E6D31">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62FE3267">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D0D318E">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19. 解决争议的方法</w:t>
      </w:r>
    </w:p>
    <w:p w14:paraId="4DD5D59A">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E3E62BE">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56F4889E">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1E52C25B">
      <w:pPr>
        <w:autoSpaceDE w:val="0"/>
        <w:autoSpaceDN w:val="0"/>
        <w:adjustRightInd w:val="0"/>
        <w:snapToGrid w:val="0"/>
        <w:spacing w:line="400" w:lineRule="exact"/>
        <w:jc w:val="left"/>
        <w:rPr>
          <w:rFonts w:ascii="宋体" w:hAnsi="宋体"/>
          <w:color w:val="auto"/>
          <w:sz w:val="24"/>
          <w:highlight w:val="none"/>
        </w:rPr>
      </w:pPr>
      <w:r>
        <w:rPr>
          <w:rFonts w:hint="eastAsia" w:ascii="宋体" w:hAnsi="宋体"/>
          <w:b/>
          <w:color w:val="auto"/>
          <w:sz w:val="24"/>
          <w:highlight w:val="none"/>
        </w:rPr>
        <w:t>20. 政府采购政策</w:t>
      </w:r>
    </w:p>
    <w:p w14:paraId="4B6F14B7">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77C0F47D">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68F21917">
      <w:pPr>
        <w:pStyle w:val="5"/>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E872294">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21. 法律适用</w:t>
      </w:r>
    </w:p>
    <w:p w14:paraId="0DA11FEF">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7343983C">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6EE5F2BF">
      <w:pPr>
        <w:numPr>
          <w:ilvl w:val="255"/>
          <w:numId w:val="0"/>
        </w:num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22. 通知</w:t>
      </w:r>
    </w:p>
    <w:p w14:paraId="00E2C7AD">
      <w:pPr>
        <w:pStyle w:val="65"/>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22.1 本合同任何一方向对方发出的通知、信件、数据电文等，应当发送至本合同第一部分《政府采购合同协议书》所约定的通讯地址、联系人、联系电话或电子邮箱。</w:t>
      </w:r>
    </w:p>
    <w:p w14:paraId="6E40DDCB">
      <w:pPr>
        <w:pStyle w:val="65"/>
        <w:ind w:firstLine="0" w:firstLineChars="0"/>
        <w:jc w:val="both"/>
        <w:rPr>
          <w:color w:val="auto"/>
          <w:sz w:val="21"/>
          <w:highlight w:val="none"/>
        </w:rPr>
      </w:pPr>
      <w:r>
        <w:rPr>
          <w:rFonts w:hint="eastAsia" w:ascii="宋体" w:hAnsi="宋体" w:eastAsia="宋体" w:cs="宋体"/>
          <w:color w:val="auto"/>
          <w:sz w:val="21"/>
          <w:highlight w:val="none"/>
        </w:rPr>
        <w:t xml:space="preserve">    22.2 一方当事人变更名称、住所、联系人、联系电话或电子邮箱等信息的，应当在变更后3日内及时书面通知对方，对方实际收到变更通知前的送达仍为有效送达。</w:t>
      </w:r>
    </w:p>
    <w:p w14:paraId="360D3ED8">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6460B013">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4221EB23">
      <w:pPr>
        <w:widowControl w:val="0"/>
        <w:numPr>
          <w:ilvl w:val="0"/>
          <w:numId w:val="8"/>
        </w:numPr>
        <w:adjustRightInd w:val="0"/>
        <w:snapToGrid w:val="0"/>
        <w:spacing w:line="400" w:lineRule="exact"/>
        <w:jc w:val="left"/>
        <w:textAlignment w:val="auto"/>
        <w:rPr>
          <w:rFonts w:ascii="宋体" w:hAnsi="宋体"/>
          <w:b/>
          <w:bCs/>
          <w:color w:val="auto"/>
          <w:sz w:val="24"/>
          <w:highlight w:val="none"/>
        </w:rPr>
      </w:pPr>
      <w:r>
        <w:rPr>
          <w:rFonts w:hint="eastAsia" w:ascii="宋体" w:hAnsi="宋体"/>
          <w:b/>
          <w:bCs/>
          <w:color w:val="auto"/>
          <w:sz w:val="24"/>
          <w:highlight w:val="none"/>
        </w:rPr>
        <w:t>合同未尽事项</w:t>
      </w:r>
    </w:p>
    <w:p w14:paraId="37887162">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61D91922">
      <w:pPr>
        <w:adjustRightInd w:val="0"/>
        <w:snapToGrid w:val="0"/>
        <w:spacing w:line="400" w:lineRule="exact"/>
        <w:jc w:val="left"/>
        <w:rPr>
          <w:rFonts w:ascii="黑体" w:hAnsi="华文中宋" w:eastAsia="黑体"/>
          <w:color w:val="auto"/>
          <w:sz w:val="28"/>
          <w:szCs w:val="28"/>
          <w:highlight w:val="none"/>
        </w:rPr>
      </w:pPr>
      <w:r>
        <w:rPr>
          <w:rFonts w:hint="eastAsia" w:ascii="宋体" w:hAnsi="宋体"/>
          <w:bCs/>
          <w:color w:val="auto"/>
          <w:szCs w:val="21"/>
          <w:highlight w:val="none"/>
        </w:rPr>
        <w:t xml:space="preserve">    23.2 合同附件与合同正文具有同等的法律效力。</w:t>
      </w:r>
      <w:bookmarkStart w:id="58" w:name="_Toc20313"/>
    </w:p>
    <w:p w14:paraId="1FE70765">
      <w:pPr>
        <w:adjustRightInd w:val="0"/>
        <w:snapToGrid w:val="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r>
    </w:p>
    <w:p w14:paraId="5EFC279D">
      <w:pPr>
        <w:pStyle w:val="3"/>
        <w:adjustRightInd w:val="0"/>
        <w:snapToGrid w:val="0"/>
        <w:jc w:val="center"/>
        <w:rPr>
          <w:rFonts w:ascii="黑体" w:hAnsi="华文中宋" w:eastAsia="黑体"/>
          <w:b w:val="0"/>
          <w:bCs w:val="0"/>
          <w:color w:val="auto"/>
          <w:sz w:val="28"/>
          <w:szCs w:val="28"/>
          <w:highlight w:val="none"/>
        </w:rPr>
      </w:pPr>
      <w:bookmarkStart w:id="59" w:name="_Toc191287888"/>
      <w:bookmarkStart w:id="60" w:name="_Toc209083651"/>
      <w:r>
        <w:rPr>
          <w:rFonts w:hint="eastAsia" w:ascii="黑体" w:hAnsi="华文中宋" w:eastAsia="黑体"/>
          <w:b w:val="0"/>
          <w:bCs w:val="0"/>
          <w:color w:val="auto"/>
          <w:sz w:val="28"/>
          <w:szCs w:val="28"/>
          <w:highlight w:val="none"/>
        </w:rPr>
        <w:t>第三节 政府采购合同专用条款</w:t>
      </w:r>
      <w:bookmarkEnd w:id="58"/>
      <w:bookmarkEnd w:id="59"/>
      <w:bookmarkEnd w:id="60"/>
    </w:p>
    <w:tbl>
      <w:tblPr>
        <w:tblStyle w:val="1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E2974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50778DE">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9A79595">
            <w:pPr>
              <w:adjustRightInd w:val="0"/>
              <w:snapToGrid w:val="0"/>
              <w:jc w:val="center"/>
              <w:rPr>
                <w:rFonts w:ascii="宋体" w:hAnsi="宋体"/>
                <w:color w:val="auto"/>
                <w:szCs w:val="21"/>
                <w:highlight w:val="none"/>
              </w:rPr>
            </w:pPr>
            <w:r>
              <w:rPr>
                <w:rFonts w:hint="eastAsia" w:ascii="宋体" w:hAnsi="宋体"/>
                <w:color w:val="auto"/>
                <w:szCs w:val="21"/>
                <w:highlight w:val="none"/>
              </w:rPr>
              <w:t>第1.2（6）项</w:t>
            </w:r>
          </w:p>
        </w:tc>
        <w:tc>
          <w:tcPr>
            <w:tcW w:w="1742" w:type="dxa"/>
            <w:vAlign w:val="center"/>
          </w:tcPr>
          <w:p w14:paraId="48FC4A66">
            <w:pPr>
              <w:adjustRightInd w:val="0"/>
              <w:snapToGrid w:val="0"/>
              <w:jc w:val="left"/>
              <w:rPr>
                <w:rFonts w:ascii="宋体" w:hAnsi="宋体"/>
                <w:color w:val="auto"/>
                <w:szCs w:val="21"/>
                <w:highlight w:val="none"/>
              </w:rPr>
            </w:pPr>
            <w:r>
              <w:rPr>
                <w:rFonts w:hint="eastAsia" w:ascii="宋体" w:hAnsi="宋体"/>
                <w:color w:val="auto"/>
                <w:szCs w:val="21"/>
                <w:highlight w:val="none"/>
              </w:rPr>
              <w:t>联合体具体要求</w:t>
            </w:r>
          </w:p>
        </w:tc>
        <w:tc>
          <w:tcPr>
            <w:tcW w:w="5170" w:type="dxa"/>
            <w:vAlign w:val="center"/>
          </w:tcPr>
          <w:p w14:paraId="5F0F0669">
            <w:pPr>
              <w:adjustRightInd w:val="0"/>
              <w:snapToGrid w:val="0"/>
              <w:jc w:val="left"/>
              <w:rPr>
                <w:rFonts w:ascii="宋体" w:hAnsi="宋体"/>
                <w:color w:val="auto"/>
                <w:szCs w:val="21"/>
                <w:highlight w:val="none"/>
              </w:rPr>
            </w:pPr>
          </w:p>
        </w:tc>
      </w:tr>
      <w:tr w14:paraId="4F47C9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3D4462E5">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7C5CC0E0">
            <w:pPr>
              <w:adjustRightInd w:val="0"/>
              <w:snapToGrid w:val="0"/>
              <w:jc w:val="center"/>
              <w:rPr>
                <w:rFonts w:ascii="宋体" w:hAnsi="宋体"/>
                <w:color w:val="auto"/>
                <w:szCs w:val="21"/>
                <w:highlight w:val="none"/>
              </w:rPr>
            </w:pPr>
            <w:r>
              <w:rPr>
                <w:rFonts w:hint="eastAsia" w:ascii="宋体" w:hAnsi="宋体"/>
                <w:color w:val="auto"/>
                <w:szCs w:val="21"/>
                <w:highlight w:val="none"/>
              </w:rPr>
              <w:t>第1.2（7）项</w:t>
            </w:r>
          </w:p>
        </w:tc>
        <w:tc>
          <w:tcPr>
            <w:tcW w:w="1742" w:type="dxa"/>
            <w:vAlign w:val="center"/>
          </w:tcPr>
          <w:p w14:paraId="4C61BFA9">
            <w:pPr>
              <w:adjustRightInd w:val="0"/>
              <w:snapToGrid w:val="0"/>
              <w:jc w:val="left"/>
              <w:rPr>
                <w:rFonts w:ascii="宋体" w:hAnsi="宋体"/>
                <w:color w:val="auto"/>
                <w:szCs w:val="21"/>
                <w:highlight w:val="none"/>
              </w:rPr>
            </w:pPr>
            <w:r>
              <w:rPr>
                <w:rFonts w:hint="eastAsia" w:ascii="宋体" w:hAnsi="宋体"/>
                <w:color w:val="auto"/>
                <w:szCs w:val="21"/>
                <w:highlight w:val="none"/>
              </w:rPr>
              <w:t>其他术语解释</w:t>
            </w:r>
          </w:p>
        </w:tc>
        <w:tc>
          <w:tcPr>
            <w:tcW w:w="5170" w:type="dxa"/>
            <w:vAlign w:val="center"/>
          </w:tcPr>
          <w:p w14:paraId="33BEB790">
            <w:pPr>
              <w:adjustRightInd w:val="0"/>
              <w:snapToGrid w:val="0"/>
              <w:jc w:val="left"/>
              <w:rPr>
                <w:rFonts w:ascii="宋体" w:hAnsi="宋体"/>
                <w:color w:val="auto"/>
                <w:szCs w:val="21"/>
                <w:highlight w:val="none"/>
              </w:rPr>
            </w:pPr>
          </w:p>
        </w:tc>
      </w:tr>
      <w:tr w14:paraId="2DEE9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875A71">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87B9DC7">
            <w:pPr>
              <w:adjustRightInd w:val="0"/>
              <w:snapToGrid w:val="0"/>
              <w:jc w:val="center"/>
              <w:rPr>
                <w:rFonts w:ascii="宋体" w:hAnsi="宋体"/>
                <w:color w:val="auto"/>
                <w:szCs w:val="21"/>
                <w:highlight w:val="none"/>
              </w:rPr>
            </w:pPr>
            <w:r>
              <w:rPr>
                <w:rFonts w:hint="eastAsia" w:ascii="宋体" w:hAnsi="宋体"/>
                <w:color w:val="auto"/>
                <w:szCs w:val="21"/>
                <w:highlight w:val="none"/>
              </w:rPr>
              <w:t>第4.4款</w:t>
            </w:r>
          </w:p>
        </w:tc>
        <w:tc>
          <w:tcPr>
            <w:tcW w:w="1742" w:type="dxa"/>
            <w:vAlign w:val="center"/>
          </w:tcPr>
          <w:p w14:paraId="7C2D466D">
            <w:pPr>
              <w:adjustRightInd w:val="0"/>
              <w:snapToGrid w:val="0"/>
              <w:jc w:val="left"/>
              <w:rPr>
                <w:rFonts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5170" w:type="dxa"/>
            <w:vAlign w:val="center"/>
          </w:tcPr>
          <w:p w14:paraId="0C5419A5">
            <w:pPr>
              <w:adjustRightInd w:val="0"/>
              <w:snapToGrid w:val="0"/>
              <w:jc w:val="left"/>
              <w:rPr>
                <w:rFonts w:ascii="宋体" w:hAnsi="宋体"/>
                <w:color w:val="auto"/>
                <w:szCs w:val="21"/>
                <w:highlight w:val="none"/>
              </w:rPr>
            </w:pPr>
          </w:p>
        </w:tc>
      </w:tr>
      <w:tr w14:paraId="1C883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31EB1C">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81CA940">
            <w:pPr>
              <w:adjustRightInd w:val="0"/>
              <w:snapToGrid w:val="0"/>
              <w:jc w:val="center"/>
              <w:rPr>
                <w:rFonts w:ascii="宋体" w:hAnsi="宋体"/>
                <w:color w:val="auto"/>
                <w:szCs w:val="21"/>
                <w:highlight w:val="none"/>
              </w:rPr>
            </w:pPr>
            <w:r>
              <w:rPr>
                <w:rFonts w:hint="eastAsia" w:ascii="宋体" w:hAnsi="宋体"/>
                <w:color w:val="auto"/>
                <w:szCs w:val="21"/>
                <w:highlight w:val="none"/>
              </w:rPr>
              <w:t>第4.6款</w:t>
            </w:r>
          </w:p>
        </w:tc>
        <w:tc>
          <w:tcPr>
            <w:tcW w:w="1742" w:type="dxa"/>
            <w:vAlign w:val="center"/>
          </w:tcPr>
          <w:p w14:paraId="330A185F">
            <w:pPr>
              <w:adjustRightInd w:val="0"/>
              <w:snapToGrid w:val="0"/>
              <w:jc w:val="left"/>
              <w:rPr>
                <w:rFonts w:ascii="宋体" w:hAnsi="宋体"/>
                <w:color w:val="auto"/>
                <w:szCs w:val="21"/>
                <w:highlight w:val="none"/>
              </w:rPr>
            </w:pPr>
            <w:r>
              <w:rPr>
                <w:rFonts w:hint="eastAsia" w:ascii="宋体" w:hAnsi="宋体"/>
                <w:color w:val="auto"/>
                <w:szCs w:val="21"/>
                <w:highlight w:val="none"/>
              </w:rPr>
              <w:t>约定甲方承担的其他义务和责任</w:t>
            </w:r>
          </w:p>
        </w:tc>
        <w:tc>
          <w:tcPr>
            <w:tcW w:w="5170" w:type="dxa"/>
            <w:vAlign w:val="center"/>
          </w:tcPr>
          <w:p w14:paraId="60CBD08E">
            <w:pPr>
              <w:adjustRightInd w:val="0"/>
              <w:snapToGrid w:val="0"/>
              <w:jc w:val="left"/>
              <w:rPr>
                <w:rFonts w:ascii="宋体" w:hAnsi="宋体"/>
                <w:color w:val="auto"/>
                <w:szCs w:val="21"/>
                <w:highlight w:val="none"/>
              </w:rPr>
            </w:pPr>
          </w:p>
        </w:tc>
      </w:tr>
      <w:tr w14:paraId="5F2E8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B1A5D2C">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8A061A3">
            <w:pPr>
              <w:snapToGrid w:val="0"/>
              <w:jc w:val="center"/>
              <w:rPr>
                <w:color w:val="auto"/>
                <w:highlight w:val="none"/>
              </w:rPr>
            </w:pPr>
            <w:r>
              <w:rPr>
                <w:rFonts w:hint="eastAsia" w:ascii="宋体" w:hAnsi="宋体"/>
                <w:color w:val="auto"/>
                <w:szCs w:val="21"/>
                <w:highlight w:val="none"/>
              </w:rPr>
              <w:t>第5.4款</w:t>
            </w:r>
          </w:p>
        </w:tc>
        <w:tc>
          <w:tcPr>
            <w:tcW w:w="1742" w:type="dxa"/>
            <w:vAlign w:val="center"/>
          </w:tcPr>
          <w:p w14:paraId="3E7132E2">
            <w:pPr>
              <w:adjustRightInd w:val="0"/>
              <w:snapToGrid w:val="0"/>
              <w:jc w:val="left"/>
              <w:rPr>
                <w:rFonts w:ascii="宋体" w:hAnsi="宋体"/>
                <w:color w:val="auto"/>
                <w:szCs w:val="21"/>
                <w:highlight w:val="none"/>
              </w:rPr>
            </w:pPr>
            <w:r>
              <w:rPr>
                <w:rFonts w:hint="eastAsia" w:ascii="宋体" w:hAnsi="宋体"/>
                <w:color w:val="auto"/>
                <w:szCs w:val="21"/>
                <w:highlight w:val="none"/>
              </w:rPr>
              <w:t>约定乙方承担的其他义务和责任</w:t>
            </w:r>
          </w:p>
        </w:tc>
        <w:tc>
          <w:tcPr>
            <w:tcW w:w="5170" w:type="dxa"/>
            <w:vAlign w:val="center"/>
          </w:tcPr>
          <w:p w14:paraId="2114D050">
            <w:pPr>
              <w:adjustRightInd w:val="0"/>
              <w:snapToGrid w:val="0"/>
              <w:jc w:val="left"/>
              <w:rPr>
                <w:rFonts w:ascii="宋体" w:hAnsi="宋体"/>
                <w:color w:val="auto"/>
                <w:szCs w:val="21"/>
                <w:highlight w:val="none"/>
              </w:rPr>
            </w:pPr>
          </w:p>
        </w:tc>
      </w:tr>
      <w:tr w14:paraId="5FF47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EA750F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87DCD20">
            <w:pPr>
              <w:snapToGrid w:val="0"/>
              <w:jc w:val="center"/>
              <w:rPr>
                <w:rFonts w:ascii="宋体" w:hAnsi="宋体"/>
                <w:color w:val="auto"/>
                <w:szCs w:val="21"/>
                <w:highlight w:val="none"/>
              </w:rPr>
            </w:pPr>
            <w:r>
              <w:rPr>
                <w:rFonts w:hint="eastAsia" w:ascii="宋体" w:hAnsi="宋体"/>
                <w:color w:val="auto"/>
                <w:szCs w:val="21"/>
                <w:highlight w:val="none"/>
              </w:rPr>
              <w:t>第6.1款</w:t>
            </w:r>
          </w:p>
        </w:tc>
        <w:tc>
          <w:tcPr>
            <w:tcW w:w="1742" w:type="dxa"/>
            <w:vAlign w:val="center"/>
          </w:tcPr>
          <w:p w14:paraId="3A769BA2">
            <w:pPr>
              <w:adjustRightInd w:val="0"/>
              <w:snapToGrid w:val="0"/>
              <w:jc w:val="left"/>
              <w:rPr>
                <w:rFonts w:ascii="宋体" w:hAnsi="宋体"/>
                <w:color w:val="auto"/>
                <w:szCs w:val="21"/>
                <w:highlight w:val="none"/>
              </w:rPr>
            </w:pPr>
            <w:r>
              <w:rPr>
                <w:rFonts w:hint="eastAsia" w:ascii="宋体" w:hAnsi="宋体"/>
                <w:color w:val="auto"/>
                <w:szCs w:val="21"/>
                <w:highlight w:val="none"/>
              </w:rPr>
              <w:t>履行合同义务的顺序</w:t>
            </w:r>
          </w:p>
        </w:tc>
        <w:tc>
          <w:tcPr>
            <w:tcW w:w="5170" w:type="dxa"/>
            <w:vAlign w:val="center"/>
          </w:tcPr>
          <w:p w14:paraId="7649AB33">
            <w:pPr>
              <w:adjustRightInd w:val="0"/>
              <w:snapToGrid w:val="0"/>
              <w:jc w:val="left"/>
              <w:rPr>
                <w:rFonts w:ascii="宋体" w:hAnsi="宋体"/>
                <w:color w:val="auto"/>
                <w:szCs w:val="21"/>
                <w:highlight w:val="none"/>
              </w:rPr>
            </w:pPr>
          </w:p>
        </w:tc>
      </w:tr>
      <w:tr w14:paraId="05074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52DE762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03B8987">
            <w:pPr>
              <w:adjustRightInd w:val="0"/>
              <w:snapToGrid w:val="0"/>
              <w:jc w:val="center"/>
              <w:rPr>
                <w:rFonts w:ascii="宋体" w:hAnsi="宋体"/>
                <w:color w:val="auto"/>
                <w:szCs w:val="21"/>
                <w:highlight w:val="none"/>
              </w:rPr>
            </w:pPr>
            <w:r>
              <w:rPr>
                <w:rFonts w:hint="eastAsia" w:ascii="宋体" w:hAnsi="宋体"/>
                <w:color w:val="auto"/>
                <w:szCs w:val="21"/>
                <w:highlight w:val="none"/>
              </w:rPr>
              <w:t>第7.1款</w:t>
            </w:r>
          </w:p>
        </w:tc>
        <w:tc>
          <w:tcPr>
            <w:tcW w:w="1742" w:type="dxa"/>
            <w:vAlign w:val="center"/>
          </w:tcPr>
          <w:p w14:paraId="7BD01230">
            <w:pPr>
              <w:adjustRightInd w:val="0"/>
              <w:snapToGrid w:val="0"/>
              <w:jc w:val="left"/>
              <w:rPr>
                <w:rFonts w:ascii="宋体" w:hAnsi="宋体"/>
                <w:color w:val="auto"/>
                <w:szCs w:val="21"/>
                <w:highlight w:val="none"/>
              </w:rPr>
            </w:pPr>
            <w:r>
              <w:rPr>
                <w:rFonts w:hint="eastAsia" w:ascii="宋体" w:hAnsi="宋体"/>
                <w:color w:val="auto"/>
                <w:szCs w:val="21"/>
                <w:highlight w:val="none"/>
              </w:rPr>
              <w:t>包装特殊要求</w:t>
            </w:r>
          </w:p>
        </w:tc>
        <w:tc>
          <w:tcPr>
            <w:tcW w:w="5170" w:type="dxa"/>
            <w:vAlign w:val="center"/>
          </w:tcPr>
          <w:p w14:paraId="08B9F9DF">
            <w:pPr>
              <w:rPr>
                <w:color w:val="auto"/>
                <w:highlight w:val="none"/>
              </w:rPr>
            </w:pPr>
          </w:p>
        </w:tc>
      </w:tr>
      <w:tr w14:paraId="093C02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E7ED338">
            <w:pPr>
              <w:adjustRightInd w:val="0"/>
              <w:snapToGrid w:val="0"/>
              <w:jc w:val="center"/>
              <w:rPr>
                <w:rFonts w:ascii="宋体" w:hAnsi="宋体"/>
                <w:color w:val="auto"/>
                <w:szCs w:val="21"/>
                <w:highlight w:val="none"/>
              </w:rPr>
            </w:pPr>
          </w:p>
        </w:tc>
        <w:tc>
          <w:tcPr>
            <w:tcW w:w="1742" w:type="dxa"/>
            <w:vAlign w:val="center"/>
          </w:tcPr>
          <w:p w14:paraId="04D23017">
            <w:pPr>
              <w:adjustRightInd w:val="0"/>
              <w:snapToGrid w:val="0"/>
              <w:jc w:val="left"/>
              <w:rPr>
                <w:rFonts w:ascii="宋体" w:hAnsi="宋体"/>
                <w:color w:val="auto"/>
                <w:szCs w:val="21"/>
                <w:highlight w:val="none"/>
              </w:rPr>
            </w:pPr>
            <w:r>
              <w:rPr>
                <w:rFonts w:hint="eastAsia" w:ascii="宋体" w:hAnsi="宋体"/>
                <w:color w:val="auto"/>
                <w:szCs w:val="21"/>
                <w:highlight w:val="none"/>
              </w:rPr>
              <w:t>指定现场</w:t>
            </w:r>
          </w:p>
        </w:tc>
        <w:tc>
          <w:tcPr>
            <w:tcW w:w="5170" w:type="dxa"/>
            <w:vAlign w:val="center"/>
          </w:tcPr>
          <w:p w14:paraId="3EB33147">
            <w:pPr>
              <w:rPr>
                <w:color w:val="auto"/>
                <w:highlight w:val="none"/>
              </w:rPr>
            </w:pPr>
          </w:p>
        </w:tc>
      </w:tr>
      <w:tr w14:paraId="46930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C9307FF">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DED2F5D">
            <w:pPr>
              <w:adjustRightInd w:val="0"/>
              <w:snapToGrid w:val="0"/>
              <w:jc w:val="center"/>
              <w:rPr>
                <w:rFonts w:ascii="宋体" w:hAnsi="宋体"/>
                <w:color w:val="auto"/>
                <w:szCs w:val="21"/>
                <w:highlight w:val="none"/>
              </w:rPr>
            </w:pPr>
            <w:r>
              <w:rPr>
                <w:rFonts w:hint="eastAsia" w:ascii="宋体" w:hAnsi="宋体"/>
                <w:color w:val="auto"/>
                <w:szCs w:val="21"/>
                <w:highlight w:val="none"/>
              </w:rPr>
              <w:t>第7.2款</w:t>
            </w:r>
          </w:p>
        </w:tc>
        <w:tc>
          <w:tcPr>
            <w:tcW w:w="1742" w:type="dxa"/>
            <w:vAlign w:val="center"/>
          </w:tcPr>
          <w:p w14:paraId="1052DE9B">
            <w:pPr>
              <w:adjustRightInd w:val="0"/>
              <w:snapToGrid w:val="0"/>
              <w:jc w:val="left"/>
              <w:rPr>
                <w:rFonts w:ascii="宋体" w:hAnsi="宋体"/>
                <w:color w:val="auto"/>
                <w:szCs w:val="21"/>
                <w:highlight w:val="none"/>
              </w:rPr>
            </w:pPr>
            <w:r>
              <w:rPr>
                <w:rFonts w:hint="eastAsia" w:ascii="宋体" w:hAnsi="宋体"/>
                <w:color w:val="auto"/>
                <w:szCs w:val="21"/>
                <w:highlight w:val="none"/>
              </w:rPr>
              <w:t>运输特殊要求</w:t>
            </w:r>
          </w:p>
        </w:tc>
        <w:tc>
          <w:tcPr>
            <w:tcW w:w="5170" w:type="dxa"/>
            <w:vAlign w:val="center"/>
          </w:tcPr>
          <w:p w14:paraId="7F01C5DA">
            <w:pPr>
              <w:rPr>
                <w:color w:val="auto"/>
                <w:highlight w:val="none"/>
              </w:rPr>
            </w:pPr>
          </w:p>
        </w:tc>
      </w:tr>
      <w:tr w14:paraId="5C21AE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3615E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9959CCA">
            <w:pPr>
              <w:adjustRightInd w:val="0"/>
              <w:snapToGrid w:val="0"/>
              <w:jc w:val="center"/>
              <w:rPr>
                <w:rFonts w:ascii="宋体" w:hAnsi="宋体"/>
                <w:color w:val="auto"/>
                <w:szCs w:val="21"/>
                <w:highlight w:val="none"/>
              </w:rPr>
            </w:pPr>
            <w:r>
              <w:rPr>
                <w:rFonts w:hint="eastAsia" w:ascii="宋体" w:hAnsi="宋体"/>
                <w:color w:val="auto"/>
                <w:szCs w:val="21"/>
                <w:highlight w:val="none"/>
              </w:rPr>
              <w:t>第7.3款</w:t>
            </w:r>
          </w:p>
        </w:tc>
        <w:tc>
          <w:tcPr>
            <w:tcW w:w="1742" w:type="dxa"/>
            <w:vAlign w:val="center"/>
          </w:tcPr>
          <w:p w14:paraId="0C4F9B94">
            <w:pPr>
              <w:adjustRightInd w:val="0"/>
              <w:snapToGrid w:val="0"/>
              <w:jc w:val="left"/>
              <w:rPr>
                <w:rFonts w:ascii="宋体" w:hAnsi="宋体"/>
                <w:color w:val="auto"/>
                <w:szCs w:val="21"/>
                <w:highlight w:val="none"/>
              </w:rPr>
            </w:pPr>
            <w:r>
              <w:rPr>
                <w:rFonts w:hint="eastAsia" w:ascii="宋体" w:hAnsi="宋体"/>
                <w:color w:val="auto"/>
                <w:szCs w:val="21"/>
                <w:highlight w:val="none"/>
              </w:rPr>
              <w:t>保险要求</w:t>
            </w:r>
          </w:p>
        </w:tc>
        <w:tc>
          <w:tcPr>
            <w:tcW w:w="5170" w:type="dxa"/>
            <w:vAlign w:val="center"/>
          </w:tcPr>
          <w:p w14:paraId="6346EC01">
            <w:pPr>
              <w:rPr>
                <w:color w:val="auto"/>
                <w:highlight w:val="none"/>
              </w:rPr>
            </w:pPr>
          </w:p>
        </w:tc>
      </w:tr>
      <w:tr w14:paraId="098A7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DB5E83">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0EB6234">
            <w:pPr>
              <w:adjustRightInd w:val="0"/>
              <w:snapToGrid w:val="0"/>
              <w:jc w:val="center"/>
              <w:rPr>
                <w:rFonts w:ascii="宋体" w:hAnsi="宋体"/>
                <w:color w:val="auto"/>
                <w:szCs w:val="21"/>
                <w:highlight w:val="none"/>
              </w:rPr>
            </w:pPr>
            <w:r>
              <w:rPr>
                <w:rFonts w:hint="eastAsia" w:ascii="宋体" w:hAnsi="宋体"/>
                <w:color w:val="auto"/>
                <w:szCs w:val="21"/>
                <w:highlight w:val="none"/>
              </w:rPr>
              <w:t>第8.2（1）项</w:t>
            </w:r>
          </w:p>
        </w:tc>
        <w:tc>
          <w:tcPr>
            <w:tcW w:w="1742" w:type="dxa"/>
            <w:vAlign w:val="center"/>
          </w:tcPr>
          <w:p w14:paraId="57E237C3">
            <w:pPr>
              <w:adjustRightInd w:val="0"/>
              <w:snapToGrid w:val="0"/>
              <w:jc w:val="left"/>
              <w:rPr>
                <w:rFonts w:ascii="宋体" w:hAnsi="宋体"/>
                <w:color w:val="auto"/>
                <w:szCs w:val="21"/>
                <w:highlight w:val="none"/>
              </w:rPr>
            </w:pPr>
            <w:r>
              <w:rPr>
                <w:rFonts w:hint="eastAsia" w:ascii="宋体" w:hAnsi="宋体"/>
                <w:color w:val="auto"/>
                <w:szCs w:val="21"/>
                <w:highlight w:val="none"/>
              </w:rPr>
              <w:t>质量保证期</w:t>
            </w:r>
          </w:p>
        </w:tc>
        <w:tc>
          <w:tcPr>
            <w:tcW w:w="5170" w:type="dxa"/>
            <w:vAlign w:val="center"/>
          </w:tcPr>
          <w:p w14:paraId="549269E3">
            <w:pPr>
              <w:autoSpaceDE w:val="0"/>
              <w:autoSpaceDN w:val="0"/>
              <w:adjustRightInd w:val="0"/>
              <w:snapToGrid w:val="0"/>
              <w:ind w:firstLine="420" w:firstLineChars="200"/>
              <w:jc w:val="left"/>
              <w:rPr>
                <w:rFonts w:ascii="宋体" w:hAnsi="宋体"/>
                <w:color w:val="auto"/>
                <w:szCs w:val="21"/>
                <w:highlight w:val="none"/>
              </w:rPr>
            </w:pPr>
          </w:p>
        </w:tc>
      </w:tr>
      <w:tr w14:paraId="2E0FEE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8F0AD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7F449F3D">
            <w:pPr>
              <w:adjustRightInd w:val="0"/>
              <w:snapToGrid w:val="0"/>
              <w:jc w:val="center"/>
              <w:rPr>
                <w:rFonts w:ascii="宋体" w:hAnsi="宋体"/>
                <w:color w:val="auto"/>
                <w:szCs w:val="21"/>
                <w:highlight w:val="none"/>
              </w:rPr>
            </w:pPr>
            <w:r>
              <w:rPr>
                <w:rFonts w:hint="eastAsia" w:ascii="宋体" w:hAnsi="宋体"/>
                <w:color w:val="auto"/>
                <w:szCs w:val="21"/>
                <w:highlight w:val="none"/>
              </w:rPr>
              <w:t>第8.2（3）项</w:t>
            </w:r>
          </w:p>
        </w:tc>
        <w:tc>
          <w:tcPr>
            <w:tcW w:w="1742" w:type="dxa"/>
            <w:vAlign w:val="center"/>
          </w:tcPr>
          <w:p w14:paraId="38125696">
            <w:pPr>
              <w:adjustRightInd w:val="0"/>
              <w:snapToGrid w:val="0"/>
              <w:jc w:val="left"/>
              <w:rPr>
                <w:rFonts w:ascii="宋体" w:hAnsi="宋体"/>
                <w:color w:val="auto"/>
                <w:szCs w:val="21"/>
                <w:highlight w:val="none"/>
              </w:rPr>
            </w:pPr>
            <w:r>
              <w:rPr>
                <w:rFonts w:hint="eastAsia" w:ascii="宋体" w:hAnsi="宋体"/>
                <w:color w:val="auto"/>
                <w:szCs w:val="21"/>
                <w:highlight w:val="none"/>
              </w:rPr>
              <w:t>货物质量缺陷</w:t>
            </w:r>
          </w:p>
          <w:p w14:paraId="0EB65AA5">
            <w:pPr>
              <w:adjustRightInd w:val="0"/>
              <w:snapToGrid w:val="0"/>
              <w:jc w:val="left"/>
              <w:rPr>
                <w:rFonts w:ascii="宋体" w:hAnsi="宋体"/>
                <w:color w:val="auto"/>
                <w:szCs w:val="21"/>
                <w:highlight w:val="none"/>
              </w:rPr>
            </w:pPr>
            <w:r>
              <w:rPr>
                <w:rFonts w:hint="eastAsia" w:ascii="宋体" w:hAnsi="宋体"/>
                <w:color w:val="auto"/>
                <w:szCs w:val="21"/>
                <w:highlight w:val="none"/>
              </w:rPr>
              <w:t>响应时间</w:t>
            </w:r>
          </w:p>
        </w:tc>
        <w:tc>
          <w:tcPr>
            <w:tcW w:w="5170" w:type="dxa"/>
            <w:vAlign w:val="center"/>
          </w:tcPr>
          <w:p w14:paraId="27903DBD">
            <w:pPr>
              <w:adjustRightInd w:val="0"/>
              <w:snapToGrid w:val="0"/>
              <w:jc w:val="left"/>
              <w:rPr>
                <w:rFonts w:ascii="宋体" w:hAnsi="宋体"/>
                <w:color w:val="auto"/>
                <w:szCs w:val="21"/>
                <w:highlight w:val="none"/>
              </w:rPr>
            </w:pPr>
          </w:p>
        </w:tc>
      </w:tr>
      <w:tr w14:paraId="23A705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1E5C2F">
            <w:pPr>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37416DC4">
            <w:pPr>
              <w:pStyle w:val="65"/>
              <w:ind w:firstLine="0" w:firstLineChars="0"/>
              <w:jc w:val="center"/>
              <w:rPr>
                <w:color w:val="auto"/>
                <w:highlight w:val="none"/>
              </w:rPr>
            </w:pPr>
            <w:r>
              <w:rPr>
                <w:rFonts w:hint="eastAsia" w:ascii="宋体" w:hAnsi="宋体" w:eastAsia="宋体" w:cs="宋体"/>
                <w:color w:val="auto"/>
                <w:highlight w:val="none"/>
              </w:rPr>
              <w:t>第11.1款</w:t>
            </w:r>
          </w:p>
        </w:tc>
        <w:tc>
          <w:tcPr>
            <w:tcW w:w="1742" w:type="dxa"/>
            <w:vAlign w:val="center"/>
          </w:tcPr>
          <w:p w14:paraId="39CA59B5">
            <w:pPr>
              <w:adjustRightInd w:val="0"/>
              <w:snapToGrid w:val="0"/>
              <w:rPr>
                <w:rFonts w:ascii="宋体" w:hAnsi="宋体"/>
                <w:color w:val="auto"/>
                <w:szCs w:val="21"/>
                <w:highlight w:val="none"/>
              </w:rPr>
            </w:pPr>
            <w:r>
              <w:rPr>
                <w:rFonts w:hint="eastAsia" w:ascii="宋体" w:hAnsi="宋体"/>
                <w:color w:val="auto"/>
                <w:szCs w:val="21"/>
                <w:highlight w:val="none"/>
              </w:rPr>
              <w:t>其他应当保密的信息</w:t>
            </w:r>
          </w:p>
        </w:tc>
        <w:tc>
          <w:tcPr>
            <w:tcW w:w="5170" w:type="dxa"/>
            <w:vAlign w:val="center"/>
          </w:tcPr>
          <w:p w14:paraId="6F6821B1">
            <w:pPr>
              <w:adjustRightInd w:val="0"/>
              <w:snapToGrid w:val="0"/>
              <w:jc w:val="left"/>
              <w:rPr>
                <w:rFonts w:ascii="宋体" w:hAnsi="宋体"/>
                <w:color w:val="auto"/>
                <w:szCs w:val="21"/>
                <w:highlight w:val="none"/>
              </w:rPr>
            </w:pPr>
          </w:p>
        </w:tc>
      </w:tr>
      <w:tr w14:paraId="5E24B0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872EC6E">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3F27C8A">
            <w:pPr>
              <w:adjustRightInd w:val="0"/>
              <w:snapToGrid w:val="0"/>
              <w:jc w:val="center"/>
              <w:rPr>
                <w:rFonts w:ascii="宋体" w:hAnsi="宋体"/>
                <w:color w:val="auto"/>
                <w:szCs w:val="21"/>
                <w:highlight w:val="none"/>
              </w:rPr>
            </w:pPr>
            <w:r>
              <w:rPr>
                <w:rFonts w:hint="eastAsia" w:ascii="宋体" w:hAnsi="宋体"/>
                <w:color w:val="auto"/>
                <w:szCs w:val="21"/>
                <w:highlight w:val="none"/>
              </w:rPr>
              <w:t>第12.2款</w:t>
            </w:r>
          </w:p>
        </w:tc>
        <w:tc>
          <w:tcPr>
            <w:tcW w:w="1742" w:type="dxa"/>
            <w:vAlign w:val="center"/>
          </w:tcPr>
          <w:p w14:paraId="22DAEDD3">
            <w:pPr>
              <w:adjustRightInd w:val="0"/>
              <w:snapToGrid w:val="0"/>
              <w:jc w:val="left"/>
              <w:rPr>
                <w:rFonts w:ascii="宋体" w:hAnsi="宋体"/>
                <w:color w:val="auto"/>
                <w:szCs w:val="21"/>
                <w:highlight w:val="none"/>
              </w:rPr>
            </w:pPr>
            <w:r>
              <w:rPr>
                <w:rFonts w:hint="eastAsia" w:ascii="宋体" w:hAnsi="宋体"/>
                <w:color w:val="auto"/>
                <w:szCs w:val="21"/>
                <w:highlight w:val="none"/>
              </w:rPr>
              <w:t>合同价款支付时间</w:t>
            </w:r>
          </w:p>
        </w:tc>
        <w:tc>
          <w:tcPr>
            <w:tcW w:w="5170" w:type="dxa"/>
            <w:vAlign w:val="center"/>
          </w:tcPr>
          <w:p w14:paraId="26FA4BA4">
            <w:pPr>
              <w:adjustRightInd w:val="0"/>
              <w:snapToGrid w:val="0"/>
              <w:jc w:val="left"/>
              <w:rPr>
                <w:rFonts w:ascii="宋体" w:hAnsi="宋体"/>
                <w:color w:val="auto"/>
                <w:szCs w:val="21"/>
                <w:highlight w:val="none"/>
              </w:rPr>
            </w:pPr>
          </w:p>
        </w:tc>
      </w:tr>
      <w:tr w14:paraId="26DC08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6F88A9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3B747B28">
            <w:pPr>
              <w:adjustRightInd w:val="0"/>
              <w:snapToGrid w:val="0"/>
              <w:jc w:val="center"/>
              <w:rPr>
                <w:rFonts w:ascii="宋体" w:hAnsi="宋体"/>
                <w:color w:val="auto"/>
                <w:szCs w:val="21"/>
                <w:highlight w:val="none"/>
              </w:rPr>
            </w:pPr>
            <w:r>
              <w:rPr>
                <w:rFonts w:hint="eastAsia" w:ascii="宋体" w:hAnsi="宋体"/>
                <w:color w:val="auto"/>
                <w:szCs w:val="21"/>
                <w:highlight w:val="none"/>
              </w:rPr>
              <w:t>第13.2款</w:t>
            </w:r>
          </w:p>
        </w:tc>
        <w:tc>
          <w:tcPr>
            <w:tcW w:w="1742" w:type="dxa"/>
            <w:vAlign w:val="center"/>
          </w:tcPr>
          <w:p w14:paraId="213E05D9">
            <w:pPr>
              <w:adjustRightInd w:val="0"/>
              <w:snapToGrid w:val="0"/>
              <w:jc w:val="left"/>
              <w:rPr>
                <w:rFonts w:ascii="宋体" w:hAnsi="宋体"/>
                <w:color w:val="auto"/>
                <w:szCs w:val="21"/>
                <w:highlight w:val="none"/>
              </w:rPr>
            </w:pPr>
            <w:r>
              <w:rPr>
                <w:rFonts w:hint="eastAsia" w:ascii="宋体" w:hAnsi="宋体"/>
                <w:color w:val="auto"/>
                <w:szCs w:val="21"/>
                <w:highlight w:val="none"/>
              </w:rPr>
              <w:t>履约保证金不予退还的情形</w:t>
            </w:r>
          </w:p>
        </w:tc>
        <w:tc>
          <w:tcPr>
            <w:tcW w:w="5170" w:type="dxa"/>
            <w:vAlign w:val="center"/>
          </w:tcPr>
          <w:p w14:paraId="3318E831">
            <w:pPr>
              <w:adjustRightInd w:val="0"/>
              <w:snapToGrid w:val="0"/>
              <w:jc w:val="left"/>
              <w:rPr>
                <w:rFonts w:ascii="宋体" w:hAnsi="宋体"/>
                <w:color w:val="auto"/>
                <w:szCs w:val="21"/>
                <w:highlight w:val="none"/>
              </w:rPr>
            </w:pPr>
          </w:p>
        </w:tc>
      </w:tr>
      <w:tr w14:paraId="772A27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9B2FBC">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DCAD91B">
            <w:pPr>
              <w:adjustRightInd w:val="0"/>
              <w:snapToGrid w:val="0"/>
              <w:jc w:val="center"/>
              <w:rPr>
                <w:rFonts w:ascii="宋体" w:hAnsi="宋体"/>
                <w:color w:val="auto"/>
                <w:szCs w:val="21"/>
                <w:highlight w:val="none"/>
              </w:rPr>
            </w:pPr>
            <w:r>
              <w:rPr>
                <w:rFonts w:hint="eastAsia" w:ascii="宋体" w:hAnsi="宋体"/>
                <w:color w:val="auto"/>
                <w:szCs w:val="21"/>
                <w:highlight w:val="none"/>
              </w:rPr>
              <w:t>第13.3款</w:t>
            </w:r>
          </w:p>
        </w:tc>
        <w:tc>
          <w:tcPr>
            <w:tcW w:w="1742" w:type="dxa"/>
            <w:vAlign w:val="center"/>
          </w:tcPr>
          <w:p w14:paraId="05948EF2">
            <w:pPr>
              <w:adjustRightInd w:val="0"/>
              <w:snapToGrid w:val="0"/>
              <w:jc w:val="left"/>
              <w:rPr>
                <w:rFonts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5170" w:type="dxa"/>
            <w:vAlign w:val="center"/>
          </w:tcPr>
          <w:p w14:paraId="4EB32628">
            <w:pPr>
              <w:adjustRightInd w:val="0"/>
              <w:snapToGrid w:val="0"/>
              <w:jc w:val="left"/>
              <w:rPr>
                <w:rFonts w:ascii="宋体" w:hAnsi="宋体"/>
                <w:color w:val="auto"/>
                <w:szCs w:val="21"/>
                <w:highlight w:val="none"/>
              </w:rPr>
            </w:pPr>
          </w:p>
        </w:tc>
      </w:tr>
      <w:tr w14:paraId="19AAB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3B91E17">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3144016">
            <w:pPr>
              <w:adjustRightInd w:val="0"/>
              <w:snapToGrid w:val="0"/>
              <w:jc w:val="center"/>
              <w:rPr>
                <w:rFonts w:ascii="宋体" w:hAnsi="宋体"/>
                <w:color w:val="auto"/>
                <w:szCs w:val="21"/>
                <w:highlight w:val="none"/>
              </w:rPr>
            </w:pPr>
            <w:r>
              <w:rPr>
                <w:rFonts w:hint="eastAsia" w:ascii="宋体" w:hAnsi="宋体"/>
                <w:color w:val="auto"/>
                <w:szCs w:val="21"/>
                <w:highlight w:val="none"/>
              </w:rPr>
              <w:t>第14.1（3）项</w:t>
            </w:r>
          </w:p>
        </w:tc>
        <w:tc>
          <w:tcPr>
            <w:tcW w:w="1742" w:type="dxa"/>
            <w:vAlign w:val="center"/>
          </w:tcPr>
          <w:p w14:paraId="18ED1B08">
            <w:pPr>
              <w:adjustRightInd w:val="0"/>
              <w:snapToGrid w:val="0"/>
              <w:jc w:val="left"/>
              <w:rPr>
                <w:rFonts w:ascii="宋体" w:hAnsi="宋体"/>
                <w:color w:val="auto"/>
                <w:szCs w:val="21"/>
                <w:highlight w:val="none"/>
              </w:rPr>
            </w:pPr>
            <w:r>
              <w:rPr>
                <w:rFonts w:hint="eastAsia" w:ascii="宋体" w:hAnsi="宋体"/>
                <w:color w:val="auto"/>
                <w:szCs w:val="21"/>
                <w:highlight w:val="none"/>
              </w:rPr>
              <w:t>运行监督、维修期限</w:t>
            </w:r>
          </w:p>
        </w:tc>
        <w:tc>
          <w:tcPr>
            <w:tcW w:w="5170" w:type="dxa"/>
            <w:vAlign w:val="center"/>
          </w:tcPr>
          <w:p w14:paraId="52993642">
            <w:pPr>
              <w:adjustRightInd w:val="0"/>
              <w:snapToGrid w:val="0"/>
              <w:jc w:val="left"/>
              <w:rPr>
                <w:rFonts w:ascii="宋体" w:hAnsi="宋体"/>
                <w:color w:val="auto"/>
                <w:szCs w:val="21"/>
                <w:highlight w:val="none"/>
              </w:rPr>
            </w:pPr>
          </w:p>
        </w:tc>
      </w:tr>
      <w:tr w14:paraId="0452E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0428DC6">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6C5DB336">
            <w:pPr>
              <w:adjustRightInd w:val="0"/>
              <w:snapToGrid w:val="0"/>
              <w:jc w:val="center"/>
              <w:rPr>
                <w:rFonts w:ascii="宋体" w:hAnsi="宋体"/>
                <w:color w:val="auto"/>
                <w:szCs w:val="21"/>
                <w:highlight w:val="none"/>
              </w:rPr>
            </w:pPr>
            <w:r>
              <w:rPr>
                <w:rFonts w:hint="eastAsia" w:ascii="宋体" w:hAnsi="宋体"/>
                <w:color w:val="auto"/>
                <w:szCs w:val="21"/>
                <w:highlight w:val="none"/>
              </w:rPr>
              <w:t>第14.1（5）项</w:t>
            </w:r>
          </w:p>
        </w:tc>
        <w:tc>
          <w:tcPr>
            <w:tcW w:w="1742" w:type="dxa"/>
            <w:vAlign w:val="center"/>
          </w:tcPr>
          <w:p w14:paraId="651D7FC4">
            <w:pPr>
              <w:adjustRightInd w:val="0"/>
              <w:snapToGrid w:val="0"/>
              <w:jc w:val="left"/>
              <w:rPr>
                <w:rFonts w:ascii="宋体" w:hAnsi="宋体"/>
                <w:color w:val="auto"/>
                <w:szCs w:val="21"/>
                <w:highlight w:val="none"/>
              </w:rPr>
            </w:pPr>
            <w:r>
              <w:rPr>
                <w:rFonts w:hint="eastAsia" w:ascii="宋体" w:hAnsi="宋体"/>
                <w:color w:val="auto"/>
                <w:szCs w:val="21"/>
                <w:highlight w:val="none"/>
              </w:rPr>
              <w:t>货物回收的约定</w:t>
            </w:r>
          </w:p>
        </w:tc>
        <w:tc>
          <w:tcPr>
            <w:tcW w:w="5170" w:type="dxa"/>
            <w:vAlign w:val="center"/>
          </w:tcPr>
          <w:p w14:paraId="0B842589">
            <w:pPr>
              <w:adjustRightInd w:val="0"/>
              <w:snapToGrid w:val="0"/>
              <w:jc w:val="left"/>
              <w:rPr>
                <w:rFonts w:ascii="宋体" w:hAnsi="宋体"/>
                <w:color w:val="auto"/>
                <w:szCs w:val="21"/>
                <w:highlight w:val="none"/>
              </w:rPr>
            </w:pPr>
          </w:p>
        </w:tc>
      </w:tr>
      <w:tr w14:paraId="29899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C868A87">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20B7E73E">
            <w:pPr>
              <w:adjustRightInd w:val="0"/>
              <w:snapToGrid w:val="0"/>
              <w:jc w:val="center"/>
              <w:rPr>
                <w:rFonts w:ascii="宋体" w:hAnsi="宋体"/>
                <w:color w:val="auto"/>
                <w:szCs w:val="21"/>
                <w:highlight w:val="none"/>
              </w:rPr>
            </w:pPr>
            <w:r>
              <w:rPr>
                <w:rFonts w:hint="eastAsia" w:ascii="宋体" w:hAnsi="宋体"/>
                <w:color w:val="auto"/>
                <w:szCs w:val="21"/>
                <w:highlight w:val="none"/>
              </w:rPr>
              <w:t>第14.1（6）项</w:t>
            </w:r>
          </w:p>
        </w:tc>
        <w:tc>
          <w:tcPr>
            <w:tcW w:w="1742" w:type="dxa"/>
            <w:vAlign w:val="center"/>
          </w:tcPr>
          <w:p w14:paraId="65B899DE">
            <w:pPr>
              <w:adjustRightInd w:val="0"/>
              <w:snapToGrid w:val="0"/>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170" w:type="dxa"/>
            <w:vAlign w:val="center"/>
          </w:tcPr>
          <w:p w14:paraId="658CE5C2">
            <w:pPr>
              <w:adjustRightInd w:val="0"/>
              <w:snapToGrid w:val="0"/>
              <w:jc w:val="left"/>
              <w:rPr>
                <w:rFonts w:ascii="宋体" w:hAnsi="宋体"/>
                <w:color w:val="auto"/>
                <w:szCs w:val="21"/>
                <w:highlight w:val="none"/>
              </w:rPr>
            </w:pPr>
          </w:p>
        </w:tc>
      </w:tr>
      <w:tr w14:paraId="734EC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325398">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409D0DBE">
            <w:pPr>
              <w:adjustRightInd w:val="0"/>
              <w:snapToGrid w:val="0"/>
              <w:jc w:val="center"/>
              <w:rPr>
                <w:rFonts w:ascii="宋体" w:hAnsi="宋体"/>
                <w:color w:val="auto"/>
                <w:szCs w:val="21"/>
                <w:highlight w:val="none"/>
              </w:rPr>
            </w:pPr>
            <w:r>
              <w:rPr>
                <w:rFonts w:hint="eastAsia" w:ascii="宋体" w:hAnsi="宋体"/>
                <w:color w:val="auto"/>
                <w:szCs w:val="21"/>
                <w:highlight w:val="none"/>
              </w:rPr>
              <w:t>第15.1款</w:t>
            </w:r>
          </w:p>
        </w:tc>
        <w:tc>
          <w:tcPr>
            <w:tcW w:w="1742" w:type="dxa"/>
            <w:vAlign w:val="center"/>
          </w:tcPr>
          <w:p w14:paraId="11CC094D">
            <w:pPr>
              <w:adjustRightInd w:val="0"/>
              <w:snapToGrid w:val="0"/>
              <w:jc w:val="left"/>
              <w:rPr>
                <w:rFonts w:ascii="宋体" w:hAnsi="宋体"/>
                <w:color w:val="auto"/>
                <w:szCs w:val="21"/>
                <w:highlight w:val="none"/>
              </w:rPr>
            </w:pPr>
            <w:r>
              <w:rPr>
                <w:rFonts w:hint="eastAsia" w:ascii="宋体" w:hAnsi="宋体"/>
                <w:color w:val="auto"/>
                <w:szCs w:val="21"/>
                <w:highlight w:val="none"/>
              </w:rPr>
              <w:t>修理、重作、更换相关具体规定</w:t>
            </w:r>
          </w:p>
        </w:tc>
        <w:tc>
          <w:tcPr>
            <w:tcW w:w="5170" w:type="dxa"/>
            <w:vAlign w:val="center"/>
          </w:tcPr>
          <w:p w14:paraId="529B5F4E">
            <w:pPr>
              <w:adjustRightInd w:val="0"/>
              <w:snapToGrid w:val="0"/>
              <w:jc w:val="left"/>
              <w:rPr>
                <w:rFonts w:ascii="宋体" w:hAnsi="宋体"/>
                <w:color w:val="auto"/>
                <w:szCs w:val="21"/>
                <w:highlight w:val="none"/>
              </w:rPr>
            </w:pPr>
          </w:p>
        </w:tc>
      </w:tr>
      <w:tr w14:paraId="77EBB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828124">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1D6FA126">
            <w:pPr>
              <w:adjustRightInd w:val="0"/>
              <w:snapToGrid w:val="0"/>
              <w:jc w:val="center"/>
              <w:rPr>
                <w:rFonts w:ascii="宋体" w:hAnsi="宋体"/>
                <w:color w:val="auto"/>
                <w:szCs w:val="21"/>
                <w:highlight w:val="none"/>
              </w:rPr>
            </w:pPr>
            <w:r>
              <w:rPr>
                <w:rFonts w:hint="eastAsia" w:ascii="宋体" w:hAnsi="宋体"/>
                <w:color w:val="auto"/>
                <w:szCs w:val="21"/>
                <w:highlight w:val="none"/>
              </w:rPr>
              <w:t>第15.2（2）项</w:t>
            </w:r>
          </w:p>
        </w:tc>
        <w:tc>
          <w:tcPr>
            <w:tcW w:w="1742" w:type="dxa"/>
            <w:vAlign w:val="center"/>
          </w:tcPr>
          <w:p w14:paraId="6AA26A1A">
            <w:pPr>
              <w:adjustRightInd w:val="0"/>
              <w:snapToGrid w:val="0"/>
              <w:jc w:val="left"/>
              <w:rPr>
                <w:rFonts w:ascii="宋体" w:hAnsi="宋体"/>
                <w:color w:val="auto"/>
                <w:szCs w:val="21"/>
                <w:highlight w:val="none"/>
              </w:rPr>
            </w:pPr>
            <w:r>
              <w:rPr>
                <w:rFonts w:hint="eastAsia" w:ascii="宋体" w:hAnsi="宋体"/>
                <w:color w:val="auto"/>
                <w:szCs w:val="21"/>
                <w:highlight w:val="none"/>
              </w:rPr>
              <w:t>迟延交货赔偿费</w:t>
            </w:r>
          </w:p>
        </w:tc>
        <w:tc>
          <w:tcPr>
            <w:tcW w:w="5170" w:type="dxa"/>
            <w:vAlign w:val="center"/>
          </w:tcPr>
          <w:p w14:paraId="4A35BDED">
            <w:pPr>
              <w:adjustRightInd w:val="0"/>
              <w:snapToGrid w:val="0"/>
              <w:jc w:val="left"/>
              <w:rPr>
                <w:rFonts w:ascii="宋体" w:hAnsi="宋体"/>
                <w:color w:val="auto"/>
                <w:szCs w:val="21"/>
                <w:highlight w:val="none"/>
                <w:u w:val="single"/>
              </w:rPr>
            </w:pPr>
          </w:p>
        </w:tc>
      </w:tr>
      <w:tr w14:paraId="273512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B46C5CE">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55E53479">
            <w:pPr>
              <w:adjustRightInd w:val="0"/>
              <w:snapToGrid w:val="0"/>
              <w:jc w:val="center"/>
              <w:rPr>
                <w:rFonts w:ascii="宋体" w:hAnsi="宋体"/>
                <w:color w:val="auto"/>
                <w:szCs w:val="21"/>
                <w:highlight w:val="none"/>
              </w:rPr>
            </w:pPr>
            <w:r>
              <w:rPr>
                <w:rFonts w:hint="eastAsia" w:ascii="宋体" w:hAnsi="宋体"/>
                <w:color w:val="auto"/>
                <w:szCs w:val="21"/>
                <w:highlight w:val="none"/>
              </w:rPr>
              <w:t>第15.3款</w:t>
            </w:r>
          </w:p>
        </w:tc>
        <w:tc>
          <w:tcPr>
            <w:tcW w:w="1742" w:type="dxa"/>
            <w:vAlign w:val="center"/>
          </w:tcPr>
          <w:p w14:paraId="70860FD1">
            <w:pPr>
              <w:adjustRightInd w:val="0"/>
              <w:snapToGrid w:val="0"/>
              <w:jc w:val="left"/>
              <w:rPr>
                <w:rFonts w:ascii="宋体" w:hAnsi="宋体"/>
                <w:color w:val="auto"/>
                <w:szCs w:val="21"/>
                <w:highlight w:val="none"/>
              </w:rPr>
            </w:pPr>
            <w:r>
              <w:rPr>
                <w:rFonts w:hint="eastAsia" w:ascii="宋体" w:hAnsi="宋体"/>
                <w:color w:val="auto"/>
                <w:szCs w:val="21"/>
                <w:highlight w:val="none"/>
              </w:rPr>
              <w:t>逾期付款利息</w:t>
            </w:r>
          </w:p>
        </w:tc>
        <w:tc>
          <w:tcPr>
            <w:tcW w:w="5170" w:type="dxa"/>
            <w:vAlign w:val="center"/>
          </w:tcPr>
          <w:p w14:paraId="786C111F">
            <w:pPr>
              <w:adjustRightInd w:val="0"/>
              <w:snapToGrid w:val="0"/>
              <w:jc w:val="left"/>
              <w:rPr>
                <w:rFonts w:ascii="宋体" w:hAnsi="宋体"/>
                <w:color w:val="auto"/>
                <w:szCs w:val="21"/>
                <w:highlight w:val="none"/>
                <w:u w:val="single"/>
              </w:rPr>
            </w:pPr>
          </w:p>
        </w:tc>
      </w:tr>
      <w:tr w14:paraId="5932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D38D397">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0743C93B">
            <w:pPr>
              <w:adjustRightInd w:val="0"/>
              <w:snapToGrid w:val="0"/>
              <w:jc w:val="center"/>
              <w:rPr>
                <w:rFonts w:ascii="宋体" w:hAnsi="宋体"/>
                <w:color w:val="auto"/>
                <w:szCs w:val="21"/>
                <w:highlight w:val="none"/>
              </w:rPr>
            </w:pPr>
            <w:r>
              <w:rPr>
                <w:rFonts w:hint="eastAsia" w:ascii="宋体" w:hAnsi="宋体"/>
                <w:color w:val="auto"/>
                <w:szCs w:val="21"/>
                <w:highlight w:val="none"/>
              </w:rPr>
              <w:t>第15.4款</w:t>
            </w:r>
          </w:p>
        </w:tc>
        <w:tc>
          <w:tcPr>
            <w:tcW w:w="1742" w:type="dxa"/>
            <w:tcBorders>
              <w:left w:val="single" w:color="auto" w:sz="2" w:space="0"/>
              <w:bottom w:val="single" w:color="auto" w:sz="2" w:space="0"/>
              <w:right w:val="single" w:color="auto" w:sz="2" w:space="0"/>
            </w:tcBorders>
            <w:vAlign w:val="center"/>
          </w:tcPr>
          <w:p w14:paraId="44179DF1">
            <w:pPr>
              <w:adjustRightInd w:val="0"/>
              <w:snapToGrid w:val="0"/>
              <w:jc w:val="left"/>
              <w:rPr>
                <w:rFonts w:ascii="宋体" w:hAnsi="宋体"/>
                <w:color w:val="auto"/>
                <w:szCs w:val="21"/>
                <w:highlight w:val="none"/>
              </w:rPr>
            </w:pPr>
            <w:r>
              <w:rPr>
                <w:rFonts w:hint="eastAsia" w:ascii="宋体" w:hAnsi="宋体"/>
                <w:color w:val="auto"/>
                <w:szCs w:val="21"/>
                <w:highlight w:val="none"/>
              </w:rPr>
              <w:t>其他违约责任</w:t>
            </w:r>
          </w:p>
        </w:tc>
        <w:tc>
          <w:tcPr>
            <w:tcW w:w="5170" w:type="dxa"/>
            <w:tcBorders>
              <w:left w:val="single" w:color="auto" w:sz="2" w:space="0"/>
              <w:bottom w:val="single" w:color="auto" w:sz="2" w:space="0"/>
            </w:tcBorders>
            <w:vAlign w:val="center"/>
          </w:tcPr>
          <w:p w14:paraId="20D7DE49">
            <w:pPr>
              <w:adjustRightInd w:val="0"/>
              <w:snapToGrid w:val="0"/>
              <w:jc w:val="left"/>
              <w:rPr>
                <w:rFonts w:ascii="宋体" w:hAnsi="宋体"/>
                <w:color w:val="auto"/>
                <w:szCs w:val="21"/>
                <w:highlight w:val="none"/>
                <w:u w:val="single"/>
              </w:rPr>
            </w:pPr>
          </w:p>
        </w:tc>
      </w:tr>
      <w:tr w14:paraId="05C16D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1EEE442">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4C1F43AE">
            <w:pPr>
              <w:adjustRightInd w:val="0"/>
              <w:snapToGrid w:val="0"/>
              <w:jc w:val="center"/>
              <w:rPr>
                <w:rFonts w:ascii="宋体" w:hAnsi="宋体"/>
                <w:color w:val="auto"/>
                <w:szCs w:val="21"/>
                <w:highlight w:val="none"/>
              </w:rPr>
            </w:pPr>
            <w:r>
              <w:rPr>
                <w:rFonts w:hint="eastAsia" w:ascii="宋体" w:hAnsi="宋体"/>
                <w:color w:val="auto"/>
                <w:szCs w:val="21"/>
                <w:highlight w:val="none"/>
              </w:rPr>
              <w:t>第19.2款</w:t>
            </w:r>
          </w:p>
        </w:tc>
        <w:tc>
          <w:tcPr>
            <w:tcW w:w="1742" w:type="dxa"/>
            <w:tcBorders>
              <w:top w:val="single" w:color="auto" w:sz="2" w:space="0"/>
              <w:left w:val="single" w:color="auto" w:sz="2" w:space="0"/>
              <w:right w:val="single" w:color="auto" w:sz="2" w:space="0"/>
            </w:tcBorders>
            <w:vAlign w:val="center"/>
          </w:tcPr>
          <w:p w14:paraId="0F9A85A4">
            <w:pPr>
              <w:adjustRightInd w:val="0"/>
              <w:snapToGrid w:val="0"/>
              <w:jc w:val="left"/>
              <w:rPr>
                <w:rFonts w:ascii="宋体" w:hAnsi="宋体"/>
                <w:color w:val="auto"/>
                <w:szCs w:val="21"/>
                <w:highlight w:val="none"/>
              </w:rPr>
            </w:pPr>
            <w:r>
              <w:rPr>
                <w:rFonts w:hint="eastAsia" w:ascii="宋体" w:hAnsi="宋体"/>
                <w:color w:val="auto"/>
                <w:szCs w:val="21"/>
                <w:highlight w:val="none"/>
              </w:rPr>
              <w:t>解决争议的方法</w:t>
            </w:r>
          </w:p>
        </w:tc>
        <w:tc>
          <w:tcPr>
            <w:tcW w:w="5170" w:type="dxa"/>
            <w:tcBorders>
              <w:top w:val="single" w:color="auto" w:sz="2" w:space="0"/>
              <w:left w:val="single" w:color="auto" w:sz="2" w:space="0"/>
            </w:tcBorders>
            <w:vAlign w:val="center"/>
          </w:tcPr>
          <w:p w14:paraId="1452A1BC">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因本合同及合同有关事项发生的争议，按下列第种方式解决：</w:t>
            </w:r>
          </w:p>
          <w:p w14:paraId="13242E70">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（1）向仲裁委员会申请仲裁，仲裁地点为；</w:t>
            </w:r>
          </w:p>
          <w:p w14:paraId="322B7525">
            <w:pPr>
              <w:adjustRightInd w:val="0"/>
              <w:snapToGrid w:val="0"/>
              <w:jc w:val="left"/>
              <w:rPr>
                <w:rFonts w:ascii="宋体" w:hAnsi="宋体"/>
                <w:color w:val="auto"/>
                <w:szCs w:val="21"/>
                <w:highlight w:val="none"/>
                <w:u w:val="single"/>
              </w:rPr>
            </w:pPr>
            <w:r>
              <w:rPr>
                <w:rFonts w:hint="eastAsia" w:ascii="宋体" w:hAnsi="宋体" w:cs="宋体"/>
                <w:iCs/>
                <w:color w:val="auto"/>
                <w:szCs w:val="21"/>
                <w:highlight w:val="none"/>
              </w:rPr>
              <w:t>（2）向人民法院起诉。</w:t>
            </w:r>
          </w:p>
        </w:tc>
      </w:tr>
      <w:tr w14:paraId="2AAE0D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252EEBF">
            <w:pPr>
              <w:adjustRightInd w:val="0"/>
              <w:snapToGrid w:val="0"/>
              <w:jc w:val="center"/>
              <w:rPr>
                <w:rFonts w:ascii="宋体" w:hAnsi="宋体"/>
                <w:color w:val="auto"/>
                <w:szCs w:val="21"/>
                <w:highlight w:val="none"/>
              </w:rPr>
            </w:pPr>
            <w:r>
              <w:rPr>
                <w:rFonts w:hint="eastAsia" w:ascii="宋体" w:hAnsi="宋体"/>
                <w:color w:val="auto"/>
                <w:szCs w:val="21"/>
                <w:highlight w:val="none"/>
              </w:rPr>
              <w:t>第二节</w:t>
            </w:r>
          </w:p>
          <w:p w14:paraId="526337FE">
            <w:pPr>
              <w:adjustRightInd w:val="0"/>
              <w:snapToGrid w:val="0"/>
              <w:jc w:val="center"/>
              <w:rPr>
                <w:rFonts w:ascii="宋体" w:hAnsi="宋体"/>
                <w:color w:val="auto"/>
                <w:szCs w:val="21"/>
                <w:highlight w:val="none"/>
              </w:rPr>
            </w:pPr>
            <w:r>
              <w:rPr>
                <w:rFonts w:hint="eastAsia" w:ascii="宋体" w:hAnsi="宋体"/>
                <w:color w:val="auto"/>
                <w:szCs w:val="21"/>
                <w:highlight w:val="none"/>
              </w:rPr>
              <w:t>第23.1款</w:t>
            </w:r>
          </w:p>
        </w:tc>
        <w:tc>
          <w:tcPr>
            <w:tcW w:w="1742" w:type="dxa"/>
            <w:vAlign w:val="center"/>
          </w:tcPr>
          <w:p w14:paraId="23C22E3F">
            <w:pPr>
              <w:adjustRightInd w:val="0"/>
              <w:snapToGrid w:val="0"/>
              <w:jc w:val="left"/>
              <w:rPr>
                <w:rFonts w:ascii="宋体" w:hAnsi="宋体"/>
                <w:color w:val="auto"/>
                <w:szCs w:val="21"/>
                <w:highlight w:val="none"/>
              </w:rPr>
            </w:pPr>
            <w:r>
              <w:rPr>
                <w:rFonts w:hint="eastAsia" w:ascii="宋体" w:hAnsi="宋体"/>
                <w:bCs/>
                <w:color w:val="auto"/>
                <w:szCs w:val="21"/>
                <w:highlight w:val="none"/>
              </w:rPr>
              <w:t>其他专用条款</w:t>
            </w:r>
          </w:p>
        </w:tc>
        <w:tc>
          <w:tcPr>
            <w:tcW w:w="5170" w:type="dxa"/>
            <w:vAlign w:val="center"/>
          </w:tcPr>
          <w:p w14:paraId="4AAB45F3">
            <w:pPr>
              <w:adjustRightInd w:val="0"/>
              <w:snapToGrid w:val="0"/>
              <w:jc w:val="left"/>
              <w:rPr>
                <w:rFonts w:ascii="宋体" w:hAnsi="宋体"/>
                <w:color w:val="auto"/>
                <w:szCs w:val="21"/>
                <w:highlight w:val="none"/>
              </w:rPr>
            </w:pPr>
          </w:p>
        </w:tc>
      </w:tr>
    </w:tbl>
    <w:p w14:paraId="17536C80">
      <w:pPr>
        <w:rPr>
          <w:color w:val="auto"/>
          <w:highlight w:val="none"/>
        </w:rPr>
      </w:pPr>
    </w:p>
    <w:p w14:paraId="08FC3CF6">
      <w:pPr>
        <w:rPr>
          <w:color w:val="auto"/>
          <w:highlight w:val="none"/>
        </w:rPr>
      </w:pPr>
    </w:p>
    <w:p w14:paraId="6F421E90">
      <w:pPr>
        <w:spacing w:line="240" w:lineRule="auto"/>
        <w:jc w:val="left"/>
        <w:textAlignment w:val="auto"/>
        <w:rPr>
          <w:rFonts w:ascii="宋体"/>
          <w:b/>
          <w:color w:val="auto"/>
          <w:sz w:val="36"/>
          <w:szCs w:val="36"/>
          <w:highlight w:val="none"/>
          <w:lang w:val="zh-CN"/>
        </w:rPr>
      </w:pPr>
      <w:r>
        <w:rPr>
          <w:rFonts w:ascii="宋体"/>
          <w:b/>
          <w:color w:val="auto"/>
          <w:sz w:val="36"/>
          <w:szCs w:val="36"/>
          <w:highlight w:val="none"/>
          <w:lang w:val="zh-CN"/>
        </w:rPr>
        <w:br w:type="page"/>
      </w:r>
    </w:p>
    <w:p w14:paraId="3010D6E2">
      <w:pPr>
        <w:autoSpaceDE w:val="0"/>
        <w:autoSpaceDN w:val="0"/>
        <w:adjustRightInd w:val="0"/>
        <w:spacing w:line="360" w:lineRule="auto"/>
        <w:jc w:val="center"/>
        <w:outlineLvl w:val="0"/>
        <w:rPr>
          <w:rFonts w:ascii="黑体" w:hAnsi="黑体" w:eastAsia="黑体"/>
          <w:b/>
          <w:color w:val="auto"/>
          <w:sz w:val="36"/>
          <w:szCs w:val="36"/>
          <w:highlight w:val="none"/>
          <w:lang w:val="zh-CN"/>
        </w:rPr>
      </w:pPr>
      <w:bookmarkStart w:id="61" w:name="_Toc209083652"/>
      <w:r>
        <w:rPr>
          <w:rFonts w:hint="eastAsia" w:ascii="黑体" w:hAnsi="黑体" w:eastAsia="黑体"/>
          <w:b/>
          <w:color w:val="auto"/>
          <w:sz w:val="36"/>
          <w:szCs w:val="36"/>
          <w:highlight w:val="none"/>
          <w:lang w:val="zh-CN"/>
        </w:rPr>
        <w:t>第六章 投标文件格式</w:t>
      </w:r>
      <w:bookmarkEnd w:id="61"/>
    </w:p>
    <w:p w14:paraId="45313F0E">
      <w:pPr>
        <w:autoSpaceDE w:val="0"/>
        <w:autoSpaceDN w:val="0"/>
        <w:adjustRightInd w:val="0"/>
        <w:spacing w:line="276" w:lineRule="auto"/>
        <w:ind w:firstLine="514" w:firstLineChars="245"/>
        <w:jc w:val="left"/>
        <w:rPr>
          <w:rFonts w:ascii="宋体"/>
          <w:color w:val="auto"/>
          <w:sz w:val="36"/>
          <w:szCs w:val="36"/>
          <w:highlight w:val="none"/>
          <w:lang w:val="zh-CN"/>
        </w:rPr>
      </w:pPr>
      <w:r>
        <w:rPr>
          <w:rFonts w:hint="eastAsia" w:ascii="宋体" w:hAnsi="宋体"/>
          <w:color w:val="auto"/>
          <w:szCs w:val="21"/>
          <w:highlight w:val="none"/>
          <w:lang w:val="zh-CN"/>
        </w:rPr>
        <w:t>投标人应按“投标人须知</w:t>
      </w:r>
      <w:r>
        <w:rPr>
          <w:rFonts w:ascii="宋体"/>
          <w:color w:val="auto"/>
          <w:szCs w:val="21"/>
          <w:highlight w:val="none"/>
          <w:lang w:val="zh-CN"/>
        </w:rPr>
        <w:t>--</w:t>
      </w:r>
      <w:r>
        <w:rPr>
          <w:rFonts w:hint="eastAsia" w:ascii="宋体" w:hAnsi="宋体"/>
          <w:color w:val="auto"/>
          <w:szCs w:val="21"/>
          <w:highlight w:val="none"/>
          <w:lang w:val="zh-CN"/>
        </w:rPr>
        <w:t>投标文件的组成”列示内容编制投标文件，本章“投标文件格式”仅为对投标文件部分内容的格式化规范，并非投标文件所应具备的全部内容</w:t>
      </w:r>
      <w:r>
        <w:rPr>
          <w:rFonts w:hint="eastAsia" w:ascii="宋体" w:hAnsi="宋体"/>
          <w:color w:val="auto"/>
          <w:sz w:val="36"/>
          <w:szCs w:val="36"/>
          <w:highlight w:val="none"/>
          <w:lang w:val="zh-CN"/>
        </w:rPr>
        <w:t>。</w:t>
      </w:r>
    </w:p>
    <w:p w14:paraId="66724678">
      <w:pPr>
        <w:autoSpaceDE w:val="0"/>
        <w:autoSpaceDN w:val="0"/>
        <w:adjustRightInd w:val="0"/>
        <w:spacing w:line="276" w:lineRule="auto"/>
        <w:ind w:firstLine="882" w:firstLineChars="245"/>
        <w:jc w:val="left"/>
        <w:rPr>
          <w:rFonts w:ascii="宋体"/>
          <w:color w:val="auto"/>
          <w:sz w:val="36"/>
          <w:szCs w:val="36"/>
          <w:highlight w:val="none"/>
          <w:lang w:val="zh-CN"/>
        </w:rPr>
      </w:pPr>
    </w:p>
    <w:p w14:paraId="3C1CC7D8">
      <w:pPr>
        <w:autoSpaceDE w:val="0"/>
        <w:autoSpaceDN w:val="0"/>
        <w:adjustRightInd w:val="0"/>
        <w:spacing w:line="360" w:lineRule="auto"/>
        <w:ind w:right="-817"/>
        <w:rPr>
          <w:rFonts w:ascii="宋体"/>
          <w:color w:val="auto"/>
          <w:sz w:val="24"/>
          <w:highlight w:val="none"/>
          <w:u w:val="single"/>
        </w:rPr>
      </w:pPr>
    </w:p>
    <w:p w14:paraId="58AEE6E0">
      <w:pPr>
        <w:autoSpaceDE w:val="0"/>
        <w:autoSpaceDN w:val="0"/>
        <w:adjustRightInd w:val="0"/>
        <w:spacing w:line="360" w:lineRule="auto"/>
        <w:ind w:firstLine="480" w:firstLineChars="200"/>
        <w:jc w:val="left"/>
        <w:rPr>
          <w:rFonts w:ascii="宋体"/>
          <w:color w:val="auto"/>
          <w:sz w:val="24"/>
          <w:highlight w:val="none"/>
          <w:u w:val="single"/>
        </w:rPr>
      </w:pPr>
    </w:p>
    <w:p w14:paraId="707F5109">
      <w:pPr>
        <w:autoSpaceDE w:val="0"/>
        <w:autoSpaceDN w:val="0"/>
        <w:adjustRightInd w:val="0"/>
        <w:spacing w:line="360" w:lineRule="auto"/>
        <w:jc w:val="left"/>
        <w:rPr>
          <w:rFonts w:ascii="宋体"/>
          <w:color w:val="auto"/>
          <w:sz w:val="44"/>
          <w:szCs w:val="44"/>
          <w:highlight w:val="none"/>
          <w:u w:val="single"/>
        </w:rPr>
      </w:pPr>
      <w:r>
        <w:rPr>
          <w:rFonts w:hint="eastAsia" w:ascii="宋体" w:hAnsi="宋体"/>
          <w:color w:val="auto"/>
          <w:sz w:val="44"/>
          <w:szCs w:val="44"/>
          <w:highlight w:val="none"/>
        </w:rPr>
        <w:t>项目名称：</w:t>
      </w:r>
    </w:p>
    <w:p w14:paraId="6E8231E5">
      <w:pPr>
        <w:autoSpaceDE w:val="0"/>
        <w:autoSpaceDN w:val="0"/>
        <w:adjustRightInd w:val="0"/>
        <w:spacing w:line="360" w:lineRule="auto"/>
        <w:jc w:val="left"/>
        <w:rPr>
          <w:rFonts w:ascii="宋体"/>
          <w:color w:val="auto"/>
          <w:sz w:val="24"/>
          <w:highlight w:val="none"/>
        </w:rPr>
      </w:pPr>
      <w:r>
        <w:rPr>
          <w:rFonts w:hint="eastAsia" w:ascii="宋体" w:hAnsi="宋体"/>
          <w:color w:val="auto"/>
          <w:sz w:val="44"/>
          <w:szCs w:val="44"/>
          <w:highlight w:val="none"/>
        </w:rPr>
        <w:t>项目编号：</w:t>
      </w:r>
    </w:p>
    <w:p w14:paraId="67B79282">
      <w:pPr>
        <w:autoSpaceDE w:val="0"/>
        <w:autoSpaceDN w:val="0"/>
        <w:adjustRightInd w:val="0"/>
        <w:spacing w:line="360" w:lineRule="auto"/>
        <w:jc w:val="center"/>
        <w:rPr>
          <w:rFonts w:ascii="黑体" w:hAnsi="黑体" w:eastAsia="黑体"/>
          <w:b/>
          <w:color w:val="auto"/>
          <w:spacing w:val="60"/>
          <w:sz w:val="84"/>
          <w:szCs w:val="84"/>
          <w:highlight w:val="none"/>
        </w:rPr>
      </w:pPr>
    </w:p>
    <w:p w14:paraId="3B2E5064">
      <w:pPr>
        <w:autoSpaceDE w:val="0"/>
        <w:autoSpaceDN w:val="0"/>
        <w:adjustRightInd w:val="0"/>
        <w:spacing w:line="360" w:lineRule="auto"/>
        <w:jc w:val="center"/>
        <w:rPr>
          <w:rFonts w:ascii="黑体" w:hAnsi="黑体" w:eastAsia="黑体"/>
          <w:b/>
          <w:color w:val="auto"/>
          <w:spacing w:val="60"/>
          <w:sz w:val="84"/>
          <w:szCs w:val="84"/>
          <w:highlight w:val="none"/>
        </w:rPr>
      </w:pPr>
      <w:r>
        <w:rPr>
          <w:rFonts w:hint="eastAsia" w:ascii="黑体" w:hAnsi="黑体" w:eastAsia="黑体"/>
          <w:b/>
          <w:color w:val="auto"/>
          <w:spacing w:val="60"/>
          <w:sz w:val="84"/>
          <w:szCs w:val="84"/>
          <w:highlight w:val="none"/>
        </w:rPr>
        <w:t>投标文件</w:t>
      </w:r>
    </w:p>
    <w:p w14:paraId="4DAC7CB6">
      <w:pPr>
        <w:autoSpaceDE w:val="0"/>
        <w:autoSpaceDN w:val="0"/>
        <w:adjustRightInd w:val="0"/>
        <w:spacing w:line="360" w:lineRule="auto"/>
        <w:jc w:val="center"/>
        <w:rPr>
          <w:rFonts w:ascii="宋体"/>
          <w:color w:val="auto"/>
          <w:sz w:val="24"/>
          <w:highlight w:val="none"/>
        </w:rPr>
      </w:pPr>
    </w:p>
    <w:p w14:paraId="7BB74414">
      <w:pPr>
        <w:autoSpaceDE w:val="0"/>
        <w:autoSpaceDN w:val="0"/>
        <w:adjustRightInd w:val="0"/>
        <w:spacing w:line="360" w:lineRule="auto"/>
        <w:jc w:val="center"/>
        <w:rPr>
          <w:rFonts w:ascii="宋体"/>
          <w:color w:val="auto"/>
          <w:sz w:val="24"/>
          <w:highlight w:val="none"/>
        </w:rPr>
      </w:pPr>
    </w:p>
    <w:p w14:paraId="3790EA8A">
      <w:pPr>
        <w:autoSpaceDE w:val="0"/>
        <w:autoSpaceDN w:val="0"/>
        <w:adjustRightInd w:val="0"/>
        <w:spacing w:line="360" w:lineRule="auto"/>
        <w:jc w:val="center"/>
        <w:rPr>
          <w:rFonts w:ascii="宋体"/>
          <w:color w:val="auto"/>
          <w:sz w:val="24"/>
          <w:highlight w:val="none"/>
        </w:rPr>
      </w:pPr>
    </w:p>
    <w:p w14:paraId="47F799AE">
      <w:pPr>
        <w:autoSpaceDE w:val="0"/>
        <w:autoSpaceDN w:val="0"/>
        <w:adjustRightInd w:val="0"/>
        <w:spacing w:line="360" w:lineRule="auto"/>
        <w:jc w:val="center"/>
        <w:rPr>
          <w:rFonts w:ascii="宋体"/>
          <w:color w:val="auto"/>
          <w:sz w:val="24"/>
          <w:highlight w:val="none"/>
        </w:rPr>
      </w:pPr>
    </w:p>
    <w:p w14:paraId="512154AB">
      <w:pPr>
        <w:pStyle w:val="48"/>
        <w:spacing w:line="360" w:lineRule="auto"/>
        <w:rPr>
          <w:rFonts w:hAnsi="宋体"/>
          <w:color w:val="auto"/>
          <w:szCs w:val="24"/>
          <w:highlight w:val="none"/>
          <w:u w:val="single"/>
        </w:rPr>
      </w:pPr>
    </w:p>
    <w:p w14:paraId="070D5B1F">
      <w:pPr>
        <w:pStyle w:val="48"/>
        <w:spacing w:line="360" w:lineRule="auto"/>
        <w:jc w:val="both"/>
        <w:rPr>
          <w:rFonts w:hAnsi="宋体"/>
          <w:color w:val="auto"/>
          <w:sz w:val="28"/>
          <w:szCs w:val="28"/>
          <w:highlight w:val="none"/>
          <w:u w:val="single"/>
        </w:rPr>
      </w:pPr>
      <w:r>
        <w:rPr>
          <w:rFonts w:hint="eastAsia" w:hAnsi="宋体"/>
          <w:color w:val="auto"/>
          <w:sz w:val="28"/>
          <w:szCs w:val="28"/>
          <w:highlight w:val="none"/>
        </w:rPr>
        <w:t>投标人（</w:t>
      </w:r>
      <w:r>
        <w:rPr>
          <w:rFonts w:hint="eastAsia"/>
          <w:color w:val="auto"/>
          <w:szCs w:val="24"/>
          <w:highlight w:val="none"/>
        </w:rPr>
        <w:t>电子签</w:t>
      </w:r>
      <w:r>
        <w:rPr>
          <w:rFonts w:hint="eastAsia" w:hAnsi="宋体"/>
          <w:color w:val="auto"/>
          <w:szCs w:val="24"/>
          <w:highlight w:val="none"/>
        </w:rPr>
        <w:t>章</w:t>
      </w:r>
      <w:r>
        <w:rPr>
          <w:rFonts w:hint="eastAsia" w:hAnsi="宋体"/>
          <w:color w:val="auto"/>
          <w:sz w:val="28"/>
          <w:szCs w:val="28"/>
          <w:highlight w:val="none"/>
        </w:rPr>
        <w:t>）：</w:t>
      </w:r>
    </w:p>
    <w:p w14:paraId="1C6611C4">
      <w:pPr>
        <w:pStyle w:val="48"/>
        <w:spacing w:line="360" w:lineRule="auto"/>
        <w:ind w:firstLine="280" w:firstLineChars="100"/>
        <w:rPr>
          <w:rFonts w:hAnsi="宋体"/>
          <w:color w:val="auto"/>
          <w:sz w:val="28"/>
          <w:szCs w:val="28"/>
          <w:highlight w:val="none"/>
        </w:rPr>
      </w:pPr>
    </w:p>
    <w:p w14:paraId="2E0B9768">
      <w:pPr>
        <w:pStyle w:val="48"/>
        <w:spacing w:line="360" w:lineRule="auto"/>
        <w:ind w:firstLine="280" w:firstLineChars="100"/>
        <w:rPr>
          <w:rFonts w:hAnsi="宋体"/>
          <w:color w:val="auto"/>
          <w:sz w:val="28"/>
          <w:szCs w:val="28"/>
          <w:highlight w:val="none"/>
          <w:u w:val="single"/>
        </w:rPr>
      </w:pPr>
      <w:r>
        <w:rPr>
          <w:rFonts w:hint="eastAsia" w:hAnsi="宋体"/>
          <w:color w:val="auto"/>
          <w:sz w:val="28"/>
          <w:szCs w:val="28"/>
          <w:highlight w:val="none"/>
        </w:rPr>
        <w:t>法定代表人（电子签名或签章）：</w:t>
      </w:r>
    </w:p>
    <w:p w14:paraId="283026B1">
      <w:pPr>
        <w:pStyle w:val="48"/>
        <w:spacing w:line="360" w:lineRule="auto"/>
        <w:jc w:val="center"/>
        <w:rPr>
          <w:rFonts w:hAnsi="宋体"/>
          <w:color w:val="auto"/>
          <w:sz w:val="28"/>
          <w:szCs w:val="28"/>
          <w:highlight w:val="none"/>
        </w:rPr>
      </w:pPr>
    </w:p>
    <w:p w14:paraId="605EB6A4">
      <w:pPr>
        <w:pStyle w:val="48"/>
        <w:spacing w:line="360" w:lineRule="auto"/>
        <w:jc w:val="both"/>
        <w:rPr>
          <w:rFonts w:hAnsi="宋体"/>
          <w:color w:val="auto"/>
          <w:sz w:val="28"/>
          <w:szCs w:val="28"/>
          <w:highlight w:val="none"/>
        </w:rPr>
      </w:pPr>
    </w:p>
    <w:p w14:paraId="5CEA0DCD">
      <w:pPr>
        <w:widowControl w:val="0"/>
        <w:tabs>
          <w:tab w:val="left" w:pos="9365"/>
        </w:tabs>
        <w:snapToGrid w:val="0"/>
        <w:spacing w:before="56" w:after="56" w:line="560" w:lineRule="atLeast"/>
        <w:jc w:val="left"/>
        <w:textAlignment w:val="top"/>
        <w:rPr>
          <w:color w:val="auto"/>
          <w:sz w:val="28"/>
          <w:highlight w:val="none"/>
        </w:rPr>
      </w:pPr>
      <w:r>
        <w:rPr>
          <w:rFonts w:ascii="宋体" w:cs="楷体_GB2312"/>
          <w:b/>
          <w:bCs/>
          <w:color w:val="auto"/>
          <w:sz w:val="44"/>
          <w:szCs w:val="44"/>
          <w:highlight w:val="none"/>
          <w:lang w:val="zh-CN"/>
        </w:rPr>
        <w:br w:type="page"/>
      </w:r>
      <w:bookmarkStart w:id="62" w:name="OLE_LINK35"/>
      <w:bookmarkStart w:id="63" w:name="OLE_LINK10"/>
    </w:p>
    <w:p w14:paraId="4A5256D4">
      <w:pPr>
        <w:spacing w:line="351" w:lineRule="atLeast"/>
        <w:ind w:left="419"/>
        <w:jc w:val="center"/>
        <w:rPr>
          <w:rFonts w:ascii="黑体" w:eastAsia="黑体"/>
          <w:b/>
          <w:color w:val="auto"/>
          <w:spacing w:val="60"/>
          <w:sz w:val="36"/>
          <w:szCs w:val="36"/>
          <w:highlight w:val="none"/>
        </w:rPr>
      </w:pPr>
      <w:r>
        <w:rPr>
          <w:rFonts w:hint="eastAsia" w:ascii="黑体" w:eastAsia="黑体"/>
          <w:b/>
          <w:color w:val="auto"/>
          <w:spacing w:val="60"/>
          <w:sz w:val="36"/>
          <w:szCs w:val="36"/>
          <w:highlight w:val="none"/>
        </w:rPr>
        <w:t>一、投标书</w:t>
      </w:r>
      <w:bookmarkEnd w:id="62"/>
    </w:p>
    <w:bookmarkEnd w:id="63"/>
    <w:p w14:paraId="4D42C867">
      <w:pPr>
        <w:widowControl w:val="0"/>
        <w:snapToGrid w:val="0"/>
        <w:spacing w:line="560" w:lineRule="exact"/>
        <w:rPr>
          <w:color w:val="auto"/>
          <w:sz w:val="28"/>
          <w:highlight w:val="none"/>
        </w:rPr>
      </w:pPr>
    </w:p>
    <w:p w14:paraId="289C12B9">
      <w:pPr>
        <w:widowControl w:val="0"/>
        <w:snapToGrid w:val="0"/>
        <w:spacing w:line="360" w:lineRule="auto"/>
        <w:rPr>
          <w:color w:val="auto"/>
          <w:sz w:val="24"/>
          <w:szCs w:val="24"/>
          <w:highlight w:val="none"/>
        </w:rPr>
      </w:pPr>
      <w:r>
        <w:rPr>
          <w:rFonts w:hint="eastAsia"/>
          <w:color w:val="auto"/>
          <w:sz w:val="24"/>
          <w:szCs w:val="24"/>
          <w:highlight w:val="none"/>
        </w:rPr>
        <w:t>致：安阳市方正招标采购服务有限责任公司</w:t>
      </w:r>
    </w:p>
    <w:p w14:paraId="36DCC85B">
      <w:pPr>
        <w:widowControl w:val="0"/>
        <w:snapToGrid w:val="0"/>
        <w:spacing w:line="360" w:lineRule="auto"/>
        <w:ind w:firstLine="578"/>
        <w:textAlignment w:val="top"/>
        <w:rPr>
          <w:color w:val="auto"/>
          <w:sz w:val="24"/>
          <w:szCs w:val="24"/>
          <w:highlight w:val="none"/>
        </w:rPr>
      </w:pPr>
      <w:r>
        <w:rPr>
          <w:rFonts w:hint="eastAsia"/>
          <w:color w:val="auto"/>
          <w:sz w:val="24"/>
          <w:szCs w:val="24"/>
          <w:highlight w:val="none"/>
        </w:rPr>
        <w:t>根据贵方竞争性谈判采购</w:t>
      </w:r>
      <w:r>
        <w:rPr>
          <w:rFonts w:hint="eastAsia"/>
          <w:color w:val="auto"/>
          <w:sz w:val="18"/>
          <w:szCs w:val="18"/>
          <w:highlight w:val="none"/>
          <w:u w:val="single"/>
        </w:rPr>
        <w:t>（项目名称）</w:t>
      </w:r>
      <w:r>
        <w:rPr>
          <w:rFonts w:hint="eastAsia"/>
          <w:color w:val="auto"/>
          <w:sz w:val="24"/>
          <w:szCs w:val="24"/>
          <w:highlight w:val="none"/>
        </w:rPr>
        <w:t>的谈判文件（项目编号：），经详细研究，我们决定参加该项目的采购活动并按要求提交响应文件。我们郑重声明对我单位提交的所有投标资料的真实准确完整承担完全责任、并对之负法律责任。</w:t>
      </w:r>
    </w:p>
    <w:p w14:paraId="0817E89D">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）投标书。</w:t>
      </w:r>
    </w:p>
    <w:p w14:paraId="16FD4678">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w:t>
      </w:r>
      <w:r>
        <w:rPr>
          <w:rFonts w:hint="eastAsia" w:ascii="宋体" w:hAnsi="宋体"/>
          <w:color w:val="auto"/>
          <w:sz w:val="24"/>
          <w:szCs w:val="24"/>
          <w:highlight w:val="none"/>
        </w:rPr>
        <w:t>开标一览表（即交易系统中报价一览表）</w:t>
      </w:r>
    </w:p>
    <w:p w14:paraId="7AA4B3D9">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w:t>
      </w:r>
      <w:r>
        <w:rPr>
          <w:rFonts w:hint="eastAsia" w:ascii="宋体" w:hAnsi="宋体"/>
          <w:color w:val="auto"/>
          <w:sz w:val="24"/>
          <w:highlight w:val="none"/>
        </w:rPr>
        <w:t>投标报价明细表</w:t>
      </w:r>
    </w:p>
    <w:p w14:paraId="24422FE2">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w:t>
      </w:r>
      <w:r>
        <w:rPr>
          <w:rFonts w:hint="eastAsia" w:ascii="宋体" w:hAnsi="宋体"/>
          <w:color w:val="auto"/>
          <w:sz w:val="24"/>
          <w:highlight w:val="none"/>
        </w:rPr>
        <w:t>投标产品清单及其技术参数，安装调试方案</w:t>
      </w:r>
    </w:p>
    <w:p w14:paraId="703CB881">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）技术偏差表。</w:t>
      </w:r>
    </w:p>
    <w:p w14:paraId="540C2690">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w:t>
      </w:r>
      <w:r>
        <w:rPr>
          <w:rFonts w:hint="eastAsia" w:ascii="宋体" w:hAnsi="宋体"/>
          <w:color w:val="auto"/>
          <w:sz w:val="24"/>
          <w:highlight w:val="none"/>
        </w:rPr>
        <w:t>其他偏差表</w:t>
      </w:r>
    </w:p>
    <w:p w14:paraId="1EF91B4C">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w:t>
      </w:r>
      <w:r>
        <w:rPr>
          <w:rFonts w:hint="eastAsia" w:ascii="宋体" w:hAnsi="宋体"/>
          <w:color w:val="auto"/>
          <w:sz w:val="24"/>
          <w:highlight w:val="none"/>
        </w:rPr>
        <w:t>售后服务计划</w:t>
      </w:r>
    </w:p>
    <w:p w14:paraId="1A122765">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w:t>
      </w:r>
      <w:r>
        <w:rPr>
          <w:rFonts w:hint="eastAsia" w:ascii="宋体" w:hAnsi="宋体"/>
          <w:color w:val="auto"/>
          <w:sz w:val="24"/>
          <w:highlight w:val="none"/>
        </w:rPr>
        <w:t>关于资格的声明函</w:t>
      </w:r>
    </w:p>
    <w:p w14:paraId="3CC1D04A">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9</w:t>
      </w:r>
      <w:r>
        <w:rPr>
          <w:rFonts w:hint="eastAsia" w:ascii="宋体" w:hAnsi="宋体" w:cs="楷体_GB2312"/>
          <w:color w:val="auto"/>
          <w:sz w:val="24"/>
          <w:highlight w:val="none"/>
          <w:lang w:val="zh-CN"/>
        </w:rPr>
        <w:t>）</w:t>
      </w:r>
      <w:r>
        <w:rPr>
          <w:rFonts w:hint="eastAsia" w:ascii="宋体" w:hAnsi="宋体"/>
          <w:color w:val="auto"/>
          <w:sz w:val="24"/>
          <w:highlight w:val="none"/>
        </w:rPr>
        <w:t>反商业贿赂承诺书。</w:t>
      </w:r>
    </w:p>
    <w:p w14:paraId="15ABC7A0">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10</w:t>
      </w:r>
      <w:r>
        <w:rPr>
          <w:rFonts w:hint="eastAsia" w:ascii="宋体" w:hAnsi="宋体" w:cs="楷体_GB2312"/>
          <w:color w:val="auto"/>
          <w:sz w:val="24"/>
          <w:highlight w:val="none"/>
          <w:lang w:val="zh-CN"/>
        </w:rPr>
        <w:t>）</w:t>
      </w:r>
      <w:r>
        <w:rPr>
          <w:rFonts w:hint="eastAsia" w:ascii="宋体" w:hAnsi="宋体"/>
          <w:color w:val="auto"/>
          <w:sz w:val="24"/>
          <w:highlight w:val="none"/>
        </w:rPr>
        <w:t>履约承诺书。</w:t>
      </w:r>
    </w:p>
    <w:p w14:paraId="648DB1C4">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11</w:t>
      </w:r>
      <w:r>
        <w:rPr>
          <w:rFonts w:hint="eastAsia" w:ascii="宋体" w:hAnsi="宋体"/>
          <w:color w:val="auto"/>
          <w:sz w:val="24"/>
          <w:highlight w:val="none"/>
        </w:rPr>
        <w:t>）资格要求相关证件材料及证明材料</w:t>
      </w:r>
    </w:p>
    <w:p w14:paraId="49090DA7">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12</w:t>
      </w:r>
      <w:r>
        <w:rPr>
          <w:rFonts w:hint="eastAsia" w:ascii="宋体" w:hAnsi="宋体"/>
          <w:color w:val="auto"/>
          <w:sz w:val="24"/>
          <w:highlight w:val="none"/>
        </w:rPr>
        <w:t>）采购项目及技术服务要求所需的其他材料</w:t>
      </w:r>
    </w:p>
    <w:p w14:paraId="5CC1EC68">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13</w:t>
      </w:r>
      <w:r>
        <w:rPr>
          <w:rFonts w:hint="eastAsia" w:ascii="宋体" w:hAnsi="宋体"/>
          <w:color w:val="auto"/>
          <w:sz w:val="24"/>
          <w:highlight w:val="none"/>
        </w:rPr>
        <w:t>）投标人须知所需的其他材料</w:t>
      </w:r>
    </w:p>
    <w:p w14:paraId="7F4DE931">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14</w:t>
      </w:r>
      <w:r>
        <w:rPr>
          <w:rFonts w:hint="eastAsia" w:ascii="宋体" w:hAnsi="宋体"/>
          <w:color w:val="auto"/>
          <w:sz w:val="24"/>
          <w:highlight w:val="none"/>
        </w:rPr>
        <w:t>）评审办法所需的其他材料</w:t>
      </w:r>
    </w:p>
    <w:p w14:paraId="7F0718B0">
      <w:pPr>
        <w:widowControl w:val="0"/>
        <w:adjustRightInd w:val="0"/>
        <w:snapToGrid w:val="0"/>
        <w:spacing w:line="300" w:lineRule="auto"/>
        <w:ind w:firstLine="720" w:firstLineChars="300"/>
        <w:textAlignment w:val="top"/>
        <w:rPr>
          <w:rFonts w:ascii="宋体" w:hAnsi="宋体"/>
          <w:color w:val="auto"/>
          <w:sz w:val="24"/>
          <w:highlight w:val="none"/>
        </w:rPr>
      </w:pPr>
      <w:r>
        <w:rPr>
          <w:rFonts w:hint="eastAsia" w:ascii="宋体" w:hAnsi="宋体"/>
          <w:color w:val="auto"/>
          <w:sz w:val="24"/>
          <w:highlight w:val="none"/>
        </w:rPr>
        <w:t>14-1. 其它材料</w:t>
      </w:r>
    </w:p>
    <w:p w14:paraId="7899249F">
      <w:pPr>
        <w:widowControl w:val="0"/>
        <w:adjustRightInd w:val="0"/>
        <w:snapToGrid w:val="0"/>
        <w:spacing w:line="300" w:lineRule="auto"/>
        <w:ind w:firstLine="720" w:firstLineChars="300"/>
        <w:textAlignment w:val="top"/>
        <w:rPr>
          <w:rFonts w:ascii="宋体" w:hAnsi="宋体"/>
          <w:color w:val="auto"/>
          <w:sz w:val="24"/>
          <w:highlight w:val="none"/>
        </w:rPr>
      </w:pPr>
      <w:r>
        <w:rPr>
          <w:rFonts w:hint="eastAsia" w:ascii="宋体" w:hAnsi="宋体"/>
          <w:color w:val="auto"/>
          <w:sz w:val="24"/>
          <w:highlight w:val="none"/>
        </w:rPr>
        <w:t>14-2.附件（如需）：关于台式计算机、便携式计算机、一体式计算机、工作站、通用服务器、操作系统、数据库的投标要求、评审注意事项、承诺函。</w:t>
      </w:r>
    </w:p>
    <w:p w14:paraId="41A95AEF">
      <w:pPr>
        <w:adjustRightInd w:val="0"/>
        <w:snapToGrid w:val="0"/>
        <w:spacing w:line="300" w:lineRule="auto"/>
        <w:ind w:firstLine="657" w:firstLineChars="274"/>
        <w:textAlignment w:val="top"/>
        <w:rPr>
          <w:rFonts w:ascii="宋体" w:hAnsi="宋体" w:cs="楷体_GB2312"/>
          <w:color w:val="auto"/>
          <w:sz w:val="24"/>
          <w:highlight w:val="none"/>
          <w:lang w:val="zh-CN"/>
        </w:rPr>
      </w:pPr>
      <w:r>
        <w:rPr>
          <w:rFonts w:hint="eastAsia" w:ascii="宋体" w:hAnsi="宋体" w:cs="楷体_GB2312"/>
          <w:color w:val="auto"/>
          <w:sz w:val="24"/>
          <w:highlight w:val="none"/>
          <w:lang w:val="zh-CN"/>
        </w:rPr>
        <w:t>14-3附件：证明材料查询核验工作的清单及要求</w:t>
      </w:r>
    </w:p>
    <w:p w14:paraId="62C8F899">
      <w:pPr>
        <w:autoSpaceDE w:val="0"/>
        <w:autoSpaceDN w:val="0"/>
        <w:adjustRightInd w:val="0"/>
        <w:snapToGrid w:val="0"/>
        <w:spacing w:line="300" w:lineRule="auto"/>
        <w:ind w:firstLine="520" w:firstLineChars="217"/>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15</w:t>
      </w:r>
      <w:r>
        <w:rPr>
          <w:rFonts w:hint="eastAsia" w:ascii="宋体" w:hAnsi="宋体" w:cs="楷体_GB2312"/>
          <w:color w:val="auto"/>
          <w:sz w:val="24"/>
          <w:highlight w:val="none"/>
          <w:lang w:val="zh-CN"/>
        </w:rPr>
        <w:t>）</w:t>
      </w:r>
      <w:r>
        <w:rPr>
          <w:rFonts w:hint="eastAsia" w:ascii="宋体" w:hAnsi="宋体"/>
          <w:color w:val="auto"/>
          <w:sz w:val="24"/>
          <w:highlight w:val="none"/>
        </w:rPr>
        <w:t>投标人认为有必要提交的其它材料</w:t>
      </w:r>
    </w:p>
    <w:p w14:paraId="148EA1FD">
      <w:pPr>
        <w:widowControl w:val="0"/>
        <w:snapToGrid w:val="0"/>
        <w:spacing w:line="560" w:lineRule="exact"/>
        <w:ind w:firstLine="555"/>
        <w:rPr>
          <w:rFonts w:ascii="宋体" w:hAnsi="宋体"/>
          <w:color w:val="auto"/>
          <w:sz w:val="24"/>
          <w:szCs w:val="24"/>
          <w:highlight w:val="none"/>
        </w:rPr>
      </w:pPr>
      <w:r>
        <w:rPr>
          <w:rFonts w:ascii="宋体" w:hAnsi="宋体"/>
          <w:color w:val="auto"/>
          <w:sz w:val="24"/>
          <w:szCs w:val="24"/>
          <w:highlight w:val="none"/>
        </w:rPr>
        <w:t>.........</w:t>
      </w:r>
    </w:p>
    <w:p w14:paraId="26DA5E8D">
      <w:pPr>
        <w:widowControl w:val="0"/>
        <w:snapToGrid w:val="0"/>
        <w:spacing w:beforeLines="50" w:line="300" w:lineRule="auto"/>
        <w:ind w:firstLine="556"/>
        <w:rPr>
          <w:rFonts w:ascii="宋体" w:hAnsi="宋体"/>
          <w:color w:val="auto"/>
          <w:sz w:val="24"/>
          <w:szCs w:val="24"/>
          <w:highlight w:val="none"/>
        </w:rPr>
      </w:pPr>
      <w:r>
        <w:rPr>
          <w:rFonts w:hint="eastAsia" w:ascii="宋体" w:hAnsi="宋体"/>
          <w:color w:val="auto"/>
          <w:sz w:val="24"/>
          <w:szCs w:val="24"/>
          <w:highlight w:val="none"/>
        </w:rPr>
        <w:t>据此函，签字代表宣布同意如下：</w:t>
      </w:r>
    </w:p>
    <w:p w14:paraId="44AAC3A1">
      <w:pPr>
        <w:widowControl w:val="0"/>
        <w:snapToGrid w:val="0"/>
        <w:spacing w:beforeLines="50" w:line="300" w:lineRule="auto"/>
        <w:ind w:firstLine="556"/>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所附开标一览表中规定的应提供和交付的投标总价为：人民币</w:t>
      </w:r>
      <w:r>
        <w:rPr>
          <w:rFonts w:ascii="宋体" w:hAnsi="宋体"/>
          <w:color w:val="auto"/>
          <w:sz w:val="24"/>
          <w:szCs w:val="24"/>
          <w:highlight w:val="none"/>
          <w:u w:val="single"/>
        </w:rPr>
        <w:tab/>
      </w:r>
      <w:r>
        <w:rPr>
          <w:rFonts w:hint="eastAsia" w:ascii="宋体" w:hAnsi="宋体"/>
          <w:color w:val="auto"/>
          <w:sz w:val="24"/>
          <w:szCs w:val="24"/>
          <w:highlight w:val="none"/>
        </w:rPr>
        <w:t>，即</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olor w:val="auto"/>
          <w:sz w:val="24"/>
          <w:szCs w:val="24"/>
          <w:highlight w:val="none"/>
        </w:rPr>
        <w:t>（文字表述）</w:t>
      </w:r>
      <w:r>
        <w:rPr>
          <w:rFonts w:hint="eastAsia"/>
          <w:color w:val="auto"/>
          <w:sz w:val="24"/>
          <w:szCs w:val="24"/>
          <w:highlight w:val="none"/>
        </w:rPr>
        <w:t>交验期：，交验地点：。</w:t>
      </w:r>
    </w:p>
    <w:p w14:paraId="70CF9D23">
      <w:pPr>
        <w:widowControl w:val="0"/>
        <w:snapToGrid w:val="0"/>
        <w:spacing w:beforeLines="50" w:line="300" w:lineRule="auto"/>
        <w:ind w:firstLine="556"/>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如果我单位的投标书被接受，我单位将履行谈判文件中规定的每一项要求，按期、按质、按量履行合同。</w:t>
      </w:r>
    </w:p>
    <w:p w14:paraId="343B1759">
      <w:pPr>
        <w:widowControl w:val="0"/>
        <w:snapToGrid w:val="0"/>
        <w:spacing w:beforeLines="50" w:line="300" w:lineRule="auto"/>
        <w:ind w:firstLine="556"/>
        <w:rPr>
          <w:rFonts w:ascii="宋体" w:hAnsi="宋体"/>
          <w:color w:val="auto"/>
          <w:sz w:val="24"/>
          <w:szCs w:val="24"/>
          <w:highlight w:val="none"/>
        </w:rPr>
      </w:pPr>
      <w:r>
        <w:rPr>
          <w:rFonts w:ascii="宋体" w:hAnsi="宋体"/>
          <w:color w:val="auto"/>
          <w:sz w:val="24"/>
          <w:szCs w:val="24"/>
          <w:highlight w:val="none"/>
        </w:rPr>
        <w:t xml:space="preserve">3. </w:t>
      </w:r>
      <w:r>
        <w:rPr>
          <w:rFonts w:hint="eastAsia" w:ascii="宋体" w:hAnsi="宋体"/>
          <w:color w:val="auto"/>
          <w:sz w:val="24"/>
          <w:szCs w:val="24"/>
          <w:highlight w:val="none"/>
        </w:rPr>
        <w:t>我单位愿按《中华人民共和国民法典》履行我单位的全部责任。</w:t>
      </w:r>
    </w:p>
    <w:p w14:paraId="6DCC6D83">
      <w:pPr>
        <w:widowControl w:val="0"/>
        <w:snapToGrid w:val="0"/>
        <w:spacing w:beforeLines="50" w:line="300" w:lineRule="auto"/>
        <w:ind w:firstLine="556"/>
        <w:rPr>
          <w:rFonts w:ascii="宋体" w:hAnsi="宋体"/>
          <w:color w:val="auto"/>
          <w:sz w:val="24"/>
          <w:szCs w:val="24"/>
          <w:highlight w:val="none"/>
        </w:rPr>
      </w:pPr>
      <w:r>
        <w:rPr>
          <w:rFonts w:ascii="宋体" w:hAnsi="宋体"/>
          <w:color w:val="auto"/>
          <w:sz w:val="24"/>
          <w:szCs w:val="24"/>
          <w:highlight w:val="none"/>
        </w:rPr>
        <w:t xml:space="preserve">4. </w:t>
      </w:r>
      <w:r>
        <w:rPr>
          <w:rFonts w:hint="eastAsia" w:ascii="宋体" w:hAnsi="宋体"/>
          <w:color w:val="auto"/>
          <w:sz w:val="24"/>
          <w:szCs w:val="24"/>
          <w:highlight w:val="none"/>
        </w:rPr>
        <w:t>我单位已详细阅读并完全理解、同意谈判文件的全部内容，包括澄清、修改、补充文件（谈判公告所述媒体公布）以及全部参考资料和有关附件；除我单位在谈判文件规定期间内书面提出的疑问外，我单位放弃对这方面有不明及误解的权力。</w:t>
      </w:r>
    </w:p>
    <w:p w14:paraId="3B0DBA5E">
      <w:pPr>
        <w:widowControl w:val="0"/>
        <w:snapToGrid w:val="0"/>
        <w:spacing w:beforeLines="50" w:line="300" w:lineRule="auto"/>
        <w:ind w:firstLine="556"/>
        <w:rPr>
          <w:rFonts w:ascii="宋体" w:hAnsi="宋体"/>
          <w:color w:val="auto"/>
          <w:sz w:val="24"/>
          <w:szCs w:val="24"/>
          <w:highlight w:val="none"/>
        </w:rPr>
      </w:pPr>
      <w:r>
        <w:rPr>
          <w:rFonts w:ascii="宋体" w:hAnsi="宋体"/>
          <w:color w:val="auto"/>
          <w:sz w:val="24"/>
          <w:szCs w:val="24"/>
          <w:highlight w:val="none"/>
        </w:rPr>
        <w:t>5.</w:t>
      </w:r>
      <w:r>
        <w:rPr>
          <w:rFonts w:hint="eastAsia" w:ascii="宋体" w:hAnsi="宋体"/>
          <w:color w:val="auto"/>
          <w:sz w:val="24"/>
          <w:szCs w:val="24"/>
          <w:highlight w:val="none"/>
        </w:rPr>
        <w:t>本投标自开标日起有效期为</w:t>
      </w:r>
      <w:r>
        <w:rPr>
          <w:rFonts w:ascii="宋体" w:hAnsi="宋体"/>
          <w:color w:val="auto"/>
          <w:sz w:val="24"/>
          <w:szCs w:val="24"/>
          <w:highlight w:val="none"/>
        </w:rPr>
        <w:t>90</w:t>
      </w:r>
      <w:r>
        <w:rPr>
          <w:rFonts w:hint="eastAsia" w:ascii="宋体" w:hAnsi="宋体"/>
          <w:color w:val="auto"/>
          <w:sz w:val="24"/>
          <w:szCs w:val="24"/>
          <w:highlight w:val="none"/>
        </w:rPr>
        <w:t>日历天。</w:t>
      </w:r>
    </w:p>
    <w:p w14:paraId="7D2ACD1F">
      <w:pPr>
        <w:widowControl w:val="0"/>
        <w:snapToGrid w:val="0"/>
        <w:spacing w:beforeLines="50" w:line="300" w:lineRule="auto"/>
        <w:ind w:firstLine="556"/>
        <w:rPr>
          <w:rFonts w:ascii="宋体" w:hAnsi="宋体"/>
          <w:color w:val="auto"/>
          <w:sz w:val="24"/>
          <w:szCs w:val="24"/>
          <w:highlight w:val="none"/>
        </w:rPr>
      </w:pPr>
      <w:r>
        <w:rPr>
          <w:rFonts w:hint="eastAsia" w:ascii="宋体" w:hAnsi="宋体"/>
          <w:color w:val="auto"/>
          <w:sz w:val="24"/>
          <w:szCs w:val="24"/>
          <w:highlight w:val="none"/>
        </w:rPr>
        <w:t>6.我单位承诺按照《谈判文件》规定的付款方式执行。</w:t>
      </w:r>
    </w:p>
    <w:p w14:paraId="6E7E99EF">
      <w:pPr>
        <w:widowControl w:val="0"/>
        <w:snapToGrid w:val="0"/>
        <w:spacing w:beforeLines="50" w:line="300" w:lineRule="auto"/>
        <w:ind w:firstLine="556"/>
        <w:rPr>
          <w:rFonts w:ascii="宋体" w:hAnsi="宋体"/>
          <w:color w:val="auto"/>
          <w:sz w:val="24"/>
          <w:szCs w:val="24"/>
          <w:highlight w:val="none"/>
        </w:rPr>
      </w:pP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如果在规定的开标时间后，我单位在投标有效期内撤回投标的，依据</w:t>
      </w:r>
      <w:r>
        <w:rPr>
          <w:rFonts w:hint="eastAsia" w:ascii="宋体" w:hAnsi="宋体"/>
          <w:color w:val="auto"/>
          <w:sz w:val="24"/>
          <w:szCs w:val="24"/>
          <w:highlight w:val="none"/>
        </w:rPr>
        <w:t>谈判</w:t>
      </w:r>
      <w:r>
        <w:rPr>
          <w:rFonts w:hint="eastAsia"/>
          <w:color w:val="auto"/>
          <w:sz w:val="24"/>
          <w:szCs w:val="24"/>
          <w:highlight w:val="none"/>
        </w:rPr>
        <w:t>文件“第三章3.5.5 违背承诺的责任追究措施”，我单位承担相应法律责任及违约责任。</w:t>
      </w:r>
    </w:p>
    <w:p w14:paraId="04D3E9E4">
      <w:pPr>
        <w:widowControl w:val="0"/>
        <w:snapToGrid w:val="0"/>
        <w:spacing w:beforeLines="50" w:line="300" w:lineRule="auto"/>
        <w:ind w:firstLine="556"/>
        <w:rPr>
          <w:rFonts w:ascii="宋体" w:hAnsi="宋体"/>
          <w:color w:val="auto"/>
          <w:sz w:val="24"/>
          <w:szCs w:val="24"/>
          <w:highlight w:val="none"/>
        </w:rPr>
      </w:pPr>
      <w:r>
        <w:rPr>
          <w:rFonts w:hint="eastAsia" w:ascii="宋体" w:hAnsi="宋体"/>
          <w:color w:val="auto"/>
          <w:sz w:val="24"/>
          <w:szCs w:val="24"/>
          <w:highlight w:val="none"/>
        </w:rPr>
        <w:t>8</w:t>
      </w:r>
      <w:r>
        <w:rPr>
          <w:rFonts w:ascii="宋体" w:hAnsi="宋体"/>
          <w:color w:val="auto"/>
          <w:sz w:val="24"/>
          <w:szCs w:val="24"/>
          <w:highlight w:val="none"/>
        </w:rPr>
        <w:t xml:space="preserve">. </w:t>
      </w:r>
      <w:r>
        <w:rPr>
          <w:rFonts w:hint="eastAsia" w:ascii="宋体" w:hAnsi="宋体"/>
          <w:color w:val="auto"/>
          <w:sz w:val="24"/>
          <w:szCs w:val="24"/>
          <w:highlight w:val="none"/>
        </w:rPr>
        <w:t>我单位同意提供按照贵方可能要求的与投标有关的一切数据或资料，理解贵方不一定要接受最低价的投标或收到的任何投标。</w:t>
      </w:r>
    </w:p>
    <w:p w14:paraId="5FB45EEA">
      <w:pPr>
        <w:widowControl w:val="0"/>
        <w:snapToGrid w:val="0"/>
        <w:spacing w:line="560" w:lineRule="exact"/>
        <w:ind w:firstLine="555"/>
        <w:rPr>
          <w:rFonts w:ascii="宋体" w:hAnsi="宋体"/>
          <w:color w:val="auto"/>
          <w:sz w:val="24"/>
          <w:szCs w:val="24"/>
          <w:highlight w:val="none"/>
        </w:rPr>
      </w:pPr>
      <w:r>
        <w:rPr>
          <w:rFonts w:hint="eastAsia" w:ascii="宋体" w:hAnsi="宋体"/>
          <w:color w:val="auto"/>
          <w:sz w:val="24"/>
          <w:szCs w:val="24"/>
          <w:highlight w:val="none"/>
        </w:rPr>
        <w:t>9</w:t>
      </w:r>
      <w:r>
        <w:rPr>
          <w:rFonts w:ascii="宋体" w:hAnsi="宋体"/>
          <w:color w:val="auto"/>
          <w:sz w:val="24"/>
          <w:szCs w:val="24"/>
          <w:highlight w:val="none"/>
        </w:rPr>
        <w:t>.</w:t>
      </w:r>
      <w:r>
        <w:rPr>
          <w:rFonts w:hint="eastAsia" w:ascii="宋体" w:hAnsi="宋体"/>
          <w:color w:val="auto"/>
          <w:sz w:val="24"/>
          <w:szCs w:val="24"/>
          <w:highlight w:val="none"/>
        </w:rPr>
        <w:t>与本投标有关的一切正式往来请寄：</w:t>
      </w:r>
    </w:p>
    <w:p w14:paraId="4CDC5AE9">
      <w:pPr>
        <w:widowControl w:val="0"/>
        <w:snapToGrid w:val="0"/>
        <w:spacing w:line="560" w:lineRule="exact"/>
        <w:ind w:firstLine="555"/>
        <w:jc w:val="left"/>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ab/>
      </w:r>
      <w:r>
        <w:rPr>
          <w:rFonts w:ascii="宋体" w:hAnsi="宋体"/>
          <w:color w:val="auto"/>
          <w:sz w:val="24"/>
          <w:szCs w:val="24"/>
          <w:highlight w:val="none"/>
        </w:rPr>
        <w:tab/>
      </w:r>
      <w:r>
        <w:rPr>
          <w:rFonts w:hint="eastAsia" w:ascii="宋体" w:hAnsi="宋体"/>
          <w:color w:val="auto"/>
          <w:sz w:val="24"/>
          <w:szCs w:val="24"/>
          <w:highlight w:val="none"/>
        </w:rPr>
        <w:t>邮政编码：</w:t>
      </w:r>
      <w:r>
        <w:rPr>
          <w:rFonts w:ascii="宋体" w:hAnsi="宋体"/>
          <w:color w:val="auto"/>
          <w:sz w:val="24"/>
          <w:szCs w:val="24"/>
          <w:highlight w:val="none"/>
        </w:rPr>
        <w:tab/>
      </w:r>
    </w:p>
    <w:p w14:paraId="38D34B86">
      <w:pPr>
        <w:widowControl w:val="0"/>
        <w:snapToGrid w:val="0"/>
        <w:spacing w:line="560" w:lineRule="exact"/>
        <w:ind w:firstLine="555"/>
        <w:rPr>
          <w:rFonts w:ascii="宋体" w:hAnsi="宋体"/>
          <w:color w:val="auto"/>
          <w:sz w:val="24"/>
          <w:szCs w:val="24"/>
          <w:highlight w:val="none"/>
        </w:rPr>
      </w:pPr>
      <w:r>
        <w:rPr>
          <w:rFonts w:hint="eastAsia" w:ascii="宋体" w:hAnsi="宋体"/>
          <w:color w:val="auto"/>
          <w:sz w:val="24"/>
          <w:szCs w:val="24"/>
          <w:highlight w:val="none"/>
        </w:rPr>
        <w:t>电话：</w:t>
      </w:r>
      <w:r>
        <w:rPr>
          <w:rFonts w:ascii="宋体" w:hAnsi="宋体"/>
          <w:color w:val="auto"/>
          <w:sz w:val="24"/>
          <w:szCs w:val="24"/>
          <w:highlight w:val="none"/>
        </w:rPr>
        <w:tab/>
      </w:r>
      <w:r>
        <w:rPr>
          <w:rFonts w:ascii="宋体" w:hAnsi="宋体"/>
          <w:color w:val="auto"/>
          <w:sz w:val="24"/>
          <w:szCs w:val="24"/>
          <w:highlight w:val="none"/>
        </w:rPr>
        <w:tab/>
      </w:r>
      <w:r>
        <w:rPr>
          <w:rFonts w:hint="eastAsia" w:ascii="宋体" w:hAnsi="宋体"/>
          <w:color w:val="auto"/>
          <w:sz w:val="24"/>
          <w:szCs w:val="24"/>
          <w:highlight w:val="none"/>
        </w:rPr>
        <w:t>传真：</w:t>
      </w:r>
    </w:p>
    <w:p w14:paraId="3599CFD2">
      <w:pPr>
        <w:widowControl w:val="0"/>
        <w:snapToGrid w:val="0"/>
        <w:spacing w:line="560" w:lineRule="exact"/>
        <w:ind w:firstLine="555"/>
        <w:rPr>
          <w:rFonts w:ascii="宋体" w:hAnsi="宋体"/>
          <w:color w:val="auto"/>
          <w:sz w:val="24"/>
          <w:szCs w:val="24"/>
          <w:highlight w:val="none"/>
        </w:rPr>
      </w:pPr>
    </w:p>
    <w:p w14:paraId="53558570">
      <w:pPr>
        <w:widowControl w:val="0"/>
        <w:snapToGrid w:val="0"/>
        <w:spacing w:line="560" w:lineRule="exact"/>
        <w:ind w:firstLine="555"/>
        <w:rPr>
          <w:rFonts w:ascii="宋体" w:hAnsi="宋体"/>
          <w:color w:val="auto"/>
          <w:sz w:val="24"/>
          <w:szCs w:val="24"/>
          <w:highlight w:val="none"/>
        </w:rPr>
      </w:pPr>
    </w:p>
    <w:p w14:paraId="79046709">
      <w:pPr>
        <w:widowControl w:val="0"/>
        <w:snapToGrid w:val="0"/>
        <w:spacing w:line="560" w:lineRule="exact"/>
        <w:ind w:firstLine="555"/>
        <w:rPr>
          <w:rFonts w:ascii="宋体" w:hAnsi="宋体"/>
          <w:color w:val="auto"/>
          <w:sz w:val="24"/>
          <w:szCs w:val="24"/>
          <w:highlight w:val="none"/>
        </w:rPr>
      </w:pPr>
    </w:p>
    <w:p w14:paraId="66336340">
      <w:pPr>
        <w:widowControl w:val="0"/>
        <w:tabs>
          <w:tab w:val="left" w:pos="9365"/>
        </w:tabs>
        <w:snapToGrid w:val="0"/>
        <w:spacing w:after="56" w:line="560" w:lineRule="exac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投标人（电子签章）：</w:t>
      </w:r>
    </w:p>
    <w:p w14:paraId="7FB12554">
      <w:pPr>
        <w:widowControl w:val="0"/>
        <w:tabs>
          <w:tab w:val="left" w:pos="9365"/>
        </w:tabs>
        <w:snapToGrid w:val="0"/>
        <w:spacing w:after="56" w:line="560" w:lineRule="exac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法定代表人（电子签名或签章）：</w:t>
      </w:r>
    </w:p>
    <w:p w14:paraId="2DD5DEC5">
      <w:pPr>
        <w:autoSpaceDE w:val="0"/>
        <w:autoSpaceDN w:val="0"/>
        <w:adjustRightInd w:val="0"/>
        <w:spacing w:line="360" w:lineRule="auto"/>
        <w:ind w:right="-817"/>
        <w:rPr>
          <w:rFonts w:ascii="宋体" w:hAnsi="宋体" w:cs="楷体_GB2312"/>
          <w:color w:val="auto"/>
          <w:sz w:val="24"/>
          <w:highlight w:val="none"/>
          <w:lang w:val="zh-CN"/>
        </w:rPr>
      </w:pPr>
      <w:r>
        <w:rPr>
          <w:rFonts w:hint="eastAsia" w:ascii="宋体" w:hAnsi="宋体" w:cs="楷体_GB2312"/>
          <w:color w:val="auto"/>
          <w:sz w:val="24"/>
          <w:highlight w:val="none"/>
          <w:lang w:val="zh-CN"/>
        </w:rPr>
        <w:t>日期：年月日</w:t>
      </w:r>
    </w:p>
    <w:p w14:paraId="21334728">
      <w:pPr>
        <w:spacing w:line="240" w:lineRule="auto"/>
        <w:jc w:val="left"/>
        <w:textAlignment w:val="auto"/>
        <w:rPr>
          <w:rFonts w:ascii="宋体" w:hAnsi="宋体"/>
          <w:color w:val="auto"/>
          <w:sz w:val="24"/>
          <w:szCs w:val="24"/>
          <w:highlight w:val="none"/>
        </w:rPr>
      </w:pPr>
      <w:r>
        <w:rPr>
          <w:rFonts w:ascii="宋体" w:hAnsi="宋体"/>
          <w:color w:val="auto"/>
          <w:sz w:val="24"/>
          <w:szCs w:val="24"/>
          <w:highlight w:val="none"/>
        </w:rPr>
        <w:br w:type="page"/>
      </w:r>
    </w:p>
    <w:p w14:paraId="06957FDC">
      <w:pPr>
        <w:widowControl w:val="0"/>
        <w:snapToGrid w:val="0"/>
        <w:spacing w:line="560" w:lineRule="exact"/>
        <w:jc w:val="center"/>
        <w:rPr>
          <w:rFonts w:eastAsia="方正黑体简体"/>
          <w:b/>
          <w:color w:val="auto"/>
          <w:sz w:val="30"/>
          <w:szCs w:val="30"/>
          <w:highlight w:val="none"/>
        </w:rPr>
      </w:pPr>
      <w:r>
        <w:rPr>
          <w:rFonts w:hint="eastAsia" w:ascii="黑体" w:hAnsi="黑体" w:eastAsia="黑体"/>
          <w:b/>
          <w:color w:val="auto"/>
          <w:sz w:val="30"/>
          <w:szCs w:val="30"/>
          <w:highlight w:val="none"/>
        </w:rPr>
        <w:t>二、</w:t>
      </w:r>
      <w:r>
        <w:rPr>
          <w:rFonts w:hint="eastAsia" w:eastAsia="方正黑体简体"/>
          <w:b/>
          <w:color w:val="auto"/>
          <w:sz w:val="30"/>
          <w:szCs w:val="30"/>
          <w:highlight w:val="none"/>
        </w:rPr>
        <w:t>开标一览表</w:t>
      </w:r>
      <w:r>
        <w:rPr>
          <w:rFonts w:hint="eastAsia" w:ascii="宋体" w:hAnsi="宋体"/>
          <w:b/>
          <w:color w:val="auto"/>
          <w:sz w:val="24"/>
          <w:szCs w:val="24"/>
          <w:highlight w:val="none"/>
        </w:rPr>
        <w:t>（即交易系统中报价一览表）</w:t>
      </w:r>
    </w:p>
    <w:p w14:paraId="73190FE9">
      <w:pPr>
        <w:pStyle w:val="15"/>
        <w:adjustRightInd w:val="0"/>
        <w:snapToGrid w:val="0"/>
        <w:spacing w:before="0" w:beforeAutospacing="0" w:after="0" w:afterAutospacing="0"/>
        <w:rPr>
          <w:color w:val="auto"/>
          <w:highlight w:val="none"/>
        </w:rPr>
      </w:pPr>
    </w:p>
    <w:p w14:paraId="03264D55">
      <w:pPr>
        <w:widowControl w:val="0"/>
        <w:snapToGrid w:val="0"/>
        <w:spacing w:beforeLines="50" w:line="240" w:lineRule="auto"/>
        <w:ind w:firstLine="542"/>
        <w:rPr>
          <w:b/>
          <w:color w:val="auto"/>
          <w:sz w:val="24"/>
          <w:szCs w:val="24"/>
          <w:highlight w:val="none"/>
        </w:rPr>
      </w:pPr>
      <w:r>
        <w:rPr>
          <w:rFonts w:hint="eastAsia"/>
          <w:b/>
          <w:color w:val="auto"/>
          <w:sz w:val="24"/>
          <w:szCs w:val="24"/>
          <w:highlight w:val="none"/>
        </w:rPr>
        <w:t>注：</w:t>
      </w:r>
      <w:r>
        <w:rPr>
          <w:b/>
          <w:color w:val="auto"/>
          <w:sz w:val="24"/>
          <w:szCs w:val="24"/>
          <w:highlight w:val="none"/>
        </w:rPr>
        <w:t>1</w:t>
      </w:r>
      <w:r>
        <w:rPr>
          <w:rFonts w:hint="eastAsia"/>
          <w:b/>
          <w:color w:val="auto"/>
          <w:sz w:val="24"/>
          <w:szCs w:val="24"/>
          <w:highlight w:val="none"/>
        </w:rPr>
        <w:t>、投标人需在安阳市公共资源电子交易平台投标文件制作工具中、按系统要求填列报价一览表（即开标一览表），系统中填列的报价一览表（即开标一览表）为投标人《投标文件》的一部分。</w:t>
      </w:r>
    </w:p>
    <w:p w14:paraId="599F73C5">
      <w:pPr>
        <w:widowControl w:val="0"/>
        <w:snapToGrid w:val="0"/>
        <w:spacing w:beforeLines="50" w:line="240" w:lineRule="auto"/>
        <w:ind w:firstLine="540"/>
        <w:rPr>
          <w:color w:val="auto"/>
          <w:sz w:val="24"/>
          <w:szCs w:val="24"/>
          <w:highlight w:val="none"/>
        </w:rPr>
      </w:pPr>
      <w:r>
        <w:rPr>
          <w:color w:val="auto"/>
          <w:sz w:val="24"/>
          <w:szCs w:val="24"/>
          <w:highlight w:val="none"/>
        </w:rPr>
        <w:t>2</w:t>
      </w:r>
      <w:r>
        <w:rPr>
          <w:rFonts w:hint="eastAsia"/>
          <w:color w:val="auto"/>
          <w:sz w:val="24"/>
          <w:szCs w:val="24"/>
          <w:highlight w:val="none"/>
        </w:rPr>
        <w:t>、投标人的投标报价（价格构成）应包括谈判文件所述投标报价的所有内容。</w:t>
      </w:r>
    </w:p>
    <w:p w14:paraId="58CF4795">
      <w:pPr>
        <w:widowControl w:val="0"/>
        <w:snapToGrid w:val="0"/>
        <w:spacing w:beforeLines="50" w:line="240" w:lineRule="auto"/>
        <w:ind w:firstLine="540"/>
        <w:jc w:val="left"/>
        <w:rPr>
          <w:color w:val="auto"/>
          <w:sz w:val="24"/>
          <w:szCs w:val="24"/>
          <w:highlight w:val="none"/>
        </w:rPr>
      </w:pPr>
      <w:r>
        <w:rPr>
          <w:color w:val="auto"/>
          <w:sz w:val="24"/>
          <w:szCs w:val="24"/>
          <w:highlight w:val="none"/>
        </w:rPr>
        <w:t>3</w:t>
      </w:r>
      <w:r>
        <w:rPr>
          <w:rFonts w:hint="eastAsia"/>
          <w:color w:val="auto"/>
          <w:sz w:val="24"/>
          <w:szCs w:val="24"/>
          <w:highlight w:val="none"/>
        </w:rPr>
        <w:t>、投标人可对谈判文件中所列的所有标段（包）进行分别投标，也可选择其中一个标段（包）或几个标段（包）投标，但不得将谈判文件规定的同一标段（包）的内容拆开投标，否则将按无效投标处理。</w:t>
      </w:r>
    </w:p>
    <w:p w14:paraId="45F17653">
      <w:pPr>
        <w:widowControl w:val="0"/>
        <w:snapToGrid w:val="0"/>
        <w:spacing w:beforeLines="50" w:line="240" w:lineRule="auto"/>
        <w:ind w:firstLine="540"/>
        <w:jc w:val="left"/>
        <w:rPr>
          <w:color w:val="auto"/>
          <w:sz w:val="24"/>
          <w:szCs w:val="24"/>
          <w:highlight w:val="none"/>
        </w:rPr>
      </w:pPr>
      <w:r>
        <w:rPr>
          <w:color w:val="auto"/>
          <w:sz w:val="24"/>
          <w:szCs w:val="24"/>
          <w:highlight w:val="none"/>
        </w:rPr>
        <w:t>4</w:t>
      </w:r>
      <w:r>
        <w:rPr>
          <w:rFonts w:hint="eastAsia"/>
          <w:color w:val="auto"/>
          <w:sz w:val="24"/>
          <w:szCs w:val="24"/>
          <w:highlight w:val="none"/>
        </w:rPr>
        <w:t>、开标一览表与报价明细表有差别时，以开标一览表为准；大写文字表示的数据与小写数字表示的有差别时，以大写文字表示的数据为准。</w:t>
      </w:r>
    </w:p>
    <w:p w14:paraId="3FF8E08F">
      <w:pPr>
        <w:widowControl w:val="0"/>
        <w:snapToGrid w:val="0"/>
        <w:spacing w:line="360" w:lineRule="auto"/>
        <w:textAlignment w:val="top"/>
        <w:rPr>
          <w:b/>
          <w:color w:val="auto"/>
          <w:sz w:val="24"/>
          <w:szCs w:val="24"/>
          <w:highlight w:val="none"/>
        </w:rPr>
      </w:pPr>
    </w:p>
    <w:p w14:paraId="03D64819">
      <w:pPr>
        <w:widowControl w:val="0"/>
        <w:snapToGrid w:val="0"/>
        <w:spacing w:line="360" w:lineRule="auto"/>
        <w:textAlignment w:val="top"/>
        <w:rPr>
          <w:b/>
          <w:color w:val="auto"/>
          <w:sz w:val="24"/>
          <w:szCs w:val="24"/>
          <w:highlight w:val="none"/>
        </w:rPr>
      </w:pPr>
    </w:p>
    <w:p w14:paraId="3D630955">
      <w:pPr>
        <w:widowControl w:val="0"/>
        <w:snapToGrid w:val="0"/>
        <w:spacing w:line="560" w:lineRule="exact"/>
        <w:jc w:val="center"/>
        <w:rPr>
          <w:color w:val="auto"/>
          <w:highlight w:val="none"/>
        </w:rPr>
      </w:pPr>
    </w:p>
    <w:p w14:paraId="108395CB">
      <w:pPr>
        <w:widowControl w:val="0"/>
        <w:tabs>
          <w:tab w:val="left" w:pos="9365"/>
        </w:tabs>
        <w:snapToGrid w:val="0"/>
        <w:spacing w:after="56" w:line="240" w:lineRule="auto"/>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37ADA0D3">
      <w:pPr>
        <w:widowControl w:val="0"/>
        <w:tabs>
          <w:tab w:val="left" w:pos="9365"/>
        </w:tabs>
        <w:snapToGrid w:val="0"/>
        <w:spacing w:after="56" w:line="240" w:lineRule="auto"/>
        <w:ind w:right="85"/>
        <w:jc w:val="left"/>
        <w:textAlignment w:val="top"/>
        <w:rPr>
          <w:rFonts w:ascii="宋体" w:cs="楷体_GB2312"/>
          <w:color w:val="auto"/>
          <w:sz w:val="24"/>
          <w:highlight w:val="none"/>
          <w:lang w:val="zh-CN"/>
        </w:rPr>
      </w:pPr>
      <w:r>
        <w:rPr>
          <w:rFonts w:hint="eastAsia"/>
          <w:color w:val="auto"/>
          <w:sz w:val="24"/>
          <w:szCs w:val="24"/>
          <w:highlight w:val="none"/>
        </w:rPr>
        <w:t>法定代表人（电子签名或签章）：</w:t>
      </w:r>
    </w:p>
    <w:p w14:paraId="2A5ED373">
      <w:pPr>
        <w:widowControl w:val="0"/>
        <w:tabs>
          <w:tab w:val="left" w:pos="9365"/>
        </w:tabs>
        <w:snapToGrid w:val="0"/>
        <w:spacing w:after="56" w:line="240" w:lineRule="auto"/>
        <w:ind w:right="85"/>
        <w:textAlignment w:val="top"/>
        <w:rPr>
          <w:b/>
          <w:color w:val="auto"/>
          <w:highlight w:val="none"/>
        </w:rPr>
      </w:pPr>
      <w:r>
        <w:rPr>
          <w:rFonts w:hint="eastAsia" w:ascii="宋体" w:hAnsi="宋体" w:cs="楷体_GB2312"/>
          <w:color w:val="auto"/>
          <w:sz w:val="24"/>
          <w:highlight w:val="none"/>
          <w:lang w:val="zh-CN"/>
        </w:rPr>
        <w:t>日期：年月日</w:t>
      </w:r>
    </w:p>
    <w:p w14:paraId="196A4419">
      <w:pPr>
        <w:widowControl w:val="0"/>
        <w:tabs>
          <w:tab w:val="left" w:pos="9365"/>
        </w:tabs>
        <w:snapToGrid w:val="0"/>
        <w:spacing w:before="56" w:after="56" w:line="560" w:lineRule="atLeast"/>
        <w:jc w:val="left"/>
        <w:textAlignment w:val="top"/>
        <w:rPr>
          <w:color w:val="auto"/>
          <w:highlight w:val="none"/>
        </w:rPr>
      </w:pPr>
      <w:r>
        <w:rPr>
          <w:color w:val="auto"/>
          <w:highlight w:val="none"/>
        </w:rPr>
        <w:br w:type="page"/>
      </w:r>
    </w:p>
    <w:p w14:paraId="7E579358">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三、投标报价明细表</w:t>
      </w:r>
    </w:p>
    <w:p w14:paraId="7F63A031">
      <w:pPr>
        <w:pStyle w:val="15"/>
        <w:adjustRightInd w:val="0"/>
        <w:snapToGrid w:val="0"/>
        <w:spacing w:beforeLines="50" w:beforeAutospacing="0" w:after="0" w:afterAutospacing="0"/>
        <w:rPr>
          <w:color w:val="auto"/>
          <w:highlight w:val="none"/>
        </w:rPr>
      </w:pPr>
    </w:p>
    <w:p w14:paraId="5910C983">
      <w:pPr>
        <w:pStyle w:val="15"/>
        <w:adjustRightInd w:val="0"/>
        <w:snapToGrid w:val="0"/>
        <w:spacing w:before="0" w:beforeAutospacing="0" w:after="0" w:afterAutospacing="0"/>
        <w:rPr>
          <w:color w:val="auto"/>
          <w:highlight w:val="none"/>
          <w:u w:val="single"/>
        </w:rPr>
      </w:pPr>
      <w:r>
        <w:rPr>
          <w:rFonts w:hint="eastAsia"/>
          <w:color w:val="auto"/>
          <w:highlight w:val="none"/>
        </w:rPr>
        <w:t>项目名称：</w:t>
      </w:r>
    </w:p>
    <w:p w14:paraId="2D05C1B0">
      <w:pPr>
        <w:pStyle w:val="15"/>
        <w:adjustRightInd w:val="0"/>
        <w:snapToGrid w:val="0"/>
        <w:spacing w:before="0" w:beforeAutospacing="0" w:after="0" w:afterAutospacing="0"/>
        <w:rPr>
          <w:color w:val="auto"/>
          <w:highlight w:val="none"/>
        </w:rPr>
      </w:pPr>
      <w:r>
        <w:rPr>
          <w:rFonts w:hint="eastAsia"/>
          <w:color w:val="auto"/>
          <w:highlight w:val="none"/>
        </w:rPr>
        <w:t xml:space="preserve">项目编号：        </w:t>
      </w:r>
    </w:p>
    <w:tbl>
      <w:tblPr>
        <w:tblStyle w:val="16"/>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
        <w:gridCol w:w="1910"/>
        <w:gridCol w:w="2977"/>
        <w:gridCol w:w="851"/>
        <w:gridCol w:w="850"/>
        <w:gridCol w:w="1190"/>
        <w:gridCol w:w="1000"/>
      </w:tblGrid>
      <w:tr w14:paraId="6B08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465" w:type="dxa"/>
            <w:tcBorders>
              <w:top w:val="single" w:color="000000" w:sz="8" w:space="0"/>
              <w:left w:val="single" w:color="000000" w:sz="8" w:space="0"/>
              <w:bottom w:val="single" w:color="000000" w:sz="4" w:space="0"/>
              <w:right w:val="single" w:color="000000" w:sz="4" w:space="0"/>
            </w:tcBorders>
            <w:vAlign w:val="center"/>
          </w:tcPr>
          <w:p w14:paraId="3F9BA51A">
            <w:pPr>
              <w:spacing w:line="560" w:lineRule="exact"/>
              <w:jc w:val="center"/>
              <w:rPr>
                <w:b/>
                <w:color w:val="auto"/>
                <w:sz w:val="28"/>
                <w:highlight w:val="none"/>
              </w:rPr>
            </w:pPr>
            <w:r>
              <w:rPr>
                <w:rFonts w:hint="eastAsia"/>
                <w:b/>
                <w:color w:val="auto"/>
                <w:highlight w:val="none"/>
              </w:rPr>
              <w:t>序号</w:t>
            </w:r>
          </w:p>
        </w:tc>
        <w:tc>
          <w:tcPr>
            <w:tcW w:w="1910" w:type="dxa"/>
            <w:tcBorders>
              <w:top w:val="single" w:color="000000" w:sz="8" w:space="0"/>
              <w:bottom w:val="single" w:color="000000" w:sz="4" w:space="0"/>
              <w:right w:val="single" w:color="000000" w:sz="4" w:space="0"/>
            </w:tcBorders>
            <w:vAlign w:val="center"/>
          </w:tcPr>
          <w:p w14:paraId="62AFCD06">
            <w:pPr>
              <w:spacing w:line="560" w:lineRule="exact"/>
              <w:jc w:val="center"/>
              <w:rPr>
                <w:b/>
                <w:color w:val="auto"/>
                <w:sz w:val="28"/>
                <w:highlight w:val="none"/>
              </w:rPr>
            </w:pPr>
            <w:r>
              <w:rPr>
                <w:rFonts w:hint="eastAsia"/>
                <w:b/>
                <w:color w:val="auto"/>
                <w:highlight w:val="none"/>
              </w:rPr>
              <w:t>产品名称</w:t>
            </w:r>
          </w:p>
        </w:tc>
        <w:tc>
          <w:tcPr>
            <w:tcW w:w="2977" w:type="dxa"/>
            <w:tcBorders>
              <w:top w:val="single" w:color="000000" w:sz="8" w:space="0"/>
              <w:bottom w:val="single" w:color="000000" w:sz="4" w:space="0"/>
              <w:right w:val="single" w:color="000000" w:sz="4" w:space="0"/>
            </w:tcBorders>
            <w:vAlign w:val="center"/>
          </w:tcPr>
          <w:p w14:paraId="49D06D43">
            <w:pPr>
              <w:spacing w:line="300" w:lineRule="exact"/>
              <w:jc w:val="center"/>
              <w:rPr>
                <w:b/>
                <w:color w:val="auto"/>
                <w:szCs w:val="21"/>
                <w:highlight w:val="none"/>
              </w:rPr>
            </w:pPr>
            <w:r>
              <w:rPr>
                <w:rFonts w:hint="eastAsia"/>
                <w:b/>
                <w:color w:val="auto"/>
                <w:highlight w:val="none"/>
              </w:rPr>
              <w:t>品牌型号规格</w:t>
            </w:r>
          </w:p>
        </w:tc>
        <w:tc>
          <w:tcPr>
            <w:tcW w:w="851" w:type="dxa"/>
            <w:tcBorders>
              <w:top w:val="single" w:color="000000" w:sz="8" w:space="0"/>
              <w:bottom w:val="single" w:color="000000" w:sz="4" w:space="0"/>
              <w:right w:val="single" w:color="000000" w:sz="4" w:space="0"/>
            </w:tcBorders>
            <w:vAlign w:val="center"/>
          </w:tcPr>
          <w:p w14:paraId="5E7EAF0C">
            <w:pPr>
              <w:spacing w:line="560" w:lineRule="exact"/>
              <w:jc w:val="center"/>
              <w:rPr>
                <w:b/>
                <w:color w:val="auto"/>
                <w:sz w:val="28"/>
                <w:highlight w:val="none"/>
              </w:rPr>
            </w:pPr>
            <w:r>
              <w:rPr>
                <w:rFonts w:hint="eastAsia"/>
                <w:b/>
                <w:color w:val="auto"/>
                <w:highlight w:val="none"/>
              </w:rPr>
              <w:t>单位</w:t>
            </w:r>
          </w:p>
        </w:tc>
        <w:tc>
          <w:tcPr>
            <w:tcW w:w="850" w:type="dxa"/>
            <w:tcBorders>
              <w:top w:val="single" w:color="000000" w:sz="8" w:space="0"/>
              <w:bottom w:val="single" w:color="000000" w:sz="4" w:space="0"/>
              <w:right w:val="single" w:color="000000" w:sz="4" w:space="0"/>
            </w:tcBorders>
            <w:vAlign w:val="center"/>
          </w:tcPr>
          <w:p w14:paraId="15A7B4D2">
            <w:pPr>
              <w:spacing w:line="560" w:lineRule="exact"/>
              <w:jc w:val="center"/>
              <w:rPr>
                <w:b/>
                <w:color w:val="auto"/>
                <w:sz w:val="28"/>
                <w:highlight w:val="none"/>
              </w:rPr>
            </w:pPr>
            <w:r>
              <w:rPr>
                <w:rFonts w:hint="eastAsia"/>
                <w:b/>
                <w:color w:val="auto"/>
                <w:highlight w:val="none"/>
              </w:rPr>
              <w:t>数量</w:t>
            </w:r>
          </w:p>
        </w:tc>
        <w:tc>
          <w:tcPr>
            <w:tcW w:w="1190" w:type="dxa"/>
            <w:tcBorders>
              <w:top w:val="single" w:color="000000" w:sz="8" w:space="0"/>
              <w:bottom w:val="single" w:color="000000" w:sz="4" w:space="0"/>
              <w:right w:val="single" w:color="000000" w:sz="4" w:space="0"/>
            </w:tcBorders>
            <w:vAlign w:val="center"/>
          </w:tcPr>
          <w:p w14:paraId="47232E11">
            <w:pPr>
              <w:spacing w:line="560" w:lineRule="exact"/>
              <w:jc w:val="center"/>
              <w:rPr>
                <w:b/>
                <w:color w:val="auto"/>
                <w:sz w:val="28"/>
                <w:highlight w:val="none"/>
              </w:rPr>
            </w:pPr>
            <w:r>
              <w:rPr>
                <w:rFonts w:hint="eastAsia"/>
                <w:b/>
                <w:color w:val="auto"/>
                <w:highlight w:val="none"/>
              </w:rPr>
              <w:t>单价</w:t>
            </w:r>
          </w:p>
        </w:tc>
        <w:tc>
          <w:tcPr>
            <w:tcW w:w="1000" w:type="dxa"/>
            <w:tcBorders>
              <w:top w:val="single" w:color="000000" w:sz="8" w:space="0"/>
              <w:bottom w:val="single" w:color="000000" w:sz="4" w:space="0"/>
              <w:right w:val="single" w:color="000000" w:sz="8" w:space="0"/>
            </w:tcBorders>
            <w:vAlign w:val="center"/>
          </w:tcPr>
          <w:p w14:paraId="1C4897D8">
            <w:pPr>
              <w:spacing w:line="560" w:lineRule="exact"/>
              <w:jc w:val="center"/>
              <w:rPr>
                <w:b/>
                <w:color w:val="auto"/>
                <w:sz w:val="28"/>
                <w:highlight w:val="none"/>
              </w:rPr>
            </w:pPr>
            <w:r>
              <w:rPr>
                <w:rFonts w:hint="eastAsia"/>
                <w:b/>
                <w:color w:val="auto"/>
                <w:highlight w:val="none"/>
              </w:rPr>
              <w:t>小计</w:t>
            </w:r>
          </w:p>
        </w:tc>
      </w:tr>
      <w:tr w14:paraId="5D92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465" w:type="dxa"/>
            <w:tcBorders>
              <w:left w:val="single" w:color="000000" w:sz="8" w:space="0"/>
              <w:bottom w:val="single" w:color="000000" w:sz="4" w:space="0"/>
              <w:right w:val="single" w:color="000000" w:sz="4" w:space="0"/>
            </w:tcBorders>
            <w:vAlign w:val="center"/>
          </w:tcPr>
          <w:p w14:paraId="2BF11D7F">
            <w:pPr>
              <w:spacing w:line="560" w:lineRule="exact"/>
              <w:jc w:val="center"/>
              <w:rPr>
                <w:color w:val="auto"/>
                <w:sz w:val="28"/>
                <w:highlight w:val="none"/>
              </w:rPr>
            </w:pPr>
            <w:r>
              <w:rPr>
                <w:color w:val="auto"/>
                <w:highlight w:val="none"/>
              </w:rPr>
              <w:t>1</w:t>
            </w:r>
          </w:p>
        </w:tc>
        <w:tc>
          <w:tcPr>
            <w:tcW w:w="1910" w:type="dxa"/>
            <w:tcBorders>
              <w:bottom w:val="single" w:color="000000" w:sz="4" w:space="0"/>
              <w:right w:val="single" w:color="000000" w:sz="4" w:space="0"/>
            </w:tcBorders>
            <w:vAlign w:val="center"/>
          </w:tcPr>
          <w:p w14:paraId="08CD78CB">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0F8D34AF">
            <w:pPr>
              <w:spacing w:line="560" w:lineRule="exact"/>
              <w:jc w:val="left"/>
              <w:rPr>
                <w:color w:val="auto"/>
                <w:sz w:val="28"/>
                <w:highlight w:val="none"/>
              </w:rPr>
            </w:pPr>
          </w:p>
        </w:tc>
        <w:tc>
          <w:tcPr>
            <w:tcW w:w="851" w:type="dxa"/>
            <w:tcBorders>
              <w:bottom w:val="single" w:color="000000" w:sz="4" w:space="0"/>
              <w:right w:val="single" w:color="000000" w:sz="4" w:space="0"/>
            </w:tcBorders>
            <w:vAlign w:val="center"/>
          </w:tcPr>
          <w:p w14:paraId="5C825498">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44D2AC4B">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2AA0AD2F">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4D2B626F">
            <w:pPr>
              <w:spacing w:line="560" w:lineRule="exact"/>
              <w:jc w:val="center"/>
              <w:rPr>
                <w:color w:val="auto"/>
                <w:sz w:val="28"/>
                <w:highlight w:val="none"/>
              </w:rPr>
            </w:pPr>
          </w:p>
        </w:tc>
      </w:tr>
      <w:tr w14:paraId="6CE7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65" w:type="dxa"/>
            <w:tcBorders>
              <w:left w:val="single" w:color="000000" w:sz="8" w:space="0"/>
              <w:bottom w:val="single" w:color="000000" w:sz="4" w:space="0"/>
              <w:right w:val="single" w:color="000000" w:sz="4" w:space="0"/>
            </w:tcBorders>
            <w:vAlign w:val="center"/>
          </w:tcPr>
          <w:p w14:paraId="6B7A4D84">
            <w:pPr>
              <w:spacing w:line="560" w:lineRule="exact"/>
              <w:jc w:val="center"/>
              <w:rPr>
                <w:color w:val="auto"/>
                <w:sz w:val="28"/>
                <w:highlight w:val="none"/>
              </w:rPr>
            </w:pPr>
            <w:r>
              <w:rPr>
                <w:color w:val="auto"/>
                <w:highlight w:val="none"/>
              </w:rPr>
              <w:t>2</w:t>
            </w:r>
          </w:p>
        </w:tc>
        <w:tc>
          <w:tcPr>
            <w:tcW w:w="1910" w:type="dxa"/>
            <w:tcBorders>
              <w:bottom w:val="single" w:color="000000" w:sz="4" w:space="0"/>
              <w:right w:val="single" w:color="000000" w:sz="4" w:space="0"/>
            </w:tcBorders>
            <w:vAlign w:val="center"/>
          </w:tcPr>
          <w:p w14:paraId="5A623341">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3B55AB0E">
            <w:pPr>
              <w:spacing w:line="560" w:lineRule="exact"/>
              <w:jc w:val="left"/>
              <w:rPr>
                <w:color w:val="auto"/>
                <w:sz w:val="28"/>
                <w:highlight w:val="none"/>
              </w:rPr>
            </w:pPr>
          </w:p>
        </w:tc>
        <w:tc>
          <w:tcPr>
            <w:tcW w:w="851" w:type="dxa"/>
            <w:tcBorders>
              <w:bottom w:val="single" w:color="000000" w:sz="4" w:space="0"/>
              <w:right w:val="single" w:color="000000" w:sz="4" w:space="0"/>
            </w:tcBorders>
            <w:vAlign w:val="center"/>
          </w:tcPr>
          <w:p w14:paraId="5DF370C3">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740EDD07">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6F800867">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464B0B72">
            <w:pPr>
              <w:spacing w:line="560" w:lineRule="exact"/>
              <w:jc w:val="center"/>
              <w:rPr>
                <w:color w:val="auto"/>
                <w:sz w:val="28"/>
                <w:highlight w:val="none"/>
              </w:rPr>
            </w:pPr>
          </w:p>
        </w:tc>
      </w:tr>
      <w:tr w14:paraId="2D39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65" w:type="dxa"/>
            <w:tcBorders>
              <w:left w:val="single" w:color="000000" w:sz="8" w:space="0"/>
              <w:bottom w:val="single" w:color="000000" w:sz="4" w:space="0"/>
              <w:right w:val="single" w:color="000000" w:sz="4" w:space="0"/>
            </w:tcBorders>
            <w:vAlign w:val="center"/>
          </w:tcPr>
          <w:p w14:paraId="1059D169">
            <w:pPr>
              <w:spacing w:line="560" w:lineRule="exact"/>
              <w:jc w:val="center"/>
              <w:rPr>
                <w:color w:val="auto"/>
                <w:sz w:val="28"/>
                <w:highlight w:val="none"/>
              </w:rPr>
            </w:pPr>
            <w:r>
              <w:rPr>
                <w:color w:val="auto"/>
                <w:highlight w:val="none"/>
              </w:rPr>
              <w:t>3</w:t>
            </w:r>
          </w:p>
        </w:tc>
        <w:tc>
          <w:tcPr>
            <w:tcW w:w="1910" w:type="dxa"/>
            <w:tcBorders>
              <w:bottom w:val="single" w:color="000000" w:sz="4" w:space="0"/>
              <w:right w:val="single" w:color="000000" w:sz="4" w:space="0"/>
            </w:tcBorders>
            <w:vAlign w:val="center"/>
          </w:tcPr>
          <w:p w14:paraId="7FAABDDE">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47D0DA43">
            <w:pPr>
              <w:spacing w:line="560" w:lineRule="exact"/>
              <w:jc w:val="left"/>
              <w:rPr>
                <w:color w:val="auto"/>
                <w:sz w:val="28"/>
                <w:highlight w:val="none"/>
              </w:rPr>
            </w:pPr>
          </w:p>
        </w:tc>
        <w:tc>
          <w:tcPr>
            <w:tcW w:w="851" w:type="dxa"/>
            <w:tcBorders>
              <w:bottom w:val="single" w:color="000000" w:sz="4" w:space="0"/>
              <w:right w:val="single" w:color="000000" w:sz="4" w:space="0"/>
            </w:tcBorders>
            <w:vAlign w:val="center"/>
          </w:tcPr>
          <w:p w14:paraId="29A824B7">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521D034A">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1E201406">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4871072E">
            <w:pPr>
              <w:spacing w:line="560" w:lineRule="exact"/>
              <w:jc w:val="center"/>
              <w:rPr>
                <w:color w:val="auto"/>
                <w:sz w:val="28"/>
                <w:highlight w:val="none"/>
              </w:rPr>
            </w:pPr>
          </w:p>
        </w:tc>
      </w:tr>
      <w:tr w14:paraId="2E40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465" w:type="dxa"/>
            <w:tcBorders>
              <w:left w:val="single" w:color="000000" w:sz="8" w:space="0"/>
              <w:bottom w:val="single" w:color="000000" w:sz="4" w:space="0"/>
              <w:right w:val="single" w:color="000000" w:sz="4" w:space="0"/>
            </w:tcBorders>
            <w:vAlign w:val="center"/>
          </w:tcPr>
          <w:p w14:paraId="6EC68890">
            <w:pPr>
              <w:spacing w:line="560" w:lineRule="exact"/>
              <w:jc w:val="center"/>
              <w:rPr>
                <w:color w:val="auto"/>
                <w:sz w:val="28"/>
                <w:highlight w:val="none"/>
              </w:rPr>
            </w:pPr>
            <w:r>
              <w:rPr>
                <w:color w:val="auto"/>
                <w:highlight w:val="none"/>
              </w:rPr>
              <w:t>4</w:t>
            </w:r>
          </w:p>
        </w:tc>
        <w:tc>
          <w:tcPr>
            <w:tcW w:w="1910" w:type="dxa"/>
            <w:tcBorders>
              <w:bottom w:val="single" w:color="000000" w:sz="4" w:space="0"/>
              <w:right w:val="single" w:color="000000" w:sz="4" w:space="0"/>
            </w:tcBorders>
            <w:vAlign w:val="center"/>
          </w:tcPr>
          <w:p w14:paraId="4CD52BE8">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02053D16">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7B410D6A">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43055151">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5211DFD5">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6F973756">
            <w:pPr>
              <w:spacing w:line="560" w:lineRule="exact"/>
              <w:jc w:val="center"/>
              <w:rPr>
                <w:color w:val="auto"/>
                <w:sz w:val="28"/>
                <w:highlight w:val="none"/>
              </w:rPr>
            </w:pPr>
          </w:p>
        </w:tc>
      </w:tr>
      <w:tr w14:paraId="6291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465" w:type="dxa"/>
            <w:tcBorders>
              <w:left w:val="single" w:color="000000" w:sz="8" w:space="0"/>
              <w:bottom w:val="single" w:color="000000" w:sz="4" w:space="0"/>
              <w:right w:val="single" w:color="000000" w:sz="4" w:space="0"/>
            </w:tcBorders>
            <w:vAlign w:val="center"/>
          </w:tcPr>
          <w:p w14:paraId="29C21C75">
            <w:pPr>
              <w:spacing w:line="560" w:lineRule="exact"/>
              <w:jc w:val="center"/>
              <w:rPr>
                <w:color w:val="auto"/>
                <w:sz w:val="28"/>
                <w:highlight w:val="none"/>
              </w:rPr>
            </w:pPr>
            <w:r>
              <w:rPr>
                <w:color w:val="auto"/>
                <w:highlight w:val="none"/>
              </w:rPr>
              <w:t>5</w:t>
            </w:r>
          </w:p>
        </w:tc>
        <w:tc>
          <w:tcPr>
            <w:tcW w:w="1910" w:type="dxa"/>
            <w:tcBorders>
              <w:bottom w:val="single" w:color="000000" w:sz="4" w:space="0"/>
              <w:right w:val="single" w:color="000000" w:sz="4" w:space="0"/>
            </w:tcBorders>
            <w:vAlign w:val="center"/>
          </w:tcPr>
          <w:p w14:paraId="0C8B291E">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145CD4F9">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55C492E7">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16D24C02">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4B5824E6">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2072A1BD">
            <w:pPr>
              <w:spacing w:line="560" w:lineRule="exact"/>
              <w:jc w:val="center"/>
              <w:rPr>
                <w:color w:val="auto"/>
                <w:sz w:val="28"/>
                <w:highlight w:val="none"/>
              </w:rPr>
            </w:pPr>
          </w:p>
        </w:tc>
      </w:tr>
      <w:tr w14:paraId="2B8B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465" w:type="dxa"/>
            <w:tcBorders>
              <w:left w:val="single" w:color="000000" w:sz="8" w:space="0"/>
              <w:bottom w:val="single" w:color="000000" w:sz="4" w:space="0"/>
              <w:right w:val="single" w:color="000000" w:sz="4" w:space="0"/>
            </w:tcBorders>
            <w:vAlign w:val="center"/>
          </w:tcPr>
          <w:p w14:paraId="4F3CF530">
            <w:pPr>
              <w:spacing w:line="560" w:lineRule="exact"/>
              <w:jc w:val="center"/>
              <w:rPr>
                <w:color w:val="auto"/>
                <w:sz w:val="28"/>
                <w:highlight w:val="none"/>
              </w:rPr>
            </w:pPr>
            <w:r>
              <w:rPr>
                <w:color w:val="auto"/>
                <w:highlight w:val="none"/>
              </w:rPr>
              <w:t>6</w:t>
            </w:r>
          </w:p>
        </w:tc>
        <w:tc>
          <w:tcPr>
            <w:tcW w:w="1910" w:type="dxa"/>
            <w:tcBorders>
              <w:bottom w:val="single" w:color="000000" w:sz="4" w:space="0"/>
              <w:right w:val="single" w:color="000000" w:sz="4" w:space="0"/>
            </w:tcBorders>
            <w:vAlign w:val="center"/>
          </w:tcPr>
          <w:p w14:paraId="5B548ADF">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2F8F036A">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561CEEF3">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79519DAD">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75487475">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116F1127">
            <w:pPr>
              <w:spacing w:line="560" w:lineRule="exact"/>
              <w:jc w:val="center"/>
              <w:rPr>
                <w:color w:val="auto"/>
                <w:sz w:val="28"/>
                <w:highlight w:val="none"/>
              </w:rPr>
            </w:pPr>
          </w:p>
        </w:tc>
      </w:tr>
      <w:tr w14:paraId="7BA7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65" w:type="dxa"/>
            <w:tcBorders>
              <w:left w:val="single" w:color="000000" w:sz="8" w:space="0"/>
              <w:bottom w:val="single" w:color="000000" w:sz="4" w:space="0"/>
              <w:right w:val="single" w:color="000000" w:sz="4" w:space="0"/>
            </w:tcBorders>
            <w:vAlign w:val="center"/>
          </w:tcPr>
          <w:p w14:paraId="6BF79BB5">
            <w:pPr>
              <w:spacing w:line="560" w:lineRule="exact"/>
              <w:jc w:val="center"/>
              <w:rPr>
                <w:color w:val="auto"/>
                <w:sz w:val="28"/>
                <w:highlight w:val="none"/>
              </w:rPr>
            </w:pPr>
            <w:r>
              <w:rPr>
                <w:color w:val="auto"/>
                <w:highlight w:val="none"/>
              </w:rPr>
              <w:t>7</w:t>
            </w:r>
          </w:p>
        </w:tc>
        <w:tc>
          <w:tcPr>
            <w:tcW w:w="1910" w:type="dxa"/>
            <w:tcBorders>
              <w:bottom w:val="single" w:color="000000" w:sz="4" w:space="0"/>
              <w:right w:val="single" w:color="000000" w:sz="4" w:space="0"/>
            </w:tcBorders>
            <w:vAlign w:val="center"/>
          </w:tcPr>
          <w:p w14:paraId="58FDE553">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6314C9C0">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6B149192">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25088C39">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25C208C6">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63D45D67">
            <w:pPr>
              <w:spacing w:line="560" w:lineRule="exact"/>
              <w:jc w:val="center"/>
              <w:rPr>
                <w:color w:val="auto"/>
                <w:sz w:val="28"/>
                <w:highlight w:val="none"/>
              </w:rPr>
            </w:pPr>
          </w:p>
        </w:tc>
      </w:tr>
      <w:tr w14:paraId="05C8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465" w:type="dxa"/>
            <w:tcBorders>
              <w:left w:val="single" w:color="000000" w:sz="8" w:space="0"/>
              <w:bottom w:val="single" w:color="000000" w:sz="4" w:space="0"/>
              <w:right w:val="single" w:color="000000" w:sz="4" w:space="0"/>
            </w:tcBorders>
            <w:vAlign w:val="center"/>
          </w:tcPr>
          <w:p w14:paraId="76E5B67C">
            <w:pPr>
              <w:spacing w:line="560" w:lineRule="exact"/>
              <w:jc w:val="center"/>
              <w:rPr>
                <w:color w:val="auto"/>
                <w:sz w:val="28"/>
                <w:highlight w:val="none"/>
              </w:rPr>
            </w:pPr>
            <w:r>
              <w:rPr>
                <w:color w:val="auto"/>
                <w:highlight w:val="none"/>
              </w:rPr>
              <w:t>8</w:t>
            </w:r>
          </w:p>
        </w:tc>
        <w:tc>
          <w:tcPr>
            <w:tcW w:w="1910" w:type="dxa"/>
            <w:tcBorders>
              <w:bottom w:val="single" w:color="000000" w:sz="4" w:space="0"/>
              <w:right w:val="single" w:color="000000" w:sz="4" w:space="0"/>
            </w:tcBorders>
            <w:vAlign w:val="center"/>
          </w:tcPr>
          <w:p w14:paraId="09862FFB">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5DA727F5">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1F22E98F">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7023FC8D">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028E903C">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3F4C146D">
            <w:pPr>
              <w:spacing w:line="560" w:lineRule="exact"/>
              <w:jc w:val="center"/>
              <w:rPr>
                <w:color w:val="auto"/>
                <w:sz w:val="28"/>
                <w:highlight w:val="none"/>
              </w:rPr>
            </w:pPr>
          </w:p>
        </w:tc>
      </w:tr>
      <w:tr w14:paraId="0688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465" w:type="dxa"/>
            <w:tcBorders>
              <w:left w:val="single" w:color="000000" w:sz="8" w:space="0"/>
              <w:bottom w:val="single" w:color="000000" w:sz="4" w:space="0"/>
              <w:right w:val="single" w:color="000000" w:sz="4" w:space="0"/>
            </w:tcBorders>
            <w:vAlign w:val="center"/>
          </w:tcPr>
          <w:p w14:paraId="65C73A25">
            <w:pPr>
              <w:spacing w:line="560" w:lineRule="exact"/>
              <w:jc w:val="center"/>
              <w:rPr>
                <w:color w:val="auto"/>
                <w:sz w:val="28"/>
                <w:highlight w:val="none"/>
              </w:rPr>
            </w:pPr>
            <w:r>
              <w:rPr>
                <w:color w:val="auto"/>
                <w:highlight w:val="none"/>
              </w:rPr>
              <w:t>9</w:t>
            </w:r>
          </w:p>
        </w:tc>
        <w:tc>
          <w:tcPr>
            <w:tcW w:w="1910" w:type="dxa"/>
            <w:tcBorders>
              <w:bottom w:val="single" w:color="000000" w:sz="4" w:space="0"/>
              <w:right w:val="single" w:color="000000" w:sz="4" w:space="0"/>
            </w:tcBorders>
            <w:vAlign w:val="center"/>
          </w:tcPr>
          <w:p w14:paraId="34B8897B">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1F156AD3">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2D43FB69">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4219A382">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0FF54D84">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203CCFEA">
            <w:pPr>
              <w:spacing w:line="560" w:lineRule="exact"/>
              <w:jc w:val="center"/>
              <w:rPr>
                <w:color w:val="auto"/>
                <w:sz w:val="28"/>
                <w:highlight w:val="none"/>
              </w:rPr>
            </w:pPr>
          </w:p>
        </w:tc>
      </w:tr>
      <w:tr w14:paraId="1628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465" w:type="dxa"/>
            <w:tcBorders>
              <w:left w:val="single" w:color="000000" w:sz="8" w:space="0"/>
              <w:bottom w:val="single" w:color="000000" w:sz="4" w:space="0"/>
              <w:right w:val="single" w:color="000000" w:sz="4" w:space="0"/>
            </w:tcBorders>
            <w:vAlign w:val="center"/>
          </w:tcPr>
          <w:p w14:paraId="1EC26C15">
            <w:pPr>
              <w:spacing w:line="560" w:lineRule="exact"/>
              <w:jc w:val="center"/>
              <w:rPr>
                <w:color w:val="auto"/>
                <w:sz w:val="28"/>
                <w:highlight w:val="none"/>
              </w:rPr>
            </w:pPr>
            <w:r>
              <w:rPr>
                <w:color w:val="auto"/>
                <w:highlight w:val="none"/>
              </w:rPr>
              <w:t>......</w:t>
            </w:r>
          </w:p>
        </w:tc>
        <w:tc>
          <w:tcPr>
            <w:tcW w:w="1910" w:type="dxa"/>
            <w:tcBorders>
              <w:bottom w:val="single" w:color="000000" w:sz="4" w:space="0"/>
              <w:right w:val="single" w:color="000000" w:sz="4" w:space="0"/>
            </w:tcBorders>
            <w:vAlign w:val="center"/>
          </w:tcPr>
          <w:p w14:paraId="6E1497BC">
            <w:pPr>
              <w:spacing w:line="560" w:lineRule="exact"/>
              <w:jc w:val="center"/>
              <w:rPr>
                <w:color w:val="auto"/>
                <w:sz w:val="28"/>
                <w:highlight w:val="none"/>
              </w:rPr>
            </w:pPr>
          </w:p>
        </w:tc>
        <w:tc>
          <w:tcPr>
            <w:tcW w:w="2977" w:type="dxa"/>
            <w:tcBorders>
              <w:bottom w:val="single" w:color="000000" w:sz="4" w:space="0"/>
              <w:right w:val="single" w:color="000000" w:sz="4" w:space="0"/>
            </w:tcBorders>
            <w:vAlign w:val="center"/>
          </w:tcPr>
          <w:p w14:paraId="51A8CF6A">
            <w:pPr>
              <w:spacing w:line="560" w:lineRule="exact"/>
              <w:jc w:val="center"/>
              <w:rPr>
                <w:color w:val="auto"/>
                <w:sz w:val="28"/>
                <w:highlight w:val="none"/>
              </w:rPr>
            </w:pPr>
          </w:p>
        </w:tc>
        <w:tc>
          <w:tcPr>
            <w:tcW w:w="851" w:type="dxa"/>
            <w:tcBorders>
              <w:bottom w:val="single" w:color="000000" w:sz="4" w:space="0"/>
              <w:right w:val="single" w:color="000000" w:sz="4" w:space="0"/>
            </w:tcBorders>
            <w:vAlign w:val="center"/>
          </w:tcPr>
          <w:p w14:paraId="0FEB1188">
            <w:pPr>
              <w:spacing w:line="560" w:lineRule="exact"/>
              <w:jc w:val="center"/>
              <w:rPr>
                <w:color w:val="auto"/>
                <w:sz w:val="28"/>
                <w:highlight w:val="none"/>
              </w:rPr>
            </w:pPr>
          </w:p>
        </w:tc>
        <w:tc>
          <w:tcPr>
            <w:tcW w:w="850" w:type="dxa"/>
            <w:tcBorders>
              <w:bottom w:val="single" w:color="000000" w:sz="4" w:space="0"/>
              <w:right w:val="single" w:color="000000" w:sz="4" w:space="0"/>
            </w:tcBorders>
            <w:vAlign w:val="center"/>
          </w:tcPr>
          <w:p w14:paraId="68B53185">
            <w:pPr>
              <w:spacing w:line="560" w:lineRule="exact"/>
              <w:jc w:val="center"/>
              <w:rPr>
                <w:color w:val="auto"/>
                <w:sz w:val="28"/>
                <w:highlight w:val="none"/>
              </w:rPr>
            </w:pPr>
          </w:p>
        </w:tc>
        <w:tc>
          <w:tcPr>
            <w:tcW w:w="1190" w:type="dxa"/>
            <w:tcBorders>
              <w:bottom w:val="single" w:color="000000" w:sz="4" w:space="0"/>
              <w:right w:val="single" w:color="000000" w:sz="4" w:space="0"/>
            </w:tcBorders>
            <w:vAlign w:val="center"/>
          </w:tcPr>
          <w:p w14:paraId="42D70C17">
            <w:pPr>
              <w:spacing w:line="560" w:lineRule="exact"/>
              <w:jc w:val="center"/>
              <w:rPr>
                <w:color w:val="auto"/>
                <w:sz w:val="28"/>
                <w:highlight w:val="none"/>
              </w:rPr>
            </w:pPr>
          </w:p>
        </w:tc>
        <w:tc>
          <w:tcPr>
            <w:tcW w:w="1000" w:type="dxa"/>
            <w:tcBorders>
              <w:bottom w:val="single" w:color="000000" w:sz="4" w:space="0"/>
              <w:right w:val="single" w:color="000000" w:sz="8" w:space="0"/>
            </w:tcBorders>
            <w:vAlign w:val="center"/>
          </w:tcPr>
          <w:p w14:paraId="7F1C1B14">
            <w:pPr>
              <w:spacing w:line="560" w:lineRule="exact"/>
              <w:jc w:val="center"/>
              <w:rPr>
                <w:color w:val="auto"/>
                <w:sz w:val="28"/>
                <w:highlight w:val="none"/>
              </w:rPr>
            </w:pPr>
          </w:p>
        </w:tc>
      </w:tr>
      <w:tr w14:paraId="11EC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9243" w:type="dxa"/>
            <w:gridSpan w:val="7"/>
            <w:tcBorders>
              <w:left w:val="single" w:color="000000" w:sz="8" w:space="0"/>
              <w:bottom w:val="single" w:color="000000" w:sz="8" w:space="0"/>
              <w:right w:val="single" w:color="000000" w:sz="8" w:space="0"/>
            </w:tcBorders>
            <w:vAlign w:val="center"/>
          </w:tcPr>
          <w:p w14:paraId="049FBD72">
            <w:pPr>
              <w:spacing w:line="560" w:lineRule="exact"/>
              <w:jc w:val="left"/>
              <w:rPr>
                <w:color w:val="auto"/>
                <w:highlight w:val="none"/>
              </w:rPr>
            </w:pPr>
            <w:r>
              <w:rPr>
                <w:rFonts w:hint="eastAsia"/>
                <w:color w:val="auto"/>
                <w:highlight w:val="none"/>
              </w:rPr>
              <w:t>投标报价：拾万仟佰拾元整</w:t>
            </w:r>
          </w:p>
          <w:p w14:paraId="13464FAC">
            <w:pPr>
              <w:spacing w:line="560" w:lineRule="exact"/>
              <w:jc w:val="center"/>
              <w:rPr>
                <w:color w:val="auto"/>
                <w:sz w:val="28"/>
                <w:highlight w:val="none"/>
              </w:rPr>
            </w:pPr>
            <w:r>
              <w:rPr>
                <w:rFonts w:hint="eastAsia"/>
                <w:color w:val="auto"/>
                <w:highlight w:val="none"/>
              </w:rPr>
              <w:t>（小写：¥　　　　元）</w:t>
            </w:r>
          </w:p>
        </w:tc>
      </w:tr>
    </w:tbl>
    <w:p w14:paraId="4F801918">
      <w:pPr>
        <w:widowControl w:val="0"/>
        <w:tabs>
          <w:tab w:val="left" w:pos="9365"/>
        </w:tabs>
        <w:snapToGrid w:val="0"/>
        <w:spacing w:after="56" w:line="360" w:lineRule="exact"/>
        <w:ind w:right="85" w:firstLine="601"/>
        <w:textAlignment w:val="top"/>
        <w:rPr>
          <w:b/>
          <w:color w:val="auto"/>
          <w:highlight w:val="none"/>
        </w:rPr>
      </w:pPr>
    </w:p>
    <w:p w14:paraId="7A22180B">
      <w:pPr>
        <w:widowControl w:val="0"/>
        <w:tabs>
          <w:tab w:val="left" w:pos="9365"/>
        </w:tabs>
        <w:snapToGrid w:val="0"/>
        <w:spacing w:after="56" w:line="240" w:lineRule="auto"/>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1D85F7BE">
      <w:pPr>
        <w:widowControl w:val="0"/>
        <w:tabs>
          <w:tab w:val="left" w:pos="9365"/>
        </w:tabs>
        <w:snapToGrid w:val="0"/>
        <w:spacing w:after="56" w:line="240" w:lineRule="auto"/>
        <w:ind w:right="85"/>
        <w:jc w:val="left"/>
        <w:textAlignment w:val="top"/>
        <w:rPr>
          <w:rFonts w:ascii="宋体" w:cs="楷体_GB2312"/>
          <w:color w:val="auto"/>
          <w:sz w:val="24"/>
          <w:highlight w:val="none"/>
          <w:lang w:val="zh-CN"/>
        </w:rPr>
      </w:pPr>
      <w:r>
        <w:rPr>
          <w:rFonts w:hint="eastAsia"/>
          <w:color w:val="auto"/>
          <w:sz w:val="24"/>
          <w:szCs w:val="24"/>
          <w:highlight w:val="none"/>
        </w:rPr>
        <w:t>法定代表人（电子签名或签章）：</w:t>
      </w:r>
    </w:p>
    <w:p w14:paraId="1462C84A">
      <w:pPr>
        <w:widowControl w:val="0"/>
        <w:tabs>
          <w:tab w:val="left" w:pos="9365"/>
        </w:tabs>
        <w:snapToGrid w:val="0"/>
        <w:spacing w:after="56" w:line="240" w:lineRule="auto"/>
        <w:ind w:right="85"/>
        <w:textAlignment w:val="top"/>
        <w:rPr>
          <w:b/>
          <w:color w:val="auto"/>
          <w:highlight w:val="none"/>
        </w:rPr>
      </w:pPr>
      <w:r>
        <w:rPr>
          <w:rFonts w:hint="eastAsia" w:ascii="宋体" w:hAnsi="宋体" w:cs="楷体_GB2312"/>
          <w:color w:val="auto"/>
          <w:sz w:val="24"/>
          <w:highlight w:val="none"/>
          <w:lang w:val="zh-CN"/>
        </w:rPr>
        <w:t>日期：年月日</w:t>
      </w:r>
    </w:p>
    <w:p w14:paraId="2A9D5E17">
      <w:pPr>
        <w:widowControl w:val="0"/>
        <w:snapToGrid w:val="0"/>
        <w:spacing w:line="560" w:lineRule="exact"/>
        <w:jc w:val="left"/>
        <w:rPr>
          <w:color w:val="auto"/>
          <w:sz w:val="28"/>
          <w:highlight w:val="none"/>
        </w:rPr>
      </w:pPr>
      <w:r>
        <w:rPr>
          <w:color w:val="auto"/>
          <w:sz w:val="28"/>
          <w:highlight w:val="none"/>
        </w:rPr>
        <w:br w:type="page"/>
      </w:r>
    </w:p>
    <w:p w14:paraId="0D307ED1">
      <w:pPr>
        <w:widowControl w:val="0"/>
        <w:snapToGrid w:val="0"/>
        <w:spacing w:line="560" w:lineRule="exact"/>
        <w:jc w:val="center"/>
        <w:rPr>
          <w:rFonts w:ascii="黑体" w:hAnsi="黑体" w:eastAsia="黑体"/>
          <w:color w:val="auto"/>
          <w:sz w:val="30"/>
          <w:szCs w:val="30"/>
          <w:highlight w:val="none"/>
        </w:rPr>
      </w:pPr>
      <w:r>
        <w:rPr>
          <w:rFonts w:hint="eastAsia" w:ascii="黑体" w:hAnsi="黑体" w:eastAsia="黑体"/>
          <w:b/>
          <w:color w:val="auto"/>
          <w:sz w:val="30"/>
          <w:szCs w:val="30"/>
          <w:highlight w:val="none"/>
        </w:rPr>
        <w:t>四、标产品清单及具体技术参数</w:t>
      </w:r>
    </w:p>
    <w:p w14:paraId="057AEB12">
      <w:pPr>
        <w:pStyle w:val="15"/>
        <w:adjustRightInd w:val="0"/>
        <w:snapToGrid w:val="0"/>
        <w:spacing w:before="0" w:beforeAutospacing="0" w:after="0" w:afterAutospacing="0"/>
        <w:rPr>
          <w:color w:val="auto"/>
          <w:highlight w:val="none"/>
        </w:rPr>
      </w:pPr>
    </w:p>
    <w:p w14:paraId="1C9CAB37">
      <w:pPr>
        <w:pStyle w:val="15"/>
        <w:adjustRightInd w:val="0"/>
        <w:snapToGrid w:val="0"/>
        <w:spacing w:before="0" w:beforeAutospacing="0" w:after="0" w:afterAutospacing="0"/>
        <w:rPr>
          <w:color w:val="auto"/>
          <w:highlight w:val="none"/>
          <w:u w:val="single"/>
        </w:rPr>
      </w:pPr>
      <w:r>
        <w:rPr>
          <w:rFonts w:hint="eastAsia"/>
          <w:color w:val="auto"/>
          <w:highlight w:val="none"/>
        </w:rPr>
        <w:t>项目名称：</w:t>
      </w:r>
    </w:p>
    <w:p w14:paraId="702E49B2">
      <w:pPr>
        <w:pStyle w:val="15"/>
        <w:adjustRightInd w:val="0"/>
        <w:snapToGrid w:val="0"/>
        <w:spacing w:before="0" w:beforeAutospacing="0" w:after="0" w:afterAutospacing="0"/>
        <w:rPr>
          <w:color w:val="auto"/>
          <w:highlight w:val="none"/>
        </w:rPr>
      </w:pPr>
      <w:r>
        <w:rPr>
          <w:rFonts w:hint="eastAsia"/>
          <w:color w:val="auto"/>
          <w:highlight w:val="none"/>
        </w:rPr>
        <w:t xml:space="preserve">项目编号：   </w:t>
      </w:r>
    </w:p>
    <w:tbl>
      <w:tblPr>
        <w:tblStyle w:val="16"/>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0"/>
        <w:gridCol w:w="1200"/>
        <w:gridCol w:w="567"/>
        <w:gridCol w:w="567"/>
        <w:gridCol w:w="1134"/>
        <w:gridCol w:w="1912"/>
        <w:gridCol w:w="1559"/>
        <w:gridCol w:w="567"/>
        <w:gridCol w:w="1490"/>
      </w:tblGrid>
      <w:tr w14:paraId="11EC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8" w:hRule="atLeast"/>
          <w:jc w:val="center"/>
        </w:trPr>
        <w:tc>
          <w:tcPr>
            <w:tcW w:w="480" w:type="dxa"/>
            <w:tcBorders>
              <w:top w:val="single" w:color="000000" w:sz="8" w:space="0"/>
              <w:bottom w:val="single" w:color="000000" w:sz="4" w:space="0"/>
              <w:right w:val="single" w:color="000000" w:sz="4" w:space="0"/>
            </w:tcBorders>
            <w:vAlign w:val="center"/>
          </w:tcPr>
          <w:p w14:paraId="24DB1F61">
            <w:pPr>
              <w:spacing w:line="360" w:lineRule="exact"/>
              <w:jc w:val="center"/>
              <w:rPr>
                <w:b/>
                <w:color w:val="auto"/>
                <w:sz w:val="28"/>
                <w:highlight w:val="none"/>
              </w:rPr>
            </w:pPr>
            <w:r>
              <w:rPr>
                <w:rFonts w:hint="eastAsia"/>
                <w:b/>
                <w:color w:val="auto"/>
                <w:highlight w:val="none"/>
              </w:rPr>
              <w:t>序号</w:t>
            </w:r>
          </w:p>
        </w:tc>
        <w:tc>
          <w:tcPr>
            <w:tcW w:w="1200" w:type="dxa"/>
            <w:tcBorders>
              <w:top w:val="single" w:color="000000" w:sz="8" w:space="0"/>
              <w:bottom w:val="single" w:color="000000" w:sz="4" w:space="0"/>
              <w:right w:val="single" w:color="000000" w:sz="4" w:space="0"/>
            </w:tcBorders>
            <w:vAlign w:val="center"/>
          </w:tcPr>
          <w:p w14:paraId="55A32A68">
            <w:pPr>
              <w:widowControl w:val="0"/>
              <w:snapToGrid w:val="0"/>
              <w:spacing w:line="360" w:lineRule="exact"/>
              <w:jc w:val="center"/>
              <w:rPr>
                <w:b/>
                <w:color w:val="auto"/>
                <w:sz w:val="28"/>
                <w:highlight w:val="none"/>
              </w:rPr>
            </w:pPr>
            <w:r>
              <w:rPr>
                <w:rFonts w:hint="eastAsia"/>
                <w:b/>
                <w:color w:val="auto"/>
                <w:highlight w:val="none"/>
              </w:rPr>
              <w:t>产品名称</w:t>
            </w:r>
          </w:p>
        </w:tc>
        <w:tc>
          <w:tcPr>
            <w:tcW w:w="567" w:type="dxa"/>
            <w:tcBorders>
              <w:top w:val="single" w:color="000000" w:sz="8" w:space="0"/>
              <w:bottom w:val="single" w:color="000000" w:sz="4" w:space="0"/>
              <w:right w:val="single" w:color="000000" w:sz="4" w:space="0"/>
            </w:tcBorders>
            <w:vAlign w:val="center"/>
          </w:tcPr>
          <w:p w14:paraId="6530EC57">
            <w:pPr>
              <w:spacing w:line="360" w:lineRule="exact"/>
              <w:jc w:val="center"/>
              <w:rPr>
                <w:b/>
                <w:color w:val="auto"/>
                <w:sz w:val="28"/>
                <w:highlight w:val="none"/>
              </w:rPr>
            </w:pPr>
            <w:r>
              <w:rPr>
                <w:rFonts w:hint="eastAsia"/>
                <w:b/>
                <w:color w:val="auto"/>
                <w:highlight w:val="none"/>
              </w:rPr>
              <w:t>单位</w:t>
            </w:r>
          </w:p>
        </w:tc>
        <w:tc>
          <w:tcPr>
            <w:tcW w:w="567" w:type="dxa"/>
            <w:tcBorders>
              <w:top w:val="single" w:color="000000" w:sz="8" w:space="0"/>
              <w:bottom w:val="single" w:color="000000" w:sz="4" w:space="0"/>
              <w:right w:val="single" w:color="000000" w:sz="4" w:space="0"/>
            </w:tcBorders>
            <w:vAlign w:val="center"/>
          </w:tcPr>
          <w:p w14:paraId="330CEC76">
            <w:pPr>
              <w:spacing w:line="360" w:lineRule="exact"/>
              <w:jc w:val="center"/>
              <w:rPr>
                <w:b/>
                <w:color w:val="auto"/>
                <w:sz w:val="28"/>
                <w:highlight w:val="none"/>
              </w:rPr>
            </w:pPr>
            <w:r>
              <w:rPr>
                <w:rFonts w:hint="eastAsia"/>
                <w:b/>
                <w:color w:val="auto"/>
                <w:highlight w:val="none"/>
              </w:rPr>
              <w:t>数量</w:t>
            </w:r>
          </w:p>
        </w:tc>
        <w:tc>
          <w:tcPr>
            <w:tcW w:w="1134" w:type="dxa"/>
            <w:tcBorders>
              <w:top w:val="single" w:color="000000" w:sz="8" w:space="0"/>
              <w:bottom w:val="single" w:color="000000" w:sz="4" w:space="0"/>
              <w:right w:val="single" w:color="000000" w:sz="4" w:space="0"/>
            </w:tcBorders>
            <w:vAlign w:val="center"/>
          </w:tcPr>
          <w:p w14:paraId="18945F95">
            <w:pPr>
              <w:spacing w:line="360" w:lineRule="exact"/>
              <w:jc w:val="center"/>
              <w:rPr>
                <w:b/>
                <w:color w:val="auto"/>
                <w:sz w:val="28"/>
                <w:highlight w:val="none"/>
              </w:rPr>
            </w:pPr>
            <w:r>
              <w:rPr>
                <w:rFonts w:hint="eastAsia"/>
                <w:b/>
                <w:color w:val="auto"/>
                <w:highlight w:val="none"/>
              </w:rPr>
              <w:t>品牌型号</w:t>
            </w:r>
          </w:p>
        </w:tc>
        <w:tc>
          <w:tcPr>
            <w:tcW w:w="1912" w:type="dxa"/>
            <w:tcBorders>
              <w:top w:val="single" w:color="000000" w:sz="8" w:space="0"/>
              <w:bottom w:val="single" w:color="000000" w:sz="4" w:space="0"/>
              <w:right w:val="single" w:color="000000" w:sz="4" w:space="0"/>
            </w:tcBorders>
            <w:vAlign w:val="center"/>
          </w:tcPr>
          <w:p w14:paraId="4C7C9227">
            <w:pPr>
              <w:spacing w:line="360" w:lineRule="exact"/>
              <w:jc w:val="center"/>
              <w:rPr>
                <w:b/>
                <w:color w:val="auto"/>
                <w:sz w:val="28"/>
                <w:highlight w:val="none"/>
              </w:rPr>
            </w:pPr>
            <w:r>
              <w:rPr>
                <w:rFonts w:hint="eastAsia"/>
                <w:b/>
                <w:color w:val="auto"/>
                <w:highlight w:val="none"/>
              </w:rPr>
              <w:t>技术参数</w:t>
            </w:r>
          </w:p>
        </w:tc>
        <w:tc>
          <w:tcPr>
            <w:tcW w:w="1559" w:type="dxa"/>
            <w:tcBorders>
              <w:top w:val="single" w:color="000000" w:sz="8" w:space="0"/>
              <w:bottom w:val="single" w:color="000000" w:sz="4" w:space="0"/>
              <w:right w:val="single" w:color="000000" w:sz="4" w:space="0"/>
            </w:tcBorders>
            <w:vAlign w:val="center"/>
          </w:tcPr>
          <w:p w14:paraId="03600F67">
            <w:pPr>
              <w:spacing w:line="360" w:lineRule="exact"/>
              <w:jc w:val="center"/>
              <w:rPr>
                <w:b/>
                <w:color w:val="auto"/>
                <w:sz w:val="28"/>
                <w:highlight w:val="none"/>
              </w:rPr>
            </w:pPr>
            <w:r>
              <w:rPr>
                <w:rFonts w:hint="eastAsia"/>
                <w:b/>
                <w:color w:val="auto"/>
                <w:highlight w:val="none"/>
              </w:rPr>
              <w:t>原产地及制造商</w:t>
            </w:r>
          </w:p>
        </w:tc>
        <w:tc>
          <w:tcPr>
            <w:tcW w:w="567" w:type="dxa"/>
            <w:tcBorders>
              <w:top w:val="single" w:color="000000" w:sz="8" w:space="0"/>
              <w:bottom w:val="single" w:color="000000" w:sz="4" w:space="0"/>
              <w:right w:val="single" w:color="000000" w:sz="8" w:space="0"/>
            </w:tcBorders>
            <w:vAlign w:val="center"/>
          </w:tcPr>
          <w:p w14:paraId="5978ADF0">
            <w:pPr>
              <w:spacing w:line="360" w:lineRule="exact"/>
              <w:jc w:val="center"/>
              <w:rPr>
                <w:b/>
                <w:color w:val="auto"/>
                <w:sz w:val="28"/>
                <w:highlight w:val="none"/>
              </w:rPr>
            </w:pPr>
            <w:r>
              <w:rPr>
                <w:rFonts w:hint="eastAsia"/>
                <w:b/>
                <w:color w:val="auto"/>
                <w:highlight w:val="none"/>
              </w:rPr>
              <w:t>附件</w:t>
            </w:r>
          </w:p>
        </w:tc>
        <w:tc>
          <w:tcPr>
            <w:tcW w:w="1490" w:type="dxa"/>
            <w:tcBorders>
              <w:top w:val="single" w:color="000000" w:sz="8" w:space="0"/>
              <w:bottom w:val="single" w:color="000000" w:sz="4" w:space="0"/>
              <w:right w:val="single" w:color="000000" w:sz="8" w:space="0"/>
            </w:tcBorders>
          </w:tcPr>
          <w:p w14:paraId="0A823724">
            <w:pPr>
              <w:spacing w:line="360" w:lineRule="exact"/>
              <w:jc w:val="center"/>
              <w:rPr>
                <w:b/>
                <w:color w:val="auto"/>
                <w:highlight w:val="none"/>
              </w:rPr>
            </w:pPr>
            <w:r>
              <w:rPr>
                <w:rFonts w:hint="eastAsia"/>
                <w:b/>
                <w:color w:val="auto"/>
                <w:szCs w:val="21"/>
                <w:highlight w:val="none"/>
              </w:rPr>
              <w:t>节能产品、环境标志产品的标注</w:t>
            </w:r>
            <w:r>
              <w:rPr>
                <w:b/>
                <w:color w:val="auto"/>
                <w:sz w:val="18"/>
                <w:szCs w:val="18"/>
                <w:highlight w:val="none"/>
              </w:rPr>
              <w:t>(</w:t>
            </w:r>
            <w:r>
              <w:rPr>
                <w:rFonts w:hint="eastAsia"/>
                <w:b/>
                <w:color w:val="auto"/>
                <w:sz w:val="18"/>
                <w:szCs w:val="18"/>
                <w:highlight w:val="none"/>
              </w:rPr>
              <w:t>按需填列</w:t>
            </w:r>
            <w:r>
              <w:rPr>
                <w:b/>
                <w:color w:val="auto"/>
                <w:sz w:val="18"/>
                <w:szCs w:val="18"/>
                <w:highlight w:val="none"/>
              </w:rPr>
              <w:t>)</w:t>
            </w:r>
          </w:p>
        </w:tc>
      </w:tr>
      <w:tr w14:paraId="7342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53" w:hRule="atLeast"/>
          <w:jc w:val="center"/>
        </w:trPr>
        <w:tc>
          <w:tcPr>
            <w:tcW w:w="480" w:type="dxa"/>
            <w:tcBorders>
              <w:bottom w:val="single" w:color="000000" w:sz="4" w:space="0"/>
              <w:right w:val="single" w:color="000000" w:sz="4" w:space="0"/>
            </w:tcBorders>
            <w:vAlign w:val="center"/>
          </w:tcPr>
          <w:p w14:paraId="42779B9A">
            <w:pPr>
              <w:spacing w:line="360" w:lineRule="exact"/>
              <w:jc w:val="center"/>
              <w:rPr>
                <w:color w:val="auto"/>
                <w:sz w:val="28"/>
                <w:highlight w:val="none"/>
              </w:rPr>
            </w:pPr>
            <w:r>
              <w:rPr>
                <w:color w:val="auto"/>
                <w:highlight w:val="none"/>
              </w:rPr>
              <w:t>1</w:t>
            </w:r>
          </w:p>
        </w:tc>
        <w:tc>
          <w:tcPr>
            <w:tcW w:w="1200" w:type="dxa"/>
            <w:tcBorders>
              <w:bottom w:val="single" w:color="000000" w:sz="4" w:space="0"/>
              <w:right w:val="single" w:color="000000" w:sz="4" w:space="0"/>
            </w:tcBorders>
            <w:vAlign w:val="center"/>
          </w:tcPr>
          <w:p w14:paraId="5615DA40">
            <w:pPr>
              <w:spacing w:line="360" w:lineRule="exact"/>
              <w:jc w:val="center"/>
              <w:rPr>
                <w:color w:val="auto"/>
                <w:sz w:val="28"/>
                <w:highlight w:val="none"/>
              </w:rPr>
            </w:pPr>
          </w:p>
        </w:tc>
        <w:tc>
          <w:tcPr>
            <w:tcW w:w="567" w:type="dxa"/>
            <w:tcBorders>
              <w:bottom w:val="single" w:color="000000" w:sz="4" w:space="0"/>
              <w:right w:val="single" w:color="000000" w:sz="4" w:space="0"/>
            </w:tcBorders>
            <w:vAlign w:val="center"/>
          </w:tcPr>
          <w:p w14:paraId="06A12407">
            <w:pPr>
              <w:spacing w:line="360" w:lineRule="exact"/>
              <w:jc w:val="center"/>
              <w:rPr>
                <w:color w:val="auto"/>
                <w:sz w:val="28"/>
                <w:highlight w:val="none"/>
              </w:rPr>
            </w:pPr>
          </w:p>
        </w:tc>
        <w:tc>
          <w:tcPr>
            <w:tcW w:w="567" w:type="dxa"/>
            <w:tcBorders>
              <w:bottom w:val="single" w:color="000000" w:sz="4" w:space="0"/>
              <w:right w:val="single" w:color="000000" w:sz="4" w:space="0"/>
            </w:tcBorders>
            <w:vAlign w:val="center"/>
          </w:tcPr>
          <w:p w14:paraId="640EBE6D">
            <w:pPr>
              <w:spacing w:line="3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1AA63032">
            <w:pPr>
              <w:spacing w:line="360" w:lineRule="exact"/>
              <w:jc w:val="center"/>
              <w:rPr>
                <w:color w:val="auto"/>
                <w:sz w:val="28"/>
                <w:highlight w:val="none"/>
              </w:rPr>
            </w:pPr>
          </w:p>
        </w:tc>
        <w:tc>
          <w:tcPr>
            <w:tcW w:w="1912" w:type="dxa"/>
            <w:tcBorders>
              <w:bottom w:val="single" w:color="000000" w:sz="4" w:space="0"/>
              <w:right w:val="single" w:color="000000" w:sz="4" w:space="0"/>
            </w:tcBorders>
            <w:vAlign w:val="center"/>
          </w:tcPr>
          <w:p w14:paraId="000AB5BC">
            <w:pPr>
              <w:spacing w:line="360" w:lineRule="exact"/>
              <w:jc w:val="center"/>
              <w:rPr>
                <w:color w:val="auto"/>
                <w:sz w:val="28"/>
                <w:highlight w:val="none"/>
              </w:rPr>
            </w:pPr>
          </w:p>
        </w:tc>
        <w:tc>
          <w:tcPr>
            <w:tcW w:w="1559" w:type="dxa"/>
            <w:tcBorders>
              <w:bottom w:val="single" w:color="000000" w:sz="4" w:space="0"/>
              <w:right w:val="single" w:color="000000" w:sz="4" w:space="0"/>
            </w:tcBorders>
            <w:vAlign w:val="center"/>
          </w:tcPr>
          <w:p w14:paraId="12C95A39">
            <w:pPr>
              <w:spacing w:line="360" w:lineRule="exact"/>
              <w:jc w:val="center"/>
              <w:rPr>
                <w:color w:val="auto"/>
                <w:sz w:val="28"/>
                <w:highlight w:val="none"/>
              </w:rPr>
            </w:pPr>
          </w:p>
        </w:tc>
        <w:tc>
          <w:tcPr>
            <w:tcW w:w="567" w:type="dxa"/>
            <w:tcBorders>
              <w:bottom w:val="single" w:color="000000" w:sz="4" w:space="0"/>
              <w:right w:val="single" w:color="000000" w:sz="8" w:space="0"/>
            </w:tcBorders>
            <w:vAlign w:val="center"/>
          </w:tcPr>
          <w:p w14:paraId="4662E136">
            <w:pPr>
              <w:spacing w:line="360" w:lineRule="exact"/>
              <w:jc w:val="center"/>
              <w:rPr>
                <w:color w:val="auto"/>
                <w:sz w:val="28"/>
                <w:highlight w:val="none"/>
              </w:rPr>
            </w:pPr>
          </w:p>
        </w:tc>
        <w:tc>
          <w:tcPr>
            <w:tcW w:w="1490" w:type="dxa"/>
            <w:tcBorders>
              <w:bottom w:val="single" w:color="000000" w:sz="4" w:space="0"/>
              <w:right w:val="single" w:color="000000" w:sz="8" w:space="0"/>
            </w:tcBorders>
          </w:tcPr>
          <w:p w14:paraId="2DDB693E">
            <w:pPr>
              <w:spacing w:line="360" w:lineRule="exact"/>
              <w:jc w:val="center"/>
              <w:rPr>
                <w:color w:val="auto"/>
                <w:sz w:val="28"/>
                <w:highlight w:val="none"/>
              </w:rPr>
            </w:pPr>
          </w:p>
        </w:tc>
      </w:tr>
      <w:tr w14:paraId="0A4F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49" w:hRule="atLeast"/>
          <w:jc w:val="center"/>
        </w:trPr>
        <w:tc>
          <w:tcPr>
            <w:tcW w:w="480" w:type="dxa"/>
            <w:tcBorders>
              <w:left w:val="single" w:color="000000" w:sz="4" w:space="0"/>
              <w:bottom w:val="single" w:color="000000" w:sz="4" w:space="0"/>
              <w:right w:val="single" w:color="000000" w:sz="4" w:space="0"/>
            </w:tcBorders>
            <w:vAlign w:val="center"/>
          </w:tcPr>
          <w:p w14:paraId="28CED461">
            <w:pPr>
              <w:spacing w:line="360" w:lineRule="exact"/>
              <w:jc w:val="center"/>
              <w:rPr>
                <w:color w:val="auto"/>
                <w:sz w:val="28"/>
                <w:highlight w:val="none"/>
              </w:rPr>
            </w:pPr>
            <w:r>
              <w:rPr>
                <w:color w:val="auto"/>
                <w:highlight w:val="none"/>
              </w:rPr>
              <w:t>2</w:t>
            </w:r>
          </w:p>
        </w:tc>
        <w:tc>
          <w:tcPr>
            <w:tcW w:w="1200" w:type="dxa"/>
            <w:tcBorders>
              <w:bottom w:val="single" w:color="000000" w:sz="4" w:space="0"/>
              <w:right w:val="single" w:color="000000" w:sz="4" w:space="0"/>
            </w:tcBorders>
            <w:vAlign w:val="center"/>
          </w:tcPr>
          <w:p w14:paraId="05B8F8CC">
            <w:pPr>
              <w:spacing w:line="360" w:lineRule="exact"/>
              <w:jc w:val="center"/>
              <w:rPr>
                <w:color w:val="auto"/>
                <w:sz w:val="28"/>
                <w:highlight w:val="none"/>
              </w:rPr>
            </w:pPr>
          </w:p>
        </w:tc>
        <w:tc>
          <w:tcPr>
            <w:tcW w:w="567" w:type="dxa"/>
            <w:tcBorders>
              <w:bottom w:val="single" w:color="000000" w:sz="4" w:space="0"/>
              <w:right w:val="single" w:color="000000" w:sz="4" w:space="0"/>
            </w:tcBorders>
            <w:vAlign w:val="center"/>
          </w:tcPr>
          <w:p w14:paraId="2C2DDF2F">
            <w:pPr>
              <w:spacing w:line="360" w:lineRule="exact"/>
              <w:jc w:val="center"/>
              <w:rPr>
                <w:color w:val="auto"/>
                <w:sz w:val="28"/>
                <w:highlight w:val="none"/>
              </w:rPr>
            </w:pPr>
          </w:p>
        </w:tc>
        <w:tc>
          <w:tcPr>
            <w:tcW w:w="567" w:type="dxa"/>
            <w:tcBorders>
              <w:bottom w:val="single" w:color="000000" w:sz="4" w:space="0"/>
              <w:right w:val="single" w:color="000000" w:sz="4" w:space="0"/>
            </w:tcBorders>
            <w:vAlign w:val="center"/>
          </w:tcPr>
          <w:p w14:paraId="18BDCBA2">
            <w:pPr>
              <w:spacing w:line="360" w:lineRule="exact"/>
              <w:jc w:val="center"/>
              <w:rPr>
                <w:color w:val="auto"/>
                <w:sz w:val="28"/>
                <w:highlight w:val="none"/>
              </w:rPr>
            </w:pPr>
          </w:p>
        </w:tc>
        <w:tc>
          <w:tcPr>
            <w:tcW w:w="1134" w:type="dxa"/>
            <w:tcBorders>
              <w:bottom w:val="single" w:color="000000" w:sz="4" w:space="0"/>
              <w:right w:val="single" w:color="000000" w:sz="4" w:space="0"/>
            </w:tcBorders>
            <w:vAlign w:val="center"/>
          </w:tcPr>
          <w:p w14:paraId="374CA252">
            <w:pPr>
              <w:spacing w:line="360" w:lineRule="exact"/>
              <w:jc w:val="center"/>
              <w:rPr>
                <w:color w:val="auto"/>
                <w:sz w:val="28"/>
                <w:highlight w:val="none"/>
              </w:rPr>
            </w:pPr>
          </w:p>
        </w:tc>
        <w:tc>
          <w:tcPr>
            <w:tcW w:w="1912" w:type="dxa"/>
            <w:tcBorders>
              <w:bottom w:val="single" w:color="000000" w:sz="4" w:space="0"/>
              <w:right w:val="single" w:color="000000" w:sz="4" w:space="0"/>
            </w:tcBorders>
            <w:vAlign w:val="center"/>
          </w:tcPr>
          <w:p w14:paraId="55156199">
            <w:pPr>
              <w:spacing w:line="360" w:lineRule="exact"/>
              <w:jc w:val="center"/>
              <w:rPr>
                <w:color w:val="auto"/>
                <w:sz w:val="28"/>
                <w:highlight w:val="none"/>
              </w:rPr>
            </w:pPr>
          </w:p>
        </w:tc>
        <w:tc>
          <w:tcPr>
            <w:tcW w:w="1559" w:type="dxa"/>
            <w:tcBorders>
              <w:bottom w:val="single" w:color="000000" w:sz="4" w:space="0"/>
              <w:right w:val="single" w:color="000000" w:sz="4" w:space="0"/>
            </w:tcBorders>
            <w:vAlign w:val="center"/>
          </w:tcPr>
          <w:p w14:paraId="4B02FC42">
            <w:pPr>
              <w:spacing w:line="360" w:lineRule="exact"/>
              <w:jc w:val="center"/>
              <w:rPr>
                <w:color w:val="auto"/>
                <w:sz w:val="28"/>
                <w:highlight w:val="none"/>
              </w:rPr>
            </w:pPr>
          </w:p>
        </w:tc>
        <w:tc>
          <w:tcPr>
            <w:tcW w:w="567" w:type="dxa"/>
            <w:tcBorders>
              <w:bottom w:val="single" w:color="000000" w:sz="4" w:space="0"/>
              <w:right w:val="single" w:color="000000" w:sz="8" w:space="0"/>
            </w:tcBorders>
            <w:vAlign w:val="center"/>
          </w:tcPr>
          <w:p w14:paraId="390901A1">
            <w:pPr>
              <w:spacing w:line="360" w:lineRule="exact"/>
              <w:jc w:val="center"/>
              <w:rPr>
                <w:color w:val="auto"/>
                <w:sz w:val="28"/>
                <w:highlight w:val="none"/>
              </w:rPr>
            </w:pPr>
          </w:p>
        </w:tc>
        <w:tc>
          <w:tcPr>
            <w:tcW w:w="1490" w:type="dxa"/>
            <w:tcBorders>
              <w:bottom w:val="single" w:color="000000" w:sz="4" w:space="0"/>
              <w:right w:val="single" w:color="000000" w:sz="8" w:space="0"/>
            </w:tcBorders>
          </w:tcPr>
          <w:p w14:paraId="1291A842">
            <w:pPr>
              <w:spacing w:line="360" w:lineRule="exact"/>
              <w:jc w:val="center"/>
              <w:rPr>
                <w:color w:val="auto"/>
                <w:sz w:val="28"/>
                <w:highlight w:val="none"/>
              </w:rPr>
            </w:pPr>
          </w:p>
        </w:tc>
      </w:tr>
      <w:tr w14:paraId="3209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79" w:hRule="atLeast"/>
          <w:jc w:val="center"/>
        </w:trPr>
        <w:tc>
          <w:tcPr>
            <w:tcW w:w="480" w:type="dxa"/>
            <w:tcBorders>
              <w:left w:val="single" w:color="000000" w:sz="4" w:space="0"/>
              <w:right w:val="single" w:color="000000" w:sz="4" w:space="0"/>
            </w:tcBorders>
            <w:vAlign w:val="center"/>
          </w:tcPr>
          <w:p w14:paraId="62419BD8">
            <w:pPr>
              <w:spacing w:line="360" w:lineRule="exact"/>
              <w:jc w:val="center"/>
              <w:rPr>
                <w:color w:val="auto"/>
                <w:sz w:val="28"/>
                <w:highlight w:val="none"/>
              </w:rPr>
            </w:pPr>
            <w:r>
              <w:rPr>
                <w:color w:val="auto"/>
                <w:highlight w:val="none"/>
              </w:rPr>
              <w:t>3</w:t>
            </w:r>
          </w:p>
        </w:tc>
        <w:tc>
          <w:tcPr>
            <w:tcW w:w="1200" w:type="dxa"/>
            <w:tcBorders>
              <w:right w:val="single" w:color="000000" w:sz="4" w:space="0"/>
            </w:tcBorders>
            <w:vAlign w:val="center"/>
          </w:tcPr>
          <w:p w14:paraId="5D26A7F8">
            <w:pPr>
              <w:spacing w:line="360" w:lineRule="exact"/>
              <w:jc w:val="center"/>
              <w:rPr>
                <w:color w:val="auto"/>
                <w:sz w:val="28"/>
                <w:highlight w:val="none"/>
              </w:rPr>
            </w:pPr>
          </w:p>
        </w:tc>
        <w:tc>
          <w:tcPr>
            <w:tcW w:w="567" w:type="dxa"/>
            <w:tcBorders>
              <w:right w:val="single" w:color="000000" w:sz="4" w:space="0"/>
            </w:tcBorders>
            <w:vAlign w:val="center"/>
          </w:tcPr>
          <w:p w14:paraId="6724AC5A">
            <w:pPr>
              <w:spacing w:line="360" w:lineRule="exact"/>
              <w:jc w:val="center"/>
              <w:rPr>
                <w:color w:val="auto"/>
                <w:sz w:val="28"/>
                <w:highlight w:val="none"/>
              </w:rPr>
            </w:pPr>
          </w:p>
        </w:tc>
        <w:tc>
          <w:tcPr>
            <w:tcW w:w="567" w:type="dxa"/>
            <w:tcBorders>
              <w:right w:val="single" w:color="000000" w:sz="4" w:space="0"/>
            </w:tcBorders>
            <w:vAlign w:val="center"/>
          </w:tcPr>
          <w:p w14:paraId="10C74374">
            <w:pPr>
              <w:spacing w:line="360" w:lineRule="exact"/>
              <w:jc w:val="center"/>
              <w:rPr>
                <w:color w:val="auto"/>
                <w:sz w:val="28"/>
                <w:highlight w:val="none"/>
              </w:rPr>
            </w:pPr>
          </w:p>
        </w:tc>
        <w:tc>
          <w:tcPr>
            <w:tcW w:w="1134" w:type="dxa"/>
            <w:tcBorders>
              <w:right w:val="single" w:color="000000" w:sz="4" w:space="0"/>
            </w:tcBorders>
            <w:vAlign w:val="center"/>
          </w:tcPr>
          <w:p w14:paraId="7ABA94A8">
            <w:pPr>
              <w:spacing w:line="360" w:lineRule="exact"/>
              <w:jc w:val="center"/>
              <w:rPr>
                <w:color w:val="auto"/>
                <w:sz w:val="28"/>
                <w:highlight w:val="none"/>
              </w:rPr>
            </w:pPr>
          </w:p>
        </w:tc>
        <w:tc>
          <w:tcPr>
            <w:tcW w:w="1912" w:type="dxa"/>
            <w:tcBorders>
              <w:right w:val="single" w:color="000000" w:sz="4" w:space="0"/>
            </w:tcBorders>
            <w:vAlign w:val="center"/>
          </w:tcPr>
          <w:p w14:paraId="4716E087">
            <w:pPr>
              <w:spacing w:line="360" w:lineRule="exact"/>
              <w:jc w:val="center"/>
              <w:rPr>
                <w:color w:val="auto"/>
                <w:sz w:val="28"/>
                <w:highlight w:val="none"/>
              </w:rPr>
            </w:pPr>
          </w:p>
        </w:tc>
        <w:tc>
          <w:tcPr>
            <w:tcW w:w="1559" w:type="dxa"/>
            <w:tcBorders>
              <w:right w:val="single" w:color="000000" w:sz="4" w:space="0"/>
            </w:tcBorders>
            <w:vAlign w:val="center"/>
          </w:tcPr>
          <w:p w14:paraId="40A79A84">
            <w:pPr>
              <w:spacing w:line="360" w:lineRule="exact"/>
              <w:jc w:val="center"/>
              <w:rPr>
                <w:color w:val="auto"/>
                <w:sz w:val="28"/>
                <w:highlight w:val="none"/>
              </w:rPr>
            </w:pPr>
          </w:p>
        </w:tc>
        <w:tc>
          <w:tcPr>
            <w:tcW w:w="567" w:type="dxa"/>
            <w:tcBorders>
              <w:right w:val="single" w:color="000000" w:sz="8" w:space="0"/>
            </w:tcBorders>
            <w:vAlign w:val="center"/>
          </w:tcPr>
          <w:p w14:paraId="3C4A1B95">
            <w:pPr>
              <w:spacing w:line="360" w:lineRule="exact"/>
              <w:jc w:val="center"/>
              <w:rPr>
                <w:color w:val="auto"/>
                <w:sz w:val="28"/>
                <w:highlight w:val="none"/>
              </w:rPr>
            </w:pPr>
          </w:p>
        </w:tc>
        <w:tc>
          <w:tcPr>
            <w:tcW w:w="1490" w:type="dxa"/>
            <w:tcBorders>
              <w:right w:val="single" w:color="000000" w:sz="8" w:space="0"/>
            </w:tcBorders>
          </w:tcPr>
          <w:p w14:paraId="0A20D79E">
            <w:pPr>
              <w:spacing w:line="360" w:lineRule="exact"/>
              <w:jc w:val="center"/>
              <w:rPr>
                <w:color w:val="auto"/>
                <w:sz w:val="28"/>
                <w:highlight w:val="none"/>
              </w:rPr>
            </w:pPr>
          </w:p>
        </w:tc>
      </w:tr>
      <w:tr w14:paraId="636A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79" w:hRule="atLeast"/>
          <w:jc w:val="center"/>
        </w:trPr>
        <w:tc>
          <w:tcPr>
            <w:tcW w:w="480" w:type="dxa"/>
            <w:tcBorders>
              <w:left w:val="single" w:color="000000" w:sz="4" w:space="0"/>
              <w:right w:val="single" w:color="000000" w:sz="4" w:space="0"/>
            </w:tcBorders>
            <w:vAlign w:val="center"/>
          </w:tcPr>
          <w:p w14:paraId="6178C860">
            <w:pPr>
              <w:spacing w:line="360" w:lineRule="exact"/>
              <w:jc w:val="center"/>
              <w:rPr>
                <w:color w:val="auto"/>
                <w:highlight w:val="none"/>
              </w:rPr>
            </w:pPr>
            <w:r>
              <w:rPr>
                <w:rFonts w:hint="eastAsia"/>
                <w:color w:val="auto"/>
                <w:highlight w:val="none"/>
              </w:rPr>
              <w:t>……</w:t>
            </w:r>
          </w:p>
        </w:tc>
        <w:tc>
          <w:tcPr>
            <w:tcW w:w="1200" w:type="dxa"/>
            <w:tcBorders>
              <w:right w:val="single" w:color="000000" w:sz="4" w:space="0"/>
            </w:tcBorders>
            <w:vAlign w:val="center"/>
          </w:tcPr>
          <w:p w14:paraId="63456D0F">
            <w:pPr>
              <w:spacing w:line="360" w:lineRule="exact"/>
              <w:jc w:val="center"/>
              <w:rPr>
                <w:color w:val="auto"/>
                <w:sz w:val="28"/>
                <w:highlight w:val="none"/>
              </w:rPr>
            </w:pPr>
          </w:p>
        </w:tc>
        <w:tc>
          <w:tcPr>
            <w:tcW w:w="567" w:type="dxa"/>
            <w:tcBorders>
              <w:right w:val="single" w:color="000000" w:sz="4" w:space="0"/>
            </w:tcBorders>
            <w:vAlign w:val="center"/>
          </w:tcPr>
          <w:p w14:paraId="1FBABC45">
            <w:pPr>
              <w:spacing w:line="360" w:lineRule="exact"/>
              <w:jc w:val="center"/>
              <w:rPr>
                <w:color w:val="auto"/>
                <w:sz w:val="28"/>
                <w:highlight w:val="none"/>
              </w:rPr>
            </w:pPr>
          </w:p>
        </w:tc>
        <w:tc>
          <w:tcPr>
            <w:tcW w:w="567" w:type="dxa"/>
            <w:tcBorders>
              <w:right w:val="single" w:color="000000" w:sz="4" w:space="0"/>
            </w:tcBorders>
            <w:vAlign w:val="center"/>
          </w:tcPr>
          <w:p w14:paraId="215DFCAE">
            <w:pPr>
              <w:spacing w:line="360" w:lineRule="exact"/>
              <w:jc w:val="center"/>
              <w:rPr>
                <w:color w:val="auto"/>
                <w:sz w:val="28"/>
                <w:highlight w:val="none"/>
              </w:rPr>
            </w:pPr>
          </w:p>
        </w:tc>
        <w:tc>
          <w:tcPr>
            <w:tcW w:w="1134" w:type="dxa"/>
            <w:tcBorders>
              <w:right w:val="single" w:color="000000" w:sz="4" w:space="0"/>
            </w:tcBorders>
            <w:vAlign w:val="center"/>
          </w:tcPr>
          <w:p w14:paraId="7835B3A8">
            <w:pPr>
              <w:spacing w:line="360" w:lineRule="exact"/>
              <w:jc w:val="center"/>
              <w:rPr>
                <w:color w:val="auto"/>
                <w:sz w:val="28"/>
                <w:highlight w:val="none"/>
              </w:rPr>
            </w:pPr>
          </w:p>
        </w:tc>
        <w:tc>
          <w:tcPr>
            <w:tcW w:w="1912" w:type="dxa"/>
            <w:tcBorders>
              <w:right w:val="single" w:color="000000" w:sz="4" w:space="0"/>
            </w:tcBorders>
            <w:vAlign w:val="center"/>
          </w:tcPr>
          <w:p w14:paraId="316F3D25">
            <w:pPr>
              <w:spacing w:line="360" w:lineRule="exact"/>
              <w:jc w:val="center"/>
              <w:rPr>
                <w:color w:val="auto"/>
                <w:sz w:val="28"/>
                <w:highlight w:val="none"/>
              </w:rPr>
            </w:pPr>
          </w:p>
        </w:tc>
        <w:tc>
          <w:tcPr>
            <w:tcW w:w="1559" w:type="dxa"/>
            <w:tcBorders>
              <w:right w:val="single" w:color="000000" w:sz="4" w:space="0"/>
            </w:tcBorders>
            <w:vAlign w:val="center"/>
          </w:tcPr>
          <w:p w14:paraId="3A78FB3C">
            <w:pPr>
              <w:spacing w:line="360" w:lineRule="exact"/>
              <w:jc w:val="center"/>
              <w:rPr>
                <w:color w:val="auto"/>
                <w:sz w:val="28"/>
                <w:highlight w:val="none"/>
              </w:rPr>
            </w:pPr>
          </w:p>
        </w:tc>
        <w:tc>
          <w:tcPr>
            <w:tcW w:w="567" w:type="dxa"/>
            <w:tcBorders>
              <w:right w:val="single" w:color="000000" w:sz="8" w:space="0"/>
            </w:tcBorders>
            <w:vAlign w:val="center"/>
          </w:tcPr>
          <w:p w14:paraId="4CAE0BA5">
            <w:pPr>
              <w:spacing w:line="360" w:lineRule="exact"/>
              <w:jc w:val="center"/>
              <w:rPr>
                <w:color w:val="auto"/>
                <w:sz w:val="28"/>
                <w:highlight w:val="none"/>
              </w:rPr>
            </w:pPr>
          </w:p>
        </w:tc>
        <w:tc>
          <w:tcPr>
            <w:tcW w:w="1490" w:type="dxa"/>
            <w:tcBorders>
              <w:right w:val="single" w:color="000000" w:sz="8" w:space="0"/>
            </w:tcBorders>
          </w:tcPr>
          <w:p w14:paraId="47E133C1">
            <w:pPr>
              <w:spacing w:line="360" w:lineRule="exact"/>
              <w:jc w:val="center"/>
              <w:rPr>
                <w:color w:val="auto"/>
                <w:sz w:val="28"/>
                <w:highlight w:val="none"/>
              </w:rPr>
            </w:pPr>
          </w:p>
        </w:tc>
      </w:tr>
    </w:tbl>
    <w:p w14:paraId="20B1AD7F">
      <w:pPr>
        <w:spacing w:line="240" w:lineRule="auto"/>
        <w:rPr>
          <w:rFonts w:ascii="宋体" w:hAnsi="宋体" w:cs="宋体"/>
          <w:color w:val="auto"/>
          <w:highlight w:val="none"/>
        </w:rPr>
      </w:pPr>
      <w:r>
        <w:rPr>
          <w:rFonts w:hint="eastAsia"/>
          <w:color w:val="auto"/>
          <w:sz w:val="24"/>
          <w:highlight w:val="none"/>
        </w:rPr>
        <w:t>　</w:t>
      </w:r>
      <w:r>
        <w:rPr>
          <w:rFonts w:hint="eastAsia"/>
          <w:color w:val="auto"/>
          <w:highlight w:val="none"/>
        </w:rPr>
        <w:t>注：</w:t>
      </w:r>
      <w:r>
        <w:rPr>
          <w:rFonts w:hint="eastAsia" w:ascii="宋体" w:hAnsi="宋体" w:cs="宋体"/>
          <w:color w:val="auto"/>
          <w:highlight w:val="none"/>
        </w:rPr>
        <w:t>1、投标人应详细填写投标产品具体技术参数。包括产品的品牌、规格、型号、产地等技术参数。</w:t>
      </w:r>
    </w:p>
    <w:p w14:paraId="54479F60">
      <w:pPr>
        <w:widowControl w:val="0"/>
        <w:tabs>
          <w:tab w:val="left" w:pos="9365"/>
        </w:tabs>
        <w:snapToGrid w:val="0"/>
        <w:spacing w:after="56" w:line="360" w:lineRule="exact"/>
        <w:ind w:right="85" w:firstLine="601"/>
        <w:textAlignment w:val="top"/>
        <w:rPr>
          <w:rFonts w:ascii="宋体" w:hAnsi="宋体" w:cs="宋体"/>
          <w:color w:val="auto"/>
          <w:highlight w:val="none"/>
        </w:rPr>
      </w:pPr>
      <w:r>
        <w:rPr>
          <w:rFonts w:hint="eastAsia" w:ascii="宋体" w:hAnsi="宋体" w:cs="宋体"/>
          <w:color w:val="auto"/>
          <w:highlight w:val="none"/>
        </w:rPr>
        <w:t>2、如采购产品属于政府强制采购品目清单的，投标人须在本表对应栏中标明 “为节能产品，节能产品认证证书后附”，认证证书应当为国家确定的认证机构出具、且应处于有效期之内。不符合的、按谈判文件规定为无效投标。</w:t>
      </w:r>
    </w:p>
    <w:p w14:paraId="03C2B791">
      <w:pPr>
        <w:widowControl w:val="0"/>
        <w:tabs>
          <w:tab w:val="left" w:pos="9365"/>
        </w:tabs>
        <w:snapToGrid w:val="0"/>
        <w:spacing w:after="56" w:line="360" w:lineRule="exact"/>
        <w:ind w:right="85" w:firstLine="601"/>
        <w:textAlignment w:val="top"/>
        <w:rPr>
          <w:rFonts w:ascii="宋体" w:hAnsi="宋体" w:cs="宋体"/>
          <w:color w:val="auto"/>
          <w:highlight w:val="none"/>
        </w:rPr>
      </w:pPr>
      <w:r>
        <w:rPr>
          <w:rFonts w:hint="eastAsia" w:ascii="宋体" w:hAnsi="宋体" w:cs="宋体"/>
          <w:color w:val="auto"/>
          <w:highlight w:val="none"/>
        </w:rPr>
        <w:t>3、如采购产品不属于政府强制采购品目清单的，投标人自主填列。</w:t>
      </w:r>
    </w:p>
    <w:p w14:paraId="13962CA2">
      <w:pPr>
        <w:autoSpaceDE w:val="0"/>
        <w:autoSpaceDN w:val="0"/>
        <w:adjustRightInd w:val="0"/>
        <w:spacing w:line="360" w:lineRule="auto"/>
        <w:jc w:val="center"/>
        <w:rPr>
          <w:color w:val="auto"/>
          <w:sz w:val="28"/>
          <w:highlight w:val="none"/>
        </w:rPr>
      </w:pPr>
    </w:p>
    <w:p w14:paraId="166922F0">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1D4DB63F">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1A1AA094">
      <w:pPr>
        <w:widowControl w:val="0"/>
        <w:tabs>
          <w:tab w:val="left" w:pos="9365"/>
        </w:tabs>
        <w:snapToGrid w:val="0"/>
        <w:spacing w:after="56" w:line="560" w:lineRule="exact"/>
        <w:ind w:right="56"/>
        <w:jc w:val="left"/>
        <w:textAlignment w:val="top"/>
        <w:rPr>
          <w:color w:val="auto"/>
          <w:highlight w:val="none"/>
        </w:rPr>
      </w:pPr>
      <w:r>
        <w:rPr>
          <w:rFonts w:hint="eastAsia" w:ascii="宋体" w:hAnsi="宋体" w:cs="楷体_GB2312"/>
          <w:color w:val="auto"/>
          <w:sz w:val="24"/>
          <w:highlight w:val="none"/>
          <w:lang w:val="zh-CN"/>
        </w:rPr>
        <w:t>日期：年月日</w:t>
      </w:r>
    </w:p>
    <w:p w14:paraId="7C630F18">
      <w:pPr>
        <w:widowControl w:val="0"/>
        <w:snapToGrid w:val="0"/>
        <w:spacing w:line="560" w:lineRule="exact"/>
        <w:jc w:val="center"/>
        <w:rPr>
          <w:rFonts w:eastAsia="方正黑体简体"/>
          <w:b/>
          <w:color w:val="auto"/>
          <w:sz w:val="30"/>
          <w:szCs w:val="30"/>
          <w:highlight w:val="none"/>
        </w:rPr>
      </w:pPr>
      <w:r>
        <w:rPr>
          <w:rFonts w:eastAsia="方正黑体简体"/>
          <w:b/>
          <w:color w:val="auto"/>
          <w:sz w:val="30"/>
          <w:szCs w:val="30"/>
          <w:highlight w:val="none"/>
        </w:rPr>
        <w:br w:type="page"/>
      </w:r>
      <w:bookmarkStart w:id="64" w:name="OLE_LINK22"/>
    </w:p>
    <w:p w14:paraId="76928774">
      <w:pPr>
        <w:widowControl w:val="0"/>
        <w:snapToGrid w:val="0"/>
        <w:spacing w:line="560" w:lineRule="exact"/>
        <w:jc w:val="center"/>
        <w:rPr>
          <w:rFonts w:ascii="黑体" w:hAnsi="黑体" w:eastAsia="黑体"/>
          <w:color w:val="auto"/>
          <w:sz w:val="30"/>
          <w:szCs w:val="30"/>
          <w:highlight w:val="none"/>
        </w:rPr>
      </w:pPr>
      <w:r>
        <w:rPr>
          <w:rFonts w:hint="eastAsia" w:ascii="黑体" w:hAnsi="黑体" w:eastAsia="黑体"/>
          <w:b/>
          <w:color w:val="auto"/>
          <w:sz w:val="30"/>
          <w:szCs w:val="30"/>
          <w:highlight w:val="none"/>
        </w:rPr>
        <w:t>五、技术偏差表</w:t>
      </w:r>
      <w:bookmarkEnd w:id="64"/>
    </w:p>
    <w:p w14:paraId="124854CA">
      <w:pPr>
        <w:pStyle w:val="15"/>
        <w:adjustRightInd w:val="0"/>
        <w:snapToGrid w:val="0"/>
        <w:spacing w:before="0" w:beforeAutospacing="0" w:after="0" w:afterAutospacing="0"/>
        <w:rPr>
          <w:color w:val="auto"/>
          <w:highlight w:val="none"/>
          <w:u w:val="single"/>
        </w:rPr>
      </w:pPr>
      <w:r>
        <w:rPr>
          <w:rFonts w:hint="eastAsia"/>
          <w:color w:val="auto"/>
          <w:highlight w:val="none"/>
        </w:rPr>
        <w:t>项目名称：</w:t>
      </w:r>
    </w:p>
    <w:p w14:paraId="183E2139">
      <w:pPr>
        <w:pStyle w:val="15"/>
        <w:adjustRightInd w:val="0"/>
        <w:snapToGrid w:val="0"/>
        <w:spacing w:before="0" w:beforeAutospacing="0" w:after="0" w:afterAutospacing="0"/>
        <w:rPr>
          <w:color w:val="auto"/>
          <w:highlight w:val="none"/>
        </w:rPr>
      </w:pPr>
      <w:r>
        <w:rPr>
          <w:rFonts w:hint="eastAsia"/>
          <w:color w:val="auto"/>
          <w:highlight w:val="none"/>
        </w:rPr>
        <w:t xml:space="preserve">项目编号：    </w:t>
      </w:r>
    </w:p>
    <w:tbl>
      <w:tblPr>
        <w:tblStyle w:val="16"/>
        <w:tblW w:w="9468" w:type="dxa"/>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48"/>
        <w:gridCol w:w="1644"/>
        <w:gridCol w:w="2180"/>
        <w:gridCol w:w="2077"/>
        <w:gridCol w:w="1859"/>
        <w:gridCol w:w="1260"/>
      </w:tblGrid>
      <w:tr w14:paraId="2791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448" w:type="dxa"/>
            <w:tcBorders>
              <w:top w:val="single" w:color="000000" w:sz="8" w:space="0"/>
              <w:left w:val="single" w:color="000000" w:sz="8" w:space="0"/>
              <w:bottom w:val="single" w:color="000000" w:sz="4" w:space="0"/>
              <w:right w:val="single" w:color="000000" w:sz="4" w:space="0"/>
            </w:tcBorders>
            <w:vAlign w:val="center"/>
          </w:tcPr>
          <w:p w14:paraId="3520C0E4">
            <w:pPr>
              <w:spacing w:line="560" w:lineRule="exact"/>
              <w:jc w:val="center"/>
              <w:rPr>
                <w:b/>
                <w:color w:val="auto"/>
                <w:sz w:val="28"/>
                <w:highlight w:val="none"/>
              </w:rPr>
            </w:pPr>
            <w:r>
              <w:rPr>
                <w:rFonts w:hint="eastAsia"/>
                <w:b/>
                <w:color w:val="auto"/>
                <w:highlight w:val="none"/>
              </w:rPr>
              <w:t>序号</w:t>
            </w:r>
          </w:p>
        </w:tc>
        <w:tc>
          <w:tcPr>
            <w:tcW w:w="1644" w:type="dxa"/>
            <w:tcBorders>
              <w:top w:val="single" w:color="000000" w:sz="8" w:space="0"/>
              <w:bottom w:val="single" w:color="000000" w:sz="4" w:space="0"/>
              <w:right w:val="single" w:color="000000" w:sz="4" w:space="0"/>
            </w:tcBorders>
            <w:vAlign w:val="center"/>
          </w:tcPr>
          <w:p w14:paraId="2FC497A5">
            <w:pPr>
              <w:spacing w:line="560" w:lineRule="exact"/>
              <w:jc w:val="center"/>
              <w:rPr>
                <w:b/>
                <w:color w:val="auto"/>
                <w:sz w:val="28"/>
                <w:highlight w:val="none"/>
              </w:rPr>
            </w:pPr>
            <w:r>
              <w:rPr>
                <w:rFonts w:hint="eastAsia"/>
                <w:b/>
                <w:color w:val="auto"/>
                <w:highlight w:val="none"/>
              </w:rPr>
              <w:t>产品名称</w:t>
            </w:r>
          </w:p>
        </w:tc>
        <w:tc>
          <w:tcPr>
            <w:tcW w:w="2180" w:type="dxa"/>
            <w:tcBorders>
              <w:top w:val="single" w:color="000000" w:sz="8" w:space="0"/>
              <w:bottom w:val="single" w:color="000000" w:sz="4" w:space="0"/>
              <w:right w:val="single" w:color="000000" w:sz="4" w:space="0"/>
            </w:tcBorders>
            <w:vAlign w:val="center"/>
          </w:tcPr>
          <w:p w14:paraId="0AEA5DBA">
            <w:pPr>
              <w:spacing w:line="560" w:lineRule="exact"/>
              <w:jc w:val="center"/>
              <w:rPr>
                <w:b/>
                <w:color w:val="auto"/>
                <w:sz w:val="28"/>
                <w:highlight w:val="none"/>
              </w:rPr>
            </w:pPr>
            <w:r>
              <w:rPr>
                <w:rFonts w:hint="eastAsia"/>
                <w:b/>
                <w:color w:val="auto"/>
                <w:highlight w:val="none"/>
              </w:rPr>
              <w:t>《谈判文件》要求</w:t>
            </w:r>
          </w:p>
        </w:tc>
        <w:tc>
          <w:tcPr>
            <w:tcW w:w="2077" w:type="dxa"/>
            <w:tcBorders>
              <w:top w:val="single" w:color="000000" w:sz="8" w:space="0"/>
              <w:bottom w:val="single" w:color="000000" w:sz="4" w:space="0"/>
              <w:right w:val="single" w:color="000000" w:sz="4" w:space="0"/>
            </w:tcBorders>
            <w:vAlign w:val="center"/>
          </w:tcPr>
          <w:p w14:paraId="1F5C1A79">
            <w:pPr>
              <w:spacing w:line="560" w:lineRule="exact"/>
              <w:jc w:val="center"/>
              <w:rPr>
                <w:b/>
                <w:color w:val="auto"/>
                <w:sz w:val="28"/>
                <w:highlight w:val="none"/>
              </w:rPr>
            </w:pPr>
            <w:r>
              <w:rPr>
                <w:rFonts w:hint="eastAsia"/>
                <w:b/>
                <w:color w:val="auto"/>
                <w:highlight w:val="none"/>
              </w:rPr>
              <w:t>投标产品参数</w:t>
            </w:r>
          </w:p>
        </w:tc>
        <w:tc>
          <w:tcPr>
            <w:tcW w:w="1859" w:type="dxa"/>
            <w:tcBorders>
              <w:top w:val="single" w:color="000000" w:sz="8" w:space="0"/>
              <w:bottom w:val="single" w:color="000000" w:sz="4" w:space="0"/>
              <w:right w:val="single" w:color="000000" w:sz="8" w:space="0"/>
            </w:tcBorders>
            <w:vAlign w:val="center"/>
          </w:tcPr>
          <w:p w14:paraId="66DA7577">
            <w:pPr>
              <w:spacing w:line="560" w:lineRule="exact"/>
              <w:jc w:val="center"/>
              <w:rPr>
                <w:b/>
                <w:color w:val="auto"/>
                <w:sz w:val="28"/>
                <w:highlight w:val="none"/>
              </w:rPr>
            </w:pPr>
            <w:r>
              <w:rPr>
                <w:rFonts w:hint="eastAsia"/>
                <w:b/>
                <w:color w:val="auto"/>
                <w:highlight w:val="none"/>
              </w:rPr>
              <w:t>偏差描述</w:t>
            </w:r>
          </w:p>
        </w:tc>
        <w:tc>
          <w:tcPr>
            <w:tcW w:w="1260" w:type="dxa"/>
            <w:tcBorders>
              <w:top w:val="single" w:color="000000" w:sz="8" w:space="0"/>
              <w:bottom w:val="single" w:color="000000" w:sz="4" w:space="0"/>
              <w:right w:val="single" w:color="000000" w:sz="8" w:space="0"/>
            </w:tcBorders>
          </w:tcPr>
          <w:p w14:paraId="72902C87">
            <w:pPr>
              <w:spacing w:line="240" w:lineRule="auto"/>
              <w:jc w:val="center"/>
              <w:rPr>
                <w:b/>
                <w:color w:val="auto"/>
                <w:highlight w:val="none"/>
              </w:rPr>
            </w:pPr>
            <w:r>
              <w:rPr>
                <w:rFonts w:hint="eastAsia"/>
                <w:b/>
                <w:color w:val="auto"/>
                <w:highlight w:val="none"/>
              </w:rPr>
              <w:t>所对应的产品证明材料的页码</w:t>
            </w:r>
          </w:p>
        </w:tc>
      </w:tr>
      <w:tr w14:paraId="49F2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48" w:type="dxa"/>
            <w:tcBorders>
              <w:left w:val="single" w:color="000000" w:sz="8" w:space="0"/>
              <w:bottom w:val="single" w:color="000000" w:sz="4" w:space="0"/>
              <w:right w:val="single" w:color="000000" w:sz="4" w:space="0"/>
            </w:tcBorders>
            <w:vAlign w:val="center"/>
          </w:tcPr>
          <w:p w14:paraId="413B2487">
            <w:pPr>
              <w:spacing w:line="560" w:lineRule="exact"/>
              <w:jc w:val="center"/>
              <w:rPr>
                <w:color w:val="auto"/>
                <w:sz w:val="28"/>
                <w:highlight w:val="none"/>
              </w:rPr>
            </w:pPr>
            <w:r>
              <w:rPr>
                <w:color w:val="auto"/>
                <w:highlight w:val="none"/>
              </w:rPr>
              <w:t>1</w:t>
            </w:r>
          </w:p>
        </w:tc>
        <w:tc>
          <w:tcPr>
            <w:tcW w:w="1644" w:type="dxa"/>
            <w:tcBorders>
              <w:bottom w:val="single" w:color="000000" w:sz="4" w:space="0"/>
              <w:right w:val="single" w:color="000000" w:sz="4" w:space="0"/>
            </w:tcBorders>
            <w:vAlign w:val="center"/>
          </w:tcPr>
          <w:p w14:paraId="031E3D74">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1DEF4E22">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3E1E5E59">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4DAD5A76">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35F34AB2">
            <w:pPr>
              <w:spacing w:line="560" w:lineRule="exact"/>
              <w:jc w:val="center"/>
              <w:rPr>
                <w:color w:val="auto"/>
                <w:sz w:val="28"/>
                <w:highlight w:val="none"/>
              </w:rPr>
            </w:pPr>
          </w:p>
        </w:tc>
      </w:tr>
      <w:tr w14:paraId="2316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48" w:type="dxa"/>
            <w:tcBorders>
              <w:left w:val="single" w:color="000000" w:sz="8" w:space="0"/>
              <w:bottom w:val="single" w:color="000000" w:sz="4" w:space="0"/>
              <w:right w:val="single" w:color="000000" w:sz="4" w:space="0"/>
            </w:tcBorders>
            <w:vAlign w:val="center"/>
          </w:tcPr>
          <w:p w14:paraId="50EABC57">
            <w:pPr>
              <w:spacing w:line="560" w:lineRule="exact"/>
              <w:jc w:val="center"/>
              <w:rPr>
                <w:color w:val="auto"/>
                <w:sz w:val="28"/>
                <w:highlight w:val="none"/>
              </w:rPr>
            </w:pPr>
            <w:r>
              <w:rPr>
                <w:color w:val="auto"/>
                <w:highlight w:val="none"/>
              </w:rPr>
              <w:t>2</w:t>
            </w:r>
          </w:p>
        </w:tc>
        <w:tc>
          <w:tcPr>
            <w:tcW w:w="1644" w:type="dxa"/>
            <w:tcBorders>
              <w:bottom w:val="single" w:color="000000" w:sz="4" w:space="0"/>
              <w:right w:val="single" w:color="000000" w:sz="4" w:space="0"/>
            </w:tcBorders>
            <w:vAlign w:val="center"/>
          </w:tcPr>
          <w:p w14:paraId="6E5906EC">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0F3C138E">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2DDAD479">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081ACD5D">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4336BD9C">
            <w:pPr>
              <w:spacing w:line="560" w:lineRule="exact"/>
              <w:jc w:val="center"/>
              <w:rPr>
                <w:color w:val="auto"/>
                <w:sz w:val="28"/>
                <w:highlight w:val="none"/>
              </w:rPr>
            </w:pPr>
          </w:p>
        </w:tc>
      </w:tr>
      <w:tr w14:paraId="196A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48" w:type="dxa"/>
            <w:tcBorders>
              <w:left w:val="single" w:color="000000" w:sz="8" w:space="0"/>
              <w:bottom w:val="single" w:color="000000" w:sz="4" w:space="0"/>
              <w:right w:val="single" w:color="000000" w:sz="4" w:space="0"/>
            </w:tcBorders>
            <w:vAlign w:val="center"/>
          </w:tcPr>
          <w:p w14:paraId="19E229DD">
            <w:pPr>
              <w:spacing w:line="560" w:lineRule="exact"/>
              <w:jc w:val="center"/>
              <w:rPr>
                <w:color w:val="auto"/>
                <w:sz w:val="28"/>
                <w:highlight w:val="none"/>
              </w:rPr>
            </w:pPr>
            <w:r>
              <w:rPr>
                <w:color w:val="auto"/>
                <w:highlight w:val="none"/>
              </w:rPr>
              <w:t>3</w:t>
            </w:r>
          </w:p>
        </w:tc>
        <w:tc>
          <w:tcPr>
            <w:tcW w:w="1644" w:type="dxa"/>
            <w:tcBorders>
              <w:bottom w:val="single" w:color="000000" w:sz="4" w:space="0"/>
              <w:right w:val="single" w:color="000000" w:sz="4" w:space="0"/>
            </w:tcBorders>
            <w:vAlign w:val="center"/>
          </w:tcPr>
          <w:p w14:paraId="5AE5E939">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013B8E9D">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60AFF873">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7D5EB5BB">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2D2E3BA4">
            <w:pPr>
              <w:spacing w:line="560" w:lineRule="exact"/>
              <w:jc w:val="center"/>
              <w:rPr>
                <w:color w:val="auto"/>
                <w:sz w:val="28"/>
                <w:highlight w:val="none"/>
              </w:rPr>
            </w:pPr>
          </w:p>
        </w:tc>
      </w:tr>
      <w:tr w14:paraId="7CCB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48" w:type="dxa"/>
            <w:tcBorders>
              <w:left w:val="single" w:color="000000" w:sz="8" w:space="0"/>
              <w:bottom w:val="single" w:color="000000" w:sz="4" w:space="0"/>
              <w:right w:val="single" w:color="000000" w:sz="4" w:space="0"/>
            </w:tcBorders>
            <w:vAlign w:val="center"/>
          </w:tcPr>
          <w:p w14:paraId="7B538A2C">
            <w:pPr>
              <w:spacing w:line="560" w:lineRule="exact"/>
              <w:jc w:val="center"/>
              <w:rPr>
                <w:color w:val="auto"/>
                <w:sz w:val="28"/>
                <w:highlight w:val="none"/>
              </w:rPr>
            </w:pPr>
            <w:r>
              <w:rPr>
                <w:color w:val="auto"/>
                <w:highlight w:val="none"/>
              </w:rPr>
              <w:t>4</w:t>
            </w:r>
          </w:p>
        </w:tc>
        <w:tc>
          <w:tcPr>
            <w:tcW w:w="1644" w:type="dxa"/>
            <w:tcBorders>
              <w:bottom w:val="single" w:color="000000" w:sz="4" w:space="0"/>
              <w:right w:val="single" w:color="000000" w:sz="4" w:space="0"/>
            </w:tcBorders>
            <w:vAlign w:val="center"/>
          </w:tcPr>
          <w:p w14:paraId="749D0DF5">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1A455620">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016DAEA6">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5B6C382A">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5AA4CD3F">
            <w:pPr>
              <w:spacing w:line="560" w:lineRule="exact"/>
              <w:jc w:val="center"/>
              <w:rPr>
                <w:color w:val="auto"/>
                <w:sz w:val="28"/>
                <w:highlight w:val="none"/>
              </w:rPr>
            </w:pPr>
          </w:p>
        </w:tc>
      </w:tr>
      <w:tr w14:paraId="5B03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448" w:type="dxa"/>
            <w:tcBorders>
              <w:left w:val="single" w:color="000000" w:sz="8" w:space="0"/>
              <w:bottom w:val="single" w:color="000000" w:sz="4" w:space="0"/>
              <w:right w:val="single" w:color="000000" w:sz="4" w:space="0"/>
            </w:tcBorders>
            <w:vAlign w:val="center"/>
          </w:tcPr>
          <w:p w14:paraId="63A5EE8E">
            <w:pPr>
              <w:spacing w:line="560" w:lineRule="exact"/>
              <w:jc w:val="center"/>
              <w:rPr>
                <w:color w:val="auto"/>
                <w:sz w:val="28"/>
                <w:highlight w:val="none"/>
              </w:rPr>
            </w:pPr>
            <w:r>
              <w:rPr>
                <w:color w:val="auto"/>
                <w:highlight w:val="none"/>
              </w:rPr>
              <w:t>5</w:t>
            </w:r>
          </w:p>
        </w:tc>
        <w:tc>
          <w:tcPr>
            <w:tcW w:w="1644" w:type="dxa"/>
            <w:tcBorders>
              <w:bottom w:val="single" w:color="000000" w:sz="4" w:space="0"/>
              <w:right w:val="single" w:color="000000" w:sz="4" w:space="0"/>
            </w:tcBorders>
            <w:vAlign w:val="center"/>
          </w:tcPr>
          <w:p w14:paraId="4FD6A31C">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507F2F3C">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38D3D9C7">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61C7874F">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3521C052">
            <w:pPr>
              <w:spacing w:line="560" w:lineRule="exact"/>
              <w:jc w:val="center"/>
              <w:rPr>
                <w:color w:val="auto"/>
                <w:sz w:val="28"/>
                <w:highlight w:val="none"/>
              </w:rPr>
            </w:pPr>
          </w:p>
        </w:tc>
      </w:tr>
      <w:tr w14:paraId="1587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448" w:type="dxa"/>
            <w:tcBorders>
              <w:left w:val="single" w:color="000000" w:sz="8" w:space="0"/>
              <w:bottom w:val="single" w:color="000000" w:sz="4" w:space="0"/>
              <w:right w:val="single" w:color="000000" w:sz="4" w:space="0"/>
            </w:tcBorders>
            <w:vAlign w:val="center"/>
          </w:tcPr>
          <w:p w14:paraId="1C818027">
            <w:pPr>
              <w:spacing w:line="560" w:lineRule="exact"/>
              <w:jc w:val="center"/>
              <w:rPr>
                <w:color w:val="auto"/>
                <w:sz w:val="28"/>
                <w:highlight w:val="none"/>
              </w:rPr>
            </w:pPr>
            <w:r>
              <w:rPr>
                <w:color w:val="auto"/>
                <w:highlight w:val="none"/>
              </w:rPr>
              <w:t>6</w:t>
            </w:r>
          </w:p>
        </w:tc>
        <w:tc>
          <w:tcPr>
            <w:tcW w:w="1644" w:type="dxa"/>
            <w:tcBorders>
              <w:bottom w:val="single" w:color="000000" w:sz="4" w:space="0"/>
              <w:right w:val="single" w:color="000000" w:sz="4" w:space="0"/>
            </w:tcBorders>
            <w:vAlign w:val="center"/>
          </w:tcPr>
          <w:p w14:paraId="1F3994F9">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3596EC5E">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684836FA">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6715E5A6">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17CAF4B1">
            <w:pPr>
              <w:spacing w:line="560" w:lineRule="exact"/>
              <w:jc w:val="center"/>
              <w:rPr>
                <w:color w:val="auto"/>
                <w:sz w:val="28"/>
                <w:highlight w:val="none"/>
              </w:rPr>
            </w:pPr>
          </w:p>
        </w:tc>
      </w:tr>
      <w:tr w14:paraId="6F1B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448" w:type="dxa"/>
            <w:tcBorders>
              <w:left w:val="single" w:color="000000" w:sz="8" w:space="0"/>
              <w:bottom w:val="single" w:color="000000" w:sz="4" w:space="0"/>
              <w:right w:val="single" w:color="000000" w:sz="4" w:space="0"/>
            </w:tcBorders>
            <w:vAlign w:val="center"/>
          </w:tcPr>
          <w:p w14:paraId="18B2B126">
            <w:pPr>
              <w:spacing w:line="560" w:lineRule="exact"/>
              <w:jc w:val="center"/>
              <w:rPr>
                <w:color w:val="auto"/>
                <w:sz w:val="28"/>
                <w:highlight w:val="none"/>
              </w:rPr>
            </w:pPr>
            <w:r>
              <w:rPr>
                <w:color w:val="auto"/>
                <w:highlight w:val="none"/>
              </w:rPr>
              <w:t>7</w:t>
            </w:r>
          </w:p>
        </w:tc>
        <w:tc>
          <w:tcPr>
            <w:tcW w:w="1644" w:type="dxa"/>
            <w:tcBorders>
              <w:bottom w:val="single" w:color="000000" w:sz="4" w:space="0"/>
              <w:right w:val="single" w:color="000000" w:sz="4" w:space="0"/>
            </w:tcBorders>
            <w:vAlign w:val="center"/>
          </w:tcPr>
          <w:p w14:paraId="4BC9A645">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2AA18ABE">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7D8B32C2">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666D1532">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392BC721">
            <w:pPr>
              <w:spacing w:line="560" w:lineRule="exact"/>
              <w:jc w:val="center"/>
              <w:rPr>
                <w:color w:val="auto"/>
                <w:sz w:val="28"/>
                <w:highlight w:val="none"/>
              </w:rPr>
            </w:pPr>
          </w:p>
        </w:tc>
      </w:tr>
      <w:tr w14:paraId="7923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448" w:type="dxa"/>
            <w:tcBorders>
              <w:left w:val="single" w:color="000000" w:sz="8" w:space="0"/>
              <w:bottom w:val="single" w:color="000000" w:sz="4" w:space="0"/>
              <w:right w:val="single" w:color="000000" w:sz="4" w:space="0"/>
            </w:tcBorders>
            <w:vAlign w:val="center"/>
          </w:tcPr>
          <w:p w14:paraId="287363E7">
            <w:pPr>
              <w:spacing w:line="560" w:lineRule="exact"/>
              <w:jc w:val="center"/>
              <w:rPr>
                <w:color w:val="auto"/>
                <w:sz w:val="28"/>
                <w:highlight w:val="none"/>
              </w:rPr>
            </w:pPr>
            <w:r>
              <w:rPr>
                <w:color w:val="auto"/>
                <w:highlight w:val="none"/>
              </w:rPr>
              <w:t>8</w:t>
            </w:r>
          </w:p>
        </w:tc>
        <w:tc>
          <w:tcPr>
            <w:tcW w:w="1644" w:type="dxa"/>
            <w:tcBorders>
              <w:bottom w:val="single" w:color="000000" w:sz="4" w:space="0"/>
              <w:right w:val="single" w:color="000000" w:sz="4" w:space="0"/>
            </w:tcBorders>
            <w:vAlign w:val="center"/>
          </w:tcPr>
          <w:p w14:paraId="6E7623C8">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5E1DD40F">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58636EAC">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486334A6">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5BE2A640">
            <w:pPr>
              <w:spacing w:line="560" w:lineRule="exact"/>
              <w:jc w:val="center"/>
              <w:rPr>
                <w:color w:val="auto"/>
                <w:sz w:val="28"/>
                <w:highlight w:val="none"/>
              </w:rPr>
            </w:pPr>
          </w:p>
        </w:tc>
      </w:tr>
      <w:tr w14:paraId="1C61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448" w:type="dxa"/>
            <w:tcBorders>
              <w:left w:val="single" w:color="000000" w:sz="8" w:space="0"/>
              <w:bottom w:val="single" w:color="000000" w:sz="4" w:space="0"/>
              <w:right w:val="single" w:color="000000" w:sz="4" w:space="0"/>
            </w:tcBorders>
            <w:vAlign w:val="center"/>
          </w:tcPr>
          <w:p w14:paraId="3CD4C06E">
            <w:pPr>
              <w:spacing w:line="560" w:lineRule="exact"/>
              <w:jc w:val="center"/>
              <w:rPr>
                <w:color w:val="auto"/>
                <w:sz w:val="28"/>
                <w:highlight w:val="none"/>
              </w:rPr>
            </w:pPr>
            <w:r>
              <w:rPr>
                <w:color w:val="auto"/>
                <w:highlight w:val="none"/>
              </w:rPr>
              <w:t>9</w:t>
            </w:r>
          </w:p>
        </w:tc>
        <w:tc>
          <w:tcPr>
            <w:tcW w:w="1644" w:type="dxa"/>
            <w:tcBorders>
              <w:bottom w:val="single" w:color="000000" w:sz="4" w:space="0"/>
              <w:right w:val="single" w:color="000000" w:sz="4" w:space="0"/>
            </w:tcBorders>
            <w:vAlign w:val="center"/>
          </w:tcPr>
          <w:p w14:paraId="5A157A75">
            <w:pPr>
              <w:spacing w:line="560" w:lineRule="exact"/>
              <w:jc w:val="center"/>
              <w:rPr>
                <w:color w:val="auto"/>
                <w:sz w:val="28"/>
                <w:highlight w:val="none"/>
              </w:rPr>
            </w:pPr>
          </w:p>
        </w:tc>
        <w:tc>
          <w:tcPr>
            <w:tcW w:w="2180" w:type="dxa"/>
            <w:tcBorders>
              <w:bottom w:val="single" w:color="000000" w:sz="4" w:space="0"/>
              <w:right w:val="single" w:color="000000" w:sz="4" w:space="0"/>
            </w:tcBorders>
            <w:vAlign w:val="center"/>
          </w:tcPr>
          <w:p w14:paraId="37C220FA">
            <w:pPr>
              <w:spacing w:line="560" w:lineRule="exact"/>
              <w:jc w:val="center"/>
              <w:rPr>
                <w:color w:val="auto"/>
                <w:sz w:val="28"/>
                <w:highlight w:val="none"/>
              </w:rPr>
            </w:pPr>
          </w:p>
        </w:tc>
        <w:tc>
          <w:tcPr>
            <w:tcW w:w="2077" w:type="dxa"/>
            <w:tcBorders>
              <w:bottom w:val="single" w:color="000000" w:sz="4" w:space="0"/>
              <w:right w:val="single" w:color="000000" w:sz="4" w:space="0"/>
            </w:tcBorders>
            <w:vAlign w:val="center"/>
          </w:tcPr>
          <w:p w14:paraId="69B22D95">
            <w:pPr>
              <w:spacing w:line="560" w:lineRule="exact"/>
              <w:jc w:val="center"/>
              <w:rPr>
                <w:color w:val="auto"/>
                <w:sz w:val="28"/>
                <w:highlight w:val="none"/>
              </w:rPr>
            </w:pPr>
          </w:p>
        </w:tc>
        <w:tc>
          <w:tcPr>
            <w:tcW w:w="1859" w:type="dxa"/>
            <w:tcBorders>
              <w:bottom w:val="single" w:color="000000" w:sz="4" w:space="0"/>
              <w:right w:val="single" w:color="000000" w:sz="8" w:space="0"/>
            </w:tcBorders>
            <w:vAlign w:val="center"/>
          </w:tcPr>
          <w:p w14:paraId="7B299FB7">
            <w:pPr>
              <w:spacing w:line="560" w:lineRule="exact"/>
              <w:jc w:val="center"/>
              <w:rPr>
                <w:color w:val="auto"/>
                <w:sz w:val="28"/>
                <w:highlight w:val="none"/>
              </w:rPr>
            </w:pPr>
          </w:p>
        </w:tc>
        <w:tc>
          <w:tcPr>
            <w:tcW w:w="1260" w:type="dxa"/>
            <w:tcBorders>
              <w:bottom w:val="single" w:color="000000" w:sz="4" w:space="0"/>
              <w:right w:val="single" w:color="000000" w:sz="8" w:space="0"/>
            </w:tcBorders>
          </w:tcPr>
          <w:p w14:paraId="787BE5AD">
            <w:pPr>
              <w:spacing w:line="560" w:lineRule="exact"/>
              <w:jc w:val="center"/>
              <w:rPr>
                <w:color w:val="auto"/>
                <w:sz w:val="28"/>
                <w:highlight w:val="none"/>
              </w:rPr>
            </w:pPr>
          </w:p>
        </w:tc>
      </w:tr>
      <w:tr w14:paraId="7D62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448" w:type="dxa"/>
            <w:tcBorders>
              <w:left w:val="single" w:color="000000" w:sz="8" w:space="0"/>
              <w:bottom w:val="single" w:color="000000" w:sz="8" w:space="0"/>
              <w:right w:val="single" w:color="000000" w:sz="4" w:space="0"/>
            </w:tcBorders>
            <w:vAlign w:val="center"/>
          </w:tcPr>
          <w:p w14:paraId="2F1E5C40">
            <w:pPr>
              <w:spacing w:line="560" w:lineRule="exact"/>
              <w:jc w:val="center"/>
              <w:rPr>
                <w:color w:val="auto"/>
                <w:sz w:val="28"/>
                <w:highlight w:val="none"/>
              </w:rPr>
            </w:pPr>
            <w:r>
              <w:rPr>
                <w:color w:val="auto"/>
                <w:highlight w:val="none"/>
              </w:rPr>
              <w:t>......</w:t>
            </w:r>
          </w:p>
        </w:tc>
        <w:tc>
          <w:tcPr>
            <w:tcW w:w="1644" w:type="dxa"/>
            <w:tcBorders>
              <w:bottom w:val="single" w:color="000000" w:sz="8" w:space="0"/>
              <w:right w:val="single" w:color="000000" w:sz="4" w:space="0"/>
            </w:tcBorders>
            <w:vAlign w:val="center"/>
          </w:tcPr>
          <w:p w14:paraId="50190D94">
            <w:pPr>
              <w:spacing w:line="560" w:lineRule="exact"/>
              <w:jc w:val="center"/>
              <w:rPr>
                <w:color w:val="auto"/>
                <w:sz w:val="28"/>
                <w:highlight w:val="none"/>
              </w:rPr>
            </w:pPr>
          </w:p>
        </w:tc>
        <w:tc>
          <w:tcPr>
            <w:tcW w:w="2180" w:type="dxa"/>
            <w:tcBorders>
              <w:bottom w:val="single" w:color="000000" w:sz="8" w:space="0"/>
              <w:right w:val="single" w:color="000000" w:sz="4" w:space="0"/>
            </w:tcBorders>
            <w:vAlign w:val="center"/>
          </w:tcPr>
          <w:p w14:paraId="193ABECF">
            <w:pPr>
              <w:spacing w:line="560" w:lineRule="exact"/>
              <w:jc w:val="center"/>
              <w:rPr>
                <w:color w:val="auto"/>
                <w:sz w:val="28"/>
                <w:highlight w:val="none"/>
              </w:rPr>
            </w:pPr>
          </w:p>
        </w:tc>
        <w:tc>
          <w:tcPr>
            <w:tcW w:w="2077" w:type="dxa"/>
            <w:tcBorders>
              <w:bottom w:val="single" w:color="000000" w:sz="8" w:space="0"/>
              <w:right w:val="single" w:color="000000" w:sz="4" w:space="0"/>
            </w:tcBorders>
            <w:vAlign w:val="center"/>
          </w:tcPr>
          <w:p w14:paraId="3E461821">
            <w:pPr>
              <w:spacing w:line="560" w:lineRule="exact"/>
              <w:jc w:val="center"/>
              <w:rPr>
                <w:color w:val="auto"/>
                <w:sz w:val="28"/>
                <w:highlight w:val="none"/>
              </w:rPr>
            </w:pPr>
          </w:p>
        </w:tc>
        <w:tc>
          <w:tcPr>
            <w:tcW w:w="1859" w:type="dxa"/>
            <w:tcBorders>
              <w:bottom w:val="single" w:color="000000" w:sz="8" w:space="0"/>
              <w:right w:val="single" w:color="000000" w:sz="8" w:space="0"/>
            </w:tcBorders>
            <w:vAlign w:val="center"/>
          </w:tcPr>
          <w:p w14:paraId="30F1677B">
            <w:pPr>
              <w:spacing w:line="560" w:lineRule="exact"/>
              <w:jc w:val="center"/>
              <w:rPr>
                <w:color w:val="auto"/>
                <w:sz w:val="28"/>
                <w:highlight w:val="none"/>
              </w:rPr>
            </w:pPr>
          </w:p>
        </w:tc>
        <w:tc>
          <w:tcPr>
            <w:tcW w:w="1260" w:type="dxa"/>
            <w:tcBorders>
              <w:bottom w:val="single" w:color="000000" w:sz="8" w:space="0"/>
              <w:right w:val="single" w:color="000000" w:sz="8" w:space="0"/>
            </w:tcBorders>
          </w:tcPr>
          <w:p w14:paraId="23FD716D">
            <w:pPr>
              <w:spacing w:line="560" w:lineRule="exact"/>
              <w:jc w:val="center"/>
              <w:rPr>
                <w:color w:val="auto"/>
                <w:sz w:val="28"/>
                <w:highlight w:val="none"/>
              </w:rPr>
            </w:pPr>
          </w:p>
        </w:tc>
      </w:tr>
    </w:tbl>
    <w:p w14:paraId="39039AE2">
      <w:pPr>
        <w:widowControl w:val="0"/>
        <w:tabs>
          <w:tab w:val="left" w:pos="9365"/>
        </w:tabs>
        <w:snapToGrid w:val="0"/>
        <w:spacing w:line="360" w:lineRule="auto"/>
        <w:ind w:firstLine="624"/>
        <w:textAlignment w:val="top"/>
        <w:rPr>
          <w:rFonts w:ascii="宋体" w:cs="宋体"/>
          <w:color w:val="auto"/>
          <w:highlight w:val="none"/>
        </w:rPr>
      </w:pPr>
      <w:r>
        <w:rPr>
          <w:rFonts w:hint="eastAsia"/>
          <w:color w:val="auto"/>
          <w:highlight w:val="none"/>
        </w:rPr>
        <w:t>注：</w:t>
      </w:r>
      <w:r>
        <w:rPr>
          <w:rFonts w:ascii="宋体" w:hAnsi="宋体" w:cs="宋体"/>
          <w:color w:val="auto"/>
          <w:highlight w:val="none"/>
        </w:rPr>
        <w:t>1</w:t>
      </w:r>
      <w:r>
        <w:rPr>
          <w:rFonts w:hint="eastAsia"/>
          <w:color w:val="auto"/>
          <w:highlight w:val="none"/>
        </w:rPr>
        <w:t>、“偏差”栏中详细注明所投产品参数与《谈判文件》中要求有何不同，并说明其符合性。投标人应分标段（包）填制本表。</w:t>
      </w:r>
    </w:p>
    <w:p w14:paraId="32C131F7">
      <w:pPr>
        <w:widowControl w:val="0"/>
        <w:tabs>
          <w:tab w:val="left" w:pos="9365"/>
        </w:tabs>
        <w:snapToGrid w:val="0"/>
        <w:spacing w:line="360" w:lineRule="auto"/>
        <w:ind w:firstLine="624"/>
        <w:textAlignment w:val="top"/>
        <w:rPr>
          <w:color w:val="auto"/>
          <w:highlight w:val="none"/>
        </w:rPr>
      </w:pPr>
      <w:r>
        <w:rPr>
          <w:rFonts w:ascii="宋体" w:hAnsi="宋体" w:cs="宋体"/>
          <w:color w:val="auto"/>
          <w:highlight w:val="none"/>
        </w:rPr>
        <w:t>2</w:t>
      </w:r>
      <w:r>
        <w:rPr>
          <w:rFonts w:hint="eastAsia"/>
          <w:color w:val="auto"/>
          <w:highlight w:val="none"/>
        </w:rPr>
        <w:t>、如所投产品配置及技术参数与“技术要求”一致的部分，仍需在本表填列“与《谈判文件》技术要求一致”等相似表述。</w:t>
      </w:r>
    </w:p>
    <w:p w14:paraId="6436B8E3">
      <w:pPr>
        <w:autoSpaceDE w:val="0"/>
        <w:autoSpaceDN w:val="0"/>
        <w:adjustRightInd w:val="0"/>
        <w:spacing w:line="360" w:lineRule="auto"/>
        <w:jc w:val="center"/>
        <w:rPr>
          <w:rFonts w:ascii="宋体"/>
          <w:color w:val="auto"/>
          <w:sz w:val="24"/>
          <w:highlight w:val="none"/>
        </w:rPr>
      </w:pPr>
    </w:p>
    <w:p w14:paraId="726A3890">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669631D9">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52F677B8">
      <w:pPr>
        <w:autoSpaceDE w:val="0"/>
        <w:autoSpaceDN w:val="0"/>
        <w:adjustRightInd w:val="0"/>
        <w:spacing w:line="360" w:lineRule="auto"/>
        <w:ind w:right="-817"/>
        <w:jc w:val="left"/>
        <w:rPr>
          <w:rFonts w:ascii="宋体" w:cs="楷体_GB2312"/>
          <w:color w:val="auto"/>
          <w:sz w:val="24"/>
          <w:highlight w:val="none"/>
          <w:lang w:val="zh-CN"/>
        </w:rPr>
      </w:pPr>
      <w:r>
        <w:rPr>
          <w:rFonts w:hint="eastAsia" w:ascii="宋体" w:hAnsi="宋体" w:cs="楷体_GB2312"/>
          <w:color w:val="auto"/>
          <w:sz w:val="24"/>
          <w:highlight w:val="none"/>
          <w:lang w:val="zh-CN"/>
        </w:rPr>
        <w:t>日期：年月日</w:t>
      </w:r>
    </w:p>
    <w:p w14:paraId="20BE4D0C">
      <w:pPr>
        <w:spacing w:line="240" w:lineRule="auto"/>
        <w:jc w:val="left"/>
        <w:textAlignment w:val="auto"/>
        <w:rPr>
          <w:rFonts w:eastAsia="方正黑体简体"/>
          <w:b/>
          <w:color w:val="auto"/>
          <w:sz w:val="30"/>
          <w:szCs w:val="30"/>
          <w:highlight w:val="none"/>
        </w:rPr>
      </w:pPr>
      <w:r>
        <w:rPr>
          <w:rFonts w:eastAsia="方正黑体简体"/>
          <w:b/>
          <w:color w:val="auto"/>
          <w:sz w:val="30"/>
          <w:szCs w:val="30"/>
          <w:highlight w:val="none"/>
        </w:rPr>
        <w:br w:type="page"/>
      </w:r>
    </w:p>
    <w:p w14:paraId="44C652B5">
      <w:pPr>
        <w:autoSpaceDE w:val="0"/>
        <w:autoSpaceDN w:val="0"/>
        <w:adjustRightInd w:val="0"/>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六、其他偏差表（除技术偏差外）</w:t>
      </w:r>
    </w:p>
    <w:p w14:paraId="1A756307">
      <w:pPr>
        <w:pStyle w:val="15"/>
        <w:adjustRightInd w:val="0"/>
        <w:snapToGrid w:val="0"/>
        <w:spacing w:before="0" w:beforeAutospacing="0" w:after="0" w:afterAutospacing="0"/>
        <w:rPr>
          <w:color w:val="auto"/>
          <w:highlight w:val="none"/>
          <w:u w:val="single"/>
        </w:rPr>
      </w:pPr>
      <w:r>
        <w:rPr>
          <w:rFonts w:hint="eastAsia"/>
          <w:color w:val="auto"/>
          <w:highlight w:val="none"/>
        </w:rPr>
        <w:t>项目名称：</w:t>
      </w:r>
    </w:p>
    <w:p w14:paraId="6962E76C">
      <w:pPr>
        <w:pStyle w:val="15"/>
        <w:adjustRightInd w:val="0"/>
        <w:snapToGrid w:val="0"/>
        <w:spacing w:before="0" w:beforeAutospacing="0" w:after="0" w:afterAutospacing="0"/>
        <w:rPr>
          <w:color w:val="auto"/>
          <w:highlight w:val="none"/>
        </w:rPr>
      </w:pPr>
      <w:r>
        <w:rPr>
          <w:rFonts w:hint="eastAsia"/>
          <w:color w:val="auto"/>
          <w:highlight w:val="none"/>
        </w:rPr>
        <w:t xml:space="preserve">项目编号：    </w:t>
      </w:r>
    </w:p>
    <w:tbl>
      <w:tblPr>
        <w:tblStyle w:val="16"/>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3098"/>
        <w:gridCol w:w="2947"/>
        <w:gridCol w:w="2638"/>
      </w:tblGrid>
      <w:tr w14:paraId="370F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top w:val="single" w:color="000000" w:sz="8" w:space="0"/>
              <w:left w:val="single" w:color="000000" w:sz="8" w:space="0"/>
              <w:bottom w:val="single" w:color="000000" w:sz="4" w:space="0"/>
              <w:right w:val="single" w:color="000000" w:sz="4" w:space="0"/>
            </w:tcBorders>
            <w:vAlign w:val="center"/>
          </w:tcPr>
          <w:p w14:paraId="0FCBCE78">
            <w:pPr>
              <w:spacing w:line="560" w:lineRule="exact"/>
              <w:jc w:val="center"/>
              <w:rPr>
                <w:b/>
                <w:color w:val="auto"/>
                <w:sz w:val="28"/>
                <w:highlight w:val="none"/>
              </w:rPr>
            </w:pPr>
            <w:r>
              <w:rPr>
                <w:rFonts w:hint="eastAsia"/>
                <w:b/>
                <w:color w:val="auto"/>
                <w:highlight w:val="none"/>
              </w:rPr>
              <w:t>序号</w:t>
            </w:r>
          </w:p>
        </w:tc>
        <w:tc>
          <w:tcPr>
            <w:tcW w:w="3098" w:type="dxa"/>
            <w:tcBorders>
              <w:top w:val="single" w:color="000000" w:sz="8" w:space="0"/>
              <w:bottom w:val="single" w:color="000000" w:sz="4" w:space="0"/>
              <w:right w:val="single" w:color="000000" w:sz="4" w:space="0"/>
            </w:tcBorders>
            <w:vAlign w:val="center"/>
          </w:tcPr>
          <w:p w14:paraId="3B9DDFC6">
            <w:pPr>
              <w:spacing w:line="560" w:lineRule="exact"/>
              <w:jc w:val="center"/>
              <w:rPr>
                <w:b/>
                <w:color w:val="auto"/>
                <w:sz w:val="28"/>
                <w:highlight w:val="none"/>
              </w:rPr>
            </w:pPr>
            <w:r>
              <w:rPr>
                <w:rFonts w:hint="eastAsia"/>
                <w:b/>
                <w:color w:val="auto"/>
                <w:highlight w:val="none"/>
              </w:rPr>
              <w:t>谈判文件要求</w:t>
            </w:r>
          </w:p>
        </w:tc>
        <w:tc>
          <w:tcPr>
            <w:tcW w:w="2947" w:type="dxa"/>
            <w:tcBorders>
              <w:top w:val="single" w:color="000000" w:sz="8" w:space="0"/>
              <w:bottom w:val="single" w:color="000000" w:sz="4" w:space="0"/>
              <w:right w:val="single" w:color="000000" w:sz="4" w:space="0"/>
            </w:tcBorders>
            <w:vAlign w:val="center"/>
          </w:tcPr>
          <w:p w14:paraId="1C5451E1">
            <w:pPr>
              <w:spacing w:line="560" w:lineRule="exact"/>
              <w:jc w:val="center"/>
              <w:rPr>
                <w:b/>
                <w:color w:val="auto"/>
                <w:sz w:val="28"/>
                <w:highlight w:val="none"/>
              </w:rPr>
            </w:pPr>
            <w:r>
              <w:rPr>
                <w:rFonts w:hint="eastAsia"/>
                <w:b/>
                <w:color w:val="auto"/>
                <w:highlight w:val="none"/>
              </w:rPr>
              <w:t>投标文件响应</w:t>
            </w:r>
          </w:p>
        </w:tc>
        <w:tc>
          <w:tcPr>
            <w:tcW w:w="2638" w:type="dxa"/>
            <w:tcBorders>
              <w:top w:val="single" w:color="000000" w:sz="8" w:space="0"/>
              <w:bottom w:val="single" w:color="000000" w:sz="4" w:space="0"/>
              <w:right w:val="single" w:color="000000" w:sz="8" w:space="0"/>
            </w:tcBorders>
            <w:vAlign w:val="center"/>
          </w:tcPr>
          <w:p w14:paraId="1EC6F45E">
            <w:pPr>
              <w:spacing w:line="560" w:lineRule="exact"/>
              <w:jc w:val="center"/>
              <w:rPr>
                <w:b/>
                <w:color w:val="auto"/>
                <w:sz w:val="28"/>
                <w:highlight w:val="none"/>
              </w:rPr>
            </w:pPr>
            <w:r>
              <w:rPr>
                <w:rFonts w:hint="eastAsia"/>
                <w:b/>
                <w:color w:val="auto"/>
                <w:highlight w:val="none"/>
              </w:rPr>
              <w:t>偏差描述</w:t>
            </w:r>
          </w:p>
        </w:tc>
      </w:tr>
      <w:tr w14:paraId="3598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0FD33A51">
            <w:pPr>
              <w:spacing w:line="560" w:lineRule="exact"/>
              <w:jc w:val="center"/>
              <w:rPr>
                <w:color w:val="auto"/>
                <w:sz w:val="28"/>
                <w:highlight w:val="none"/>
              </w:rPr>
            </w:pPr>
            <w:r>
              <w:rPr>
                <w:color w:val="auto"/>
                <w:highlight w:val="none"/>
              </w:rPr>
              <w:t>1</w:t>
            </w:r>
          </w:p>
        </w:tc>
        <w:tc>
          <w:tcPr>
            <w:tcW w:w="3098" w:type="dxa"/>
            <w:tcBorders>
              <w:bottom w:val="single" w:color="000000" w:sz="4" w:space="0"/>
              <w:right w:val="single" w:color="000000" w:sz="4" w:space="0"/>
            </w:tcBorders>
            <w:vAlign w:val="center"/>
          </w:tcPr>
          <w:p w14:paraId="5F79DC1C">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6676FD1A">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24FB3051">
            <w:pPr>
              <w:spacing w:line="560" w:lineRule="exact"/>
              <w:jc w:val="center"/>
              <w:rPr>
                <w:color w:val="auto"/>
                <w:sz w:val="28"/>
                <w:highlight w:val="none"/>
              </w:rPr>
            </w:pPr>
          </w:p>
        </w:tc>
      </w:tr>
      <w:tr w14:paraId="7884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55DFDA2E">
            <w:pPr>
              <w:spacing w:line="560" w:lineRule="exact"/>
              <w:jc w:val="center"/>
              <w:rPr>
                <w:color w:val="auto"/>
                <w:sz w:val="28"/>
                <w:highlight w:val="none"/>
              </w:rPr>
            </w:pPr>
            <w:r>
              <w:rPr>
                <w:color w:val="auto"/>
                <w:highlight w:val="none"/>
              </w:rPr>
              <w:t>2</w:t>
            </w:r>
          </w:p>
        </w:tc>
        <w:tc>
          <w:tcPr>
            <w:tcW w:w="3098" w:type="dxa"/>
            <w:tcBorders>
              <w:bottom w:val="single" w:color="000000" w:sz="4" w:space="0"/>
              <w:right w:val="single" w:color="000000" w:sz="4" w:space="0"/>
            </w:tcBorders>
            <w:vAlign w:val="center"/>
          </w:tcPr>
          <w:p w14:paraId="47A83251">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0BF29AE1">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4DFDB183">
            <w:pPr>
              <w:spacing w:line="560" w:lineRule="exact"/>
              <w:jc w:val="center"/>
              <w:rPr>
                <w:color w:val="auto"/>
                <w:sz w:val="28"/>
                <w:highlight w:val="none"/>
              </w:rPr>
            </w:pPr>
          </w:p>
        </w:tc>
      </w:tr>
      <w:tr w14:paraId="5204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41EE70C8">
            <w:pPr>
              <w:spacing w:line="560" w:lineRule="exact"/>
              <w:jc w:val="center"/>
              <w:rPr>
                <w:color w:val="auto"/>
                <w:sz w:val="28"/>
                <w:highlight w:val="none"/>
              </w:rPr>
            </w:pPr>
            <w:r>
              <w:rPr>
                <w:color w:val="auto"/>
                <w:highlight w:val="none"/>
              </w:rPr>
              <w:t>3</w:t>
            </w:r>
          </w:p>
        </w:tc>
        <w:tc>
          <w:tcPr>
            <w:tcW w:w="3098" w:type="dxa"/>
            <w:tcBorders>
              <w:bottom w:val="single" w:color="000000" w:sz="4" w:space="0"/>
              <w:right w:val="single" w:color="000000" w:sz="4" w:space="0"/>
            </w:tcBorders>
            <w:vAlign w:val="center"/>
          </w:tcPr>
          <w:p w14:paraId="5BB4E174">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1007908C">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1000CC77">
            <w:pPr>
              <w:spacing w:line="560" w:lineRule="exact"/>
              <w:jc w:val="center"/>
              <w:rPr>
                <w:color w:val="auto"/>
                <w:sz w:val="28"/>
                <w:highlight w:val="none"/>
              </w:rPr>
            </w:pPr>
          </w:p>
        </w:tc>
      </w:tr>
      <w:tr w14:paraId="5DCE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637" w:type="dxa"/>
            <w:tcBorders>
              <w:left w:val="single" w:color="000000" w:sz="8" w:space="0"/>
              <w:bottom w:val="single" w:color="000000" w:sz="4" w:space="0"/>
              <w:right w:val="single" w:color="000000" w:sz="4" w:space="0"/>
            </w:tcBorders>
            <w:vAlign w:val="center"/>
          </w:tcPr>
          <w:p w14:paraId="082FD72E">
            <w:pPr>
              <w:spacing w:line="560" w:lineRule="exact"/>
              <w:jc w:val="center"/>
              <w:rPr>
                <w:color w:val="auto"/>
                <w:sz w:val="28"/>
                <w:highlight w:val="none"/>
              </w:rPr>
            </w:pPr>
            <w:r>
              <w:rPr>
                <w:color w:val="auto"/>
                <w:highlight w:val="none"/>
              </w:rPr>
              <w:t>4</w:t>
            </w:r>
          </w:p>
        </w:tc>
        <w:tc>
          <w:tcPr>
            <w:tcW w:w="3098" w:type="dxa"/>
            <w:tcBorders>
              <w:bottom w:val="single" w:color="000000" w:sz="4" w:space="0"/>
              <w:right w:val="single" w:color="000000" w:sz="4" w:space="0"/>
            </w:tcBorders>
            <w:vAlign w:val="center"/>
          </w:tcPr>
          <w:p w14:paraId="4B7E4C48">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0F6D9A73">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30B5DFD4">
            <w:pPr>
              <w:spacing w:line="560" w:lineRule="exact"/>
              <w:jc w:val="center"/>
              <w:rPr>
                <w:color w:val="auto"/>
                <w:sz w:val="28"/>
                <w:highlight w:val="none"/>
              </w:rPr>
            </w:pPr>
          </w:p>
        </w:tc>
      </w:tr>
      <w:tr w14:paraId="6EC5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637" w:type="dxa"/>
            <w:tcBorders>
              <w:left w:val="single" w:color="000000" w:sz="8" w:space="0"/>
              <w:bottom w:val="single" w:color="000000" w:sz="4" w:space="0"/>
              <w:right w:val="single" w:color="000000" w:sz="4" w:space="0"/>
            </w:tcBorders>
            <w:vAlign w:val="center"/>
          </w:tcPr>
          <w:p w14:paraId="3617C139">
            <w:pPr>
              <w:spacing w:line="560" w:lineRule="exact"/>
              <w:jc w:val="center"/>
              <w:rPr>
                <w:color w:val="auto"/>
                <w:sz w:val="28"/>
                <w:highlight w:val="none"/>
              </w:rPr>
            </w:pPr>
            <w:r>
              <w:rPr>
                <w:color w:val="auto"/>
                <w:highlight w:val="none"/>
              </w:rPr>
              <w:t>5</w:t>
            </w:r>
          </w:p>
        </w:tc>
        <w:tc>
          <w:tcPr>
            <w:tcW w:w="3098" w:type="dxa"/>
            <w:tcBorders>
              <w:bottom w:val="single" w:color="000000" w:sz="4" w:space="0"/>
              <w:right w:val="single" w:color="000000" w:sz="4" w:space="0"/>
            </w:tcBorders>
            <w:vAlign w:val="center"/>
          </w:tcPr>
          <w:p w14:paraId="2717324C">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1752AF25">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56086AF5">
            <w:pPr>
              <w:spacing w:line="560" w:lineRule="exact"/>
              <w:jc w:val="center"/>
              <w:rPr>
                <w:color w:val="auto"/>
                <w:sz w:val="28"/>
                <w:highlight w:val="none"/>
              </w:rPr>
            </w:pPr>
          </w:p>
        </w:tc>
      </w:tr>
      <w:tr w14:paraId="096F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4" w:space="0"/>
              <w:right w:val="single" w:color="000000" w:sz="4" w:space="0"/>
            </w:tcBorders>
            <w:vAlign w:val="center"/>
          </w:tcPr>
          <w:p w14:paraId="48986CF5">
            <w:pPr>
              <w:spacing w:line="560" w:lineRule="exact"/>
              <w:jc w:val="center"/>
              <w:rPr>
                <w:color w:val="auto"/>
                <w:sz w:val="28"/>
                <w:highlight w:val="none"/>
              </w:rPr>
            </w:pPr>
            <w:r>
              <w:rPr>
                <w:color w:val="auto"/>
                <w:highlight w:val="none"/>
              </w:rPr>
              <w:t>6</w:t>
            </w:r>
          </w:p>
        </w:tc>
        <w:tc>
          <w:tcPr>
            <w:tcW w:w="3098" w:type="dxa"/>
            <w:tcBorders>
              <w:bottom w:val="single" w:color="000000" w:sz="4" w:space="0"/>
              <w:right w:val="single" w:color="000000" w:sz="4" w:space="0"/>
            </w:tcBorders>
            <w:vAlign w:val="center"/>
          </w:tcPr>
          <w:p w14:paraId="2D30A53F">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683AA014">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5F18AFC7">
            <w:pPr>
              <w:spacing w:line="560" w:lineRule="exact"/>
              <w:jc w:val="center"/>
              <w:rPr>
                <w:color w:val="auto"/>
                <w:sz w:val="28"/>
                <w:highlight w:val="none"/>
              </w:rPr>
            </w:pPr>
          </w:p>
        </w:tc>
      </w:tr>
      <w:tr w14:paraId="1AFA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14:paraId="77A5DCA7">
            <w:pPr>
              <w:spacing w:line="560" w:lineRule="exact"/>
              <w:jc w:val="center"/>
              <w:rPr>
                <w:color w:val="auto"/>
                <w:sz w:val="28"/>
                <w:highlight w:val="none"/>
              </w:rPr>
            </w:pPr>
            <w:r>
              <w:rPr>
                <w:color w:val="auto"/>
                <w:highlight w:val="none"/>
              </w:rPr>
              <w:t>7</w:t>
            </w:r>
          </w:p>
        </w:tc>
        <w:tc>
          <w:tcPr>
            <w:tcW w:w="3098" w:type="dxa"/>
            <w:tcBorders>
              <w:bottom w:val="single" w:color="000000" w:sz="4" w:space="0"/>
              <w:right w:val="single" w:color="000000" w:sz="4" w:space="0"/>
            </w:tcBorders>
            <w:vAlign w:val="center"/>
          </w:tcPr>
          <w:p w14:paraId="5BE72C23">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4B99A742">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77867248">
            <w:pPr>
              <w:spacing w:line="560" w:lineRule="exact"/>
              <w:jc w:val="center"/>
              <w:rPr>
                <w:color w:val="auto"/>
                <w:sz w:val="28"/>
                <w:highlight w:val="none"/>
              </w:rPr>
            </w:pPr>
          </w:p>
        </w:tc>
      </w:tr>
      <w:tr w14:paraId="347A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37" w:type="dxa"/>
            <w:tcBorders>
              <w:left w:val="single" w:color="000000" w:sz="8" w:space="0"/>
              <w:bottom w:val="single" w:color="000000" w:sz="4" w:space="0"/>
              <w:right w:val="single" w:color="000000" w:sz="4" w:space="0"/>
            </w:tcBorders>
            <w:vAlign w:val="center"/>
          </w:tcPr>
          <w:p w14:paraId="51F668BA">
            <w:pPr>
              <w:spacing w:line="560" w:lineRule="exact"/>
              <w:jc w:val="center"/>
              <w:rPr>
                <w:color w:val="auto"/>
                <w:sz w:val="28"/>
                <w:highlight w:val="none"/>
              </w:rPr>
            </w:pPr>
            <w:r>
              <w:rPr>
                <w:color w:val="auto"/>
                <w:highlight w:val="none"/>
              </w:rPr>
              <w:t>8</w:t>
            </w:r>
          </w:p>
        </w:tc>
        <w:tc>
          <w:tcPr>
            <w:tcW w:w="3098" w:type="dxa"/>
            <w:tcBorders>
              <w:bottom w:val="single" w:color="000000" w:sz="4" w:space="0"/>
              <w:right w:val="single" w:color="000000" w:sz="4" w:space="0"/>
            </w:tcBorders>
            <w:vAlign w:val="center"/>
          </w:tcPr>
          <w:p w14:paraId="345258A5">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38844C59">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7EDEEABD">
            <w:pPr>
              <w:spacing w:line="560" w:lineRule="exact"/>
              <w:jc w:val="center"/>
              <w:rPr>
                <w:color w:val="auto"/>
                <w:sz w:val="28"/>
                <w:highlight w:val="none"/>
              </w:rPr>
            </w:pPr>
          </w:p>
        </w:tc>
      </w:tr>
      <w:tr w14:paraId="3C13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637" w:type="dxa"/>
            <w:tcBorders>
              <w:left w:val="single" w:color="000000" w:sz="8" w:space="0"/>
              <w:bottom w:val="single" w:color="000000" w:sz="4" w:space="0"/>
              <w:right w:val="single" w:color="000000" w:sz="4" w:space="0"/>
            </w:tcBorders>
            <w:vAlign w:val="center"/>
          </w:tcPr>
          <w:p w14:paraId="28E29DC0">
            <w:pPr>
              <w:spacing w:line="560" w:lineRule="exact"/>
              <w:jc w:val="center"/>
              <w:rPr>
                <w:color w:val="auto"/>
                <w:sz w:val="28"/>
                <w:highlight w:val="none"/>
              </w:rPr>
            </w:pPr>
            <w:r>
              <w:rPr>
                <w:color w:val="auto"/>
                <w:highlight w:val="none"/>
              </w:rPr>
              <w:t>9</w:t>
            </w:r>
          </w:p>
        </w:tc>
        <w:tc>
          <w:tcPr>
            <w:tcW w:w="3098" w:type="dxa"/>
            <w:tcBorders>
              <w:bottom w:val="single" w:color="000000" w:sz="4" w:space="0"/>
              <w:right w:val="single" w:color="000000" w:sz="4" w:space="0"/>
            </w:tcBorders>
            <w:vAlign w:val="center"/>
          </w:tcPr>
          <w:p w14:paraId="09C0B478">
            <w:pPr>
              <w:spacing w:line="560" w:lineRule="exact"/>
              <w:jc w:val="center"/>
              <w:rPr>
                <w:color w:val="auto"/>
                <w:sz w:val="28"/>
                <w:highlight w:val="none"/>
              </w:rPr>
            </w:pPr>
          </w:p>
        </w:tc>
        <w:tc>
          <w:tcPr>
            <w:tcW w:w="2947" w:type="dxa"/>
            <w:tcBorders>
              <w:bottom w:val="single" w:color="000000" w:sz="4" w:space="0"/>
              <w:right w:val="single" w:color="000000" w:sz="4" w:space="0"/>
            </w:tcBorders>
            <w:vAlign w:val="center"/>
          </w:tcPr>
          <w:p w14:paraId="11B69D95">
            <w:pPr>
              <w:spacing w:line="560" w:lineRule="exact"/>
              <w:jc w:val="center"/>
              <w:rPr>
                <w:color w:val="auto"/>
                <w:sz w:val="28"/>
                <w:highlight w:val="none"/>
              </w:rPr>
            </w:pPr>
          </w:p>
        </w:tc>
        <w:tc>
          <w:tcPr>
            <w:tcW w:w="2638" w:type="dxa"/>
            <w:tcBorders>
              <w:bottom w:val="single" w:color="000000" w:sz="4" w:space="0"/>
              <w:right w:val="single" w:color="000000" w:sz="8" w:space="0"/>
            </w:tcBorders>
            <w:vAlign w:val="center"/>
          </w:tcPr>
          <w:p w14:paraId="0A723408">
            <w:pPr>
              <w:spacing w:line="560" w:lineRule="exact"/>
              <w:jc w:val="center"/>
              <w:rPr>
                <w:color w:val="auto"/>
                <w:sz w:val="28"/>
                <w:highlight w:val="none"/>
              </w:rPr>
            </w:pPr>
          </w:p>
        </w:tc>
      </w:tr>
      <w:tr w14:paraId="03F8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37" w:type="dxa"/>
            <w:tcBorders>
              <w:left w:val="single" w:color="000000" w:sz="8" w:space="0"/>
              <w:bottom w:val="single" w:color="000000" w:sz="8" w:space="0"/>
              <w:right w:val="single" w:color="000000" w:sz="4" w:space="0"/>
            </w:tcBorders>
            <w:vAlign w:val="center"/>
          </w:tcPr>
          <w:p w14:paraId="1581A087">
            <w:pPr>
              <w:spacing w:line="560" w:lineRule="exact"/>
              <w:jc w:val="center"/>
              <w:rPr>
                <w:color w:val="auto"/>
                <w:sz w:val="28"/>
                <w:highlight w:val="none"/>
              </w:rPr>
            </w:pPr>
            <w:r>
              <w:rPr>
                <w:color w:val="auto"/>
                <w:highlight w:val="none"/>
              </w:rPr>
              <w:t>......</w:t>
            </w:r>
          </w:p>
        </w:tc>
        <w:tc>
          <w:tcPr>
            <w:tcW w:w="3098" w:type="dxa"/>
            <w:tcBorders>
              <w:bottom w:val="single" w:color="000000" w:sz="8" w:space="0"/>
              <w:right w:val="single" w:color="000000" w:sz="4" w:space="0"/>
            </w:tcBorders>
            <w:vAlign w:val="center"/>
          </w:tcPr>
          <w:p w14:paraId="58459F0F">
            <w:pPr>
              <w:spacing w:line="560" w:lineRule="exact"/>
              <w:jc w:val="center"/>
              <w:rPr>
                <w:color w:val="auto"/>
                <w:sz w:val="28"/>
                <w:highlight w:val="none"/>
              </w:rPr>
            </w:pPr>
          </w:p>
        </w:tc>
        <w:tc>
          <w:tcPr>
            <w:tcW w:w="2947" w:type="dxa"/>
            <w:tcBorders>
              <w:bottom w:val="single" w:color="000000" w:sz="8" w:space="0"/>
              <w:right w:val="single" w:color="000000" w:sz="4" w:space="0"/>
            </w:tcBorders>
            <w:vAlign w:val="center"/>
          </w:tcPr>
          <w:p w14:paraId="7FEAF5FA">
            <w:pPr>
              <w:spacing w:line="560" w:lineRule="exact"/>
              <w:jc w:val="center"/>
              <w:rPr>
                <w:color w:val="auto"/>
                <w:sz w:val="28"/>
                <w:highlight w:val="none"/>
              </w:rPr>
            </w:pPr>
          </w:p>
        </w:tc>
        <w:tc>
          <w:tcPr>
            <w:tcW w:w="2638" w:type="dxa"/>
            <w:tcBorders>
              <w:bottom w:val="single" w:color="000000" w:sz="8" w:space="0"/>
              <w:right w:val="single" w:color="000000" w:sz="8" w:space="0"/>
            </w:tcBorders>
            <w:vAlign w:val="center"/>
          </w:tcPr>
          <w:p w14:paraId="5506FE14">
            <w:pPr>
              <w:spacing w:line="560" w:lineRule="exact"/>
              <w:jc w:val="center"/>
              <w:rPr>
                <w:color w:val="auto"/>
                <w:sz w:val="28"/>
                <w:highlight w:val="none"/>
              </w:rPr>
            </w:pPr>
          </w:p>
        </w:tc>
      </w:tr>
    </w:tbl>
    <w:p w14:paraId="3CF1255C">
      <w:pPr>
        <w:tabs>
          <w:tab w:val="left" w:pos="0"/>
        </w:tabs>
        <w:adjustRightInd w:val="0"/>
        <w:snapToGrid w:val="0"/>
        <w:spacing w:beforeLines="50" w:line="300" w:lineRule="auto"/>
        <w:ind w:right="25" w:firstLine="452" w:firstLineChars="200"/>
        <w:rPr>
          <w:rFonts w:ascii="宋体" w:hAnsi="宋体"/>
          <w:color w:val="auto"/>
          <w:spacing w:val="8"/>
          <w:szCs w:val="21"/>
          <w:highlight w:val="none"/>
        </w:rPr>
      </w:pPr>
      <w:r>
        <w:rPr>
          <w:rFonts w:hint="eastAsia" w:ascii="宋体" w:hAnsi="宋体"/>
          <w:color w:val="auto"/>
          <w:spacing w:val="8"/>
          <w:szCs w:val="21"/>
          <w:highlight w:val="none"/>
        </w:rPr>
        <w:t>注：</w:t>
      </w:r>
      <w:r>
        <w:rPr>
          <w:rFonts w:ascii="宋体" w:hAnsi="宋体"/>
          <w:color w:val="auto"/>
          <w:spacing w:val="8"/>
          <w:szCs w:val="21"/>
          <w:highlight w:val="none"/>
        </w:rPr>
        <w:t>1</w:t>
      </w:r>
      <w:r>
        <w:rPr>
          <w:rFonts w:hint="eastAsia" w:ascii="宋体" w:hAnsi="宋体"/>
          <w:color w:val="auto"/>
          <w:spacing w:val="8"/>
          <w:szCs w:val="21"/>
          <w:highlight w:val="none"/>
        </w:rPr>
        <w:t>、“其他偏差表”应详细注明与《谈判文件》中各项要求（除技术条款外的所有条款）有何不同，并说明其符合性（优于、或低于《谈判文件》要求）。</w:t>
      </w:r>
    </w:p>
    <w:p w14:paraId="3AC8C512">
      <w:pPr>
        <w:tabs>
          <w:tab w:val="left" w:pos="0"/>
        </w:tabs>
        <w:adjustRightInd w:val="0"/>
        <w:snapToGrid w:val="0"/>
        <w:spacing w:beforeLines="50" w:line="300" w:lineRule="auto"/>
        <w:ind w:right="25" w:firstLine="452" w:firstLineChars="200"/>
        <w:rPr>
          <w:rFonts w:ascii="宋体"/>
          <w:color w:val="auto"/>
          <w:spacing w:val="8"/>
          <w:szCs w:val="21"/>
          <w:highlight w:val="none"/>
        </w:rPr>
      </w:pPr>
      <w:r>
        <w:rPr>
          <w:rFonts w:ascii="宋体" w:hAnsi="宋体"/>
          <w:color w:val="auto"/>
          <w:spacing w:val="8"/>
          <w:szCs w:val="21"/>
          <w:highlight w:val="none"/>
        </w:rPr>
        <w:t>2</w:t>
      </w:r>
      <w:r>
        <w:rPr>
          <w:rFonts w:hint="eastAsia" w:ascii="宋体" w:hAnsi="宋体"/>
          <w:color w:val="auto"/>
          <w:spacing w:val="8"/>
          <w:szCs w:val="21"/>
          <w:highlight w:val="none"/>
        </w:rPr>
        <w:t>、如投标条款与《谈判文件》其他要求一致，仍需在本表填列“除技术条款外，与《谈判文件》所有条款要求一致，无偏差”等相似表述。</w:t>
      </w:r>
    </w:p>
    <w:p w14:paraId="70E25B57">
      <w:pPr>
        <w:tabs>
          <w:tab w:val="left" w:pos="0"/>
        </w:tabs>
        <w:adjustRightInd w:val="0"/>
        <w:snapToGrid w:val="0"/>
        <w:spacing w:beforeLines="50" w:line="300" w:lineRule="auto"/>
        <w:ind w:right="510"/>
        <w:rPr>
          <w:rFonts w:ascii="宋体"/>
          <w:color w:val="auto"/>
          <w:spacing w:val="8"/>
          <w:szCs w:val="21"/>
          <w:highlight w:val="none"/>
        </w:rPr>
      </w:pPr>
    </w:p>
    <w:p w14:paraId="0FBD328E">
      <w:pPr>
        <w:tabs>
          <w:tab w:val="left" w:pos="0"/>
        </w:tabs>
        <w:adjustRightInd w:val="0"/>
        <w:snapToGrid w:val="0"/>
        <w:spacing w:beforeLines="50" w:line="300" w:lineRule="auto"/>
        <w:ind w:right="510"/>
        <w:rPr>
          <w:rFonts w:ascii="宋体"/>
          <w:color w:val="auto"/>
          <w:spacing w:val="8"/>
          <w:szCs w:val="21"/>
          <w:highlight w:val="none"/>
        </w:rPr>
      </w:pPr>
    </w:p>
    <w:p w14:paraId="5C583D5B">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4D257F30">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67BFC64F">
      <w:pPr>
        <w:autoSpaceDE w:val="0"/>
        <w:autoSpaceDN w:val="0"/>
        <w:adjustRightInd w:val="0"/>
        <w:spacing w:line="480" w:lineRule="auto"/>
        <w:rPr>
          <w:rFonts w:ascii="宋体"/>
          <w:color w:val="auto"/>
          <w:sz w:val="24"/>
          <w:highlight w:val="none"/>
        </w:rPr>
      </w:pPr>
      <w:r>
        <w:rPr>
          <w:rFonts w:hint="eastAsia" w:ascii="宋体" w:hAnsi="宋体"/>
          <w:color w:val="auto"/>
          <w:spacing w:val="8"/>
          <w:sz w:val="24"/>
          <w:highlight w:val="none"/>
        </w:rPr>
        <w:t>日期：</w:t>
      </w:r>
      <w:r>
        <w:rPr>
          <w:rFonts w:hint="eastAsia" w:ascii="宋体" w:hAnsi="宋体" w:cs="楷体_GB2312"/>
          <w:color w:val="auto"/>
          <w:sz w:val="24"/>
          <w:highlight w:val="none"/>
          <w:lang w:val="zh-CN"/>
        </w:rPr>
        <w:t>年月日</w:t>
      </w:r>
    </w:p>
    <w:p w14:paraId="37E4F265">
      <w:pPr>
        <w:tabs>
          <w:tab w:val="left" w:pos="540"/>
        </w:tabs>
        <w:spacing w:line="440" w:lineRule="exact"/>
        <w:jc w:val="center"/>
        <w:rPr>
          <w:rFonts w:ascii="宋体" w:cs="楷体_GB2312"/>
          <w:b/>
          <w:color w:val="auto"/>
          <w:sz w:val="30"/>
          <w:szCs w:val="30"/>
          <w:highlight w:val="none"/>
          <w:lang w:val="zh-CN"/>
        </w:rPr>
      </w:pPr>
    </w:p>
    <w:p w14:paraId="6E992B38">
      <w:pPr>
        <w:widowControl w:val="0"/>
        <w:snapToGrid w:val="0"/>
        <w:spacing w:line="560" w:lineRule="exact"/>
        <w:jc w:val="left"/>
        <w:textAlignment w:val="top"/>
        <w:rPr>
          <w:color w:val="auto"/>
          <w:highlight w:val="none"/>
        </w:rPr>
      </w:pPr>
      <w:r>
        <w:rPr>
          <w:color w:val="auto"/>
          <w:highlight w:val="none"/>
        </w:rPr>
        <w:br w:type="page"/>
      </w:r>
    </w:p>
    <w:p w14:paraId="780300CB">
      <w:pPr>
        <w:tabs>
          <w:tab w:val="left" w:pos="540"/>
        </w:tabs>
        <w:spacing w:line="440" w:lineRule="exact"/>
        <w:jc w:val="center"/>
        <w:rPr>
          <w:rFonts w:ascii="黑体" w:hAnsi="黑体" w:eastAsia="黑体"/>
          <w:b/>
          <w:color w:val="auto"/>
          <w:sz w:val="30"/>
          <w:szCs w:val="30"/>
          <w:highlight w:val="none"/>
        </w:rPr>
      </w:pPr>
      <w:bookmarkStart w:id="65" w:name="OLE_LINK27"/>
      <w:r>
        <w:rPr>
          <w:rFonts w:hint="eastAsia" w:ascii="黑体" w:hAnsi="黑体" w:eastAsia="黑体"/>
          <w:b/>
          <w:color w:val="auto"/>
          <w:sz w:val="30"/>
          <w:szCs w:val="30"/>
          <w:highlight w:val="none"/>
        </w:rPr>
        <w:t>七、售后服务计划</w:t>
      </w:r>
      <w:bookmarkEnd w:id="65"/>
    </w:p>
    <w:p w14:paraId="205D6295">
      <w:pPr>
        <w:snapToGrid w:val="0"/>
        <w:spacing w:line="560" w:lineRule="exact"/>
        <w:ind w:firstLine="839"/>
        <w:rPr>
          <w:color w:val="auto"/>
          <w:highlight w:val="none"/>
        </w:rPr>
      </w:pPr>
    </w:p>
    <w:p w14:paraId="298D767D">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、详细说明售后服务的内容、形式、时间、解决质量的响应时间、解决问题时间、单位名称、地点。</w:t>
      </w:r>
    </w:p>
    <w:p w14:paraId="177A2E1D">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2</w:t>
      </w:r>
      <w:r>
        <w:rPr>
          <w:rFonts w:hint="eastAsia" w:ascii="宋体" w:hAnsi="宋体" w:cs="楷体_GB2312"/>
          <w:color w:val="auto"/>
          <w:sz w:val="24"/>
          <w:highlight w:val="none"/>
          <w:lang w:val="zh-CN"/>
        </w:rPr>
        <w:t>、质量保证措施。</w:t>
      </w:r>
    </w:p>
    <w:p w14:paraId="55BE9AD6">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3</w:t>
      </w:r>
      <w:r>
        <w:rPr>
          <w:rFonts w:hint="eastAsia" w:ascii="宋体" w:hAnsi="宋体" w:cs="楷体_GB2312"/>
          <w:color w:val="auto"/>
          <w:sz w:val="24"/>
          <w:highlight w:val="none"/>
          <w:lang w:val="zh-CN"/>
        </w:rPr>
        <w:t>、培训计划</w:t>
      </w:r>
    </w:p>
    <w:p w14:paraId="18FCADB0">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、该项目（标段&lt;包&gt;）所提供的其他免费物品或服务。</w:t>
      </w:r>
    </w:p>
    <w:p w14:paraId="1A0AD17D">
      <w:pPr>
        <w:autoSpaceDE w:val="0"/>
        <w:autoSpaceDN w:val="0"/>
        <w:adjustRightInd w:val="0"/>
        <w:spacing w:line="360" w:lineRule="auto"/>
        <w:ind w:left="1" w:firstLine="560"/>
        <w:rPr>
          <w:rFonts w:ascii="宋体" w:cs="楷体_GB2312"/>
          <w:color w:val="auto"/>
          <w:sz w:val="24"/>
          <w:highlight w:val="none"/>
          <w:lang w:val="zh-CN"/>
        </w:rPr>
      </w:pPr>
    </w:p>
    <w:p w14:paraId="5EFD999C">
      <w:pPr>
        <w:autoSpaceDE w:val="0"/>
        <w:autoSpaceDN w:val="0"/>
        <w:adjustRightInd w:val="0"/>
        <w:spacing w:line="360" w:lineRule="auto"/>
        <w:ind w:left="1" w:firstLine="560"/>
        <w:rPr>
          <w:rFonts w:ascii="宋体" w:cs="楷体_GB2312"/>
          <w:color w:val="auto"/>
          <w:sz w:val="24"/>
          <w:highlight w:val="none"/>
          <w:lang w:val="zh-CN"/>
        </w:rPr>
      </w:pPr>
    </w:p>
    <w:p w14:paraId="24668F17">
      <w:pPr>
        <w:autoSpaceDE w:val="0"/>
        <w:autoSpaceDN w:val="0"/>
        <w:adjustRightInd w:val="0"/>
        <w:spacing w:line="360" w:lineRule="auto"/>
        <w:ind w:left="1" w:firstLine="560"/>
        <w:rPr>
          <w:rFonts w:ascii="宋体" w:cs="楷体_GB2312"/>
          <w:color w:val="auto"/>
          <w:sz w:val="24"/>
          <w:highlight w:val="none"/>
          <w:lang w:val="zh-CN"/>
        </w:rPr>
      </w:pPr>
    </w:p>
    <w:p w14:paraId="488E5BFF">
      <w:pPr>
        <w:autoSpaceDE w:val="0"/>
        <w:autoSpaceDN w:val="0"/>
        <w:adjustRightInd w:val="0"/>
        <w:spacing w:line="360" w:lineRule="auto"/>
        <w:ind w:left="1" w:firstLine="560"/>
        <w:rPr>
          <w:rFonts w:ascii="宋体" w:cs="楷体_GB2312"/>
          <w:color w:val="auto"/>
          <w:sz w:val="24"/>
          <w:highlight w:val="none"/>
          <w:lang w:val="zh-CN"/>
        </w:rPr>
      </w:pPr>
    </w:p>
    <w:p w14:paraId="0D5B2753">
      <w:pPr>
        <w:autoSpaceDE w:val="0"/>
        <w:autoSpaceDN w:val="0"/>
        <w:adjustRightInd w:val="0"/>
        <w:spacing w:line="360" w:lineRule="auto"/>
        <w:ind w:left="1" w:firstLine="560"/>
        <w:rPr>
          <w:rFonts w:ascii="宋体" w:cs="楷体_GB2312"/>
          <w:color w:val="auto"/>
          <w:sz w:val="24"/>
          <w:highlight w:val="none"/>
          <w:lang w:val="zh-CN"/>
        </w:rPr>
      </w:pPr>
    </w:p>
    <w:p w14:paraId="7E3DCCFF">
      <w:pPr>
        <w:autoSpaceDE w:val="0"/>
        <w:autoSpaceDN w:val="0"/>
        <w:adjustRightInd w:val="0"/>
        <w:spacing w:line="360" w:lineRule="auto"/>
        <w:ind w:left="1" w:firstLine="560"/>
        <w:rPr>
          <w:rFonts w:ascii="宋体" w:cs="楷体_GB2312"/>
          <w:color w:val="auto"/>
          <w:sz w:val="24"/>
          <w:highlight w:val="none"/>
          <w:lang w:val="zh-CN"/>
        </w:rPr>
      </w:pPr>
    </w:p>
    <w:p w14:paraId="25EA6DA9">
      <w:pPr>
        <w:autoSpaceDE w:val="0"/>
        <w:autoSpaceDN w:val="0"/>
        <w:adjustRightInd w:val="0"/>
        <w:spacing w:line="360" w:lineRule="auto"/>
        <w:ind w:left="1" w:firstLine="560"/>
        <w:rPr>
          <w:rFonts w:ascii="宋体" w:cs="楷体_GB2312"/>
          <w:color w:val="auto"/>
          <w:sz w:val="24"/>
          <w:highlight w:val="none"/>
          <w:lang w:val="zh-CN"/>
        </w:rPr>
      </w:pPr>
    </w:p>
    <w:p w14:paraId="4F8CDCD2">
      <w:pPr>
        <w:autoSpaceDE w:val="0"/>
        <w:autoSpaceDN w:val="0"/>
        <w:adjustRightInd w:val="0"/>
        <w:spacing w:line="360" w:lineRule="auto"/>
        <w:ind w:left="1" w:firstLine="560"/>
        <w:rPr>
          <w:rFonts w:ascii="宋体" w:cs="楷体_GB2312"/>
          <w:color w:val="auto"/>
          <w:sz w:val="24"/>
          <w:highlight w:val="none"/>
          <w:lang w:val="zh-CN"/>
        </w:rPr>
      </w:pPr>
    </w:p>
    <w:p w14:paraId="647A4709">
      <w:pPr>
        <w:autoSpaceDE w:val="0"/>
        <w:autoSpaceDN w:val="0"/>
        <w:adjustRightInd w:val="0"/>
        <w:spacing w:line="360" w:lineRule="auto"/>
        <w:ind w:left="1" w:firstLine="560"/>
        <w:rPr>
          <w:rFonts w:ascii="宋体" w:cs="楷体_GB2312"/>
          <w:color w:val="auto"/>
          <w:sz w:val="24"/>
          <w:highlight w:val="none"/>
          <w:lang w:val="zh-CN"/>
        </w:rPr>
      </w:pPr>
    </w:p>
    <w:p w14:paraId="3A4A7252">
      <w:pPr>
        <w:autoSpaceDE w:val="0"/>
        <w:autoSpaceDN w:val="0"/>
        <w:adjustRightInd w:val="0"/>
        <w:spacing w:line="360" w:lineRule="auto"/>
        <w:ind w:left="1" w:firstLine="560"/>
        <w:rPr>
          <w:rFonts w:ascii="宋体" w:cs="楷体_GB2312"/>
          <w:color w:val="auto"/>
          <w:sz w:val="24"/>
          <w:highlight w:val="none"/>
          <w:lang w:val="zh-CN"/>
        </w:rPr>
      </w:pPr>
    </w:p>
    <w:p w14:paraId="5681F071">
      <w:pPr>
        <w:autoSpaceDE w:val="0"/>
        <w:autoSpaceDN w:val="0"/>
        <w:adjustRightInd w:val="0"/>
        <w:spacing w:line="360" w:lineRule="auto"/>
        <w:ind w:left="1" w:firstLine="560"/>
        <w:rPr>
          <w:rFonts w:ascii="宋体" w:cs="楷体_GB2312"/>
          <w:color w:val="auto"/>
          <w:sz w:val="24"/>
          <w:highlight w:val="none"/>
          <w:lang w:val="zh-CN"/>
        </w:rPr>
      </w:pPr>
      <w:r>
        <w:rPr>
          <w:rFonts w:hint="eastAsia" w:ascii="宋体" w:hAnsi="宋体" w:cs="楷体_GB2312"/>
          <w:color w:val="auto"/>
          <w:sz w:val="24"/>
          <w:highlight w:val="none"/>
          <w:lang w:val="zh-CN"/>
        </w:rPr>
        <w:t>注：</w:t>
      </w:r>
    </w:p>
    <w:p w14:paraId="4B3926BB">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、投标人应按要求详细制定出所列条款。</w:t>
      </w:r>
    </w:p>
    <w:p w14:paraId="0156FE6B">
      <w:pPr>
        <w:autoSpaceDE w:val="0"/>
        <w:autoSpaceDN w:val="0"/>
        <w:adjustRightInd w:val="0"/>
        <w:spacing w:line="360" w:lineRule="auto"/>
        <w:ind w:left="1" w:firstLine="560"/>
        <w:rPr>
          <w:rFonts w:ascii="宋体" w:cs="楷体_GB2312"/>
          <w:color w:val="auto"/>
          <w:sz w:val="24"/>
          <w:highlight w:val="none"/>
          <w:lang w:val="zh-CN"/>
        </w:rPr>
      </w:pPr>
      <w:r>
        <w:rPr>
          <w:rFonts w:ascii="宋体" w:hAnsi="宋体" w:cs="楷体_GB2312"/>
          <w:color w:val="auto"/>
          <w:sz w:val="24"/>
          <w:highlight w:val="none"/>
          <w:lang w:val="zh-CN"/>
        </w:rPr>
        <w:t>2</w:t>
      </w:r>
      <w:r>
        <w:rPr>
          <w:rFonts w:hint="eastAsia" w:ascii="宋体" w:hAnsi="宋体" w:cs="楷体_GB2312"/>
          <w:color w:val="auto"/>
          <w:sz w:val="24"/>
          <w:highlight w:val="none"/>
          <w:lang w:val="zh-CN"/>
        </w:rPr>
        <w:t>、“售后服务计划”按谈判文件相应条款要求电子签名&lt;签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章&gt;或投标人</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r>
        <w:rPr>
          <w:rFonts w:hint="eastAsia" w:ascii="宋体" w:hAnsi="宋体" w:cs="楷体_GB2312"/>
          <w:color w:val="auto"/>
          <w:sz w:val="24"/>
          <w:highlight w:val="none"/>
          <w:lang w:val="zh-CN"/>
        </w:rPr>
        <w:t>。</w:t>
      </w:r>
    </w:p>
    <w:p w14:paraId="628BE671">
      <w:pPr>
        <w:snapToGrid w:val="0"/>
        <w:spacing w:line="560" w:lineRule="exact"/>
        <w:rPr>
          <w:color w:val="auto"/>
          <w:highlight w:val="none"/>
        </w:rPr>
      </w:pPr>
    </w:p>
    <w:p w14:paraId="37DBAE80">
      <w:pPr>
        <w:tabs>
          <w:tab w:val="left" w:pos="540"/>
        </w:tabs>
        <w:spacing w:line="440" w:lineRule="exact"/>
        <w:jc w:val="center"/>
        <w:rPr>
          <w:color w:val="auto"/>
          <w:sz w:val="28"/>
          <w:highlight w:val="none"/>
        </w:rPr>
      </w:pPr>
      <w:r>
        <w:rPr>
          <w:color w:val="auto"/>
          <w:sz w:val="28"/>
          <w:highlight w:val="none"/>
        </w:rPr>
        <w:br w:type="page"/>
      </w:r>
      <w:bookmarkStart w:id="66" w:name="OLE_LINK28"/>
    </w:p>
    <w:p w14:paraId="652479B6">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八、关于资格的声明函</w:t>
      </w:r>
      <w:bookmarkEnd w:id="66"/>
    </w:p>
    <w:p w14:paraId="488AA6D2">
      <w:pPr>
        <w:snapToGrid w:val="0"/>
        <w:spacing w:line="560" w:lineRule="exact"/>
        <w:ind w:firstLine="839"/>
        <w:rPr>
          <w:color w:val="auto"/>
          <w:highlight w:val="none"/>
        </w:rPr>
      </w:pPr>
    </w:p>
    <w:p w14:paraId="044110AC">
      <w:pPr>
        <w:snapToGrid w:val="0"/>
        <w:spacing w:line="560" w:lineRule="exact"/>
        <w:rPr>
          <w:rFonts w:ascii="宋体"/>
          <w:color w:val="auto"/>
          <w:sz w:val="24"/>
          <w:highlight w:val="none"/>
        </w:rPr>
      </w:pPr>
      <w:r>
        <w:rPr>
          <w:rFonts w:hint="eastAsia" w:ascii="宋体" w:hAnsi="宋体"/>
          <w:color w:val="auto"/>
          <w:sz w:val="24"/>
          <w:highlight w:val="none"/>
        </w:rPr>
        <w:t>安阳市方正招标采购服务有限责任公司：</w:t>
      </w:r>
    </w:p>
    <w:p w14:paraId="12EB9074">
      <w:pPr>
        <w:snapToGrid w:val="0"/>
        <w:spacing w:line="560" w:lineRule="exact"/>
        <w:ind w:firstLine="555"/>
        <w:rPr>
          <w:rFonts w:ascii="宋体"/>
          <w:color w:val="auto"/>
          <w:sz w:val="24"/>
          <w:highlight w:val="none"/>
        </w:rPr>
      </w:pPr>
      <w:r>
        <w:rPr>
          <w:rFonts w:hint="eastAsia" w:ascii="宋体" w:hAnsi="宋体"/>
          <w:color w:val="auto"/>
          <w:sz w:val="24"/>
          <w:highlight w:val="none"/>
        </w:rPr>
        <w:t>关于贵方项目编号为的谈</w:t>
      </w:r>
      <w:r>
        <w:rPr>
          <w:rFonts w:ascii="宋体" w:hAnsi="宋体"/>
          <w:color w:val="auto"/>
          <w:sz w:val="24"/>
          <w:highlight w:val="none"/>
        </w:rPr>
        <w:t>判公告</w:t>
      </w:r>
      <w:r>
        <w:rPr>
          <w:rFonts w:hint="eastAsia" w:ascii="宋体" w:hAnsi="宋体"/>
          <w:color w:val="auto"/>
          <w:sz w:val="24"/>
          <w:highlight w:val="none"/>
        </w:rPr>
        <w:t>，本签字人愿意参加投标，提供谈判文件中规定的产品及服务，并声明提交下列文件是准确的、真实的和有效的。</w:t>
      </w:r>
    </w:p>
    <w:p w14:paraId="09C7B841">
      <w:pPr>
        <w:numPr>
          <w:ilvl w:val="0"/>
          <w:numId w:val="9"/>
        </w:numPr>
        <w:snapToGrid w:val="0"/>
        <w:spacing w:line="560" w:lineRule="exact"/>
        <w:ind w:firstLine="555"/>
        <w:rPr>
          <w:rFonts w:ascii="宋体" w:hAnsi="宋体"/>
          <w:color w:val="auto"/>
          <w:sz w:val="24"/>
          <w:highlight w:val="none"/>
        </w:rPr>
      </w:pPr>
      <w:r>
        <w:rPr>
          <w:rFonts w:hint="eastAsia" w:ascii="宋体" w:hAnsi="宋体"/>
          <w:color w:val="auto"/>
          <w:sz w:val="24"/>
          <w:highlight w:val="none"/>
        </w:rPr>
        <w:t>《谈判文件》第一章“谈判公告”第二条所要求的资格性证明文件（证件或证明资料或承诺）</w:t>
      </w:r>
    </w:p>
    <w:p w14:paraId="48898F81">
      <w:pPr>
        <w:snapToGrid w:val="0"/>
        <w:spacing w:line="560" w:lineRule="exact"/>
        <w:ind w:firstLine="555"/>
        <w:rPr>
          <w:rFonts w:asci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采购项目中必须的其他证件。</w:t>
      </w:r>
    </w:p>
    <w:p w14:paraId="5719A499">
      <w:pPr>
        <w:snapToGrid w:val="0"/>
        <w:spacing w:line="560" w:lineRule="exact"/>
        <w:ind w:firstLine="555"/>
        <w:rPr>
          <w:rFonts w:ascii="宋体"/>
          <w:color w:val="auto"/>
          <w:sz w:val="24"/>
          <w:highlight w:val="none"/>
        </w:rPr>
      </w:pPr>
      <w:r>
        <w:rPr>
          <w:rFonts w:hint="eastAsia" w:ascii="宋体" w:hAnsi="宋体"/>
          <w:color w:val="auto"/>
          <w:sz w:val="24"/>
          <w:highlight w:val="none"/>
        </w:rPr>
        <w:t>3</w:t>
      </w:r>
      <w:r>
        <w:rPr>
          <w:rFonts w:ascii="宋体" w:hAnsi="宋体"/>
          <w:color w:val="auto"/>
          <w:sz w:val="24"/>
          <w:highlight w:val="none"/>
        </w:rPr>
        <w:t xml:space="preserve">. </w:t>
      </w:r>
      <w:r>
        <w:rPr>
          <w:rFonts w:hint="eastAsia" w:ascii="宋体" w:hAnsi="宋体"/>
          <w:color w:val="auto"/>
          <w:sz w:val="24"/>
          <w:highlight w:val="none"/>
        </w:rPr>
        <w:t>本签字人确认资格文件中的说明是真实的、准确的。</w:t>
      </w:r>
    </w:p>
    <w:p w14:paraId="0788E62E">
      <w:pPr>
        <w:snapToGrid w:val="0"/>
        <w:spacing w:line="560" w:lineRule="exact"/>
        <w:ind w:firstLine="555"/>
        <w:rPr>
          <w:rFonts w:ascii="宋体"/>
          <w:color w:val="auto"/>
          <w:sz w:val="24"/>
          <w:highlight w:val="none"/>
        </w:rPr>
      </w:pPr>
    </w:p>
    <w:p w14:paraId="7F4E5811">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614158CA">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7B84D820">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pacing w:val="8"/>
          <w:sz w:val="24"/>
          <w:highlight w:val="none"/>
        </w:rPr>
        <w:t>日期：</w:t>
      </w:r>
      <w:r>
        <w:rPr>
          <w:rFonts w:hint="eastAsia" w:ascii="宋体" w:hAnsi="宋体" w:cs="楷体_GB2312"/>
          <w:color w:val="auto"/>
          <w:sz w:val="24"/>
          <w:highlight w:val="none"/>
          <w:lang w:val="zh-CN"/>
        </w:rPr>
        <w:t>年月日</w:t>
      </w:r>
    </w:p>
    <w:p w14:paraId="25F63D5F">
      <w:pPr>
        <w:snapToGrid w:val="0"/>
        <w:spacing w:line="560" w:lineRule="exact"/>
        <w:rPr>
          <w:rFonts w:ascii="宋体"/>
          <w:color w:val="auto"/>
          <w:sz w:val="24"/>
          <w:highlight w:val="none"/>
        </w:rPr>
      </w:pPr>
    </w:p>
    <w:p w14:paraId="7133B53A">
      <w:pPr>
        <w:tabs>
          <w:tab w:val="left" w:pos="540"/>
        </w:tabs>
        <w:spacing w:line="440" w:lineRule="exact"/>
        <w:jc w:val="center"/>
        <w:rPr>
          <w:color w:val="auto"/>
          <w:sz w:val="28"/>
          <w:highlight w:val="none"/>
        </w:rPr>
      </w:pPr>
      <w:r>
        <w:rPr>
          <w:rFonts w:ascii="宋体"/>
          <w:color w:val="auto"/>
          <w:sz w:val="24"/>
          <w:highlight w:val="none"/>
        </w:rPr>
        <w:br w:type="page"/>
      </w:r>
    </w:p>
    <w:p w14:paraId="57D9E902">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九、反商业贿赂承诺书</w:t>
      </w:r>
    </w:p>
    <w:p w14:paraId="2AA2256F">
      <w:pPr>
        <w:rPr>
          <w:b/>
          <w:color w:val="auto"/>
          <w:sz w:val="48"/>
          <w:szCs w:val="48"/>
          <w:highlight w:val="none"/>
        </w:rPr>
      </w:pPr>
    </w:p>
    <w:p w14:paraId="2368D791">
      <w:pPr>
        <w:snapToGrid w:val="0"/>
        <w:spacing w:line="560" w:lineRule="atLeast"/>
        <w:ind w:right="56" w:firstLine="555"/>
        <w:rPr>
          <w:color w:val="auto"/>
          <w:sz w:val="24"/>
          <w:highlight w:val="none"/>
        </w:rPr>
      </w:pPr>
      <w:r>
        <w:rPr>
          <w:rFonts w:hint="eastAsia"/>
          <w:color w:val="auto"/>
          <w:sz w:val="24"/>
          <w:highlight w:val="none"/>
        </w:rPr>
        <w:t>我公司承诺：</w:t>
      </w:r>
    </w:p>
    <w:p w14:paraId="4CA7013D">
      <w:pPr>
        <w:snapToGrid w:val="0"/>
        <w:spacing w:line="560" w:lineRule="atLeast"/>
        <w:ind w:right="56" w:firstLine="555"/>
        <w:rPr>
          <w:color w:val="auto"/>
          <w:sz w:val="24"/>
          <w:highlight w:val="none"/>
        </w:rPr>
      </w:pPr>
      <w:r>
        <w:rPr>
          <w:rFonts w:hint="eastAsia"/>
          <w:color w:val="auto"/>
          <w:sz w:val="24"/>
          <w:highlight w:val="none"/>
        </w:rPr>
        <w:t>在采购活动中，我公司保证做到：</w:t>
      </w:r>
    </w:p>
    <w:p w14:paraId="1CCDCF2A">
      <w:pPr>
        <w:snapToGrid w:val="0"/>
        <w:spacing w:line="560" w:lineRule="atLeast"/>
        <w:ind w:right="56" w:firstLine="555"/>
        <w:rPr>
          <w:color w:val="auto"/>
          <w:sz w:val="24"/>
          <w:highlight w:val="none"/>
        </w:rPr>
      </w:pPr>
      <w:r>
        <w:rPr>
          <w:rFonts w:hint="eastAsia"/>
          <w:color w:val="auto"/>
          <w:sz w:val="24"/>
          <w:highlight w:val="none"/>
        </w:rPr>
        <w:t>一、公平竞争参加本次采购活动。</w:t>
      </w:r>
    </w:p>
    <w:p w14:paraId="48D34BC4">
      <w:pPr>
        <w:snapToGrid w:val="0"/>
        <w:spacing w:line="560" w:lineRule="atLeast"/>
        <w:ind w:right="56" w:firstLine="555"/>
        <w:rPr>
          <w:color w:val="auto"/>
          <w:sz w:val="24"/>
          <w:highlight w:val="none"/>
        </w:rPr>
      </w:pPr>
      <w:r>
        <w:rPr>
          <w:rFonts w:hint="eastAsia"/>
          <w:color w:val="auto"/>
          <w:sz w:val="24"/>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0631B23">
      <w:pPr>
        <w:snapToGrid w:val="0"/>
        <w:spacing w:line="560" w:lineRule="atLeast"/>
        <w:ind w:right="56" w:firstLine="555"/>
        <w:rPr>
          <w:color w:val="auto"/>
          <w:sz w:val="24"/>
          <w:highlight w:val="none"/>
        </w:rPr>
      </w:pPr>
      <w:r>
        <w:rPr>
          <w:rFonts w:hint="eastAsia"/>
          <w:color w:val="auto"/>
          <w:sz w:val="24"/>
          <w:highlight w:val="none"/>
        </w:rPr>
        <w:t>三、若出现上述行为，我公司及其参与投标的工作人员愿意接受按照国家法律法规等有关规定给予的处罚。</w:t>
      </w:r>
    </w:p>
    <w:p w14:paraId="3B0DC0BF">
      <w:pPr>
        <w:snapToGrid w:val="0"/>
        <w:spacing w:line="560" w:lineRule="atLeast"/>
        <w:ind w:right="56" w:firstLine="555"/>
        <w:rPr>
          <w:color w:val="auto"/>
          <w:sz w:val="24"/>
          <w:highlight w:val="none"/>
        </w:rPr>
      </w:pPr>
    </w:p>
    <w:p w14:paraId="52D92021">
      <w:pPr>
        <w:snapToGrid w:val="0"/>
        <w:spacing w:line="560" w:lineRule="atLeast"/>
        <w:ind w:right="56" w:firstLine="555"/>
        <w:rPr>
          <w:color w:val="auto"/>
          <w:sz w:val="24"/>
          <w:highlight w:val="none"/>
        </w:rPr>
      </w:pPr>
    </w:p>
    <w:p w14:paraId="715ACB47">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5467BA58">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77665F49">
      <w:pPr>
        <w:autoSpaceDE w:val="0"/>
        <w:autoSpaceDN w:val="0"/>
        <w:adjustRightInd w:val="0"/>
        <w:spacing w:line="480" w:lineRule="auto"/>
        <w:rPr>
          <w:rFonts w:ascii="宋体"/>
          <w:color w:val="auto"/>
          <w:sz w:val="24"/>
          <w:highlight w:val="none"/>
        </w:rPr>
      </w:pPr>
      <w:r>
        <w:rPr>
          <w:rFonts w:hint="eastAsia" w:ascii="宋体" w:hAnsi="宋体"/>
          <w:color w:val="auto"/>
          <w:spacing w:val="8"/>
          <w:sz w:val="24"/>
          <w:highlight w:val="none"/>
        </w:rPr>
        <w:t>日期：</w:t>
      </w:r>
      <w:r>
        <w:rPr>
          <w:rFonts w:hint="eastAsia" w:ascii="宋体" w:hAnsi="宋体" w:cs="楷体_GB2312"/>
          <w:color w:val="auto"/>
          <w:sz w:val="24"/>
          <w:highlight w:val="none"/>
          <w:lang w:val="zh-CN"/>
        </w:rPr>
        <w:t>年月日</w:t>
      </w:r>
    </w:p>
    <w:p w14:paraId="1B8777E1">
      <w:pPr>
        <w:tabs>
          <w:tab w:val="left" w:pos="540"/>
        </w:tabs>
        <w:spacing w:line="440" w:lineRule="exact"/>
        <w:jc w:val="center"/>
        <w:rPr>
          <w:color w:val="auto"/>
          <w:highlight w:val="none"/>
        </w:rPr>
      </w:pPr>
      <w:r>
        <w:rPr>
          <w:color w:val="auto"/>
          <w:highlight w:val="none"/>
        </w:rPr>
        <w:br w:type="page"/>
      </w:r>
    </w:p>
    <w:p w14:paraId="50EB6B9A">
      <w:pPr>
        <w:tabs>
          <w:tab w:val="left" w:pos="540"/>
        </w:tabs>
        <w:spacing w:line="44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十、</w:t>
      </w:r>
      <w:bookmarkStart w:id="67" w:name="OLE_LINK19"/>
      <w:r>
        <w:rPr>
          <w:rFonts w:hint="eastAsia" w:ascii="黑体" w:hAnsi="黑体" w:eastAsia="黑体"/>
          <w:b/>
          <w:color w:val="auto"/>
          <w:sz w:val="30"/>
          <w:szCs w:val="30"/>
          <w:highlight w:val="none"/>
        </w:rPr>
        <w:t>履约承诺书</w:t>
      </w:r>
      <w:bookmarkEnd w:id="67"/>
    </w:p>
    <w:p w14:paraId="687FAE90">
      <w:pPr>
        <w:adjustRightInd w:val="0"/>
        <w:snapToGrid w:val="0"/>
        <w:spacing w:beforeLines="50" w:line="300" w:lineRule="auto"/>
        <w:ind w:right="56" w:firstLine="555"/>
        <w:rPr>
          <w:color w:val="auto"/>
          <w:sz w:val="24"/>
          <w:highlight w:val="none"/>
        </w:rPr>
      </w:pPr>
      <w:r>
        <w:rPr>
          <w:rFonts w:hint="eastAsia"/>
          <w:color w:val="auto"/>
          <w:sz w:val="24"/>
          <w:highlight w:val="none"/>
        </w:rPr>
        <w:t>一、我单位承诺：</w:t>
      </w:r>
    </w:p>
    <w:p w14:paraId="39D34929">
      <w:pPr>
        <w:adjustRightInd w:val="0"/>
        <w:snapToGrid w:val="0"/>
        <w:spacing w:beforeLines="50" w:line="300" w:lineRule="auto"/>
        <w:ind w:firstLine="555"/>
        <w:rPr>
          <w:color w:val="auto"/>
          <w:sz w:val="24"/>
          <w:highlight w:val="none"/>
        </w:rPr>
      </w:pPr>
      <w:r>
        <w:rPr>
          <w:rFonts w:hint="eastAsia"/>
          <w:color w:val="auto"/>
          <w:sz w:val="24"/>
          <w:highlight w:val="none"/>
        </w:rPr>
        <w:t>（一）我单位已详细阅读并完全理解、同意谈判文件的全部内容，包括修改补充文件以及全部参考资料和有关附件；除我单位在谈判文件规定期间内书面提出的疑问外，我单位放弃对这方面不明及误解的权力，并严格按采购人确定的技术及商务要求等履行。</w:t>
      </w:r>
    </w:p>
    <w:p w14:paraId="27A7B439">
      <w:pPr>
        <w:tabs>
          <w:tab w:val="left" w:pos="9354"/>
        </w:tabs>
        <w:adjustRightInd w:val="0"/>
        <w:snapToGrid w:val="0"/>
        <w:spacing w:beforeLines="50" w:line="300" w:lineRule="auto"/>
        <w:ind w:firstLine="480" w:firstLineChars="200"/>
        <w:rPr>
          <w:color w:val="auto"/>
          <w:sz w:val="24"/>
          <w:highlight w:val="none"/>
        </w:rPr>
      </w:pPr>
      <w:r>
        <w:rPr>
          <w:rFonts w:hint="eastAsia"/>
          <w:color w:val="auto"/>
          <w:sz w:val="24"/>
          <w:highlight w:val="none"/>
        </w:rPr>
        <w:t>（二）我单位开标前已详细勘察现场，并按采购人现场条件及采购要求编制投标报价；我单位的投标报价括谈判文件所述报价组成的所有内容、并包括谈判文件未列明而与采购项目相关的、必须的所有款项及费用等达到交付使用及验收条件的所有一切风险、责任和义务的费用。</w:t>
      </w:r>
    </w:p>
    <w:p w14:paraId="66E0ED5F">
      <w:pPr>
        <w:tabs>
          <w:tab w:val="left" w:pos="9354"/>
        </w:tabs>
        <w:adjustRightInd w:val="0"/>
        <w:snapToGrid w:val="0"/>
        <w:spacing w:beforeLines="50" w:line="300" w:lineRule="auto"/>
        <w:ind w:firstLine="480" w:firstLineChars="200"/>
        <w:rPr>
          <w:color w:val="auto"/>
          <w:sz w:val="24"/>
          <w:highlight w:val="none"/>
        </w:rPr>
      </w:pPr>
      <w:r>
        <w:rPr>
          <w:rFonts w:hint="eastAsia"/>
          <w:color w:val="auto"/>
          <w:sz w:val="24"/>
          <w:highlight w:val="none"/>
        </w:rPr>
        <w:t>我单位保证按谈判文件要求及投标承诺的质量诚信履约。</w:t>
      </w:r>
    </w:p>
    <w:p w14:paraId="2392EB11">
      <w:pPr>
        <w:tabs>
          <w:tab w:val="left" w:pos="9354"/>
        </w:tabs>
        <w:adjustRightInd w:val="0"/>
        <w:snapToGrid w:val="0"/>
        <w:spacing w:beforeLines="50" w:line="300" w:lineRule="auto"/>
        <w:ind w:firstLine="480" w:firstLineChars="200"/>
        <w:rPr>
          <w:color w:val="auto"/>
          <w:sz w:val="24"/>
          <w:highlight w:val="none"/>
        </w:rPr>
      </w:pPr>
      <w:r>
        <w:rPr>
          <w:rFonts w:hint="eastAsia"/>
          <w:color w:val="auto"/>
          <w:sz w:val="24"/>
          <w:highlight w:val="none"/>
        </w:rPr>
        <w:t>（三）我单位保证在谈判文件要求的时间内按期、保质完成中标项目。我单位在推荐中标结果公示后，将积极、主动的与采购人联系合同签订事宜，合同签订中如有任何的问题，我单位保证及时书面反映情况，否则视为我单位责任、按违约处理。</w:t>
      </w:r>
    </w:p>
    <w:p w14:paraId="5EF33EA4">
      <w:pPr>
        <w:tabs>
          <w:tab w:val="left" w:pos="9354"/>
        </w:tabs>
        <w:adjustRightInd w:val="0"/>
        <w:snapToGrid w:val="0"/>
        <w:spacing w:beforeLines="50" w:line="300" w:lineRule="auto"/>
        <w:ind w:firstLine="480" w:firstLineChars="200"/>
        <w:rPr>
          <w:color w:val="auto"/>
          <w:sz w:val="24"/>
          <w:highlight w:val="none"/>
        </w:rPr>
      </w:pPr>
      <w:r>
        <w:rPr>
          <w:rFonts w:hint="eastAsia"/>
          <w:color w:val="auto"/>
          <w:sz w:val="24"/>
          <w:highlight w:val="none"/>
        </w:rPr>
        <w:t>二、我单位承诺：</w:t>
      </w:r>
    </w:p>
    <w:p w14:paraId="3A67871E">
      <w:pPr>
        <w:tabs>
          <w:tab w:val="left" w:pos="9354"/>
        </w:tabs>
        <w:adjustRightInd w:val="0"/>
        <w:snapToGrid w:val="0"/>
        <w:spacing w:beforeLines="50" w:line="300" w:lineRule="auto"/>
        <w:ind w:firstLine="480" w:firstLineChars="200"/>
        <w:rPr>
          <w:color w:val="auto"/>
          <w:sz w:val="24"/>
          <w:highlight w:val="none"/>
        </w:rPr>
      </w:pPr>
      <w:r>
        <w:rPr>
          <w:rFonts w:hint="eastAsia"/>
          <w:color w:val="auto"/>
          <w:sz w:val="24"/>
          <w:highlight w:val="none"/>
        </w:rPr>
        <w:t>除法律规定的不可抗力因素外，我单位中标后以任何理由（包括违背上述承诺的事项）提出不能满足谈判文件技术、交验期等要求或不能实现投标承诺的或提出变更的，我单位将无条件接受违约处理、并放弃我单位中标资格。我单位知悉违约责任及其处理，并无条件接受：</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w:t>
      </w:r>
      <w:r>
        <w:rPr>
          <w:rFonts w:hint="eastAsia" w:ascii="宋体" w:hAnsi="宋体" w:cs="楷体_GB2312"/>
          <w:color w:val="auto"/>
          <w:sz w:val="24"/>
          <w:szCs w:val="22"/>
          <w:highlight w:val="none"/>
        </w:rPr>
        <w:t>承担相应法律责任及违约责任。</w:t>
      </w:r>
      <w:r>
        <w:rPr>
          <w:rFonts w:hint="eastAsia"/>
          <w:color w:val="auto"/>
          <w:sz w:val="24"/>
          <w:highlight w:val="none"/>
        </w:rPr>
        <w:t>情节严重的，由财政部门列入不良行为记录名单，在一至三年内禁止参加政府采购活动，并予以通报，处以罚金，给采购人及他人造成损失的，承担相应的赔偿责任。</w:t>
      </w:r>
    </w:p>
    <w:p w14:paraId="2E827F10">
      <w:pPr>
        <w:tabs>
          <w:tab w:val="left" w:pos="9354"/>
        </w:tabs>
        <w:adjustRightInd w:val="0"/>
        <w:snapToGrid w:val="0"/>
        <w:spacing w:beforeLines="50" w:line="300" w:lineRule="auto"/>
        <w:ind w:firstLine="480" w:firstLineChars="200"/>
        <w:rPr>
          <w:color w:val="auto"/>
          <w:sz w:val="24"/>
          <w:highlight w:val="none"/>
        </w:rPr>
      </w:pPr>
    </w:p>
    <w:p w14:paraId="03E4F993">
      <w:pPr>
        <w:tabs>
          <w:tab w:val="left" w:pos="9354"/>
        </w:tabs>
        <w:adjustRightInd w:val="0"/>
        <w:snapToGrid w:val="0"/>
        <w:spacing w:beforeLines="50" w:line="300" w:lineRule="auto"/>
        <w:ind w:firstLine="480" w:firstLineChars="200"/>
        <w:rPr>
          <w:color w:val="auto"/>
          <w:sz w:val="24"/>
          <w:highlight w:val="none"/>
        </w:rPr>
      </w:pPr>
    </w:p>
    <w:p w14:paraId="0E273084">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投标人（电子签</w:t>
      </w:r>
      <w:r>
        <w:rPr>
          <w:rFonts w:hint="eastAsia" w:ascii="宋体" w:hAnsi="宋体"/>
          <w:color w:val="auto"/>
          <w:sz w:val="24"/>
          <w:szCs w:val="24"/>
          <w:highlight w:val="none"/>
        </w:rPr>
        <w:t>章</w:t>
      </w:r>
      <w:r>
        <w:rPr>
          <w:rFonts w:hint="eastAsia"/>
          <w:color w:val="auto"/>
          <w:sz w:val="24"/>
          <w:szCs w:val="24"/>
          <w:highlight w:val="none"/>
        </w:rPr>
        <w:t>）：</w:t>
      </w:r>
    </w:p>
    <w:p w14:paraId="79F2AD1A">
      <w:pPr>
        <w:widowControl w:val="0"/>
        <w:tabs>
          <w:tab w:val="left" w:pos="9365"/>
        </w:tabs>
        <w:snapToGrid w:val="0"/>
        <w:spacing w:after="56" w:line="560" w:lineRule="exact"/>
        <w:ind w:right="85"/>
        <w:jc w:val="left"/>
        <w:textAlignment w:val="top"/>
        <w:rPr>
          <w:color w:val="auto"/>
          <w:sz w:val="24"/>
          <w:szCs w:val="24"/>
          <w:highlight w:val="none"/>
        </w:rPr>
      </w:pPr>
      <w:r>
        <w:rPr>
          <w:rFonts w:hint="eastAsia"/>
          <w:color w:val="auto"/>
          <w:sz w:val="24"/>
          <w:szCs w:val="24"/>
          <w:highlight w:val="none"/>
        </w:rPr>
        <w:t>法定代表人（电子签名或签章）：</w:t>
      </w:r>
    </w:p>
    <w:p w14:paraId="37997BBD">
      <w:pPr>
        <w:autoSpaceDE w:val="0"/>
        <w:autoSpaceDN w:val="0"/>
        <w:adjustRightInd w:val="0"/>
        <w:spacing w:line="360" w:lineRule="auto"/>
        <w:jc w:val="left"/>
        <w:rPr>
          <w:rFonts w:eastAsia="方正黑体简体"/>
          <w:b/>
          <w:color w:val="auto"/>
          <w:sz w:val="30"/>
          <w:szCs w:val="30"/>
          <w:highlight w:val="none"/>
        </w:rPr>
      </w:pPr>
      <w:r>
        <w:rPr>
          <w:rFonts w:hint="eastAsia" w:ascii="宋体" w:hAnsi="宋体"/>
          <w:color w:val="auto"/>
          <w:spacing w:val="8"/>
          <w:sz w:val="24"/>
          <w:highlight w:val="none"/>
        </w:rPr>
        <w:t>日期：</w:t>
      </w:r>
      <w:r>
        <w:rPr>
          <w:rFonts w:hint="eastAsia" w:ascii="宋体" w:hAnsi="宋体" w:cs="楷体_GB2312"/>
          <w:color w:val="auto"/>
          <w:sz w:val="24"/>
          <w:highlight w:val="none"/>
          <w:lang w:val="zh-CN"/>
        </w:rPr>
        <w:t>年月日</w:t>
      </w:r>
    </w:p>
    <w:p w14:paraId="42795013">
      <w:pPr>
        <w:spacing w:line="240" w:lineRule="auto"/>
        <w:jc w:val="left"/>
        <w:textAlignment w:val="auto"/>
        <w:rPr>
          <w:rFonts w:eastAsia="方正黑体简体"/>
          <w:b/>
          <w:color w:val="auto"/>
          <w:sz w:val="30"/>
          <w:szCs w:val="30"/>
          <w:highlight w:val="none"/>
        </w:rPr>
      </w:pPr>
      <w:r>
        <w:rPr>
          <w:rFonts w:eastAsia="方正黑体简体"/>
          <w:b/>
          <w:color w:val="auto"/>
          <w:sz w:val="30"/>
          <w:szCs w:val="30"/>
          <w:highlight w:val="none"/>
        </w:rPr>
        <w:br w:type="page"/>
      </w:r>
    </w:p>
    <w:p w14:paraId="72F1B6F2">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十一、资格要求相关证明材料（文件）</w:t>
      </w:r>
    </w:p>
    <w:p w14:paraId="70B24002">
      <w:pPr>
        <w:autoSpaceDE w:val="0"/>
        <w:autoSpaceDN w:val="0"/>
        <w:adjustRightInd w:val="0"/>
        <w:spacing w:line="360" w:lineRule="auto"/>
        <w:jc w:val="center"/>
        <w:rPr>
          <w:rFonts w:ascii="宋体"/>
          <w:color w:val="auto"/>
          <w:sz w:val="24"/>
          <w:szCs w:val="24"/>
          <w:highlight w:val="none"/>
        </w:rPr>
      </w:pPr>
    </w:p>
    <w:p w14:paraId="446AFAA1">
      <w:pPr>
        <w:autoSpaceDE w:val="0"/>
        <w:autoSpaceDN w:val="0"/>
        <w:adjustRightInd w:val="0"/>
        <w:spacing w:line="360" w:lineRule="auto"/>
        <w:jc w:val="center"/>
        <w:rPr>
          <w:rFonts w:ascii="黑体" w:hAnsi="黑体" w:eastAsia="黑体"/>
          <w:b/>
          <w:color w:val="auto"/>
          <w:sz w:val="24"/>
          <w:szCs w:val="24"/>
          <w:highlight w:val="none"/>
        </w:rPr>
      </w:pPr>
      <w:r>
        <w:rPr>
          <w:rFonts w:hint="eastAsia" w:ascii="宋体"/>
          <w:color w:val="auto"/>
          <w:sz w:val="24"/>
          <w:szCs w:val="24"/>
          <w:highlight w:val="none"/>
        </w:rPr>
        <w:t>★★★【</w:t>
      </w:r>
      <w:r>
        <w:rPr>
          <w:rFonts w:hint="eastAsia" w:ascii="黑体" w:hAnsi="黑体" w:eastAsia="黑体"/>
          <w:b/>
          <w:color w:val="auto"/>
          <w:sz w:val="24"/>
          <w:szCs w:val="24"/>
          <w:highlight w:val="none"/>
        </w:rPr>
        <w:t>请注意：未按公告要求逐一提交资格证明资料的将导致无效投标，为近期常见的因不仔细而缺少某一资格证明资料、导致无效，特此提醒】</w:t>
      </w:r>
    </w:p>
    <w:p w14:paraId="6E27AAB2">
      <w:pPr>
        <w:autoSpaceDE w:val="0"/>
        <w:autoSpaceDN w:val="0"/>
        <w:adjustRightInd w:val="0"/>
        <w:spacing w:line="360" w:lineRule="auto"/>
        <w:jc w:val="center"/>
        <w:rPr>
          <w:rFonts w:ascii="宋体"/>
          <w:color w:val="auto"/>
          <w:sz w:val="24"/>
          <w:szCs w:val="24"/>
          <w:highlight w:val="none"/>
        </w:rPr>
      </w:pPr>
    </w:p>
    <w:p w14:paraId="11E37382">
      <w:pPr>
        <w:spacing w:line="588" w:lineRule="exact"/>
        <w:jc w:val="center"/>
        <w:rPr>
          <w:rFonts w:ascii="黑体" w:hAnsi="黑体" w:eastAsia="黑体"/>
          <w:b/>
          <w:color w:val="auto"/>
          <w:sz w:val="30"/>
          <w:szCs w:val="30"/>
          <w:highlight w:val="none"/>
        </w:rPr>
      </w:pPr>
      <w:r>
        <w:rPr>
          <w:rFonts w:hint="eastAsia" w:ascii="宋体"/>
          <w:color w:val="auto"/>
          <w:sz w:val="24"/>
          <w:szCs w:val="24"/>
          <w:highlight w:val="none"/>
        </w:rPr>
        <w:t>★★★【</w:t>
      </w:r>
      <w:r>
        <w:rPr>
          <w:rFonts w:hint="eastAsia" w:ascii="黑体" w:hAnsi="黑体" w:eastAsia="黑体"/>
          <w:b/>
          <w:color w:val="auto"/>
          <w:sz w:val="24"/>
          <w:szCs w:val="24"/>
          <w:highlight w:val="none"/>
        </w:rPr>
        <w:t>请注意：未按谈判公告要求电子签名&lt;签章&gt;的将导致无效投标，特此提醒】</w:t>
      </w:r>
      <w:r>
        <w:rPr>
          <w:rFonts w:ascii="黑体" w:hAnsi="黑体" w:eastAsia="黑体"/>
          <w:b/>
          <w:color w:val="auto"/>
          <w:sz w:val="30"/>
          <w:szCs w:val="30"/>
          <w:highlight w:val="none"/>
        </w:rPr>
        <w:br w:type="page"/>
      </w:r>
      <w:bookmarkStart w:id="68" w:name="bookmark1"/>
    </w:p>
    <w:bookmarkEnd w:id="68"/>
    <w:p w14:paraId="65AE4E1D">
      <w:pPr>
        <w:widowControl w:val="0"/>
        <w:tabs>
          <w:tab w:val="left" w:pos="9365"/>
        </w:tabs>
        <w:snapToGrid w:val="0"/>
        <w:spacing w:after="56" w:line="560" w:lineRule="exact"/>
        <w:ind w:right="85"/>
        <w:jc w:val="center"/>
        <w:textAlignment w:val="top"/>
        <w:rPr>
          <w:rFonts w:ascii="黑体" w:hAnsi="黑体" w:eastAsia="黑体"/>
          <w:b/>
          <w:color w:val="auto"/>
          <w:sz w:val="30"/>
          <w:szCs w:val="30"/>
          <w:highlight w:val="none"/>
        </w:rPr>
      </w:pPr>
      <w:r>
        <w:rPr>
          <w:rFonts w:hint="eastAsia" w:ascii="黑体" w:hAnsi="黑体" w:eastAsia="黑体"/>
          <w:b/>
          <w:color w:val="auto"/>
          <w:sz w:val="30"/>
          <w:szCs w:val="30"/>
          <w:highlight w:val="none"/>
        </w:rPr>
        <w:t>近三年无重大违法记录的声明函</w:t>
      </w:r>
    </w:p>
    <w:p w14:paraId="522EB72F">
      <w:pPr>
        <w:tabs>
          <w:tab w:val="left" w:pos="9365"/>
        </w:tabs>
        <w:spacing w:before="57" w:after="57" w:line="586" w:lineRule="atLeast"/>
        <w:ind w:right="85"/>
        <w:jc w:val="left"/>
        <w:textAlignment w:val="top"/>
        <w:rPr>
          <w:rFonts w:ascii="宋体" w:hAnsi="宋体"/>
          <w:color w:val="auto"/>
          <w:sz w:val="24"/>
          <w:szCs w:val="24"/>
          <w:highlight w:val="none"/>
        </w:rPr>
      </w:pPr>
    </w:p>
    <w:p w14:paraId="20702D18">
      <w:pPr>
        <w:tabs>
          <w:tab w:val="left" w:pos="9365"/>
        </w:tabs>
        <w:spacing w:before="57" w:after="57" w:line="586" w:lineRule="atLeast"/>
        <w:ind w:right="85"/>
        <w:jc w:val="left"/>
        <w:textAlignment w:val="top"/>
        <w:rPr>
          <w:rFonts w:ascii="宋体" w:hAnsi="宋体"/>
          <w:color w:val="auto"/>
          <w:sz w:val="24"/>
          <w:szCs w:val="24"/>
          <w:highlight w:val="none"/>
        </w:rPr>
      </w:pPr>
      <w:r>
        <w:rPr>
          <w:rFonts w:hint="eastAsia" w:ascii="宋体" w:hAnsi="宋体"/>
          <w:color w:val="auto"/>
          <w:sz w:val="24"/>
          <w:highlight w:val="none"/>
        </w:rPr>
        <w:t>安阳市方正招标采购服务有限责任公司：</w:t>
      </w:r>
    </w:p>
    <w:p w14:paraId="64E627C9">
      <w:pPr>
        <w:tabs>
          <w:tab w:val="left" w:pos="9365"/>
        </w:tabs>
        <w:spacing w:before="57" w:after="57" w:line="586" w:lineRule="atLeast"/>
        <w:ind w:right="85" w:firstLine="600" w:firstLineChars="250"/>
        <w:jc w:val="left"/>
        <w:textAlignment w:val="top"/>
        <w:rPr>
          <w:rFonts w:ascii="宋体" w:hAnsi="宋体"/>
          <w:color w:val="auto"/>
          <w:sz w:val="24"/>
          <w:szCs w:val="24"/>
          <w:highlight w:val="none"/>
        </w:rPr>
      </w:pPr>
      <w:r>
        <w:rPr>
          <w:rFonts w:hint="eastAsia" w:ascii="宋体" w:hAnsi="宋体"/>
          <w:color w:val="auto"/>
          <w:sz w:val="24"/>
          <w:szCs w:val="24"/>
          <w:highlight w:val="none"/>
        </w:rPr>
        <w:t>我单位在参加政府采购活动前三年内，在经营活动中没有重大违法记录。</w:t>
      </w:r>
    </w:p>
    <w:p w14:paraId="40DE011F">
      <w:pPr>
        <w:tabs>
          <w:tab w:val="left" w:pos="9365"/>
        </w:tabs>
        <w:spacing w:before="57" w:after="57" w:line="586" w:lineRule="atLeast"/>
        <w:ind w:right="85" w:firstLine="600" w:firstLineChars="250"/>
        <w:jc w:val="left"/>
        <w:textAlignment w:val="top"/>
        <w:rPr>
          <w:rFonts w:ascii="宋体" w:hAnsi="宋体"/>
          <w:color w:val="auto"/>
          <w:sz w:val="24"/>
          <w:szCs w:val="24"/>
          <w:highlight w:val="none"/>
        </w:rPr>
      </w:pPr>
      <w:r>
        <w:rPr>
          <w:rFonts w:hint="eastAsia" w:ascii="宋体" w:hAnsi="宋体"/>
          <w:color w:val="auto"/>
          <w:sz w:val="24"/>
          <w:szCs w:val="24"/>
          <w:highlight w:val="none"/>
        </w:rPr>
        <w:t>特此承诺。</w:t>
      </w:r>
    </w:p>
    <w:p w14:paraId="5CADE1C3">
      <w:pPr>
        <w:tabs>
          <w:tab w:val="left" w:pos="9365"/>
        </w:tabs>
        <w:spacing w:before="57" w:after="57" w:line="586" w:lineRule="atLeast"/>
        <w:ind w:right="85"/>
        <w:jc w:val="left"/>
        <w:textAlignment w:val="top"/>
        <w:rPr>
          <w:rFonts w:ascii="宋体" w:hAnsi="宋体"/>
          <w:color w:val="auto"/>
          <w:sz w:val="24"/>
          <w:szCs w:val="24"/>
          <w:highlight w:val="none"/>
        </w:rPr>
      </w:pPr>
    </w:p>
    <w:p w14:paraId="26176E38">
      <w:pPr>
        <w:tabs>
          <w:tab w:val="left" w:pos="9365"/>
        </w:tabs>
        <w:spacing w:before="57" w:after="57" w:line="586" w:lineRule="atLeast"/>
        <w:ind w:right="85"/>
        <w:jc w:val="left"/>
        <w:textAlignment w:val="top"/>
        <w:rPr>
          <w:rFonts w:ascii="宋体" w:hAnsi="宋体"/>
          <w:color w:val="auto"/>
          <w:sz w:val="24"/>
          <w:szCs w:val="24"/>
          <w:highlight w:val="none"/>
        </w:rPr>
      </w:pPr>
    </w:p>
    <w:p w14:paraId="780E08CB">
      <w:pPr>
        <w:tabs>
          <w:tab w:val="left" w:pos="9365"/>
        </w:tabs>
        <w:spacing w:before="57" w:after="57" w:line="586" w:lineRule="atLeast"/>
        <w:ind w:right="85"/>
        <w:jc w:val="left"/>
        <w:textAlignment w:val="top"/>
        <w:rPr>
          <w:rFonts w:ascii="宋体" w:hAnsi="宋体"/>
          <w:color w:val="auto"/>
          <w:sz w:val="24"/>
          <w:szCs w:val="24"/>
          <w:highlight w:val="none"/>
        </w:rPr>
      </w:pPr>
    </w:p>
    <w:p w14:paraId="6889CDB0">
      <w:pPr>
        <w:widowControl w:val="0"/>
        <w:snapToGrid w:val="0"/>
        <w:spacing w:line="360" w:lineRule="auto"/>
        <w:textAlignment w:val="top"/>
        <w:rPr>
          <w:color w:val="auto"/>
          <w:sz w:val="24"/>
          <w:szCs w:val="24"/>
          <w:highlight w:val="none"/>
        </w:rPr>
      </w:pPr>
      <w:r>
        <w:rPr>
          <w:rFonts w:hint="eastAsia"/>
          <w:color w:val="auto"/>
          <w:sz w:val="24"/>
          <w:szCs w:val="24"/>
          <w:highlight w:val="none"/>
        </w:rPr>
        <w:t>投标人（电子签章）：</w:t>
      </w:r>
    </w:p>
    <w:p w14:paraId="02695F3D">
      <w:pPr>
        <w:widowControl w:val="0"/>
        <w:snapToGrid w:val="0"/>
        <w:spacing w:line="360" w:lineRule="auto"/>
        <w:textAlignment w:val="top"/>
        <w:rPr>
          <w:color w:val="auto"/>
          <w:sz w:val="24"/>
          <w:szCs w:val="24"/>
          <w:highlight w:val="none"/>
        </w:rPr>
      </w:pPr>
      <w:r>
        <w:rPr>
          <w:rFonts w:hint="eastAsia"/>
          <w:color w:val="auto"/>
          <w:sz w:val="24"/>
          <w:szCs w:val="24"/>
          <w:highlight w:val="none"/>
        </w:rPr>
        <w:t>法定代表人（电子签名或签章）：</w:t>
      </w:r>
    </w:p>
    <w:p w14:paraId="005C13FC">
      <w:pPr>
        <w:widowControl w:val="0"/>
        <w:snapToGrid w:val="0"/>
        <w:spacing w:line="360" w:lineRule="auto"/>
        <w:textAlignment w:val="top"/>
        <w:rPr>
          <w:color w:val="auto"/>
          <w:sz w:val="24"/>
          <w:szCs w:val="24"/>
          <w:highlight w:val="none"/>
        </w:rPr>
      </w:pPr>
      <w:r>
        <w:rPr>
          <w:rFonts w:hint="eastAsia"/>
          <w:color w:val="auto"/>
          <w:sz w:val="24"/>
          <w:szCs w:val="24"/>
          <w:highlight w:val="none"/>
        </w:rPr>
        <w:t>日期：年月日</w:t>
      </w:r>
    </w:p>
    <w:p w14:paraId="29BFCE2C">
      <w:pPr>
        <w:snapToGrid w:val="0"/>
        <w:spacing w:line="560" w:lineRule="exact"/>
        <w:ind w:firstLine="555"/>
        <w:rPr>
          <w:rFonts w:ascii="宋体"/>
          <w:color w:val="auto"/>
          <w:sz w:val="24"/>
          <w:highlight w:val="none"/>
        </w:rPr>
      </w:pPr>
    </w:p>
    <w:p w14:paraId="1501C35D">
      <w:pPr>
        <w:snapToGrid w:val="0"/>
        <w:spacing w:line="560" w:lineRule="atLeast"/>
        <w:jc w:val="center"/>
        <w:rPr>
          <w:rFonts w:ascii="宋体"/>
          <w:color w:val="auto"/>
          <w:sz w:val="24"/>
          <w:highlight w:val="none"/>
        </w:rPr>
      </w:pPr>
      <w:r>
        <w:rPr>
          <w:rFonts w:ascii="宋体"/>
          <w:color w:val="auto"/>
          <w:sz w:val="24"/>
          <w:highlight w:val="none"/>
        </w:rPr>
        <w:br w:type="page"/>
      </w:r>
    </w:p>
    <w:p w14:paraId="06062CE2">
      <w:pPr>
        <w:snapToGrid w:val="0"/>
        <w:spacing w:line="560" w:lineRule="atLeas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供应商负责人控股、设计等相关承诺书</w:t>
      </w:r>
    </w:p>
    <w:p w14:paraId="550E3615">
      <w:pPr>
        <w:tabs>
          <w:tab w:val="left" w:pos="9365"/>
        </w:tabs>
        <w:spacing w:before="360" w:after="360" w:line="586" w:lineRule="atLeas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pacing w:val="11"/>
          <w:sz w:val="24"/>
          <w:szCs w:val="24"/>
          <w:highlight w:val="none"/>
          <w:u w:val="single"/>
        </w:rPr>
        <w:t xml:space="preserve">(采购人名称）    </w:t>
      </w:r>
    </w:p>
    <w:p w14:paraId="2709C52C">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在项目编号为 的</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采购活动中，我单位承诺满足以下要求：</w:t>
      </w:r>
    </w:p>
    <w:p w14:paraId="4645943F">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一、单位负责人为同一人或者存在直接控股、管理关系的不同供应商，不参加同一合同项下的政府采购活动。</w:t>
      </w:r>
    </w:p>
    <w:p w14:paraId="6F58DF2E">
      <w:pPr>
        <w:tabs>
          <w:tab w:val="left" w:pos="65"/>
        </w:tabs>
        <w:spacing w:line="74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二、没有为本项目提供整体设计、规范编制或者项目管理、监理、检测等服务。</w:t>
      </w:r>
    </w:p>
    <w:p w14:paraId="382565DF">
      <w:pPr>
        <w:tabs>
          <w:tab w:val="left" w:pos="9365"/>
        </w:tabs>
        <w:spacing w:before="57" w:after="57" w:line="586" w:lineRule="atLeast"/>
        <w:ind w:right="85" w:firstLine="480" w:firstLineChars="200"/>
        <w:jc w:val="left"/>
        <w:textAlignment w:val="top"/>
        <w:rPr>
          <w:rFonts w:ascii="宋体" w:hAnsi="宋体"/>
          <w:color w:val="auto"/>
          <w:sz w:val="24"/>
          <w:szCs w:val="24"/>
          <w:highlight w:val="none"/>
        </w:rPr>
      </w:pPr>
      <w:r>
        <w:rPr>
          <w:rFonts w:hint="eastAsia" w:ascii="宋体" w:hAnsi="宋体"/>
          <w:color w:val="auto"/>
          <w:sz w:val="24"/>
          <w:szCs w:val="24"/>
          <w:highlight w:val="none"/>
        </w:rPr>
        <w:t>三、若出现上述行为，我单位确</w:t>
      </w:r>
      <w:r>
        <w:rPr>
          <w:rFonts w:ascii="宋体" w:hAnsi="宋体"/>
          <w:color w:val="auto"/>
          <w:sz w:val="24"/>
          <w:szCs w:val="24"/>
          <w:highlight w:val="none"/>
        </w:rPr>
        <w:t>认投标无</w:t>
      </w:r>
      <w:r>
        <w:rPr>
          <w:rFonts w:hint="eastAsia" w:ascii="宋体" w:hAnsi="宋体"/>
          <w:color w:val="auto"/>
          <w:sz w:val="24"/>
          <w:szCs w:val="24"/>
          <w:highlight w:val="none"/>
        </w:rPr>
        <w:t>效、</w:t>
      </w:r>
      <w:r>
        <w:rPr>
          <w:rFonts w:ascii="宋体" w:hAnsi="宋体"/>
          <w:color w:val="auto"/>
          <w:sz w:val="24"/>
          <w:szCs w:val="24"/>
          <w:highlight w:val="none"/>
        </w:rPr>
        <w:t>承诺</w:t>
      </w:r>
      <w:r>
        <w:rPr>
          <w:rFonts w:hint="eastAsia" w:ascii="宋体" w:hAnsi="宋体"/>
          <w:color w:val="auto"/>
          <w:sz w:val="24"/>
          <w:szCs w:val="24"/>
          <w:highlight w:val="none"/>
        </w:rPr>
        <w:t>书</w:t>
      </w:r>
      <w:r>
        <w:rPr>
          <w:rFonts w:ascii="宋体" w:hAnsi="宋体"/>
          <w:color w:val="auto"/>
          <w:sz w:val="24"/>
          <w:szCs w:val="24"/>
          <w:highlight w:val="none"/>
        </w:rPr>
        <w:t>虚假</w:t>
      </w:r>
      <w:r>
        <w:rPr>
          <w:rFonts w:hint="eastAsia" w:ascii="宋体" w:hAnsi="宋体"/>
          <w:color w:val="auto"/>
          <w:sz w:val="24"/>
          <w:szCs w:val="24"/>
          <w:highlight w:val="none"/>
        </w:rPr>
        <w:t>，接受相关部门按照国家法律法规等有关规定对</w:t>
      </w:r>
      <w:r>
        <w:rPr>
          <w:rFonts w:ascii="宋体" w:hAnsi="宋体"/>
          <w:color w:val="auto"/>
          <w:sz w:val="24"/>
          <w:szCs w:val="24"/>
          <w:highlight w:val="none"/>
        </w:rPr>
        <w:t>我单位虚假承诺所</w:t>
      </w:r>
      <w:r>
        <w:rPr>
          <w:rFonts w:hint="eastAsia" w:ascii="宋体" w:hAnsi="宋体"/>
          <w:color w:val="auto"/>
          <w:sz w:val="24"/>
          <w:szCs w:val="24"/>
          <w:highlight w:val="none"/>
        </w:rPr>
        <w:t>给予的处理。</w:t>
      </w:r>
    </w:p>
    <w:p w14:paraId="052B8BBA">
      <w:pPr>
        <w:tabs>
          <w:tab w:val="left" w:pos="9365"/>
        </w:tabs>
        <w:spacing w:before="57" w:after="57" w:line="586" w:lineRule="atLeast"/>
        <w:ind w:right="85"/>
        <w:jc w:val="left"/>
        <w:textAlignment w:val="top"/>
        <w:rPr>
          <w:rFonts w:ascii="宋体" w:hAnsi="宋体"/>
          <w:color w:val="auto"/>
          <w:sz w:val="24"/>
          <w:szCs w:val="24"/>
          <w:highlight w:val="none"/>
        </w:rPr>
      </w:pPr>
      <w:r>
        <w:rPr>
          <w:rFonts w:ascii="宋体" w:hAnsi="宋体"/>
          <w:color w:val="auto"/>
          <w:sz w:val="24"/>
          <w:szCs w:val="24"/>
          <w:highlight w:val="none"/>
        </w:rPr>
        <w:t> </w:t>
      </w:r>
    </w:p>
    <w:p w14:paraId="5A8B67E9">
      <w:pPr>
        <w:snapToGrid w:val="0"/>
        <w:spacing w:before="100" w:beforeAutospacing="1" w:after="100" w:afterAutospacing="1" w:line="700" w:lineRule="exact"/>
        <w:ind w:right="641"/>
        <w:rPr>
          <w:rFonts w:ascii="宋体" w:hAnsi="宋体"/>
          <w:color w:val="auto"/>
          <w:sz w:val="24"/>
          <w:szCs w:val="24"/>
          <w:highlight w:val="none"/>
        </w:rPr>
      </w:pPr>
      <w:r>
        <w:rPr>
          <w:rFonts w:hint="eastAsia" w:ascii="宋体" w:hAnsi="宋体"/>
          <w:color w:val="auto"/>
          <w:sz w:val="24"/>
          <w:szCs w:val="24"/>
          <w:highlight w:val="none"/>
        </w:rPr>
        <w:t>投标人（电子签章）：</w:t>
      </w:r>
    </w:p>
    <w:p w14:paraId="4E1F3849">
      <w:pPr>
        <w:snapToGrid w:val="0"/>
        <w:spacing w:before="100" w:beforeAutospacing="1" w:after="100" w:afterAutospacing="1" w:line="700" w:lineRule="exact"/>
        <w:ind w:right="641"/>
        <w:rPr>
          <w:rFonts w:ascii="宋体" w:hAnsi="宋体"/>
          <w:color w:val="auto"/>
          <w:sz w:val="24"/>
          <w:szCs w:val="24"/>
          <w:highlight w:val="none"/>
        </w:rPr>
      </w:pPr>
      <w:r>
        <w:rPr>
          <w:rFonts w:hint="eastAsia" w:ascii="宋体" w:hAnsi="宋体"/>
          <w:color w:val="auto"/>
          <w:sz w:val="24"/>
          <w:szCs w:val="24"/>
          <w:highlight w:val="none"/>
        </w:rPr>
        <w:t>法定代表人（电子签名或签章）：</w:t>
      </w:r>
    </w:p>
    <w:p w14:paraId="29C5994F">
      <w:pPr>
        <w:widowControl w:val="0"/>
        <w:tabs>
          <w:tab w:val="left" w:pos="9365"/>
        </w:tabs>
        <w:snapToGrid w:val="0"/>
        <w:spacing w:after="56" w:line="560" w:lineRule="exact"/>
        <w:ind w:right="85"/>
        <w:jc w:val="left"/>
        <w:textAlignment w:val="top"/>
        <w:rPr>
          <w:color w:val="auto"/>
          <w:sz w:val="24"/>
          <w:szCs w:val="24"/>
          <w:highlight w:val="none"/>
        </w:rPr>
      </w:pPr>
      <w:r>
        <w:rPr>
          <w:rFonts w:hint="eastAsia" w:ascii="宋体" w:hAnsi="宋体"/>
          <w:color w:val="auto"/>
          <w:sz w:val="24"/>
          <w:szCs w:val="24"/>
          <w:highlight w:val="none"/>
        </w:rPr>
        <w:t>日期：</w:t>
      </w:r>
      <w:r>
        <w:rPr>
          <w:rFonts w:hint="eastAsia" w:ascii="宋体" w:hAnsi="宋体" w:cs="楷体_GB2312"/>
          <w:color w:val="auto"/>
          <w:sz w:val="24"/>
          <w:highlight w:val="none"/>
          <w:lang w:val="zh-CN"/>
        </w:rPr>
        <w:t>年月日</w:t>
      </w:r>
    </w:p>
    <w:p w14:paraId="4FA1D9E3">
      <w:pPr>
        <w:autoSpaceDE w:val="0"/>
        <w:autoSpaceDN w:val="0"/>
        <w:adjustRightInd w:val="0"/>
        <w:spacing w:line="360" w:lineRule="auto"/>
        <w:rPr>
          <w:rFonts w:ascii="黑体" w:hAnsi="黑体" w:eastAsia="黑体"/>
          <w:b/>
          <w:color w:val="auto"/>
          <w:sz w:val="30"/>
          <w:szCs w:val="30"/>
          <w:highlight w:val="none"/>
        </w:rPr>
      </w:pPr>
    </w:p>
    <w:p w14:paraId="78484F50">
      <w:pPr>
        <w:autoSpaceDE w:val="0"/>
        <w:autoSpaceDN w:val="0"/>
        <w:adjustRightInd w:val="0"/>
        <w:spacing w:line="360" w:lineRule="auto"/>
        <w:jc w:val="center"/>
        <w:rPr>
          <w:rFonts w:ascii="宋体"/>
          <w:color w:val="auto"/>
          <w:sz w:val="24"/>
          <w:szCs w:val="24"/>
          <w:highlight w:val="none"/>
        </w:rPr>
      </w:pPr>
      <w:r>
        <w:rPr>
          <w:rFonts w:ascii="宋体"/>
          <w:color w:val="auto"/>
          <w:sz w:val="24"/>
          <w:szCs w:val="24"/>
          <w:highlight w:val="none"/>
        </w:rPr>
        <w:br w:type="page"/>
      </w:r>
    </w:p>
    <w:p w14:paraId="274382B4">
      <w:pPr>
        <w:autoSpaceDE w:val="0"/>
        <w:autoSpaceDN w:val="0"/>
        <w:adjustRightInd w:val="0"/>
        <w:spacing w:line="360" w:lineRule="auto"/>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投标承诺函</w:t>
      </w:r>
    </w:p>
    <w:p w14:paraId="29D3D02D">
      <w:pPr>
        <w:widowControl w:val="0"/>
        <w:tabs>
          <w:tab w:val="left" w:pos="9365"/>
        </w:tabs>
        <w:spacing w:before="360" w:after="360" w:line="360" w:lineRule="auto"/>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pacing w:val="11"/>
          <w:sz w:val="24"/>
          <w:szCs w:val="24"/>
          <w:highlight w:val="none"/>
          <w:u w:val="single"/>
        </w:rPr>
        <w:t>(采购人名称） 、</w:t>
      </w:r>
      <w:r>
        <w:rPr>
          <w:rFonts w:hint="eastAsia"/>
          <w:color w:val="auto"/>
          <w:sz w:val="24"/>
          <w:szCs w:val="24"/>
          <w:highlight w:val="none"/>
        </w:rPr>
        <w:t>安阳市方正招标采购服务有限责任公司</w:t>
      </w:r>
    </w:p>
    <w:p w14:paraId="6B0719BD">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在项目编号为 的</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采购活动中，我</w:t>
      </w:r>
      <w:r>
        <w:rPr>
          <w:rFonts w:hint="eastAsia"/>
          <w:color w:val="auto"/>
          <w:sz w:val="24"/>
          <w:highlight w:val="none"/>
        </w:rPr>
        <w:t>单位</w:t>
      </w:r>
      <w:r>
        <w:rPr>
          <w:rFonts w:hint="eastAsia" w:ascii="宋体" w:hAnsi="宋体"/>
          <w:color w:val="auto"/>
          <w:sz w:val="24"/>
          <w:szCs w:val="24"/>
          <w:highlight w:val="none"/>
        </w:rPr>
        <w:t>承诺：</w:t>
      </w:r>
    </w:p>
    <w:p w14:paraId="04AEBE8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一、遵循公开、公平、公正和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的原则自愿参加本项目投标；</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二、在政府采购活动中提供真实、准确、有效、合法的材料，不</w:t>
      </w:r>
      <w:r>
        <w:rPr>
          <w:rFonts w:hint="eastAsia" w:ascii="宋体" w:hAnsi="宋体"/>
          <w:color w:val="auto"/>
          <w:sz w:val="24"/>
          <w:szCs w:val="24"/>
          <w:highlight w:val="none"/>
          <w:lang w:val="zh-CN"/>
        </w:rPr>
        <w:t>提供虚假材料；</w:t>
      </w:r>
    </w:p>
    <w:p w14:paraId="28A76C3A">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三、</w:t>
      </w:r>
      <w:r>
        <w:rPr>
          <w:rFonts w:hint="eastAsia" w:ascii="宋体" w:hAnsi="宋体"/>
          <w:color w:val="auto"/>
          <w:sz w:val="24"/>
          <w:szCs w:val="24"/>
          <w:highlight w:val="none"/>
          <w:lang w:val="zh-CN"/>
        </w:rPr>
        <w:t>按照谈判文件规定，在提交投标文件截止时间后，在谈判文件规定的投标有效期限内不撤回投标文件；</w:t>
      </w:r>
    </w:p>
    <w:p w14:paraId="6919C229">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四、不</w:t>
      </w:r>
      <w:r>
        <w:rPr>
          <w:rFonts w:hint="eastAsia" w:ascii="宋体" w:hAnsi="宋体"/>
          <w:color w:val="auto"/>
          <w:sz w:val="24"/>
          <w:szCs w:val="24"/>
          <w:highlight w:val="none"/>
          <w:lang w:val="zh-CN"/>
        </w:rPr>
        <w:t>与其他投标人、采购人或采购代理机构串通或恶意串通。</w:t>
      </w:r>
    </w:p>
    <w:p w14:paraId="409E5B4C">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五、如我单位中标，</w:t>
      </w:r>
      <w:r>
        <w:rPr>
          <w:rFonts w:hint="eastAsia" w:ascii="宋体" w:hAnsi="宋体"/>
          <w:color w:val="auto"/>
          <w:sz w:val="24"/>
          <w:szCs w:val="24"/>
          <w:highlight w:val="none"/>
          <w:lang w:val="zh-CN"/>
        </w:rPr>
        <w:t>除不可抗拒力或谈判文件认可的情形外</w:t>
      </w:r>
      <w:r>
        <w:rPr>
          <w:rFonts w:hint="eastAsia" w:ascii="宋体" w:hAnsi="宋体"/>
          <w:color w:val="auto"/>
          <w:sz w:val="24"/>
          <w:szCs w:val="24"/>
          <w:highlight w:val="none"/>
        </w:rPr>
        <w:t>，我单位承诺及时领取中标通知书，</w:t>
      </w:r>
      <w:r>
        <w:rPr>
          <w:rFonts w:hint="eastAsia" w:ascii="宋体" w:hAnsi="宋体"/>
          <w:color w:val="auto"/>
          <w:sz w:val="24"/>
          <w:szCs w:val="24"/>
          <w:highlight w:val="none"/>
          <w:lang w:val="zh-CN"/>
        </w:rPr>
        <w:t>在成交通知书规定时间、地点与采购人签订合同；</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六、</w:t>
      </w:r>
      <w:r>
        <w:rPr>
          <w:rFonts w:hint="eastAsia" w:ascii="宋体" w:hAnsi="宋体"/>
          <w:color w:val="auto"/>
          <w:sz w:val="24"/>
          <w:szCs w:val="24"/>
          <w:highlight w:val="none"/>
          <w:lang w:val="zh-CN"/>
        </w:rPr>
        <w:t>遵守法律法规及谈判文件规定的其他情况；</w:t>
      </w:r>
    </w:p>
    <w:p w14:paraId="7E4EED7D">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七、按</w:t>
      </w:r>
      <w:r>
        <w:rPr>
          <w:rFonts w:hint="eastAsia" w:ascii="宋体" w:hAnsi="宋体"/>
          <w:color w:val="auto"/>
          <w:sz w:val="24"/>
          <w:szCs w:val="24"/>
          <w:highlight w:val="none"/>
          <w:lang w:val="zh-CN"/>
        </w:rPr>
        <w:t>谈判</w:t>
      </w:r>
      <w:r>
        <w:rPr>
          <w:rFonts w:hint="eastAsia" w:ascii="宋体" w:hAnsi="宋体"/>
          <w:color w:val="auto"/>
          <w:sz w:val="24"/>
          <w:szCs w:val="24"/>
          <w:highlight w:val="none"/>
        </w:rPr>
        <w:t>文件规定及时缴纳中标服务费。</w:t>
      </w:r>
    </w:p>
    <w:p w14:paraId="3EF393D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八、违背上述承诺事项的，我单位无条件接受以下责任追究：</w:t>
      </w:r>
    </w:p>
    <w:p w14:paraId="12F522AC">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lang w:val="zh-CN"/>
        </w:rPr>
        <w:t>（一）法定责任：</w:t>
      </w:r>
      <w:r>
        <w:rPr>
          <w:rFonts w:hint="eastAsia" w:ascii="宋体" w:hAnsi="宋体"/>
          <w:color w:val="auto"/>
          <w:sz w:val="24"/>
          <w:szCs w:val="24"/>
          <w:highlight w:val="none"/>
        </w:rPr>
        <w:t>按照政府采购相关法规，</w:t>
      </w:r>
      <w:r>
        <w:rPr>
          <w:rFonts w:hint="eastAsia" w:ascii="宋体" w:hAnsi="宋体"/>
          <w:color w:val="auto"/>
          <w:sz w:val="24"/>
          <w:szCs w:val="24"/>
          <w:highlight w:val="none"/>
          <w:lang w:val="zh-CN"/>
        </w:rPr>
        <w:t>处以罚款，列入不良行为记录名单，在一至三年内禁止参加政府采购活动，有违法所得的，并处没收违法所得，情节严重的，由工商行政管理机关（市场监督机关）吊销营业执照；构成犯罪的，依法追究刑事责任。</w:t>
      </w:r>
    </w:p>
    <w:p w14:paraId="67F40099">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给采购人及他人造成损失的，愿承担相应的赔偿责任。</w:t>
      </w:r>
    </w:p>
    <w:p w14:paraId="33EC0FE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zh-CN"/>
        </w:rPr>
        <w:t>（二）违约责任：</w:t>
      </w:r>
    </w:p>
    <w:p w14:paraId="3C21F54B">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1、已中标的，中标（成交）无效；</w:t>
      </w:r>
    </w:p>
    <w:p w14:paraId="30E43F06">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2、支付采购人违约标的预算金额2%的</w:t>
      </w:r>
      <w:r>
        <w:rPr>
          <w:rFonts w:hint="eastAsia" w:ascii="宋体" w:hAnsi="宋体"/>
          <w:color w:val="auto"/>
          <w:sz w:val="24"/>
          <w:szCs w:val="24"/>
          <w:highlight w:val="none"/>
          <w:lang w:val="zh-CN"/>
        </w:rPr>
        <w:t>违约金</w:t>
      </w:r>
      <w:r>
        <w:rPr>
          <w:rFonts w:hint="eastAsia" w:ascii="宋体" w:hAnsi="宋体"/>
          <w:color w:val="auto"/>
          <w:sz w:val="24"/>
          <w:szCs w:val="24"/>
          <w:highlight w:val="none"/>
        </w:rPr>
        <w:t>；</w:t>
      </w:r>
    </w:p>
    <w:p w14:paraId="661121F9">
      <w:pPr>
        <w:widowControl w:val="0"/>
        <w:tabs>
          <w:tab w:val="left" w:pos="65"/>
        </w:tabs>
        <w:spacing w:line="460" w:lineRule="atLeast"/>
        <w:ind w:firstLine="480" w:firstLineChars="200"/>
        <w:textAlignment w:val="auto"/>
        <w:rPr>
          <w:color w:val="auto"/>
          <w:sz w:val="24"/>
          <w:highlight w:val="none"/>
          <w:lang w:val="zh-CN"/>
        </w:rPr>
      </w:pPr>
      <w:r>
        <w:rPr>
          <w:rFonts w:hint="eastAsia" w:ascii="宋体" w:hAnsi="宋体"/>
          <w:color w:val="auto"/>
          <w:sz w:val="24"/>
          <w:szCs w:val="24"/>
          <w:highlight w:val="none"/>
        </w:rPr>
        <w:t>3、中标后未缴中标服务费的，作为违约及违背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原则，在履行承诺前，代理机构将视我单位为失信企业、不予办理其后相关业务。</w:t>
      </w:r>
    </w:p>
    <w:p w14:paraId="56647174">
      <w:pPr>
        <w:widowControl w:val="0"/>
        <w:autoSpaceDE w:val="0"/>
        <w:autoSpaceDN w:val="0"/>
        <w:adjustRightInd w:val="0"/>
        <w:spacing w:line="460" w:lineRule="atLeast"/>
        <w:ind w:left="-2" w:right="-817" w:hanging="149"/>
        <w:textAlignment w:val="auto"/>
        <w:rPr>
          <w:rFonts w:ascii="宋体" w:cs="楷体_GB2312"/>
          <w:color w:val="auto"/>
          <w:sz w:val="24"/>
          <w:highlight w:val="none"/>
          <w:lang w:val="zh-CN"/>
        </w:rPr>
      </w:pPr>
    </w:p>
    <w:p w14:paraId="0C679880">
      <w:pPr>
        <w:widowControl w:val="0"/>
        <w:tabs>
          <w:tab w:val="left" w:pos="9365"/>
        </w:tabs>
        <w:snapToGrid w:val="0"/>
        <w:spacing w:after="56" w:line="560" w:lineRule="exac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投标人（电子签章）：</w:t>
      </w:r>
    </w:p>
    <w:p w14:paraId="41B4F924">
      <w:pPr>
        <w:widowControl w:val="0"/>
        <w:tabs>
          <w:tab w:val="left" w:pos="9365"/>
        </w:tabs>
        <w:snapToGrid w:val="0"/>
        <w:spacing w:after="56" w:line="560" w:lineRule="exact"/>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法定代表人（电子签名或签章）：</w:t>
      </w:r>
    </w:p>
    <w:p w14:paraId="252549EA">
      <w:pPr>
        <w:widowControl w:val="0"/>
        <w:autoSpaceDE w:val="0"/>
        <w:autoSpaceDN w:val="0"/>
        <w:adjustRightInd w:val="0"/>
        <w:spacing w:line="240" w:lineRule="auto"/>
        <w:ind w:right="-816"/>
        <w:textAlignment w:val="auto"/>
        <w:rPr>
          <w:color w:val="auto"/>
          <w:sz w:val="24"/>
          <w:szCs w:val="24"/>
          <w:highlight w:val="none"/>
          <w:lang w:val="zh-CN"/>
        </w:rPr>
      </w:pPr>
      <w:r>
        <w:rPr>
          <w:rFonts w:hint="eastAsia" w:ascii="宋体" w:hAnsi="宋体" w:cs="楷体_GB2312"/>
          <w:color w:val="auto"/>
          <w:sz w:val="24"/>
          <w:highlight w:val="none"/>
          <w:lang w:val="zh-CN"/>
        </w:rPr>
        <w:t>日期：年月日</w:t>
      </w:r>
    </w:p>
    <w:p w14:paraId="27C45596">
      <w:pPr>
        <w:autoSpaceDE w:val="0"/>
        <w:autoSpaceDN w:val="0"/>
        <w:adjustRightInd w:val="0"/>
        <w:spacing w:line="360" w:lineRule="auto"/>
        <w:jc w:val="center"/>
        <w:rPr>
          <w:rFonts w:ascii="宋体"/>
          <w:color w:val="auto"/>
          <w:sz w:val="24"/>
          <w:szCs w:val="24"/>
          <w:highlight w:val="none"/>
        </w:rPr>
      </w:pPr>
      <w:r>
        <w:rPr>
          <w:rFonts w:ascii="宋体"/>
          <w:color w:val="auto"/>
          <w:sz w:val="24"/>
          <w:szCs w:val="24"/>
          <w:highlight w:val="none"/>
        </w:rPr>
        <w:br w:type="page"/>
      </w:r>
    </w:p>
    <w:p w14:paraId="703B2354">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十二、采购项目及技术服务要求所需的其他材料</w:t>
      </w:r>
    </w:p>
    <w:p w14:paraId="3BDC8272">
      <w:pPr>
        <w:widowControl w:val="0"/>
        <w:snapToGrid w:val="0"/>
        <w:spacing w:line="560" w:lineRule="exact"/>
        <w:ind w:firstLine="555"/>
        <w:rPr>
          <w:rFonts w:ascii="宋体" w:hAns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章&gt;未作明确要求的，由法定代表人电子签名</w:t>
      </w:r>
      <w:r>
        <w:rPr>
          <w:rFonts w:hint="eastAsia" w:ascii="宋体" w:hAnsi="宋体" w:cs="楷体_GB2312"/>
          <w:color w:val="auto"/>
          <w:sz w:val="24"/>
          <w:highlight w:val="none"/>
          <w:lang w:val="zh-CN"/>
        </w:rPr>
        <w:t>&lt;签</w:t>
      </w:r>
      <w:r>
        <w:rPr>
          <w:rFonts w:hint="eastAsia" w:ascii="宋体" w:hAnsi="宋体"/>
          <w:color w:val="auto"/>
          <w:sz w:val="24"/>
          <w:szCs w:val="24"/>
          <w:highlight w:val="none"/>
        </w:rPr>
        <w:t>章&gt;或投标人电子签章）</w:t>
      </w:r>
    </w:p>
    <w:p w14:paraId="32A92040">
      <w:pPr>
        <w:widowControl w:val="0"/>
        <w:snapToGrid w:val="0"/>
        <w:spacing w:line="560" w:lineRule="exact"/>
        <w:ind w:firstLine="555"/>
        <w:rPr>
          <w:rFonts w:ascii="宋体" w:hAnsi="宋体"/>
          <w:color w:val="auto"/>
          <w:sz w:val="24"/>
          <w:szCs w:val="24"/>
          <w:highlight w:val="none"/>
        </w:rPr>
      </w:pPr>
      <w:r>
        <w:rPr>
          <w:rFonts w:hint="eastAsia" w:ascii="宋体" w:hAnsi="宋体"/>
          <w:color w:val="auto"/>
          <w:sz w:val="24"/>
          <w:szCs w:val="24"/>
          <w:highlight w:val="none"/>
        </w:rPr>
        <w:t>如采购产品属于政府强制采购品目清单的，投标文件中应当提供相应的认证证书，认证证书应当为国家确定的认证机构出具、且应处于有效期之内。不符合的、为无效投标。</w:t>
      </w:r>
    </w:p>
    <w:p w14:paraId="02D41904">
      <w:pPr>
        <w:widowControl w:val="0"/>
        <w:snapToGrid w:val="0"/>
        <w:spacing w:line="560" w:lineRule="exact"/>
        <w:ind w:firstLine="555"/>
        <w:rPr>
          <w:rFonts w:ascii="宋体"/>
          <w:color w:val="auto"/>
          <w:sz w:val="24"/>
          <w:szCs w:val="24"/>
          <w:highlight w:val="none"/>
        </w:rPr>
      </w:pPr>
    </w:p>
    <w:p w14:paraId="71EC4D05">
      <w:pPr>
        <w:autoSpaceDE w:val="0"/>
        <w:autoSpaceDN w:val="0"/>
        <w:adjustRightInd w:val="0"/>
        <w:spacing w:line="360" w:lineRule="auto"/>
        <w:jc w:val="center"/>
        <w:rPr>
          <w:rFonts w:eastAsia="方正黑体简体"/>
          <w:b/>
          <w:color w:val="auto"/>
          <w:sz w:val="30"/>
          <w:szCs w:val="30"/>
          <w:highlight w:val="none"/>
        </w:rPr>
      </w:pPr>
    </w:p>
    <w:p w14:paraId="3FFD3121">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十三、投标人须知所需的其他材料</w:t>
      </w:r>
    </w:p>
    <w:p w14:paraId="148283C3">
      <w:pPr>
        <w:widowControl w:val="0"/>
        <w:snapToGrid w:val="0"/>
        <w:spacing w:line="560" w:lineRule="exact"/>
        <w:ind w:firstLine="555"/>
        <w:rPr>
          <w:rFonts w:asci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w:t>
      </w:r>
      <w:r>
        <w:rPr>
          <w:rFonts w:hint="eastAsia"/>
          <w:color w:val="auto"/>
          <w:sz w:val="24"/>
          <w:szCs w:val="24"/>
          <w:highlight w:val="none"/>
        </w:rPr>
        <w:t>投标人</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62BB8986">
      <w:pPr>
        <w:autoSpaceDE w:val="0"/>
        <w:autoSpaceDN w:val="0"/>
        <w:adjustRightInd w:val="0"/>
        <w:spacing w:line="360" w:lineRule="auto"/>
        <w:jc w:val="center"/>
        <w:rPr>
          <w:rFonts w:ascii="宋体"/>
          <w:color w:val="auto"/>
          <w:sz w:val="24"/>
          <w:szCs w:val="24"/>
          <w:highlight w:val="none"/>
        </w:rPr>
      </w:pPr>
    </w:p>
    <w:p w14:paraId="5519579F">
      <w:pPr>
        <w:autoSpaceDE w:val="0"/>
        <w:autoSpaceDN w:val="0"/>
        <w:adjustRightInd w:val="0"/>
        <w:spacing w:line="360" w:lineRule="auto"/>
        <w:jc w:val="center"/>
        <w:rPr>
          <w:rFonts w:ascii="宋体"/>
          <w:color w:val="auto"/>
          <w:sz w:val="24"/>
          <w:szCs w:val="24"/>
          <w:highlight w:val="none"/>
        </w:rPr>
      </w:pPr>
    </w:p>
    <w:p w14:paraId="6B094DD7">
      <w:pPr>
        <w:autoSpaceDE w:val="0"/>
        <w:autoSpaceDN w:val="0"/>
        <w:adjustRightInd w:val="0"/>
        <w:spacing w:line="360" w:lineRule="auto"/>
        <w:jc w:val="center"/>
        <w:rPr>
          <w:rFonts w:ascii="宋体"/>
          <w:color w:val="auto"/>
          <w:sz w:val="24"/>
          <w:szCs w:val="24"/>
          <w:highlight w:val="none"/>
        </w:rPr>
      </w:pPr>
    </w:p>
    <w:p w14:paraId="633FD99A">
      <w:pPr>
        <w:autoSpaceDE w:val="0"/>
        <w:autoSpaceDN w:val="0"/>
        <w:adjustRightInd w:val="0"/>
        <w:spacing w:line="360" w:lineRule="auto"/>
        <w:jc w:val="center"/>
        <w:rPr>
          <w:rFonts w:eastAsia="方正黑体简体"/>
          <w:b/>
          <w:color w:val="auto"/>
          <w:sz w:val="30"/>
          <w:szCs w:val="30"/>
          <w:highlight w:val="none"/>
        </w:rPr>
      </w:pPr>
    </w:p>
    <w:p w14:paraId="73F6BD4F">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十四、评审办法所需的其他材料</w:t>
      </w:r>
    </w:p>
    <w:p w14:paraId="2E652A77">
      <w:pPr>
        <w:widowControl w:val="0"/>
        <w:snapToGrid w:val="0"/>
        <w:spacing w:line="560" w:lineRule="exact"/>
        <w:ind w:firstLine="555"/>
        <w:rPr>
          <w:rFonts w:ascii="宋体"/>
          <w:color w:val="auto"/>
          <w:sz w:val="24"/>
          <w:szCs w:val="24"/>
          <w:highlight w:val="none"/>
        </w:rPr>
      </w:pPr>
      <w:r>
        <w:rPr>
          <w:rFonts w:hint="eastAsia" w:ascii="宋体" w:hAnsi="宋体"/>
          <w:color w:val="auto"/>
          <w:sz w:val="24"/>
          <w:szCs w:val="24"/>
          <w:highlight w:val="none"/>
        </w:rPr>
        <w:t>（按条款需要填列；并按条款要求</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章&gt;。条款中对</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章&gt;未作明确要求的，由法定代表人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w:t>
      </w:r>
      <w:r>
        <w:rPr>
          <w:rFonts w:hint="eastAsia"/>
          <w:color w:val="auto"/>
          <w:sz w:val="24"/>
          <w:szCs w:val="24"/>
          <w:highlight w:val="none"/>
        </w:rPr>
        <w:t>投标人</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04BBD40F">
      <w:pPr>
        <w:autoSpaceDE w:val="0"/>
        <w:autoSpaceDN w:val="0"/>
        <w:adjustRightInd w:val="0"/>
        <w:spacing w:line="360" w:lineRule="auto"/>
        <w:jc w:val="center"/>
        <w:rPr>
          <w:rFonts w:ascii="宋体"/>
          <w:color w:val="auto"/>
          <w:sz w:val="24"/>
          <w:szCs w:val="24"/>
          <w:highlight w:val="none"/>
        </w:rPr>
      </w:pPr>
    </w:p>
    <w:p w14:paraId="77F49B19">
      <w:pPr>
        <w:autoSpaceDE w:val="0"/>
        <w:autoSpaceDN w:val="0"/>
        <w:adjustRightInd w:val="0"/>
        <w:spacing w:line="360" w:lineRule="auto"/>
        <w:jc w:val="center"/>
        <w:rPr>
          <w:rFonts w:ascii="宋体"/>
          <w:color w:val="auto"/>
          <w:sz w:val="24"/>
          <w:szCs w:val="24"/>
          <w:highlight w:val="none"/>
        </w:rPr>
      </w:pPr>
    </w:p>
    <w:p w14:paraId="0425EA3F">
      <w:pPr>
        <w:widowControl w:val="0"/>
        <w:snapToGrid w:val="0"/>
        <w:spacing w:line="560" w:lineRule="exact"/>
        <w:rPr>
          <w:rFonts w:ascii="黑体" w:hAnsi="黑体" w:eastAsia="黑体"/>
          <w:b/>
          <w:color w:val="auto"/>
          <w:sz w:val="30"/>
          <w:szCs w:val="30"/>
          <w:highlight w:val="none"/>
        </w:rPr>
      </w:pPr>
      <w:r>
        <w:rPr>
          <w:rFonts w:hint="eastAsia" w:ascii="黑体" w:hAnsi="黑体" w:eastAsia="黑体"/>
          <w:b/>
          <w:color w:val="auto"/>
          <w:sz w:val="30"/>
          <w:szCs w:val="30"/>
          <w:highlight w:val="none"/>
        </w:rPr>
        <w:t>14</w:t>
      </w:r>
      <w:r>
        <w:rPr>
          <w:rFonts w:ascii="黑体" w:hAnsi="黑体" w:eastAsia="黑体"/>
          <w:b/>
          <w:color w:val="auto"/>
          <w:sz w:val="30"/>
          <w:szCs w:val="30"/>
          <w:highlight w:val="none"/>
        </w:rPr>
        <w:t>-</w:t>
      </w:r>
      <w:r>
        <w:rPr>
          <w:rFonts w:hint="eastAsia" w:ascii="黑体" w:hAnsi="黑体" w:eastAsia="黑体"/>
          <w:b/>
          <w:color w:val="auto"/>
          <w:sz w:val="30"/>
          <w:szCs w:val="30"/>
          <w:highlight w:val="none"/>
        </w:rPr>
        <w:t>1、其它材料</w:t>
      </w:r>
    </w:p>
    <w:p w14:paraId="1F4C6CCD">
      <w:pPr>
        <w:autoSpaceDE w:val="0"/>
        <w:autoSpaceDN w:val="0"/>
        <w:adjustRightInd w:val="0"/>
        <w:spacing w:line="360" w:lineRule="auto"/>
        <w:rPr>
          <w:rFonts w:ascii="宋体"/>
          <w:color w:val="auto"/>
          <w:sz w:val="24"/>
          <w:szCs w:val="24"/>
          <w:highlight w:val="none"/>
        </w:rPr>
      </w:pPr>
    </w:p>
    <w:p w14:paraId="77FC8BE8">
      <w:pPr>
        <w:autoSpaceDE w:val="0"/>
        <w:autoSpaceDN w:val="0"/>
        <w:adjustRightInd w:val="0"/>
        <w:spacing w:line="360" w:lineRule="auto"/>
        <w:rPr>
          <w:rFonts w:ascii="宋体"/>
          <w:color w:val="auto"/>
          <w:sz w:val="24"/>
          <w:szCs w:val="24"/>
          <w:highlight w:val="none"/>
        </w:rPr>
      </w:pPr>
      <w:r>
        <w:rPr>
          <w:rFonts w:ascii="宋体"/>
          <w:color w:val="auto"/>
          <w:sz w:val="24"/>
          <w:szCs w:val="24"/>
          <w:highlight w:val="none"/>
        </w:rPr>
        <w:br w:type="page"/>
      </w:r>
    </w:p>
    <w:p w14:paraId="64F7C583">
      <w:pPr>
        <w:widowControl w:val="0"/>
        <w:snapToGrid w:val="0"/>
        <w:spacing w:line="560" w:lineRule="exact"/>
        <w:rPr>
          <w:rFonts w:ascii="黑体" w:hAnsi="黑体" w:eastAsia="黑体"/>
          <w:b/>
          <w:color w:val="auto"/>
          <w:sz w:val="30"/>
          <w:szCs w:val="30"/>
          <w:highlight w:val="none"/>
        </w:rPr>
      </w:pPr>
      <w:r>
        <w:rPr>
          <w:rFonts w:hint="eastAsia" w:ascii="黑体" w:hAnsi="黑体" w:eastAsia="黑体"/>
          <w:b/>
          <w:color w:val="auto"/>
          <w:sz w:val="30"/>
          <w:szCs w:val="30"/>
          <w:highlight w:val="none"/>
        </w:rPr>
        <w:t>14-2附件：</w:t>
      </w:r>
    </w:p>
    <w:p w14:paraId="578F5B4C">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关于“台式计算机、便携式计算机、一体式计算机、工作站、通用服务器、操作系统、数据库”《需求标准》政策规定所涉及的</w:t>
      </w:r>
    </w:p>
    <w:p w14:paraId="67342639">
      <w:pPr>
        <w:widowControl w:val="0"/>
        <w:snapToGrid w:val="0"/>
        <w:spacing w:line="560" w:lineRule="exact"/>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投标要求、评审注意事项</w:t>
      </w:r>
    </w:p>
    <w:p w14:paraId="2630F40B">
      <w:pPr>
        <w:widowControl w:val="0"/>
        <w:tabs>
          <w:tab w:val="left" w:pos="65"/>
        </w:tabs>
        <w:spacing w:line="460" w:lineRule="atLeast"/>
        <w:ind w:firstLine="557" w:firstLineChars="198"/>
        <w:jc w:val="center"/>
        <w:textAlignment w:val="auto"/>
        <w:rPr>
          <w:b/>
          <w:color w:val="auto"/>
          <w:sz w:val="28"/>
          <w:szCs w:val="28"/>
          <w:highlight w:val="none"/>
        </w:rPr>
      </w:pPr>
      <w:r>
        <w:rPr>
          <w:rFonts w:hint="eastAsia"/>
          <w:b/>
          <w:color w:val="auto"/>
          <w:sz w:val="28"/>
          <w:szCs w:val="28"/>
          <w:highlight w:val="none"/>
        </w:rPr>
        <w:t>（投标产品如涉及）</w:t>
      </w:r>
    </w:p>
    <w:p w14:paraId="06F95F79">
      <w:pPr>
        <w:widowControl w:val="0"/>
        <w:tabs>
          <w:tab w:val="left" w:pos="65"/>
        </w:tabs>
        <w:spacing w:line="460" w:lineRule="atLeast"/>
        <w:ind w:firstLine="595" w:firstLineChars="247"/>
        <w:textAlignment w:val="auto"/>
        <w:rPr>
          <w:rFonts w:ascii="宋体" w:hAnsi="宋体"/>
          <w:color w:val="auto"/>
          <w:sz w:val="24"/>
          <w:szCs w:val="24"/>
          <w:highlight w:val="none"/>
        </w:rPr>
      </w:pPr>
      <w:r>
        <w:rPr>
          <w:rFonts w:hint="eastAsia" w:ascii="宋体" w:hAnsi="宋体"/>
          <w:b/>
          <w:color w:val="auto"/>
          <w:sz w:val="24"/>
          <w:szCs w:val="24"/>
          <w:highlight w:val="none"/>
        </w:rPr>
        <w:t>本次采购产品中、如涉及台式计算机、便携式计算机、一体式计算机、工作站、通用服务器、操作系统、数据库的，</w:t>
      </w:r>
      <w:r>
        <w:rPr>
          <w:rFonts w:hint="eastAsia" w:ascii="宋体" w:hAnsi="宋体"/>
          <w:color w:val="auto"/>
          <w:sz w:val="24"/>
          <w:szCs w:val="24"/>
          <w:highlight w:val="none"/>
        </w:rPr>
        <w:t>应符合《台式计算机政府采购需求标准（2023年版）》、《便携式计算机政府采购需求标准（2023年版）》、《一体式计算机政府采购需求标准（2023年版）》、《工作站政府采购需求标准（2023年版）》、《通用服务器政府采购需求标准（2023年版）》、《操作系统政府采购需求标准（2023年版）》、《数据库政府采购需求标准（2023年版）》的要求。</w:t>
      </w:r>
    </w:p>
    <w:p w14:paraId="3A57496B">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一、投标要求：</w:t>
      </w:r>
    </w:p>
    <w:p w14:paraId="301DDB1B">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1、无论《谈判文件》采购需求中是否列示说明，投标上述产品的、均应当符合上述需求标准。投标人对《谈判文件》采购需求及所涉需求标准有疑义、认为影响投标的，均应在投标前在法定时间内依法提出书面质疑，否则、将视为投标人对《谈判文件》采购需求及所涉需求标准的完全确认接受，采购人可以按有利于采购人工作需要的条款进行监督履行。</w:t>
      </w:r>
    </w:p>
    <w:p w14:paraId="6519576E">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2、投标人应当按《谈判文件》要求编制“投标产品清单及具体技术参数”、“技术偏差表”，以供谈判小组对投标产品是否符合《谈判文件》采购需求进行评审；不符合《谈判文件》采购需求的为无效投标。</w:t>
      </w:r>
    </w:p>
    <w:p w14:paraId="2BA4AD54">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3、按照“台式计算机、便携式计算机、一体式计算机、工作站、通用服务器、操作系统、数据库”《需求标准》的相关政策规定，在投标、响应环节，不再对相关产品是否符合《需求标准》进行检测、认证，不再要求供应商提供符合《需求标准》的检测、认证报告的相应佐证材料。</w:t>
      </w:r>
    </w:p>
    <w:p w14:paraId="58C35E2E">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按相关政策规定，供应商在投标、响应环节出具关于所提供产品满足采购文件要求承诺函（见后附格式）的，即视为相关产品符合要求，无需检测、认证报告的佐证材料。</w:t>
      </w:r>
    </w:p>
    <w:p w14:paraId="602B11AE">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4、按相关政策规定，履约验收中，采购人认为必要时委托依法取得检测、认证资质的机构进行检测、认证时，成交人将无条件配合。</w:t>
      </w:r>
    </w:p>
    <w:p w14:paraId="1B93B488">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5、如采购人委托依法取得检测、认证资质的机构进行检测、认证后，与采购要求或投标文件承诺不一的，中标无效、并接受相应的调查处理、承担相应的违约责任。</w:t>
      </w:r>
    </w:p>
    <w:p w14:paraId="365FDA06">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二、评审注意事项</w:t>
      </w:r>
    </w:p>
    <w:p w14:paraId="6C2C07C6">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1、供应商在投标、响应环节出具关于所提供产品满足采购文件要求承诺函（见后附格式）的，即视为相关产品符合要求，无需检测、认证报告的佐证材料。</w:t>
      </w:r>
    </w:p>
    <w:p w14:paraId="28964F41">
      <w:pPr>
        <w:widowControl w:val="0"/>
        <w:tabs>
          <w:tab w:val="left" w:pos="65"/>
        </w:tabs>
        <w:spacing w:line="460" w:lineRule="atLeast"/>
        <w:ind w:firstLine="592" w:firstLineChars="247"/>
        <w:textAlignment w:val="auto"/>
        <w:rPr>
          <w:rFonts w:ascii="宋体" w:hAnsi="宋体"/>
          <w:color w:val="auto"/>
          <w:sz w:val="24"/>
          <w:szCs w:val="24"/>
          <w:highlight w:val="none"/>
        </w:rPr>
      </w:pPr>
      <w:r>
        <w:rPr>
          <w:rFonts w:hint="eastAsia" w:ascii="宋体" w:hAnsi="宋体"/>
          <w:color w:val="auto"/>
          <w:sz w:val="24"/>
          <w:szCs w:val="24"/>
          <w:highlight w:val="none"/>
        </w:rPr>
        <w:t>2、投标人应当按《谈判文件》要求编制“投标产品清单及具体技术参数”、“技术偏差表”，以供谈判小组对投标产品是否符合《谈判文件》采购需求进行评审；不符合《谈判文件》采购需求的为无效投标。</w:t>
      </w:r>
    </w:p>
    <w:p w14:paraId="4D4F23D6">
      <w:pPr>
        <w:widowControl w:val="0"/>
        <w:tabs>
          <w:tab w:val="left" w:pos="65"/>
        </w:tabs>
        <w:spacing w:line="460" w:lineRule="atLeast"/>
        <w:ind w:firstLine="240" w:firstLineChars="100"/>
        <w:textAlignment w:val="auto"/>
        <w:rPr>
          <w:rFonts w:ascii="宋体" w:hAnsi="宋体"/>
          <w:color w:val="auto"/>
          <w:sz w:val="24"/>
          <w:szCs w:val="24"/>
          <w:highlight w:val="none"/>
        </w:rPr>
      </w:pPr>
      <w:r>
        <w:rPr>
          <w:rFonts w:ascii="宋体" w:hAnsi="宋体"/>
          <w:color w:val="auto"/>
          <w:sz w:val="24"/>
          <w:szCs w:val="24"/>
          <w:highlight w:val="none"/>
        </w:rPr>
        <w:br w:type="page"/>
      </w:r>
    </w:p>
    <w:p w14:paraId="529FB0A5">
      <w:pPr>
        <w:widowControl w:val="0"/>
        <w:tabs>
          <w:tab w:val="left" w:pos="65"/>
        </w:tabs>
        <w:spacing w:line="460" w:lineRule="atLeast"/>
        <w:ind w:firstLine="301" w:firstLineChars="100"/>
        <w:jc w:val="center"/>
        <w:textAlignment w:val="auto"/>
        <w:rPr>
          <w:rFonts w:ascii="黑体" w:hAnsi="黑体" w:eastAsia="黑体"/>
          <w:b/>
          <w:color w:val="auto"/>
          <w:sz w:val="30"/>
          <w:szCs w:val="30"/>
          <w:highlight w:val="none"/>
        </w:rPr>
      </w:pPr>
      <w:r>
        <w:rPr>
          <w:rFonts w:hint="eastAsia" w:ascii="黑体" w:hAnsi="黑体" w:eastAsia="黑体"/>
          <w:b/>
          <w:color w:val="auto"/>
          <w:sz w:val="30"/>
          <w:szCs w:val="30"/>
          <w:highlight w:val="none"/>
        </w:rPr>
        <w:t>关于“台式计算机、便携式计算机、一体式计算机、工作站、通用服务器、操作系统、数据库”《需求标准》相关的承诺函</w:t>
      </w:r>
    </w:p>
    <w:p w14:paraId="4E5D4AA3">
      <w:pPr>
        <w:widowControl w:val="0"/>
        <w:tabs>
          <w:tab w:val="left" w:pos="65"/>
        </w:tabs>
        <w:spacing w:line="460" w:lineRule="atLeast"/>
        <w:ind w:firstLine="281" w:firstLineChars="100"/>
        <w:jc w:val="center"/>
        <w:textAlignment w:val="auto"/>
        <w:rPr>
          <w:rFonts w:ascii="黑体" w:hAnsi="黑体" w:eastAsia="黑体"/>
          <w:b/>
          <w:color w:val="auto"/>
          <w:sz w:val="30"/>
          <w:szCs w:val="30"/>
          <w:highlight w:val="none"/>
        </w:rPr>
      </w:pPr>
      <w:r>
        <w:rPr>
          <w:rFonts w:hint="eastAsia"/>
          <w:b/>
          <w:color w:val="auto"/>
          <w:sz w:val="28"/>
          <w:szCs w:val="28"/>
          <w:highlight w:val="none"/>
        </w:rPr>
        <w:t>（投标产品如涉及）</w:t>
      </w:r>
    </w:p>
    <w:p w14:paraId="4CF1A711">
      <w:pPr>
        <w:widowControl w:val="0"/>
        <w:tabs>
          <w:tab w:val="left" w:pos="9365"/>
        </w:tabs>
        <w:spacing w:before="360" w:after="360" w:line="360" w:lineRule="auto"/>
        <w:ind w:right="85"/>
        <w:jc w:val="left"/>
        <w:textAlignment w:val="top"/>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pacing w:val="11"/>
          <w:sz w:val="24"/>
          <w:szCs w:val="24"/>
          <w:highlight w:val="none"/>
          <w:u w:val="single"/>
        </w:rPr>
        <w:t>(采购人名称） 、</w:t>
      </w:r>
      <w:r>
        <w:rPr>
          <w:rFonts w:hint="eastAsia"/>
          <w:color w:val="auto"/>
          <w:sz w:val="24"/>
          <w:szCs w:val="24"/>
          <w:highlight w:val="none"/>
        </w:rPr>
        <w:t>安阳市方正招标采购服务有限责任公司</w:t>
      </w:r>
    </w:p>
    <w:p w14:paraId="6ACAE177">
      <w:pPr>
        <w:widowControl w:val="0"/>
        <w:tabs>
          <w:tab w:val="left" w:pos="65"/>
        </w:tabs>
        <w:spacing w:line="460" w:lineRule="atLeast"/>
        <w:ind w:firstLine="480" w:firstLineChars="200"/>
        <w:textAlignment w:val="auto"/>
        <w:rPr>
          <w:color w:val="auto"/>
          <w:sz w:val="24"/>
          <w:highlight w:val="none"/>
        </w:rPr>
      </w:pPr>
      <w:r>
        <w:rPr>
          <w:rFonts w:hint="eastAsia" w:ascii="宋体" w:hAnsi="宋体"/>
          <w:color w:val="auto"/>
          <w:sz w:val="24"/>
          <w:szCs w:val="24"/>
          <w:highlight w:val="none"/>
        </w:rPr>
        <w:t>在项目编号为 的</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 xml:space="preserve"> 采购活动中，按《台式计算机政府采购需求标准（2023年版）》、《便携式计算机政府采购需求标准（2023年版）》、《一体式计算机政府采购需求标准（2023年版）》、《工作站政府采购需求标准（2023年版）》、《通用服务器政府采购需求标准（2023年版）》、《操作系统政府采购需求标准（2023年版）》、《数据库政府采购需求标准（2023年版）》相关政策规定，我</w:t>
      </w:r>
      <w:r>
        <w:rPr>
          <w:rFonts w:hint="eastAsia"/>
          <w:color w:val="auto"/>
          <w:sz w:val="24"/>
          <w:highlight w:val="none"/>
        </w:rPr>
        <w:t>单位承诺：</w:t>
      </w:r>
    </w:p>
    <w:p w14:paraId="7E8EB565">
      <w:pPr>
        <w:widowControl w:val="0"/>
        <w:tabs>
          <w:tab w:val="left" w:pos="65"/>
        </w:tabs>
        <w:spacing w:line="480" w:lineRule="auto"/>
        <w:ind w:firstLine="480" w:firstLineChars="200"/>
        <w:textAlignment w:val="auto"/>
        <w:rPr>
          <w:rFonts w:ascii="宋体" w:hAnsi="宋体"/>
          <w:color w:val="auto"/>
          <w:sz w:val="24"/>
          <w:szCs w:val="24"/>
          <w:highlight w:val="none"/>
        </w:rPr>
      </w:pPr>
      <w:r>
        <w:rPr>
          <w:rFonts w:hint="eastAsia"/>
          <w:color w:val="auto"/>
          <w:sz w:val="24"/>
          <w:highlight w:val="none"/>
        </w:rPr>
        <w:t>一</w:t>
      </w:r>
      <w:r>
        <w:rPr>
          <w:rFonts w:hint="eastAsia" w:ascii="宋体" w:hAnsi="宋体"/>
          <w:color w:val="auto"/>
          <w:sz w:val="24"/>
          <w:szCs w:val="24"/>
          <w:highlight w:val="none"/>
        </w:rPr>
        <w:t>、我单位承诺所投产品均满足上述《需求标准》要求。</w:t>
      </w:r>
    </w:p>
    <w:p w14:paraId="0E7BF706">
      <w:pPr>
        <w:spacing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我单位承诺所投产品均满足谈判文件技术、商务要求，并按《谈判文件》要求编制“投标产品清单及具体技术参数”、“技术偏差表”，以供谈判小组对投标产品是否符合《谈判文件》采购需求进行评审；不符合《谈判文件》采购需求的为无效投标。</w:t>
      </w:r>
    </w:p>
    <w:p w14:paraId="3DBA4DBB">
      <w:pPr>
        <w:spacing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三、按相关政策规定，履约验收中，采购人认为必要时委托依法取得检测、认证资质的机构进行检测、认证时，我单位将无条件配合。</w:t>
      </w:r>
    </w:p>
    <w:p w14:paraId="05BEC8E8">
      <w:pPr>
        <w:spacing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如采购人委托依法取得检测、认证资质的机构进行检测、认证后，与采购要求或投标文件承诺不一的，中标无效、并接受相应的调查处理、承担相应的违约责任。</w:t>
      </w:r>
    </w:p>
    <w:p w14:paraId="3EF6F454">
      <w:pPr>
        <w:widowControl w:val="0"/>
        <w:tabs>
          <w:tab w:val="left" w:pos="65"/>
        </w:tabs>
        <w:spacing w:line="460" w:lineRule="atLeast"/>
        <w:ind w:firstLine="300" w:firstLineChars="100"/>
        <w:jc w:val="center"/>
        <w:textAlignment w:val="auto"/>
        <w:rPr>
          <w:rFonts w:eastAsia="方正黑体简体"/>
          <w:b/>
          <w:color w:val="auto"/>
          <w:sz w:val="30"/>
          <w:szCs w:val="30"/>
          <w:highlight w:val="none"/>
        </w:rPr>
      </w:pPr>
    </w:p>
    <w:p w14:paraId="6F5DD932">
      <w:pPr>
        <w:widowControl w:val="0"/>
        <w:tabs>
          <w:tab w:val="left" w:pos="65"/>
        </w:tabs>
        <w:spacing w:line="460" w:lineRule="atLeast"/>
        <w:ind w:firstLine="300" w:firstLineChars="100"/>
        <w:jc w:val="center"/>
        <w:textAlignment w:val="auto"/>
        <w:rPr>
          <w:rFonts w:eastAsia="方正黑体简体"/>
          <w:b/>
          <w:color w:val="auto"/>
          <w:sz w:val="30"/>
          <w:szCs w:val="30"/>
          <w:highlight w:val="none"/>
        </w:rPr>
      </w:pPr>
    </w:p>
    <w:p w14:paraId="3CADD750">
      <w:pPr>
        <w:widowControl w:val="0"/>
        <w:snapToGrid w:val="0"/>
        <w:spacing w:line="360" w:lineRule="auto"/>
        <w:textAlignment w:val="top"/>
        <w:rPr>
          <w:color w:val="auto"/>
          <w:sz w:val="24"/>
          <w:szCs w:val="24"/>
          <w:highlight w:val="none"/>
        </w:rPr>
      </w:pPr>
      <w:r>
        <w:rPr>
          <w:rFonts w:hint="eastAsia"/>
          <w:color w:val="auto"/>
          <w:sz w:val="24"/>
          <w:szCs w:val="24"/>
          <w:highlight w:val="none"/>
        </w:rPr>
        <w:t>投标人（电子签章）：</w:t>
      </w:r>
    </w:p>
    <w:p w14:paraId="5FB88A7B">
      <w:pPr>
        <w:widowControl w:val="0"/>
        <w:snapToGrid w:val="0"/>
        <w:spacing w:line="360" w:lineRule="auto"/>
        <w:textAlignment w:val="top"/>
        <w:rPr>
          <w:color w:val="auto"/>
          <w:sz w:val="24"/>
          <w:szCs w:val="24"/>
          <w:highlight w:val="none"/>
        </w:rPr>
      </w:pPr>
      <w:r>
        <w:rPr>
          <w:rFonts w:hint="eastAsia"/>
          <w:color w:val="auto"/>
          <w:sz w:val="24"/>
          <w:szCs w:val="24"/>
          <w:highlight w:val="none"/>
        </w:rPr>
        <w:t>法定代表人（电子签名或签章）：</w:t>
      </w:r>
    </w:p>
    <w:p w14:paraId="6074953B">
      <w:pPr>
        <w:widowControl w:val="0"/>
        <w:snapToGrid w:val="0"/>
        <w:spacing w:line="360" w:lineRule="auto"/>
        <w:textAlignment w:val="top"/>
        <w:rPr>
          <w:rFonts w:ascii="宋体" w:hAnsi="宋体"/>
          <w:color w:val="auto"/>
          <w:sz w:val="24"/>
          <w:szCs w:val="24"/>
          <w:highlight w:val="none"/>
        </w:rPr>
      </w:pPr>
      <w:r>
        <w:rPr>
          <w:rFonts w:hint="eastAsia"/>
          <w:color w:val="auto"/>
          <w:sz w:val="24"/>
          <w:szCs w:val="24"/>
          <w:highlight w:val="none"/>
        </w:rPr>
        <w:t>日期：年月日</w:t>
      </w:r>
    </w:p>
    <w:p w14:paraId="6A443969">
      <w:pPr>
        <w:adjustRightInd w:val="0"/>
        <w:snapToGrid w:val="0"/>
        <w:spacing w:line="300" w:lineRule="auto"/>
        <w:textAlignment w:val="top"/>
        <w:rPr>
          <w:rFonts w:ascii="宋体" w:cs="楷体_GB2312"/>
          <w:b/>
          <w:color w:val="auto"/>
          <w:sz w:val="30"/>
          <w:szCs w:val="30"/>
          <w:highlight w:val="none"/>
        </w:rPr>
      </w:pPr>
    </w:p>
    <w:p w14:paraId="728AAE5B">
      <w:pPr>
        <w:widowControl w:val="0"/>
        <w:snapToGrid w:val="0"/>
        <w:spacing w:line="560" w:lineRule="exact"/>
        <w:rPr>
          <w:rFonts w:ascii="黑体" w:hAnsi="黑体" w:eastAsia="黑体"/>
          <w:b/>
          <w:color w:val="auto"/>
          <w:sz w:val="30"/>
          <w:szCs w:val="30"/>
          <w:highlight w:val="none"/>
        </w:rPr>
      </w:pPr>
      <w:r>
        <w:rPr>
          <w:rFonts w:hint="eastAsia" w:ascii="黑体" w:hAnsi="黑体" w:eastAsia="黑体"/>
          <w:b/>
          <w:color w:val="auto"/>
          <w:sz w:val="30"/>
          <w:szCs w:val="30"/>
          <w:highlight w:val="none"/>
        </w:rPr>
        <w:t>14-3附件：</w:t>
      </w:r>
    </w:p>
    <w:p w14:paraId="1374A1C2">
      <w:pPr>
        <w:spacing w:line="360" w:lineRule="auto"/>
        <w:ind w:firstLine="562" w:firstLineChars="200"/>
        <w:jc w:val="left"/>
        <w:rPr>
          <w:rFonts w:ascii="宋体" w:hAnsi="宋体"/>
          <w:b/>
          <w:color w:val="auto"/>
          <w:sz w:val="28"/>
          <w:szCs w:val="28"/>
          <w:highlight w:val="none"/>
        </w:rPr>
      </w:pPr>
      <w:r>
        <w:rPr>
          <w:rFonts w:hint="eastAsia" w:ascii="宋体" w:hAnsi="宋体"/>
          <w:b/>
          <w:color w:val="auto"/>
          <w:sz w:val="28"/>
          <w:szCs w:val="28"/>
          <w:highlight w:val="none"/>
        </w:rPr>
        <w:t>投标人按照 “证明材料查询核验工作的清单及要求” （下述）提供核验材料。</w:t>
      </w:r>
    </w:p>
    <w:p w14:paraId="676425E7">
      <w:pPr>
        <w:spacing w:line="520" w:lineRule="exact"/>
        <w:jc w:val="center"/>
        <w:rPr>
          <w:rFonts w:ascii="宋体" w:hAnsi="宋体"/>
          <w:color w:val="auto"/>
          <w:sz w:val="28"/>
          <w:szCs w:val="28"/>
          <w:highlight w:val="none"/>
        </w:rPr>
      </w:pPr>
      <w:r>
        <w:rPr>
          <w:rFonts w:hint="eastAsia" w:ascii="宋体" w:hAnsi="宋体"/>
          <w:color w:val="auto"/>
          <w:sz w:val="28"/>
          <w:szCs w:val="28"/>
          <w:highlight w:val="none"/>
        </w:rPr>
        <w:t>（核验材料需加盖投标人电子签章）</w:t>
      </w:r>
    </w:p>
    <w:p w14:paraId="15CE31AE">
      <w:pPr>
        <w:spacing w:line="520" w:lineRule="exact"/>
        <w:rPr>
          <w:rFonts w:ascii="宋体" w:hAnsi="宋体"/>
          <w:color w:val="auto"/>
          <w:sz w:val="28"/>
          <w:szCs w:val="28"/>
          <w:highlight w:val="none"/>
        </w:rPr>
      </w:pPr>
    </w:p>
    <w:p w14:paraId="16B21BA7">
      <w:pPr>
        <w:spacing w:line="520" w:lineRule="exact"/>
        <w:jc w:val="center"/>
        <w:rPr>
          <w:rFonts w:ascii="黑体" w:hAnsi="黑体" w:eastAsia="黑体"/>
          <w:color w:val="auto"/>
          <w:sz w:val="36"/>
          <w:szCs w:val="36"/>
          <w:highlight w:val="none"/>
        </w:rPr>
      </w:pPr>
      <w:r>
        <w:rPr>
          <w:rFonts w:hint="eastAsia" w:ascii="黑体" w:hAnsi="黑体" w:eastAsia="黑体"/>
          <w:color w:val="auto"/>
          <w:sz w:val="36"/>
          <w:szCs w:val="36"/>
          <w:highlight w:val="none"/>
        </w:rPr>
        <w:t>证明材料查询核验工作的清单及要求</w:t>
      </w:r>
    </w:p>
    <w:p w14:paraId="6DFBEB97">
      <w:pPr>
        <w:spacing w:line="360" w:lineRule="auto"/>
        <w:ind w:firstLine="560" w:firstLineChars="200"/>
        <w:jc w:val="left"/>
        <w:rPr>
          <w:rFonts w:ascii="宋体" w:hAnsi="宋体"/>
          <w:color w:val="auto"/>
          <w:sz w:val="28"/>
          <w:szCs w:val="28"/>
          <w:highlight w:val="none"/>
        </w:rPr>
      </w:pPr>
    </w:p>
    <w:p w14:paraId="436CC9D0">
      <w:pPr>
        <w:spacing w:line="360" w:lineRule="auto"/>
        <w:ind w:firstLine="607" w:firstLineChars="253"/>
        <w:jc w:val="left"/>
        <w:rPr>
          <w:rFonts w:ascii="宋体" w:hAnsi="宋体"/>
          <w:color w:val="auto"/>
          <w:sz w:val="24"/>
          <w:szCs w:val="24"/>
          <w:highlight w:val="none"/>
        </w:rPr>
      </w:pPr>
      <w:r>
        <w:rPr>
          <w:rFonts w:hint="eastAsia" w:ascii="宋体" w:hAnsi="宋体"/>
          <w:color w:val="auto"/>
          <w:sz w:val="24"/>
          <w:szCs w:val="24"/>
          <w:highlight w:val="none"/>
        </w:rPr>
        <w:t>一、投标文件所提供的证明材料中 、需网上公开查询核验的材料清单（依据2023年度监督检查工作指引网上公开查验网址）</w:t>
      </w:r>
    </w:p>
    <w:tbl>
      <w:tblPr>
        <w:tblStyle w:val="16"/>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119"/>
        <w:gridCol w:w="5699"/>
      </w:tblGrid>
      <w:tr w14:paraId="6A69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14:paraId="6805C6D7">
            <w:pPr>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序号</w:t>
            </w:r>
          </w:p>
        </w:tc>
        <w:tc>
          <w:tcPr>
            <w:tcW w:w="3119" w:type="dxa"/>
            <w:shd w:val="clear" w:color="auto" w:fill="auto"/>
            <w:vAlign w:val="center"/>
          </w:tcPr>
          <w:p w14:paraId="1820EDA7">
            <w:pPr>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名称</w:t>
            </w:r>
          </w:p>
        </w:tc>
        <w:tc>
          <w:tcPr>
            <w:tcW w:w="5699" w:type="dxa"/>
            <w:shd w:val="clear" w:color="auto" w:fill="auto"/>
            <w:vAlign w:val="center"/>
          </w:tcPr>
          <w:p w14:paraId="5D4856ED">
            <w:pPr>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查验网址</w:t>
            </w:r>
          </w:p>
        </w:tc>
      </w:tr>
      <w:tr w14:paraId="0E01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14:paraId="541ACE28">
            <w:pPr>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119" w:type="dxa"/>
            <w:shd w:val="clear" w:color="auto" w:fill="auto"/>
            <w:vAlign w:val="center"/>
          </w:tcPr>
          <w:p w14:paraId="3B282216">
            <w:pPr>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软件著作权</w:t>
            </w:r>
          </w:p>
        </w:tc>
        <w:tc>
          <w:tcPr>
            <w:tcW w:w="5699" w:type="dxa"/>
            <w:shd w:val="clear" w:color="auto" w:fill="auto"/>
          </w:tcPr>
          <w:p w14:paraId="72F75CBE">
            <w:pPr>
              <w:spacing w:line="240" w:lineRule="auto"/>
              <w:rPr>
                <w:rFonts w:ascii="宋体" w:hAnsi="宋体"/>
                <w:color w:val="auto"/>
                <w:sz w:val="24"/>
                <w:szCs w:val="24"/>
                <w:highlight w:val="none"/>
              </w:rPr>
            </w:pPr>
            <w:r>
              <w:rPr>
                <w:color w:val="auto"/>
                <w:highlight w:val="none"/>
              </w:rPr>
              <w:fldChar w:fldCharType="begin"/>
            </w:r>
            <w:r>
              <w:rPr>
                <w:color w:val="auto"/>
                <w:highlight w:val="none"/>
              </w:rPr>
              <w:instrText xml:space="preserve"> HYPERLINK "https://register.ccopyright.com.cn/query.html" </w:instrText>
            </w:r>
            <w:r>
              <w:rPr>
                <w:color w:val="auto"/>
                <w:highlight w:val="none"/>
              </w:rPr>
              <w:fldChar w:fldCharType="separate"/>
            </w:r>
            <w:r>
              <w:rPr>
                <w:rStyle w:val="21"/>
                <w:rFonts w:ascii="宋体" w:hAnsi="宋体"/>
                <w:color w:val="auto"/>
                <w:sz w:val="24"/>
                <w:szCs w:val="24"/>
                <w:highlight w:val="none"/>
              </w:rPr>
              <w:t>https://register.ccopyright.com.cn/query.html</w:t>
            </w:r>
            <w:r>
              <w:rPr>
                <w:rStyle w:val="21"/>
                <w:rFonts w:ascii="宋体" w:hAnsi="宋体"/>
                <w:color w:val="auto"/>
                <w:sz w:val="24"/>
                <w:szCs w:val="24"/>
                <w:highlight w:val="none"/>
              </w:rPr>
              <w:fldChar w:fldCharType="end"/>
            </w:r>
          </w:p>
        </w:tc>
      </w:tr>
      <w:tr w14:paraId="0E23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14:paraId="0035B803">
            <w:pPr>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119" w:type="dxa"/>
            <w:shd w:val="clear" w:color="auto" w:fill="auto"/>
            <w:vAlign w:val="center"/>
          </w:tcPr>
          <w:p w14:paraId="0CAE01C7">
            <w:pPr>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社保缴费记录</w:t>
            </w:r>
          </w:p>
        </w:tc>
        <w:tc>
          <w:tcPr>
            <w:tcW w:w="5699" w:type="dxa"/>
            <w:shd w:val="clear" w:color="auto" w:fill="auto"/>
          </w:tcPr>
          <w:p w14:paraId="09E02F00">
            <w:pPr>
              <w:spacing w:line="240" w:lineRule="auto"/>
              <w:rPr>
                <w:rFonts w:ascii="宋体" w:hAnsi="宋体"/>
                <w:color w:val="auto"/>
                <w:sz w:val="24"/>
                <w:szCs w:val="24"/>
                <w:highlight w:val="none"/>
              </w:rPr>
            </w:pPr>
            <w:r>
              <w:rPr>
                <w:rFonts w:hint="eastAsia" w:ascii="宋体" w:hAnsi="宋体"/>
                <w:color w:val="auto"/>
                <w:sz w:val="24"/>
                <w:szCs w:val="24"/>
                <w:highlight w:val="none"/>
              </w:rPr>
              <w:t>缴费地人力资源和社会保障局官网。</w:t>
            </w:r>
          </w:p>
        </w:tc>
      </w:tr>
      <w:tr w14:paraId="5BA3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auto"/>
            <w:vAlign w:val="center"/>
          </w:tcPr>
          <w:p w14:paraId="7ABBDEAF">
            <w:pPr>
              <w:spacing w:line="240" w:lineRule="auto"/>
              <w:jc w:val="center"/>
              <w:rPr>
                <w:rFonts w:ascii="宋体" w:hAnsi="宋体"/>
                <w:color w:val="auto"/>
                <w:sz w:val="24"/>
                <w:szCs w:val="24"/>
                <w:highlight w:val="none"/>
              </w:rPr>
            </w:pPr>
            <w:r>
              <w:rPr>
                <w:rFonts w:hint="eastAsia" w:ascii="宋体" w:hAnsi="宋体"/>
                <w:color w:val="auto"/>
                <w:sz w:val="24"/>
                <w:szCs w:val="24"/>
                <w:highlight w:val="none"/>
              </w:rPr>
              <w:t>3</w:t>
            </w:r>
          </w:p>
        </w:tc>
        <w:tc>
          <w:tcPr>
            <w:tcW w:w="8818" w:type="dxa"/>
            <w:gridSpan w:val="2"/>
            <w:shd w:val="clear" w:color="auto" w:fill="auto"/>
            <w:vAlign w:val="center"/>
          </w:tcPr>
          <w:p w14:paraId="124CDF92">
            <w:pPr>
              <w:spacing w:line="240" w:lineRule="auto"/>
              <w:jc w:val="left"/>
              <w:rPr>
                <w:rFonts w:ascii="宋体" w:hAnsi="宋体"/>
                <w:color w:val="auto"/>
                <w:sz w:val="24"/>
                <w:szCs w:val="24"/>
                <w:highlight w:val="none"/>
              </w:rPr>
            </w:pPr>
            <w:r>
              <w:rPr>
                <w:rFonts w:hint="eastAsia" w:ascii="宋体" w:hAnsi="宋体"/>
                <w:color w:val="auto"/>
                <w:sz w:val="24"/>
                <w:szCs w:val="24"/>
                <w:highlight w:val="none"/>
              </w:rPr>
              <w:t>除上述外，投标人认为有必要的相关核实官方证明材料。（可选）</w:t>
            </w:r>
          </w:p>
        </w:tc>
      </w:tr>
    </w:tbl>
    <w:p w14:paraId="18196D9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二、对投标文件所提供的证明材料中、需网上查询核验的说明及要求。</w:t>
      </w:r>
    </w:p>
    <w:p w14:paraId="488C19A9">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（一）投标文件中</w:t>
      </w:r>
    </w:p>
    <w:p w14:paraId="2A93AA8F">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1、基于当前监督检查工作要求，为防范虚假材料，投标人应按本14-3附件“证明材料查询核验工作的清单及要求”列示的证明材料及对应网址（监督检查工作指引列示的网上公开查询核验网址）、对投标文件中所提供证明材料进行核验，并将查询结果截图作为所提供证明材料的附件，以佐证所提供证明材料的真实性。</w:t>
      </w:r>
    </w:p>
    <w:p w14:paraId="56798490">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投标文件中、对本14-3附件“证明材料查询核验工作的清单及要求”中的每份证明材料，均应在该证明材料后附对应的查询结果截图（并注明该截图的对应网址）、或查询异常情况说明资料。否则，谈判小组按缺少要件不予认可该份证明材料。</w:t>
      </w:r>
    </w:p>
    <w:p w14:paraId="2DF67DBF">
      <w:pPr>
        <w:spacing w:line="360" w:lineRule="auto"/>
        <w:ind w:firstLine="532" w:firstLineChars="222"/>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、投标人查询异常情况的处理</w:t>
      </w:r>
    </w:p>
    <w:p w14:paraId="5EBD0094">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1）投标人按本附件列示网址查询异常的，但投标人确保其真实性的，投标人应当单独对异常情况作出说明解释，并可提供同等及以上权威部门（政府职能部门或下属机构、或其公开的认可机构）的可公开验证的查询资料、以证实证明材料的真实性。</w:t>
      </w:r>
    </w:p>
    <w:p w14:paraId="6CDDF0E8">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投标人无法按本附件列示网址（监督检查工作指引列示的网上公开查询核验网址）核验投标文件中所提供证明材料的真实性的，无法确保证明材料真实性的，不建议投标，以免中标（成交）后，在质疑处理、监督检查等工作中核验不一致、被视为虚假材料而承责。</w:t>
      </w:r>
    </w:p>
    <w:p w14:paraId="6453D089">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（2）网站异常</w:t>
      </w:r>
    </w:p>
    <w:p w14:paraId="671F31AC">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基于全国政务持续发展、持续革新的大好局面，投标人在按本附件列示网址查询核验时，如遇部分网站更新等无法查询情况时，需及时书面反馈（请按第一章采购公告联系方式书面反馈）。经核实会商、将对此证明材料的查询核验事项发布澄清修改公告。</w:t>
      </w:r>
    </w:p>
    <w:p w14:paraId="07FD5D1E">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未发布查询核验事项的澄清修改公告的，为投标人自身原因的查询异常，请该投标人深入认真自查自身原因或向相应网站反馈解决。</w:t>
      </w:r>
    </w:p>
    <w:p w14:paraId="754B8B8B">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（3）网站异常产生的外在投标风险由投标人自行承担。</w:t>
      </w:r>
    </w:p>
    <w:p w14:paraId="33CA3D86">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（二）评审时的要件审核</w:t>
      </w:r>
    </w:p>
    <w:p w14:paraId="24D1AC2C">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基于部分证明材料的查询核验需投标人（或个人）相关信息登录查询，基于评审工作保密性不具备查询条件等客观因素，评审中，谈判小组只对核验材料进行形式要件审核（评委对证明材料按采购文件要求进行详细评审），对核验材料的形式要件审核为：核对有无查询结果截图（或查询异常情况说明资料）、核对证明材料与查询结果截图的对应一致性。</w:t>
      </w:r>
    </w:p>
    <w:p w14:paraId="50E7522F">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证明材料未附查询结果截图或查询异常情况说明资料的，谈判小组按缺少要件不予认可该份证明材料。</w:t>
      </w:r>
    </w:p>
    <w:p w14:paraId="01919E18">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三）在质疑处理（或其他工作要求）中，成交人（被质疑方）应当配合提供相应信息，以对投标文件中所提供证明材料进行核验工作（按照监督检查工作指引列示的网上公开查询核验网址进行核验）。如查询异常或虚假，均将上报监督部门按提供虚假材料规定给予处罚。</w:t>
      </w:r>
    </w:p>
    <w:p w14:paraId="09E5F978">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查询异常的，成交人如无其他权威证明，将视作提供虚假材料。</w:t>
      </w:r>
    </w:p>
    <w:p w14:paraId="11051036">
      <w:pPr>
        <w:spacing w:line="360" w:lineRule="auto"/>
        <w:ind w:firstLine="532" w:firstLineChars="222"/>
        <w:rPr>
          <w:rFonts w:ascii="宋体" w:hAnsi="宋体"/>
          <w:color w:val="auto"/>
          <w:sz w:val="24"/>
          <w:szCs w:val="24"/>
          <w:highlight w:val="none"/>
        </w:rPr>
      </w:pPr>
      <w:r>
        <w:rPr>
          <w:rFonts w:hint="eastAsia" w:ascii="宋体" w:hAnsi="宋体"/>
          <w:color w:val="auto"/>
          <w:sz w:val="24"/>
          <w:szCs w:val="24"/>
          <w:highlight w:val="none"/>
        </w:rPr>
        <w:t>三、除本14-3附件列示的网上公开查询核验的材料清单外，对其他证明材料，在质疑处理（或其他工作要求）中，成交人应当提供证明材料原件以证实证明材料的真实性。</w:t>
      </w:r>
    </w:p>
    <w:p w14:paraId="5ED6A9C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除本14-3附件列示的网上公开查询核验的材料清单外，对其他证明材料，基于质疑处理（或其他工作要求）的法定时效，调查取证的权限，依据政府采购相关法规依据书面材料评审的规定，对没有提供发证机关（单位）等相应权威机构证伪书面材料的质疑，对怀疑猜测事项，经核对原件后、将视为缺乏事实依据处理。</w:t>
      </w:r>
    </w:p>
    <w:p w14:paraId="4376CA3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注：投标人对投标文件中所提供证明材料及核验证明材料的真实性负责、自行承担相应责任。</w:t>
      </w:r>
    </w:p>
    <w:p w14:paraId="66B9581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核验过程中涉及投标人（或个人）自身账号、密码等信息时，投标人（或个人）应积极配合核验工作。</w:t>
      </w:r>
    </w:p>
    <w:p w14:paraId="43962AC5">
      <w:pPr>
        <w:autoSpaceDE w:val="0"/>
        <w:autoSpaceDN w:val="0"/>
        <w:adjustRightInd w:val="0"/>
        <w:spacing w:line="360" w:lineRule="auto"/>
        <w:rPr>
          <w:rFonts w:eastAsia="方正黑体简体"/>
          <w:b/>
          <w:color w:val="auto"/>
          <w:sz w:val="30"/>
          <w:szCs w:val="30"/>
          <w:highlight w:val="none"/>
        </w:rPr>
      </w:pPr>
      <w:r>
        <w:rPr>
          <w:rFonts w:eastAsia="方正黑体简体"/>
          <w:b/>
          <w:color w:val="auto"/>
          <w:sz w:val="30"/>
          <w:szCs w:val="30"/>
          <w:highlight w:val="none"/>
        </w:rPr>
        <w:br w:type="page"/>
      </w:r>
    </w:p>
    <w:p w14:paraId="69C02D05">
      <w:pPr>
        <w:autoSpaceDE w:val="0"/>
        <w:autoSpaceDN w:val="0"/>
        <w:adjustRightInd w:val="0"/>
        <w:spacing w:line="360" w:lineRule="auto"/>
        <w:rPr>
          <w:rFonts w:ascii="黑体" w:hAnsi="黑体" w:eastAsia="黑体"/>
          <w:b/>
          <w:color w:val="auto"/>
          <w:sz w:val="30"/>
          <w:szCs w:val="30"/>
          <w:highlight w:val="none"/>
        </w:rPr>
      </w:pPr>
      <w:r>
        <w:rPr>
          <w:rFonts w:hint="eastAsia" w:ascii="黑体" w:hAnsi="黑体" w:eastAsia="黑体"/>
          <w:b/>
          <w:color w:val="auto"/>
          <w:sz w:val="30"/>
          <w:szCs w:val="30"/>
          <w:highlight w:val="none"/>
        </w:rPr>
        <w:t>十五、投标人认为有必要提交的其它材料</w:t>
      </w:r>
    </w:p>
    <w:p w14:paraId="75BFE6CE">
      <w:pPr>
        <w:autoSpaceDE w:val="0"/>
        <w:autoSpaceDN w:val="0"/>
        <w:adjustRightInd w:val="0"/>
        <w:spacing w:line="360" w:lineRule="auto"/>
        <w:jc w:val="center"/>
        <w:rPr>
          <w:rFonts w:ascii="宋体"/>
          <w:color w:val="auto"/>
          <w:sz w:val="24"/>
          <w:szCs w:val="24"/>
          <w:highlight w:val="none"/>
        </w:rPr>
      </w:pPr>
      <w:r>
        <w:rPr>
          <w:rFonts w:hint="eastAsia" w:ascii="宋体" w:hAnsi="宋体"/>
          <w:color w:val="auto"/>
          <w:sz w:val="24"/>
          <w:szCs w:val="24"/>
          <w:highlight w:val="none"/>
        </w:rPr>
        <w:t>（由法定代表人</w:t>
      </w:r>
      <w:r>
        <w:rPr>
          <w:rFonts w:hint="eastAsia" w:ascii="宋体" w:hAnsi="宋体" w:cs="楷体_GB2312"/>
          <w:color w:val="auto"/>
          <w:sz w:val="24"/>
          <w:highlight w:val="none"/>
          <w:lang w:val="zh-CN"/>
        </w:rPr>
        <w:t>电子签名&lt;签</w:t>
      </w:r>
      <w:r>
        <w:rPr>
          <w:rFonts w:hint="eastAsia" w:ascii="宋体" w:hAnsi="宋体"/>
          <w:color w:val="auto"/>
          <w:sz w:val="24"/>
          <w:szCs w:val="24"/>
          <w:highlight w:val="none"/>
        </w:rPr>
        <w:t>章&gt;或</w:t>
      </w:r>
      <w:r>
        <w:rPr>
          <w:rFonts w:hint="eastAsia"/>
          <w:color w:val="auto"/>
          <w:sz w:val="24"/>
          <w:szCs w:val="24"/>
          <w:highlight w:val="none"/>
        </w:rPr>
        <w:t>投标人</w:t>
      </w:r>
      <w:r>
        <w:rPr>
          <w:rFonts w:hint="eastAsia" w:ascii="宋体" w:hAnsi="宋体" w:cs="楷体_GB2312"/>
          <w:color w:val="auto"/>
          <w:sz w:val="24"/>
          <w:highlight w:val="none"/>
          <w:lang w:val="zh-CN"/>
        </w:rPr>
        <w:t>电子签</w:t>
      </w:r>
      <w:r>
        <w:rPr>
          <w:rFonts w:hint="eastAsia" w:ascii="宋体" w:hAnsi="宋体"/>
          <w:color w:val="auto"/>
          <w:sz w:val="24"/>
          <w:szCs w:val="24"/>
          <w:highlight w:val="none"/>
        </w:rPr>
        <w:t>章）</w:t>
      </w:r>
    </w:p>
    <w:p w14:paraId="22B75AEA">
      <w:pPr>
        <w:autoSpaceDE w:val="0"/>
        <w:autoSpaceDN w:val="0"/>
        <w:adjustRightInd w:val="0"/>
        <w:spacing w:line="360" w:lineRule="auto"/>
        <w:rPr>
          <w:rFonts w:ascii="宋体"/>
          <w:b/>
          <w:bCs/>
          <w:color w:val="auto"/>
          <w:sz w:val="24"/>
          <w:highlight w:val="none"/>
        </w:rPr>
      </w:pPr>
      <w:r>
        <w:rPr>
          <w:rFonts w:ascii="宋体" w:hAnsi="宋体"/>
          <w:color w:val="auto"/>
          <w:sz w:val="24"/>
          <w:szCs w:val="24"/>
          <w:highlight w:val="none"/>
        </w:rPr>
        <w:br w:type="page"/>
      </w:r>
    </w:p>
    <w:p w14:paraId="4FCFEDFD">
      <w:pPr>
        <w:spacing w:line="588" w:lineRule="exact"/>
        <w:jc w:val="center"/>
        <w:rPr>
          <w:rFonts w:ascii="黑体" w:hAnsi="黑体" w:eastAsia="黑体"/>
          <w:b/>
          <w:color w:val="auto"/>
          <w:sz w:val="24"/>
          <w:szCs w:val="24"/>
          <w:highlight w:val="none"/>
        </w:rPr>
      </w:pPr>
      <w:r>
        <w:rPr>
          <w:rFonts w:hint="eastAsia" w:ascii="黑体" w:hAnsi="黑体" w:eastAsia="黑体"/>
          <w:b/>
          <w:color w:val="auto"/>
          <w:sz w:val="30"/>
          <w:szCs w:val="30"/>
          <w:highlight w:val="none"/>
        </w:rPr>
        <w:t>十六、</w:t>
      </w:r>
      <w:r>
        <w:rPr>
          <w:rFonts w:ascii="黑体" w:hAnsi="黑体" w:eastAsia="黑体"/>
          <w:b/>
          <w:color w:val="auto"/>
          <w:sz w:val="30"/>
          <w:szCs w:val="30"/>
          <w:highlight w:val="none"/>
        </w:rPr>
        <w:t>中小企业声明函</w:t>
      </w:r>
      <w:r>
        <w:rPr>
          <w:rFonts w:hint="eastAsia" w:ascii="宋体" w:hAnsi="宋体" w:cs="MingLiU"/>
          <w:color w:val="auto"/>
          <w:spacing w:val="30"/>
          <w:sz w:val="24"/>
          <w:szCs w:val="24"/>
          <w:highlight w:val="none"/>
        </w:rPr>
        <w:t>（如有）</w:t>
      </w:r>
    </w:p>
    <w:p w14:paraId="68042068">
      <w:pPr>
        <w:spacing w:line="588" w:lineRule="exact"/>
        <w:jc w:val="center"/>
        <w:rPr>
          <w:rFonts w:ascii="黑体" w:hAnsi="黑体" w:eastAsia="黑体"/>
          <w:b/>
          <w:color w:val="auto"/>
          <w:sz w:val="30"/>
          <w:szCs w:val="30"/>
          <w:highlight w:val="none"/>
        </w:rPr>
      </w:pPr>
    </w:p>
    <w:p w14:paraId="21D50CED">
      <w:pPr>
        <w:spacing w:line="588" w:lineRule="exact"/>
        <w:ind w:firstLine="504" w:firstLineChars="200"/>
        <w:rPr>
          <w:rFonts w:ascii="宋体" w:hAnsi="宋体"/>
          <w:color w:val="auto"/>
          <w:spacing w:val="6"/>
          <w:sz w:val="24"/>
          <w:szCs w:val="24"/>
          <w:highlight w:val="none"/>
        </w:rPr>
      </w:pPr>
      <w:r>
        <w:rPr>
          <w:rFonts w:ascii="宋体" w:hAnsi="宋体"/>
          <w:color w:val="auto"/>
          <w:spacing w:val="6"/>
          <w:sz w:val="24"/>
          <w:szCs w:val="24"/>
          <w:highlight w:val="none"/>
        </w:rPr>
        <w:t>本公司（联合体）郑重声明，根据《政府采购促进中小企业发展管理办法》（财库〔2020〕46号）的规定，本公司(联合体）参加</w:t>
      </w:r>
      <w:r>
        <w:rPr>
          <w:rFonts w:ascii="宋体" w:hAnsi="宋体"/>
          <w:color w:val="auto"/>
          <w:spacing w:val="6"/>
          <w:sz w:val="24"/>
          <w:szCs w:val="24"/>
          <w:highlight w:val="none"/>
          <w:u w:val="single"/>
        </w:rPr>
        <w:t>（单位名称）</w:t>
      </w:r>
      <w:r>
        <w:rPr>
          <w:rFonts w:ascii="宋体" w:hAnsi="宋体"/>
          <w:color w:val="auto"/>
          <w:spacing w:val="6"/>
          <w:sz w:val="24"/>
          <w:szCs w:val="24"/>
          <w:highlight w:val="none"/>
        </w:rPr>
        <w:t>的</w:t>
      </w:r>
      <w:r>
        <w:rPr>
          <w:rFonts w:ascii="宋体" w:hAnsi="宋体"/>
          <w:color w:val="auto"/>
          <w:spacing w:val="6"/>
          <w:sz w:val="24"/>
          <w:szCs w:val="24"/>
          <w:highlight w:val="none"/>
          <w:u w:val="single"/>
        </w:rPr>
        <w:t>（项目名称）</w:t>
      </w:r>
      <w:r>
        <w:rPr>
          <w:rFonts w:ascii="宋体" w:hAnsi="宋体"/>
          <w:color w:val="auto"/>
          <w:spacing w:val="6"/>
          <w:sz w:val="24"/>
          <w:szCs w:val="24"/>
          <w:highlight w:val="none"/>
        </w:rPr>
        <w:t>采购活动，提供的货物全部由符合政策要求的中小企业制造。相关企业 (含联合体中的中小企业、签订分包意向协议的中小企业）的具体情况如下：</w:t>
      </w:r>
    </w:p>
    <w:p w14:paraId="122F2EA3">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1.</w:t>
      </w:r>
      <w:r>
        <w:rPr>
          <w:rFonts w:ascii="宋体" w:hAnsi="宋体"/>
          <w:color w:val="auto"/>
          <w:spacing w:val="6"/>
          <w:sz w:val="24"/>
          <w:szCs w:val="24"/>
          <w:highlight w:val="none"/>
          <w:u w:val="single"/>
        </w:rPr>
        <w:t>(标的名称)</w:t>
      </w:r>
      <w:r>
        <w:rPr>
          <w:rFonts w:ascii="宋体" w:hAnsi="宋体"/>
          <w:color w:val="auto"/>
          <w:spacing w:val="6"/>
          <w:sz w:val="24"/>
          <w:szCs w:val="24"/>
          <w:highlight w:val="none"/>
        </w:rPr>
        <w:t>，属于</w:t>
      </w:r>
      <w:r>
        <w:rPr>
          <w:rFonts w:ascii="宋体" w:hAnsi="宋体"/>
          <w:color w:val="auto"/>
          <w:spacing w:val="6"/>
          <w:sz w:val="24"/>
          <w:szCs w:val="24"/>
          <w:highlight w:val="none"/>
          <w:u w:val="single"/>
        </w:rPr>
        <w:t>（采购文件中明确的所属行业)</w:t>
      </w:r>
      <w:r>
        <w:rPr>
          <w:rFonts w:ascii="宋体" w:hAnsi="宋体"/>
          <w:color w:val="auto"/>
          <w:spacing w:val="6"/>
          <w:sz w:val="24"/>
          <w:szCs w:val="24"/>
          <w:highlight w:val="none"/>
        </w:rPr>
        <w:t>行业</w:t>
      </w:r>
      <w:r>
        <w:rPr>
          <w:rFonts w:hint="eastAsia" w:ascii="宋体" w:hAnsi="宋体"/>
          <w:color w:val="auto"/>
          <w:spacing w:val="6"/>
          <w:sz w:val="24"/>
          <w:szCs w:val="24"/>
          <w:highlight w:val="none"/>
        </w:rPr>
        <w:t>，</w:t>
      </w:r>
      <w:r>
        <w:rPr>
          <w:rFonts w:ascii="宋体" w:hAnsi="宋体"/>
          <w:color w:val="auto"/>
          <w:spacing w:val="6"/>
          <w:sz w:val="24"/>
          <w:szCs w:val="24"/>
          <w:highlight w:val="none"/>
        </w:rPr>
        <w:t xml:space="preserve"> 制造商为</w:t>
      </w:r>
      <w:r>
        <w:rPr>
          <w:rFonts w:ascii="宋体" w:hAnsi="宋体"/>
          <w:color w:val="auto"/>
          <w:spacing w:val="6"/>
          <w:sz w:val="24"/>
          <w:szCs w:val="24"/>
          <w:highlight w:val="none"/>
          <w:u w:val="single"/>
        </w:rPr>
        <w:t>（企业名称)</w:t>
      </w:r>
      <w:r>
        <w:rPr>
          <w:rFonts w:ascii="宋体" w:hAnsi="宋体"/>
          <w:color w:val="auto"/>
          <w:spacing w:val="6"/>
          <w:sz w:val="24"/>
          <w:szCs w:val="24"/>
          <w:highlight w:val="none"/>
        </w:rPr>
        <w:t>，从业人员人，营业收入为</w:t>
      </w:r>
      <w:r>
        <w:rPr>
          <w:rFonts w:ascii="宋体" w:hAnsi="宋体"/>
          <w:color w:val="auto"/>
          <w:spacing w:val="6"/>
          <w:sz w:val="24"/>
          <w:szCs w:val="24"/>
          <w:highlight w:val="none"/>
          <w:u w:val="single"/>
        </w:rPr>
        <w:t>_</w:t>
      </w:r>
      <w:r>
        <w:rPr>
          <w:rFonts w:ascii="宋体" w:hAnsi="宋体"/>
          <w:color w:val="auto"/>
          <w:spacing w:val="6"/>
          <w:sz w:val="24"/>
          <w:szCs w:val="24"/>
          <w:highlight w:val="none"/>
        </w:rPr>
        <w:t>万元，资产总额为</w:t>
      </w:r>
      <w:r>
        <w:rPr>
          <w:rFonts w:ascii="宋体" w:hAnsi="宋体"/>
          <w:color w:val="auto"/>
          <w:spacing w:val="6"/>
          <w:sz w:val="24"/>
          <w:szCs w:val="24"/>
          <w:highlight w:val="none"/>
          <w:u w:val="single"/>
        </w:rPr>
        <w:t>_</w:t>
      </w:r>
      <w:r>
        <w:rPr>
          <w:rFonts w:ascii="宋体" w:hAnsi="宋体"/>
          <w:color w:val="auto"/>
          <w:spacing w:val="6"/>
          <w:sz w:val="24"/>
          <w:szCs w:val="24"/>
          <w:highlight w:val="none"/>
        </w:rPr>
        <w:t>万元</w:t>
      </w:r>
      <w:r>
        <w:rPr>
          <w:rFonts w:hint="eastAsia" w:ascii="宋体" w:hAnsi="宋体"/>
          <w:color w:val="auto"/>
          <w:spacing w:val="6"/>
          <w:sz w:val="24"/>
          <w:szCs w:val="24"/>
          <w:highlight w:val="none"/>
          <w:vertAlign w:val="superscript"/>
        </w:rPr>
        <w:t>1</w:t>
      </w:r>
      <w:r>
        <w:rPr>
          <w:rFonts w:hint="eastAsia" w:ascii="宋体" w:hAnsi="宋体"/>
          <w:color w:val="auto"/>
          <w:spacing w:val="6"/>
          <w:sz w:val="24"/>
          <w:szCs w:val="24"/>
          <w:highlight w:val="none"/>
        </w:rPr>
        <w:t>，采购文件中明确的所属行业</w:t>
      </w:r>
      <w:r>
        <w:rPr>
          <w:rFonts w:ascii="宋体" w:hAnsi="宋体"/>
          <w:color w:val="auto"/>
          <w:spacing w:val="6"/>
          <w:sz w:val="24"/>
          <w:szCs w:val="24"/>
          <w:highlight w:val="none"/>
        </w:rPr>
        <w:t>属于</w:t>
      </w:r>
      <w:r>
        <w:rPr>
          <w:rFonts w:ascii="宋体" w:hAnsi="宋体"/>
          <w:color w:val="auto"/>
          <w:spacing w:val="6"/>
          <w:sz w:val="24"/>
          <w:szCs w:val="24"/>
          <w:highlight w:val="none"/>
          <w:u w:val="single"/>
        </w:rPr>
        <w:t>（中型企业、小 型企业、微型企业）</w:t>
      </w:r>
      <w:r>
        <w:rPr>
          <w:rFonts w:hint="eastAsia" w:ascii="宋体" w:hAnsi="宋体"/>
          <w:color w:val="auto"/>
          <w:spacing w:val="6"/>
          <w:sz w:val="24"/>
          <w:szCs w:val="24"/>
          <w:highlight w:val="none"/>
        </w:rPr>
        <w:t>；</w:t>
      </w:r>
    </w:p>
    <w:p w14:paraId="0B23F82D">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2.</w:t>
      </w:r>
      <w:r>
        <w:rPr>
          <w:rFonts w:ascii="宋体" w:hAnsi="宋体"/>
          <w:color w:val="auto"/>
          <w:spacing w:val="6"/>
          <w:sz w:val="24"/>
          <w:szCs w:val="24"/>
          <w:highlight w:val="none"/>
          <w:u w:val="single"/>
        </w:rPr>
        <w:t>(标的名称)</w:t>
      </w:r>
      <w:r>
        <w:rPr>
          <w:rFonts w:ascii="宋体" w:hAnsi="宋体"/>
          <w:color w:val="auto"/>
          <w:spacing w:val="6"/>
          <w:sz w:val="24"/>
          <w:szCs w:val="24"/>
          <w:highlight w:val="none"/>
        </w:rPr>
        <w:t>，属于</w:t>
      </w:r>
      <w:r>
        <w:rPr>
          <w:rFonts w:ascii="宋体" w:hAnsi="宋体"/>
          <w:color w:val="auto"/>
          <w:spacing w:val="6"/>
          <w:sz w:val="24"/>
          <w:szCs w:val="24"/>
          <w:highlight w:val="none"/>
          <w:u w:val="single"/>
        </w:rPr>
        <w:t>（采购文件中明确的所属行业)</w:t>
      </w:r>
      <w:r>
        <w:rPr>
          <w:rFonts w:ascii="宋体" w:hAnsi="宋体"/>
          <w:color w:val="auto"/>
          <w:spacing w:val="6"/>
          <w:sz w:val="24"/>
          <w:szCs w:val="24"/>
          <w:highlight w:val="none"/>
        </w:rPr>
        <w:t>行业</w:t>
      </w:r>
      <w:r>
        <w:rPr>
          <w:rFonts w:hint="eastAsia" w:ascii="宋体" w:hAnsi="宋体"/>
          <w:color w:val="auto"/>
          <w:spacing w:val="6"/>
          <w:sz w:val="24"/>
          <w:szCs w:val="24"/>
          <w:highlight w:val="none"/>
        </w:rPr>
        <w:t>，</w:t>
      </w:r>
      <w:r>
        <w:rPr>
          <w:rFonts w:ascii="宋体" w:hAnsi="宋体"/>
          <w:color w:val="auto"/>
          <w:spacing w:val="6"/>
          <w:sz w:val="24"/>
          <w:szCs w:val="24"/>
          <w:highlight w:val="none"/>
        </w:rPr>
        <w:t xml:space="preserve"> 制造商为</w:t>
      </w:r>
      <w:r>
        <w:rPr>
          <w:rFonts w:ascii="宋体" w:hAnsi="宋体"/>
          <w:color w:val="auto"/>
          <w:spacing w:val="6"/>
          <w:sz w:val="24"/>
          <w:szCs w:val="24"/>
          <w:highlight w:val="none"/>
          <w:u w:val="single"/>
        </w:rPr>
        <w:t>（企业名称)</w:t>
      </w:r>
      <w:r>
        <w:rPr>
          <w:rFonts w:ascii="宋体" w:hAnsi="宋体"/>
          <w:color w:val="auto"/>
          <w:spacing w:val="6"/>
          <w:sz w:val="24"/>
          <w:szCs w:val="24"/>
          <w:highlight w:val="none"/>
        </w:rPr>
        <w:t>，从业人员人，营业收入为</w:t>
      </w:r>
      <w:r>
        <w:rPr>
          <w:rFonts w:ascii="宋体" w:hAnsi="宋体"/>
          <w:color w:val="auto"/>
          <w:spacing w:val="6"/>
          <w:sz w:val="24"/>
          <w:szCs w:val="24"/>
          <w:highlight w:val="none"/>
          <w:u w:val="single"/>
        </w:rPr>
        <w:t>_</w:t>
      </w:r>
      <w:r>
        <w:rPr>
          <w:rFonts w:ascii="宋体" w:hAnsi="宋体"/>
          <w:color w:val="auto"/>
          <w:spacing w:val="6"/>
          <w:sz w:val="24"/>
          <w:szCs w:val="24"/>
          <w:highlight w:val="none"/>
        </w:rPr>
        <w:t>万元，资产总额为</w:t>
      </w:r>
      <w:r>
        <w:rPr>
          <w:rFonts w:ascii="宋体" w:hAnsi="宋体"/>
          <w:color w:val="auto"/>
          <w:spacing w:val="6"/>
          <w:sz w:val="24"/>
          <w:szCs w:val="24"/>
          <w:highlight w:val="none"/>
          <w:u w:val="single"/>
        </w:rPr>
        <w:t>_</w:t>
      </w:r>
      <w:r>
        <w:rPr>
          <w:rFonts w:ascii="宋体" w:hAnsi="宋体"/>
          <w:color w:val="auto"/>
          <w:spacing w:val="6"/>
          <w:sz w:val="24"/>
          <w:szCs w:val="24"/>
          <w:highlight w:val="none"/>
        </w:rPr>
        <w:t>万元</w:t>
      </w:r>
      <w:r>
        <w:rPr>
          <w:rFonts w:hint="eastAsia" w:ascii="宋体" w:hAnsi="宋体"/>
          <w:color w:val="auto"/>
          <w:spacing w:val="6"/>
          <w:sz w:val="24"/>
          <w:szCs w:val="24"/>
          <w:highlight w:val="none"/>
        </w:rPr>
        <w:t>，采购文件中明确的所属行业</w:t>
      </w:r>
      <w:r>
        <w:rPr>
          <w:rFonts w:ascii="宋体" w:hAnsi="宋体"/>
          <w:color w:val="auto"/>
          <w:spacing w:val="6"/>
          <w:sz w:val="24"/>
          <w:szCs w:val="24"/>
          <w:highlight w:val="none"/>
        </w:rPr>
        <w:t>属于</w:t>
      </w:r>
      <w:r>
        <w:rPr>
          <w:rFonts w:ascii="宋体" w:hAnsi="宋体"/>
          <w:color w:val="auto"/>
          <w:spacing w:val="6"/>
          <w:sz w:val="24"/>
          <w:szCs w:val="24"/>
          <w:highlight w:val="none"/>
          <w:u w:val="single"/>
        </w:rPr>
        <w:t>（中型企业、小 型企业、微型企业）</w:t>
      </w:r>
      <w:r>
        <w:rPr>
          <w:rFonts w:hint="eastAsia" w:ascii="宋体" w:hAnsi="宋体"/>
          <w:color w:val="auto"/>
          <w:spacing w:val="6"/>
          <w:sz w:val="24"/>
          <w:szCs w:val="24"/>
          <w:highlight w:val="none"/>
        </w:rPr>
        <w:t>；</w:t>
      </w:r>
    </w:p>
    <w:p w14:paraId="32A62FEC">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w:t>
      </w:r>
    </w:p>
    <w:p w14:paraId="52A145B8">
      <w:pPr>
        <w:spacing w:line="588" w:lineRule="exact"/>
        <w:ind w:firstLine="504" w:firstLineChars="200"/>
        <w:rPr>
          <w:rFonts w:ascii="宋体" w:hAnsi="宋体"/>
          <w:color w:val="auto"/>
          <w:spacing w:val="6"/>
          <w:sz w:val="24"/>
          <w:szCs w:val="24"/>
          <w:highlight w:val="none"/>
        </w:rPr>
      </w:pPr>
      <w:r>
        <w:rPr>
          <w:rFonts w:ascii="宋体" w:hAnsi="宋体"/>
          <w:color w:val="auto"/>
          <w:spacing w:val="6"/>
          <w:sz w:val="24"/>
          <w:szCs w:val="24"/>
          <w:highlight w:val="none"/>
        </w:rPr>
        <w:t>以上企业，不属于大企业的分支机构，不存在控股股东为大企业的情形，也不存在与大企业的负责人为同一人的情形。</w:t>
      </w:r>
    </w:p>
    <w:p w14:paraId="0D76CE92">
      <w:pPr>
        <w:spacing w:line="588" w:lineRule="exact"/>
        <w:ind w:firstLine="504" w:firstLineChars="200"/>
        <w:rPr>
          <w:rFonts w:ascii="宋体" w:hAnsi="宋体"/>
          <w:color w:val="auto"/>
          <w:spacing w:val="6"/>
          <w:sz w:val="24"/>
          <w:szCs w:val="24"/>
          <w:highlight w:val="none"/>
        </w:rPr>
      </w:pPr>
      <w:r>
        <w:rPr>
          <w:rFonts w:ascii="宋体" w:hAnsi="宋体"/>
          <w:color w:val="auto"/>
          <w:spacing w:val="6"/>
          <w:sz w:val="24"/>
          <w:szCs w:val="24"/>
          <w:highlight w:val="none"/>
        </w:rPr>
        <w:t>本企业对上述声明内容的真实性负责。如有虚假，将依法承担相应责任。</w:t>
      </w:r>
    </w:p>
    <w:p w14:paraId="1342F044">
      <w:pPr>
        <w:spacing w:line="588" w:lineRule="exact"/>
        <w:rPr>
          <w:rFonts w:ascii="宋体" w:hAnsi="宋体"/>
          <w:color w:val="auto"/>
          <w:spacing w:val="6"/>
          <w:sz w:val="24"/>
          <w:szCs w:val="24"/>
          <w:highlight w:val="none"/>
        </w:rPr>
      </w:pPr>
    </w:p>
    <w:p w14:paraId="66D2BDEF">
      <w:pPr>
        <w:pStyle w:val="60"/>
        <w:shd w:val="clear" w:color="auto" w:fill="auto"/>
        <w:spacing w:after="228" w:line="300" w:lineRule="exact"/>
        <w:ind w:firstLine="4536" w:firstLineChars="1512"/>
        <w:rPr>
          <w:rFonts w:ascii="宋体" w:hAnsi="宋体" w:eastAsia="宋体"/>
          <w:color w:val="auto"/>
          <w:sz w:val="24"/>
          <w:szCs w:val="24"/>
          <w:highlight w:val="none"/>
        </w:rPr>
      </w:pPr>
      <w:r>
        <w:rPr>
          <w:rFonts w:ascii="宋体" w:hAnsi="宋体" w:eastAsia="宋体"/>
          <w:color w:val="auto"/>
          <w:sz w:val="24"/>
          <w:szCs w:val="24"/>
          <w:highlight w:val="none"/>
        </w:rPr>
        <w:t>企业名称（盖章</w:t>
      </w:r>
      <w:r>
        <w:rPr>
          <w:rFonts w:ascii="宋体" w:hAnsi="宋体" w:eastAsia="宋体"/>
          <w:color w:val="auto"/>
          <w:sz w:val="24"/>
          <w:szCs w:val="24"/>
          <w:highlight w:val="none"/>
          <w:lang w:bidi="en-US"/>
        </w:rPr>
        <w:t>）</w:t>
      </w:r>
    </w:p>
    <w:p w14:paraId="7A33C3A2">
      <w:pPr>
        <w:autoSpaceDE w:val="0"/>
        <w:autoSpaceDN w:val="0"/>
        <w:adjustRightInd w:val="0"/>
        <w:spacing w:line="360" w:lineRule="auto"/>
        <w:ind w:firstLine="4536" w:firstLineChars="1890"/>
        <w:jc w:val="left"/>
        <w:rPr>
          <w:rFonts w:ascii="宋体" w:hAnsi="宋体"/>
          <w:color w:val="auto"/>
          <w:sz w:val="24"/>
          <w:szCs w:val="24"/>
          <w:highlight w:val="none"/>
        </w:rPr>
      </w:pPr>
      <w:r>
        <w:rPr>
          <w:rFonts w:ascii="宋体" w:hAnsi="宋体"/>
          <w:color w:val="auto"/>
          <w:sz w:val="24"/>
          <w:szCs w:val="24"/>
          <w:highlight w:val="none"/>
        </w:rPr>
        <w:t>日期：</w:t>
      </w:r>
    </w:p>
    <w:p w14:paraId="54FFDFE2">
      <w:pPr>
        <w:spacing w:line="588" w:lineRule="exact"/>
        <w:ind w:firstLine="504" w:firstLineChars="200"/>
        <w:rPr>
          <w:rFonts w:ascii="宋体" w:hAnsi="宋体"/>
          <w:color w:val="auto"/>
          <w:spacing w:val="6"/>
          <w:sz w:val="24"/>
          <w:szCs w:val="24"/>
          <w:highlight w:val="none"/>
        </w:rPr>
      </w:pPr>
    </w:p>
    <w:p w14:paraId="070B4236">
      <w:pPr>
        <w:spacing w:line="240" w:lineRule="auto"/>
        <w:jc w:val="center"/>
        <w:textAlignment w:val="auto"/>
        <w:rPr>
          <w:rFonts w:ascii="黑体" w:hAnsi="黑体" w:eastAsia="黑体"/>
          <w:b/>
          <w:color w:val="auto"/>
          <w:sz w:val="30"/>
          <w:szCs w:val="30"/>
          <w:highlight w:val="none"/>
        </w:rPr>
      </w:pPr>
    </w:p>
    <w:p w14:paraId="3CDD1E4E">
      <w:pPr>
        <w:spacing w:line="240" w:lineRule="auto"/>
        <w:rPr>
          <w:rFonts w:ascii="宋体" w:hAnsi="宋体"/>
          <w:color w:val="auto"/>
          <w:sz w:val="18"/>
          <w:szCs w:val="18"/>
          <w:highlight w:val="none"/>
        </w:rPr>
      </w:pPr>
      <w:r>
        <w:rPr>
          <w:rFonts w:hint="eastAsia" w:ascii="宋体" w:hAnsi="宋体"/>
          <w:color w:val="auto"/>
          <w:sz w:val="18"/>
          <w:szCs w:val="18"/>
          <w:highlight w:val="none"/>
        </w:rPr>
        <w:t>注：1、</w:t>
      </w:r>
      <w:r>
        <w:rPr>
          <w:rStyle w:val="58"/>
          <w:rFonts w:ascii="宋体" w:hAnsi="宋体" w:eastAsia="宋体"/>
          <w:color w:val="auto"/>
          <w:sz w:val="18"/>
          <w:szCs w:val="18"/>
          <w:highlight w:val="none"/>
          <w:vertAlign w:val="superscript"/>
        </w:rPr>
        <w:t>1</w:t>
      </w:r>
      <w:r>
        <w:rPr>
          <w:rStyle w:val="59"/>
          <w:rFonts w:ascii="宋体" w:hAnsi="宋体" w:eastAsia="宋体"/>
          <w:color w:val="auto"/>
          <w:highlight w:val="none"/>
        </w:rPr>
        <w:t>从业人员、营业收入、资产总额填报上一年度数据，无上一年度数据的新成立企业可不填报</w:t>
      </w:r>
      <w:r>
        <w:rPr>
          <w:rStyle w:val="59"/>
          <w:rFonts w:hint="eastAsia" w:ascii="宋体" w:hAnsi="宋体" w:eastAsia="宋体"/>
          <w:color w:val="auto"/>
          <w:highlight w:val="none"/>
        </w:rPr>
        <w:t>。</w:t>
      </w:r>
    </w:p>
    <w:p w14:paraId="176DAB9D">
      <w:pPr>
        <w:spacing w:line="240" w:lineRule="auto"/>
        <w:rPr>
          <w:rFonts w:ascii="宋体" w:hAnsi="宋体"/>
          <w:color w:val="auto"/>
          <w:sz w:val="18"/>
          <w:szCs w:val="18"/>
          <w:highlight w:val="none"/>
        </w:rPr>
      </w:pPr>
      <w:r>
        <w:rPr>
          <w:rFonts w:hint="eastAsia" w:ascii="宋体" w:hAnsi="宋体"/>
          <w:color w:val="auto"/>
          <w:sz w:val="18"/>
          <w:szCs w:val="18"/>
          <w:highlight w:val="none"/>
        </w:rPr>
        <w:t xml:space="preserve"> 2、</w:t>
      </w:r>
      <w:r>
        <w:rPr>
          <w:rStyle w:val="59"/>
          <w:rFonts w:hint="eastAsia" w:ascii="宋体" w:hAnsi="宋体" w:eastAsia="宋体"/>
          <w:color w:val="auto"/>
          <w:highlight w:val="none"/>
        </w:rPr>
        <w:t>谈判文件中未标注“专门面向中小企业采购”的未预留（非预留）项目，投标人可以根据自身情况提供《中小企业声明函》，未提供《中小企业声明函》的、将不享受小微企业价格扣除扶持政策。</w:t>
      </w:r>
    </w:p>
    <w:p w14:paraId="5F14C4B1">
      <w:pPr>
        <w:widowControl w:val="0"/>
        <w:tabs>
          <w:tab w:val="left" w:pos="9365"/>
        </w:tabs>
        <w:snapToGrid w:val="0"/>
        <w:spacing w:after="56" w:line="560" w:lineRule="exact"/>
        <w:ind w:right="85" w:firstLine="452" w:firstLineChars="150"/>
        <w:textAlignment w:val="top"/>
        <w:rPr>
          <w:rFonts w:ascii="黑体" w:hAnsi="黑体" w:eastAsia="黑体"/>
          <w:b/>
          <w:color w:val="auto"/>
          <w:sz w:val="30"/>
          <w:szCs w:val="30"/>
          <w:highlight w:val="none"/>
        </w:rPr>
      </w:pPr>
      <w:r>
        <w:rPr>
          <w:rFonts w:ascii="黑体" w:hAnsi="黑体" w:eastAsia="黑体"/>
          <w:b/>
          <w:color w:val="auto"/>
          <w:sz w:val="30"/>
          <w:szCs w:val="30"/>
          <w:highlight w:val="none"/>
        </w:rPr>
        <w:br w:type="page"/>
      </w:r>
    </w:p>
    <w:p w14:paraId="009D764D">
      <w:pPr>
        <w:spacing w:line="240" w:lineRule="auto"/>
        <w:jc w:val="center"/>
        <w:textAlignment w:val="auto"/>
        <w:rPr>
          <w:rFonts w:ascii="黑体" w:hAnsi="黑体" w:eastAsia="黑体"/>
          <w:b/>
          <w:color w:val="auto"/>
          <w:sz w:val="30"/>
          <w:szCs w:val="30"/>
          <w:highlight w:val="none"/>
        </w:rPr>
      </w:pPr>
      <w:r>
        <w:rPr>
          <w:rFonts w:hint="eastAsia" w:ascii="黑体" w:hAnsi="黑体" w:eastAsia="黑体"/>
          <w:b/>
          <w:color w:val="auto"/>
          <w:sz w:val="30"/>
          <w:szCs w:val="30"/>
          <w:highlight w:val="none"/>
        </w:rPr>
        <w:t>残疾人福利性单位声明函</w:t>
      </w:r>
      <w:r>
        <w:rPr>
          <w:rFonts w:hint="eastAsia" w:ascii="宋体" w:hAnsi="宋体"/>
          <w:color w:val="auto"/>
          <w:spacing w:val="6"/>
          <w:sz w:val="24"/>
          <w:szCs w:val="24"/>
          <w:highlight w:val="none"/>
        </w:rPr>
        <w:t>（如符合条件时填写</w:t>
      </w:r>
      <w:r>
        <w:rPr>
          <w:rFonts w:hint="eastAsia" w:ascii="宋体" w:hAnsi="宋体"/>
          <w:color w:val="auto"/>
          <w:spacing w:val="6"/>
          <w:sz w:val="28"/>
          <w:szCs w:val="28"/>
          <w:highlight w:val="none"/>
          <w:vertAlign w:val="superscript"/>
        </w:rPr>
        <w:t>*</w:t>
      </w:r>
      <w:r>
        <w:rPr>
          <w:rFonts w:hint="eastAsia" w:ascii="宋体" w:hAnsi="宋体"/>
          <w:color w:val="auto"/>
          <w:spacing w:val="6"/>
          <w:sz w:val="24"/>
          <w:szCs w:val="24"/>
          <w:highlight w:val="none"/>
        </w:rPr>
        <w:t>）</w:t>
      </w:r>
    </w:p>
    <w:p w14:paraId="6C9761B7">
      <w:pPr>
        <w:spacing w:line="588" w:lineRule="exact"/>
        <w:rPr>
          <w:rFonts w:ascii="仿宋_GB2312" w:eastAsia="仿宋_GB2312"/>
          <w:b/>
          <w:color w:val="auto"/>
          <w:spacing w:val="6"/>
          <w:sz w:val="30"/>
          <w:szCs w:val="30"/>
          <w:highlight w:val="none"/>
        </w:rPr>
      </w:pPr>
    </w:p>
    <w:p w14:paraId="4877B29F">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color w:val="auto"/>
          <w:sz w:val="24"/>
          <w:szCs w:val="24"/>
          <w:highlight w:val="none"/>
        </w:rPr>
        <w:t>〔2017〕141</w:t>
      </w:r>
      <w:r>
        <w:rPr>
          <w:rFonts w:hint="eastAsia" w:ascii="宋体" w:hAnsi="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7407300">
      <w:pPr>
        <w:spacing w:line="588" w:lineRule="exact"/>
        <w:ind w:firstLine="504" w:firstLineChars="200"/>
        <w:rPr>
          <w:rFonts w:ascii="宋体" w:hAnsi="宋体"/>
          <w:color w:val="auto"/>
          <w:spacing w:val="6"/>
          <w:sz w:val="24"/>
          <w:szCs w:val="24"/>
          <w:highlight w:val="none"/>
        </w:rPr>
      </w:pPr>
      <w:r>
        <w:rPr>
          <w:rFonts w:hint="eastAsia" w:ascii="宋体" w:hAnsi="宋体"/>
          <w:color w:val="auto"/>
          <w:spacing w:val="6"/>
          <w:sz w:val="24"/>
          <w:szCs w:val="24"/>
          <w:highlight w:val="none"/>
        </w:rPr>
        <w:t>本单位对上述声明的真实性负责。如有虚假，将依法承担相应责任。</w:t>
      </w:r>
    </w:p>
    <w:p w14:paraId="6F3E5E0A">
      <w:pPr>
        <w:spacing w:line="588" w:lineRule="exact"/>
        <w:ind w:firstLine="504" w:firstLineChars="200"/>
        <w:rPr>
          <w:rFonts w:ascii="宋体" w:hAnsi="宋体"/>
          <w:color w:val="auto"/>
          <w:spacing w:val="6"/>
          <w:sz w:val="24"/>
          <w:szCs w:val="24"/>
          <w:highlight w:val="none"/>
        </w:rPr>
      </w:pPr>
    </w:p>
    <w:p w14:paraId="43970E4D">
      <w:pPr>
        <w:spacing w:line="588" w:lineRule="exact"/>
        <w:ind w:firstLine="504" w:firstLineChars="200"/>
        <w:rPr>
          <w:rFonts w:ascii="宋体" w:hAnsi="宋体"/>
          <w:color w:val="auto"/>
          <w:spacing w:val="6"/>
          <w:sz w:val="24"/>
          <w:szCs w:val="24"/>
          <w:highlight w:val="none"/>
        </w:rPr>
      </w:pPr>
    </w:p>
    <w:p w14:paraId="6BE50329">
      <w:pPr>
        <w:spacing w:line="588" w:lineRule="exact"/>
        <w:ind w:firstLine="504" w:firstLineChars="200"/>
        <w:rPr>
          <w:rFonts w:ascii="宋体" w:hAnsi="宋体"/>
          <w:color w:val="auto"/>
          <w:spacing w:val="6"/>
          <w:sz w:val="24"/>
          <w:szCs w:val="24"/>
          <w:highlight w:val="none"/>
        </w:rPr>
      </w:pPr>
    </w:p>
    <w:p w14:paraId="52A0B651">
      <w:pPr>
        <w:snapToGrid w:val="0"/>
        <w:spacing w:before="100" w:beforeAutospacing="1" w:after="100" w:afterAutospacing="1" w:line="700" w:lineRule="exact"/>
        <w:ind w:right="641" w:firstLine="4960" w:firstLineChars="2067"/>
        <w:rPr>
          <w:rFonts w:ascii="宋体" w:hAnsi="宋体"/>
          <w:color w:val="auto"/>
          <w:sz w:val="24"/>
          <w:szCs w:val="24"/>
          <w:highlight w:val="none"/>
        </w:rPr>
      </w:pPr>
      <w:r>
        <w:rPr>
          <w:rFonts w:hint="eastAsia" w:ascii="宋体" w:hAnsi="宋体"/>
          <w:color w:val="auto"/>
          <w:sz w:val="24"/>
          <w:szCs w:val="24"/>
          <w:highlight w:val="none"/>
        </w:rPr>
        <w:t>单位名称</w:t>
      </w:r>
      <w:r>
        <w:rPr>
          <w:rFonts w:ascii="宋体" w:hAnsi="宋体"/>
          <w:color w:val="auto"/>
          <w:sz w:val="24"/>
          <w:szCs w:val="24"/>
          <w:highlight w:val="none"/>
        </w:rPr>
        <w:t>（盖章</w:t>
      </w:r>
      <w:r>
        <w:rPr>
          <w:rFonts w:ascii="宋体" w:hAnsi="宋体"/>
          <w:color w:val="auto"/>
          <w:sz w:val="24"/>
          <w:szCs w:val="24"/>
          <w:highlight w:val="none"/>
          <w:lang w:bidi="en-US"/>
        </w:rPr>
        <w:t>）</w:t>
      </w:r>
      <w:r>
        <w:rPr>
          <w:rFonts w:hint="eastAsia" w:ascii="宋体" w:hAnsi="宋体"/>
          <w:color w:val="auto"/>
          <w:sz w:val="24"/>
          <w:szCs w:val="24"/>
          <w:highlight w:val="none"/>
        </w:rPr>
        <w:t>：</w:t>
      </w:r>
    </w:p>
    <w:p w14:paraId="26812A7D">
      <w:pPr>
        <w:snapToGrid w:val="0"/>
        <w:spacing w:before="100" w:beforeAutospacing="1" w:after="100" w:afterAutospacing="1" w:line="540" w:lineRule="exact"/>
        <w:ind w:right="85" w:firstLine="5016" w:firstLineChars="2090"/>
        <w:jc w:val="left"/>
        <w:textAlignment w:val="top"/>
        <w:rPr>
          <w:rFonts w:ascii="宋体" w:hAnsi="宋体"/>
          <w:color w:val="auto"/>
          <w:sz w:val="24"/>
          <w:szCs w:val="24"/>
          <w:highlight w:val="none"/>
        </w:rPr>
      </w:pPr>
      <w:r>
        <w:rPr>
          <w:rFonts w:hint="eastAsia" w:ascii="宋体" w:hAnsi="宋体"/>
          <w:color w:val="auto"/>
          <w:sz w:val="24"/>
          <w:szCs w:val="24"/>
          <w:highlight w:val="none"/>
        </w:rPr>
        <w:t>日期：</w:t>
      </w:r>
    </w:p>
    <w:p w14:paraId="49055B09">
      <w:pPr>
        <w:snapToGrid w:val="0"/>
        <w:spacing w:before="100" w:beforeAutospacing="1" w:after="100" w:afterAutospacing="1" w:line="540" w:lineRule="exact"/>
        <w:ind w:right="85" w:firstLine="5016" w:firstLineChars="2090"/>
        <w:jc w:val="left"/>
        <w:textAlignment w:val="top"/>
        <w:rPr>
          <w:rFonts w:ascii="宋体" w:hAnsi="宋体"/>
          <w:color w:val="auto"/>
          <w:sz w:val="24"/>
          <w:szCs w:val="24"/>
          <w:highlight w:val="none"/>
        </w:rPr>
      </w:pPr>
    </w:p>
    <w:p w14:paraId="7211F36D">
      <w:pPr>
        <w:snapToGrid w:val="0"/>
        <w:spacing w:before="100" w:beforeAutospacing="1" w:after="100" w:afterAutospacing="1" w:line="540" w:lineRule="exact"/>
        <w:ind w:right="85" w:firstLine="5016" w:firstLineChars="2090"/>
        <w:jc w:val="left"/>
        <w:textAlignment w:val="top"/>
        <w:rPr>
          <w:rFonts w:ascii="宋体" w:hAnsi="宋体"/>
          <w:color w:val="auto"/>
          <w:sz w:val="24"/>
          <w:szCs w:val="24"/>
          <w:highlight w:val="none"/>
        </w:rPr>
      </w:pPr>
    </w:p>
    <w:p w14:paraId="2AF626CD">
      <w:pPr>
        <w:snapToGrid w:val="0"/>
        <w:spacing w:before="100" w:beforeAutospacing="1" w:after="100" w:afterAutospacing="1" w:line="540" w:lineRule="exact"/>
        <w:ind w:right="85"/>
        <w:jc w:val="left"/>
        <w:textAlignment w:val="top"/>
        <w:rPr>
          <w:rFonts w:ascii="宋体" w:hAnsi="宋体"/>
          <w:color w:val="auto"/>
          <w:sz w:val="24"/>
          <w:szCs w:val="24"/>
          <w:highlight w:val="none"/>
        </w:rPr>
      </w:pPr>
    </w:p>
    <w:p w14:paraId="4A7CB4D0">
      <w:pPr>
        <w:shd w:val="clear" w:color="auto" w:fill="FFFFFF"/>
        <w:spacing w:line="240" w:lineRule="auto"/>
        <w:rPr>
          <w:rFonts w:ascii="宋体" w:hAnsi="宋体"/>
          <w:color w:val="auto"/>
          <w:sz w:val="18"/>
          <w:szCs w:val="18"/>
          <w:highlight w:val="none"/>
        </w:rPr>
      </w:pPr>
      <w:r>
        <w:rPr>
          <w:rFonts w:hint="eastAsia" w:ascii="宋体" w:hAnsi="宋体"/>
          <w:color w:val="auto"/>
          <w:sz w:val="18"/>
          <w:szCs w:val="18"/>
          <w:highlight w:val="none"/>
        </w:rPr>
        <w:t>注：1、按政策规定：符合条件的残疾人福利性单位视同小型、微型企业，享受评审价格扣除等促进中小企业发展的政府采购政策。残疾人福利性单位属于小型、微型企业的，不重复享受政策。</w:t>
      </w:r>
    </w:p>
    <w:p w14:paraId="2EC9641F">
      <w:pPr>
        <w:spacing w:line="240" w:lineRule="auto"/>
        <w:ind w:firstLine="450" w:firstLineChars="250"/>
        <w:rPr>
          <w:rFonts w:ascii="宋体" w:hAnsi="宋体"/>
          <w:color w:val="auto"/>
          <w:sz w:val="18"/>
          <w:szCs w:val="18"/>
          <w:highlight w:val="none"/>
        </w:rPr>
      </w:pPr>
      <w:r>
        <w:rPr>
          <w:rFonts w:hint="eastAsia" w:ascii="宋体" w:hAnsi="宋体"/>
          <w:color w:val="auto"/>
          <w:sz w:val="18"/>
          <w:szCs w:val="18"/>
          <w:highlight w:val="none"/>
        </w:rPr>
        <w:t>2、</w:t>
      </w:r>
      <w:r>
        <w:rPr>
          <w:rFonts w:hint="eastAsia" w:ascii="宋体" w:hAnsi="宋体"/>
          <w:b/>
          <w:color w:val="auto"/>
          <w:spacing w:val="6"/>
          <w:sz w:val="18"/>
          <w:szCs w:val="18"/>
          <w:highlight w:val="none"/>
          <w:vertAlign w:val="superscript"/>
        </w:rPr>
        <w:t>*</w:t>
      </w:r>
      <w:r>
        <w:rPr>
          <w:rFonts w:hint="eastAsia" w:ascii="宋体" w:hAnsi="宋体"/>
          <w:color w:val="auto"/>
          <w:sz w:val="18"/>
          <w:szCs w:val="18"/>
          <w:highlight w:val="none"/>
        </w:rPr>
        <w:t>本格式在残疾人福利性单位申请报价格扣除时填写，未填写不享受小微价格扣除，但不作为无效投标。</w:t>
      </w:r>
    </w:p>
    <w:p w14:paraId="5D8A49B0">
      <w:pPr>
        <w:spacing w:line="240" w:lineRule="auto"/>
        <w:ind w:firstLine="450" w:firstLineChars="250"/>
        <w:rPr>
          <w:rFonts w:ascii="宋体" w:hAnsi="宋体"/>
          <w:color w:val="auto"/>
          <w:sz w:val="18"/>
          <w:szCs w:val="18"/>
          <w:highlight w:val="none"/>
        </w:rPr>
      </w:pPr>
      <w:r>
        <w:rPr>
          <w:rFonts w:hint="eastAsia" w:ascii="宋体" w:hAnsi="宋体"/>
          <w:color w:val="auto"/>
          <w:sz w:val="18"/>
          <w:szCs w:val="18"/>
          <w:highlight w:val="none"/>
        </w:rPr>
        <w:t>残疾人福利性单位属于小型、微型企业的，可只填写“</w:t>
      </w:r>
      <w:r>
        <w:rPr>
          <w:rFonts w:ascii="宋体" w:hAnsi="宋体"/>
          <w:color w:val="auto"/>
          <w:sz w:val="18"/>
          <w:szCs w:val="18"/>
          <w:highlight w:val="none"/>
        </w:rPr>
        <w:t xml:space="preserve"> 中小企业声明函</w:t>
      </w:r>
      <w:r>
        <w:rPr>
          <w:rFonts w:hint="eastAsia" w:ascii="宋体" w:hAnsi="宋体"/>
          <w:color w:val="auto"/>
          <w:sz w:val="18"/>
          <w:szCs w:val="18"/>
          <w:highlight w:val="none"/>
        </w:rPr>
        <w:t>”，不再填写“残疾人福利性单位</w:t>
      </w:r>
      <w:r>
        <w:rPr>
          <w:rFonts w:ascii="宋体" w:hAnsi="宋体"/>
          <w:color w:val="auto"/>
          <w:sz w:val="18"/>
          <w:szCs w:val="18"/>
          <w:highlight w:val="none"/>
        </w:rPr>
        <w:t>声明函</w:t>
      </w:r>
      <w:r>
        <w:rPr>
          <w:rFonts w:hint="eastAsia" w:ascii="宋体" w:hAnsi="宋体"/>
          <w:color w:val="auto"/>
          <w:sz w:val="18"/>
          <w:szCs w:val="18"/>
          <w:highlight w:val="none"/>
        </w:rPr>
        <w:t>”。</w:t>
      </w:r>
    </w:p>
    <w:p w14:paraId="2A76DB98">
      <w:pPr>
        <w:spacing w:line="240" w:lineRule="auto"/>
        <w:ind w:firstLine="450" w:firstLineChars="250"/>
        <w:rPr>
          <w:rFonts w:ascii="宋体" w:hAnsi="宋体"/>
          <w:color w:val="auto"/>
          <w:sz w:val="18"/>
          <w:szCs w:val="18"/>
          <w:highlight w:val="none"/>
        </w:rPr>
      </w:pPr>
      <w:r>
        <w:rPr>
          <w:rFonts w:hint="eastAsia" w:ascii="宋体" w:hAnsi="宋体"/>
          <w:color w:val="auto"/>
          <w:sz w:val="18"/>
          <w:szCs w:val="18"/>
          <w:highlight w:val="none"/>
        </w:rPr>
        <w:t>3、残疾人福利性单位填写“残疾人福利性单位</w:t>
      </w:r>
      <w:r>
        <w:rPr>
          <w:rFonts w:ascii="宋体" w:hAnsi="宋体"/>
          <w:color w:val="auto"/>
          <w:sz w:val="18"/>
          <w:szCs w:val="18"/>
          <w:highlight w:val="none"/>
        </w:rPr>
        <w:t>声明函</w:t>
      </w:r>
      <w:r>
        <w:rPr>
          <w:rFonts w:hint="eastAsia" w:ascii="宋体" w:hAnsi="宋体"/>
          <w:color w:val="auto"/>
          <w:sz w:val="18"/>
          <w:szCs w:val="18"/>
          <w:highlight w:val="none"/>
        </w:rPr>
        <w:t>”后，仍需同时填写“</w:t>
      </w:r>
      <w:r>
        <w:rPr>
          <w:rFonts w:ascii="宋体" w:hAnsi="宋体"/>
          <w:color w:val="auto"/>
          <w:sz w:val="18"/>
          <w:szCs w:val="18"/>
          <w:highlight w:val="none"/>
        </w:rPr>
        <w:t>中小企业声明函</w:t>
      </w:r>
      <w:r>
        <w:rPr>
          <w:rFonts w:hint="eastAsia" w:ascii="宋体" w:hAnsi="宋体"/>
          <w:color w:val="auto"/>
          <w:sz w:val="18"/>
          <w:szCs w:val="18"/>
          <w:highlight w:val="none"/>
        </w:rPr>
        <w:t>”、可在“</w:t>
      </w:r>
      <w:r>
        <w:rPr>
          <w:rFonts w:ascii="宋体" w:hAnsi="宋体"/>
          <w:color w:val="auto"/>
          <w:sz w:val="18"/>
          <w:szCs w:val="18"/>
          <w:highlight w:val="none"/>
        </w:rPr>
        <w:t>中小企业声明函</w:t>
      </w:r>
      <w:r>
        <w:rPr>
          <w:rFonts w:hint="eastAsia" w:ascii="宋体" w:hAnsi="宋体"/>
          <w:color w:val="auto"/>
          <w:sz w:val="18"/>
          <w:szCs w:val="18"/>
          <w:highlight w:val="none"/>
        </w:rPr>
        <w:t>”注明“属于符合条件的残疾人福利性单位、视同小型、微型企业”。</w:t>
      </w:r>
    </w:p>
    <w:p w14:paraId="3EB27C58">
      <w:pPr>
        <w:spacing w:line="240" w:lineRule="auto"/>
        <w:jc w:val="left"/>
        <w:textAlignment w:val="auto"/>
        <w:rPr>
          <w:rFonts w:ascii="宋体" w:cs="楷体_GB2312"/>
          <w:b/>
          <w:color w:val="auto"/>
          <w:sz w:val="30"/>
          <w:szCs w:val="30"/>
          <w:highlight w:val="none"/>
          <w:lang w:val="zh-CN"/>
        </w:rPr>
      </w:pPr>
    </w:p>
    <w:sectPr>
      <w:pgSz w:w="11905" w:h="16837"/>
      <w:pgMar w:top="1091" w:right="1106" w:bottom="993" w:left="1418" w:header="850"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Times New Roman"/>
    <w:panose1 w:val="00000000000000000000"/>
    <w:charset w:val="00"/>
    <w:family w:val="auto"/>
    <w:pitch w:val="default"/>
    <w:sig w:usb0="00000000" w:usb1="00000000" w:usb2="00000000" w:usb3="00000000" w:csb0="00000000" w:csb1="0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A525E">
    <w:pPr>
      <w:widowControl w:val="0"/>
      <w:snapToGrid w:val="0"/>
      <w:spacing w:line="240" w:lineRule="atLeast"/>
      <w:ind w:right="21"/>
      <w:jc w:val="left"/>
      <w:rPr>
        <w:rFonts w:ascii="宋体" w:hAnsi="宋体"/>
        <w:szCs w:val="21"/>
        <w:u w:val="single"/>
      </w:rPr>
    </w:pPr>
    <w:r>
      <w:rPr>
        <w:rFonts w:hint="eastAsia" w:ascii="宋体" w:hAnsi="宋体"/>
        <w:szCs w:val="21"/>
        <w:u w:val="single"/>
      </w:rPr>
      <w:t>《谈判文件》</w:t>
    </w:r>
    <w:r>
      <w:rPr>
        <w:rFonts w:hint="eastAsia" w:ascii="宋体" w:hAnsi="宋体"/>
        <w:szCs w:val="21"/>
        <w:u w:val="single"/>
        <w:lang w:val="en-US" w:eastAsia="zh-CN"/>
      </w:rPr>
      <w:t xml:space="preserve">                                                            </w:t>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NUMPAGES-1\* Arabic \* MERGEFORMAT</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Style w:val="20"/>
        <w:rFonts w:ascii="宋体" w:hAnsi="宋体"/>
        <w:szCs w:val="21"/>
        <w:u w:val="single"/>
      </w:rPr>
      <w:fldChar w:fldCharType="begin"/>
    </w:r>
    <w:r>
      <w:rPr>
        <w:rStyle w:val="20"/>
        <w:rFonts w:ascii="宋体" w:hAnsi="宋体"/>
        <w:szCs w:val="21"/>
        <w:u w:val="single"/>
      </w:rPr>
      <w:instrText xml:space="preserve"> PAGE </w:instrText>
    </w:r>
    <w:r>
      <w:rPr>
        <w:rStyle w:val="20"/>
        <w:rFonts w:ascii="宋体" w:hAnsi="宋体"/>
        <w:szCs w:val="21"/>
        <w:u w:val="single"/>
      </w:rPr>
      <w:fldChar w:fldCharType="separate"/>
    </w:r>
    <w:r>
      <w:rPr>
        <w:rStyle w:val="20"/>
        <w:rFonts w:ascii="宋体" w:hAnsi="宋体"/>
        <w:szCs w:val="21"/>
        <w:u w:val="single"/>
      </w:rPr>
      <w:t>4</w:t>
    </w:r>
    <w:r>
      <w:rPr>
        <w:rStyle w:val="20"/>
        <w:rFonts w:ascii="宋体" w:hAnsi="宋体"/>
        <w:szCs w:val="21"/>
        <w:u w:val="single"/>
      </w:rPr>
      <w:fldChar w:fldCharType="end"/>
    </w:r>
    <w:r>
      <w:rPr>
        <w:rStyle w:val="20"/>
        <w:rFonts w:hint="eastAsia" w:ascii="宋体" w:hAnsi="宋体"/>
        <w:szCs w:val="21"/>
        <w:u w:val="single"/>
      </w:rPr>
      <w:t>（</w:t>
    </w:r>
    <w:r>
      <w:rPr>
        <w:rFonts w:hint="eastAsia" w:ascii="宋体" w:hAnsi="宋体"/>
        <w:szCs w:val="21"/>
        <w:u w:val="single"/>
      </w:rPr>
      <w:t>共</w:t>
    </w:r>
    <w:r>
      <w:rPr>
        <w:rFonts w:hint="eastAsia"/>
        <w:u w:val="single"/>
      </w:rPr>
      <w:t>85</w:t>
    </w:r>
    <w:r>
      <w:rPr>
        <w:rFonts w:hint="eastAsia" w:ascii="宋体" w:hAnsi="宋体"/>
        <w:szCs w:val="21"/>
        <w:u w:val="single"/>
      </w:rPr>
      <w:t>页</w:t>
    </w:r>
    <w:r>
      <w:rPr>
        <w:rFonts w:ascii="宋体" w:hAnsi="宋体"/>
        <w:szCs w:val="21"/>
        <w:u w:val="single"/>
      </w:rPr>
      <w:t>)</w:t>
    </w:r>
    <w:r>
      <w:rPr>
        <w:rFonts w:ascii="宋体" w:hAnsi="宋体"/>
      </w:rPr>
      <mc:AlternateContent>
        <mc:Choice Requires="wps">
          <w:drawing>
            <wp:anchor distT="0" distB="0" distL="114300" distR="114300" simplePos="0" relativeHeight="251660288"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lIns="0" tIns="0" rIns="0" bIns="0" upright="1"/>
                  </wps:wsp>
                </a:graphicData>
              </a:graphic>
            </wp:anchor>
          </w:drawing>
        </mc:Choice>
        <mc:Fallback>
          <w:pict>
            <v:shape id="文本框 1026" o:spid="_x0000_s1026" o:spt="202" type="#_x0000_t202" style="position:absolute;left:0pt;margin-left:70.85pt;margin-top:799.35pt;height:14.15pt;width:453.5pt;mso-position-horizontal-relative:page;mso-position-vertical-relative:page;z-index:-251656192;mso-width-relative:page;mso-height-relative:page;" filled="f" stroked="f" coordsize="21600,21600" o:allowincell="f" o:gfxdata="UEsDBAoAAAAAAIdO4kAAAAAAAAAAAAAAAAAEAAAAZHJzL1BLAwQUAAAACACHTuJA0ne5yNkAAAAO&#10;AQAADwAAAGRycy9kb3ducmV2LnhtbE2PzU7DMBCE70h9B2srcaN2qpK2IU6FEJyQEGk4cHRiN7Ea&#10;r0Ps/vD2bE7l9o12NDuT766uZ2czButRQrIQwAw2XltsJXxVbw8bYCEq1Kr3aCT8mgC7YnaXq0z7&#10;C5bmvI8toxAMmZLQxThknIemM06FhR8M0u3gR6ciybHlelQXCnc9XwqRcqcs0odODealM81xf3IS&#10;nr+xfLU/H/VneShtVW0FvqdHKe/niXgCFs013sww1afqUFCn2p9QB9aTXiVrshI8bjdEk0WsJqqJ&#10;0uVaAC9y/n9G8QdQSwMEFAAAAAgAh07iQJo/E4C4AQAAagMAAA4AAABkcnMvZTJvRG9jLnhtbK1T&#10;S27bMBDdF8gdCO5rykYdN4LlAIWRoEDRFkhyAJqiLAL8YUhb8gXaG3TVTfc9l8/RIWU5v00W3VCj&#10;mdGb995Qy+veaLKXEJSzFZ1OCkqkFa5WdlvRh/ub9x8pCZHbmmtnZUUPMtDr1cW7ZedLOXOt07UE&#10;giA2lJ2vaBujLxkLopWGh4nz0mKxcWB4xFfYshp4h+hGs1lRXLLOQe3BCRkCZtdDkZ4Q4S2ArmmU&#10;kGsndkbaOKCC1DyipNAqH+gqs20aKeK3pgkyEl1RVBrziUMw3qSTrZa83AL3rRInCvwtFF5oMlxZ&#10;HHqGWvPIyQ7UKyijBLjgmjgRzrBBSHYEVUyLF97ctdzLrAWtDv5sevh/sOLr/jsQVVd0RonlBhd+&#10;/PXz+Pvv8c8PMi1ml8mhzocSG+88tsb+k+vx3oz5gMkkvG/ApCdKIlhHfw9nf2UficDkfDG/+jDH&#10;ksDadHG1KOYJhj1+7SHEW+kMSUFFAfeXbeX7LyEOrWNLGmbdjdI671DbZwnETBmWqA8UU7Rx9QE1&#10;6M8WLUzXYQxgDDZjsPOgti1yyEozDq4gkz1dl7Tjp+952uMvsvo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0ne5yNkAAAAOAQAADwAAAAAAAAABACAAAAAiAAAAZHJzL2Rvd25yZXYueG1sUEsBAhQA&#10;FAAAAAgAh07iQJo/E4C4AQAAagMAAA4AAAAAAAAAAQAgAAAAKAEAAGRycy9lMm9Eb2MueG1sUEsF&#10;BgAAAAAGAAYAWQEAAFIFAAAAAA==&#10;">
              <v:fill on="f" focussize="0,0"/>
              <v:stroke on="f"/>
              <v:imagedata o:title=""/>
              <o:lock v:ext="edit" aspectratio="f"/>
              <v:textbox inset="0mm,0mm,0mm,0mm"/>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22CC1">
    <w:pPr>
      <w:pStyle w:val="10"/>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14:paraId="6C924A90">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45260">
    <w:pPr>
      <w:pStyle w:val="1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66738">
    <w:pPr>
      <w:widowControl w:val="0"/>
      <w:snapToGrid w:val="0"/>
      <w:spacing w:line="240" w:lineRule="atLeast"/>
      <w:rPr>
        <w:rFonts w:ascii="宋体" w:hAnsi="宋体"/>
        <w:szCs w:val="21"/>
      </w:rPr>
    </w:pPr>
    <w:r>
      <w:rPr>
        <w:rFonts w:hint="eastAsia" w:ascii="宋体" w:hAnsi="宋体"/>
        <w:szCs w:val="21"/>
        <w:u w:val="single"/>
      </w:rPr>
      <w:t>安阳市方正招标采购服务有限责任公司</w:t>
    </w:r>
    <w:r>
      <w:rPr>
        <w:rFonts w:hint="eastAsia" w:ascii="宋体" w:hAnsi="宋体"/>
        <w:szCs w:val="21"/>
        <w:u w:val="single"/>
        <w:lang w:val="en-US" w:eastAsia="zh-CN"/>
      </w:rPr>
      <w:t xml:space="preserve">       </w:t>
    </w:r>
    <w:r>
      <w:rPr>
        <w:rFonts w:hint="eastAsia" w:ascii="宋体" w:hAnsi="宋体"/>
        <w:szCs w:val="21"/>
        <w:u w:val="single"/>
      </w:rPr>
      <w:t>电话及传真：</w:t>
    </w:r>
    <w:r>
      <w:rPr>
        <w:rFonts w:ascii="宋体" w:hAnsi="宋体"/>
        <w:szCs w:val="21"/>
        <w:u w:val="single"/>
      </w:rPr>
      <w:t>0372—2283981</w:t>
    </w:r>
    <w:r>
      <w:rPr>
        <w:rFonts w:hint="eastAsia" w:ascii="宋体" w:hAnsi="宋体"/>
        <w:szCs w:val="21"/>
        <w:u w:val="single"/>
      </w:rPr>
      <w:t>、</w:t>
    </w:r>
    <w:r>
      <w:rPr>
        <w:rFonts w:ascii="宋体" w:hAnsi="宋体"/>
        <w:szCs w:val="21"/>
        <w:u w:val="single"/>
      </w:rPr>
      <w:t>2283982</w:t>
    </w:r>
    <w:r>
      <w:rPr>
        <w:rFonts w:hint="eastAsia" w:ascii="宋体" w:hAnsi="宋体"/>
        <w:szCs w:val="21"/>
        <w:u w:val="single"/>
      </w:rPr>
      <w:t>、</w:t>
    </w:r>
    <w:r>
      <w:rPr>
        <w:rFonts w:ascii="宋体" w:hAnsi="宋体"/>
        <w:szCs w:val="21"/>
        <w:u w:val="single"/>
      </w:rPr>
      <w:t>2283983 .</w:t>
    </w:r>
    <w:r>
      <w:rPr>
        <w:rFonts w:ascii="宋体" w:hAnsi="宋体"/>
      </w:rPr>
      <mc:AlternateContent>
        <mc:Choice Requires="wps">
          <w:drawing>
            <wp:anchor distT="0" distB="0" distL="114300" distR="114300" simplePos="0" relativeHeight="251659264" behindDoc="1" locked="0" layoutInCell="0" allowOverlap="1">
              <wp:simplePos x="0" y="0"/>
              <wp:positionH relativeFrom="page">
                <wp:posOffset>899795</wp:posOffset>
              </wp:positionH>
              <wp:positionV relativeFrom="page">
                <wp:posOffset>359410</wp:posOffset>
              </wp:positionV>
              <wp:extent cx="5759450" cy="179705"/>
              <wp:effectExtent l="0" t="0" r="0" b="0"/>
              <wp:wrapNone/>
              <wp:docPr id="1" name="Text Box 1"/>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lIns="0" tIns="0" rIns="0" bIns="0" upright="1"/>
                  </wps:wsp>
                </a:graphicData>
              </a:graphic>
            </wp:anchor>
          </w:drawing>
        </mc:Choice>
        <mc:Fallback>
          <w:pict>
            <v:shape id="Text Box 1" o:spid="_x0000_s1026" o:spt="202" type="#_x0000_t202" style="position:absolute;left:0pt;margin-left:70.85pt;margin-top:28.3pt;height:14.15pt;width:453.5pt;mso-position-horizontal-relative:page;mso-position-vertical-relative:page;z-index:-251657216;mso-width-relative:page;mso-height-relative:page;" filled="f" stroked="f" coordsize="21600,21600" o:allowincell="f" o:gfxdata="UEsDBAoAAAAAAIdO4kAAAAAAAAAAAAAAAAAEAAAAZHJzL1BLAwQUAAAACACHTuJA3TdOcdgAAAAK&#10;AQAADwAAAGRycy9kb3ducmV2LnhtbE2Py07DMBBF90j9B2sqsaN2UAhpiFMhBCskRBoWLJ14mliN&#10;xyF2H/w97oou78zRnTPl5mxHdsTZG0cSkpUAhtQ5baiX8NW83eXAfFCk1egIJfyih021uClVod2J&#10;ajxuQ89iCflCSRhCmArOfTegVX7lJqS427nZqhDj3HM9q1MstyO/FyLjVhmKFwY14cuA3X57sBKe&#10;v6l+NT8f7We9q03TrAW9Z3spb5eJeAIW8Bz+YbjoR3WoolPrDqQ9G2NOk8eISnjIMmAXQKR5nLQS&#10;8nQNvCr59QvVH1BLAwQUAAAACACHTuJAs2EH6qYBAABmAwAADgAAAGRycy9lMm9Eb2MueG1srVPB&#10;bhshEL1Xyj8g7vGuo7huVl5HiqxEkaq2UtIPwCx4kYBBDPau/74DaztpesmhF3Z4M/tm3gNW96Oz&#10;7KAiGvAtn89qzpSX0Bm/a/nv18frb5xhEr4TFrxq+VEhv19ffVkNoVE30IPtVGRE4rEZQsv7lEJT&#10;VSh75QTOIChPSQ3RiUTbuKu6KAZid7a6qeuv1QCxCxGkQiR0MyX5iTF+hhC0NlJtQO6d8mlijcqK&#10;RJKwNwH5ukyrtZLpp9aoErMtJ6WprNSE4m1eq/VKNLsoQm/kaQTxmRE+aHLCeGp6odqIJNg+mn+o&#10;nJEREHSaSXDVJKQ4Qirm9QdvXnoRVNFCVmO4mI7/j1b+OPyKzHR0EzjzwtGBv6oxsQcY2Ty7MwRs&#10;qOglUFkaCc6VJxwJzKJHHV3+khxGefL2ePE2k0kCF8vF3e2CUpJy8+Xdsl5kmurt7xAxPSlwLAct&#10;j3R2xVJx+I5pKj2X5GYeHo21hIvG+r8A4sxIlUefRszRFrojabDPnuzLV+EcxHOwPQf7EM2upxmK&#10;0sJD9pdhT1cln+/7fen29jz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dN05x2AAAAAoBAAAP&#10;AAAAAAAAAAEAIAAAACIAAABkcnMvZG93bnJldi54bWxQSwECFAAUAAAACACHTuJAs2EH6qYBAABm&#10;AwAADgAAAAAAAAABACAAAAAnAQAAZHJzL2Uyb0RvYy54bWxQSwUGAAAAAAYABgBZAQAAPwUAAAAA&#10;">
              <v:fill on="f" focussize="0,0"/>
              <v:stroke on="f"/>
              <v:imagedata o:title=""/>
              <o:lock v:ext="edit" aspectratio="f"/>
              <v:textbox inset="0mm,0mm,0mm,0mm"/>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5D8D">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5C1B"/>
    <w:multiLevelType w:val="singleLevel"/>
    <w:tmpl w:val="B3805C1B"/>
    <w:lvl w:ilvl="0" w:tentative="0">
      <w:start w:val="1"/>
      <w:numFmt w:val="decimal"/>
      <w:suff w:val="space"/>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2A7A21"/>
    <w:multiLevelType w:val="singleLevel"/>
    <w:tmpl w:val="CF2A7A21"/>
    <w:lvl w:ilvl="0" w:tentative="0">
      <w:start w:val="1"/>
      <w:numFmt w:val="decimal"/>
      <w:suff w:val="nothing"/>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7A0F6431"/>
    <w:multiLevelType w:val="singleLevel"/>
    <w:tmpl w:val="7A0F6431"/>
    <w:lvl w:ilvl="0" w:tentative="0">
      <w:start w:val="1"/>
      <w:numFmt w:val="decimal"/>
      <w:suff w:val="space"/>
      <w:lvlText w:val="%1."/>
      <w:lvlJc w:val="left"/>
    </w:lvl>
  </w:abstractNum>
  <w:num w:numId="1">
    <w:abstractNumId w:val="2"/>
  </w:num>
  <w:num w:numId="2">
    <w:abstractNumId w:val="8"/>
  </w:num>
  <w:num w:numId="3">
    <w:abstractNumId w:val="3"/>
  </w:num>
  <w:num w:numId="4">
    <w:abstractNumId w:val="7"/>
  </w:num>
  <w:num w:numId="5">
    <w:abstractNumId w:val="5"/>
  </w:num>
  <w:num w:numId="6">
    <w:abstractNumId w:val="4"/>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hideSpellingErrors/>
  <w:doNotTrackMoves/>
  <w:documentProtection w:edit="forms" w:formatting="1" w:enforcement="1" w:cryptProviderType="rsaFull" w:cryptAlgorithmClass="hash" w:cryptAlgorithmType="typeAny" w:cryptAlgorithmSid="4" w:cryptSpinCount="0" w:hash="fNMBcZHhRSVPk5zR4b0Dtv1cRao=" w:salt="6P7j9iqPwIu50Ru9sFeG+w=="/>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xMTUwNDk1M2RmZDExMGM3NDQ3N2I3NzBhM2IwMDQifQ=="/>
  </w:docVars>
  <w:rsids>
    <w:rsidRoot w:val="00172A27"/>
    <w:rsid w:val="0000090B"/>
    <w:rsid w:val="000009A9"/>
    <w:rsid w:val="00001B2F"/>
    <w:rsid w:val="00001D7A"/>
    <w:rsid w:val="00003060"/>
    <w:rsid w:val="000055BB"/>
    <w:rsid w:val="0001285D"/>
    <w:rsid w:val="00012C28"/>
    <w:rsid w:val="00013814"/>
    <w:rsid w:val="00013DB2"/>
    <w:rsid w:val="00017CFC"/>
    <w:rsid w:val="00017E1E"/>
    <w:rsid w:val="00021EFD"/>
    <w:rsid w:val="00022C34"/>
    <w:rsid w:val="00023676"/>
    <w:rsid w:val="00024608"/>
    <w:rsid w:val="00025F1E"/>
    <w:rsid w:val="0002643A"/>
    <w:rsid w:val="0002701F"/>
    <w:rsid w:val="000339BC"/>
    <w:rsid w:val="00034EBE"/>
    <w:rsid w:val="00035118"/>
    <w:rsid w:val="0003567F"/>
    <w:rsid w:val="00035CA9"/>
    <w:rsid w:val="00036AA4"/>
    <w:rsid w:val="00041891"/>
    <w:rsid w:val="00042CA8"/>
    <w:rsid w:val="00043821"/>
    <w:rsid w:val="00043CBA"/>
    <w:rsid w:val="00044F84"/>
    <w:rsid w:val="00045540"/>
    <w:rsid w:val="00046A4B"/>
    <w:rsid w:val="00046C08"/>
    <w:rsid w:val="00051B50"/>
    <w:rsid w:val="0005241B"/>
    <w:rsid w:val="000565C4"/>
    <w:rsid w:val="00057834"/>
    <w:rsid w:val="00057F78"/>
    <w:rsid w:val="000602CF"/>
    <w:rsid w:val="0006134B"/>
    <w:rsid w:val="00062821"/>
    <w:rsid w:val="000651DA"/>
    <w:rsid w:val="00072834"/>
    <w:rsid w:val="000738CA"/>
    <w:rsid w:val="0007390E"/>
    <w:rsid w:val="00073931"/>
    <w:rsid w:val="00073A45"/>
    <w:rsid w:val="00074766"/>
    <w:rsid w:val="00077629"/>
    <w:rsid w:val="00080AE9"/>
    <w:rsid w:val="00081092"/>
    <w:rsid w:val="00081801"/>
    <w:rsid w:val="00081ACD"/>
    <w:rsid w:val="00081C6C"/>
    <w:rsid w:val="00081EB8"/>
    <w:rsid w:val="00081F16"/>
    <w:rsid w:val="00081F58"/>
    <w:rsid w:val="000823AD"/>
    <w:rsid w:val="000829A8"/>
    <w:rsid w:val="00082FC4"/>
    <w:rsid w:val="000832B2"/>
    <w:rsid w:val="0008431C"/>
    <w:rsid w:val="0008447C"/>
    <w:rsid w:val="000847D3"/>
    <w:rsid w:val="00084AB6"/>
    <w:rsid w:val="00086706"/>
    <w:rsid w:val="00086B70"/>
    <w:rsid w:val="00087637"/>
    <w:rsid w:val="000900BA"/>
    <w:rsid w:val="00090D6B"/>
    <w:rsid w:val="00090EB6"/>
    <w:rsid w:val="00090FEC"/>
    <w:rsid w:val="00091C5E"/>
    <w:rsid w:val="00092A9B"/>
    <w:rsid w:val="00092FFF"/>
    <w:rsid w:val="000933F0"/>
    <w:rsid w:val="00093A6B"/>
    <w:rsid w:val="000956CE"/>
    <w:rsid w:val="00096A9B"/>
    <w:rsid w:val="0009779D"/>
    <w:rsid w:val="000A152E"/>
    <w:rsid w:val="000A1C72"/>
    <w:rsid w:val="000A2E93"/>
    <w:rsid w:val="000A3597"/>
    <w:rsid w:val="000A36C8"/>
    <w:rsid w:val="000A3FE8"/>
    <w:rsid w:val="000A4640"/>
    <w:rsid w:val="000A4F8E"/>
    <w:rsid w:val="000A55EE"/>
    <w:rsid w:val="000A6CD3"/>
    <w:rsid w:val="000A6D2F"/>
    <w:rsid w:val="000A7E88"/>
    <w:rsid w:val="000B1334"/>
    <w:rsid w:val="000B1BD0"/>
    <w:rsid w:val="000B22A3"/>
    <w:rsid w:val="000B380C"/>
    <w:rsid w:val="000B4758"/>
    <w:rsid w:val="000B5412"/>
    <w:rsid w:val="000B6571"/>
    <w:rsid w:val="000B709F"/>
    <w:rsid w:val="000C1E47"/>
    <w:rsid w:val="000C2A71"/>
    <w:rsid w:val="000C2AA6"/>
    <w:rsid w:val="000C2ED3"/>
    <w:rsid w:val="000C4940"/>
    <w:rsid w:val="000C4BA5"/>
    <w:rsid w:val="000C4C3B"/>
    <w:rsid w:val="000D0476"/>
    <w:rsid w:val="000D2631"/>
    <w:rsid w:val="000D46DD"/>
    <w:rsid w:val="000D5549"/>
    <w:rsid w:val="000D619E"/>
    <w:rsid w:val="000D7406"/>
    <w:rsid w:val="000D7EA9"/>
    <w:rsid w:val="000E02FC"/>
    <w:rsid w:val="000E1639"/>
    <w:rsid w:val="000E2414"/>
    <w:rsid w:val="000E2432"/>
    <w:rsid w:val="000E4B27"/>
    <w:rsid w:val="000E4CE0"/>
    <w:rsid w:val="000E5379"/>
    <w:rsid w:val="000E54A0"/>
    <w:rsid w:val="000E632B"/>
    <w:rsid w:val="000E6AAA"/>
    <w:rsid w:val="000F0324"/>
    <w:rsid w:val="000F108C"/>
    <w:rsid w:val="000F3188"/>
    <w:rsid w:val="000F3D46"/>
    <w:rsid w:val="000F4146"/>
    <w:rsid w:val="000F6070"/>
    <w:rsid w:val="000F71A3"/>
    <w:rsid w:val="000F73C6"/>
    <w:rsid w:val="000F7917"/>
    <w:rsid w:val="001013AB"/>
    <w:rsid w:val="001019D8"/>
    <w:rsid w:val="00101EAB"/>
    <w:rsid w:val="001023AB"/>
    <w:rsid w:val="001041CB"/>
    <w:rsid w:val="00107435"/>
    <w:rsid w:val="00110434"/>
    <w:rsid w:val="001118D4"/>
    <w:rsid w:val="00113293"/>
    <w:rsid w:val="00114EE3"/>
    <w:rsid w:val="001163D8"/>
    <w:rsid w:val="00116DFD"/>
    <w:rsid w:val="00120C96"/>
    <w:rsid w:val="001212EB"/>
    <w:rsid w:val="00122298"/>
    <w:rsid w:val="0012307F"/>
    <w:rsid w:val="00123128"/>
    <w:rsid w:val="001234C9"/>
    <w:rsid w:val="00124F88"/>
    <w:rsid w:val="00126132"/>
    <w:rsid w:val="0012648C"/>
    <w:rsid w:val="0012732E"/>
    <w:rsid w:val="001279FE"/>
    <w:rsid w:val="001304AB"/>
    <w:rsid w:val="00131B13"/>
    <w:rsid w:val="00131CCB"/>
    <w:rsid w:val="00132172"/>
    <w:rsid w:val="001321E1"/>
    <w:rsid w:val="00132364"/>
    <w:rsid w:val="00132A89"/>
    <w:rsid w:val="001342A5"/>
    <w:rsid w:val="00135227"/>
    <w:rsid w:val="00135251"/>
    <w:rsid w:val="00137369"/>
    <w:rsid w:val="001378C9"/>
    <w:rsid w:val="001401E4"/>
    <w:rsid w:val="00141D13"/>
    <w:rsid w:val="00142572"/>
    <w:rsid w:val="00142EF6"/>
    <w:rsid w:val="00143832"/>
    <w:rsid w:val="00144E92"/>
    <w:rsid w:val="001507A5"/>
    <w:rsid w:val="00152007"/>
    <w:rsid w:val="00152E6D"/>
    <w:rsid w:val="00152FD1"/>
    <w:rsid w:val="001532B2"/>
    <w:rsid w:val="001537D5"/>
    <w:rsid w:val="00154FBD"/>
    <w:rsid w:val="00155298"/>
    <w:rsid w:val="00155525"/>
    <w:rsid w:val="00161255"/>
    <w:rsid w:val="00161B8C"/>
    <w:rsid w:val="00164692"/>
    <w:rsid w:val="00165AF5"/>
    <w:rsid w:val="00166938"/>
    <w:rsid w:val="0016693E"/>
    <w:rsid w:val="001672C3"/>
    <w:rsid w:val="0016783C"/>
    <w:rsid w:val="001678FA"/>
    <w:rsid w:val="001708C3"/>
    <w:rsid w:val="00170AE1"/>
    <w:rsid w:val="00170E55"/>
    <w:rsid w:val="00170F9A"/>
    <w:rsid w:val="00170FDB"/>
    <w:rsid w:val="001719D7"/>
    <w:rsid w:val="00172A27"/>
    <w:rsid w:val="00172A7E"/>
    <w:rsid w:val="00174C97"/>
    <w:rsid w:val="00175E3A"/>
    <w:rsid w:val="001777B6"/>
    <w:rsid w:val="0017792A"/>
    <w:rsid w:val="0018076B"/>
    <w:rsid w:val="00180E2F"/>
    <w:rsid w:val="001813F3"/>
    <w:rsid w:val="00181A4E"/>
    <w:rsid w:val="00182803"/>
    <w:rsid w:val="00183BF5"/>
    <w:rsid w:val="00183C38"/>
    <w:rsid w:val="00184540"/>
    <w:rsid w:val="00184FE8"/>
    <w:rsid w:val="00186AF5"/>
    <w:rsid w:val="00193FCE"/>
    <w:rsid w:val="001941B8"/>
    <w:rsid w:val="00194451"/>
    <w:rsid w:val="001949DF"/>
    <w:rsid w:val="00194D1C"/>
    <w:rsid w:val="00195036"/>
    <w:rsid w:val="0019595A"/>
    <w:rsid w:val="00195ACA"/>
    <w:rsid w:val="0019697C"/>
    <w:rsid w:val="001A0309"/>
    <w:rsid w:val="001A0470"/>
    <w:rsid w:val="001A1BB5"/>
    <w:rsid w:val="001A1D5B"/>
    <w:rsid w:val="001A246D"/>
    <w:rsid w:val="001A29EC"/>
    <w:rsid w:val="001A39D9"/>
    <w:rsid w:val="001A6EC8"/>
    <w:rsid w:val="001A733E"/>
    <w:rsid w:val="001A786E"/>
    <w:rsid w:val="001B0C40"/>
    <w:rsid w:val="001B1895"/>
    <w:rsid w:val="001B399F"/>
    <w:rsid w:val="001B3DD4"/>
    <w:rsid w:val="001B46BC"/>
    <w:rsid w:val="001B5626"/>
    <w:rsid w:val="001B6072"/>
    <w:rsid w:val="001B63AC"/>
    <w:rsid w:val="001C050D"/>
    <w:rsid w:val="001C0CBE"/>
    <w:rsid w:val="001C2D34"/>
    <w:rsid w:val="001C397C"/>
    <w:rsid w:val="001C6505"/>
    <w:rsid w:val="001C71F2"/>
    <w:rsid w:val="001C78A1"/>
    <w:rsid w:val="001D0621"/>
    <w:rsid w:val="001D0DA4"/>
    <w:rsid w:val="001D14A1"/>
    <w:rsid w:val="001D17A7"/>
    <w:rsid w:val="001D23F7"/>
    <w:rsid w:val="001D2F63"/>
    <w:rsid w:val="001D3921"/>
    <w:rsid w:val="001D3B0B"/>
    <w:rsid w:val="001D4968"/>
    <w:rsid w:val="001D57AD"/>
    <w:rsid w:val="001D5C73"/>
    <w:rsid w:val="001D61CE"/>
    <w:rsid w:val="001D6398"/>
    <w:rsid w:val="001E04F2"/>
    <w:rsid w:val="001E0A3F"/>
    <w:rsid w:val="001E1A46"/>
    <w:rsid w:val="001E30AE"/>
    <w:rsid w:val="001E45BE"/>
    <w:rsid w:val="001E4F93"/>
    <w:rsid w:val="001E58CE"/>
    <w:rsid w:val="001E60F3"/>
    <w:rsid w:val="001E66B1"/>
    <w:rsid w:val="001E7368"/>
    <w:rsid w:val="001F0376"/>
    <w:rsid w:val="001F0470"/>
    <w:rsid w:val="001F0931"/>
    <w:rsid w:val="001F15D0"/>
    <w:rsid w:val="001F1A30"/>
    <w:rsid w:val="001F1AC5"/>
    <w:rsid w:val="001F4C70"/>
    <w:rsid w:val="001F58D1"/>
    <w:rsid w:val="001F5DAF"/>
    <w:rsid w:val="001F6921"/>
    <w:rsid w:val="001F6D7D"/>
    <w:rsid w:val="001F7A0D"/>
    <w:rsid w:val="00200A06"/>
    <w:rsid w:val="00200B9A"/>
    <w:rsid w:val="00200E90"/>
    <w:rsid w:val="0020112A"/>
    <w:rsid w:val="002011F8"/>
    <w:rsid w:val="00201E27"/>
    <w:rsid w:val="00202132"/>
    <w:rsid w:val="00204071"/>
    <w:rsid w:val="002052BF"/>
    <w:rsid w:val="002053C1"/>
    <w:rsid w:val="00205670"/>
    <w:rsid w:val="00205D86"/>
    <w:rsid w:val="00205DC9"/>
    <w:rsid w:val="0020635B"/>
    <w:rsid w:val="002064E1"/>
    <w:rsid w:val="00206EA4"/>
    <w:rsid w:val="00207173"/>
    <w:rsid w:val="00207193"/>
    <w:rsid w:val="00210346"/>
    <w:rsid w:val="00212022"/>
    <w:rsid w:val="002146E7"/>
    <w:rsid w:val="002149A3"/>
    <w:rsid w:val="00214DD7"/>
    <w:rsid w:val="00214F54"/>
    <w:rsid w:val="00215479"/>
    <w:rsid w:val="002155C5"/>
    <w:rsid w:val="00215E2F"/>
    <w:rsid w:val="00217326"/>
    <w:rsid w:val="0022065A"/>
    <w:rsid w:val="0022149C"/>
    <w:rsid w:val="00221561"/>
    <w:rsid w:val="00221997"/>
    <w:rsid w:val="00222752"/>
    <w:rsid w:val="002228C6"/>
    <w:rsid w:val="0022294E"/>
    <w:rsid w:val="002238AE"/>
    <w:rsid w:val="002243D1"/>
    <w:rsid w:val="00225DB3"/>
    <w:rsid w:val="0023012A"/>
    <w:rsid w:val="00230C43"/>
    <w:rsid w:val="00231D21"/>
    <w:rsid w:val="0023255F"/>
    <w:rsid w:val="00232CD0"/>
    <w:rsid w:val="002341A2"/>
    <w:rsid w:val="00237A15"/>
    <w:rsid w:val="00240733"/>
    <w:rsid w:val="00240FF8"/>
    <w:rsid w:val="002414E5"/>
    <w:rsid w:val="00241D3A"/>
    <w:rsid w:val="0024269B"/>
    <w:rsid w:val="00242B40"/>
    <w:rsid w:val="00244532"/>
    <w:rsid w:val="00246DB1"/>
    <w:rsid w:val="00247523"/>
    <w:rsid w:val="00247993"/>
    <w:rsid w:val="002511FE"/>
    <w:rsid w:val="00252113"/>
    <w:rsid w:val="002529D6"/>
    <w:rsid w:val="00253C25"/>
    <w:rsid w:val="002551E0"/>
    <w:rsid w:val="0025530F"/>
    <w:rsid w:val="00255F14"/>
    <w:rsid w:val="002574D7"/>
    <w:rsid w:val="00257B22"/>
    <w:rsid w:val="002602F6"/>
    <w:rsid w:val="00263C39"/>
    <w:rsid w:val="002645C9"/>
    <w:rsid w:val="002665E4"/>
    <w:rsid w:val="002673AF"/>
    <w:rsid w:val="00267440"/>
    <w:rsid w:val="0027067C"/>
    <w:rsid w:val="00270EED"/>
    <w:rsid w:val="00270FE1"/>
    <w:rsid w:val="00271ABB"/>
    <w:rsid w:val="00272B6B"/>
    <w:rsid w:val="00272DEC"/>
    <w:rsid w:val="002751DF"/>
    <w:rsid w:val="002759A2"/>
    <w:rsid w:val="00276204"/>
    <w:rsid w:val="00276967"/>
    <w:rsid w:val="00280E45"/>
    <w:rsid w:val="002810F8"/>
    <w:rsid w:val="00281565"/>
    <w:rsid w:val="00283074"/>
    <w:rsid w:val="00285049"/>
    <w:rsid w:val="00290B53"/>
    <w:rsid w:val="00290D50"/>
    <w:rsid w:val="00292F27"/>
    <w:rsid w:val="00292F94"/>
    <w:rsid w:val="00293F3F"/>
    <w:rsid w:val="0029442F"/>
    <w:rsid w:val="002954F0"/>
    <w:rsid w:val="0029595B"/>
    <w:rsid w:val="00295A34"/>
    <w:rsid w:val="00296289"/>
    <w:rsid w:val="00296501"/>
    <w:rsid w:val="002975BF"/>
    <w:rsid w:val="002A0347"/>
    <w:rsid w:val="002A2B5C"/>
    <w:rsid w:val="002A4898"/>
    <w:rsid w:val="002A4B7F"/>
    <w:rsid w:val="002A4B93"/>
    <w:rsid w:val="002A4F6F"/>
    <w:rsid w:val="002A5411"/>
    <w:rsid w:val="002A5636"/>
    <w:rsid w:val="002A673F"/>
    <w:rsid w:val="002A7325"/>
    <w:rsid w:val="002A7814"/>
    <w:rsid w:val="002B3F5D"/>
    <w:rsid w:val="002B5E0D"/>
    <w:rsid w:val="002B784E"/>
    <w:rsid w:val="002C00FF"/>
    <w:rsid w:val="002C11FF"/>
    <w:rsid w:val="002C13E7"/>
    <w:rsid w:val="002C13ED"/>
    <w:rsid w:val="002C1681"/>
    <w:rsid w:val="002C3330"/>
    <w:rsid w:val="002C6208"/>
    <w:rsid w:val="002C6933"/>
    <w:rsid w:val="002D0379"/>
    <w:rsid w:val="002D0845"/>
    <w:rsid w:val="002D14BE"/>
    <w:rsid w:val="002D26AE"/>
    <w:rsid w:val="002D272C"/>
    <w:rsid w:val="002D35EE"/>
    <w:rsid w:val="002D40A9"/>
    <w:rsid w:val="002D5868"/>
    <w:rsid w:val="002D6349"/>
    <w:rsid w:val="002D6B6F"/>
    <w:rsid w:val="002D7623"/>
    <w:rsid w:val="002D7628"/>
    <w:rsid w:val="002D7A77"/>
    <w:rsid w:val="002D7BE8"/>
    <w:rsid w:val="002E002C"/>
    <w:rsid w:val="002E0250"/>
    <w:rsid w:val="002E098C"/>
    <w:rsid w:val="002E15EE"/>
    <w:rsid w:val="002E2367"/>
    <w:rsid w:val="002E3E40"/>
    <w:rsid w:val="002E5245"/>
    <w:rsid w:val="002E5D37"/>
    <w:rsid w:val="002E60E6"/>
    <w:rsid w:val="002E650E"/>
    <w:rsid w:val="002E76EF"/>
    <w:rsid w:val="002E7E70"/>
    <w:rsid w:val="002F08C6"/>
    <w:rsid w:val="002F0DCD"/>
    <w:rsid w:val="002F24F3"/>
    <w:rsid w:val="002F2754"/>
    <w:rsid w:val="002F32BA"/>
    <w:rsid w:val="002F37CB"/>
    <w:rsid w:val="002F4ADA"/>
    <w:rsid w:val="002F5465"/>
    <w:rsid w:val="002F7AD0"/>
    <w:rsid w:val="002F7EF3"/>
    <w:rsid w:val="00300192"/>
    <w:rsid w:val="00300564"/>
    <w:rsid w:val="0030169A"/>
    <w:rsid w:val="00302091"/>
    <w:rsid w:val="00305143"/>
    <w:rsid w:val="00306123"/>
    <w:rsid w:val="00307858"/>
    <w:rsid w:val="00307CF1"/>
    <w:rsid w:val="0031007D"/>
    <w:rsid w:val="00311B9B"/>
    <w:rsid w:val="00313D63"/>
    <w:rsid w:val="00313DA1"/>
    <w:rsid w:val="0031405F"/>
    <w:rsid w:val="003144F4"/>
    <w:rsid w:val="003157D1"/>
    <w:rsid w:val="003167BE"/>
    <w:rsid w:val="00316A48"/>
    <w:rsid w:val="00317222"/>
    <w:rsid w:val="00320800"/>
    <w:rsid w:val="003214B1"/>
    <w:rsid w:val="00322799"/>
    <w:rsid w:val="0032321A"/>
    <w:rsid w:val="003241F1"/>
    <w:rsid w:val="0032467A"/>
    <w:rsid w:val="0032568F"/>
    <w:rsid w:val="00332B99"/>
    <w:rsid w:val="003343B3"/>
    <w:rsid w:val="00334BAE"/>
    <w:rsid w:val="00334CC7"/>
    <w:rsid w:val="0033552B"/>
    <w:rsid w:val="003355B7"/>
    <w:rsid w:val="00336881"/>
    <w:rsid w:val="00336AAB"/>
    <w:rsid w:val="00340B42"/>
    <w:rsid w:val="00341021"/>
    <w:rsid w:val="00341F13"/>
    <w:rsid w:val="0034236C"/>
    <w:rsid w:val="003429CA"/>
    <w:rsid w:val="003431FD"/>
    <w:rsid w:val="00343634"/>
    <w:rsid w:val="00343A1D"/>
    <w:rsid w:val="00343D9C"/>
    <w:rsid w:val="003445EE"/>
    <w:rsid w:val="0034487B"/>
    <w:rsid w:val="00344CFC"/>
    <w:rsid w:val="003500BA"/>
    <w:rsid w:val="0035121B"/>
    <w:rsid w:val="00351933"/>
    <w:rsid w:val="00352D4E"/>
    <w:rsid w:val="00355DB8"/>
    <w:rsid w:val="00357F64"/>
    <w:rsid w:val="0036067C"/>
    <w:rsid w:val="003612D6"/>
    <w:rsid w:val="003634F4"/>
    <w:rsid w:val="00363B02"/>
    <w:rsid w:val="003642B6"/>
    <w:rsid w:val="00364E6B"/>
    <w:rsid w:val="00365311"/>
    <w:rsid w:val="00365BD8"/>
    <w:rsid w:val="00371760"/>
    <w:rsid w:val="00372115"/>
    <w:rsid w:val="003738EA"/>
    <w:rsid w:val="00374103"/>
    <w:rsid w:val="00374310"/>
    <w:rsid w:val="00374E90"/>
    <w:rsid w:val="00376869"/>
    <w:rsid w:val="00380598"/>
    <w:rsid w:val="00381B01"/>
    <w:rsid w:val="003829D9"/>
    <w:rsid w:val="003832F9"/>
    <w:rsid w:val="00383B07"/>
    <w:rsid w:val="00383B17"/>
    <w:rsid w:val="00384A92"/>
    <w:rsid w:val="003854F3"/>
    <w:rsid w:val="00386518"/>
    <w:rsid w:val="0038748E"/>
    <w:rsid w:val="00391A61"/>
    <w:rsid w:val="0039316A"/>
    <w:rsid w:val="0039491D"/>
    <w:rsid w:val="00397B1C"/>
    <w:rsid w:val="00397E86"/>
    <w:rsid w:val="003A092F"/>
    <w:rsid w:val="003A1388"/>
    <w:rsid w:val="003A139A"/>
    <w:rsid w:val="003A1D20"/>
    <w:rsid w:val="003A258C"/>
    <w:rsid w:val="003A40E7"/>
    <w:rsid w:val="003A4472"/>
    <w:rsid w:val="003A5C2B"/>
    <w:rsid w:val="003A78B7"/>
    <w:rsid w:val="003B095A"/>
    <w:rsid w:val="003B2393"/>
    <w:rsid w:val="003B2F1D"/>
    <w:rsid w:val="003B30E9"/>
    <w:rsid w:val="003B3B94"/>
    <w:rsid w:val="003B4EE5"/>
    <w:rsid w:val="003B50F5"/>
    <w:rsid w:val="003B5D7B"/>
    <w:rsid w:val="003B5F19"/>
    <w:rsid w:val="003B638F"/>
    <w:rsid w:val="003B67A0"/>
    <w:rsid w:val="003B6E79"/>
    <w:rsid w:val="003B70F6"/>
    <w:rsid w:val="003B72E5"/>
    <w:rsid w:val="003C0C7E"/>
    <w:rsid w:val="003C0E0B"/>
    <w:rsid w:val="003C1220"/>
    <w:rsid w:val="003C2DA4"/>
    <w:rsid w:val="003C3607"/>
    <w:rsid w:val="003C4595"/>
    <w:rsid w:val="003C47B5"/>
    <w:rsid w:val="003C5626"/>
    <w:rsid w:val="003C58B5"/>
    <w:rsid w:val="003C6339"/>
    <w:rsid w:val="003C6B76"/>
    <w:rsid w:val="003C779C"/>
    <w:rsid w:val="003C7C2C"/>
    <w:rsid w:val="003D1F56"/>
    <w:rsid w:val="003D1FCD"/>
    <w:rsid w:val="003D3512"/>
    <w:rsid w:val="003D3B92"/>
    <w:rsid w:val="003D4056"/>
    <w:rsid w:val="003D415D"/>
    <w:rsid w:val="003D46D1"/>
    <w:rsid w:val="003D5A77"/>
    <w:rsid w:val="003D681C"/>
    <w:rsid w:val="003D719F"/>
    <w:rsid w:val="003E0C29"/>
    <w:rsid w:val="003E4A4E"/>
    <w:rsid w:val="003E4AEB"/>
    <w:rsid w:val="003E58E5"/>
    <w:rsid w:val="003E5EE1"/>
    <w:rsid w:val="003E6A13"/>
    <w:rsid w:val="003E7C9B"/>
    <w:rsid w:val="003E7D25"/>
    <w:rsid w:val="003F0417"/>
    <w:rsid w:val="003F180D"/>
    <w:rsid w:val="003F404C"/>
    <w:rsid w:val="003F45C6"/>
    <w:rsid w:val="003F66A4"/>
    <w:rsid w:val="003F6764"/>
    <w:rsid w:val="0040196C"/>
    <w:rsid w:val="00402F4C"/>
    <w:rsid w:val="004031A9"/>
    <w:rsid w:val="00403958"/>
    <w:rsid w:val="004075E0"/>
    <w:rsid w:val="00407C0B"/>
    <w:rsid w:val="0041149D"/>
    <w:rsid w:val="004128F3"/>
    <w:rsid w:val="00412960"/>
    <w:rsid w:val="00412A5D"/>
    <w:rsid w:val="00412CA6"/>
    <w:rsid w:val="00413557"/>
    <w:rsid w:val="004137F3"/>
    <w:rsid w:val="00415470"/>
    <w:rsid w:val="004156E5"/>
    <w:rsid w:val="00415CFA"/>
    <w:rsid w:val="00415E18"/>
    <w:rsid w:val="00416388"/>
    <w:rsid w:val="00416EA9"/>
    <w:rsid w:val="00417214"/>
    <w:rsid w:val="0041769D"/>
    <w:rsid w:val="00417D4F"/>
    <w:rsid w:val="00421EEA"/>
    <w:rsid w:val="00422027"/>
    <w:rsid w:val="004221B2"/>
    <w:rsid w:val="004223F4"/>
    <w:rsid w:val="0042390E"/>
    <w:rsid w:val="00425B45"/>
    <w:rsid w:val="00425C82"/>
    <w:rsid w:val="00425D4D"/>
    <w:rsid w:val="00427D04"/>
    <w:rsid w:val="004300B5"/>
    <w:rsid w:val="00430F93"/>
    <w:rsid w:val="00433AB6"/>
    <w:rsid w:val="004342C9"/>
    <w:rsid w:val="004374D0"/>
    <w:rsid w:val="00440412"/>
    <w:rsid w:val="00443935"/>
    <w:rsid w:val="00443D5A"/>
    <w:rsid w:val="004442B3"/>
    <w:rsid w:val="00444482"/>
    <w:rsid w:val="0044498E"/>
    <w:rsid w:val="004460B8"/>
    <w:rsid w:val="00447613"/>
    <w:rsid w:val="00447654"/>
    <w:rsid w:val="00450A1C"/>
    <w:rsid w:val="004513F9"/>
    <w:rsid w:val="00451F87"/>
    <w:rsid w:val="00452D92"/>
    <w:rsid w:val="00452DB9"/>
    <w:rsid w:val="00452F36"/>
    <w:rsid w:val="00453130"/>
    <w:rsid w:val="0045394E"/>
    <w:rsid w:val="004543BF"/>
    <w:rsid w:val="00454B5D"/>
    <w:rsid w:val="00454E5F"/>
    <w:rsid w:val="00455B44"/>
    <w:rsid w:val="00456FA3"/>
    <w:rsid w:val="0045706F"/>
    <w:rsid w:val="0045754E"/>
    <w:rsid w:val="004575C3"/>
    <w:rsid w:val="00460E98"/>
    <w:rsid w:val="00461AA0"/>
    <w:rsid w:val="0046225F"/>
    <w:rsid w:val="004640E1"/>
    <w:rsid w:val="00465462"/>
    <w:rsid w:val="004666B5"/>
    <w:rsid w:val="004667DA"/>
    <w:rsid w:val="004669E3"/>
    <w:rsid w:val="00467112"/>
    <w:rsid w:val="00467B60"/>
    <w:rsid w:val="00467ECF"/>
    <w:rsid w:val="004722EC"/>
    <w:rsid w:val="0047305B"/>
    <w:rsid w:val="004736BA"/>
    <w:rsid w:val="004745C6"/>
    <w:rsid w:val="00475A0F"/>
    <w:rsid w:val="004771A7"/>
    <w:rsid w:val="00477DF1"/>
    <w:rsid w:val="00480562"/>
    <w:rsid w:val="004805E1"/>
    <w:rsid w:val="0048194E"/>
    <w:rsid w:val="00481D33"/>
    <w:rsid w:val="004830D3"/>
    <w:rsid w:val="00483137"/>
    <w:rsid w:val="004833C3"/>
    <w:rsid w:val="00483BCD"/>
    <w:rsid w:val="00484BA8"/>
    <w:rsid w:val="004851E7"/>
    <w:rsid w:val="00486BD8"/>
    <w:rsid w:val="00486D4E"/>
    <w:rsid w:val="00487F50"/>
    <w:rsid w:val="004905D0"/>
    <w:rsid w:val="0049352F"/>
    <w:rsid w:val="00494A80"/>
    <w:rsid w:val="0049585B"/>
    <w:rsid w:val="00496C53"/>
    <w:rsid w:val="00497400"/>
    <w:rsid w:val="004A07AF"/>
    <w:rsid w:val="004A465C"/>
    <w:rsid w:val="004A5A5E"/>
    <w:rsid w:val="004A5AA9"/>
    <w:rsid w:val="004A64A5"/>
    <w:rsid w:val="004A7097"/>
    <w:rsid w:val="004A791C"/>
    <w:rsid w:val="004A7E08"/>
    <w:rsid w:val="004B10CD"/>
    <w:rsid w:val="004B1FA9"/>
    <w:rsid w:val="004B2765"/>
    <w:rsid w:val="004B672E"/>
    <w:rsid w:val="004B67C9"/>
    <w:rsid w:val="004B6984"/>
    <w:rsid w:val="004B74ED"/>
    <w:rsid w:val="004B7B30"/>
    <w:rsid w:val="004C05F2"/>
    <w:rsid w:val="004C1E28"/>
    <w:rsid w:val="004C2800"/>
    <w:rsid w:val="004C3306"/>
    <w:rsid w:val="004C407E"/>
    <w:rsid w:val="004C40F4"/>
    <w:rsid w:val="004C506F"/>
    <w:rsid w:val="004C5CD3"/>
    <w:rsid w:val="004C7A15"/>
    <w:rsid w:val="004D11B7"/>
    <w:rsid w:val="004D2194"/>
    <w:rsid w:val="004D2778"/>
    <w:rsid w:val="004D4274"/>
    <w:rsid w:val="004D57A0"/>
    <w:rsid w:val="004D5F36"/>
    <w:rsid w:val="004D63F1"/>
    <w:rsid w:val="004D72A6"/>
    <w:rsid w:val="004D7563"/>
    <w:rsid w:val="004E0791"/>
    <w:rsid w:val="004E0F8E"/>
    <w:rsid w:val="004E1013"/>
    <w:rsid w:val="004E2848"/>
    <w:rsid w:val="004E3ADE"/>
    <w:rsid w:val="004E44CC"/>
    <w:rsid w:val="004E5CA5"/>
    <w:rsid w:val="004E67F0"/>
    <w:rsid w:val="004E7065"/>
    <w:rsid w:val="004E7529"/>
    <w:rsid w:val="004F16A1"/>
    <w:rsid w:val="004F2DDA"/>
    <w:rsid w:val="004F352D"/>
    <w:rsid w:val="004F4CDB"/>
    <w:rsid w:val="004F568A"/>
    <w:rsid w:val="004F581C"/>
    <w:rsid w:val="004F68CE"/>
    <w:rsid w:val="004F718A"/>
    <w:rsid w:val="0050062C"/>
    <w:rsid w:val="005021E6"/>
    <w:rsid w:val="005034A8"/>
    <w:rsid w:val="005034FC"/>
    <w:rsid w:val="00503F67"/>
    <w:rsid w:val="0050436C"/>
    <w:rsid w:val="005044B9"/>
    <w:rsid w:val="0050525B"/>
    <w:rsid w:val="005055E2"/>
    <w:rsid w:val="00506583"/>
    <w:rsid w:val="00507D74"/>
    <w:rsid w:val="00510644"/>
    <w:rsid w:val="005106D5"/>
    <w:rsid w:val="005112F3"/>
    <w:rsid w:val="0051190D"/>
    <w:rsid w:val="00512281"/>
    <w:rsid w:val="0051562D"/>
    <w:rsid w:val="00517BF1"/>
    <w:rsid w:val="00517FDD"/>
    <w:rsid w:val="00520645"/>
    <w:rsid w:val="00520920"/>
    <w:rsid w:val="0052213E"/>
    <w:rsid w:val="00524D6D"/>
    <w:rsid w:val="00524D76"/>
    <w:rsid w:val="00524D8B"/>
    <w:rsid w:val="005252C0"/>
    <w:rsid w:val="00525E8C"/>
    <w:rsid w:val="00527F92"/>
    <w:rsid w:val="00530CE7"/>
    <w:rsid w:val="00530D4A"/>
    <w:rsid w:val="00530DC4"/>
    <w:rsid w:val="00530E45"/>
    <w:rsid w:val="0053101C"/>
    <w:rsid w:val="005316A8"/>
    <w:rsid w:val="00531FA9"/>
    <w:rsid w:val="005323A1"/>
    <w:rsid w:val="00533B7E"/>
    <w:rsid w:val="00535C65"/>
    <w:rsid w:val="00535D41"/>
    <w:rsid w:val="00535ECA"/>
    <w:rsid w:val="0053682D"/>
    <w:rsid w:val="00536D1D"/>
    <w:rsid w:val="0054099F"/>
    <w:rsid w:val="00540FEC"/>
    <w:rsid w:val="005414D6"/>
    <w:rsid w:val="00541F83"/>
    <w:rsid w:val="005430C7"/>
    <w:rsid w:val="00543312"/>
    <w:rsid w:val="00543809"/>
    <w:rsid w:val="005439BF"/>
    <w:rsid w:val="00543CB6"/>
    <w:rsid w:val="00543D6B"/>
    <w:rsid w:val="005446B0"/>
    <w:rsid w:val="00545349"/>
    <w:rsid w:val="00546183"/>
    <w:rsid w:val="005475A9"/>
    <w:rsid w:val="005478E2"/>
    <w:rsid w:val="00547E4F"/>
    <w:rsid w:val="00551DFC"/>
    <w:rsid w:val="0055211A"/>
    <w:rsid w:val="0055216F"/>
    <w:rsid w:val="005605F8"/>
    <w:rsid w:val="0056183F"/>
    <w:rsid w:val="005622D1"/>
    <w:rsid w:val="00563224"/>
    <w:rsid w:val="005633AF"/>
    <w:rsid w:val="0056380E"/>
    <w:rsid w:val="005645A9"/>
    <w:rsid w:val="005650C2"/>
    <w:rsid w:val="00565A8C"/>
    <w:rsid w:val="00567720"/>
    <w:rsid w:val="005723C2"/>
    <w:rsid w:val="00572F0A"/>
    <w:rsid w:val="00573012"/>
    <w:rsid w:val="00573562"/>
    <w:rsid w:val="00574068"/>
    <w:rsid w:val="00575306"/>
    <w:rsid w:val="005761C9"/>
    <w:rsid w:val="005773BE"/>
    <w:rsid w:val="00577C90"/>
    <w:rsid w:val="00580954"/>
    <w:rsid w:val="00580F4C"/>
    <w:rsid w:val="005824F8"/>
    <w:rsid w:val="00583A5C"/>
    <w:rsid w:val="00584ED2"/>
    <w:rsid w:val="005850D6"/>
    <w:rsid w:val="00586357"/>
    <w:rsid w:val="0058643C"/>
    <w:rsid w:val="00586EDA"/>
    <w:rsid w:val="00586F03"/>
    <w:rsid w:val="00587114"/>
    <w:rsid w:val="005927CD"/>
    <w:rsid w:val="00593176"/>
    <w:rsid w:val="0059343A"/>
    <w:rsid w:val="00593CA2"/>
    <w:rsid w:val="00595979"/>
    <w:rsid w:val="00595B4A"/>
    <w:rsid w:val="005964EC"/>
    <w:rsid w:val="00597221"/>
    <w:rsid w:val="005977ED"/>
    <w:rsid w:val="00597D94"/>
    <w:rsid w:val="005A0661"/>
    <w:rsid w:val="005A0FEB"/>
    <w:rsid w:val="005A1FDF"/>
    <w:rsid w:val="005A2B40"/>
    <w:rsid w:val="005A2DB1"/>
    <w:rsid w:val="005A3025"/>
    <w:rsid w:val="005A3B60"/>
    <w:rsid w:val="005A4192"/>
    <w:rsid w:val="005A4F1F"/>
    <w:rsid w:val="005A5A1C"/>
    <w:rsid w:val="005A6732"/>
    <w:rsid w:val="005B1C02"/>
    <w:rsid w:val="005B1F53"/>
    <w:rsid w:val="005B33DC"/>
    <w:rsid w:val="005B4FF7"/>
    <w:rsid w:val="005B5511"/>
    <w:rsid w:val="005B6269"/>
    <w:rsid w:val="005B6A2F"/>
    <w:rsid w:val="005B6E58"/>
    <w:rsid w:val="005C115C"/>
    <w:rsid w:val="005C31C8"/>
    <w:rsid w:val="005C4416"/>
    <w:rsid w:val="005C4D85"/>
    <w:rsid w:val="005C5184"/>
    <w:rsid w:val="005C6CE7"/>
    <w:rsid w:val="005D184D"/>
    <w:rsid w:val="005D1BF1"/>
    <w:rsid w:val="005D2C74"/>
    <w:rsid w:val="005D2CB5"/>
    <w:rsid w:val="005D32D1"/>
    <w:rsid w:val="005D386F"/>
    <w:rsid w:val="005D5929"/>
    <w:rsid w:val="005D6DB1"/>
    <w:rsid w:val="005D72C1"/>
    <w:rsid w:val="005D7663"/>
    <w:rsid w:val="005E31E2"/>
    <w:rsid w:val="005E3DC5"/>
    <w:rsid w:val="005E3E03"/>
    <w:rsid w:val="005E4813"/>
    <w:rsid w:val="005E4FE7"/>
    <w:rsid w:val="005E6AD9"/>
    <w:rsid w:val="005E6E82"/>
    <w:rsid w:val="005F0E56"/>
    <w:rsid w:val="005F1007"/>
    <w:rsid w:val="005F6167"/>
    <w:rsid w:val="006005D4"/>
    <w:rsid w:val="00600B40"/>
    <w:rsid w:val="0060178F"/>
    <w:rsid w:val="00602576"/>
    <w:rsid w:val="00602663"/>
    <w:rsid w:val="006031DC"/>
    <w:rsid w:val="00604A07"/>
    <w:rsid w:val="0060535C"/>
    <w:rsid w:val="00607400"/>
    <w:rsid w:val="006074A6"/>
    <w:rsid w:val="00611849"/>
    <w:rsid w:val="006120D5"/>
    <w:rsid w:val="00613D71"/>
    <w:rsid w:val="00615523"/>
    <w:rsid w:val="006159BC"/>
    <w:rsid w:val="006167BD"/>
    <w:rsid w:val="006173BB"/>
    <w:rsid w:val="00617D6A"/>
    <w:rsid w:val="006206B9"/>
    <w:rsid w:val="00620BD0"/>
    <w:rsid w:val="00621770"/>
    <w:rsid w:val="00622459"/>
    <w:rsid w:val="00623CBC"/>
    <w:rsid w:val="006243E7"/>
    <w:rsid w:val="00625C51"/>
    <w:rsid w:val="0063027F"/>
    <w:rsid w:val="00630D29"/>
    <w:rsid w:val="006313EC"/>
    <w:rsid w:val="00631AFB"/>
    <w:rsid w:val="0063261A"/>
    <w:rsid w:val="0063473B"/>
    <w:rsid w:val="0063507E"/>
    <w:rsid w:val="006359D2"/>
    <w:rsid w:val="006369CC"/>
    <w:rsid w:val="006374EF"/>
    <w:rsid w:val="00640F02"/>
    <w:rsid w:val="00641153"/>
    <w:rsid w:val="00643E16"/>
    <w:rsid w:val="00645028"/>
    <w:rsid w:val="00646086"/>
    <w:rsid w:val="00646631"/>
    <w:rsid w:val="00647F26"/>
    <w:rsid w:val="00650587"/>
    <w:rsid w:val="00650B1A"/>
    <w:rsid w:val="00652372"/>
    <w:rsid w:val="00653480"/>
    <w:rsid w:val="006536D6"/>
    <w:rsid w:val="00654B00"/>
    <w:rsid w:val="0065532F"/>
    <w:rsid w:val="006560FF"/>
    <w:rsid w:val="00656196"/>
    <w:rsid w:val="006567E7"/>
    <w:rsid w:val="00656CC4"/>
    <w:rsid w:val="00657569"/>
    <w:rsid w:val="00657C0D"/>
    <w:rsid w:val="00657C6F"/>
    <w:rsid w:val="00662875"/>
    <w:rsid w:val="00663399"/>
    <w:rsid w:val="00663AA5"/>
    <w:rsid w:val="0066466F"/>
    <w:rsid w:val="00664915"/>
    <w:rsid w:val="006656A2"/>
    <w:rsid w:val="00665738"/>
    <w:rsid w:val="006657A8"/>
    <w:rsid w:val="00666247"/>
    <w:rsid w:val="00666E5A"/>
    <w:rsid w:val="00667933"/>
    <w:rsid w:val="006679EB"/>
    <w:rsid w:val="00671F59"/>
    <w:rsid w:val="006726B9"/>
    <w:rsid w:val="006743EB"/>
    <w:rsid w:val="00674F5E"/>
    <w:rsid w:val="006763B3"/>
    <w:rsid w:val="00681E1D"/>
    <w:rsid w:val="00682F0F"/>
    <w:rsid w:val="00683222"/>
    <w:rsid w:val="006841FA"/>
    <w:rsid w:val="006849DD"/>
    <w:rsid w:val="00685608"/>
    <w:rsid w:val="00685CFC"/>
    <w:rsid w:val="00686774"/>
    <w:rsid w:val="00686A7A"/>
    <w:rsid w:val="00686F46"/>
    <w:rsid w:val="00687755"/>
    <w:rsid w:val="00687AE9"/>
    <w:rsid w:val="00687B51"/>
    <w:rsid w:val="006900BC"/>
    <w:rsid w:val="006907CD"/>
    <w:rsid w:val="00690CDA"/>
    <w:rsid w:val="00691002"/>
    <w:rsid w:val="00691AC6"/>
    <w:rsid w:val="0069218D"/>
    <w:rsid w:val="006924FD"/>
    <w:rsid w:val="00692DD7"/>
    <w:rsid w:val="00692DDF"/>
    <w:rsid w:val="0069376A"/>
    <w:rsid w:val="00694936"/>
    <w:rsid w:val="00694F25"/>
    <w:rsid w:val="00695074"/>
    <w:rsid w:val="00695709"/>
    <w:rsid w:val="00696321"/>
    <w:rsid w:val="00696DB6"/>
    <w:rsid w:val="00697007"/>
    <w:rsid w:val="00697FCE"/>
    <w:rsid w:val="006A077D"/>
    <w:rsid w:val="006A1725"/>
    <w:rsid w:val="006A1DAF"/>
    <w:rsid w:val="006A211F"/>
    <w:rsid w:val="006A2156"/>
    <w:rsid w:val="006A5AD0"/>
    <w:rsid w:val="006A5E4F"/>
    <w:rsid w:val="006A5EAE"/>
    <w:rsid w:val="006A72B3"/>
    <w:rsid w:val="006A7652"/>
    <w:rsid w:val="006A76FE"/>
    <w:rsid w:val="006B1F2E"/>
    <w:rsid w:val="006B34CD"/>
    <w:rsid w:val="006B3AD2"/>
    <w:rsid w:val="006B46DC"/>
    <w:rsid w:val="006B666A"/>
    <w:rsid w:val="006B78F3"/>
    <w:rsid w:val="006B7F89"/>
    <w:rsid w:val="006C1199"/>
    <w:rsid w:val="006C1CDA"/>
    <w:rsid w:val="006C1DCC"/>
    <w:rsid w:val="006C3846"/>
    <w:rsid w:val="006C3BF0"/>
    <w:rsid w:val="006C4725"/>
    <w:rsid w:val="006C7DEE"/>
    <w:rsid w:val="006D221B"/>
    <w:rsid w:val="006D3D69"/>
    <w:rsid w:val="006D3EE2"/>
    <w:rsid w:val="006D4845"/>
    <w:rsid w:val="006D5657"/>
    <w:rsid w:val="006D6C4A"/>
    <w:rsid w:val="006D7839"/>
    <w:rsid w:val="006E02B1"/>
    <w:rsid w:val="006E14ED"/>
    <w:rsid w:val="006E157D"/>
    <w:rsid w:val="006E19C5"/>
    <w:rsid w:val="006E3E44"/>
    <w:rsid w:val="006E44E3"/>
    <w:rsid w:val="006E4EF6"/>
    <w:rsid w:val="006E6DDB"/>
    <w:rsid w:val="006F0078"/>
    <w:rsid w:val="006F0296"/>
    <w:rsid w:val="006F0AC4"/>
    <w:rsid w:val="006F2CEE"/>
    <w:rsid w:val="006F3DF9"/>
    <w:rsid w:val="006F5195"/>
    <w:rsid w:val="006F5D51"/>
    <w:rsid w:val="006F61C3"/>
    <w:rsid w:val="006F7546"/>
    <w:rsid w:val="00700495"/>
    <w:rsid w:val="00700AEC"/>
    <w:rsid w:val="00701194"/>
    <w:rsid w:val="007016B1"/>
    <w:rsid w:val="0070375B"/>
    <w:rsid w:val="00705564"/>
    <w:rsid w:val="007060CC"/>
    <w:rsid w:val="007064D1"/>
    <w:rsid w:val="00710C82"/>
    <w:rsid w:val="00713691"/>
    <w:rsid w:val="0071564F"/>
    <w:rsid w:val="0071663D"/>
    <w:rsid w:val="00720431"/>
    <w:rsid w:val="00720556"/>
    <w:rsid w:val="00721ECC"/>
    <w:rsid w:val="00721FF0"/>
    <w:rsid w:val="0072273A"/>
    <w:rsid w:val="00722DD9"/>
    <w:rsid w:val="0072548B"/>
    <w:rsid w:val="00725682"/>
    <w:rsid w:val="007269A4"/>
    <w:rsid w:val="00730182"/>
    <w:rsid w:val="00732018"/>
    <w:rsid w:val="007333DB"/>
    <w:rsid w:val="00733E60"/>
    <w:rsid w:val="00733EA7"/>
    <w:rsid w:val="00734BF0"/>
    <w:rsid w:val="00734E14"/>
    <w:rsid w:val="007358D1"/>
    <w:rsid w:val="007358D4"/>
    <w:rsid w:val="00736CC9"/>
    <w:rsid w:val="00737149"/>
    <w:rsid w:val="00737A72"/>
    <w:rsid w:val="00737D3F"/>
    <w:rsid w:val="007409C3"/>
    <w:rsid w:val="00740D11"/>
    <w:rsid w:val="007420CC"/>
    <w:rsid w:val="007420E8"/>
    <w:rsid w:val="00742808"/>
    <w:rsid w:val="00743C96"/>
    <w:rsid w:val="00745FC7"/>
    <w:rsid w:val="00746653"/>
    <w:rsid w:val="00746699"/>
    <w:rsid w:val="00746BCB"/>
    <w:rsid w:val="00747E14"/>
    <w:rsid w:val="007502C8"/>
    <w:rsid w:val="007506CA"/>
    <w:rsid w:val="00753442"/>
    <w:rsid w:val="00754000"/>
    <w:rsid w:val="0075584E"/>
    <w:rsid w:val="0075697B"/>
    <w:rsid w:val="007569C0"/>
    <w:rsid w:val="00756EFF"/>
    <w:rsid w:val="00757282"/>
    <w:rsid w:val="0075758D"/>
    <w:rsid w:val="00757D7F"/>
    <w:rsid w:val="00757E2B"/>
    <w:rsid w:val="00760447"/>
    <w:rsid w:val="00760C76"/>
    <w:rsid w:val="00760FA3"/>
    <w:rsid w:val="00761DD0"/>
    <w:rsid w:val="007623A6"/>
    <w:rsid w:val="00762B8C"/>
    <w:rsid w:val="00763CB4"/>
    <w:rsid w:val="0076453A"/>
    <w:rsid w:val="00765019"/>
    <w:rsid w:val="0076738D"/>
    <w:rsid w:val="00770F20"/>
    <w:rsid w:val="00771779"/>
    <w:rsid w:val="00771BDB"/>
    <w:rsid w:val="00776C9E"/>
    <w:rsid w:val="00780B22"/>
    <w:rsid w:val="0078114B"/>
    <w:rsid w:val="00781799"/>
    <w:rsid w:val="007817BC"/>
    <w:rsid w:val="007830DD"/>
    <w:rsid w:val="00783340"/>
    <w:rsid w:val="00784AE6"/>
    <w:rsid w:val="00784CA4"/>
    <w:rsid w:val="00784D51"/>
    <w:rsid w:val="0078521D"/>
    <w:rsid w:val="00785C40"/>
    <w:rsid w:val="00785CC6"/>
    <w:rsid w:val="00786F43"/>
    <w:rsid w:val="00787769"/>
    <w:rsid w:val="0079060C"/>
    <w:rsid w:val="00792F17"/>
    <w:rsid w:val="00794E0D"/>
    <w:rsid w:val="00795740"/>
    <w:rsid w:val="007957E4"/>
    <w:rsid w:val="00797162"/>
    <w:rsid w:val="007A0742"/>
    <w:rsid w:val="007A2DB4"/>
    <w:rsid w:val="007A2FF0"/>
    <w:rsid w:val="007A31E6"/>
    <w:rsid w:val="007A3201"/>
    <w:rsid w:val="007A4951"/>
    <w:rsid w:val="007A5EC1"/>
    <w:rsid w:val="007A5F2E"/>
    <w:rsid w:val="007A6334"/>
    <w:rsid w:val="007A69E3"/>
    <w:rsid w:val="007A78B2"/>
    <w:rsid w:val="007A7D92"/>
    <w:rsid w:val="007B1943"/>
    <w:rsid w:val="007B1D8C"/>
    <w:rsid w:val="007B2424"/>
    <w:rsid w:val="007B39B5"/>
    <w:rsid w:val="007B76CF"/>
    <w:rsid w:val="007C0637"/>
    <w:rsid w:val="007C06DB"/>
    <w:rsid w:val="007C07F2"/>
    <w:rsid w:val="007C3581"/>
    <w:rsid w:val="007C3666"/>
    <w:rsid w:val="007C442F"/>
    <w:rsid w:val="007C4873"/>
    <w:rsid w:val="007C52C9"/>
    <w:rsid w:val="007C7289"/>
    <w:rsid w:val="007C7F1C"/>
    <w:rsid w:val="007D1A76"/>
    <w:rsid w:val="007D26D0"/>
    <w:rsid w:val="007D2F6E"/>
    <w:rsid w:val="007D3256"/>
    <w:rsid w:val="007D36C0"/>
    <w:rsid w:val="007D502C"/>
    <w:rsid w:val="007D542C"/>
    <w:rsid w:val="007D55F3"/>
    <w:rsid w:val="007D6DE9"/>
    <w:rsid w:val="007D71B9"/>
    <w:rsid w:val="007E01BD"/>
    <w:rsid w:val="007E03DA"/>
    <w:rsid w:val="007E12B5"/>
    <w:rsid w:val="007E21C1"/>
    <w:rsid w:val="007E35AA"/>
    <w:rsid w:val="007E5DC0"/>
    <w:rsid w:val="007E6E61"/>
    <w:rsid w:val="007E7CC7"/>
    <w:rsid w:val="007F12B7"/>
    <w:rsid w:val="007F228D"/>
    <w:rsid w:val="007F25A9"/>
    <w:rsid w:val="007F27D7"/>
    <w:rsid w:val="007F33A7"/>
    <w:rsid w:val="007F3C74"/>
    <w:rsid w:val="007F485C"/>
    <w:rsid w:val="007F4F92"/>
    <w:rsid w:val="007F5537"/>
    <w:rsid w:val="007F7311"/>
    <w:rsid w:val="008002E6"/>
    <w:rsid w:val="00800944"/>
    <w:rsid w:val="00801036"/>
    <w:rsid w:val="0080125B"/>
    <w:rsid w:val="00801575"/>
    <w:rsid w:val="00803AE7"/>
    <w:rsid w:val="00803C35"/>
    <w:rsid w:val="00804F81"/>
    <w:rsid w:val="008067D7"/>
    <w:rsid w:val="0080764D"/>
    <w:rsid w:val="008106CA"/>
    <w:rsid w:val="008107B2"/>
    <w:rsid w:val="00810E4C"/>
    <w:rsid w:val="00811D7A"/>
    <w:rsid w:val="008132FD"/>
    <w:rsid w:val="00813D21"/>
    <w:rsid w:val="00813D5B"/>
    <w:rsid w:val="00815D71"/>
    <w:rsid w:val="00816D5E"/>
    <w:rsid w:val="00817158"/>
    <w:rsid w:val="00820836"/>
    <w:rsid w:val="0082164E"/>
    <w:rsid w:val="00821820"/>
    <w:rsid w:val="00821E9A"/>
    <w:rsid w:val="008231BA"/>
    <w:rsid w:val="008236C3"/>
    <w:rsid w:val="00823CAB"/>
    <w:rsid w:val="008244AB"/>
    <w:rsid w:val="00824E2B"/>
    <w:rsid w:val="00826779"/>
    <w:rsid w:val="00826980"/>
    <w:rsid w:val="008302D6"/>
    <w:rsid w:val="00830674"/>
    <w:rsid w:val="008306DE"/>
    <w:rsid w:val="00830CE7"/>
    <w:rsid w:val="00830D9C"/>
    <w:rsid w:val="008313B2"/>
    <w:rsid w:val="008317AE"/>
    <w:rsid w:val="00831D28"/>
    <w:rsid w:val="00831E17"/>
    <w:rsid w:val="00831EAF"/>
    <w:rsid w:val="00831ECB"/>
    <w:rsid w:val="008321F6"/>
    <w:rsid w:val="00832B98"/>
    <w:rsid w:val="00833627"/>
    <w:rsid w:val="00833CB2"/>
    <w:rsid w:val="00834FEF"/>
    <w:rsid w:val="0083592F"/>
    <w:rsid w:val="00835D47"/>
    <w:rsid w:val="00835FAC"/>
    <w:rsid w:val="008361BE"/>
    <w:rsid w:val="00837F0A"/>
    <w:rsid w:val="00840199"/>
    <w:rsid w:val="008401D7"/>
    <w:rsid w:val="008405A7"/>
    <w:rsid w:val="008406C7"/>
    <w:rsid w:val="0084130A"/>
    <w:rsid w:val="00841C1C"/>
    <w:rsid w:val="00842423"/>
    <w:rsid w:val="00846B25"/>
    <w:rsid w:val="00846F36"/>
    <w:rsid w:val="008477B5"/>
    <w:rsid w:val="0085224F"/>
    <w:rsid w:val="00852A75"/>
    <w:rsid w:val="00853B1B"/>
    <w:rsid w:val="008577D4"/>
    <w:rsid w:val="00860BCB"/>
    <w:rsid w:val="00860DDC"/>
    <w:rsid w:val="00862065"/>
    <w:rsid w:val="00863DB6"/>
    <w:rsid w:val="00863FD0"/>
    <w:rsid w:val="008651BA"/>
    <w:rsid w:val="00865A6D"/>
    <w:rsid w:val="00865FC5"/>
    <w:rsid w:val="00867539"/>
    <w:rsid w:val="00870BB3"/>
    <w:rsid w:val="00870FE9"/>
    <w:rsid w:val="0087158F"/>
    <w:rsid w:val="00871B0F"/>
    <w:rsid w:val="008720D8"/>
    <w:rsid w:val="0087367F"/>
    <w:rsid w:val="00873A06"/>
    <w:rsid w:val="00874D70"/>
    <w:rsid w:val="00875555"/>
    <w:rsid w:val="00875F47"/>
    <w:rsid w:val="008817DA"/>
    <w:rsid w:val="00882331"/>
    <w:rsid w:val="00883E6C"/>
    <w:rsid w:val="00883FAB"/>
    <w:rsid w:val="0088440C"/>
    <w:rsid w:val="00885810"/>
    <w:rsid w:val="008862B5"/>
    <w:rsid w:val="00886462"/>
    <w:rsid w:val="0088721E"/>
    <w:rsid w:val="0088740B"/>
    <w:rsid w:val="00887544"/>
    <w:rsid w:val="00890490"/>
    <w:rsid w:val="008908F5"/>
    <w:rsid w:val="00890A4C"/>
    <w:rsid w:val="00890DDA"/>
    <w:rsid w:val="00891914"/>
    <w:rsid w:val="00892224"/>
    <w:rsid w:val="0089249F"/>
    <w:rsid w:val="008937DA"/>
    <w:rsid w:val="008945FD"/>
    <w:rsid w:val="008951AC"/>
    <w:rsid w:val="008961B7"/>
    <w:rsid w:val="0089637A"/>
    <w:rsid w:val="0089677E"/>
    <w:rsid w:val="00896C73"/>
    <w:rsid w:val="008974E7"/>
    <w:rsid w:val="008978CC"/>
    <w:rsid w:val="00897A5B"/>
    <w:rsid w:val="008A027A"/>
    <w:rsid w:val="008A1032"/>
    <w:rsid w:val="008A1053"/>
    <w:rsid w:val="008A2418"/>
    <w:rsid w:val="008A3408"/>
    <w:rsid w:val="008A377A"/>
    <w:rsid w:val="008A6931"/>
    <w:rsid w:val="008B01CC"/>
    <w:rsid w:val="008B1D55"/>
    <w:rsid w:val="008B351C"/>
    <w:rsid w:val="008B5987"/>
    <w:rsid w:val="008B67D7"/>
    <w:rsid w:val="008B6FE5"/>
    <w:rsid w:val="008B76D2"/>
    <w:rsid w:val="008B776F"/>
    <w:rsid w:val="008C04EC"/>
    <w:rsid w:val="008C06E9"/>
    <w:rsid w:val="008C097F"/>
    <w:rsid w:val="008C1721"/>
    <w:rsid w:val="008C2312"/>
    <w:rsid w:val="008C2A3C"/>
    <w:rsid w:val="008C2A46"/>
    <w:rsid w:val="008C2E65"/>
    <w:rsid w:val="008C338C"/>
    <w:rsid w:val="008C34BC"/>
    <w:rsid w:val="008C37C8"/>
    <w:rsid w:val="008C392B"/>
    <w:rsid w:val="008C4474"/>
    <w:rsid w:val="008C4EB9"/>
    <w:rsid w:val="008D0652"/>
    <w:rsid w:val="008D0BF5"/>
    <w:rsid w:val="008D114B"/>
    <w:rsid w:val="008D1720"/>
    <w:rsid w:val="008D3F22"/>
    <w:rsid w:val="008D5E04"/>
    <w:rsid w:val="008D7DDB"/>
    <w:rsid w:val="008E0176"/>
    <w:rsid w:val="008E08F8"/>
    <w:rsid w:val="008E1F19"/>
    <w:rsid w:val="008E752A"/>
    <w:rsid w:val="008F11E2"/>
    <w:rsid w:val="008F2097"/>
    <w:rsid w:val="008F3660"/>
    <w:rsid w:val="008F3F09"/>
    <w:rsid w:val="008F5DC5"/>
    <w:rsid w:val="008F60F9"/>
    <w:rsid w:val="008F7B87"/>
    <w:rsid w:val="00900BE4"/>
    <w:rsid w:val="00901CCF"/>
    <w:rsid w:val="00902C55"/>
    <w:rsid w:val="00905802"/>
    <w:rsid w:val="00906098"/>
    <w:rsid w:val="009066CD"/>
    <w:rsid w:val="0090707A"/>
    <w:rsid w:val="00907206"/>
    <w:rsid w:val="0090744F"/>
    <w:rsid w:val="00907611"/>
    <w:rsid w:val="00907D5A"/>
    <w:rsid w:val="00911C69"/>
    <w:rsid w:val="009129DD"/>
    <w:rsid w:val="00912DEC"/>
    <w:rsid w:val="0091364C"/>
    <w:rsid w:val="009149A9"/>
    <w:rsid w:val="00914C10"/>
    <w:rsid w:val="00914CB6"/>
    <w:rsid w:val="00915D80"/>
    <w:rsid w:val="00916308"/>
    <w:rsid w:val="009172F1"/>
    <w:rsid w:val="00917556"/>
    <w:rsid w:val="009175E5"/>
    <w:rsid w:val="009205BD"/>
    <w:rsid w:val="009209E2"/>
    <w:rsid w:val="00920AD0"/>
    <w:rsid w:val="00920B88"/>
    <w:rsid w:val="00923923"/>
    <w:rsid w:val="009258F6"/>
    <w:rsid w:val="0092595A"/>
    <w:rsid w:val="00926BBA"/>
    <w:rsid w:val="00926CA6"/>
    <w:rsid w:val="00927F3E"/>
    <w:rsid w:val="00930562"/>
    <w:rsid w:val="0093084B"/>
    <w:rsid w:val="00930A46"/>
    <w:rsid w:val="00930D8F"/>
    <w:rsid w:val="0093157A"/>
    <w:rsid w:val="009322A7"/>
    <w:rsid w:val="009322EF"/>
    <w:rsid w:val="00933FEE"/>
    <w:rsid w:val="00934A69"/>
    <w:rsid w:val="00935B17"/>
    <w:rsid w:val="00935CDC"/>
    <w:rsid w:val="00936722"/>
    <w:rsid w:val="009376A3"/>
    <w:rsid w:val="00937836"/>
    <w:rsid w:val="00937CD1"/>
    <w:rsid w:val="009405F0"/>
    <w:rsid w:val="009410CF"/>
    <w:rsid w:val="0094210A"/>
    <w:rsid w:val="00942356"/>
    <w:rsid w:val="0094437C"/>
    <w:rsid w:val="00945087"/>
    <w:rsid w:val="009451C2"/>
    <w:rsid w:val="0094536D"/>
    <w:rsid w:val="009467C3"/>
    <w:rsid w:val="00946F8D"/>
    <w:rsid w:val="00947449"/>
    <w:rsid w:val="0095018E"/>
    <w:rsid w:val="0095073A"/>
    <w:rsid w:val="00950C28"/>
    <w:rsid w:val="0095143A"/>
    <w:rsid w:val="0095144D"/>
    <w:rsid w:val="00952605"/>
    <w:rsid w:val="009528ED"/>
    <w:rsid w:val="009548FE"/>
    <w:rsid w:val="00954B36"/>
    <w:rsid w:val="009558BD"/>
    <w:rsid w:val="009601E0"/>
    <w:rsid w:val="00961332"/>
    <w:rsid w:val="00962CDC"/>
    <w:rsid w:val="00963225"/>
    <w:rsid w:val="00964509"/>
    <w:rsid w:val="00965A62"/>
    <w:rsid w:val="00965A8D"/>
    <w:rsid w:val="00966C54"/>
    <w:rsid w:val="0096730B"/>
    <w:rsid w:val="009678FD"/>
    <w:rsid w:val="0097267E"/>
    <w:rsid w:val="00972CB3"/>
    <w:rsid w:val="00975828"/>
    <w:rsid w:val="00975DA4"/>
    <w:rsid w:val="0097649D"/>
    <w:rsid w:val="00976EC3"/>
    <w:rsid w:val="00977588"/>
    <w:rsid w:val="00977948"/>
    <w:rsid w:val="00977987"/>
    <w:rsid w:val="0098287F"/>
    <w:rsid w:val="00982A30"/>
    <w:rsid w:val="009843D7"/>
    <w:rsid w:val="00984601"/>
    <w:rsid w:val="00984F86"/>
    <w:rsid w:val="009853EE"/>
    <w:rsid w:val="00986463"/>
    <w:rsid w:val="009867FF"/>
    <w:rsid w:val="00990627"/>
    <w:rsid w:val="00990A28"/>
    <w:rsid w:val="00990D29"/>
    <w:rsid w:val="009916C7"/>
    <w:rsid w:val="00991817"/>
    <w:rsid w:val="00991914"/>
    <w:rsid w:val="00992276"/>
    <w:rsid w:val="009922CD"/>
    <w:rsid w:val="009944E0"/>
    <w:rsid w:val="009965A7"/>
    <w:rsid w:val="00997229"/>
    <w:rsid w:val="009A0A5F"/>
    <w:rsid w:val="009A14E1"/>
    <w:rsid w:val="009A1567"/>
    <w:rsid w:val="009A32F5"/>
    <w:rsid w:val="009A4397"/>
    <w:rsid w:val="009A4B80"/>
    <w:rsid w:val="009A4E3E"/>
    <w:rsid w:val="009A5462"/>
    <w:rsid w:val="009A58EC"/>
    <w:rsid w:val="009A5BBB"/>
    <w:rsid w:val="009A6C21"/>
    <w:rsid w:val="009A70F0"/>
    <w:rsid w:val="009A7DF7"/>
    <w:rsid w:val="009B0310"/>
    <w:rsid w:val="009B09C6"/>
    <w:rsid w:val="009B13D3"/>
    <w:rsid w:val="009B1ACA"/>
    <w:rsid w:val="009B2ABD"/>
    <w:rsid w:val="009B3566"/>
    <w:rsid w:val="009B4A2A"/>
    <w:rsid w:val="009B5780"/>
    <w:rsid w:val="009B7831"/>
    <w:rsid w:val="009C071C"/>
    <w:rsid w:val="009C08A0"/>
    <w:rsid w:val="009C0A02"/>
    <w:rsid w:val="009C11F4"/>
    <w:rsid w:val="009C2FC2"/>
    <w:rsid w:val="009C3782"/>
    <w:rsid w:val="009C3BD8"/>
    <w:rsid w:val="009C4B02"/>
    <w:rsid w:val="009D0586"/>
    <w:rsid w:val="009D0B61"/>
    <w:rsid w:val="009D1313"/>
    <w:rsid w:val="009D14AA"/>
    <w:rsid w:val="009D182C"/>
    <w:rsid w:val="009D1B2E"/>
    <w:rsid w:val="009D21C8"/>
    <w:rsid w:val="009D2960"/>
    <w:rsid w:val="009D4ED5"/>
    <w:rsid w:val="009D5869"/>
    <w:rsid w:val="009D6BC0"/>
    <w:rsid w:val="009D6D9F"/>
    <w:rsid w:val="009D7CE9"/>
    <w:rsid w:val="009E031E"/>
    <w:rsid w:val="009E1DFA"/>
    <w:rsid w:val="009E40DD"/>
    <w:rsid w:val="009E56B5"/>
    <w:rsid w:val="009E585B"/>
    <w:rsid w:val="009E6BFC"/>
    <w:rsid w:val="009E72C9"/>
    <w:rsid w:val="009E74C5"/>
    <w:rsid w:val="009E776F"/>
    <w:rsid w:val="009F0482"/>
    <w:rsid w:val="009F06EF"/>
    <w:rsid w:val="009F0C2E"/>
    <w:rsid w:val="009F0DB1"/>
    <w:rsid w:val="009F185E"/>
    <w:rsid w:val="009F2104"/>
    <w:rsid w:val="009F2584"/>
    <w:rsid w:val="009F2800"/>
    <w:rsid w:val="009F29AD"/>
    <w:rsid w:val="009F31A1"/>
    <w:rsid w:val="009F32DB"/>
    <w:rsid w:val="009F378B"/>
    <w:rsid w:val="009F6808"/>
    <w:rsid w:val="009F703D"/>
    <w:rsid w:val="00A00717"/>
    <w:rsid w:val="00A00951"/>
    <w:rsid w:val="00A012FF"/>
    <w:rsid w:val="00A01679"/>
    <w:rsid w:val="00A01D2E"/>
    <w:rsid w:val="00A034E8"/>
    <w:rsid w:val="00A03655"/>
    <w:rsid w:val="00A03BF8"/>
    <w:rsid w:val="00A056EE"/>
    <w:rsid w:val="00A066EA"/>
    <w:rsid w:val="00A06CEB"/>
    <w:rsid w:val="00A07920"/>
    <w:rsid w:val="00A1300D"/>
    <w:rsid w:val="00A145FC"/>
    <w:rsid w:val="00A14F80"/>
    <w:rsid w:val="00A17418"/>
    <w:rsid w:val="00A202B2"/>
    <w:rsid w:val="00A20770"/>
    <w:rsid w:val="00A209E3"/>
    <w:rsid w:val="00A21B6A"/>
    <w:rsid w:val="00A22797"/>
    <w:rsid w:val="00A2594E"/>
    <w:rsid w:val="00A2673F"/>
    <w:rsid w:val="00A30F8F"/>
    <w:rsid w:val="00A32C0E"/>
    <w:rsid w:val="00A32EFD"/>
    <w:rsid w:val="00A3358B"/>
    <w:rsid w:val="00A33F36"/>
    <w:rsid w:val="00A35F40"/>
    <w:rsid w:val="00A36004"/>
    <w:rsid w:val="00A40524"/>
    <w:rsid w:val="00A409A4"/>
    <w:rsid w:val="00A4131F"/>
    <w:rsid w:val="00A45004"/>
    <w:rsid w:val="00A45711"/>
    <w:rsid w:val="00A46853"/>
    <w:rsid w:val="00A46AEC"/>
    <w:rsid w:val="00A46EF7"/>
    <w:rsid w:val="00A47342"/>
    <w:rsid w:val="00A5003A"/>
    <w:rsid w:val="00A5278B"/>
    <w:rsid w:val="00A529C0"/>
    <w:rsid w:val="00A52E90"/>
    <w:rsid w:val="00A53896"/>
    <w:rsid w:val="00A53900"/>
    <w:rsid w:val="00A5500C"/>
    <w:rsid w:val="00A55D15"/>
    <w:rsid w:val="00A56C27"/>
    <w:rsid w:val="00A56DA2"/>
    <w:rsid w:val="00A60D25"/>
    <w:rsid w:val="00A64632"/>
    <w:rsid w:val="00A6575E"/>
    <w:rsid w:val="00A65E12"/>
    <w:rsid w:val="00A66021"/>
    <w:rsid w:val="00A66A79"/>
    <w:rsid w:val="00A66C5E"/>
    <w:rsid w:val="00A66FC6"/>
    <w:rsid w:val="00A67467"/>
    <w:rsid w:val="00A7088F"/>
    <w:rsid w:val="00A7196F"/>
    <w:rsid w:val="00A71D48"/>
    <w:rsid w:val="00A72CDF"/>
    <w:rsid w:val="00A73361"/>
    <w:rsid w:val="00A73677"/>
    <w:rsid w:val="00A73F02"/>
    <w:rsid w:val="00A74B2E"/>
    <w:rsid w:val="00A758F4"/>
    <w:rsid w:val="00A76A82"/>
    <w:rsid w:val="00A77BB3"/>
    <w:rsid w:val="00A81F6C"/>
    <w:rsid w:val="00A82518"/>
    <w:rsid w:val="00A8371B"/>
    <w:rsid w:val="00A83E3B"/>
    <w:rsid w:val="00A9407A"/>
    <w:rsid w:val="00A9411B"/>
    <w:rsid w:val="00A943CA"/>
    <w:rsid w:val="00A94A12"/>
    <w:rsid w:val="00A95ABA"/>
    <w:rsid w:val="00A9668B"/>
    <w:rsid w:val="00AA0E28"/>
    <w:rsid w:val="00AA118E"/>
    <w:rsid w:val="00AA1FDC"/>
    <w:rsid w:val="00AA347C"/>
    <w:rsid w:val="00AA51FF"/>
    <w:rsid w:val="00AA63E7"/>
    <w:rsid w:val="00AA66A4"/>
    <w:rsid w:val="00AA6CAA"/>
    <w:rsid w:val="00AA6DB0"/>
    <w:rsid w:val="00AA6E9C"/>
    <w:rsid w:val="00AA7061"/>
    <w:rsid w:val="00AB0A4C"/>
    <w:rsid w:val="00AB1AA8"/>
    <w:rsid w:val="00AB3041"/>
    <w:rsid w:val="00AB3BDD"/>
    <w:rsid w:val="00AB3D2E"/>
    <w:rsid w:val="00AB4415"/>
    <w:rsid w:val="00AB46FD"/>
    <w:rsid w:val="00AB4FB6"/>
    <w:rsid w:val="00AB54F9"/>
    <w:rsid w:val="00AB694F"/>
    <w:rsid w:val="00AB6C79"/>
    <w:rsid w:val="00AB7905"/>
    <w:rsid w:val="00AB7B74"/>
    <w:rsid w:val="00AC0346"/>
    <w:rsid w:val="00AC078F"/>
    <w:rsid w:val="00AC1068"/>
    <w:rsid w:val="00AC1936"/>
    <w:rsid w:val="00AC1D75"/>
    <w:rsid w:val="00AC298F"/>
    <w:rsid w:val="00AC2E7C"/>
    <w:rsid w:val="00AC32EE"/>
    <w:rsid w:val="00AC3ADB"/>
    <w:rsid w:val="00AC4054"/>
    <w:rsid w:val="00AC6612"/>
    <w:rsid w:val="00AC7624"/>
    <w:rsid w:val="00AC777E"/>
    <w:rsid w:val="00AD067A"/>
    <w:rsid w:val="00AD0EAF"/>
    <w:rsid w:val="00AD1007"/>
    <w:rsid w:val="00AD14A9"/>
    <w:rsid w:val="00AD3AD2"/>
    <w:rsid w:val="00AD450B"/>
    <w:rsid w:val="00AD482B"/>
    <w:rsid w:val="00AD4835"/>
    <w:rsid w:val="00AD5870"/>
    <w:rsid w:val="00AD5C4D"/>
    <w:rsid w:val="00AD5D06"/>
    <w:rsid w:val="00AD5E53"/>
    <w:rsid w:val="00AD6DC2"/>
    <w:rsid w:val="00AD7175"/>
    <w:rsid w:val="00AD7394"/>
    <w:rsid w:val="00AE02C3"/>
    <w:rsid w:val="00AE09B8"/>
    <w:rsid w:val="00AE35E2"/>
    <w:rsid w:val="00AE407C"/>
    <w:rsid w:val="00AE40AD"/>
    <w:rsid w:val="00AE4B00"/>
    <w:rsid w:val="00AE5259"/>
    <w:rsid w:val="00AE5BDE"/>
    <w:rsid w:val="00AE61A5"/>
    <w:rsid w:val="00AE6B15"/>
    <w:rsid w:val="00AE7150"/>
    <w:rsid w:val="00AF0B6C"/>
    <w:rsid w:val="00AF1245"/>
    <w:rsid w:val="00AF153D"/>
    <w:rsid w:val="00AF15AB"/>
    <w:rsid w:val="00AF2763"/>
    <w:rsid w:val="00AF4737"/>
    <w:rsid w:val="00AF5E03"/>
    <w:rsid w:val="00AF7161"/>
    <w:rsid w:val="00B000FF"/>
    <w:rsid w:val="00B00A87"/>
    <w:rsid w:val="00B02A63"/>
    <w:rsid w:val="00B0328B"/>
    <w:rsid w:val="00B03857"/>
    <w:rsid w:val="00B03A54"/>
    <w:rsid w:val="00B03E26"/>
    <w:rsid w:val="00B04CE3"/>
    <w:rsid w:val="00B0583F"/>
    <w:rsid w:val="00B0669C"/>
    <w:rsid w:val="00B06B06"/>
    <w:rsid w:val="00B07121"/>
    <w:rsid w:val="00B0728F"/>
    <w:rsid w:val="00B101F6"/>
    <w:rsid w:val="00B11C68"/>
    <w:rsid w:val="00B11E69"/>
    <w:rsid w:val="00B12E1D"/>
    <w:rsid w:val="00B133A1"/>
    <w:rsid w:val="00B14565"/>
    <w:rsid w:val="00B15AE4"/>
    <w:rsid w:val="00B165E3"/>
    <w:rsid w:val="00B1664E"/>
    <w:rsid w:val="00B17419"/>
    <w:rsid w:val="00B222C9"/>
    <w:rsid w:val="00B24207"/>
    <w:rsid w:val="00B24A9B"/>
    <w:rsid w:val="00B25CD2"/>
    <w:rsid w:val="00B27B0E"/>
    <w:rsid w:val="00B308A3"/>
    <w:rsid w:val="00B31078"/>
    <w:rsid w:val="00B3268E"/>
    <w:rsid w:val="00B32F20"/>
    <w:rsid w:val="00B33815"/>
    <w:rsid w:val="00B33D16"/>
    <w:rsid w:val="00B341C1"/>
    <w:rsid w:val="00B3460C"/>
    <w:rsid w:val="00B347DC"/>
    <w:rsid w:val="00B35E7F"/>
    <w:rsid w:val="00B36160"/>
    <w:rsid w:val="00B36561"/>
    <w:rsid w:val="00B400EA"/>
    <w:rsid w:val="00B40306"/>
    <w:rsid w:val="00B41904"/>
    <w:rsid w:val="00B423C8"/>
    <w:rsid w:val="00B43095"/>
    <w:rsid w:val="00B43416"/>
    <w:rsid w:val="00B438AE"/>
    <w:rsid w:val="00B448A6"/>
    <w:rsid w:val="00B46129"/>
    <w:rsid w:val="00B46ADD"/>
    <w:rsid w:val="00B50649"/>
    <w:rsid w:val="00B50F48"/>
    <w:rsid w:val="00B52694"/>
    <w:rsid w:val="00B52B03"/>
    <w:rsid w:val="00B535E8"/>
    <w:rsid w:val="00B5470E"/>
    <w:rsid w:val="00B56264"/>
    <w:rsid w:val="00B571F8"/>
    <w:rsid w:val="00B57631"/>
    <w:rsid w:val="00B61A16"/>
    <w:rsid w:val="00B630CF"/>
    <w:rsid w:val="00B6328F"/>
    <w:rsid w:val="00B63F49"/>
    <w:rsid w:val="00B65358"/>
    <w:rsid w:val="00B65ACE"/>
    <w:rsid w:val="00B65C97"/>
    <w:rsid w:val="00B65EC2"/>
    <w:rsid w:val="00B6616F"/>
    <w:rsid w:val="00B66FE1"/>
    <w:rsid w:val="00B67FF1"/>
    <w:rsid w:val="00B7007B"/>
    <w:rsid w:val="00B7023D"/>
    <w:rsid w:val="00B708B1"/>
    <w:rsid w:val="00B7110D"/>
    <w:rsid w:val="00B711FB"/>
    <w:rsid w:val="00B71667"/>
    <w:rsid w:val="00B72BAD"/>
    <w:rsid w:val="00B73982"/>
    <w:rsid w:val="00B73ECE"/>
    <w:rsid w:val="00B74DFB"/>
    <w:rsid w:val="00B756C9"/>
    <w:rsid w:val="00B75D74"/>
    <w:rsid w:val="00B77029"/>
    <w:rsid w:val="00B77183"/>
    <w:rsid w:val="00B77A25"/>
    <w:rsid w:val="00B815A9"/>
    <w:rsid w:val="00B817E0"/>
    <w:rsid w:val="00B818C8"/>
    <w:rsid w:val="00B82738"/>
    <w:rsid w:val="00B83416"/>
    <w:rsid w:val="00B843CD"/>
    <w:rsid w:val="00B84AE8"/>
    <w:rsid w:val="00B86B09"/>
    <w:rsid w:val="00B86B3C"/>
    <w:rsid w:val="00B86B7A"/>
    <w:rsid w:val="00B86FC6"/>
    <w:rsid w:val="00B87418"/>
    <w:rsid w:val="00B876EF"/>
    <w:rsid w:val="00B87F3A"/>
    <w:rsid w:val="00B90BF3"/>
    <w:rsid w:val="00B92014"/>
    <w:rsid w:val="00B9360B"/>
    <w:rsid w:val="00B94616"/>
    <w:rsid w:val="00B951EF"/>
    <w:rsid w:val="00B96979"/>
    <w:rsid w:val="00B97946"/>
    <w:rsid w:val="00BA0E76"/>
    <w:rsid w:val="00BA19EC"/>
    <w:rsid w:val="00BA1E39"/>
    <w:rsid w:val="00BA2225"/>
    <w:rsid w:val="00BA30A1"/>
    <w:rsid w:val="00BA39C4"/>
    <w:rsid w:val="00BA3BB4"/>
    <w:rsid w:val="00BA474B"/>
    <w:rsid w:val="00BA510E"/>
    <w:rsid w:val="00BA51EF"/>
    <w:rsid w:val="00BB09BC"/>
    <w:rsid w:val="00BB3926"/>
    <w:rsid w:val="00BB3AEE"/>
    <w:rsid w:val="00BB6334"/>
    <w:rsid w:val="00BC2097"/>
    <w:rsid w:val="00BC2AA4"/>
    <w:rsid w:val="00BC375A"/>
    <w:rsid w:val="00BC55A1"/>
    <w:rsid w:val="00BC618A"/>
    <w:rsid w:val="00BD14A4"/>
    <w:rsid w:val="00BD25BF"/>
    <w:rsid w:val="00BD32FA"/>
    <w:rsid w:val="00BD5667"/>
    <w:rsid w:val="00BD6D7C"/>
    <w:rsid w:val="00BD7083"/>
    <w:rsid w:val="00BE0054"/>
    <w:rsid w:val="00BE0F2C"/>
    <w:rsid w:val="00BE0F82"/>
    <w:rsid w:val="00BE11C4"/>
    <w:rsid w:val="00BE1CB8"/>
    <w:rsid w:val="00BE1DE5"/>
    <w:rsid w:val="00BE2061"/>
    <w:rsid w:val="00BE309E"/>
    <w:rsid w:val="00BE3476"/>
    <w:rsid w:val="00BE3942"/>
    <w:rsid w:val="00BE41DE"/>
    <w:rsid w:val="00BE51FD"/>
    <w:rsid w:val="00BE5796"/>
    <w:rsid w:val="00BE5D49"/>
    <w:rsid w:val="00BE79B4"/>
    <w:rsid w:val="00BF0691"/>
    <w:rsid w:val="00BF0778"/>
    <w:rsid w:val="00BF13A5"/>
    <w:rsid w:val="00BF1DA5"/>
    <w:rsid w:val="00BF243B"/>
    <w:rsid w:val="00BF2441"/>
    <w:rsid w:val="00BF2689"/>
    <w:rsid w:val="00BF283C"/>
    <w:rsid w:val="00BF2914"/>
    <w:rsid w:val="00BF3213"/>
    <w:rsid w:val="00BF35ED"/>
    <w:rsid w:val="00BF3F63"/>
    <w:rsid w:val="00BF44BF"/>
    <w:rsid w:val="00BF5896"/>
    <w:rsid w:val="00BF760E"/>
    <w:rsid w:val="00C0084D"/>
    <w:rsid w:val="00C00872"/>
    <w:rsid w:val="00C02243"/>
    <w:rsid w:val="00C03A5A"/>
    <w:rsid w:val="00C0489E"/>
    <w:rsid w:val="00C04C66"/>
    <w:rsid w:val="00C04E48"/>
    <w:rsid w:val="00C05EBE"/>
    <w:rsid w:val="00C06F93"/>
    <w:rsid w:val="00C07061"/>
    <w:rsid w:val="00C0725D"/>
    <w:rsid w:val="00C102DA"/>
    <w:rsid w:val="00C10437"/>
    <w:rsid w:val="00C107BE"/>
    <w:rsid w:val="00C10B14"/>
    <w:rsid w:val="00C116D2"/>
    <w:rsid w:val="00C11A77"/>
    <w:rsid w:val="00C126FA"/>
    <w:rsid w:val="00C12952"/>
    <w:rsid w:val="00C14230"/>
    <w:rsid w:val="00C143B5"/>
    <w:rsid w:val="00C1633A"/>
    <w:rsid w:val="00C167AC"/>
    <w:rsid w:val="00C1758D"/>
    <w:rsid w:val="00C20473"/>
    <w:rsid w:val="00C20564"/>
    <w:rsid w:val="00C206A7"/>
    <w:rsid w:val="00C20CD5"/>
    <w:rsid w:val="00C220E7"/>
    <w:rsid w:val="00C22229"/>
    <w:rsid w:val="00C22776"/>
    <w:rsid w:val="00C2476B"/>
    <w:rsid w:val="00C250DA"/>
    <w:rsid w:val="00C25E5D"/>
    <w:rsid w:val="00C273FF"/>
    <w:rsid w:val="00C3000A"/>
    <w:rsid w:val="00C30101"/>
    <w:rsid w:val="00C32997"/>
    <w:rsid w:val="00C32D3F"/>
    <w:rsid w:val="00C3386A"/>
    <w:rsid w:val="00C34E17"/>
    <w:rsid w:val="00C35333"/>
    <w:rsid w:val="00C374B1"/>
    <w:rsid w:val="00C40CEC"/>
    <w:rsid w:val="00C424C7"/>
    <w:rsid w:val="00C42C0F"/>
    <w:rsid w:val="00C43038"/>
    <w:rsid w:val="00C430E3"/>
    <w:rsid w:val="00C43613"/>
    <w:rsid w:val="00C45F57"/>
    <w:rsid w:val="00C46500"/>
    <w:rsid w:val="00C50250"/>
    <w:rsid w:val="00C50F3C"/>
    <w:rsid w:val="00C51EDF"/>
    <w:rsid w:val="00C5250C"/>
    <w:rsid w:val="00C5363E"/>
    <w:rsid w:val="00C559EA"/>
    <w:rsid w:val="00C55A5E"/>
    <w:rsid w:val="00C55A7D"/>
    <w:rsid w:val="00C56936"/>
    <w:rsid w:val="00C62C80"/>
    <w:rsid w:val="00C62CB0"/>
    <w:rsid w:val="00C63ECE"/>
    <w:rsid w:val="00C64F66"/>
    <w:rsid w:val="00C65BD6"/>
    <w:rsid w:val="00C671F1"/>
    <w:rsid w:val="00C700AE"/>
    <w:rsid w:val="00C72DC4"/>
    <w:rsid w:val="00C72E1E"/>
    <w:rsid w:val="00C747F3"/>
    <w:rsid w:val="00C74B7D"/>
    <w:rsid w:val="00C7516B"/>
    <w:rsid w:val="00C75296"/>
    <w:rsid w:val="00C75E32"/>
    <w:rsid w:val="00C764DA"/>
    <w:rsid w:val="00C767EA"/>
    <w:rsid w:val="00C8145D"/>
    <w:rsid w:val="00C81DFC"/>
    <w:rsid w:val="00C854EB"/>
    <w:rsid w:val="00C8592B"/>
    <w:rsid w:val="00C85EA8"/>
    <w:rsid w:val="00C86BD4"/>
    <w:rsid w:val="00C94DF9"/>
    <w:rsid w:val="00C96E35"/>
    <w:rsid w:val="00CA020E"/>
    <w:rsid w:val="00CA0B79"/>
    <w:rsid w:val="00CA19A4"/>
    <w:rsid w:val="00CA279F"/>
    <w:rsid w:val="00CA2FF1"/>
    <w:rsid w:val="00CA3DA2"/>
    <w:rsid w:val="00CA652B"/>
    <w:rsid w:val="00CA6FFD"/>
    <w:rsid w:val="00CA7199"/>
    <w:rsid w:val="00CA7AE0"/>
    <w:rsid w:val="00CB001B"/>
    <w:rsid w:val="00CB2BAE"/>
    <w:rsid w:val="00CB303B"/>
    <w:rsid w:val="00CB481B"/>
    <w:rsid w:val="00CB6913"/>
    <w:rsid w:val="00CB6EAC"/>
    <w:rsid w:val="00CB6F73"/>
    <w:rsid w:val="00CB732D"/>
    <w:rsid w:val="00CB7F74"/>
    <w:rsid w:val="00CC14C1"/>
    <w:rsid w:val="00CC157B"/>
    <w:rsid w:val="00CC172B"/>
    <w:rsid w:val="00CC206B"/>
    <w:rsid w:val="00CC25EB"/>
    <w:rsid w:val="00CC3232"/>
    <w:rsid w:val="00CC3309"/>
    <w:rsid w:val="00CC4269"/>
    <w:rsid w:val="00CC4E3C"/>
    <w:rsid w:val="00CC4E5C"/>
    <w:rsid w:val="00CC5A84"/>
    <w:rsid w:val="00CC5EE7"/>
    <w:rsid w:val="00CC70DC"/>
    <w:rsid w:val="00CC7112"/>
    <w:rsid w:val="00CC7CE2"/>
    <w:rsid w:val="00CD1819"/>
    <w:rsid w:val="00CD2896"/>
    <w:rsid w:val="00CD2CCE"/>
    <w:rsid w:val="00CD40C4"/>
    <w:rsid w:val="00CD44D2"/>
    <w:rsid w:val="00CD5625"/>
    <w:rsid w:val="00CD57D3"/>
    <w:rsid w:val="00CD6149"/>
    <w:rsid w:val="00CD69B2"/>
    <w:rsid w:val="00CD6FD1"/>
    <w:rsid w:val="00CD7D98"/>
    <w:rsid w:val="00CE06EC"/>
    <w:rsid w:val="00CE19AF"/>
    <w:rsid w:val="00CE1D8D"/>
    <w:rsid w:val="00CE2754"/>
    <w:rsid w:val="00CE3598"/>
    <w:rsid w:val="00CE4A50"/>
    <w:rsid w:val="00CE64BC"/>
    <w:rsid w:val="00CE6A45"/>
    <w:rsid w:val="00CF1C30"/>
    <w:rsid w:val="00CF230E"/>
    <w:rsid w:val="00CF23E3"/>
    <w:rsid w:val="00CF328E"/>
    <w:rsid w:val="00CF380C"/>
    <w:rsid w:val="00CF3CDC"/>
    <w:rsid w:val="00CF6310"/>
    <w:rsid w:val="00CF6CE9"/>
    <w:rsid w:val="00CF7CD6"/>
    <w:rsid w:val="00D00BB9"/>
    <w:rsid w:val="00D00C66"/>
    <w:rsid w:val="00D01253"/>
    <w:rsid w:val="00D01398"/>
    <w:rsid w:val="00D03688"/>
    <w:rsid w:val="00D0500C"/>
    <w:rsid w:val="00D056BF"/>
    <w:rsid w:val="00D06DA1"/>
    <w:rsid w:val="00D101B1"/>
    <w:rsid w:val="00D102B9"/>
    <w:rsid w:val="00D14E9B"/>
    <w:rsid w:val="00D1584D"/>
    <w:rsid w:val="00D15B80"/>
    <w:rsid w:val="00D16651"/>
    <w:rsid w:val="00D169E9"/>
    <w:rsid w:val="00D20263"/>
    <w:rsid w:val="00D21F09"/>
    <w:rsid w:val="00D238E8"/>
    <w:rsid w:val="00D2444C"/>
    <w:rsid w:val="00D24A23"/>
    <w:rsid w:val="00D25CA2"/>
    <w:rsid w:val="00D2737B"/>
    <w:rsid w:val="00D27A78"/>
    <w:rsid w:val="00D3579F"/>
    <w:rsid w:val="00D363F6"/>
    <w:rsid w:val="00D36DD6"/>
    <w:rsid w:val="00D37B8E"/>
    <w:rsid w:val="00D400B5"/>
    <w:rsid w:val="00D4118C"/>
    <w:rsid w:val="00D41FA1"/>
    <w:rsid w:val="00D42C43"/>
    <w:rsid w:val="00D43C91"/>
    <w:rsid w:val="00D44FF9"/>
    <w:rsid w:val="00D45775"/>
    <w:rsid w:val="00D4610E"/>
    <w:rsid w:val="00D46228"/>
    <w:rsid w:val="00D4654C"/>
    <w:rsid w:val="00D46AC3"/>
    <w:rsid w:val="00D46CB0"/>
    <w:rsid w:val="00D46DF1"/>
    <w:rsid w:val="00D51C9A"/>
    <w:rsid w:val="00D541DC"/>
    <w:rsid w:val="00D56733"/>
    <w:rsid w:val="00D56AFD"/>
    <w:rsid w:val="00D6227C"/>
    <w:rsid w:val="00D62402"/>
    <w:rsid w:val="00D628A2"/>
    <w:rsid w:val="00D63859"/>
    <w:rsid w:val="00D63C60"/>
    <w:rsid w:val="00D63FF1"/>
    <w:rsid w:val="00D64231"/>
    <w:rsid w:val="00D64683"/>
    <w:rsid w:val="00D651DD"/>
    <w:rsid w:val="00D66ACF"/>
    <w:rsid w:val="00D70984"/>
    <w:rsid w:val="00D70BC5"/>
    <w:rsid w:val="00D70F0D"/>
    <w:rsid w:val="00D71800"/>
    <w:rsid w:val="00D726B6"/>
    <w:rsid w:val="00D74FDA"/>
    <w:rsid w:val="00D75C87"/>
    <w:rsid w:val="00D7649C"/>
    <w:rsid w:val="00D77749"/>
    <w:rsid w:val="00D82AD9"/>
    <w:rsid w:val="00D83165"/>
    <w:rsid w:val="00D8376F"/>
    <w:rsid w:val="00D87C87"/>
    <w:rsid w:val="00D87E6F"/>
    <w:rsid w:val="00D9045F"/>
    <w:rsid w:val="00D9279B"/>
    <w:rsid w:val="00D927CE"/>
    <w:rsid w:val="00D92838"/>
    <w:rsid w:val="00D92A8A"/>
    <w:rsid w:val="00D9387B"/>
    <w:rsid w:val="00D93BDF"/>
    <w:rsid w:val="00D93CEF"/>
    <w:rsid w:val="00D94630"/>
    <w:rsid w:val="00D94BD4"/>
    <w:rsid w:val="00D94E6E"/>
    <w:rsid w:val="00D96227"/>
    <w:rsid w:val="00D9633C"/>
    <w:rsid w:val="00D96679"/>
    <w:rsid w:val="00D97347"/>
    <w:rsid w:val="00D97BD6"/>
    <w:rsid w:val="00DA1115"/>
    <w:rsid w:val="00DA19BC"/>
    <w:rsid w:val="00DA4A55"/>
    <w:rsid w:val="00DA4AE2"/>
    <w:rsid w:val="00DA5380"/>
    <w:rsid w:val="00DA5895"/>
    <w:rsid w:val="00DA6ACF"/>
    <w:rsid w:val="00DA79F6"/>
    <w:rsid w:val="00DB11F4"/>
    <w:rsid w:val="00DB2FF3"/>
    <w:rsid w:val="00DB3933"/>
    <w:rsid w:val="00DB4784"/>
    <w:rsid w:val="00DB5B36"/>
    <w:rsid w:val="00DB6685"/>
    <w:rsid w:val="00DB6850"/>
    <w:rsid w:val="00DB69D4"/>
    <w:rsid w:val="00DB6C15"/>
    <w:rsid w:val="00DB74DE"/>
    <w:rsid w:val="00DB7917"/>
    <w:rsid w:val="00DC0E55"/>
    <w:rsid w:val="00DC1C82"/>
    <w:rsid w:val="00DC1CA3"/>
    <w:rsid w:val="00DC224F"/>
    <w:rsid w:val="00DC25CB"/>
    <w:rsid w:val="00DC393D"/>
    <w:rsid w:val="00DC511E"/>
    <w:rsid w:val="00DC5DD9"/>
    <w:rsid w:val="00DC6149"/>
    <w:rsid w:val="00DD091C"/>
    <w:rsid w:val="00DD1D9A"/>
    <w:rsid w:val="00DD26B1"/>
    <w:rsid w:val="00DD427D"/>
    <w:rsid w:val="00DD4B99"/>
    <w:rsid w:val="00DD4C82"/>
    <w:rsid w:val="00DD4E68"/>
    <w:rsid w:val="00DD5033"/>
    <w:rsid w:val="00DD5786"/>
    <w:rsid w:val="00DD66B5"/>
    <w:rsid w:val="00DE3DFD"/>
    <w:rsid w:val="00DE4511"/>
    <w:rsid w:val="00DE584B"/>
    <w:rsid w:val="00DE6F54"/>
    <w:rsid w:val="00DE794D"/>
    <w:rsid w:val="00DE7C24"/>
    <w:rsid w:val="00DF02D6"/>
    <w:rsid w:val="00DF102A"/>
    <w:rsid w:val="00DF2D6D"/>
    <w:rsid w:val="00DF2E49"/>
    <w:rsid w:val="00DF4116"/>
    <w:rsid w:val="00DF5D49"/>
    <w:rsid w:val="00DF5DB8"/>
    <w:rsid w:val="00DF6A98"/>
    <w:rsid w:val="00E004C0"/>
    <w:rsid w:val="00E0183D"/>
    <w:rsid w:val="00E032D8"/>
    <w:rsid w:val="00E0344B"/>
    <w:rsid w:val="00E0405E"/>
    <w:rsid w:val="00E05182"/>
    <w:rsid w:val="00E0520E"/>
    <w:rsid w:val="00E054BB"/>
    <w:rsid w:val="00E056BA"/>
    <w:rsid w:val="00E05DE6"/>
    <w:rsid w:val="00E06CC8"/>
    <w:rsid w:val="00E107B3"/>
    <w:rsid w:val="00E10F19"/>
    <w:rsid w:val="00E114DC"/>
    <w:rsid w:val="00E1181B"/>
    <w:rsid w:val="00E11E49"/>
    <w:rsid w:val="00E1374D"/>
    <w:rsid w:val="00E14272"/>
    <w:rsid w:val="00E1457C"/>
    <w:rsid w:val="00E14D21"/>
    <w:rsid w:val="00E15791"/>
    <w:rsid w:val="00E15B0A"/>
    <w:rsid w:val="00E15BB6"/>
    <w:rsid w:val="00E1750C"/>
    <w:rsid w:val="00E200B1"/>
    <w:rsid w:val="00E20784"/>
    <w:rsid w:val="00E20CA3"/>
    <w:rsid w:val="00E23D18"/>
    <w:rsid w:val="00E240A5"/>
    <w:rsid w:val="00E243BB"/>
    <w:rsid w:val="00E245B2"/>
    <w:rsid w:val="00E247F0"/>
    <w:rsid w:val="00E24943"/>
    <w:rsid w:val="00E24E94"/>
    <w:rsid w:val="00E25817"/>
    <w:rsid w:val="00E25A3C"/>
    <w:rsid w:val="00E25E6E"/>
    <w:rsid w:val="00E26336"/>
    <w:rsid w:val="00E266D4"/>
    <w:rsid w:val="00E307AD"/>
    <w:rsid w:val="00E308A5"/>
    <w:rsid w:val="00E30918"/>
    <w:rsid w:val="00E3091B"/>
    <w:rsid w:val="00E3153D"/>
    <w:rsid w:val="00E3482E"/>
    <w:rsid w:val="00E34934"/>
    <w:rsid w:val="00E3722F"/>
    <w:rsid w:val="00E37966"/>
    <w:rsid w:val="00E37B70"/>
    <w:rsid w:val="00E4194D"/>
    <w:rsid w:val="00E43F01"/>
    <w:rsid w:val="00E449A7"/>
    <w:rsid w:val="00E45DEC"/>
    <w:rsid w:val="00E465EC"/>
    <w:rsid w:val="00E46B33"/>
    <w:rsid w:val="00E515EB"/>
    <w:rsid w:val="00E523EB"/>
    <w:rsid w:val="00E530DB"/>
    <w:rsid w:val="00E56A92"/>
    <w:rsid w:val="00E617CE"/>
    <w:rsid w:val="00E62F3C"/>
    <w:rsid w:val="00E63478"/>
    <w:rsid w:val="00E63B87"/>
    <w:rsid w:val="00E63CFB"/>
    <w:rsid w:val="00E63EA7"/>
    <w:rsid w:val="00E644E0"/>
    <w:rsid w:val="00E65E72"/>
    <w:rsid w:val="00E6627D"/>
    <w:rsid w:val="00E665AA"/>
    <w:rsid w:val="00E67316"/>
    <w:rsid w:val="00E6763A"/>
    <w:rsid w:val="00E679D7"/>
    <w:rsid w:val="00E701BC"/>
    <w:rsid w:val="00E70F72"/>
    <w:rsid w:val="00E752A8"/>
    <w:rsid w:val="00E7671D"/>
    <w:rsid w:val="00E76C6F"/>
    <w:rsid w:val="00E77246"/>
    <w:rsid w:val="00E80091"/>
    <w:rsid w:val="00E80344"/>
    <w:rsid w:val="00E80B46"/>
    <w:rsid w:val="00E80CCF"/>
    <w:rsid w:val="00E818AD"/>
    <w:rsid w:val="00E81ABF"/>
    <w:rsid w:val="00E81F1F"/>
    <w:rsid w:val="00E83763"/>
    <w:rsid w:val="00E848FF"/>
    <w:rsid w:val="00E84974"/>
    <w:rsid w:val="00E84F24"/>
    <w:rsid w:val="00E85EB4"/>
    <w:rsid w:val="00E87817"/>
    <w:rsid w:val="00E8794D"/>
    <w:rsid w:val="00E917E6"/>
    <w:rsid w:val="00E92021"/>
    <w:rsid w:val="00E92213"/>
    <w:rsid w:val="00E92980"/>
    <w:rsid w:val="00E933F2"/>
    <w:rsid w:val="00E93838"/>
    <w:rsid w:val="00E96D6B"/>
    <w:rsid w:val="00E97229"/>
    <w:rsid w:val="00EA1510"/>
    <w:rsid w:val="00EA21C9"/>
    <w:rsid w:val="00EA3FCF"/>
    <w:rsid w:val="00EA4294"/>
    <w:rsid w:val="00EA42E9"/>
    <w:rsid w:val="00EA499B"/>
    <w:rsid w:val="00EA4F20"/>
    <w:rsid w:val="00EA6050"/>
    <w:rsid w:val="00EA6552"/>
    <w:rsid w:val="00EA73DB"/>
    <w:rsid w:val="00EA77E5"/>
    <w:rsid w:val="00EB0C2C"/>
    <w:rsid w:val="00EB0E5E"/>
    <w:rsid w:val="00EB1A49"/>
    <w:rsid w:val="00EB1EBB"/>
    <w:rsid w:val="00EB20C1"/>
    <w:rsid w:val="00EB23AB"/>
    <w:rsid w:val="00EB30F1"/>
    <w:rsid w:val="00EB32EB"/>
    <w:rsid w:val="00EB41A2"/>
    <w:rsid w:val="00EB4D7D"/>
    <w:rsid w:val="00EB5E0E"/>
    <w:rsid w:val="00EB6BC3"/>
    <w:rsid w:val="00EB70CD"/>
    <w:rsid w:val="00EB736F"/>
    <w:rsid w:val="00EC0FD7"/>
    <w:rsid w:val="00EC2F5A"/>
    <w:rsid w:val="00EC42F6"/>
    <w:rsid w:val="00EC5B6B"/>
    <w:rsid w:val="00ED02A1"/>
    <w:rsid w:val="00ED1498"/>
    <w:rsid w:val="00ED1FF5"/>
    <w:rsid w:val="00ED4A57"/>
    <w:rsid w:val="00ED6410"/>
    <w:rsid w:val="00EE04A5"/>
    <w:rsid w:val="00EE04CD"/>
    <w:rsid w:val="00EE1F40"/>
    <w:rsid w:val="00EE28AB"/>
    <w:rsid w:val="00EE326E"/>
    <w:rsid w:val="00EE34E9"/>
    <w:rsid w:val="00EE45E9"/>
    <w:rsid w:val="00EE5CB2"/>
    <w:rsid w:val="00EE650F"/>
    <w:rsid w:val="00EF08E2"/>
    <w:rsid w:val="00EF14CF"/>
    <w:rsid w:val="00EF2A9D"/>
    <w:rsid w:val="00EF2EED"/>
    <w:rsid w:val="00EF3306"/>
    <w:rsid w:val="00EF36C8"/>
    <w:rsid w:val="00EF3AE1"/>
    <w:rsid w:val="00EF3F8C"/>
    <w:rsid w:val="00EF41DC"/>
    <w:rsid w:val="00EF5D3F"/>
    <w:rsid w:val="00EF712B"/>
    <w:rsid w:val="00EF77E5"/>
    <w:rsid w:val="00EF7D5A"/>
    <w:rsid w:val="00F008F3"/>
    <w:rsid w:val="00F0091F"/>
    <w:rsid w:val="00F00E6D"/>
    <w:rsid w:val="00F012F0"/>
    <w:rsid w:val="00F01F2D"/>
    <w:rsid w:val="00F020DD"/>
    <w:rsid w:val="00F03617"/>
    <w:rsid w:val="00F04EF2"/>
    <w:rsid w:val="00F05860"/>
    <w:rsid w:val="00F05FA7"/>
    <w:rsid w:val="00F06535"/>
    <w:rsid w:val="00F06DF4"/>
    <w:rsid w:val="00F06EAB"/>
    <w:rsid w:val="00F07D95"/>
    <w:rsid w:val="00F101C0"/>
    <w:rsid w:val="00F10503"/>
    <w:rsid w:val="00F112EA"/>
    <w:rsid w:val="00F11A3C"/>
    <w:rsid w:val="00F127BA"/>
    <w:rsid w:val="00F13519"/>
    <w:rsid w:val="00F16C66"/>
    <w:rsid w:val="00F17781"/>
    <w:rsid w:val="00F17B80"/>
    <w:rsid w:val="00F22322"/>
    <w:rsid w:val="00F2325E"/>
    <w:rsid w:val="00F23E3D"/>
    <w:rsid w:val="00F23EB6"/>
    <w:rsid w:val="00F24853"/>
    <w:rsid w:val="00F25C21"/>
    <w:rsid w:val="00F25F07"/>
    <w:rsid w:val="00F26B4C"/>
    <w:rsid w:val="00F26EB0"/>
    <w:rsid w:val="00F2797A"/>
    <w:rsid w:val="00F27E6D"/>
    <w:rsid w:val="00F344EC"/>
    <w:rsid w:val="00F34C3E"/>
    <w:rsid w:val="00F34DA5"/>
    <w:rsid w:val="00F35EC8"/>
    <w:rsid w:val="00F36D1D"/>
    <w:rsid w:val="00F36FE1"/>
    <w:rsid w:val="00F377A4"/>
    <w:rsid w:val="00F37BF1"/>
    <w:rsid w:val="00F4091A"/>
    <w:rsid w:val="00F41368"/>
    <w:rsid w:val="00F41834"/>
    <w:rsid w:val="00F44056"/>
    <w:rsid w:val="00F44420"/>
    <w:rsid w:val="00F45CFC"/>
    <w:rsid w:val="00F469BA"/>
    <w:rsid w:val="00F47C18"/>
    <w:rsid w:val="00F50437"/>
    <w:rsid w:val="00F507D9"/>
    <w:rsid w:val="00F5134A"/>
    <w:rsid w:val="00F52628"/>
    <w:rsid w:val="00F530D1"/>
    <w:rsid w:val="00F54BAD"/>
    <w:rsid w:val="00F5502C"/>
    <w:rsid w:val="00F55FA6"/>
    <w:rsid w:val="00F5774B"/>
    <w:rsid w:val="00F60480"/>
    <w:rsid w:val="00F614FB"/>
    <w:rsid w:val="00F61FE9"/>
    <w:rsid w:val="00F6396E"/>
    <w:rsid w:val="00F63C90"/>
    <w:rsid w:val="00F64D99"/>
    <w:rsid w:val="00F65492"/>
    <w:rsid w:val="00F678E0"/>
    <w:rsid w:val="00F67CEC"/>
    <w:rsid w:val="00F703CA"/>
    <w:rsid w:val="00F7122C"/>
    <w:rsid w:val="00F715E6"/>
    <w:rsid w:val="00F715FD"/>
    <w:rsid w:val="00F7263B"/>
    <w:rsid w:val="00F732B5"/>
    <w:rsid w:val="00F733ED"/>
    <w:rsid w:val="00F743FE"/>
    <w:rsid w:val="00F76B51"/>
    <w:rsid w:val="00F774B6"/>
    <w:rsid w:val="00F779CD"/>
    <w:rsid w:val="00F80A6A"/>
    <w:rsid w:val="00F8149C"/>
    <w:rsid w:val="00F82F40"/>
    <w:rsid w:val="00F831C9"/>
    <w:rsid w:val="00F837B8"/>
    <w:rsid w:val="00F83FAF"/>
    <w:rsid w:val="00F84381"/>
    <w:rsid w:val="00F84D96"/>
    <w:rsid w:val="00F8690D"/>
    <w:rsid w:val="00F91422"/>
    <w:rsid w:val="00F9167A"/>
    <w:rsid w:val="00F91DBB"/>
    <w:rsid w:val="00F9293F"/>
    <w:rsid w:val="00F931F4"/>
    <w:rsid w:val="00F946BD"/>
    <w:rsid w:val="00F94944"/>
    <w:rsid w:val="00F961B9"/>
    <w:rsid w:val="00F97E5C"/>
    <w:rsid w:val="00FA01A4"/>
    <w:rsid w:val="00FA145E"/>
    <w:rsid w:val="00FA20CA"/>
    <w:rsid w:val="00FA3EAA"/>
    <w:rsid w:val="00FA3F43"/>
    <w:rsid w:val="00FA49AE"/>
    <w:rsid w:val="00FA4B6A"/>
    <w:rsid w:val="00FA4C10"/>
    <w:rsid w:val="00FA6EF4"/>
    <w:rsid w:val="00FB094D"/>
    <w:rsid w:val="00FB16CB"/>
    <w:rsid w:val="00FB1BE3"/>
    <w:rsid w:val="00FB202B"/>
    <w:rsid w:val="00FB2256"/>
    <w:rsid w:val="00FB2595"/>
    <w:rsid w:val="00FB2B62"/>
    <w:rsid w:val="00FB3398"/>
    <w:rsid w:val="00FB38B9"/>
    <w:rsid w:val="00FB3EF3"/>
    <w:rsid w:val="00FB497C"/>
    <w:rsid w:val="00FB4B0F"/>
    <w:rsid w:val="00FB4FC4"/>
    <w:rsid w:val="00FB50D6"/>
    <w:rsid w:val="00FB665C"/>
    <w:rsid w:val="00FB668B"/>
    <w:rsid w:val="00FB6733"/>
    <w:rsid w:val="00FC072E"/>
    <w:rsid w:val="00FC388D"/>
    <w:rsid w:val="00FC3EEF"/>
    <w:rsid w:val="00FC4349"/>
    <w:rsid w:val="00FC4DF9"/>
    <w:rsid w:val="00FC5AEE"/>
    <w:rsid w:val="00FC656E"/>
    <w:rsid w:val="00FD46D1"/>
    <w:rsid w:val="00FD54DB"/>
    <w:rsid w:val="00FD58F2"/>
    <w:rsid w:val="00FD5E24"/>
    <w:rsid w:val="00FD6B91"/>
    <w:rsid w:val="00FD71D6"/>
    <w:rsid w:val="00FE1080"/>
    <w:rsid w:val="00FE133D"/>
    <w:rsid w:val="00FE1E83"/>
    <w:rsid w:val="00FE2FC1"/>
    <w:rsid w:val="00FE4D17"/>
    <w:rsid w:val="00FE4E04"/>
    <w:rsid w:val="00FE5427"/>
    <w:rsid w:val="00FE63A1"/>
    <w:rsid w:val="00FE71C5"/>
    <w:rsid w:val="00FF1DF1"/>
    <w:rsid w:val="00FF23BD"/>
    <w:rsid w:val="00FF25E8"/>
    <w:rsid w:val="00FF30D2"/>
    <w:rsid w:val="00FF4CA5"/>
    <w:rsid w:val="00FF50E8"/>
    <w:rsid w:val="00FF536D"/>
    <w:rsid w:val="00FF5408"/>
    <w:rsid w:val="00FF5B07"/>
    <w:rsid w:val="00FF623A"/>
    <w:rsid w:val="00FF6240"/>
    <w:rsid w:val="00FF6644"/>
    <w:rsid w:val="00FF680E"/>
    <w:rsid w:val="00FF6975"/>
    <w:rsid w:val="00FF7339"/>
    <w:rsid w:val="029F0571"/>
    <w:rsid w:val="045625A1"/>
    <w:rsid w:val="05972FDC"/>
    <w:rsid w:val="07F832D5"/>
    <w:rsid w:val="0B9A318B"/>
    <w:rsid w:val="0C917190"/>
    <w:rsid w:val="104208F6"/>
    <w:rsid w:val="104D2A05"/>
    <w:rsid w:val="14B70352"/>
    <w:rsid w:val="14BD72BF"/>
    <w:rsid w:val="16463906"/>
    <w:rsid w:val="18E2597E"/>
    <w:rsid w:val="19D31D53"/>
    <w:rsid w:val="1DB406EA"/>
    <w:rsid w:val="1F1225CF"/>
    <w:rsid w:val="22EC3DEA"/>
    <w:rsid w:val="238270F0"/>
    <w:rsid w:val="253468BE"/>
    <w:rsid w:val="25A64B9D"/>
    <w:rsid w:val="28DE6601"/>
    <w:rsid w:val="2BA924ED"/>
    <w:rsid w:val="2BC674CC"/>
    <w:rsid w:val="2C580A3E"/>
    <w:rsid w:val="2C7A016F"/>
    <w:rsid w:val="2CA27EC8"/>
    <w:rsid w:val="2D6418C1"/>
    <w:rsid w:val="2E1132D2"/>
    <w:rsid w:val="2EBF3A83"/>
    <w:rsid w:val="30C7037F"/>
    <w:rsid w:val="36CD0061"/>
    <w:rsid w:val="3B9241ED"/>
    <w:rsid w:val="3DAF3329"/>
    <w:rsid w:val="3E7503C3"/>
    <w:rsid w:val="41B4616B"/>
    <w:rsid w:val="41D735DD"/>
    <w:rsid w:val="432C6659"/>
    <w:rsid w:val="48947035"/>
    <w:rsid w:val="4C8B5357"/>
    <w:rsid w:val="4CC12768"/>
    <w:rsid w:val="4D632788"/>
    <w:rsid w:val="4D7202BF"/>
    <w:rsid w:val="4EA50F9A"/>
    <w:rsid w:val="519E1C89"/>
    <w:rsid w:val="69E03887"/>
    <w:rsid w:val="69E17D92"/>
    <w:rsid w:val="6C2B4727"/>
    <w:rsid w:val="70EF648C"/>
    <w:rsid w:val="737477E1"/>
    <w:rsid w:val="79324F77"/>
    <w:rsid w:val="79C63C7A"/>
    <w:rsid w:val="7AC92FA9"/>
    <w:rsid w:val="7B4B69B2"/>
    <w:rsid w:val="7FB16386"/>
    <w:rsid w:val="7FB4502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2">
    <w:name w:val="heading 1"/>
    <w:basedOn w:val="1"/>
    <w:next w:val="1"/>
    <w:link w:val="22"/>
    <w:qFormat/>
    <w:uiPriority w:val="99"/>
    <w:pPr>
      <w:keepNext/>
      <w:keepLines/>
      <w:widowControl w:val="0"/>
      <w:spacing w:before="340" w:after="330" w:line="576" w:lineRule="auto"/>
      <w:textAlignment w:val="auto"/>
      <w:outlineLvl w:val="0"/>
    </w:pPr>
    <w:rPr>
      <w:b/>
      <w:bCs/>
      <w:color w:val="auto"/>
      <w:kern w:val="44"/>
      <w:sz w:val="44"/>
      <w:szCs w:val="44"/>
    </w:rPr>
  </w:style>
  <w:style w:type="paragraph" w:styleId="3">
    <w:name w:val="heading 2"/>
    <w:basedOn w:val="1"/>
    <w:next w:val="1"/>
    <w:link w:val="63"/>
    <w:semiHidden/>
    <w:unhideWhenUsed/>
    <w:qFormat/>
    <w:uiPriority w:val="0"/>
    <w:pPr>
      <w:keepNext/>
      <w:keepLines/>
      <w:spacing w:before="260" w:after="260" w:line="416" w:lineRule="atLeast"/>
      <w:outlineLvl w:val="1"/>
    </w:pPr>
    <w:rPr>
      <w:rFonts w:ascii="Cambria" w:hAnsi="Cambria"/>
      <w:b/>
      <w:bCs/>
      <w:sz w:val="32"/>
      <w:szCs w:val="32"/>
    </w:rPr>
  </w:style>
  <w:style w:type="paragraph" w:styleId="4">
    <w:name w:val="heading 3"/>
    <w:basedOn w:val="1"/>
    <w:next w:val="1"/>
    <w:link w:val="23"/>
    <w:qFormat/>
    <w:uiPriority w:val="99"/>
    <w:pPr>
      <w:keepNext/>
      <w:keepLines/>
      <w:spacing w:before="260" w:after="260" w:line="416" w:lineRule="atLeast"/>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64"/>
    <w:semiHidden/>
    <w:unhideWhenUsed/>
    <w:qFormat/>
    <w:locked/>
    <w:uiPriority w:val="99"/>
    <w:pPr>
      <w:spacing w:after="120"/>
    </w:pPr>
  </w:style>
  <w:style w:type="paragraph" w:styleId="6">
    <w:name w:val="Body Text Indent"/>
    <w:basedOn w:val="1"/>
    <w:link w:val="24"/>
    <w:qFormat/>
    <w:uiPriority w:val="99"/>
    <w:pPr>
      <w:widowControl w:val="0"/>
      <w:snapToGrid w:val="0"/>
      <w:spacing w:before="283" w:line="560" w:lineRule="exact"/>
      <w:ind w:firstLine="510"/>
    </w:pPr>
    <w:rPr>
      <w:sz w:val="28"/>
    </w:rPr>
  </w:style>
  <w:style w:type="paragraph" w:styleId="7">
    <w:name w:val="Plain Text"/>
    <w:basedOn w:val="1"/>
    <w:link w:val="53"/>
    <w:qFormat/>
    <w:uiPriority w:val="0"/>
    <w:pPr>
      <w:widowControl w:val="0"/>
      <w:spacing w:line="240" w:lineRule="auto"/>
      <w:textAlignment w:val="auto"/>
    </w:pPr>
    <w:rPr>
      <w:rFonts w:ascii="宋体" w:hAnsi="Courier New"/>
      <w:color w:val="auto"/>
      <w:kern w:val="2"/>
    </w:rPr>
  </w:style>
  <w:style w:type="paragraph" w:styleId="8">
    <w:name w:val="Date"/>
    <w:basedOn w:val="1"/>
    <w:next w:val="1"/>
    <w:link w:val="26"/>
    <w:qFormat/>
    <w:uiPriority w:val="99"/>
    <w:pPr>
      <w:ind w:left="100" w:leftChars="2500"/>
    </w:pPr>
  </w:style>
  <w:style w:type="paragraph" w:styleId="9">
    <w:name w:val="Balloon Text"/>
    <w:basedOn w:val="1"/>
    <w:link w:val="27"/>
    <w:qFormat/>
    <w:uiPriority w:val="99"/>
    <w:pPr>
      <w:spacing w:line="240" w:lineRule="auto"/>
    </w:pPr>
    <w:rPr>
      <w:sz w:val="18"/>
      <w:szCs w:val="18"/>
    </w:rPr>
  </w:style>
  <w:style w:type="paragraph" w:styleId="10">
    <w:name w:val="footer"/>
    <w:basedOn w:val="1"/>
    <w:link w:val="28"/>
    <w:qFormat/>
    <w:uiPriority w:val="99"/>
    <w:pPr>
      <w:tabs>
        <w:tab w:val="center" w:pos="4153"/>
        <w:tab w:val="right" w:pos="8306"/>
      </w:tabs>
      <w:snapToGrid w:val="0"/>
      <w:spacing w:line="240" w:lineRule="atLeast"/>
      <w:jc w:val="left"/>
    </w:pPr>
    <w:rPr>
      <w:sz w:val="18"/>
      <w:szCs w:val="18"/>
    </w:rPr>
  </w:style>
  <w:style w:type="paragraph" w:styleId="11">
    <w:name w:val="header"/>
    <w:basedOn w:val="1"/>
    <w:link w:val="29"/>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Body Text 2"/>
    <w:basedOn w:val="1"/>
    <w:link w:val="30"/>
    <w:qFormat/>
    <w:uiPriority w:val="99"/>
    <w:pPr>
      <w:spacing w:after="120" w:line="480" w:lineRule="auto"/>
    </w:pPr>
  </w:style>
  <w:style w:type="paragraph" w:styleId="15">
    <w:name w:val="Normal (Web)"/>
    <w:basedOn w:val="1"/>
    <w:qFormat/>
    <w:uiPriority w:val="99"/>
    <w:pPr>
      <w:spacing w:before="100" w:beforeAutospacing="1" w:after="100" w:afterAutospacing="1" w:line="240" w:lineRule="auto"/>
      <w:jc w:val="left"/>
      <w:textAlignment w:val="auto"/>
    </w:pPr>
    <w:rPr>
      <w:rFonts w:ascii="宋体" w:hAnsi="宋体" w:cs="宋体"/>
      <w:sz w:val="24"/>
      <w:szCs w:val="24"/>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99"/>
    <w:rPr>
      <w:rFonts w:cs="Times New Roman"/>
      <w:b/>
    </w:rPr>
  </w:style>
  <w:style w:type="character" w:styleId="20">
    <w:name w:val="page number"/>
    <w:qFormat/>
    <w:uiPriority w:val="99"/>
    <w:rPr>
      <w:rFonts w:cs="Times New Roman"/>
    </w:rPr>
  </w:style>
  <w:style w:type="character" w:styleId="21">
    <w:name w:val="Hyperlink"/>
    <w:qFormat/>
    <w:uiPriority w:val="99"/>
    <w:rPr>
      <w:rFonts w:cs="Times New Roman"/>
      <w:color w:val="0368A8"/>
      <w:u w:val="none"/>
    </w:rPr>
  </w:style>
  <w:style w:type="character" w:customStyle="1" w:styleId="22">
    <w:name w:val="标题 1 Char"/>
    <w:link w:val="2"/>
    <w:qFormat/>
    <w:locked/>
    <w:uiPriority w:val="99"/>
    <w:rPr>
      <w:rFonts w:cs="Times New Roman"/>
      <w:b/>
      <w:bCs/>
      <w:color w:val="000000"/>
      <w:kern w:val="44"/>
      <w:sz w:val="44"/>
      <w:szCs w:val="44"/>
      <w:u w:val="none" w:color="000000"/>
    </w:rPr>
  </w:style>
  <w:style w:type="character" w:customStyle="1" w:styleId="23">
    <w:name w:val="标题 3 Char"/>
    <w:link w:val="4"/>
    <w:semiHidden/>
    <w:qFormat/>
    <w:locked/>
    <w:uiPriority w:val="99"/>
    <w:rPr>
      <w:rFonts w:cs="Times New Roman"/>
      <w:b/>
      <w:bCs/>
      <w:color w:val="000000"/>
      <w:sz w:val="32"/>
      <w:szCs w:val="32"/>
      <w:u w:val="none" w:color="000000"/>
    </w:rPr>
  </w:style>
  <w:style w:type="character" w:customStyle="1" w:styleId="24">
    <w:name w:val="正文文本缩进 Char"/>
    <w:link w:val="6"/>
    <w:qFormat/>
    <w:locked/>
    <w:uiPriority w:val="99"/>
    <w:rPr>
      <w:rFonts w:cs="Times New Roman"/>
      <w:color w:val="000000"/>
      <w:kern w:val="0"/>
      <w:sz w:val="20"/>
      <w:szCs w:val="20"/>
      <w:u w:val="none" w:color="000000"/>
    </w:rPr>
  </w:style>
  <w:style w:type="character" w:customStyle="1" w:styleId="25">
    <w:name w:val="Plain Text Char"/>
    <w:qFormat/>
    <w:locked/>
    <w:uiPriority w:val="99"/>
    <w:rPr>
      <w:rFonts w:ascii="宋体" w:hAnsi="Courier New" w:eastAsia="宋体" w:cs="Times New Roman"/>
      <w:kern w:val="2"/>
      <w:sz w:val="21"/>
      <w:lang w:val="en-US" w:eastAsia="zh-CN"/>
    </w:rPr>
  </w:style>
  <w:style w:type="character" w:customStyle="1" w:styleId="26">
    <w:name w:val="日期 Char"/>
    <w:link w:val="8"/>
    <w:qFormat/>
    <w:locked/>
    <w:uiPriority w:val="99"/>
    <w:rPr>
      <w:rFonts w:cs="Times New Roman"/>
      <w:color w:val="000000"/>
      <w:sz w:val="21"/>
      <w:u w:val="none" w:color="000000"/>
    </w:rPr>
  </w:style>
  <w:style w:type="character" w:customStyle="1" w:styleId="27">
    <w:name w:val="批注框文本 Char"/>
    <w:link w:val="9"/>
    <w:qFormat/>
    <w:locked/>
    <w:uiPriority w:val="99"/>
    <w:rPr>
      <w:rFonts w:cs="Times New Roman"/>
      <w:color w:val="000000"/>
      <w:sz w:val="18"/>
      <w:szCs w:val="18"/>
      <w:u w:val="none" w:color="000000"/>
    </w:rPr>
  </w:style>
  <w:style w:type="character" w:customStyle="1" w:styleId="28">
    <w:name w:val="页脚 Char"/>
    <w:link w:val="10"/>
    <w:semiHidden/>
    <w:qFormat/>
    <w:locked/>
    <w:uiPriority w:val="99"/>
    <w:rPr>
      <w:rFonts w:cs="Times New Roman"/>
      <w:color w:val="000000"/>
      <w:kern w:val="0"/>
      <w:sz w:val="18"/>
      <w:szCs w:val="18"/>
      <w:u w:val="none" w:color="000000"/>
    </w:rPr>
  </w:style>
  <w:style w:type="character" w:customStyle="1" w:styleId="29">
    <w:name w:val="页眉 Char"/>
    <w:link w:val="11"/>
    <w:semiHidden/>
    <w:qFormat/>
    <w:locked/>
    <w:uiPriority w:val="99"/>
    <w:rPr>
      <w:rFonts w:cs="Times New Roman"/>
      <w:color w:val="000000"/>
      <w:kern w:val="0"/>
      <w:sz w:val="18"/>
      <w:szCs w:val="18"/>
      <w:u w:val="none" w:color="000000"/>
    </w:rPr>
  </w:style>
  <w:style w:type="character" w:customStyle="1" w:styleId="30">
    <w:name w:val="正文文本 2 Char"/>
    <w:link w:val="14"/>
    <w:semiHidden/>
    <w:qFormat/>
    <w:locked/>
    <w:uiPriority w:val="99"/>
    <w:rPr>
      <w:rFonts w:cs="Times New Roman"/>
      <w:color w:val="000000"/>
      <w:kern w:val="0"/>
      <w:sz w:val="20"/>
      <w:szCs w:val="20"/>
      <w:u w:val="none" w:color="000000"/>
    </w:rPr>
  </w:style>
  <w:style w:type="paragraph" w:customStyle="1" w:styleId="31">
    <w:name w:val="目录1"/>
    <w:basedOn w:val="1"/>
    <w:next w:val="1"/>
    <w:qFormat/>
    <w:uiPriority w:val="99"/>
    <w:pPr>
      <w:tabs>
        <w:tab w:val="left" w:leader="dot" w:pos="8503"/>
      </w:tabs>
      <w:spacing w:after="136" w:line="289" w:lineRule="atLeast"/>
      <w:jc w:val="left"/>
    </w:pPr>
    <w:rPr>
      <w:rFonts w:ascii="Arial" w:eastAsia="黑体"/>
      <w:sz w:val="28"/>
    </w:rPr>
  </w:style>
  <w:style w:type="paragraph" w:customStyle="1" w:styleId="32">
    <w:name w:val="章标题"/>
    <w:basedOn w:val="1"/>
    <w:next w:val="33"/>
    <w:qFormat/>
    <w:uiPriority w:val="99"/>
    <w:pPr>
      <w:spacing w:before="158" w:after="153" w:line="323" w:lineRule="atLeast"/>
      <w:jc w:val="center"/>
    </w:pPr>
    <w:rPr>
      <w:rFonts w:ascii="Arial" w:eastAsia="黑体"/>
      <w:sz w:val="31"/>
    </w:rPr>
  </w:style>
  <w:style w:type="paragraph" w:customStyle="1" w:styleId="33">
    <w:name w:val="节标题"/>
    <w:basedOn w:val="1"/>
    <w:next w:val="34"/>
    <w:qFormat/>
    <w:uiPriority w:val="99"/>
    <w:pPr>
      <w:spacing w:line="289" w:lineRule="atLeast"/>
      <w:jc w:val="center"/>
    </w:pPr>
    <w:rPr>
      <w:sz w:val="28"/>
    </w:rPr>
  </w:style>
  <w:style w:type="paragraph" w:customStyle="1" w:styleId="34">
    <w:name w:val="小节标题"/>
    <w:basedOn w:val="1"/>
    <w:next w:val="1"/>
    <w:qFormat/>
    <w:uiPriority w:val="99"/>
    <w:pPr>
      <w:spacing w:before="175" w:after="102" w:line="351" w:lineRule="atLeast"/>
    </w:pPr>
    <w:rPr>
      <w:rFonts w:eastAsia="黑体"/>
    </w:rPr>
  </w:style>
  <w:style w:type="paragraph" w:customStyle="1" w:styleId="35">
    <w:name w:val="目录2"/>
    <w:basedOn w:val="1"/>
    <w:next w:val="1"/>
    <w:qFormat/>
    <w:uiPriority w:val="99"/>
    <w:pPr>
      <w:tabs>
        <w:tab w:val="left" w:leader="dot" w:pos="8503"/>
      </w:tabs>
      <w:spacing w:line="317" w:lineRule="atLeast"/>
      <w:ind w:firstLine="209"/>
    </w:pPr>
  </w:style>
  <w:style w:type="paragraph" w:customStyle="1" w:styleId="36">
    <w:name w:val="目录4"/>
    <w:basedOn w:val="1"/>
    <w:next w:val="1"/>
    <w:qFormat/>
    <w:uiPriority w:val="99"/>
    <w:pPr>
      <w:tabs>
        <w:tab w:val="left" w:leader="dot" w:pos="8503"/>
      </w:tabs>
      <w:spacing w:line="317" w:lineRule="atLeast"/>
      <w:ind w:firstLine="629"/>
    </w:pPr>
  </w:style>
  <w:style w:type="paragraph" w:customStyle="1" w:styleId="37">
    <w:name w:val="1 Char Char Char Char"/>
    <w:basedOn w:val="1"/>
    <w:qFormat/>
    <w:uiPriority w:val="99"/>
    <w:pPr>
      <w:widowControl w:val="0"/>
      <w:spacing w:line="240" w:lineRule="auto"/>
      <w:textAlignment w:val="auto"/>
    </w:pPr>
    <w:rPr>
      <w:rFonts w:ascii="Tahoma" w:hAnsi="Tahoma" w:cs="Tahoma"/>
      <w:color w:val="auto"/>
      <w:kern w:val="2"/>
      <w:sz w:val="24"/>
      <w:szCs w:val="24"/>
    </w:rPr>
  </w:style>
  <w:style w:type="paragraph" w:customStyle="1" w:styleId="38">
    <w:name w:val="Char Char Char"/>
    <w:basedOn w:val="1"/>
    <w:qFormat/>
    <w:uiPriority w:val="99"/>
    <w:pPr>
      <w:widowControl w:val="0"/>
      <w:spacing w:line="240" w:lineRule="auto"/>
      <w:textAlignment w:val="auto"/>
    </w:pPr>
    <w:rPr>
      <w:rFonts w:ascii="Tahoma" w:hAnsi="Tahoma"/>
      <w:color w:val="auto"/>
      <w:kern w:val="2"/>
      <w:sz w:val="24"/>
    </w:rPr>
  </w:style>
  <w:style w:type="paragraph" w:customStyle="1" w:styleId="39">
    <w:name w:val="目录3"/>
    <w:basedOn w:val="1"/>
    <w:next w:val="1"/>
    <w:qFormat/>
    <w:uiPriority w:val="99"/>
    <w:pPr>
      <w:tabs>
        <w:tab w:val="left" w:leader="dot" w:pos="8503"/>
      </w:tabs>
      <w:spacing w:line="317" w:lineRule="atLeast"/>
      <w:ind w:firstLine="419"/>
    </w:pPr>
  </w:style>
  <w:style w:type="paragraph" w:customStyle="1" w:styleId="40">
    <w:name w:val="目录标题"/>
    <w:basedOn w:val="1"/>
    <w:next w:val="1"/>
    <w:qFormat/>
    <w:uiPriority w:val="99"/>
    <w:pPr>
      <w:spacing w:before="566" w:after="544" w:line="566" w:lineRule="atLeast"/>
      <w:ind w:firstLine="419"/>
      <w:jc w:val="center"/>
    </w:pPr>
    <w:rPr>
      <w:rFonts w:ascii="Arial" w:eastAsia="黑体"/>
      <w:spacing w:val="566"/>
      <w:sz w:val="54"/>
    </w:rPr>
  </w:style>
  <w:style w:type="paragraph" w:customStyle="1" w:styleId="41">
    <w:name w:val="文章总标题"/>
    <w:basedOn w:val="1"/>
    <w:next w:val="42"/>
    <w:qFormat/>
    <w:uiPriority w:val="99"/>
    <w:pPr>
      <w:spacing w:before="566" w:after="544" w:line="566" w:lineRule="atLeast"/>
      <w:jc w:val="center"/>
    </w:pPr>
    <w:rPr>
      <w:rFonts w:ascii="Arial" w:eastAsia="黑体"/>
      <w:sz w:val="54"/>
    </w:rPr>
  </w:style>
  <w:style w:type="paragraph" w:customStyle="1" w:styleId="42">
    <w:name w:val="文章附标题"/>
    <w:basedOn w:val="1"/>
    <w:next w:val="32"/>
    <w:qFormat/>
    <w:uiPriority w:val="99"/>
    <w:pPr>
      <w:spacing w:before="187" w:after="175" w:line="374" w:lineRule="atLeast"/>
      <w:jc w:val="center"/>
    </w:pPr>
    <w:rPr>
      <w:sz w:val="36"/>
    </w:rPr>
  </w:style>
  <w:style w:type="paragraph" w:customStyle="1" w:styleId="43">
    <w:name w:val="Char1"/>
    <w:basedOn w:val="1"/>
    <w:qFormat/>
    <w:uiPriority w:val="99"/>
    <w:pPr>
      <w:widowControl w:val="0"/>
      <w:spacing w:line="240" w:lineRule="auto"/>
      <w:textAlignment w:val="auto"/>
    </w:pPr>
    <w:rPr>
      <w:rFonts w:ascii="Tahoma" w:hAnsi="Tahoma"/>
      <w:color w:val="auto"/>
      <w:kern w:val="2"/>
      <w:sz w:val="24"/>
    </w:rPr>
  </w:style>
  <w:style w:type="paragraph" w:customStyle="1" w:styleId="44">
    <w:name w:val="Char11"/>
    <w:basedOn w:val="1"/>
    <w:qFormat/>
    <w:uiPriority w:val="99"/>
    <w:pPr>
      <w:widowControl w:val="0"/>
      <w:spacing w:line="240" w:lineRule="auto"/>
      <w:textAlignment w:val="auto"/>
    </w:pPr>
    <w:rPr>
      <w:rFonts w:ascii="Tahoma" w:hAnsi="Tahoma"/>
      <w:color w:val="auto"/>
      <w:kern w:val="2"/>
      <w:sz w:val="24"/>
    </w:rPr>
  </w:style>
  <w:style w:type="paragraph" w:customStyle="1" w:styleId="45">
    <w:name w:val="Char Char Char Char Char Char Char"/>
    <w:basedOn w:val="1"/>
    <w:qFormat/>
    <w:uiPriority w:val="99"/>
    <w:pPr>
      <w:widowControl w:val="0"/>
      <w:spacing w:line="240" w:lineRule="auto"/>
      <w:textAlignment w:val="auto"/>
    </w:pPr>
    <w:rPr>
      <w:rFonts w:ascii="Tahoma" w:hAnsi="Tahoma"/>
      <w:color w:val="auto"/>
      <w:kern w:val="2"/>
      <w:sz w:val="24"/>
    </w:rPr>
  </w:style>
  <w:style w:type="paragraph" w:customStyle="1" w:styleId="46">
    <w:name w:val="WPS Plain"/>
    <w:qFormat/>
    <w:uiPriority w:val="99"/>
    <w:rPr>
      <w:rFonts w:ascii="Times New Roman" w:hAnsi="Times New Roman" w:eastAsia="宋体" w:cs="Times New Roman"/>
      <w:lang w:val="en-US" w:eastAsia="zh-CN" w:bidi="ar-SA"/>
    </w:rPr>
  </w:style>
  <w:style w:type="paragraph" w:customStyle="1" w:styleId="47">
    <w:name w:val="cjk"/>
    <w:basedOn w:val="1"/>
    <w:qFormat/>
    <w:uiPriority w:val="99"/>
    <w:pPr>
      <w:spacing w:before="100" w:beforeAutospacing="1" w:after="100" w:afterAutospacing="1" w:line="240" w:lineRule="auto"/>
      <w:jc w:val="left"/>
      <w:textAlignment w:val="auto"/>
    </w:pPr>
    <w:rPr>
      <w:rFonts w:ascii="宋体" w:hAnsi="宋体" w:cs="宋体"/>
      <w:color w:val="auto"/>
      <w:sz w:val="18"/>
      <w:szCs w:val="18"/>
    </w:rPr>
  </w:style>
  <w:style w:type="paragraph" w:customStyle="1" w:styleId="48">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50">
    <w:name w:val="链接"/>
    <w:qFormat/>
    <w:uiPriority w:val="99"/>
    <w:rPr>
      <w:rFonts w:ascii="Times New Roman" w:eastAsia="宋体"/>
      <w:color w:val="0000FF"/>
      <w:sz w:val="21"/>
      <w:u w:val="single" w:color="0000FF"/>
      <w:lang w:val="en-US" w:eastAsia="zh-CN"/>
    </w:rPr>
  </w:style>
  <w:style w:type="character" w:customStyle="1" w:styleId="51">
    <w:name w:val="超级链接"/>
    <w:qFormat/>
    <w:uiPriority w:val="99"/>
    <w:rPr>
      <w:rFonts w:ascii="Times New Roman" w:eastAsia="宋体"/>
      <w:color w:val="0000FF"/>
      <w:sz w:val="21"/>
      <w:u w:val="single" w:color="0000FF"/>
      <w:lang w:val="en-US" w:eastAsia="zh-CN"/>
    </w:rPr>
  </w:style>
  <w:style w:type="character" w:customStyle="1" w:styleId="52">
    <w:name w:val="param_td12"/>
    <w:qFormat/>
    <w:uiPriority w:val="99"/>
    <w:rPr>
      <w:rFonts w:cs="Times New Roman"/>
    </w:rPr>
  </w:style>
  <w:style w:type="character" w:customStyle="1" w:styleId="53">
    <w:name w:val="纯文本 Char"/>
    <w:link w:val="7"/>
    <w:qFormat/>
    <w:locked/>
    <w:uiPriority w:val="0"/>
    <w:rPr>
      <w:rFonts w:ascii="宋体" w:hAnsi="Courier New" w:cs="Courier New"/>
      <w:color w:val="000000"/>
      <w:kern w:val="0"/>
      <w:sz w:val="21"/>
      <w:szCs w:val="21"/>
      <w:u w:val="none" w:color="000000"/>
    </w:rPr>
  </w:style>
  <w:style w:type="character" w:customStyle="1" w:styleId="54">
    <w:name w:val="纯文本 Char Char"/>
    <w:qFormat/>
    <w:uiPriority w:val="99"/>
    <w:rPr>
      <w:rFonts w:ascii="宋体" w:hAnsi="Courier New" w:eastAsia="宋体"/>
      <w:kern w:val="2"/>
      <w:sz w:val="21"/>
      <w:lang w:val="en-US" w:eastAsia="zh-CN"/>
    </w:rPr>
  </w:style>
  <w:style w:type="character" w:customStyle="1" w:styleId="55">
    <w:name w:val="Char Char4"/>
    <w:qFormat/>
    <w:uiPriority w:val="99"/>
    <w:rPr>
      <w:rFonts w:ascii="宋体" w:eastAsia="宋体"/>
      <w:kern w:val="2"/>
      <w:sz w:val="28"/>
    </w:rPr>
  </w:style>
  <w:style w:type="character" w:customStyle="1" w:styleId="56">
    <w:name w:val="纯文本 Char1"/>
    <w:qFormat/>
    <w:locked/>
    <w:uiPriority w:val="99"/>
    <w:rPr>
      <w:rFonts w:ascii="宋体" w:hAnsi="Courier New" w:cs="Times New Roman"/>
      <w:color w:val="000000"/>
      <w:kern w:val="0"/>
      <w:sz w:val="21"/>
      <w:u w:val="none" w:color="000000"/>
    </w:rPr>
  </w:style>
  <w:style w:type="paragraph" w:customStyle="1" w:styleId="57">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58">
    <w:name w:val="页眉或页脚 + Calibri"/>
    <w:qFormat/>
    <w:uiPriority w:val="0"/>
    <w:rPr>
      <w:rFonts w:ascii="Calibri" w:hAnsi="Calibri" w:eastAsia="Calibri" w:cs="Calibri"/>
      <w:color w:val="000000"/>
      <w:spacing w:val="0"/>
      <w:w w:val="100"/>
      <w:position w:val="0"/>
      <w:sz w:val="20"/>
      <w:szCs w:val="20"/>
      <w:u w:val="none"/>
      <w:lang w:val="zh-CN" w:eastAsia="zh-CN" w:bidi="zh-CN"/>
    </w:rPr>
  </w:style>
  <w:style w:type="character" w:customStyle="1" w:styleId="59">
    <w:name w:val="页眉或页脚"/>
    <w:qFormat/>
    <w:uiPriority w:val="0"/>
    <w:rPr>
      <w:rFonts w:ascii="MingLiU" w:hAnsi="MingLiU" w:eastAsia="MingLiU" w:cs="MingLiU"/>
      <w:color w:val="000000"/>
      <w:spacing w:val="0"/>
      <w:w w:val="100"/>
      <w:position w:val="0"/>
      <w:sz w:val="18"/>
      <w:szCs w:val="18"/>
      <w:u w:val="none"/>
      <w:lang w:val="zh-CN" w:eastAsia="zh-CN" w:bidi="zh-CN"/>
    </w:rPr>
  </w:style>
  <w:style w:type="paragraph" w:customStyle="1" w:styleId="60">
    <w:name w:val="正文文本 (2)"/>
    <w:basedOn w:val="1"/>
    <w:link w:val="61"/>
    <w:qFormat/>
    <w:uiPriority w:val="0"/>
    <w:pPr>
      <w:widowControl w:val="0"/>
      <w:shd w:val="clear" w:color="auto" w:fill="FFFFFF"/>
      <w:spacing w:after="660" w:line="0" w:lineRule="atLeast"/>
      <w:jc w:val="left"/>
      <w:textAlignment w:val="auto"/>
    </w:pPr>
    <w:rPr>
      <w:rFonts w:ascii="MingLiU" w:hAnsi="MingLiU" w:eastAsia="MingLiU" w:cs="MingLiU"/>
      <w:color w:val="auto"/>
      <w:spacing w:val="30"/>
      <w:sz w:val="30"/>
      <w:szCs w:val="30"/>
    </w:rPr>
  </w:style>
  <w:style w:type="character" w:customStyle="1" w:styleId="61">
    <w:name w:val="正文文本 (2)_"/>
    <w:link w:val="60"/>
    <w:qFormat/>
    <w:uiPriority w:val="0"/>
    <w:rPr>
      <w:rFonts w:ascii="MingLiU" w:hAnsi="MingLiU" w:eastAsia="MingLiU" w:cs="MingLiU"/>
      <w:spacing w:val="30"/>
      <w:sz w:val="30"/>
      <w:szCs w:val="30"/>
      <w:u w:color="000000"/>
      <w:shd w:val="clear" w:color="auto" w:fill="FFFFFF"/>
    </w:rPr>
  </w:style>
  <w:style w:type="paragraph" w:styleId="62">
    <w:name w:val="List Paragraph"/>
    <w:basedOn w:val="1"/>
    <w:unhideWhenUsed/>
    <w:qFormat/>
    <w:uiPriority w:val="99"/>
    <w:pPr>
      <w:ind w:firstLine="420" w:firstLineChars="200"/>
    </w:pPr>
  </w:style>
  <w:style w:type="character" w:customStyle="1" w:styleId="63">
    <w:name w:val="标题 2 Char"/>
    <w:link w:val="3"/>
    <w:semiHidden/>
    <w:qFormat/>
    <w:uiPriority w:val="0"/>
    <w:rPr>
      <w:rFonts w:ascii="Cambria" w:hAnsi="Cambria"/>
      <w:b/>
      <w:bCs/>
      <w:color w:val="000000"/>
      <w:sz w:val="32"/>
      <w:szCs w:val="32"/>
      <w:u w:color="000000"/>
    </w:rPr>
  </w:style>
  <w:style w:type="character" w:customStyle="1" w:styleId="64">
    <w:name w:val="正文文本 Char"/>
    <w:link w:val="5"/>
    <w:semiHidden/>
    <w:qFormat/>
    <w:uiPriority w:val="99"/>
    <w:rPr>
      <w:color w:val="000000"/>
      <w:sz w:val="21"/>
      <w:u w:color="000000"/>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列出段落1"/>
    <w:basedOn w:val="1"/>
    <w:qFormat/>
    <w:uiPriority w:val="0"/>
    <w:pPr>
      <w:widowControl w:val="0"/>
      <w:spacing w:line="240" w:lineRule="auto"/>
      <w:ind w:firstLine="420" w:firstLineChars="200"/>
      <w:textAlignment w:val="auto"/>
    </w:pPr>
    <w:rPr>
      <w:color w:val="auto"/>
      <w:kern w:val="2"/>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86</Pages>
  <Words>7890</Words>
  <Characters>8852</Characters>
  <Lines>407</Lines>
  <Paragraphs>114</Paragraphs>
  <TotalTime>81</TotalTime>
  <ScaleCrop>false</ScaleCrop>
  <LinksUpToDate>false</LinksUpToDate>
  <CharactersWithSpaces>8977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2015-09-10T13:42:00Z</dcterms:created>
  <dc:creator>ZM</dc:creator>
  <cp:lastModifiedBy>sumd</cp:lastModifiedBy>
  <cp:lastPrinted>2025-10-29T03:36:00Z</cp:lastPrinted>
  <dcterms:modified xsi:type="dcterms:W3CDTF">2025-12-05T07:25:10Z</dcterms:modified>
  <cp:revision>557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eyJoZGlkIjoiY2Q1MDlkODhjNmY1NTgzNGZiNWJmOWIwNmY3OWRlOTAiLCJ1c2VySWQiOiI4ODgxMzM0NDMifQ==</vt:lpwstr>
  </property>
  <property fmtid="{D5CDD505-2E9C-101B-9397-08002B2CF9AE}" pid="4" name="ICV">
    <vt:lpwstr>02F2E13D7B2C4CCC9D6E21D8B7C562E6_13</vt:lpwstr>
  </property>
</Properties>
</file>