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43DC3">
      <w:pPr>
        <w:pStyle w:val="2"/>
        <w:keepNext w:val="0"/>
        <w:keepLines w:val="0"/>
        <w:pageBreakBefore w:val="0"/>
        <w:widowControl w:val="0"/>
        <w:kinsoku/>
        <w:wordWrap/>
        <w:overflowPunct/>
        <w:topLinePunct w:val="0"/>
        <w:autoSpaceDE w:val="0"/>
        <w:autoSpaceDN w:val="0"/>
        <w:bidi w:val="0"/>
        <w:adjustRightInd/>
        <w:snapToGrid/>
        <w:spacing w:beforeAutospacing="0" w:after="0" w:afterAutospacing="0" w:line="700" w:lineRule="exact"/>
        <w:jc w:val="center"/>
        <w:textAlignment w:val="baseline"/>
        <w:rPr>
          <w:rFonts w:hint="eastAsia" w:ascii="宋体" w:hAnsi="宋体" w:eastAsia="宋体" w:cs="宋体"/>
          <w:b/>
          <w:bCs/>
          <w:color w:val="auto"/>
          <w:sz w:val="48"/>
          <w:szCs w:val="48"/>
          <w:highlight w:val="none"/>
          <w:lang w:eastAsia="zh-CN"/>
        </w:rPr>
      </w:pPr>
      <w:r>
        <w:rPr>
          <w:rFonts w:hint="eastAsia" w:hAnsi="宋体" w:cs="宋体"/>
          <w:b/>
          <w:bCs/>
          <w:color w:val="auto"/>
          <w:sz w:val="48"/>
          <w:szCs w:val="48"/>
          <w:highlight w:val="none"/>
          <w:lang w:eastAsia="zh-CN"/>
        </w:rPr>
        <w:t>邓州市自然资源和规划局2025年林业有害生物防治项目</w:t>
      </w:r>
    </w:p>
    <w:p w14:paraId="75B8AD9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p>
    <w:p w14:paraId="170D3DF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56"/>
          <w:szCs w:val="56"/>
          <w:highlight w:val="none"/>
        </w:rPr>
      </w:pPr>
      <w:r>
        <w:rPr>
          <w:rFonts w:hint="eastAsia" w:ascii="宋体" w:hAnsi="宋体" w:eastAsia="宋体" w:cs="宋体"/>
          <w:color w:val="auto"/>
          <w:spacing w:val="-1"/>
          <w:sz w:val="56"/>
          <w:szCs w:val="56"/>
          <w:highlight w:val="none"/>
          <w14:textOutline w14:w="3844" w14:cap="flat" w14:cmpd="sng">
            <w14:solidFill>
              <w14:srgbClr w14:val="000000"/>
            </w14:solidFill>
            <w14:prstDash w14:val="solid"/>
            <w14:miter w14:val="0"/>
          </w14:textOutline>
        </w:rPr>
        <w:t>竞争性磋商文件</w:t>
      </w:r>
    </w:p>
    <w:p w14:paraId="7719CFA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宋体" w:hAnsi="宋体" w:eastAsia="宋体" w:cs="宋体"/>
          <w:color w:val="auto"/>
          <w:spacing w:val="-2"/>
          <w:sz w:val="56"/>
          <w:szCs w:val="56"/>
          <w:highlight w:val="none"/>
          <w:lang w:eastAsia="zh-CN"/>
          <w14:textOutline w14:w="3844" w14:cap="flat" w14:cmpd="sng">
            <w14:solidFill>
              <w14:srgbClr w14:val="000000"/>
            </w14:solidFill>
            <w14:prstDash w14:val="solid"/>
            <w14:miter w14:val="0"/>
          </w14:textOutline>
        </w:rPr>
        <w:drawing>
          <wp:inline distT="0" distB="0" distL="114300" distR="114300">
            <wp:extent cx="2169795" cy="2051685"/>
            <wp:effectExtent l="0" t="0" r="1905" b="571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6"/>
                    <a:stretch>
                      <a:fillRect/>
                    </a:stretch>
                  </pic:blipFill>
                  <pic:spPr>
                    <a:xfrm>
                      <a:off x="0" y="0"/>
                      <a:ext cx="2169795" cy="2051685"/>
                    </a:xfrm>
                    <a:prstGeom prst="rect">
                      <a:avLst/>
                    </a:prstGeom>
                  </pic:spPr>
                </pic:pic>
              </a:graphicData>
            </a:graphic>
          </wp:inline>
        </w:drawing>
      </w:r>
    </w:p>
    <w:p w14:paraId="0D437B29">
      <w:pPr>
        <w:pStyle w:val="26"/>
        <w:rPr>
          <w:rFonts w:hint="eastAsia"/>
          <w:color w:val="auto"/>
          <w:highlight w:val="none"/>
          <w:lang w:val="en-US" w:eastAsia="zh-CN"/>
        </w:rPr>
      </w:pPr>
    </w:p>
    <w:p w14:paraId="1EB93AE5">
      <w:pPr>
        <w:keepNext w:val="0"/>
        <w:keepLines w:val="0"/>
        <w:pageBreakBefore w:val="0"/>
        <w:kinsoku/>
        <w:wordWrap w:val="0"/>
        <w:overflowPunct/>
        <w:topLinePunct w:val="0"/>
        <w:bidi w:val="0"/>
        <w:spacing w:line="249" w:lineRule="auto"/>
        <w:jc w:val="both"/>
        <w:rPr>
          <w:rFonts w:ascii="Arial"/>
          <w:color w:val="auto"/>
          <w:sz w:val="21"/>
          <w:highlight w:val="none"/>
        </w:rPr>
      </w:pPr>
    </w:p>
    <w:p w14:paraId="4E18F124">
      <w:pPr>
        <w:keepNext w:val="0"/>
        <w:keepLines w:val="0"/>
        <w:pageBreakBefore w:val="0"/>
        <w:kinsoku/>
        <w:wordWrap w:val="0"/>
        <w:overflowPunct/>
        <w:topLinePunct w:val="0"/>
        <w:bidi w:val="0"/>
        <w:spacing w:line="249" w:lineRule="auto"/>
        <w:jc w:val="both"/>
        <w:rPr>
          <w:rFonts w:ascii="Arial"/>
          <w:color w:val="auto"/>
          <w:sz w:val="21"/>
          <w:highlight w:val="none"/>
        </w:rPr>
      </w:pPr>
    </w:p>
    <w:p w14:paraId="087502DB">
      <w:pPr>
        <w:pStyle w:val="26"/>
        <w:ind w:left="0" w:leftChars="0" w:firstLine="0" w:firstLineChars="0"/>
        <w:rPr>
          <w:rFonts w:ascii="Arial"/>
          <w:color w:val="auto"/>
          <w:sz w:val="21"/>
          <w:highlight w:val="none"/>
        </w:rPr>
      </w:pPr>
    </w:p>
    <w:p w14:paraId="4FF4091D">
      <w:pPr>
        <w:rPr>
          <w:rFonts w:ascii="Arial"/>
          <w:color w:val="auto"/>
          <w:sz w:val="21"/>
          <w:highlight w:val="none"/>
        </w:rPr>
      </w:pPr>
    </w:p>
    <w:p w14:paraId="337E2D25">
      <w:pPr>
        <w:pStyle w:val="26"/>
        <w:rPr>
          <w:rFonts w:ascii="Arial"/>
          <w:color w:val="auto"/>
          <w:sz w:val="21"/>
          <w:highlight w:val="none"/>
        </w:rPr>
      </w:pPr>
    </w:p>
    <w:p w14:paraId="12F2D6AE">
      <w:pPr>
        <w:rPr>
          <w:rFonts w:ascii="Arial"/>
          <w:color w:val="auto"/>
          <w:sz w:val="21"/>
          <w:highlight w:val="none"/>
        </w:rPr>
      </w:pPr>
    </w:p>
    <w:p w14:paraId="1908D613">
      <w:pPr>
        <w:pStyle w:val="26"/>
        <w:rPr>
          <w:rFonts w:ascii="Arial"/>
          <w:color w:val="auto"/>
          <w:sz w:val="21"/>
          <w:highlight w:val="none"/>
        </w:rPr>
      </w:pPr>
    </w:p>
    <w:p w14:paraId="79C73132">
      <w:pPr>
        <w:rPr>
          <w:rFonts w:ascii="Arial"/>
          <w:color w:val="auto"/>
          <w:sz w:val="21"/>
          <w:highlight w:val="none"/>
        </w:rPr>
      </w:pPr>
    </w:p>
    <w:p w14:paraId="29568746">
      <w:pPr>
        <w:rPr>
          <w:color w:val="auto"/>
          <w:highlight w:val="none"/>
        </w:rPr>
      </w:pPr>
    </w:p>
    <w:p w14:paraId="420935B6">
      <w:pPr>
        <w:keepNext w:val="0"/>
        <w:keepLines w:val="0"/>
        <w:pageBreakBefore w:val="0"/>
        <w:kinsoku/>
        <w:wordWrap w:val="0"/>
        <w:overflowPunct/>
        <w:topLinePunct w:val="0"/>
        <w:bidi w:val="0"/>
        <w:spacing w:line="249" w:lineRule="auto"/>
        <w:jc w:val="both"/>
        <w:rPr>
          <w:rFonts w:ascii="Arial"/>
          <w:color w:val="auto"/>
          <w:sz w:val="21"/>
          <w:highlight w:val="none"/>
        </w:rPr>
      </w:pPr>
    </w:p>
    <w:p w14:paraId="24E8E748">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项目名称：</w:t>
      </w:r>
      <w:r>
        <w:rPr>
          <w:rFonts w:hint="eastAsia" w:asciiTheme="minorEastAsia" w:hAnsiTheme="minorEastAsia" w:eastAsiaTheme="minorEastAsia" w:cstheme="minorEastAsia"/>
          <w:b/>
          <w:bCs/>
          <w:color w:val="auto"/>
          <w:spacing w:val="-17"/>
          <w:sz w:val="32"/>
          <w:szCs w:val="32"/>
          <w:highlight w:val="none"/>
          <w:u w:val="single"/>
          <w:lang w:eastAsia="zh-CN"/>
        </w:rPr>
        <w:t>邓州市自然资源和规划局2025年林业有害生物防治项目</w:t>
      </w:r>
    </w:p>
    <w:p w14:paraId="4533B75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color w:val="auto"/>
          <w:spacing w:val="-17"/>
          <w:sz w:val="32"/>
          <w:szCs w:val="32"/>
          <w:highlight w:val="none"/>
          <w:lang w:val="en-US" w:eastAsia="zh-CN"/>
        </w:rPr>
      </w:pPr>
      <w:r>
        <w:rPr>
          <w:rFonts w:hint="eastAsia" w:asciiTheme="minorEastAsia" w:hAnsiTheme="minorEastAsia" w:eastAsiaTheme="minorEastAsia" w:cstheme="minorEastAsia"/>
          <w:b/>
          <w:bCs/>
          <w:color w:val="auto"/>
          <w:spacing w:val="-17"/>
          <w:sz w:val="32"/>
          <w:szCs w:val="32"/>
          <w:highlight w:val="none"/>
        </w:rPr>
        <w:t>项目编号</w:t>
      </w:r>
      <w:r>
        <w:rPr>
          <w:rFonts w:hint="eastAsia" w:asciiTheme="minorEastAsia" w:hAnsiTheme="minorEastAsia" w:eastAsiaTheme="minorEastAsia" w:cstheme="minorEastAsia"/>
          <w:b/>
          <w:bCs/>
          <w:color w:val="auto"/>
          <w:spacing w:val="-17"/>
          <w:sz w:val="32"/>
          <w:szCs w:val="32"/>
          <w:highlight w:val="none"/>
          <w:lang w:eastAsia="zh-CN"/>
        </w:rPr>
        <w:t>：</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2025-06-3             </w:t>
      </w:r>
    </w:p>
    <w:p w14:paraId="7978C5B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color w:val="auto"/>
          <w:spacing w:val="-17"/>
          <w:sz w:val="32"/>
          <w:szCs w:val="32"/>
          <w:highlight w:val="none"/>
          <w:lang w:val="en-US"/>
        </w:rPr>
      </w:pPr>
      <w:r>
        <w:rPr>
          <w:rFonts w:hint="eastAsia" w:asciiTheme="minorEastAsia" w:hAnsiTheme="minorEastAsia" w:eastAsiaTheme="minorEastAsia" w:cstheme="minorEastAsia"/>
          <w:b/>
          <w:bCs/>
          <w:color w:val="auto"/>
          <w:spacing w:val="-17"/>
          <w:sz w:val="32"/>
          <w:szCs w:val="32"/>
          <w:highlight w:val="none"/>
          <w:lang w:val="en-US" w:eastAsia="zh-CN"/>
        </w:rPr>
        <w:t>标段编号</w:t>
      </w:r>
      <w:r>
        <w:rPr>
          <w:rFonts w:hint="eastAsia" w:asciiTheme="minorEastAsia" w:hAnsiTheme="minorEastAsia" w:eastAsiaTheme="minorEastAsia" w:cstheme="minorEastAsia"/>
          <w:b/>
          <w:bCs/>
          <w:color w:val="auto"/>
          <w:spacing w:val="-17"/>
          <w:sz w:val="32"/>
          <w:szCs w:val="32"/>
          <w:highlight w:val="none"/>
        </w:rPr>
        <w:t>：</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2025-06-3 -1          </w:t>
      </w:r>
    </w:p>
    <w:p w14:paraId="4F1CAD9B">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采购人：</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邓州市自然资源和规划局</w:t>
      </w:r>
    </w:p>
    <w:p w14:paraId="30ABD2A1">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采购代理机构：</w:t>
      </w:r>
      <w:r>
        <w:rPr>
          <w:rFonts w:hint="eastAsia" w:asciiTheme="minorEastAsia" w:hAnsiTheme="minorEastAsia" w:eastAsiaTheme="minorEastAsia" w:cstheme="minorEastAsia"/>
          <w:b/>
          <w:bCs/>
          <w:color w:val="auto"/>
          <w:spacing w:val="-17"/>
          <w:sz w:val="32"/>
          <w:szCs w:val="32"/>
          <w:highlight w:val="none"/>
          <w:u w:val="single"/>
          <w:lang w:val="en-US" w:eastAsia="zh-CN"/>
        </w:rPr>
        <w:t>邓宛工程咨询（河南）有限公司</w:t>
      </w:r>
    </w:p>
    <w:p w14:paraId="0C608F70">
      <w:pPr>
        <w:pStyle w:val="7"/>
        <w:keepNext w:val="0"/>
        <w:keepLines w:val="0"/>
        <w:pageBreakBefore w:val="0"/>
        <w:kinsoku/>
        <w:wordWrap w:val="0"/>
        <w:overflowPunct/>
        <w:topLinePunct w:val="0"/>
        <w:bidi w:val="0"/>
        <w:spacing w:before="117" w:line="222" w:lineRule="auto"/>
        <w:ind w:left="3716"/>
        <w:jc w:val="both"/>
        <w:rPr>
          <w:rFonts w:ascii="宋体" w:hAnsi="宋体" w:eastAsia="宋体" w:cs="宋体"/>
          <w:color w:val="auto"/>
          <w:sz w:val="36"/>
          <w:szCs w:val="36"/>
          <w:highlight w:val="none"/>
        </w:rPr>
        <w:sectPr>
          <w:headerReference r:id="rId5" w:type="default"/>
          <w:footerReference r:id="rId6" w:type="default"/>
          <w:pgSz w:w="11907" w:h="16840"/>
          <w:pgMar w:top="1440" w:right="1304" w:bottom="1440" w:left="1304" w:header="878" w:footer="886" w:gutter="0"/>
          <w:pgNumType w:fmt="decimal" w:start="1"/>
          <w:cols w:space="720" w:num="1"/>
        </w:sectPr>
      </w:pPr>
    </w:p>
    <w:p w14:paraId="4980325C">
      <w:pPr>
        <w:keepNext w:val="0"/>
        <w:keepLines w:val="0"/>
        <w:pageBreakBefore w:val="0"/>
        <w:kinsoku/>
        <w:wordWrap w:val="0"/>
        <w:overflowPunct/>
        <w:topLinePunct w:val="0"/>
        <w:bidi w:val="0"/>
        <w:spacing w:line="326" w:lineRule="auto"/>
        <w:jc w:val="both"/>
        <w:rPr>
          <w:rFonts w:ascii="Arial"/>
          <w:color w:val="auto"/>
          <w:sz w:val="21"/>
          <w:highlight w:val="none"/>
        </w:rPr>
      </w:pPr>
    </w:p>
    <w:sdt>
      <w:sdtPr>
        <w:rPr>
          <w:rFonts w:ascii="宋体" w:hAnsi="宋体" w:eastAsia="宋体" w:cs="宋体"/>
          <w:color w:val="auto"/>
          <w:sz w:val="36"/>
          <w:szCs w:val="36"/>
          <w:highlight w:val="none"/>
        </w:rPr>
        <w:id w:val="1"/>
        <w:docPartObj>
          <w:docPartGallery w:val="Table of Contents"/>
          <w:docPartUnique/>
        </w:docPartObj>
      </w:sdtPr>
      <w:sdtEndPr>
        <w:rPr>
          <w:rFonts w:hint="eastAsia" w:ascii="宋体" w:hAnsi="宋体" w:eastAsia="宋体" w:cs="宋体"/>
          <w:color w:val="auto"/>
          <w:sz w:val="28"/>
          <w:szCs w:val="28"/>
          <w:highlight w:val="none"/>
        </w:rPr>
      </w:sdtEndPr>
      <w:sdtContent>
        <w:p w14:paraId="3C2F47CE">
          <w:pPr>
            <w:pStyle w:val="7"/>
            <w:bidi w:val="0"/>
            <w:jc w:val="center"/>
            <w:rPr>
              <w:color w:val="auto"/>
              <w:sz w:val="36"/>
              <w:szCs w:val="36"/>
              <w:highlight w:val="none"/>
            </w:rPr>
          </w:pPr>
          <w:bookmarkStart w:id="0" w:name="bookmark1"/>
          <w:bookmarkEnd w:id="0"/>
          <w:r>
            <w:rPr>
              <w:rFonts w:hint="eastAsia" w:ascii="宋体" w:hAnsi="宋体" w:eastAsia="宋体" w:cs="宋体"/>
              <w:color w:val="auto"/>
              <w:spacing w:val="-42"/>
              <w:sz w:val="36"/>
              <w:szCs w:val="36"/>
              <w:highlight w:val="none"/>
              <w14:textOutline w14:w="2306" w14:cap="flat" w14:cmpd="sng">
                <w14:solidFill>
                  <w14:srgbClr w14:val="000000"/>
                </w14:solidFill>
                <w14:prstDash w14:val="solid"/>
                <w14:miter w14:val="0"/>
              </w14:textOutline>
            </w:rPr>
            <w:t>目</w:t>
          </w:r>
          <w:r>
            <w:rPr>
              <w:rFonts w:hint="eastAsia" w:ascii="宋体" w:hAnsi="宋体" w:eastAsia="宋体" w:cs="宋体"/>
              <w:color w:val="auto"/>
              <w:spacing w:val="-42"/>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color w:val="auto"/>
              <w:spacing w:val="-42"/>
              <w:sz w:val="36"/>
              <w:szCs w:val="36"/>
              <w:highlight w:val="none"/>
              <w14:textOutline w14:w="2306" w14:cap="flat" w14:cmpd="sng">
                <w14:solidFill>
                  <w14:srgbClr w14:val="000000"/>
                </w14:solidFill>
                <w14:prstDash w14:val="solid"/>
                <w14:miter w14:val="0"/>
              </w14:textOutline>
            </w:rPr>
            <w:t>录</w:t>
          </w:r>
        </w:p>
        <w:p w14:paraId="5D896C72">
          <w:pPr>
            <w:keepNext w:val="0"/>
            <w:keepLines w:val="0"/>
            <w:pageBreakBefore w:val="0"/>
            <w:kinsoku/>
            <w:wordWrap w:val="0"/>
            <w:overflowPunct/>
            <w:topLinePunct w:val="0"/>
            <w:bidi w:val="0"/>
            <w:spacing w:line="286" w:lineRule="auto"/>
            <w:jc w:val="both"/>
            <w:rPr>
              <w:rFonts w:ascii="Arial"/>
              <w:color w:val="auto"/>
              <w:sz w:val="21"/>
              <w:highlight w:val="none"/>
            </w:rPr>
          </w:pPr>
        </w:p>
        <w:p w14:paraId="6B455F5D">
          <w:pPr>
            <w:pStyle w:val="13"/>
            <w:keepNext w:val="0"/>
            <w:keepLines w:val="0"/>
            <w:pageBreakBefore w:val="0"/>
            <w:widowControl/>
            <w:tabs>
              <w:tab w:val="right" w:leader="dot" w:pos="9583"/>
            </w:tabs>
            <w:kinsoku w:val="0"/>
            <w:wordWrap/>
            <w:overflowPunct/>
            <w:topLinePunct w:val="0"/>
            <w:autoSpaceDE w:val="0"/>
            <w:autoSpaceDN w:val="0"/>
            <w:bidi w:val="0"/>
            <w:adjustRightInd w:val="0"/>
            <w:snapToGrid w:val="0"/>
            <w:spacing w:line="360" w:lineRule="auto"/>
            <w:textAlignment w:val="baseline"/>
            <w:rPr>
              <w:color w:val="auto"/>
              <w:sz w:val="28"/>
              <w:szCs w:val="28"/>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28"/>
              <w:highlight w:val="none"/>
            </w:rPr>
            <w:fldChar w:fldCharType="begin"/>
          </w:r>
          <w:r>
            <w:rPr>
              <w:color w:val="auto"/>
              <w:sz w:val="28"/>
              <w:szCs w:val="28"/>
              <w:highlight w:val="none"/>
            </w:rPr>
            <w:instrText xml:space="preserve"> HYPERLINK \l _Toc29344 </w:instrText>
          </w:r>
          <w:r>
            <w:rPr>
              <w:color w:val="auto"/>
              <w:sz w:val="28"/>
              <w:szCs w:val="28"/>
              <w:highlight w:val="none"/>
            </w:rPr>
            <w:fldChar w:fldCharType="separate"/>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第一</w:t>
          </w:r>
          <w:r>
            <w:rPr>
              <w:rFonts w:hint="eastAsia" w:asciiTheme="minorEastAsia" w:hAnsiTheme="minorEastAsia" w:eastAsiaTheme="minorEastAsia" w:cstheme="minorEastAsia"/>
              <w:snapToGrid w:val="0"/>
              <w:color w:val="auto"/>
              <w:spacing w:val="-1"/>
              <w:kern w:val="0"/>
              <w:sz w:val="28"/>
              <w:szCs w:val="28"/>
              <w:highlight w:val="none"/>
              <w:lang w:val="en-US" w:eastAsia="zh-CN" w:bidi="ar-SA"/>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napToGrid w:val="0"/>
              <w:color w:val="auto"/>
              <w:spacing w:val="-1"/>
              <w:kern w:val="0"/>
              <w:sz w:val="28"/>
              <w:szCs w:val="28"/>
              <w:highlight w:val="none"/>
              <w:lang w:val="en-US" w:eastAsia="zh-CN" w:bidi="ar-SA"/>
              <w14:textOutline w14:w="2306" w14:cap="flat" w14:cmpd="sng">
                <w14:solidFill>
                  <w14:srgbClr w14:val="000000"/>
                </w14:solidFill>
                <w14:prstDash w14:val="solid"/>
                <w14:miter w14:val="0"/>
              </w14:textOutline>
            </w:rPr>
            <w:t>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_Toc29344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14:paraId="1C6EBABF">
          <w:pPr>
            <w:pStyle w:val="13"/>
            <w:keepNext w:val="0"/>
            <w:keepLines w:val="0"/>
            <w:pageBreakBefore w:val="0"/>
            <w:widowControl/>
            <w:tabs>
              <w:tab w:val="right" w:leader="dot" w:pos="9583"/>
            </w:tabs>
            <w:kinsoku w:val="0"/>
            <w:wordWrap/>
            <w:overflowPunct/>
            <w:topLinePunct w:val="0"/>
            <w:autoSpaceDE w:val="0"/>
            <w:autoSpaceDN w:val="0"/>
            <w:bidi w:val="0"/>
            <w:adjustRightInd w:val="0"/>
            <w:snapToGrid w:val="0"/>
            <w:spacing w:line="360" w:lineRule="auto"/>
            <w:textAlignment w:val="baseline"/>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_Toc2694 </w:instrText>
          </w:r>
          <w:r>
            <w:rPr>
              <w:color w:val="auto"/>
              <w:sz w:val="28"/>
              <w:szCs w:val="28"/>
              <w:highlight w:val="none"/>
            </w:rPr>
            <w:fldChar w:fldCharType="separate"/>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napToGrid w:val="0"/>
              <w:color w:val="auto"/>
              <w:spacing w:val="-1"/>
              <w:kern w:val="0"/>
              <w:sz w:val="28"/>
              <w:szCs w:val="28"/>
              <w:highlight w:val="none"/>
              <w:lang w:val="en-US" w:eastAsia="zh-CN" w:bidi="ar-SA"/>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_Toc2694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1040B33D">
          <w:pPr>
            <w:pStyle w:val="13"/>
            <w:keepNext w:val="0"/>
            <w:keepLines w:val="0"/>
            <w:pageBreakBefore w:val="0"/>
            <w:widowControl/>
            <w:tabs>
              <w:tab w:val="right" w:leader="dot" w:pos="9583"/>
            </w:tabs>
            <w:kinsoku w:val="0"/>
            <w:wordWrap/>
            <w:overflowPunct/>
            <w:topLinePunct w:val="0"/>
            <w:autoSpaceDE w:val="0"/>
            <w:autoSpaceDN w:val="0"/>
            <w:bidi w:val="0"/>
            <w:adjustRightInd w:val="0"/>
            <w:snapToGrid w:val="0"/>
            <w:spacing w:line="360" w:lineRule="auto"/>
            <w:textAlignment w:val="baseline"/>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_Toc27998 </w:instrText>
          </w:r>
          <w:r>
            <w:rPr>
              <w:color w:val="auto"/>
              <w:sz w:val="28"/>
              <w:szCs w:val="28"/>
              <w:highlight w:val="none"/>
            </w:rPr>
            <w:fldChar w:fldCharType="separate"/>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napToGrid w:val="0"/>
              <w:color w:val="auto"/>
              <w:spacing w:val="-1"/>
              <w:kern w:val="0"/>
              <w:sz w:val="28"/>
              <w:szCs w:val="28"/>
              <w:highlight w:val="none"/>
              <w:lang w:val="en-US" w:eastAsia="zh-CN" w:bidi="ar-SA"/>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napToGrid w:val="0"/>
              <w:color w:val="auto"/>
              <w:spacing w:val="-1"/>
              <w:kern w:val="0"/>
              <w:sz w:val="28"/>
              <w:szCs w:val="28"/>
              <w:highlight w:val="none"/>
              <w:lang w:val="en-US" w:eastAsia="zh-CN" w:bidi="ar-SA"/>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_Toc27998 \h </w:instrText>
          </w:r>
          <w:r>
            <w:rPr>
              <w:color w:val="auto"/>
              <w:sz w:val="28"/>
              <w:szCs w:val="28"/>
              <w:highlight w:val="none"/>
            </w:rPr>
            <w:fldChar w:fldCharType="separate"/>
          </w:r>
          <w:r>
            <w:rPr>
              <w:color w:val="auto"/>
              <w:sz w:val="28"/>
              <w:szCs w:val="28"/>
              <w:highlight w:val="none"/>
            </w:rPr>
            <w:t>7</w:t>
          </w:r>
          <w:r>
            <w:rPr>
              <w:color w:val="auto"/>
              <w:sz w:val="28"/>
              <w:szCs w:val="28"/>
              <w:highlight w:val="none"/>
            </w:rPr>
            <w:fldChar w:fldCharType="end"/>
          </w:r>
          <w:r>
            <w:rPr>
              <w:color w:val="auto"/>
              <w:sz w:val="28"/>
              <w:szCs w:val="28"/>
              <w:highlight w:val="none"/>
            </w:rPr>
            <w:fldChar w:fldCharType="end"/>
          </w:r>
        </w:p>
        <w:p w14:paraId="164B3A73">
          <w:pPr>
            <w:pStyle w:val="13"/>
            <w:keepNext w:val="0"/>
            <w:keepLines w:val="0"/>
            <w:pageBreakBefore w:val="0"/>
            <w:widowControl/>
            <w:tabs>
              <w:tab w:val="right" w:leader="dot" w:pos="9583"/>
            </w:tabs>
            <w:kinsoku w:val="0"/>
            <w:wordWrap/>
            <w:overflowPunct/>
            <w:topLinePunct w:val="0"/>
            <w:autoSpaceDE w:val="0"/>
            <w:autoSpaceDN w:val="0"/>
            <w:bidi w:val="0"/>
            <w:adjustRightInd w:val="0"/>
            <w:snapToGrid w:val="0"/>
            <w:spacing w:line="360" w:lineRule="auto"/>
            <w:textAlignment w:val="baseline"/>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_Toc23273 </w:instrText>
          </w:r>
          <w:r>
            <w:rPr>
              <w:color w:val="auto"/>
              <w:sz w:val="28"/>
              <w:szCs w:val="28"/>
              <w:highlight w:val="none"/>
            </w:rPr>
            <w:fldChar w:fldCharType="separate"/>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napToGrid w:val="0"/>
              <w:color w:val="auto"/>
              <w:spacing w:val="-1"/>
              <w:kern w:val="0"/>
              <w:sz w:val="28"/>
              <w:szCs w:val="28"/>
              <w:highlight w:val="none"/>
              <w:lang w:val="en-US" w:eastAsia="zh-CN" w:bidi="ar-SA"/>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napToGrid w:val="0"/>
              <w:color w:val="auto"/>
              <w:spacing w:val="-1"/>
              <w:kern w:val="0"/>
              <w:sz w:val="28"/>
              <w:szCs w:val="28"/>
              <w:highlight w:val="none"/>
              <w:lang w:val="en-US" w:eastAsia="zh-CN" w:bidi="ar-SA"/>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评</w:t>
          </w:r>
          <w:r>
            <w:rPr>
              <w:rFonts w:hint="eastAsia" w:asciiTheme="minorEastAsia" w:hAnsiTheme="minorEastAsia" w:eastAsiaTheme="minorEastAsia" w:cstheme="minorEastAsia"/>
              <w:snapToGrid w:val="0"/>
              <w:color w:val="auto"/>
              <w:spacing w:val="-1"/>
              <w:kern w:val="0"/>
              <w:sz w:val="28"/>
              <w:szCs w:val="28"/>
              <w:highlight w:val="none"/>
              <w:lang w:val="en-US" w:eastAsia="zh-CN" w:bidi="ar-SA"/>
              <w14:textOutline w14:w="2306" w14:cap="flat" w14:cmpd="sng">
                <w14:solidFill>
                  <w14:srgbClr w14:val="000000"/>
                </w14:solidFill>
                <w14:prstDash w14:val="solid"/>
                <w14:miter w14:val="0"/>
              </w14:textOutline>
            </w:rPr>
            <w:t>审</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程序、评审方法和评审标准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_Toc23273 \h </w:instrText>
          </w:r>
          <w:r>
            <w:rPr>
              <w:color w:val="auto"/>
              <w:sz w:val="28"/>
              <w:szCs w:val="28"/>
              <w:highlight w:val="none"/>
            </w:rPr>
            <w:fldChar w:fldCharType="separate"/>
          </w:r>
          <w:r>
            <w:rPr>
              <w:color w:val="auto"/>
              <w:sz w:val="28"/>
              <w:szCs w:val="28"/>
              <w:highlight w:val="none"/>
            </w:rPr>
            <w:t>16</w:t>
          </w:r>
          <w:r>
            <w:rPr>
              <w:color w:val="auto"/>
              <w:sz w:val="28"/>
              <w:szCs w:val="28"/>
              <w:highlight w:val="none"/>
            </w:rPr>
            <w:fldChar w:fldCharType="end"/>
          </w:r>
          <w:r>
            <w:rPr>
              <w:color w:val="auto"/>
              <w:sz w:val="28"/>
              <w:szCs w:val="28"/>
              <w:highlight w:val="none"/>
            </w:rPr>
            <w:fldChar w:fldCharType="end"/>
          </w:r>
        </w:p>
        <w:p w14:paraId="7FE8F6F1">
          <w:pPr>
            <w:pStyle w:val="13"/>
            <w:keepNext w:val="0"/>
            <w:keepLines w:val="0"/>
            <w:pageBreakBefore w:val="0"/>
            <w:widowControl/>
            <w:tabs>
              <w:tab w:val="right" w:leader="dot" w:pos="9583"/>
            </w:tabs>
            <w:kinsoku w:val="0"/>
            <w:wordWrap/>
            <w:overflowPunct/>
            <w:topLinePunct w:val="0"/>
            <w:autoSpaceDE w:val="0"/>
            <w:autoSpaceDN w:val="0"/>
            <w:bidi w:val="0"/>
            <w:adjustRightInd w:val="0"/>
            <w:snapToGrid w:val="0"/>
            <w:spacing w:line="360" w:lineRule="auto"/>
            <w:textAlignment w:val="baseline"/>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_Toc20224 </w:instrText>
          </w:r>
          <w:r>
            <w:rPr>
              <w:color w:val="auto"/>
              <w:sz w:val="28"/>
              <w:szCs w:val="28"/>
              <w:highlight w:val="none"/>
            </w:rPr>
            <w:fldChar w:fldCharType="separate"/>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第五章</w:t>
          </w:r>
          <w:r>
            <w:rPr>
              <w:rFonts w:hint="eastAsia" w:asciiTheme="minorEastAsia" w:hAnsiTheme="minorEastAsia" w:eastAsiaTheme="minorEastAsia" w:cstheme="minorEastAsia"/>
              <w:snapToGrid w:val="0"/>
              <w:color w:val="auto"/>
              <w:spacing w:val="-1"/>
              <w:kern w:val="0"/>
              <w:sz w:val="28"/>
              <w:szCs w:val="28"/>
              <w:highlight w:val="none"/>
              <w:lang w:val="en-US" w:eastAsia="zh-CN" w:bidi="ar-SA"/>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合同草案条款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_Toc20224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5F72E721">
          <w:pPr>
            <w:pStyle w:val="13"/>
            <w:keepNext w:val="0"/>
            <w:keepLines w:val="0"/>
            <w:pageBreakBefore w:val="0"/>
            <w:widowControl/>
            <w:tabs>
              <w:tab w:val="right" w:leader="dot" w:pos="9583"/>
            </w:tabs>
            <w:kinsoku w:val="0"/>
            <w:wordWrap/>
            <w:overflowPunct/>
            <w:topLinePunct w:val="0"/>
            <w:autoSpaceDE w:val="0"/>
            <w:autoSpaceDN w:val="0"/>
            <w:bidi w:val="0"/>
            <w:adjustRightInd w:val="0"/>
            <w:snapToGrid w:val="0"/>
            <w:spacing w:line="360" w:lineRule="auto"/>
            <w:textAlignment w:val="baseline"/>
            <w:rPr>
              <w:color w:val="auto"/>
              <w:highlight w:val="none"/>
            </w:rPr>
          </w:pPr>
          <w:r>
            <w:rPr>
              <w:color w:val="auto"/>
              <w:sz w:val="28"/>
              <w:szCs w:val="28"/>
              <w:highlight w:val="none"/>
            </w:rPr>
            <w:fldChar w:fldCharType="begin"/>
          </w:r>
          <w:r>
            <w:rPr>
              <w:color w:val="auto"/>
              <w:sz w:val="28"/>
              <w:szCs w:val="28"/>
              <w:highlight w:val="none"/>
            </w:rPr>
            <w:instrText xml:space="preserve"> HYPERLINK \l _Toc32711 </w:instrText>
          </w:r>
          <w:r>
            <w:rPr>
              <w:color w:val="auto"/>
              <w:sz w:val="28"/>
              <w:szCs w:val="28"/>
              <w:highlight w:val="none"/>
            </w:rPr>
            <w:fldChar w:fldCharType="separate"/>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第六章</w:t>
          </w:r>
          <w:r>
            <w:rPr>
              <w:rFonts w:hint="eastAsia" w:asciiTheme="minorEastAsia" w:hAnsiTheme="minorEastAsia" w:eastAsiaTheme="minorEastAsia" w:cstheme="minorEastAsia"/>
              <w:snapToGrid w:val="0"/>
              <w:color w:val="auto"/>
              <w:spacing w:val="-1"/>
              <w:kern w:val="0"/>
              <w:sz w:val="28"/>
              <w:szCs w:val="28"/>
              <w:highlight w:val="none"/>
              <w:lang w:val="en-US" w:eastAsia="zh-CN" w:bidi="ar-SA"/>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14:textOutline w14:w="2306" w14:cap="flat" w14:cmpd="sng">
                <w14:solidFill>
                  <w14:srgbClr w14:val="000000"/>
                </w14:solidFill>
                <w14:prstDash w14:val="solid"/>
                <w14:miter w14:val="0"/>
              </w14:textOutline>
            </w:rPr>
            <w:t>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_Toc32711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color w:val="auto"/>
              <w:sz w:val="28"/>
              <w:szCs w:val="28"/>
              <w:highlight w:val="none"/>
            </w:rPr>
            <w:fldChar w:fldCharType="end"/>
          </w:r>
        </w:p>
        <w:p w14:paraId="1B2E095A">
          <w:pPr>
            <w:rPr>
              <w:rFonts w:hint="eastAsia" w:ascii="宋体" w:hAnsi="宋体" w:eastAsia="宋体" w:cs="宋体"/>
              <w:color w:val="auto"/>
              <w:sz w:val="28"/>
              <w:szCs w:val="28"/>
              <w:highlight w:val="none"/>
            </w:rPr>
          </w:pPr>
          <w:r>
            <w:rPr>
              <w:color w:val="auto"/>
              <w:highlight w:val="none"/>
            </w:rPr>
            <w:fldChar w:fldCharType="end"/>
          </w:r>
        </w:p>
      </w:sdtContent>
    </w:sdt>
    <w:p w14:paraId="38DDE02B">
      <w:pPr>
        <w:keepNext w:val="0"/>
        <w:keepLines w:val="0"/>
        <w:pageBreakBefore w:val="0"/>
        <w:kinsoku/>
        <w:wordWrap w:val="0"/>
        <w:overflowPunct/>
        <w:topLinePunct w:val="0"/>
        <w:bidi w:val="0"/>
        <w:spacing w:line="219" w:lineRule="auto"/>
        <w:jc w:val="both"/>
        <w:rPr>
          <w:rFonts w:ascii="Arial" w:hAnsi="Arial" w:eastAsia="Arial" w:cs="Arial"/>
          <w:color w:val="auto"/>
          <w:sz w:val="24"/>
          <w:szCs w:val="24"/>
          <w:highlight w:val="none"/>
        </w:rPr>
      </w:pPr>
    </w:p>
    <w:p w14:paraId="5619E877">
      <w:pPr>
        <w:rPr>
          <w:rFonts w:hint="eastAsia" w:ascii="宋体" w:hAnsi="宋体" w:eastAsia="宋体" w:cs="宋体"/>
          <w:b/>
          <w:bCs/>
          <w:color w:val="auto"/>
          <w:sz w:val="52"/>
          <w:szCs w:val="52"/>
          <w:highlight w:val="none"/>
        </w:rPr>
      </w:pPr>
      <w:bookmarkStart w:id="1" w:name="_Toc29801"/>
      <w:r>
        <w:rPr>
          <w:rFonts w:hint="eastAsia" w:ascii="宋体" w:hAnsi="宋体" w:eastAsia="宋体" w:cs="宋体"/>
          <w:b/>
          <w:bCs/>
          <w:color w:val="auto"/>
          <w:sz w:val="52"/>
          <w:szCs w:val="52"/>
          <w:highlight w:val="none"/>
        </w:rPr>
        <w:br w:type="page"/>
      </w:r>
    </w:p>
    <w:p w14:paraId="358FD41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pPr>
      <w:bookmarkStart w:id="2" w:name="_Toc29344"/>
      <w:r>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t>第一</w:t>
      </w:r>
      <w:r>
        <w:rPr>
          <w:rFonts w:hint="eastAsia" w:asciiTheme="minorEastAsia" w:hAnsiTheme="minorEastAsia" w:eastAsiaTheme="minorEastAsia" w:cstheme="minorEastAsia"/>
          <w:b w:val="0"/>
          <w:snapToGrid w:val="0"/>
          <w:color w:val="auto"/>
          <w:spacing w:val="-1"/>
          <w:kern w:val="0"/>
          <w:sz w:val="52"/>
          <w:szCs w:val="52"/>
          <w:highlight w:val="none"/>
          <w:lang w:val="en-US" w:eastAsia="zh-CN" w:bidi="ar-SA"/>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snapToGrid w:val="0"/>
          <w:color w:val="auto"/>
          <w:spacing w:val="-1"/>
          <w:kern w:val="0"/>
          <w:sz w:val="52"/>
          <w:szCs w:val="52"/>
          <w:highlight w:val="none"/>
          <w:lang w:val="en-US" w:eastAsia="zh-CN" w:bidi="ar-SA"/>
          <w14:textOutline w14:w="2306" w14:cap="flat" w14:cmpd="sng">
            <w14:solidFill>
              <w14:srgbClr w14:val="000000"/>
            </w14:solidFill>
            <w14:prstDash w14:val="solid"/>
            <w14:miter w14:val="0"/>
          </w14:textOutline>
        </w:rPr>
        <w:t>竞争性磋商公告</w:t>
      </w:r>
      <w:bookmarkEnd w:id="1"/>
      <w:bookmarkEnd w:id="2"/>
    </w:p>
    <w:p w14:paraId="60552A20">
      <w:pPr>
        <w:adjustRightInd w:val="0"/>
        <w:snapToGrid w:val="0"/>
        <w:spacing w:line="460" w:lineRule="exact"/>
        <w:jc w:val="center"/>
        <w:rPr>
          <w:rFonts w:hint="eastAsia" w:ascii="宋体" w:hAnsi="宋体" w:cs="宋体"/>
          <w:b/>
          <w:color w:val="auto"/>
          <w:sz w:val="32"/>
          <w:szCs w:val="32"/>
          <w:highlight w:val="none"/>
        </w:rPr>
      </w:pPr>
      <w:bookmarkStart w:id="3" w:name="_Toc35393797"/>
      <w:bookmarkStart w:id="4" w:name="_Toc28359011"/>
      <w:r>
        <w:rPr>
          <w:rFonts w:hint="eastAsia" w:ascii="宋体" w:hAnsi="宋体" w:cs="宋体"/>
          <w:b/>
          <w:color w:val="auto"/>
          <w:sz w:val="32"/>
          <w:szCs w:val="32"/>
          <w:highlight w:val="none"/>
          <w:lang w:eastAsia="zh-CN"/>
        </w:rPr>
        <w:t>邓州市自然资源和规划局2025年林业有害生物防治项目</w:t>
      </w:r>
      <w:r>
        <w:rPr>
          <w:rFonts w:hint="eastAsia" w:ascii="宋体" w:hAnsi="宋体" w:cs="宋体"/>
          <w:b/>
          <w:color w:val="auto"/>
          <w:sz w:val="32"/>
          <w:szCs w:val="32"/>
          <w:highlight w:val="none"/>
          <w:lang w:val="en-US" w:eastAsia="zh-CN"/>
        </w:rPr>
        <w:t>-</w:t>
      </w:r>
      <w:r>
        <w:rPr>
          <w:rFonts w:hint="eastAsia" w:ascii="宋体" w:hAnsi="宋体" w:cs="宋体"/>
          <w:b/>
          <w:color w:val="auto"/>
          <w:sz w:val="32"/>
          <w:szCs w:val="32"/>
          <w:highlight w:val="none"/>
        </w:rPr>
        <w:t>竞争性磋商公告</w:t>
      </w:r>
      <w:bookmarkEnd w:id="3"/>
      <w:bookmarkEnd w:id="4"/>
    </w:p>
    <w:p w14:paraId="4A1806A4">
      <w:pPr>
        <w:widowControl/>
        <w:spacing w:line="440" w:lineRule="exact"/>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项目概况：</w:t>
      </w:r>
    </w:p>
    <w:p w14:paraId="2916EEAF">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u w:val="single"/>
          <w:lang w:eastAsia="zh-CN"/>
        </w:rPr>
        <w:t>邓州市自然资源和规划局2025年林业有害生物防治项目</w:t>
      </w:r>
      <w:r>
        <w:rPr>
          <w:rFonts w:hint="eastAsia" w:ascii="宋体" w:hAnsi="宋体" w:cs="宋体"/>
          <w:color w:val="auto"/>
          <w:sz w:val="24"/>
          <w:highlight w:val="none"/>
          <w:u w:val="none"/>
          <w:lang w:val="en-US" w:eastAsia="zh-CN"/>
        </w:rPr>
        <w:t>招标项目</w:t>
      </w:r>
      <w:r>
        <w:rPr>
          <w:rFonts w:hint="eastAsia" w:ascii="宋体" w:hAnsi="宋体" w:cs="宋体"/>
          <w:color w:val="auto"/>
          <w:sz w:val="24"/>
          <w:highlight w:val="none"/>
        </w:rPr>
        <w:t>的潜在</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应在</w:t>
      </w:r>
      <w:r>
        <w:rPr>
          <w:rFonts w:hint="eastAsia" w:ascii="宋体" w:hAnsi="宋体" w:cs="宋体"/>
          <w:color w:val="auto"/>
          <w:sz w:val="24"/>
          <w:highlight w:val="none"/>
          <w:u w:val="single"/>
        </w:rPr>
        <w:t>《全国公共资源交易平台（</w:t>
      </w:r>
      <w:r>
        <w:rPr>
          <w:rFonts w:hint="eastAsia" w:ascii="宋体" w:hAnsi="宋体" w:eastAsia="宋体" w:cs="宋体"/>
          <w:color w:val="auto"/>
          <w:sz w:val="24"/>
          <w:highlight w:val="none"/>
          <w:u w:val="single"/>
          <w:lang w:eastAsia="zh-CN"/>
        </w:rPr>
        <w:t>河南省·南阳邓州分平台</w:t>
      </w:r>
      <w:r>
        <w:rPr>
          <w:rFonts w:hint="eastAsia" w:ascii="宋体" w:hAnsi="宋体" w:cs="宋体"/>
          <w:color w:val="auto"/>
          <w:sz w:val="24"/>
          <w:highlight w:val="none"/>
          <w:u w:val="single"/>
        </w:rPr>
        <w:t>）》</w:t>
      </w:r>
      <w:r>
        <w:rPr>
          <w:rFonts w:hint="eastAsia" w:ascii="宋体" w:hAnsi="宋体" w:cs="宋体"/>
          <w:color w:val="auto"/>
          <w:sz w:val="24"/>
          <w:highlight w:val="none"/>
        </w:rPr>
        <w:t>获取</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文件，并</w:t>
      </w:r>
      <w:r>
        <w:rPr>
          <w:rFonts w:hint="eastAsia" w:ascii="宋体" w:hAnsi="宋体" w:cs="宋体"/>
          <w:color w:val="auto"/>
          <w:sz w:val="24"/>
          <w:highlight w:val="none"/>
        </w:rPr>
        <w:t>于</w:t>
      </w:r>
      <w:r>
        <w:rPr>
          <w:rFonts w:hint="eastAsia" w:ascii="宋体" w:hAnsi="宋体" w:eastAsia="宋体" w:cs="宋体"/>
          <w:color w:val="auto"/>
          <w:sz w:val="24"/>
          <w:highlight w:val="none"/>
          <w:u w:val="none"/>
          <w:lang w:eastAsia="zh-CN"/>
        </w:rPr>
        <w:t>2025年</w:t>
      </w:r>
      <w:r>
        <w:rPr>
          <w:rFonts w:hint="eastAsia" w:ascii="宋体" w:hAnsi="宋体" w:cs="宋体"/>
          <w:bCs/>
          <w:color w:val="auto"/>
          <w:sz w:val="24"/>
          <w:highlight w:val="none"/>
          <w:u w:val="none"/>
          <w:lang w:val="en-US" w:eastAsia="zh-CN"/>
        </w:rPr>
        <w:t>6</w:t>
      </w:r>
      <w:r>
        <w:rPr>
          <w:rFonts w:hint="eastAsia" w:ascii="宋体" w:hAnsi="宋体" w:cs="宋体"/>
          <w:bCs/>
          <w:color w:val="auto"/>
          <w:sz w:val="24"/>
          <w:highlight w:val="none"/>
          <w:u w:val="none"/>
        </w:rPr>
        <w:t>月</w:t>
      </w:r>
      <w:r>
        <w:rPr>
          <w:rFonts w:hint="eastAsia" w:ascii="宋体" w:hAnsi="宋体" w:cs="宋体"/>
          <w:bCs/>
          <w:color w:val="auto"/>
          <w:sz w:val="24"/>
          <w:highlight w:val="none"/>
          <w:u w:val="none"/>
          <w:lang w:val="en-US" w:eastAsia="zh-CN"/>
        </w:rPr>
        <w:t>25</w:t>
      </w:r>
      <w:r>
        <w:rPr>
          <w:rFonts w:hint="eastAsia" w:ascii="宋体" w:hAnsi="宋体" w:cs="宋体"/>
          <w:bCs/>
          <w:color w:val="auto"/>
          <w:sz w:val="24"/>
          <w:highlight w:val="none"/>
          <w:u w:val="none"/>
        </w:rPr>
        <w:t>日</w:t>
      </w:r>
      <w:r>
        <w:rPr>
          <w:rFonts w:hint="eastAsia" w:ascii="宋体" w:hAnsi="宋体" w:cs="宋体"/>
          <w:bCs/>
          <w:color w:val="auto"/>
          <w:sz w:val="24"/>
          <w:highlight w:val="none"/>
          <w:u w:val="none"/>
          <w:lang w:val="en-US" w:eastAsia="zh-CN"/>
        </w:rPr>
        <w:t>09</w:t>
      </w:r>
      <w:r>
        <w:rPr>
          <w:rFonts w:hint="eastAsia" w:ascii="宋体" w:hAnsi="宋体" w:cs="宋体"/>
          <w:bCs/>
          <w:color w:val="auto"/>
          <w:sz w:val="24"/>
          <w:highlight w:val="none"/>
          <w:u w:val="none"/>
        </w:rPr>
        <w:t>点</w:t>
      </w:r>
      <w:r>
        <w:rPr>
          <w:rFonts w:hint="eastAsia" w:ascii="宋体" w:hAnsi="宋体" w:cs="宋体"/>
          <w:bCs/>
          <w:color w:val="auto"/>
          <w:sz w:val="24"/>
          <w:highlight w:val="none"/>
          <w:u w:val="none"/>
          <w:lang w:val="en-US" w:eastAsia="zh-CN"/>
        </w:rPr>
        <w:t>30</w:t>
      </w:r>
      <w:r>
        <w:rPr>
          <w:rFonts w:hint="eastAsia" w:ascii="宋体" w:hAnsi="宋体" w:cs="宋体"/>
          <w:bCs/>
          <w:color w:val="auto"/>
          <w:sz w:val="24"/>
          <w:highlight w:val="none"/>
          <w:u w:val="none"/>
        </w:rPr>
        <w:t>分</w:t>
      </w:r>
      <w:r>
        <w:rPr>
          <w:rFonts w:hint="eastAsia" w:ascii="宋体" w:hAnsi="宋体" w:cs="宋体"/>
          <w:bCs/>
          <w:color w:val="auto"/>
          <w:sz w:val="24"/>
          <w:highlight w:val="none"/>
        </w:rPr>
        <w:t>（北京时间）前</w:t>
      </w:r>
      <w:r>
        <w:rPr>
          <w:rFonts w:hint="eastAsia" w:ascii="宋体" w:hAnsi="宋体" w:cs="宋体"/>
          <w:bCs/>
          <w:color w:val="auto"/>
          <w:sz w:val="24"/>
          <w:highlight w:val="none"/>
          <w:lang w:val="en-US" w:eastAsia="zh-CN"/>
        </w:rPr>
        <w:t>递</w:t>
      </w:r>
      <w:r>
        <w:rPr>
          <w:rFonts w:hint="eastAsia" w:ascii="宋体" w:hAnsi="宋体" w:cs="宋体"/>
          <w:bCs/>
          <w:color w:val="auto"/>
          <w:sz w:val="24"/>
          <w:highlight w:val="none"/>
        </w:rPr>
        <w:t>交响应文件</w:t>
      </w:r>
      <w:r>
        <w:rPr>
          <w:rFonts w:hint="eastAsia" w:ascii="宋体" w:hAnsi="宋体" w:cs="宋体"/>
          <w:color w:val="auto"/>
          <w:sz w:val="24"/>
          <w:highlight w:val="none"/>
        </w:rPr>
        <w:t>。</w:t>
      </w:r>
    </w:p>
    <w:p w14:paraId="2521170D">
      <w:pPr>
        <w:pStyle w:val="2"/>
        <w:spacing w:line="440" w:lineRule="exact"/>
        <w:rPr>
          <w:rFonts w:hint="eastAsia" w:hAnsi="宋体" w:cs="宋体"/>
          <w:b/>
          <w:color w:val="auto"/>
          <w:sz w:val="24"/>
          <w:highlight w:val="none"/>
        </w:rPr>
      </w:pPr>
      <w:bookmarkStart w:id="5" w:name="_Toc28359012"/>
      <w:bookmarkStart w:id="6" w:name="_Toc35393798"/>
      <w:bookmarkStart w:id="7" w:name="_Toc28359089"/>
      <w:bookmarkStart w:id="8" w:name="_Toc35393629"/>
      <w:r>
        <w:rPr>
          <w:rFonts w:hint="eastAsia" w:hAnsi="宋体" w:cs="宋体"/>
          <w:b/>
          <w:color w:val="auto"/>
          <w:sz w:val="24"/>
          <w:highlight w:val="none"/>
        </w:rPr>
        <w:t>一、项目基本情况</w:t>
      </w:r>
      <w:bookmarkEnd w:id="5"/>
      <w:bookmarkEnd w:id="6"/>
      <w:bookmarkEnd w:id="7"/>
      <w:bookmarkEnd w:id="8"/>
    </w:p>
    <w:p w14:paraId="11453758">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项目编号：2025-06-3 </w:t>
      </w:r>
    </w:p>
    <w:p w14:paraId="4F96D0BA">
      <w:pPr>
        <w:spacing w:line="44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邓州市自然资源和规划局2025年林业有害生物防治项目</w:t>
      </w:r>
    </w:p>
    <w:p w14:paraId="56037DC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采购方式：竞争性磋商</w:t>
      </w:r>
    </w:p>
    <w:p w14:paraId="2015C3BF">
      <w:pPr>
        <w:spacing w:line="440" w:lineRule="exact"/>
        <w:ind w:firstLine="480" w:firstLineChars="200"/>
        <w:rPr>
          <w:rFonts w:hint="eastAsia" w:ascii="宋体" w:hAnsi="宋体" w:cs="宋体"/>
          <w:color w:val="auto"/>
          <w:sz w:val="24"/>
          <w:highlight w:val="none"/>
        </w:rPr>
      </w:pPr>
      <w:bookmarkStart w:id="9" w:name="_Toc35393630"/>
      <w:bookmarkStart w:id="10" w:name="_Toc28359013"/>
      <w:bookmarkStart w:id="11" w:name="_Toc35393799"/>
      <w:bookmarkStart w:id="12" w:name="_Toc28359090"/>
      <w:r>
        <w:rPr>
          <w:rFonts w:hint="eastAsia" w:ascii="宋体" w:hAnsi="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预算金额：</w:t>
      </w:r>
      <w:r>
        <w:rPr>
          <w:rFonts w:hint="eastAsia" w:ascii="宋体" w:hAnsi="宋体" w:cs="宋体"/>
          <w:color w:val="auto"/>
          <w:sz w:val="24"/>
          <w:highlight w:val="none"/>
          <w:lang w:val="en-US" w:eastAsia="zh-CN"/>
        </w:rPr>
        <w:t>680000.00</w:t>
      </w:r>
      <w:r>
        <w:rPr>
          <w:rFonts w:hint="eastAsia" w:ascii="宋体" w:hAnsi="宋体" w:cs="宋体"/>
          <w:color w:val="auto"/>
          <w:sz w:val="24"/>
          <w:highlight w:val="none"/>
        </w:rPr>
        <w:t>元</w:t>
      </w:r>
    </w:p>
    <w:p w14:paraId="54BA05A1">
      <w:pPr>
        <w:spacing w:line="44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最高限价：680000.00元</w:t>
      </w:r>
    </w:p>
    <w:tbl>
      <w:tblPr>
        <w:tblStyle w:val="20"/>
        <w:tblW w:w="9747"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2"/>
        <w:gridCol w:w="2175"/>
        <w:gridCol w:w="2835"/>
        <w:gridCol w:w="1875"/>
        <w:gridCol w:w="2070"/>
      </w:tblGrid>
      <w:tr w14:paraId="7042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92" w:type="dxa"/>
            <w:noWrap w:val="0"/>
            <w:vAlign w:val="center"/>
          </w:tcPr>
          <w:p w14:paraId="039BD34E">
            <w:pPr>
              <w:widowControl/>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175" w:type="dxa"/>
            <w:noWrap w:val="0"/>
            <w:vAlign w:val="center"/>
          </w:tcPr>
          <w:p w14:paraId="3F42A587">
            <w:pPr>
              <w:widowControl/>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包号</w:t>
            </w:r>
          </w:p>
        </w:tc>
        <w:tc>
          <w:tcPr>
            <w:tcW w:w="2835" w:type="dxa"/>
            <w:noWrap w:val="0"/>
            <w:vAlign w:val="center"/>
          </w:tcPr>
          <w:p w14:paraId="11ACC683">
            <w:pPr>
              <w:widowControl/>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包名称</w:t>
            </w:r>
          </w:p>
        </w:tc>
        <w:tc>
          <w:tcPr>
            <w:tcW w:w="1875" w:type="dxa"/>
            <w:noWrap w:val="0"/>
            <w:vAlign w:val="center"/>
          </w:tcPr>
          <w:p w14:paraId="024EB836">
            <w:pPr>
              <w:widowControl/>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包预算（元）</w:t>
            </w:r>
          </w:p>
        </w:tc>
        <w:tc>
          <w:tcPr>
            <w:tcW w:w="2070" w:type="dxa"/>
            <w:noWrap w:val="0"/>
            <w:vAlign w:val="center"/>
          </w:tcPr>
          <w:p w14:paraId="45F734A4">
            <w:pPr>
              <w:widowControl/>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包最高限价（元）</w:t>
            </w:r>
          </w:p>
        </w:tc>
      </w:tr>
      <w:tr w14:paraId="42D9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92" w:type="dxa"/>
            <w:noWrap w:val="0"/>
            <w:vAlign w:val="center"/>
          </w:tcPr>
          <w:p w14:paraId="6B19852D">
            <w:pPr>
              <w:widowControl/>
              <w:spacing w:line="460" w:lineRule="exact"/>
              <w:jc w:val="center"/>
              <w:rPr>
                <w:rFonts w:hint="eastAsia" w:ascii="宋体" w:hAnsi="宋体" w:cs="宋体"/>
                <w:color w:val="auto"/>
                <w:sz w:val="24"/>
                <w:highlight w:val="none"/>
              </w:rPr>
            </w:pPr>
            <w:r>
              <w:rPr>
                <w:rFonts w:hint="eastAsia" w:ascii="宋体" w:hAnsi="宋体" w:cs="宋体"/>
                <w:color w:val="auto"/>
                <w:kern w:val="0"/>
                <w:sz w:val="24"/>
                <w:highlight w:val="none"/>
              </w:rPr>
              <w:t>1</w:t>
            </w:r>
          </w:p>
        </w:tc>
        <w:tc>
          <w:tcPr>
            <w:tcW w:w="2175" w:type="dxa"/>
            <w:noWrap w:val="0"/>
            <w:vAlign w:val="center"/>
          </w:tcPr>
          <w:p w14:paraId="51D1C747">
            <w:pPr>
              <w:widowControl/>
              <w:spacing w:line="3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2025-06-3</w:t>
            </w:r>
            <w:r>
              <w:rPr>
                <w:rFonts w:hint="eastAsia" w:ascii="宋体" w:hAnsi="宋体" w:eastAsia="宋体" w:cs="宋体"/>
                <w:color w:val="auto"/>
                <w:sz w:val="24"/>
                <w:highlight w:val="none"/>
                <w:lang w:val="en-US" w:eastAsia="zh-CN"/>
              </w:rPr>
              <w:t>-1</w:t>
            </w:r>
          </w:p>
        </w:tc>
        <w:tc>
          <w:tcPr>
            <w:tcW w:w="2835" w:type="dxa"/>
            <w:noWrap w:val="0"/>
            <w:vAlign w:val="center"/>
          </w:tcPr>
          <w:p w14:paraId="3A1CF3DF">
            <w:pPr>
              <w:spacing w:line="300" w:lineRule="exact"/>
              <w:jc w:val="center"/>
              <w:rPr>
                <w:rFonts w:hint="eastAsia" w:ascii="宋体" w:hAnsi="宋体" w:cs="Arial"/>
                <w:snapToGrid w:val="0"/>
                <w:color w:val="auto"/>
                <w:sz w:val="24"/>
                <w:highlight w:val="none"/>
              </w:rPr>
            </w:pPr>
            <w:r>
              <w:rPr>
                <w:rFonts w:hint="eastAsia" w:ascii="宋体" w:hAnsi="宋体" w:cs="Arial"/>
                <w:snapToGrid w:val="0"/>
                <w:color w:val="auto"/>
                <w:sz w:val="24"/>
                <w:highlight w:val="none"/>
                <w:lang w:eastAsia="zh-CN"/>
              </w:rPr>
              <w:t>邓州市自然资源和规划局2025年林业有害生物防治项目</w:t>
            </w:r>
            <w:r>
              <w:rPr>
                <w:rFonts w:hint="eastAsia" w:ascii="宋体" w:hAnsi="宋体" w:cs="Arial"/>
                <w:snapToGrid w:val="0"/>
                <w:color w:val="auto"/>
                <w:sz w:val="24"/>
                <w:highlight w:val="none"/>
              </w:rPr>
              <w:t>-1标段</w:t>
            </w:r>
          </w:p>
        </w:tc>
        <w:tc>
          <w:tcPr>
            <w:tcW w:w="1875" w:type="dxa"/>
            <w:noWrap w:val="0"/>
            <w:vAlign w:val="center"/>
          </w:tcPr>
          <w:p w14:paraId="6A3F19F1">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680000.00</w:t>
            </w:r>
          </w:p>
        </w:tc>
        <w:tc>
          <w:tcPr>
            <w:tcW w:w="2070" w:type="dxa"/>
            <w:noWrap w:val="0"/>
            <w:vAlign w:val="center"/>
          </w:tcPr>
          <w:p w14:paraId="531C74EB">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680000.00</w:t>
            </w:r>
          </w:p>
        </w:tc>
      </w:tr>
    </w:tbl>
    <w:p w14:paraId="46648912">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采购需求（包括但不限于标的的名称、数量、简要技术需求或服务要求等）</w:t>
      </w:r>
    </w:p>
    <w:p w14:paraId="2E4337F7">
      <w:pPr>
        <w:widowControl/>
        <w:spacing w:line="440" w:lineRule="exact"/>
        <w:ind w:firstLine="720" w:firstLineChars="3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rPr>
        <w:t>）采购内容：</w:t>
      </w:r>
      <w:r>
        <w:rPr>
          <w:rFonts w:hint="eastAsia" w:ascii="宋体" w:hAnsi="宋体" w:eastAsia="宋体" w:cs="宋体"/>
          <w:color w:val="auto"/>
          <w:sz w:val="24"/>
          <w:highlight w:val="none"/>
          <w:lang w:val="en-US" w:eastAsia="zh-CN"/>
        </w:rPr>
        <w:t>林业有害生物防治</w:t>
      </w:r>
      <w:r>
        <w:rPr>
          <w:rFonts w:hint="eastAsia" w:ascii="宋体" w:hAnsi="宋体" w:eastAsia="宋体" w:cs="宋体"/>
          <w:color w:val="auto"/>
          <w:sz w:val="24"/>
          <w:highlight w:val="none"/>
          <w:lang w:val="en-US" w:eastAsia="zh-CN"/>
        </w:rPr>
        <w:t>（详见采购需求）</w:t>
      </w:r>
      <w:r>
        <w:rPr>
          <w:rFonts w:hint="eastAsia" w:ascii="宋体" w:hAnsi="宋体" w:cs="宋体"/>
          <w:color w:val="auto"/>
          <w:sz w:val="24"/>
          <w:highlight w:val="none"/>
        </w:rPr>
        <w:t>。</w:t>
      </w:r>
    </w:p>
    <w:p w14:paraId="1A70CB72">
      <w:pPr>
        <w:widowControl/>
        <w:spacing w:line="44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rPr>
        <w:t>）资金来源：财政资金</w:t>
      </w:r>
    </w:p>
    <w:p w14:paraId="72B891F5">
      <w:pPr>
        <w:widowControl/>
        <w:spacing w:line="44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服务</w:t>
      </w:r>
      <w:r>
        <w:rPr>
          <w:rFonts w:hint="eastAsia" w:ascii="宋体" w:hAnsi="宋体" w:cs="宋体"/>
          <w:color w:val="auto"/>
          <w:sz w:val="24"/>
          <w:highlight w:val="none"/>
        </w:rPr>
        <w:t>质量：符合国家规范、规程和地方法规及相关技术要求等规定</w:t>
      </w:r>
    </w:p>
    <w:p w14:paraId="11D7B3C6">
      <w:pPr>
        <w:widowControl/>
        <w:spacing w:line="440" w:lineRule="exact"/>
        <w:ind w:firstLine="720" w:firstLineChars="3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（4）服务</w:t>
      </w:r>
      <w:r>
        <w:rPr>
          <w:rFonts w:hint="eastAsia" w:ascii="宋体" w:hAnsi="宋体" w:eastAsia="宋体" w:cs="宋体"/>
          <w:color w:val="auto"/>
          <w:sz w:val="24"/>
          <w:highlight w:val="none"/>
          <w:lang w:val="en-US" w:eastAsia="zh-CN"/>
        </w:rPr>
        <w:t>期限</w:t>
      </w:r>
      <w:r>
        <w:rPr>
          <w:rFonts w:hint="eastAsia" w:ascii="宋体" w:hAnsi="宋体" w:cs="宋体"/>
          <w:color w:val="auto"/>
          <w:sz w:val="24"/>
          <w:highlight w:val="none"/>
        </w:rPr>
        <w:t>：合同签订之</w:t>
      </w:r>
      <w:r>
        <w:rPr>
          <w:rFonts w:hint="eastAsia" w:ascii="宋体" w:hAnsi="宋体" w:eastAsia="宋体" w:cs="宋体"/>
          <w:color w:val="auto"/>
          <w:sz w:val="24"/>
          <w:highlight w:val="none"/>
          <w:lang w:val="en-US" w:eastAsia="zh-CN"/>
        </w:rPr>
        <w:t>日起90日历天</w:t>
      </w:r>
    </w:p>
    <w:p w14:paraId="57243D12">
      <w:pPr>
        <w:widowControl/>
        <w:spacing w:line="440" w:lineRule="exact"/>
        <w:ind w:firstLine="720" w:firstLineChars="3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项目</w:t>
      </w:r>
      <w:r>
        <w:rPr>
          <w:rFonts w:hint="eastAsia" w:ascii="宋体" w:hAnsi="宋体" w:cs="宋体"/>
          <w:color w:val="auto"/>
          <w:sz w:val="24"/>
          <w:highlight w:val="none"/>
        </w:rPr>
        <w:t>地点：</w:t>
      </w:r>
      <w:r>
        <w:rPr>
          <w:rFonts w:hint="eastAsia" w:ascii="宋体" w:hAnsi="宋体" w:eastAsia="宋体" w:cs="宋体"/>
          <w:color w:val="auto"/>
          <w:sz w:val="24"/>
          <w:highlight w:val="none"/>
          <w:lang w:val="en-US" w:eastAsia="zh-CN"/>
        </w:rPr>
        <w:t>邓州市</w:t>
      </w:r>
    </w:p>
    <w:p w14:paraId="76C1500E">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合同履行期限：合同签订之日起90日历天</w:t>
      </w:r>
    </w:p>
    <w:p w14:paraId="0818EEC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本项目是否接受联合体投标：否</w:t>
      </w:r>
    </w:p>
    <w:p w14:paraId="2B45E79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w:t>
      </w:r>
      <w:r>
        <w:rPr>
          <w:rFonts w:hint="eastAsia" w:ascii="宋体" w:hAnsi="宋体" w:cs="宋体"/>
          <w:color w:val="auto"/>
          <w:sz w:val="24"/>
          <w:highlight w:val="none"/>
        </w:rPr>
        <w:t>是否接受进口产品：否</w:t>
      </w:r>
    </w:p>
    <w:p w14:paraId="66DD6001">
      <w:pPr>
        <w:spacing w:line="440" w:lineRule="exact"/>
        <w:ind w:firstLine="480" w:firstLineChars="200"/>
        <w:rPr>
          <w:rFonts w:hint="eastAsia" w:eastAsia="宋体"/>
          <w:color w:val="auto"/>
          <w:highlight w:val="none"/>
          <w:lang w:val="en-US" w:eastAsia="zh-CN"/>
        </w:rPr>
      </w:pPr>
      <w:r>
        <w:rPr>
          <w:rFonts w:hint="eastAsia" w:ascii="宋体" w:hAnsi="宋体" w:cs="宋体"/>
          <w:color w:val="auto"/>
          <w:sz w:val="24"/>
          <w:highlight w:val="none"/>
        </w:rPr>
        <w:t>9</w:t>
      </w:r>
      <w:r>
        <w:rPr>
          <w:rFonts w:hint="eastAsia" w:ascii="宋体" w:hAnsi="宋体" w:cs="宋体"/>
          <w:color w:val="auto"/>
          <w:sz w:val="24"/>
          <w:highlight w:val="none"/>
          <w:lang w:eastAsia="zh-CN"/>
        </w:rPr>
        <w:t>、</w:t>
      </w:r>
      <w:r>
        <w:rPr>
          <w:rFonts w:hint="eastAsia" w:ascii="宋体" w:hAnsi="宋体" w:cs="宋体"/>
          <w:color w:val="auto"/>
          <w:sz w:val="24"/>
          <w:highlight w:val="none"/>
        </w:rPr>
        <w:t>是否专门面向中小企业：</w:t>
      </w:r>
      <w:r>
        <w:rPr>
          <w:rFonts w:hint="eastAsia" w:ascii="宋体" w:hAnsi="宋体" w:eastAsia="宋体" w:cs="宋体"/>
          <w:color w:val="auto"/>
          <w:sz w:val="24"/>
          <w:highlight w:val="none"/>
          <w:lang w:val="en-US" w:eastAsia="zh-CN"/>
        </w:rPr>
        <w:t>否</w:t>
      </w:r>
    </w:p>
    <w:p w14:paraId="52922A66">
      <w:pPr>
        <w:pStyle w:val="2"/>
        <w:spacing w:line="440" w:lineRule="exact"/>
        <w:rPr>
          <w:rFonts w:hint="eastAsia" w:hAnsi="宋体" w:eastAsia="宋体" w:cs="宋体"/>
          <w:b/>
          <w:color w:val="auto"/>
          <w:sz w:val="24"/>
          <w:highlight w:val="none"/>
          <w:lang w:eastAsia="zh-CN"/>
        </w:rPr>
      </w:pPr>
      <w:r>
        <w:rPr>
          <w:rFonts w:hint="eastAsia" w:hAnsi="宋体" w:cs="宋体"/>
          <w:b/>
          <w:color w:val="auto"/>
          <w:sz w:val="24"/>
          <w:highlight w:val="none"/>
        </w:rPr>
        <w:t>二、申请人资格要求</w:t>
      </w:r>
      <w:bookmarkEnd w:id="9"/>
      <w:bookmarkEnd w:id="10"/>
      <w:bookmarkEnd w:id="11"/>
      <w:bookmarkEnd w:id="12"/>
      <w:r>
        <w:rPr>
          <w:rFonts w:hint="eastAsia" w:hAnsi="宋体" w:cs="宋体"/>
          <w:b/>
          <w:color w:val="auto"/>
          <w:sz w:val="24"/>
          <w:highlight w:val="none"/>
          <w:lang w:eastAsia="zh-CN"/>
        </w:rPr>
        <w:t>：</w:t>
      </w:r>
    </w:p>
    <w:p w14:paraId="5105EDE4">
      <w:pPr>
        <w:widowControl/>
        <w:spacing w:line="440" w:lineRule="exact"/>
        <w:ind w:firstLine="480" w:firstLineChars="200"/>
        <w:jc w:val="left"/>
        <w:rPr>
          <w:rFonts w:hint="eastAsia" w:ascii="宋体" w:hAnsi="宋体" w:cs="宋体"/>
          <w:color w:val="auto"/>
          <w:sz w:val="24"/>
          <w:highlight w:val="none"/>
        </w:rPr>
      </w:pPr>
      <w:bookmarkStart w:id="13" w:name="_Toc35393800"/>
      <w:bookmarkStart w:id="14" w:name="_Toc28359091"/>
      <w:bookmarkStart w:id="15" w:name="_Toc28359014"/>
      <w:bookmarkStart w:id="16" w:name="_Toc35393631"/>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满足《中华人民共和国政府采购法》第二十二条规定；</w:t>
      </w:r>
    </w:p>
    <w:p w14:paraId="3C6B8A75">
      <w:pPr>
        <w:widowControl/>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落实政府采购政策满足的资格要求：</w:t>
      </w:r>
      <w:r>
        <w:rPr>
          <w:rFonts w:hint="eastAsia" w:ascii="宋体" w:hAnsi="宋体" w:eastAsia="宋体" w:cs="宋体"/>
          <w:color w:val="auto"/>
          <w:sz w:val="24"/>
          <w:highlight w:val="none"/>
          <w:lang w:val="en-US" w:eastAsia="zh-CN"/>
        </w:rPr>
        <w:t>本项目落实中小微企业扶持、监狱企业发展扶持政策、促进残疾人就业等相关政府采购政策。</w:t>
      </w:r>
    </w:p>
    <w:p w14:paraId="446598D3">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本项目的特定资格要求</w:t>
      </w:r>
    </w:p>
    <w:p w14:paraId="1146559E">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3.1供应商须具有独立法人资格，具有有效的营业执照；</w:t>
      </w:r>
    </w:p>
    <w:p w14:paraId="3C6DC3E3">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rPr>
        <w:t>投标供应商具有良好的商业信誉和健全的财务会计制度（提供2023年度的财务审计报告或会计制度，新成立企业可提供其他证明如近一个月的企业财务报表等）；</w:t>
      </w:r>
    </w:p>
    <w:p w14:paraId="12B42BB9">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rPr>
        <w:t>具有履行合同所必需的设备和专业技术能力（提供承诺或其他证明材料）；</w:t>
      </w:r>
    </w:p>
    <w:p w14:paraId="0D9C1239">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rPr>
        <w:t>有依法缴纳税收和社会保障资金的良好记录（提供近任意一个月缴纳税收和社保缴纳证明，依法不需要纳税的企业可提供相关证明文件）；</w:t>
      </w:r>
    </w:p>
    <w:p w14:paraId="3C3B5EBF">
      <w:pPr>
        <w:widowControl/>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rPr>
        <w:t>参加政府采购活动前三年内，在经营活动中没有重大违法记录（提供承诺书，格式自拟）</w:t>
      </w:r>
      <w:r>
        <w:rPr>
          <w:rFonts w:hint="eastAsia" w:ascii="宋体" w:hAnsi="宋体" w:eastAsia="宋体" w:cs="宋体"/>
          <w:color w:val="auto"/>
          <w:sz w:val="24"/>
          <w:highlight w:val="none"/>
          <w:lang w:eastAsia="zh-CN"/>
        </w:rPr>
        <w:t>；</w:t>
      </w:r>
    </w:p>
    <w:p w14:paraId="293306ED">
      <w:pPr>
        <w:widowControl/>
        <w:spacing w:line="440" w:lineRule="exact"/>
        <w:ind w:firstLine="480" w:firstLineChars="200"/>
        <w:jc w:val="left"/>
        <w:rPr>
          <w:rFonts w:hint="eastAsia" w:ascii="宋体" w:hAnsi="宋体" w:eastAsia="微软雅黑" w:cs="宋体"/>
          <w:color w:val="auto"/>
          <w:sz w:val="24"/>
          <w:highlight w:val="none"/>
          <w:lang w:eastAsia="zh-CN"/>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cs="宋体"/>
          <w:color w:val="auto"/>
          <w:sz w:val="24"/>
          <w:highlight w:val="none"/>
          <w:lang w:val="en-US" w:eastAsia="zh-CN"/>
        </w:rPr>
        <w:t>供应商提供的用于防治有害生物的药品具有有效的</w:t>
      </w:r>
      <w:r>
        <w:rPr>
          <w:rFonts w:hint="eastAsia" w:ascii="宋体" w:hAnsi="宋体" w:cs="宋体"/>
          <w:color w:val="auto"/>
          <w:sz w:val="24"/>
          <w:highlight w:val="none"/>
        </w:rPr>
        <w:t>生产许可证或生产批准文件</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rPr>
        <w:t>农药登记证</w:t>
      </w:r>
      <w:r>
        <w:rPr>
          <w:rFonts w:hint="eastAsia" w:ascii="宋体" w:hAnsi="宋体" w:eastAsia="宋体" w:cs="宋体"/>
          <w:color w:val="auto"/>
          <w:sz w:val="24"/>
          <w:highlight w:val="none"/>
          <w:lang w:val="en-US" w:eastAsia="zh-CN"/>
        </w:rPr>
        <w:t>和</w:t>
      </w:r>
      <w:r>
        <w:rPr>
          <w:rFonts w:hint="eastAsia" w:ascii="宋体" w:hAnsi="宋体" w:cs="宋体"/>
          <w:color w:val="auto"/>
          <w:sz w:val="24"/>
          <w:highlight w:val="none"/>
        </w:rPr>
        <w:t>产品标准证</w:t>
      </w:r>
      <w:r>
        <w:rPr>
          <w:rFonts w:hint="eastAsia" w:ascii="宋体" w:hAnsi="宋体" w:cs="宋体"/>
          <w:color w:val="auto"/>
          <w:sz w:val="24"/>
          <w:highlight w:val="none"/>
          <w:lang w:eastAsia="zh-CN"/>
        </w:rPr>
        <w:t>；</w:t>
      </w:r>
    </w:p>
    <w:p w14:paraId="6C1F33AE">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eastAsia="zh-CN"/>
        </w:rPr>
        <w:t>7</w:t>
      </w:r>
      <w:r>
        <w:rPr>
          <w:rFonts w:hint="eastAsia" w:ascii="宋体" w:hAnsi="宋体" w:cs="宋体"/>
          <w:color w:val="auto"/>
          <w:sz w:val="24"/>
          <w:highlight w:val="none"/>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6FCE7C4">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eastAsia="zh-CN"/>
        </w:rPr>
        <w:t>8</w:t>
      </w:r>
      <w:r>
        <w:rPr>
          <w:rFonts w:hint="eastAsia" w:ascii="宋体" w:hAnsi="宋体" w:cs="宋体"/>
          <w:color w:val="auto"/>
          <w:sz w:val="24"/>
          <w:highlight w:val="none"/>
        </w:rPr>
        <w:t>供应商需做出“无行贿行为承诺”，如遇投诉举报，经查证其承诺不实，后果自负（提供承诺书，格式自拟，包含企业、法定代表人）。</w:t>
      </w:r>
    </w:p>
    <w:p w14:paraId="00B8CF32">
      <w:pPr>
        <w:pStyle w:val="2"/>
        <w:spacing w:line="440" w:lineRule="exact"/>
        <w:rPr>
          <w:rFonts w:hint="eastAsia" w:hAnsi="宋体" w:cs="宋体"/>
          <w:b/>
          <w:color w:val="auto"/>
          <w:sz w:val="24"/>
          <w:highlight w:val="none"/>
        </w:rPr>
      </w:pPr>
      <w:r>
        <w:rPr>
          <w:rFonts w:hint="eastAsia" w:hAnsi="宋体" w:cs="宋体"/>
          <w:b/>
          <w:color w:val="auto"/>
          <w:sz w:val="24"/>
          <w:highlight w:val="none"/>
        </w:rPr>
        <w:t>三、获取采购文件</w:t>
      </w:r>
      <w:bookmarkEnd w:id="13"/>
      <w:bookmarkEnd w:id="14"/>
      <w:bookmarkEnd w:id="15"/>
      <w:bookmarkEnd w:id="16"/>
    </w:p>
    <w:p w14:paraId="17170EF1">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eastAsia="宋体" w:cs="宋体"/>
          <w:color w:val="auto"/>
          <w:sz w:val="24"/>
          <w:highlight w:val="none"/>
          <w:lang w:eastAsia="zh-CN"/>
        </w:rPr>
        <w:t>2025年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日至</w:t>
      </w:r>
      <w:r>
        <w:rPr>
          <w:rFonts w:hint="eastAsia" w:ascii="宋体" w:hAnsi="宋体" w:eastAsia="宋体" w:cs="宋体"/>
          <w:color w:val="auto"/>
          <w:sz w:val="24"/>
          <w:highlight w:val="none"/>
          <w:lang w:eastAsia="zh-CN"/>
        </w:rPr>
        <w:t>2025年</w:t>
      </w:r>
      <w:r>
        <w:rPr>
          <w:rFonts w:hint="eastAsia" w:ascii="宋体" w:hAnsi="宋体" w:eastAsia="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每</w:t>
      </w:r>
      <w:r>
        <w:rPr>
          <w:rFonts w:hint="eastAsia" w:ascii="宋体" w:hAnsi="宋体" w:cs="宋体"/>
          <w:color w:val="auto"/>
          <w:sz w:val="24"/>
          <w:highlight w:val="none"/>
        </w:rPr>
        <w:t>天上午08:00至12:00，下午12:00至18:00（北京时间，法定节假日除外）。</w:t>
      </w:r>
    </w:p>
    <w:p w14:paraId="6949D8EC">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2.地点：《全国公共资源交易平台（</w:t>
      </w:r>
      <w:r>
        <w:rPr>
          <w:rFonts w:hint="eastAsia" w:ascii="宋体" w:hAnsi="宋体" w:eastAsia="宋体" w:cs="宋体"/>
          <w:color w:val="auto"/>
          <w:sz w:val="24"/>
          <w:highlight w:val="none"/>
          <w:lang w:eastAsia="zh-CN"/>
        </w:rPr>
        <w:t>河南省·南阳邓州分平台</w:t>
      </w:r>
      <w:r>
        <w:rPr>
          <w:rFonts w:hint="eastAsia" w:ascii="宋体" w:hAnsi="宋体" w:cs="宋体"/>
          <w:color w:val="auto"/>
          <w:sz w:val="24"/>
          <w:highlight w:val="none"/>
        </w:rPr>
        <w:t>）》</w:t>
      </w:r>
    </w:p>
    <w:p w14:paraId="4AA3D111">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3.方式：使用普通电子交易系统的，登录</w:t>
      </w:r>
      <w:r>
        <w:rPr>
          <w:rFonts w:hint="eastAsia" w:ascii="宋体" w:hAnsi="宋体" w:eastAsia="宋体" w:cs="宋体"/>
          <w:color w:val="auto"/>
          <w:sz w:val="24"/>
          <w:highlight w:val="none"/>
          <w:lang w:eastAsia="zh-CN"/>
        </w:rPr>
        <w:t>全国公共资源交易平台（河南省·南阳邓州分平台）</w:t>
      </w:r>
      <w:r>
        <w:rPr>
          <w:rFonts w:hint="eastAsia" w:ascii="宋体" w:hAnsi="宋体" w:cs="宋体"/>
          <w:color w:val="auto"/>
          <w:sz w:val="24"/>
          <w:highlight w:val="none"/>
        </w:rPr>
        <w:t>（http://ggzyjy.dengzhou.gov.cn/），注册后凭办理的企业身份认证锁（CA数字证书）登录会员系统按网上提示下载采购文件(*.nyzf格式)及资料（操作程序详见</w:t>
      </w:r>
      <w:r>
        <w:rPr>
          <w:rFonts w:hint="eastAsia" w:ascii="宋体" w:hAnsi="宋体" w:eastAsia="宋体" w:cs="宋体"/>
          <w:color w:val="auto"/>
          <w:sz w:val="24"/>
          <w:highlight w:val="none"/>
          <w:lang w:eastAsia="zh-CN"/>
        </w:rPr>
        <w:t>全国公共资源交易平台（河南省·南阳邓州分平台）</w:t>
      </w:r>
      <w:r>
        <w:rPr>
          <w:rFonts w:hint="eastAsia" w:ascii="宋体" w:hAnsi="宋体" w:cs="宋体"/>
          <w:color w:val="auto"/>
          <w:sz w:val="24"/>
          <w:highlight w:val="none"/>
        </w:rPr>
        <w:t>站下载专区），电子交易系统技术支持电话：0512-58188538，CA数字证书技术支持电话详见</w:t>
      </w:r>
      <w:r>
        <w:rPr>
          <w:rFonts w:hint="eastAsia" w:ascii="宋体" w:hAnsi="宋体" w:eastAsia="宋体" w:cs="宋体"/>
          <w:color w:val="auto"/>
          <w:sz w:val="24"/>
          <w:highlight w:val="none"/>
          <w:lang w:eastAsia="zh-CN"/>
        </w:rPr>
        <w:t>全国公共资源交易平台（河南省·南阳邓州分平台）</w:t>
      </w:r>
      <w:r>
        <w:rPr>
          <w:rFonts w:hint="eastAsia" w:ascii="宋体" w:hAnsi="宋体" w:eastAsia="宋体" w:cs="宋体"/>
          <w:color w:val="auto"/>
          <w:sz w:val="24"/>
          <w:highlight w:val="none"/>
          <w:lang w:val="en-US" w:eastAsia="zh-CN"/>
        </w:rPr>
        <w:t>网</w:t>
      </w:r>
      <w:r>
        <w:rPr>
          <w:rFonts w:hint="eastAsia" w:ascii="宋体" w:hAnsi="宋体" w:cs="宋体"/>
          <w:color w:val="auto"/>
          <w:sz w:val="24"/>
          <w:highlight w:val="none"/>
        </w:rPr>
        <w:t>站。</w:t>
      </w:r>
    </w:p>
    <w:p w14:paraId="736ADAE3">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4.售价：0元。</w:t>
      </w:r>
    </w:p>
    <w:p w14:paraId="450F2ACB">
      <w:pPr>
        <w:pStyle w:val="2"/>
        <w:spacing w:line="440" w:lineRule="exact"/>
        <w:rPr>
          <w:rFonts w:hint="eastAsia" w:hAnsi="宋体" w:cs="宋体"/>
          <w:b/>
          <w:color w:val="auto"/>
          <w:sz w:val="24"/>
          <w:highlight w:val="none"/>
        </w:rPr>
      </w:pPr>
      <w:bookmarkStart w:id="17" w:name="_Toc35393801"/>
      <w:bookmarkStart w:id="18" w:name="_Toc28359015"/>
      <w:bookmarkStart w:id="19" w:name="_Toc35393632"/>
      <w:bookmarkStart w:id="20" w:name="_Toc28359092"/>
      <w:r>
        <w:rPr>
          <w:rFonts w:hint="eastAsia" w:hAnsi="宋体" w:cs="宋体"/>
          <w:b/>
          <w:color w:val="auto"/>
          <w:sz w:val="24"/>
          <w:highlight w:val="none"/>
        </w:rPr>
        <w:t>四、</w:t>
      </w:r>
      <w:bookmarkEnd w:id="17"/>
      <w:bookmarkEnd w:id="18"/>
      <w:bookmarkEnd w:id="19"/>
      <w:bookmarkEnd w:id="20"/>
      <w:r>
        <w:rPr>
          <w:rFonts w:hint="eastAsia" w:hAnsi="宋体" w:cs="宋体"/>
          <w:b/>
          <w:color w:val="auto"/>
          <w:sz w:val="24"/>
          <w:highlight w:val="none"/>
        </w:rPr>
        <w:t>响应文件提交</w:t>
      </w:r>
    </w:p>
    <w:p w14:paraId="054C1289">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截止</w:t>
      </w:r>
      <w:r>
        <w:rPr>
          <w:rFonts w:hint="eastAsia" w:ascii="宋体" w:hAnsi="宋体" w:cs="宋体"/>
          <w:color w:val="auto"/>
          <w:sz w:val="24"/>
          <w:highlight w:val="none"/>
        </w:rPr>
        <w:t>时间：</w:t>
      </w:r>
      <w:r>
        <w:rPr>
          <w:rFonts w:hint="eastAsia" w:ascii="宋体" w:hAnsi="宋体" w:eastAsia="宋体" w:cs="宋体"/>
          <w:color w:val="auto"/>
          <w:sz w:val="24"/>
          <w:highlight w:val="none"/>
          <w:lang w:eastAsia="zh-CN"/>
        </w:rPr>
        <w:t>2025年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0分（北京时间</w:t>
      </w:r>
      <w:r>
        <w:rPr>
          <w:rFonts w:hint="eastAsia" w:ascii="宋体" w:hAnsi="宋体" w:cs="宋体"/>
          <w:color w:val="auto"/>
          <w:sz w:val="24"/>
          <w:highlight w:val="none"/>
        </w:rPr>
        <w:t>）</w:t>
      </w:r>
    </w:p>
    <w:p w14:paraId="1F59D03D">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2.地点：本项目使用不见面开标，投标人无需前往现场来参与投标</w:t>
      </w:r>
      <w:r>
        <w:rPr>
          <w:rFonts w:hint="eastAsia" w:ascii="宋体" w:hAnsi="宋体" w:eastAsia="宋体" w:cs="宋体"/>
          <w:color w:val="auto"/>
          <w:sz w:val="24"/>
          <w:highlight w:val="none"/>
          <w:lang w:eastAsia="zh-CN"/>
        </w:rPr>
        <w:t>。具体操作流程详见</w:t>
      </w:r>
      <w:r>
        <w:rPr>
          <w:rFonts w:hint="eastAsia" w:ascii="宋体" w:hAnsi="宋体" w:cs="宋体"/>
          <w:color w:val="auto"/>
          <w:sz w:val="24"/>
          <w:highlight w:val="none"/>
        </w:rPr>
        <w:t>全国公共资源交易平台（</w:t>
      </w:r>
      <w:r>
        <w:rPr>
          <w:rFonts w:hint="eastAsia" w:ascii="宋体" w:hAnsi="宋体" w:eastAsia="宋体" w:cs="宋体"/>
          <w:color w:val="auto"/>
          <w:sz w:val="24"/>
          <w:highlight w:val="none"/>
          <w:lang w:eastAsia="zh-CN"/>
        </w:rPr>
        <w:t>河南省·南阳邓州分平台</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下载专区栏发布的南阳不见面开标-操作手册（投标人）。</w:t>
      </w:r>
    </w:p>
    <w:p w14:paraId="119E4EE0">
      <w:pPr>
        <w:pStyle w:val="2"/>
        <w:spacing w:line="440" w:lineRule="exact"/>
        <w:rPr>
          <w:rFonts w:hint="eastAsia" w:hAnsi="宋体" w:cs="宋体"/>
          <w:b/>
          <w:color w:val="auto"/>
          <w:sz w:val="24"/>
          <w:highlight w:val="none"/>
        </w:rPr>
      </w:pPr>
      <w:bookmarkStart w:id="21" w:name="_Toc28359016"/>
      <w:bookmarkStart w:id="22" w:name="_Toc35393633"/>
      <w:bookmarkStart w:id="23" w:name="_Toc28359093"/>
      <w:bookmarkStart w:id="24" w:name="_Toc35393802"/>
      <w:r>
        <w:rPr>
          <w:rFonts w:hint="eastAsia" w:hAnsi="宋体" w:cs="宋体"/>
          <w:b/>
          <w:color w:val="auto"/>
          <w:sz w:val="24"/>
          <w:highlight w:val="none"/>
        </w:rPr>
        <w:t>五、</w:t>
      </w:r>
      <w:bookmarkEnd w:id="21"/>
      <w:bookmarkEnd w:id="22"/>
      <w:bookmarkEnd w:id="23"/>
      <w:bookmarkEnd w:id="24"/>
      <w:r>
        <w:rPr>
          <w:rFonts w:hint="eastAsia" w:hAnsi="宋体" w:cs="宋体"/>
          <w:b/>
          <w:color w:val="auto"/>
          <w:sz w:val="24"/>
          <w:highlight w:val="none"/>
        </w:rPr>
        <w:t>响应文件开启</w:t>
      </w:r>
    </w:p>
    <w:p w14:paraId="4D4B76AC">
      <w:pPr>
        <w:widowControl/>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eastAsia="宋体" w:cs="宋体"/>
          <w:color w:val="auto"/>
          <w:sz w:val="24"/>
          <w:highlight w:val="none"/>
          <w:lang w:eastAsia="zh-CN"/>
        </w:rPr>
        <w:t>2025年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w:t>
      </w:r>
      <w:r>
        <w:rPr>
          <w:rFonts w:hint="eastAsia" w:ascii="宋体" w:hAnsi="宋体" w:eastAsia="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0分（北京时间）</w:t>
      </w:r>
    </w:p>
    <w:p w14:paraId="24599BD2">
      <w:pPr>
        <w:widowControl/>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2.地点：本项目使用不见面开标，投标人无需前往现场来参与投标。具体操作流程详见全国公共资源交易平台（</w:t>
      </w:r>
      <w:r>
        <w:rPr>
          <w:rFonts w:hint="eastAsia" w:ascii="宋体" w:hAnsi="宋体" w:eastAsia="宋体" w:cs="宋体"/>
          <w:color w:val="auto"/>
          <w:sz w:val="24"/>
          <w:highlight w:val="none"/>
          <w:lang w:eastAsia="zh-CN"/>
        </w:rPr>
        <w:t>河南省·南阳邓州分平台</w:t>
      </w:r>
      <w:r>
        <w:rPr>
          <w:rFonts w:hint="eastAsia" w:ascii="宋体" w:hAnsi="宋体" w:cs="宋体"/>
          <w:color w:val="auto"/>
          <w:sz w:val="24"/>
          <w:highlight w:val="none"/>
        </w:rPr>
        <w:t>）下载专区栏发布的南阳不见面开标-操作手册（投标人）</w:t>
      </w:r>
      <w:r>
        <w:rPr>
          <w:rFonts w:hint="eastAsia" w:ascii="宋体" w:hAnsi="宋体" w:eastAsia="宋体" w:cs="宋体"/>
          <w:color w:val="auto"/>
          <w:sz w:val="24"/>
          <w:highlight w:val="none"/>
          <w:lang w:eastAsia="zh-CN"/>
        </w:rPr>
        <w:t>。</w:t>
      </w:r>
    </w:p>
    <w:p w14:paraId="3CB5767B">
      <w:pPr>
        <w:pStyle w:val="2"/>
        <w:spacing w:line="440" w:lineRule="exact"/>
        <w:rPr>
          <w:rFonts w:hint="eastAsia" w:hAnsi="宋体" w:cs="宋体"/>
          <w:b/>
          <w:color w:val="auto"/>
          <w:sz w:val="24"/>
          <w:highlight w:val="none"/>
        </w:rPr>
      </w:pPr>
      <w:bookmarkStart w:id="25" w:name="_Toc35393803"/>
      <w:bookmarkStart w:id="26" w:name="_Toc28359094"/>
      <w:bookmarkStart w:id="27" w:name="_Toc35393634"/>
      <w:bookmarkStart w:id="28" w:name="_Toc28359017"/>
      <w:r>
        <w:rPr>
          <w:rFonts w:hint="eastAsia" w:hAnsi="宋体" w:cs="宋体"/>
          <w:b/>
          <w:color w:val="auto"/>
          <w:sz w:val="24"/>
          <w:highlight w:val="none"/>
        </w:rPr>
        <w:t>六、</w:t>
      </w:r>
      <w:bookmarkEnd w:id="25"/>
      <w:bookmarkEnd w:id="26"/>
      <w:bookmarkEnd w:id="27"/>
      <w:bookmarkEnd w:id="28"/>
      <w:r>
        <w:rPr>
          <w:rFonts w:hint="eastAsia" w:hAnsi="宋体" w:cs="宋体"/>
          <w:b/>
          <w:color w:val="auto"/>
          <w:sz w:val="24"/>
          <w:highlight w:val="none"/>
        </w:rPr>
        <w:t>发布公告的媒介及</w:t>
      </w:r>
      <w:r>
        <w:rPr>
          <w:rFonts w:hint="eastAsia" w:hAnsi="宋体" w:cs="宋体"/>
          <w:b/>
          <w:color w:val="auto"/>
          <w:sz w:val="24"/>
          <w:highlight w:val="none"/>
          <w:lang w:val="en-US" w:eastAsia="zh-CN"/>
        </w:rPr>
        <w:t>招标</w:t>
      </w:r>
      <w:r>
        <w:rPr>
          <w:rFonts w:hint="eastAsia" w:hAnsi="宋体" w:cs="宋体"/>
          <w:b/>
          <w:color w:val="auto"/>
          <w:sz w:val="24"/>
          <w:highlight w:val="none"/>
        </w:rPr>
        <w:t>公告期限</w:t>
      </w:r>
    </w:p>
    <w:p w14:paraId="6F2C3259">
      <w:pPr>
        <w:widowControl/>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本次公告在《河南省政府采购网》、《中国招标投标公共服务平台》和《全国公共资源交易平台（</w:t>
      </w:r>
      <w:r>
        <w:rPr>
          <w:rFonts w:hint="eastAsia" w:ascii="宋体" w:hAnsi="宋体" w:eastAsia="宋体" w:cs="宋体"/>
          <w:color w:val="auto"/>
          <w:kern w:val="0"/>
          <w:sz w:val="24"/>
          <w:highlight w:val="none"/>
          <w:lang w:eastAsia="zh-CN"/>
        </w:rPr>
        <w:t>河南省·南阳邓州分平台</w:t>
      </w:r>
      <w:r>
        <w:rPr>
          <w:rFonts w:hint="eastAsia" w:ascii="宋体" w:hAnsi="宋体" w:cs="宋体"/>
          <w:color w:val="auto"/>
          <w:kern w:val="0"/>
          <w:sz w:val="24"/>
          <w:highlight w:val="none"/>
        </w:rPr>
        <w:t>）》上发布，</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公告期限为三个工作日。</w:t>
      </w:r>
    </w:p>
    <w:p w14:paraId="1CA1B64E">
      <w:pPr>
        <w:pStyle w:val="2"/>
        <w:spacing w:line="440" w:lineRule="exact"/>
        <w:rPr>
          <w:rFonts w:hint="eastAsia" w:hAnsi="宋体" w:cs="宋体"/>
          <w:b/>
          <w:color w:val="auto"/>
          <w:sz w:val="24"/>
          <w:highlight w:val="none"/>
        </w:rPr>
      </w:pPr>
      <w:bookmarkStart w:id="29" w:name="_Toc35393804"/>
      <w:bookmarkStart w:id="30" w:name="_Toc35393635"/>
      <w:r>
        <w:rPr>
          <w:rFonts w:hint="eastAsia" w:hAnsi="宋体" w:cs="宋体"/>
          <w:b/>
          <w:color w:val="auto"/>
          <w:sz w:val="24"/>
          <w:highlight w:val="none"/>
        </w:rPr>
        <w:t>七、其他补充事宜</w:t>
      </w:r>
      <w:bookmarkEnd w:id="29"/>
      <w:bookmarkEnd w:id="30"/>
    </w:p>
    <w:p w14:paraId="46D8AB71">
      <w:pPr>
        <w:widowControl/>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采购文件获取有时间要求，错过时间后将无法完成操作，一切后果由投标供应商自负，请各投标供应商在获取采购文件后及时关注网站更新信息，若因其他原因未能及时看到网上更新信息而造成的损失，招标人及代理机构将不负任何责任。</w:t>
      </w:r>
    </w:p>
    <w:p w14:paraId="3F04338F">
      <w:pPr>
        <w:widowControl/>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潜在投标供应商务必在获取采购文件时间内完成采购文件下载并确保文件下载完整（电子版采购文件及相关附件一并下载），获取时间截止后将无法下载任何采购文件内容，若由此原因影响响应文件制作、响应文件递交、响应文件解密等情况，造成的损失由潜在投标供应商自行承担。</w:t>
      </w:r>
    </w:p>
    <w:p w14:paraId="7D381F42">
      <w:pPr>
        <w:widowControl/>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该项目需要使用网上远程不见面系统开标。各供应商根据操作手册要求，提前做好相关准备工作，附件：操作手册地址(下载专区中自行下载)，所有准备工作需自行到位，开标过程中如遇到紧急事项，可在不见面开标大厅中进行提出异议或文字交流，严重问题可拨打技术支持电话0512-58188538。各供应商需在首次递交投标文件截止前登录网上不见面系统进行签到（递交</w:t>
      </w:r>
      <w:r>
        <w:rPr>
          <w:rFonts w:hint="eastAsia" w:ascii="宋体" w:hAnsi="宋体" w:eastAsia="宋体" w:cs="宋体"/>
          <w:color w:val="auto"/>
          <w:kern w:val="0"/>
          <w:sz w:val="24"/>
          <w:highlight w:val="none"/>
          <w:lang w:eastAsia="zh-CN"/>
        </w:rPr>
        <w:t>密钥</w:t>
      </w:r>
      <w:r>
        <w:rPr>
          <w:rFonts w:hint="eastAsia" w:ascii="宋体" w:hAnsi="宋体" w:cs="宋体"/>
          <w:color w:val="auto"/>
          <w:kern w:val="0"/>
          <w:sz w:val="24"/>
          <w:highlight w:val="none"/>
        </w:rPr>
        <w:t>）。不见面开标大厅地址（https://ggzyjy.nanyang.gov.cn/BidOpening/bidhall/nanyang/login.html）</w:t>
      </w:r>
    </w:p>
    <w:p w14:paraId="31A54EE8">
      <w:pPr>
        <w:widowControl/>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）网上不见面开标过程中，如投标供应商准备不到位，造成签到（递交</w:t>
      </w:r>
      <w:r>
        <w:rPr>
          <w:rFonts w:hint="eastAsia" w:ascii="宋体" w:hAnsi="宋体" w:eastAsia="宋体" w:cs="宋体"/>
          <w:color w:val="auto"/>
          <w:kern w:val="0"/>
          <w:sz w:val="24"/>
          <w:highlight w:val="none"/>
          <w:lang w:eastAsia="zh-CN"/>
        </w:rPr>
        <w:t>密钥</w:t>
      </w:r>
      <w:r>
        <w:rPr>
          <w:rFonts w:hint="eastAsia" w:ascii="宋体" w:hAnsi="宋体" w:cs="宋体"/>
          <w:color w:val="auto"/>
          <w:kern w:val="0"/>
          <w:sz w:val="24"/>
          <w:highlight w:val="none"/>
        </w:rPr>
        <w:t>）截止时间内无法及时解密、网络问题等情况造成开标无法继续的，视为该投标供应商自动放弃投标（投标截止时间起</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0分钟内无法确认的），将被退回</w:t>
      </w:r>
      <w:r>
        <w:rPr>
          <w:rFonts w:hint="eastAsia" w:ascii="宋体" w:hAnsi="宋体" w:cs="宋体"/>
          <w:color w:val="auto"/>
          <w:kern w:val="0"/>
          <w:sz w:val="24"/>
          <w:highlight w:val="none"/>
          <w:lang w:val="en-US" w:eastAsia="zh-CN"/>
        </w:rPr>
        <w:t>响应</w:t>
      </w:r>
      <w:r>
        <w:rPr>
          <w:rFonts w:hint="eastAsia" w:ascii="宋体" w:hAnsi="宋体" w:cs="宋体"/>
          <w:color w:val="auto"/>
          <w:kern w:val="0"/>
          <w:sz w:val="24"/>
          <w:highlight w:val="none"/>
        </w:rPr>
        <w:t>文件。</w:t>
      </w:r>
    </w:p>
    <w:p w14:paraId="76C2778A">
      <w:pPr>
        <w:widowControl/>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）二次报价时间及报价注意事项：请供应商在签到结束后，时刻注意系统提示信息</w:t>
      </w:r>
    </w:p>
    <w:p w14:paraId="2216C9A3">
      <w:pPr>
        <w:pStyle w:val="2"/>
        <w:rPr>
          <w:rFonts w:hint="eastAsia" w:ascii="宋体" w:hAnsi="宋体" w:cs="宋体"/>
          <w:color w:val="auto"/>
          <w:kern w:val="0"/>
          <w:sz w:val="24"/>
          <w:highlight w:val="none"/>
        </w:rPr>
      </w:pPr>
      <w:r>
        <w:rPr>
          <w:rFonts w:hint="eastAsia" w:ascii="宋体" w:hAnsi="宋体" w:cs="宋体"/>
          <w:color w:val="auto"/>
          <w:kern w:val="0"/>
          <w:sz w:val="24"/>
          <w:highlight w:val="none"/>
        </w:rPr>
        <w:t>，磋商小组会在系统上发起二次报价，请供应商及时在规定的时间段内填报二次报价。二</w:t>
      </w:r>
    </w:p>
    <w:p w14:paraId="34E8D398">
      <w:pPr>
        <w:widowControl/>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次报价结束后方可离开。</w:t>
      </w:r>
    </w:p>
    <w:p w14:paraId="4FA8D6A9">
      <w:pPr>
        <w:pStyle w:val="2"/>
        <w:spacing w:line="440" w:lineRule="exact"/>
        <w:rPr>
          <w:rFonts w:hint="eastAsia" w:hAnsi="宋体" w:cs="宋体"/>
          <w:b/>
          <w:color w:val="auto"/>
          <w:sz w:val="24"/>
          <w:highlight w:val="none"/>
        </w:rPr>
      </w:pPr>
      <w:bookmarkStart w:id="31" w:name="_Toc35393805"/>
      <w:bookmarkStart w:id="32" w:name="_Toc28359018"/>
      <w:bookmarkStart w:id="33" w:name="_Toc35393636"/>
      <w:bookmarkStart w:id="34" w:name="_Toc28359095"/>
      <w:r>
        <w:rPr>
          <w:rFonts w:hint="eastAsia" w:hAnsi="宋体" w:cs="宋体"/>
          <w:b/>
          <w:color w:val="auto"/>
          <w:sz w:val="24"/>
          <w:highlight w:val="none"/>
        </w:rPr>
        <w:t>八、</w:t>
      </w:r>
      <w:bookmarkEnd w:id="31"/>
      <w:bookmarkEnd w:id="32"/>
      <w:bookmarkEnd w:id="33"/>
      <w:bookmarkEnd w:id="34"/>
      <w:r>
        <w:rPr>
          <w:rFonts w:hint="eastAsia" w:hAnsi="宋体" w:cs="宋体"/>
          <w:b/>
          <w:color w:val="auto"/>
          <w:sz w:val="24"/>
          <w:highlight w:val="none"/>
        </w:rPr>
        <w:t>凡对本次</w:t>
      </w:r>
      <w:r>
        <w:rPr>
          <w:rFonts w:hint="eastAsia" w:hAnsi="宋体" w:cs="宋体"/>
          <w:b/>
          <w:color w:val="auto"/>
          <w:sz w:val="24"/>
          <w:highlight w:val="none"/>
          <w:lang w:val="en-US" w:eastAsia="zh-CN"/>
        </w:rPr>
        <w:t>招标</w:t>
      </w:r>
      <w:r>
        <w:rPr>
          <w:rFonts w:hint="eastAsia" w:hAnsi="宋体" w:cs="宋体"/>
          <w:b/>
          <w:color w:val="auto"/>
          <w:sz w:val="24"/>
          <w:highlight w:val="none"/>
        </w:rPr>
        <w:t>提出询问，请按</w:t>
      </w:r>
      <w:r>
        <w:rPr>
          <w:rFonts w:hint="eastAsia" w:hAnsi="宋体" w:cs="宋体"/>
          <w:b/>
          <w:color w:val="auto"/>
          <w:sz w:val="24"/>
          <w:highlight w:val="none"/>
          <w:lang w:val="en-US" w:eastAsia="zh-CN"/>
        </w:rPr>
        <w:t>照</w:t>
      </w:r>
      <w:r>
        <w:rPr>
          <w:rFonts w:hint="eastAsia" w:hAnsi="宋体" w:cs="宋体"/>
          <w:b/>
          <w:color w:val="auto"/>
          <w:sz w:val="24"/>
          <w:highlight w:val="none"/>
        </w:rPr>
        <w:t>以下方式联系</w:t>
      </w:r>
    </w:p>
    <w:p w14:paraId="5380025C">
      <w:pPr>
        <w:widowControl/>
        <w:spacing w:line="44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1.采购人信息</w:t>
      </w:r>
    </w:p>
    <w:p w14:paraId="0215EE8A">
      <w:pPr>
        <w:widowControl/>
        <w:spacing w:line="44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名称：邓州市自然资源和规划局</w:t>
      </w:r>
    </w:p>
    <w:p w14:paraId="7C4B32A4">
      <w:pPr>
        <w:widowControl/>
        <w:spacing w:line="44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地址：邓州市穰邓大道东段10号‌</w:t>
      </w:r>
    </w:p>
    <w:p w14:paraId="1D5E3524">
      <w:pPr>
        <w:widowControl/>
        <w:spacing w:line="440" w:lineRule="exact"/>
        <w:ind w:firstLine="480" w:firstLineChars="200"/>
        <w:jc w:val="left"/>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联系人：刘先生</w:t>
      </w:r>
    </w:p>
    <w:p w14:paraId="2C7F8875">
      <w:pPr>
        <w:widowControl/>
        <w:spacing w:line="440" w:lineRule="exact"/>
        <w:ind w:firstLine="480" w:firstLineChars="200"/>
        <w:jc w:val="left"/>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联系方式：18736522262</w:t>
      </w:r>
    </w:p>
    <w:p w14:paraId="222688CB">
      <w:pPr>
        <w:widowControl/>
        <w:spacing w:line="44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2.采购代理机构信息（如有）</w:t>
      </w:r>
    </w:p>
    <w:p w14:paraId="772D1D4E">
      <w:pPr>
        <w:widowControl/>
        <w:spacing w:line="44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名称：邓宛工程咨询（河南）有限公司</w:t>
      </w:r>
    </w:p>
    <w:p w14:paraId="095C3370">
      <w:pPr>
        <w:widowControl/>
        <w:spacing w:line="440" w:lineRule="exact"/>
        <w:ind w:firstLine="480" w:firstLineChars="200"/>
        <w:jc w:val="left"/>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地址：河南省南阳市光武大道金融中心4号楼506室</w:t>
      </w:r>
    </w:p>
    <w:p w14:paraId="54A40883">
      <w:pPr>
        <w:widowControl/>
        <w:spacing w:line="44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联系人：王女士</w:t>
      </w:r>
    </w:p>
    <w:p w14:paraId="01709734">
      <w:pPr>
        <w:widowControl/>
        <w:spacing w:line="440" w:lineRule="exact"/>
        <w:ind w:firstLine="480" w:firstLineChars="200"/>
        <w:jc w:val="left"/>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联系方式：13333669549</w:t>
      </w:r>
    </w:p>
    <w:p w14:paraId="498A4B60">
      <w:pPr>
        <w:widowControl/>
        <w:spacing w:line="44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3.项目联系方式</w:t>
      </w:r>
    </w:p>
    <w:p w14:paraId="2CC1702A">
      <w:pPr>
        <w:widowControl/>
        <w:spacing w:line="44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项目联系人：王女士</w:t>
      </w:r>
    </w:p>
    <w:p w14:paraId="0844980A">
      <w:pPr>
        <w:widowControl/>
        <w:spacing w:line="440" w:lineRule="exact"/>
        <w:ind w:firstLine="480" w:firstLineChars="200"/>
        <w:jc w:val="left"/>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联系方式：13333669549</w:t>
      </w:r>
    </w:p>
    <w:p w14:paraId="4EF097ED">
      <w:pPr>
        <w:widowControl/>
        <w:spacing w:line="44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br w:type="page"/>
      </w:r>
    </w:p>
    <w:p w14:paraId="2AE53EE9">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Theme="minorEastAsia" w:hAnsiTheme="minorEastAsia" w:eastAsiaTheme="minorEastAsia" w:cstheme="minorEastAsia"/>
          <w:b w:val="0"/>
          <w:snapToGrid w:val="0"/>
          <w:color w:val="auto"/>
          <w:spacing w:val="-1"/>
          <w:kern w:val="0"/>
          <w:sz w:val="36"/>
          <w:szCs w:val="36"/>
          <w:highlight w:val="none"/>
          <w:lang w:val="en-US" w:eastAsia="en-US" w:bidi="ar-SA"/>
          <w14:textOutline w14:w="2306" w14:cap="flat" w14:cmpd="sng">
            <w14:solidFill>
              <w14:srgbClr w14:val="000000"/>
            </w14:solidFill>
            <w14:prstDash w14:val="solid"/>
            <w14:miter w14:val="0"/>
          </w14:textOutline>
        </w:rPr>
      </w:pPr>
      <w:bookmarkStart w:id="35" w:name="_Toc2694"/>
      <w:r>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b w:val="0"/>
          <w:snapToGrid w:val="0"/>
          <w:color w:val="auto"/>
          <w:spacing w:val="-1"/>
          <w:kern w:val="0"/>
          <w:sz w:val="52"/>
          <w:szCs w:val="52"/>
          <w:highlight w:val="none"/>
          <w:lang w:val="en-US" w:eastAsia="zh-CN" w:bidi="ar-SA"/>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t>采购需求</w:t>
      </w:r>
      <w:bookmarkEnd w:id="35"/>
    </w:p>
    <w:p w14:paraId="762F1DE2">
      <w:pPr>
        <w:keepNext w:val="0"/>
        <w:keepLines w:val="0"/>
        <w:pageBreakBefore w:val="0"/>
        <w:widowControl/>
        <w:overflowPunct/>
        <w:topLinePunct w:val="0"/>
        <w:bidi w:val="0"/>
        <w:adjustRightInd w:val="0"/>
        <w:snapToGrid w:val="0"/>
        <w:spacing w:line="500" w:lineRule="exact"/>
        <w:rPr>
          <w:rFonts w:hint="eastAsia" w:ascii="宋体" w:hAnsi="宋体" w:eastAsia="宋体" w:cs="宋体"/>
          <w:b w:val="0"/>
          <w:snapToGrid w:val="0"/>
          <w:color w:val="auto"/>
          <w:spacing w:val="-1"/>
          <w:kern w:val="0"/>
          <w:sz w:val="24"/>
          <w:szCs w:val="24"/>
          <w:highlight w:val="none"/>
          <w:lang w:val="en-US" w:eastAsia="en-US" w:bidi="ar-SA"/>
          <w14:textOutline w14:w="2306" w14:cap="flat" w14:cmpd="sng">
            <w14:solidFill>
              <w14:srgbClr w14:val="000000"/>
            </w14:solidFill>
            <w14:prstDash w14:val="solid"/>
            <w14:miter w14:val="0"/>
          </w14:textOutline>
        </w:rPr>
      </w:pPr>
      <w:r>
        <w:rPr>
          <w:rFonts w:hint="eastAsia" w:ascii="宋体" w:hAnsi="宋体" w:eastAsia="宋体" w:cs="宋体"/>
          <w:color w:val="auto"/>
          <w:spacing w:val="-1"/>
          <w:sz w:val="24"/>
          <w:szCs w:val="24"/>
          <w:highlight w:val="none"/>
          <w14:textOutline w14:w="1537" w14:cap="flat" w14:cmpd="sng">
            <w14:solidFill>
              <w14:srgbClr w14:val="000000"/>
            </w14:solidFill>
            <w14:prstDash w14:val="solid"/>
            <w14:miter w14:val="0"/>
          </w14:textOutline>
        </w:rPr>
        <w:t>一、采购</w:t>
      </w:r>
      <w:r>
        <w:rPr>
          <w:rFonts w:hint="eastAsia" w:ascii="宋体" w:hAnsi="宋体" w:eastAsia="宋体" w:cs="宋体"/>
          <w:color w:val="auto"/>
          <w:spacing w:val="-1"/>
          <w:sz w:val="24"/>
          <w:szCs w:val="24"/>
          <w:highlight w:val="none"/>
          <w:lang w:val="en-US" w:eastAsia="zh-CN"/>
          <w14:textOutline w14:w="1537" w14:cap="flat" w14:cmpd="sng">
            <w14:solidFill>
              <w14:srgbClr w14:val="000000"/>
            </w14:solidFill>
            <w14:prstDash w14:val="solid"/>
            <w14:miter w14:val="0"/>
          </w14:textOutline>
        </w:rPr>
        <w:t>内容及要求</w:t>
      </w:r>
    </w:p>
    <w:p w14:paraId="5D3689B2">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78" w:firstLineChars="200"/>
        <w:jc w:val="both"/>
        <w:textAlignment w:val="baseline"/>
        <w:outlineLvl w:val="9"/>
        <w:rPr>
          <w:rFonts w:hint="eastAsia" w:cs="宋体"/>
          <w:b/>
          <w:bCs/>
          <w:color w:val="auto"/>
          <w:spacing w:val="-1"/>
          <w:sz w:val="24"/>
          <w:szCs w:val="24"/>
          <w:highlight w:val="none"/>
          <w:lang w:val="en-US" w:eastAsia="zh-CN"/>
        </w:rPr>
      </w:pPr>
      <w:r>
        <w:rPr>
          <w:rFonts w:hint="eastAsia" w:cs="宋体"/>
          <w:b/>
          <w:bCs/>
          <w:color w:val="auto"/>
          <w:spacing w:val="-1"/>
          <w:sz w:val="24"/>
          <w:szCs w:val="24"/>
          <w:highlight w:val="none"/>
          <w:lang w:val="en-US" w:eastAsia="zh-CN"/>
        </w:rPr>
        <w:t>飞机防治：</w:t>
      </w:r>
    </w:p>
    <w:p w14:paraId="4B40DC3F">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76" w:firstLineChars="200"/>
        <w:jc w:val="both"/>
        <w:textAlignment w:val="baseline"/>
        <w:outlineLvl w:val="9"/>
        <w:rPr>
          <w:rFonts w:hint="default" w:cs="宋体"/>
          <w:b w:val="0"/>
          <w:bCs w:val="0"/>
          <w:color w:val="auto"/>
          <w:spacing w:val="-1"/>
          <w:sz w:val="24"/>
          <w:szCs w:val="24"/>
          <w:highlight w:val="none"/>
          <w:lang w:val="en-US" w:eastAsia="zh-CN"/>
        </w:rPr>
      </w:pPr>
      <w:r>
        <w:rPr>
          <w:rFonts w:hint="eastAsia" w:cs="宋体"/>
          <w:b w:val="0"/>
          <w:bCs w:val="0"/>
          <w:color w:val="auto"/>
          <w:spacing w:val="-1"/>
          <w:sz w:val="24"/>
          <w:szCs w:val="24"/>
          <w:highlight w:val="none"/>
          <w:lang w:val="en-US" w:eastAsia="zh-CN"/>
        </w:rPr>
        <w:t>防治时间：6-9月</w:t>
      </w:r>
    </w:p>
    <w:p w14:paraId="5D07980F">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76" w:firstLineChars="200"/>
        <w:jc w:val="both"/>
        <w:textAlignment w:val="baseline"/>
        <w:outlineLvl w:val="9"/>
        <w:rPr>
          <w:rFonts w:hint="eastAsia" w:cs="宋体"/>
          <w:color w:val="auto"/>
          <w:spacing w:val="-1"/>
          <w:sz w:val="24"/>
          <w:szCs w:val="24"/>
          <w:highlight w:val="none"/>
          <w:lang w:val="en-US" w:eastAsia="zh-CN"/>
        </w:rPr>
      </w:pPr>
      <w:r>
        <w:rPr>
          <w:rFonts w:hint="eastAsia" w:cs="宋体"/>
          <w:color w:val="auto"/>
          <w:spacing w:val="-1"/>
          <w:sz w:val="24"/>
          <w:szCs w:val="24"/>
          <w:highlight w:val="none"/>
          <w:lang w:val="en-US" w:eastAsia="zh-CN"/>
        </w:rPr>
        <w:t>防治面积：6.7万亩</w:t>
      </w:r>
    </w:p>
    <w:p w14:paraId="7BF03AC8">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76" w:firstLineChars="200"/>
        <w:jc w:val="both"/>
        <w:textAlignment w:val="baseline"/>
        <w:outlineLvl w:val="9"/>
        <w:rPr>
          <w:rFonts w:hint="default" w:ascii="宋体" w:hAnsi="宋体" w:eastAsia="宋体" w:cs="宋体"/>
          <w:color w:val="auto"/>
          <w:spacing w:val="-1"/>
          <w:sz w:val="24"/>
          <w:szCs w:val="24"/>
          <w:highlight w:val="none"/>
          <w:lang w:val="en-US" w:eastAsia="zh-CN"/>
        </w:rPr>
      </w:pPr>
      <w:r>
        <w:rPr>
          <w:rFonts w:hint="eastAsia" w:cs="宋体"/>
          <w:color w:val="auto"/>
          <w:spacing w:val="-1"/>
          <w:sz w:val="24"/>
          <w:szCs w:val="24"/>
          <w:highlight w:val="none"/>
          <w:lang w:val="en-US" w:eastAsia="zh-CN"/>
        </w:rPr>
        <w:t>防治地点：国道、省道、高速沿线等主要交通要道</w:t>
      </w:r>
    </w:p>
    <w:p w14:paraId="511FA62F">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76" w:firstLineChars="200"/>
        <w:jc w:val="both"/>
        <w:textAlignment w:val="baseline"/>
        <w:outlineLvl w:val="9"/>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防治用药</w:t>
      </w:r>
      <w:r>
        <w:rPr>
          <w:rFonts w:hint="eastAsia"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lang w:val="en-US" w:eastAsia="zh-CN"/>
        </w:rPr>
        <w:t>1%阿维菌素微囊悬浮剂</w:t>
      </w:r>
      <w:r>
        <w:rPr>
          <w:rFonts w:hint="eastAsia" w:cs="宋体"/>
          <w:color w:val="auto"/>
          <w:spacing w:val="-1"/>
          <w:sz w:val="24"/>
          <w:szCs w:val="24"/>
          <w:highlight w:val="none"/>
          <w:lang w:val="en-US" w:eastAsia="zh-CN"/>
        </w:rPr>
        <w:t>或</w:t>
      </w:r>
      <w:r>
        <w:rPr>
          <w:rFonts w:hint="eastAsia" w:ascii="宋体" w:hAnsi="宋体" w:eastAsia="宋体" w:cs="宋体"/>
          <w:color w:val="auto"/>
          <w:spacing w:val="-1"/>
          <w:sz w:val="24"/>
          <w:szCs w:val="24"/>
          <w:highlight w:val="none"/>
          <w:lang w:val="en-US" w:eastAsia="zh-CN"/>
        </w:rPr>
        <w:t>25%</w:t>
      </w:r>
      <w:r>
        <w:rPr>
          <w:rFonts w:hint="eastAsia" w:cs="宋体"/>
          <w:color w:val="auto"/>
          <w:spacing w:val="-1"/>
          <w:sz w:val="24"/>
          <w:szCs w:val="24"/>
          <w:highlight w:val="none"/>
          <w:lang w:val="en-US" w:eastAsia="zh-CN"/>
        </w:rPr>
        <w:t>甲</w:t>
      </w:r>
      <w:r>
        <w:rPr>
          <w:rFonts w:hint="eastAsia" w:ascii="宋体" w:hAnsi="宋体" w:eastAsia="宋体" w:cs="宋体"/>
          <w:color w:val="auto"/>
          <w:spacing w:val="-1"/>
          <w:sz w:val="24"/>
          <w:szCs w:val="24"/>
          <w:highlight w:val="none"/>
          <w:lang w:val="en-US" w:eastAsia="zh-CN"/>
        </w:rPr>
        <w:t>维·灭幼脲悬浮剂</w:t>
      </w:r>
      <w:r>
        <w:rPr>
          <w:rFonts w:hint="eastAsia" w:cs="宋体"/>
          <w:color w:val="auto"/>
          <w:spacing w:val="-1"/>
          <w:sz w:val="24"/>
          <w:szCs w:val="24"/>
          <w:highlight w:val="none"/>
          <w:lang w:val="en-US" w:eastAsia="zh-CN"/>
        </w:rPr>
        <w:t>或</w:t>
      </w:r>
      <w:r>
        <w:rPr>
          <w:rFonts w:hint="eastAsia" w:ascii="宋体" w:hAnsi="宋体" w:eastAsia="宋体" w:cs="宋体"/>
          <w:color w:val="auto"/>
          <w:spacing w:val="-1"/>
          <w:sz w:val="24"/>
          <w:szCs w:val="24"/>
          <w:highlight w:val="none"/>
          <w:lang w:val="en-US" w:eastAsia="zh-CN"/>
        </w:rPr>
        <w:t>3.6%烟碱·苦参碱微囊悬浮剂等</w:t>
      </w:r>
      <w:r>
        <w:rPr>
          <w:rFonts w:hint="eastAsia" w:cs="宋体"/>
          <w:color w:val="auto"/>
          <w:spacing w:val="-1"/>
          <w:sz w:val="24"/>
          <w:szCs w:val="24"/>
          <w:highlight w:val="none"/>
          <w:lang w:val="en-US" w:eastAsia="zh-CN"/>
        </w:rPr>
        <w:t>。</w:t>
      </w:r>
    </w:p>
    <w:p w14:paraId="19812EEC">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76" w:firstLineChars="200"/>
        <w:jc w:val="both"/>
        <w:textAlignment w:val="baseline"/>
        <w:outlineLvl w:val="9"/>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预期防效</w:t>
      </w:r>
      <w:r>
        <w:rPr>
          <w:rFonts w:hint="eastAsia"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lang w:val="en-US" w:eastAsia="zh-CN"/>
        </w:rPr>
        <w:t>一周后调查防治区域虫口密度下降95%以上。</w:t>
      </w:r>
    </w:p>
    <w:p w14:paraId="5B20B22B">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78" w:firstLineChars="200"/>
        <w:jc w:val="both"/>
        <w:textAlignment w:val="baseline"/>
        <w:outlineLvl w:val="9"/>
        <w:rPr>
          <w:rFonts w:hint="eastAsia" w:cs="宋体"/>
          <w:color w:val="auto"/>
          <w:spacing w:val="-1"/>
          <w:sz w:val="24"/>
          <w:szCs w:val="24"/>
          <w:highlight w:val="none"/>
          <w:lang w:val="en-US" w:eastAsia="zh-CN"/>
        </w:rPr>
      </w:pPr>
      <w:r>
        <w:rPr>
          <w:rFonts w:hint="eastAsia" w:cs="宋体"/>
          <w:b/>
          <w:bCs/>
          <w:color w:val="auto"/>
          <w:spacing w:val="-1"/>
          <w:sz w:val="24"/>
          <w:szCs w:val="24"/>
          <w:highlight w:val="none"/>
          <w:lang w:val="en-US" w:eastAsia="zh-CN"/>
        </w:rPr>
        <w:t>人工机械防治</w:t>
      </w:r>
      <w:r>
        <w:rPr>
          <w:rFonts w:hint="eastAsia" w:cs="宋体"/>
          <w:color w:val="auto"/>
          <w:spacing w:val="-1"/>
          <w:sz w:val="24"/>
          <w:szCs w:val="24"/>
          <w:highlight w:val="none"/>
          <w:lang w:val="en-US" w:eastAsia="zh-CN"/>
        </w:rPr>
        <w:t>：包含人工费、机械维修费、燃油费、防治药剂等。</w:t>
      </w:r>
    </w:p>
    <w:p w14:paraId="643CF547">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76" w:firstLineChars="200"/>
        <w:jc w:val="both"/>
        <w:textAlignment w:val="baseline"/>
        <w:outlineLvl w:val="9"/>
        <w:rPr>
          <w:rFonts w:hint="eastAsia" w:cs="宋体"/>
          <w:color w:val="auto"/>
          <w:spacing w:val="-1"/>
          <w:sz w:val="24"/>
          <w:szCs w:val="24"/>
          <w:highlight w:val="none"/>
          <w:lang w:val="en-US" w:eastAsia="zh-CN"/>
        </w:rPr>
      </w:pPr>
      <w:r>
        <w:rPr>
          <w:rFonts w:hint="eastAsia" w:cs="宋体"/>
          <w:color w:val="auto"/>
          <w:spacing w:val="-1"/>
          <w:sz w:val="24"/>
          <w:szCs w:val="24"/>
          <w:highlight w:val="none"/>
          <w:lang w:val="en-US" w:eastAsia="zh-CN"/>
        </w:rPr>
        <w:t>防治时间：6-9月</w:t>
      </w:r>
    </w:p>
    <w:p w14:paraId="6DB2573B">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76" w:firstLineChars="200"/>
        <w:jc w:val="both"/>
        <w:textAlignment w:val="baseline"/>
        <w:outlineLvl w:val="9"/>
        <w:rPr>
          <w:rFonts w:hint="eastAsia" w:cs="宋体"/>
          <w:color w:val="auto"/>
          <w:spacing w:val="-1"/>
          <w:sz w:val="24"/>
          <w:szCs w:val="24"/>
          <w:highlight w:val="none"/>
          <w:lang w:val="en-US" w:eastAsia="zh-CN"/>
        </w:rPr>
      </w:pPr>
      <w:r>
        <w:rPr>
          <w:rFonts w:hint="eastAsia" w:cs="宋体"/>
          <w:color w:val="auto"/>
          <w:spacing w:val="-1"/>
          <w:sz w:val="24"/>
          <w:szCs w:val="24"/>
          <w:highlight w:val="none"/>
          <w:lang w:val="en-US" w:eastAsia="zh-CN"/>
        </w:rPr>
        <w:t>防治面积：1.6万亩</w:t>
      </w:r>
    </w:p>
    <w:p w14:paraId="717A90F2">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76" w:firstLineChars="200"/>
        <w:jc w:val="both"/>
        <w:textAlignment w:val="baseline"/>
        <w:outlineLvl w:val="9"/>
        <w:rPr>
          <w:rFonts w:hint="default" w:ascii="宋体" w:hAnsi="宋体" w:eastAsia="宋体" w:cs="宋体"/>
          <w:color w:val="auto"/>
          <w:spacing w:val="-1"/>
          <w:sz w:val="24"/>
          <w:szCs w:val="24"/>
          <w:highlight w:val="none"/>
          <w:lang w:val="en-US" w:eastAsia="zh-CN"/>
        </w:rPr>
      </w:pPr>
      <w:r>
        <w:rPr>
          <w:rFonts w:hint="eastAsia" w:cs="宋体"/>
          <w:color w:val="auto"/>
          <w:spacing w:val="-1"/>
          <w:sz w:val="24"/>
          <w:szCs w:val="24"/>
          <w:highlight w:val="none"/>
          <w:lang w:val="en-US" w:eastAsia="zh-CN"/>
        </w:rPr>
        <w:t>防治地点：国道、省道、高速沿线等主要交通要道</w:t>
      </w:r>
    </w:p>
    <w:p w14:paraId="13CCA22D">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76" w:firstLineChars="200"/>
        <w:jc w:val="both"/>
        <w:textAlignment w:val="baseline"/>
        <w:outlineLvl w:val="9"/>
        <w:rPr>
          <w:rFonts w:hint="default"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防治用药</w:t>
      </w:r>
      <w:r>
        <w:rPr>
          <w:rFonts w:hint="eastAsia" w:cs="宋体"/>
          <w:color w:val="auto"/>
          <w:spacing w:val="-1"/>
          <w:sz w:val="24"/>
          <w:szCs w:val="24"/>
          <w:highlight w:val="none"/>
          <w:lang w:val="en-US" w:eastAsia="zh-CN"/>
        </w:rPr>
        <w:t>：无公害药剂、高效氯氰菊脂、吡虫啉、代森锰锌等。</w:t>
      </w:r>
    </w:p>
    <w:p w14:paraId="7EDF3038">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76" w:firstLineChars="200"/>
        <w:jc w:val="both"/>
        <w:textAlignment w:val="baseline"/>
        <w:outlineLvl w:val="9"/>
        <w:rPr>
          <w:rFonts w:hint="eastAsia"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预期防效</w:t>
      </w:r>
      <w:r>
        <w:rPr>
          <w:rFonts w:hint="eastAsia"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lang w:val="en-US" w:eastAsia="zh-CN"/>
        </w:rPr>
        <w:t>一周后调查防治区域虫口密度下降95%以上。</w:t>
      </w:r>
    </w:p>
    <w:p w14:paraId="4C2B95F9">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jc w:val="both"/>
        <w:textAlignment w:val="baseline"/>
        <w:outlineLvl w:val="9"/>
        <w:rPr>
          <w:rFonts w:hint="eastAsia" w:ascii="宋体" w:hAnsi="宋体" w:eastAsia="宋体" w:cs="宋体"/>
          <w:color w:val="auto"/>
          <w:spacing w:val="-1"/>
          <w:sz w:val="24"/>
          <w:szCs w:val="24"/>
          <w:highlight w:val="none"/>
          <w14:textOutline w14:w="1537" w14:cap="flat" w14:cmpd="sng">
            <w14:solidFill>
              <w14:srgbClr w14:val="000000"/>
            </w14:solidFill>
            <w14:prstDash w14:val="solid"/>
            <w14:miter w14:val="0"/>
          </w14:textOutline>
        </w:rPr>
      </w:pP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宋体" w:hAnsi="宋体" w:eastAsia="宋体" w:cs="宋体"/>
          <w:color w:val="auto"/>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宋体" w:hAnsi="宋体" w:eastAsia="宋体" w:cs="宋体"/>
          <w:color w:val="auto"/>
          <w:spacing w:val="-1"/>
          <w:sz w:val="24"/>
          <w:szCs w:val="24"/>
          <w:highlight w:val="none"/>
          <w14:textOutline w14:w="1537" w14:cap="flat" w14:cmpd="sng">
            <w14:solidFill>
              <w14:srgbClr w14:val="000000"/>
            </w14:solidFill>
            <w14:prstDash w14:val="solid"/>
            <w14:miter w14:val="0"/>
          </w14:textOutline>
        </w:rPr>
        <w:t>商务要求</w:t>
      </w:r>
    </w:p>
    <w:p w14:paraId="644214F1">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80" w:firstLineChars="200"/>
        <w:jc w:val="both"/>
        <w:textAlignment w:val="baseline"/>
        <w:outlineLvl w:val="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服务质量：符合国家规范、规程和地方法规及相关技术要求等规定</w:t>
      </w:r>
    </w:p>
    <w:p w14:paraId="748A453D">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80" w:firstLineChars="200"/>
        <w:jc w:val="both"/>
        <w:textAlignment w:val="baseline"/>
        <w:outlineLvl w:val="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服务期限：合同签订之日起90日历天</w:t>
      </w:r>
    </w:p>
    <w:p w14:paraId="164F3211">
      <w:pPr>
        <w:pStyle w:val="7"/>
        <w:keepNext w:val="0"/>
        <w:keepLines w:val="0"/>
        <w:pageBreakBefore w:val="0"/>
        <w:widowControl/>
        <w:kinsoku/>
        <w:wordWrap w:val="0"/>
        <w:overflowPunct/>
        <w:topLinePunct w:val="0"/>
        <w:autoSpaceDE w:val="0"/>
        <w:autoSpaceDN w:val="0"/>
        <w:bidi w:val="0"/>
        <w:adjustRightInd w:val="0"/>
        <w:snapToGrid w:val="0"/>
        <w:spacing w:line="500" w:lineRule="exact"/>
        <w:ind w:right="0" w:firstLine="480" w:firstLineChars="200"/>
        <w:jc w:val="both"/>
        <w:textAlignment w:val="baseline"/>
        <w:outlineLvl w:val="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项目地点：邓州市</w:t>
      </w:r>
    </w:p>
    <w:p w14:paraId="254AD448">
      <w:pPr>
        <w:rPr>
          <w:rFonts w:hint="eastAsia" w:asciiTheme="minorEastAsia" w:hAnsiTheme="minorEastAsia" w:eastAsiaTheme="minorEastAsia" w:cstheme="minorEastAsia"/>
          <w:b w:val="0"/>
          <w:snapToGrid w:val="0"/>
          <w:color w:val="auto"/>
          <w:spacing w:val="-1"/>
          <w:kern w:val="0"/>
          <w:sz w:val="36"/>
          <w:szCs w:val="36"/>
          <w:highlight w:val="none"/>
          <w:lang w:val="en-US" w:eastAsia="en-US" w:bidi="ar-SA"/>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val="0"/>
          <w:snapToGrid w:val="0"/>
          <w:color w:val="auto"/>
          <w:spacing w:val="-1"/>
          <w:kern w:val="0"/>
          <w:sz w:val="36"/>
          <w:szCs w:val="36"/>
          <w:highlight w:val="none"/>
          <w:lang w:val="en-US" w:eastAsia="en-US" w:bidi="ar-SA"/>
          <w14:textOutline w14:w="2306" w14:cap="flat" w14:cmpd="sng">
            <w14:solidFill>
              <w14:srgbClr w14:val="000000"/>
            </w14:solidFill>
            <w14:prstDash w14:val="solid"/>
            <w14:miter w14:val="0"/>
          </w14:textOutline>
        </w:rPr>
        <w:br w:type="page"/>
      </w:r>
    </w:p>
    <w:p w14:paraId="352DBFD1">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pPr>
      <w:bookmarkStart w:id="36" w:name="_Toc27998"/>
      <w:r>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b w:val="0"/>
          <w:snapToGrid w:val="0"/>
          <w:color w:val="auto"/>
          <w:spacing w:val="-1"/>
          <w:kern w:val="0"/>
          <w:sz w:val="52"/>
          <w:szCs w:val="52"/>
          <w:highlight w:val="none"/>
          <w:lang w:val="en-US" w:eastAsia="zh-CN" w:bidi="ar-SA"/>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b w:val="0"/>
          <w:snapToGrid w:val="0"/>
          <w:color w:val="auto"/>
          <w:spacing w:val="-1"/>
          <w:kern w:val="0"/>
          <w:sz w:val="52"/>
          <w:szCs w:val="52"/>
          <w:highlight w:val="none"/>
          <w:lang w:val="en-US" w:eastAsia="zh-CN" w:bidi="ar-SA"/>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t>供应商须知</w:t>
      </w:r>
      <w:bookmarkEnd w:id="36"/>
    </w:p>
    <w:p w14:paraId="68B5123C">
      <w:pPr>
        <w:pStyle w:val="7"/>
        <w:keepNext w:val="0"/>
        <w:keepLines w:val="0"/>
        <w:pageBreakBefore w:val="0"/>
        <w:kinsoku/>
        <w:wordWrap w:val="0"/>
        <w:overflowPunct/>
        <w:topLinePunct w:val="0"/>
        <w:bidi w:val="0"/>
        <w:spacing w:line="220" w:lineRule="auto"/>
        <w:ind w:left="3861"/>
        <w:jc w:val="both"/>
        <w:rPr>
          <w:color w:val="auto"/>
          <w:spacing w:val="-1"/>
          <w:sz w:val="28"/>
          <w:szCs w:val="28"/>
          <w:highlight w:val="none"/>
          <w14:textOutline w14:w="1800" w14:cap="flat" w14:cmpd="sng">
            <w14:solidFill>
              <w14:srgbClr w14:val="000000"/>
            </w14:solidFill>
            <w14:prstDash w14:val="solid"/>
            <w14:miter w14:val="0"/>
          </w14:textOutline>
        </w:rPr>
      </w:pPr>
    </w:p>
    <w:p w14:paraId="6A6E3C34">
      <w:pPr>
        <w:pStyle w:val="7"/>
        <w:keepNext w:val="0"/>
        <w:keepLines w:val="0"/>
        <w:pageBreakBefore w:val="0"/>
        <w:kinsoku/>
        <w:wordWrap w:val="0"/>
        <w:overflowPunct/>
        <w:topLinePunct w:val="0"/>
        <w:bidi w:val="0"/>
        <w:spacing w:line="220" w:lineRule="auto"/>
        <w:jc w:val="center"/>
        <w:rPr>
          <w:color w:val="auto"/>
          <w:spacing w:val="-1"/>
          <w:sz w:val="28"/>
          <w:szCs w:val="28"/>
          <w:highlight w:val="none"/>
          <w14:textOutline w14:w="1800" w14:cap="flat" w14:cmpd="sng">
            <w14:solidFill>
              <w14:srgbClr w14:val="000000"/>
            </w14:solidFill>
            <w14:prstDash w14:val="solid"/>
            <w14:miter w14:val="0"/>
          </w14:textOutline>
        </w:rPr>
      </w:pPr>
      <w:r>
        <w:rPr>
          <w:color w:val="auto"/>
          <w:spacing w:val="-1"/>
          <w:sz w:val="28"/>
          <w:szCs w:val="28"/>
          <w:highlight w:val="none"/>
          <w14:textOutline w14:w="1800" w14:cap="flat" w14:cmpd="sng">
            <w14:solidFill>
              <w14:srgbClr w14:val="000000"/>
            </w14:solidFill>
            <w14:prstDash w14:val="solid"/>
            <w14:miter w14:val="0"/>
          </w14:textOutline>
        </w:rPr>
        <w:t>供应商须知表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0EAFE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9C79AFD">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条款</w:t>
            </w:r>
            <w:r>
              <w:rPr>
                <w:rFonts w:hint="eastAsia" w:ascii="宋体" w:hAnsi="宋体" w:eastAsia="宋体" w:cs="宋体"/>
                <w:color w:val="auto"/>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AD19655">
            <w:pPr>
              <w:keepNext w:val="0"/>
              <w:keepLines w:val="0"/>
              <w:pageBreakBefore w:val="0"/>
              <w:kinsoku/>
              <w:wordWrap w:val="0"/>
              <w:overflowPunct/>
              <w:topLinePunct w:val="0"/>
              <w:bidi w:val="0"/>
              <w:spacing w:line="240" w:lineRule="atLeast"/>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内容</w:t>
            </w:r>
          </w:p>
        </w:tc>
      </w:tr>
      <w:tr w14:paraId="7B18B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F84175B">
            <w:pPr>
              <w:keepNext w:val="0"/>
              <w:keepLines w:val="0"/>
              <w:pageBreakBefore w:val="0"/>
              <w:kinsoku/>
              <w:wordWrap w:val="0"/>
              <w:overflowPunct/>
              <w:topLinePunct w:val="0"/>
              <w:bidi w:val="0"/>
              <w:spacing w:before="78" w:line="221"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6A70F96">
            <w:pPr>
              <w:pStyle w:val="31"/>
              <w:keepNext w:val="0"/>
              <w:keepLines w:val="0"/>
              <w:pageBreakBefore w:val="0"/>
              <w:kinsoku/>
              <w:wordWrap w:val="0"/>
              <w:overflowPunct/>
              <w:topLinePunct w:val="0"/>
              <w:bidi w:val="0"/>
              <w:spacing w:line="220" w:lineRule="auto"/>
              <w:ind w:left="126"/>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pacing w:val="19"/>
                <w:sz w:val="24"/>
                <w:szCs w:val="24"/>
                <w:highlight w:val="none"/>
              </w:rPr>
              <w:t>服务</w:t>
            </w:r>
          </w:p>
          <w:p w14:paraId="2586356C">
            <w:pPr>
              <w:pStyle w:val="31"/>
              <w:keepNext w:val="0"/>
              <w:keepLines w:val="0"/>
              <w:pageBreakBefore w:val="0"/>
              <w:kinsoku/>
              <w:wordWrap w:val="0"/>
              <w:overflowPunct/>
              <w:topLinePunct w:val="0"/>
              <w:bidi w:val="0"/>
              <w:spacing w:before="25" w:line="207" w:lineRule="auto"/>
              <w:ind w:left="126" w:leftChars="0"/>
              <w:jc w:val="both"/>
              <w:rPr>
                <w:rFonts w:hint="eastAsia" w:ascii="宋体" w:hAnsi="宋体" w:eastAsia="宋体" w:cs="宋体"/>
                <w:color w:val="auto"/>
                <w:spacing w:val="19"/>
                <w:sz w:val="24"/>
                <w:szCs w:val="24"/>
                <w:highlight w:val="none"/>
              </w:rPr>
            </w:pPr>
            <w:r>
              <w:rPr>
                <w:rFonts w:hint="eastAsia" w:ascii="宋体" w:hAnsi="宋体" w:eastAsia="宋体" w:cs="宋体"/>
                <w:color w:val="auto"/>
                <w:spacing w:val="19"/>
                <w:sz w:val="24"/>
                <w:szCs w:val="24"/>
                <w:highlight w:val="none"/>
              </w:rPr>
              <w:t>□货物</w:t>
            </w:r>
          </w:p>
          <w:p w14:paraId="2D215427">
            <w:pPr>
              <w:pStyle w:val="31"/>
              <w:keepNext w:val="0"/>
              <w:keepLines w:val="0"/>
              <w:pageBreakBefore w:val="0"/>
              <w:kinsoku/>
              <w:wordWrap w:val="0"/>
              <w:overflowPunct/>
              <w:topLinePunct w:val="0"/>
              <w:bidi w:val="0"/>
              <w:spacing w:before="25" w:line="207" w:lineRule="auto"/>
              <w:ind w:left="126" w:leftChars="0"/>
              <w:jc w:val="both"/>
              <w:rPr>
                <w:rFonts w:hint="eastAsia" w:ascii="宋体" w:hAnsi="宋体" w:eastAsia="宋体" w:cs="宋体"/>
                <w:color w:val="auto"/>
                <w:spacing w:val="19"/>
                <w:sz w:val="24"/>
                <w:szCs w:val="24"/>
                <w:highlight w:val="none"/>
                <w:lang w:val="en-US" w:eastAsia="zh-CN"/>
              </w:rPr>
            </w:pP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pacing w:val="19"/>
                <w:sz w:val="24"/>
                <w:szCs w:val="24"/>
                <w:highlight w:val="none"/>
                <w:lang w:val="en-US" w:eastAsia="zh-CN"/>
              </w:rPr>
              <w:t>工程</w:t>
            </w:r>
          </w:p>
        </w:tc>
      </w:tr>
      <w:tr w14:paraId="2E026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E50860D">
            <w:pPr>
              <w:keepNext w:val="0"/>
              <w:keepLines w:val="0"/>
              <w:pageBreakBefore w:val="0"/>
              <w:kinsoku/>
              <w:wordWrap w:val="0"/>
              <w:overflowPunct/>
              <w:topLinePunct w:val="0"/>
              <w:bidi w:val="0"/>
              <w:spacing w:before="78" w:line="21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264402E">
            <w:pPr>
              <w:keepNext w:val="0"/>
              <w:keepLines w:val="0"/>
              <w:pageBreakBefore w:val="0"/>
              <w:kinsoku/>
              <w:wordWrap w:val="0"/>
              <w:overflowPunct/>
              <w:topLinePunct w:val="0"/>
              <w:bidi w:val="0"/>
              <w:spacing w:before="37" w:line="238" w:lineRule="auto"/>
              <w:ind w:left="118"/>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是否属于科研仪器设备采购项目：</w:t>
            </w:r>
          </w:p>
          <w:p w14:paraId="1CB36C01">
            <w:pPr>
              <w:pStyle w:val="31"/>
              <w:keepNext w:val="0"/>
              <w:keepLines w:val="0"/>
              <w:pageBreakBefore w:val="0"/>
              <w:kinsoku/>
              <w:wordWrap w:val="0"/>
              <w:overflowPunct/>
              <w:topLinePunct w:val="0"/>
              <w:bidi w:val="0"/>
              <w:spacing w:line="223" w:lineRule="auto"/>
              <w:ind w:left="126"/>
              <w:jc w:val="both"/>
              <w:rPr>
                <w:rFonts w:hint="eastAsia" w:ascii="宋体" w:hAnsi="宋体" w:eastAsia="宋体" w:cs="宋体"/>
                <w:color w:val="auto"/>
                <w:sz w:val="24"/>
                <w:szCs w:val="24"/>
                <w:highlight w:val="none"/>
              </w:rPr>
            </w:pPr>
            <w:r>
              <w:rPr>
                <w:rFonts w:hint="eastAsia" w:ascii="宋体" w:hAnsi="宋体" w:eastAsia="宋体" w:cs="宋体"/>
                <w:color w:val="auto"/>
                <w:spacing w:val="29"/>
                <w:sz w:val="24"/>
                <w:szCs w:val="24"/>
                <w:highlight w:val="none"/>
              </w:rPr>
              <w:t>□是</w:t>
            </w:r>
          </w:p>
          <w:p w14:paraId="2A657F14">
            <w:pPr>
              <w:pStyle w:val="31"/>
              <w:keepNext w:val="0"/>
              <w:keepLines w:val="0"/>
              <w:pageBreakBefore w:val="0"/>
              <w:kinsoku/>
              <w:wordWrap w:val="0"/>
              <w:overflowPunct/>
              <w:topLinePunct w:val="0"/>
              <w:bidi w:val="0"/>
              <w:spacing w:before="21" w:line="207" w:lineRule="auto"/>
              <w:ind w:left="126"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29"/>
                <w:sz w:val="24"/>
                <w:szCs w:val="24"/>
                <w:highlight w:val="none"/>
              </w:rPr>
              <w:t>否</w:t>
            </w:r>
          </w:p>
        </w:tc>
      </w:tr>
      <w:tr w14:paraId="7BB9D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E283A17">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46DC3F">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rPr>
              <w:t>不组织</w:t>
            </w:r>
          </w:p>
          <w:p w14:paraId="17F7BD4A">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□组织，考察时间：</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日</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点</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分</w:t>
            </w:r>
          </w:p>
          <w:p w14:paraId="13895F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5"/>
                <w:sz w:val="24"/>
                <w:szCs w:val="24"/>
                <w:highlight w:val="none"/>
              </w:rPr>
              <w:t>考察地点：</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25"/>
                <w:sz w:val="24"/>
                <w:szCs w:val="24"/>
                <w:highlight w:val="none"/>
              </w:rPr>
              <w:t>。</w:t>
            </w:r>
          </w:p>
        </w:tc>
      </w:tr>
      <w:tr w14:paraId="005D1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CE61BF6">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2"/>
                <w:sz w:val="24"/>
                <w:szCs w:val="24"/>
                <w:highlight w:val="none"/>
                <w:lang w:val="en-US" w:eastAsia="zh-CN"/>
              </w:rPr>
              <w:t>磋商</w:t>
            </w:r>
            <w:r>
              <w:rPr>
                <w:rFonts w:hint="eastAsia" w:ascii="宋体" w:hAnsi="宋体" w:eastAsia="宋体" w:cs="宋体"/>
                <w:color w:val="auto"/>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4547383">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rPr>
              <w:t>不召开</w:t>
            </w:r>
          </w:p>
          <w:p w14:paraId="5A1162D8">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□召开，召开时间：</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日</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点</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分</w:t>
            </w:r>
          </w:p>
          <w:p w14:paraId="202DD84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26"/>
                <w:sz w:val="24"/>
                <w:szCs w:val="24"/>
                <w:highlight w:val="none"/>
              </w:rPr>
              <w:t>召开地点：</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25"/>
                <w:sz w:val="24"/>
                <w:szCs w:val="24"/>
                <w:highlight w:val="none"/>
              </w:rPr>
              <w:t>。</w:t>
            </w:r>
          </w:p>
        </w:tc>
      </w:tr>
      <w:tr w14:paraId="77CB7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B53593B">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BC47D64">
            <w:pPr>
              <w:pStyle w:val="31"/>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default" w:ascii="宋体" w:hAnsi="宋体" w:eastAsia="宋体" w:cs="宋体"/>
                <w:snapToGrid w:val="0"/>
                <w:color w:val="auto"/>
                <w:spacing w:val="14"/>
                <w:kern w:val="0"/>
                <w:sz w:val="24"/>
                <w:szCs w:val="24"/>
                <w:highlight w:val="none"/>
                <w:u w:val="none"/>
                <w:lang w:val="en-US" w:eastAsia="zh-CN" w:bidi="ar-SA"/>
              </w:rPr>
            </w:pPr>
            <w:r>
              <w:rPr>
                <w:rFonts w:hint="eastAsia" w:ascii="宋体" w:hAnsi="宋体" w:eastAsia="宋体" w:cs="宋体"/>
                <w:snapToGrid w:val="0"/>
                <w:color w:val="auto"/>
                <w:spacing w:val="14"/>
                <w:kern w:val="0"/>
                <w:sz w:val="24"/>
                <w:szCs w:val="24"/>
                <w:highlight w:val="none"/>
                <w:lang w:val="en-US" w:eastAsia="zh-CN" w:bidi="ar-SA"/>
              </w:rPr>
              <w:t>1、本项目采购标的按照中小企业划分标准属于：</w:t>
            </w:r>
            <w:r>
              <w:rPr>
                <w:rFonts w:hint="eastAsia" w:ascii="宋体" w:hAnsi="宋体" w:eastAsia="宋体" w:cs="宋体"/>
                <w:snapToGrid w:val="0"/>
                <w:color w:val="auto"/>
                <w:spacing w:val="14"/>
                <w:kern w:val="0"/>
                <w:sz w:val="24"/>
                <w:szCs w:val="24"/>
                <w:highlight w:val="none"/>
                <w:u w:val="single"/>
                <w:lang w:val="en-US" w:eastAsia="zh-CN" w:bidi="ar-SA"/>
              </w:rPr>
              <w:t>农、林、牧、渔</w:t>
            </w:r>
            <w:r>
              <w:rPr>
                <w:rFonts w:hint="eastAsia" w:ascii="宋体" w:hAnsi="宋体" w:eastAsia="宋体" w:cs="宋体"/>
                <w:snapToGrid w:val="0"/>
                <w:color w:val="auto"/>
                <w:spacing w:val="29"/>
                <w:kern w:val="0"/>
                <w:sz w:val="24"/>
                <w:szCs w:val="24"/>
                <w:highlight w:val="none"/>
                <w:u w:val="single"/>
                <w:lang w:val="en-US" w:eastAsia="zh-CN" w:bidi="ar-SA"/>
              </w:rPr>
              <w:t>业。</w:t>
            </w:r>
            <w:r>
              <w:rPr>
                <w:rFonts w:hint="eastAsia" w:ascii="宋体" w:hAnsi="宋体" w:eastAsia="宋体" w:cs="宋体"/>
                <w:snapToGrid w:val="0"/>
                <w:color w:val="auto"/>
                <w:spacing w:val="29"/>
                <w:kern w:val="0"/>
                <w:sz w:val="24"/>
                <w:szCs w:val="24"/>
                <w:highlight w:val="none"/>
                <w:u w:val="none"/>
                <w:lang w:val="en-US" w:eastAsia="zh-CN" w:bidi="ar-SA"/>
              </w:rPr>
              <w:t>（营业收入20000万元以下的为中小微型企业。其中，营业收入500万元及以上的为中型企业，营业收入50万元及以上的为小型企业，营业收入50万元以下的为微型企业。）</w:t>
            </w:r>
          </w:p>
          <w:p w14:paraId="11DB2477">
            <w:pPr>
              <w:pStyle w:val="31"/>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spacing w:val="14"/>
                <w:kern w:val="0"/>
                <w:sz w:val="24"/>
                <w:szCs w:val="24"/>
                <w:highlight w:val="none"/>
                <w:lang w:val="en-US" w:eastAsia="zh-CN" w:bidi="ar-SA"/>
              </w:rPr>
            </w:pPr>
            <w:r>
              <w:rPr>
                <w:rFonts w:hint="eastAsia" w:ascii="宋体" w:hAnsi="宋体" w:eastAsia="宋体" w:cs="宋体"/>
                <w:snapToGrid w:val="0"/>
                <w:color w:val="auto"/>
                <w:spacing w:val="14"/>
                <w:kern w:val="0"/>
                <w:sz w:val="24"/>
                <w:szCs w:val="24"/>
                <w:highlight w:val="none"/>
                <w:lang w:val="en-US" w:eastAsia="zh-CN" w:bidi="ar-SA"/>
              </w:rPr>
              <w:t>□本项目专门面向中小企业采购。</w:t>
            </w:r>
          </w:p>
          <w:p w14:paraId="4D8FA766">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auto"/>
                <w:spacing w:val="14"/>
                <w:kern w:val="0"/>
                <w:sz w:val="24"/>
                <w:szCs w:val="24"/>
                <w:highlight w:val="none"/>
                <w:lang w:val="en-US" w:eastAsia="zh-CN" w:bidi="ar-SA"/>
              </w:rPr>
            </w:pPr>
            <w:r>
              <w:rPr>
                <w:rFonts w:hint="eastAsia" w:ascii="宋体" w:hAnsi="宋体" w:eastAsia="宋体" w:cs="宋体"/>
                <w:color w:val="auto"/>
                <w:spacing w:val="-13"/>
                <w:sz w:val="24"/>
                <w:szCs w:val="24"/>
                <w:highlight w:val="none"/>
                <w:lang w:eastAsia="zh-CN"/>
              </w:rPr>
              <w:t>☑</w:t>
            </w:r>
            <w:r>
              <w:rPr>
                <w:rFonts w:hint="eastAsia" w:ascii="宋体" w:hAnsi="宋体" w:eastAsia="宋体" w:cs="宋体"/>
                <w:snapToGrid w:val="0"/>
                <w:color w:val="auto"/>
                <w:spacing w:val="29"/>
                <w:kern w:val="0"/>
                <w:sz w:val="24"/>
                <w:szCs w:val="24"/>
                <w:highlight w:val="none"/>
                <w:lang w:val="en-US" w:eastAsia="zh-CN" w:bidi="ar-SA"/>
              </w:rPr>
              <w:t>本项目小微企业价格折扣比例</w:t>
            </w:r>
            <w:r>
              <w:rPr>
                <w:rFonts w:hint="eastAsia" w:ascii="宋体" w:hAnsi="宋体" w:eastAsia="宋体" w:cs="宋体"/>
                <w:snapToGrid w:val="0"/>
                <w:color w:val="auto"/>
                <w:spacing w:val="29"/>
                <w:kern w:val="0"/>
                <w:sz w:val="24"/>
                <w:szCs w:val="24"/>
                <w:highlight w:val="none"/>
                <w:u w:val="single"/>
                <w:lang w:val="en-US" w:eastAsia="zh-CN" w:bidi="ar-SA"/>
              </w:rPr>
              <w:t xml:space="preserve"> 20</w:t>
            </w:r>
            <w:r>
              <w:rPr>
                <w:rFonts w:hint="eastAsia" w:ascii="宋体" w:hAnsi="宋体" w:eastAsia="宋体" w:cs="宋体"/>
                <w:snapToGrid w:val="0"/>
                <w:color w:val="auto"/>
                <w:spacing w:val="29"/>
                <w:kern w:val="0"/>
                <w:sz w:val="24"/>
                <w:szCs w:val="24"/>
                <w:highlight w:val="none"/>
                <w:lang w:val="en-US" w:eastAsia="zh-CN" w:bidi="ar-SA"/>
              </w:rPr>
              <w:t>%。</w:t>
            </w:r>
          </w:p>
          <w:p w14:paraId="7BC5CF44">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49842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A9EBB59">
            <w:pPr>
              <w:keepNext w:val="0"/>
              <w:keepLines w:val="0"/>
              <w:pageBreakBefore w:val="0"/>
              <w:kinsoku/>
              <w:wordWrap w:val="0"/>
              <w:overflowPunct/>
              <w:topLinePunct w:val="0"/>
              <w:bidi w:val="0"/>
              <w:spacing w:before="78" w:line="21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磋商</w:t>
            </w:r>
            <w:r>
              <w:rPr>
                <w:rFonts w:hint="eastAsia" w:ascii="宋体" w:hAnsi="宋体" w:eastAsia="宋体" w:cs="宋体"/>
                <w:color w:val="auto"/>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C66FF5B">
            <w:pPr>
              <w:keepNext w:val="0"/>
              <w:keepLines w:val="0"/>
              <w:pageBreakBefore w:val="0"/>
              <w:kinsoku/>
              <w:wordWrap w:val="0"/>
              <w:overflowPunct/>
              <w:topLinePunct w:val="0"/>
              <w:bidi w:val="0"/>
              <w:spacing w:before="40"/>
              <w:ind w:left="117"/>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磋商</w:t>
            </w:r>
            <w:r>
              <w:rPr>
                <w:rFonts w:hint="eastAsia" w:ascii="宋体" w:hAnsi="宋体" w:eastAsia="宋体" w:cs="宋体"/>
                <w:color w:val="auto"/>
                <w:spacing w:val="-7"/>
                <w:sz w:val="24"/>
                <w:szCs w:val="24"/>
                <w:highlight w:val="none"/>
              </w:rPr>
              <w:t>报价的特殊规定：</w:t>
            </w:r>
          </w:p>
          <w:p w14:paraId="252D01A4">
            <w:pPr>
              <w:pStyle w:val="31"/>
              <w:keepNext w:val="0"/>
              <w:keepLines w:val="0"/>
              <w:pageBreakBefore w:val="0"/>
              <w:kinsoku/>
              <w:wordWrap w:val="0"/>
              <w:overflowPunct/>
              <w:topLinePunct w:val="0"/>
              <w:bidi w:val="0"/>
              <w:spacing w:before="1" w:line="220" w:lineRule="auto"/>
              <w:ind w:left="126"/>
              <w:jc w:val="both"/>
              <w:rPr>
                <w:rFonts w:hint="eastAsia" w:ascii="宋体" w:hAnsi="宋体" w:eastAsia="宋体" w:cs="宋体"/>
                <w:color w:val="auto"/>
                <w:sz w:val="24"/>
                <w:szCs w:val="24"/>
                <w:highlight w:val="none"/>
              </w:rPr>
            </w:pP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29"/>
                <w:sz w:val="24"/>
                <w:szCs w:val="24"/>
                <w:highlight w:val="none"/>
              </w:rPr>
              <w:t>无</w:t>
            </w:r>
          </w:p>
          <w:p w14:paraId="144418C2">
            <w:pPr>
              <w:pStyle w:val="31"/>
              <w:keepNext w:val="0"/>
              <w:keepLines w:val="0"/>
              <w:pageBreakBefore w:val="0"/>
              <w:kinsoku/>
              <w:wordWrap w:val="0"/>
              <w:overflowPunct/>
              <w:topLinePunct w:val="0"/>
              <w:bidi w:val="0"/>
              <w:spacing w:before="23" w:line="189" w:lineRule="auto"/>
              <w:ind w:left="126"/>
              <w:jc w:val="both"/>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□有，具体情形：。</w:t>
            </w:r>
          </w:p>
          <w:p w14:paraId="0F61CDA0">
            <w:pPr>
              <w:pStyle w:val="31"/>
              <w:keepNext w:val="0"/>
              <w:keepLines w:val="0"/>
              <w:pageBreakBefore w:val="0"/>
              <w:kinsoku/>
              <w:wordWrap w:val="0"/>
              <w:overflowPunct/>
              <w:topLinePunct w:val="0"/>
              <w:bidi w:val="0"/>
              <w:spacing w:line="19" w:lineRule="exact"/>
              <w:ind w:left="2008" w:left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position w:val="5"/>
                <w:sz w:val="24"/>
                <w:szCs w:val="24"/>
                <w:highlight w:val="none"/>
              </w:rPr>
              <w:t>_____</w:t>
            </w:r>
          </w:p>
        </w:tc>
      </w:tr>
      <w:tr w14:paraId="63C7E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7D90E9B">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49E50B3">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u w:val="single"/>
                <w:lang w:val="en-US" w:eastAsia="zh-CN"/>
              </w:rPr>
              <w:t xml:space="preserve"> 68.00 </w:t>
            </w:r>
            <w:r>
              <w:rPr>
                <w:rFonts w:hint="eastAsia" w:ascii="宋体" w:hAnsi="宋体" w:eastAsia="宋体" w:cs="宋体"/>
                <w:b w:val="0"/>
                <w:bCs/>
                <w:color w:val="auto"/>
                <w:sz w:val="24"/>
                <w:szCs w:val="24"/>
                <w:highlight w:val="none"/>
                <w:lang w:val="en-US" w:eastAsia="zh-CN"/>
              </w:rPr>
              <w:t>万元</w:t>
            </w:r>
          </w:p>
        </w:tc>
      </w:tr>
      <w:tr w14:paraId="0010E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F9AB57E">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418594E">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开标之日起</w:t>
            </w:r>
            <w:r>
              <w:rPr>
                <w:rFonts w:hint="eastAsia" w:ascii="宋体" w:hAnsi="宋体" w:eastAsia="宋体" w:cs="宋体"/>
                <w:color w:val="auto"/>
                <w:sz w:val="24"/>
                <w:szCs w:val="24"/>
                <w:highlight w:val="none"/>
                <w:lang w:eastAsia="zh-CN"/>
              </w:rPr>
              <w:t>60</w:t>
            </w:r>
            <w:r>
              <w:rPr>
                <w:rFonts w:hint="eastAsia" w:ascii="宋体" w:hAnsi="宋体" w:eastAsia="宋体" w:cs="宋体"/>
                <w:color w:val="auto"/>
                <w:sz w:val="24"/>
                <w:szCs w:val="24"/>
                <w:highlight w:val="none"/>
              </w:rPr>
              <w:t>日历日</w:t>
            </w:r>
          </w:p>
        </w:tc>
      </w:tr>
      <w:tr w14:paraId="00879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EBEEC3">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7EB8352">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文件：1份</w:t>
            </w:r>
          </w:p>
        </w:tc>
      </w:tr>
      <w:tr w14:paraId="28C4B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30A3D2C">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A4C28C1">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u w:val="single"/>
                <w:lang w:val="en-US" w:eastAsia="zh-CN"/>
              </w:rPr>
              <w:t xml:space="preserve"> 2025年 6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2"/>
                <w:sz w:val="24"/>
                <w:szCs w:val="24"/>
                <w:highlight w:val="none"/>
                <w:u w:val="single"/>
                <w:lang w:val="en-US" w:eastAsia="zh-CN"/>
              </w:rPr>
              <w:t xml:space="preserve"> 25 </w:t>
            </w:r>
            <w:r>
              <w:rPr>
                <w:rFonts w:hint="eastAsia" w:ascii="宋体" w:hAnsi="宋体" w:eastAsia="宋体" w:cs="宋体"/>
                <w:color w:val="auto"/>
                <w:spacing w:val="-12"/>
                <w:sz w:val="24"/>
                <w:szCs w:val="24"/>
                <w:highlight w:val="none"/>
              </w:rPr>
              <w:t>日</w:t>
            </w:r>
            <w:r>
              <w:rPr>
                <w:rFonts w:hint="eastAsia" w:ascii="宋体" w:hAnsi="宋体" w:eastAsia="宋体" w:cs="宋体"/>
                <w:color w:val="auto"/>
                <w:spacing w:val="-12"/>
                <w:sz w:val="24"/>
                <w:szCs w:val="24"/>
                <w:highlight w:val="none"/>
                <w:u w:val="single"/>
                <w:lang w:val="en-US" w:eastAsia="zh-CN"/>
              </w:rPr>
              <w:t>09</w:t>
            </w:r>
            <w:r>
              <w:rPr>
                <w:rFonts w:hint="eastAsia" w:ascii="宋体" w:hAnsi="宋体" w:eastAsia="宋体" w:cs="宋体"/>
                <w:color w:val="auto"/>
                <w:spacing w:val="-12"/>
                <w:sz w:val="24"/>
                <w:szCs w:val="24"/>
                <w:highlight w:val="none"/>
              </w:rPr>
              <w:t>点</w:t>
            </w:r>
            <w:r>
              <w:rPr>
                <w:rFonts w:hint="eastAsia" w:ascii="宋体" w:hAnsi="宋体" w:eastAsia="宋体" w:cs="宋体"/>
                <w:color w:val="auto"/>
                <w:spacing w:val="-12"/>
                <w:sz w:val="24"/>
                <w:szCs w:val="24"/>
                <w:highlight w:val="none"/>
                <w:u w:val="single"/>
                <w:lang w:val="en-US" w:eastAsia="zh-CN"/>
              </w:rPr>
              <w:t>30</w:t>
            </w:r>
            <w:r>
              <w:rPr>
                <w:rFonts w:hint="eastAsia" w:ascii="宋体" w:hAnsi="宋体" w:eastAsia="宋体" w:cs="宋体"/>
                <w:color w:val="auto"/>
                <w:spacing w:val="-12"/>
                <w:sz w:val="24"/>
                <w:szCs w:val="24"/>
                <w:highlight w:val="none"/>
              </w:rPr>
              <w:t>分</w:t>
            </w:r>
            <w:r>
              <w:rPr>
                <w:rFonts w:hint="eastAsia" w:ascii="宋体" w:hAnsi="宋体" w:eastAsia="宋体" w:cs="宋体"/>
                <w:snapToGrid w:val="0"/>
                <w:color w:val="auto"/>
                <w:spacing w:val="14"/>
                <w:kern w:val="0"/>
                <w:sz w:val="24"/>
                <w:szCs w:val="24"/>
                <w:highlight w:val="none"/>
                <w:lang w:val="en-US" w:eastAsia="zh-CN" w:bidi="ar-SA"/>
              </w:rPr>
              <w:t>（北京时间）</w:t>
            </w:r>
          </w:p>
        </w:tc>
      </w:tr>
      <w:tr w14:paraId="405B7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454259">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响应文件开启</w:t>
            </w:r>
            <w:r>
              <w:rPr>
                <w:rFonts w:hint="eastAsia" w:ascii="宋体" w:hAnsi="宋体" w:eastAsia="宋体" w:cs="宋体"/>
                <w:color w:val="auto"/>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BCE3B">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12"/>
                <w:sz w:val="24"/>
                <w:szCs w:val="24"/>
                <w:highlight w:val="none"/>
                <w:u w:val="single"/>
                <w:lang w:val="en-US" w:eastAsia="zh-CN"/>
              </w:rPr>
              <w:t xml:space="preserve"> 2025年 6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2"/>
                <w:sz w:val="24"/>
                <w:szCs w:val="24"/>
                <w:highlight w:val="none"/>
                <w:u w:val="single"/>
                <w:lang w:val="en-US" w:eastAsia="zh-CN"/>
              </w:rPr>
              <w:t xml:space="preserve"> 25</w:t>
            </w:r>
            <w:bookmarkStart w:id="48" w:name="_GoBack"/>
            <w:bookmarkEnd w:id="48"/>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日</w:t>
            </w:r>
            <w:r>
              <w:rPr>
                <w:rFonts w:hint="eastAsia" w:ascii="宋体" w:hAnsi="宋体" w:eastAsia="宋体" w:cs="宋体"/>
                <w:color w:val="auto"/>
                <w:spacing w:val="-12"/>
                <w:sz w:val="24"/>
                <w:szCs w:val="24"/>
                <w:highlight w:val="none"/>
                <w:u w:val="single"/>
                <w:lang w:val="en-US" w:eastAsia="zh-CN"/>
              </w:rPr>
              <w:t>09</w:t>
            </w:r>
            <w:r>
              <w:rPr>
                <w:rFonts w:hint="eastAsia" w:ascii="宋体" w:hAnsi="宋体" w:eastAsia="宋体" w:cs="宋体"/>
                <w:color w:val="auto"/>
                <w:spacing w:val="-12"/>
                <w:sz w:val="24"/>
                <w:szCs w:val="24"/>
                <w:highlight w:val="none"/>
              </w:rPr>
              <w:t>点</w:t>
            </w:r>
            <w:r>
              <w:rPr>
                <w:rFonts w:hint="eastAsia" w:ascii="宋体" w:hAnsi="宋体" w:eastAsia="宋体" w:cs="宋体"/>
                <w:color w:val="auto"/>
                <w:spacing w:val="-12"/>
                <w:sz w:val="24"/>
                <w:szCs w:val="24"/>
                <w:highlight w:val="none"/>
                <w:u w:val="single"/>
                <w:lang w:val="en-US" w:eastAsia="zh-CN"/>
              </w:rPr>
              <w:t>30</w:t>
            </w:r>
            <w:r>
              <w:rPr>
                <w:rFonts w:hint="eastAsia" w:ascii="宋体" w:hAnsi="宋体" w:eastAsia="宋体" w:cs="宋体"/>
                <w:color w:val="auto"/>
                <w:spacing w:val="-12"/>
                <w:sz w:val="24"/>
                <w:szCs w:val="24"/>
                <w:highlight w:val="none"/>
              </w:rPr>
              <w:t>分</w:t>
            </w:r>
            <w:r>
              <w:rPr>
                <w:rFonts w:hint="eastAsia" w:ascii="宋体" w:hAnsi="宋体" w:eastAsia="宋体" w:cs="宋体"/>
                <w:snapToGrid w:val="0"/>
                <w:color w:val="auto"/>
                <w:spacing w:val="14"/>
                <w:kern w:val="0"/>
                <w:sz w:val="24"/>
                <w:szCs w:val="24"/>
                <w:highlight w:val="none"/>
                <w:lang w:val="en-US" w:eastAsia="zh-CN" w:bidi="ar-SA"/>
              </w:rPr>
              <w:t>（北京时间）</w:t>
            </w:r>
          </w:p>
        </w:tc>
      </w:tr>
      <w:tr w14:paraId="12A3A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2712C28">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6B569FF">
            <w:pPr>
              <w:keepNext w:val="0"/>
              <w:keepLines w:val="0"/>
              <w:pageBreakBefore w:val="0"/>
              <w:kinsoku/>
              <w:wordWrap w:val="0"/>
              <w:overflowPunct/>
              <w:topLinePunct w:val="0"/>
              <w:bidi w:val="0"/>
              <w:spacing w:line="240" w:lineRule="atLeast"/>
              <w:jc w:val="both"/>
              <w:rPr>
                <w:rFonts w:hint="eastAsia" w:ascii="宋体" w:hAnsi="宋体" w:eastAsia="宋体" w:cs="宋体"/>
                <w:i/>
                <w:color w:val="auto"/>
                <w:sz w:val="24"/>
                <w:szCs w:val="24"/>
                <w:highlight w:val="none"/>
                <w:lang w:eastAsia="zh-CN"/>
              </w:rPr>
            </w:pPr>
            <w:r>
              <w:rPr>
                <w:rFonts w:hint="eastAsia" w:ascii="宋体" w:hAnsi="宋体" w:eastAsia="宋体" w:cs="宋体"/>
                <w:color w:val="auto"/>
                <w:sz w:val="24"/>
                <w:szCs w:val="24"/>
                <w:highlight w:val="none"/>
                <w:lang w:eastAsia="zh-CN"/>
              </w:rPr>
              <w:t>综合评分法</w:t>
            </w:r>
          </w:p>
        </w:tc>
      </w:tr>
      <w:tr w14:paraId="6AE56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B07787D">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C7B1910">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是否委托</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eastAsia="zh-CN"/>
              </w:rPr>
              <w:t>直接确定</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lang w:val="en-US" w:eastAsia="zh-CN"/>
              </w:rPr>
              <w:t>否</w:t>
            </w:r>
          </w:p>
        </w:tc>
      </w:tr>
      <w:tr w14:paraId="6A484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5BD20EC9">
            <w:pPr>
              <w:keepNext w:val="0"/>
              <w:keepLines w:val="0"/>
              <w:pageBreakBefore w:val="0"/>
              <w:kinsoku/>
              <w:wordWrap w:val="0"/>
              <w:overflowPunct/>
              <w:topLinePunct w:val="0"/>
              <w:bidi w:val="0"/>
              <w:spacing w:line="240" w:lineRule="atLeas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61E389C0">
            <w:pPr>
              <w:pStyle w:val="31"/>
              <w:keepNext w:val="0"/>
              <w:keepLines w:val="0"/>
              <w:pageBreakBefore w:val="0"/>
              <w:kinsoku/>
              <w:wordWrap w:val="0"/>
              <w:overflowPunct/>
              <w:topLinePunct w:val="0"/>
              <w:bidi w:val="0"/>
              <w:spacing w:before="1" w:line="220" w:lineRule="auto"/>
              <w:ind w:left="12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9"/>
                <w:sz w:val="24"/>
                <w:szCs w:val="24"/>
                <w:highlight w:val="none"/>
              </w:rPr>
              <w:t>□</w:t>
            </w:r>
            <w:r>
              <w:rPr>
                <w:rFonts w:hint="eastAsia" w:ascii="宋体" w:hAnsi="宋体" w:eastAsia="宋体" w:cs="宋体"/>
                <w:color w:val="auto"/>
                <w:sz w:val="24"/>
                <w:szCs w:val="24"/>
                <w:highlight w:val="none"/>
                <w:lang w:val="en-US" w:eastAsia="zh-CN"/>
              </w:rPr>
              <w:t>集中采购机构不收费</w:t>
            </w:r>
          </w:p>
          <w:p w14:paraId="6189E341">
            <w:pPr>
              <w:pStyle w:val="31"/>
              <w:keepNext w:val="0"/>
              <w:keepLines w:val="0"/>
              <w:pageBreakBefore w:val="0"/>
              <w:kinsoku/>
              <w:wordWrap w:val="0"/>
              <w:overflowPunct/>
              <w:topLinePunct w:val="0"/>
              <w:bidi w:val="0"/>
              <w:spacing w:before="1" w:line="220" w:lineRule="auto"/>
              <w:ind w:left="126"/>
              <w:jc w:val="both"/>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z w:val="24"/>
                <w:szCs w:val="24"/>
                <w:highlight w:val="none"/>
                <w:lang w:val="en-US" w:eastAsia="zh-CN"/>
              </w:rPr>
              <w:t>收费对象：</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29"/>
                <w:sz w:val="24"/>
                <w:szCs w:val="24"/>
                <w:highlight w:val="none"/>
                <w:lang w:val="en-US" w:eastAsia="zh-CN"/>
              </w:rPr>
              <w:t>采购人</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13"/>
                <w:sz w:val="24"/>
                <w:szCs w:val="24"/>
                <w:highlight w:val="none"/>
                <w:lang w:val="en-US" w:eastAsia="zh-CN"/>
              </w:rPr>
              <w:t>中标人</w:t>
            </w:r>
          </w:p>
          <w:p w14:paraId="1D8732F6">
            <w:pPr>
              <w:pStyle w:val="31"/>
              <w:keepNext w:val="0"/>
              <w:keepLines w:val="0"/>
              <w:pageBreakBefore w:val="0"/>
              <w:kinsoku/>
              <w:wordWrap w:val="0"/>
              <w:overflowPunct/>
              <w:topLinePunct w:val="0"/>
              <w:bidi w:val="0"/>
              <w:spacing w:before="1" w:line="220" w:lineRule="auto"/>
              <w:ind w:left="126" w:leftChars="0"/>
              <w:jc w:val="both"/>
              <w:rPr>
                <w:rFonts w:hint="default"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color w:val="auto"/>
                <w:spacing w:val="-13"/>
                <w:sz w:val="24"/>
                <w:szCs w:val="24"/>
                <w:highlight w:val="none"/>
                <w:lang w:val="en-US" w:eastAsia="zh-CN"/>
              </w:rPr>
              <w:t>收费标准：参照河南省招投标协会豫招协【2023】002号通知计算。不足一万元按照一万元收取。</w:t>
            </w:r>
          </w:p>
        </w:tc>
      </w:tr>
    </w:tbl>
    <w:p w14:paraId="02B918AF">
      <w:pPr>
        <w:pStyle w:val="7"/>
        <w:keepNext w:val="0"/>
        <w:keepLines w:val="0"/>
        <w:pageBreakBefore w:val="0"/>
        <w:kinsoku/>
        <w:wordWrap w:val="0"/>
        <w:overflowPunct/>
        <w:topLinePunct w:val="0"/>
        <w:bidi w:val="0"/>
        <w:spacing w:before="91" w:line="360" w:lineRule="auto"/>
        <w:ind w:left="3844"/>
        <w:jc w:val="both"/>
        <w:rPr>
          <w:color w:val="auto"/>
          <w:sz w:val="28"/>
          <w:szCs w:val="28"/>
          <w:highlight w:val="none"/>
        </w:rPr>
      </w:pPr>
      <w:r>
        <w:rPr>
          <w:color w:val="auto"/>
          <w:spacing w:val="-1"/>
          <w:sz w:val="28"/>
          <w:szCs w:val="28"/>
          <w:highlight w:val="none"/>
          <w14:textOutline w14:w="1800" w14:cap="flat" w14:cmpd="sng">
            <w14:solidFill>
              <w14:srgbClr w14:val="000000"/>
            </w14:solidFill>
            <w14:prstDash w14:val="solid"/>
            <w14:miter w14:val="0"/>
          </w14:textOutline>
        </w:rPr>
        <w:t>供应商须知</w:t>
      </w:r>
    </w:p>
    <w:p w14:paraId="080A7686">
      <w:pPr>
        <w:pStyle w:val="7"/>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color w:val="auto"/>
          <w:spacing w:val="-1"/>
          <w:sz w:val="24"/>
          <w:szCs w:val="24"/>
          <w:highlight w:val="none"/>
        </w:rPr>
      </w:pPr>
      <w:r>
        <w:rPr>
          <w:color w:val="auto"/>
          <w:spacing w:val="-10"/>
          <w:sz w:val="28"/>
          <w:szCs w:val="28"/>
          <w:highlight w:val="none"/>
          <w14:textOutline w14:w="1800" w14:cap="flat" w14:cmpd="sng">
            <w14:solidFill>
              <w14:srgbClr w14:val="000000"/>
            </w14:solidFill>
            <w14:prstDash w14:val="solid"/>
            <w14:miter w14:val="0"/>
          </w14:textOutline>
        </w:rPr>
        <w:t>一</w:t>
      </w:r>
      <w:r>
        <w:rPr>
          <w:rFonts w:hint="eastAsia"/>
          <w:color w:val="auto"/>
          <w:spacing w:val="5"/>
          <w:sz w:val="28"/>
          <w:szCs w:val="28"/>
          <w:highlight w:val="none"/>
          <w:lang w:eastAsia="zh-CN"/>
        </w:rPr>
        <w:t>、</w:t>
      </w:r>
      <w:r>
        <w:rPr>
          <w:color w:val="auto"/>
          <w:spacing w:val="-10"/>
          <w:sz w:val="28"/>
          <w:szCs w:val="28"/>
          <w:highlight w:val="none"/>
          <w14:textOutline w14:w="1800" w14:cap="flat" w14:cmpd="sng">
            <w14:solidFill>
              <w14:srgbClr w14:val="000000"/>
            </w14:solidFill>
            <w14:prstDash w14:val="solid"/>
            <w14:miter w14:val="0"/>
          </w14:textOutline>
        </w:rPr>
        <w:t>说明</w:t>
      </w:r>
    </w:p>
    <w:p w14:paraId="6B282D56">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78"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pacing w:val="-1"/>
          <w:sz w:val="24"/>
          <w:szCs w:val="24"/>
          <w:highlight w:val="none"/>
          <w:lang w:val="en-US" w:eastAsia="zh-CN"/>
        </w:rPr>
        <w:t>.</w:t>
      </w:r>
      <w:r>
        <w:rPr>
          <w:rFonts w:hint="eastAsia" w:ascii="宋体" w:hAnsi="宋体" w:eastAsia="宋体" w:cs="宋体"/>
          <w:b/>
          <w:bCs/>
          <w:color w:val="auto"/>
          <w:spacing w:val="-1"/>
          <w:sz w:val="24"/>
          <w:szCs w:val="24"/>
          <w:highlight w:val="none"/>
        </w:rPr>
        <w:t>采购人、采购代理机构、</w:t>
      </w:r>
      <w:r>
        <w:rPr>
          <w:rFonts w:hint="eastAsia" w:ascii="宋体" w:hAnsi="宋体" w:eastAsia="宋体" w:cs="宋体"/>
          <w:b/>
          <w:bCs/>
          <w:color w:val="auto"/>
          <w:spacing w:val="-4"/>
          <w:sz w:val="24"/>
          <w:szCs w:val="24"/>
          <w:highlight w:val="none"/>
          <w:lang w:val="en-US" w:eastAsia="zh-CN"/>
        </w:rPr>
        <w:t>供应商</w:t>
      </w:r>
      <w:r>
        <w:rPr>
          <w:rFonts w:hint="eastAsia" w:ascii="宋体" w:hAnsi="宋体" w:eastAsia="宋体" w:cs="宋体"/>
          <w:b/>
          <w:bCs/>
          <w:color w:val="auto"/>
          <w:spacing w:val="-1"/>
          <w:sz w:val="24"/>
          <w:szCs w:val="24"/>
          <w:highlight w:val="none"/>
        </w:rPr>
        <w:t>、联合体</w:t>
      </w:r>
    </w:p>
    <w:p w14:paraId="5A8C2A66">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宋体" w:hAnsi="宋体" w:eastAsia="宋体" w:cs="宋体"/>
          <w:color w:val="auto"/>
          <w:spacing w:val="2"/>
          <w:sz w:val="24"/>
          <w:szCs w:val="24"/>
          <w:highlight w:val="none"/>
          <w:lang w:val="en-US" w:eastAsia="zh-CN"/>
        </w:rPr>
        <w:t>竞争性磋商公告</w:t>
      </w:r>
      <w:r>
        <w:rPr>
          <w:rFonts w:hint="eastAsia" w:ascii="宋体" w:hAnsi="宋体" w:eastAsia="宋体" w:cs="宋体"/>
          <w:color w:val="auto"/>
          <w:spacing w:val="2"/>
          <w:sz w:val="24"/>
          <w:szCs w:val="24"/>
          <w:highlight w:val="none"/>
        </w:rPr>
        <w:t>》。</w:t>
      </w:r>
    </w:p>
    <w:p w14:paraId="7024A85F">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1.2</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供应商（也称申请人）：指向采购人</w:t>
      </w:r>
      <w:r>
        <w:rPr>
          <w:rFonts w:hint="eastAsia" w:ascii="宋体" w:hAnsi="宋体" w:eastAsia="宋体" w:cs="宋体"/>
          <w:color w:val="auto"/>
          <w:spacing w:val="2"/>
          <w:sz w:val="24"/>
          <w:szCs w:val="24"/>
          <w:highlight w:val="none"/>
          <w:lang w:val="en-US" w:eastAsia="zh-CN"/>
        </w:rPr>
        <w:t>提</w:t>
      </w:r>
      <w:r>
        <w:rPr>
          <w:rFonts w:hint="eastAsia" w:ascii="宋体" w:hAnsi="宋体" w:eastAsia="宋体" w:cs="宋体"/>
          <w:color w:val="auto"/>
          <w:spacing w:val="2"/>
          <w:sz w:val="24"/>
          <w:szCs w:val="24"/>
          <w:highlight w:val="none"/>
        </w:rPr>
        <w:t>供货物、工程或者服务的法人、其他组织或者自然人。</w:t>
      </w:r>
    </w:p>
    <w:p w14:paraId="7C1DAA18">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1.3</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联合体：指两个以上的自然人、法人或者其他组织组成一个联合体，以一个供应商的身份共同参加政府采购。</w:t>
      </w:r>
    </w:p>
    <w:p w14:paraId="5E4BD985">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资金来源、项目属性、科研仪器设备采购</w:t>
      </w:r>
    </w:p>
    <w:p w14:paraId="64FE36C1">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2.1</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资金来源为财政性资金</w:t>
      </w:r>
      <w:r>
        <w:rPr>
          <w:rFonts w:hint="eastAsia" w:ascii="宋体" w:hAnsi="宋体" w:eastAsia="宋体" w:cs="宋体"/>
          <w:color w:val="auto"/>
          <w:spacing w:val="7"/>
          <w:sz w:val="24"/>
          <w:szCs w:val="24"/>
          <w:highlight w:val="none"/>
          <w:u w:val="single"/>
          <w:lang w:val="en-US" w:eastAsia="zh-CN"/>
        </w:rPr>
        <w:t xml:space="preserve"> </w:t>
      </w:r>
      <w:r>
        <w:rPr>
          <w:rFonts w:hint="eastAsia" w:cs="宋体"/>
          <w:color w:val="auto"/>
          <w:spacing w:val="7"/>
          <w:sz w:val="24"/>
          <w:szCs w:val="24"/>
          <w:highlight w:val="none"/>
          <w:u w:val="single"/>
          <w:lang w:val="en-US" w:eastAsia="zh-CN"/>
        </w:rPr>
        <w:t xml:space="preserve">68 </w:t>
      </w:r>
      <w:r>
        <w:rPr>
          <w:rFonts w:hint="eastAsia" w:ascii="宋体" w:hAnsi="宋体" w:eastAsia="宋体" w:cs="宋体"/>
          <w:color w:val="auto"/>
          <w:spacing w:val="7"/>
          <w:sz w:val="24"/>
          <w:szCs w:val="24"/>
          <w:highlight w:val="none"/>
          <w:u w:val="none"/>
          <w:lang w:val="en-US" w:eastAsia="zh-CN"/>
        </w:rPr>
        <w:t>万元</w:t>
      </w:r>
      <w:r>
        <w:rPr>
          <w:rFonts w:hint="eastAsia" w:ascii="宋体" w:hAnsi="宋体" w:eastAsia="宋体" w:cs="宋体"/>
          <w:color w:val="auto"/>
          <w:spacing w:val="-9"/>
          <w:sz w:val="24"/>
          <w:szCs w:val="24"/>
          <w:highlight w:val="none"/>
        </w:rPr>
        <w:t>。</w:t>
      </w:r>
    </w:p>
    <w:p w14:paraId="49B54C91">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项目属性见《</w:t>
      </w:r>
      <w:r>
        <w:rPr>
          <w:rFonts w:hint="eastAsia" w:ascii="宋体" w:hAnsi="宋体" w:eastAsia="宋体" w:cs="宋体"/>
          <w:color w:val="auto"/>
          <w:spacing w:val="2"/>
          <w:sz w:val="24"/>
          <w:szCs w:val="24"/>
          <w:highlight w:val="none"/>
          <w:lang w:val="en-US" w:eastAsia="zh-CN"/>
        </w:rPr>
        <w:t>供应商</w:t>
      </w:r>
      <w:r>
        <w:rPr>
          <w:rFonts w:hint="eastAsia" w:ascii="宋体" w:hAnsi="宋体" w:eastAsia="宋体" w:cs="宋体"/>
          <w:color w:val="auto"/>
          <w:spacing w:val="2"/>
          <w:sz w:val="24"/>
          <w:szCs w:val="24"/>
          <w:highlight w:val="none"/>
          <w:lang w:eastAsia="zh-CN"/>
        </w:rPr>
        <w:t>须知表</w:t>
      </w:r>
      <w:r>
        <w:rPr>
          <w:rFonts w:hint="eastAsia" w:ascii="宋体" w:hAnsi="宋体" w:eastAsia="宋体" w:cs="宋体"/>
          <w:color w:val="auto"/>
          <w:spacing w:val="2"/>
          <w:sz w:val="24"/>
          <w:szCs w:val="24"/>
          <w:highlight w:val="none"/>
        </w:rPr>
        <w:t>》。</w:t>
      </w:r>
    </w:p>
    <w:p w14:paraId="668A67EC">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是否属于科研仪器设备采购见《</w:t>
      </w:r>
      <w:r>
        <w:rPr>
          <w:rFonts w:hint="eastAsia" w:ascii="宋体" w:hAnsi="宋体" w:eastAsia="宋体" w:cs="宋体"/>
          <w:color w:val="auto"/>
          <w:spacing w:val="2"/>
          <w:sz w:val="24"/>
          <w:szCs w:val="24"/>
          <w:highlight w:val="none"/>
          <w:lang w:val="en-US" w:eastAsia="zh-CN"/>
        </w:rPr>
        <w:t>供应商</w:t>
      </w:r>
      <w:r>
        <w:rPr>
          <w:rFonts w:hint="eastAsia" w:ascii="宋体" w:hAnsi="宋体" w:eastAsia="宋体" w:cs="宋体"/>
          <w:color w:val="auto"/>
          <w:spacing w:val="2"/>
          <w:sz w:val="24"/>
          <w:szCs w:val="24"/>
          <w:highlight w:val="none"/>
          <w:lang w:eastAsia="zh-CN"/>
        </w:rPr>
        <w:t>须知表</w:t>
      </w:r>
      <w:r>
        <w:rPr>
          <w:rFonts w:hint="eastAsia" w:ascii="宋体" w:hAnsi="宋体" w:eastAsia="宋体" w:cs="宋体"/>
          <w:color w:val="auto"/>
          <w:spacing w:val="2"/>
          <w:sz w:val="24"/>
          <w:szCs w:val="24"/>
          <w:highlight w:val="none"/>
        </w:rPr>
        <w:t>》。</w:t>
      </w:r>
    </w:p>
    <w:p w14:paraId="1708AFAD">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现场考察、开标前答疑会</w:t>
      </w:r>
    </w:p>
    <w:p w14:paraId="12FD11C6">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9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3.1</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若《</w:t>
      </w:r>
      <w:r>
        <w:rPr>
          <w:rFonts w:hint="eastAsia" w:ascii="宋体" w:hAnsi="宋体" w:eastAsia="宋体" w:cs="宋体"/>
          <w:color w:val="auto"/>
          <w:spacing w:val="3"/>
          <w:sz w:val="24"/>
          <w:szCs w:val="24"/>
          <w:highlight w:val="none"/>
          <w:lang w:val="en-US" w:eastAsia="zh-CN"/>
        </w:rPr>
        <w:t>供应商</w:t>
      </w:r>
      <w:r>
        <w:rPr>
          <w:rFonts w:hint="eastAsia" w:ascii="宋体" w:hAnsi="宋体" w:eastAsia="宋体" w:cs="宋体"/>
          <w:color w:val="auto"/>
          <w:spacing w:val="3"/>
          <w:sz w:val="24"/>
          <w:szCs w:val="24"/>
          <w:highlight w:val="none"/>
          <w:lang w:eastAsia="zh-CN"/>
        </w:rPr>
        <w:t>须知表</w:t>
      </w:r>
      <w:r>
        <w:rPr>
          <w:rFonts w:hint="eastAsia" w:ascii="宋体" w:hAnsi="宋体" w:eastAsia="宋体" w:cs="宋体"/>
          <w:color w:val="auto"/>
          <w:spacing w:val="3"/>
          <w:sz w:val="24"/>
          <w:szCs w:val="24"/>
          <w:highlight w:val="none"/>
        </w:rPr>
        <w:t>》中规定了组</w:t>
      </w:r>
      <w:r>
        <w:rPr>
          <w:rFonts w:hint="eastAsia" w:ascii="宋体" w:hAnsi="宋体" w:eastAsia="宋体" w:cs="宋体"/>
          <w:color w:val="auto"/>
          <w:spacing w:val="2"/>
          <w:sz w:val="24"/>
          <w:szCs w:val="24"/>
          <w:highlight w:val="none"/>
        </w:rPr>
        <w:t>织现场考察、召开</w:t>
      </w:r>
      <w:r>
        <w:rPr>
          <w:rFonts w:hint="eastAsia" w:ascii="宋体" w:hAnsi="宋体" w:eastAsia="宋体" w:cs="宋体"/>
          <w:color w:val="auto"/>
          <w:spacing w:val="2"/>
          <w:sz w:val="24"/>
          <w:szCs w:val="24"/>
          <w:highlight w:val="none"/>
          <w:lang w:val="en-US" w:eastAsia="zh-CN"/>
        </w:rPr>
        <w:t>磋商</w:t>
      </w:r>
      <w:r>
        <w:rPr>
          <w:rFonts w:hint="eastAsia" w:ascii="宋体" w:hAnsi="宋体" w:eastAsia="宋体" w:cs="宋体"/>
          <w:color w:val="auto"/>
          <w:spacing w:val="2"/>
          <w:sz w:val="24"/>
          <w:szCs w:val="24"/>
          <w:highlight w:val="none"/>
        </w:rPr>
        <w:t>前答疑会，则供应商</w:t>
      </w:r>
      <w:r>
        <w:rPr>
          <w:rFonts w:hint="eastAsia" w:ascii="宋体" w:hAnsi="宋体" w:eastAsia="宋体" w:cs="宋体"/>
          <w:color w:val="auto"/>
          <w:spacing w:val="-3"/>
          <w:sz w:val="24"/>
          <w:szCs w:val="24"/>
          <w:highlight w:val="none"/>
        </w:rPr>
        <w:t>应按要求在规定的时间和地点参加。</w:t>
      </w:r>
    </w:p>
    <w:p w14:paraId="6DD516A4">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3.2</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由于未参加现场考察或</w:t>
      </w:r>
      <w:r>
        <w:rPr>
          <w:rFonts w:hint="eastAsia" w:ascii="宋体" w:hAnsi="宋体" w:eastAsia="宋体" w:cs="宋体"/>
          <w:color w:val="auto"/>
          <w:spacing w:val="2"/>
          <w:sz w:val="24"/>
          <w:szCs w:val="24"/>
          <w:highlight w:val="none"/>
          <w:lang w:val="en-US" w:eastAsia="zh-CN"/>
        </w:rPr>
        <w:t>磋商</w:t>
      </w:r>
      <w:r>
        <w:rPr>
          <w:rFonts w:hint="eastAsia" w:ascii="宋体" w:hAnsi="宋体" w:eastAsia="宋体" w:cs="宋体"/>
          <w:color w:val="auto"/>
          <w:spacing w:val="2"/>
          <w:sz w:val="24"/>
          <w:szCs w:val="24"/>
          <w:highlight w:val="none"/>
        </w:rPr>
        <w:t>前答疑会而导致对项目实际情况不了解，影响</w:t>
      </w:r>
      <w:r>
        <w:rPr>
          <w:rFonts w:hint="eastAsia" w:ascii="宋体" w:hAnsi="宋体" w:eastAsia="宋体" w:cs="宋体"/>
          <w:color w:val="auto"/>
          <w:spacing w:val="2"/>
          <w:sz w:val="24"/>
          <w:szCs w:val="24"/>
          <w:highlight w:val="none"/>
          <w:lang w:val="en-US" w:eastAsia="zh-CN"/>
        </w:rPr>
        <w:t>响应</w:t>
      </w:r>
      <w:r>
        <w:rPr>
          <w:rFonts w:hint="eastAsia" w:ascii="宋体" w:hAnsi="宋体" w:eastAsia="宋体" w:cs="宋体"/>
          <w:color w:val="auto"/>
          <w:spacing w:val="2"/>
          <w:sz w:val="24"/>
          <w:szCs w:val="24"/>
          <w:highlight w:val="none"/>
        </w:rPr>
        <w:t>文件编制、</w:t>
      </w:r>
      <w:r>
        <w:rPr>
          <w:rFonts w:hint="eastAsia" w:ascii="宋体" w:hAnsi="宋体" w:eastAsia="宋体" w:cs="宋体"/>
          <w:color w:val="auto"/>
          <w:spacing w:val="2"/>
          <w:sz w:val="24"/>
          <w:szCs w:val="24"/>
          <w:highlight w:val="none"/>
          <w:lang w:val="en-US" w:eastAsia="zh-CN"/>
        </w:rPr>
        <w:t>磋商</w:t>
      </w:r>
      <w:r>
        <w:rPr>
          <w:rFonts w:hint="eastAsia" w:ascii="宋体" w:hAnsi="宋体" w:eastAsia="宋体" w:cs="宋体"/>
          <w:color w:val="auto"/>
          <w:spacing w:val="2"/>
          <w:sz w:val="24"/>
          <w:szCs w:val="24"/>
          <w:highlight w:val="none"/>
        </w:rPr>
        <w:t>报价准确性、综合因素响应不全面等问题的，由</w:t>
      </w:r>
      <w:r>
        <w:rPr>
          <w:rFonts w:hint="eastAsia" w:ascii="宋体" w:hAnsi="宋体" w:eastAsia="宋体" w:cs="宋体"/>
          <w:color w:val="auto"/>
          <w:spacing w:val="2"/>
          <w:sz w:val="24"/>
          <w:szCs w:val="24"/>
          <w:highlight w:val="none"/>
          <w:lang w:val="en-US" w:eastAsia="zh-CN"/>
        </w:rPr>
        <w:t>供应商</w:t>
      </w:r>
      <w:r>
        <w:rPr>
          <w:rFonts w:hint="eastAsia" w:ascii="宋体" w:hAnsi="宋体" w:eastAsia="宋体" w:cs="宋体"/>
          <w:color w:val="auto"/>
          <w:spacing w:val="2"/>
          <w:sz w:val="24"/>
          <w:szCs w:val="24"/>
          <w:highlight w:val="none"/>
        </w:rPr>
        <w:t>自行承担不利评审后果。</w:t>
      </w:r>
    </w:p>
    <w:p w14:paraId="7AA8F91D">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78" w:firstLineChars="200"/>
        <w:jc w:val="both"/>
        <w:textAlignment w:val="baseline"/>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lang w:val="en-US" w:eastAsia="zh-CN"/>
        </w:rPr>
        <w:t>4.</w:t>
      </w:r>
      <w:r>
        <w:rPr>
          <w:rFonts w:hint="eastAsia" w:ascii="宋体" w:hAnsi="宋体" w:eastAsia="宋体" w:cs="宋体"/>
          <w:b/>
          <w:bCs/>
          <w:color w:val="auto"/>
          <w:spacing w:val="-1"/>
          <w:sz w:val="24"/>
          <w:szCs w:val="24"/>
          <w:highlight w:val="none"/>
        </w:rPr>
        <w:t>政府采购政策（包括但不限于下列具体政策要求）</w:t>
      </w:r>
    </w:p>
    <w:p w14:paraId="25B21720">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采购本国货物、工程和服务</w:t>
      </w:r>
    </w:p>
    <w:p w14:paraId="629EC616">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.1.1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政府采购应当采购本国货物、工程和服务。但有《中华人民共和国政府采购法》第十条规定情形的除外。</w:t>
      </w:r>
    </w:p>
    <w:p w14:paraId="550D8B94">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.1.2</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本项目如接受非本国货</w:t>
      </w:r>
      <w:r>
        <w:rPr>
          <w:rFonts w:hint="eastAsia" w:ascii="宋体" w:hAnsi="宋体" w:eastAsia="宋体" w:cs="宋体"/>
          <w:color w:val="auto"/>
          <w:spacing w:val="-5"/>
          <w:sz w:val="24"/>
          <w:szCs w:val="24"/>
          <w:highlight w:val="none"/>
        </w:rPr>
        <w:t>物、工程、服务参与</w:t>
      </w:r>
      <w:r>
        <w:rPr>
          <w:rFonts w:hint="eastAsia" w:ascii="宋体" w:hAnsi="宋体" w:eastAsia="宋体" w:cs="宋体"/>
          <w:color w:val="auto"/>
          <w:spacing w:val="-5"/>
          <w:sz w:val="24"/>
          <w:szCs w:val="24"/>
          <w:highlight w:val="none"/>
          <w:lang w:val="en-US" w:eastAsia="zh-CN"/>
        </w:rPr>
        <w:t>磋商</w:t>
      </w:r>
      <w:r>
        <w:rPr>
          <w:rFonts w:hint="eastAsia" w:ascii="宋体" w:hAnsi="宋体" w:eastAsia="宋体" w:cs="宋体"/>
          <w:color w:val="auto"/>
          <w:spacing w:val="-5"/>
          <w:sz w:val="24"/>
          <w:szCs w:val="24"/>
          <w:highlight w:val="none"/>
        </w:rPr>
        <w:t>，则具体要求见第</w:t>
      </w:r>
      <w:r>
        <w:rPr>
          <w:rFonts w:hint="eastAsia" w:ascii="宋体" w:hAnsi="宋体" w:eastAsia="宋体" w:cs="宋体"/>
          <w:color w:val="auto"/>
          <w:spacing w:val="-5"/>
          <w:sz w:val="24"/>
          <w:szCs w:val="24"/>
          <w:highlight w:val="none"/>
          <w:lang w:val="en-US" w:eastAsia="zh-CN"/>
        </w:rPr>
        <w:t>二</w:t>
      </w:r>
      <w:r>
        <w:rPr>
          <w:rFonts w:hint="eastAsia" w:ascii="宋体" w:hAnsi="宋体" w:eastAsia="宋体" w:cs="宋体"/>
          <w:color w:val="auto"/>
          <w:spacing w:val="-19"/>
          <w:sz w:val="24"/>
          <w:szCs w:val="24"/>
          <w:highlight w:val="none"/>
        </w:rPr>
        <w:t>章《采购需求》。</w:t>
      </w:r>
    </w:p>
    <w:p w14:paraId="40D6A4B1">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50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.1.3</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进口产品指通过中国海关</w:t>
      </w:r>
      <w:r>
        <w:rPr>
          <w:rFonts w:hint="eastAsia" w:ascii="宋体" w:hAnsi="宋体" w:eastAsia="宋体" w:cs="宋体"/>
          <w:color w:val="auto"/>
          <w:spacing w:val="5"/>
          <w:sz w:val="24"/>
          <w:szCs w:val="24"/>
          <w:highlight w:val="none"/>
        </w:rPr>
        <w:t>报关验放进入中国境内且产自关境外的产</w:t>
      </w:r>
      <w:r>
        <w:rPr>
          <w:rFonts w:hint="eastAsia" w:ascii="宋体" w:hAnsi="宋体" w:eastAsia="宋体" w:cs="宋体"/>
          <w:color w:val="auto"/>
          <w:spacing w:val="-5"/>
          <w:sz w:val="24"/>
          <w:szCs w:val="24"/>
          <w:highlight w:val="none"/>
        </w:rPr>
        <w:t>品，包括已经进入中国境内的进口产品。关于进口产品的相关规定依据《政府采购进口产品管理办法》（财库〔2007〕119号文）、《关</w:t>
      </w:r>
      <w:r>
        <w:rPr>
          <w:rFonts w:hint="eastAsia" w:ascii="宋体" w:hAnsi="宋体" w:eastAsia="宋体" w:cs="宋体"/>
          <w:color w:val="auto"/>
          <w:spacing w:val="5"/>
          <w:sz w:val="24"/>
          <w:szCs w:val="24"/>
          <w:highlight w:val="none"/>
        </w:rPr>
        <w:t>于政府采购进口产品管理有关问题的通知》（财办库〔</w:t>
      </w:r>
      <w:r>
        <w:rPr>
          <w:rFonts w:hint="eastAsia" w:ascii="宋体" w:hAnsi="宋体" w:eastAsia="宋体" w:cs="宋体"/>
          <w:color w:val="auto"/>
          <w:spacing w:val="4"/>
          <w:sz w:val="24"/>
          <w:szCs w:val="24"/>
          <w:highlight w:val="none"/>
        </w:rPr>
        <w:t>2008〕248</w:t>
      </w:r>
      <w:r>
        <w:rPr>
          <w:rFonts w:hint="eastAsia" w:ascii="宋体" w:hAnsi="宋体" w:eastAsia="宋体" w:cs="宋体"/>
          <w:color w:val="auto"/>
          <w:spacing w:val="-38"/>
          <w:sz w:val="24"/>
          <w:szCs w:val="24"/>
          <w:highlight w:val="none"/>
        </w:rPr>
        <w:t>号文）</w:t>
      </w:r>
      <w:r>
        <w:rPr>
          <w:rFonts w:hint="eastAsia" w:ascii="宋体" w:hAnsi="宋体" w:eastAsia="宋体" w:cs="宋体"/>
          <w:color w:val="auto"/>
          <w:spacing w:val="5"/>
          <w:sz w:val="24"/>
          <w:szCs w:val="24"/>
          <w:highlight w:val="none"/>
          <w:lang w:val="en-US" w:eastAsia="zh-CN"/>
        </w:rPr>
        <w:t>以及南阳市财政局的具体规定</w:t>
      </w:r>
      <w:r>
        <w:rPr>
          <w:rFonts w:hint="eastAsia" w:ascii="宋体" w:hAnsi="宋体" w:eastAsia="宋体" w:cs="宋体"/>
          <w:color w:val="auto"/>
          <w:spacing w:val="5"/>
          <w:sz w:val="24"/>
          <w:szCs w:val="24"/>
          <w:highlight w:val="none"/>
        </w:rPr>
        <w:t>。</w:t>
      </w:r>
    </w:p>
    <w:p w14:paraId="1C79EB44">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中小企业、监狱企业及残疾人福利性单位</w:t>
      </w:r>
    </w:p>
    <w:p w14:paraId="47A8655A">
      <w:pPr>
        <w:pStyle w:val="7"/>
        <w:keepNext w:val="0"/>
        <w:keepLines w:val="0"/>
        <w:pageBreakBefore w:val="0"/>
        <w:widowControl/>
        <w:kinsoku/>
        <w:wordWrap w:val="0"/>
        <w:overflowPunct/>
        <w:topLinePunct w:val="0"/>
        <w:autoSpaceDE w:val="0"/>
        <w:autoSpaceDN w:val="0"/>
        <w:bidi w:val="0"/>
        <w:adjustRightInd w:val="0"/>
        <w:snapToGrid w:val="0"/>
        <w:spacing w:line="440" w:lineRule="exact"/>
        <w:ind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.2.1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中小企业定义：</w:t>
      </w:r>
    </w:p>
    <w:p w14:paraId="5925B551">
      <w:pPr>
        <w:pStyle w:val="7"/>
        <w:keepNext w:val="0"/>
        <w:keepLines w:val="0"/>
        <w:pageBreakBefore w:val="0"/>
        <w:widowControl/>
        <w:kinsoku/>
        <w:wordWrap w:val="0"/>
        <w:overflowPunct/>
        <w:topLinePunct w:val="0"/>
        <w:autoSpaceDE w:val="0"/>
        <w:autoSpaceDN w:val="0"/>
        <w:bidi w:val="0"/>
        <w:adjustRightInd w:val="0"/>
        <w:snapToGrid w:val="0"/>
        <w:spacing w:line="440" w:lineRule="exact"/>
        <w:ind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fldChar w:fldCharType="begin"/>
      </w:r>
      <w:r>
        <w:rPr>
          <w:rFonts w:hint="eastAsia" w:ascii="宋体" w:hAnsi="宋体" w:eastAsia="宋体" w:cs="宋体"/>
          <w:color w:val="auto"/>
          <w:spacing w:val="-4"/>
          <w:sz w:val="24"/>
          <w:szCs w:val="24"/>
          <w:highlight w:val="none"/>
        </w:rPr>
        <w:instrText xml:space="preserve">HYPERLINK"5.2.1.1"</w:instrText>
      </w:r>
      <w:r>
        <w:rPr>
          <w:rFonts w:hint="eastAsia" w:ascii="宋体" w:hAnsi="宋体" w:eastAsia="宋体" w:cs="宋体"/>
          <w:color w:val="auto"/>
          <w:spacing w:val="-4"/>
          <w:sz w:val="24"/>
          <w:szCs w:val="24"/>
          <w:highlight w:val="none"/>
        </w:rPr>
        <w:fldChar w:fldCharType="separate"/>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.2.1.1</w:t>
      </w:r>
      <w:r>
        <w:rPr>
          <w:rFonts w:hint="eastAsia" w:ascii="宋体" w:hAnsi="宋体" w:eastAsia="宋体" w:cs="宋体"/>
          <w:color w:val="auto"/>
          <w:spacing w:val="-4"/>
          <w:sz w:val="24"/>
          <w:szCs w:val="24"/>
          <w:highlight w:val="none"/>
        </w:rPr>
        <w:fldChar w:fldCharType="end"/>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宋体" w:hAnsi="宋体" w:eastAsia="宋体" w:cs="宋体"/>
          <w:color w:val="auto"/>
          <w:spacing w:val="-4"/>
          <w:sz w:val="24"/>
          <w:szCs w:val="24"/>
          <w:highlight w:val="none"/>
          <w:lang w:val="en-US" w:eastAsia="zh-CN"/>
        </w:rPr>
        <w:t>执行</w:t>
      </w:r>
      <w:r>
        <w:rPr>
          <w:rFonts w:hint="eastAsia" w:ascii="宋体" w:hAnsi="宋体" w:eastAsia="宋体" w:cs="宋体"/>
          <w:color w:val="auto"/>
          <w:spacing w:val="-4"/>
          <w:sz w:val="24"/>
          <w:szCs w:val="24"/>
          <w:highlight w:val="none"/>
        </w:rPr>
        <w:t>。</w:t>
      </w:r>
    </w:p>
    <w:p w14:paraId="1633C6FC">
      <w:pPr>
        <w:pStyle w:val="7"/>
        <w:keepNext w:val="0"/>
        <w:keepLines w:val="0"/>
        <w:pageBreakBefore w:val="0"/>
        <w:widowControl/>
        <w:kinsoku/>
        <w:wordWrap w:val="0"/>
        <w:overflowPunct/>
        <w:topLinePunct w:val="0"/>
        <w:autoSpaceDE w:val="0"/>
        <w:autoSpaceDN w:val="0"/>
        <w:bidi w:val="0"/>
        <w:adjustRightInd w:val="0"/>
        <w:snapToGrid w:val="0"/>
        <w:spacing w:line="440" w:lineRule="exact"/>
        <w:ind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fldChar w:fldCharType="begin"/>
      </w:r>
      <w:r>
        <w:rPr>
          <w:rFonts w:hint="eastAsia" w:ascii="宋体" w:hAnsi="宋体" w:eastAsia="宋体" w:cs="宋体"/>
          <w:color w:val="auto"/>
          <w:spacing w:val="-4"/>
          <w:sz w:val="24"/>
          <w:szCs w:val="24"/>
          <w:highlight w:val="none"/>
        </w:rPr>
        <w:instrText xml:space="preserve">HYPERLINK"5.2.1.2"</w:instrText>
      </w:r>
      <w:r>
        <w:rPr>
          <w:rFonts w:hint="eastAsia" w:ascii="宋体" w:hAnsi="宋体" w:eastAsia="宋体" w:cs="宋体"/>
          <w:color w:val="auto"/>
          <w:spacing w:val="-4"/>
          <w:sz w:val="24"/>
          <w:szCs w:val="24"/>
          <w:highlight w:val="none"/>
        </w:rPr>
        <w:fldChar w:fldCharType="separate"/>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.2.1.2</w:t>
      </w:r>
      <w:r>
        <w:rPr>
          <w:rFonts w:hint="eastAsia" w:ascii="宋体" w:hAnsi="宋体" w:eastAsia="宋体" w:cs="宋体"/>
          <w:color w:val="auto"/>
          <w:spacing w:val="-4"/>
          <w:sz w:val="24"/>
          <w:szCs w:val="24"/>
          <w:highlight w:val="none"/>
        </w:rPr>
        <w:fldChar w:fldCharType="end"/>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供应商</w:t>
      </w:r>
      <w:r>
        <w:rPr>
          <w:rFonts w:hint="eastAsia" w:ascii="宋体" w:hAnsi="宋体" w:eastAsia="宋体" w:cs="宋体"/>
          <w:color w:val="auto"/>
          <w:spacing w:val="-4"/>
          <w:sz w:val="24"/>
          <w:szCs w:val="24"/>
          <w:highlight w:val="none"/>
          <w:lang w:val="en-US" w:eastAsia="zh-CN"/>
        </w:rPr>
        <w:t>提</w:t>
      </w:r>
      <w:r>
        <w:rPr>
          <w:rFonts w:hint="eastAsia" w:ascii="宋体" w:hAnsi="宋体" w:eastAsia="宋体" w:cs="宋体"/>
          <w:color w:val="auto"/>
          <w:spacing w:val="-4"/>
          <w:sz w:val="24"/>
          <w:szCs w:val="24"/>
          <w:highlight w:val="none"/>
        </w:rPr>
        <w:t>供的货物、工程或者服务符合下列情形的，享受中小企业扶持政策：</w:t>
      </w:r>
    </w:p>
    <w:p w14:paraId="7D5C5603">
      <w:pPr>
        <w:pStyle w:val="7"/>
        <w:keepNext w:val="0"/>
        <w:keepLines w:val="0"/>
        <w:pageBreakBefore w:val="0"/>
        <w:widowControl/>
        <w:kinsoku/>
        <w:wordWrap w:val="0"/>
        <w:overflowPunct/>
        <w:topLinePunct w:val="0"/>
        <w:autoSpaceDE w:val="0"/>
        <w:autoSpaceDN w:val="0"/>
        <w:bidi w:val="0"/>
        <w:adjustRightInd w:val="0"/>
        <w:snapToGrid w:val="0"/>
        <w:spacing w:line="440" w:lineRule="exact"/>
        <w:ind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（1）在货物采购项目中，货物由中小企业制造，即货物由中小企业生产且使用该中小企业商号或者注册商标；</w:t>
      </w:r>
    </w:p>
    <w:p w14:paraId="2EF0BB57">
      <w:pPr>
        <w:pStyle w:val="7"/>
        <w:keepNext w:val="0"/>
        <w:keepLines w:val="0"/>
        <w:pageBreakBefore w:val="0"/>
        <w:widowControl/>
        <w:kinsoku/>
        <w:wordWrap w:val="0"/>
        <w:overflowPunct/>
        <w:topLinePunct w:val="0"/>
        <w:autoSpaceDE w:val="0"/>
        <w:autoSpaceDN w:val="0"/>
        <w:bidi w:val="0"/>
        <w:adjustRightInd w:val="0"/>
        <w:snapToGrid w:val="0"/>
        <w:spacing w:line="440" w:lineRule="exact"/>
        <w:ind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（2）在工程采购项目中，工程由中小企业承建，即工程施工单位为中小企业；</w:t>
      </w:r>
    </w:p>
    <w:p w14:paraId="4E2EA761">
      <w:pPr>
        <w:pStyle w:val="7"/>
        <w:keepNext w:val="0"/>
        <w:keepLines w:val="0"/>
        <w:pageBreakBefore w:val="0"/>
        <w:widowControl/>
        <w:kinsoku/>
        <w:wordWrap w:val="0"/>
        <w:overflowPunct/>
        <w:topLinePunct w:val="0"/>
        <w:autoSpaceDE w:val="0"/>
        <w:autoSpaceDN w:val="0"/>
        <w:bidi w:val="0"/>
        <w:adjustRightInd w:val="0"/>
        <w:snapToGrid w:val="0"/>
        <w:spacing w:line="440" w:lineRule="exact"/>
        <w:ind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（3）在服务采购项目中，服务由中小企业承接，即</w:t>
      </w:r>
      <w:r>
        <w:rPr>
          <w:rFonts w:hint="eastAsia" w:ascii="宋体" w:hAnsi="宋体" w:eastAsia="宋体" w:cs="宋体"/>
          <w:color w:val="auto"/>
          <w:spacing w:val="-4"/>
          <w:sz w:val="24"/>
          <w:szCs w:val="24"/>
          <w:highlight w:val="none"/>
          <w:lang w:val="en-US" w:eastAsia="zh-CN"/>
        </w:rPr>
        <w:t>提</w:t>
      </w:r>
      <w:r>
        <w:rPr>
          <w:rFonts w:hint="eastAsia" w:ascii="宋体" w:hAnsi="宋体" w:eastAsia="宋体" w:cs="宋体"/>
          <w:color w:val="auto"/>
          <w:spacing w:val="-4"/>
          <w:sz w:val="24"/>
          <w:szCs w:val="24"/>
          <w:highlight w:val="none"/>
        </w:rPr>
        <w:t>供服务的人员为中小企业依照《中华人民共和国劳动合同法》订立劳动合同的从业人员。</w:t>
      </w:r>
    </w:p>
    <w:p w14:paraId="495722A0">
      <w:pPr>
        <w:pStyle w:val="7"/>
        <w:keepNext w:val="0"/>
        <w:keepLines w:val="0"/>
        <w:pageBreakBefore w:val="0"/>
        <w:widowControl/>
        <w:kinsoku/>
        <w:wordWrap w:val="0"/>
        <w:overflowPunct/>
        <w:topLinePunct w:val="0"/>
        <w:autoSpaceDE w:val="0"/>
        <w:autoSpaceDN w:val="0"/>
        <w:bidi w:val="0"/>
        <w:adjustRightInd w:val="0"/>
        <w:snapToGrid w:val="0"/>
        <w:spacing w:line="440" w:lineRule="exact"/>
        <w:ind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fldChar w:fldCharType="begin"/>
      </w:r>
      <w:r>
        <w:rPr>
          <w:rFonts w:hint="eastAsia" w:ascii="宋体" w:hAnsi="宋体" w:eastAsia="宋体" w:cs="宋体"/>
          <w:color w:val="auto"/>
          <w:spacing w:val="-4"/>
          <w:sz w:val="24"/>
          <w:szCs w:val="24"/>
          <w:highlight w:val="none"/>
        </w:rPr>
        <w:instrText xml:space="preserve">HYPERLINK"5.2.1.3"</w:instrText>
      </w:r>
      <w:r>
        <w:rPr>
          <w:rFonts w:hint="eastAsia" w:ascii="宋体" w:hAnsi="宋体" w:eastAsia="宋体" w:cs="宋体"/>
          <w:color w:val="auto"/>
          <w:spacing w:val="-4"/>
          <w:sz w:val="24"/>
          <w:szCs w:val="24"/>
          <w:highlight w:val="none"/>
        </w:rPr>
        <w:fldChar w:fldCharType="separate"/>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.2.1.3</w:t>
      </w:r>
      <w:r>
        <w:rPr>
          <w:rFonts w:hint="eastAsia" w:ascii="宋体" w:hAnsi="宋体" w:eastAsia="宋体" w:cs="宋体"/>
          <w:color w:val="auto"/>
          <w:spacing w:val="-4"/>
          <w:sz w:val="24"/>
          <w:szCs w:val="24"/>
          <w:highlight w:val="none"/>
        </w:rPr>
        <w:fldChar w:fldCharType="end"/>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在货物采购项目中，供应商</w:t>
      </w:r>
      <w:r>
        <w:rPr>
          <w:rFonts w:hint="eastAsia" w:ascii="宋体" w:hAnsi="宋体" w:eastAsia="宋体" w:cs="宋体"/>
          <w:color w:val="auto"/>
          <w:spacing w:val="-4"/>
          <w:sz w:val="24"/>
          <w:szCs w:val="24"/>
          <w:highlight w:val="none"/>
          <w:lang w:val="en-US" w:eastAsia="zh-CN"/>
        </w:rPr>
        <w:t>提</w:t>
      </w:r>
      <w:r>
        <w:rPr>
          <w:rFonts w:hint="eastAsia" w:ascii="宋体" w:hAnsi="宋体" w:eastAsia="宋体" w:cs="宋体"/>
          <w:color w:val="auto"/>
          <w:spacing w:val="-4"/>
          <w:sz w:val="24"/>
          <w:szCs w:val="24"/>
          <w:highlight w:val="none"/>
        </w:rPr>
        <w:t>供的货物既有中小企业制造货物，也有大型企业制造货物的，不享受中小企业扶持政策。</w:t>
      </w:r>
    </w:p>
    <w:p w14:paraId="5AD72302">
      <w:pPr>
        <w:pStyle w:val="7"/>
        <w:keepNext w:val="0"/>
        <w:keepLines w:val="0"/>
        <w:pageBreakBefore w:val="0"/>
        <w:widowControl/>
        <w:kinsoku/>
        <w:wordWrap w:val="0"/>
        <w:overflowPunct/>
        <w:topLinePunct w:val="0"/>
        <w:autoSpaceDE w:val="0"/>
        <w:autoSpaceDN w:val="0"/>
        <w:bidi w:val="0"/>
        <w:adjustRightInd w:val="0"/>
        <w:snapToGrid w:val="0"/>
        <w:spacing w:line="440" w:lineRule="exact"/>
        <w:ind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fldChar w:fldCharType="begin"/>
      </w:r>
      <w:r>
        <w:rPr>
          <w:rFonts w:hint="eastAsia" w:ascii="宋体" w:hAnsi="宋体" w:eastAsia="宋体" w:cs="宋体"/>
          <w:color w:val="auto"/>
          <w:spacing w:val="-4"/>
          <w:sz w:val="24"/>
          <w:szCs w:val="24"/>
          <w:highlight w:val="none"/>
        </w:rPr>
        <w:instrText xml:space="preserve">HYPERLINK"5.2.1.4"</w:instrText>
      </w:r>
      <w:r>
        <w:rPr>
          <w:rFonts w:hint="eastAsia" w:ascii="宋体" w:hAnsi="宋体" w:eastAsia="宋体" w:cs="宋体"/>
          <w:color w:val="auto"/>
          <w:spacing w:val="-4"/>
          <w:sz w:val="24"/>
          <w:szCs w:val="24"/>
          <w:highlight w:val="none"/>
        </w:rPr>
        <w:fldChar w:fldCharType="separate"/>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.2.1.4</w:t>
      </w:r>
      <w:r>
        <w:rPr>
          <w:rFonts w:hint="eastAsia" w:ascii="宋体" w:hAnsi="宋体" w:eastAsia="宋体" w:cs="宋体"/>
          <w:color w:val="auto"/>
          <w:spacing w:val="-4"/>
          <w:sz w:val="24"/>
          <w:szCs w:val="24"/>
          <w:highlight w:val="none"/>
        </w:rPr>
        <w:fldChar w:fldCharType="end"/>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以联合体形式参加政府采购活动，联合体各方均为中小企业的，联合体视同中小企业。其中，联合体各方均为小微企业的，联合体视同小微企业。</w:t>
      </w:r>
    </w:p>
    <w:p w14:paraId="5883F894">
      <w:pPr>
        <w:pStyle w:val="7"/>
        <w:keepNext w:val="0"/>
        <w:keepLines w:val="0"/>
        <w:pageBreakBefore w:val="0"/>
        <w:widowControl/>
        <w:kinsoku/>
        <w:wordWrap w:val="0"/>
        <w:overflowPunct/>
        <w:topLinePunct w:val="0"/>
        <w:autoSpaceDE w:val="0"/>
        <w:autoSpaceDN w:val="0"/>
        <w:bidi w:val="0"/>
        <w:adjustRightInd w:val="0"/>
        <w:snapToGrid w:val="0"/>
        <w:spacing w:line="440" w:lineRule="exact"/>
        <w:ind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.2.2</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宋体" w:hAnsi="宋体" w:eastAsia="宋体" w:cs="宋体"/>
          <w:color w:val="auto"/>
          <w:spacing w:val="-6"/>
          <w:sz w:val="24"/>
          <w:szCs w:val="24"/>
          <w:highlight w:val="none"/>
        </w:rPr>
        <w:t>企业定义：是指由司法部认定的为罪犯、戒</w:t>
      </w:r>
      <w:r>
        <w:rPr>
          <w:rFonts w:hint="eastAsia" w:ascii="宋体" w:hAnsi="宋体" w:eastAsia="宋体" w:cs="宋体"/>
          <w:color w:val="auto"/>
          <w:spacing w:val="-7"/>
          <w:sz w:val="24"/>
          <w:szCs w:val="24"/>
          <w:highlight w:val="none"/>
        </w:rPr>
        <w:t>毒人员</w:t>
      </w:r>
      <w:r>
        <w:rPr>
          <w:rFonts w:hint="eastAsia" w:ascii="宋体" w:hAnsi="宋体" w:eastAsia="宋体" w:cs="宋体"/>
          <w:color w:val="auto"/>
          <w:spacing w:val="-7"/>
          <w:sz w:val="24"/>
          <w:szCs w:val="24"/>
          <w:highlight w:val="none"/>
          <w:lang w:val="en-US" w:eastAsia="zh-CN"/>
        </w:rPr>
        <w:t>提</w:t>
      </w:r>
      <w:r>
        <w:rPr>
          <w:rFonts w:hint="eastAsia" w:ascii="宋体" w:hAnsi="宋体" w:eastAsia="宋体" w:cs="宋体"/>
          <w:color w:val="auto"/>
          <w:spacing w:val="-7"/>
          <w:sz w:val="24"/>
          <w:szCs w:val="24"/>
          <w:highlight w:val="none"/>
        </w:rPr>
        <w:t>供生产项目和劳</w:t>
      </w:r>
      <w:r>
        <w:rPr>
          <w:rFonts w:hint="eastAsia" w:ascii="宋体" w:hAnsi="宋体" w:eastAsia="宋体" w:cs="宋体"/>
          <w:color w:val="auto"/>
          <w:spacing w:val="-8"/>
          <w:sz w:val="24"/>
          <w:szCs w:val="24"/>
          <w:highlight w:val="none"/>
        </w:rPr>
        <w:t>动对象，且全部产权属于司法部监狱管理局、戒毒管理局、直属煤矿</w:t>
      </w:r>
      <w:r>
        <w:rPr>
          <w:rFonts w:hint="eastAsia" w:ascii="宋体" w:hAnsi="宋体" w:eastAsia="宋体" w:cs="宋体"/>
          <w:color w:val="auto"/>
          <w:spacing w:val="-13"/>
          <w:sz w:val="24"/>
          <w:szCs w:val="24"/>
          <w:highlight w:val="none"/>
        </w:rPr>
        <w:t>管理局，各省、自治区、直辖市监狱管理</w:t>
      </w:r>
      <w:r>
        <w:rPr>
          <w:rFonts w:hint="eastAsia" w:ascii="宋体" w:hAnsi="宋体" w:eastAsia="宋体" w:cs="宋体"/>
          <w:color w:val="auto"/>
          <w:spacing w:val="-14"/>
          <w:sz w:val="24"/>
          <w:szCs w:val="24"/>
          <w:highlight w:val="none"/>
        </w:rPr>
        <w:t>局、戒毒管理局，各地（设</w:t>
      </w:r>
      <w:r>
        <w:rPr>
          <w:rFonts w:hint="eastAsia" w:ascii="宋体" w:hAnsi="宋体" w:eastAsia="宋体" w:cs="宋体"/>
          <w:color w:val="auto"/>
          <w:spacing w:val="-13"/>
          <w:sz w:val="24"/>
          <w:szCs w:val="24"/>
          <w:highlight w:val="none"/>
        </w:rPr>
        <w:t>区的市）监狱、强制隔离戒毒所、戒毒康复所，以及新疆生产建设兵</w:t>
      </w:r>
      <w:r>
        <w:rPr>
          <w:rFonts w:hint="eastAsia" w:ascii="宋体" w:hAnsi="宋体" w:eastAsia="宋体" w:cs="宋体"/>
          <w:color w:val="auto"/>
          <w:spacing w:val="-4"/>
          <w:sz w:val="24"/>
          <w:szCs w:val="24"/>
          <w:highlight w:val="none"/>
        </w:rPr>
        <w:t>团监狱管理局、戒毒管理局的企业。</w:t>
      </w:r>
    </w:p>
    <w:p w14:paraId="34020F10">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.2.3</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在政府采购活动中，残疾人福利性单位视同小型、微型企业</w:t>
      </w:r>
      <w:r>
        <w:rPr>
          <w:rFonts w:hint="eastAsia" w:ascii="宋体" w:hAnsi="宋体" w:eastAsia="宋体" w:cs="宋体"/>
          <w:color w:val="auto"/>
          <w:spacing w:val="-9"/>
          <w:sz w:val="24"/>
          <w:szCs w:val="24"/>
          <w:highlight w:val="none"/>
        </w:rPr>
        <w:t>，享受预</w:t>
      </w:r>
      <w:r>
        <w:rPr>
          <w:rFonts w:hint="eastAsia" w:ascii="宋体" w:hAnsi="宋体" w:eastAsia="宋体" w:cs="宋体"/>
          <w:color w:val="auto"/>
          <w:spacing w:val="-5"/>
          <w:sz w:val="24"/>
          <w:szCs w:val="24"/>
          <w:highlight w:val="none"/>
        </w:rPr>
        <w:t>留份额、评审中价格扣除等促进中小企业发展的政府采购政策。残疾</w:t>
      </w:r>
      <w:r>
        <w:rPr>
          <w:rFonts w:hint="eastAsia" w:ascii="宋体" w:hAnsi="宋体" w:eastAsia="宋体" w:cs="宋体"/>
          <w:color w:val="auto"/>
          <w:spacing w:val="-7"/>
          <w:sz w:val="24"/>
          <w:szCs w:val="24"/>
          <w:highlight w:val="none"/>
        </w:rPr>
        <w:t>人福利性单位定义：享受政府采购支持政策的残疾人福利性单位应当</w:t>
      </w:r>
      <w:r>
        <w:rPr>
          <w:rFonts w:hint="eastAsia" w:ascii="宋体" w:hAnsi="宋体" w:eastAsia="宋体" w:cs="宋体"/>
          <w:color w:val="auto"/>
          <w:spacing w:val="-9"/>
          <w:sz w:val="24"/>
          <w:szCs w:val="24"/>
          <w:highlight w:val="none"/>
        </w:rPr>
        <w:t>同时满足以下条件：</w:t>
      </w:r>
    </w:p>
    <w:p w14:paraId="6846A8FF">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fldChar w:fldCharType="begin"/>
      </w:r>
      <w:r>
        <w:rPr>
          <w:rFonts w:hint="eastAsia" w:ascii="宋体" w:hAnsi="宋体" w:eastAsia="宋体" w:cs="宋体"/>
          <w:color w:val="auto"/>
          <w:spacing w:val="-8"/>
          <w:sz w:val="24"/>
          <w:szCs w:val="24"/>
          <w:highlight w:val="none"/>
        </w:rPr>
        <w:instrText xml:space="preserve">HYPERLINK"5.2.3.1"</w:instrText>
      </w:r>
      <w:r>
        <w:rPr>
          <w:rFonts w:hint="eastAsia" w:ascii="宋体" w:hAnsi="宋体" w:eastAsia="宋体" w:cs="宋体"/>
          <w:color w:val="auto"/>
          <w:spacing w:val="-8"/>
          <w:sz w:val="24"/>
          <w:szCs w:val="24"/>
          <w:highlight w:val="none"/>
        </w:rPr>
        <w:fldChar w:fldCharType="separate"/>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.2.3.1</w:t>
      </w:r>
      <w:r>
        <w:rPr>
          <w:rFonts w:hint="eastAsia" w:ascii="宋体" w:hAnsi="宋体" w:eastAsia="宋体" w:cs="宋体"/>
          <w:color w:val="auto"/>
          <w:spacing w:val="-8"/>
          <w:sz w:val="24"/>
          <w:szCs w:val="24"/>
          <w:highlight w:val="none"/>
        </w:rPr>
        <w:fldChar w:fldCharType="end"/>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安置的残疾人占本单位在职职工人数的比例不低于25%（含25%），并且安置的残疾人人数不少于10人（含10人）；</w:t>
      </w:r>
    </w:p>
    <w:p w14:paraId="156E2D85">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fldChar w:fldCharType="begin"/>
      </w:r>
      <w:r>
        <w:rPr>
          <w:rFonts w:hint="eastAsia" w:ascii="宋体" w:hAnsi="宋体" w:eastAsia="宋体" w:cs="宋体"/>
          <w:color w:val="auto"/>
          <w:spacing w:val="-8"/>
          <w:sz w:val="24"/>
          <w:szCs w:val="24"/>
          <w:highlight w:val="none"/>
        </w:rPr>
        <w:instrText xml:space="preserve">HYPERLINK"5.2.3.2"</w:instrText>
      </w:r>
      <w:r>
        <w:rPr>
          <w:rFonts w:hint="eastAsia" w:ascii="宋体" w:hAnsi="宋体" w:eastAsia="宋体" w:cs="宋体"/>
          <w:color w:val="auto"/>
          <w:spacing w:val="-8"/>
          <w:sz w:val="24"/>
          <w:szCs w:val="24"/>
          <w:highlight w:val="none"/>
        </w:rPr>
        <w:fldChar w:fldCharType="separate"/>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.2.3.2</w:t>
      </w:r>
      <w:r>
        <w:rPr>
          <w:rFonts w:hint="eastAsia" w:ascii="宋体" w:hAnsi="宋体" w:eastAsia="宋体" w:cs="宋体"/>
          <w:color w:val="auto"/>
          <w:spacing w:val="-8"/>
          <w:sz w:val="24"/>
          <w:szCs w:val="24"/>
          <w:highlight w:val="none"/>
        </w:rPr>
        <w:fldChar w:fldCharType="end"/>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依法与安置的每位残疾人签订了一年以上（含一年）的劳动合同或服务协议；</w:t>
      </w:r>
    </w:p>
    <w:p w14:paraId="420D6909">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fldChar w:fldCharType="begin"/>
      </w:r>
      <w:r>
        <w:rPr>
          <w:rFonts w:hint="eastAsia" w:ascii="宋体" w:hAnsi="宋体" w:eastAsia="宋体" w:cs="宋体"/>
          <w:color w:val="auto"/>
          <w:spacing w:val="-8"/>
          <w:sz w:val="24"/>
          <w:szCs w:val="24"/>
          <w:highlight w:val="none"/>
        </w:rPr>
        <w:instrText xml:space="preserve">HYPERLINK"5.2.3.3"</w:instrText>
      </w:r>
      <w:r>
        <w:rPr>
          <w:rFonts w:hint="eastAsia" w:ascii="宋体" w:hAnsi="宋体" w:eastAsia="宋体" w:cs="宋体"/>
          <w:color w:val="auto"/>
          <w:spacing w:val="-8"/>
          <w:sz w:val="24"/>
          <w:szCs w:val="24"/>
          <w:highlight w:val="none"/>
        </w:rPr>
        <w:fldChar w:fldCharType="separate"/>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.2.3.3</w:t>
      </w:r>
      <w:r>
        <w:rPr>
          <w:rFonts w:hint="eastAsia" w:ascii="宋体" w:hAnsi="宋体" w:eastAsia="宋体" w:cs="宋体"/>
          <w:color w:val="auto"/>
          <w:spacing w:val="-8"/>
          <w:sz w:val="24"/>
          <w:szCs w:val="24"/>
          <w:highlight w:val="none"/>
        </w:rPr>
        <w:fldChar w:fldCharType="end"/>
      </w:r>
      <w:r>
        <w:rPr>
          <w:rFonts w:hint="eastAsia" w:ascii="宋体" w:hAnsi="宋体" w:eastAsia="宋体" w:cs="宋体"/>
          <w:color w:val="auto"/>
          <w:spacing w:val="-8"/>
          <w:sz w:val="24"/>
          <w:szCs w:val="24"/>
          <w:highlight w:val="none"/>
        </w:rPr>
        <w:t>为安置的每位残疾人按月足额缴纳了基本养老、医疗、失业</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工伤和生育等社会保险费；</w:t>
      </w:r>
    </w:p>
    <w:p w14:paraId="30031122">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fldChar w:fldCharType="begin"/>
      </w:r>
      <w:r>
        <w:rPr>
          <w:rFonts w:hint="eastAsia" w:ascii="宋体" w:hAnsi="宋体" w:eastAsia="宋体" w:cs="宋体"/>
          <w:color w:val="auto"/>
          <w:spacing w:val="-8"/>
          <w:sz w:val="24"/>
          <w:szCs w:val="24"/>
          <w:highlight w:val="none"/>
        </w:rPr>
        <w:instrText xml:space="preserve">HYPERLINK"5.2.3.4"</w:instrText>
      </w:r>
      <w:r>
        <w:rPr>
          <w:rFonts w:hint="eastAsia" w:ascii="宋体" w:hAnsi="宋体" w:eastAsia="宋体" w:cs="宋体"/>
          <w:color w:val="auto"/>
          <w:spacing w:val="-8"/>
          <w:sz w:val="24"/>
          <w:szCs w:val="24"/>
          <w:highlight w:val="none"/>
        </w:rPr>
        <w:fldChar w:fldCharType="separate"/>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.2.3.4</w:t>
      </w:r>
      <w:r>
        <w:rPr>
          <w:rFonts w:hint="eastAsia" w:ascii="宋体" w:hAnsi="宋体" w:eastAsia="宋体" w:cs="宋体"/>
          <w:color w:val="auto"/>
          <w:spacing w:val="-8"/>
          <w:sz w:val="24"/>
          <w:szCs w:val="24"/>
          <w:highlight w:val="none"/>
        </w:rPr>
        <w:fldChar w:fldCharType="end"/>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通过银行等金融机构向安置的每位残疾人，按月支付了不低于单位所在区县的月最低工资标准的工资；</w:t>
      </w:r>
    </w:p>
    <w:p w14:paraId="025DAB18">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fldChar w:fldCharType="begin"/>
      </w:r>
      <w:r>
        <w:rPr>
          <w:rFonts w:hint="eastAsia" w:ascii="宋体" w:hAnsi="宋体" w:eastAsia="宋体" w:cs="宋体"/>
          <w:color w:val="auto"/>
          <w:spacing w:val="-8"/>
          <w:sz w:val="24"/>
          <w:szCs w:val="24"/>
          <w:highlight w:val="none"/>
        </w:rPr>
        <w:instrText xml:space="preserve">HYPERLINK"5.2.3.5"</w:instrText>
      </w:r>
      <w:r>
        <w:rPr>
          <w:rFonts w:hint="eastAsia" w:ascii="宋体" w:hAnsi="宋体" w:eastAsia="宋体" w:cs="宋体"/>
          <w:color w:val="auto"/>
          <w:spacing w:val="-8"/>
          <w:sz w:val="24"/>
          <w:szCs w:val="24"/>
          <w:highlight w:val="none"/>
        </w:rPr>
        <w:fldChar w:fldCharType="separate"/>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.2.3.5</w:t>
      </w:r>
      <w:r>
        <w:rPr>
          <w:rFonts w:hint="eastAsia" w:ascii="宋体" w:hAnsi="宋体" w:eastAsia="宋体" w:cs="宋体"/>
          <w:color w:val="auto"/>
          <w:spacing w:val="-8"/>
          <w:sz w:val="24"/>
          <w:szCs w:val="24"/>
          <w:highlight w:val="none"/>
        </w:rPr>
        <w:fldChar w:fldCharType="end"/>
      </w:r>
      <w:r>
        <w:rPr>
          <w:rFonts w:hint="eastAsia" w:ascii="宋体" w:hAnsi="宋体" w:eastAsia="宋体" w:cs="宋体"/>
          <w:color w:val="auto"/>
          <w:spacing w:val="-8"/>
          <w:sz w:val="24"/>
          <w:szCs w:val="24"/>
          <w:highlight w:val="none"/>
          <w:lang w:val="en-US" w:eastAsia="zh-CN"/>
        </w:rPr>
        <w:t xml:space="preserve"> 提</w:t>
      </w:r>
      <w:r>
        <w:rPr>
          <w:rFonts w:hint="eastAsia" w:ascii="宋体" w:hAnsi="宋体" w:eastAsia="宋体" w:cs="宋体"/>
          <w:color w:val="auto"/>
          <w:spacing w:val="-8"/>
          <w:sz w:val="24"/>
          <w:szCs w:val="24"/>
          <w:highlight w:val="none"/>
        </w:rPr>
        <w:t>供本单位制造的货物、承担的工程或者服务（以下简称产品），或者</w:t>
      </w:r>
      <w:r>
        <w:rPr>
          <w:rFonts w:hint="eastAsia" w:ascii="宋体" w:hAnsi="宋体" w:eastAsia="宋体" w:cs="宋体"/>
          <w:color w:val="auto"/>
          <w:spacing w:val="-8"/>
          <w:sz w:val="24"/>
          <w:szCs w:val="24"/>
          <w:highlight w:val="none"/>
          <w:lang w:val="en-US" w:eastAsia="zh-CN"/>
        </w:rPr>
        <w:t>提</w:t>
      </w:r>
      <w:r>
        <w:rPr>
          <w:rFonts w:hint="eastAsia" w:ascii="宋体" w:hAnsi="宋体" w:eastAsia="宋体" w:cs="宋体"/>
          <w:color w:val="auto"/>
          <w:spacing w:val="-8"/>
          <w:sz w:val="24"/>
          <w:szCs w:val="24"/>
          <w:highlight w:val="none"/>
        </w:rPr>
        <w:t>供其他残疾人福利性单位制造的货物（不包括使用非残疾人福利性单位注册商标的货物）；</w:t>
      </w:r>
    </w:p>
    <w:p w14:paraId="0C9E9EC0">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fldChar w:fldCharType="begin"/>
      </w:r>
      <w:r>
        <w:rPr>
          <w:rFonts w:hint="eastAsia" w:ascii="宋体" w:hAnsi="宋体" w:eastAsia="宋体" w:cs="宋体"/>
          <w:color w:val="auto"/>
          <w:spacing w:val="-8"/>
          <w:sz w:val="24"/>
          <w:szCs w:val="24"/>
          <w:highlight w:val="none"/>
        </w:rPr>
        <w:instrText xml:space="preserve">HYPERLINK"5.2.3.6"</w:instrText>
      </w:r>
      <w:r>
        <w:rPr>
          <w:rFonts w:hint="eastAsia" w:ascii="宋体" w:hAnsi="宋体" w:eastAsia="宋体" w:cs="宋体"/>
          <w:color w:val="auto"/>
          <w:spacing w:val="-8"/>
          <w:sz w:val="24"/>
          <w:szCs w:val="24"/>
          <w:highlight w:val="none"/>
        </w:rPr>
        <w:fldChar w:fldCharType="separate"/>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.2.3.6</w:t>
      </w:r>
      <w:r>
        <w:rPr>
          <w:rFonts w:hint="eastAsia" w:ascii="宋体" w:hAnsi="宋体" w:eastAsia="宋体" w:cs="宋体"/>
          <w:color w:val="auto"/>
          <w:spacing w:val="-8"/>
          <w:sz w:val="24"/>
          <w:szCs w:val="24"/>
          <w:highlight w:val="none"/>
        </w:rPr>
        <w:fldChar w:fldCharType="end"/>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CEEB8D4">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.2.4</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本项目是否专门面向中小企业预留采购份额见第一章《</w:t>
      </w:r>
      <w:r>
        <w:rPr>
          <w:rFonts w:hint="eastAsia" w:ascii="宋体" w:hAnsi="宋体" w:eastAsia="宋体" w:cs="宋体"/>
          <w:color w:val="auto"/>
          <w:spacing w:val="-8"/>
          <w:sz w:val="24"/>
          <w:szCs w:val="24"/>
          <w:highlight w:val="none"/>
          <w:lang w:val="en-US" w:eastAsia="zh-CN"/>
        </w:rPr>
        <w:t>竞争性磋商公告</w:t>
      </w:r>
      <w:r>
        <w:rPr>
          <w:rFonts w:hint="eastAsia" w:ascii="宋体" w:hAnsi="宋体" w:eastAsia="宋体" w:cs="宋体"/>
          <w:color w:val="auto"/>
          <w:spacing w:val="-8"/>
          <w:sz w:val="24"/>
          <w:szCs w:val="24"/>
          <w:highlight w:val="none"/>
        </w:rPr>
        <w:t>》。</w:t>
      </w:r>
    </w:p>
    <w:p w14:paraId="58B3E6BE">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.2.5</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采购标的对应的中小企业划分标准所属行业见《</w:t>
      </w:r>
      <w:r>
        <w:rPr>
          <w:rFonts w:hint="eastAsia" w:ascii="宋体" w:hAnsi="宋体" w:eastAsia="宋体" w:cs="宋体"/>
          <w:color w:val="auto"/>
          <w:spacing w:val="-8"/>
          <w:sz w:val="24"/>
          <w:szCs w:val="24"/>
          <w:highlight w:val="none"/>
          <w:lang w:val="en-US" w:eastAsia="zh-CN"/>
        </w:rPr>
        <w:t>供应商</w:t>
      </w:r>
      <w:r>
        <w:rPr>
          <w:rFonts w:hint="eastAsia" w:ascii="宋体" w:hAnsi="宋体" w:eastAsia="宋体" w:cs="宋体"/>
          <w:color w:val="auto"/>
          <w:spacing w:val="-8"/>
          <w:sz w:val="24"/>
          <w:szCs w:val="24"/>
          <w:highlight w:val="none"/>
          <w:lang w:eastAsia="zh-CN"/>
        </w:rPr>
        <w:t>须知表</w:t>
      </w:r>
      <w:r>
        <w:rPr>
          <w:rFonts w:hint="eastAsia" w:ascii="宋体" w:hAnsi="宋体" w:eastAsia="宋体" w:cs="宋体"/>
          <w:color w:val="auto"/>
          <w:spacing w:val="-8"/>
          <w:sz w:val="24"/>
          <w:szCs w:val="24"/>
          <w:highlight w:val="none"/>
        </w:rPr>
        <w:t>》。</w:t>
      </w:r>
    </w:p>
    <w:p w14:paraId="1D904F4B">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.2.6</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小微企业价格评审优惠的政策调整：见第四章《评</w:t>
      </w:r>
      <w:r>
        <w:rPr>
          <w:rFonts w:hint="eastAsia" w:ascii="宋体" w:hAnsi="宋体" w:eastAsia="宋体" w:cs="宋体"/>
          <w:color w:val="auto"/>
          <w:spacing w:val="-8"/>
          <w:sz w:val="24"/>
          <w:szCs w:val="24"/>
          <w:highlight w:val="none"/>
          <w:lang w:val="en-US" w:eastAsia="zh-CN"/>
        </w:rPr>
        <w:t>审</w:t>
      </w:r>
      <w:r>
        <w:rPr>
          <w:rFonts w:hint="eastAsia" w:ascii="宋体" w:hAnsi="宋体" w:eastAsia="宋体" w:cs="宋体"/>
          <w:color w:val="auto"/>
          <w:spacing w:val="-8"/>
          <w:sz w:val="24"/>
          <w:szCs w:val="24"/>
          <w:highlight w:val="none"/>
        </w:rPr>
        <w:t>程序、评审方法和评审标准》。</w:t>
      </w:r>
    </w:p>
    <w:p w14:paraId="7560177B">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政府采购节能产品、环境标志产品</w:t>
      </w:r>
    </w:p>
    <w:p w14:paraId="6782F5BB">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.3.1</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政府采购节能产品、环境标志产品实施品目清单管理。财政部、</w:t>
      </w:r>
      <w:r>
        <w:rPr>
          <w:rFonts w:hint="eastAsia" w:ascii="宋体" w:hAnsi="宋体" w:eastAsia="宋体" w:cs="宋体"/>
          <w:b w:val="0"/>
          <w:snapToGrid w:val="0"/>
          <w:color w:val="auto"/>
          <w:spacing w:val="-8"/>
          <w:kern w:val="0"/>
          <w:sz w:val="24"/>
          <w:szCs w:val="24"/>
          <w:highlight w:val="none"/>
          <w:lang w:val="en-US" w:eastAsia="en-US" w:bidi="ar-SA"/>
        </w:rPr>
        <w:fldChar w:fldCharType="begin"/>
      </w:r>
      <w:r>
        <w:rPr>
          <w:rFonts w:hint="eastAsia" w:ascii="宋体" w:hAnsi="宋体" w:eastAsia="宋体" w:cs="宋体"/>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宋体" w:hAnsi="宋体" w:eastAsia="宋体" w:cs="宋体"/>
          <w:b w:val="0"/>
          <w:snapToGrid w:val="0"/>
          <w:color w:val="auto"/>
          <w:spacing w:val="-8"/>
          <w:kern w:val="0"/>
          <w:sz w:val="24"/>
          <w:szCs w:val="24"/>
          <w:highlight w:val="none"/>
          <w:lang w:val="en-US" w:eastAsia="en-US" w:bidi="ar-SA"/>
        </w:rPr>
        <w:fldChar w:fldCharType="separate"/>
      </w:r>
      <w:r>
        <w:rPr>
          <w:rFonts w:hint="eastAsia" w:ascii="宋体" w:hAnsi="宋体" w:eastAsia="宋体" w:cs="宋体"/>
          <w:b w:val="0"/>
          <w:snapToGrid w:val="0"/>
          <w:color w:val="auto"/>
          <w:spacing w:val="-8"/>
          <w:kern w:val="0"/>
          <w:sz w:val="24"/>
          <w:szCs w:val="24"/>
          <w:highlight w:val="none"/>
          <w:lang w:val="en-US" w:eastAsia="en-US" w:bidi="ar-SA"/>
        </w:rPr>
        <w:t>中华人民共和国国家发展和改革委员会</w:t>
      </w:r>
      <w:r>
        <w:rPr>
          <w:rFonts w:hint="eastAsia" w:ascii="宋体" w:hAnsi="宋体" w:eastAsia="宋体" w:cs="宋体"/>
          <w:b w:val="0"/>
          <w:snapToGrid w:val="0"/>
          <w:color w:val="auto"/>
          <w:spacing w:val="-8"/>
          <w:kern w:val="0"/>
          <w:sz w:val="24"/>
          <w:szCs w:val="24"/>
          <w:highlight w:val="none"/>
          <w:lang w:val="en-US" w:eastAsia="en-US" w:bidi="ar-SA"/>
        </w:rPr>
        <w:fldChar w:fldCharType="end"/>
      </w:r>
      <w:r>
        <w:rPr>
          <w:rFonts w:hint="eastAsia" w:ascii="宋体" w:hAnsi="宋体" w:eastAsia="宋体" w:cs="宋体"/>
          <w:color w:val="auto"/>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B8C9D3A">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.3.2</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ECA46D6">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b/>
          <w:bCs/>
          <w:color w:val="auto"/>
          <w:spacing w:val="-8"/>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.3.3</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如本项目采购产品属于实施政府强制采购品目清单范围的节能产品，则</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pacing w:val="-8"/>
          <w:sz w:val="24"/>
          <w:szCs w:val="24"/>
          <w:highlight w:val="none"/>
        </w:rPr>
        <w:t>所报产品必须获得国家确定的认证机构出具的、处于有效期之内的节能产品认证证书，</w:t>
      </w:r>
      <w:r>
        <w:rPr>
          <w:rFonts w:hint="eastAsia" w:ascii="宋体" w:hAnsi="宋体" w:eastAsia="宋体" w:cs="宋体"/>
          <w:b/>
          <w:bCs/>
          <w:color w:val="auto"/>
          <w:spacing w:val="-8"/>
          <w:sz w:val="24"/>
          <w:szCs w:val="24"/>
          <w:highlight w:val="none"/>
        </w:rPr>
        <w:t>否则</w:t>
      </w:r>
      <w:r>
        <w:rPr>
          <w:rFonts w:hint="eastAsia" w:ascii="宋体" w:hAnsi="宋体" w:eastAsia="宋体" w:cs="宋体"/>
          <w:b/>
          <w:bCs/>
          <w:color w:val="auto"/>
          <w:spacing w:val="-8"/>
          <w:sz w:val="24"/>
          <w:szCs w:val="24"/>
          <w:highlight w:val="none"/>
          <w:lang w:val="en-US" w:eastAsia="zh-CN"/>
        </w:rPr>
        <w:t>响应</w:t>
      </w:r>
      <w:r>
        <w:rPr>
          <w:rFonts w:hint="eastAsia" w:ascii="宋体" w:hAnsi="宋体" w:eastAsia="宋体" w:cs="宋体"/>
          <w:b/>
          <w:bCs/>
          <w:color w:val="auto"/>
          <w:spacing w:val="-8"/>
          <w:sz w:val="24"/>
          <w:szCs w:val="24"/>
          <w:highlight w:val="none"/>
        </w:rPr>
        <w:t>无效；</w:t>
      </w:r>
    </w:p>
    <w:p w14:paraId="47EA4E21">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.3.4</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非政府强制采购的节能产品或环境标志产品，依据品目清单和认证证书实施政府优先采购。优先采购的具体规定见第四章《评</w:t>
      </w:r>
      <w:r>
        <w:rPr>
          <w:rFonts w:hint="eastAsia" w:ascii="宋体" w:hAnsi="宋体" w:eastAsia="宋体" w:cs="宋体"/>
          <w:color w:val="auto"/>
          <w:spacing w:val="-8"/>
          <w:sz w:val="24"/>
          <w:szCs w:val="24"/>
          <w:highlight w:val="none"/>
          <w:lang w:val="en-US" w:eastAsia="zh-CN"/>
        </w:rPr>
        <w:t>审</w:t>
      </w:r>
      <w:r>
        <w:rPr>
          <w:rFonts w:hint="eastAsia" w:ascii="宋体" w:hAnsi="宋体" w:eastAsia="宋体" w:cs="宋体"/>
          <w:color w:val="auto"/>
          <w:spacing w:val="-8"/>
          <w:sz w:val="24"/>
          <w:szCs w:val="24"/>
          <w:highlight w:val="none"/>
        </w:rPr>
        <w:t>程序、评审方法和评审标准》。（如涉及）。</w:t>
      </w:r>
    </w:p>
    <w:p w14:paraId="38F9A5A9">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正版软件</w:t>
      </w:r>
    </w:p>
    <w:p w14:paraId="3C6C0D79">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.4.1</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依据《财政部</w:t>
      </w:r>
      <w:r>
        <w:rPr>
          <w:rFonts w:hint="eastAsia" w:ascii="宋体" w:hAnsi="宋体" w:eastAsia="宋体" w:cs="宋体"/>
          <w:color w:val="auto"/>
          <w:spacing w:val="-8"/>
          <w:sz w:val="24"/>
          <w:szCs w:val="24"/>
          <w:highlight w:val="none"/>
          <w:lang w:eastAsia="zh-CN"/>
        </w:rPr>
        <w:t>、</w:t>
      </w:r>
      <w:r>
        <w:rPr>
          <w:rFonts w:hint="eastAsia" w:ascii="宋体" w:hAnsi="宋体" w:eastAsia="宋体" w:cs="宋体"/>
          <w:b w:val="0"/>
          <w:snapToGrid w:val="0"/>
          <w:color w:val="auto"/>
          <w:spacing w:val="-8"/>
          <w:kern w:val="0"/>
          <w:sz w:val="24"/>
          <w:szCs w:val="24"/>
          <w:highlight w:val="none"/>
          <w:lang w:val="en-US" w:eastAsia="en-US" w:bidi="ar-SA"/>
        </w:rPr>
        <w:fldChar w:fldCharType="begin"/>
      </w:r>
      <w:r>
        <w:rPr>
          <w:rFonts w:hint="eastAsia" w:ascii="宋体" w:hAnsi="宋体" w:eastAsia="宋体" w:cs="宋体"/>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宋体" w:hAnsi="宋体" w:eastAsia="宋体" w:cs="宋体"/>
          <w:b w:val="0"/>
          <w:snapToGrid w:val="0"/>
          <w:color w:val="auto"/>
          <w:spacing w:val="-8"/>
          <w:kern w:val="0"/>
          <w:sz w:val="24"/>
          <w:szCs w:val="24"/>
          <w:highlight w:val="none"/>
          <w:lang w:val="en-US" w:eastAsia="en-US" w:bidi="ar-SA"/>
        </w:rPr>
        <w:fldChar w:fldCharType="separate"/>
      </w:r>
      <w:r>
        <w:rPr>
          <w:rFonts w:hint="eastAsia" w:ascii="宋体" w:hAnsi="宋体" w:eastAsia="宋体" w:cs="宋体"/>
          <w:b w:val="0"/>
          <w:snapToGrid w:val="0"/>
          <w:color w:val="auto"/>
          <w:spacing w:val="-8"/>
          <w:kern w:val="0"/>
          <w:sz w:val="24"/>
          <w:szCs w:val="24"/>
          <w:highlight w:val="none"/>
          <w:lang w:val="en-US" w:eastAsia="en-US" w:bidi="ar-SA"/>
        </w:rPr>
        <w:t>中华人民共和国国家发展和改革委员会</w:t>
      </w:r>
      <w:r>
        <w:rPr>
          <w:rFonts w:hint="eastAsia" w:ascii="宋体" w:hAnsi="宋体" w:eastAsia="宋体" w:cs="宋体"/>
          <w:b w:val="0"/>
          <w:snapToGrid w:val="0"/>
          <w:color w:val="auto"/>
          <w:spacing w:val="-8"/>
          <w:kern w:val="0"/>
          <w:sz w:val="24"/>
          <w:szCs w:val="24"/>
          <w:highlight w:val="none"/>
          <w:lang w:val="en-US" w:eastAsia="en-US" w:bidi="ar-SA"/>
        </w:rPr>
        <w:fldChar w:fldCharType="end"/>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color w:val="auto"/>
          <w:spacing w:val="-8"/>
          <w:sz w:val="24"/>
          <w:szCs w:val="24"/>
          <w:highlight w:val="none"/>
          <w:lang w:val="en-US" w:eastAsia="zh-CN"/>
        </w:rPr>
        <w:t>响应</w:t>
      </w:r>
      <w:r>
        <w:rPr>
          <w:rFonts w:hint="eastAsia" w:ascii="宋体" w:hAnsi="宋体" w:eastAsia="宋体" w:cs="宋体"/>
          <w:color w:val="auto"/>
          <w:spacing w:val="-8"/>
          <w:sz w:val="24"/>
          <w:szCs w:val="24"/>
          <w:highlight w:val="none"/>
        </w:rPr>
        <w:t>无效。财政部、</w:t>
      </w:r>
      <w:r>
        <w:rPr>
          <w:rFonts w:hint="eastAsia" w:ascii="宋体" w:hAnsi="宋体" w:eastAsia="宋体" w:cs="宋体"/>
          <w:b w:val="0"/>
          <w:snapToGrid w:val="0"/>
          <w:color w:val="auto"/>
          <w:spacing w:val="-8"/>
          <w:kern w:val="0"/>
          <w:sz w:val="24"/>
          <w:szCs w:val="24"/>
          <w:highlight w:val="none"/>
          <w:lang w:val="en-US" w:eastAsia="en-US" w:bidi="ar-SA"/>
        </w:rPr>
        <w:fldChar w:fldCharType="begin"/>
      </w:r>
      <w:r>
        <w:rPr>
          <w:rFonts w:hint="eastAsia" w:ascii="宋体" w:hAnsi="宋体" w:eastAsia="宋体" w:cs="宋体"/>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宋体" w:hAnsi="宋体" w:eastAsia="宋体" w:cs="宋体"/>
          <w:b w:val="0"/>
          <w:snapToGrid w:val="0"/>
          <w:color w:val="auto"/>
          <w:spacing w:val="-8"/>
          <w:kern w:val="0"/>
          <w:sz w:val="24"/>
          <w:szCs w:val="24"/>
          <w:highlight w:val="none"/>
          <w:lang w:val="en-US" w:eastAsia="en-US" w:bidi="ar-SA"/>
        </w:rPr>
        <w:fldChar w:fldCharType="separate"/>
      </w:r>
      <w:r>
        <w:rPr>
          <w:rFonts w:hint="eastAsia" w:ascii="宋体" w:hAnsi="宋体" w:eastAsia="宋体" w:cs="宋体"/>
          <w:b w:val="0"/>
          <w:snapToGrid w:val="0"/>
          <w:color w:val="auto"/>
          <w:spacing w:val="-8"/>
          <w:kern w:val="0"/>
          <w:sz w:val="24"/>
          <w:szCs w:val="24"/>
          <w:highlight w:val="none"/>
          <w:lang w:val="en-US" w:eastAsia="en-US" w:bidi="ar-SA"/>
        </w:rPr>
        <w:t>中华人民共和国国家发展和改革委员会</w:t>
      </w:r>
      <w:r>
        <w:rPr>
          <w:rFonts w:hint="eastAsia" w:ascii="宋体" w:hAnsi="宋体" w:eastAsia="宋体" w:cs="宋体"/>
          <w:b w:val="0"/>
          <w:snapToGrid w:val="0"/>
          <w:color w:val="auto"/>
          <w:spacing w:val="-8"/>
          <w:kern w:val="0"/>
          <w:sz w:val="24"/>
          <w:szCs w:val="24"/>
          <w:highlight w:val="none"/>
          <w:lang w:val="en-US" w:eastAsia="en-US" w:bidi="ar-SA"/>
        </w:rPr>
        <w:fldChar w:fldCharType="end"/>
      </w:r>
      <w:r>
        <w:rPr>
          <w:rFonts w:hint="eastAsia" w:ascii="宋体" w:hAnsi="宋体" w:eastAsia="宋体" w:cs="宋体"/>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宋体" w:hAnsi="宋体" w:eastAsia="宋体" w:cs="宋体"/>
          <w:b w:val="0"/>
          <w:snapToGrid w:val="0"/>
          <w:color w:val="auto"/>
          <w:spacing w:val="-8"/>
          <w:kern w:val="0"/>
          <w:sz w:val="24"/>
          <w:szCs w:val="24"/>
          <w:highlight w:val="none"/>
          <w:lang w:val="en-US" w:eastAsia="en-US" w:bidi="ar-SA"/>
        </w:rPr>
        <w:fldChar w:fldCharType="begin"/>
      </w:r>
      <w:r>
        <w:rPr>
          <w:rFonts w:hint="eastAsia" w:ascii="宋体" w:hAnsi="宋体" w:eastAsia="宋体" w:cs="宋体"/>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宋体" w:hAnsi="宋体" w:eastAsia="宋体" w:cs="宋体"/>
          <w:b w:val="0"/>
          <w:snapToGrid w:val="0"/>
          <w:color w:val="auto"/>
          <w:spacing w:val="-8"/>
          <w:kern w:val="0"/>
          <w:sz w:val="24"/>
          <w:szCs w:val="24"/>
          <w:highlight w:val="none"/>
          <w:lang w:val="en-US" w:eastAsia="en-US" w:bidi="ar-SA"/>
        </w:rPr>
        <w:fldChar w:fldCharType="separate"/>
      </w:r>
      <w:r>
        <w:rPr>
          <w:rFonts w:hint="eastAsia" w:ascii="宋体" w:hAnsi="宋体" w:eastAsia="宋体" w:cs="宋体"/>
          <w:b w:val="0"/>
          <w:snapToGrid w:val="0"/>
          <w:color w:val="auto"/>
          <w:spacing w:val="-8"/>
          <w:kern w:val="0"/>
          <w:sz w:val="24"/>
          <w:szCs w:val="24"/>
          <w:highlight w:val="none"/>
          <w:lang w:val="en-US" w:eastAsia="en-US" w:bidi="ar-SA"/>
        </w:rPr>
        <w:t>中华人民共和国国家发展和改革委员会</w:t>
      </w:r>
      <w:r>
        <w:rPr>
          <w:rFonts w:hint="eastAsia" w:ascii="宋体" w:hAnsi="宋体" w:eastAsia="宋体" w:cs="宋体"/>
          <w:b w:val="0"/>
          <w:snapToGrid w:val="0"/>
          <w:color w:val="auto"/>
          <w:spacing w:val="-8"/>
          <w:kern w:val="0"/>
          <w:sz w:val="24"/>
          <w:szCs w:val="24"/>
          <w:highlight w:val="none"/>
          <w:lang w:val="en-US" w:eastAsia="en-US" w:bidi="ar-SA"/>
        </w:rPr>
        <w:fldChar w:fldCharType="end"/>
      </w:r>
      <w:r>
        <w:rPr>
          <w:rFonts w:hint="eastAsia" w:ascii="宋体" w:hAnsi="宋体" w:eastAsia="宋体" w:cs="宋体"/>
          <w:color w:val="auto"/>
          <w:spacing w:val="-8"/>
          <w:sz w:val="24"/>
          <w:szCs w:val="24"/>
          <w:highlight w:val="none"/>
        </w:rPr>
        <w:t>、信息产业部以文件形式确定、公布并适时调整。</w:t>
      </w:r>
    </w:p>
    <w:p w14:paraId="4E6E7999">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rPr>
        <w:t>.4.2</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各级政府部门在购置计算机办公设备时，必须采购预装正版操作系统</w:t>
      </w:r>
      <w:r>
        <w:rPr>
          <w:rFonts w:hint="eastAsia" w:ascii="宋体" w:hAnsi="宋体" w:eastAsia="宋体" w:cs="宋体"/>
          <w:color w:val="auto"/>
          <w:spacing w:val="-9"/>
          <w:sz w:val="24"/>
          <w:szCs w:val="24"/>
          <w:highlight w:val="none"/>
        </w:rPr>
        <w:t>软件的计算机产品，相关规定依据《国家版权局、信息产业</w:t>
      </w:r>
      <w:r>
        <w:rPr>
          <w:rFonts w:hint="eastAsia" w:ascii="宋体" w:hAnsi="宋体" w:eastAsia="宋体" w:cs="宋体"/>
          <w:color w:val="auto"/>
          <w:spacing w:val="-10"/>
          <w:sz w:val="24"/>
          <w:szCs w:val="24"/>
          <w:highlight w:val="none"/>
        </w:rPr>
        <w:t>部、财政</w:t>
      </w:r>
      <w:r>
        <w:rPr>
          <w:rFonts w:hint="eastAsia" w:ascii="宋体" w:hAnsi="宋体" w:eastAsia="宋体" w:cs="宋体"/>
          <w:color w:val="auto"/>
          <w:spacing w:val="-4"/>
          <w:sz w:val="24"/>
          <w:szCs w:val="24"/>
          <w:highlight w:val="none"/>
        </w:rPr>
        <w:t>部、国务院机关事务管理局关于政府部门购置计算机办公设备必须采</w:t>
      </w:r>
      <w:r>
        <w:rPr>
          <w:rFonts w:hint="eastAsia" w:ascii="宋体" w:hAnsi="宋体" w:eastAsia="宋体" w:cs="宋体"/>
          <w:color w:val="auto"/>
          <w:spacing w:val="-3"/>
          <w:sz w:val="24"/>
          <w:szCs w:val="24"/>
          <w:highlight w:val="none"/>
        </w:rPr>
        <w:t>购已预装正版操作系统软件产品的通知》（国权联〔200</w:t>
      </w:r>
      <w:r>
        <w:rPr>
          <w:rFonts w:hint="eastAsia" w:ascii="宋体" w:hAnsi="宋体" w:eastAsia="宋体" w:cs="宋体"/>
          <w:color w:val="auto"/>
          <w:spacing w:val="-4"/>
          <w:sz w:val="24"/>
          <w:szCs w:val="24"/>
          <w:highlight w:val="none"/>
        </w:rPr>
        <w:t>6〕1号）、</w:t>
      </w:r>
      <w:r>
        <w:rPr>
          <w:rFonts w:hint="eastAsia" w:ascii="宋体" w:hAnsi="宋体" w:eastAsia="宋体" w:cs="宋体"/>
          <w:color w:val="auto"/>
          <w:sz w:val="24"/>
          <w:szCs w:val="24"/>
          <w:highlight w:val="none"/>
        </w:rPr>
        <w:t>《国务院办公厅关于进一步做好政府机关使用正版</w:t>
      </w:r>
      <w:r>
        <w:rPr>
          <w:rFonts w:hint="eastAsia" w:ascii="宋体" w:hAnsi="宋体" w:eastAsia="宋体" w:cs="宋体"/>
          <w:color w:val="auto"/>
          <w:spacing w:val="-1"/>
          <w:sz w:val="24"/>
          <w:szCs w:val="24"/>
          <w:highlight w:val="none"/>
        </w:rPr>
        <w:t>软件工作的通知》</w:t>
      </w:r>
      <w:r>
        <w:rPr>
          <w:rFonts w:hint="eastAsia" w:ascii="宋体" w:hAnsi="宋体" w:eastAsia="宋体" w:cs="宋体"/>
          <w:color w:val="auto"/>
          <w:spacing w:val="-3"/>
          <w:sz w:val="24"/>
          <w:szCs w:val="24"/>
          <w:highlight w:val="none"/>
        </w:rPr>
        <w:t>（国办发〔2010〕47号）、《财政部关于进一步做好政府机关使用</w:t>
      </w:r>
      <w:r>
        <w:rPr>
          <w:rFonts w:hint="eastAsia" w:ascii="宋体" w:hAnsi="宋体" w:eastAsia="宋体" w:cs="宋体"/>
          <w:color w:val="auto"/>
          <w:spacing w:val="-6"/>
          <w:sz w:val="24"/>
          <w:szCs w:val="24"/>
          <w:highlight w:val="none"/>
        </w:rPr>
        <w:t>正版软件工作的通知》（财预〔2010〕536号）。</w:t>
      </w:r>
    </w:p>
    <w:p w14:paraId="725A9469">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网络安全专用产品</w:t>
      </w:r>
    </w:p>
    <w:p w14:paraId="5EA9E845">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.5.1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所投产品属于列入《网络关键设备和网络安全专用产品目录》的网络</w:t>
      </w:r>
      <w:r>
        <w:rPr>
          <w:rFonts w:hint="eastAsia" w:ascii="宋体" w:hAnsi="宋体" w:eastAsia="宋体" w:cs="宋体"/>
          <w:color w:val="auto"/>
          <w:spacing w:val="-2"/>
          <w:sz w:val="24"/>
          <w:szCs w:val="24"/>
          <w:highlight w:val="none"/>
        </w:rPr>
        <w:t>安全专用产品，应当在国家互联网信息办公室会同工业和信息化部、</w:t>
      </w:r>
      <w:r>
        <w:rPr>
          <w:rFonts w:hint="eastAsia" w:ascii="宋体" w:hAnsi="宋体" w:eastAsia="宋体" w:cs="宋体"/>
          <w:color w:val="auto"/>
          <w:spacing w:val="-4"/>
          <w:sz w:val="24"/>
          <w:szCs w:val="24"/>
          <w:highlight w:val="none"/>
        </w:rPr>
        <w:t>公安部、国家认证认可监督管理委员会统一公布和更新</w:t>
      </w:r>
      <w:r>
        <w:rPr>
          <w:rFonts w:hint="eastAsia" w:ascii="宋体" w:hAnsi="宋体" w:eastAsia="宋体" w:cs="宋体"/>
          <w:color w:val="auto"/>
          <w:spacing w:val="-5"/>
          <w:sz w:val="24"/>
          <w:szCs w:val="24"/>
          <w:highlight w:val="none"/>
        </w:rPr>
        <w:t>的符合要求的</w:t>
      </w:r>
      <w:r>
        <w:rPr>
          <w:rFonts w:hint="eastAsia" w:ascii="宋体" w:hAnsi="宋体" w:eastAsia="宋体" w:cs="宋体"/>
          <w:color w:val="auto"/>
          <w:spacing w:val="-4"/>
          <w:sz w:val="24"/>
          <w:szCs w:val="24"/>
          <w:highlight w:val="none"/>
        </w:rPr>
        <w:t>网络关键设备和网络安全专用产品清单中。</w:t>
      </w:r>
    </w:p>
    <w:p w14:paraId="4577E4D3">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 xml:space="preserve">6 </w:t>
      </w:r>
      <w:r>
        <w:rPr>
          <w:rFonts w:hint="eastAsia" w:ascii="宋体" w:hAnsi="宋体" w:eastAsia="宋体" w:cs="宋体"/>
          <w:color w:val="auto"/>
          <w:spacing w:val="2"/>
          <w:sz w:val="24"/>
          <w:szCs w:val="24"/>
          <w:highlight w:val="none"/>
        </w:rPr>
        <w:t>采购需求标准</w:t>
      </w:r>
    </w:p>
    <w:p w14:paraId="3C904ED5">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商品包装、快递包装政府采购需求标准（试行）</w:t>
      </w:r>
      <w:r>
        <w:rPr>
          <w:rFonts w:hint="eastAsia" w:ascii="宋体" w:hAnsi="宋体" w:eastAsia="宋体" w:cs="宋体"/>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宋体" w:hAnsi="宋体" w:eastAsia="宋体" w:cs="宋体"/>
          <w:color w:val="auto"/>
          <w:spacing w:val="-3"/>
          <w:sz w:val="24"/>
          <w:szCs w:val="24"/>
          <w:highlight w:val="none"/>
        </w:rPr>
        <w:t>标准（试行）》的通知（财办库〔2020〕1</w:t>
      </w:r>
      <w:r>
        <w:rPr>
          <w:rFonts w:hint="eastAsia" w:ascii="宋体" w:hAnsi="宋体" w:eastAsia="宋体" w:cs="宋体"/>
          <w:color w:val="auto"/>
          <w:spacing w:val="-4"/>
          <w:sz w:val="24"/>
          <w:szCs w:val="24"/>
          <w:highlight w:val="none"/>
        </w:rPr>
        <w:t>23号</w:t>
      </w: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4"/>
          <w:sz w:val="24"/>
          <w:szCs w:val="24"/>
          <w:highlight w:val="none"/>
        </w:rPr>
        <w:t>本项目如涉及商</w:t>
      </w:r>
      <w:r>
        <w:rPr>
          <w:rFonts w:hint="eastAsia" w:ascii="宋体" w:hAnsi="宋体" w:eastAsia="宋体" w:cs="宋体"/>
          <w:color w:val="auto"/>
          <w:spacing w:val="-6"/>
          <w:sz w:val="24"/>
          <w:szCs w:val="24"/>
          <w:highlight w:val="none"/>
        </w:rPr>
        <w:t>品包装和快递包装的，则其具体要求见第</w:t>
      </w:r>
      <w:r>
        <w:rPr>
          <w:rFonts w:hint="eastAsia" w:ascii="宋体" w:hAnsi="宋体" w:eastAsia="宋体" w:cs="宋体"/>
          <w:color w:val="auto"/>
          <w:spacing w:val="-6"/>
          <w:sz w:val="24"/>
          <w:szCs w:val="24"/>
          <w:highlight w:val="none"/>
          <w:lang w:val="en-US" w:eastAsia="zh-CN"/>
        </w:rPr>
        <w:t>二</w:t>
      </w:r>
      <w:r>
        <w:rPr>
          <w:rFonts w:hint="eastAsia" w:ascii="宋体" w:hAnsi="宋体" w:eastAsia="宋体" w:cs="宋体"/>
          <w:color w:val="auto"/>
          <w:spacing w:val="-6"/>
          <w:sz w:val="24"/>
          <w:szCs w:val="24"/>
          <w:highlight w:val="none"/>
        </w:rPr>
        <w:t>章《采购需求》。</w:t>
      </w:r>
    </w:p>
    <w:p w14:paraId="720B386D">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32" w:firstLineChars="200"/>
        <w:jc w:val="both"/>
        <w:textAlignment w:val="baseline"/>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2"/>
          <w:sz w:val="24"/>
          <w:szCs w:val="24"/>
          <w:highlight w:val="none"/>
          <w:lang w:val="en-US" w:eastAsia="zh-CN"/>
        </w:rPr>
        <w:t>6</w:t>
      </w:r>
      <w:r>
        <w:rPr>
          <w:rFonts w:hint="eastAsia" w:ascii="宋体" w:hAnsi="宋体" w:eastAsia="宋体" w:cs="宋体"/>
          <w:color w:val="auto"/>
          <w:spacing w:val="-12"/>
          <w:sz w:val="24"/>
          <w:szCs w:val="24"/>
          <w:highlight w:val="none"/>
        </w:rPr>
        <w:t>.2</w:t>
      </w:r>
      <w:r>
        <w:rPr>
          <w:rFonts w:hint="eastAsia" w:ascii="宋体" w:hAnsi="宋体" w:eastAsia="宋体" w:cs="宋体"/>
          <w:color w:val="auto"/>
          <w:spacing w:val="-12"/>
          <w:sz w:val="24"/>
          <w:szCs w:val="24"/>
          <w:highlight w:val="none"/>
          <w:lang w:val="en-US" w:eastAsia="zh-CN"/>
        </w:rPr>
        <w:t xml:space="preserve"> </w:t>
      </w:r>
      <w:r>
        <w:rPr>
          <w:rFonts w:hint="eastAsia" w:ascii="宋体" w:hAnsi="宋体" w:eastAsia="宋体" w:cs="宋体"/>
          <w:color w:val="auto"/>
          <w:spacing w:val="-12"/>
          <w:sz w:val="24"/>
          <w:szCs w:val="24"/>
          <w:highlight w:val="none"/>
        </w:rPr>
        <w:t>绿色数据中心政府采购需求标准（试行）</w:t>
      </w:r>
    </w:p>
    <w:p w14:paraId="34CC0C37">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32" w:firstLineChars="200"/>
        <w:jc w:val="both"/>
        <w:textAlignment w:val="baseline"/>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为加快数据中心绿色转型，根据财政部</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生态环境部</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宋体" w:hAnsi="宋体" w:eastAsia="宋体" w:cs="宋体"/>
          <w:color w:val="auto"/>
          <w:spacing w:val="-12"/>
          <w:sz w:val="24"/>
          <w:szCs w:val="24"/>
          <w:highlight w:val="none"/>
          <w:lang w:val="en-US" w:eastAsia="zh-CN"/>
        </w:rPr>
        <w:t>二</w:t>
      </w:r>
      <w:r>
        <w:rPr>
          <w:rFonts w:hint="eastAsia" w:ascii="宋体" w:hAnsi="宋体" w:eastAsia="宋体" w:cs="宋体"/>
          <w:color w:val="auto"/>
          <w:spacing w:val="-12"/>
          <w:sz w:val="24"/>
          <w:szCs w:val="24"/>
          <w:highlight w:val="none"/>
        </w:rPr>
        <w:t>章《采购需求》。</w:t>
      </w:r>
    </w:p>
    <w:p w14:paraId="330A99AE">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74"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lang w:val="en-US" w:eastAsia="zh-CN"/>
        </w:rPr>
        <w:t>5.采购</w:t>
      </w:r>
      <w:r>
        <w:rPr>
          <w:rFonts w:hint="eastAsia" w:ascii="宋体" w:hAnsi="宋体" w:eastAsia="宋体" w:cs="宋体"/>
          <w:b/>
          <w:bCs/>
          <w:color w:val="auto"/>
          <w:spacing w:val="-2"/>
          <w:sz w:val="24"/>
          <w:szCs w:val="24"/>
          <w:highlight w:val="none"/>
        </w:rPr>
        <w:t>费用</w:t>
      </w:r>
    </w:p>
    <w:p w14:paraId="5A0327C6">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pacing w:val="-4"/>
          <w:sz w:val="24"/>
          <w:szCs w:val="24"/>
          <w:highlight w:val="none"/>
        </w:rPr>
        <w:t>应自行承担所有与准备和参加</w:t>
      </w:r>
      <w:r>
        <w:rPr>
          <w:rFonts w:hint="eastAsia" w:ascii="宋体" w:hAnsi="宋体" w:eastAsia="宋体" w:cs="宋体"/>
          <w:color w:val="auto"/>
          <w:spacing w:val="-4"/>
          <w:sz w:val="24"/>
          <w:szCs w:val="24"/>
          <w:highlight w:val="none"/>
          <w:lang w:val="en-US" w:eastAsia="zh-CN"/>
        </w:rPr>
        <w:t>本次采购</w:t>
      </w:r>
      <w:r>
        <w:rPr>
          <w:rFonts w:hint="eastAsia" w:ascii="宋体" w:hAnsi="宋体" w:eastAsia="宋体" w:cs="宋体"/>
          <w:color w:val="auto"/>
          <w:spacing w:val="-4"/>
          <w:sz w:val="24"/>
          <w:szCs w:val="24"/>
          <w:highlight w:val="none"/>
        </w:rPr>
        <w:t>有关的费用</w:t>
      </w:r>
      <w:r>
        <w:rPr>
          <w:rFonts w:hint="eastAsia" w:ascii="宋体" w:hAnsi="宋体" w:eastAsia="宋体" w:cs="宋体"/>
          <w:color w:val="auto"/>
          <w:spacing w:val="-5"/>
          <w:sz w:val="24"/>
          <w:szCs w:val="24"/>
          <w:highlight w:val="none"/>
        </w:rPr>
        <w:t>，无论</w:t>
      </w:r>
      <w:r>
        <w:rPr>
          <w:rFonts w:hint="eastAsia" w:ascii="宋体" w:hAnsi="宋体" w:eastAsia="宋体" w:cs="宋体"/>
          <w:color w:val="auto"/>
          <w:spacing w:val="-5"/>
          <w:sz w:val="24"/>
          <w:szCs w:val="24"/>
          <w:highlight w:val="none"/>
          <w:lang w:val="en-US" w:eastAsia="zh-CN"/>
        </w:rPr>
        <w:t>磋商</w:t>
      </w:r>
      <w:r>
        <w:rPr>
          <w:rFonts w:hint="eastAsia" w:ascii="宋体" w:hAnsi="宋体" w:eastAsia="宋体" w:cs="宋体"/>
          <w:color w:val="auto"/>
          <w:spacing w:val="-5"/>
          <w:sz w:val="24"/>
          <w:szCs w:val="24"/>
          <w:highlight w:val="none"/>
        </w:rPr>
        <w:t>的结果如何，</w:t>
      </w:r>
      <w:r>
        <w:rPr>
          <w:rFonts w:hint="eastAsia" w:ascii="宋体" w:hAnsi="宋体" w:eastAsia="宋体" w:cs="宋体"/>
          <w:color w:val="auto"/>
          <w:spacing w:val="-1"/>
          <w:sz w:val="24"/>
          <w:szCs w:val="24"/>
          <w:highlight w:val="none"/>
        </w:rPr>
        <w:t>采购人或采购代理机构在任何情况下均无承担</w:t>
      </w:r>
      <w:r>
        <w:rPr>
          <w:rFonts w:hint="eastAsia" w:ascii="宋体" w:hAnsi="宋体" w:eastAsia="宋体" w:cs="宋体"/>
          <w:color w:val="auto"/>
          <w:spacing w:val="-2"/>
          <w:sz w:val="24"/>
          <w:szCs w:val="24"/>
          <w:highlight w:val="none"/>
        </w:rPr>
        <w:t>这些费用的义务和责任。</w:t>
      </w:r>
    </w:p>
    <w:p w14:paraId="645122F7">
      <w:pPr>
        <w:keepNext w:val="0"/>
        <w:keepLines w:val="0"/>
        <w:pageBreakBefore w:val="0"/>
        <w:widowControl/>
        <w:kinsoku/>
        <w:wordWrap w:val="0"/>
        <w:overflowPunct/>
        <w:topLinePunct w:val="0"/>
        <w:autoSpaceDE w:val="0"/>
        <w:autoSpaceDN w:val="0"/>
        <w:bidi w:val="0"/>
        <w:adjustRightInd w:val="0"/>
        <w:snapToGrid w:val="0"/>
        <w:spacing w:line="440" w:lineRule="exact"/>
        <w:ind w:firstLine="567"/>
        <w:jc w:val="both"/>
        <w:textAlignment w:val="baseline"/>
        <w:rPr>
          <w:rFonts w:hint="eastAsia" w:ascii="宋体" w:hAnsi="宋体" w:eastAsia="宋体" w:cs="宋体"/>
          <w:b/>
          <w:bCs/>
          <w:snapToGrid w:val="0"/>
          <w:color w:val="auto"/>
          <w:spacing w:val="-12"/>
          <w:kern w:val="0"/>
          <w:sz w:val="24"/>
          <w:szCs w:val="24"/>
          <w:highlight w:val="none"/>
          <w:lang w:val="en-US" w:eastAsia="zh-CN" w:bidi="ar-SA"/>
        </w:rPr>
      </w:pPr>
      <w:r>
        <w:rPr>
          <w:rFonts w:hint="eastAsia" w:ascii="宋体" w:hAnsi="宋体" w:eastAsia="宋体" w:cs="宋体"/>
          <w:b/>
          <w:bCs/>
          <w:snapToGrid w:val="0"/>
          <w:color w:val="auto"/>
          <w:spacing w:val="-12"/>
          <w:kern w:val="0"/>
          <w:sz w:val="24"/>
          <w:szCs w:val="24"/>
          <w:highlight w:val="none"/>
          <w:lang w:val="en-US" w:eastAsia="zh-CN" w:bidi="ar-SA"/>
        </w:rPr>
        <w:t>6.采购范围及适用法律</w:t>
      </w:r>
    </w:p>
    <w:p w14:paraId="11404F52">
      <w:pPr>
        <w:keepNext w:val="0"/>
        <w:keepLines w:val="0"/>
        <w:pageBreakBefore w:val="0"/>
        <w:widowControl/>
        <w:kinsoku/>
        <w:wordWrap w:val="0"/>
        <w:overflowPunct/>
        <w:topLinePunct w:val="0"/>
        <w:autoSpaceDE w:val="0"/>
        <w:autoSpaceDN w:val="0"/>
        <w:bidi w:val="0"/>
        <w:adjustRightInd w:val="0"/>
        <w:snapToGrid w:val="0"/>
        <w:spacing w:line="440" w:lineRule="exact"/>
        <w:ind w:firstLine="567"/>
        <w:jc w:val="both"/>
        <w:textAlignment w:val="baseline"/>
        <w:rPr>
          <w:rFonts w:hint="eastAsia" w:ascii="宋体" w:hAnsi="宋体" w:eastAsia="宋体" w:cs="宋体"/>
          <w:snapToGrid w:val="0"/>
          <w:color w:val="auto"/>
          <w:spacing w:val="-12"/>
          <w:kern w:val="0"/>
          <w:sz w:val="24"/>
          <w:szCs w:val="24"/>
          <w:highlight w:val="none"/>
          <w:lang w:val="en-US" w:eastAsia="zh-CN" w:bidi="ar-SA"/>
        </w:rPr>
      </w:pPr>
      <w:r>
        <w:rPr>
          <w:rFonts w:hint="eastAsia" w:ascii="宋体" w:hAnsi="宋体" w:eastAsia="宋体" w:cs="宋体"/>
          <w:snapToGrid w:val="0"/>
          <w:color w:val="auto"/>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0C82DF9">
      <w:pPr>
        <w:keepNext w:val="0"/>
        <w:keepLines w:val="0"/>
        <w:pageBreakBefore w:val="0"/>
        <w:widowControl/>
        <w:kinsoku/>
        <w:wordWrap w:val="0"/>
        <w:overflowPunct/>
        <w:topLinePunct w:val="0"/>
        <w:autoSpaceDE w:val="0"/>
        <w:autoSpaceDN w:val="0"/>
        <w:bidi w:val="0"/>
        <w:adjustRightInd w:val="0"/>
        <w:snapToGrid w:val="0"/>
        <w:spacing w:line="440" w:lineRule="exact"/>
        <w:ind w:firstLine="567"/>
        <w:jc w:val="both"/>
        <w:textAlignment w:val="baseline"/>
        <w:rPr>
          <w:rFonts w:hint="eastAsia" w:ascii="宋体" w:hAnsi="宋体" w:eastAsia="宋体" w:cs="宋体"/>
          <w:snapToGrid w:val="0"/>
          <w:color w:val="auto"/>
          <w:spacing w:val="-12"/>
          <w:kern w:val="0"/>
          <w:sz w:val="24"/>
          <w:szCs w:val="24"/>
          <w:highlight w:val="none"/>
          <w:lang w:val="en-US" w:eastAsia="zh-CN" w:bidi="ar-SA"/>
        </w:rPr>
      </w:pPr>
      <w:r>
        <w:rPr>
          <w:rFonts w:hint="eastAsia" w:ascii="宋体" w:hAnsi="宋体" w:eastAsia="宋体" w:cs="宋体"/>
          <w:snapToGrid w:val="0"/>
          <w:color w:val="auto"/>
          <w:spacing w:val="-12"/>
          <w:kern w:val="0"/>
          <w:sz w:val="24"/>
          <w:szCs w:val="24"/>
          <w:highlight w:val="none"/>
          <w:lang w:val="en-US" w:eastAsia="zh-CN" w:bidi="ar-SA"/>
        </w:rPr>
        <w:t>6.2 “监督管理部门”是指</w:t>
      </w:r>
      <w:r>
        <w:rPr>
          <w:rFonts w:hint="eastAsia" w:ascii="宋体" w:hAnsi="宋体" w:eastAsia="宋体" w:cs="宋体"/>
          <w:snapToGrid w:val="0"/>
          <w:color w:val="auto"/>
          <w:spacing w:val="-2"/>
          <w:kern w:val="0"/>
          <w:sz w:val="24"/>
          <w:szCs w:val="24"/>
          <w:highlight w:val="none"/>
          <w:u w:val="single"/>
          <w:lang w:val="en-US" w:eastAsia="zh-CN" w:bidi="ar-SA"/>
        </w:rPr>
        <w:t xml:space="preserve">    /     </w:t>
      </w:r>
      <w:r>
        <w:rPr>
          <w:rFonts w:hint="eastAsia" w:ascii="宋体" w:hAnsi="宋体" w:eastAsia="宋体" w:cs="宋体"/>
          <w:snapToGrid w:val="0"/>
          <w:color w:val="auto"/>
          <w:spacing w:val="-2"/>
          <w:kern w:val="0"/>
          <w:sz w:val="24"/>
          <w:szCs w:val="24"/>
          <w:highlight w:val="none"/>
          <w:lang w:val="en-US" w:eastAsia="zh-CN" w:bidi="ar-SA"/>
        </w:rPr>
        <w:t>。</w:t>
      </w:r>
    </w:p>
    <w:p w14:paraId="0794540D">
      <w:pPr>
        <w:keepNext w:val="0"/>
        <w:keepLines w:val="0"/>
        <w:pageBreakBefore w:val="0"/>
        <w:widowControl/>
        <w:kinsoku/>
        <w:wordWrap w:val="0"/>
        <w:overflowPunct/>
        <w:topLinePunct w:val="0"/>
        <w:autoSpaceDE w:val="0"/>
        <w:autoSpaceDN w:val="0"/>
        <w:bidi w:val="0"/>
        <w:adjustRightInd w:val="0"/>
        <w:snapToGrid w:val="0"/>
        <w:spacing w:line="440" w:lineRule="exact"/>
        <w:ind w:firstLine="567"/>
        <w:jc w:val="both"/>
        <w:textAlignment w:val="baseline"/>
        <w:rPr>
          <w:rFonts w:hint="eastAsia" w:ascii="宋体" w:hAnsi="宋体" w:eastAsia="宋体" w:cs="宋体"/>
          <w:snapToGrid w:val="0"/>
          <w:color w:val="auto"/>
          <w:spacing w:val="-12"/>
          <w:kern w:val="0"/>
          <w:sz w:val="24"/>
          <w:szCs w:val="24"/>
          <w:highlight w:val="none"/>
          <w:lang w:val="en-US" w:eastAsia="zh-CN" w:bidi="ar-SA"/>
        </w:rPr>
      </w:pPr>
      <w:r>
        <w:rPr>
          <w:rFonts w:hint="eastAsia" w:ascii="宋体" w:hAnsi="宋体" w:eastAsia="宋体" w:cs="宋体"/>
          <w:snapToGrid w:val="0"/>
          <w:color w:val="auto"/>
          <w:spacing w:val="-12"/>
          <w:kern w:val="0"/>
          <w:sz w:val="24"/>
          <w:szCs w:val="24"/>
          <w:highlight w:val="none"/>
          <w:lang w:val="en-US" w:eastAsia="zh-CN" w:bidi="ar-SA"/>
        </w:rPr>
        <w:t>6.3 “货物”指供应商按采购文件规定，须向采购人提供的与本次采购相关的</w:t>
      </w:r>
      <w:r>
        <w:rPr>
          <w:rFonts w:hint="eastAsia" w:ascii="宋体" w:hAnsi="宋体" w:eastAsia="宋体" w:cs="宋体"/>
          <w:snapToGrid w:val="0"/>
          <w:color w:val="auto"/>
          <w:spacing w:val="-2"/>
          <w:kern w:val="0"/>
          <w:sz w:val="24"/>
          <w:szCs w:val="24"/>
          <w:highlight w:val="none"/>
          <w:u w:val="single"/>
          <w:lang w:val="en-US" w:eastAsia="zh-CN" w:bidi="ar-SA"/>
        </w:rPr>
        <w:t xml:space="preserve"> / </w:t>
      </w:r>
      <w:r>
        <w:rPr>
          <w:rFonts w:hint="eastAsia" w:ascii="宋体" w:hAnsi="宋体" w:eastAsia="宋体" w:cs="宋体"/>
          <w:snapToGrid w:val="0"/>
          <w:color w:val="auto"/>
          <w:spacing w:val="-12"/>
          <w:kern w:val="0"/>
          <w:sz w:val="24"/>
          <w:szCs w:val="24"/>
          <w:highlight w:val="none"/>
          <w:lang w:val="en-US" w:eastAsia="zh-CN" w:bidi="ar-SA"/>
        </w:rPr>
        <w:t>。</w:t>
      </w:r>
    </w:p>
    <w:p w14:paraId="6BACBC83">
      <w:pPr>
        <w:keepNext w:val="0"/>
        <w:keepLines w:val="0"/>
        <w:pageBreakBefore w:val="0"/>
        <w:widowControl/>
        <w:kinsoku/>
        <w:wordWrap w:val="0"/>
        <w:overflowPunct/>
        <w:topLinePunct w:val="0"/>
        <w:autoSpaceDE w:val="0"/>
        <w:autoSpaceDN w:val="0"/>
        <w:bidi w:val="0"/>
        <w:adjustRightInd w:val="0"/>
        <w:snapToGrid w:val="0"/>
        <w:spacing w:line="440" w:lineRule="exact"/>
        <w:ind w:firstLine="567"/>
        <w:jc w:val="both"/>
        <w:textAlignment w:val="baseline"/>
        <w:rPr>
          <w:rFonts w:hint="eastAsia" w:ascii="宋体" w:hAnsi="宋体" w:eastAsia="宋体" w:cs="宋体"/>
          <w:snapToGrid w:val="0"/>
          <w:color w:val="auto"/>
          <w:spacing w:val="-12"/>
          <w:kern w:val="0"/>
          <w:sz w:val="24"/>
          <w:szCs w:val="24"/>
          <w:highlight w:val="none"/>
          <w:lang w:val="en-US" w:eastAsia="zh-CN" w:bidi="ar-SA"/>
        </w:rPr>
      </w:pPr>
      <w:r>
        <w:rPr>
          <w:rFonts w:hint="eastAsia" w:ascii="宋体" w:hAnsi="宋体" w:eastAsia="宋体" w:cs="宋体"/>
          <w:snapToGrid w:val="0"/>
          <w:color w:val="auto"/>
          <w:spacing w:val="-12"/>
          <w:kern w:val="0"/>
          <w:sz w:val="24"/>
          <w:szCs w:val="24"/>
          <w:highlight w:val="none"/>
          <w:lang w:val="en-US" w:eastAsia="zh-CN" w:bidi="ar-SA"/>
        </w:rPr>
        <w:t>6.4 “服务”指采购文件规定供应商应承担的</w:t>
      </w:r>
      <w:r>
        <w:rPr>
          <w:rFonts w:hint="eastAsia" w:ascii="宋体" w:hAnsi="宋体" w:eastAsia="宋体" w:cs="宋体"/>
          <w:snapToGrid w:val="0"/>
          <w:color w:val="auto"/>
          <w:spacing w:val="-2"/>
          <w:kern w:val="0"/>
          <w:sz w:val="24"/>
          <w:szCs w:val="24"/>
          <w:highlight w:val="none"/>
          <w:u w:val="single"/>
          <w:lang w:val="en-US" w:eastAsia="zh-CN" w:bidi="ar-SA"/>
        </w:rPr>
        <w:t xml:space="preserve"> 林业有害生物防治 </w:t>
      </w:r>
      <w:r>
        <w:rPr>
          <w:rFonts w:hint="eastAsia" w:ascii="宋体" w:hAnsi="宋体" w:eastAsia="宋体" w:cs="宋体"/>
          <w:snapToGrid w:val="0"/>
          <w:color w:val="auto"/>
          <w:spacing w:val="-12"/>
          <w:kern w:val="0"/>
          <w:sz w:val="24"/>
          <w:szCs w:val="24"/>
          <w:highlight w:val="none"/>
          <w:lang w:val="en-US" w:eastAsia="zh-CN" w:bidi="ar-SA"/>
        </w:rPr>
        <w:t>服务。</w:t>
      </w:r>
    </w:p>
    <w:p w14:paraId="3312A6D5">
      <w:pPr>
        <w:pStyle w:val="7"/>
        <w:keepNext w:val="0"/>
        <w:keepLines w:val="0"/>
        <w:pageBreakBefore w:val="0"/>
        <w:kinsoku/>
        <w:wordWrap w:val="0"/>
        <w:overflowPunct/>
        <w:topLinePunct w:val="0"/>
        <w:bidi w:val="0"/>
        <w:spacing w:before="91" w:line="360" w:lineRule="auto"/>
        <w:jc w:val="both"/>
        <w:rPr>
          <w:rFonts w:hint="eastAsia"/>
          <w:color w:val="auto"/>
          <w:sz w:val="24"/>
          <w:szCs w:val="24"/>
          <w:highlight w:val="none"/>
          <w:lang w:val="en-US" w:eastAsia="zh-CN"/>
        </w:rPr>
      </w:pPr>
      <w:r>
        <w:rPr>
          <w:color w:val="auto"/>
          <w:spacing w:val="-1"/>
          <w:sz w:val="28"/>
          <w:szCs w:val="28"/>
          <w:highlight w:val="none"/>
          <w14:textOutline w14:w="1800" w14:cap="flat" w14:cmpd="sng">
            <w14:solidFill>
              <w14:srgbClr w14:val="000000"/>
            </w14:solidFill>
            <w14:prstDash w14:val="solid"/>
            <w14:miter w14:val="0"/>
          </w14:textOutline>
        </w:rPr>
        <w:t>二</w:t>
      </w:r>
      <w:r>
        <w:rPr>
          <w:rFonts w:hint="eastAsia"/>
          <w:color w:val="auto"/>
          <w:spacing w:val="-1"/>
          <w:sz w:val="28"/>
          <w:szCs w:val="28"/>
          <w:highlight w:val="none"/>
          <w:lang w:eastAsia="zh-CN"/>
        </w:rPr>
        <w:t>、</w:t>
      </w:r>
      <w:r>
        <w:rPr>
          <w:color w:val="auto"/>
          <w:spacing w:val="-1"/>
          <w:sz w:val="28"/>
          <w:szCs w:val="28"/>
          <w:highlight w:val="none"/>
          <w14:textOutline w14:w="1800" w14:cap="flat" w14:cmpd="sng">
            <w14:solidFill>
              <w14:srgbClr w14:val="000000"/>
            </w14:solidFill>
            <w14:prstDash w14:val="solid"/>
            <w14:miter w14:val="0"/>
          </w14:textOutline>
        </w:rPr>
        <w:t>竞争性磋商文件</w:t>
      </w:r>
    </w:p>
    <w:p w14:paraId="697BAE6F">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82" w:firstLineChars="200"/>
        <w:jc w:val="both"/>
        <w:textAlignment w:val="baseline"/>
        <w:rPr>
          <w:b/>
          <w:bCs/>
          <w:color w:val="auto"/>
          <w:sz w:val="24"/>
          <w:szCs w:val="24"/>
          <w:highlight w:val="none"/>
        </w:rPr>
      </w:pPr>
      <w:r>
        <w:rPr>
          <w:rFonts w:hint="eastAsia"/>
          <w:b/>
          <w:bCs/>
          <w:color w:val="auto"/>
          <w:sz w:val="24"/>
          <w:szCs w:val="24"/>
          <w:highlight w:val="none"/>
          <w:lang w:val="en-US" w:eastAsia="zh-CN"/>
        </w:rPr>
        <w:t>7.</w:t>
      </w:r>
      <w:r>
        <w:rPr>
          <w:b/>
          <w:bCs/>
          <w:color w:val="auto"/>
          <w:sz w:val="24"/>
          <w:szCs w:val="24"/>
          <w:highlight w:val="none"/>
        </w:rPr>
        <w:t>竞争性磋商文件构成</w:t>
      </w:r>
    </w:p>
    <w:p w14:paraId="21977D24">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color w:val="auto"/>
          <w:spacing w:val="-1"/>
          <w:sz w:val="24"/>
          <w:szCs w:val="24"/>
          <w:highlight w:val="none"/>
        </w:rPr>
      </w:pPr>
      <w:r>
        <w:rPr>
          <w:rFonts w:hint="eastAsia"/>
          <w:color w:val="auto"/>
          <w:spacing w:val="-1"/>
          <w:sz w:val="24"/>
          <w:szCs w:val="24"/>
          <w:highlight w:val="none"/>
          <w:lang w:val="en-US" w:eastAsia="zh-CN"/>
        </w:rPr>
        <w:t>7</w:t>
      </w:r>
      <w:r>
        <w:rPr>
          <w:color w:val="auto"/>
          <w:spacing w:val="-1"/>
          <w:sz w:val="24"/>
          <w:szCs w:val="24"/>
          <w:highlight w:val="none"/>
        </w:rPr>
        <w:t>.1</w:t>
      </w:r>
      <w:r>
        <w:rPr>
          <w:rFonts w:hint="eastAsia"/>
          <w:color w:val="auto"/>
          <w:spacing w:val="-1"/>
          <w:sz w:val="24"/>
          <w:szCs w:val="24"/>
          <w:highlight w:val="none"/>
          <w:lang w:val="en-US" w:eastAsia="zh-CN"/>
        </w:rPr>
        <w:t xml:space="preserve"> </w:t>
      </w:r>
      <w:r>
        <w:rPr>
          <w:color w:val="auto"/>
          <w:spacing w:val="-1"/>
          <w:sz w:val="24"/>
          <w:szCs w:val="24"/>
          <w:highlight w:val="none"/>
        </w:rPr>
        <w:t>竞争性磋商文件包括以下部分：</w:t>
      </w:r>
    </w:p>
    <w:p w14:paraId="6003E54B">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color w:val="auto"/>
          <w:spacing w:val="-1"/>
          <w:sz w:val="24"/>
          <w:szCs w:val="24"/>
          <w:highlight w:val="none"/>
        </w:rPr>
      </w:pPr>
      <w:r>
        <w:rPr>
          <w:color w:val="auto"/>
          <w:spacing w:val="-1"/>
          <w:sz w:val="24"/>
          <w:szCs w:val="24"/>
          <w:highlight w:val="none"/>
        </w:rPr>
        <w:fldChar w:fldCharType="begin"/>
      </w:r>
      <w:r>
        <w:rPr>
          <w:color w:val="auto"/>
          <w:spacing w:val="-1"/>
          <w:sz w:val="24"/>
          <w:szCs w:val="24"/>
          <w:highlight w:val="none"/>
        </w:rPr>
        <w:instrText xml:space="preserve">HYPERLINK\l"bookmark1"</w:instrText>
      </w:r>
      <w:r>
        <w:rPr>
          <w:color w:val="auto"/>
          <w:spacing w:val="-1"/>
          <w:sz w:val="24"/>
          <w:szCs w:val="24"/>
          <w:highlight w:val="none"/>
        </w:rPr>
        <w:fldChar w:fldCharType="separate"/>
      </w:r>
      <w:r>
        <w:rPr>
          <w:color w:val="auto"/>
          <w:spacing w:val="-1"/>
          <w:sz w:val="24"/>
          <w:szCs w:val="24"/>
          <w:highlight w:val="none"/>
        </w:rPr>
        <w:t>第一章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竞争性磋商公告</w:t>
      </w:r>
      <w:r>
        <w:rPr>
          <w:color w:val="auto"/>
          <w:spacing w:val="-1"/>
          <w:sz w:val="24"/>
          <w:szCs w:val="24"/>
          <w:highlight w:val="none"/>
        </w:rPr>
        <w:fldChar w:fldCharType="end"/>
      </w:r>
    </w:p>
    <w:p w14:paraId="23B81FBF">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color w:val="auto"/>
          <w:spacing w:val="-1"/>
          <w:sz w:val="24"/>
          <w:szCs w:val="24"/>
          <w:highlight w:val="none"/>
        </w:rPr>
      </w:pPr>
      <w:r>
        <w:rPr>
          <w:color w:val="auto"/>
          <w:spacing w:val="-1"/>
          <w:sz w:val="24"/>
          <w:szCs w:val="24"/>
          <w:highlight w:val="none"/>
        </w:rPr>
        <w:t>第二章</w:t>
      </w:r>
      <w:r>
        <w:rPr>
          <w:rFonts w:hint="eastAsia"/>
          <w:color w:val="auto"/>
          <w:spacing w:val="-1"/>
          <w:sz w:val="24"/>
          <w:szCs w:val="24"/>
          <w:highlight w:val="none"/>
          <w:lang w:val="en-US" w:eastAsia="zh-CN"/>
        </w:rPr>
        <w:t xml:space="preserve"> </w:t>
      </w:r>
      <w:r>
        <w:rPr>
          <w:color w:val="auto"/>
          <w:spacing w:val="-1"/>
          <w:sz w:val="24"/>
          <w:szCs w:val="24"/>
          <w:highlight w:val="none"/>
        </w:rPr>
        <w:t>采购需求</w:t>
      </w:r>
    </w:p>
    <w:p w14:paraId="6E9C69A6">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color w:val="auto"/>
          <w:spacing w:val="-1"/>
          <w:sz w:val="24"/>
          <w:szCs w:val="24"/>
          <w:highlight w:val="none"/>
        </w:rPr>
      </w:pPr>
      <w:r>
        <w:rPr>
          <w:color w:val="auto"/>
          <w:spacing w:val="-1"/>
          <w:sz w:val="24"/>
          <w:szCs w:val="24"/>
          <w:highlight w:val="none"/>
        </w:rPr>
        <w:t>第三章</w:t>
      </w:r>
      <w:r>
        <w:rPr>
          <w:rFonts w:hint="eastAsia"/>
          <w:color w:val="auto"/>
          <w:spacing w:val="-1"/>
          <w:sz w:val="24"/>
          <w:szCs w:val="24"/>
          <w:highlight w:val="none"/>
          <w:lang w:val="en-US" w:eastAsia="zh-CN"/>
        </w:rPr>
        <w:t xml:space="preserve"> </w:t>
      </w:r>
      <w:r>
        <w:rPr>
          <w:color w:val="auto"/>
          <w:spacing w:val="-1"/>
          <w:sz w:val="24"/>
          <w:szCs w:val="24"/>
          <w:highlight w:val="none"/>
        </w:rPr>
        <w:t>供应商须知</w:t>
      </w:r>
    </w:p>
    <w:p w14:paraId="73FCF0F7">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color w:val="auto"/>
          <w:spacing w:val="-1"/>
          <w:sz w:val="24"/>
          <w:szCs w:val="24"/>
          <w:highlight w:val="none"/>
        </w:rPr>
      </w:pPr>
      <w:r>
        <w:rPr>
          <w:color w:val="auto"/>
          <w:spacing w:val="-1"/>
          <w:sz w:val="24"/>
          <w:szCs w:val="24"/>
          <w:highlight w:val="none"/>
        </w:rPr>
        <w:t>第四章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p>
    <w:p w14:paraId="6D1D7783">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color w:val="auto"/>
          <w:spacing w:val="-1"/>
          <w:sz w:val="24"/>
          <w:szCs w:val="24"/>
          <w:highlight w:val="none"/>
        </w:rPr>
      </w:pPr>
      <w:r>
        <w:rPr>
          <w:color w:val="auto"/>
          <w:spacing w:val="-1"/>
          <w:sz w:val="24"/>
          <w:szCs w:val="24"/>
          <w:highlight w:val="none"/>
        </w:rPr>
        <w:t>第五章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政府采购合同（草案）</w:t>
      </w:r>
    </w:p>
    <w:p w14:paraId="477B49A1">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color w:val="auto"/>
          <w:spacing w:val="-1"/>
          <w:sz w:val="24"/>
          <w:szCs w:val="24"/>
          <w:highlight w:val="none"/>
        </w:rPr>
      </w:pPr>
      <w:r>
        <w:rPr>
          <w:color w:val="auto"/>
          <w:spacing w:val="-1"/>
          <w:sz w:val="24"/>
          <w:szCs w:val="24"/>
          <w:highlight w:val="none"/>
        </w:rPr>
        <w:t>第六章</w:t>
      </w:r>
      <w:r>
        <w:rPr>
          <w:rFonts w:hint="eastAsia"/>
          <w:color w:val="auto"/>
          <w:spacing w:val="-1"/>
          <w:sz w:val="24"/>
          <w:szCs w:val="24"/>
          <w:highlight w:val="none"/>
          <w:lang w:val="en-US" w:eastAsia="zh-CN"/>
        </w:rPr>
        <w:t xml:space="preserve"> </w:t>
      </w:r>
      <w:r>
        <w:rPr>
          <w:color w:val="auto"/>
          <w:spacing w:val="-1"/>
          <w:sz w:val="24"/>
          <w:szCs w:val="24"/>
          <w:highlight w:val="none"/>
        </w:rPr>
        <w:t>响应文件格式</w:t>
      </w:r>
    </w:p>
    <w:p w14:paraId="7DC1397F">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3CBE0C79">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8.对竞争性磋商文件的澄清或修改</w:t>
      </w:r>
    </w:p>
    <w:p w14:paraId="60C3872C">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8.1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3C19DA5D">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8.2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可以酌情延长上传截止时间，并将此变更以公告形式通知所有竞争性磋商文件收受人。</w:t>
      </w:r>
    </w:p>
    <w:p w14:paraId="21CB0110">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color w:val="auto"/>
          <w:spacing w:val="-8"/>
          <w:sz w:val="24"/>
          <w:szCs w:val="24"/>
          <w:highlight w:val="none"/>
          <w:lang w:val="en-US" w:eastAsia="zh-CN"/>
        </w:rPr>
        <w:t>（必须在原公告发布媒体上发布公告）</w:t>
      </w:r>
      <w:r>
        <w:rPr>
          <w:rFonts w:hint="eastAsia"/>
          <w:color w:val="auto"/>
          <w:spacing w:val="-1"/>
          <w:sz w:val="24"/>
          <w:szCs w:val="24"/>
          <w:highlight w:val="none"/>
          <w:lang w:val="en-US" w:eastAsia="zh-CN"/>
        </w:rPr>
        <w:t>通知所有获取磋商文件的供应商；不足5日的，将顺延上传响应文件截止时间。</w:t>
      </w:r>
    </w:p>
    <w:p w14:paraId="29CADD8A">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color w:val="auto"/>
          <w:spacing w:val="-8"/>
          <w:sz w:val="24"/>
          <w:szCs w:val="24"/>
          <w:highlight w:val="none"/>
          <w:lang w:val="en-US" w:eastAsia="zh-CN"/>
        </w:rPr>
        <w:t>采购人或采购代理机构</w:t>
      </w:r>
      <w:r>
        <w:rPr>
          <w:rFonts w:hint="eastAsia"/>
          <w:b/>
          <w:bCs/>
          <w:color w:val="auto"/>
          <w:spacing w:val="-1"/>
          <w:sz w:val="24"/>
          <w:szCs w:val="24"/>
          <w:highlight w:val="none"/>
          <w:lang w:val="en-US" w:eastAsia="zh-CN"/>
        </w:rPr>
        <w:t>发布的一切公告信息（包括采购公告、变更公告、澄清公告等）均在“河南省政府采购网”“全国公共资源交易平台（河南省·南阳邓州分平台）”等媒体发布，请潜在供应商随时查询有关公告信息。若因潜在供应商没有及时查看到公告信息而造成的失误，责任自负。</w:t>
      </w:r>
    </w:p>
    <w:p w14:paraId="7DD004DC">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50" w:firstLineChars="200"/>
        <w:jc w:val="both"/>
        <w:textAlignment w:val="baseline"/>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6CC34F03">
      <w:pPr>
        <w:pStyle w:val="7"/>
        <w:keepNext w:val="0"/>
        <w:keepLines w:val="0"/>
        <w:pageBreakBefore w:val="0"/>
        <w:kinsoku/>
        <w:wordWrap w:val="0"/>
        <w:overflowPunct/>
        <w:topLinePunct w:val="0"/>
        <w:bidi w:val="0"/>
        <w:spacing w:before="91" w:line="360" w:lineRule="auto"/>
        <w:jc w:val="both"/>
        <w:rPr>
          <w:rFonts w:hint="eastAsia" w:ascii="Arial" w:hAnsi="Arial" w:eastAsia="宋体" w:cs="Arial"/>
          <w:color w:val="auto"/>
          <w:sz w:val="24"/>
          <w:szCs w:val="24"/>
          <w:highlight w:val="none"/>
          <w:lang w:val="en-US" w:eastAsia="zh-CN"/>
        </w:rPr>
      </w:pPr>
      <w:r>
        <w:rPr>
          <w:color w:val="auto"/>
          <w:spacing w:val="-4"/>
          <w:sz w:val="28"/>
          <w:szCs w:val="28"/>
          <w:highlight w:val="none"/>
          <w14:textOutline w14:w="1800" w14:cap="flat" w14:cmpd="sng">
            <w14:solidFill>
              <w14:srgbClr w14:val="000000"/>
            </w14:solidFill>
            <w14:prstDash w14:val="solid"/>
            <w14:miter w14:val="0"/>
          </w14:textOutline>
        </w:rPr>
        <w:t>三</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响应文件的编制</w:t>
      </w:r>
    </w:p>
    <w:p w14:paraId="40AB3E58">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9.响应范围、竞争性磋商文件中计量单位的使用及磋商语言</w:t>
      </w:r>
    </w:p>
    <w:p w14:paraId="1712B979">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352A6B49">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9.2 除竞争性磋商文件有特殊要求外，本项目磋商所使用的计量单位，应采用中华人民共和国法定计量单位。</w:t>
      </w:r>
    </w:p>
    <w:p w14:paraId="67011BF3">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6F1C291">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10.响应文件构成</w:t>
      </w:r>
    </w:p>
    <w:p w14:paraId="1FE1EE6D">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FAEDBDD">
      <w:pPr>
        <w:pStyle w:val="7"/>
        <w:keepNext w:val="0"/>
        <w:keepLines w:val="0"/>
        <w:pageBreakBefore w:val="0"/>
        <w:widowControl/>
        <w:kinsoku/>
        <w:wordWrap w:val="0"/>
        <w:overflowPunct/>
        <w:topLinePunct w:val="0"/>
        <w:autoSpaceDE w:val="0"/>
        <w:autoSpaceDN w:val="0"/>
        <w:bidi w:val="0"/>
        <w:adjustRightInd w:val="0"/>
        <w:snapToGrid w:val="0"/>
        <w:spacing w:line="440" w:lineRule="exact"/>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5A67EF6">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10.3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根据磋商文件中规定的下载平台要求，具体详见《投标文件制作工具操作手册》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eastAsia="zh-CN"/>
        </w:rPr>
        <w:t>否则，被视为无效</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lang w:eastAsia="zh-CN"/>
        </w:rPr>
        <w:t>文件，将被平台系统拒绝。</w:t>
      </w:r>
    </w:p>
    <w:p w14:paraId="052AC8E7">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 </w:t>
      </w:r>
      <w:r>
        <w:rPr>
          <w:rFonts w:hint="eastAsia" w:asciiTheme="minorEastAsia" w:hAnsiTheme="minorEastAsia" w:eastAsiaTheme="minorEastAsia" w:cstheme="minorEastAsia"/>
          <w:color w:val="auto"/>
          <w:sz w:val="24"/>
          <w:szCs w:val="24"/>
          <w:highlight w:val="none"/>
        </w:rPr>
        <w:t>第四章《</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r>
        <w:rPr>
          <w:rFonts w:hint="eastAsia" w:asciiTheme="minorEastAsia" w:hAnsiTheme="minorEastAsia" w:eastAsiaTheme="minorEastAsia" w:cstheme="minorEastAsia"/>
          <w:color w:val="auto"/>
          <w:sz w:val="24"/>
          <w:szCs w:val="24"/>
          <w:highlight w:val="none"/>
        </w:rPr>
        <w:t>》中涉及的证明文件。</w:t>
      </w:r>
    </w:p>
    <w:p w14:paraId="05509AD9">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或工程</w:t>
      </w:r>
      <w:r>
        <w:rPr>
          <w:rFonts w:hint="eastAsia" w:asciiTheme="minorEastAsia" w:hAnsiTheme="minorEastAsia" w:eastAsiaTheme="minorEastAsia" w:cstheme="minorEastAsia"/>
          <w:color w:val="auto"/>
          <w:sz w:val="24"/>
          <w:szCs w:val="24"/>
          <w:highlight w:val="none"/>
        </w:rPr>
        <w:t>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rPr>
        <w:t>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50814C15">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10.6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编制响应文件时，涉及营业执照、资质、业绩、财务、社保、纳税及各类证书、报告等内容，必须是原件的扫描件。</w:t>
      </w:r>
    </w:p>
    <w:p w14:paraId="38B5F9A0">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10.7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认为应附的其他材料。</w:t>
      </w:r>
    </w:p>
    <w:p w14:paraId="5FECE90D">
      <w:pPr>
        <w:keepNext w:val="0"/>
        <w:keepLines w:val="0"/>
        <w:pageBreakBefore w:val="0"/>
        <w:widowControl/>
        <w:kinsoku/>
        <w:wordWrap w:val="0"/>
        <w:overflowPunct/>
        <w:topLinePunct w:val="0"/>
        <w:autoSpaceDE w:val="0"/>
        <w:autoSpaceDN w:val="0"/>
        <w:bidi w:val="0"/>
        <w:adjustRightInd w:val="0"/>
        <w:snapToGrid w:val="0"/>
        <w:spacing w:line="440" w:lineRule="exact"/>
        <w:ind w:firstLine="482"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11.报价</w:t>
      </w:r>
    </w:p>
    <w:p w14:paraId="6FCB1890">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报价</w:t>
      </w:r>
      <w:r>
        <w:rPr>
          <w:rFonts w:hint="eastAsia" w:asciiTheme="minorEastAsia" w:hAnsiTheme="minorEastAsia" w:eastAsiaTheme="minorEastAsia" w:cstheme="minorEastAsia"/>
          <w:color w:val="auto"/>
          <w:sz w:val="24"/>
          <w:szCs w:val="24"/>
          <w:highlight w:val="none"/>
        </w:rPr>
        <w:t>均以人民币报价。</w:t>
      </w:r>
    </w:p>
    <w:p w14:paraId="496D7292">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的报价应包括但不限于下列内容，</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中有特殊规定的，从其规定。</w:t>
      </w:r>
    </w:p>
    <w:p w14:paraId="12C067AF">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1 </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5CDF3E15">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文件要求完成本项目的全部相关费用。</w:t>
      </w:r>
    </w:p>
    <w:p w14:paraId="78211BBD">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359D0100">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竞争性磋商</w:t>
      </w:r>
      <w:r>
        <w:rPr>
          <w:rFonts w:hint="eastAsia" w:asciiTheme="minorEastAsia" w:hAnsiTheme="minorEastAsia" w:eastAsiaTheme="minorEastAsia" w:cstheme="minorEastAsia"/>
          <w:color w:val="auto"/>
          <w:sz w:val="24"/>
          <w:szCs w:val="24"/>
          <w:highlight w:val="none"/>
        </w:rPr>
        <w:t>文件另有规定的除外），否则其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无效。</w:t>
      </w:r>
    </w:p>
    <w:p w14:paraId="6AAB231F">
      <w:pPr>
        <w:keepNext w:val="0"/>
        <w:keepLines w:val="0"/>
        <w:pageBreakBefore w:val="0"/>
        <w:widowControl/>
        <w:kinsoku/>
        <w:wordWrap w:val="0"/>
        <w:overflowPunct/>
        <w:topLinePunct w:val="0"/>
        <w:autoSpaceDE/>
        <w:autoSpaceDN/>
        <w:bidi w:val="0"/>
        <w:adjustRightInd/>
        <w:snapToGrid/>
        <w:spacing w:after="0" w:line="440" w:lineRule="exact"/>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4E5FBF70">
      <w:pPr>
        <w:keepNext w:val="0"/>
        <w:keepLines w:val="0"/>
        <w:pageBreakBefore w:val="0"/>
        <w:widowControl/>
        <w:kinsoku/>
        <w:wordWrap w:val="0"/>
        <w:overflowPunct/>
        <w:topLinePunct w:val="0"/>
        <w:autoSpaceDE/>
        <w:autoSpaceDN/>
        <w:bidi w:val="0"/>
        <w:adjustRightInd/>
        <w:snapToGrid/>
        <w:spacing w:after="0" w:line="440" w:lineRule="exact"/>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11.6 磋商结束，供应商进行网上最终报价。</w:t>
      </w:r>
    </w:p>
    <w:p w14:paraId="5129ED9D">
      <w:pPr>
        <w:keepNext w:val="0"/>
        <w:keepLines w:val="0"/>
        <w:pageBreakBefore w:val="0"/>
        <w:widowControl/>
        <w:kinsoku/>
        <w:wordWrap w:val="0"/>
        <w:overflowPunct/>
        <w:topLinePunct w:val="0"/>
        <w:autoSpaceDE/>
        <w:autoSpaceDN/>
        <w:bidi w:val="0"/>
        <w:adjustRightInd/>
        <w:snapToGrid/>
        <w:spacing w:after="0" w:line="440" w:lineRule="exact"/>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11.7 本次采购设有预算，供应商最终报价超过预算的，磋商小组将不予评议。</w:t>
      </w:r>
    </w:p>
    <w:p w14:paraId="5951D39B">
      <w:pPr>
        <w:keepNext w:val="0"/>
        <w:keepLines w:val="0"/>
        <w:pageBreakBefore w:val="0"/>
        <w:widowControl/>
        <w:kinsoku/>
        <w:wordWrap w:val="0"/>
        <w:overflowPunct/>
        <w:topLinePunct w:val="0"/>
        <w:autoSpaceDE/>
        <w:autoSpaceDN/>
        <w:bidi w:val="0"/>
        <w:adjustRightInd/>
        <w:snapToGrid/>
        <w:spacing w:after="0" w:line="440" w:lineRule="exact"/>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11.8 供应商的所有报价不得低于成本恶意竞争。</w:t>
      </w:r>
    </w:p>
    <w:p w14:paraId="08D2B328">
      <w:pPr>
        <w:keepNext w:val="0"/>
        <w:keepLines w:val="0"/>
        <w:pageBreakBefore w:val="0"/>
        <w:widowControl/>
        <w:kinsoku/>
        <w:wordWrap w:val="0"/>
        <w:overflowPunct/>
        <w:topLinePunct w:val="0"/>
        <w:autoSpaceDE/>
        <w:autoSpaceDN/>
        <w:bidi w:val="0"/>
        <w:adjustRightInd/>
        <w:snapToGrid/>
        <w:spacing w:after="0" w:line="440" w:lineRule="exact"/>
        <w:ind w:firstLine="478" w:firstLineChars="200"/>
        <w:jc w:val="both"/>
        <w:textAlignment w:val="auto"/>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12.响应有效期</w:t>
      </w:r>
    </w:p>
    <w:p w14:paraId="75D16570">
      <w:pPr>
        <w:keepNext w:val="0"/>
        <w:keepLines w:val="0"/>
        <w:pageBreakBefore w:val="0"/>
        <w:widowControl/>
        <w:kinsoku/>
        <w:wordWrap w:val="0"/>
        <w:overflowPunct/>
        <w:topLinePunct w:val="0"/>
        <w:autoSpaceDE/>
        <w:autoSpaceDN/>
        <w:bidi w:val="0"/>
        <w:adjustRightInd/>
        <w:snapToGrid/>
        <w:spacing w:after="0" w:line="440" w:lineRule="exact"/>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0EA4C9DA">
      <w:pPr>
        <w:keepNext w:val="0"/>
        <w:keepLines w:val="0"/>
        <w:pageBreakBefore w:val="0"/>
        <w:widowControl/>
        <w:kinsoku/>
        <w:wordWrap w:val="0"/>
        <w:overflowPunct/>
        <w:topLinePunct w:val="0"/>
        <w:autoSpaceDE/>
        <w:autoSpaceDN/>
        <w:bidi w:val="0"/>
        <w:adjustRightInd/>
        <w:snapToGrid/>
        <w:spacing w:after="0" w:line="440" w:lineRule="exact"/>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3482AE40">
      <w:pPr>
        <w:keepNext w:val="0"/>
        <w:keepLines w:val="0"/>
        <w:pageBreakBefore w:val="0"/>
        <w:widowControl/>
        <w:kinsoku/>
        <w:wordWrap w:val="0"/>
        <w:overflowPunct/>
        <w:topLinePunct w:val="0"/>
        <w:autoSpaceDE w:val="0"/>
        <w:autoSpaceDN w:val="0"/>
        <w:bidi w:val="0"/>
        <w:adjustRightInd w:val="0"/>
        <w:snapToGrid w:val="0"/>
        <w:spacing w:line="440" w:lineRule="exact"/>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13.响应</w:t>
      </w:r>
      <w:r>
        <w:rPr>
          <w:rFonts w:hint="eastAsia" w:asciiTheme="minorEastAsia" w:hAnsiTheme="minorEastAsia" w:eastAsiaTheme="minorEastAsia" w:cstheme="minorEastAsia"/>
          <w:b/>
          <w:bCs/>
          <w:color w:val="auto"/>
          <w:sz w:val="24"/>
          <w:szCs w:val="24"/>
          <w:highlight w:val="none"/>
        </w:rPr>
        <w:t>文件的签署、盖章</w:t>
      </w:r>
    </w:p>
    <w:p w14:paraId="171BFBE0">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13.1 电子响应文件必须在规定签章处电子签章或手写签字后扫描上传进响应文件。</w:t>
      </w:r>
    </w:p>
    <w:p w14:paraId="6BEF2D58">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13.2 竞争性磋商文件要求盖章的内容，一般通过CA加盖电子签章。</w:t>
      </w:r>
    </w:p>
    <w:p w14:paraId="5255B4C4">
      <w:pPr>
        <w:pStyle w:val="7"/>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auto"/>
          <w:spacing w:val="-1"/>
          <w:kern w:val="0"/>
          <w:sz w:val="24"/>
          <w:szCs w:val="24"/>
          <w:highlight w:val="none"/>
          <w:lang w:val="en-US" w:eastAsia="zh-CN" w:bidi="ar-SA"/>
        </w:rPr>
      </w:pPr>
      <w:r>
        <w:rPr>
          <w:color w:val="auto"/>
          <w:spacing w:val="-4"/>
          <w:sz w:val="28"/>
          <w:szCs w:val="28"/>
          <w:highlight w:val="none"/>
          <w14:textOutline w14:w="1800" w14:cap="flat" w14:cmpd="sng">
            <w14:solidFill>
              <w14:srgbClr w14:val="000000"/>
            </w14:solidFill>
            <w14:prstDash w14:val="solid"/>
            <w14:miter w14:val="0"/>
          </w14:textOutline>
        </w:rPr>
        <w:t>四</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color w:val="auto"/>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color w:val="auto"/>
          <w:spacing w:val="-4"/>
          <w:sz w:val="28"/>
          <w:szCs w:val="28"/>
          <w:highlight w:val="none"/>
          <w14:textOutline w14:w="1800" w14:cap="flat" w14:cmpd="sng">
            <w14:solidFill>
              <w14:srgbClr w14:val="000000"/>
            </w14:solidFill>
            <w14:prstDash w14:val="solid"/>
            <w14:miter w14:val="0"/>
          </w14:textOutline>
        </w:rPr>
        <w:t>交</w:t>
      </w:r>
    </w:p>
    <w:p w14:paraId="7AE05937">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14.响应文件的提交</w:t>
      </w:r>
    </w:p>
    <w:p w14:paraId="63045265">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响应文件的提交是指使用全国公共资源交易平台（河南省·南阳邓州分平台）上交易系统在上传截止时间前完成制作软件生成的加密电子响应文件的上传。未在上传截止时间前完成上传的，视为逾期提交。逾期提交的响应文件不予受理。</w:t>
      </w:r>
    </w:p>
    <w:p w14:paraId="483B8126">
      <w:pPr>
        <w:keepNext w:val="0"/>
        <w:keepLines w:val="0"/>
        <w:pageBreakBefore w:val="0"/>
        <w:widowControl/>
        <w:kinsoku/>
        <w:wordWrap w:val="0"/>
        <w:overflowPunct/>
        <w:topLinePunct w:val="0"/>
        <w:autoSpaceDE w:val="0"/>
        <w:autoSpaceDN w:val="0"/>
        <w:bidi w:val="0"/>
        <w:adjustRightInd w:val="0"/>
        <w:snapToGrid w:val="0"/>
        <w:spacing w:line="440" w:lineRule="exact"/>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采购人及采购代理机构拒绝接受通过电子交易平台以外任何形式提交的响应文件。</w:t>
      </w:r>
    </w:p>
    <w:p w14:paraId="0A7FC28C">
      <w:pPr>
        <w:keepNext w:val="0"/>
        <w:keepLines w:val="0"/>
        <w:pageBreakBefore w:val="0"/>
        <w:widowControl/>
        <w:kinsoku/>
        <w:wordWrap w:val="0"/>
        <w:overflowPunct/>
        <w:topLinePunct w:val="0"/>
        <w:autoSpaceDE w:val="0"/>
        <w:autoSpaceDN w:val="0"/>
        <w:bidi w:val="0"/>
        <w:adjustRightInd w:val="0"/>
        <w:snapToGrid w:val="0"/>
        <w:spacing w:line="440" w:lineRule="exact"/>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15.响应文件上传截止时间</w:t>
      </w:r>
    </w:p>
    <w:p w14:paraId="7BD5B295">
      <w:pPr>
        <w:pStyle w:val="7"/>
        <w:keepNext w:val="0"/>
        <w:keepLines w:val="0"/>
        <w:pageBreakBefore w:val="0"/>
        <w:widowControl/>
        <w:kinsoku/>
        <w:wordWrap w:val="0"/>
        <w:overflowPunct/>
        <w:topLinePunct w:val="0"/>
        <w:autoSpaceDE w:val="0"/>
        <w:autoSpaceDN w:val="0"/>
        <w:bidi w:val="0"/>
        <w:adjustRightInd w:val="0"/>
        <w:snapToGrid w:val="0"/>
        <w:spacing w:line="440" w:lineRule="exact"/>
        <w:ind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供应商应在竞争性磋商文件要求响应文件上传截止时间前，将电子响应文件提交至电子交易平台。</w:t>
      </w:r>
    </w:p>
    <w:p w14:paraId="6D5044B8">
      <w:pPr>
        <w:pStyle w:val="7"/>
        <w:keepNext w:val="0"/>
        <w:keepLines w:val="0"/>
        <w:pageBreakBefore w:val="0"/>
        <w:widowControl/>
        <w:kinsoku/>
        <w:wordWrap w:val="0"/>
        <w:overflowPunct/>
        <w:topLinePunct w:val="0"/>
        <w:autoSpaceDE w:val="0"/>
        <w:autoSpaceDN w:val="0"/>
        <w:bidi w:val="0"/>
        <w:adjustRightInd w:val="0"/>
        <w:snapToGrid w:val="0"/>
        <w:spacing w:line="440" w:lineRule="exact"/>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16.响应文件的修改与撤回</w:t>
      </w:r>
    </w:p>
    <w:p w14:paraId="4D6890F0">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w:t>
      </w:r>
      <w:r>
        <w:rPr>
          <w:rFonts w:hint="eastAsia" w:ascii="宋体" w:hAnsi="宋体" w:cs="宋体"/>
          <w:color w:val="auto"/>
          <w:sz w:val="24"/>
          <w:highlight w:val="none"/>
        </w:rPr>
        <w:t>全国公共资源交易平台（</w:t>
      </w:r>
      <w:r>
        <w:rPr>
          <w:rFonts w:hint="eastAsia" w:ascii="宋体" w:hAnsi="宋体" w:eastAsia="宋体" w:cs="宋体"/>
          <w:color w:val="auto"/>
          <w:sz w:val="24"/>
          <w:highlight w:val="none"/>
          <w:lang w:eastAsia="zh-CN"/>
        </w:rPr>
        <w:t>河南省·南阳邓州分平台</w:t>
      </w:r>
      <w:r>
        <w:rPr>
          <w:rFonts w:hint="eastAsia" w:ascii="宋体" w:hAnsi="宋体" w:cs="宋体"/>
          <w:color w:val="auto"/>
          <w:sz w:val="24"/>
          <w:highlight w:val="none"/>
        </w:rPr>
        <w:t>）</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交易电子交易平台最后一份加密电子响应文件为准。</w:t>
      </w:r>
      <w:r>
        <w:rPr>
          <w:rFonts w:hint="eastAsia" w:asciiTheme="minorEastAsia" w:hAnsiTheme="minorEastAsia" w:eastAsiaTheme="minorEastAsia" w:cstheme="minorEastAsia"/>
          <w:color w:val="auto"/>
          <w:spacing w:val="3"/>
          <w:sz w:val="24"/>
          <w:szCs w:val="24"/>
          <w:highlight w:val="none"/>
          <w:lang w:val="en-US" w:eastAsia="zh-CN"/>
        </w:rPr>
        <w:t>上传截止时间之后，供应商不得修改或撤回电子响应文件。</w:t>
      </w:r>
    </w:p>
    <w:p w14:paraId="7946DE3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4DC50EA5">
      <w:pPr>
        <w:rPr>
          <w:color w:val="auto"/>
          <w:spacing w:val="-1"/>
          <w:sz w:val="36"/>
          <w:szCs w:val="36"/>
          <w:highlight w:val="none"/>
          <w14:textOutline w14:w="2306" w14:cap="flat" w14:cmpd="sng">
            <w14:solidFill>
              <w14:srgbClr w14:val="000000"/>
            </w14:solidFill>
            <w14:prstDash w14:val="solid"/>
            <w14:miter w14:val="0"/>
          </w14:textOutline>
        </w:rPr>
      </w:pPr>
      <w:r>
        <w:rPr>
          <w:color w:val="auto"/>
          <w:spacing w:val="-1"/>
          <w:sz w:val="36"/>
          <w:szCs w:val="36"/>
          <w:highlight w:val="none"/>
          <w14:textOutline w14:w="2306" w14:cap="flat" w14:cmpd="sng">
            <w14:solidFill>
              <w14:srgbClr w14:val="000000"/>
            </w14:solidFill>
            <w14:prstDash w14:val="solid"/>
            <w14:miter w14:val="0"/>
          </w14:textOutline>
        </w:rPr>
        <w:br w:type="page"/>
      </w:r>
    </w:p>
    <w:p w14:paraId="1E55ACD1">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Theme="minorEastAsia" w:hAnsiTheme="minorEastAsia" w:eastAsiaTheme="minorEastAsia" w:cstheme="minorEastAsia"/>
          <w:b w:val="0"/>
          <w:snapToGrid w:val="0"/>
          <w:color w:val="auto"/>
          <w:spacing w:val="-1"/>
          <w:kern w:val="0"/>
          <w:sz w:val="48"/>
          <w:szCs w:val="48"/>
          <w:highlight w:val="none"/>
          <w:lang w:val="en-US" w:eastAsia="en-US" w:bidi="ar-SA"/>
          <w14:textOutline w14:w="2306" w14:cap="flat" w14:cmpd="sng">
            <w14:solidFill>
              <w14:srgbClr w14:val="000000"/>
            </w14:solidFill>
            <w14:prstDash w14:val="solid"/>
            <w14:miter w14:val="0"/>
          </w14:textOutline>
        </w:rPr>
      </w:pPr>
      <w:bookmarkStart w:id="37" w:name="_Toc23273"/>
      <w:r>
        <w:rPr>
          <w:rFonts w:hint="eastAsia" w:asciiTheme="minorEastAsia" w:hAnsiTheme="minorEastAsia" w:eastAsiaTheme="minorEastAsia" w:cstheme="minorEastAsia"/>
          <w:b w:val="0"/>
          <w:snapToGrid w:val="0"/>
          <w:color w:val="auto"/>
          <w:spacing w:val="-1"/>
          <w:kern w:val="0"/>
          <w:sz w:val="48"/>
          <w:szCs w:val="48"/>
          <w:highlight w:val="none"/>
          <w:lang w:val="en-US" w:eastAsia="en-US" w:bidi="ar-SA"/>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b w:val="0"/>
          <w:snapToGrid w:val="0"/>
          <w:color w:val="auto"/>
          <w:spacing w:val="-1"/>
          <w:kern w:val="0"/>
          <w:sz w:val="48"/>
          <w:szCs w:val="48"/>
          <w:highlight w:val="none"/>
          <w:lang w:val="en-US" w:eastAsia="zh-CN" w:bidi="ar-SA"/>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b w:val="0"/>
          <w:snapToGrid w:val="0"/>
          <w:color w:val="auto"/>
          <w:spacing w:val="-1"/>
          <w:kern w:val="0"/>
          <w:sz w:val="48"/>
          <w:szCs w:val="48"/>
          <w:highlight w:val="none"/>
          <w:lang w:val="en-US" w:eastAsia="en-US" w:bidi="ar-SA"/>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b w:val="0"/>
          <w:snapToGrid w:val="0"/>
          <w:color w:val="auto"/>
          <w:spacing w:val="-1"/>
          <w:kern w:val="0"/>
          <w:sz w:val="48"/>
          <w:szCs w:val="48"/>
          <w:highlight w:val="none"/>
          <w:lang w:val="en-US" w:eastAsia="zh-CN" w:bidi="ar-SA"/>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snapToGrid w:val="0"/>
          <w:color w:val="auto"/>
          <w:spacing w:val="-1"/>
          <w:kern w:val="0"/>
          <w:sz w:val="48"/>
          <w:szCs w:val="48"/>
          <w:highlight w:val="none"/>
          <w:lang w:val="en-US" w:eastAsia="en-US" w:bidi="ar-SA"/>
          <w14:textOutline w14:w="2306" w14:cap="flat" w14:cmpd="sng">
            <w14:solidFill>
              <w14:srgbClr w14:val="000000"/>
            </w14:solidFill>
            <w14:prstDash w14:val="solid"/>
            <w14:miter w14:val="0"/>
          </w14:textOutline>
        </w:rPr>
        <w:t>评</w:t>
      </w:r>
      <w:r>
        <w:rPr>
          <w:rFonts w:hint="eastAsia" w:asciiTheme="minorEastAsia" w:hAnsiTheme="minorEastAsia" w:eastAsiaTheme="minorEastAsia" w:cstheme="minorEastAsia"/>
          <w:b w:val="0"/>
          <w:snapToGrid w:val="0"/>
          <w:color w:val="auto"/>
          <w:spacing w:val="-1"/>
          <w:kern w:val="0"/>
          <w:sz w:val="48"/>
          <w:szCs w:val="48"/>
          <w:highlight w:val="none"/>
          <w:lang w:val="en-US" w:eastAsia="zh-CN" w:bidi="ar-SA"/>
          <w14:textOutline w14:w="2306" w14:cap="flat" w14:cmpd="sng">
            <w14:solidFill>
              <w14:srgbClr w14:val="000000"/>
            </w14:solidFill>
            <w14:prstDash w14:val="solid"/>
            <w14:miter w14:val="0"/>
          </w14:textOutline>
        </w:rPr>
        <w:t>审</w:t>
      </w:r>
      <w:r>
        <w:rPr>
          <w:rFonts w:hint="eastAsia" w:asciiTheme="minorEastAsia" w:hAnsiTheme="minorEastAsia" w:eastAsiaTheme="minorEastAsia" w:cstheme="minorEastAsia"/>
          <w:b w:val="0"/>
          <w:snapToGrid w:val="0"/>
          <w:color w:val="auto"/>
          <w:spacing w:val="-1"/>
          <w:kern w:val="0"/>
          <w:sz w:val="48"/>
          <w:szCs w:val="48"/>
          <w:highlight w:val="none"/>
          <w:lang w:val="en-US" w:eastAsia="en-US" w:bidi="ar-SA"/>
          <w14:textOutline w14:w="2306" w14:cap="flat" w14:cmpd="sng">
            <w14:solidFill>
              <w14:srgbClr w14:val="000000"/>
            </w14:solidFill>
            <w14:prstDash w14:val="solid"/>
            <w14:miter w14:val="0"/>
          </w14:textOutline>
        </w:rPr>
        <w:t>程序、评审方法和评审标准</w:t>
      </w:r>
      <w:bookmarkEnd w:id="37"/>
    </w:p>
    <w:p w14:paraId="72B825F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1C37C889">
      <w:pPr>
        <w:keepNext w:val="0"/>
        <w:keepLines w:val="0"/>
        <w:pageBreakBefore w:val="0"/>
        <w:widowControl/>
        <w:kinsoku/>
        <w:wordWrap w:val="0"/>
        <w:overflowPunct/>
        <w:topLinePunct w:val="0"/>
        <w:autoSpaceDE w:val="0"/>
        <w:autoSpaceDN w:val="0"/>
        <w:bidi w:val="0"/>
        <w:adjustRightInd w:val="0"/>
        <w:snapToGrid w:val="0"/>
        <w:spacing w:after="0" w:line="440" w:lineRule="exact"/>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一、编制、确认竞争性磋商文件</w:t>
      </w:r>
    </w:p>
    <w:p w14:paraId="63D42CF3">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采购人或采购代理机构根据采购项目特点和采购实际需求编制竞争性磋商文件，编制的竞争性磋商文件应由采购人审核并确认。</w:t>
      </w:r>
    </w:p>
    <w:p w14:paraId="1557E101">
      <w:pPr>
        <w:keepNext w:val="0"/>
        <w:keepLines w:val="0"/>
        <w:pageBreakBefore w:val="0"/>
        <w:widowControl/>
        <w:kinsoku/>
        <w:wordWrap w:val="0"/>
        <w:overflowPunct/>
        <w:topLinePunct w:val="0"/>
        <w:autoSpaceDE w:val="0"/>
        <w:autoSpaceDN w:val="0"/>
        <w:bidi w:val="0"/>
        <w:adjustRightInd w:val="0"/>
        <w:snapToGrid w:val="0"/>
        <w:spacing w:after="0" w:line="440" w:lineRule="exact"/>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二、发布竞争性磋商公告，邀请供应商参加磋商</w:t>
      </w:r>
    </w:p>
    <w:p w14:paraId="5130AF4C">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竞争性磋商文件经采购人书面确认后，将在指定媒体和全国公共资源交易平台（河南省·南阳邓州分平台）发布竞争性磋商公告。供应商按照公告和竞争性磋商文件要求制作并递交响应文件。</w:t>
      </w:r>
    </w:p>
    <w:p w14:paraId="03A7B3D8">
      <w:pPr>
        <w:keepNext w:val="0"/>
        <w:keepLines w:val="0"/>
        <w:pageBreakBefore w:val="0"/>
        <w:widowControl/>
        <w:kinsoku/>
        <w:wordWrap w:val="0"/>
        <w:overflowPunct/>
        <w:topLinePunct w:val="0"/>
        <w:autoSpaceDE w:val="0"/>
        <w:autoSpaceDN w:val="0"/>
        <w:bidi w:val="0"/>
        <w:adjustRightInd w:val="0"/>
        <w:snapToGrid w:val="0"/>
        <w:spacing w:after="0" w:line="440" w:lineRule="exact"/>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三、组建磋商小组</w:t>
      </w:r>
    </w:p>
    <w:p w14:paraId="16F54D5C">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根据《中华人民共和国政府采购法》《中华人民共和国政府采购法实施条例》《政府采购竞争性磋商采购方式管理暂行办法》《财政部关于竞争性磋商采购方式管理暂行办法有关问题的补充通知》的规定和采购项目的特点组建竞争性磋商小组，竞争性磋商小组由采购人代表1人和评审专家2人共3人组成，其中评审专家人数不得少于磋商小组成员总数的2/3。评审专家应当从政府采购评审专家库内相关专业的专家名单中随机抽取。技术复杂、专业性强的采购项目，评审专家中应当包含1名法律专家。</w:t>
      </w:r>
    </w:p>
    <w:p w14:paraId="74FF9222">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竞争性磋商小组负责对响应文件进行评审、质疑、评估、比较、评分，组织磋商和最后报价。</w:t>
      </w:r>
    </w:p>
    <w:p w14:paraId="606F0E06">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2EFF07F2">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E11226D">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评审活动结束，按照《河南省政府采购评审专家劳务报酬支付标准》的通知(豫财购〔2017〕9号)的规定，发放劳务报酬。</w:t>
      </w:r>
    </w:p>
    <w:p w14:paraId="2F167CD4">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134AF40E">
      <w:pPr>
        <w:keepNext w:val="0"/>
        <w:keepLines w:val="0"/>
        <w:pageBreakBefore w:val="0"/>
        <w:widowControl/>
        <w:kinsoku/>
        <w:wordWrap w:val="0"/>
        <w:overflowPunct/>
        <w:topLinePunct w:val="0"/>
        <w:autoSpaceDE w:val="0"/>
        <w:autoSpaceDN w:val="0"/>
        <w:bidi w:val="0"/>
        <w:adjustRightInd w:val="0"/>
        <w:snapToGrid w:val="0"/>
        <w:spacing w:after="0" w:line="440" w:lineRule="exact"/>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四、解密电子响应文件</w:t>
      </w:r>
    </w:p>
    <w:p w14:paraId="7D5F8C7A">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2F858573">
      <w:pPr>
        <w:keepNext w:val="0"/>
        <w:keepLines w:val="0"/>
        <w:pageBreakBefore w:val="0"/>
        <w:widowControl/>
        <w:kinsoku/>
        <w:wordWrap w:val="0"/>
        <w:overflowPunct/>
        <w:topLinePunct w:val="0"/>
        <w:autoSpaceDE w:val="0"/>
        <w:autoSpaceDN w:val="0"/>
        <w:bidi w:val="0"/>
        <w:adjustRightInd w:val="0"/>
        <w:snapToGrid w:val="0"/>
        <w:spacing w:after="0" w:line="440" w:lineRule="exact"/>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五、评审</w:t>
      </w:r>
    </w:p>
    <w:p w14:paraId="0E17AB85">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磋商小组对供应商提交的响应文件进行评审。主要对响应文件的有效性、完整性和响应程度进行审查，具体包括：</w:t>
      </w:r>
    </w:p>
    <w:p w14:paraId="3925705F">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92" w:firstLineChars="200"/>
        <w:jc w:val="both"/>
        <w:textAlignment w:val="baseline"/>
        <w:rPr>
          <w:rFonts w:hint="default"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1.资格性审查</w:t>
      </w:r>
    </w:p>
    <w:p w14:paraId="14A0E52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资格性审查</w:t>
      </w:r>
    </w:p>
    <w:tbl>
      <w:tblPr>
        <w:tblStyle w:val="30"/>
        <w:tblW w:w="95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224"/>
        <w:gridCol w:w="5167"/>
        <w:gridCol w:w="2373"/>
      </w:tblGrid>
      <w:tr w14:paraId="58EAD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33" w:type="dxa"/>
            <w:vAlign w:val="center"/>
          </w:tcPr>
          <w:p w14:paraId="6749C528">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1537" w14:cap="flat" w14:cmpd="sng">
                  <w14:solidFill>
                    <w14:srgbClr w14:val="000000"/>
                  </w14:solidFill>
                  <w14:prstDash w14:val="solid"/>
                  <w14:miter w14:val="0"/>
                </w14:textOutline>
              </w:rPr>
              <w:t>序号</w:t>
            </w:r>
          </w:p>
        </w:tc>
        <w:tc>
          <w:tcPr>
            <w:tcW w:w="1224" w:type="dxa"/>
            <w:vAlign w:val="center"/>
          </w:tcPr>
          <w:p w14:paraId="5C2972A5">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1537" w14:cap="flat" w14:cmpd="sng">
                  <w14:solidFill>
                    <w14:srgbClr w14:val="000000"/>
                  </w14:solidFill>
                  <w14:prstDash w14:val="solid"/>
                  <w14:miter w14:val="0"/>
                </w14:textOutline>
              </w:rPr>
              <w:t>审查因素</w:t>
            </w:r>
          </w:p>
        </w:tc>
        <w:tc>
          <w:tcPr>
            <w:tcW w:w="5167" w:type="dxa"/>
            <w:vAlign w:val="center"/>
          </w:tcPr>
          <w:p w14:paraId="42D11EDF">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1537" w14:cap="flat" w14:cmpd="sng">
                  <w14:solidFill>
                    <w14:srgbClr w14:val="000000"/>
                  </w14:solidFill>
                  <w14:prstDash w14:val="solid"/>
                  <w14:miter w14:val="0"/>
                </w14:textOutline>
              </w:rPr>
              <w:t>审查内容</w:t>
            </w:r>
          </w:p>
        </w:tc>
        <w:tc>
          <w:tcPr>
            <w:tcW w:w="2373" w:type="dxa"/>
            <w:vAlign w:val="center"/>
          </w:tcPr>
          <w:p w14:paraId="41FB1B36">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6F9A4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3" w:type="dxa"/>
            <w:vAlign w:val="center"/>
          </w:tcPr>
          <w:p w14:paraId="1E1F1244">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24" w:type="dxa"/>
            <w:vAlign w:val="center"/>
          </w:tcPr>
          <w:p w14:paraId="54EE0BBD">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满足第一章《</w:t>
            </w:r>
            <w:r>
              <w:rPr>
                <w:rFonts w:hint="eastAsia" w:ascii="宋体" w:hAnsi="宋体" w:eastAsia="宋体" w:cs="宋体"/>
                <w:color w:val="auto"/>
                <w:spacing w:val="-2"/>
                <w:sz w:val="24"/>
                <w:szCs w:val="24"/>
                <w:highlight w:val="none"/>
                <w:lang w:val="en-US" w:eastAsia="zh-CN"/>
              </w:rPr>
              <w:t>竞争性磋商公告</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pacing w:val="-2"/>
                <w:sz w:val="24"/>
                <w:szCs w:val="24"/>
                <w:highlight w:val="none"/>
                <w:lang w:val="en-US" w:eastAsia="zh-CN"/>
              </w:rPr>
              <w:t>具备的</w:t>
            </w:r>
            <w:r>
              <w:rPr>
                <w:rFonts w:hint="eastAsia" w:ascii="宋体" w:hAnsi="宋体" w:eastAsia="宋体" w:cs="宋体"/>
                <w:color w:val="auto"/>
                <w:spacing w:val="-2"/>
                <w:sz w:val="24"/>
                <w:szCs w:val="24"/>
                <w:highlight w:val="none"/>
              </w:rPr>
              <w:t>资格要求</w:t>
            </w:r>
          </w:p>
        </w:tc>
        <w:tc>
          <w:tcPr>
            <w:tcW w:w="5167" w:type="dxa"/>
            <w:vAlign w:val="center"/>
          </w:tcPr>
          <w:p w14:paraId="5DCDAB57">
            <w:pPr>
              <w:widowControl/>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供应商须具有独立法人资格，具有有效的营业执照；</w:t>
            </w:r>
          </w:p>
          <w:p w14:paraId="3BCB87EF">
            <w:pPr>
              <w:widowControl/>
              <w:spacing w:line="440" w:lineRule="exact"/>
              <w:jc w:val="lef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rPr>
              <w:t>投标供应商具有良好的商业信誉和健全的财务会计制度（提供2023年度的财务审计报告或会计制度，新成立企业可提供其他证明如近一个月的企业财务报表等）；</w:t>
            </w:r>
          </w:p>
          <w:p w14:paraId="1DF6830C">
            <w:pPr>
              <w:widowControl/>
              <w:spacing w:line="440" w:lineRule="exact"/>
              <w:jc w:val="lef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rPr>
              <w:t>具有履行合同所必需的设备和专业技术能力（提供承诺或其他证明材料）；</w:t>
            </w:r>
          </w:p>
          <w:p w14:paraId="22DBBC94">
            <w:pPr>
              <w:widowControl/>
              <w:spacing w:line="440" w:lineRule="exact"/>
              <w:jc w:val="lef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rPr>
              <w:t>有依法缴纳税收和社会保障资金的良好记录（提供近任意一个月缴纳税收和社保缴纳证明，依法不需要纳税的企业可提供相关证明文件）；</w:t>
            </w:r>
          </w:p>
          <w:p w14:paraId="14D5CC6A">
            <w:pPr>
              <w:widowControl/>
              <w:spacing w:line="440" w:lineRule="exact"/>
              <w:jc w:val="lef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rPr>
              <w:t>参加政府采购活动前三年内，在经营活动中没有重大违法记录（提供承诺书，格式自拟）。</w:t>
            </w:r>
          </w:p>
          <w:p w14:paraId="5DADAF76">
            <w:pPr>
              <w:widowControl/>
              <w:spacing w:line="44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6、供应商提供的用于防治有害生物的药品具有有效的</w:t>
            </w:r>
            <w:r>
              <w:rPr>
                <w:rFonts w:hint="eastAsia" w:ascii="宋体" w:hAnsi="宋体" w:cs="宋体"/>
                <w:color w:val="auto"/>
                <w:sz w:val="24"/>
                <w:highlight w:val="none"/>
              </w:rPr>
              <w:t>生产许可证或生产批准文件、农药登记证、产品标准证</w:t>
            </w:r>
            <w:r>
              <w:rPr>
                <w:rFonts w:hint="eastAsia" w:ascii="宋体" w:hAnsi="宋体" w:cs="宋体"/>
                <w:color w:val="auto"/>
                <w:sz w:val="24"/>
                <w:highlight w:val="none"/>
                <w:lang w:eastAsia="zh-CN"/>
              </w:rPr>
              <w:t>。</w:t>
            </w:r>
          </w:p>
          <w:p w14:paraId="33C5B50A">
            <w:pPr>
              <w:widowControl/>
              <w:spacing w:line="440" w:lineRule="exact"/>
              <w:jc w:val="lef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cs="宋体"/>
                <w:color w:val="auto"/>
                <w:sz w:val="24"/>
                <w:highlight w:val="none"/>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6141D89">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8、</w:t>
            </w:r>
            <w:r>
              <w:rPr>
                <w:rFonts w:hint="eastAsia" w:ascii="宋体" w:hAnsi="宋体" w:cs="宋体"/>
                <w:color w:val="auto"/>
                <w:sz w:val="24"/>
                <w:highlight w:val="none"/>
              </w:rPr>
              <w:t>供应商需做出“无行贿行为承诺”，如遇投诉举报，经查证其承诺不实，后果自负。（提供承诺书，格式自拟，包含企业、法定代表人）；</w:t>
            </w:r>
          </w:p>
        </w:tc>
        <w:tc>
          <w:tcPr>
            <w:tcW w:w="2373" w:type="dxa"/>
            <w:vAlign w:val="center"/>
          </w:tcPr>
          <w:p w14:paraId="3DF7AF7C">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供应商为企业（包括合伙企业、个体工商户）的，应提供有效的营业执照；</w:t>
            </w:r>
          </w:p>
          <w:p w14:paraId="1213AC02">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供应商为事业单位的，应提供有效的事业单位法人证书；</w:t>
            </w:r>
          </w:p>
          <w:p w14:paraId="3559D8B6">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供应商是非企业机构的，应提供有效的执业许可证、登记证书等证明文件；</w:t>
            </w:r>
          </w:p>
          <w:p w14:paraId="19DFBE0B">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供应商是自然人的，应提供有效的自然人身份证明。</w:t>
            </w:r>
          </w:p>
          <w:p w14:paraId="01B914A5">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34AD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33" w:type="dxa"/>
            <w:vAlign w:val="center"/>
          </w:tcPr>
          <w:p w14:paraId="10076C76">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val="en-US" w:eastAsia="zh-CN"/>
              </w:rPr>
              <w:t>2</w:t>
            </w:r>
          </w:p>
        </w:tc>
        <w:tc>
          <w:tcPr>
            <w:tcW w:w="1224" w:type="dxa"/>
            <w:vAlign w:val="center"/>
          </w:tcPr>
          <w:p w14:paraId="7529325E">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中小企业政策</w:t>
            </w:r>
          </w:p>
        </w:tc>
        <w:tc>
          <w:tcPr>
            <w:tcW w:w="5167" w:type="dxa"/>
            <w:vAlign w:val="center"/>
          </w:tcPr>
          <w:p w14:paraId="68F47EB0">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具体要求见第一章《</w:t>
            </w:r>
            <w:r>
              <w:rPr>
                <w:rFonts w:hint="eastAsia" w:ascii="宋体" w:hAnsi="宋体" w:eastAsia="宋体" w:cs="宋体"/>
                <w:color w:val="auto"/>
                <w:spacing w:val="-2"/>
                <w:sz w:val="24"/>
                <w:szCs w:val="24"/>
                <w:highlight w:val="none"/>
                <w:lang w:eastAsia="zh-CN"/>
              </w:rPr>
              <w:t>竞争性磋商公告</w:t>
            </w:r>
            <w:r>
              <w:rPr>
                <w:rFonts w:hint="eastAsia" w:ascii="宋体" w:hAnsi="宋体" w:eastAsia="宋体" w:cs="宋体"/>
                <w:color w:val="auto"/>
                <w:spacing w:val="-2"/>
                <w:sz w:val="24"/>
                <w:szCs w:val="24"/>
                <w:highlight w:val="none"/>
              </w:rPr>
              <w:t>》</w:t>
            </w:r>
          </w:p>
        </w:tc>
        <w:tc>
          <w:tcPr>
            <w:tcW w:w="2373" w:type="dxa"/>
            <w:vAlign w:val="center"/>
          </w:tcPr>
          <w:p w14:paraId="157C0AA5">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4"/>
                <w:szCs w:val="24"/>
                <w:highlight w:val="none"/>
              </w:rPr>
            </w:pPr>
          </w:p>
        </w:tc>
      </w:tr>
      <w:tr w14:paraId="797F9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5" w:hRule="atLeast"/>
        </w:trPr>
        <w:tc>
          <w:tcPr>
            <w:tcW w:w="833" w:type="dxa"/>
            <w:vAlign w:val="center"/>
          </w:tcPr>
          <w:p w14:paraId="6590C776">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right="0" w:firstLine="256" w:firstLineChars="1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p>
        </w:tc>
        <w:tc>
          <w:tcPr>
            <w:tcW w:w="1224" w:type="dxa"/>
            <w:vAlign w:val="center"/>
          </w:tcPr>
          <w:p w14:paraId="6D0486A9">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firstLine="23"/>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中小企业证明文</w:t>
            </w:r>
            <w:r>
              <w:rPr>
                <w:rFonts w:hint="eastAsia" w:ascii="宋体" w:hAnsi="宋体" w:eastAsia="宋体" w:cs="宋体"/>
                <w:color w:val="auto"/>
                <w:sz w:val="24"/>
                <w:szCs w:val="24"/>
                <w:highlight w:val="none"/>
              </w:rPr>
              <w:t>件</w:t>
            </w:r>
          </w:p>
        </w:tc>
        <w:tc>
          <w:tcPr>
            <w:tcW w:w="5167" w:type="dxa"/>
            <w:vAlign w:val="center"/>
          </w:tcPr>
          <w:p w14:paraId="5EEE3FA8">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firstLine="1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当本项目（包）涉及预留份额专门面向中小企业采购，此时</w:t>
            </w:r>
            <w:r>
              <w:rPr>
                <w:rFonts w:hint="eastAsia" w:ascii="宋体" w:hAnsi="宋体" w:eastAsia="宋体" w:cs="宋体"/>
                <w:color w:val="auto"/>
                <w:spacing w:val="1"/>
                <w:sz w:val="24"/>
                <w:szCs w:val="24"/>
                <w:highlight w:val="none"/>
                <w:lang w:val="en-US" w:eastAsia="zh-CN"/>
              </w:rPr>
              <w:t>须在</w:t>
            </w:r>
            <w:r>
              <w:rPr>
                <w:rFonts w:hint="eastAsia" w:ascii="宋体" w:hAnsi="宋体" w:eastAsia="宋体" w:cs="宋体"/>
                <w:color w:val="auto"/>
                <w:spacing w:val="1"/>
                <w:sz w:val="24"/>
                <w:szCs w:val="24"/>
                <w:highlight w:val="none"/>
              </w:rPr>
              <w:t>《资格证明文件》中</w:t>
            </w:r>
            <w:r>
              <w:rPr>
                <w:rFonts w:hint="eastAsia" w:ascii="宋体" w:hAnsi="宋体" w:eastAsia="宋体" w:cs="宋体"/>
                <w:color w:val="auto"/>
                <w:spacing w:val="15"/>
                <w:sz w:val="24"/>
                <w:szCs w:val="24"/>
                <w:highlight w:val="none"/>
                <w:lang w:val="en-US" w:eastAsia="zh-CN"/>
              </w:rPr>
              <w:t>提</w:t>
            </w:r>
            <w:r>
              <w:rPr>
                <w:rFonts w:hint="eastAsia" w:ascii="宋体" w:hAnsi="宋体" w:eastAsia="宋体" w:cs="宋体"/>
                <w:color w:val="auto"/>
                <w:spacing w:val="-5"/>
                <w:sz w:val="24"/>
                <w:szCs w:val="24"/>
                <w:highlight w:val="none"/>
              </w:rPr>
              <w:t>供。</w:t>
            </w:r>
          </w:p>
          <w:p w14:paraId="732D30B9">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right="0" w:firstLine="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2"/>
                <w:sz w:val="24"/>
                <w:szCs w:val="24"/>
                <w:highlight w:val="none"/>
                <w:lang w:val="en-US" w:eastAsia="zh-CN"/>
              </w:rPr>
              <w:t>供应商</w:t>
            </w:r>
            <w:r>
              <w:rPr>
                <w:rFonts w:hint="eastAsia" w:ascii="宋体" w:hAnsi="宋体" w:eastAsia="宋体" w:cs="宋体"/>
                <w:color w:val="auto"/>
                <w:spacing w:val="-5"/>
                <w:sz w:val="24"/>
                <w:szCs w:val="24"/>
                <w:highlight w:val="none"/>
              </w:rPr>
              <w:t>单独</w:t>
            </w:r>
            <w:r>
              <w:rPr>
                <w:rFonts w:hint="eastAsia" w:ascii="宋体" w:hAnsi="宋体" w:eastAsia="宋体" w:cs="宋体"/>
                <w:color w:val="auto"/>
                <w:spacing w:val="-5"/>
                <w:sz w:val="24"/>
                <w:szCs w:val="24"/>
                <w:highlight w:val="none"/>
                <w:lang w:val="en-US" w:eastAsia="zh-CN"/>
              </w:rPr>
              <w:t>参与</w:t>
            </w:r>
            <w:r>
              <w:rPr>
                <w:rFonts w:hint="eastAsia" w:ascii="宋体" w:hAnsi="宋体" w:eastAsia="宋体" w:cs="宋体"/>
                <w:color w:val="auto"/>
                <w:spacing w:val="-5"/>
                <w:sz w:val="24"/>
                <w:szCs w:val="24"/>
                <w:highlight w:val="none"/>
              </w:rPr>
              <w:t>的，应</w:t>
            </w:r>
            <w:r>
              <w:rPr>
                <w:rFonts w:hint="eastAsia" w:ascii="宋体" w:hAnsi="宋体" w:eastAsia="宋体" w:cs="宋体"/>
                <w:color w:val="auto"/>
                <w:spacing w:val="-5"/>
                <w:sz w:val="24"/>
                <w:szCs w:val="24"/>
                <w:highlight w:val="none"/>
                <w:lang w:val="en-US" w:eastAsia="zh-CN"/>
              </w:rPr>
              <w:t>提</w:t>
            </w:r>
            <w:r>
              <w:rPr>
                <w:rFonts w:hint="eastAsia" w:ascii="宋体" w:hAnsi="宋体" w:eastAsia="宋体" w:cs="宋体"/>
                <w:color w:val="auto"/>
                <w:spacing w:val="-5"/>
                <w:sz w:val="24"/>
                <w:szCs w:val="24"/>
                <w:highlight w:val="none"/>
              </w:rPr>
              <w:t>供《中小企业声</w:t>
            </w:r>
            <w:r>
              <w:rPr>
                <w:rFonts w:hint="eastAsia" w:ascii="宋体" w:hAnsi="宋体" w:eastAsia="宋体" w:cs="宋体"/>
                <w:color w:val="auto"/>
                <w:spacing w:val="1"/>
                <w:sz w:val="24"/>
                <w:szCs w:val="24"/>
                <w:highlight w:val="none"/>
              </w:rPr>
              <w:t>明函》或《残疾人福利性单位声明函》或由省级以上监狱管理局、戒毒管理局（含新疆生产建设兵团）出具的属于监狱企业的证明</w:t>
            </w:r>
            <w:r>
              <w:rPr>
                <w:rFonts w:hint="eastAsia" w:ascii="宋体" w:hAnsi="宋体" w:eastAsia="宋体" w:cs="宋体"/>
                <w:color w:val="auto"/>
                <w:spacing w:val="-11"/>
                <w:sz w:val="24"/>
                <w:szCs w:val="24"/>
                <w:highlight w:val="none"/>
              </w:rPr>
              <w:t>文件。</w:t>
            </w:r>
          </w:p>
          <w:p w14:paraId="15B7ABB4">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right="0" w:firstLine="9"/>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2、如</w:t>
            </w:r>
            <w:r>
              <w:rPr>
                <w:rFonts w:hint="eastAsia" w:ascii="宋体" w:hAnsi="宋体" w:eastAsia="宋体" w:cs="宋体"/>
                <w:color w:val="auto"/>
                <w:spacing w:val="-6"/>
                <w:sz w:val="24"/>
                <w:szCs w:val="24"/>
                <w:highlight w:val="none"/>
                <w:lang w:eastAsia="zh-CN"/>
              </w:rPr>
              <w:t>采购</w:t>
            </w:r>
            <w:r>
              <w:rPr>
                <w:rFonts w:hint="eastAsia" w:ascii="宋体" w:hAnsi="宋体" w:eastAsia="宋体" w:cs="宋体"/>
                <w:color w:val="auto"/>
                <w:spacing w:val="-6"/>
                <w:sz w:val="24"/>
                <w:szCs w:val="24"/>
                <w:highlight w:val="none"/>
              </w:rPr>
              <w:t>文件要求以联合体形式参加</w:t>
            </w:r>
            <w:r>
              <w:rPr>
                <w:rFonts w:hint="eastAsia" w:ascii="宋体" w:hAnsi="宋体" w:eastAsia="宋体" w:cs="宋体"/>
                <w:color w:val="auto"/>
                <w:spacing w:val="1"/>
                <w:sz w:val="24"/>
                <w:szCs w:val="24"/>
                <w:highlight w:val="none"/>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snapToGrid w:val="0"/>
                <w:color w:val="auto"/>
                <w:spacing w:val="-2"/>
                <w:kern w:val="0"/>
                <w:sz w:val="24"/>
                <w:szCs w:val="24"/>
                <w:highlight w:val="none"/>
                <w:lang w:val="en-US" w:eastAsia="zh-CN" w:bidi="ar-SA"/>
              </w:rPr>
              <w:t>竞争性磋商</w:t>
            </w:r>
            <w:r>
              <w:rPr>
                <w:rFonts w:hint="eastAsia" w:ascii="宋体" w:hAnsi="宋体" w:eastAsia="宋体" w:cs="宋体"/>
                <w:color w:val="auto"/>
                <w:spacing w:val="1"/>
                <w:sz w:val="24"/>
                <w:szCs w:val="24"/>
                <w:highlight w:val="none"/>
              </w:rPr>
              <w:t>文件</w:t>
            </w:r>
            <w:r>
              <w:rPr>
                <w:rFonts w:hint="eastAsia" w:ascii="宋体" w:hAnsi="宋体" w:eastAsia="宋体" w:cs="宋体"/>
                <w:color w:val="auto"/>
                <w:spacing w:val="-4"/>
                <w:sz w:val="24"/>
                <w:szCs w:val="24"/>
                <w:highlight w:val="none"/>
              </w:rPr>
              <w:t>关于预留份额的要求。</w:t>
            </w:r>
          </w:p>
        </w:tc>
        <w:tc>
          <w:tcPr>
            <w:tcW w:w="2373" w:type="dxa"/>
            <w:vAlign w:val="center"/>
          </w:tcPr>
          <w:p w14:paraId="276CFB02">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hanging="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格式见《</w:t>
            </w:r>
            <w:r>
              <w:rPr>
                <w:rFonts w:hint="eastAsia" w:ascii="宋体" w:hAnsi="宋体" w:eastAsia="宋体" w:cs="宋体"/>
                <w:color w:val="auto"/>
                <w:spacing w:val="-6"/>
                <w:sz w:val="24"/>
                <w:szCs w:val="24"/>
                <w:highlight w:val="none"/>
                <w:lang w:val="en-US" w:eastAsia="zh-CN"/>
              </w:rPr>
              <w:t>响应</w:t>
            </w:r>
            <w:r>
              <w:rPr>
                <w:rFonts w:hint="eastAsia" w:ascii="宋体" w:hAnsi="宋体" w:eastAsia="宋体" w:cs="宋体"/>
                <w:color w:val="auto"/>
                <w:spacing w:val="-4"/>
                <w:sz w:val="24"/>
                <w:szCs w:val="24"/>
                <w:highlight w:val="none"/>
              </w:rPr>
              <w:t>文件格式》</w:t>
            </w:r>
          </w:p>
        </w:tc>
      </w:tr>
      <w:tr w14:paraId="12A1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33" w:type="dxa"/>
            <w:vAlign w:val="center"/>
          </w:tcPr>
          <w:p w14:paraId="3C15EB32">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24" w:type="dxa"/>
            <w:vAlign w:val="center"/>
          </w:tcPr>
          <w:p w14:paraId="7393A4C1">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本项目的</w:t>
            </w:r>
            <w:r>
              <w:rPr>
                <w:rFonts w:hint="eastAsia" w:ascii="宋体" w:hAnsi="宋体" w:eastAsia="宋体" w:cs="宋体"/>
                <w:color w:val="auto"/>
                <w:spacing w:val="10"/>
                <w:sz w:val="24"/>
                <w:szCs w:val="24"/>
                <w:highlight w:val="none"/>
                <w:lang w:val="en-US" w:eastAsia="zh-CN"/>
              </w:rPr>
              <w:t>其他</w:t>
            </w:r>
            <w:r>
              <w:rPr>
                <w:rFonts w:hint="eastAsia" w:ascii="宋体" w:hAnsi="宋体" w:eastAsia="宋体" w:cs="宋体"/>
                <w:color w:val="auto"/>
                <w:spacing w:val="10"/>
                <w:sz w:val="24"/>
                <w:szCs w:val="24"/>
                <w:highlight w:val="none"/>
              </w:rPr>
              <w:t>资</w:t>
            </w:r>
            <w:r>
              <w:rPr>
                <w:rFonts w:hint="eastAsia" w:ascii="宋体" w:hAnsi="宋体" w:eastAsia="宋体" w:cs="宋体"/>
                <w:color w:val="auto"/>
                <w:spacing w:val="-3"/>
                <w:sz w:val="24"/>
                <w:szCs w:val="24"/>
                <w:highlight w:val="none"/>
              </w:rPr>
              <w:t>格要求</w:t>
            </w:r>
          </w:p>
        </w:tc>
        <w:tc>
          <w:tcPr>
            <w:tcW w:w="5167" w:type="dxa"/>
            <w:vAlign w:val="center"/>
          </w:tcPr>
          <w:p w14:paraId="28B7F666">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如有，见第一章《</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公告》</w:t>
            </w:r>
          </w:p>
        </w:tc>
        <w:tc>
          <w:tcPr>
            <w:tcW w:w="2373" w:type="dxa"/>
            <w:vAlign w:val="center"/>
          </w:tcPr>
          <w:p w14:paraId="3651EEBC">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4"/>
                <w:szCs w:val="24"/>
                <w:highlight w:val="none"/>
              </w:rPr>
            </w:pPr>
          </w:p>
        </w:tc>
      </w:tr>
    </w:tbl>
    <w:p w14:paraId="27E270B0">
      <w:pPr>
        <w:keepNext w:val="0"/>
        <w:keepLines w:val="0"/>
        <w:pageBreakBefore w:val="0"/>
        <w:widowControl w:val="0"/>
        <w:kinsoku/>
        <w:wordWrap w:val="0"/>
        <w:overflowPunct/>
        <w:topLinePunct w:val="0"/>
        <w:autoSpaceDE w:val="0"/>
        <w:autoSpaceDN w:val="0"/>
        <w:bidi w:val="0"/>
        <w:adjustRightInd w:val="0"/>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按照邓州市财政局《关于在政府采购活动中实行供应商资格信用承诺制的通知》邓财〔2024〕36号的要求，对于邓州市政府采购项目，全部实施供应商资格信用承诺，供应商在响应时，按照规定提供“邓州市政府采购供应商信用承诺函”（详见附件）的，无需再提交序号1中1-5项证明材料”。供应商在成交后，应将上述由信用承诺书替代的证明材料提交采购人或采购代理机构，证明材料将随公告一并公示。”</w:t>
      </w:r>
    </w:p>
    <w:p w14:paraId="2CEE04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w:t>
      </w:r>
    </w:p>
    <w:p w14:paraId="66FC935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符合性审查</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637"/>
        <w:gridCol w:w="6033"/>
      </w:tblGrid>
      <w:tr w14:paraId="664D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Align w:val="center"/>
          </w:tcPr>
          <w:p w14:paraId="6704B86E">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序号</w:t>
            </w:r>
          </w:p>
        </w:tc>
        <w:tc>
          <w:tcPr>
            <w:tcW w:w="2728" w:type="dxa"/>
            <w:vAlign w:val="center"/>
          </w:tcPr>
          <w:p w14:paraId="7931C781">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评审因素</w:t>
            </w:r>
          </w:p>
        </w:tc>
        <w:tc>
          <w:tcPr>
            <w:tcW w:w="6254" w:type="dxa"/>
            <w:vAlign w:val="center"/>
          </w:tcPr>
          <w:p w14:paraId="788F2BD2">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评审标准</w:t>
            </w:r>
          </w:p>
        </w:tc>
      </w:tr>
      <w:tr w14:paraId="3806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Align w:val="center"/>
          </w:tcPr>
          <w:p w14:paraId="2B383BE6">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zh-CN" w:bidi="ar-SA"/>
              </w:rPr>
            </w:pPr>
            <w:r>
              <w:rPr>
                <w:rFonts w:hint="eastAsia" w:ascii="宋体" w:hAnsi="宋体" w:eastAsia="宋体" w:cs="宋体"/>
                <w:snapToGrid w:val="0"/>
                <w:color w:val="auto"/>
                <w:spacing w:val="3"/>
                <w:kern w:val="0"/>
                <w:sz w:val="24"/>
                <w:szCs w:val="24"/>
                <w:highlight w:val="none"/>
                <w:vertAlign w:val="baseline"/>
                <w:lang w:val="en-US" w:eastAsia="zh-CN" w:bidi="ar-SA"/>
              </w:rPr>
              <w:t>1</w:t>
            </w:r>
          </w:p>
        </w:tc>
        <w:tc>
          <w:tcPr>
            <w:tcW w:w="2728" w:type="dxa"/>
            <w:vAlign w:val="center"/>
          </w:tcPr>
          <w:p w14:paraId="7FF403C3">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投标人名称</w:t>
            </w:r>
          </w:p>
        </w:tc>
        <w:tc>
          <w:tcPr>
            <w:tcW w:w="6254" w:type="dxa"/>
            <w:vAlign w:val="center"/>
          </w:tcPr>
          <w:p w14:paraId="3AA3F157">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与营业执照一致</w:t>
            </w:r>
          </w:p>
        </w:tc>
      </w:tr>
      <w:tr w14:paraId="3B28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Align w:val="center"/>
          </w:tcPr>
          <w:p w14:paraId="01E828B1">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zh-CN" w:bidi="ar-SA"/>
              </w:rPr>
            </w:pPr>
            <w:r>
              <w:rPr>
                <w:rFonts w:hint="eastAsia" w:ascii="宋体" w:hAnsi="宋体" w:eastAsia="宋体" w:cs="宋体"/>
                <w:snapToGrid w:val="0"/>
                <w:color w:val="auto"/>
                <w:spacing w:val="3"/>
                <w:kern w:val="0"/>
                <w:sz w:val="24"/>
                <w:szCs w:val="24"/>
                <w:highlight w:val="none"/>
                <w:vertAlign w:val="baseline"/>
                <w:lang w:val="en-US" w:eastAsia="zh-CN" w:bidi="ar-SA"/>
              </w:rPr>
              <w:t>2</w:t>
            </w:r>
          </w:p>
        </w:tc>
        <w:tc>
          <w:tcPr>
            <w:tcW w:w="2728" w:type="dxa"/>
            <w:vAlign w:val="center"/>
          </w:tcPr>
          <w:p w14:paraId="69E0238B">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投标函签字盖章</w:t>
            </w:r>
          </w:p>
        </w:tc>
        <w:tc>
          <w:tcPr>
            <w:tcW w:w="6254" w:type="dxa"/>
            <w:vAlign w:val="center"/>
          </w:tcPr>
          <w:p w14:paraId="29D26F81">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符合竞争性磋商文件格式要求</w:t>
            </w:r>
          </w:p>
        </w:tc>
      </w:tr>
      <w:tr w14:paraId="1260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Align w:val="center"/>
          </w:tcPr>
          <w:p w14:paraId="4DFF3626">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zh-CN" w:bidi="ar-SA"/>
              </w:rPr>
            </w:pPr>
            <w:r>
              <w:rPr>
                <w:rFonts w:hint="eastAsia" w:ascii="宋体" w:hAnsi="宋体" w:eastAsia="宋体" w:cs="宋体"/>
                <w:snapToGrid w:val="0"/>
                <w:color w:val="auto"/>
                <w:spacing w:val="3"/>
                <w:kern w:val="0"/>
                <w:sz w:val="24"/>
                <w:szCs w:val="24"/>
                <w:highlight w:val="none"/>
                <w:vertAlign w:val="baseline"/>
                <w:lang w:val="en-US" w:eastAsia="zh-CN" w:bidi="ar-SA"/>
              </w:rPr>
              <w:t>3</w:t>
            </w:r>
          </w:p>
        </w:tc>
        <w:tc>
          <w:tcPr>
            <w:tcW w:w="2728" w:type="dxa"/>
            <w:vAlign w:val="center"/>
          </w:tcPr>
          <w:p w14:paraId="47090274">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响应文件格式</w:t>
            </w:r>
          </w:p>
        </w:tc>
        <w:tc>
          <w:tcPr>
            <w:tcW w:w="6254" w:type="dxa"/>
            <w:vAlign w:val="center"/>
          </w:tcPr>
          <w:p w14:paraId="3A3A90D0">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符合竞争性磋商文件格式要求</w:t>
            </w:r>
          </w:p>
        </w:tc>
      </w:tr>
      <w:tr w14:paraId="31CD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Align w:val="center"/>
          </w:tcPr>
          <w:p w14:paraId="635760F6">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zh-CN" w:bidi="ar-SA"/>
              </w:rPr>
            </w:pPr>
            <w:r>
              <w:rPr>
                <w:rFonts w:hint="eastAsia" w:ascii="宋体" w:hAnsi="宋体" w:eastAsia="宋体" w:cs="宋体"/>
                <w:snapToGrid w:val="0"/>
                <w:color w:val="auto"/>
                <w:spacing w:val="3"/>
                <w:kern w:val="0"/>
                <w:sz w:val="24"/>
                <w:szCs w:val="24"/>
                <w:highlight w:val="none"/>
                <w:vertAlign w:val="baseline"/>
                <w:lang w:val="en-US" w:eastAsia="zh-CN" w:bidi="ar-SA"/>
              </w:rPr>
              <w:t>4</w:t>
            </w:r>
          </w:p>
        </w:tc>
        <w:tc>
          <w:tcPr>
            <w:tcW w:w="2728" w:type="dxa"/>
            <w:vAlign w:val="center"/>
          </w:tcPr>
          <w:p w14:paraId="2FF9E99B">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default" w:ascii="宋体" w:hAnsi="宋体" w:eastAsia="宋体" w:cs="宋体"/>
                <w:snapToGrid w:val="0"/>
                <w:color w:val="auto"/>
                <w:spacing w:val="3"/>
                <w:kern w:val="0"/>
                <w:sz w:val="24"/>
                <w:szCs w:val="24"/>
                <w:highlight w:val="none"/>
                <w:vertAlign w:val="baseline"/>
                <w:lang w:val="en-US" w:eastAsia="zh-CN" w:bidi="ar-SA"/>
              </w:rPr>
            </w:pPr>
            <w:r>
              <w:rPr>
                <w:rFonts w:hint="eastAsia" w:ascii="宋体" w:hAnsi="宋体" w:eastAsia="宋体" w:cs="宋体"/>
                <w:snapToGrid w:val="0"/>
                <w:color w:val="auto"/>
                <w:spacing w:val="3"/>
                <w:kern w:val="0"/>
                <w:sz w:val="24"/>
                <w:szCs w:val="24"/>
                <w:highlight w:val="none"/>
                <w:vertAlign w:val="baseline"/>
                <w:lang w:val="en-US" w:eastAsia="zh-CN" w:bidi="ar-SA"/>
              </w:rPr>
              <w:t>服务期限</w:t>
            </w:r>
          </w:p>
        </w:tc>
        <w:tc>
          <w:tcPr>
            <w:tcW w:w="6254" w:type="dxa"/>
            <w:vAlign w:val="center"/>
          </w:tcPr>
          <w:p w14:paraId="7CE6D4C4">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符合竞争性磋商文件的要求</w:t>
            </w:r>
          </w:p>
        </w:tc>
      </w:tr>
      <w:tr w14:paraId="606C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Align w:val="center"/>
          </w:tcPr>
          <w:p w14:paraId="3E19B57F">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zh-CN" w:bidi="ar-SA"/>
              </w:rPr>
            </w:pPr>
            <w:r>
              <w:rPr>
                <w:rFonts w:hint="eastAsia" w:ascii="宋体" w:hAnsi="宋体" w:eastAsia="宋体" w:cs="宋体"/>
                <w:snapToGrid w:val="0"/>
                <w:color w:val="auto"/>
                <w:spacing w:val="3"/>
                <w:kern w:val="0"/>
                <w:sz w:val="24"/>
                <w:szCs w:val="24"/>
                <w:highlight w:val="none"/>
                <w:vertAlign w:val="baseline"/>
                <w:lang w:val="en-US" w:eastAsia="zh-CN" w:bidi="ar-SA"/>
              </w:rPr>
              <w:t>5</w:t>
            </w:r>
          </w:p>
        </w:tc>
        <w:tc>
          <w:tcPr>
            <w:tcW w:w="2728" w:type="dxa"/>
            <w:vAlign w:val="center"/>
          </w:tcPr>
          <w:p w14:paraId="51117038">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质量要求</w:t>
            </w:r>
          </w:p>
        </w:tc>
        <w:tc>
          <w:tcPr>
            <w:tcW w:w="6254" w:type="dxa"/>
            <w:vAlign w:val="center"/>
          </w:tcPr>
          <w:p w14:paraId="7E7952D9">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符合竞争性磋商文件的要求</w:t>
            </w:r>
          </w:p>
        </w:tc>
      </w:tr>
      <w:tr w14:paraId="55A8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Align w:val="center"/>
          </w:tcPr>
          <w:p w14:paraId="37711292">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zh-CN" w:bidi="ar-SA"/>
              </w:rPr>
            </w:pPr>
            <w:r>
              <w:rPr>
                <w:rFonts w:hint="eastAsia" w:ascii="宋体" w:hAnsi="宋体" w:eastAsia="宋体" w:cs="宋体"/>
                <w:snapToGrid w:val="0"/>
                <w:color w:val="auto"/>
                <w:spacing w:val="3"/>
                <w:kern w:val="0"/>
                <w:sz w:val="24"/>
                <w:szCs w:val="24"/>
                <w:highlight w:val="none"/>
                <w:vertAlign w:val="baseline"/>
                <w:lang w:val="en-US" w:eastAsia="zh-CN" w:bidi="ar-SA"/>
              </w:rPr>
              <w:t>6</w:t>
            </w:r>
          </w:p>
        </w:tc>
        <w:tc>
          <w:tcPr>
            <w:tcW w:w="2728" w:type="dxa"/>
            <w:vAlign w:val="center"/>
          </w:tcPr>
          <w:p w14:paraId="1F34E775">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竞争性磋商有效期</w:t>
            </w:r>
          </w:p>
        </w:tc>
        <w:tc>
          <w:tcPr>
            <w:tcW w:w="6254" w:type="dxa"/>
            <w:vAlign w:val="center"/>
          </w:tcPr>
          <w:p w14:paraId="7DF2CE4B">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自磋商截止日期起60日历天</w:t>
            </w:r>
          </w:p>
        </w:tc>
      </w:tr>
      <w:tr w14:paraId="63C2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Align w:val="center"/>
          </w:tcPr>
          <w:p w14:paraId="4AECD5ED">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zh-CN" w:bidi="ar-SA"/>
              </w:rPr>
            </w:pPr>
            <w:r>
              <w:rPr>
                <w:rFonts w:hint="eastAsia" w:ascii="宋体" w:hAnsi="宋体" w:eastAsia="宋体" w:cs="宋体"/>
                <w:snapToGrid w:val="0"/>
                <w:color w:val="auto"/>
                <w:spacing w:val="3"/>
                <w:kern w:val="0"/>
                <w:sz w:val="24"/>
                <w:szCs w:val="24"/>
                <w:highlight w:val="none"/>
                <w:vertAlign w:val="baseline"/>
                <w:lang w:val="en-US" w:eastAsia="zh-CN" w:bidi="ar-SA"/>
              </w:rPr>
              <w:t>7</w:t>
            </w:r>
          </w:p>
        </w:tc>
        <w:tc>
          <w:tcPr>
            <w:tcW w:w="2728" w:type="dxa"/>
            <w:vAlign w:val="center"/>
          </w:tcPr>
          <w:p w14:paraId="42E139B4">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磋商报价</w:t>
            </w:r>
          </w:p>
        </w:tc>
        <w:tc>
          <w:tcPr>
            <w:tcW w:w="6254" w:type="dxa"/>
            <w:vAlign w:val="center"/>
          </w:tcPr>
          <w:p w14:paraId="46D55380">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磋商报价在规定的报价要求范围之内，未超出最高限价和第一轮报价</w:t>
            </w:r>
          </w:p>
        </w:tc>
      </w:tr>
      <w:tr w14:paraId="59B9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Align w:val="center"/>
          </w:tcPr>
          <w:p w14:paraId="3C49EB58">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default" w:ascii="宋体" w:hAnsi="宋体" w:eastAsia="宋体" w:cs="宋体"/>
                <w:snapToGrid w:val="0"/>
                <w:color w:val="auto"/>
                <w:spacing w:val="3"/>
                <w:kern w:val="0"/>
                <w:sz w:val="24"/>
                <w:szCs w:val="24"/>
                <w:highlight w:val="none"/>
                <w:vertAlign w:val="baseline"/>
                <w:lang w:val="en-US" w:eastAsia="zh-CN" w:bidi="ar-SA"/>
              </w:rPr>
            </w:pPr>
            <w:r>
              <w:rPr>
                <w:rFonts w:hint="eastAsia" w:ascii="宋体" w:hAnsi="宋体" w:eastAsia="宋体" w:cs="宋体"/>
                <w:snapToGrid w:val="0"/>
                <w:color w:val="auto"/>
                <w:spacing w:val="3"/>
                <w:kern w:val="0"/>
                <w:sz w:val="24"/>
                <w:szCs w:val="24"/>
                <w:highlight w:val="none"/>
                <w:vertAlign w:val="baseline"/>
                <w:lang w:val="en-US" w:eastAsia="zh-CN" w:bidi="ar-SA"/>
              </w:rPr>
              <w:t>8</w:t>
            </w:r>
          </w:p>
        </w:tc>
        <w:tc>
          <w:tcPr>
            <w:tcW w:w="2728" w:type="dxa"/>
            <w:vAlign w:val="center"/>
          </w:tcPr>
          <w:p w14:paraId="09602D22">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技术标准和要求</w:t>
            </w:r>
          </w:p>
        </w:tc>
        <w:tc>
          <w:tcPr>
            <w:tcW w:w="6254" w:type="dxa"/>
            <w:vAlign w:val="center"/>
          </w:tcPr>
          <w:p w14:paraId="6DF43E66">
            <w:pPr>
              <w:keepNext w:val="0"/>
              <w:keepLines w:val="0"/>
              <w:pageBreakBefore w:val="0"/>
              <w:widowControl w:val="0"/>
              <w:kinsoku/>
              <w:wordWrap w:val="0"/>
              <w:overflowPunct/>
              <w:topLinePunct w:val="0"/>
              <w:autoSpaceDE w:val="0"/>
              <w:autoSpaceDN w:val="0"/>
              <w:bidi w:val="0"/>
              <w:adjustRightInd w:val="0"/>
              <w:spacing w:after="0" w:line="440" w:lineRule="exact"/>
              <w:jc w:val="center"/>
              <w:rPr>
                <w:rFonts w:hint="eastAsia" w:ascii="宋体" w:hAnsi="宋体" w:eastAsia="宋体" w:cs="宋体"/>
                <w:snapToGrid w:val="0"/>
                <w:color w:val="auto"/>
                <w:spacing w:val="3"/>
                <w:kern w:val="0"/>
                <w:sz w:val="24"/>
                <w:szCs w:val="24"/>
                <w:highlight w:val="none"/>
                <w:vertAlign w:val="baseline"/>
                <w:lang w:val="en-US" w:eastAsia="en-US" w:bidi="ar-SA"/>
              </w:rPr>
            </w:pPr>
            <w:r>
              <w:rPr>
                <w:rFonts w:hint="eastAsia" w:ascii="宋体" w:hAnsi="宋体" w:eastAsia="宋体" w:cs="宋体"/>
                <w:snapToGrid w:val="0"/>
                <w:color w:val="auto"/>
                <w:spacing w:val="3"/>
                <w:kern w:val="0"/>
                <w:sz w:val="24"/>
                <w:szCs w:val="24"/>
                <w:highlight w:val="none"/>
                <w:vertAlign w:val="baseline"/>
                <w:lang w:val="en-US" w:eastAsia="en-US" w:bidi="ar-SA"/>
              </w:rPr>
              <w:t>符合竞争性磋商文件的要求</w:t>
            </w:r>
          </w:p>
        </w:tc>
      </w:tr>
    </w:tbl>
    <w:p w14:paraId="4BF199EB">
      <w:pPr>
        <w:keepNext w:val="0"/>
        <w:keepLines w:val="0"/>
        <w:pageBreakBefore w:val="0"/>
        <w:kinsoku/>
        <w:wordWrap w:val="0"/>
        <w:overflowPunct/>
        <w:topLinePunct w:val="0"/>
        <w:autoSpaceDE w:val="0"/>
        <w:autoSpaceDN w:val="0"/>
        <w:bidi w:val="0"/>
        <w:adjustRightInd w:val="0"/>
        <w:spacing w:after="0" w:line="440" w:lineRule="exact"/>
        <w:ind w:firstLine="492" w:firstLineChars="200"/>
        <w:jc w:val="both"/>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磋商小组依据竞争性磋商文件的规定检查供应商响应文件制作内容的完整度和符合性是否符合竞争性磋商文件的各项要求。</w:t>
      </w:r>
    </w:p>
    <w:p w14:paraId="6C306561">
      <w:pPr>
        <w:keepNext w:val="0"/>
        <w:keepLines w:val="0"/>
        <w:pageBreakBefore w:val="0"/>
        <w:kinsoku/>
        <w:wordWrap w:val="0"/>
        <w:overflowPunct/>
        <w:topLinePunct w:val="0"/>
        <w:autoSpaceDE w:val="0"/>
        <w:autoSpaceDN w:val="0"/>
        <w:bidi w:val="0"/>
        <w:adjustRightInd w:val="0"/>
        <w:spacing w:after="0" w:line="440" w:lineRule="exact"/>
        <w:ind w:firstLine="492" w:firstLineChars="200"/>
        <w:jc w:val="both"/>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只有通过以上审查的供应商的响应文件，方可进入商务和技术评估，综合比较与评价。</w:t>
      </w:r>
    </w:p>
    <w:p w14:paraId="076429F9">
      <w:pPr>
        <w:keepNext w:val="0"/>
        <w:keepLines w:val="0"/>
        <w:pageBreakBefore w:val="0"/>
        <w:kinsoku/>
        <w:wordWrap w:val="0"/>
        <w:overflowPunct/>
        <w:topLinePunct w:val="0"/>
        <w:autoSpaceDE w:val="0"/>
        <w:autoSpaceDN w:val="0"/>
        <w:bidi w:val="0"/>
        <w:adjustRightInd w:val="0"/>
        <w:spacing w:after="0" w:line="440" w:lineRule="exact"/>
        <w:ind w:firstLine="492" w:firstLineChars="200"/>
        <w:jc w:val="both"/>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3.技术（服务）审查。磋商小组依据竞争性磋商文件的规定审查各供应商所响应设备的技术指标、技术性能、产品技术说明或项目方案、人员配备等是否符合最低要求。</w:t>
      </w:r>
    </w:p>
    <w:p w14:paraId="1D225D64">
      <w:pPr>
        <w:keepNext w:val="0"/>
        <w:keepLines w:val="0"/>
        <w:pageBreakBefore w:val="0"/>
        <w:kinsoku/>
        <w:wordWrap w:val="0"/>
        <w:overflowPunct/>
        <w:topLinePunct w:val="0"/>
        <w:autoSpaceDE w:val="0"/>
        <w:autoSpaceDN w:val="0"/>
        <w:bidi w:val="0"/>
        <w:adjustRightInd w:val="0"/>
        <w:spacing w:after="0" w:line="440" w:lineRule="exact"/>
        <w:ind w:firstLine="492" w:firstLineChars="200"/>
        <w:jc w:val="both"/>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4.综合比较与评价。对各供应商对磋商文件的符合性和技术响应程度、项目方案或技术响应程度、综合实力、售后服务以及报价等因素，进行综合评比。</w:t>
      </w:r>
    </w:p>
    <w:p w14:paraId="7BDD1422">
      <w:pPr>
        <w:keepNext w:val="0"/>
        <w:keepLines w:val="0"/>
        <w:pageBreakBefore w:val="0"/>
        <w:kinsoku/>
        <w:wordWrap w:val="0"/>
        <w:overflowPunct/>
        <w:topLinePunct w:val="0"/>
        <w:autoSpaceDE w:val="0"/>
        <w:autoSpaceDN w:val="0"/>
        <w:bidi w:val="0"/>
        <w:adjustRightInd w:val="0"/>
        <w:spacing w:after="0" w:line="440" w:lineRule="exact"/>
        <w:ind w:firstLine="492" w:firstLineChars="200"/>
        <w:jc w:val="both"/>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5.未实质性响应磋商文件的响应文件按无效响应处理，磋商小组应当告知提交响应文件的供应商。</w:t>
      </w:r>
    </w:p>
    <w:p w14:paraId="76F5591A">
      <w:pPr>
        <w:keepNext w:val="0"/>
        <w:keepLines w:val="0"/>
        <w:pageBreakBefore w:val="0"/>
        <w:kinsoku/>
        <w:wordWrap w:val="0"/>
        <w:overflowPunct/>
        <w:topLinePunct w:val="0"/>
        <w:autoSpaceDE w:val="0"/>
        <w:autoSpaceDN w:val="0"/>
        <w:bidi w:val="0"/>
        <w:adjustRightInd w:val="0"/>
        <w:spacing w:after="0" w:line="440" w:lineRule="exact"/>
        <w:ind w:firstLine="494" w:firstLineChars="200"/>
        <w:jc w:val="both"/>
        <w:rPr>
          <w:rFonts w:hint="eastAsia" w:ascii="宋体" w:hAnsi="宋体" w:eastAsia="宋体" w:cs="宋体"/>
          <w:b/>
          <w:bCs/>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响应文件无效的情形：</w:t>
      </w:r>
    </w:p>
    <w:p w14:paraId="41905700">
      <w:pPr>
        <w:keepNext w:val="0"/>
        <w:keepLines w:val="0"/>
        <w:pageBreakBefore w:val="0"/>
        <w:kinsoku/>
        <w:wordWrap w:val="0"/>
        <w:overflowPunct/>
        <w:topLinePunct w:val="0"/>
        <w:autoSpaceDE w:val="0"/>
        <w:autoSpaceDN w:val="0"/>
        <w:bidi w:val="0"/>
        <w:adjustRightInd w:val="0"/>
        <w:spacing w:after="0" w:line="440" w:lineRule="exact"/>
        <w:ind w:firstLine="494" w:firstLineChars="200"/>
        <w:jc w:val="both"/>
        <w:rPr>
          <w:rFonts w:hint="eastAsia" w:ascii="宋体" w:hAnsi="宋体" w:eastAsia="宋体" w:cs="宋体"/>
          <w:b/>
          <w:bCs/>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 xml:space="preserve">5.1 </w:t>
      </w:r>
      <w:r>
        <w:rPr>
          <w:rFonts w:hint="eastAsia" w:ascii="宋体" w:hAnsi="宋体" w:eastAsia="宋体" w:cs="宋体"/>
          <w:b/>
          <w:bCs/>
          <w:snapToGrid w:val="0"/>
          <w:color w:val="auto"/>
          <w:spacing w:val="3"/>
          <w:kern w:val="0"/>
          <w:sz w:val="24"/>
          <w:szCs w:val="24"/>
          <w:highlight w:val="none"/>
          <w:lang w:val="en-US" w:eastAsia="en-US" w:bidi="ar-SA"/>
        </w:rPr>
        <w:t>在资格性和符合性审查时，如发现下列情形之一的，响应文件将被视为无效：</w:t>
      </w:r>
    </w:p>
    <w:p w14:paraId="699ED5BD">
      <w:pPr>
        <w:keepNext w:val="0"/>
        <w:keepLines w:val="0"/>
        <w:pageBreakBefore w:val="0"/>
        <w:kinsoku/>
        <w:wordWrap w:val="0"/>
        <w:overflowPunct/>
        <w:topLinePunct w:val="0"/>
        <w:autoSpaceDE w:val="0"/>
        <w:autoSpaceDN w:val="0"/>
        <w:bidi w:val="0"/>
        <w:adjustRightInd w:val="0"/>
        <w:spacing w:after="0" w:line="440" w:lineRule="exact"/>
        <w:ind w:firstLine="494" w:firstLineChars="200"/>
        <w:jc w:val="both"/>
        <w:rPr>
          <w:rFonts w:hint="eastAsia" w:ascii="宋体" w:hAnsi="宋体" w:eastAsia="宋体" w:cs="宋体"/>
          <w:b/>
          <w:bCs/>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 xml:space="preserve">5.1.1 </w:t>
      </w:r>
      <w:r>
        <w:rPr>
          <w:rFonts w:hint="eastAsia" w:ascii="宋体" w:hAnsi="宋体" w:eastAsia="宋体" w:cs="宋体"/>
          <w:b/>
          <w:bCs/>
          <w:snapToGrid w:val="0"/>
          <w:color w:val="auto"/>
          <w:spacing w:val="3"/>
          <w:kern w:val="0"/>
          <w:sz w:val="24"/>
          <w:szCs w:val="24"/>
          <w:highlight w:val="none"/>
          <w:lang w:val="en-US" w:eastAsia="en-US" w:bidi="ar-SA"/>
        </w:rPr>
        <w:t>资格证明文件不全的，或者不符合竞争性磋商文件标明的资格要求的；</w:t>
      </w:r>
    </w:p>
    <w:p w14:paraId="33D1E0E3">
      <w:pPr>
        <w:keepNext w:val="0"/>
        <w:keepLines w:val="0"/>
        <w:pageBreakBefore w:val="0"/>
        <w:kinsoku/>
        <w:wordWrap w:val="0"/>
        <w:overflowPunct/>
        <w:topLinePunct w:val="0"/>
        <w:autoSpaceDE w:val="0"/>
        <w:autoSpaceDN w:val="0"/>
        <w:bidi w:val="0"/>
        <w:adjustRightInd w:val="0"/>
        <w:spacing w:after="0" w:line="440" w:lineRule="exact"/>
        <w:ind w:firstLine="494" w:firstLineChars="200"/>
        <w:jc w:val="both"/>
        <w:rPr>
          <w:rFonts w:hint="eastAsia" w:ascii="宋体" w:hAnsi="宋体" w:eastAsia="宋体" w:cs="宋体"/>
          <w:b/>
          <w:bCs/>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 xml:space="preserve">5.1.2 </w:t>
      </w:r>
      <w:r>
        <w:rPr>
          <w:rFonts w:hint="eastAsia" w:ascii="宋体" w:hAnsi="宋体" w:eastAsia="宋体" w:cs="宋体"/>
          <w:b/>
          <w:bCs/>
          <w:snapToGrid w:val="0"/>
          <w:color w:val="auto"/>
          <w:spacing w:val="3"/>
          <w:kern w:val="0"/>
          <w:sz w:val="24"/>
          <w:szCs w:val="24"/>
          <w:highlight w:val="none"/>
          <w:lang w:val="en-US" w:eastAsia="en-US" w:bidi="ar-SA"/>
        </w:rPr>
        <w:t>响应文件无法定代表人或负责人签字,或未提供法定代表人或负责人授权委托书、</w:t>
      </w:r>
      <w:r>
        <w:rPr>
          <w:rFonts w:hint="eastAsia" w:ascii="宋体" w:hAnsi="宋体" w:eastAsia="宋体" w:cs="宋体"/>
          <w:b/>
          <w:bCs/>
          <w:snapToGrid w:val="0"/>
          <w:color w:val="auto"/>
          <w:spacing w:val="3"/>
          <w:kern w:val="0"/>
          <w:sz w:val="24"/>
          <w:szCs w:val="24"/>
          <w:highlight w:val="none"/>
          <w:lang w:val="en-US" w:eastAsia="zh-CN" w:bidi="ar-SA"/>
        </w:rPr>
        <w:t>承诺</w:t>
      </w:r>
      <w:r>
        <w:rPr>
          <w:rFonts w:hint="eastAsia" w:ascii="宋体" w:hAnsi="宋体" w:eastAsia="宋体" w:cs="宋体"/>
          <w:b/>
          <w:bCs/>
          <w:snapToGrid w:val="0"/>
          <w:color w:val="auto"/>
          <w:spacing w:val="3"/>
          <w:kern w:val="0"/>
          <w:sz w:val="24"/>
          <w:szCs w:val="24"/>
          <w:highlight w:val="none"/>
          <w:lang w:val="en-US" w:eastAsia="en-US" w:bidi="ar-SA"/>
        </w:rPr>
        <w:t>书或者填写项目不齐全的；</w:t>
      </w:r>
    </w:p>
    <w:p w14:paraId="0CC26D20">
      <w:pPr>
        <w:keepNext w:val="0"/>
        <w:keepLines w:val="0"/>
        <w:pageBreakBefore w:val="0"/>
        <w:kinsoku/>
        <w:wordWrap w:val="0"/>
        <w:overflowPunct/>
        <w:topLinePunct w:val="0"/>
        <w:autoSpaceDE w:val="0"/>
        <w:autoSpaceDN w:val="0"/>
        <w:bidi w:val="0"/>
        <w:adjustRightInd w:val="0"/>
        <w:spacing w:after="0" w:line="440" w:lineRule="exact"/>
        <w:ind w:firstLine="494" w:firstLineChars="200"/>
        <w:jc w:val="both"/>
        <w:rPr>
          <w:rFonts w:hint="eastAsia" w:ascii="宋体" w:hAnsi="宋体" w:eastAsia="宋体" w:cs="宋体"/>
          <w:b/>
          <w:bCs/>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 xml:space="preserve">5.1.3 </w:t>
      </w:r>
      <w:r>
        <w:rPr>
          <w:rFonts w:hint="eastAsia" w:ascii="宋体" w:hAnsi="宋体" w:eastAsia="宋体" w:cs="宋体"/>
          <w:b/>
          <w:bCs/>
          <w:snapToGrid w:val="0"/>
          <w:color w:val="auto"/>
          <w:spacing w:val="3"/>
          <w:kern w:val="0"/>
          <w:sz w:val="24"/>
          <w:szCs w:val="24"/>
          <w:highlight w:val="none"/>
          <w:lang w:val="en-US" w:eastAsia="en-US" w:bidi="ar-SA"/>
        </w:rPr>
        <w:t>授权代表人未能出具身份证明或与法定代表人或负责人授权委托人身份不符的；</w:t>
      </w:r>
    </w:p>
    <w:p w14:paraId="329FE88D">
      <w:pPr>
        <w:keepNext w:val="0"/>
        <w:keepLines w:val="0"/>
        <w:pageBreakBefore w:val="0"/>
        <w:kinsoku/>
        <w:wordWrap w:val="0"/>
        <w:overflowPunct/>
        <w:topLinePunct w:val="0"/>
        <w:autoSpaceDE w:val="0"/>
        <w:autoSpaceDN w:val="0"/>
        <w:bidi w:val="0"/>
        <w:adjustRightInd w:val="0"/>
        <w:spacing w:after="0" w:line="440" w:lineRule="exact"/>
        <w:ind w:firstLine="494" w:firstLineChars="200"/>
        <w:jc w:val="both"/>
        <w:rPr>
          <w:rFonts w:hint="eastAsia" w:ascii="宋体" w:hAnsi="宋体" w:eastAsia="宋体" w:cs="宋体"/>
          <w:b/>
          <w:bCs/>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 xml:space="preserve">5.1.4 </w:t>
      </w:r>
      <w:r>
        <w:rPr>
          <w:rFonts w:hint="eastAsia" w:ascii="宋体" w:hAnsi="宋体" w:eastAsia="宋体" w:cs="宋体"/>
          <w:b/>
          <w:bCs/>
          <w:snapToGrid w:val="0"/>
          <w:color w:val="auto"/>
          <w:spacing w:val="3"/>
          <w:kern w:val="0"/>
          <w:sz w:val="24"/>
          <w:szCs w:val="24"/>
          <w:highlight w:val="none"/>
          <w:lang w:val="en-US" w:eastAsia="en-US" w:bidi="ar-SA"/>
        </w:rPr>
        <w:t>电子响应文件未使用</w:t>
      </w:r>
      <w:r>
        <w:rPr>
          <w:rFonts w:hint="eastAsia" w:ascii="宋体" w:hAnsi="宋体" w:eastAsia="宋体" w:cs="宋体"/>
          <w:b/>
          <w:bCs/>
          <w:snapToGrid w:val="0"/>
          <w:color w:val="auto"/>
          <w:spacing w:val="3"/>
          <w:kern w:val="0"/>
          <w:sz w:val="24"/>
          <w:szCs w:val="24"/>
          <w:highlight w:val="none"/>
          <w:lang w:val="en-US" w:eastAsia="zh-CN" w:bidi="ar-SA"/>
        </w:rPr>
        <w:t>CA</w:t>
      </w:r>
      <w:r>
        <w:rPr>
          <w:rFonts w:hint="eastAsia" w:ascii="宋体" w:hAnsi="宋体" w:eastAsia="宋体" w:cs="宋体"/>
          <w:b/>
          <w:bCs/>
          <w:snapToGrid w:val="0"/>
          <w:color w:val="auto"/>
          <w:spacing w:val="3"/>
          <w:kern w:val="0"/>
          <w:sz w:val="24"/>
          <w:szCs w:val="24"/>
          <w:highlight w:val="none"/>
          <w:lang w:val="en-US" w:eastAsia="en-US" w:bidi="ar-SA"/>
        </w:rPr>
        <w:t>认证并加密的；</w:t>
      </w:r>
    </w:p>
    <w:p w14:paraId="629CB3D4">
      <w:pPr>
        <w:keepNext w:val="0"/>
        <w:keepLines w:val="0"/>
        <w:pageBreakBefore w:val="0"/>
        <w:kinsoku/>
        <w:wordWrap w:val="0"/>
        <w:overflowPunct/>
        <w:topLinePunct w:val="0"/>
        <w:autoSpaceDE w:val="0"/>
        <w:autoSpaceDN w:val="0"/>
        <w:bidi w:val="0"/>
        <w:adjustRightInd w:val="0"/>
        <w:spacing w:after="0" w:line="440" w:lineRule="exact"/>
        <w:ind w:firstLine="494" w:firstLineChars="200"/>
        <w:jc w:val="both"/>
        <w:rPr>
          <w:rFonts w:hint="default" w:ascii="宋体" w:hAnsi="宋体" w:eastAsia="宋体" w:cs="宋体"/>
          <w:b/>
          <w:bCs/>
          <w:snapToGrid w:val="0"/>
          <w:color w:val="auto"/>
          <w:spacing w:val="3"/>
          <w:kern w:val="0"/>
          <w:sz w:val="24"/>
          <w:szCs w:val="24"/>
          <w:highlight w:val="none"/>
          <w:lang w:val="en-US" w:eastAsia="zh-CN" w:bidi="ar-SA"/>
        </w:rPr>
      </w:pPr>
      <w:r>
        <w:rPr>
          <w:rFonts w:hint="eastAsia" w:ascii="宋体" w:hAnsi="宋体" w:eastAsia="宋体" w:cs="宋体"/>
          <w:b/>
          <w:bCs/>
          <w:snapToGrid w:val="0"/>
          <w:color w:val="auto"/>
          <w:spacing w:val="3"/>
          <w:kern w:val="0"/>
          <w:sz w:val="24"/>
          <w:szCs w:val="24"/>
          <w:highlight w:val="none"/>
          <w:lang w:val="en-US" w:eastAsia="zh-CN" w:bidi="ar-SA"/>
        </w:rPr>
        <w:t>5.1.5 其他不符合磋商文件实质性要求的。</w:t>
      </w:r>
    </w:p>
    <w:p w14:paraId="716BE6FC">
      <w:pPr>
        <w:keepNext w:val="0"/>
        <w:keepLines w:val="0"/>
        <w:pageBreakBefore w:val="0"/>
        <w:kinsoku/>
        <w:wordWrap w:val="0"/>
        <w:overflowPunct/>
        <w:topLinePunct w:val="0"/>
        <w:autoSpaceDE w:val="0"/>
        <w:autoSpaceDN w:val="0"/>
        <w:bidi w:val="0"/>
        <w:adjustRightInd w:val="0"/>
        <w:spacing w:after="0" w:line="440" w:lineRule="exact"/>
        <w:ind w:firstLine="494" w:firstLineChars="200"/>
        <w:jc w:val="both"/>
        <w:rPr>
          <w:rFonts w:hint="eastAsia" w:ascii="宋体" w:hAnsi="宋体" w:eastAsia="宋体" w:cs="宋体"/>
          <w:b/>
          <w:bCs/>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 xml:space="preserve">5.2 </w:t>
      </w:r>
      <w:r>
        <w:rPr>
          <w:rFonts w:hint="eastAsia" w:ascii="宋体" w:hAnsi="宋体" w:eastAsia="宋体" w:cs="宋体"/>
          <w:b/>
          <w:bCs/>
          <w:snapToGrid w:val="0"/>
          <w:color w:val="auto"/>
          <w:spacing w:val="3"/>
          <w:kern w:val="0"/>
          <w:sz w:val="24"/>
          <w:szCs w:val="24"/>
          <w:highlight w:val="none"/>
          <w:lang w:val="en-US" w:eastAsia="en-US" w:bidi="ar-SA"/>
        </w:rPr>
        <w:t>在报价评审时，如发现下列情形之一的，响应文件将被视为无效：</w:t>
      </w:r>
    </w:p>
    <w:p w14:paraId="5D44AC8D">
      <w:pPr>
        <w:keepNext w:val="0"/>
        <w:keepLines w:val="0"/>
        <w:pageBreakBefore w:val="0"/>
        <w:kinsoku/>
        <w:wordWrap w:val="0"/>
        <w:overflowPunct/>
        <w:topLinePunct w:val="0"/>
        <w:autoSpaceDE w:val="0"/>
        <w:autoSpaceDN w:val="0"/>
        <w:bidi w:val="0"/>
        <w:adjustRightInd w:val="0"/>
        <w:spacing w:after="0" w:line="440" w:lineRule="exact"/>
        <w:ind w:firstLine="494" w:firstLineChars="200"/>
        <w:jc w:val="both"/>
        <w:rPr>
          <w:rFonts w:hint="eastAsia" w:ascii="宋体" w:hAnsi="宋体" w:eastAsia="宋体" w:cs="宋体"/>
          <w:b/>
          <w:bCs/>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 xml:space="preserve">5.2.1 </w:t>
      </w:r>
      <w:r>
        <w:rPr>
          <w:rFonts w:hint="eastAsia" w:ascii="宋体" w:hAnsi="宋体" w:eastAsia="宋体" w:cs="宋体"/>
          <w:b/>
          <w:bCs/>
          <w:snapToGrid w:val="0"/>
          <w:color w:val="auto"/>
          <w:spacing w:val="3"/>
          <w:kern w:val="0"/>
          <w:sz w:val="24"/>
          <w:szCs w:val="24"/>
          <w:highlight w:val="none"/>
          <w:lang w:val="en-US" w:eastAsia="en-US" w:bidi="ar-SA"/>
        </w:rPr>
        <w:t>未采用人民币报价的；</w:t>
      </w:r>
    </w:p>
    <w:p w14:paraId="3D77B695">
      <w:pPr>
        <w:keepNext w:val="0"/>
        <w:keepLines w:val="0"/>
        <w:pageBreakBefore w:val="0"/>
        <w:kinsoku/>
        <w:wordWrap w:val="0"/>
        <w:overflowPunct/>
        <w:topLinePunct w:val="0"/>
        <w:autoSpaceDE w:val="0"/>
        <w:autoSpaceDN w:val="0"/>
        <w:bidi w:val="0"/>
        <w:adjustRightInd w:val="0"/>
        <w:spacing w:after="0" w:line="440" w:lineRule="exact"/>
        <w:ind w:firstLine="494" w:firstLineChars="200"/>
        <w:jc w:val="both"/>
        <w:rPr>
          <w:rFonts w:hint="eastAsia" w:ascii="宋体" w:hAnsi="宋体" w:eastAsia="宋体" w:cs="宋体"/>
          <w:b/>
          <w:bCs/>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 xml:space="preserve">5.2.2 </w:t>
      </w:r>
      <w:r>
        <w:rPr>
          <w:rFonts w:hint="eastAsia" w:ascii="宋体" w:hAnsi="宋体" w:eastAsia="宋体" w:cs="宋体"/>
          <w:b/>
          <w:bCs/>
          <w:snapToGrid w:val="0"/>
          <w:color w:val="auto"/>
          <w:spacing w:val="3"/>
          <w:kern w:val="0"/>
          <w:sz w:val="24"/>
          <w:szCs w:val="24"/>
          <w:highlight w:val="none"/>
          <w:lang w:val="en-US" w:eastAsia="en-US" w:bidi="ar-SA"/>
        </w:rPr>
        <w:t>报价具有选择性；</w:t>
      </w:r>
    </w:p>
    <w:p w14:paraId="2DCDC437">
      <w:pPr>
        <w:keepNext w:val="0"/>
        <w:keepLines w:val="0"/>
        <w:pageBreakBefore w:val="0"/>
        <w:kinsoku/>
        <w:wordWrap w:val="0"/>
        <w:overflowPunct/>
        <w:topLinePunct w:val="0"/>
        <w:autoSpaceDE w:val="0"/>
        <w:autoSpaceDN w:val="0"/>
        <w:bidi w:val="0"/>
        <w:adjustRightInd w:val="0"/>
        <w:spacing w:after="0" w:line="440" w:lineRule="exact"/>
        <w:ind w:firstLine="494" w:firstLineChars="200"/>
        <w:jc w:val="both"/>
        <w:rPr>
          <w:rFonts w:hint="eastAsia" w:ascii="宋体" w:hAnsi="宋体" w:eastAsia="宋体" w:cs="宋体"/>
          <w:b/>
          <w:bCs/>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 xml:space="preserve">5.2.3 </w:t>
      </w:r>
      <w:r>
        <w:rPr>
          <w:rFonts w:hint="eastAsia" w:ascii="宋体" w:hAnsi="宋体" w:eastAsia="宋体" w:cs="宋体"/>
          <w:b/>
          <w:bCs/>
          <w:snapToGrid w:val="0"/>
          <w:color w:val="auto"/>
          <w:spacing w:val="3"/>
          <w:kern w:val="0"/>
          <w:sz w:val="24"/>
          <w:szCs w:val="24"/>
          <w:highlight w:val="none"/>
          <w:lang w:val="en-US" w:eastAsia="en-US" w:bidi="ar-SA"/>
        </w:rPr>
        <w:t>未进行最后报价或最后报价高于采购人预算的</w:t>
      </w:r>
      <w:r>
        <w:rPr>
          <w:rFonts w:hint="eastAsia" w:ascii="宋体" w:hAnsi="宋体" w:eastAsia="宋体" w:cs="宋体"/>
          <w:b/>
          <w:bCs/>
          <w:snapToGrid w:val="0"/>
          <w:color w:val="auto"/>
          <w:spacing w:val="3"/>
          <w:kern w:val="0"/>
          <w:sz w:val="24"/>
          <w:szCs w:val="24"/>
          <w:highlight w:val="none"/>
          <w:lang w:val="en-US" w:eastAsia="zh-CN" w:bidi="ar-SA"/>
        </w:rPr>
        <w:t>。</w:t>
      </w:r>
    </w:p>
    <w:p w14:paraId="26450937">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6.磋商、响应文件有关事项的澄清、说明或者更正和最后报价</w:t>
      </w:r>
    </w:p>
    <w:p w14:paraId="7002A7A2">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 磋商小组所有成员将集中与单一供应商分别进行磋商，并给予所有参加磋商的供应商平等的磋商机会。</w:t>
      </w:r>
    </w:p>
    <w:p w14:paraId="01BFFF9B">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 在磋商过程中，磋商小组可以根据磋商文件和磋商情况实质性变动采购需求中的技术、服务要求以及合同草案条款，但不得变动磋商文件中的其他内容。实质性变动的内容，须经采购人代表确认。</w:t>
      </w:r>
    </w:p>
    <w:p w14:paraId="596AE3F1">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 对磋商文件作出的实质性变动是磋商文件的有效组成部分，磋商小组应当及时通过评标系统通知所有参加磋商的供应商。具体磋商内容由磋商小组根据磋商实际情况确定。</w:t>
      </w:r>
    </w:p>
    <w:p w14:paraId="4AE80A76">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en-US"/>
        </w:rPr>
        <w:t>供应商应当按照竞争性磋商文件的变动情况和磋商小组的要求，通过</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lang w:val="en-US" w:eastAsia="en-US"/>
        </w:rPr>
        <w:t>系统以在线形式提交承诺，并用</w:t>
      </w:r>
      <w:r>
        <w:rPr>
          <w:rFonts w:hint="eastAsia" w:ascii="宋体" w:hAnsi="宋体" w:eastAsia="宋体" w:cs="宋体"/>
          <w:color w:val="auto"/>
          <w:sz w:val="24"/>
          <w:szCs w:val="24"/>
          <w:highlight w:val="none"/>
          <w:lang w:val="en-US" w:eastAsia="zh-CN"/>
        </w:rPr>
        <w:t>CA</w:t>
      </w:r>
      <w:r>
        <w:rPr>
          <w:rFonts w:hint="eastAsia" w:ascii="宋体" w:hAnsi="宋体" w:eastAsia="宋体" w:cs="宋体"/>
          <w:color w:val="auto"/>
          <w:sz w:val="24"/>
          <w:szCs w:val="24"/>
          <w:highlight w:val="none"/>
          <w:lang w:val="en-US" w:eastAsia="en-US"/>
        </w:rPr>
        <w:t>签章。</w:t>
      </w:r>
    </w:p>
    <w:p w14:paraId="4AF59421">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en-US"/>
        </w:rPr>
        <w:t>响应文件的澄清、说明或者更正：</w:t>
      </w:r>
    </w:p>
    <w:p w14:paraId="7222A691">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.5.1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en-US"/>
        </w:rPr>
        <w:t>磋商小组在对响应文件的有效性、完整性和响应程度进行审查时，可以要求供应商对响应文件中含义不明确、同类问题表述不一致或者有明显文字和计算错误的内容等作出必要的澄清、说明或者更正。</w:t>
      </w:r>
    </w:p>
    <w:p w14:paraId="75C1EFC9">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.5.</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en-US"/>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加盖公章。供应商为自然人的，应当由本人签字并附身份证明。澄清、说明或者更正文件将作为响应文件内容的一部分。</w:t>
      </w:r>
    </w:p>
    <w:p w14:paraId="677FE731">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en-US"/>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en-US"/>
        </w:rPr>
        <w:t>少于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en-US"/>
        </w:rPr>
        <w:t>家。《</w:t>
      </w:r>
      <w:r>
        <w:rPr>
          <w:rFonts w:hint="eastAsia" w:ascii="宋体" w:hAnsi="宋体" w:eastAsia="宋体" w:cs="宋体"/>
          <w:color w:val="auto"/>
          <w:sz w:val="24"/>
          <w:szCs w:val="24"/>
          <w:highlight w:val="none"/>
          <w:lang w:val="en-US" w:eastAsia="zh-CN"/>
        </w:rPr>
        <w:t>政府采购竞争性磋商采购方式管理暂行办法</w:t>
      </w:r>
      <w:r>
        <w:rPr>
          <w:rFonts w:hint="eastAsia" w:ascii="宋体" w:hAnsi="宋体" w:eastAsia="宋体" w:cs="宋体"/>
          <w:color w:val="auto"/>
          <w:sz w:val="24"/>
          <w:szCs w:val="24"/>
          <w:highlight w:val="none"/>
          <w:lang w:val="en-US" w:eastAsia="en-US"/>
        </w:rPr>
        <w:t>》第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en-US"/>
        </w:rPr>
        <w:t>条第</w:t>
      </w:r>
      <w:r>
        <w:rPr>
          <w:rFonts w:hint="eastAsia" w:ascii="宋体" w:hAnsi="宋体" w:eastAsia="宋体" w:cs="宋体"/>
          <w:color w:val="auto"/>
          <w:sz w:val="24"/>
          <w:szCs w:val="24"/>
          <w:highlight w:val="none"/>
          <w:lang w:val="en-US" w:eastAsia="zh-CN"/>
        </w:rPr>
        <w:t>四项</w:t>
      </w:r>
      <w:r>
        <w:rPr>
          <w:rFonts w:hint="eastAsia" w:ascii="宋体" w:hAnsi="宋体" w:eastAsia="宋体" w:cs="宋体"/>
          <w:color w:val="auto"/>
          <w:sz w:val="24"/>
          <w:szCs w:val="24"/>
          <w:highlight w:val="none"/>
          <w:lang w:val="en-US" w:eastAsia="en-US"/>
        </w:rPr>
        <w:t>规定的情形除外。最后报价是响应文件的有效组成部分。</w:t>
      </w:r>
    </w:p>
    <w:p w14:paraId="6FC74EBB">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en-US"/>
        </w:rPr>
        <w:t>磋商文件不能详细列明采购标的的技术、服务要求，需经磋商由供应商</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lang w:val="en-US" w:eastAsia="en-US"/>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lang w:val="en-US" w:eastAsia="en-US"/>
        </w:rPr>
        <w:t>交最后报价。市场竞争不充分的科研项目，以及需要扶持的科技成果转化项目，</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lang w:val="en-US" w:eastAsia="en-US"/>
        </w:rPr>
        <w:t>交最后报价的供应商可以为2家；政府购买服务项目（含政府和社会资本合作项目），在采购过程中符合要求的供应商（社会资本）只有2家的，竞争性磋商采购活动可以继续进行。</w:t>
      </w:r>
    </w:p>
    <w:p w14:paraId="7A13DD2E">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lang w:val="en-US" w:eastAsia="en-US"/>
        </w:rPr>
        <w:t>已</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lang w:val="en-US" w:eastAsia="en-US"/>
        </w:rPr>
        <w:t>交响应文件的供应商，在</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lang w:val="en-US" w:eastAsia="en-US"/>
        </w:rPr>
        <w:t>交最后报价之前，可以根据磋商情况退出磋商。</w:t>
      </w:r>
    </w:p>
    <w:p w14:paraId="57553757">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en-US"/>
        </w:rPr>
        <w:t>最后报价的算术修正及政策调整</w:t>
      </w:r>
    </w:p>
    <w:p w14:paraId="22FB38C7">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最后报价须包含竞争性磋商文件全部内容，最后报价出现大写金额和小写金额不一致的，以大写金额为准</w:t>
      </w:r>
      <w:r>
        <w:rPr>
          <w:rFonts w:hint="eastAsia" w:ascii="宋体" w:hAnsi="宋体" w:eastAsia="宋体" w:cs="宋体"/>
          <w:color w:val="auto"/>
          <w:sz w:val="24"/>
          <w:szCs w:val="24"/>
          <w:highlight w:val="none"/>
          <w:lang w:val="en-US" w:eastAsia="zh-CN"/>
        </w:rPr>
        <w:t>。</w:t>
      </w:r>
    </w:p>
    <w:p w14:paraId="43B2BFD9">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评审方法和评审标准</w:t>
      </w:r>
    </w:p>
    <w:p w14:paraId="6FB3B24B">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en-US"/>
        </w:rPr>
        <w:t>本项目采用的评审方法为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综合评分法。综合评分法，是指响应文件满足磋商文件全部实质性要求且按评审因素的量化指标评审得分最高的供应商为成交候选供应商的评审方法。</w:t>
      </w:r>
    </w:p>
    <w:p w14:paraId="000FDFB6">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en-US"/>
        </w:rPr>
        <w:t>竞争性磋商文件中没有规定的评审标准不得作为评审依据。</w:t>
      </w:r>
    </w:p>
    <w:p w14:paraId="43A14EE3">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en-US"/>
        </w:rPr>
        <w:t>非政府强制采购的节能产品或环境标志产品，依据品目清单和认证证书实施政府优先采购。优先采购的具体规定（如涉及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w:t>
      </w:r>
    </w:p>
    <w:p w14:paraId="1646FA93">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en-US"/>
        </w:rPr>
        <w:t>关于无线局域网认证产品政府采购清单中的产品，优先采购的具体规定（如涉及）</w:t>
      </w:r>
      <w:r>
        <w:rPr>
          <w:rFonts w:hint="eastAsia" w:ascii="宋体" w:hAnsi="宋体" w:eastAsia="宋体" w:cs="宋体"/>
          <w:color w:val="auto"/>
          <w:sz w:val="24"/>
          <w:szCs w:val="24"/>
          <w:highlight w:val="none"/>
          <w:lang w:val="en-US" w:eastAsia="zh-CN"/>
        </w:rPr>
        <w:t>。</w:t>
      </w:r>
    </w:p>
    <w:p w14:paraId="79E5D21B">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en-US"/>
        </w:rPr>
        <w:t>确定成交候选人名单</w:t>
      </w:r>
    </w:p>
    <w:p w14:paraId="3E5590E2">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en-US"/>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en-US"/>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43B02AB6">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2" w:firstLineChars="200"/>
        <w:jc w:val="both"/>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9</w:t>
      </w:r>
      <w:r>
        <w:rPr>
          <w:rFonts w:hint="eastAsia" w:ascii="宋体" w:hAnsi="宋体" w:eastAsia="宋体" w:cs="宋体"/>
          <w:b/>
          <w:bCs/>
          <w:snapToGrid w:val="0"/>
          <w:color w:val="auto"/>
          <w:kern w:val="0"/>
          <w:sz w:val="24"/>
          <w:szCs w:val="24"/>
          <w:highlight w:val="none"/>
          <w:lang w:val="en-US" w:eastAsia="en-US" w:bidi="ar-SA"/>
        </w:rPr>
        <w:t>.</w:t>
      </w:r>
      <w:r>
        <w:rPr>
          <w:rFonts w:hint="eastAsia" w:ascii="宋体" w:hAnsi="宋体" w:eastAsia="宋体" w:cs="宋体"/>
          <w:b/>
          <w:bCs/>
          <w:snapToGrid w:val="0"/>
          <w:color w:val="auto"/>
          <w:kern w:val="0"/>
          <w:sz w:val="24"/>
          <w:szCs w:val="24"/>
          <w:highlight w:val="none"/>
          <w:lang w:val="en-US" w:eastAsia="zh-CN" w:bidi="ar-SA"/>
        </w:rPr>
        <w:t xml:space="preserve">2 </w:t>
      </w:r>
      <w:r>
        <w:rPr>
          <w:rFonts w:hint="eastAsia" w:ascii="宋体" w:hAnsi="宋体" w:eastAsia="宋体" w:cs="宋体"/>
          <w:b/>
          <w:bCs/>
          <w:snapToGrid w:val="0"/>
          <w:color w:val="auto"/>
          <w:kern w:val="0"/>
          <w:sz w:val="24"/>
          <w:szCs w:val="24"/>
          <w:highlight w:val="none"/>
          <w:lang w:val="en-US" w:eastAsia="en-US" w:bidi="ar-SA"/>
        </w:rPr>
        <w:t>磋商小组要对评分汇总情况进行复核，特别是对排名第一的、报价最低的、响应文件被认定为无效的情形进行重点复核。</w:t>
      </w:r>
    </w:p>
    <w:p w14:paraId="00255239">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9</w:t>
      </w:r>
      <w:r>
        <w:rPr>
          <w:rFonts w:hint="eastAsia" w:ascii="宋体" w:hAnsi="宋体" w:eastAsia="宋体" w:cs="宋体"/>
          <w:snapToGrid w:val="0"/>
          <w:color w:val="auto"/>
          <w:kern w:val="0"/>
          <w:sz w:val="24"/>
          <w:szCs w:val="24"/>
          <w:highlight w:val="none"/>
          <w:lang w:val="en-US" w:eastAsia="en-US" w:bidi="ar-SA"/>
        </w:rPr>
        <w:t>.</w:t>
      </w:r>
      <w:r>
        <w:rPr>
          <w:rFonts w:hint="eastAsia" w:ascii="宋体" w:hAnsi="宋体" w:eastAsia="宋体" w:cs="宋体"/>
          <w:snapToGrid w:val="0"/>
          <w:color w:val="auto"/>
          <w:kern w:val="0"/>
          <w:sz w:val="24"/>
          <w:szCs w:val="24"/>
          <w:highlight w:val="none"/>
          <w:lang w:val="en-US" w:eastAsia="zh-CN" w:bidi="ar-SA"/>
        </w:rPr>
        <w:t>3 ☑</w:t>
      </w:r>
      <w:r>
        <w:rPr>
          <w:rFonts w:hint="eastAsia" w:ascii="宋体" w:hAnsi="宋体" w:eastAsia="宋体" w:cs="宋体"/>
          <w:snapToGrid w:val="0"/>
          <w:color w:val="auto"/>
          <w:kern w:val="0"/>
          <w:sz w:val="24"/>
          <w:szCs w:val="24"/>
          <w:highlight w:val="none"/>
          <w:lang w:val="en-US" w:eastAsia="en-US" w:bidi="ar-SA"/>
        </w:rPr>
        <w:t>磋商小组根据上述供应商排序，依次推荐排序前</w:t>
      </w: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13C6E07A">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en-US" w:bidi="ar-SA"/>
        </w:rPr>
        <w:t>采购人书面授权磋商小组直接确定成交供应商。</w:t>
      </w:r>
    </w:p>
    <w:p w14:paraId="414F7BAF">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10.</w:t>
      </w:r>
      <w:r>
        <w:rPr>
          <w:rFonts w:hint="eastAsia" w:ascii="宋体" w:hAnsi="宋体" w:eastAsia="宋体" w:cs="宋体"/>
          <w:snapToGrid w:val="0"/>
          <w:color w:val="auto"/>
          <w:kern w:val="0"/>
          <w:sz w:val="24"/>
          <w:szCs w:val="24"/>
          <w:highlight w:val="none"/>
          <w:lang w:val="en-US" w:eastAsia="en-US" w:bidi="ar-SA"/>
        </w:rPr>
        <w:t>报告违法行为</w:t>
      </w:r>
    </w:p>
    <w:p w14:paraId="21076C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10</w:t>
      </w:r>
      <w:r>
        <w:rPr>
          <w:rFonts w:hint="eastAsia" w:ascii="宋体" w:hAnsi="宋体" w:eastAsia="宋体" w:cs="宋体"/>
          <w:snapToGrid w:val="0"/>
          <w:color w:val="auto"/>
          <w:kern w:val="0"/>
          <w:sz w:val="24"/>
          <w:szCs w:val="24"/>
          <w:highlight w:val="none"/>
          <w:lang w:val="en-US" w:eastAsia="en-US" w:bidi="ar-SA"/>
        </w:rPr>
        <w:t>.1</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磋商小组在评审过程中发现供应商有行贿、</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供虚假材料或者串通等违法行为时，有向采购人、采购代理机构或者有关部门报告的职责。</w:t>
      </w:r>
    </w:p>
    <w:p w14:paraId="1C12AA74">
      <w:pPr>
        <w:pStyle w:val="7"/>
        <w:keepNext w:val="0"/>
        <w:keepLines w:val="0"/>
        <w:pageBreakBefore w:val="0"/>
        <w:kinsoku/>
        <w:wordWrap w:val="0"/>
        <w:overflowPunct/>
        <w:topLinePunct w:val="0"/>
        <w:bidi w:val="0"/>
        <w:spacing w:before="78" w:line="221" w:lineRule="auto"/>
        <w:jc w:val="center"/>
        <w:outlineLvl w:val="9"/>
        <w:rPr>
          <w:color w:val="auto"/>
          <w:spacing w:val="-2"/>
          <w:sz w:val="24"/>
          <w:szCs w:val="24"/>
          <w:highlight w:val="none"/>
          <w14:textOutline w14:w="1537" w14:cap="flat" w14:cmpd="sng">
            <w14:solidFill>
              <w14:srgbClr w14:val="000000"/>
            </w14:solidFill>
            <w14:prstDash w14:val="solid"/>
            <w14:miter w14:val="0"/>
          </w14:textOutline>
        </w:rPr>
      </w:pPr>
      <w:r>
        <w:rPr>
          <w:color w:val="auto"/>
          <w:spacing w:val="-2"/>
          <w:sz w:val="24"/>
          <w:szCs w:val="24"/>
          <w:highlight w:val="none"/>
          <w14:textOutline w14:w="1537" w14:cap="flat" w14:cmpd="sng">
            <w14:solidFill>
              <w14:srgbClr w14:val="000000"/>
            </w14:solidFill>
            <w14:prstDash w14:val="solid"/>
            <w14:miter w14:val="0"/>
          </w14:textOutline>
        </w:rPr>
        <w:t>评审标准</w:t>
      </w:r>
    </w:p>
    <w:tbl>
      <w:tblPr>
        <w:tblStyle w:val="21"/>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903"/>
        <w:gridCol w:w="1038"/>
        <w:gridCol w:w="1505"/>
        <w:gridCol w:w="5921"/>
      </w:tblGrid>
      <w:tr w14:paraId="4FEE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79B86C6B">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both"/>
              <w:textAlignment w:val="baseline"/>
              <w:rPr>
                <w:color w:val="auto"/>
                <w:highlight w:val="none"/>
                <w:vertAlign w:val="baseline"/>
              </w:rPr>
            </w:pPr>
            <w:r>
              <w:rPr>
                <w:rFonts w:hint="eastAsia" w:ascii="宋体" w:hAnsi="宋体" w:eastAsia="宋体" w:cs="宋体"/>
                <w:color w:val="auto"/>
                <w:spacing w:val="-3"/>
                <w:sz w:val="24"/>
                <w:szCs w:val="24"/>
                <w:highlight w:val="none"/>
                <w14:textOutline w14:w="1537" w14:cap="flat" w14:cmpd="sng">
                  <w14:solidFill>
                    <w14:srgbClr w14:val="000000"/>
                  </w14:solidFill>
                  <w14:prstDash w14:val="solid"/>
                  <w14:miter w14:val="0"/>
                </w14:textOutline>
              </w:rPr>
              <w:t>序号</w:t>
            </w:r>
          </w:p>
        </w:tc>
        <w:tc>
          <w:tcPr>
            <w:tcW w:w="903" w:type="dxa"/>
            <w:vAlign w:val="center"/>
          </w:tcPr>
          <w:p w14:paraId="52936D59">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both"/>
              <w:textAlignment w:val="baseline"/>
              <w:rPr>
                <w:color w:val="auto"/>
                <w:highlight w:val="none"/>
                <w:vertAlign w:val="baseline"/>
              </w:rPr>
            </w:pPr>
            <w:r>
              <w:rPr>
                <w:rFonts w:hint="eastAsia" w:ascii="宋体" w:hAnsi="宋体" w:eastAsia="宋体" w:cs="宋体"/>
                <w:color w:val="auto"/>
                <w:spacing w:val="-2"/>
                <w:sz w:val="24"/>
                <w:szCs w:val="24"/>
                <w:highlight w:val="none"/>
                <w14:textOutline w14:w="1537" w14:cap="flat" w14:cmpd="sng">
                  <w14:solidFill>
                    <w14:srgbClr w14:val="000000"/>
                  </w14:solidFill>
                  <w14:prstDash w14:val="solid"/>
                  <w14:miter w14:val="0"/>
                </w14:textOutline>
              </w:rPr>
              <w:t>评分因素</w:t>
            </w:r>
          </w:p>
        </w:tc>
        <w:tc>
          <w:tcPr>
            <w:tcW w:w="1038" w:type="dxa"/>
            <w:vAlign w:val="center"/>
          </w:tcPr>
          <w:p w14:paraId="1403313F">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232" w:firstLineChars="100"/>
              <w:jc w:val="both"/>
              <w:textAlignment w:val="baseline"/>
              <w:rPr>
                <w:color w:val="auto"/>
                <w:highlight w:val="none"/>
                <w:vertAlign w:val="baseline"/>
              </w:rPr>
            </w:pPr>
            <w:r>
              <w:rPr>
                <w:rFonts w:hint="eastAsia" w:ascii="宋体" w:hAnsi="宋体" w:eastAsia="宋体" w:cs="宋体"/>
                <w:color w:val="auto"/>
                <w:spacing w:val="-4"/>
                <w:sz w:val="24"/>
                <w:szCs w:val="24"/>
                <w:highlight w:val="none"/>
                <w14:textOutline w14:w="1537" w14:cap="flat" w14:cmpd="sng">
                  <w14:solidFill>
                    <w14:srgbClr w14:val="000000"/>
                  </w14:solidFill>
                  <w14:prstDash w14:val="solid"/>
                  <w14:miter w14:val="0"/>
                </w14:textOutline>
              </w:rPr>
              <w:t>分值</w:t>
            </w:r>
          </w:p>
        </w:tc>
        <w:tc>
          <w:tcPr>
            <w:tcW w:w="1505" w:type="dxa"/>
            <w:vAlign w:val="center"/>
          </w:tcPr>
          <w:p w14:paraId="5DBB8EAB">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both"/>
              <w:textAlignment w:val="baseline"/>
              <w:rPr>
                <w:color w:val="auto"/>
                <w:highlight w:val="none"/>
                <w:vertAlign w:val="baseline"/>
              </w:rPr>
            </w:pPr>
            <w:r>
              <w:rPr>
                <w:rFonts w:hint="eastAsia" w:ascii="宋体" w:hAnsi="宋体" w:eastAsia="宋体" w:cs="宋体"/>
                <w:color w:val="auto"/>
                <w:spacing w:val="-2"/>
                <w:sz w:val="24"/>
                <w:szCs w:val="24"/>
                <w:highlight w:val="none"/>
                <w14:textOutline w14:w="1537" w14:cap="flat" w14:cmpd="sng">
                  <w14:solidFill>
                    <w14:srgbClr w14:val="000000"/>
                  </w14:solidFill>
                  <w14:prstDash w14:val="solid"/>
                  <w14:miter w14:val="0"/>
                </w14:textOutline>
              </w:rPr>
              <w:t>评分标准</w:t>
            </w:r>
          </w:p>
        </w:tc>
        <w:tc>
          <w:tcPr>
            <w:tcW w:w="5921" w:type="dxa"/>
            <w:vAlign w:val="center"/>
          </w:tcPr>
          <w:p w14:paraId="109E26B7">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both"/>
              <w:textAlignment w:val="baseline"/>
              <w:rPr>
                <w:color w:val="auto"/>
                <w:highlight w:val="none"/>
                <w:vertAlign w:val="baseline"/>
              </w:rPr>
            </w:pPr>
            <w:r>
              <w:rPr>
                <w:rFonts w:hint="eastAsia" w:ascii="宋体" w:hAnsi="宋体" w:eastAsia="宋体" w:cs="宋体"/>
                <w:color w:val="auto"/>
                <w:spacing w:val="-4"/>
                <w:sz w:val="24"/>
                <w:szCs w:val="24"/>
                <w:highlight w:val="none"/>
                <w14:textOutline w14:w="1537" w14:cap="flat" w14:cmpd="sng">
                  <w14:solidFill>
                    <w14:srgbClr w14:val="000000"/>
                  </w14:solidFill>
                  <w14:prstDash w14:val="solid"/>
                  <w14:miter w14:val="0"/>
                </w14:textOutline>
              </w:rPr>
              <w:t>说明</w:t>
            </w:r>
          </w:p>
        </w:tc>
      </w:tr>
      <w:tr w14:paraId="45C5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7B483ED4">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240" w:firstLineChars="100"/>
              <w:jc w:val="both"/>
              <w:textAlignment w:val="baseline"/>
              <w:rPr>
                <w:color w:val="auto"/>
                <w:highlight w:val="none"/>
                <w:vertAlign w:val="baseline"/>
              </w:rPr>
            </w:pPr>
            <w:r>
              <w:rPr>
                <w:rFonts w:hint="eastAsia" w:ascii="宋体" w:hAnsi="宋体" w:eastAsia="宋体" w:cs="宋体"/>
                <w:color w:val="auto"/>
                <w:sz w:val="24"/>
                <w:szCs w:val="24"/>
                <w:highlight w:val="none"/>
                <w:lang w:val="en-US" w:eastAsia="zh-CN"/>
              </w:rPr>
              <w:t>1</w:t>
            </w:r>
          </w:p>
        </w:tc>
        <w:tc>
          <w:tcPr>
            <w:tcW w:w="903" w:type="dxa"/>
            <w:vAlign w:val="center"/>
          </w:tcPr>
          <w:p w14:paraId="605F006A">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r>
              <w:rPr>
                <w:rFonts w:hint="eastAsia" w:ascii="宋体" w:hAnsi="宋体" w:eastAsia="宋体" w:cs="宋体"/>
                <w:color w:val="auto"/>
                <w:spacing w:val="-3"/>
                <w:sz w:val="24"/>
                <w:szCs w:val="24"/>
                <w:highlight w:val="none"/>
                <w:lang w:val="en-US" w:eastAsia="zh-CN"/>
              </w:rPr>
              <w:t>磋商</w:t>
            </w:r>
            <w:r>
              <w:rPr>
                <w:rFonts w:hint="eastAsia" w:ascii="宋体" w:hAnsi="宋体" w:eastAsia="宋体" w:cs="宋体"/>
                <w:color w:val="auto"/>
                <w:spacing w:val="-3"/>
                <w:sz w:val="24"/>
                <w:szCs w:val="24"/>
                <w:highlight w:val="none"/>
              </w:rPr>
              <w:t>报价</w:t>
            </w:r>
          </w:p>
        </w:tc>
        <w:tc>
          <w:tcPr>
            <w:tcW w:w="1038" w:type="dxa"/>
            <w:vAlign w:val="center"/>
          </w:tcPr>
          <w:p w14:paraId="37FC14EC">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r>
              <w:rPr>
                <w:rFonts w:hint="eastAsia" w:ascii="宋体" w:hAnsi="宋体" w:eastAsia="宋体" w:cs="宋体"/>
                <w:color w:val="auto"/>
                <w:sz w:val="24"/>
                <w:szCs w:val="24"/>
                <w:highlight w:val="none"/>
                <w:lang w:val="en-US" w:eastAsia="zh-CN"/>
              </w:rPr>
              <w:t>20分</w:t>
            </w:r>
          </w:p>
        </w:tc>
        <w:tc>
          <w:tcPr>
            <w:tcW w:w="7426" w:type="dxa"/>
            <w:gridSpan w:val="2"/>
            <w:vAlign w:val="center"/>
          </w:tcPr>
          <w:p w14:paraId="307B42B9">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pacing w:val="-13"/>
                <w:sz w:val="24"/>
                <w:szCs w:val="24"/>
                <w:highlight w:val="none"/>
                <w:lang w:eastAsia="zh-CN"/>
              </w:rPr>
            </w:pPr>
            <w:r>
              <w:rPr>
                <w:rFonts w:hint="eastAsia" w:ascii="宋体" w:hAnsi="宋体" w:eastAsia="宋体" w:cs="宋体"/>
                <w:color w:val="auto"/>
                <w:spacing w:val="-13"/>
                <w:sz w:val="24"/>
                <w:szCs w:val="24"/>
                <w:highlight w:val="none"/>
                <w:lang w:eastAsia="zh-CN"/>
              </w:rPr>
              <w:t>满足竞争性磋商文件要求且磋商价格最低的磋商报价为评标基准价，其价格分为满分。其他供应商的价格分统一按照下列公式计算：</w:t>
            </w:r>
          </w:p>
          <w:p w14:paraId="60951171">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both"/>
              <w:textAlignment w:val="baseline"/>
              <w:rPr>
                <w:rFonts w:hint="eastAsia" w:ascii="宋体" w:hAnsi="宋体" w:eastAsia="宋体" w:cs="宋体"/>
                <w:color w:val="auto"/>
                <w:spacing w:val="-13"/>
                <w:sz w:val="24"/>
                <w:szCs w:val="24"/>
                <w:highlight w:val="none"/>
                <w:lang w:eastAsia="zh-CN"/>
              </w:rPr>
            </w:pPr>
            <w:r>
              <w:rPr>
                <w:rFonts w:hint="eastAsia" w:ascii="宋体" w:hAnsi="宋体" w:eastAsia="宋体" w:cs="宋体"/>
                <w:color w:val="auto"/>
                <w:spacing w:val="-13"/>
                <w:sz w:val="24"/>
                <w:szCs w:val="24"/>
                <w:highlight w:val="none"/>
                <w:lang w:eastAsia="zh-CN"/>
              </w:rPr>
              <w:t>磋商报价得分＝（评标基准价/磋商报价）×20。</w:t>
            </w:r>
          </w:p>
          <w:p w14:paraId="3A9DA609">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both"/>
              <w:textAlignment w:val="baseline"/>
              <w:rPr>
                <w:color w:val="auto"/>
                <w:highlight w:val="none"/>
                <w:vertAlign w:val="baseline"/>
              </w:rPr>
            </w:pPr>
            <w:r>
              <w:rPr>
                <w:rFonts w:hint="eastAsia" w:ascii="宋体" w:hAnsi="宋体" w:eastAsia="宋体" w:cs="宋体"/>
                <w:color w:val="auto"/>
                <w:spacing w:val="-13"/>
                <w:sz w:val="24"/>
                <w:szCs w:val="24"/>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auto"/>
                <w:spacing w:val="-1"/>
                <w:kern w:val="0"/>
                <w:sz w:val="24"/>
                <w:szCs w:val="24"/>
                <w:highlight w:val="none"/>
                <w:lang w:val="en-US" w:eastAsia="zh-CN" w:bidi="ar-SA"/>
              </w:rPr>
              <w:t>响应</w:t>
            </w:r>
            <w:r>
              <w:rPr>
                <w:rFonts w:hint="eastAsia" w:ascii="宋体" w:hAnsi="宋体" w:eastAsia="宋体" w:cs="宋体"/>
                <w:color w:val="auto"/>
                <w:spacing w:val="-13"/>
                <w:sz w:val="24"/>
                <w:szCs w:val="24"/>
                <w:highlight w:val="none"/>
                <w:lang w:eastAsia="zh-CN"/>
              </w:rPr>
              <w:t>文件中提交了《</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pacing w:val="-13"/>
                <w:sz w:val="24"/>
                <w:szCs w:val="24"/>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pacing w:val="-13"/>
                <w:sz w:val="24"/>
                <w:szCs w:val="24"/>
                <w:highlight w:val="none"/>
                <w:lang w:eastAsia="zh-CN"/>
              </w:rPr>
              <w:t>，其</w:t>
            </w:r>
            <w:r>
              <w:rPr>
                <w:rFonts w:hint="eastAsia" w:ascii="宋体" w:hAnsi="宋体" w:eastAsia="宋体" w:cs="宋体"/>
                <w:color w:val="auto"/>
                <w:spacing w:val="-13"/>
                <w:sz w:val="24"/>
                <w:szCs w:val="24"/>
                <w:highlight w:val="none"/>
                <w:lang w:val="en-US" w:eastAsia="zh-CN"/>
              </w:rPr>
              <w:t>磋商</w:t>
            </w:r>
            <w:r>
              <w:rPr>
                <w:rFonts w:hint="eastAsia" w:ascii="宋体" w:hAnsi="宋体" w:eastAsia="宋体" w:cs="宋体"/>
                <w:color w:val="auto"/>
                <w:spacing w:val="-13"/>
                <w:sz w:val="24"/>
                <w:szCs w:val="24"/>
                <w:highlight w:val="none"/>
                <w:lang w:eastAsia="zh-CN"/>
              </w:rPr>
              <w:t>报价扣除</w:t>
            </w:r>
            <w:r>
              <w:rPr>
                <w:rFonts w:hint="eastAsia" w:ascii="宋体" w:hAnsi="宋体" w:eastAsia="宋体" w:cs="宋体"/>
                <w:color w:val="auto"/>
                <w:spacing w:val="-13"/>
                <w:sz w:val="24"/>
                <w:szCs w:val="24"/>
                <w:highlight w:val="none"/>
                <w:u w:val="single"/>
                <w:lang w:val="en-US" w:eastAsia="zh-CN"/>
              </w:rPr>
              <w:t xml:space="preserve"> 20</w:t>
            </w:r>
            <w:r>
              <w:rPr>
                <w:rFonts w:hint="eastAsia" w:ascii="宋体" w:hAnsi="宋体" w:eastAsia="宋体" w:cs="宋体"/>
                <w:color w:val="auto"/>
                <w:spacing w:val="-13"/>
                <w:sz w:val="24"/>
                <w:szCs w:val="24"/>
                <w:highlight w:val="none"/>
                <w:u w:val="single"/>
                <w:lang w:eastAsia="zh-CN"/>
              </w:rPr>
              <w:t>%</w:t>
            </w:r>
            <w:r>
              <w:rPr>
                <w:rFonts w:hint="eastAsia" w:ascii="宋体" w:hAnsi="宋体" w:eastAsia="宋体" w:cs="宋体"/>
                <w:color w:val="auto"/>
                <w:spacing w:val="-13"/>
                <w:sz w:val="24"/>
                <w:szCs w:val="24"/>
                <w:highlight w:val="none"/>
                <w:u w:val="single"/>
                <w:lang w:val="en-US" w:eastAsia="zh-CN"/>
              </w:rPr>
              <w:t xml:space="preserve"> </w:t>
            </w:r>
            <w:r>
              <w:rPr>
                <w:rFonts w:hint="eastAsia" w:ascii="宋体" w:hAnsi="宋体" w:eastAsia="宋体" w:cs="宋体"/>
                <w:color w:val="auto"/>
                <w:spacing w:val="-13"/>
                <w:sz w:val="24"/>
                <w:szCs w:val="24"/>
                <w:highlight w:val="none"/>
                <w:lang w:eastAsia="zh-CN"/>
              </w:rPr>
              <w:t>后参与评审。对于同时属于小微企业、监狱企业或残疾人福利性单位的，不重复进行</w:t>
            </w:r>
            <w:r>
              <w:rPr>
                <w:rFonts w:hint="eastAsia" w:ascii="宋体" w:hAnsi="宋体" w:eastAsia="宋体" w:cs="宋体"/>
                <w:color w:val="auto"/>
                <w:spacing w:val="-13"/>
                <w:sz w:val="24"/>
                <w:szCs w:val="24"/>
                <w:highlight w:val="none"/>
                <w:lang w:val="en-US" w:eastAsia="zh-CN"/>
              </w:rPr>
              <w:t>磋商</w:t>
            </w:r>
            <w:r>
              <w:rPr>
                <w:rFonts w:hint="eastAsia" w:ascii="宋体" w:hAnsi="宋体" w:eastAsia="宋体" w:cs="宋体"/>
                <w:color w:val="auto"/>
                <w:spacing w:val="-13"/>
                <w:sz w:val="24"/>
                <w:szCs w:val="24"/>
                <w:highlight w:val="none"/>
                <w:lang w:eastAsia="zh-CN"/>
              </w:rPr>
              <w:t>报价扣除。</w:t>
            </w:r>
          </w:p>
        </w:tc>
      </w:tr>
      <w:tr w14:paraId="0CAD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restart"/>
            <w:vAlign w:val="center"/>
          </w:tcPr>
          <w:p w14:paraId="76C40B03">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r>
              <w:rPr>
                <w:rFonts w:hint="eastAsia" w:ascii="宋体" w:hAnsi="宋体" w:eastAsia="宋体" w:cs="宋体"/>
                <w:snapToGrid w:val="0"/>
                <w:color w:val="auto"/>
                <w:spacing w:val="-13"/>
                <w:kern w:val="0"/>
                <w:sz w:val="24"/>
                <w:szCs w:val="24"/>
                <w:highlight w:val="none"/>
                <w:lang w:val="en-US" w:eastAsia="zh-CN" w:bidi="ar-SA"/>
              </w:rPr>
              <w:t>2</w:t>
            </w:r>
          </w:p>
        </w:tc>
        <w:tc>
          <w:tcPr>
            <w:tcW w:w="903" w:type="dxa"/>
            <w:vMerge w:val="restart"/>
            <w:vAlign w:val="center"/>
          </w:tcPr>
          <w:p w14:paraId="73F9A5A6">
            <w:pPr>
              <w:keepNext w:val="0"/>
              <w:keepLines w:val="0"/>
              <w:pageBreakBefore w:val="0"/>
              <w:widowControl/>
              <w:kinsoku/>
              <w:wordWrap w:val="0"/>
              <w:overflowPunct/>
              <w:topLinePunct w:val="0"/>
              <w:autoSpaceDE w:val="0"/>
              <w:autoSpaceDN w:val="0"/>
              <w:bidi w:val="0"/>
              <w:adjustRightInd w:val="0"/>
              <w:snapToGrid w:val="0"/>
              <w:spacing w:line="360" w:lineRule="exact"/>
              <w:ind w:right="0" w:rightChars="0"/>
              <w:jc w:val="both"/>
              <w:textAlignment w:val="baseline"/>
              <w:rPr>
                <w:color w:val="auto"/>
                <w:highlight w:val="none"/>
                <w:vertAlign w:val="baseline"/>
              </w:rPr>
            </w:pPr>
            <w:r>
              <w:rPr>
                <w:rFonts w:hint="eastAsia" w:ascii="宋体" w:hAnsi="宋体" w:eastAsia="宋体" w:cs="宋体"/>
                <w:snapToGrid w:val="0"/>
                <w:color w:val="auto"/>
                <w:spacing w:val="-13"/>
                <w:kern w:val="0"/>
                <w:sz w:val="24"/>
                <w:szCs w:val="24"/>
                <w:highlight w:val="none"/>
                <w:lang w:val="en-US" w:eastAsia="zh-CN" w:bidi="ar-SA"/>
              </w:rPr>
              <w:t>技术部分</w:t>
            </w:r>
          </w:p>
        </w:tc>
        <w:tc>
          <w:tcPr>
            <w:tcW w:w="1038" w:type="dxa"/>
            <w:vMerge w:val="restart"/>
            <w:vAlign w:val="center"/>
          </w:tcPr>
          <w:p w14:paraId="3AF6D367">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r>
              <w:rPr>
                <w:rFonts w:hint="eastAsia" w:ascii="宋体" w:hAnsi="宋体" w:eastAsia="宋体" w:cs="宋体"/>
                <w:snapToGrid w:val="0"/>
                <w:color w:val="auto"/>
                <w:spacing w:val="-13"/>
                <w:kern w:val="0"/>
                <w:sz w:val="24"/>
                <w:szCs w:val="24"/>
                <w:highlight w:val="none"/>
                <w:lang w:val="en-US" w:eastAsia="zh-CN" w:bidi="ar-SA"/>
              </w:rPr>
              <w:t>65分</w:t>
            </w:r>
          </w:p>
        </w:tc>
        <w:tc>
          <w:tcPr>
            <w:tcW w:w="1505" w:type="dxa"/>
            <w:shd w:val="clear" w:color="auto" w:fill="auto"/>
            <w:vAlign w:val="center"/>
          </w:tcPr>
          <w:p w14:paraId="7FFA4C6E">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实施方案</w:t>
            </w:r>
          </w:p>
          <w:p w14:paraId="39B60FCD">
            <w:pPr>
              <w:keepNext w:val="0"/>
              <w:keepLines w:val="0"/>
              <w:pageBreakBefore w:val="0"/>
              <w:widowControl/>
              <w:kinsoku/>
              <w:wordWrap w:val="0"/>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（15分）</w:t>
            </w:r>
          </w:p>
        </w:tc>
        <w:tc>
          <w:tcPr>
            <w:tcW w:w="5921" w:type="dxa"/>
            <w:shd w:val="clear" w:color="auto" w:fill="auto"/>
            <w:vAlign w:val="center"/>
          </w:tcPr>
          <w:p w14:paraId="00B8081D">
            <w:pPr>
              <w:pStyle w:val="2"/>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根据各供应商针对本次采购项目制定的飞机防治实施方案，包括所投区域①地形、地貌、气候特点②虫情分布及森林资源分布</w:t>
            </w:r>
            <w:r>
              <w:rPr>
                <w:rFonts w:hint="eastAsia" w:ascii="宋体" w:hAnsi="宋体" w:eastAsia="宋体" w:cs="宋体"/>
                <w:snapToGrid w:val="0"/>
                <w:color w:val="auto"/>
                <w:spacing w:val="-13"/>
                <w:kern w:val="0"/>
                <w:sz w:val="24"/>
                <w:szCs w:val="24"/>
                <w:highlight w:val="none"/>
                <w:lang w:val="en-US" w:eastAsia="zh-CN" w:bidi="ar-SA"/>
              </w:rPr>
              <w:t>③飞机防治项目实施步骤及计划进度安排、④机型选择方案、飞机防治时间安排</w:t>
            </w:r>
            <w:r>
              <w:rPr>
                <w:rFonts w:hint="eastAsia" w:ascii="宋体" w:hAnsi="宋体" w:eastAsia="宋体" w:cs="宋体"/>
                <w:color w:val="auto"/>
                <w:sz w:val="24"/>
                <w:szCs w:val="24"/>
                <w:highlight w:val="none"/>
              </w:rPr>
              <w:t>⑤飞机防治示意图</w:t>
            </w:r>
            <w:r>
              <w:rPr>
                <w:rFonts w:hint="eastAsia" w:ascii="宋体" w:hAnsi="宋体" w:eastAsia="宋体" w:cs="宋体"/>
                <w:color w:val="auto"/>
                <w:sz w:val="24"/>
                <w:szCs w:val="24"/>
                <w:highlight w:val="none"/>
                <w:lang w:eastAsia="zh-CN"/>
              </w:rPr>
              <w:t>⑥</w:t>
            </w:r>
            <w:r>
              <w:rPr>
                <w:rFonts w:hint="eastAsia" w:ascii="宋体" w:hAnsi="宋体" w:eastAsia="宋体" w:cs="宋体"/>
                <w:color w:val="auto"/>
                <w:sz w:val="24"/>
                <w:szCs w:val="24"/>
                <w:highlight w:val="none"/>
              </w:rPr>
              <w:t>效果预测</w:t>
            </w:r>
            <w:r>
              <w:rPr>
                <w:rFonts w:hint="eastAsia" w:ascii="宋体" w:hAnsi="宋体" w:eastAsia="宋体" w:cs="宋体"/>
                <w:color w:val="auto"/>
                <w:sz w:val="24"/>
                <w:szCs w:val="24"/>
                <w:highlight w:val="none"/>
                <w:lang w:val="en-US" w:eastAsia="zh-CN"/>
              </w:rPr>
              <w:t>及</w:t>
            </w:r>
            <w:r>
              <w:rPr>
                <w:rFonts w:hint="eastAsia" w:ascii="宋体" w:hAnsi="宋体" w:eastAsia="宋体" w:cs="宋体"/>
                <w:snapToGrid w:val="0"/>
                <w:color w:val="auto"/>
                <w:spacing w:val="-13"/>
                <w:kern w:val="0"/>
                <w:sz w:val="24"/>
                <w:szCs w:val="24"/>
                <w:highlight w:val="none"/>
                <w:lang w:val="en-US" w:eastAsia="zh-CN" w:bidi="ar-SA"/>
              </w:rPr>
              <w:t>喷洒设备性能等情况进行综合评定打分：</w:t>
            </w:r>
          </w:p>
          <w:p w14:paraId="4C22E968">
            <w:pPr>
              <w:pStyle w:val="2"/>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（1）实施方案中包含上述6项内容，且内容详实、科学、合理，考虑周全，措施到位，针对性强，完全能够满足需要得15分；</w:t>
            </w:r>
          </w:p>
          <w:p w14:paraId="380068C6">
            <w:pPr>
              <w:pStyle w:val="2"/>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（2）实施方案中包含上述6项内容，但内容较简单，基本科学、合理，基本考虑周全，措施基本到位，针对性一般，可以满足基本需要，但有个别细节需要进一步完善或提高得10分；</w:t>
            </w:r>
          </w:p>
          <w:p w14:paraId="2F0FDCD4">
            <w:pPr>
              <w:pStyle w:val="2"/>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（3）有实施方案，但方案中缺少部分内容，得5分；</w:t>
            </w:r>
          </w:p>
          <w:p w14:paraId="421CC1EE">
            <w:pPr>
              <w:pStyle w:val="2"/>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snapToGrid w:val="0"/>
                <w:color w:val="auto"/>
                <w:spacing w:val="-13"/>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zh-CN" w:bidi="ar"/>
              </w:rPr>
              <w:t>未提供方案不得分。</w:t>
            </w:r>
          </w:p>
        </w:tc>
      </w:tr>
      <w:tr w14:paraId="0C11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vAlign w:val="center"/>
          </w:tcPr>
          <w:p w14:paraId="68173896">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903" w:type="dxa"/>
            <w:vMerge w:val="continue"/>
            <w:vAlign w:val="center"/>
          </w:tcPr>
          <w:p w14:paraId="6DC2E55B">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210" w:firstLineChars="100"/>
              <w:jc w:val="center"/>
              <w:textAlignment w:val="baseline"/>
              <w:rPr>
                <w:color w:val="auto"/>
                <w:highlight w:val="none"/>
                <w:vertAlign w:val="baseline"/>
              </w:rPr>
            </w:pPr>
          </w:p>
        </w:tc>
        <w:tc>
          <w:tcPr>
            <w:tcW w:w="1038" w:type="dxa"/>
            <w:vMerge w:val="continue"/>
            <w:vAlign w:val="center"/>
          </w:tcPr>
          <w:p w14:paraId="6B22D8D9">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1505" w:type="dxa"/>
            <w:shd w:val="clear" w:color="auto" w:fill="auto"/>
            <w:vAlign w:val="center"/>
          </w:tcPr>
          <w:p w14:paraId="0EB26E09">
            <w:pPr>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飞防作业方案</w:t>
            </w:r>
          </w:p>
          <w:p w14:paraId="407CE03E">
            <w:pPr>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（10分）</w:t>
            </w:r>
          </w:p>
        </w:tc>
        <w:tc>
          <w:tcPr>
            <w:tcW w:w="5921" w:type="dxa"/>
            <w:shd w:val="clear" w:color="auto" w:fill="auto"/>
            <w:vAlign w:val="center"/>
          </w:tcPr>
          <w:p w14:paraId="50457E47">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80" w:firstLineChars="200"/>
              <w:jc w:val="both"/>
              <w:textAlignment w:val="auto"/>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横向对比各供应商提供的投标文件：</w:t>
            </w:r>
            <w:r>
              <w:rPr>
                <w:rFonts w:hint="eastAsia" w:ascii="宋体" w:hAnsi="宋体" w:eastAsia="宋体" w:cs="宋体"/>
                <w:snapToGrid w:val="0"/>
                <w:color w:val="auto"/>
                <w:spacing w:val="-13"/>
                <w:kern w:val="0"/>
                <w:sz w:val="24"/>
                <w:szCs w:val="24"/>
                <w:highlight w:val="none"/>
                <w:lang w:val="en-US" w:eastAsia="zh-CN" w:bidi="ar-SA"/>
              </w:rPr>
              <w:t>根据供应商对本次采购项目编制的①飞防作业线路②飞防作业方案③协调空管许可方案等情况进行综合评定打分：</w:t>
            </w:r>
          </w:p>
          <w:p w14:paraId="5139C8CA">
            <w:pPr>
              <w:keepNext w:val="0"/>
              <w:keepLines w:val="0"/>
              <w:pageBreakBefore w:val="0"/>
              <w:widowControl w:val="0"/>
              <w:numPr>
                <w:ilvl w:val="0"/>
                <w:numId w:val="1"/>
              </w:numPr>
              <w:kinsoku/>
              <w:wordWrap/>
              <w:overflowPunct/>
              <w:topLinePunct w:val="0"/>
              <w:autoSpaceDE w:val="0"/>
              <w:autoSpaceDN w:val="0"/>
              <w:bidi w:val="0"/>
              <w:adjustRightInd w:val="0"/>
              <w:snapToGrid w:val="0"/>
              <w:spacing w:line="240" w:lineRule="auto"/>
              <w:ind w:left="0" w:right="0"/>
              <w:jc w:val="both"/>
              <w:textAlignment w:val="auto"/>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供应商能够制定详细的飞防作业线路，线路简单、清晰、有条理，且对防治范围覆盖全面，编制的飞防作业方案能够有效控制林业有害生物的危害，在实施中能够自行协调空管许可，获的飞行空域许可，保证按时完成飞防任务，得10分；</w:t>
            </w:r>
          </w:p>
          <w:p w14:paraId="047DCBD4">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both"/>
              <w:textAlignment w:val="auto"/>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（2）供应商编制的有飞防作业线路，但线路繁琐、条理性不清晰，可能对防治区域覆盖不全，飞防作业方案对有害生物的防治效果不佳，协调空管许可时需要采购人配合的，得6分。</w:t>
            </w:r>
          </w:p>
          <w:p w14:paraId="400AE1DE">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both"/>
              <w:textAlignment w:val="auto"/>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 xml:space="preserve">（3）供应商编制的菲方作业线路、作业方案简单，实际实施时，无法达到预期防治效果，且完全依赖采购人协调空管许可的，得4分； </w:t>
            </w:r>
          </w:p>
          <w:p w14:paraId="428ADA8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zh-CN" w:bidi="ar"/>
              </w:rPr>
              <w:t>未提供方案不得分。</w:t>
            </w:r>
          </w:p>
        </w:tc>
      </w:tr>
      <w:tr w14:paraId="1FAE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vAlign w:val="center"/>
          </w:tcPr>
          <w:p w14:paraId="0422F9F8">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903" w:type="dxa"/>
            <w:vMerge w:val="continue"/>
            <w:vAlign w:val="center"/>
          </w:tcPr>
          <w:p w14:paraId="2F80A05F">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210" w:firstLineChars="100"/>
              <w:jc w:val="center"/>
              <w:textAlignment w:val="baseline"/>
              <w:rPr>
                <w:color w:val="auto"/>
                <w:highlight w:val="none"/>
                <w:vertAlign w:val="baseline"/>
              </w:rPr>
            </w:pPr>
          </w:p>
        </w:tc>
        <w:tc>
          <w:tcPr>
            <w:tcW w:w="1038" w:type="dxa"/>
            <w:vMerge w:val="continue"/>
            <w:vAlign w:val="center"/>
          </w:tcPr>
          <w:p w14:paraId="4175E8B4">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1505" w:type="dxa"/>
            <w:shd w:val="clear" w:color="auto" w:fill="auto"/>
            <w:vAlign w:val="center"/>
          </w:tcPr>
          <w:p w14:paraId="0DBAB471">
            <w:pPr>
              <w:keepNext w:val="0"/>
              <w:keepLines w:val="0"/>
              <w:pageBreakBefore w:val="0"/>
              <w:widowControl/>
              <w:suppressLineNumbers w:val="0"/>
              <w:wordWrap/>
              <w:overflowPunct/>
              <w:topLinePunct w:val="0"/>
              <w:autoSpaceDE w:val="0"/>
              <w:autoSpaceDN w:val="0"/>
              <w:bidi w:val="0"/>
              <w:spacing w:line="320" w:lineRule="exact"/>
              <w:jc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质量保障措施</w:t>
            </w:r>
          </w:p>
          <w:p w14:paraId="0B098AE6">
            <w:pPr>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jc w:val="center"/>
              <w:textAlignment w:val="auto"/>
              <w:rPr>
                <w:rFonts w:hint="eastAsia" w:ascii="宋体" w:hAnsi="宋体" w:eastAsia="宋体" w:cs="宋体"/>
                <w:b w:val="0"/>
                <w:bCs/>
                <w:color w:val="C0504D" w:themeColor="accent2"/>
                <w:sz w:val="24"/>
                <w:szCs w:val="24"/>
                <w:highlight w:val="none"/>
                <w:lang w:val="en-US" w:eastAsia="zh-CN" w:bidi="ar-SA"/>
                <w14:textFill>
                  <w14:solidFill>
                    <w14:schemeClr w14:val="accent2"/>
                  </w14:solidFill>
                </w14:textFill>
              </w:rPr>
            </w:pPr>
            <w:r>
              <w:rPr>
                <w:rFonts w:hint="eastAsia" w:ascii="宋体" w:hAnsi="宋体" w:eastAsia="宋体" w:cs="宋体"/>
                <w:b w:val="0"/>
                <w:bCs/>
                <w:color w:val="auto"/>
                <w:sz w:val="24"/>
                <w:szCs w:val="24"/>
                <w:highlight w:val="none"/>
                <w:lang w:val="en-US" w:eastAsia="zh-CN" w:bidi="ar-SA"/>
              </w:rPr>
              <w:t>（10分）</w:t>
            </w:r>
          </w:p>
        </w:tc>
        <w:tc>
          <w:tcPr>
            <w:tcW w:w="5921" w:type="dxa"/>
            <w:shd w:val="clear" w:color="auto" w:fill="auto"/>
            <w:vAlign w:val="center"/>
          </w:tcPr>
          <w:p w14:paraId="0754DFDC">
            <w:pPr>
              <w:keepNext w:val="0"/>
              <w:keepLines w:val="0"/>
              <w:widowControl/>
              <w:suppressLineNumbers w:val="0"/>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横向对比各供应商提供的投标文件：针对本项目拟采取的质量管理方案，包括但不限于管理方式、管理机制、质量管理目标；质量管理层级责任是否清晰等进行综合评定打分：</w:t>
            </w:r>
          </w:p>
          <w:p w14:paraId="06CD0441">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（1）质量管理方案方案清晰、可行度高得10 分；</w:t>
            </w:r>
          </w:p>
          <w:p w14:paraId="79747DCD">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（2）方案实施力度一般、任务分配较明确得7分；</w:t>
            </w:r>
          </w:p>
          <w:p w14:paraId="5EC2A062">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（3）方案可行性不高、主要内容缺失或只有简单描述无实质性内容的的得 4分；</w:t>
            </w:r>
          </w:p>
          <w:p w14:paraId="2B2B6F27">
            <w:pPr>
              <w:keepNext w:val="0"/>
              <w:keepLines w:val="0"/>
              <w:widowControl/>
              <w:numPr>
                <w:ilvl w:val="0"/>
                <w:numId w:val="0"/>
              </w:numPr>
              <w:suppressLineNumbers w:val="0"/>
              <w:jc w:val="left"/>
              <w:rPr>
                <w:rFonts w:hint="eastAsia" w:ascii="宋体" w:hAnsi="宋体" w:eastAsia="宋体" w:cs="宋体"/>
                <w:b/>
                <w:bCs w:val="0"/>
                <w:color w:val="C0504D" w:themeColor="accent2"/>
                <w:sz w:val="24"/>
                <w:szCs w:val="24"/>
                <w:highlight w:val="none"/>
                <w:lang w:val="en-US" w:eastAsia="zh-CN" w:bidi="ar-SA"/>
                <w14:textFill>
                  <w14:solidFill>
                    <w14:schemeClr w14:val="accent2"/>
                  </w14:solidFill>
                </w14:textFill>
              </w:rPr>
            </w:pPr>
            <w:r>
              <w:rPr>
                <w:rFonts w:hint="eastAsia" w:ascii="宋体" w:hAnsi="宋体" w:eastAsia="宋体" w:cs="宋体"/>
                <w:snapToGrid w:val="0"/>
                <w:color w:val="000000"/>
                <w:kern w:val="0"/>
                <w:sz w:val="24"/>
                <w:szCs w:val="24"/>
                <w:highlight w:val="none"/>
                <w:lang w:val="en-US" w:eastAsia="zh-CN" w:bidi="ar"/>
              </w:rPr>
              <w:t>（4）未提供方案不得分。</w:t>
            </w:r>
          </w:p>
        </w:tc>
      </w:tr>
      <w:tr w14:paraId="7B39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vAlign w:val="center"/>
          </w:tcPr>
          <w:p w14:paraId="0D33C4D2">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903" w:type="dxa"/>
            <w:vMerge w:val="continue"/>
            <w:vAlign w:val="center"/>
          </w:tcPr>
          <w:p w14:paraId="05ED951D">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210" w:firstLineChars="100"/>
              <w:jc w:val="center"/>
              <w:textAlignment w:val="baseline"/>
              <w:rPr>
                <w:color w:val="auto"/>
                <w:highlight w:val="none"/>
                <w:vertAlign w:val="baseline"/>
              </w:rPr>
            </w:pPr>
          </w:p>
        </w:tc>
        <w:tc>
          <w:tcPr>
            <w:tcW w:w="1038" w:type="dxa"/>
            <w:vMerge w:val="continue"/>
            <w:vAlign w:val="center"/>
          </w:tcPr>
          <w:p w14:paraId="54CB6C2B">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1505" w:type="dxa"/>
            <w:shd w:val="clear" w:color="auto" w:fill="auto"/>
            <w:vAlign w:val="center"/>
          </w:tcPr>
          <w:p w14:paraId="4FE1072D">
            <w:pPr>
              <w:keepNext w:val="0"/>
              <w:keepLines w:val="0"/>
              <w:pageBreakBefore w:val="0"/>
              <w:widowControl/>
              <w:suppressLineNumbers w:val="0"/>
              <w:wordWrap/>
              <w:overflowPunct/>
              <w:topLinePunct w:val="0"/>
              <w:autoSpaceDE w:val="0"/>
              <w:autoSpaceDN w:val="0"/>
              <w:bidi w:val="0"/>
              <w:spacing w:line="320" w:lineRule="exact"/>
              <w:jc w:val="center"/>
              <w:rPr>
                <w:color w:val="auto"/>
                <w:highlight w:val="none"/>
              </w:rPr>
            </w:pPr>
            <w:r>
              <w:rPr>
                <w:rFonts w:hint="eastAsia" w:ascii="宋体" w:hAnsi="宋体" w:eastAsia="宋体" w:cs="宋体"/>
                <w:snapToGrid w:val="0"/>
                <w:color w:val="auto"/>
                <w:kern w:val="0"/>
                <w:sz w:val="24"/>
                <w:szCs w:val="24"/>
                <w:highlight w:val="none"/>
                <w:lang w:val="en-US" w:eastAsia="zh-CN" w:bidi="ar"/>
              </w:rPr>
              <w:t>安全保障措施</w:t>
            </w:r>
          </w:p>
          <w:p w14:paraId="751D6B73">
            <w:pPr>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jc w:val="center"/>
              <w:textAlignment w:val="auto"/>
              <w:rPr>
                <w:rFonts w:hint="eastAsia" w:ascii="宋体" w:hAnsi="宋体" w:eastAsia="宋体" w:cs="宋体"/>
                <w:b w:val="0"/>
                <w:bCs/>
                <w:color w:val="C0504D" w:themeColor="accent2"/>
                <w:sz w:val="24"/>
                <w:szCs w:val="24"/>
                <w:highlight w:val="none"/>
                <w:lang w:val="en-US" w:eastAsia="zh-CN" w:bidi="ar-SA"/>
                <w14:textFill>
                  <w14:solidFill>
                    <w14:schemeClr w14:val="accent2"/>
                  </w14:solidFill>
                </w14:textFill>
              </w:rPr>
            </w:pPr>
            <w:r>
              <w:rPr>
                <w:rFonts w:hint="eastAsia" w:ascii="宋体" w:hAnsi="宋体" w:eastAsia="宋体" w:cs="宋体"/>
                <w:b w:val="0"/>
                <w:bCs/>
                <w:color w:val="auto"/>
                <w:sz w:val="24"/>
                <w:szCs w:val="24"/>
                <w:highlight w:val="none"/>
                <w:lang w:val="en-US" w:eastAsia="zh-CN" w:bidi="ar-SA"/>
              </w:rPr>
              <w:t>（10分）</w:t>
            </w:r>
          </w:p>
        </w:tc>
        <w:tc>
          <w:tcPr>
            <w:tcW w:w="5921" w:type="dxa"/>
            <w:shd w:val="clear" w:color="auto" w:fill="auto"/>
            <w:vAlign w:val="center"/>
          </w:tcPr>
          <w:p w14:paraId="53E811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right="0" w:rightChars="0" w:firstLine="428" w:firstLineChars="200"/>
              <w:jc w:val="both"/>
              <w:textAlignment w:val="auto"/>
              <w:rPr>
                <w:rFonts w:hint="eastAsia" w:ascii="宋体" w:hAnsi="宋体" w:eastAsia="宋体" w:cs="宋体"/>
                <w:snapToGrid w:val="0"/>
                <w:color w:val="C0504D" w:themeColor="accent2"/>
                <w:spacing w:val="-13"/>
                <w:kern w:val="0"/>
                <w:sz w:val="24"/>
                <w:szCs w:val="24"/>
                <w:highlight w:val="none"/>
                <w:lang w:val="en-US" w:eastAsia="zh-CN" w:bidi="ar-SA"/>
                <w14:textFill>
                  <w14:solidFill>
                    <w14:schemeClr w14:val="accent2"/>
                  </w14:solidFill>
                </w14:textFill>
              </w:rPr>
            </w:pPr>
            <w:r>
              <w:rPr>
                <w:rFonts w:hint="eastAsia" w:ascii="宋体" w:hAnsi="宋体" w:eastAsia="宋体" w:cs="宋体"/>
                <w:snapToGrid w:val="0"/>
                <w:color w:val="auto"/>
                <w:spacing w:val="-13"/>
                <w:kern w:val="0"/>
                <w:sz w:val="24"/>
                <w:szCs w:val="24"/>
                <w:highlight w:val="none"/>
                <w:lang w:val="en-US" w:eastAsia="zh-CN" w:bidi="ar-SA"/>
              </w:rPr>
              <w:t>横向对比各供应商提供的投标文件：投标人根据本项目制定安全保障方案，齐全的安全保障方案内容必须包含但不限于：1.安全制度；2.安全作业措施；3.防火及消防安全措施；4.机具配置；5.安全事故善后处理。 每具有一项得 2 分，最多得 10 分。提供的方案中每有一处具有缺陷（缺陷是指：存在不适用项目实际情况的情形、凭空编造、方案中内容前后不一致、前后逻辑错误、涉及的规范及标准错误、地点区域错误、内容缺失、不符合项目实际情况等）的扣1分，每一项最多扣2分，扣完为止。</w:t>
            </w:r>
          </w:p>
        </w:tc>
      </w:tr>
      <w:tr w14:paraId="78B4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vAlign w:val="center"/>
          </w:tcPr>
          <w:p w14:paraId="259BAFDE">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903" w:type="dxa"/>
            <w:vMerge w:val="continue"/>
            <w:vAlign w:val="center"/>
          </w:tcPr>
          <w:p w14:paraId="2193AF6E">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210" w:firstLineChars="100"/>
              <w:jc w:val="center"/>
              <w:textAlignment w:val="baseline"/>
              <w:rPr>
                <w:color w:val="auto"/>
                <w:highlight w:val="none"/>
                <w:vertAlign w:val="baseline"/>
              </w:rPr>
            </w:pPr>
          </w:p>
        </w:tc>
        <w:tc>
          <w:tcPr>
            <w:tcW w:w="1038" w:type="dxa"/>
            <w:vMerge w:val="continue"/>
            <w:vAlign w:val="center"/>
          </w:tcPr>
          <w:p w14:paraId="55E0F4A8">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1505" w:type="dxa"/>
            <w:shd w:val="clear" w:color="auto" w:fill="auto"/>
            <w:vAlign w:val="center"/>
          </w:tcPr>
          <w:p w14:paraId="09B92A99">
            <w:pPr>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环境保护措施</w:t>
            </w:r>
          </w:p>
          <w:p w14:paraId="6137E633">
            <w:pPr>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jc w:val="center"/>
              <w:textAlignment w:val="auto"/>
              <w:rPr>
                <w:rFonts w:hint="default"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（10</w:t>
            </w:r>
            <w:r>
              <w:rPr>
                <w:rFonts w:hint="eastAsia" w:ascii="宋体" w:hAnsi="宋体" w:eastAsia="宋体" w:cs="宋体"/>
                <w:b w:val="0"/>
                <w:bCs/>
                <w:color w:val="auto"/>
                <w:spacing w:val="-30"/>
                <w:sz w:val="24"/>
                <w:szCs w:val="24"/>
                <w:highlight w:val="none"/>
                <w:lang w:val="en-US" w:eastAsia="zh-CN" w:bidi="ar-SA"/>
              </w:rPr>
              <w:t>分</w:t>
            </w:r>
            <w:r>
              <w:rPr>
                <w:rFonts w:hint="eastAsia" w:ascii="宋体" w:hAnsi="宋体" w:eastAsia="宋体" w:cs="宋体"/>
                <w:b w:val="0"/>
                <w:bCs/>
                <w:color w:val="auto"/>
                <w:sz w:val="24"/>
                <w:szCs w:val="24"/>
                <w:highlight w:val="none"/>
                <w:lang w:val="en-US" w:eastAsia="zh-CN" w:bidi="ar-SA"/>
              </w:rPr>
              <w:t>）</w:t>
            </w:r>
          </w:p>
        </w:tc>
        <w:tc>
          <w:tcPr>
            <w:tcW w:w="5921" w:type="dxa"/>
            <w:shd w:val="clear" w:color="auto" w:fill="auto"/>
            <w:vAlign w:val="center"/>
          </w:tcPr>
          <w:p w14:paraId="687AEB70">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80" w:firstLineChars="200"/>
              <w:jc w:val="both"/>
              <w:textAlignment w:val="auto"/>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
              </w:rPr>
              <w:t>横向对比各供应商提供的投标文件，根据投标人针对本项目制定的</w:t>
            </w:r>
            <w:r>
              <w:rPr>
                <w:rFonts w:hint="eastAsia" w:ascii="宋体" w:hAnsi="宋体" w:eastAsia="宋体" w:cs="宋体"/>
                <w:snapToGrid w:val="0"/>
                <w:color w:val="auto"/>
                <w:spacing w:val="-13"/>
                <w:kern w:val="0"/>
                <w:sz w:val="24"/>
                <w:szCs w:val="24"/>
                <w:highlight w:val="none"/>
                <w:lang w:val="en-US" w:eastAsia="zh-CN" w:bidi="ar-SA"/>
              </w:rPr>
              <w:t>飞行喷洒药剂环境保护方案及措施的内容进行综合打分：</w:t>
            </w:r>
          </w:p>
          <w:p w14:paraId="0D47E09E">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w:t>
            </w:r>
            <w:r>
              <w:rPr>
                <w:rFonts w:hint="eastAsia" w:ascii="宋体" w:hAnsi="宋体" w:eastAsia="宋体" w:cs="宋体"/>
                <w:snapToGrid w:val="0"/>
                <w:color w:val="auto"/>
                <w:spacing w:val="-13"/>
                <w:kern w:val="0"/>
                <w:sz w:val="24"/>
                <w:szCs w:val="24"/>
                <w:highlight w:val="none"/>
                <w:lang w:val="en-US" w:eastAsia="zh-CN" w:bidi="ar-SA"/>
              </w:rPr>
              <w:t>环境保护方案及措施</w:t>
            </w:r>
            <w:r>
              <w:rPr>
                <w:rFonts w:hint="eastAsia" w:ascii="宋体" w:hAnsi="宋体" w:eastAsia="宋体" w:cs="宋体"/>
                <w:snapToGrid w:val="0"/>
                <w:color w:val="000000"/>
                <w:kern w:val="0"/>
                <w:sz w:val="24"/>
                <w:szCs w:val="24"/>
                <w:highlight w:val="none"/>
                <w:lang w:val="en-US" w:eastAsia="zh-CN" w:bidi="ar"/>
              </w:rPr>
              <w:t>清晰、可行度高得10 分；</w:t>
            </w:r>
          </w:p>
          <w:p w14:paraId="4739FE7E">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（2）方案实施力度一般、可行度一般的得7分；</w:t>
            </w:r>
          </w:p>
          <w:p w14:paraId="37F16208">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（3）方案可行性不高、主要内容缺失或只有简单描述无实质性内容的的得 4分；</w:t>
            </w:r>
          </w:p>
          <w:p w14:paraId="4EAA3195">
            <w:pPr>
              <w:pStyle w:val="2"/>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（4）未提供方案不得分。</w:t>
            </w:r>
          </w:p>
        </w:tc>
      </w:tr>
      <w:tr w14:paraId="468C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vAlign w:val="center"/>
          </w:tcPr>
          <w:p w14:paraId="6A5D514E">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903" w:type="dxa"/>
            <w:vMerge w:val="continue"/>
            <w:vAlign w:val="center"/>
          </w:tcPr>
          <w:p w14:paraId="21375257">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210" w:firstLineChars="100"/>
              <w:jc w:val="center"/>
              <w:textAlignment w:val="baseline"/>
              <w:rPr>
                <w:color w:val="auto"/>
                <w:highlight w:val="none"/>
                <w:vertAlign w:val="baseline"/>
              </w:rPr>
            </w:pPr>
          </w:p>
        </w:tc>
        <w:tc>
          <w:tcPr>
            <w:tcW w:w="1038" w:type="dxa"/>
            <w:vMerge w:val="continue"/>
            <w:vAlign w:val="center"/>
          </w:tcPr>
          <w:p w14:paraId="13E823A6">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1505" w:type="dxa"/>
            <w:shd w:val="clear" w:color="auto" w:fill="auto"/>
            <w:vAlign w:val="center"/>
          </w:tcPr>
          <w:p w14:paraId="0765EC03">
            <w:pPr>
              <w:keepNext w:val="0"/>
              <w:keepLines w:val="0"/>
              <w:pageBreakBefore w:val="0"/>
              <w:widowControl/>
              <w:suppressLineNumbers w:val="0"/>
              <w:wordWrap/>
              <w:overflowPunct/>
              <w:topLinePunct w:val="0"/>
              <w:autoSpaceDE w:val="0"/>
              <w:autoSpaceDN w:val="0"/>
              <w:bidi w:val="0"/>
              <w:spacing w:line="320" w:lineRule="exact"/>
              <w:jc w:val="center"/>
              <w:rPr>
                <w:color w:val="auto"/>
                <w:highlight w:val="none"/>
              </w:rPr>
            </w:pPr>
            <w:r>
              <w:rPr>
                <w:rFonts w:hint="eastAsia" w:ascii="宋体" w:hAnsi="宋体" w:eastAsia="宋体" w:cs="宋体"/>
                <w:snapToGrid w:val="0"/>
                <w:color w:val="auto"/>
                <w:kern w:val="0"/>
                <w:sz w:val="24"/>
                <w:szCs w:val="24"/>
                <w:highlight w:val="none"/>
                <w:lang w:val="en-US" w:eastAsia="zh-CN" w:bidi="ar"/>
              </w:rPr>
              <w:t>应急响应方案</w:t>
            </w:r>
          </w:p>
          <w:p w14:paraId="36AAF51D">
            <w:pPr>
              <w:keepNext w:val="0"/>
              <w:keepLines w:val="0"/>
              <w:pageBreakBefore w:val="0"/>
              <w:widowControl/>
              <w:suppressLineNumbers w:val="0"/>
              <w:wordWrap/>
              <w:overflowPunct/>
              <w:topLinePunct w:val="0"/>
              <w:autoSpaceDE w:val="0"/>
              <w:autoSpaceDN w:val="0"/>
              <w:bidi w:val="0"/>
              <w:spacing w:line="320" w:lineRule="exact"/>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（10</w:t>
            </w:r>
            <w:r>
              <w:rPr>
                <w:rFonts w:hint="eastAsia" w:ascii="宋体" w:hAnsi="宋体" w:eastAsia="宋体" w:cs="宋体"/>
                <w:b w:val="0"/>
                <w:bCs/>
                <w:color w:val="auto"/>
                <w:spacing w:val="-30"/>
                <w:sz w:val="24"/>
                <w:szCs w:val="24"/>
                <w:highlight w:val="none"/>
                <w:lang w:val="en-US" w:eastAsia="zh-CN" w:bidi="ar-SA"/>
              </w:rPr>
              <w:t>分</w:t>
            </w:r>
            <w:r>
              <w:rPr>
                <w:rFonts w:hint="eastAsia" w:ascii="宋体" w:hAnsi="宋体" w:eastAsia="宋体" w:cs="宋体"/>
                <w:b w:val="0"/>
                <w:bCs/>
                <w:color w:val="auto"/>
                <w:sz w:val="24"/>
                <w:szCs w:val="24"/>
                <w:highlight w:val="none"/>
                <w:lang w:val="en-US" w:eastAsia="zh-CN" w:bidi="ar-SA"/>
              </w:rPr>
              <w:t>）</w:t>
            </w:r>
          </w:p>
        </w:tc>
        <w:tc>
          <w:tcPr>
            <w:tcW w:w="5921" w:type="dxa"/>
            <w:shd w:val="clear" w:color="auto" w:fill="auto"/>
            <w:vAlign w:val="center"/>
          </w:tcPr>
          <w:p w14:paraId="445B4CD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right="0" w:rightChars="0" w:firstLine="428" w:firstLineChars="200"/>
              <w:jc w:val="both"/>
              <w:textAlignment w:val="auto"/>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 xml:space="preserve">横向对比各供应商提供的投标文件：供应商针对本项目，提供应急响应方案，包括但不限于① 应急管理组织、响应时间、联系人、联系方式等；②应急响应流程；③紧急情况及应对措施等。④应急方案的全面性、合理性等；进行评比：每具有一项得 2.5分，最多得10分。 </w:t>
            </w:r>
          </w:p>
          <w:p w14:paraId="07AAC1C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right="0" w:rightChars="0" w:firstLine="428" w:firstLineChars="200"/>
              <w:jc w:val="both"/>
              <w:textAlignment w:val="auto"/>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提供的方案中每有一处具有缺陷（缺陷是指：存在不适用项目实际情况的情形、凭空编造、方案中内容前后不一致、前后逻辑错误、涉及的规范及标准错误、地点区域错误、内容缺失、不符合项目实际情况等）的扣1分，每一项最多扣2.5分，扣完为止。</w:t>
            </w:r>
          </w:p>
        </w:tc>
      </w:tr>
      <w:tr w14:paraId="4D19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restart"/>
            <w:vAlign w:val="center"/>
          </w:tcPr>
          <w:p w14:paraId="2B63D43B">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r>
              <w:rPr>
                <w:rFonts w:hint="eastAsia" w:ascii="宋体" w:hAnsi="宋体" w:eastAsia="宋体" w:cs="宋体"/>
                <w:color w:val="auto"/>
                <w:sz w:val="24"/>
                <w:szCs w:val="24"/>
                <w:highlight w:val="none"/>
                <w:lang w:val="en-US" w:eastAsia="zh-CN"/>
              </w:rPr>
              <w:t>3</w:t>
            </w:r>
          </w:p>
        </w:tc>
        <w:tc>
          <w:tcPr>
            <w:tcW w:w="903" w:type="dxa"/>
            <w:vMerge w:val="restart"/>
            <w:vAlign w:val="center"/>
          </w:tcPr>
          <w:p w14:paraId="10248DC8">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r>
              <w:rPr>
                <w:rFonts w:hint="eastAsia" w:ascii="宋体" w:hAnsi="宋体" w:eastAsia="宋体" w:cs="宋体"/>
                <w:color w:val="auto"/>
                <w:spacing w:val="-2"/>
                <w:sz w:val="24"/>
                <w:szCs w:val="24"/>
                <w:highlight w:val="none"/>
                <w:lang w:val="en-US" w:eastAsia="zh-CN"/>
              </w:rPr>
              <w:t>综合实力</w:t>
            </w:r>
          </w:p>
        </w:tc>
        <w:tc>
          <w:tcPr>
            <w:tcW w:w="1038" w:type="dxa"/>
            <w:vMerge w:val="restart"/>
            <w:vAlign w:val="center"/>
          </w:tcPr>
          <w:p w14:paraId="13B4569A">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r>
              <w:rPr>
                <w:rFonts w:hint="eastAsia" w:ascii="宋体" w:hAnsi="宋体" w:eastAsia="宋体" w:cs="宋体"/>
                <w:snapToGrid w:val="0"/>
                <w:color w:val="auto"/>
                <w:spacing w:val="-13"/>
                <w:kern w:val="0"/>
                <w:sz w:val="24"/>
                <w:szCs w:val="24"/>
                <w:highlight w:val="none"/>
                <w:lang w:val="en-US" w:eastAsia="zh-CN" w:bidi="ar-SA"/>
              </w:rPr>
              <w:t>15分</w:t>
            </w:r>
          </w:p>
        </w:tc>
        <w:tc>
          <w:tcPr>
            <w:tcW w:w="1505" w:type="dxa"/>
            <w:vAlign w:val="center"/>
          </w:tcPr>
          <w:p w14:paraId="5F64CD0F">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right="0" w:firstLine="4"/>
              <w:jc w:val="center"/>
              <w:textAlignment w:val="baseline"/>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snapToGrid w:val="0"/>
                <w:color w:val="auto"/>
                <w:spacing w:val="-13"/>
                <w:kern w:val="0"/>
                <w:sz w:val="24"/>
                <w:szCs w:val="24"/>
                <w:highlight w:val="none"/>
                <w:lang w:val="en-US" w:eastAsia="en-US" w:bidi="ar-SA"/>
              </w:rPr>
              <w:t>投标人业绩</w:t>
            </w:r>
          </w:p>
          <w:p w14:paraId="78D7CF88">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4" w:firstLineChars="0"/>
              <w:jc w:val="center"/>
              <w:textAlignment w:val="baseline"/>
              <w:rPr>
                <w:color w:val="auto"/>
                <w:highlight w:val="none"/>
                <w:vertAlign w:val="baseline"/>
              </w:rPr>
            </w:pPr>
            <w:r>
              <w:rPr>
                <w:rFonts w:hint="eastAsia" w:ascii="宋体" w:hAnsi="宋体" w:eastAsia="宋体" w:cs="宋体"/>
                <w:snapToGrid w:val="0"/>
                <w:color w:val="auto"/>
                <w:spacing w:val="-13"/>
                <w:kern w:val="0"/>
                <w:sz w:val="24"/>
                <w:szCs w:val="24"/>
                <w:highlight w:val="none"/>
                <w:lang w:val="en-US" w:eastAsia="en-US" w:bidi="ar-SA"/>
              </w:rPr>
              <w:t>（</w:t>
            </w:r>
            <w:r>
              <w:rPr>
                <w:rFonts w:hint="eastAsia" w:ascii="宋体" w:hAnsi="宋体" w:eastAsia="宋体" w:cs="宋体"/>
                <w:snapToGrid w:val="0"/>
                <w:color w:val="auto"/>
                <w:spacing w:val="-13"/>
                <w:kern w:val="0"/>
                <w:sz w:val="24"/>
                <w:szCs w:val="24"/>
                <w:highlight w:val="none"/>
                <w:lang w:val="en-US" w:eastAsia="zh-CN" w:bidi="ar-SA"/>
              </w:rPr>
              <w:t>3</w:t>
            </w:r>
            <w:r>
              <w:rPr>
                <w:rFonts w:hint="eastAsia" w:ascii="宋体" w:hAnsi="宋体" w:eastAsia="宋体" w:cs="宋体"/>
                <w:snapToGrid w:val="0"/>
                <w:color w:val="auto"/>
                <w:spacing w:val="-13"/>
                <w:kern w:val="0"/>
                <w:sz w:val="24"/>
                <w:szCs w:val="24"/>
                <w:highlight w:val="none"/>
                <w:lang w:val="en-US" w:eastAsia="en-US" w:bidi="ar-SA"/>
              </w:rPr>
              <w:t>分）</w:t>
            </w:r>
          </w:p>
        </w:tc>
        <w:tc>
          <w:tcPr>
            <w:tcW w:w="5921" w:type="dxa"/>
            <w:vAlign w:val="center"/>
          </w:tcPr>
          <w:p w14:paraId="7DB8EC61">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2" w:firstLineChars="0"/>
              <w:jc w:val="both"/>
              <w:textAlignment w:val="baseline"/>
              <w:rPr>
                <w:color w:val="auto"/>
                <w:highlight w:val="none"/>
                <w:vertAlign w:val="baseline"/>
              </w:rPr>
            </w:pPr>
            <w:r>
              <w:rPr>
                <w:rFonts w:hint="eastAsia" w:ascii="宋体" w:hAnsi="宋体" w:eastAsia="宋体" w:cs="宋体"/>
                <w:snapToGrid w:val="0"/>
                <w:color w:val="auto"/>
                <w:spacing w:val="-13"/>
                <w:kern w:val="0"/>
                <w:sz w:val="24"/>
                <w:szCs w:val="24"/>
                <w:highlight w:val="none"/>
                <w:lang w:val="en-US" w:eastAsia="zh-CN" w:bidi="ar-SA"/>
              </w:rPr>
              <w:t>2021年1月1日以来具有类似项目业绩，每提供1份业绩得1.5分，最多得3分。不符合上述要求不得分（以合同签订日期为准，提供合同或中标通知书原件的扫描件或复印件）。</w:t>
            </w:r>
          </w:p>
        </w:tc>
      </w:tr>
      <w:tr w14:paraId="1AD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11" w:type="dxa"/>
            <w:vMerge w:val="continue"/>
            <w:vAlign w:val="center"/>
          </w:tcPr>
          <w:p w14:paraId="3D7626B5">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903" w:type="dxa"/>
            <w:vMerge w:val="continue"/>
            <w:vAlign w:val="center"/>
          </w:tcPr>
          <w:p w14:paraId="283AC590">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1038" w:type="dxa"/>
            <w:vMerge w:val="continue"/>
            <w:vAlign w:val="center"/>
          </w:tcPr>
          <w:p w14:paraId="28E37BC8">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1505" w:type="dxa"/>
            <w:vAlign w:val="center"/>
          </w:tcPr>
          <w:p w14:paraId="17EBB83B">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4" w:firstLineChars="0"/>
              <w:jc w:val="center"/>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技术人员</w:t>
            </w:r>
          </w:p>
          <w:p w14:paraId="2D2E6B56">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4" w:firstLineChars="0"/>
              <w:jc w:val="center"/>
              <w:textAlignment w:val="baseline"/>
              <w:rPr>
                <w:color w:val="auto"/>
                <w:highlight w:val="none"/>
                <w:vertAlign w:val="baseline"/>
              </w:rPr>
            </w:pPr>
            <w:r>
              <w:rPr>
                <w:rFonts w:hint="eastAsia" w:ascii="宋体" w:hAnsi="宋体" w:eastAsia="宋体" w:cs="宋体"/>
                <w:snapToGrid w:val="0"/>
                <w:color w:val="auto"/>
                <w:spacing w:val="-13"/>
                <w:kern w:val="0"/>
                <w:sz w:val="24"/>
                <w:szCs w:val="24"/>
                <w:highlight w:val="none"/>
                <w:lang w:val="en-US" w:eastAsia="zh-CN" w:bidi="ar-SA"/>
              </w:rPr>
              <w:t>（5分）</w:t>
            </w:r>
          </w:p>
        </w:tc>
        <w:tc>
          <w:tcPr>
            <w:tcW w:w="5921" w:type="dxa"/>
            <w:vAlign w:val="center"/>
          </w:tcPr>
          <w:p w14:paraId="24B4FAF9">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2" w:firstLineChars="0"/>
              <w:jc w:val="both"/>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供应商拟投入的飞行技术人员具有飞行员执照或无人机操作手证，每提供一个得1分，最多得5分，不提供不得分。</w:t>
            </w:r>
          </w:p>
        </w:tc>
      </w:tr>
      <w:tr w14:paraId="22CF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11" w:type="dxa"/>
            <w:vMerge w:val="continue"/>
            <w:vAlign w:val="center"/>
          </w:tcPr>
          <w:p w14:paraId="1A32D043">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903" w:type="dxa"/>
            <w:vMerge w:val="continue"/>
            <w:vAlign w:val="center"/>
          </w:tcPr>
          <w:p w14:paraId="49B8D9CC">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1038" w:type="dxa"/>
            <w:vMerge w:val="continue"/>
            <w:vAlign w:val="center"/>
          </w:tcPr>
          <w:p w14:paraId="5F01C902">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1505" w:type="dxa"/>
            <w:vAlign w:val="center"/>
          </w:tcPr>
          <w:p w14:paraId="66179A0D">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4" w:firstLineChars="0"/>
              <w:jc w:val="center"/>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服务承诺</w:t>
            </w:r>
          </w:p>
          <w:p w14:paraId="1F4A0FCC">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4" w:firstLineChars="0"/>
              <w:jc w:val="center"/>
              <w:textAlignment w:val="baseline"/>
              <w:rPr>
                <w:rFonts w:hint="default"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（5分）</w:t>
            </w:r>
          </w:p>
        </w:tc>
        <w:tc>
          <w:tcPr>
            <w:tcW w:w="5921" w:type="dxa"/>
            <w:vAlign w:val="center"/>
          </w:tcPr>
          <w:p w14:paraId="248C6225">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428" w:firstLineChars="200"/>
              <w:jc w:val="both"/>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根据投标人对本项目服务承诺条款(响应时间、售后承诺等)等方面进行综合评审:响应快捷、售后承诺具体全面的，得5分；响应时间、售后承诺满足项目需求的，得3分；响应时间、售后承诺有欠缺的，得1分；没有提供售后服务方案的，得0分。</w:t>
            </w:r>
          </w:p>
        </w:tc>
      </w:tr>
      <w:tr w14:paraId="0941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vAlign w:val="center"/>
          </w:tcPr>
          <w:p w14:paraId="530ED04A">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903" w:type="dxa"/>
            <w:vMerge w:val="continue"/>
            <w:vAlign w:val="center"/>
          </w:tcPr>
          <w:p w14:paraId="7CBED3A6">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1038" w:type="dxa"/>
            <w:vMerge w:val="continue"/>
            <w:vAlign w:val="center"/>
          </w:tcPr>
          <w:p w14:paraId="192BE048">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center"/>
              <w:textAlignment w:val="baseline"/>
              <w:rPr>
                <w:color w:val="auto"/>
                <w:highlight w:val="none"/>
                <w:vertAlign w:val="baseline"/>
              </w:rPr>
            </w:pPr>
          </w:p>
        </w:tc>
        <w:tc>
          <w:tcPr>
            <w:tcW w:w="1505" w:type="dxa"/>
            <w:vAlign w:val="center"/>
          </w:tcPr>
          <w:p w14:paraId="53700D9A">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right="0" w:firstLine="4"/>
              <w:jc w:val="center"/>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en-US" w:bidi="ar-SA"/>
              </w:rPr>
              <w:t>信用</w:t>
            </w:r>
            <w:r>
              <w:rPr>
                <w:rFonts w:hint="eastAsia" w:ascii="宋体" w:hAnsi="宋体" w:eastAsia="宋体" w:cs="宋体"/>
                <w:snapToGrid w:val="0"/>
                <w:color w:val="auto"/>
                <w:spacing w:val="-13"/>
                <w:kern w:val="0"/>
                <w:sz w:val="24"/>
                <w:szCs w:val="24"/>
                <w:highlight w:val="none"/>
                <w:lang w:val="en-US" w:eastAsia="zh-CN" w:bidi="ar-SA"/>
              </w:rPr>
              <w:t>评价</w:t>
            </w:r>
          </w:p>
          <w:p w14:paraId="19569E61">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4" w:firstLineChars="0"/>
              <w:jc w:val="center"/>
              <w:textAlignment w:val="baseline"/>
              <w:rPr>
                <w:color w:val="auto"/>
                <w:highlight w:val="none"/>
                <w:vertAlign w:val="baseline"/>
              </w:rPr>
            </w:pPr>
            <w:r>
              <w:rPr>
                <w:rFonts w:hint="eastAsia" w:ascii="宋体" w:hAnsi="宋体" w:eastAsia="宋体" w:cs="宋体"/>
                <w:snapToGrid w:val="0"/>
                <w:color w:val="auto"/>
                <w:spacing w:val="-13"/>
                <w:kern w:val="0"/>
                <w:sz w:val="24"/>
                <w:szCs w:val="24"/>
                <w:highlight w:val="none"/>
                <w:lang w:val="en-US" w:eastAsia="zh-CN" w:bidi="ar-SA"/>
              </w:rPr>
              <w:t>（2分）</w:t>
            </w:r>
          </w:p>
        </w:tc>
        <w:tc>
          <w:tcPr>
            <w:tcW w:w="5921" w:type="dxa"/>
            <w:vAlign w:val="center"/>
          </w:tcPr>
          <w:p w14:paraId="1E67F1CF">
            <w:pPr>
              <w:keepNext w:val="0"/>
              <w:keepLines w:val="0"/>
              <w:widowControl/>
              <w:suppressLineNumbers w:val="0"/>
              <w:jc w:val="left"/>
              <w:rPr>
                <w:rFonts w:hint="eastAsia" w:ascii="宋体" w:hAnsi="宋体" w:eastAsia="宋体" w:cs="宋体"/>
                <w:snapToGrid w:val="0"/>
                <w:color w:val="auto"/>
                <w:spacing w:val="-13"/>
                <w:kern w:val="0"/>
                <w:sz w:val="24"/>
                <w:szCs w:val="24"/>
                <w:highlight w:val="none"/>
                <w:lang w:val="en-US" w:eastAsia="zh-CN" w:bidi="ar-SA"/>
              </w:rPr>
            </w:pPr>
            <w:r>
              <w:rPr>
                <w:rFonts w:ascii="瀹嬩綋" w:hAnsi="瀹嬩綋" w:eastAsia="瀹嬩綋" w:cs="瀹嬩綋"/>
                <w:snapToGrid w:val="0"/>
                <w:color w:val="000000"/>
                <w:kern w:val="0"/>
                <w:sz w:val="24"/>
                <w:szCs w:val="24"/>
                <w:highlight w:val="none"/>
                <w:lang w:val="en-US" w:eastAsia="zh-CN" w:bidi="ar"/>
              </w:rPr>
              <w:t>根据《</w:t>
            </w:r>
            <w:r>
              <w:rPr>
                <w:rFonts w:hint="eastAsia" w:ascii="宋体" w:hAnsi="宋体" w:eastAsia="宋体" w:cs="宋体"/>
                <w:snapToGrid w:val="0"/>
                <w:color w:val="auto"/>
                <w:spacing w:val="-13"/>
                <w:kern w:val="0"/>
                <w:sz w:val="24"/>
                <w:szCs w:val="24"/>
                <w:highlight w:val="none"/>
                <w:lang w:val="en-US" w:eastAsia="zh-CN" w:bidi="ar-SA"/>
              </w:rPr>
              <w:t>邓州市</w:t>
            </w:r>
            <w:r>
              <w:rPr>
                <w:rFonts w:ascii="瀹嬩綋" w:hAnsi="瀹嬩綋" w:eastAsia="瀹嬩綋" w:cs="瀹嬩綋"/>
                <w:snapToGrid w:val="0"/>
                <w:color w:val="000000"/>
                <w:kern w:val="0"/>
                <w:sz w:val="24"/>
                <w:szCs w:val="24"/>
                <w:highlight w:val="none"/>
                <w:lang w:val="en-US" w:eastAsia="zh-CN" w:bidi="ar"/>
              </w:rPr>
              <w:t>政府采购信用评价实施办法》，投标</w:t>
            </w:r>
            <w:r>
              <w:rPr>
                <w:rFonts w:hint="default" w:ascii="瀹嬩綋" w:hAnsi="瀹嬩綋" w:eastAsia="瀹嬩綋" w:cs="瀹嬩綋"/>
                <w:snapToGrid w:val="0"/>
                <w:color w:val="000000"/>
                <w:kern w:val="0"/>
                <w:sz w:val="24"/>
                <w:szCs w:val="24"/>
                <w:highlight w:val="none"/>
                <w:lang w:val="en-US" w:eastAsia="zh-CN" w:bidi="ar"/>
              </w:rPr>
              <w:t>人登录“</w:t>
            </w:r>
            <w:r>
              <w:rPr>
                <w:rFonts w:hint="eastAsia" w:ascii="宋体" w:hAnsi="宋体" w:eastAsia="宋体" w:cs="宋体"/>
                <w:snapToGrid w:val="0"/>
                <w:color w:val="auto"/>
                <w:spacing w:val="-13"/>
                <w:kern w:val="0"/>
                <w:sz w:val="24"/>
                <w:szCs w:val="24"/>
                <w:highlight w:val="none"/>
                <w:lang w:val="en-US" w:eastAsia="zh-CN" w:bidi="ar-SA"/>
              </w:rPr>
              <w:t>邓州</w:t>
            </w:r>
            <w:r>
              <w:rPr>
                <w:rFonts w:hint="default" w:ascii="瀹嬩綋" w:hAnsi="瀹嬩綋" w:eastAsia="瀹嬩綋" w:cs="瀹嬩綋"/>
                <w:snapToGrid w:val="0"/>
                <w:color w:val="000000"/>
                <w:kern w:val="0"/>
                <w:sz w:val="24"/>
                <w:szCs w:val="24"/>
                <w:highlight w:val="none"/>
                <w:lang w:val="en-US" w:eastAsia="zh-CN" w:bidi="ar"/>
              </w:rPr>
              <w:t>市政府采购信用管理系统”打印并提交《</w:t>
            </w:r>
            <w:r>
              <w:rPr>
                <w:rFonts w:hint="eastAsia" w:ascii="宋体" w:hAnsi="宋体" w:eastAsia="宋体" w:cs="宋体"/>
                <w:snapToGrid w:val="0"/>
                <w:color w:val="auto"/>
                <w:spacing w:val="-13"/>
                <w:kern w:val="0"/>
                <w:sz w:val="24"/>
                <w:szCs w:val="24"/>
                <w:highlight w:val="none"/>
                <w:lang w:val="en-US" w:eastAsia="zh-CN" w:bidi="ar-SA"/>
              </w:rPr>
              <w:t>邓州市政府采购供应商信用记录表</w:t>
            </w:r>
            <w:r>
              <w:rPr>
                <w:rFonts w:hint="default" w:ascii="瀹嬩綋" w:hAnsi="瀹嬩綋" w:eastAsia="瀹嬩綋" w:cs="瀹嬩綋"/>
                <w:snapToGrid w:val="0"/>
                <w:color w:val="000000"/>
                <w:kern w:val="0"/>
                <w:sz w:val="24"/>
                <w:szCs w:val="24"/>
                <w:highlight w:val="none"/>
                <w:lang w:val="en-US" w:eastAsia="zh-CN" w:bidi="ar"/>
              </w:rPr>
              <w:t>》，诚信评价为三星级的加</w:t>
            </w:r>
            <w:r>
              <w:rPr>
                <w:rFonts w:hint="eastAsia" w:ascii="宋体" w:hAnsi="宋体" w:eastAsia="宋体" w:cs="宋体"/>
                <w:snapToGrid w:val="0"/>
                <w:color w:val="000000"/>
                <w:kern w:val="0"/>
                <w:sz w:val="24"/>
                <w:szCs w:val="24"/>
                <w:highlight w:val="none"/>
                <w:lang w:val="en-US" w:eastAsia="zh-CN" w:bidi="ar"/>
              </w:rPr>
              <w:t>1分，四星级的加2</w:t>
            </w:r>
            <w:r>
              <w:rPr>
                <w:rFonts w:hint="default" w:ascii="瀹嬩綋" w:hAnsi="瀹嬩綋" w:eastAsia="瀹嬩綋" w:cs="瀹嬩綋"/>
                <w:snapToGrid w:val="0"/>
                <w:color w:val="000000"/>
                <w:kern w:val="0"/>
                <w:sz w:val="24"/>
                <w:szCs w:val="24"/>
                <w:highlight w:val="none"/>
                <w:lang w:val="en-US" w:eastAsia="zh-CN" w:bidi="ar"/>
              </w:rPr>
              <w:t>分，其他不得分。</w:t>
            </w:r>
          </w:p>
          <w:p w14:paraId="2C4A39B0">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firstLine="2" w:firstLineChars="0"/>
              <w:jc w:val="both"/>
              <w:textAlignment w:val="baseline"/>
              <w:rPr>
                <w:color w:val="auto"/>
                <w:highlight w:val="none"/>
                <w:vertAlign w:val="baseline"/>
              </w:rPr>
            </w:pPr>
            <w:r>
              <w:rPr>
                <w:rFonts w:hint="eastAsia" w:ascii="宋体" w:hAnsi="宋体" w:eastAsia="宋体" w:cs="宋体"/>
                <w:b/>
                <w:bCs/>
                <w:snapToGrid w:val="0"/>
                <w:color w:val="auto"/>
                <w:spacing w:val="-13"/>
                <w:kern w:val="0"/>
                <w:sz w:val="24"/>
                <w:szCs w:val="24"/>
                <w:highlight w:val="none"/>
                <w:lang w:val="en-US" w:eastAsia="zh-CN" w:bidi="ar-SA"/>
              </w:rPr>
              <w:t>注：供应商可在投标（响应）文件递交截止前三个工作日，登录“邓州市政府采购信用管理系统”在线打印《邓州市政府采购供应商信用记录表》，作为投标（响应）文件的组成部分提交，评审时作为享受政策支持的依据。</w:t>
            </w:r>
          </w:p>
        </w:tc>
      </w:tr>
      <w:tr w14:paraId="5103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gridSpan w:val="2"/>
            <w:vAlign w:val="center"/>
          </w:tcPr>
          <w:p w14:paraId="04B3E6D8">
            <w:pPr>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both"/>
              <w:textAlignment w:val="baseline"/>
              <w:rPr>
                <w:color w:val="auto"/>
                <w:highlight w:val="none"/>
                <w:vertAlign w:val="baseline"/>
              </w:rPr>
            </w:pPr>
            <w:r>
              <w:rPr>
                <w:rFonts w:hint="eastAsia" w:ascii="宋体" w:hAnsi="宋体" w:eastAsia="宋体" w:cs="宋体"/>
                <w:color w:val="auto"/>
                <w:spacing w:val="-3"/>
                <w:sz w:val="24"/>
                <w:szCs w:val="24"/>
                <w:highlight w:val="none"/>
              </w:rPr>
              <w:t>合计</w:t>
            </w:r>
          </w:p>
        </w:tc>
        <w:tc>
          <w:tcPr>
            <w:tcW w:w="1038" w:type="dxa"/>
            <w:vAlign w:val="center"/>
          </w:tcPr>
          <w:p w14:paraId="00C2E42C">
            <w:pPr>
              <w:pStyle w:val="31"/>
              <w:keepNext w:val="0"/>
              <w:keepLines w:val="0"/>
              <w:pageBreakBefore w:val="0"/>
              <w:widowControl/>
              <w:kinsoku/>
              <w:wordWrap w:val="0"/>
              <w:overflowPunct/>
              <w:topLinePunct w:val="0"/>
              <w:autoSpaceDE w:val="0"/>
              <w:autoSpaceDN w:val="0"/>
              <w:bidi w:val="0"/>
              <w:adjustRightInd w:val="0"/>
              <w:snapToGrid w:val="0"/>
              <w:spacing w:line="360" w:lineRule="exact"/>
              <w:ind w:left="0" w:leftChars="0" w:right="0" w:rightChars="0"/>
              <w:jc w:val="both"/>
              <w:textAlignment w:val="baseline"/>
              <w:rPr>
                <w:color w:val="auto"/>
                <w:highlight w:val="none"/>
                <w:vertAlign w:val="baseline"/>
              </w:rPr>
            </w:pPr>
            <w:r>
              <w:rPr>
                <w:rFonts w:hint="eastAsia" w:ascii="宋体" w:hAnsi="宋体" w:eastAsia="宋体" w:cs="宋体"/>
                <w:color w:val="auto"/>
                <w:spacing w:val="9"/>
                <w:sz w:val="24"/>
                <w:szCs w:val="24"/>
                <w:highlight w:val="none"/>
              </w:rPr>
              <w:t>100</w:t>
            </w:r>
          </w:p>
        </w:tc>
        <w:tc>
          <w:tcPr>
            <w:tcW w:w="7426" w:type="dxa"/>
            <w:gridSpan w:val="2"/>
          </w:tcPr>
          <w:p w14:paraId="540E8730">
            <w:pPr>
              <w:pStyle w:val="27"/>
              <w:jc w:val="both"/>
              <w:rPr>
                <w:color w:val="auto"/>
                <w:kern w:val="0"/>
                <w:highlight w:val="none"/>
                <w:vertAlign w:val="baseline"/>
              </w:rPr>
            </w:pPr>
          </w:p>
        </w:tc>
      </w:tr>
    </w:tbl>
    <w:p w14:paraId="4556DB9F">
      <w:pPr>
        <w:keepNext w:val="0"/>
        <w:keepLines w:val="0"/>
        <w:pageBreakBefore w:val="0"/>
        <w:widowControl/>
        <w:kinsoku/>
        <w:wordWrap w:val="0"/>
        <w:overflowPunct/>
        <w:topLinePunct w:val="0"/>
        <w:autoSpaceDE w:val="0"/>
        <w:autoSpaceDN w:val="0"/>
        <w:bidi w:val="0"/>
        <w:adjustRightInd w:val="0"/>
        <w:snapToGrid w:val="0"/>
        <w:spacing w:after="0" w:line="440" w:lineRule="exact"/>
        <w:jc w:val="both"/>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备注：严格执行《南阳市政府采购负面清单》，根据实际项目需要设置科学合理的评分因素及分值。</w:t>
      </w:r>
    </w:p>
    <w:p w14:paraId="31B2BD16">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11.</w:t>
      </w:r>
      <w:r>
        <w:rPr>
          <w:rFonts w:hint="eastAsia" w:ascii="宋体" w:hAnsi="宋体" w:eastAsia="宋体" w:cs="宋体"/>
          <w:snapToGrid w:val="0"/>
          <w:color w:val="auto"/>
          <w:kern w:val="0"/>
          <w:sz w:val="24"/>
          <w:szCs w:val="24"/>
          <w:highlight w:val="none"/>
          <w:lang w:val="en-US" w:eastAsia="en-US" w:bidi="ar-SA"/>
        </w:rPr>
        <w:t>有下列情况之一的，</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宣布本项目终止：</w:t>
      </w:r>
    </w:p>
    <w:p w14:paraId="79E61E5D">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11.1 </w:t>
      </w:r>
      <w:r>
        <w:rPr>
          <w:rFonts w:hint="eastAsia" w:ascii="宋体" w:hAnsi="宋体" w:eastAsia="宋体" w:cs="宋体"/>
          <w:snapToGrid w:val="0"/>
          <w:color w:val="auto"/>
          <w:kern w:val="0"/>
          <w:sz w:val="24"/>
          <w:szCs w:val="24"/>
          <w:highlight w:val="none"/>
          <w:lang w:val="en-US" w:eastAsia="en-US" w:bidi="ar-SA"/>
        </w:rPr>
        <w:t>因情况变化，不再符合规定的竞争性磋商采购方式适用情形的；</w:t>
      </w:r>
    </w:p>
    <w:p w14:paraId="4362DC16">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11.2 </w:t>
      </w:r>
      <w:r>
        <w:rPr>
          <w:rFonts w:hint="eastAsia" w:ascii="宋体" w:hAnsi="宋体" w:eastAsia="宋体" w:cs="宋体"/>
          <w:snapToGrid w:val="0"/>
          <w:color w:val="auto"/>
          <w:kern w:val="0"/>
          <w:sz w:val="24"/>
          <w:szCs w:val="24"/>
          <w:highlight w:val="none"/>
          <w:lang w:val="en-US" w:eastAsia="en-US" w:bidi="ar-SA"/>
        </w:rPr>
        <w:t>出现影响采购公正的违法、违规行为的；</w:t>
      </w:r>
    </w:p>
    <w:p w14:paraId="6A0A0862">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11.3 </w:t>
      </w:r>
      <w:r>
        <w:rPr>
          <w:rFonts w:hint="eastAsia" w:ascii="宋体" w:hAnsi="宋体" w:eastAsia="宋体" w:cs="宋体"/>
          <w:snapToGrid w:val="0"/>
          <w:color w:val="auto"/>
          <w:kern w:val="0"/>
          <w:sz w:val="24"/>
          <w:szCs w:val="24"/>
          <w:highlight w:val="none"/>
          <w:lang w:val="en-US" w:eastAsia="en-US" w:bidi="ar-SA"/>
        </w:rPr>
        <w:t>法律法规规定的其他情况。</w:t>
      </w:r>
    </w:p>
    <w:p w14:paraId="582FB18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40" w:lineRule="exact"/>
        <w:ind w:firstLine="480" w:firstLineChars="200"/>
        <w:jc w:val="both"/>
        <w:textAlignment w:val="baseline"/>
        <w:rPr>
          <w:rFonts w:hint="eastAsia" w:ascii="仿宋_GB2312" w:hAnsi="仿宋_GB2312" w:eastAsia="仿宋_GB2312" w:cs="仿宋_GB2312"/>
          <w:b/>
          <w:color w:val="auto"/>
          <w:sz w:val="28"/>
          <w:szCs w:val="28"/>
          <w:highlight w:val="none"/>
          <w:lang w:val="en-US" w:eastAsia="zh-CN"/>
        </w:rPr>
      </w:pPr>
      <w:r>
        <w:rPr>
          <w:rFonts w:hint="eastAsia" w:ascii="宋体" w:hAnsi="宋体" w:eastAsia="宋体" w:cs="宋体"/>
          <w:snapToGrid w:val="0"/>
          <w:color w:val="auto"/>
          <w:kern w:val="0"/>
          <w:sz w:val="24"/>
          <w:szCs w:val="24"/>
          <w:highlight w:val="none"/>
          <w:lang w:val="en-US" w:eastAsia="zh-CN" w:bidi="ar-SA"/>
        </w:rPr>
        <w:t>12.</w:t>
      </w:r>
      <w:r>
        <w:rPr>
          <w:rFonts w:hint="eastAsia" w:ascii="宋体" w:hAnsi="宋体" w:eastAsia="宋体" w:cs="宋体"/>
          <w:snapToGrid w:val="0"/>
          <w:color w:val="auto"/>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color w:val="auto"/>
          <w:spacing w:val="-13"/>
          <w:sz w:val="24"/>
          <w:szCs w:val="24"/>
          <w:highlight w:val="none"/>
          <w:lang w:eastAsia="zh-CN"/>
        </w:rPr>
        <w:t>﹝20</w:t>
      </w:r>
      <w:r>
        <w:rPr>
          <w:rFonts w:hint="eastAsia" w:asciiTheme="minorEastAsia" w:hAnsiTheme="minorEastAsia" w:eastAsiaTheme="minorEastAsia" w:cstheme="minorEastAsia"/>
          <w:color w:val="auto"/>
          <w:spacing w:val="-13"/>
          <w:sz w:val="24"/>
          <w:szCs w:val="24"/>
          <w:highlight w:val="none"/>
          <w:lang w:val="en-US" w:eastAsia="zh-CN"/>
        </w:rPr>
        <w:t>15</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宋体" w:hAnsi="宋体" w:eastAsia="宋体" w:cs="宋体"/>
          <w:snapToGrid w:val="0"/>
          <w:color w:val="auto"/>
          <w:kern w:val="0"/>
          <w:sz w:val="24"/>
          <w:szCs w:val="24"/>
          <w:highlight w:val="none"/>
          <w:lang w:val="en-US" w:eastAsia="en-US" w:bidi="ar-SA"/>
        </w:rPr>
        <w:t>124号）等规定执行。</w:t>
      </w:r>
    </w:p>
    <w:p w14:paraId="40CF12E2">
      <w:pPr>
        <w:keepNext w:val="0"/>
        <w:keepLines w:val="0"/>
        <w:pageBreakBefore w:val="0"/>
        <w:widowControl/>
        <w:kinsoku/>
        <w:wordWrap w:val="0"/>
        <w:overflowPunct/>
        <w:topLinePunct w:val="0"/>
        <w:autoSpaceDE w:val="0"/>
        <w:autoSpaceDN w:val="0"/>
        <w:bidi w:val="0"/>
        <w:adjustRightInd w:val="0"/>
        <w:snapToGrid w:val="0"/>
        <w:spacing w:after="0" w:line="440" w:lineRule="exact"/>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六、</w:t>
      </w:r>
      <w:r>
        <w:rPr>
          <w:rFonts w:hint="eastAsia" w:ascii="宋体" w:hAnsi="宋体" w:eastAsia="宋体" w:cs="宋体"/>
          <w:b/>
          <w:bCs/>
          <w:snapToGrid w:val="0"/>
          <w:color w:val="auto"/>
          <w:kern w:val="0"/>
          <w:sz w:val="24"/>
          <w:szCs w:val="24"/>
          <w:highlight w:val="none"/>
          <w:lang w:val="en-US" w:eastAsia="en-US" w:bidi="ar-SA"/>
        </w:rPr>
        <w:t>成交</w:t>
      </w:r>
      <w:r>
        <w:rPr>
          <w:rFonts w:hint="eastAsia" w:ascii="宋体" w:hAnsi="宋体" w:eastAsia="宋体" w:cs="宋体"/>
          <w:b/>
          <w:bCs/>
          <w:snapToGrid w:val="0"/>
          <w:color w:val="auto"/>
          <w:kern w:val="0"/>
          <w:sz w:val="24"/>
          <w:szCs w:val="24"/>
          <w:highlight w:val="none"/>
          <w:lang w:val="en-US" w:eastAsia="zh-CN" w:bidi="ar-SA"/>
        </w:rPr>
        <w:t>通知及</w:t>
      </w:r>
      <w:r>
        <w:rPr>
          <w:rFonts w:hint="eastAsia" w:ascii="宋体" w:hAnsi="宋体" w:eastAsia="宋体" w:cs="宋体"/>
          <w:b/>
          <w:bCs/>
          <w:snapToGrid w:val="0"/>
          <w:color w:val="auto"/>
          <w:kern w:val="0"/>
          <w:sz w:val="24"/>
          <w:szCs w:val="24"/>
          <w:highlight w:val="none"/>
          <w:lang w:val="en-US" w:eastAsia="en-US" w:bidi="ar-SA"/>
        </w:rPr>
        <w:t>签订合同</w:t>
      </w:r>
    </w:p>
    <w:p w14:paraId="279AA309">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成交结果公布</w:t>
      </w:r>
    </w:p>
    <w:p w14:paraId="39C9DA73">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 </w:t>
      </w:r>
      <w:r>
        <w:rPr>
          <w:rFonts w:hint="eastAsia" w:ascii="宋体" w:hAnsi="宋体" w:eastAsia="宋体" w:cs="宋体"/>
          <w:snapToGrid w:val="0"/>
          <w:color w:val="auto"/>
          <w:kern w:val="0"/>
          <w:sz w:val="24"/>
          <w:szCs w:val="24"/>
          <w:highlight w:val="none"/>
          <w:lang w:val="en-US" w:eastAsia="en-US" w:bidi="ar-SA"/>
        </w:rPr>
        <w:t>成交供应商确定后，</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将在“河南省政府采购网”和“</w:t>
      </w:r>
      <w:r>
        <w:rPr>
          <w:rFonts w:hint="eastAsia" w:ascii="宋体" w:hAnsi="宋体" w:eastAsia="宋体" w:cs="宋体"/>
          <w:snapToGrid w:val="0"/>
          <w:color w:val="auto"/>
          <w:kern w:val="0"/>
          <w:sz w:val="24"/>
          <w:szCs w:val="24"/>
          <w:highlight w:val="none"/>
          <w:lang w:val="en-US" w:eastAsia="zh-CN" w:bidi="ar-SA"/>
        </w:rPr>
        <w:t>全国公共资源交易平台（河南省·南阳邓州分平台）</w:t>
      </w:r>
      <w:r>
        <w:rPr>
          <w:rFonts w:hint="eastAsia" w:ascii="宋体" w:hAnsi="宋体" w:eastAsia="宋体" w:cs="宋体"/>
          <w:snapToGrid w:val="0"/>
          <w:color w:val="auto"/>
          <w:kern w:val="0"/>
          <w:sz w:val="24"/>
          <w:szCs w:val="24"/>
          <w:highlight w:val="none"/>
          <w:lang w:val="en-US" w:eastAsia="en-US" w:bidi="ar-SA"/>
        </w:rPr>
        <w:t>”上发布成交公告。</w:t>
      </w:r>
    </w:p>
    <w:p w14:paraId="25CD1267">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1.2 </w:t>
      </w:r>
      <w:r>
        <w:rPr>
          <w:rFonts w:hint="eastAsia" w:ascii="宋体" w:hAnsi="宋体" w:eastAsia="宋体" w:cs="宋体"/>
          <w:snapToGrid w:val="0"/>
          <w:color w:val="auto"/>
          <w:kern w:val="0"/>
          <w:sz w:val="24"/>
          <w:szCs w:val="24"/>
          <w:highlight w:val="none"/>
          <w:lang w:val="en-US" w:eastAsia="en-US" w:bidi="ar-SA"/>
        </w:rPr>
        <w:t>如项目终止，成交结果公告以“河南省政府采购网”发布的为准。</w:t>
      </w:r>
    </w:p>
    <w:p w14:paraId="329C93BD">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发出成交通知书</w:t>
      </w:r>
    </w:p>
    <w:p w14:paraId="31CE6AC3">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2.1 </w:t>
      </w:r>
      <w:r>
        <w:rPr>
          <w:rFonts w:hint="eastAsia" w:ascii="宋体" w:hAnsi="宋体" w:eastAsia="宋体" w:cs="宋体"/>
          <w:snapToGrid w:val="0"/>
          <w:color w:val="auto"/>
          <w:kern w:val="0"/>
          <w:sz w:val="24"/>
          <w:szCs w:val="24"/>
          <w:highlight w:val="none"/>
          <w:lang w:val="en-US" w:eastAsia="en-US" w:bidi="ar-SA"/>
        </w:rPr>
        <w:t>根据成交结果，</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通过“</w:t>
      </w:r>
      <w:r>
        <w:rPr>
          <w:rFonts w:hint="eastAsia" w:ascii="宋体" w:hAnsi="宋体" w:cs="宋体"/>
          <w:color w:val="auto"/>
          <w:sz w:val="24"/>
          <w:highlight w:val="none"/>
        </w:rPr>
        <w:t>全国公共资源交易平台（</w:t>
      </w:r>
      <w:r>
        <w:rPr>
          <w:rFonts w:hint="eastAsia" w:ascii="宋体" w:hAnsi="宋体" w:eastAsia="宋体" w:cs="宋体"/>
          <w:color w:val="auto"/>
          <w:sz w:val="24"/>
          <w:highlight w:val="none"/>
          <w:lang w:eastAsia="zh-CN"/>
        </w:rPr>
        <w:t>河南省·南阳邓州分平台</w:t>
      </w:r>
      <w:r>
        <w:rPr>
          <w:rFonts w:hint="eastAsia" w:ascii="宋体" w:hAnsi="宋体" w:cs="宋体"/>
          <w:color w:val="auto"/>
          <w:sz w:val="24"/>
          <w:highlight w:val="none"/>
        </w:rPr>
        <w:t>）</w:t>
      </w:r>
      <w:r>
        <w:rPr>
          <w:rFonts w:hint="eastAsia" w:ascii="宋体" w:hAnsi="宋体" w:eastAsia="宋体" w:cs="宋体"/>
          <w:snapToGrid w:val="0"/>
          <w:color w:val="auto"/>
          <w:kern w:val="0"/>
          <w:sz w:val="24"/>
          <w:szCs w:val="24"/>
          <w:highlight w:val="none"/>
          <w:lang w:val="en-US" w:eastAsia="en-US" w:bidi="ar-SA"/>
        </w:rPr>
        <w:t>”向成交供应商发出电子成交通知书，成交供应商可</w:t>
      </w:r>
      <w:r>
        <w:rPr>
          <w:rFonts w:hint="eastAsia" w:ascii="宋体" w:hAnsi="宋体" w:eastAsia="宋体" w:cs="宋体"/>
          <w:snapToGrid w:val="0"/>
          <w:color w:val="auto"/>
          <w:kern w:val="0"/>
          <w:sz w:val="24"/>
          <w:szCs w:val="24"/>
          <w:highlight w:val="none"/>
          <w:lang w:val="en-US" w:eastAsia="zh-CN" w:bidi="ar-SA"/>
        </w:rPr>
        <w:t>登录</w:t>
      </w:r>
      <w:r>
        <w:rPr>
          <w:rFonts w:hint="eastAsia" w:ascii="宋体" w:hAnsi="宋体" w:cs="宋体"/>
          <w:color w:val="auto"/>
          <w:sz w:val="24"/>
          <w:highlight w:val="none"/>
        </w:rPr>
        <w:t>全国公共资源交易平台（</w:t>
      </w:r>
      <w:r>
        <w:rPr>
          <w:rFonts w:hint="eastAsia" w:ascii="宋体" w:hAnsi="宋体" w:eastAsia="宋体" w:cs="宋体"/>
          <w:color w:val="auto"/>
          <w:sz w:val="24"/>
          <w:highlight w:val="none"/>
          <w:lang w:eastAsia="zh-CN"/>
        </w:rPr>
        <w:t>河南省·南阳邓州分平台</w:t>
      </w:r>
      <w:r>
        <w:rPr>
          <w:rFonts w:hint="eastAsia" w:ascii="宋体" w:hAnsi="宋体" w:cs="宋体"/>
          <w:color w:val="auto"/>
          <w:sz w:val="24"/>
          <w:highlight w:val="none"/>
        </w:rPr>
        <w:t>）</w:t>
      </w:r>
      <w:r>
        <w:rPr>
          <w:rFonts w:hint="eastAsia" w:ascii="宋体" w:hAnsi="宋体" w:eastAsia="宋体" w:cs="宋体"/>
          <w:snapToGrid w:val="0"/>
          <w:color w:val="auto"/>
          <w:kern w:val="0"/>
          <w:sz w:val="24"/>
          <w:szCs w:val="24"/>
          <w:highlight w:val="none"/>
          <w:lang w:val="en-US" w:eastAsia="zh-CN" w:bidi="ar-SA"/>
        </w:rPr>
        <w:t>系统</w:t>
      </w:r>
      <w:r>
        <w:rPr>
          <w:rFonts w:hint="eastAsia" w:ascii="宋体" w:hAnsi="宋体" w:eastAsia="宋体" w:cs="宋体"/>
          <w:snapToGrid w:val="0"/>
          <w:color w:val="auto"/>
          <w:kern w:val="0"/>
          <w:sz w:val="24"/>
          <w:szCs w:val="24"/>
          <w:highlight w:val="none"/>
          <w:lang w:val="en-US" w:eastAsia="en-US" w:bidi="ar-SA"/>
        </w:rPr>
        <w:t>，自行打印加盖电子签章的成交通知书。</w:t>
      </w:r>
    </w:p>
    <w:p w14:paraId="3F396243">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2.2 </w:t>
      </w:r>
      <w:r>
        <w:rPr>
          <w:rFonts w:hint="eastAsia" w:ascii="宋体" w:hAnsi="宋体" w:eastAsia="宋体" w:cs="宋体"/>
          <w:snapToGrid w:val="0"/>
          <w:color w:val="auto"/>
          <w:kern w:val="0"/>
          <w:sz w:val="24"/>
          <w:szCs w:val="24"/>
          <w:highlight w:val="none"/>
          <w:lang w:val="en-US" w:eastAsia="en-US" w:bidi="ar-SA"/>
        </w:rPr>
        <w:t>《成交通知书》是签订政府采购合同的重要依据，对采购人与成交供应商具有法律效力。</w:t>
      </w:r>
    </w:p>
    <w:p w14:paraId="53D13E86">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签订合同</w:t>
      </w:r>
    </w:p>
    <w:p w14:paraId="6F7DD966">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3.1 </w:t>
      </w:r>
      <w:r>
        <w:rPr>
          <w:rFonts w:hint="eastAsia" w:ascii="宋体" w:hAnsi="宋体" w:eastAsia="宋体" w:cs="宋体"/>
          <w:snapToGrid w:val="0"/>
          <w:color w:val="auto"/>
          <w:kern w:val="0"/>
          <w:sz w:val="24"/>
          <w:szCs w:val="24"/>
          <w:highlight w:val="none"/>
          <w:lang w:val="en-US" w:eastAsia="en-US" w:bidi="ar-SA"/>
        </w:rPr>
        <w:t>成交供应商和采购人应在《成交通知书》发出</w:t>
      </w:r>
      <w:r>
        <w:rPr>
          <w:rFonts w:hint="eastAsia" w:ascii="宋体" w:hAnsi="宋体" w:eastAsia="宋体" w:cs="宋体"/>
          <w:snapToGrid w:val="0"/>
          <w:color w:val="auto"/>
          <w:kern w:val="0"/>
          <w:sz w:val="24"/>
          <w:szCs w:val="24"/>
          <w:highlight w:val="none"/>
          <w:lang w:val="en-US" w:eastAsia="zh-CN" w:bidi="ar-SA"/>
        </w:rPr>
        <w:t>后及时</w:t>
      </w:r>
      <w:r>
        <w:rPr>
          <w:rFonts w:hint="eastAsia" w:ascii="宋体" w:hAnsi="宋体" w:eastAsia="宋体" w:cs="宋体"/>
          <w:snapToGrid w:val="0"/>
          <w:color w:val="auto"/>
          <w:kern w:val="0"/>
          <w:sz w:val="24"/>
          <w:szCs w:val="24"/>
          <w:highlight w:val="none"/>
          <w:lang w:val="en-US" w:eastAsia="en-US" w:bidi="ar-SA"/>
        </w:rPr>
        <w:t>签订政府采购合同，逾期无故不签订的，按《政府采购竞争性磋商采购方式管理暂行办法》及有关规定处理。</w:t>
      </w:r>
    </w:p>
    <w:p w14:paraId="7419BF3C">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3.2 </w:t>
      </w:r>
      <w:r>
        <w:rPr>
          <w:rFonts w:hint="eastAsia" w:ascii="宋体" w:hAnsi="宋体" w:eastAsia="宋体" w:cs="宋体"/>
          <w:snapToGrid w:val="0"/>
          <w:color w:val="auto"/>
          <w:kern w:val="0"/>
          <w:sz w:val="24"/>
          <w:szCs w:val="24"/>
          <w:highlight w:val="none"/>
          <w:lang w:val="en-US" w:eastAsia="en-US" w:bidi="ar-SA"/>
        </w:rPr>
        <w:t>竞争性磋商文件、响应文件、供应商在磋商过程中的承诺以及确认材料，均为合同的有效组成部分。</w:t>
      </w:r>
    </w:p>
    <w:p w14:paraId="547444DF">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3.3 </w:t>
      </w:r>
      <w:r>
        <w:rPr>
          <w:rFonts w:hint="eastAsia" w:ascii="宋体" w:hAnsi="宋体" w:eastAsia="宋体" w:cs="宋体"/>
          <w:snapToGrid w:val="0"/>
          <w:color w:val="auto"/>
          <w:kern w:val="0"/>
          <w:sz w:val="24"/>
          <w:szCs w:val="24"/>
          <w:highlight w:val="none"/>
          <w:lang w:val="en-US" w:eastAsia="en-US" w:bidi="ar-SA"/>
        </w:rPr>
        <w:t>如果成交供应商不按其响应文件承诺和竞争性磋商文件要求签订政府采购合同，采购人将取消其成交资格。</w:t>
      </w:r>
    </w:p>
    <w:p w14:paraId="7E4E4AD6">
      <w:pPr>
        <w:keepNext w:val="0"/>
        <w:keepLines w:val="0"/>
        <w:pageBreakBefore w:val="0"/>
        <w:widowControl/>
        <w:kinsoku/>
        <w:wordWrap w:val="0"/>
        <w:overflowPunct/>
        <w:topLinePunct w:val="0"/>
        <w:autoSpaceDE w:val="0"/>
        <w:autoSpaceDN w:val="0"/>
        <w:bidi w:val="0"/>
        <w:adjustRightInd w:val="0"/>
        <w:snapToGrid w:val="0"/>
        <w:spacing w:after="0" w:line="440" w:lineRule="exact"/>
        <w:jc w:val="both"/>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七、</w:t>
      </w:r>
      <w:r>
        <w:rPr>
          <w:rFonts w:hint="eastAsia" w:ascii="宋体" w:hAnsi="宋体" w:eastAsia="宋体" w:cs="宋体"/>
          <w:b/>
          <w:bCs/>
          <w:snapToGrid w:val="0"/>
          <w:color w:val="auto"/>
          <w:kern w:val="0"/>
          <w:sz w:val="24"/>
          <w:szCs w:val="24"/>
          <w:highlight w:val="none"/>
          <w:lang w:val="en-US" w:eastAsia="en-US" w:bidi="ar-SA"/>
        </w:rPr>
        <w:t>质疑与答复</w:t>
      </w:r>
    </w:p>
    <w:p w14:paraId="27D3025C">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w:t>
      </w:r>
      <w:r>
        <w:rPr>
          <w:rFonts w:hint="default" w:ascii="宋体" w:hAnsi="宋体" w:eastAsia="宋体" w:cs="宋体"/>
          <w:snapToGrid w:val="0"/>
          <w:color w:val="auto"/>
          <w:kern w:val="0"/>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D6AD105">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r>
        <w:rPr>
          <w:rFonts w:hint="default" w:ascii="宋体" w:hAnsi="宋体" w:eastAsia="宋体" w:cs="宋体"/>
          <w:snapToGrid w:val="0"/>
          <w:color w:val="auto"/>
          <w:kern w:val="0"/>
          <w:sz w:val="24"/>
          <w:szCs w:val="24"/>
          <w:highlight w:val="none"/>
          <w:lang w:val="en-US" w:eastAsia="zh-CN" w:bidi="ar-SA"/>
        </w:rPr>
        <w:t>质疑函须按照财政</w:t>
      </w:r>
      <w:r>
        <w:rPr>
          <w:rFonts w:hint="eastAsia" w:ascii="宋体" w:hAnsi="宋体" w:eastAsia="宋体" w:cs="宋体"/>
          <w:snapToGrid w:val="0"/>
          <w:color w:val="auto"/>
          <w:kern w:val="0"/>
          <w:sz w:val="24"/>
          <w:szCs w:val="24"/>
          <w:highlight w:val="none"/>
          <w:lang w:val="en-US" w:eastAsia="zh-CN" w:bidi="ar-SA"/>
        </w:rPr>
        <w:t>部门</w:t>
      </w:r>
      <w:r>
        <w:rPr>
          <w:rFonts w:hint="default" w:ascii="宋体" w:hAnsi="宋体" w:eastAsia="宋体" w:cs="宋体"/>
          <w:snapToGrid w:val="0"/>
          <w:color w:val="auto"/>
          <w:kern w:val="0"/>
          <w:sz w:val="24"/>
          <w:szCs w:val="24"/>
          <w:highlight w:val="none"/>
          <w:lang w:val="en-US" w:eastAsia="zh-CN" w:bidi="ar-SA"/>
        </w:rPr>
        <w:t>发布的质疑函范本格式编制，质疑事项应具体、明确，并有必要的事实依据和法律依据。</w:t>
      </w:r>
    </w:p>
    <w:p w14:paraId="72867625">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w:t>
      </w:r>
      <w:r>
        <w:rPr>
          <w:rFonts w:hint="default" w:ascii="宋体" w:hAnsi="宋体" w:eastAsia="宋体" w:cs="宋体"/>
          <w:snapToGrid w:val="0"/>
          <w:color w:val="auto"/>
          <w:kern w:val="0"/>
          <w:sz w:val="24"/>
          <w:szCs w:val="24"/>
          <w:highlight w:val="none"/>
          <w:lang w:val="en-US" w:eastAsia="zh-CN" w:bidi="ar-SA"/>
        </w:rPr>
        <w:t>接收质疑的方式：</w:t>
      </w:r>
    </w:p>
    <w:p w14:paraId="4D4C9508">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3.1 </w:t>
      </w:r>
      <w:r>
        <w:rPr>
          <w:rFonts w:hint="default" w:ascii="宋体" w:hAnsi="宋体" w:eastAsia="宋体" w:cs="宋体"/>
          <w:snapToGrid w:val="0"/>
          <w:color w:val="auto"/>
          <w:kern w:val="0"/>
          <w:sz w:val="24"/>
          <w:szCs w:val="24"/>
          <w:highlight w:val="none"/>
          <w:lang w:val="en-US" w:eastAsia="zh-CN" w:bidi="ar-SA"/>
        </w:rPr>
        <w:t>在线接收，请质疑人上传质疑函原件扫描件到</w:t>
      </w:r>
      <w:r>
        <w:rPr>
          <w:rFonts w:hint="eastAsia" w:ascii="宋体" w:hAnsi="宋体" w:cs="宋体"/>
          <w:color w:val="auto"/>
          <w:sz w:val="24"/>
          <w:highlight w:val="none"/>
        </w:rPr>
        <w:t>全国公共资源交易平台（</w:t>
      </w:r>
      <w:r>
        <w:rPr>
          <w:rFonts w:hint="eastAsia" w:ascii="宋体" w:hAnsi="宋体" w:eastAsia="宋体" w:cs="宋体"/>
          <w:color w:val="auto"/>
          <w:sz w:val="24"/>
          <w:highlight w:val="none"/>
          <w:lang w:eastAsia="zh-CN"/>
        </w:rPr>
        <w:t>河南省·南阳邓州分平台</w:t>
      </w:r>
      <w:r>
        <w:rPr>
          <w:rFonts w:hint="eastAsia" w:ascii="宋体" w:hAnsi="宋体" w:cs="宋体"/>
          <w:color w:val="auto"/>
          <w:sz w:val="24"/>
          <w:highlight w:val="none"/>
        </w:rPr>
        <w:t>）</w:t>
      </w:r>
      <w:r>
        <w:rPr>
          <w:rFonts w:hint="default" w:ascii="宋体" w:hAnsi="宋体" w:eastAsia="宋体" w:cs="宋体"/>
          <w:snapToGrid w:val="0"/>
          <w:color w:val="auto"/>
          <w:kern w:val="0"/>
          <w:sz w:val="24"/>
          <w:szCs w:val="24"/>
          <w:highlight w:val="none"/>
          <w:lang w:val="en-US" w:eastAsia="zh-CN" w:bidi="ar-SA"/>
        </w:rPr>
        <w:t>交易系统并电话通知到项目负责人。</w:t>
      </w:r>
    </w:p>
    <w:p w14:paraId="21AC3E92">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3.2 </w:t>
      </w:r>
      <w:r>
        <w:rPr>
          <w:rFonts w:hint="default" w:ascii="宋体" w:hAnsi="宋体" w:eastAsia="宋体" w:cs="宋体"/>
          <w:snapToGrid w:val="0"/>
          <w:color w:val="auto"/>
          <w:kern w:val="0"/>
          <w:sz w:val="24"/>
          <w:szCs w:val="24"/>
          <w:highlight w:val="none"/>
          <w:lang w:val="en-US" w:eastAsia="zh-CN" w:bidi="ar-SA"/>
        </w:rPr>
        <w:t>书面提交，请质疑人将质疑函原件送达或邮寄至采购单位联系人和</w:t>
      </w:r>
      <w:r>
        <w:rPr>
          <w:rFonts w:hint="eastAsia" w:ascii="宋体" w:hAnsi="宋体" w:eastAsia="宋体" w:cs="宋体"/>
          <w:snapToGrid w:val="0"/>
          <w:color w:val="auto"/>
          <w:kern w:val="0"/>
          <w:sz w:val="24"/>
          <w:szCs w:val="24"/>
          <w:highlight w:val="none"/>
          <w:lang w:val="en-US" w:eastAsia="zh-CN" w:bidi="ar-SA"/>
        </w:rPr>
        <w:t>采购代理机构</w:t>
      </w:r>
      <w:r>
        <w:rPr>
          <w:rFonts w:hint="default" w:ascii="宋体" w:hAnsi="宋体" w:eastAsia="宋体" w:cs="宋体"/>
          <w:snapToGrid w:val="0"/>
          <w:color w:val="auto"/>
          <w:kern w:val="0"/>
          <w:sz w:val="24"/>
          <w:szCs w:val="24"/>
          <w:highlight w:val="none"/>
          <w:lang w:val="en-US" w:eastAsia="zh-CN" w:bidi="ar-SA"/>
        </w:rPr>
        <w:t>项目负责人，联系方式及地址详见采购公告。</w:t>
      </w:r>
    </w:p>
    <w:p w14:paraId="68638EBB">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r>
        <w:rPr>
          <w:rFonts w:hint="default" w:ascii="宋体" w:hAnsi="宋体" w:eastAsia="宋体" w:cs="宋体"/>
          <w:snapToGrid w:val="0"/>
          <w:color w:val="auto"/>
          <w:kern w:val="0"/>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39BDCD7E">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5.</w:t>
      </w:r>
      <w:r>
        <w:rPr>
          <w:rFonts w:hint="default" w:ascii="宋体" w:hAnsi="宋体" w:eastAsia="宋体" w:cs="宋体"/>
          <w:snapToGrid w:val="0"/>
          <w:color w:val="auto"/>
          <w:kern w:val="0"/>
          <w:sz w:val="24"/>
          <w:szCs w:val="24"/>
          <w:highlight w:val="none"/>
          <w:lang w:val="en-US" w:eastAsia="zh-CN" w:bidi="ar-SA"/>
        </w:rPr>
        <w:t>采购人和采购代理机构在收到质疑函后7个工作日内作出答复，并以书面形式通知质疑供应商和其他有关供应商。</w:t>
      </w:r>
    </w:p>
    <w:p w14:paraId="5D43D641">
      <w:pPr>
        <w:keepNext w:val="0"/>
        <w:keepLines w:val="0"/>
        <w:pageBreakBefore w:val="0"/>
        <w:widowControl/>
        <w:kinsoku/>
        <w:wordWrap w:val="0"/>
        <w:overflowPunct/>
        <w:topLinePunct w:val="0"/>
        <w:autoSpaceDE w:val="0"/>
        <w:autoSpaceDN w:val="0"/>
        <w:bidi w:val="0"/>
        <w:adjustRightInd w:val="0"/>
        <w:snapToGrid w:val="0"/>
        <w:spacing w:after="0" w:line="440" w:lineRule="exact"/>
        <w:jc w:val="both"/>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八、</w:t>
      </w:r>
      <w:r>
        <w:rPr>
          <w:rFonts w:hint="eastAsia" w:ascii="宋体" w:hAnsi="宋体" w:eastAsia="宋体" w:cs="宋体"/>
          <w:b/>
          <w:bCs/>
          <w:snapToGrid w:val="0"/>
          <w:color w:val="auto"/>
          <w:kern w:val="0"/>
          <w:sz w:val="24"/>
          <w:szCs w:val="24"/>
          <w:highlight w:val="none"/>
          <w:lang w:val="en-US" w:eastAsia="en-US" w:bidi="ar-SA"/>
        </w:rPr>
        <w:t>注意事项</w:t>
      </w:r>
    </w:p>
    <w:p w14:paraId="2301ABA9">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提出。</w:t>
      </w:r>
    </w:p>
    <w:p w14:paraId="7398FF56">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供应商必须由法定代表人或授权代表参加磋商，随时接受磋商小组的询问、质疑，并按照磋商小组的要求答复。</w:t>
      </w:r>
    </w:p>
    <w:p w14:paraId="2010AF97">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供应商自行承担参加竞争性磋商的全部费用。</w:t>
      </w:r>
    </w:p>
    <w:p w14:paraId="2C648B1F">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en-US" w:bidi="ar-SA"/>
        </w:rPr>
        <w:t>本竞争性磋商文件最终解释权归</w:t>
      </w:r>
      <w:r>
        <w:rPr>
          <w:rFonts w:hint="eastAsia" w:ascii="宋体" w:hAnsi="宋体" w:eastAsia="宋体" w:cs="宋体"/>
          <w:snapToGrid w:val="0"/>
          <w:color w:val="auto"/>
          <w:kern w:val="0"/>
          <w:sz w:val="24"/>
          <w:szCs w:val="24"/>
          <w:highlight w:val="none"/>
          <w:lang w:val="en-US" w:eastAsia="zh-CN" w:bidi="ar-SA"/>
        </w:rPr>
        <w:t>采购人及采购代理机构</w:t>
      </w:r>
      <w:r>
        <w:rPr>
          <w:rFonts w:hint="eastAsia" w:ascii="宋体" w:hAnsi="宋体" w:eastAsia="宋体" w:cs="宋体"/>
          <w:snapToGrid w:val="0"/>
          <w:color w:val="auto"/>
          <w:kern w:val="0"/>
          <w:sz w:val="24"/>
          <w:szCs w:val="24"/>
          <w:highlight w:val="none"/>
          <w:lang w:val="en-US" w:eastAsia="en-US" w:bidi="ar-SA"/>
        </w:rPr>
        <w:t>。</w:t>
      </w:r>
    </w:p>
    <w:p w14:paraId="12624710">
      <w:pP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br w:type="page"/>
      </w:r>
    </w:p>
    <w:p w14:paraId="42F84AE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河南省政府采购合同融资政策告知函</w:t>
      </w:r>
    </w:p>
    <w:p w14:paraId="52AAB6F3">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各供应商：</w:t>
      </w:r>
    </w:p>
    <w:p w14:paraId="0E1C7213">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欢迎贵公司参与河南省政府采购活动!</w:t>
      </w:r>
    </w:p>
    <w:p w14:paraId="550B82E5">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C057022">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贷款渠道和提供贷款的金融机构，可在河南省政府采购网“河南省政府采购合同融资平台”查询联系。</w:t>
      </w:r>
    </w:p>
    <w:p w14:paraId="685C9748">
      <w:pPr>
        <w:keepNext w:val="0"/>
        <w:keepLines w:val="0"/>
        <w:pageBreakBefore w:val="0"/>
        <w:widowControl/>
        <w:kinsoku/>
        <w:wordWrap w:val="0"/>
        <w:overflowPunct/>
        <w:topLinePunct w:val="0"/>
        <w:autoSpaceDE w:val="0"/>
        <w:autoSpaceDN w:val="0"/>
        <w:bidi w:val="0"/>
        <w:adjustRightInd w:val="0"/>
        <w:snapToGrid w:val="0"/>
        <w:spacing w:after="0" w:line="440" w:lineRule="exact"/>
        <w:ind w:firstLine="43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329FC669">
      <w:pPr>
        <w:rPr>
          <w:rFonts w:hint="eastAsia" w:asciiTheme="minorEastAsia" w:hAnsiTheme="minorEastAsia" w:eastAsiaTheme="minorEastAsia" w:cstheme="minorEastAsia"/>
          <w:b w:val="0"/>
          <w:snapToGrid w:val="0"/>
          <w:color w:val="auto"/>
          <w:spacing w:val="-1"/>
          <w:kern w:val="0"/>
          <w:sz w:val="36"/>
          <w:szCs w:val="36"/>
          <w:highlight w:val="none"/>
          <w:lang w:val="en-US" w:eastAsia="en-US" w:bidi="ar-SA"/>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val="0"/>
          <w:snapToGrid w:val="0"/>
          <w:color w:val="auto"/>
          <w:spacing w:val="-1"/>
          <w:kern w:val="0"/>
          <w:sz w:val="36"/>
          <w:szCs w:val="36"/>
          <w:highlight w:val="none"/>
          <w:lang w:val="en-US" w:eastAsia="en-US" w:bidi="ar-SA"/>
          <w14:textOutline w14:w="2306" w14:cap="flat" w14:cmpd="sng">
            <w14:solidFill>
              <w14:srgbClr w14:val="000000"/>
            </w14:solidFill>
            <w14:prstDash w14:val="solid"/>
            <w14:miter w14:val="0"/>
          </w14:textOutline>
        </w:rPr>
        <w:br w:type="page"/>
      </w:r>
    </w:p>
    <w:p w14:paraId="6AE50A9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pPr>
      <w:bookmarkStart w:id="38" w:name="_Toc20224"/>
      <w:r>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t>第五章</w:t>
      </w:r>
      <w:r>
        <w:rPr>
          <w:rFonts w:hint="eastAsia" w:asciiTheme="minorEastAsia" w:hAnsiTheme="minorEastAsia" w:eastAsiaTheme="minorEastAsia" w:cstheme="minorEastAsia"/>
          <w:b w:val="0"/>
          <w:snapToGrid w:val="0"/>
          <w:color w:val="auto"/>
          <w:spacing w:val="-1"/>
          <w:kern w:val="0"/>
          <w:sz w:val="52"/>
          <w:szCs w:val="52"/>
          <w:highlight w:val="none"/>
          <w:lang w:val="en-US" w:eastAsia="zh-CN" w:bidi="ar-SA"/>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t>合同草案条款</w:t>
      </w:r>
      <w:bookmarkEnd w:id="38"/>
    </w:p>
    <w:p w14:paraId="1AF82F42">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仅供参考）</w:t>
      </w:r>
    </w:p>
    <w:p w14:paraId="451E0BA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p>
    <w:p w14:paraId="16CFCA1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p>
    <w:p w14:paraId="1DD0888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p>
    <w:p w14:paraId="3310695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乙方:（中标人）</w:t>
      </w:r>
    </w:p>
    <w:p w14:paraId="4E68765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甲、乙双方根据《中华人民共和国政府采购法》《中华人民共和国民法典》等法律法规的规定，按照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（采购项目</w:t>
      </w:r>
      <w:r>
        <w:rPr>
          <w:rFonts w:hint="eastAsia" w:ascii="宋体" w:hAnsi="宋体" w:eastAsia="宋体" w:cs="宋体"/>
          <w:color w:val="auto"/>
          <w:sz w:val="24"/>
          <w:szCs w:val="24"/>
          <w:highlight w:val="none"/>
          <w:lang w:val="en-US" w:eastAsia="zh-CN"/>
        </w:rPr>
        <w:t>名称及项目编号</w:t>
      </w:r>
      <w:r>
        <w:rPr>
          <w:rFonts w:hint="eastAsia" w:ascii="宋体" w:hAnsi="宋体" w:eastAsia="宋体" w:cs="宋体"/>
          <w:color w:val="auto"/>
          <w:sz w:val="24"/>
          <w:szCs w:val="24"/>
          <w:highlight w:val="none"/>
        </w:rPr>
        <w:t>）的招标结果签订本合同。</w:t>
      </w:r>
    </w:p>
    <w:p w14:paraId="7A07186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1.服务内容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18C4AE8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2.合同金额</w:t>
      </w:r>
      <w:r>
        <w:rPr>
          <w:rFonts w:hint="eastAsia" w:ascii="宋体" w:hAnsi="宋体" w:eastAsia="宋体" w:cs="宋体"/>
          <w:color w:val="auto"/>
          <w:sz w:val="24"/>
          <w:szCs w:val="24"/>
          <w:highlight w:val="none"/>
          <w:lang w:eastAsia="zh-CN"/>
        </w:rPr>
        <w:t>：</w:t>
      </w:r>
    </w:p>
    <w:p w14:paraId="198F746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本合同金额为人民币(大写):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p>
    <w:p w14:paraId="1D105EA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3.服务期限和服务地点</w:t>
      </w:r>
    </w:p>
    <w:p w14:paraId="7885CEE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3.1服务期限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4624874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3.2服务地点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AFD9A3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4.付款方式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6CE833E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5.税费</w:t>
      </w:r>
    </w:p>
    <w:p w14:paraId="6912D08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w:t>
      </w:r>
    </w:p>
    <w:p w14:paraId="36C76F0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6.技术资料</w:t>
      </w:r>
    </w:p>
    <w:p w14:paraId="52BB4F0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日内，乙方根据</w:t>
      </w: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sz w:val="24"/>
          <w:szCs w:val="24"/>
          <w:highlight w:val="none"/>
        </w:rPr>
        <w:t>的要求向甲方交付全部成果</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w:t>
      </w:r>
    </w:p>
    <w:p w14:paraId="7B62DA2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没有甲方事先书面同意，乙方不得将由甲方提供的有关合同或任何合同条文、内容、计划等资料提供给与履行本合同无关的任何其他人。</w:t>
      </w:r>
    </w:p>
    <w:p w14:paraId="0D1B58E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7.知识产权</w:t>
      </w:r>
    </w:p>
    <w:p w14:paraId="34B78DE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乙方保证所提供的服务或其任何一部分均不会侵犯任何第三方的知识产权。</w:t>
      </w:r>
    </w:p>
    <w:p w14:paraId="45429EE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8.无产权瑕疵条款</w:t>
      </w:r>
    </w:p>
    <w:p w14:paraId="73918B9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乙方保证所提供的服务的所有权完全属于乙方且无任何抵押、查封等产权瑕疵。如有产权瑕疵的，视为乙方违约。乙方应负担由此而产生的一切损失。</w:t>
      </w:r>
    </w:p>
    <w:p w14:paraId="01F713F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9.转包或分包</w:t>
      </w:r>
    </w:p>
    <w:p w14:paraId="348A492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9.1本合同范围的服务乙方不得以任何方式和形式进行转包和分包。</w:t>
      </w:r>
    </w:p>
    <w:p w14:paraId="2D8090C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9.2乙方如有转包和分包的行为，甲方有权给予终止合同。</w:t>
      </w:r>
    </w:p>
    <w:p w14:paraId="42BDF83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10.质量保证</w:t>
      </w:r>
    </w:p>
    <w:p w14:paraId="614BD59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乙方应提供优质服务，保证服务质量，且不能低于合同规定的范围和种类。</w:t>
      </w:r>
    </w:p>
    <w:p w14:paraId="57AD4A1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11.验收</w:t>
      </w:r>
    </w:p>
    <w:p w14:paraId="55CA21A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验收严格按照招标文件和投标文件规定的标准进行验收。</w:t>
      </w:r>
    </w:p>
    <w:p w14:paraId="51E3E2F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12.甲方的权利和义务</w:t>
      </w:r>
    </w:p>
    <w:p w14:paraId="27EF29F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12.1甲方有权对合同规定范围内乙方的服务行为进行监督和检查，拥有监管权。有权定期核对乙方提供服务所配备的人员数量等。对乙方未按照合同履行的部分有权下达整改通知书，并要求乙方限期整改。</w:t>
      </w:r>
    </w:p>
    <w:p w14:paraId="5EBD1C7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12.2甲方有权依据双方签订的考评办法对乙方提供的服务进行定期考评。</w:t>
      </w:r>
    </w:p>
    <w:p w14:paraId="66685B6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12.3负责检查监督乙方管理工作的实施及制度的执行情况。</w:t>
      </w:r>
    </w:p>
    <w:p w14:paraId="4E806BD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12.4国家法律、法规所规定由甲方承担的其它责任。</w:t>
      </w:r>
    </w:p>
    <w:p w14:paraId="7646C2C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13.乙方的权利和义务</w:t>
      </w:r>
    </w:p>
    <w:p w14:paraId="2A36A42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13.1对本合同规定的委托服务范围内的项目享有管理权及服务义务。</w:t>
      </w:r>
    </w:p>
    <w:p w14:paraId="3F28BDD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13.2对甲方下达整改通知书及时配合处理。</w:t>
      </w:r>
    </w:p>
    <w:p w14:paraId="55C4FFF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13.3接受项目行业管理部门及政府有关部门的指导，接受甲方的监督。</w:t>
      </w:r>
    </w:p>
    <w:p w14:paraId="4423951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13.4国家法律、法规所规定由乙方承担的其它责任。</w:t>
      </w:r>
    </w:p>
    <w:p w14:paraId="187B77B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14.违约责任</w:t>
      </w:r>
    </w:p>
    <w:p w14:paraId="20613E1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14.1甲乙双方必须遵守本合同并执行合同中的各项规定，保证本合同的正常履行。</w:t>
      </w:r>
    </w:p>
    <w:p w14:paraId="4267F2C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8B1B45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15.不可抗力事件处理</w:t>
      </w:r>
    </w:p>
    <w:p w14:paraId="50B018C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1978E66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15.2本合同中的不可抗力指不能预见、不能避免并不能克服的客观情况。包括但不限于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自然灾害如地震、台风、洪水、火灾;政府行为、法律规定或其适用的变化或者其他任何无法预见、避免或者控制的事件。</w:t>
      </w:r>
    </w:p>
    <w:p w14:paraId="2491584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16.合同纠纷处理</w:t>
      </w:r>
    </w:p>
    <w:p w14:paraId="7B69581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因本合同或与本合同有关的一切事项发生争议，由双方友好协商解决。协商不成的，任何一方均可选择以下方式解决</w:t>
      </w:r>
      <w:r>
        <w:rPr>
          <w:rFonts w:hint="eastAsia" w:ascii="宋体" w:hAnsi="宋体" w:eastAsia="宋体" w:cs="宋体"/>
          <w:color w:val="auto"/>
          <w:sz w:val="24"/>
          <w:szCs w:val="24"/>
          <w:highlight w:val="none"/>
          <w:lang w:eastAsia="zh-CN"/>
        </w:rPr>
        <w:t>：</w:t>
      </w:r>
    </w:p>
    <w:p w14:paraId="0FF1E6A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16.1向甲方所在地仲裁委员会申请仲裁。</w:t>
      </w:r>
    </w:p>
    <w:p w14:paraId="2389115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16.2向合同签订地人民法院提起诉讼。</w:t>
      </w:r>
    </w:p>
    <w:p w14:paraId="16B4360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17.违约解除合同</w:t>
      </w:r>
    </w:p>
    <w:p w14:paraId="3647CF1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17.1违反本合同第10条的规定的。</w:t>
      </w:r>
    </w:p>
    <w:p w14:paraId="3B3A9B1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17.2乙方未能履行合同规定的其它主要义务的。</w:t>
      </w:r>
    </w:p>
    <w:p w14:paraId="5AEDA77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17.3在本合同履行过程中有腐败和欺诈行为的。</w:t>
      </w:r>
    </w:p>
    <w:p w14:paraId="5ED4270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18.其他约定</w:t>
      </w:r>
    </w:p>
    <w:p w14:paraId="4C57F7F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18.1本采购项目的招标文件、中标人的投标文件以及相关的澄清确认函(如果有的话）均为本合同不可分割的一部分，与本合同具有同等法律效力。</w:t>
      </w:r>
    </w:p>
    <w:p w14:paraId="110C9A4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18.2本合同未尽事宜，双方另行补充。</w:t>
      </w:r>
    </w:p>
    <w:p w14:paraId="087982D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18.3本合同正本一式</w:t>
      </w:r>
      <w:r>
        <w:rPr>
          <w:rFonts w:hint="eastAsia" w:ascii="宋体" w:hAnsi="宋体" w:eastAsia="宋体" w:cs="宋体"/>
          <w:color w:val="auto"/>
          <w:sz w:val="24"/>
          <w:szCs w:val="24"/>
          <w:highlight w:val="none"/>
          <w:u w:val="single"/>
          <w:lang w:val="en-US" w:eastAsia="zh-CN"/>
        </w:rPr>
        <w:t>　　　</w:t>
      </w:r>
      <w:r>
        <w:rPr>
          <w:rFonts w:hint="eastAsia" w:ascii="宋体" w:hAnsi="宋体" w:eastAsia="宋体" w:cs="宋体"/>
          <w:color w:val="auto"/>
          <w:sz w:val="24"/>
          <w:szCs w:val="24"/>
          <w:highlight w:val="none"/>
        </w:rPr>
        <w:t>份，具有同等法律效力，甲、乙双方各执</w:t>
      </w:r>
      <w:r>
        <w:rPr>
          <w:rFonts w:hint="eastAsia" w:ascii="宋体" w:hAnsi="宋体" w:eastAsia="宋体" w:cs="宋体"/>
          <w:color w:val="auto"/>
          <w:sz w:val="24"/>
          <w:szCs w:val="24"/>
          <w:highlight w:val="none"/>
          <w:u w:val="single"/>
          <w:lang w:val="en-US" w:eastAsia="zh-CN"/>
        </w:rPr>
        <w:t>　　</w:t>
      </w:r>
      <w:r>
        <w:rPr>
          <w:rFonts w:hint="eastAsia" w:ascii="宋体" w:hAnsi="宋体" w:eastAsia="宋体" w:cs="宋体"/>
          <w:color w:val="auto"/>
          <w:sz w:val="24"/>
          <w:szCs w:val="24"/>
          <w:highlight w:val="none"/>
        </w:rPr>
        <w:t>份。自采购合同签订之日起7个工作日内，甲方按照有关规定将合同副本报同级财政部门备案。</w:t>
      </w:r>
    </w:p>
    <w:p w14:paraId="4C8A3AC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乙方:</w:t>
      </w:r>
    </w:p>
    <w:p w14:paraId="0054C68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单位地址:</w:t>
      </w:r>
    </w:p>
    <w:p w14:paraId="08BA9CC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法定代表人:</w:t>
      </w:r>
    </w:p>
    <w:p w14:paraId="771DDA9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委托代理人:</w:t>
      </w:r>
    </w:p>
    <w:p w14:paraId="4CBF780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电话:</w:t>
      </w:r>
    </w:p>
    <w:p w14:paraId="3FE7CD8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p>
    <w:p w14:paraId="5C67B551">
      <w:pPr>
        <w:pStyle w:val="7"/>
        <w:keepNext w:val="0"/>
        <w:keepLines w:val="0"/>
        <w:pageBreakBefore w:val="0"/>
        <w:kinsoku/>
        <w:wordWrap w:val="0"/>
        <w:overflowPunct/>
        <w:topLinePunct w:val="0"/>
        <w:bidi w:val="0"/>
        <w:spacing w:line="360" w:lineRule="auto"/>
        <w:ind w:left="9"/>
        <w:jc w:val="both"/>
        <w:rPr>
          <w:rFonts w:hint="eastAsia" w:asciiTheme="minorEastAsia" w:hAnsiTheme="minorEastAsia" w:eastAsiaTheme="minorEastAsia" w:cstheme="minorEastAsia"/>
          <w:color w:val="auto"/>
          <w:sz w:val="24"/>
          <w:szCs w:val="24"/>
          <w:highlight w:val="none"/>
          <w:lang w:val="en-US" w:eastAsia="zh-CN"/>
        </w:rPr>
      </w:pPr>
    </w:p>
    <w:p w14:paraId="45369568">
      <w:pPr>
        <w:pStyle w:val="7"/>
        <w:keepNext w:val="0"/>
        <w:keepLines w:val="0"/>
        <w:pageBreakBefore w:val="0"/>
        <w:kinsoku/>
        <w:wordWrap w:val="0"/>
        <w:overflowPunct/>
        <w:topLinePunct w:val="0"/>
        <w:bidi w:val="0"/>
        <w:spacing w:line="360" w:lineRule="auto"/>
        <w:ind w:left="9"/>
        <w:jc w:val="both"/>
        <w:rPr>
          <w:rFonts w:hint="eastAsia" w:asciiTheme="minorEastAsia" w:hAnsiTheme="minorEastAsia" w:eastAsiaTheme="minorEastAsia" w:cstheme="minorEastAsia"/>
          <w:color w:val="auto"/>
          <w:sz w:val="24"/>
          <w:szCs w:val="24"/>
          <w:highlight w:val="none"/>
          <w:lang w:val="en-US" w:eastAsia="zh-CN"/>
        </w:rPr>
      </w:pPr>
    </w:p>
    <w:p w14:paraId="4456081E">
      <w:pPr>
        <w:pStyle w:val="7"/>
        <w:keepNext w:val="0"/>
        <w:keepLines w:val="0"/>
        <w:pageBreakBefore w:val="0"/>
        <w:kinsoku/>
        <w:wordWrap w:val="0"/>
        <w:overflowPunct/>
        <w:topLinePunct w:val="0"/>
        <w:bidi w:val="0"/>
        <w:spacing w:line="360" w:lineRule="auto"/>
        <w:ind w:left="9"/>
        <w:jc w:val="both"/>
        <w:rPr>
          <w:rFonts w:hint="eastAsia" w:asciiTheme="minorEastAsia" w:hAnsiTheme="minorEastAsia" w:eastAsiaTheme="minorEastAsia" w:cstheme="minorEastAsia"/>
          <w:color w:val="auto"/>
          <w:sz w:val="24"/>
          <w:szCs w:val="24"/>
          <w:highlight w:val="none"/>
          <w:lang w:val="en-US" w:eastAsia="zh-CN"/>
        </w:rPr>
        <w:sectPr>
          <w:headerReference r:id="rId7" w:type="default"/>
          <w:footerReference r:id="rId8" w:type="default"/>
          <w:pgSz w:w="11907" w:h="16840"/>
          <w:pgMar w:top="1440" w:right="1077" w:bottom="1440" w:left="1247" w:header="878" w:footer="886" w:gutter="0"/>
          <w:pgNumType w:fmt="decimal" w:start="1"/>
          <w:cols w:space="720" w:num="1"/>
        </w:sectPr>
      </w:pPr>
    </w:p>
    <w:p w14:paraId="0CA499D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pPr>
      <w:bookmarkStart w:id="39" w:name="_Toc32711"/>
      <w:r>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t>第六章</w:t>
      </w:r>
      <w:r>
        <w:rPr>
          <w:rFonts w:hint="eastAsia" w:asciiTheme="minorEastAsia" w:hAnsiTheme="minorEastAsia" w:eastAsiaTheme="minorEastAsia" w:cstheme="minorEastAsia"/>
          <w:b w:val="0"/>
          <w:snapToGrid w:val="0"/>
          <w:color w:val="auto"/>
          <w:spacing w:val="-1"/>
          <w:kern w:val="0"/>
          <w:sz w:val="52"/>
          <w:szCs w:val="52"/>
          <w:highlight w:val="none"/>
          <w:lang w:val="en-US" w:eastAsia="zh-CN" w:bidi="ar-SA"/>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snapToGrid w:val="0"/>
          <w:color w:val="auto"/>
          <w:spacing w:val="-1"/>
          <w:kern w:val="0"/>
          <w:sz w:val="52"/>
          <w:szCs w:val="52"/>
          <w:highlight w:val="none"/>
          <w:lang w:val="en-US" w:eastAsia="en-US" w:bidi="ar-SA"/>
          <w14:textOutline w14:w="2306" w14:cap="flat" w14:cmpd="sng">
            <w14:solidFill>
              <w14:srgbClr w14:val="000000"/>
            </w14:solidFill>
            <w14:prstDash w14:val="solid"/>
            <w14:miter w14:val="0"/>
          </w14:textOutline>
        </w:rPr>
        <w:t>响应文件格式</w:t>
      </w:r>
      <w:bookmarkEnd w:id="39"/>
    </w:p>
    <w:p w14:paraId="15CE62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color w:val="auto"/>
          <w:sz w:val="24"/>
          <w:szCs w:val="24"/>
          <w:highlight w:val="none"/>
        </w:rPr>
      </w:pPr>
      <w:r>
        <w:rPr>
          <w:color w:val="auto"/>
          <w:spacing w:val="-1"/>
          <w:sz w:val="24"/>
          <w:szCs w:val="24"/>
          <w:highlight w:val="none"/>
          <w14:textOutline w14:w="1537" w14:cap="flat" w14:cmpd="sng">
            <w14:solidFill>
              <w14:srgbClr w14:val="000000"/>
            </w14:solidFill>
            <w14:prstDash w14:val="solid"/>
            <w14:miter w14:val="0"/>
          </w14:textOutline>
        </w:rPr>
        <w:t>供应商编制文件须知</w:t>
      </w:r>
    </w:p>
    <w:p w14:paraId="2851ADA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1.供应商</w:t>
      </w:r>
      <w:r>
        <w:rPr>
          <w:rFonts w:hint="eastAsia" w:asciiTheme="minorEastAsia" w:hAnsiTheme="minorEastAsia" w:eastAsiaTheme="minorEastAsia" w:cstheme="minorEastAsia"/>
          <w:color w:val="auto"/>
          <w:spacing w:val="-3"/>
          <w:sz w:val="24"/>
          <w:szCs w:val="24"/>
          <w:highlight w:val="none"/>
        </w:rPr>
        <w:t>按照本部分的顺序编制</w:t>
      </w:r>
      <w:r>
        <w:rPr>
          <w:rFonts w:hint="eastAsia" w:asciiTheme="minorEastAsia" w:hAnsiTheme="minorEastAsia" w:eastAsiaTheme="minorEastAsia" w:cstheme="minorEastAsia"/>
          <w:color w:val="auto"/>
          <w:spacing w:val="-3"/>
          <w:sz w:val="24"/>
          <w:szCs w:val="24"/>
          <w:highlight w:val="none"/>
          <w:lang w:val="en-US" w:eastAsia="zh-CN"/>
        </w:rPr>
        <w:t>响应文件</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8"/>
          <w:sz w:val="24"/>
          <w:szCs w:val="24"/>
          <w:highlight w:val="none"/>
        </w:rPr>
        <w:t>编制中涉及格式资料的，应按照本部分</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供的内容和格式（所有表格的格式可扩</w:t>
      </w:r>
      <w:r>
        <w:rPr>
          <w:rFonts w:hint="eastAsia" w:asciiTheme="minorEastAsia" w:hAnsiTheme="minorEastAsia" w:eastAsiaTheme="minorEastAsia" w:cstheme="minorEastAsia"/>
          <w:color w:val="auto"/>
          <w:spacing w:val="-3"/>
          <w:sz w:val="24"/>
          <w:szCs w:val="24"/>
          <w:highlight w:val="none"/>
        </w:rPr>
        <w:t>展）填写</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交。</w:t>
      </w:r>
    </w:p>
    <w:p w14:paraId="4E81F7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color w:val="auto"/>
          <w:sz w:val="24"/>
          <w:szCs w:val="24"/>
          <w:highlight w:val="none"/>
        </w:rPr>
      </w:pPr>
      <w:r>
        <w:rPr>
          <w:rFonts w:hint="eastAsia" w:ascii="Arial" w:hAnsi="Arial" w:eastAsia="宋体" w:cs="Arial"/>
          <w:color w:val="auto"/>
          <w:spacing w:val="-1"/>
          <w:sz w:val="24"/>
          <w:szCs w:val="24"/>
          <w:highlight w:val="none"/>
          <w:lang w:val="en-US" w:eastAsia="zh-CN"/>
        </w:rPr>
        <w:t>2.</w:t>
      </w:r>
      <w:r>
        <w:rPr>
          <w:color w:val="auto"/>
          <w:spacing w:val="-1"/>
          <w:sz w:val="24"/>
          <w:szCs w:val="24"/>
          <w:highlight w:val="none"/>
        </w:rPr>
        <w:t>全部声明和问题的回答及所附材料必须是真实的、准确的和完整</w:t>
      </w:r>
      <w:r>
        <w:rPr>
          <w:color w:val="auto"/>
          <w:spacing w:val="-2"/>
          <w:sz w:val="24"/>
          <w:szCs w:val="24"/>
          <w:highlight w:val="none"/>
        </w:rPr>
        <w:t>的。</w:t>
      </w:r>
    </w:p>
    <w:p w14:paraId="7C8DE56F">
      <w:pPr>
        <w:keepNext w:val="0"/>
        <w:keepLines w:val="0"/>
        <w:pageBreakBefore w:val="0"/>
        <w:kinsoku/>
        <w:wordWrap w:val="0"/>
        <w:overflowPunct/>
        <w:topLinePunct w:val="0"/>
        <w:bidi w:val="0"/>
        <w:spacing w:line="219" w:lineRule="auto"/>
        <w:jc w:val="both"/>
        <w:rPr>
          <w:color w:val="auto"/>
          <w:sz w:val="24"/>
          <w:szCs w:val="24"/>
          <w:highlight w:val="none"/>
        </w:rPr>
        <w:sectPr>
          <w:headerReference r:id="rId9" w:type="default"/>
          <w:footerReference r:id="rId10" w:type="default"/>
          <w:pgSz w:w="11907" w:h="16840"/>
          <w:pgMar w:top="1440" w:right="1800" w:bottom="1440" w:left="1800" w:header="878" w:footer="886" w:gutter="0"/>
          <w:pgNumType w:fmt="decimal"/>
          <w:cols w:space="720" w:num="1"/>
        </w:sectPr>
      </w:pPr>
    </w:p>
    <w:p w14:paraId="5485B5CD">
      <w:pPr>
        <w:keepNext w:val="0"/>
        <w:keepLines w:val="0"/>
        <w:widowControl w:val="0"/>
        <w:suppressLineNumbers w:val="0"/>
        <w:autoSpaceDE w:val="0"/>
        <w:autoSpaceDN w:val="0"/>
        <w:spacing w:before="0" w:beforeAutospacing="0" w:after="0" w:afterAutospacing="0" w:line="480" w:lineRule="exact"/>
        <w:ind w:right="-20" w:firstLine="1440" w:firstLineChars="400"/>
        <w:jc w:val="both"/>
        <w:rPr>
          <w:rFonts w:hint="default" w:ascii="宋体" w:hAnsi="宋体" w:eastAsia="宋体" w:cs="宋体"/>
          <w:color w:val="auto"/>
          <w:sz w:val="36"/>
          <w:szCs w:val="36"/>
          <w:highlight w:val="none"/>
          <w:u w:val="none"/>
          <w:lang w:val="en-US"/>
        </w:rPr>
      </w:pPr>
      <w:r>
        <w:rPr>
          <w:rFonts w:hint="eastAsia" w:ascii="宋体" w:hAnsi="宋体" w:eastAsia="宋体" w:cs="宋体"/>
          <w:color w:val="auto"/>
          <w:kern w:val="2"/>
          <w:sz w:val="36"/>
          <w:szCs w:val="36"/>
          <w:highlight w:val="none"/>
          <w:u w:val="single"/>
          <w:lang w:val="en-US" w:eastAsia="zh-CN" w:bidi="ar"/>
        </w:rPr>
        <w:t xml:space="preserve">        （项目名称）            </w:t>
      </w:r>
    </w:p>
    <w:p w14:paraId="0D3D19D2">
      <w:pPr>
        <w:keepNext w:val="0"/>
        <w:keepLines w:val="0"/>
        <w:widowControl w:val="0"/>
        <w:suppressLineNumbers w:val="0"/>
        <w:autoSpaceDE w:val="0"/>
        <w:autoSpaceDN w:val="0"/>
        <w:spacing w:before="0" w:beforeAutospacing="0" w:after="0" w:afterAutospacing="0" w:line="480" w:lineRule="exact"/>
        <w:ind w:left="0" w:right="0"/>
        <w:jc w:val="center"/>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4"/>
          <w:szCs w:val="24"/>
          <w:highlight w:val="none"/>
          <w:lang w:val="en-US" w:eastAsia="zh-CN" w:bidi="ar"/>
        </w:rPr>
        <w:t xml:space="preserve"> </w:t>
      </w:r>
    </w:p>
    <w:p w14:paraId="234AF949">
      <w:pPr>
        <w:keepNext w:val="0"/>
        <w:keepLines w:val="0"/>
        <w:widowControl w:val="0"/>
        <w:suppressLineNumbers w:val="0"/>
        <w:autoSpaceDE w:val="0"/>
        <w:autoSpaceDN w:val="0"/>
        <w:spacing w:before="15" w:beforeAutospacing="0" w:after="0" w:afterAutospacing="0" w:line="48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4"/>
          <w:szCs w:val="24"/>
          <w:highlight w:val="none"/>
          <w:lang w:val="en-US" w:eastAsia="zh-CN" w:bidi="ar"/>
        </w:rPr>
        <w:t xml:space="preserve"> </w:t>
      </w:r>
    </w:p>
    <w:p w14:paraId="3EBF1848">
      <w:pPr>
        <w:keepNext w:val="0"/>
        <w:keepLines w:val="0"/>
        <w:widowControl w:val="0"/>
        <w:suppressLineNumbers w:val="0"/>
        <w:autoSpaceDE w:val="0"/>
        <w:autoSpaceDN w:val="0"/>
        <w:spacing w:before="15" w:beforeAutospacing="0" w:after="0" w:afterAutospacing="0" w:line="480" w:lineRule="exact"/>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xml:space="preserve"> </w:t>
      </w:r>
    </w:p>
    <w:p w14:paraId="50BFD508">
      <w:pPr>
        <w:keepNext w:val="0"/>
        <w:keepLines w:val="0"/>
        <w:widowControl w:val="0"/>
        <w:suppressLineNumbers w:val="0"/>
        <w:autoSpaceDE w:val="0"/>
        <w:autoSpaceDN w:val="0"/>
        <w:spacing w:before="15" w:beforeAutospacing="0" w:after="0" w:afterAutospacing="0" w:line="480" w:lineRule="exact"/>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 xml:space="preserve"> </w:t>
      </w:r>
    </w:p>
    <w:p w14:paraId="4A2C0D76">
      <w:pPr>
        <w:keepNext w:val="0"/>
        <w:keepLines w:val="0"/>
        <w:widowControl w:val="0"/>
        <w:suppressLineNumbers w:val="0"/>
        <w:autoSpaceDE w:val="0"/>
        <w:autoSpaceDN w:val="0"/>
        <w:spacing w:before="0" w:beforeAutospacing="0" w:after="0" w:afterAutospacing="0" w:line="1000" w:lineRule="exact"/>
        <w:ind w:left="0" w:right="-23"/>
        <w:jc w:val="center"/>
        <w:rPr>
          <w:rFonts w:hint="eastAsia" w:ascii="宋体" w:hAnsi="宋体" w:eastAsia="宋体" w:cs="宋体"/>
          <w:b/>
          <w:bCs/>
          <w:color w:val="auto"/>
          <w:sz w:val="52"/>
          <w:szCs w:val="52"/>
          <w:highlight w:val="none"/>
          <w:lang w:val="en-US"/>
        </w:rPr>
      </w:pPr>
      <w:r>
        <w:rPr>
          <w:rFonts w:hint="eastAsia" w:ascii="宋体" w:hAnsi="宋体" w:eastAsia="宋体" w:cs="宋体"/>
          <w:b/>
          <w:bCs/>
          <w:color w:val="auto"/>
          <w:kern w:val="2"/>
          <w:sz w:val="52"/>
          <w:szCs w:val="52"/>
          <w:highlight w:val="none"/>
          <w:lang w:val="en-US" w:eastAsia="zh-CN" w:bidi="ar"/>
        </w:rPr>
        <w:t>响应文件</w:t>
      </w:r>
    </w:p>
    <w:p w14:paraId="7551A547">
      <w:pPr>
        <w:keepNext w:val="0"/>
        <w:keepLines w:val="0"/>
        <w:widowControl w:val="0"/>
        <w:suppressLineNumbers w:val="0"/>
        <w:autoSpaceDE w:val="0"/>
        <w:autoSpaceDN w:val="0"/>
        <w:spacing w:before="0" w:beforeAutospacing="0" w:after="0" w:afterAutospacing="0" w:line="480" w:lineRule="exac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2"/>
          <w:sz w:val="32"/>
          <w:szCs w:val="32"/>
          <w:highlight w:val="none"/>
          <w:lang w:val="en-US" w:eastAsia="zh-CN" w:bidi="ar"/>
        </w:rPr>
        <w:t xml:space="preserve"> </w:t>
      </w:r>
    </w:p>
    <w:p w14:paraId="6656A82E">
      <w:pPr>
        <w:keepNext w:val="0"/>
        <w:keepLines w:val="0"/>
        <w:widowControl w:val="0"/>
        <w:suppressLineNumbers w:val="0"/>
        <w:autoSpaceDE w:val="0"/>
        <w:autoSpaceDN w:val="0"/>
        <w:spacing w:before="0" w:beforeAutospacing="0" w:after="0" w:afterAutospacing="0" w:line="480" w:lineRule="exac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2"/>
          <w:sz w:val="32"/>
          <w:szCs w:val="32"/>
          <w:highlight w:val="none"/>
          <w:lang w:val="en-US" w:eastAsia="zh-CN" w:bidi="ar"/>
        </w:rPr>
        <w:t>项目编号：</w:t>
      </w:r>
    </w:p>
    <w:p w14:paraId="0EAB69BE">
      <w:pPr>
        <w:keepNext w:val="0"/>
        <w:keepLines w:val="0"/>
        <w:widowControl w:val="0"/>
        <w:suppressLineNumbers w:val="0"/>
        <w:autoSpaceDE w:val="0"/>
        <w:autoSpaceDN w:val="0"/>
        <w:adjustRightInd w:val="0"/>
        <w:spacing w:before="156" w:beforeLines="50" w:beforeAutospacing="0" w:after="156" w:afterLines="5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74B83A0C">
      <w:pPr>
        <w:keepNext w:val="0"/>
        <w:keepLines w:val="0"/>
        <w:widowControl w:val="0"/>
        <w:suppressLineNumbers w:val="0"/>
        <w:autoSpaceDE w:val="0"/>
        <w:autoSpaceDN w:val="0"/>
        <w:adjustRightInd w:val="0"/>
        <w:spacing w:before="156" w:beforeLines="50" w:beforeAutospacing="0" w:after="156" w:afterLines="5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53CC957D">
      <w:pPr>
        <w:keepNext w:val="0"/>
        <w:keepLines w:val="0"/>
        <w:widowControl w:val="0"/>
        <w:suppressLineNumbers w:val="0"/>
        <w:autoSpaceDE w:val="0"/>
        <w:autoSpaceDN w:val="0"/>
        <w:adjustRightInd w:val="0"/>
        <w:spacing w:before="156" w:beforeLines="50" w:beforeAutospacing="0" w:after="156" w:afterLines="50" w:afterAutospacing="0" w:line="360" w:lineRule="auto"/>
        <w:ind w:left="0" w:right="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2"/>
          <w:highlight w:val="none"/>
          <w:lang w:val="en-US" w:eastAsia="zh-CN" w:bidi="ar"/>
        </w:rPr>
        <w:t xml:space="preserve"> </w:t>
      </w:r>
    </w:p>
    <w:p w14:paraId="67E18EE0">
      <w:pPr>
        <w:pStyle w:val="32"/>
        <w:keepNext w:val="0"/>
        <w:keepLines w:val="0"/>
        <w:widowControl/>
        <w:suppressLineNumbers w:val="0"/>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p>
    <w:p w14:paraId="0FF64D92">
      <w:pPr>
        <w:pStyle w:val="32"/>
        <w:keepNext w:val="0"/>
        <w:keepLines w:val="0"/>
        <w:widowControl/>
        <w:suppressLineNumbers w:val="0"/>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p>
    <w:p w14:paraId="7B72992C">
      <w:pPr>
        <w:keepNext w:val="0"/>
        <w:keepLines w:val="0"/>
        <w:widowControl w:val="0"/>
        <w:suppressLineNumbers w:val="0"/>
        <w:autoSpaceDE w:val="0"/>
        <w:autoSpaceDN w:val="0"/>
        <w:spacing w:before="0" w:beforeAutospacing="0" w:after="0" w:afterAutospacing="0" w:line="480" w:lineRule="exact"/>
        <w:ind w:left="774" w:right="403"/>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 xml:space="preserve">供应商： </w:t>
      </w:r>
      <w:r>
        <w:rPr>
          <w:rFonts w:hint="eastAsia" w:ascii="宋体" w:hAnsi="宋体" w:eastAsia="宋体" w:cs="宋体"/>
          <w:color w:val="auto"/>
          <w:kern w:val="2"/>
          <w:sz w:val="28"/>
          <w:szCs w:val="28"/>
          <w:highlight w:val="none"/>
          <w:u w:val="single"/>
          <w:lang w:val="en-US" w:eastAsia="zh-CN" w:bidi="ar"/>
        </w:rPr>
        <w:tab/>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（电子签章）</w:t>
      </w:r>
    </w:p>
    <w:p w14:paraId="0F9CB3F8">
      <w:pPr>
        <w:keepNext w:val="0"/>
        <w:keepLines w:val="0"/>
        <w:widowControl w:val="0"/>
        <w:suppressLineNumbers w:val="0"/>
        <w:autoSpaceDE w:val="0"/>
        <w:autoSpaceDN w:val="0"/>
        <w:spacing w:before="0" w:beforeAutospacing="0" w:after="0" w:afterAutospacing="0" w:line="480" w:lineRule="exact"/>
        <w:ind w:left="774" w:right="403"/>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 xml:space="preserve"> </w:t>
      </w:r>
    </w:p>
    <w:p w14:paraId="78EC552E">
      <w:pPr>
        <w:keepNext w:val="0"/>
        <w:keepLines w:val="0"/>
        <w:widowControl w:val="0"/>
        <w:suppressLineNumbers w:val="0"/>
        <w:autoSpaceDE w:val="0"/>
        <w:autoSpaceDN w:val="0"/>
        <w:spacing w:before="0" w:beforeAutospacing="0" w:after="0" w:afterAutospacing="0" w:line="480" w:lineRule="exact"/>
        <w:ind w:left="774" w:right="403"/>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法定代表人或其委托代理人：______________（电子签章）</w:t>
      </w:r>
    </w:p>
    <w:p w14:paraId="5E1C0B66">
      <w:pPr>
        <w:keepNext w:val="0"/>
        <w:keepLines w:val="0"/>
        <w:widowControl w:val="0"/>
        <w:suppressLineNumbers w:val="0"/>
        <w:autoSpaceDE w:val="0"/>
        <w:autoSpaceDN w:val="0"/>
        <w:spacing w:before="0" w:beforeAutospacing="0" w:after="0" w:afterAutospacing="0" w:line="480" w:lineRule="exact"/>
        <w:ind w:left="774" w:right="403"/>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 xml:space="preserve"> </w:t>
      </w:r>
    </w:p>
    <w:p w14:paraId="07FB800A">
      <w:pPr>
        <w:keepNext w:val="0"/>
        <w:keepLines w:val="0"/>
        <w:widowControl w:val="0"/>
        <w:suppressLineNumbers w:val="0"/>
        <w:autoSpaceDE w:val="0"/>
        <w:autoSpaceDN w:val="0"/>
        <w:spacing w:before="0" w:beforeAutospacing="0" w:after="0" w:afterAutospacing="0" w:line="480" w:lineRule="exact"/>
        <w:ind w:left="774" w:right="403"/>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日期：_______年____月_____日</w:t>
      </w:r>
    </w:p>
    <w:p w14:paraId="484981BA">
      <w:pPr>
        <w:keepNext w:val="0"/>
        <w:keepLines w:val="0"/>
        <w:pageBreakBefore w:val="0"/>
        <w:kinsoku/>
        <w:wordWrap w:val="0"/>
        <w:overflowPunct/>
        <w:topLinePunct w:val="0"/>
        <w:bidi w:val="0"/>
        <w:spacing w:line="219" w:lineRule="auto"/>
        <w:jc w:val="both"/>
        <w:rPr>
          <w:color w:val="auto"/>
          <w:sz w:val="24"/>
          <w:szCs w:val="24"/>
          <w:highlight w:val="none"/>
        </w:rPr>
        <w:sectPr>
          <w:pgSz w:w="11907" w:h="16840"/>
          <w:pgMar w:top="1440" w:right="1800" w:bottom="1440" w:left="1800" w:header="878" w:footer="886" w:gutter="0"/>
          <w:pgNumType w:fmt="decimal"/>
          <w:cols w:space="720" w:num="1"/>
        </w:sectPr>
      </w:pPr>
    </w:p>
    <w:p w14:paraId="26975F11">
      <w:pPr>
        <w:keepNext w:val="0"/>
        <w:keepLines w:val="0"/>
        <w:widowControl w:val="0"/>
        <w:suppressLineNumbers w:val="0"/>
        <w:spacing w:before="156" w:beforeLines="50" w:beforeAutospacing="0" w:after="156" w:afterLines="50" w:afterAutospacing="0" w:line="360" w:lineRule="auto"/>
        <w:ind w:left="0" w:right="0"/>
        <w:jc w:val="center"/>
        <w:rPr>
          <w:rFonts w:hint="eastAsia" w:ascii="宋体" w:hAnsi="宋体" w:eastAsia="宋体" w:cs="宋体"/>
          <w:b/>
          <w:bCs/>
          <w:color w:val="auto"/>
          <w:sz w:val="44"/>
          <w:szCs w:val="44"/>
          <w:highlight w:val="none"/>
          <w:lang w:val="en-US"/>
        </w:rPr>
      </w:pPr>
      <w:r>
        <w:rPr>
          <w:rFonts w:hint="eastAsia" w:ascii="宋体" w:hAnsi="宋体" w:eastAsia="宋体" w:cs="宋体"/>
          <w:b/>
          <w:bCs/>
          <w:color w:val="auto"/>
          <w:kern w:val="2"/>
          <w:sz w:val="44"/>
          <w:szCs w:val="44"/>
          <w:highlight w:val="none"/>
          <w:lang w:val="en-US" w:eastAsia="zh-CN" w:bidi="ar"/>
        </w:rPr>
        <w:t>目  录</w:t>
      </w:r>
    </w:p>
    <w:p w14:paraId="3601A2F4">
      <w:pPr>
        <w:keepNext w:val="0"/>
        <w:keepLines w:val="0"/>
        <w:widowControl w:val="0"/>
        <w:suppressLineNumbers w:val="0"/>
        <w:spacing w:before="156" w:beforeLines="50" w:beforeAutospacing="0" w:after="156" w:afterLines="5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4"/>
          <w:szCs w:val="24"/>
          <w:highlight w:val="none"/>
          <w:lang w:val="en-US" w:eastAsia="zh-CN" w:bidi="ar"/>
        </w:rPr>
        <w:t xml:space="preserve">格式自拟 </w:t>
      </w:r>
    </w:p>
    <w:p w14:paraId="3679D3AE">
      <w:pPr>
        <w:keepNext w:val="0"/>
        <w:keepLines w:val="0"/>
        <w:pageBreakBefore w:val="0"/>
        <w:kinsoku/>
        <w:wordWrap w:val="0"/>
        <w:overflowPunct/>
        <w:topLinePunct w:val="0"/>
        <w:bidi w:val="0"/>
        <w:spacing w:line="219" w:lineRule="auto"/>
        <w:jc w:val="both"/>
        <w:rPr>
          <w:color w:val="auto"/>
          <w:sz w:val="24"/>
          <w:szCs w:val="24"/>
          <w:highlight w:val="none"/>
        </w:rPr>
        <w:sectPr>
          <w:pgSz w:w="11907" w:h="16840"/>
          <w:pgMar w:top="1440" w:right="1800" w:bottom="1440" w:left="1800" w:header="878" w:footer="886" w:gutter="0"/>
          <w:pgNumType w:fmt="decimal"/>
          <w:cols w:space="720" w:num="1"/>
        </w:sectPr>
      </w:pPr>
    </w:p>
    <w:p w14:paraId="6C40FCFA">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一、</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响应函格式</w:t>
      </w:r>
    </w:p>
    <w:p w14:paraId="550E4D4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p>
    <w:p w14:paraId="5D859266">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响应函</w:t>
      </w:r>
    </w:p>
    <w:p w14:paraId="0E7CDAE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0A7E28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（采购代理机构名称）：</w:t>
      </w:r>
    </w:p>
    <w:p w14:paraId="36161125">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1.我方全面研究了“</w:t>
      </w:r>
      <w:bookmarkStart w:id="40" w:name="B002"/>
      <w:r>
        <w:rPr>
          <w:rFonts w:hint="eastAsia" w:ascii="宋体" w:hAnsi="宋体" w:eastAsia="宋体" w:cs="宋体"/>
          <w:b w:val="0"/>
          <w:bCs w:val="0"/>
          <w:color w:val="auto"/>
          <w:kern w:val="2"/>
          <w:sz w:val="24"/>
          <w:szCs w:val="24"/>
          <w:highlight w:val="none"/>
          <w:u w:val="single"/>
          <w:lang w:val="en-US" w:eastAsia="zh-CN" w:bidi="ar"/>
        </w:rPr>
        <w:t xml:space="preserve">       </w:t>
      </w:r>
      <w:bookmarkEnd w:id="40"/>
      <w:r>
        <w:rPr>
          <w:rFonts w:hint="eastAsia" w:ascii="宋体" w:hAnsi="宋体" w:eastAsia="宋体" w:cs="宋体"/>
          <w:b w:val="0"/>
          <w:bCs w:val="0"/>
          <w:color w:val="auto"/>
          <w:kern w:val="2"/>
          <w:sz w:val="24"/>
          <w:szCs w:val="24"/>
          <w:highlight w:val="none"/>
          <w:lang w:val="en-US" w:eastAsia="zh-CN" w:bidi="ar"/>
        </w:rPr>
        <w:t>”项目</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标段采购文件（项目编号：</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），决定参加贵单位组织的本项目采购。</w:t>
      </w:r>
    </w:p>
    <w:p w14:paraId="7E288F51">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2.我方自愿按照采购文件规定的各项要求向采购人提供所需货物/服务， 总报价为人民币</w:t>
      </w:r>
      <w:bookmarkStart w:id="41" w:name="A001"/>
      <w:r>
        <w:rPr>
          <w:rFonts w:hint="eastAsia" w:ascii="宋体" w:hAnsi="宋体" w:eastAsia="宋体" w:cs="宋体"/>
          <w:b w:val="0"/>
          <w:bCs w:val="0"/>
          <w:color w:val="auto"/>
          <w:kern w:val="2"/>
          <w:sz w:val="24"/>
          <w:szCs w:val="24"/>
          <w:highlight w:val="none"/>
          <w:u w:val="single"/>
          <w:lang w:val="en-US" w:eastAsia="zh-CN" w:bidi="ar"/>
        </w:rPr>
        <w:t xml:space="preserve">       </w:t>
      </w:r>
      <w:bookmarkEnd w:id="41"/>
      <w:r>
        <w:rPr>
          <w:rFonts w:hint="eastAsia" w:ascii="宋体" w:hAnsi="宋体" w:eastAsia="宋体" w:cs="宋体"/>
          <w:b w:val="0"/>
          <w:bCs w:val="0"/>
          <w:color w:val="auto"/>
          <w:kern w:val="2"/>
          <w:sz w:val="24"/>
          <w:szCs w:val="24"/>
          <w:highlight w:val="none"/>
          <w:lang w:val="en-US" w:eastAsia="zh-CN" w:bidi="ar"/>
        </w:rPr>
        <w:t>元（大写：</w:t>
      </w:r>
      <w:bookmarkStart w:id="42" w:name="B004"/>
      <w:r>
        <w:rPr>
          <w:rFonts w:hint="eastAsia" w:ascii="宋体" w:hAnsi="宋体" w:eastAsia="宋体" w:cs="宋体"/>
          <w:b w:val="0"/>
          <w:bCs w:val="0"/>
          <w:color w:val="auto"/>
          <w:kern w:val="2"/>
          <w:sz w:val="24"/>
          <w:szCs w:val="24"/>
          <w:highlight w:val="none"/>
          <w:u w:val="single"/>
          <w:lang w:val="en-US" w:eastAsia="zh-CN" w:bidi="ar"/>
        </w:rPr>
        <w:t xml:space="preserve">       </w:t>
      </w:r>
      <w:bookmarkEnd w:id="42"/>
      <w:r>
        <w:rPr>
          <w:rFonts w:hint="eastAsia" w:ascii="宋体" w:hAnsi="宋体" w:eastAsia="宋体" w:cs="宋体"/>
          <w:b w:val="0"/>
          <w:bCs w:val="0"/>
          <w:color w:val="auto"/>
          <w:kern w:val="2"/>
          <w:sz w:val="24"/>
          <w:szCs w:val="24"/>
          <w:highlight w:val="none"/>
          <w:lang w:val="en-US" w:eastAsia="zh-CN" w:bidi="ar"/>
        </w:rPr>
        <w:t>）。</w:t>
      </w:r>
    </w:p>
    <w:p w14:paraId="64CA937C">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3.</w:t>
      </w:r>
      <w:r>
        <w:rPr>
          <w:rFonts w:hint="eastAsia" w:ascii="宋体" w:hAnsi="宋体" w:eastAsia="宋体" w:cs="宋体"/>
          <w:b w:val="0"/>
          <w:bCs w:val="0"/>
          <w:color w:val="auto"/>
          <w:kern w:val="2"/>
          <w:sz w:val="21"/>
          <w:szCs w:val="24"/>
          <w:highlight w:val="non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工期（交货期/监理周期/设计周期）为合同生效后</w:t>
      </w:r>
      <w:bookmarkStart w:id="43" w:name="B006"/>
      <w:r>
        <w:rPr>
          <w:rFonts w:hint="eastAsia" w:ascii="宋体" w:hAnsi="宋体" w:eastAsia="宋体" w:cs="宋体"/>
          <w:b w:val="0"/>
          <w:bCs w:val="0"/>
          <w:color w:val="auto"/>
          <w:kern w:val="2"/>
          <w:sz w:val="24"/>
          <w:szCs w:val="24"/>
          <w:highlight w:val="none"/>
          <w:u w:val="single"/>
          <w:lang w:val="en-US" w:eastAsia="zh-CN" w:bidi="ar"/>
        </w:rPr>
        <w:t xml:space="preserve">      </w:t>
      </w:r>
      <w:bookmarkEnd w:id="43"/>
      <w:r>
        <w:rPr>
          <w:rFonts w:hint="eastAsia" w:ascii="宋体" w:hAnsi="宋体" w:eastAsia="宋体" w:cs="宋体"/>
          <w:b w:val="0"/>
          <w:bCs w:val="0"/>
          <w:color w:val="auto"/>
          <w:kern w:val="2"/>
          <w:sz w:val="24"/>
          <w:szCs w:val="24"/>
          <w:highlight w:val="none"/>
          <w:lang w:val="en-US" w:eastAsia="zh-CN" w:bidi="ar"/>
        </w:rPr>
        <w:t>日历天。</w:t>
      </w:r>
    </w:p>
    <w:p w14:paraId="202041DE">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u w:val="single"/>
          <w:lang w:val="en-US"/>
        </w:rPr>
      </w:pPr>
      <w:r>
        <w:rPr>
          <w:rFonts w:hint="eastAsia" w:ascii="宋体" w:hAnsi="宋体" w:eastAsia="宋体" w:cs="宋体"/>
          <w:b w:val="0"/>
          <w:bCs w:val="0"/>
          <w:color w:val="auto"/>
          <w:kern w:val="2"/>
          <w:sz w:val="24"/>
          <w:szCs w:val="24"/>
          <w:highlight w:val="none"/>
          <w:lang w:val="en-US" w:eastAsia="zh-CN" w:bidi="ar"/>
        </w:rPr>
        <w:t>4.</w:t>
      </w:r>
      <w:r>
        <w:rPr>
          <w:rFonts w:hint="eastAsia" w:ascii="宋体" w:hAnsi="宋体" w:eastAsia="宋体" w:cs="宋体"/>
          <w:b w:val="0"/>
          <w:bCs w:val="0"/>
          <w:color w:val="auto"/>
          <w:kern w:val="2"/>
          <w:sz w:val="21"/>
          <w:szCs w:val="24"/>
          <w:highlight w:val="non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质量：</w:t>
      </w:r>
      <w:bookmarkStart w:id="44" w:name="B007"/>
      <w:r>
        <w:rPr>
          <w:rFonts w:hint="eastAsia" w:ascii="宋体" w:hAnsi="宋体" w:eastAsia="宋体" w:cs="宋体"/>
          <w:b w:val="0"/>
          <w:bCs w:val="0"/>
          <w:color w:val="auto"/>
          <w:kern w:val="2"/>
          <w:sz w:val="24"/>
          <w:szCs w:val="24"/>
          <w:highlight w:val="none"/>
          <w:u w:val="single"/>
          <w:lang w:val="en-US" w:eastAsia="zh-CN" w:bidi="ar"/>
        </w:rPr>
        <w:t xml:space="preserve">      </w:t>
      </w:r>
      <w:bookmarkEnd w:id="44"/>
      <w:r>
        <w:rPr>
          <w:rFonts w:hint="eastAsia" w:ascii="宋体" w:hAnsi="宋体" w:eastAsia="宋体" w:cs="宋体"/>
          <w:b w:val="0"/>
          <w:bCs w:val="0"/>
          <w:color w:val="auto"/>
          <w:kern w:val="2"/>
          <w:sz w:val="24"/>
          <w:szCs w:val="24"/>
          <w:highlight w:val="none"/>
          <w:lang w:val="en-US" w:eastAsia="zh-CN" w:bidi="ar"/>
        </w:rPr>
        <w:t>。</w:t>
      </w:r>
    </w:p>
    <w:p w14:paraId="18FC3E94">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5.</w:t>
      </w:r>
      <w:r>
        <w:rPr>
          <w:rFonts w:hint="eastAsia" w:ascii="宋体" w:hAnsi="宋体" w:eastAsia="宋体" w:cs="宋体"/>
          <w:b w:val="0"/>
          <w:bCs w:val="0"/>
          <w:color w:val="auto"/>
          <w:kern w:val="2"/>
          <w:sz w:val="21"/>
          <w:szCs w:val="24"/>
          <w:highlight w:val="non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项目经理/负责人（项目总监）</w:t>
      </w:r>
      <w:bookmarkStart w:id="45" w:name="B010"/>
      <w:r>
        <w:rPr>
          <w:rFonts w:hint="eastAsia" w:ascii="宋体" w:hAnsi="宋体" w:eastAsia="宋体" w:cs="宋体"/>
          <w:b w:val="0"/>
          <w:bCs w:val="0"/>
          <w:color w:val="auto"/>
          <w:kern w:val="2"/>
          <w:sz w:val="24"/>
          <w:szCs w:val="24"/>
          <w:highlight w:val="none"/>
          <w:u w:val="single"/>
          <w:lang w:val="en-US" w:eastAsia="zh-CN" w:bidi="ar"/>
        </w:rPr>
        <w:t xml:space="preserve">          </w:t>
      </w:r>
      <w:bookmarkEnd w:id="45"/>
      <w:r>
        <w:rPr>
          <w:rFonts w:hint="eastAsia" w:ascii="宋体" w:hAnsi="宋体" w:eastAsia="宋体" w:cs="宋体"/>
          <w:b w:val="0"/>
          <w:bCs w:val="0"/>
          <w:color w:val="auto"/>
          <w:kern w:val="2"/>
          <w:sz w:val="24"/>
          <w:szCs w:val="24"/>
          <w:highlight w:val="none"/>
          <w:lang w:val="en-US" w:eastAsia="zh-CN" w:bidi="ar"/>
        </w:rPr>
        <w:t xml:space="preserve"> 。</w:t>
      </w:r>
    </w:p>
    <w:p w14:paraId="416D3E1C">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5.一旦我方成交，我方将严格履行政府采购合同规定的责任和义务。</w:t>
      </w:r>
    </w:p>
    <w:p w14:paraId="2E832469">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6.我方同意本采购文件依据相关规定对我方可能存在的失信行为进行惩戒。</w:t>
      </w:r>
    </w:p>
    <w:p w14:paraId="782F3B5F">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7.我方为本项目提交的响应文件用于采购报价。</w:t>
      </w:r>
    </w:p>
    <w:p w14:paraId="25EE694C">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8.我方愿意提供贵单位可能另外要求的，与采购报价有关的文件资料，并保证我方已提供和将要提供的文件资料是真实、准确的。</w:t>
      </w:r>
    </w:p>
    <w:p w14:paraId="11480234">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9.本次采购，我方递交的响应文件有效期为采购文件规定起算之日起</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天。</w:t>
      </w:r>
    </w:p>
    <w:p w14:paraId="76C4065C">
      <w:pPr>
        <w:keepNext w:val="0"/>
        <w:keepLines w:val="0"/>
        <w:widowControl w:val="0"/>
        <w:suppressLineNumbers w:val="0"/>
        <w:adjustRightInd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p>
    <w:p w14:paraId="521BE6FD">
      <w:pPr>
        <w:keepNext w:val="0"/>
        <w:keepLines w:val="0"/>
        <w:widowControl w:val="0"/>
        <w:suppressLineNumbers w:val="0"/>
        <w:adjustRightInd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p>
    <w:p w14:paraId="211AF3F4">
      <w:pPr>
        <w:keepNext w:val="0"/>
        <w:keepLines w:val="0"/>
        <w:widowControl w:val="0"/>
        <w:suppressLineNumbers w:val="0"/>
        <w:adjustRightInd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供应商名称：</w:t>
      </w:r>
      <w:bookmarkStart w:id="46" w:name="B012"/>
      <w:r>
        <w:rPr>
          <w:rFonts w:hint="eastAsia" w:ascii="宋体" w:hAnsi="宋体" w:eastAsia="宋体" w:cs="宋体"/>
          <w:b w:val="0"/>
          <w:bCs w:val="0"/>
          <w:color w:val="auto"/>
          <w:kern w:val="2"/>
          <w:sz w:val="24"/>
          <w:szCs w:val="24"/>
          <w:highlight w:val="none"/>
          <w:u w:val="single"/>
          <w:lang w:val="en-US" w:eastAsia="zh-CN" w:bidi="ar"/>
        </w:rPr>
        <w:t xml:space="preserve">       </w:t>
      </w:r>
      <w:bookmarkEnd w:id="46"/>
      <w:r>
        <w:rPr>
          <w:rFonts w:hint="eastAsia" w:ascii="宋体" w:hAnsi="宋体" w:eastAsia="宋体" w:cs="宋体"/>
          <w:b w:val="0"/>
          <w:bCs w:val="0"/>
          <w:color w:val="auto"/>
          <w:kern w:val="2"/>
          <w:sz w:val="24"/>
          <w:szCs w:val="24"/>
          <w:highlight w:val="none"/>
          <w:lang w:val="en-US" w:eastAsia="zh-CN" w:bidi="ar"/>
        </w:rPr>
        <w:t>（单位名称加盖电子单位公章）</w:t>
      </w:r>
    </w:p>
    <w:p w14:paraId="5F7BEE9A">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b w:val="0"/>
          <w:bCs w:val="0"/>
          <w:color w:val="auto"/>
          <w:sz w:val="24"/>
          <w:szCs w:val="24"/>
          <w:highlight w:val="none"/>
          <w:u w:val="single"/>
          <w:lang w:val="en-US"/>
        </w:rPr>
      </w:pPr>
      <w:r>
        <w:rPr>
          <w:rFonts w:hint="eastAsia" w:ascii="宋体" w:hAnsi="宋体" w:eastAsia="宋体" w:cs="宋体"/>
          <w:b w:val="0"/>
          <w:bCs w:val="0"/>
          <w:color w:val="auto"/>
          <w:kern w:val="2"/>
          <w:sz w:val="24"/>
          <w:szCs w:val="24"/>
          <w:highlight w:val="none"/>
          <w:lang w:val="en-US" w:eastAsia="zh-CN" w:bidi="ar"/>
        </w:rPr>
        <w:t>法定代表人或授权代表（姓名及电子签章）：</w:t>
      </w:r>
      <w:bookmarkStart w:id="47" w:name="B013"/>
      <w:r>
        <w:rPr>
          <w:rFonts w:hint="eastAsia" w:ascii="宋体" w:hAnsi="宋体" w:eastAsia="宋体" w:cs="宋体"/>
          <w:b w:val="0"/>
          <w:bCs w:val="0"/>
          <w:color w:val="auto"/>
          <w:kern w:val="2"/>
          <w:sz w:val="24"/>
          <w:szCs w:val="24"/>
          <w:highlight w:val="none"/>
          <w:u w:val="single"/>
          <w:lang w:val="en-US" w:eastAsia="zh-CN" w:bidi="ar"/>
        </w:rPr>
        <w:t xml:space="preserve">       </w:t>
      </w:r>
      <w:bookmarkEnd w:id="47"/>
    </w:p>
    <w:p w14:paraId="67343D3D">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日    期：</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年</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月</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日</w:t>
      </w:r>
    </w:p>
    <w:p w14:paraId="51E87338">
      <w:pPr>
        <w:pStyle w:val="4"/>
        <w:spacing w:line="360" w:lineRule="auto"/>
        <w:outlineLvl w:val="9"/>
        <w:rPr>
          <w:rFonts w:hint="eastAsia" w:ascii="宋体" w:hAnsi="宋体" w:eastAsia="宋体" w:cs="宋体"/>
          <w:b w:val="0"/>
          <w:bCs w:val="0"/>
          <w:color w:val="auto"/>
          <w:highlight w:val="none"/>
        </w:rPr>
        <w:sectPr>
          <w:pgSz w:w="11906" w:h="16838"/>
          <w:pgMar w:top="1440" w:right="1800" w:bottom="1440" w:left="1800" w:header="426" w:footer="992" w:gutter="0"/>
          <w:pgNumType w:fmt="decimal"/>
          <w:cols w:space="720" w:num="1"/>
          <w:docGrid w:type="lines" w:linePitch="312" w:charSpace="0"/>
        </w:sectPr>
      </w:pPr>
    </w:p>
    <w:p w14:paraId="4626981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二、法定代表人或负责人授权委托书格式：</w:t>
      </w:r>
    </w:p>
    <w:p w14:paraId="016071E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6B466690">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法定代表人或负责人授权委托书</w:t>
      </w:r>
    </w:p>
    <w:p w14:paraId="51B9617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2322E89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致</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w:t>
      </w:r>
    </w:p>
    <w:p w14:paraId="66456968">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活动，并代表我方全权办理针对上述项目的具体事务和签署相关文件。我方对被授权人的签名事项负全部责任。</w:t>
      </w:r>
    </w:p>
    <w:p w14:paraId="383E6E3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在撤销授权的书面通知以前，本授权书一直有效。被授权人在授权书有效期内签署的所有文件不因授权的撤销而失效。</w:t>
      </w:r>
    </w:p>
    <w:p w14:paraId="6F830CA4">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被授权人无转委托权，特此委托。</w:t>
      </w:r>
    </w:p>
    <w:p w14:paraId="2D1999D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535FE288">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法定代表人或负责人签名（或盖章）：</w:t>
      </w:r>
    </w:p>
    <w:p w14:paraId="2F20F4F1">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被授权人签名（或盖章）：</w:t>
      </w:r>
    </w:p>
    <w:p w14:paraId="160610A6">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职务：</w:t>
      </w:r>
    </w:p>
    <w:p w14:paraId="46FD8C92">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联系电话：</w:t>
      </w:r>
    </w:p>
    <w:p w14:paraId="3FC36A5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532FB1B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法定代表人或负责人、被授权人身份证复印件</w:t>
      </w:r>
    </w:p>
    <w:p w14:paraId="68C5F13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18922DAD">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40BA640D">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供应商公章：</w:t>
      </w:r>
    </w:p>
    <w:p w14:paraId="27025C68">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AA7ADC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pPr>
    </w:p>
    <w:p w14:paraId="72CF4D3A">
      <w:pPr>
        <w:keepNext w:val="0"/>
        <w:keepLines w:val="0"/>
        <w:pageBreakBefore w:val="0"/>
        <w:numPr>
          <w:ilvl w:val="0"/>
          <w:numId w:val="2"/>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报价一览表格式：</w:t>
      </w:r>
    </w:p>
    <w:p w14:paraId="5CE20581">
      <w:pPr>
        <w:keepNext w:val="0"/>
        <w:keepLines w:val="0"/>
        <w:pageBreakBefore w:val="0"/>
        <w:numPr>
          <w:ilvl w:val="0"/>
          <w:numId w:val="0"/>
        </w:numPr>
        <w:kinsoku/>
        <w:wordWrap w:val="0"/>
        <w:overflowPunct/>
        <w:topLinePunct w:val="0"/>
        <w:bidi w:val="0"/>
        <w:snapToGrid w:val="0"/>
        <w:spacing w:line="360" w:lineRule="auto"/>
        <w:jc w:val="both"/>
        <w:rPr>
          <w:rFonts w:hint="default" w:asciiTheme="minorEastAsia" w:hAnsiTheme="minorEastAsia" w:eastAsiaTheme="minorEastAsia" w:cstheme="minorEastAsia"/>
          <w:snapToGrid w:val="0"/>
          <w:color w:val="auto"/>
          <w:spacing w:val="-3"/>
          <w:kern w:val="0"/>
          <w:sz w:val="24"/>
          <w:szCs w:val="24"/>
          <w:highlight w:val="none"/>
          <w:lang w:val="en-US" w:eastAsia="zh-CN" w:bidi="ar-SA"/>
        </w:rPr>
      </w:pPr>
    </w:p>
    <w:tbl>
      <w:tblPr>
        <w:tblStyle w:val="2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4945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D9043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C4FAD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46E7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EAA361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F46763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7982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D994FA">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投标供应商</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BF4F8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06DD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4A9E1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02A5D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大写：（￥：）</w:t>
            </w:r>
          </w:p>
        </w:tc>
      </w:tr>
      <w:tr w14:paraId="51F6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D22A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BF77F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7CF8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A6FA8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14A31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565B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3DB4A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09E57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4E9EE9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bl>
    <w:p w14:paraId="4EBE48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供应商（公章）：</w:t>
      </w:r>
    </w:p>
    <w:p w14:paraId="1A0124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法定代表人（负责人）或授权代表（签字）：</w:t>
      </w:r>
    </w:p>
    <w:p w14:paraId="57F1761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4DF7F5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095D20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0D97F3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1D304D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18F64F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384E98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702F6B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1C1DA8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53DF5F2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4B31AED9">
      <w:pPr>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营业执照副本、依法缴纳税收和社会保障资金的缴费凭证、审计或财务报告、</w:t>
      </w:r>
      <w:r>
        <w:rPr>
          <w:rFonts w:hint="eastAsia" w:asciiTheme="minorEastAsia" w:hAnsiTheme="minorEastAsia" w:eastAsiaTheme="minorEastAsia" w:cstheme="minorEastAsia"/>
          <w:b/>
          <w:bCs/>
          <w:color w:val="auto"/>
          <w:sz w:val="24"/>
          <w:szCs w:val="24"/>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近三年内在经营活动</w:t>
      </w:r>
    </w:p>
    <w:p w14:paraId="36B01C3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中没有重大违法记录的声明等；</w:t>
      </w:r>
    </w:p>
    <w:p w14:paraId="57B6C7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val="en-US" w:eastAsia="zh-CN"/>
        </w:rPr>
      </w:pPr>
    </w:p>
    <w:p w14:paraId="719809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审计或财务报告</w:t>
      </w:r>
      <w:r>
        <w:rPr>
          <w:rFonts w:hint="eastAsia" w:asciiTheme="minorEastAsia" w:hAnsiTheme="minorEastAsia" w:eastAsiaTheme="minorEastAsia" w:cstheme="minorEastAsia"/>
          <w:b/>
          <w:bCs/>
          <w:color w:val="auto"/>
          <w:sz w:val="24"/>
          <w:szCs w:val="24"/>
          <w:highlight w:val="none"/>
          <w:lang w:eastAsia="zh-CN"/>
        </w:rPr>
        <w:t>说明：</w:t>
      </w:r>
    </w:p>
    <w:p w14:paraId="04D4E1E0">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highlight w:val="none"/>
          <w:lang w:eastAsia="zh-CN"/>
        </w:rPr>
      </w:pPr>
      <w:r>
        <w:rPr>
          <w:rFonts w:hint="eastAsia" w:ascii="宋体" w:hAnsi="宋体" w:cs="宋体"/>
          <w:color w:val="auto"/>
          <w:sz w:val="24"/>
          <w:highlight w:val="none"/>
        </w:rPr>
        <w:t>提供2023年度的财务审计报告或会计制度，新成立企业可提供其他证明如近一个月的企业财务报表等</w:t>
      </w:r>
      <w:r>
        <w:rPr>
          <w:rFonts w:hint="eastAsia" w:ascii="宋体" w:hAnsi="宋体" w:eastAsia="宋体" w:cs="宋体"/>
          <w:color w:val="auto"/>
          <w:sz w:val="24"/>
          <w:highlight w:val="none"/>
          <w:lang w:eastAsia="zh-CN"/>
        </w:rPr>
        <w:t>。</w:t>
      </w:r>
    </w:p>
    <w:p w14:paraId="4E9C09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p>
    <w:p w14:paraId="0DD99A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近三年内在经营活动中没有重大违法记录的声明（格式）</w:t>
      </w:r>
    </w:p>
    <w:p w14:paraId="6E73D61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7730A71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声明函</w:t>
      </w:r>
    </w:p>
    <w:p w14:paraId="0D0664C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3599C9B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（法定代表人或其授权代表）代表</w:t>
      </w:r>
      <w:r>
        <w:rPr>
          <w:rFonts w:hint="eastAsia" w:asciiTheme="minorEastAsia" w:hAnsiTheme="minorEastAsia" w:eastAsiaTheme="minorEastAsia" w:cstheme="minorEastAsia"/>
          <w:b w:val="0"/>
          <w:bCs w:val="0"/>
          <w:color w:val="auto"/>
          <w:sz w:val="24"/>
          <w:szCs w:val="24"/>
          <w:highlight w:val="none"/>
          <w:u w:val="single"/>
          <w:lang w:eastAsia="zh-CN"/>
        </w:rPr>
        <w:t>（</w:t>
      </w:r>
      <w:r>
        <w:rPr>
          <w:rFonts w:hint="eastAsia" w:asciiTheme="minorEastAsia" w:hAnsiTheme="minorEastAsia" w:eastAsiaTheme="minorEastAsia" w:cstheme="minorEastAsia"/>
          <w:b w:val="0"/>
          <w:bCs w:val="0"/>
          <w:color w:val="auto"/>
          <w:sz w:val="24"/>
          <w:szCs w:val="24"/>
          <w:highlight w:val="none"/>
          <w:lang w:eastAsia="zh-CN"/>
        </w:rPr>
        <w:t>公司全称）向本项目的采购人和采购代理机构郑重声明如下：</w:t>
      </w:r>
    </w:p>
    <w:p w14:paraId="504466A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我公司近三年来的经营活动中，未因违法经营受到刑事处罚或者责令停产停业、吊销许可证或者执照、较大数额罚款等行政处罚。</w:t>
      </w:r>
    </w:p>
    <w:p w14:paraId="0FB4B77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特此声明。</w:t>
      </w:r>
    </w:p>
    <w:p w14:paraId="02B0037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2980775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6F3D8EF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供应商（盖章）：</w:t>
      </w:r>
    </w:p>
    <w:p w14:paraId="75A9C90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法定代表人或其授权代表（签字）：</w:t>
      </w:r>
    </w:p>
    <w:p w14:paraId="407FCA4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42AD7E2">
      <w:pP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br w:type="page"/>
      </w:r>
    </w:p>
    <w:p w14:paraId="3151A51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五、商务偏差表、服务方案、售后服务计划等；</w:t>
      </w:r>
    </w:p>
    <w:p w14:paraId="7F74540A">
      <w:pPr>
        <w:bidi w:val="0"/>
        <w:rPr>
          <w:rFonts w:hint="eastAsia" w:ascii="Arial" w:hAnsi="Arial" w:eastAsia="Arial" w:cs="Arial"/>
          <w:snapToGrid w:val="0"/>
          <w:color w:val="auto"/>
          <w:kern w:val="0"/>
          <w:sz w:val="21"/>
          <w:szCs w:val="21"/>
          <w:highlight w:val="none"/>
          <w:lang w:val="en-US" w:eastAsia="en-US" w:bidi="ar-SA"/>
        </w:rPr>
      </w:pPr>
    </w:p>
    <w:p w14:paraId="14AF4ADE">
      <w:pPr>
        <w:bidi w:val="0"/>
        <w:rPr>
          <w:rFonts w:hint="eastAsia"/>
          <w:color w:val="auto"/>
          <w:highlight w:val="none"/>
          <w:lang w:val="en-US" w:eastAsia="en-US"/>
        </w:rPr>
      </w:pPr>
    </w:p>
    <w:p w14:paraId="52E710D5">
      <w:pPr>
        <w:tabs>
          <w:tab w:val="center" w:pos="4153"/>
        </w:tabs>
        <w:bidi w:val="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eastAsia="宋体"/>
          <w:color w:val="auto"/>
          <w:highlight w:val="none"/>
          <w:lang w:val="en-US" w:eastAsia="zh-CN"/>
        </w:rPr>
        <w:tab/>
      </w:r>
      <w:r>
        <w:rPr>
          <w:rFonts w:hint="eastAsia" w:asciiTheme="minorEastAsia" w:hAnsiTheme="minorEastAsia" w:eastAsiaTheme="minorEastAsia" w:cstheme="minorEastAsia"/>
          <w:b/>
          <w:bCs/>
          <w:color w:val="auto"/>
          <w:sz w:val="24"/>
          <w:szCs w:val="24"/>
          <w:highlight w:val="none"/>
          <w:lang w:val="en-US" w:eastAsia="zh-CN"/>
        </w:rPr>
        <w:t>商务偏差表</w:t>
      </w:r>
    </w:p>
    <w:p w14:paraId="715912A0">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41ACC81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9F3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14:paraId="7563C1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4ECFFA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文件</w:t>
            </w:r>
          </w:p>
          <w:p w14:paraId="10B441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76233F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w:t>
            </w:r>
          </w:p>
          <w:p w14:paraId="49DD9F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6F44A3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9EDA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22E4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71B069D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9CECFF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1B4AD6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4445D3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2C0EE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5791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2D02554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3DA48E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E1CA32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8FAA0C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07ABC5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A51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5EA4FE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D0CD45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8F3C58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BBE2AA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427B4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0533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238AD6D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8D9DEA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7B8DBD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8116AC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6CDB5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1EB1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6F39617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FB9C35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CCB650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E0EF03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E3651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2632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03CD380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E48CB9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6E4D0F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47A4AD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B92F0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3DED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4897B08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904303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15B265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78981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A65FE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11D0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7BB8343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0F8E20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B4921C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787395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CA61F5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31FA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21C14BE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0C68E0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92D2CD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D1CF0C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EB43A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A0C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D08D6B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4C5DB3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8C1272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A3240B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41B81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122F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3151C5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647DFD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520B41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59397C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44EBD3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bl>
    <w:p w14:paraId="64AE53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pacing w:val="2"/>
          <w:sz w:val="24"/>
          <w:szCs w:val="24"/>
          <w:highlight w:val="none"/>
        </w:rPr>
      </w:pPr>
    </w:p>
    <w:p w14:paraId="77B8FB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pacing w:val="2"/>
          <w:sz w:val="24"/>
          <w:szCs w:val="24"/>
          <w:highlight w:val="none"/>
        </w:rPr>
        <w:t>供应商</w:t>
      </w:r>
      <w:r>
        <w:rPr>
          <w:rFonts w:hint="eastAsia" w:asciiTheme="minorEastAsia" w:hAnsiTheme="minorEastAsia" w:eastAsiaTheme="minorEastAsia" w:cstheme="minorEastAsia"/>
          <w:b/>
          <w:color w:val="auto"/>
          <w:sz w:val="24"/>
          <w:szCs w:val="24"/>
          <w:highlight w:val="none"/>
          <w:lang w:eastAsia="zh-CN"/>
        </w:rPr>
        <w:t>（公章）：</w:t>
      </w:r>
    </w:p>
    <w:p w14:paraId="1B71C2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法定代表人（负责人）或授权代表（签字）：</w:t>
      </w:r>
    </w:p>
    <w:p w14:paraId="0D3BF9E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3756B844">
      <w:pP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br w:type="page"/>
      </w:r>
    </w:p>
    <w:p w14:paraId="510E7FD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六、供应商诚信承诺书</w:t>
      </w:r>
    </w:p>
    <w:p w14:paraId="3C574E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p>
    <w:p w14:paraId="0F46D2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t>诚信承诺书</w:t>
      </w:r>
    </w:p>
    <w:p w14:paraId="41307FE4">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69C2235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50F452C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w:t>
      </w:r>
      <w:r>
        <w:rPr>
          <w:rFonts w:hint="eastAsia" w:asciiTheme="minorEastAsia" w:hAnsiTheme="minorEastAsia" w:eastAsiaTheme="minorEastAsia" w:cstheme="minorEastAsia"/>
          <w:b w:val="0"/>
          <w:bCs w:val="0"/>
          <w:color w:val="auto"/>
          <w:sz w:val="24"/>
          <w:szCs w:val="24"/>
          <w:highlight w:val="none"/>
          <w:lang w:val="en-US" w:eastAsia="zh-CN"/>
        </w:rPr>
        <w:t>采购</w:t>
      </w:r>
      <w:r>
        <w:rPr>
          <w:rFonts w:hint="eastAsia" w:asciiTheme="minorEastAsia" w:hAnsiTheme="minorEastAsia" w:eastAsiaTheme="minorEastAsia" w:cstheme="minorEastAsia"/>
          <w:b w:val="0"/>
          <w:bCs w:val="0"/>
          <w:color w:val="auto"/>
          <w:sz w:val="24"/>
          <w:szCs w:val="24"/>
          <w:highlight w:val="none"/>
          <w:lang w:eastAsia="zh-CN"/>
        </w:rPr>
        <w:t>在电子</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lang w:eastAsia="zh-CN"/>
        </w:rPr>
        <w:t>文件中的所有信息均真实有效，提交的材料无任何伪造、修改或虚假成</w:t>
      </w:r>
      <w:r>
        <w:rPr>
          <w:rFonts w:hint="eastAsia" w:asciiTheme="minorEastAsia" w:hAnsiTheme="minorEastAsia" w:eastAsiaTheme="minorEastAsia" w:cstheme="minorEastAsia"/>
          <w:b w:val="0"/>
          <w:bCs w:val="0"/>
          <w:color w:val="auto"/>
          <w:sz w:val="24"/>
          <w:szCs w:val="24"/>
          <w:highlight w:val="none"/>
          <w:lang w:val="en-US" w:eastAsia="zh-CN"/>
        </w:rPr>
        <w:t>分</w:t>
      </w:r>
      <w:r>
        <w:rPr>
          <w:rFonts w:hint="eastAsia" w:asciiTheme="minorEastAsia" w:hAnsiTheme="minorEastAsia" w:eastAsiaTheme="minorEastAsia" w:cstheme="minorEastAsia"/>
          <w:b w:val="0"/>
          <w:bCs w:val="0"/>
          <w:color w:val="auto"/>
          <w:sz w:val="24"/>
          <w:szCs w:val="24"/>
          <w:highlight w:val="none"/>
          <w:lang w:eastAsia="zh-CN"/>
        </w:rPr>
        <w:t>，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1B78710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0E3B7C1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3F46C78A">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55DDD06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30F0BF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2BAB342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电话：</w:t>
      </w:r>
    </w:p>
    <w:p w14:paraId="66CA8989">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02370AE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57C0CE8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7E7C03C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2AF7D78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54D662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2F413AC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1D275F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7D5EE04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33CE6E9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75C9A0F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310ABA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七、供应商认为需要的其他文件资料</w:t>
      </w:r>
    </w:p>
    <w:p w14:paraId="3CB9BF7A">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2"/>
          <w:sz w:val="36"/>
          <w:szCs w:val="36"/>
          <w:highlight w:val="none"/>
          <w14:textOutline w14:w="2306" w14:cap="flat" w14:cmpd="sng">
            <w14:solidFill>
              <w14:srgbClr w14:val="000000"/>
            </w14:solidFill>
            <w14:prstDash w14:val="solid"/>
            <w14:miter w14:val="0"/>
          </w14:textOutline>
        </w:rPr>
        <w:t>中小企业声明函（工程、服务）格式</w:t>
      </w:r>
    </w:p>
    <w:p w14:paraId="4A167C9E">
      <w:pPr>
        <w:keepNext w:val="0"/>
        <w:keepLines w:val="0"/>
        <w:pageBreakBefore w:val="0"/>
        <w:kinsoku/>
        <w:wordWrap w:val="0"/>
        <w:overflowPunct/>
        <w:topLinePunct w:val="0"/>
        <w:autoSpaceDE w:val="0"/>
        <w:autoSpaceDN w:val="0"/>
        <w:bidi w:val="0"/>
        <w:adjustRightInd w:val="0"/>
        <w:snapToGrid w:val="0"/>
        <w:spacing w:line="440" w:lineRule="exact"/>
        <w:ind w:left="0" w:leftChars="0" w:firstLine="604" w:firstLineChars="252"/>
        <w:jc w:val="both"/>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本公司（联合体）郑重声明，根据《政府采购促进中小企业发展管理办法》（财 库﹝2020﹞46 号） 的规定，本公司（联合体）参加（单位名称） 的（项目名称） 采购活动，工程的施工单位全部为符合政策要求的中小企业（或者：服务全部由符 合政策要求的中小企业承接）。相关企业（含联合体中的中小企业、签订分包意向协议的中小企业） 的具体情况如下：</w:t>
      </w:r>
    </w:p>
    <w:p w14:paraId="79182366">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51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w:t>
      </w:r>
      <w:r>
        <w:rPr>
          <w:rFonts w:hint="eastAsia" w:asciiTheme="minorEastAsia" w:hAnsiTheme="minorEastAsia" w:eastAsiaTheme="minorEastAsia" w:cstheme="minorEastAsia"/>
          <w:color w:val="auto"/>
          <w:spacing w:val="7"/>
          <w:sz w:val="24"/>
          <w:szCs w:val="24"/>
          <w:highlight w:val="none"/>
        </w:rPr>
        <w:t>（承接）企业</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8"/>
          <w:sz w:val="24"/>
          <w:szCs w:val="24"/>
          <w:highlight w:val="none"/>
        </w:rPr>
        <w:t>万元</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8"/>
          <w:position w:val="6"/>
          <w:sz w:val="16"/>
          <w:szCs w:val="16"/>
          <w:highlight w:val="none"/>
        </w:rPr>
        <w:t>1</w:t>
      </w:r>
      <w:r>
        <w:rPr>
          <w:rFonts w:hint="eastAsia" w:asciiTheme="minorEastAsia" w:hAnsiTheme="minorEastAsia" w:eastAsiaTheme="minorEastAsia" w:cstheme="minorEastAsia"/>
          <w:color w:val="auto"/>
          <w:spacing w:val="-12"/>
          <w:position w:val="6"/>
          <w:sz w:val="16"/>
          <w:szCs w:val="16"/>
          <w:highlight w:val="none"/>
        </w:rPr>
        <w:t xml:space="preserve"> </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（中型企业、小型企业、微型企业</w:t>
      </w:r>
      <w:r>
        <w:rPr>
          <w:rFonts w:hint="eastAsia" w:asciiTheme="minorEastAsia" w:hAnsiTheme="minorEastAsia" w:eastAsiaTheme="minorEastAsia" w:cstheme="minorEastAsia"/>
          <w:color w:val="auto"/>
          <w:spacing w:val="-50"/>
          <w:sz w:val="24"/>
          <w:szCs w:val="24"/>
          <w:highlight w:val="none"/>
          <w:u w:val="single" w:color="auto"/>
        </w:rPr>
        <w:t>）</w:t>
      </w:r>
      <w:r>
        <w:rPr>
          <w:rFonts w:hint="eastAsia" w:asciiTheme="minorEastAsia" w:hAnsiTheme="minorEastAsia" w:eastAsiaTheme="minorEastAsia" w:cstheme="minorEastAsia"/>
          <w:color w:val="auto"/>
          <w:spacing w:val="-50"/>
          <w:sz w:val="24"/>
          <w:szCs w:val="24"/>
          <w:highlight w:val="none"/>
        </w:rPr>
        <w:t>；</w:t>
      </w:r>
    </w:p>
    <w:p w14:paraId="099FF052">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509"/>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行业；承建（承接）企业</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
          <w:sz w:val="24"/>
          <w:szCs w:val="24"/>
          <w:highlight w:val="none"/>
        </w:rPr>
        <w:t>万元，属于</w:t>
      </w:r>
      <w:r>
        <w:rPr>
          <w:rFonts w:hint="eastAsia" w:asciiTheme="minorEastAsia" w:hAnsiTheme="minorEastAsia" w:eastAsiaTheme="minorEastAsia" w:cstheme="minorEastAsia"/>
          <w:color w:val="auto"/>
          <w:spacing w:val="10"/>
          <w:sz w:val="24"/>
          <w:szCs w:val="24"/>
          <w:highlight w:val="none"/>
          <w:u w:val="single" w:color="auto"/>
        </w:rPr>
        <w:t>（中型企业、小型企业、微型企业</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p>
    <w:p w14:paraId="4EEE1797">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both"/>
        <w:textAlignment w:val="baseline"/>
        <w:rPr>
          <w:rFonts w:hint="eastAsia" w:asciiTheme="minorEastAsia" w:hAnsiTheme="minorEastAsia" w:eastAsiaTheme="minorEastAsia" w:cstheme="minorEastAsia"/>
          <w:color w:val="auto"/>
          <w:sz w:val="21"/>
          <w:highlight w:val="none"/>
        </w:rPr>
      </w:pPr>
    </w:p>
    <w:p w14:paraId="5FFBFD08">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0C9097C3">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以上企业，不属于大企业的分支机构，不存在控股股东为大企业的情形，也不存在与大企业的负责人为同一人的情形。</w:t>
      </w:r>
    </w:p>
    <w:p w14:paraId="2A6BFB08">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本企业对上述声明内容的真实性负责。如有虚假，将依法承担相应责任。</w:t>
      </w:r>
    </w:p>
    <w:p w14:paraId="5E291480">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both"/>
        <w:textAlignment w:val="baseline"/>
        <w:rPr>
          <w:rFonts w:hint="eastAsia" w:asciiTheme="minorEastAsia" w:hAnsiTheme="minorEastAsia" w:eastAsiaTheme="minorEastAsia" w:cstheme="minorEastAsia"/>
          <w:color w:val="auto"/>
          <w:sz w:val="21"/>
          <w:highlight w:val="none"/>
        </w:rPr>
      </w:pPr>
    </w:p>
    <w:p w14:paraId="6439F65B">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both"/>
        <w:textAlignment w:val="baseline"/>
        <w:rPr>
          <w:rFonts w:hint="eastAsia" w:asciiTheme="minorEastAsia" w:hAnsiTheme="minorEastAsia" w:eastAsiaTheme="minorEastAsia" w:cstheme="minorEastAsia"/>
          <w:color w:val="auto"/>
          <w:sz w:val="21"/>
          <w:highlight w:val="none"/>
        </w:rPr>
      </w:pPr>
    </w:p>
    <w:p w14:paraId="6E403446">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5050" w:firstLineChars="25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p>
    <w:p w14:paraId="46B05C23">
      <w:pPr>
        <w:keepNext w:val="0"/>
        <w:keepLines w:val="0"/>
        <w:pageBreakBefore w:val="0"/>
        <w:kinsoku/>
        <w:wordWrap w:val="0"/>
        <w:overflowPunct/>
        <w:topLinePunct w:val="0"/>
        <w:autoSpaceDE w:val="0"/>
        <w:autoSpaceDN w:val="0"/>
        <w:bidi w:val="0"/>
        <w:adjustRightInd w:val="0"/>
        <w:snapToGrid w:val="0"/>
        <w:spacing w:line="440" w:lineRule="exact"/>
        <w:ind w:left="0" w:leftChars="0" w:firstLine="5040" w:firstLineChars="2100"/>
        <w:jc w:val="both"/>
        <w:textAlignment w:val="baseline"/>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68CCCFB">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both"/>
        <w:textAlignment w:val="baseline"/>
        <w:rPr>
          <w:rFonts w:hint="eastAsia" w:asciiTheme="minorEastAsia" w:hAnsiTheme="minorEastAsia" w:eastAsiaTheme="minorEastAsia" w:cstheme="minorEastAsia"/>
          <w:color w:val="auto"/>
          <w:spacing w:val="9"/>
          <w:position w:val="5"/>
          <w:sz w:val="24"/>
          <w:szCs w:val="24"/>
          <w:highlight w:val="none"/>
          <w:lang w:val="en-US" w:eastAsia="zh-CN"/>
        </w:rPr>
      </w:pPr>
    </w:p>
    <w:p w14:paraId="394634D8">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both"/>
        <w:textAlignment w:val="baseline"/>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position w:val="5"/>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p>
    <w:p w14:paraId="172C7C5F">
      <w:pPr>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br w:type="page"/>
      </w:r>
    </w:p>
    <w:p w14:paraId="4FB8DC2C">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残疾人福利性单位声明函格式</w:t>
      </w:r>
    </w:p>
    <w:p w14:paraId="3DC65690">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本单位郑重声明，根据《财政部民政部中国残疾人联合会关于促进残疾人就业政府采购政策的通知》（财库〔2017〕141号）的规定，本单位</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（请进行选择）</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w:t>
      </w:r>
    </w:p>
    <w:p w14:paraId="6A4898C9">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24900F22">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8"/>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单位的</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71"/>
          <w:sz w:val="24"/>
          <w:szCs w:val="24"/>
          <w:highlight w:val="none"/>
        </w:rPr>
        <w:t xml:space="preserve"> </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012F5572">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6E757D6A">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both"/>
        <w:textAlignment w:val="baseline"/>
        <w:rPr>
          <w:rFonts w:hint="eastAsia" w:asciiTheme="minorEastAsia" w:hAnsiTheme="minorEastAsia" w:eastAsiaTheme="minorEastAsia" w:cstheme="minorEastAsia"/>
          <w:color w:val="auto"/>
          <w:sz w:val="21"/>
          <w:highlight w:val="none"/>
        </w:rPr>
      </w:pPr>
    </w:p>
    <w:p w14:paraId="23B3AF4B">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both"/>
        <w:textAlignment w:val="baseline"/>
        <w:rPr>
          <w:rFonts w:hint="eastAsia" w:asciiTheme="minorEastAsia" w:hAnsiTheme="minorEastAsia" w:eastAsiaTheme="minorEastAsia" w:cstheme="minorEastAsia"/>
          <w:color w:val="auto"/>
          <w:sz w:val="21"/>
          <w:highlight w:val="none"/>
        </w:rPr>
      </w:pPr>
    </w:p>
    <w:p w14:paraId="5EB211E0">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80" w:firstLineChars="200"/>
        <w:jc w:val="right"/>
        <w:textAlignment w:val="baseline"/>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单位名称（盖章）：</w:t>
      </w:r>
    </w:p>
    <w:p w14:paraId="6D3030C1">
      <w:pPr>
        <w:keepNext w:val="0"/>
        <w:keepLines w:val="0"/>
        <w:pageBreakBefore w:val="0"/>
        <w:kinsoku/>
        <w:wordWrap w:val="0"/>
        <w:overflowPunct/>
        <w:topLinePunct w:val="0"/>
        <w:autoSpaceDE w:val="0"/>
        <w:autoSpaceDN w:val="0"/>
        <w:bidi w:val="0"/>
        <w:adjustRightInd w:val="0"/>
        <w:snapToGrid w:val="0"/>
        <w:spacing w:line="440" w:lineRule="exact"/>
        <w:ind w:left="0" w:leftChars="0" w:firstLine="5040" w:firstLineChars="2100"/>
        <w:jc w:val="both"/>
        <w:textAlignment w:val="baseline"/>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029C84F">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6960" w:firstLineChars="2900"/>
        <w:jc w:val="both"/>
        <w:textAlignment w:val="baseline"/>
        <w:rPr>
          <w:rFonts w:hint="eastAsia" w:asciiTheme="minorEastAsia" w:hAnsiTheme="minorEastAsia" w:eastAsiaTheme="minorEastAsia" w:cstheme="minorEastAsia"/>
          <w:color w:val="auto"/>
          <w:sz w:val="24"/>
          <w:szCs w:val="24"/>
          <w:highlight w:val="none"/>
        </w:rPr>
      </w:pPr>
    </w:p>
    <w:p w14:paraId="1E2CA261">
      <w:pPr>
        <w:keepNext w:val="0"/>
        <w:keepLines w:val="0"/>
        <w:pageBreakBefore w:val="0"/>
        <w:overflowPunct/>
        <w:topLinePunct w:val="0"/>
        <w:autoSpaceDE w:val="0"/>
        <w:autoSpaceDN w:val="0"/>
        <w:bidi w:val="0"/>
        <w:adjustRightInd w:val="0"/>
        <w:snapToGrid w:val="0"/>
        <w:spacing w:line="440" w:lineRule="exact"/>
        <w:ind w:left="0" w:leftChars="0"/>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br w:type="page"/>
      </w:r>
    </w:p>
    <w:p w14:paraId="3112DBDA">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6A7AFDF9">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both"/>
        <w:textAlignment w:val="baseline"/>
        <w:rPr>
          <w:rFonts w:hint="eastAsia" w:ascii="宋体" w:hAnsi="宋体"/>
          <w:b/>
          <w:color w:val="auto"/>
          <w:sz w:val="28"/>
          <w:szCs w:val="28"/>
          <w:highlight w:val="none"/>
          <w:lang w:eastAsia="zh-CN"/>
        </w:rPr>
      </w:pPr>
    </w:p>
    <w:p w14:paraId="257A36E7">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56D6A200">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00A363EE">
      <w:pPr>
        <w:keepNext w:val="0"/>
        <w:keepLines w:val="0"/>
        <w:pageBreakBefore w:val="0"/>
        <w:widowControl/>
        <w:tabs>
          <w:tab w:val="left" w:pos="4860"/>
        </w:tabs>
        <w:kinsoku/>
        <w:wordWrap w:val="0"/>
        <w:overflowPunct/>
        <w:topLinePunct w:val="0"/>
        <w:autoSpaceDE w:val="0"/>
        <w:autoSpaceDN w:val="0"/>
        <w:bidi w:val="0"/>
        <w:adjustRightInd w:val="0"/>
        <w:snapToGrid w:val="0"/>
        <w:spacing w:line="440" w:lineRule="exact"/>
        <w:ind w:left="0" w:leftChars="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0983C31C">
      <w:pPr>
        <w:keepNext w:val="0"/>
        <w:keepLines w:val="0"/>
        <w:pageBreakBefore w:val="0"/>
        <w:widowControl/>
        <w:tabs>
          <w:tab w:val="left" w:pos="4860"/>
        </w:tabs>
        <w:kinsoku/>
        <w:wordWrap w:val="0"/>
        <w:overflowPunct/>
        <w:topLinePunct w:val="0"/>
        <w:autoSpaceDE w:val="0"/>
        <w:autoSpaceDN w:val="0"/>
        <w:bidi w:val="0"/>
        <w:adjustRightInd w:val="0"/>
        <w:snapToGrid w:val="0"/>
        <w:spacing w:line="440" w:lineRule="exact"/>
        <w:ind w:left="0" w:leftChars="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企业名称（盖章）： </w:t>
      </w:r>
    </w:p>
    <w:p w14:paraId="3A0DE17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40" w:lineRule="exact"/>
        <w:ind w:left="0" w:leftChars="0"/>
        <w:jc w:val="both"/>
        <w:textAlignment w:val="baseline"/>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53534D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40" w:lineRule="exact"/>
        <w:ind w:left="0" w:leftChars="0"/>
        <w:jc w:val="both"/>
        <w:textAlignment w:val="baseline"/>
        <w:rPr>
          <w:rFonts w:hint="eastAsia" w:asciiTheme="minorEastAsia" w:hAnsiTheme="minorEastAsia" w:eastAsiaTheme="minorEastAsia" w:cstheme="minorEastAsia"/>
          <w:b/>
          <w:bCs/>
          <w:color w:val="auto"/>
          <w:sz w:val="24"/>
          <w:szCs w:val="24"/>
          <w:highlight w:val="none"/>
          <w:lang w:eastAsia="zh-CN"/>
        </w:rPr>
      </w:pPr>
    </w:p>
    <w:p w14:paraId="66D3E89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40" w:lineRule="exact"/>
        <w:ind w:left="0" w:leftChars="0" w:firstLine="482" w:firstLineChars="200"/>
        <w:jc w:val="both"/>
        <w:textAlignment w:val="baseline"/>
        <w:rPr>
          <w:rFonts w:hint="eastAsia" w:asciiTheme="minorEastAsia" w:hAnsiTheme="minorEastAsia" w:eastAsiaTheme="minorEastAsia" w:cstheme="minorEastAsia"/>
          <w:b/>
          <w:bCs/>
          <w:color w:val="auto"/>
          <w:sz w:val="24"/>
          <w:szCs w:val="24"/>
          <w:highlight w:val="none"/>
          <w:lang w:eastAsia="zh-CN"/>
        </w:rPr>
      </w:pPr>
    </w:p>
    <w:p w14:paraId="0810861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40" w:lineRule="exact"/>
        <w:ind w:left="0" w:leftChars="0" w:firstLine="482" w:firstLineChars="200"/>
        <w:jc w:val="both"/>
        <w:textAlignment w:val="baseline"/>
        <w:rPr>
          <w:rFonts w:hint="eastAsia" w:asciiTheme="minorEastAsia" w:hAnsiTheme="minorEastAsia" w:eastAsiaTheme="minorEastAsia" w:cstheme="minorEastAsia"/>
          <w:b/>
          <w:bCs/>
          <w:color w:val="auto"/>
          <w:sz w:val="24"/>
          <w:szCs w:val="24"/>
          <w:highlight w:val="none"/>
          <w:lang w:eastAsia="zh-CN"/>
        </w:rPr>
      </w:pPr>
    </w:p>
    <w:p w14:paraId="09972EE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40" w:lineRule="exact"/>
        <w:ind w:left="0" w:leftChars="0" w:firstLine="482" w:firstLineChars="200"/>
        <w:jc w:val="both"/>
        <w:textAlignment w:val="baseline"/>
        <w:rPr>
          <w:rFonts w:hint="eastAsia" w:asciiTheme="minorEastAsia" w:hAnsiTheme="minorEastAsia" w:eastAsiaTheme="minorEastAsia" w:cstheme="minorEastAsia"/>
          <w:b/>
          <w:bCs/>
          <w:color w:val="auto"/>
          <w:sz w:val="24"/>
          <w:szCs w:val="24"/>
          <w:highlight w:val="none"/>
          <w:lang w:val="zh-CN" w:eastAsia="zh-CN"/>
        </w:rPr>
      </w:pPr>
      <w:r>
        <w:rPr>
          <w:rFonts w:hint="eastAsia" w:asciiTheme="minorEastAsia" w:hAnsiTheme="minorEastAsia" w:eastAsiaTheme="minorEastAsia" w:cstheme="minorEastAsia"/>
          <w:b/>
          <w:bCs/>
          <w:color w:val="auto"/>
          <w:sz w:val="24"/>
          <w:szCs w:val="24"/>
          <w:highlight w:val="none"/>
          <w:lang w:val="en-US" w:eastAsia="zh-CN"/>
        </w:rPr>
        <w:t>按照邓州市财政局《关于在政府采购活动中实行供应商资格信用承诺制的通知》邓财〔2024〕36号的要求，对于邓州市政府采购项目，全部实施供应商资格信用承诺，供应商在响应时，按照规定提供“邓州市政府采购供应商信用承诺函”（详见附件）的，无需再提交上述第四项证明材料”。供应商</w:t>
      </w:r>
      <w:r>
        <w:rPr>
          <w:rFonts w:hint="eastAsia" w:asciiTheme="minorEastAsia" w:hAnsiTheme="minorEastAsia" w:eastAsiaTheme="minorEastAsia" w:cstheme="minorEastAsia"/>
          <w:b/>
          <w:bCs/>
          <w:color w:val="auto"/>
          <w:sz w:val="24"/>
          <w:szCs w:val="24"/>
          <w:highlight w:val="none"/>
          <w:lang w:val="zh-CN" w:eastAsia="zh-CN"/>
        </w:rPr>
        <w:t>在</w:t>
      </w:r>
      <w:r>
        <w:rPr>
          <w:rFonts w:hint="eastAsia" w:asciiTheme="minorEastAsia" w:hAnsiTheme="minorEastAsia" w:eastAsiaTheme="minorEastAsia" w:cstheme="minorEastAsia"/>
          <w:b/>
          <w:bCs/>
          <w:color w:val="auto"/>
          <w:sz w:val="24"/>
          <w:szCs w:val="24"/>
          <w:highlight w:val="none"/>
          <w:lang w:val="en-US" w:eastAsia="zh-CN"/>
        </w:rPr>
        <w:t>成交</w:t>
      </w:r>
      <w:r>
        <w:rPr>
          <w:rFonts w:hint="eastAsia" w:asciiTheme="minorEastAsia" w:hAnsiTheme="minorEastAsia" w:eastAsiaTheme="minorEastAsia" w:cstheme="minorEastAsia"/>
          <w:b/>
          <w:bCs/>
          <w:color w:val="auto"/>
          <w:sz w:val="24"/>
          <w:szCs w:val="24"/>
          <w:highlight w:val="none"/>
          <w:lang w:val="zh-CN" w:eastAsia="zh-CN"/>
        </w:rPr>
        <w:t>后，应将上述由信用承诺书替代的证明材料提交采购人或采购代理机构，证明材料将随公告一并公示。</w:t>
      </w:r>
    </w:p>
    <w:p w14:paraId="4C3094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40" w:lineRule="exact"/>
        <w:ind w:left="0" w:leftChars="0" w:firstLine="482" w:firstLineChars="200"/>
        <w:jc w:val="both"/>
        <w:textAlignment w:val="baseline"/>
        <w:rPr>
          <w:rFonts w:hint="eastAsia" w:asciiTheme="minorEastAsia" w:hAnsiTheme="minorEastAsia" w:eastAsiaTheme="minorEastAsia" w:cstheme="minorEastAsia"/>
          <w:b/>
          <w:bCs/>
          <w:color w:val="auto"/>
          <w:sz w:val="24"/>
          <w:szCs w:val="24"/>
          <w:highlight w:val="none"/>
          <w:lang w:val="zh-CN" w:eastAsia="zh-CN"/>
        </w:rPr>
      </w:pPr>
    </w:p>
    <w:p w14:paraId="7F27FDB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40" w:lineRule="exact"/>
        <w:ind w:left="0" w:leftChars="0" w:firstLine="482" w:firstLineChars="200"/>
        <w:jc w:val="both"/>
        <w:textAlignment w:val="baseline"/>
        <w:rPr>
          <w:rFonts w:hint="eastAsia" w:asciiTheme="minorEastAsia" w:hAnsiTheme="minorEastAsia" w:eastAsiaTheme="minorEastAsia" w:cstheme="minorEastAsia"/>
          <w:b/>
          <w:bCs/>
          <w:color w:val="auto"/>
          <w:sz w:val="24"/>
          <w:szCs w:val="24"/>
          <w:highlight w:val="none"/>
          <w:lang w:val="zh-CN" w:eastAsia="zh-CN"/>
        </w:rPr>
      </w:pPr>
    </w:p>
    <w:p w14:paraId="0470D609">
      <w:pPr>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br w:type="page"/>
      </w:r>
    </w:p>
    <w:p w14:paraId="4BE3782F">
      <w:pPr>
        <w:pStyle w:val="7"/>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t>邓州</w:t>
      </w:r>
      <w:r>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t>市政府采购供应商信用承诺函（格式）</w:t>
      </w:r>
    </w:p>
    <w:p w14:paraId="301E9DD0">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jc w:val="both"/>
        <w:textAlignment w:val="baseline"/>
        <w:rPr>
          <w:rFonts w:hint="eastAsia" w:asciiTheme="minorEastAsia" w:hAnsiTheme="minorEastAsia" w:eastAsiaTheme="minorEastAsia" w:cstheme="minorEastAsia"/>
          <w:b/>
          <w:bCs/>
          <w:snapToGrid w:val="0"/>
          <w:color w:val="auto"/>
          <w:kern w:val="0"/>
          <w:sz w:val="24"/>
          <w:szCs w:val="24"/>
          <w:highlight w:val="none"/>
          <w:lang w:val="zh-CN" w:eastAsia="zh-CN" w:bidi="ar-SA"/>
        </w:rPr>
      </w:pPr>
    </w:p>
    <w:p w14:paraId="6140D8F7">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default"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致（采购人或</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采购代理机构</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w:t>
      </w:r>
    </w:p>
    <w:p w14:paraId="3D0E0548">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单位名称：</w:t>
      </w:r>
    </w:p>
    <w:p w14:paraId="5BD1E3B0">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统一社会信用代码：</w:t>
      </w:r>
    </w:p>
    <w:p w14:paraId="423DCA34">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w:t>
      </w:r>
    </w:p>
    <w:p w14:paraId="179C0BFF">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联系地址和电话：</w:t>
      </w:r>
    </w:p>
    <w:p w14:paraId="1D2244D7">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56BD4245">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（一）具有独立承担民事责任的能力；</w:t>
      </w:r>
    </w:p>
    <w:p w14:paraId="53477D82">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（二）具有良好的商业信誉和健全的财务会计制度；</w:t>
      </w:r>
    </w:p>
    <w:p w14:paraId="4DA6184F">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（三）具有履行合同所必需的设备和专业技术能力；</w:t>
      </w:r>
    </w:p>
    <w:p w14:paraId="09B5EBF3">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（四）有依法缴纳税收和社会保障资金的良好记录；</w:t>
      </w:r>
    </w:p>
    <w:p w14:paraId="586440F8">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（五）参加政府采购活动前三年内，在经营活动中没有重大违法记录；</w:t>
      </w:r>
    </w:p>
    <w:p w14:paraId="3441A7EC">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（六）法律、行政法规规定的其他条件。</w:t>
      </w:r>
    </w:p>
    <w:p w14:paraId="0B987A3F">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我单位保证上述承诺事项的真实性，如有弄虚作假或其他违法违规行为，愿意承担一切法律责任，并承担因此所造成的一切损失。</w:t>
      </w:r>
    </w:p>
    <w:p w14:paraId="4CE3D892">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p>
    <w:p w14:paraId="44851F58">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5280" w:firstLineChars="2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投标人（企业电子章）：</w:t>
      </w:r>
    </w:p>
    <w:p w14:paraId="2067EE36">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3360" w:firstLineChars="14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法定代表人或授权代表（签字或电子印章）：</w:t>
      </w:r>
    </w:p>
    <w:p w14:paraId="6669F45F">
      <w:pPr>
        <w:keepNext w:val="0"/>
        <w:keepLines w:val="0"/>
        <w:pageBreakBefore w:val="0"/>
        <w:kinsoku/>
        <w:wordWrap w:val="0"/>
        <w:overflowPunct/>
        <w:topLinePunct w:val="0"/>
        <w:autoSpaceDE w:val="0"/>
        <w:autoSpaceDN w:val="0"/>
        <w:bidi w:val="0"/>
        <w:adjustRightInd w:val="0"/>
        <w:snapToGrid w:val="0"/>
        <w:spacing w:line="440" w:lineRule="exact"/>
        <w:ind w:left="0" w:leftChars="0" w:firstLine="5040" w:firstLineChars="2100"/>
        <w:jc w:val="both"/>
        <w:textAlignment w:val="baseline"/>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7B613C3">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p>
    <w:p w14:paraId="26D06701">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注：</w:t>
      </w:r>
    </w:p>
    <w:p w14:paraId="1CC9AB9D">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1、投标人须在投标文件中按此模板提供承诺函，未提供视为未实质性响应招标文件要求，按无效投标处理。</w:t>
      </w:r>
    </w:p>
    <w:p w14:paraId="7D8388B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2、投标人的法定代表人或者授权代表的签字或盖章应真实、有效，如由授权代表签字或盖章的，应提供“法定代表人授权书”。</w:t>
      </w:r>
    </w:p>
    <w:p w14:paraId="007947D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sectPr>
      <w:headerReference r:id="rId13" w:type="default"/>
      <w:footerReference r:id="rId14"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7F" w:usb3="00000000" w:csb0="203F01FF" w:csb1="D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8F53">
    <w:pPr>
      <w:spacing w:line="189" w:lineRule="auto"/>
      <w:ind w:left="4435"/>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8DA0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058F5">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93058F5">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04A2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72FBA">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4772FBA">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754C6">
                          <w:pPr>
                            <w:pStyle w:val="11"/>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4C0754C6">
                    <w:pPr>
                      <w:pStyle w:val="11"/>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3C7F">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F4AA9">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07F4AA9">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243DE">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8881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A58881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3EC1D">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C720">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9450">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47F2">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D07D5">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0C897"/>
    <w:multiLevelType w:val="singleLevel"/>
    <w:tmpl w:val="2CE0C897"/>
    <w:lvl w:ilvl="0" w:tentative="0">
      <w:start w:val="1"/>
      <w:numFmt w:val="decimal"/>
      <w:suff w:val="nothing"/>
      <w:lvlText w:val="（%1）"/>
      <w:lvlJc w:val="left"/>
    </w:lvl>
  </w:abstractNum>
  <w:abstractNum w:abstractNumId="1">
    <w:nsid w:val="6643FA8D"/>
    <w:multiLevelType w:val="singleLevel"/>
    <w:tmpl w:val="6643FA8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I1NTA3NDMzZjZmYmM0MDg1YmRjNjBmOTI1NzllOTAifQ=="/>
  </w:docVars>
  <w:rsids>
    <w:rsidRoot w:val="00000000"/>
    <w:rsid w:val="004C35F8"/>
    <w:rsid w:val="00533307"/>
    <w:rsid w:val="00AC4091"/>
    <w:rsid w:val="00D03594"/>
    <w:rsid w:val="0134392E"/>
    <w:rsid w:val="01635C49"/>
    <w:rsid w:val="027B5ABA"/>
    <w:rsid w:val="02980B47"/>
    <w:rsid w:val="0304627B"/>
    <w:rsid w:val="03174F3D"/>
    <w:rsid w:val="0355045A"/>
    <w:rsid w:val="03715D48"/>
    <w:rsid w:val="03F005BF"/>
    <w:rsid w:val="042E5F48"/>
    <w:rsid w:val="049308F0"/>
    <w:rsid w:val="05592C48"/>
    <w:rsid w:val="05C82C12"/>
    <w:rsid w:val="064B2778"/>
    <w:rsid w:val="06731CDB"/>
    <w:rsid w:val="06BD7DF4"/>
    <w:rsid w:val="072D11D3"/>
    <w:rsid w:val="07A62D33"/>
    <w:rsid w:val="07EF6488"/>
    <w:rsid w:val="07F74BC0"/>
    <w:rsid w:val="08627CDF"/>
    <w:rsid w:val="08743EB7"/>
    <w:rsid w:val="08783FF3"/>
    <w:rsid w:val="08805E88"/>
    <w:rsid w:val="08896F10"/>
    <w:rsid w:val="08DF64FD"/>
    <w:rsid w:val="09122713"/>
    <w:rsid w:val="091328AA"/>
    <w:rsid w:val="095962AF"/>
    <w:rsid w:val="09A960A9"/>
    <w:rsid w:val="09F25929"/>
    <w:rsid w:val="0A2175C7"/>
    <w:rsid w:val="0A366954"/>
    <w:rsid w:val="0A481E7F"/>
    <w:rsid w:val="0A4E3858"/>
    <w:rsid w:val="0A530F50"/>
    <w:rsid w:val="0A741165"/>
    <w:rsid w:val="0ADC6029"/>
    <w:rsid w:val="0BAC20AB"/>
    <w:rsid w:val="0C272EF4"/>
    <w:rsid w:val="0C450913"/>
    <w:rsid w:val="0C5F125B"/>
    <w:rsid w:val="0CF167FE"/>
    <w:rsid w:val="0D1D494D"/>
    <w:rsid w:val="0D1D5845"/>
    <w:rsid w:val="0D4059FD"/>
    <w:rsid w:val="0DB51F60"/>
    <w:rsid w:val="0DCF608A"/>
    <w:rsid w:val="0E125EE5"/>
    <w:rsid w:val="0E3E7CBD"/>
    <w:rsid w:val="0EE83C0B"/>
    <w:rsid w:val="0EF95E3E"/>
    <w:rsid w:val="0F130CAE"/>
    <w:rsid w:val="0FB2684A"/>
    <w:rsid w:val="0FF95996"/>
    <w:rsid w:val="0FFF7484"/>
    <w:rsid w:val="10832DEB"/>
    <w:rsid w:val="10D316FD"/>
    <w:rsid w:val="10F15E25"/>
    <w:rsid w:val="113754D6"/>
    <w:rsid w:val="11E54B27"/>
    <w:rsid w:val="11F10D0E"/>
    <w:rsid w:val="1217313B"/>
    <w:rsid w:val="1225307D"/>
    <w:rsid w:val="12575F0C"/>
    <w:rsid w:val="126B4A52"/>
    <w:rsid w:val="13504EE3"/>
    <w:rsid w:val="13D318D3"/>
    <w:rsid w:val="14184102"/>
    <w:rsid w:val="14357168"/>
    <w:rsid w:val="146A4EE4"/>
    <w:rsid w:val="147A2410"/>
    <w:rsid w:val="14B05372"/>
    <w:rsid w:val="15031492"/>
    <w:rsid w:val="156F62EF"/>
    <w:rsid w:val="15A21350"/>
    <w:rsid w:val="15C27640"/>
    <w:rsid w:val="160D7755"/>
    <w:rsid w:val="16480002"/>
    <w:rsid w:val="16655340"/>
    <w:rsid w:val="16882EF5"/>
    <w:rsid w:val="1698271F"/>
    <w:rsid w:val="16E51448"/>
    <w:rsid w:val="16FD3ABE"/>
    <w:rsid w:val="172F0E42"/>
    <w:rsid w:val="17FC07EF"/>
    <w:rsid w:val="18EE62E8"/>
    <w:rsid w:val="19240A3A"/>
    <w:rsid w:val="196A0814"/>
    <w:rsid w:val="1A07140F"/>
    <w:rsid w:val="1AE02E39"/>
    <w:rsid w:val="1B085A1A"/>
    <w:rsid w:val="1B1C5950"/>
    <w:rsid w:val="1BFF6021"/>
    <w:rsid w:val="1C587110"/>
    <w:rsid w:val="1CB2219C"/>
    <w:rsid w:val="1CC05665"/>
    <w:rsid w:val="1D7F2147"/>
    <w:rsid w:val="1D996CC8"/>
    <w:rsid w:val="1DA01659"/>
    <w:rsid w:val="1DE200D2"/>
    <w:rsid w:val="1DEA52D0"/>
    <w:rsid w:val="1E6454A8"/>
    <w:rsid w:val="1E7D6144"/>
    <w:rsid w:val="1EB055BF"/>
    <w:rsid w:val="1FA857BA"/>
    <w:rsid w:val="1FCD677B"/>
    <w:rsid w:val="1FCF1E87"/>
    <w:rsid w:val="205F417A"/>
    <w:rsid w:val="208E4164"/>
    <w:rsid w:val="21954DB9"/>
    <w:rsid w:val="21A07893"/>
    <w:rsid w:val="21FB464E"/>
    <w:rsid w:val="21FE5AB7"/>
    <w:rsid w:val="22203277"/>
    <w:rsid w:val="2224033B"/>
    <w:rsid w:val="22384D31"/>
    <w:rsid w:val="2268710B"/>
    <w:rsid w:val="22926FC1"/>
    <w:rsid w:val="23554AEF"/>
    <w:rsid w:val="23645F64"/>
    <w:rsid w:val="23955CDE"/>
    <w:rsid w:val="23F5677C"/>
    <w:rsid w:val="23FB5E39"/>
    <w:rsid w:val="2440500F"/>
    <w:rsid w:val="244A2A1D"/>
    <w:rsid w:val="2490316E"/>
    <w:rsid w:val="24966EC9"/>
    <w:rsid w:val="24C42EA1"/>
    <w:rsid w:val="24F33E8E"/>
    <w:rsid w:val="2564491D"/>
    <w:rsid w:val="25B83A87"/>
    <w:rsid w:val="2604791E"/>
    <w:rsid w:val="266463E7"/>
    <w:rsid w:val="26A54C67"/>
    <w:rsid w:val="26E9311B"/>
    <w:rsid w:val="275814FC"/>
    <w:rsid w:val="27AE4C29"/>
    <w:rsid w:val="28032F0B"/>
    <w:rsid w:val="28074CD0"/>
    <w:rsid w:val="29830BB3"/>
    <w:rsid w:val="2A3D0E7D"/>
    <w:rsid w:val="2A570191"/>
    <w:rsid w:val="2A790107"/>
    <w:rsid w:val="2A7D6187"/>
    <w:rsid w:val="2A924A38"/>
    <w:rsid w:val="2AA147A1"/>
    <w:rsid w:val="2AE32E31"/>
    <w:rsid w:val="2B0D4CF3"/>
    <w:rsid w:val="2BE2346B"/>
    <w:rsid w:val="2BF1120B"/>
    <w:rsid w:val="2C704ADF"/>
    <w:rsid w:val="2CD208B5"/>
    <w:rsid w:val="2D205DB8"/>
    <w:rsid w:val="2D9E43DE"/>
    <w:rsid w:val="2DF67CC1"/>
    <w:rsid w:val="2E671B3F"/>
    <w:rsid w:val="2E6C7ED8"/>
    <w:rsid w:val="2EA57FA1"/>
    <w:rsid w:val="2EF02FF4"/>
    <w:rsid w:val="2EF243BC"/>
    <w:rsid w:val="2EFF36B1"/>
    <w:rsid w:val="2FC52659"/>
    <w:rsid w:val="2FC71915"/>
    <w:rsid w:val="3010063C"/>
    <w:rsid w:val="307B44AD"/>
    <w:rsid w:val="30EF0857"/>
    <w:rsid w:val="3140197F"/>
    <w:rsid w:val="317215F1"/>
    <w:rsid w:val="31E05F1C"/>
    <w:rsid w:val="320C16C0"/>
    <w:rsid w:val="32672625"/>
    <w:rsid w:val="32831B16"/>
    <w:rsid w:val="328D7E61"/>
    <w:rsid w:val="32DD31FD"/>
    <w:rsid w:val="32F6583E"/>
    <w:rsid w:val="333A48FA"/>
    <w:rsid w:val="334A1323"/>
    <w:rsid w:val="33D92F7A"/>
    <w:rsid w:val="34620DEE"/>
    <w:rsid w:val="34B2130C"/>
    <w:rsid w:val="34C12DD7"/>
    <w:rsid w:val="34C62E5D"/>
    <w:rsid w:val="350E12EA"/>
    <w:rsid w:val="354173ED"/>
    <w:rsid w:val="35992C99"/>
    <w:rsid w:val="35CD6794"/>
    <w:rsid w:val="360F3354"/>
    <w:rsid w:val="363A4F14"/>
    <w:rsid w:val="366D4898"/>
    <w:rsid w:val="36FA25D0"/>
    <w:rsid w:val="37BD0585"/>
    <w:rsid w:val="37C36E66"/>
    <w:rsid w:val="37CA6352"/>
    <w:rsid w:val="38533A18"/>
    <w:rsid w:val="396226AE"/>
    <w:rsid w:val="39980247"/>
    <w:rsid w:val="3A5E6F6F"/>
    <w:rsid w:val="3AA47EC1"/>
    <w:rsid w:val="3AB900AC"/>
    <w:rsid w:val="3B223EA3"/>
    <w:rsid w:val="3BAF7174"/>
    <w:rsid w:val="3C406CD7"/>
    <w:rsid w:val="3CEF1B62"/>
    <w:rsid w:val="3D0A4B67"/>
    <w:rsid w:val="3D3305EA"/>
    <w:rsid w:val="3D660BE0"/>
    <w:rsid w:val="3DF0715F"/>
    <w:rsid w:val="3E8D1F7B"/>
    <w:rsid w:val="3EB41E07"/>
    <w:rsid w:val="3EEB153D"/>
    <w:rsid w:val="3F535A00"/>
    <w:rsid w:val="3FAC01DF"/>
    <w:rsid w:val="413A683A"/>
    <w:rsid w:val="4163291A"/>
    <w:rsid w:val="41652D3C"/>
    <w:rsid w:val="419E33F5"/>
    <w:rsid w:val="41B66651"/>
    <w:rsid w:val="41EE0C01"/>
    <w:rsid w:val="41F66AB4"/>
    <w:rsid w:val="427C77E8"/>
    <w:rsid w:val="42CA788F"/>
    <w:rsid w:val="43D372D6"/>
    <w:rsid w:val="43EF3A17"/>
    <w:rsid w:val="44B74AB0"/>
    <w:rsid w:val="44C27AD5"/>
    <w:rsid w:val="452A7FA8"/>
    <w:rsid w:val="45300AE7"/>
    <w:rsid w:val="458F6AF5"/>
    <w:rsid w:val="45B918A8"/>
    <w:rsid w:val="463F4C16"/>
    <w:rsid w:val="46832AB5"/>
    <w:rsid w:val="46862797"/>
    <w:rsid w:val="46942B8F"/>
    <w:rsid w:val="46EE10DD"/>
    <w:rsid w:val="47EF28B8"/>
    <w:rsid w:val="48105397"/>
    <w:rsid w:val="48547666"/>
    <w:rsid w:val="491446BA"/>
    <w:rsid w:val="49476DF6"/>
    <w:rsid w:val="498A3D49"/>
    <w:rsid w:val="4B0C38D0"/>
    <w:rsid w:val="4B1547B5"/>
    <w:rsid w:val="4B524331"/>
    <w:rsid w:val="4B847D71"/>
    <w:rsid w:val="4B870406"/>
    <w:rsid w:val="4B9C55AC"/>
    <w:rsid w:val="4BBB7B8C"/>
    <w:rsid w:val="4BF26414"/>
    <w:rsid w:val="4C7759BA"/>
    <w:rsid w:val="4CB97E79"/>
    <w:rsid w:val="4CBA2C7D"/>
    <w:rsid w:val="4CF72238"/>
    <w:rsid w:val="4D026613"/>
    <w:rsid w:val="4D0C3ABB"/>
    <w:rsid w:val="4DBC3274"/>
    <w:rsid w:val="4E5C03B2"/>
    <w:rsid w:val="4E6441AC"/>
    <w:rsid w:val="4E8B3337"/>
    <w:rsid w:val="4ED17C62"/>
    <w:rsid w:val="4F147B4F"/>
    <w:rsid w:val="4F2204BE"/>
    <w:rsid w:val="4F625F20"/>
    <w:rsid w:val="4F6939F7"/>
    <w:rsid w:val="4FA36E2B"/>
    <w:rsid w:val="501778F7"/>
    <w:rsid w:val="501E6ED7"/>
    <w:rsid w:val="505B7605"/>
    <w:rsid w:val="50CD1D3A"/>
    <w:rsid w:val="50DF62FA"/>
    <w:rsid w:val="51400B63"/>
    <w:rsid w:val="520B1EEC"/>
    <w:rsid w:val="52170487"/>
    <w:rsid w:val="523E0714"/>
    <w:rsid w:val="53727209"/>
    <w:rsid w:val="538452A3"/>
    <w:rsid w:val="5385123D"/>
    <w:rsid w:val="539851AA"/>
    <w:rsid w:val="543F2B57"/>
    <w:rsid w:val="544607AB"/>
    <w:rsid w:val="54972DB4"/>
    <w:rsid w:val="550A73CE"/>
    <w:rsid w:val="554A067A"/>
    <w:rsid w:val="55733B5E"/>
    <w:rsid w:val="55782BE6"/>
    <w:rsid w:val="558F68C7"/>
    <w:rsid w:val="55B2735B"/>
    <w:rsid w:val="560756BC"/>
    <w:rsid w:val="562B2D19"/>
    <w:rsid w:val="566F2249"/>
    <w:rsid w:val="568469C6"/>
    <w:rsid w:val="57106E4E"/>
    <w:rsid w:val="571C70F4"/>
    <w:rsid w:val="576A0F7F"/>
    <w:rsid w:val="577D0987"/>
    <w:rsid w:val="578C1E3F"/>
    <w:rsid w:val="58122B18"/>
    <w:rsid w:val="582157B7"/>
    <w:rsid w:val="58315DAD"/>
    <w:rsid w:val="583737A8"/>
    <w:rsid w:val="59791FCF"/>
    <w:rsid w:val="59A55F73"/>
    <w:rsid w:val="59AB4551"/>
    <w:rsid w:val="59C70462"/>
    <w:rsid w:val="59D911B5"/>
    <w:rsid w:val="5A90452E"/>
    <w:rsid w:val="5ACB6866"/>
    <w:rsid w:val="5B942EAB"/>
    <w:rsid w:val="5BC672C4"/>
    <w:rsid w:val="5BC76675"/>
    <w:rsid w:val="5BFB1656"/>
    <w:rsid w:val="5C61787B"/>
    <w:rsid w:val="5C6B2A71"/>
    <w:rsid w:val="5C6C1056"/>
    <w:rsid w:val="5C805C3A"/>
    <w:rsid w:val="5CDA7A5D"/>
    <w:rsid w:val="5CED210B"/>
    <w:rsid w:val="5DD33159"/>
    <w:rsid w:val="5E401EE1"/>
    <w:rsid w:val="5E754A1F"/>
    <w:rsid w:val="5E862024"/>
    <w:rsid w:val="5F3604BA"/>
    <w:rsid w:val="5F6D12E1"/>
    <w:rsid w:val="5FE54AEF"/>
    <w:rsid w:val="5FE62E42"/>
    <w:rsid w:val="604F0C94"/>
    <w:rsid w:val="60593614"/>
    <w:rsid w:val="605C0987"/>
    <w:rsid w:val="60811390"/>
    <w:rsid w:val="60C1407E"/>
    <w:rsid w:val="60E905BC"/>
    <w:rsid w:val="611C486A"/>
    <w:rsid w:val="612C3317"/>
    <w:rsid w:val="613320B7"/>
    <w:rsid w:val="619907F0"/>
    <w:rsid w:val="61BE4DEC"/>
    <w:rsid w:val="62C55ECC"/>
    <w:rsid w:val="62E978A3"/>
    <w:rsid w:val="63165454"/>
    <w:rsid w:val="6383639C"/>
    <w:rsid w:val="64A94444"/>
    <w:rsid w:val="64B4350F"/>
    <w:rsid w:val="64BB02AB"/>
    <w:rsid w:val="64C17C5F"/>
    <w:rsid w:val="64E32222"/>
    <w:rsid w:val="65125026"/>
    <w:rsid w:val="65337FD7"/>
    <w:rsid w:val="660C0310"/>
    <w:rsid w:val="666214EC"/>
    <w:rsid w:val="66FE3960"/>
    <w:rsid w:val="674A54CB"/>
    <w:rsid w:val="676A6C46"/>
    <w:rsid w:val="67B91646"/>
    <w:rsid w:val="68737239"/>
    <w:rsid w:val="68740EAF"/>
    <w:rsid w:val="68FE744E"/>
    <w:rsid w:val="691A37DC"/>
    <w:rsid w:val="695F7E2D"/>
    <w:rsid w:val="69635503"/>
    <w:rsid w:val="6A443604"/>
    <w:rsid w:val="6A7B20D2"/>
    <w:rsid w:val="6ACC2E0B"/>
    <w:rsid w:val="6B674B73"/>
    <w:rsid w:val="6B6B37C9"/>
    <w:rsid w:val="6B710E6E"/>
    <w:rsid w:val="6B955644"/>
    <w:rsid w:val="6B9F656F"/>
    <w:rsid w:val="6C2830F3"/>
    <w:rsid w:val="6C636971"/>
    <w:rsid w:val="6C7742DB"/>
    <w:rsid w:val="6CD62F14"/>
    <w:rsid w:val="6CD75FEC"/>
    <w:rsid w:val="6D4D113F"/>
    <w:rsid w:val="6D610FF4"/>
    <w:rsid w:val="6D7E1CEF"/>
    <w:rsid w:val="6D8B101C"/>
    <w:rsid w:val="6DAF0580"/>
    <w:rsid w:val="6DD02520"/>
    <w:rsid w:val="6DE17F47"/>
    <w:rsid w:val="6E1128F7"/>
    <w:rsid w:val="6E6B7F83"/>
    <w:rsid w:val="6E801A40"/>
    <w:rsid w:val="6EE2110B"/>
    <w:rsid w:val="6F161BAD"/>
    <w:rsid w:val="6F3A278A"/>
    <w:rsid w:val="6F7E0C40"/>
    <w:rsid w:val="70101428"/>
    <w:rsid w:val="70411D13"/>
    <w:rsid w:val="70EC7429"/>
    <w:rsid w:val="71747061"/>
    <w:rsid w:val="718B602C"/>
    <w:rsid w:val="718D32CB"/>
    <w:rsid w:val="71F416E2"/>
    <w:rsid w:val="7222612A"/>
    <w:rsid w:val="727D45B0"/>
    <w:rsid w:val="727F5D14"/>
    <w:rsid w:val="72DA6836"/>
    <w:rsid w:val="72E67EA0"/>
    <w:rsid w:val="7318548E"/>
    <w:rsid w:val="737A54DA"/>
    <w:rsid w:val="74143D3D"/>
    <w:rsid w:val="74496053"/>
    <w:rsid w:val="746626FF"/>
    <w:rsid w:val="755D0464"/>
    <w:rsid w:val="7571756C"/>
    <w:rsid w:val="75A577AA"/>
    <w:rsid w:val="76102BC1"/>
    <w:rsid w:val="768D73E4"/>
    <w:rsid w:val="77085146"/>
    <w:rsid w:val="77577CCB"/>
    <w:rsid w:val="77842696"/>
    <w:rsid w:val="778B45A3"/>
    <w:rsid w:val="77AC443F"/>
    <w:rsid w:val="785C3B93"/>
    <w:rsid w:val="786749F3"/>
    <w:rsid w:val="786E2ED7"/>
    <w:rsid w:val="7880578A"/>
    <w:rsid w:val="78C241E3"/>
    <w:rsid w:val="78F607B2"/>
    <w:rsid w:val="792C3B64"/>
    <w:rsid w:val="79636111"/>
    <w:rsid w:val="79A15AC2"/>
    <w:rsid w:val="7A841A0F"/>
    <w:rsid w:val="7AC13429"/>
    <w:rsid w:val="7BA5620F"/>
    <w:rsid w:val="7BC65611"/>
    <w:rsid w:val="7BD57251"/>
    <w:rsid w:val="7BE40725"/>
    <w:rsid w:val="7C2C76E7"/>
    <w:rsid w:val="7C8021FC"/>
    <w:rsid w:val="7CA97E8B"/>
    <w:rsid w:val="7CEE58B0"/>
    <w:rsid w:val="7D127C1C"/>
    <w:rsid w:val="7D4476CE"/>
    <w:rsid w:val="7D474603"/>
    <w:rsid w:val="7DAB214F"/>
    <w:rsid w:val="7DD5523A"/>
    <w:rsid w:val="7DDA2CEF"/>
    <w:rsid w:val="7DDD2C53"/>
    <w:rsid w:val="7E431733"/>
    <w:rsid w:val="7FB95B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adjustRightInd/>
      <w:snapToGrid/>
      <w:spacing w:after="0"/>
      <w:jc w:val="both"/>
    </w:pPr>
    <w:rPr>
      <w:rFonts w:ascii="宋体" w:hAnsi="Courier New" w:eastAsia="宋体" w:cs="Times New Roman"/>
      <w:kern w:val="2"/>
      <w:sz w:val="21"/>
      <w:szCs w:val="20"/>
    </w:rPr>
  </w:style>
  <w:style w:type="paragraph" w:styleId="6">
    <w:name w:val="annotation text"/>
    <w:basedOn w:val="1"/>
    <w:autoRedefine/>
    <w:qFormat/>
    <w:uiPriority w:val="0"/>
    <w:pPr>
      <w:jc w:val="left"/>
    </w:pPr>
  </w:style>
  <w:style w:type="paragraph" w:styleId="7">
    <w:name w:val="Body Text"/>
    <w:basedOn w:val="1"/>
    <w:autoRedefine/>
    <w:qFormat/>
    <w:uiPriority w:val="0"/>
    <w:rPr>
      <w:rFonts w:ascii="宋体" w:hAnsi="宋体" w:eastAsia="宋体" w:cs="宋体"/>
      <w:sz w:val="31"/>
      <w:szCs w:val="31"/>
      <w:lang w:val="en-US" w:eastAsia="en-US" w:bidi="ar-SA"/>
    </w:rPr>
  </w:style>
  <w:style w:type="paragraph" w:styleId="8">
    <w:name w:val="Body Text Indent"/>
    <w:basedOn w:val="1"/>
    <w:next w:val="9"/>
    <w:autoRedefine/>
    <w:qFormat/>
    <w:uiPriority w:val="0"/>
    <w:pPr>
      <w:tabs>
        <w:tab w:val="left" w:pos="0"/>
      </w:tabs>
      <w:ind w:firstLine="538" w:firstLineChars="192"/>
    </w:pPr>
    <w:rPr>
      <w:rFonts w:ascii="Tahoma" w:hAnsi="Tahoma"/>
      <w:kern w:val="2"/>
      <w:sz w:val="28"/>
      <w:szCs w:val="24"/>
    </w:rPr>
  </w:style>
  <w:style w:type="paragraph" w:styleId="9">
    <w:name w:val="envelope return"/>
    <w:basedOn w:val="1"/>
    <w:qFormat/>
    <w:uiPriority w:val="0"/>
    <w:pPr>
      <w:snapToGrid w:val="0"/>
    </w:pPr>
    <w:rPr>
      <w:rFonts w:ascii="Arial" w:hAnsi="Arial"/>
    </w:r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toc 2"/>
    <w:basedOn w:val="1"/>
    <w:next w:val="1"/>
    <w:qFormat/>
    <w:uiPriority w:val="39"/>
    <w:pPr>
      <w:widowControl w:val="0"/>
      <w:ind w:left="210" w:leftChars="100"/>
      <w:jc w:val="both"/>
    </w:pPr>
    <w:rPr>
      <w:rFonts w:ascii="Century" w:hAnsi="Century" w:eastAsia="MS Mincho" w:cs="Times New Roman"/>
      <w:kern w:val="2"/>
      <w:sz w:val="21"/>
    </w:rPr>
  </w:style>
  <w:style w:type="paragraph" w:styleId="16">
    <w:name w:val="Body Text 2"/>
    <w:basedOn w:val="1"/>
    <w:next w:val="7"/>
    <w:qFormat/>
    <w:uiPriority w:val="0"/>
    <w:rPr>
      <w:rFonts w:eastAsia="楷体_GB2312"/>
      <w:sz w:val="28"/>
    </w:r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8">
    <w:name w:val="Body Text First Indent"/>
    <w:basedOn w:val="7"/>
    <w:next w:val="19"/>
    <w:qFormat/>
    <w:uiPriority w:val="0"/>
    <w:pPr>
      <w:ind w:firstLine="420" w:firstLineChars="100"/>
    </w:pPr>
  </w:style>
  <w:style w:type="paragraph" w:styleId="19">
    <w:name w:val="Body Text First Indent 2"/>
    <w:basedOn w:val="8"/>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21">
    <w:name w:val="Table Grid"/>
    <w:basedOn w:val="20"/>
    <w:unhideWhenUsed/>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character" w:styleId="25">
    <w:name w:val="footnote reference"/>
    <w:basedOn w:val="22"/>
    <w:qFormat/>
    <w:uiPriority w:val="0"/>
    <w:rPr>
      <w:vertAlign w:val="superscript"/>
    </w:rPr>
  </w:style>
  <w:style w:type="paragraph" w:customStyle="1" w:styleId="2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7">
    <w:name w:val="Default"/>
    <w:next w:val="28"/>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8">
    <w:name w:val="大标题"/>
    <w:basedOn w:val="1"/>
    <w:next w:val="19"/>
    <w:qFormat/>
    <w:uiPriority w:val="0"/>
    <w:pPr>
      <w:jc w:val="center"/>
    </w:pPr>
    <w:rPr>
      <w:rFonts w:ascii="Arial" w:hAnsi="Arial"/>
      <w:b/>
      <w:sz w:val="28"/>
      <w:szCs w:val="24"/>
    </w:rPr>
  </w:style>
  <w:style w:type="paragraph" w:customStyle="1" w:styleId="29">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Table Text"/>
    <w:basedOn w:val="1"/>
    <w:autoRedefine/>
    <w:semiHidden/>
    <w:qFormat/>
    <w:uiPriority w:val="0"/>
    <w:rPr>
      <w:rFonts w:ascii="Arial" w:hAnsi="Arial" w:eastAsia="Arial" w:cs="Arial"/>
      <w:sz w:val="21"/>
      <w:szCs w:val="21"/>
      <w:lang w:val="en-US" w:eastAsia="en-US" w:bidi="ar-SA"/>
    </w:rPr>
  </w:style>
  <w:style w:type="paragraph" w:customStyle="1" w:styleId="32">
    <w:name w:val="无间隔1"/>
    <w:basedOn w:val="1"/>
    <w:qFormat/>
    <w:uiPriority w:val="0"/>
    <w:pPr>
      <w:keepNext w:val="0"/>
      <w:keepLines w:val="0"/>
      <w:widowControl w:val="0"/>
      <w:suppressLineNumbers w:val="0"/>
      <w:spacing w:before="0" w:beforeAutospacing="0" w:after="0" w:afterAutospacing="0" w:line="400" w:lineRule="exact"/>
      <w:ind w:left="0" w:right="0"/>
      <w:jc w:val="both"/>
    </w:pPr>
    <w:rPr>
      <w:rFonts w:hint="default" w:ascii="Times New Roman" w:hAnsi="Times New Roman" w:eastAsia="宋体" w:cs="Times New Roman"/>
      <w:kern w:val="2"/>
      <w:sz w:val="24"/>
      <w:szCs w:val="24"/>
      <w:lang w:val="en-US" w:eastAsia="zh-CN" w:bidi="ar"/>
    </w:rPr>
  </w:style>
  <w:style w:type="paragraph" w:customStyle="1" w:styleId="33">
    <w:name w:val="样式18"/>
    <w:basedOn w:val="1"/>
    <w:qFormat/>
    <w:uiPriority w:val="0"/>
    <w:pPr>
      <w:spacing w:line="480" w:lineRule="exact"/>
      <w:jc w:val="center"/>
    </w:pPr>
    <w:rPr>
      <w:rFonts w:eastAsia="黑体"/>
      <w:spacing w:val="6"/>
    </w:rPr>
  </w:style>
  <w:style w:type="character" w:customStyle="1" w:styleId="3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23135</Words>
  <Characters>24345</Characters>
  <TotalTime>35</TotalTime>
  <ScaleCrop>false</ScaleCrop>
  <LinksUpToDate>false</LinksUpToDate>
  <CharactersWithSpaces>25381</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2024-11-11T03:25:00Z</cp:lastPrinted>
  <dcterms:modified xsi:type="dcterms:W3CDTF">2025-06-10T09:09:10Z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2052-12.1.0.21171</vt:lpwstr>
  </property>
  <property fmtid="{D5CDD505-2E9C-101B-9397-08002B2CF9AE}" pid="5" name="ICV">
    <vt:lpwstr>074B96C9D1214335AFEA1B57F6564BFD_13</vt:lpwstr>
  </property>
  <property fmtid="{D5CDD505-2E9C-101B-9397-08002B2CF9AE}" pid="6" name="KSOTemplateDocerSaveRecord">
    <vt:lpwstr>eyJoZGlkIjoiODI1NTA3NDMzZjZmYmM0MDg1YmRjNjBmOTI1NzllOTAiLCJ1c2VySWQiOiIyNjgwMDM3NDMifQ==</vt:lpwstr>
  </property>
</Properties>
</file>