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hint="eastAsia" w:ascii="宋体" w:hAnsi="宋体" w:eastAsia="宋体" w:cs="宋体"/>
          <w:highlight w:val="none"/>
        </w:rPr>
      </w:pPr>
      <w:bookmarkStart w:id="250" w:name="_GoBack"/>
      <w:bookmarkEnd w:id="250"/>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spacing w:line="360" w:lineRule="auto"/>
        <w:jc w:val="center"/>
        <w:rPr>
          <w:rFonts w:hint="eastAsia" w:ascii="宋体" w:hAnsi="宋体" w:eastAsia="宋体" w:cs="宋体"/>
          <w:b/>
          <w:sz w:val="30"/>
          <w:szCs w:val="30"/>
          <w:highlight w:val="none"/>
        </w:rPr>
      </w:pPr>
    </w:p>
    <w:p>
      <w:pPr>
        <w:jc w:val="center"/>
        <w:rPr>
          <w:rFonts w:hint="eastAsia" w:ascii="宋体" w:hAnsi="宋体" w:eastAsia="宋体" w:cs="宋体"/>
          <w:b/>
          <w:sz w:val="130"/>
          <w:szCs w:val="130"/>
          <w:highlight w:val="none"/>
        </w:rPr>
      </w:pPr>
      <w:r>
        <w:rPr>
          <w:rFonts w:hint="eastAsia" w:ascii="宋体" w:hAnsi="宋体" w:eastAsia="宋体" w:cs="宋体"/>
          <w:b/>
          <w:sz w:val="130"/>
          <w:szCs w:val="130"/>
          <w:highlight w:val="none"/>
        </w:rPr>
        <w:t>招标文件</w:t>
      </w:r>
    </w:p>
    <w:p>
      <w:pPr>
        <w:spacing w:line="240" w:lineRule="atLeast"/>
        <w:jc w:val="center"/>
        <w:rPr>
          <w:rFonts w:hint="eastAsia" w:ascii="宋体" w:hAnsi="宋体" w:eastAsia="宋体" w:cs="宋体"/>
          <w:highlight w:val="none"/>
        </w:rPr>
      </w:pPr>
      <w:r>
        <w:rPr>
          <w:rFonts w:hint="eastAsia" w:ascii="宋体" w:hAnsi="宋体" w:eastAsia="宋体" w:cs="宋体"/>
          <w:b/>
          <w:bCs/>
          <w:sz w:val="32"/>
          <w:szCs w:val="32"/>
          <w:highlight w:val="none"/>
        </w:rPr>
        <w:t>采购编号：二七政采公开-2023-26</w:t>
      </w:r>
    </w:p>
    <w:p>
      <w:pPr>
        <w:spacing w:line="400" w:lineRule="exact"/>
        <w:rPr>
          <w:rFonts w:hint="eastAsia" w:ascii="宋体" w:hAnsi="宋体" w:eastAsia="宋体" w:cs="宋体"/>
          <w:highlight w:val="none"/>
        </w:rPr>
      </w:pPr>
    </w:p>
    <w:p>
      <w:pPr>
        <w:jc w:val="center"/>
        <w:rPr>
          <w:rFonts w:hint="eastAsia" w:ascii="宋体" w:hAnsi="宋体" w:eastAsia="宋体" w:cs="宋体"/>
          <w:highlight w:val="none"/>
        </w:rPr>
      </w:pPr>
    </w:p>
    <w:p>
      <w:pPr>
        <w:jc w:val="center"/>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rPr>
          <w:rFonts w:hint="eastAsia" w:ascii="宋体" w:hAnsi="宋体" w:eastAsia="宋体" w:cs="宋体"/>
          <w:highlight w:val="none"/>
        </w:rPr>
      </w:pPr>
    </w:p>
    <w:p>
      <w:pPr>
        <w:spacing w:line="400" w:lineRule="exact"/>
        <w:ind w:firstLine="361" w:firstLineChars="100"/>
        <w:rPr>
          <w:rFonts w:hint="eastAsia" w:ascii="宋体" w:hAnsi="宋体" w:eastAsia="宋体" w:cs="宋体"/>
          <w:b/>
          <w:sz w:val="36"/>
          <w:szCs w:val="36"/>
          <w:highlight w:val="none"/>
        </w:rPr>
      </w:pP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 采购代理机构：</w:t>
      </w:r>
      <w:r>
        <w:rPr>
          <w:rFonts w:hint="eastAsia" w:ascii="宋体" w:hAnsi="宋体" w:eastAsia="宋体" w:cs="宋体"/>
          <w:b/>
          <w:sz w:val="36"/>
          <w:szCs w:val="36"/>
          <w:highlight w:val="none"/>
          <w:lang w:val="en-US" w:eastAsia="zh-CN"/>
        </w:rPr>
        <w:t>河南省机电设备国际招标有限公司</w:t>
      </w: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lang w:val="en-US" w:eastAsia="zh-CN"/>
        </w:rPr>
        <w:t>二○二三年五月</w:t>
      </w:r>
    </w:p>
    <w:p>
      <w:pPr>
        <w:spacing w:line="560" w:lineRule="exact"/>
        <w:jc w:val="center"/>
        <w:rPr>
          <w:rFonts w:hint="eastAsia" w:ascii="宋体" w:hAnsi="宋体" w:eastAsia="宋体" w:cs="宋体"/>
          <w:b/>
          <w:sz w:val="32"/>
          <w:szCs w:val="32"/>
          <w:highlight w:val="none"/>
        </w:rPr>
        <w:sectPr>
          <w:headerReference r:id="rId3" w:type="default"/>
          <w:footerReference r:id="rId4"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spacing w:line="560" w:lineRule="exact"/>
        <w:jc w:val="center"/>
        <w:rPr>
          <w:rFonts w:hint="eastAsia" w:ascii="宋体" w:hAnsi="宋体" w:eastAsia="宋体" w:cs="宋体"/>
          <w:b/>
          <w:sz w:val="28"/>
          <w:szCs w:val="28"/>
          <w:highlight w:val="none"/>
        </w:rPr>
      </w:pPr>
      <w:r>
        <w:rPr>
          <w:rFonts w:hint="eastAsia" w:ascii="宋体" w:hAnsi="宋体" w:eastAsia="宋体" w:cs="宋体"/>
          <w:b/>
          <w:sz w:val="32"/>
          <w:szCs w:val="32"/>
          <w:highlight w:val="none"/>
        </w:rPr>
        <w:t>目 录</w:t>
      </w:r>
    </w:p>
    <w:p>
      <w:pPr>
        <w:pStyle w:val="21"/>
        <w:tabs>
          <w:tab w:val="right" w:leader="dot" w:pos="9412"/>
        </w:tabs>
        <w:rPr>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"1-4" \h \z \u</w:instrText>
      </w:r>
      <w:r>
        <w:rPr>
          <w:rFonts w:hint="eastAsia" w:ascii="宋体" w:hAnsi="宋体" w:eastAsia="宋体" w:cs="宋体"/>
          <w:sz w:val="28"/>
          <w:szCs w:val="28"/>
          <w:highlight w:val="none"/>
        </w:rPr>
        <w:fldChar w:fldCharType="separate"/>
      </w: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_Toc32109 </w:instrText>
      </w:r>
      <w:r>
        <w:rPr>
          <w:rFonts w:hint="eastAsia" w:ascii="宋体" w:hAnsi="宋体" w:eastAsia="宋体" w:cs="宋体"/>
          <w:szCs w:val="28"/>
          <w:highlight w:val="none"/>
        </w:rPr>
        <w:fldChar w:fldCharType="separate"/>
      </w:r>
      <w:r>
        <w:rPr>
          <w:rFonts w:hint="eastAsia"/>
          <w:highlight w:val="none"/>
        </w:rPr>
        <w:t>第一章 投标邀请</w:t>
      </w:r>
      <w:r>
        <w:rPr>
          <w:highlight w:val="none"/>
        </w:rPr>
        <w:tab/>
      </w:r>
      <w:r>
        <w:rPr>
          <w:highlight w:val="none"/>
        </w:rPr>
        <w:fldChar w:fldCharType="begin"/>
      </w:r>
      <w:r>
        <w:rPr>
          <w:highlight w:val="none"/>
        </w:rPr>
        <w:instrText xml:space="preserve"> PAGEREF _Toc32109 \h </w:instrText>
      </w:r>
      <w:r>
        <w:rPr>
          <w:highlight w:val="none"/>
        </w:rPr>
        <w:fldChar w:fldCharType="separate"/>
      </w:r>
      <w:r>
        <w:rPr>
          <w:highlight w:val="none"/>
        </w:rPr>
        <w:t>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_Toc30074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第二章 投标人须知</w:t>
      </w:r>
      <w:r>
        <w:rPr>
          <w:highlight w:val="none"/>
        </w:rPr>
        <w:tab/>
      </w:r>
      <w:r>
        <w:rPr>
          <w:highlight w:val="none"/>
        </w:rPr>
        <w:fldChar w:fldCharType="begin"/>
      </w:r>
      <w:r>
        <w:rPr>
          <w:highlight w:val="none"/>
        </w:rPr>
        <w:instrText xml:space="preserve"> PAGEREF _Toc30074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投标人须知前附表</w:t>
      </w:r>
      <w:r>
        <w:rPr>
          <w:highlight w:val="none"/>
        </w:rPr>
        <w:tab/>
      </w:r>
      <w:r>
        <w:rPr>
          <w:highlight w:val="none"/>
        </w:rPr>
        <w:fldChar w:fldCharType="begin"/>
      </w:r>
      <w:r>
        <w:rPr>
          <w:highlight w:val="none"/>
        </w:rPr>
        <w:instrText xml:space="preserve"> PAGEREF _Toc27288 \h </w:instrText>
      </w:r>
      <w:r>
        <w:rPr>
          <w:highlight w:val="none"/>
        </w:rPr>
        <w:fldChar w:fldCharType="separate"/>
      </w:r>
      <w:r>
        <w:rPr>
          <w:highlight w:val="none"/>
        </w:rPr>
        <w:t>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投标人须知正文</w:t>
      </w:r>
      <w:r>
        <w:rPr>
          <w:highlight w:val="none"/>
        </w:rPr>
        <w:tab/>
      </w:r>
      <w:r>
        <w:rPr>
          <w:highlight w:val="none"/>
        </w:rPr>
        <w:fldChar w:fldCharType="begin"/>
      </w:r>
      <w:r>
        <w:rPr>
          <w:highlight w:val="none"/>
        </w:rPr>
        <w:instrText xml:space="preserve"> PAGEREF _Toc2211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一、前言</w:t>
      </w:r>
      <w:r>
        <w:rPr>
          <w:highlight w:val="none"/>
        </w:rPr>
        <w:tab/>
      </w:r>
      <w:r>
        <w:rPr>
          <w:highlight w:val="none"/>
        </w:rPr>
        <w:fldChar w:fldCharType="begin"/>
      </w:r>
      <w:r>
        <w:rPr>
          <w:highlight w:val="none"/>
        </w:rPr>
        <w:instrText xml:space="preserve"> PAGEREF _Toc14017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_Toc21079 </w:instrText>
      </w:r>
      <w:r>
        <w:rPr>
          <w:rFonts w:hint="eastAsia" w:ascii="宋体" w:hAnsi="宋体" w:eastAsia="宋体" w:cs="宋体"/>
          <w:szCs w:val="28"/>
          <w:highlight w:val="none"/>
        </w:rPr>
        <w:fldChar w:fldCharType="separate"/>
      </w:r>
      <w:r>
        <w:rPr>
          <w:rFonts w:hint="default"/>
          <w:bCs/>
          <w:szCs w:val="24"/>
          <w:highlight w:val="none"/>
        </w:rPr>
        <w:t xml:space="preserve">1. </w:t>
      </w:r>
      <w:r>
        <w:rPr>
          <w:rFonts w:hint="eastAsia"/>
          <w:bCs/>
          <w:szCs w:val="24"/>
          <w:highlight w:val="none"/>
        </w:rPr>
        <w:t>适用范围</w:t>
      </w:r>
      <w:r>
        <w:rPr>
          <w:highlight w:val="none"/>
        </w:rPr>
        <w:tab/>
      </w:r>
      <w:r>
        <w:rPr>
          <w:highlight w:val="none"/>
        </w:rPr>
        <w:fldChar w:fldCharType="begin"/>
      </w:r>
      <w:r>
        <w:rPr>
          <w:highlight w:val="none"/>
        </w:rPr>
        <w:instrText xml:space="preserve"> PAGEREF _Toc21079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_Toc4531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 </w:t>
      </w:r>
      <w:r>
        <w:rPr>
          <w:rFonts w:hint="eastAsia" w:ascii="Times New Roman" w:hAnsi="Times New Roman" w:eastAsia="宋体" w:cs="Times New Roman"/>
          <w:bCs/>
          <w:szCs w:val="24"/>
          <w:highlight w:val="none"/>
        </w:rPr>
        <w:t>定义</w:t>
      </w:r>
      <w:r>
        <w:rPr>
          <w:highlight w:val="none"/>
        </w:rPr>
        <w:tab/>
      </w:r>
      <w:r>
        <w:rPr>
          <w:highlight w:val="none"/>
        </w:rPr>
        <w:fldChar w:fldCharType="begin"/>
      </w:r>
      <w:r>
        <w:rPr>
          <w:highlight w:val="none"/>
        </w:rPr>
        <w:instrText xml:space="preserve"> PAGEREF _Toc4531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_Toc20850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 </w:t>
      </w:r>
      <w:r>
        <w:rPr>
          <w:rFonts w:hint="eastAsia" w:ascii="Times New Roman" w:hAnsi="Times New Roman" w:eastAsia="宋体" w:cs="Times New Roman"/>
          <w:bCs/>
          <w:szCs w:val="24"/>
          <w:highlight w:val="none"/>
        </w:rPr>
        <w:t>合格的投标人</w:t>
      </w:r>
      <w:r>
        <w:rPr>
          <w:highlight w:val="none"/>
        </w:rPr>
        <w:tab/>
      </w:r>
      <w:r>
        <w:rPr>
          <w:highlight w:val="none"/>
        </w:rPr>
        <w:fldChar w:fldCharType="begin"/>
      </w:r>
      <w:r>
        <w:rPr>
          <w:highlight w:val="none"/>
        </w:rPr>
        <w:instrText xml:space="preserve"> PAGEREF _Toc20850 \h </w:instrText>
      </w:r>
      <w:r>
        <w:rPr>
          <w:highlight w:val="none"/>
        </w:rPr>
        <w:fldChar w:fldCharType="separate"/>
      </w:r>
      <w:r>
        <w:rPr>
          <w:highlight w:val="none"/>
        </w:rPr>
        <w:t>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4. </w:t>
      </w:r>
      <w:r>
        <w:rPr>
          <w:rFonts w:hint="eastAsia" w:ascii="Times New Roman" w:hAnsi="Times New Roman" w:eastAsia="宋体" w:cs="Times New Roman"/>
          <w:bCs/>
          <w:szCs w:val="24"/>
          <w:highlight w:val="none"/>
        </w:rPr>
        <w:t>投标费用</w:t>
      </w:r>
      <w:r>
        <w:rPr>
          <w:highlight w:val="none"/>
        </w:rPr>
        <w:tab/>
      </w:r>
      <w:r>
        <w:rPr>
          <w:highlight w:val="none"/>
        </w:rPr>
        <w:fldChar w:fldCharType="begin"/>
      </w:r>
      <w:r>
        <w:rPr>
          <w:highlight w:val="none"/>
        </w:rPr>
        <w:instrText xml:space="preserve"> PAGEREF _Toc15407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_Toc21436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5. </w:t>
      </w:r>
      <w:r>
        <w:rPr>
          <w:rFonts w:hint="eastAsia" w:ascii="Times New Roman" w:hAnsi="Times New Roman" w:eastAsia="宋体" w:cs="Times New Roman"/>
          <w:bCs/>
          <w:szCs w:val="24"/>
          <w:highlight w:val="none"/>
        </w:rPr>
        <w:t>知识产权</w:t>
      </w:r>
      <w:r>
        <w:rPr>
          <w:highlight w:val="none"/>
        </w:rPr>
        <w:tab/>
      </w:r>
      <w:r>
        <w:rPr>
          <w:highlight w:val="none"/>
        </w:rPr>
        <w:fldChar w:fldCharType="begin"/>
      </w:r>
      <w:r>
        <w:rPr>
          <w:highlight w:val="none"/>
        </w:rPr>
        <w:instrText xml:space="preserve"> PAGEREF _Toc21436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_Toc17596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6. </w:t>
      </w:r>
      <w:r>
        <w:rPr>
          <w:rFonts w:hint="eastAsia" w:ascii="Times New Roman" w:hAnsi="Times New Roman" w:eastAsia="宋体" w:cs="Times New Roman"/>
          <w:bCs/>
          <w:szCs w:val="24"/>
          <w:highlight w:val="none"/>
        </w:rPr>
        <w:t>联合体投标</w:t>
      </w:r>
      <w:r>
        <w:rPr>
          <w:highlight w:val="none"/>
        </w:rPr>
        <w:tab/>
      </w:r>
      <w:r>
        <w:rPr>
          <w:highlight w:val="none"/>
        </w:rPr>
        <w:fldChar w:fldCharType="begin"/>
      </w:r>
      <w:r>
        <w:rPr>
          <w:highlight w:val="none"/>
        </w:rPr>
        <w:instrText xml:space="preserve"> PAGEREF _Toc17596 \h </w:instrText>
      </w:r>
      <w:r>
        <w:rPr>
          <w:highlight w:val="none"/>
        </w:rPr>
        <w:fldChar w:fldCharType="separate"/>
      </w:r>
      <w:r>
        <w:rPr>
          <w:highlight w:val="none"/>
        </w:rPr>
        <w:t>10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_Toc19957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二、招标文件</w:t>
      </w:r>
      <w:r>
        <w:rPr>
          <w:highlight w:val="none"/>
        </w:rPr>
        <w:tab/>
      </w:r>
      <w:r>
        <w:rPr>
          <w:highlight w:val="none"/>
        </w:rPr>
        <w:fldChar w:fldCharType="begin"/>
      </w:r>
      <w:r>
        <w:rPr>
          <w:highlight w:val="none"/>
        </w:rPr>
        <w:instrText xml:space="preserve"> PAGEREF _Toc19957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_Toc21514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7. </w:t>
      </w:r>
      <w:r>
        <w:rPr>
          <w:rFonts w:hint="eastAsia" w:ascii="Times New Roman" w:hAnsi="Times New Roman" w:eastAsia="宋体" w:cs="Times New Roman"/>
          <w:bCs/>
          <w:szCs w:val="24"/>
          <w:highlight w:val="none"/>
        </w:rPr>
        <w:t>招标文件的构成</w:t>
      </w:r>
      <w:r>
        <w:rPr>
          <w:highlight w:val="none"/>
        </w:rPr>
        <w:tab/>
      </w:r>
      <w:r>
        <w:rPr>
          <w:highlight w:val="none"/>
        </w:rPr>
        <w:fldChar w:fldCharType="begin"/>
      </w:r>
      <w:r>
        <w:rPr>
          <w:highlight w:val="none"/>
        </w:rPr>
        <w:instrText xml:space="preserve"> PAGEREF _Toc21514 \h </w:instrText>
      </w:r>
      <w:r>
        <w:rPr>
          <w:highlight w:val="none"/>
        </w:rPr>
        <w:fldChar w:fldCharType="separate"/>
      </w:r>
      <w:r>
        <w:rPr>
          <w:highlight w:val="none"/>
        </w:rPr>
        <w:t>11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_Toc31036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8. </w:t>
      </w:r>
      <w:r>
        <w:rPr>
          <w:rFonts w:hint="eastAsia" w:ascii="Times New Roman" w:hAnsi="Times New Roman" w:eastAsia="宋体" w:cs="Times New Roman"/>
          <w:bCs/>
          <w:szCs w:val="24"/>
          <w:highlight w:val="none"/>
        </w:rPr>
        <w:t>招标文件的澄清或修改</w:t>
      </w:r>
      <w:r>
        <w:rPr>
          <w:highlight w:val="none"/>
        </w:rPr>
        <w:tab/>
      </w:r>
      <w:r>
        <w:rPr>
          <w:highlight w:val="none"/>
        </w:rPr>
        <w:fldChar w:fldCharType="begin"/>
      </w:r>
      <w:r>
        <w:rPr>
          <w:highlight w:val="none"/>
        </w:rPr>
        <w:instrText xml:space="preserve"> PAGEREF _Toc31036 \h </w:instrText>
      </w:r>
      <w:r>
        <w:rPr>
          <w:highlight w:val="none"/>
        </w:rPr>
        <w:fldChar w:fldCharType="separate"/>
      </w:r>
      <w:r>
        <w:rPr>
          <w:highlight w:val="none"/>
        </w:rPr>
        <w:t>12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_Toc19778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三、投标文件的</w:t>
      </w:r>
      <w:r>
        <w:rPr>
          <w:rFonts w:hint="eastAsia" w:ascii="宋体" w:hAnsi="宋体" w:eastAsia="宋体" w:cs="宋体"/>
          <w:szCs w:val="24"/>
          <w:highlight w:val="none"/>
          <w:lang w:val="en-US" w:eastAsia="zh-CN"/>
        </w:rPr>
        <w:t>编制</w:t>
      </w:r>
      <w:r>
        <w:rPr>
          <w:highlight w:val="none"/>
        </w:rPr>
        <w:tab/>
      </w:r>
      <w:r>
        <w:rPr>
          <w:highlight w:val="none"/>
        </w:rPr>
        <w:fldChar w:fldCharType="begin"/>
      </w:r>
      <w:r>
        <w:rPr>
          <w:highlight w:val="none"/>
        </w:rPr>
        <w:instrText xml:space="preserve"> PAGEREF _Toc19778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_Toc2192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9. </w:t>
      </w:r>
      <w:r>
        <w:rPr>
          <w:rFonts w:hint="eastAsia" w:ascii="Times New Roman" w:hAnsi="Times New Roman" w:eastAsia="宋体" w:cs="Times New Roman"/>
          <w:bCs/>
          <w:szCs w:val="24"/>
          <w:highlight w:val="none"/>
        </w:rPr>
        <w:t>投标语言</w:t>
      </w:r>
      <w:r>
        <w:rPr>
          <w:highlight w:val="none"/>
        </w:rPr>
        <w:tab/>
      </w:r>
      <w:r>
        <w:rPr>
          <w:highlight w:val="none"/>
        </w:rPr>
        <w:fldChar w:fldCharType="begin"/>
      </w:r>
      <w:r>
        <w:rPr>
          <w:highlight w:val="none"/>
        </w:rPr>
        <w:instrText xml:space="preserve"> PAGEREF _Toc2192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_Toc27126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10. </w:t>
      </w:r>
      <w:r>
        <w:rPr>
          <w:rFonts w:hint="eastAsia" w:ascii="Times New Roman" w:hAnsi="Times New Roman" w:eastAsia="宋体" w:cs="Times New Roman"/>
          <w:bCs/>
          <w:szCs w:val="24"/>
          <w:highlight w:val="none"/>
        </w:rPr>
        <w:t>投标文件计量单位</w:t>
      </w:r>
      <w:r>
        <w:rPr>
          <w:highlight w:val="none"/>
        </w:rPr>
        <w:tab/>
      </w:r>
      <w:r>
        <w:rPr>
          <w:highlight w:val="none"/>
        </w:rPr>
        <w:fldChar w:fldCharType="begin"/>
      </w:r>
      <w:r>
        <w:rPr>
          <w:highlight w:val="none"/>
        </w:rPr>
        <w:instrText xml:space="preserve"> PAGEREF _Toc27126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_Toc8065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11. </w:t>
      </w:r>
      <w:r>
        <w:rPr>
          <w:rFonts w:hint="eastAsia" w:ascii="Times New Roman" w:hAnsi="Times New Roman" w:eastAsia="宋体" w:cs="Times New Roman"/>
          <w:bCs/>
          <w:szCs w:val="24"/>
          <w:highlight w:val="none"/>
        </w:rPr>
        <w:t>投标文件的组成</w:t>
      </w:r>
      <w:r>
        <w:rPr>
          <w:highlight w:val="none"/>
        </w:rPr>
        <w:tab/>
      </w:r>
      <w:r>
        <w:rPr>
          <w:highlight w:val="none"/>
        </w:rPr>
        <w:fldChar w:fldCharType="begin"/>
      </w:r>
      <w:r>
        <w:rPr>
          <w:highlight w:val="none"/>
        </w:rPr>
        <w:instrText xml:space="preserve"> PAGEREF _Toc8065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_Toc30363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12. </w:t>
      </w:r>
      <w:r>
        <w:rPr>
          <w:rFonts w:hint="eastAsia" w:ascii="Times New Roman" w:hAnsi="Times New Roman" w:eastAsia="宋体" w:cs="Times New Roman"/>
          <w:bCs/>
          <w:szCs w:val="24"/>
          <w:highlight w:val="none"/>
        </w:rPr>
        <w:t>投标格式</w:t>
      </w:r>
      <w:r>
        <w:rPr>
          <w:highlight w:val="none"/>
        </w:rPr>
        <w:tab/>
      </w:r>
      <w:r>
        <w:rPr>
          <w:highlight w:val="none"/>
        </w:rPr>
        <w:fldChar w:fldCharType="begin"/>
      </w:r>
      <w:r>
        <w:rPr>
          <w:highlight w:val="none"/>
        </w:rPr>
        <w:instrText xml:space="preserve"> PAGEREF _Toc30363 \h </w:instrText>
      </w:r>
      <w:r>
        <w:rPr>
          <w:highlight w:val="none"/>
        </w:rPr>
        <w:fldChar w:fldCharType="separate"/>
      </w:r>
      <w:r>
        <w:rPr>
          <w:highlight w:val="none"/>
        </w:rPr>
        <w:t>13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_Toc15180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13. </w:t>
      </w:r>
      <w:r>
        <w:rPr>
          <w:rFonts w:hint="eastAsia" w:ascii="Times New Roman" w:hAnsi="Times New Roman" w:eastAsia="宋体" w:cs="Times New Roman"/>
          <w:bCs/>
          <w:szCs w:val="24"/>
          <w:highlight w:val="none"/>
        </w:rPr>
        <w:t>投标报价</w:t>
      </w:r>
      <w:r>
        <w:rPr>
          <w:highlight w:val="none"/>
        </w:rPr>
        <w:tab/>
      </w:r>
      <w:r>
        <w:rPr>
          <w:highlight w:val="none"/>
        </w:rPr>
        <w:fldChar w:fldCharType="begin"/>
      </w:r>
      <w:r>
        <w:rPr>
          <w:highlight w:val="none"/>
        </w:rPr>
        <w:instrText xml:space="preserve"> PAGEREF _Toc15180 \h </w:instrText>
      </w:r>
      <w:r>
        <w:rPr>
          <w:highlight w:val="none"/>
        </w:rPr>
        <w:fldChar w:fldCharType="separate"/>
      </w:r>
      <w:r>
        <w:rPr>
          <w:highlight w:val="none"/>
        </w:rPr>
        <w:t>14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_Toc15272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14. </w:t>
      </w:r>
      <w:r>
        <w:rPr>
          <w:rFonts w:hint="eastAsia" w:ascii="Times New Roman" w:hAnsi="Times New Roman" w:eastAsia="宋体" w:cs="Times New Roman"/>
          <w:bCs/>
          <w:szCs w:val="24"/>
          <w:highlight w:val="none"/>
        </w:rPr>
        <w:t>投标货币</w:t>
      </w:r>
      <w:r>
        <w:rPr>
          <w:highlight w:val="none"/>
        </w:rPr>
        <w:tab/>
      </w:r>
      <w:r>
        <w:rPr>
          <w:highlight w:val="none"/>
        </w:rPr>
        <w:fldChar w:fldCharType="begin"/>
      </w:r>
      <w:r>
        <w:rPr>
          <w:highlight w:val="none"/>
        </w:rPr>
        <w:instrText xml:space="preserve"> PAGEREF _Toc15272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15. </w:t>
      </w:r>
      <w:r>
        <w:rPr>
          <w:rFonts w:hint="eastAsia" w:ascii="Times New Roman" w:hAnsi="Times New Roman" w:eastAsia="宋体" w:cs="Times New Roman"/>
          <w:bCs/>
          <w:szCs w:val="24"/>
          <w:highlight w:val="none"/>
        </w:rPr>
        <w:t>投标人资格的证明文件</w:t>
      </w:r>
      <w:r>
        <w:rPr>
          <w:highlight w:val="none"/>
        </w:rPr>
        <w:tab/>
      </w:r>
      <w:r>
        <w:rPr>
          <w:highlight w:val="none"/>
        </w:rPr>
        <w:fldChar w:fldCharType="begin"/>
      </w:r>
      <w:r>
        <w:rPr>
          <w:highlight w:val="none"/>
        </w:rPr>
        <w:instrText xml:space="preserve"> PAGEREF _Toc2552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_Toc16590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16. </w:t>
      </w:r>
      <w:r>
        <w:rPr>
          <w:rFonts w:hint="eastAsia" w:ascii="Times New Roman" w:hAnsi="Times New Roman" w:eastAsia="宋体" w:cs="Times New Roman"/>
          <w:bCs/>
          <w:szCs w:val="24"/>
          <w:highlight w:val="none"/>
        </w:rPr>
        <w:t>证明能够满足招标文件技术要求的文件</w:t>
      </w:r>
      <w:r>
        <w:rPr>
          <w:highlight w:val="none"/>
        </w:rPr>
        <w:tab/>
      </w:r>
      <w:r>
        <w:rPr>
          <w:highlight w:val="none"/>
        </w:rPr>
        <w:fldChar w:fldCharType="begin"/>
      </w:r>
      <w:r>
        <w:rPr>
          <w:highlight w:val="none"/>
        </w:rPr>
        <w:instrText xml:space="preserve"> PAGEREF _Toc16590 \h </w:instrText>
      </w:r>
      <w:r>
        <w:rPr>
          <w:highlight w:val="none"/>
        </w:rPr>
        <w:fldChar w:fldCharType="separate"/>
      </w:r>
      <w:r>
        <w:rPr>
          <w:highlight w:val="none"/>
        </w:rPr>
        <w:t>15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_Toc18218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17. </w:t>
      </w:r>
      <w:r>
        <w:rPr>
          <w:rFonts w:hint="eastAsia" w:ascii="Times New Roman" w:hAnsi="Times New Roman" w:eastAsia="宋体" w:cs="Times New Roman"/>
          <w:bCs/>
          <w:szCs w:val="24"/>
          <w:highlight w:val="none"/>
        </w:rPr>
        <w:t>投标承诺函</w:t>
      </w:r>
      <w:r>
        <w:rPr>
          <w:highlight w:val="none"/>
        </w:rPr>
        <w:tab/>
      </w:r>
      <w:r>
        <w:rPr>
          <w:highlight w:val="none"/>
        </w:rPr>
        <w:fldChar w:fldCharType="begin"/>
      </w:r>
      <w:r>
        <w:rPr>
          <w:highlight w:val="none"/>
        </w:rPr>
        <w:instrText xml:space="preserve"> PAGEREF _Toc18218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_Toc17133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18. </w:t>
      </w:r>
      <w:r>
        <w:rPr>
          <w:rFonts w:hint="eastAsia" w:ascii="Times New Roman" w:hAnsi="Times New Roman" w:eastAsia="宋体" w:cs="Times New Roman"/>
          <w:bCs/>
          <w:szCs w:val="24"/>
          <w:highlight w:val="none"/>
        </w:rPr>
        <w:t>投标有效期</w:t>
      </w:r>
      <w:r>
        <w:rPr>
          <w:highlight w:val="none"/>
        </w:rPr>
        <w:tab/>
      </w:r>
      <w:r>
        <w:rPr>
          <w:highlight w:val="none"/>
        </w:rPr>
        <w:fldChar w:fldCharType="begin"/>
      </w:r>
      <w:r>
        <w:rPr>
          <w:highlight w:val="none"/>
        </w:rPr>
        <w:instrText xml:space="preserve"> PAGEREF _Toc17133 \h </w:instrText>
      </w:r>
      <w:r>
        <w:rPr>
          <w:highlight w:val="none"/>
        </w:rPr>
        <w:fldChar w:fldCharType="separate"/>
      </w:r>
      <w:r>
        <w:rPr>
          <w:highlight w:val="none"/>
        </w:rPr>
        <w:t>16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19. </w:t>
      </w:r>
      <w:r>
        <w:rPr>
          <w:rFonts w:hint="eastAsia" w:ascii="Times New Roman" w:hAnsi="Times New Roman" w:eastAsia="宋体" w:cs="Times New Roman"/>
          <w:bCs/>
          <w:szCs w:val="24"/>
          <w:highlight w:val="none"/>
        </w:rPr>
        <w:t>投标文件的制作以及文件签署</w:t>
      </w:r>
      <w:r>
        <w:rPr>
          <w:highlight w:val="none"/>
        </w:rPr>
        <w:tab/>
      </w:r>
      <w:r>
        <w:rPr>
          <w:highlight w:val="none"/>
        </w:rPr>
        <w:fldChar w:fldCharType="begin"/>
      </w:r>
      <w:r>
        <w:rPr>
          <w:highlight w:val="none"/>
        </w:rPr>
        <w:instrText xml:space="preserve"> PAGEREF _Toc13515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_Toc15024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四、投标文件的递交</w:t>
      </w:r>
      <w:r>
        <w:rPr>
          <w:highlight w:val="none"/>
        </w:rPr>
        <w:tab/>
      </w:r>
      <w:r>
        <w:rPr>
          <w:highlight w:val="none"/>
        </w:rPr>
        <w:fldChar w:fldCharType="begin"/>
      </w:r>
      <w:r>
        <w:rPr>
          <w:highlight w:val="none"/>
        </w:rPr>
        <w:instrText xml:space="preserve"> PAGEREF _Toc15024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_Toc13752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20. </w:t>
      </w:r>
      <w:r>
        <w:rPr>
          <w:rFonts w:hint="eastAsia" w:ascii="Times New Roman" w:hAnsi="Times New Roman" w:eastAsia="宋体" w:cs="Times New Roman"/>
          <w:bCs/>
          <w:szCs w:val="24"/>
          <w:highlight w:val="none"/>
        </w:rPr>
        <w:t>投标文件的密封和标记</w:t>
      </w:r>
      <w:r>
        <w:rPr>
          <w:highlight w:val="none"/>
        </w:rPr>
        <w:tab/>
      </w:r>
      <w:r>
        <w:rPr>
          <w:highlight w:val="none"/>
        </w:rPr>
        <w:fldChar w:fldCharType="begin"/>
      </w:r>
      <w:r>
        <w:rPr>
          <w:highlight w:val="none"/>
        </w:rPr>
        <w:instrText xml:space="preserve"> PAGEREF _Toc13752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21. </w:t>
      </w:r>
      <w:r>
        <w:rPr>
          <w:rFonts w:hint="eastAsia" w:ascii="Times New Roman" w:hAnsi="Times New Roman" w:eastAsia="宋体" w:cs="Times New Roman"/>
          <w:bCs/>
          <w:szCs w:val="24"/>
          <w:highlight w:val="none"/>
        </w:rPr>
        <w:t>投标文件的递交</w:t>
      </w:r>
      <w:r>
        <w:rPr>
          <w:highlight w:val="none"/>
        </w:rPr>
        <w:tab/>
      </w:r>
      <w:r>
        <w:rPr>
          <w:highlight w:val="none"/>
        </w:rPr>
        <w:fldChar w:fldCharType="begin"/>
      </w:r>
      <w:r>
        <w:rPr>
          <w:highlight w:val="none"/>
        </w:rPr>
        <w:instrText xml:space="preserve"> PAGEREF _Toc238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22. </w:t>
      </w:r>
      <w:r>
        <w:rPr>
          <w:rFonts w:hint="eastAsia" w:ascii="Times New Roman" w:hAnsi="Times New Roman" w:eastAsia="宋体" w:cs="Times New Roman"/>
          <w:bCs/>
          <w:szCs w:val="24"/>
          <w:highlight w:val="none"/>
        </w:rPr>
        <w:t>投标文件的修改和撤回</w:t>
      </w:r>
      <w:r>
        <w:rPr>
          <w:highlight w:val="none"/>
        </w:rPr>
        <w:tab/>
      </w:r>
      <w:r>
        <w:rPr>
          <w:highlight w:val="none"/>
        </w:rPr>
        <w:fldChar w:fldCharType="begin"/>
      </w:r>
      <w:r>
        <w:rPr>
          <w:highlight w:val="none"/>
        </w:rPr>
        <w:instrText xml:space="preserve"> PAGEREF _Toc784 \h </w:instrText>
      </w:r>
      <w:r>
        <w:rPr>
          <w:highlight w:val="none"/>
        </w:rPr>
        <w:fldChar w:fldCharType="separate"/>
      </w:r>
      <w:r>
        <w:rPr>
          <w:highlight w:val="none"/>
        </w:rPr>
        <w:t>17</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_Toc18252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五、开标与资格审查</w:t>
      </w:r>
      <w:r>
        <w:rPr>
          <w:highlight w:val="none"/>
        </w:rPr>
        <w:tab/>
      </w:r>
      <w:r>
        <w:rPr>
          <w:highlight w:val="none"/>
        </w:rPr>
        <w:fldChar w:fldCharType="begin"/>
      </w:r>
      <w:r>
        <w:rPr>
          <w:highlight w:val="none"/>
        </w:rPr>
        <w:instrText xml:space="preserve"> PAGEREF _Toc18252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_Toc30945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23. </w:t>
      </w:r>
      <w:r>
        <w:rPr>
          <w:rFonts w:hint="eastAsia" w:ascii="Times New Roman" w:hAnsi="Times New Roman" w:eastAsia="宋体" w:cs="Times New Roman"/>
          <w:bCs/>
          <w:szCs w:val="24"/>
          <w:highlight w:val="none"/>
        </w:rPr>
        <w:t>开标</w:t>
      </w:r>
      <w:r>
        <w:rPr>
          <w:highlight w:val="none"/>
        </w:rPr>
        <w:tab/>
      </w:r>
      <w:r>
        <w:rPr>
          <w:highlight w:val="none"/>
        </w:rPr>
        <w:fldChar w:fldCharType="begin"/>
      </w:r>
      <w:r>
        <w:rPr>
          <w:highlight w:val="none"/>
        </w:rPr>
        <w:instrText xml:space="preserve"> PAGEREF _Toc30945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_Toc3762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24. </w:t>
      </w:r>
      <w:r>
        <w:rPr>
          <w:rFonts w:hint="eastAsia" w:ascii="Times New Roman" w:hAnsi="Times New Roman" w:eastAsia="宋体" w:cs="Times New Roman"/>
          <w:bCs/>
          <w:szCs w:val="24"/>
          <w:highlight w:val="none"/>
        </w:rPr>
        <w:t>投标文件的资格审查</w:t>
      </w:r>
      <w:r>
        <w:rPr>
          <w:highlight w:val="none"/>
        </w:rPr>
        <w:tab/>
      </w:r>
      <w:r>
        <w:rPr>
          <w:highlight w:val="none"/>
        </w:rPr>
        <w:fldChar w:fldCharType="begin"/>
      </w:r>
      <w:r>
        <w:rPr>
          <w:highlight w:val="none"/>
        </w:rPr>
        <w:instrText xml:space="preserve"> PAGEREF _Toc3762 \h </w:instrText>
      </w:r>
      <w:r>
        <w:rPr>
          <w:highlight w:val="none"/>
        </w:rPr>
        <w:fldChar w:fldCharType="separate"/>
      </w:r>
      <w:r>
        <w:rPr>
          <w:highlight w:val="none"/>
        </w:rPr>
        <w:t>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_Toc7488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六、 评标</w:t>
      </w:r>
      <w:r>
        <w:rPr>
          <w:highlight w:val="none"/>
        </w:rPr>
        <w:tab/>
      </w:r>
      <w:r>
        <w:rPr>
          <w:highlight w:val="none"/>
        </w:rPr>
        <w:fldChar w:fldCharType="begin"/>
      </w:r>
      <w:r>
        <w:rPr>
          <w:highlight w:val="none"/>
        </w:rPr>
        <w:instrText xml:space="preserve"> PAGEREF _Toc7488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_Toc21128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25. </w:t>
      </w:r>
      <w:r>
        <w:rPr>
          <w:rFonts w:hint="eastAsia" w:ascii="Times New Roman" w:hAnsi="Times New Roman" w:eastAsia="宋体" w:cs="Times New Roman"/>
          <w:bCs/>
          <w:szCs w:val="24"/>
          <w:highlight w:val="none"/>
        </w:rPr>
        <w:t>评标委员会</w:t>
      </w:r>
      <w:r>
        <w:rPr>
          <w:highlight w:val="none"/>
        </w:rPr>
        <w:tab/>
      </w:r>
      <w:r>
        <w:rPr>
          <w:highlight w:val="none"/>
        </w:rPr>
        <w:fldChar w:fldCharType="begin"/>
      </w:r>
      <w:r>
        <w:rPr>
          <w:highlight w:val="none"/>
        </w:rPr>
        <w:instrText xml:space="preserve"> PAGEREF _Toc21128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_Toc23817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26. </w:t>
      </w:r>
      <w:r>
        <w:rPr>
          <w:rFonts w:hint="eastAsia" w:ascii="Times New Roman" w:hAnsi="Times New Roman" w:eastAsia="宋体" w:cs="Times New Roman"/>
          <w:bCs/>
          <w:szCs w:val="24"/>
          <w:highlight w:val="none"/>
        </w:rPr>
        <w:t>投标文件符合性审查</w:t>
      </w:r>
      <w:r>
        <w:rPr>
          <w:highlight w:val="none"/>
        </w:rPr>
        <w:tab/>
      </w:r>
      <w:r>
        <w:rPr>
          <w:highlight w:val="none"/>
        </w:rPr>
        <w:fldChar w:fldCharType="begin"/>
      </w:r>
      <w:r>
        <w:rPr>
          <w:highlight w:val="none"/>
        </w:rPr>
        <w:instrText xml:space="preserve"> PAGEREF _Toc23817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_Toc5860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27. </w:t>
      </w:r>
      <w:r>
        <w:rPr>
          <w:rFonts w:hint="eastAsia" w:ascii="Times New Roman" w:hAnsi="Times New Roman" w:eastAsia="宋体" w:cs="Times New Roman"/>
          <w:bCs/>
          <w:szCs w:val="24"/>
          <w:highlight w:val="none"/>
        </w:rPr>
        <w:t>串通投标</w:t>
      </w:r>
      <w:r>
        <w:rPr>
          <w:highlight w:val="none"/>
        </w:rPr>
        <w:tab/>
      </w:r>
      <w:r>
        <w:rPr>
          <w:highlight w:val="none"/>
        </w:rPr>
        <w:fldChar w:fldCharType="begin"/>
      </w:r>
      <w:r>
        <w:rPr>
          <w:highlight w:val="none"/>
        </w:rPr>
        <w:instrText xml:space="preserve"> PAGEREF _Toc5860 \h </w:instrText>
      </w:r>
      <w:r>
        <w:rPr>
          <w:highlight w:val="none"/>
        </w:rPr>
        <w:fldChar w:fldCharType="separate"/>
      </w:r>
      <w:r>
        <w:rPr>
          <w:highlight w:val="none"/>
        </w:rPr>
        <w:t>19</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_Toc5098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28. </w:t>
      </w:r>
      <w:r>
        <w:rPr>
          <w:rFonts w:hint="eastAsia" w:ascii="Times New Roman" w:hAnsi="Times New Roman" w:eastAsia="宋体" w:cs="Times New Roman"/>
          <w:bCs/>
          <w:szCs w:val="24"/>
          <w:highlight w:val="none"/>
        </w:rPr>
        <w:t>投标无效的情形</w:t>
      </w:r>
      <w:r>
        <w:rPr>
          <w:highlight w:val="none"/>
        </w:rPr>
        <w:tab/>
      </w:r>
      <w:r>
        <w:rPr>
          <w:highlight w:val="none"/>
        </w:rPr>
        <w:fldChar w:fldCharType="begin"/>
      </w:r>
      <w:r>
        <w:rPr>
          <w:highlight w:val="none"/>
        </w:rPr>
        <w:instrText xml:space="preserve"> PAGEREF _Toc5098 \h </w:instrText>
      </w:r>
      <w:r>
        <w:rPr>
          <w:highlight w:val="none"/>
        </w:rPr>
        <w:fldChar w:fldCharType="separate"/>
      </w:r>
      <w:r>
        <w:rPr>
          <w:highlight w:val="none"/>
        </w:rPr>
        <w:t>20</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_Toc14598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29. </w:t>
      </w:r>
      <w:r>
        <w:rPr>
          <w:rFonts w:hint="eastAsia" w:ascii="Times New Roman" w:hAnsi="Times New Roman" w:eastAsia="宋体" w:cs="Times New Roman"/>
          <w:bCs/>
          <w:szCs w:val="24"/>
          <w:highlight w:val="none"/>
        </w:rPr>
        <w:t>投标文件的澄清</w:t>
      </w:r>
      <w:r>
        <w:rPr>
          <w:highlight w:val="none"/>
        </w:rPr>
        <w:tab/>
      </w:r>
      <w:r>
        <w:rPr>
          <w:highlight w:val="none"/>
        </w:rPr>
        <w:fldChar w:fldCharType="begin"/>
      </w:r>
      <w:r>
        <w:rPr>
          <w:highlight w:val="none"/>
        </w:rPr>
        <w:instrText xml:space="preserve"> PAGEREF _Toc14598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_Toc24922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30. </w:t>
      </w:r>
      <w:r>
        <w:rPr>
          <w:rFonts w:hint="eastAsia" w:ascii="Times New Roman" w:hAnsi="Times New Roman" w:eastAsia="宋体" w:cs="Times New Roman"/>
          <w:bCs/>
          <w:szCs w:val="24"/>
          <w:highlight w:val="none"/>
        </w:rPr>
        <w:t>投标文件的评审</w:t>
      </w:r>
      <w:r>
        <w:rPr>
          <w:highlight w:val="none"/>
        </w:rPr>
        <w:tab/>
      </w:r>
      <w:r>
        <w:rPr>
          <w:highlight w:val="none"/>
        </w:rPr>
        <w:fldChar w:fldCharType="begin"/>
      </w:r>
      <w:r>
        <w:rPr>
          <w:highlight w:val="none"/>
        </w:rPr>
        <w:instrText xml:space="preserve"> PAGEREF _Toc24922 \h </w:instrText>
      </w:r>
      <w:r>
        <w:rPr>
          <w:highlight w:val="none"/>
        </w:rPr>
        <w:fldChar w:fldCharType="separate"/>
      </w:r>
      <w:r>
        <w:rPr>
          <w:highlight w:val="none"/>
        </w:rPr>
        <w:t>21</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_Toc7383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31. </w:t>
      </w:r>
      <w:r>
        <w:rPr>
          <w:rFonts w:hint="eastAsia" w:ascii="Times New Roman" w:hAnsi="Times New Roman" w:eastAsia="宋体" w:cs="Times New Roman"/>
          <w:bCs/>
          <w:szCs w:val="24"/>
          <w:highlight w:val="none"/>
        </w:rPr>
        <w:t>评标价的确定</w:t>
      </w:r>
      <w:r>
        <w:rPr>
          <w:highlight w:val="none"/>
        </w:rPr>
        <w:tab/>
      </w:r>
      <w:r>
        <w:rPr>
          <w:highlight w:val="none"/>
        </w:rPr>
        <w:fldChar w:fldCharType="begin"/>
      </w:r>
      <w:r>
        <w:rPr>
          <w:highlight w:val="none"/>
        </w:rPr>
        <w:instrText xml:space="preserve"> PAGEREF _Toc7383 \h </w:instrText>
      </w:r>
      <w:r>
        <w:rPr>
          <w:highlight w:val="none"/>
        </w:rPr>
        <w:fldChar w:fldCharType="separate"/>
      </w:r>
      <w:r>
        <w:rPr>
          <w:highlight w:val="none"/>
        </w:rPr>
        <w:t>22</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_Toc6824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32. </w:t>
      </w:r>
      <w:r>
        <w:rPr>
          <w:rFonts w:hint="eastAsia" w:ascii="Times New Roman" w:hAnsi="Times New Roman" w:eastAsia="宋体" w:cs="Times New Roman"/>
          <w:bCs/>
          <w:szCs w:val="24"/>
          <w:highlight w:val="none"/>
        </w:rPr>
        <w:t>评标步骤</w:t>
      </w:r>
      <w:r>
        <w:rPr>
          <w:highlight w:val="none"/>
        </w:rPr>
        <w:tab/>
      </w:r>
      <w:r>
        <w:rPr>
          <w:highlight w:val="none"/>
        </w:rPr>
        <w:fldChar w:fldCharType="begin"/>
      </w:r>
      <w:r>
        <w:rPr>
          <w:highlight w:val="none"/>
        </w:rPr>
        <w:instrText xml:space="preserve"> PAGEREF _Toc6824 \h </w:instrText>
      </w:r>
      <w:r>
        <w:rPr>
          <w:highlight w:val="none"/>
        </w:rPr>
        <w:fldChar w:fldCharType="separate"/>
      </w:r>
      <w:r>
        <w:rPr>
          <w:highlight w:val="none"/>
        </w:rPr>
        <w:t>23</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_Toc26441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33. </w:t>
      </w:r>
      <w:r>
        <w:rPr>
          <w:rFonts w:hint="eastAsia" w:ascii="Times New Roman" w:hAnsi="Times New Roman" w:eastAsia="宋体" w:cs="Times New Roman"/>
          <w:bCs/>
          <w:szCs w:val="24"/>
          <w:highlight w:val="none"/>
        </w:rPr>
        <w:t>定标</w:t>
      </w:r>
      <w:r>
        <w:rPr>
          <w:highlight w:val="none"/>
        </w:rPr>
        <w:tab/>
      </w:r>
      <w:r>
        <w:rPr>
          <w:highlight w:val="none"/>
        </w:rPr>
        <w:fldChar w:fldCharType="begin"/>
      </w:r>
      <w:r>
        <w:rPr>
          <w:highlight w:val="none"/>
        </w:rPr>
        <w:instrText xml:space="preserve"> PAGEREF _Toc26441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rFonts w:hint="eastAsia" w:ascii="宋体" w:hAnsi="宋体" w:eastAsia="宋体" w:cs="宋体"/>
          <w:szCs w:val="28"/>
          <w:highlight w:val="none"/>
        </w:rPr>
        <w:sectPr>
          <w:footerReference r:id="rId6" w:type="first"/>
          <w:footerReference r:id="rId5"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titlePg/>
          <w:docGrid w:type="lines" w:linePitch="312" w:charSpace="0"/>
        </w:sectPr>
      </w:pP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_Toc27224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34. </w:t>
      </w:r>
      <w:r>
        <w:rPr>
          <w:rFonts w:hint="eastAsia" w:ascii="Times New Roman" w:hAnsi="Times New Roman" w:eastAsia="宋体" w:cs="Times New Roman"/>
          <w:bCs/>
          <w:szCs w:val="24"/>
          <w:highlight w:val="none"/>
        </w:rPr>
        <w:t>保密</w:t>
      </w:r>
      <w:r>
        <w:rPr>
          <w:rFonts w:hint="eastAsia" w:ascii="Times New Roman" w:hAnsi="Times New Roman" w:eastAsia="宋体" w:cs="Times New Roman"/>
          <w:bCs/>
          <w:szCs w:val="24"/>
          <w:highlight w:val="none"/>
          <w:lang w:val="en-US" w:eastAsia="zh-CN"/>
        </w:rPr>
        <w:t>要求</w:t>
      </w:r>
      <w:r>
        <w:rPr>
          <w:highlight w:val="none"/>
        </w:rPr>
        <w:tab/>
      </w:r>
      <w:r>
        <w:rPr>
          <w:highlight w:val="none"/>
        </w:rPr>
        <w:fldChar w:fldCharType="begin"/>
      </w:r>
      <w:r>
        <w:rPr>
          <w:highlight w:val="none"/>
        </w:rPr>
        <w:instrText xml:space="preserve"> PAGEREF _Toc27224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_Toc13511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35. </w:t>
      </w:r>
      <w:r>
        <w:rPr>
          <w:rFonts w:hint="eastAsia" w:ascii="Times New Roman" w:hAnsi="Times New Roman" w:eastAsia="宋体" w:cs="Times New Roman"/>
          <w:bCs/>
          <w:szCs w:val="24"/>
          <w:highlight w:val="none"/>
        </w:rPr>
        <w:t>招标文件执行的政府采购政策</w:t>
      </w:r>
      <w:r>
        <w:rPr>
          <w:highlight w:val="none"/>
        </w:rPr>
        <w:tab/>
      </w:r>
      <w:r>
        <w:rPr>
          <w:highlight w:val="none"/>
        </w:rPr>
        <w:fldChar w:fldCharType="begin"/>
      </w:r>
      <w:r>
        <w:rPr>
          <w:highlight w:val="none"/>
        </w:rPr>
        <w:instrText xml:space="preserve"> PAGEREF _Toc13511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_Toc28499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rPr>
        <w:t xml:space="preserve">36. </w:t>
      </w:r>
      <w:r>
        <w:rPr>
          <w:rFonts w:hint="eastAsia" w:ascii="Times New Roman" w:hAnsi="Times New Roman" w:eastAsia="宋体" w:cs="Times New Roman"/>
          <w:bCs/>
          <w:szCs w:val="24"/>
          <w:highlight w:val="none"/>
        </w:rPr>
        <w:t>废标</w:t>
      </w:r>
      <w:r>
        <w:rPr>
          <w:highlight w:val="none"/>
        </w:rPr>
        <w:tab/>
      </w:r>
      <w:r>
        <w:rPr>
          <w:highlight w:val="none"/>
        </w:rPr>
        <w:fldChar w:fldCharType="begin"/>
      </w:r>
      <w:r>
        <w:rPr>
          <w:highlight w:val="none"/>
        </w:rPr>
        <w:instrText xml:space="preserve"> PAGEREF _Toc28499 \h </w:instrText>
      </w:r>
      <w:r>
        <w:rPr>
          <w:highlight w:val="none"/>
        </w:rPr>
        <w:fldChar w:fldCharType="separate"/>
      </w:r>
      <w:r>
        <w:rPr>
          <w:highlight w:val="none"/>
        </w:rPr>
        <w:t>24</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_Toc29721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37. </w:t>
      </w:r>
      <w:r>
        <w:rPr>
          <w:rFonts w:hint="eastAsia" w:ascii="Times New Roman" w:hAnsi="Times New Roman" w:eastAsia="宋体" w:cs="Times New Roman"/>
          <w:bCs/>
          <w:szCs w:val="24"/>
          <w:highlight w:val="none"/>
          <w:lang w:val="en-US" w:eastAsia="zh-CN"/>
        </w:rPr>
        <w:t>中标结果公告及中标通知书</w:t>
      </w:r>
      <w:r>
        <w:rPr>
          <w:highlight w:val="none"/>
        </w:rPr>
        <w:tab/>
      </w:r>
      <w:r>
        <w:rPr>
          <w:highlight w:val="none"/>
        </w:rPr>
        <w:fldChar w:fldCharType="begin"/>
      </w:r>
      <w:r>
        <w:rPr>
          <w:highlight w:val="none"/>
        </w:rPr>
        <w:instrText xml:space="preserve"> PAGEREF _Toc29721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_Toc700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38. </w:t>
      </w:r>
      <w:r>
        <w:rPr>
          <w:rFonts w:hint="eastAsia" w:ascii="Times New Roman" w:hAnsi="Times New Roman" w:eastAsia="宋体" w:cs="Times New Roman"/>
          <w:bCs/>
          <w:szCs w:val="24"/>
          <w:highlight w:val="none"/>
          <w:lang w:val="en-US" w:eastAsia="zh-CN"/>
        </w:rPr>
        <w:t>告知招标结果</w:t>
      </w:r>
      <w:r>
        <w:rPr>
          <w:highlight w:val="none"/>
        </w:rPr>
        <w:tab/>
      </w:r>
      <w:r>
        <w:rPr>
          <w:highlight w:val="none"/>
        </w:rPr>
        <w:fldChar w:fldCharType="begin"/>
      </w:r>
      <w:r>
        <w:rPr>
          <w:highlight w:val="none"/>
        </w:rPr>
        <w:instrText xml:space="preserve"> PAGEREF _Toc700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_Toc4450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七、授予合同</w:t>
      </w:r>
      <w:r>
        <w:rPr>
          <w:highlight w:val="none"/>
        </w:rPr>
        <w:tab/>
      </w:r>
      <w:r>
        <w:rPr>
          <w:highlight w:val="none"/>
        </w:rPr>
        <w:fldChar w:fldCharType="begin"/>
      </w:r>
      <w:r>
        <w:rPr>
          <w:highlight w:val="none"/>
        </w:rPr>
        <w:instrText xml:space="preserve"> PAGEREF _Toc4450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_Toc16755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39. </w:t>
      </w:r>
      <w:r>
        <w:rPr>
          <w:rFonts w:hint="eastAsia" w:ascii="Times New Roman" w:hAnsi="Times New Roman" w:eastAsia="宋体" w:cs="Times New Roman"/>
          <w:bCs/>
          <w:szCs w:val="24"/>
          <w:highlight w:val="none"/>
          <w:lang w:val="en-US" w:eastAsia="zh-CN"/>
        </w:rPr>
        <w:t>签订合同</w:t>
      </w:r>
      <w:r>
        <w:rPr>
          <w:highlight w:val="none"/>
        </w:rPr>
        <w:tab/>
      </w:r>
      <w:r>
        <w:rPr>
          <w:highlight w:val="none"/>
        </w:rPr>
        <w:fldChar w:fldCharType="begin"/>
      </w:r>
      <w:r>
        <w:rPr>
          <w:highlight w:val="none"/>
        </w:rPr>
        <w:instrText xml:space="preserve"> PAGEREF _Toc16755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_Toc14888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40. </w:t>
      </w:r>
      <w:r>
        <w:rPr>
          <w:rFonts w:hint="eastAsia" w:ascii="Times New Roman" w:hAnsi="Times New Roman" w:eastAsia="宋体" w:cs="Times New Roman"/>
          <w:bCs/>
          <w:szCs w:val="24"/>
          <w:highlight w:val="none"/>
          <w:lang w:val="en-US" w:eastAsia="zh-CN"/>
        </w:rPr>
        <w:t>履约保证金</w:t>
      </w:r>
      <w:r>
        <w:rPr>
          <w:highlight w:val="none"/>
        </w:rPr>
        <w:tab/>
      </w:r>
      <w:r>
        <w:rPr>
          <w:highlight w:val="none"/>
        </w:rPr>
        <w:fldChar w:fldCharType="begin"/>
      </w:r>
      <w:r>
        <w:rPr>
          <w:highlight w:val="none"/>
        </w:rPr>
        <w:instrText xml:space="preserve"> PAGEREF _Toc14888 \h </w:instrText>
      </w:r>
      <w:r>
        <w:rPr>
          <w:highlight w:val="none"/>
        </w:rPr>
        <w:fldChar w:fldCharType="separate"/>
      </w:r>
      <w:r>
        <w:rPr>
          <w:highlight w:val="none"/>
        </w:rPr>
        <w:t>25</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_Toc7807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41. </w:t>
      </w:r>
      <w:r>
        <w:rPr>
          <w:rFonts w:hint="eastAsia" w:ascii="Times New Roman" w:hAnsi="Times New Roman" w:eastAsia="宋体" w:cs="Times New Roman"/>
          <w:bCs/>
          <w:szCs w:val="24"/>
          <w:highlight w:val="none"/>
          <w:lang w:val="en-US" w:eastAsia="zh-CN"/>
        </w:rPr>
        <w:t>授标时更改采购货物数量的权力</w:t>
      </w:r>
      <w:r>
        <w:rPr>
          <w:highlight w:val="none"/>
        </w:rPr>
        <w:tab/>
      </w:r>
      <w:r>
        <w:rPr>
          <w:highlight w:val="none"/>
        </w:rPr>
        <w:fldChar w:fldCharType="begin"/>
      </w:r>
      <w:r>
        <w:rPr>
          <w:highlight w:val="none"/>
        </w:rPr>
        <w:instrText xml:space="preserve"> PAGEREF _Toc7807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_Toc2694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42. </w:t>
      </w:r>
      <w:r>
        <w:rPr>
          <w:rFonts w:hint="eastAsia" w:ascii="Times New Roman" w:hAnsi="Times New Roman" w:eastAsia="宋体" w:cs="Times New Roman"/>
          <w:bCs/>
          <w:szCs w:val="24"/>
          <w:highlight w:val="none"/>
          <w:lang w:val="en-US" w:eastAsia="zh-CN"/>
        </w:rPr>
        <w:t>质疑和投诉</w:t>
      </w:r>
      <w:r>
        <w:rPr>
          <w:highlight w:val="none"/>
        </w:rPr>
        <w:tab/>
      </w:r>
      <w:r>
        <w:rPr>
          <w:highlight w:val="none"/>
        </w:rPr>
        <w:fldChar w:fldCharType="begin"/>
      </w:r>
      <w:r>
        <w:rPr>
          <w:highlight w:val="none"/>
        </w:rPr>
        <w:instrText xml:space="preserve"> PAGEREF _Toc2694 \h </w:instrText>
      </w:r>
      <w:r>
        <w:rPr>
          <w:highlight w:val="none"/>
        </w:rPr>
        <w:fldChar w:fldCharType="separate"/>
      </w:r>
      <w:r>
        <w:rPr>
          <w:highlight w:val="none"/>
        </w:rPr>
        <w:t>26</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_Toc11769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43. </w:t>
      </w:r>
      <w:r>
        <w:rPr>
          <w:rFonts w:hint="eastAsia" w:ascii="Times New Roman" w:hAnsi="Times New Roman" w:eastAsia="宋体" w:cs="Times New Roman"/>
          <w:bCs/>
          <w:szCs w:val="24"/>
          <w:highlight w:val="none"/>
          <w:lang w:val="en-US" w:eastAsia="zh-CN"/>
        </w:rPr>
        <w:t>预付款</w:t>
      </w:r>
      <w:r>
        <w:rPr>
          <w:highlight w:val="none"/>
        </w:rPr>
        <w:tab/>
      </w:r>
      <w:r>
        <w:rPr>
          <w:highlight w:val="none"/>
        </w:rPr>
        <w:fldChar w:fldCharType="begin"/>
      </w:r>
      <w:r>
        <w:rPr>
          <w:highlight w:val="none"/>
        </w:rPr>
        <w:instrText xml:space="preserve"> PAGEREF _Toc11769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_Toc13557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44. </w:t>
      </w:r>
      <w:r>
        <w:rPr>
          <w:rFonts w:hint="eastAsia" w:ascii="Times New Roman" w:hAnsi="Times New Roman" w:eastAsia="宋体" w:cs="Times New Roman"/>
          <w:bCs/>
          <w:szCs w:val="24"/>
          <w:highlight w:val="none"/>
          <w:lang w:val="en-US" w:eastAsia="zh-CN"/>
        </w:rPr>
        <w:t>采购代理费</w:t>
      </w:r>
      <w:r>
        <w:rPr>
          <w:highlight w:val="none"/>
        </w:rPr>
        <w:tab/>
      </w:r>
      <w:r>
        <w:rPr>
          <w:highlight w:val="none"/>
        </w:rPr>
        <w:fldChar w:fldCharType="begin"/>
      </w:r>
      <w:r>
        <w:rPr>
          <w:highlight w:val="none"/>
        </w:rPr>
        <w:instrText xml:space="preserve"> PAGEREF _Toc13557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_Toc5173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45. </w:t>
      </w:r>
      <w:r>
        <w:rPr>
          <w:rFonts w:hint="eastAsia" w:ascii="Times New Roman" w:hAnsi="Times New Roman" w:eastAsia="宋体" w:cs="Times New Roman"/>
          <w:bCs/>
          <w:szCs w:val="24"/>
          <w:highlight w:val="none"/>
          <w:lang w:val="en-US" w:eastAsia="zh-CN"/>
        </w:rPr>
        <w:t>政府采购信用担保</w:t>
      </w:r>
      <w:r>
        <w:rPr>
          <w:highlight w:val="none"/>
        </w:rPr>
        <w:tab/>
      </w:r>
      <w:r>
        <w:rPr>
          <w:highlight w:val="none"/>
        </w:rPr>
        <w:fldChar w:fldCharType="begin"/>
      </w:r>
      <w:r>
        <w:rPr>
          <w:highlight w:val="none"/>
        </w:rPr>
        <w:instrText xml:space="preserve"> PAGEREF _Toc5173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_Toc333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46. </w:t>
      </w:r>
      <w:r>
        <w:rPr>
          <w:rFonts w:hint="eastAsia" w:ascii="Times New Roman" w:hAnsi="Times New Roman" w:eastAsia="宋体" w:cs="Times New Roman"/>
          <w:bCs/>
          <w:szCs w:val="24"/>
          <w:highlight w:val="none"/>
          <w:lang w:val="en-US" w:eastAsia="zh-CN"/>
        </w:rPr>
        <w:t>廉洁自律规定</w:t>
      </w:r>
      <w:r>
        <w:rPr>
          <w:highlight w:val="none"/>
        </w:rPr>
        <w:tab/>
      </w:r>
      <w:r>
        <w:rPr>
          <w:highlight w:val="none"/>
        </w:rPr>
        <w:fldChar w:fldCharType="begin"/>
      </w:r>
      <w:r>
        <w:rPr>
          <w:highlight w:val="none"/>
        </w:rPr>
        <w:instrText xml:space="preserve"> PAGEREF _Toc333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_Toc9009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47. </w:t>
      </w:r>
      <w:r>
        <w:rPr>
          <w:rFonts w:hint="eastAsia" w:ascii="Times New Roman" w:hAnsi="Times New Roman" w:eastAsia="宋体" w:cs="Times New Roman"/>
          <w:bCs/>
          <w:szCs w:val="24"/>
          <w:highlight w:val="none"/>
          <w:lang w:val="en-US" w:eastAsia="zh-CN"/>
        </w:rPr>
        <w:t>人员回避</w:t>
      </w:r>
      <w:r>
        <w:rPr>
          <w:highlight w:val="none"/>
        </w:rPr>
        <w:tab/>
      </w:r>
      <w:r>
        <w:rPr>
          <w:highlight w:val="none"/>
        </w:rPr>
        <w:fldChar w:fldCharType="begin"/>
      </w:r>
      <w:r>
        <w:rPr>
          <w:highlight w:val="none"/>
        </w:rPr>
        <w:instrText xml:space="preserve"> PAGEREF _Toc9009 \h </w:instrText>
      </w:r>
      <w:r>
        <w:rPr>
          <w:highlight w:val="none"/>
        </w:rPr>
        <w:fldChar w:fldCharType="separate"/>
      </w:r>
      <w:r>
        <w:rPr>
          <w:highlight w:val="none"/>
        </w:rPr>
        <w:t>27</w:t>
      </w:r>
      <w:r>
        <w:rPr>
          <w:highlight w:val="none"/>
        </w:rPr>
        <w:fldChar w:fldCharType="end"/>
      </w:r>
      <w:r>
        <w:rPr>
          <w:rFonts w:hint="eastAsia" w:ascii="宋体" w:hAnsi="宋体" w:eastAsia="宋体" w:cs="宋体"/>
          <w:szCs w:val="28"/>
          <w:highlight w:val="none"/>
        </w:rPr>
        <w:fldChar w:fldCharType="end"/>
      </w:r>
    </w:p>
    <w:p>
      <w:pPr>
        <w:pStyle w:val="22"/>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_Toc9457 </w:instrText>
      </w:r>
      <w:r>
        <w:rPr>
          <w:rFonts w:hint="eastAsia" w:ascii="宋体" w:hAnsi="宋体" w:eastAsia="宋体" w:cs="宋体"/>
          <w:szCs w:val="28"/>
          <w:highlight w:val="none"/>
        </w:rPr>
        <w:fldChar w:fldCharType="separate"/>
      </w:r>
      <w:r>
        <w:rPr>
          <w:rFonts w:hint="default" w:ascii="Times New Roman" w:hAnsi="Times New Roman" w:eastAsia="宋体" w:cs="Times New Roman"/>
          <w:bCs/>
          <w:szCs w:val="24"/>
          <w:highlight w:val="none"/>
          <w:lang w:val="en-US" w:eastAsia="zh-CN"/>
        </w:rPr>
        <w:t xml:space="preserve">48. </w:t>
      </w:r>
      <w:r>
        <w:rPr>
          <w:rFonts w:hint="eastAsia" w:ascii="Times New Roman" w:hAnsi="Times New Roman" w:eastAsia="宋体" w:cs="Times New Roman"/>
          <w:bCs/>
          <w:szCs w:val="24"/>
          <w:highlight w:val="none"/>
          <w:lang w:val="en-US" w:eastAsia="zh-CN"/>
        </w:rPr>
        <w:t>需要补充的其它内容</w:t>
      </w:r>
      <w:r>
        <w:rPr>
          <w:highlight w:val="none"/>
        </w:rPr>
        <w:tab/>
      </w:r>
      <w:r>
        <w:rPr>
          <w:highlight w:val="none"/>
        </w:rPr>
        <w:fldChar w:fldCharType="begin"/>
      </w:r>
      <w:r>
        <w:rPr>
          <w:highlight w:val="none"/>
        </w:rPr>
        <w:instrText xml:space="preserve"> PAGEREF _Toc9457 \h </w:instrText>
      </w:r>
      <w:r>
        <w:rPr>
          <w:highlight w:val="none"/>
        </w:rPr>
        <w:fldChar w:fldCharType="separate"/>
      </w:r>
      <w:r>
        <w:rPr>
          <w:highlight w:val="none"/>
        </w:rPr>
        <w:t>28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_Toc16540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rPr>
        <w:t>资格审查表</w:t>
      </w:r>
      <w:r>
        <w:rPr>
          <w:highlight w:val="none"/>
        </w:rPr>
        <w:tab/>
      </w:r>
      <w:r>
        <w:rPr>
          <w:highlight w:val="none"/>
        </w:rPr>
        <w:fldChar w:fldCharType="begin"/>
      </w:r>
      <w:r>
        <w:rPr>
          <w:highlight w:val="none"/>
        </w:rPr>
        <w:instrText xml:space="preserve"> PAGEREF _Toc16540 \h </w:instrText>
      </w:r>
      <w:r>
        <w:rPr>
          <w:highlight w:val="none"/>
        </w:rPr>
        <w:fldChar w:fldCharType="separate"/>
      </w:r>
      <w:r>
        <w:rPr>
          <w:highlight w:val="none"/>
        </w:rPr>
        <w:t>32</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_Toc17735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第三章 采购需求</w:t>
      </w:r>
      <w:r>
        <w:rPr>
          <w:highlight w:val="none"/>
        </w:rPr>
        <w:tab/>
      </w:r>
      <w:r>
        <w:rPr>
          <w:highlight w:val="none"/>
        </w:rPr>
        <w:fldChar w:fldCharType="begin"/>
      </w:r>
      <w:r>
        <w:rPr>
          <w:highlight w:val="none"/>
        </w:rPr>
        <w:instrText xml:space="preserve"> PAGEREF _Toc17735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_Toc16626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A包：软件测评</w:t>
      </w:r>
      <w:r>
        <w:rPr>
          <w:highlight w:val="none"/>
        </w:rPr>
        <w:tab/>
      </w:r>
      <w:r>
        <w:rPr>
          <w:highlight w:val="none"/>
        </w:rPr>
        <w:fldChar w:fldCharType="begin"/>
      </w:r>
      <w:r>
        <w:rPr>
          <w:highlight w:val="none"/>
        </w:rPr>
        <w:instrText xml:space="preserve"> PAGEREF _Toc16626 \h </w:instrText>
      </w:r>
      <w:r>
        <w:rPr>
          <w:highlight w:val="none"/>
        </w:rPr>
        <w:fldChar w:fldCharType="separate"/>
      </w:r>
      <w:r>
        <w:rPr>
          <w:highlight w:val="none"/>
        </w:rPr>
        <w:t>33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B包：密码测评</w:t>
      </w:r>
      <w:r>
        <w:rPr>
          <w:highlight w:val="none"/>
        </w:rPr>
        <w:tab/>
      </w:r>
      <w:r>
        <w:rPr>
          <w:highlight w:val="none"/>
        </w:rPr>
        <w:fldChar w:fldCharType="begin"/>
      </w:r>
      <w:r>
        <w:rPr>
          <w:highlight w:val="none"/>
        </w:rPr>
        <w:instrText xml:space="preserve"> PAGEREF _Toc16097 \h </w:instrText>
      </w:r>
      <w:r>
        <w:rPr>
          <w:highlight w:val="none"/>
        </w:rPr>
        <w:fldChar w:fldCharType="separate"/>
      </w:r>
      <w:r>
        <w:rPr>
          <w:highlight w:val="none"/>
        </w:rPr>
        <w:t>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_Toc24326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C包：安全等级保护测评</w:t>
      </w:r>
      <w:r>
        <w:rPr>
          <w:highlight w:val="none"/>
        </w:rPr>
        <w:tab/>
      </w:r>
      <w:r>
        <w:rPr>
          <w:highlight w:val="none"/>
        </w:rPr>
        <w:fldChar w:fldCharType="begin"/>
      </w:r>
      <w:r>
        <w:rPr>
          <w:highlight w:val="none"/>
        </w:rPr>
        <w:instrText xml:space="preserve"> PAGEREF _Toc24326 \h </w:instrText>
      </w:r>
      <w:r>
        <w:rPr>
          <w:highlight w:val="none"/>
        </w:rPr>
        <w:fldChar w:fldCharType="separate"/>
      </w:r>
      <w:r>
        <w:rPr>
          <w:highlight w:val="none"/>
        </w:rPr>
        <w:t>58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D包：网络链路</w:t>
      </w:r>
      <w:r>
        <w:rPr>
          <w:highlight w:val="none"/>
        </w:rPr>
        <w:tab/>
      </w:r>
      <w:r>
        <w:rPr>
          <w:highlight w:val="none"/>
        </w:rPr>
        <w:fldChar w:fldCharType="begin"/>
      </w:r>
      <w:r>
        <w:rPr>
          <w:highlight w:val="none"/>
        </w:rPr>
        <w:instrText xml:space="preserve"> PAGEREF _Toc2328 \h </w:instrText>
      </w:r>
      <w:r>
        <w:rPr>
          <w:highlight w:val="none"/>
        </w:rPr>
        <w:fldChar w:fldCharType="separate"/>
      </w:r>
      <w:r>
        <w:rPr>
          <w:highlight w:val="none"/>
        </w:rPr>
        <w:t>63</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_Toc27267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第四章 评标方法和标准</w:t>
      </w:r>
      <w:r>
        <w:rPr>
          <w:highlight w:val="none"/>
        </w:rPr>
        <w:tab/>
      </w:r>
      <w:r>
        <w:rPr>
          <w:highlight w:val="none"/>
        </w:rPr>
        <w:fldChar w:fldCharType="begin"/>
      </w:r>
      <w:r>
        <w:rPr>
          <w:highlight w:val="none"/>
        </w:rPr>
        <w:instrText xml:space="preserve"> PAGEREF _Toc27267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一、评标依据</w:t>
      </w:r>
      <w:r>
        <w:rPr>
          <w:highlight w:val="none"/>
        </w:rPr>
        <w:tab/>
      </w:r>
      <w:r>
        <w:rPr>
          <w:highlight w:val="none"/>
        </w:rPr>
        <w:fldChar w:fldCharType="begin"/>
      </w:r>
      <w:r>
        <w:rPr>
          <w:highlight w:val="none"/>
        </w:rPr>
        <w:instrText xml:space="preserve"> PAGEREF _Toc11410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_Toc25568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二、评标原则</w:t>
      </w:r>
      <w:r>
        <w:rPr>
          <w:highlight w:val="none"/>
        </w:rPr>
        <w:tab/>
      </w:r>
      <w:r>
        <w:rPr>
          <w:highlight w:val="none"/>
        </w:rPr>
        <w:fldChar w:fldCharType="begin"/>
      </w:r>
      <w:r>
        <w:rPr>
          <w:highlight w:val="none"/>
        </w:rPr>
        <w:instrText xml:space="preserve"> PAGEREF _Toc25568 \h </w:instrText>
      </w:r>
      <w:r>
        <w:rPr>
          <w:highlight w:val="none"/>
        </w:rPr>
        <w:fldChar w:fldCharType="separate"/>
      </w:r>
      <w:r>
        <w:rPr>
          <w:highlight w:val="none"/>
        </w:rPr>
        <w:t>65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_Toc29747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三、评标准备工作</w:t>
      </w:r>
      <w:r>
        <w:rPr>
          <w:highlight w:val="none"/>
        </w:rPr>
        <w:tab/>
      </w:r>
      <w:r>
        <w:rPr>
          <w:highlight w:val="none"/>
        </w:rPr>
        <w:fldChar w:fldCharType="begin"/>
      </w:r>
      <w:r>
        <w:rPr>
          <w:highlight w:val="none"/>
        </w:rPr>
        <w:instrText xml:space="preserve"> PAGEREF _Toc29747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_Toc21620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四、评标程序如下</w:t>
      </w:r>
      <w:r>
        <w:rPr>
          <w:highlight w:val="none"/>
        </w:rPr>
        <w:tab/>
      </w:r>
      <w:r>
        <w:rPr>
          <w:highlight w:val="none"/>
        </w:rPr>
        <w:fldChar w:fldCharType="begin"/>
      </w:r>
      <w:r>
        <w:rPr>
          <w:highlight w:val="none"/>
        </w:rPr>
        <w:instrText xml:space="preserve"> PAGEREF _Toc21620 \h </w:instrText>
      </w:r>
      <w:r>
        <w:rPr>
          <w:highlight w:val="none"/>
        </w:rPr>
        <w:fldChar w:fldCharType="separate"/>
      </w:r>
      <w:r>
        <w:rPr>
          <w:highlight w:val="none"/>
        </w:rPr>
        <w:t>66</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_Toc9265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符合性审查表</w:t>
      </w:r>
      <w:r>
        <w:rPr>
          <w:highlight w:val="none"/>
        </w:rPr>
        <w:tab/>
      </w:r>
      <w:r>
        <w:rPr>
          <w:highlight w:val="none"/>
        </w:rPr>
        <w:fldChar w:fldCharType="begin"/>
      </w:r>
      <w:r>
        <w:rPr>
          <w:highlight w:val="none"/>
        </w:rPr>
        <w:instrText xml:space="preserve"> PAGEREF _Toc9265 \h </w:instrText>
      </w:r>
      <w:r>
        <w:rPr>
          <w:highlight w:val="none"/>
        </w:rPr>
        <w:fldChar w:fldCharType="separate"/>
      </w:r>
      <w:r>
        <w:rPr>
          <w:highlight w:val="none"/>
        </w:rPr>
        <w:t>67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五、执行的政府采购政策</w:t>
      </w:r>
      <w:r>
        <w:rPr>
          <w:highlight w:val="none"/>
        </w:rPr>
        <w:tab/>
      </w:r>
      <w:r>
        <w:rPr>
          <w:highlight w:val="none"/>
        </w:rPr>
        <w:fldChar w:fldCharType="begin"/>
      </w:r>
      <w:r>
        <w:rPr>
          <w:highlight w:val="none"/>
        </w:rPr>
        <w:instrText xml:space="preserve"> PAGEREF _Toc14064 \h </w:instrText>
      </w:r>
      <w:r>
        <w:rPr>
          <w:highlight w:val="none"/>
        </w:rPr>
        <w:fldChar w:fldCharType="separate"/>
      </w:r>
      <w:r>
        <w:rPr>
          <w:highlight w:val="none"/>
        </w:rPr>
        <w:t>68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_Toc16001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六、评标时，特殊情况的处理原则</w:t>
      </w:r>
      <w:r>
        <w:rPr>
          <w:highlight w:val="none"/>
        </w:rPr>
        <w:tab/>
      </w:r>
      <w:r>
        <w:rPr>
          <w:highlight w:val="none"/>
        </w:rPr>
        <w:fldChar w:fldCharType="begin"/>
      </w:r>
      <w:r>
        <w:rPr>
          <w:highlight w:val="none"/>
        </w:rPr>
        <w:instrText xml:space="preserve"> PAGEREF _Toc16001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_Toc22353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七、综合评分标准</w:t>
      </w:r>
      <w:r>
        <w:rPr>
          <w:highlight w:val="none"/>
        </w:rPr>
        <w:tab/>
      </w:r>
      <w:r>
        <w:rPr>
          <w:highlight w:val="none"/>
        </w:rPr>
        <w:fldChar w:fldCharType="begin"/>
      </w:r>
      <w:r>
        <w:rPr>
          <w:highlight w:val="none"/>
        </w:rPr>
        <w:instrText xml:space="preserve"> PAGEREF _Toc22353 \h </w:instrText>
      </w:r>
      <w:r>
        <w:rPr>
          <w:highlight w:val="none"/>
        </w:rPr>
        <w:fldChar w:fldCharType="separate"/>
      </w:r>
      <w:r>
        <w:rPr>
          <w:highlight w:val="none"/>
        </w:rPr>
        <w:t>70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_Toc29064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评分标准</w:t>
      </w:r>
      <w:r>
        <w:rPr>
          <w:highlight w:val="none"/>
        </w:rPr>
        <w:tab/>
      </w:r>
      <w:r>
        <w:rPr>
          <w:highlight w:val="none"/>
        </w:rPr>
        <w:fldChar w:fldCharType="begin"/>
      </w:r>
      <w:r>
        <w:rPr>
          <w:highlight w:val="none"/>
        </w:rPr>
        <w:instrText xml:space="preserve"> PAGEREF _Toc29064 \h </w:instrText>
      </w:r>
      <w:r>
        <w:rPr>
          <w:highlight w:val="none"/>
        </w:rPr>
        <w:fldChar w:fldCharType="separate"/>
      </w:r>
      <w:r>
        <w:rPr>
          <w:highlight w:val="none"/>
        </w:rPr>
        <w:t>71</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_Toc23390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第五章 政府采购合同</w:t>
      </w:r>
      <w:r>
        <w:rPr>
          <w:highlight w:val="none"/>
        </w:rPr>
        <w:tab/>
      </w:r>
      <w:r>
        <w:rPr>
          <w:highlight w:val="none"/>
        </w:rPr>
        <w:fldChar w:fldCharType="begin"/>
      </w:r>
      <w:r>
        <w:rPr>
          <w:highlight w:val="none"/>
        </w:rPr>
        <w:instrText xml:space="preserve"> PAGEREF _Toc23390 \h </w:instrText>
      </w:r>
      <w:r>
        <w:rPr>
          <w:highlight w:val="none"/>
        </w:rPr>
        <w:fldChar w:fldCharType="separate"/>
      </w:r>
      <w:r>
        <w:rPr>
          <w:highlight w:val="none"/>
        </w:rPr>
        <w:t>85</w:t>
      </w:r>
      <w:r>
        <w:rPr>
          <w:highlight w:val="none"/>
        </w:rPr>
        <w:fldChar w:fldCharType="end"/>
      </w:r>
      <w:r>
        <w:rPr>
          <w:rFonts w:hint="eastAsia" w:ascii="宋体" w:hAnsi="宋体" w:eastAsia="宋体" w:cs="宋体"/>
          <w:szCs w:val="28"/>
          <w:highlight w:val="none"/>
        </w:rPr>
        <w:fldChar w:fldCharType="end"/>
      </w:r>
    </w:p>
    <w:p>
      <w:pPr>
        <w:pStyle w:val="21"/>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_Toc282 </w:instrText>
      </w:r>
      <w:r>
        <w:rPr>
          <w:rFonts w:hint="eastAsia" w:ascii="宋体" w:hAnsi="宋体" w:eastAsia="宋体" w:cs="宋体"/>
          <w:szCs w:val="28"/>
          <w:highlight w:val="none"/>
        </w:rPr>
        <w:fldChar w:fldCharType="separate"/>
      </w:r>
      <w:r>
        <w:rPr>
          <w:rFonts w:hint="eastAsia" w:ascii="Times New Roman" w:hAnsi="Times New Roman" w:eastAsia="宋体" w:cs="Times New Roman"/>
          <w:highlight w:val="none"/>
        </w:rPr>
        <w:t>第六章 投标文件格式</w:t>
      </w:r>
      <w:r>
        <w:rPr>
          <w:highlight w:val="none"/>
        </w:rPr>
        <w:tab/>
      </w:r>
      <w:r>
        <w:rPr>
          <w:highlight w:val="none"/>
        </w:rPr>
        <w:fldChar w:fldCharType="begin"/>
      </w:r>
      <w:r>
        <w:rPr>
          <w:highlight w:val="none"/>
        </w:rPr>
        <w:instrText xml:space="preserve"> PAGEREF _Toc282 \h </w:instrText>
      </w:r>
      <w:r>
        <w:rPr>
          <w:highlight w:val="none"/>
        </w:rPr>
        <w:fldChar w:fldCharType="separate"/>
      </w:r>
      <w:r>
        <w:rPr>
          <w:highlight w:val="none"/>
        </w:rPr>
        <w:t>112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投标函</w:t>
      </w:r>
      <w:r>
        <w:rPr>
          <w:highlight w:val="none"/>
        </w:rPr>
        <w:tab/>
      </w:r>
      <w:r>
        <w:rPr>
          <w:highlight w:val="none"/>
        </w:rPr>
        <w:fldChar w:fldCharType="begin"/>
      </w:r>
      <w:r>
        <w:rPr>
          <w:highlight w:val="none"/>
        </w:rPr>
        <w:instrText xml:space="preserve"> PAGEREF _Toc28 \h </w:instrText>
      </w:r>
      <w:r>
        <w:rPr>
          <w:highlight w:val="none"/>
        </w:rPr>
        <w:fldChar w:fldCharType="separate"/>
      </w:r>
      <w:r>
        <w:rPr>
          <w:highlight w:val="none"/>
        </w:rPr>
        <w:t>114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_Toc9377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2.法定代表人（或负责人）身份证明</w:t>
      </w:r>
      <w:r>
        <w:rPr>
          <w:highlight w:val="none"/>
        </w:rPr>
        <w:tab/>
      </w:r>
      <w:r>
        <w:rPr>
          <w:highlight w:val="none"/>
        </w:rPr>
        <w:fldChar w:fldCharType="begin"/>
      </w:r>
      <w:r>
        <w:rPr>
          <w:highlight w:val="none"/>
        </w:rPr>
        <w:instrText xml:space="preserve"> PAGEREF _Toc9377 \h </w:instrText>
      </w:r>
      <w:r>
        <w:rPr>
          <w:highlight w:val="none"/>
        </w:rPr>
        <w:fldChar w:fldCharType="separate"/>
      </w:r>
      <w:r>
        <w:rPr>
          <w:highlight w:val="none"/>
        </w:rPr>
        <w:t>116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_Toc15328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3.法定代表人（或负责人）授权委托书</w:t>
      </w:r>
      <w:r>
        <w:rPr>
          <w:highlight w:val="none"/>
        </w:rPr>
        <w:tab/>
      </w:r>
      <w:r>
        <w:rPr>
          <w:highlight w:val="none"/>
        </w:rPr>
        <w:fldChar w:fldCharType="begin"/>
      </w:r>
      <w:r>
        <w:rPr>
          <w:highlight w:val="none"/>
        </w:rPr>
        <w:instrText xml:space="preserve"> PAGEREF _Toc15328 \h </w:instrText>
      </w:r>
      <w:r>
        <w:rPr>
          <w:highlight w:val="none"/>
        </w:rPr>
        <w:fldChar w:fldCharType="separate"/>
      </w:r>
      <w:r>
        <w:rPr>
          <w:highlight w:val="none"/>
        </w:rPr>
        <w:t>117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_Toc27499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4.投标人资格证明文件</w:t>
      </w:r>
      <w:r>
        <w:rPr>
          <w:highlight w:val="none"/>
        </w:rPr>
        <w:tab/>
      </w:r>
      <w:r>
        <w:rPr>
          <w:highlight w:val="none"/>
        </w:rPr>
        <w:fldChar w:fldCharType="begin"/>
      </w:r>
      <w:r>
        <w:rPr>
          <w:highlight w:val="none"/>
        </w:rPr>
        <w:instrText xml:space="preserve"> PAGEREF _Toc27499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_Toc12770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4.1资格承诺声明函</w:t>
      </w:r>
      <w:r>
        <w:rPr>
          <w:highlight w:val="none"/>
        </w:rPr>
        <w:tab/>
      </w:r>
      <w:r>
        <w:rPr>
          <w:highlight w:val="none"/>
        </w:rPr>
        <w:fldChar w:fldCharType="begin"/>
      </w:r>
      <w:r>
        <w:rPr>
          <w:highlight w:val="none"/>
        </w:rPr>
        <w:instrText xml:space="preserve"> PAGEREF _Toc12770 \h </w:instrText>
      </w:r>
      <w:r>
        <w:rPr>
          <w:highlight w:val="none"/>
        </w:rPr>
        <w:fldChar w:fldCharType="separate"/>
      </w:r>
      <w:r>
        <w:rPr>
          <w:highlight w:val="none"/>
        </w:rPr>
        <w:t>118</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4.2具有独立承担民事责任的能力的证明材料</w:t>
      </w:r>
      <w:r>
        <w:rPr>
          <w:highlight w:val="none"/>
        </w:rPr>
        <w:tab/>
      </w:r>
      <w:r>
        <w:rPr>
          <w:highlight w:val="none"/>
        </w:rPr>
        <w:fldChar w:fldCharType="begin"/>
      </w:r>
      <w:r>
        <w:rPr>
          <w:highlight w:val="none"/>
        </w:rPr>
        <w:instrText xml:space="preserve"> PAGEREF _Toc104 \h </w:instrText>
      </w:r>
      <w:r>
        <w:rPr>
          <w:highlight w:val="none"/>
        </w:rPr>
        <w:fldChar w:fldCharType="separate"/>
      </w:r>
      <w:r>
        <w:rPr>
          <w:highlight w:val="none"/>
        </w:rPr>
        <w:t>120</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_Toc2945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4.3具有良好的商业信誉和健全的财务会计制度的证明材料</w:t>
      </w:r>
      <w:r>
        <w:rPr>
          <w:highlight w:val="none"/>
        </w:rPr>
        <w:tab/>
      </w:r>
      <w:r>
        <w:rPr>
          <w:highlight w:val="none"/>
        </w:rPr>
        <w:fldChar w:fldCharType="begin"/>
      </w:r>
      <w:r>
        <w:rPr>
          <w:highlight w:val="none"/>
        </w:rPr>
        <w:instrText xml:space="preserve"> PAGEREF _Toc2945 \h </w:instrText>
      </w:r>
      <w:r>
        <w:rPr>
          <w:highlight w:val="none"/>
        </w:rPr>
        <w:fldChar w:fldCharType="separate"/>
      </w:r>
      <w:r>
        <w:rPr>
          <w:highlight w:val="none"/>
        </w:rPr>
        <w:t>121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_Toc12517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4.4具备履行合同所必需的设备和专业技术能力的证明材料</w:t>
      </w:r>
      <w:r>
        <w:rPr>
          <w:highlight w:val="none"/>
        </w:rPr>
        <w:tab/>
      </w:r>
      <w:r>
        <w:rPr>
          <w:highlight w:val="none"/>
        </w:rPr>
        <w:fldChar w:fldCharType="begin"/>
      </w:r>
      <w:r>
        <w:rPr>
          <w:highlight w:val="none"/>
        </w:rPr>
        <w:instrText xml:space="preserve"> PAGEREF _Toc12517 \h </w:instrText>
      </w:r>
      <w:r>
        <w:rPr>
          <w:highlight w:val="none"/>
        </w:rPr>
        <w:fldChar w:fldCharType="separate"/>
      </w:r>
      <w:r>
        <w:rPr>
          <w:highlight w:val="none"/>
        </w:rPr>
        <w:t>122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4.5依法缴纳税收和社会保障资金的记录</w:t>
      </w:r>
      <w:r>
        <w:rPr>
          <w:highlight w:val="none"/>
        </w:rPr>
        <w:tab/>
      </w:r>
      <w:r>
        <w:rPr>
          <w:highlight w:val="none"/>
        </w:rPr>
        <w:fldChar w:fldCharType="begin"/>
      </w:r>
      <w:r>
        <w:rPr>
          <w:highlight w:val="none"/>
        </w:rPr>
        <w:instrText xml:space="preserve"> PAGEREF _Toc11419 \h </w:instrText>
      </w:r>
      <w:r>
        <w:rPr>
          <w:highlight w:val="none"/>
        </w:rPr>
        <w:fldChar w:fldCharType="separate"/>
      </w:r>
      <w:r>
        <w:rPr>
          <w:highlight w:val="none"/>
        </w:rPr>
        <w:t>123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_Toc30211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4.6参加政府采购活动前 3 年内在经营活动中没有重大违法记录的书面声明</w:t>
      </w:r>
      <w:r>
        <w:rPr>
          <w:highlight w:val="none"/>
        </w:rPr>
        <w:tab/>
      </w:r>
      <w:r>
        <w:rPr>
          <w:highlight w:val="none"/>
        </w:rPr>
        <w:fldChar w:fldCharType="begin"/>
      </w:r>
      <w:r>
        <w:rPr>
          <w:highlight w:val="none"/>
        </w:rPr>
        <w:instrText xml:space="preserve"> PAGEREF _Toc30211 \h </w:instrText>
      </w:r>
      <w:r>
        <w:rPr>
          <w:highlight w:val="none"/>
        </w:rPr>
        <w:fldChar w:fldCharType="separate"/>
      </w:r>
      <w:r>
        <w:rPr>
          <w:highlight w:val="none"/>
        </w:rPr>
        <w:t>124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rFonts w:hint="eastAsia" w:ascii="宋体" w:hAnsi="宋体" w:eastAsia="宋体" w:cs="宋体"/>
          <w:szCs w:val="28"/>
          <w:highlight w:val="none"/>
        </w:rPr>
        <w:sectPr>
          <w:footerReference r:id="rId8" w:type="first"/>
          <w:footerReference r:id="rId7"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_Toc9122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4.7满足本项目特定资格要求的承诺</w:t>
      </w:r>
      <w:r>
        <w:rPr>
          <w:highlight w:val="none"/>
        </w:rPr>
        <w:tab/>
      </w:r>
      <w:r>
        <w:rPr>
          <w:highlight w:val="none"/>
        </w:rPr>
        <w:fldChar w:fldCharType="begin"/>
      </w:r>
      <w:r>
        <w:rPr>
          <w:highlight w:val="none"/>
        </w:rPr>
        <w:instrText xml:space="preserve"> PAGEREF _Toc9122 \h </w:instrText>
      </w:r>
      <w:r>
        <w:rPr>
          <w:highlight w:val="none"/>
        </w:rPr>
        <w:fldChar w:fldCharType="separate"/>
      </w:r>
      <w:r>
        <w:rPr>
          <w:highlight w:val="none"/>
        </w:rPr>
        <w:t>125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_Toc32502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5.反商业贿赂承诺书</w:t>
      </w:r>
      <w:r>
        <w:rPr>
          <w:highlight w:val="none"/>
        </w:rPr>
        <w:tab/>
      </w:r>
      <w:r>
        <w:rPr>
          <w:highlight w:val="none"/>
        </w:rPr>
        <w:fldChar w:fldCharType="begin"/>
      </w:r>
      <w:r>
        <w:rPr>
          <w:highlight w:val="none"/>
        </w:rPr>
        <w:instrText xml:space="preserve"> PAGEREF _Toc32502 \h </w:instrText>
      </w:r>
      <w:r>
        <w:rPr>
          <w:highlight w:val="none"/>
        </w:rPr>
        <w:fldChar w:fldCharType="separate"/>
      </w:r>
      <w:r>
        <w:rPr>
          <w:highlight w:val="none"/>
        </w:rPr>
        <w:t>126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_Toc31570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6.投标承诺函</w:t>
      </w:r>
      <w:r>
        <w:rPr>
          <w:highlight w:val="none"/>
        </w:rPr>
        <w:tab/>
      </w:r>
      <w:r>
        <w:rPr>
          <w:highlight w:val="none"/>
        </w:rPr>
        <w:fldChar w:fldCharType="begin"/>
      </w:r>
      <w:r>
        <w:rPr>
          <w:highlight w:val="none"/>
        </w:rPr>
        <w:instrText xml:space="preserve"> PAGEREF _Toc31570 \h </w:instrText>
      </w:r>
      <w:r>
        <w:rPr>
          <w:highlight w:val="none"/>
        </w:rPr>
        <w:fldChar w:fldCharType="separate"/>
      </w:r>
      <w:r>
        <w:rPr>
          <w:highlight w:val="none"/>
        </w:rPr>
        <w:t>127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_Toc27233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7.投标报价表格</w:t>
      </w:r>
      <w:r>
        <w:rPr>
          <w:highlight w:val="none"/>
        </w:rPr>
        <w:tab/>
      </w:r>
      <w:r>
        <w:rPr>
          <w:highlight w:val="none"/>
        </w:rPr>
        <w:fldChar w:fldCharType="begin"/>
      </w:r>
      <w:r>
        <w:rPr>
          <w:highlight w:val="none"/>
        </w:rPr>
        <w:instrText xml:space="preserve"> PAGEREF _Toc27233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_Toc830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7.1开标一览表</w:t>
      </w:r>
      <w:r>
        <w:rPr>
          <w:highlight w:val="none"/>
        </w:rPr>
        <w:tab/>
      </w:r>
      <w:r>
        <w:rPr>
          <w:highlight w:val="none"/>
        </w:rPr>
        <w:fldChar w:fldCharType="begin"/>
      </w:r>
      <w:r>
        <w:rPr>
          <w:highlight w:val="none"/>
        </w:rPr>
        <w:instrText xml:space="preserve"> PAGEREF _Toc830 \h </w:instrText>
      </w:r>
      <w:r>
        <w:rPr>
          <w:highlight w:val="none"/>
        </w:rPr>
        <w:fldChar w:fldCharType="separate"/>
      </w:r>
      <w:r>
        <w:rPr>
          <w:highlight w:val="none"/>
        </w:rPr>
        <w:t>129</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_Toc3897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7.2分项报价表</w:t>
      </w:r>
      <w:r>
        <w:rPr>
          <w:highlight w:val="none"/>
        </w:rPr>
        <w:tab/>
      </w:r>
      <w:r>
        <w:rPr>
          <w:highlight w:val="none"/>
        </w:rPr>
        <w:fldChar w:fldCharType="begin"/>
      </w:r>
      <w:r>
        <w:rPr>
          <w:highlight w:val="none"/>
        </w:rPr>
        <w:instrText xml:space="preserve"> PAGEREF _Toc3897 \h </w:instrText>
      </w:r>
      <w:r>
        <w:rPr>
          <w:highlight w:val="none"/>
        </w:rPr>
        <w:fldChar w:fldCharType="separate"/>
      </w:r>
      <w:r>
        <w:rPr>
          <w:highlight w:val="none"/>
        </w:rPr>
        <w:t>131</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_Toc3462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8.技术规格及商务偏离表</w:t>
      </w:r>
      <w:r>
        <w:rPr>
          <w:highlight w:val="none"/>
        </w:rPr>
        <w:tab/>
      </w:r>
      <w:r>
        <w:rPr>
          <w:highlight w:val="none"/>
        </w:rPr>
        <w:fldChar w:fldCharType="begin"/>
      </w:r>
      <w:r>
        <w:rPr>
          <w:highlight w:val="none"/>
        </w:rPr>
        <w:instrText xml:space="preserve"> PAGEREF _Toc3462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_Toc31254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8.1技术偏差表</w:t>
      </w:r>
      <w:r>
        <w:rPr>
          <w:highlight w:val="none"/>
        </w:rPr>
        <w:tab/>
      </w:r>
      <w:r>
        <w:rPr>
          <w:highlight w:val="none"/>
        </w:rPr>
        <w:fldChar w:fldCharType="begin"/>
      </w:r>
      <w:r>
        <w:rPr>
          <w:highlight w:val="none"/>
        </w:rPr>
        <w:instrText xml:space="preserve"> PAGEREF _Toc31254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_Toc21362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8.2商务偏差表</w:t>
      </w:r>
      <w:r>
        <w:rPr>
          <w:highlight w:val="none"/>
        </w:rPr>
        <w:tab/>
      </w:r>
      <w:r>
        <w:rPr>
          <w:highlight w:val="none"/>
        </w:rPr>
        <w:fldChar w:fldCharType="begin"/>
      </w:r>
      <w:r>
        <w:rPr>
          <w:highlight w:val="none"/>
        </w:rPr>
        <w:instrText xml:space="preserve"> PAGEREF _Toc21362 \h </w:instrText>
      </w:r>
      <w:r>
        <w:rPr>
          <w:highlight w:val="none"/>
        </w:rPr>
        <w:fldChar w:fldCharType="separate"/>
      </w:r>
      <w:r>
        <w:rPr>
          <w:highlight w:val="none"/>
        </w:rPr>
        <w:t>132</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_Toc10730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9.项目人员配备</w:t>
      </w:r>
      <w:r>
        <w:rPr>
          <w:highlight w:val="none"/>
        </w:rPr>
        <w:tab/>
      </w:r>
      <w:r>
        <w:rPr>
          <w:highlight w:val="none"/>
        </w:rPr>
        <w:fldChar w:fldCharType="begin"/>
      </w:r>
      <w:r>
        <w:rPr>
          <w:highlight w:val="none"/>
        </w:rPr>
        <w:instrText xml:space="preserve"> PAGEREF _Toc10730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_Toc32719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9.1项目部人员汇总表</w:t>
      </w:r>
      <w:r>
        <w:rPr>
          <w:highlight w:val="none"/>
        </w:rPr>
        <w:tab/>
      </w:r>
      <w:r>
        <w:rPr>
          <w:highlight w:val="none"/>
        </w:rPr>
        <w:fldChar w:fldCharType="begin"/>
      </w:r>
      <w:r>
        <w:rPr>
          <w:highlight w:val="none"/>
        </w:rPr>
        <w:instrText xml:space="preserve"> PAGEREF _Toc32719 \h </w:instrText>
      </w:r>
      <w:r>
        <w:rPr>
          <w:highlight w:val="none"/>
        </w:rPr>
        <w:fldChar w:fldCharType="separate"/>
      </w:r>
      <w:r>
        <w:rPr>
          <w:highlight w:val="none"/>
        </w:rPr>
        <w:t>133</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_Toc12134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9.2项目负责人情况表</w:t>
      </w:r>
      <w:r>
        <w:rPr>
          <w:highlight w:val="none"/>
        </w:rPr>
        <w:tab/>
      </w:r>
      <w:r>
        <w:rPr>
          <w:highlight w:val="none"/>
        </w:rPr>
        <w:fldChar w:fldCharType="begin"/>
      </w:r>
      <w:r>
        <w:rPr>
          <w:highlight w:val="none"/>
        </w:rPr>
        <w:instrText xml:space="preserve"> PAGEREF _Toc12134 \h </w:instrText>
      </w:r>
      <w:r>
        <w:rPr>
          <w:highlight w:val="none"/>
        </w:rPr>
        <w:fldChar w:fldCharType="separate"/>
      </w:r>
      <w:r>
        <w:rPr>
          <w:highlight w:val="none"/>
        </w:rPr>
        <w:t>134</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_Toc5436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9.3项目其他人员情况表</w:t>
      </w:r>
      <w:r>
        <w:rPr>
          <w:highlight w:val="none"/>
        </w:rPr>
        <w:tab/>
      </w:r>
      <w:r>
        <w:rPr>
          <w:highlight w:val="none"/>
        </w:rPr>
        <w:fldChar w:fldCharType="begin"/>
      </w:r>
      <w:r>
        <w:rPr>
          <w:highlight w:val="none"/>
        </w:rPr>
        <w:instrText xml:space="preserve"> PAGEREF _Toc5436 \h </w:instrText>
      </w:r>
      <w:r>
        <w:rPr>
          <w:highlight w:val="none"/>
        </w:rPr>
        <w:fldChar w:fldCharType="separate"/>
      </w:r>
      <w:r>
        <w:rPr>
          <w:highlight w:val="none"/>
        </w:rPr>
        <w:t>135</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_Toc11420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10.技术文件</w:t>
      </w:r>
      <w:r>
        <w:rPr>
          <w:highlight w:val="none"/>
        </w:rPr>
        <w:tab/>
      </w:r>
      <w:r>
        <w:rPr>
          <w:highlight w:val="none"/>
        </w:rPr>
        <w:fldChar w:fldCharType="begin"/>
      </w:r>
      <w:r>
        <w:rPr>
          <w:highlight w:val="none"/>
        </w:rPr>
        <w:instrText xml:space="preserve"> PAGEREF _Toc11420 \h </w:instrText>
      </w:r>
      <w:r>
        <w:rPr>
          <w:highlight w:val="none"/>
        </w:rPr>
        <w:fldChar w:fldCharType="separate"/>
      </w:r>
      <w:r>
        <w:rPr>
          <w:highlight w:val="none"/>
        </w:rPr>
        <w:t>136</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_Toc22469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11.售后服务计划及承诺</w:t>
      </w:r>
      <w:r>
        <w:rPr>
          <w:highlight w:val="none"/>
        </w:rPr>
        <w:tab/>
      </w:r>
      <w:r>
        <w:rPr>
          <w:highlight w:val="none"/>
        </w:rPr>
        <w:fldChar w:fldCharType="begin"/>
      </w:r>
      <w:r>
        <w:rPr>
          <w:highlight w:val="none"/>
        </w:rPr>
        <w:instrText xml:space="preserve"> PAGEREF _Toc22469 \h </w:instrText>
      </w:r>
      <w:r>
        <w:rPr>
          <w:highlight w:val="none"/>
        </w:rPr>
        <w:fldChar w:fldCharType="separate"/>
      </w:r>
      <w:r>
        <w:rPr>
          <w:highlight w:val="none"/>
        </w:rPr>
        <w:t>137</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_Toc24223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12.投标人及提供产品适用政府采购政策情况表（如有）</w:t>
      </w:r>
      <w:r>
        <w:rPr>
          <w:highlight w:val="none"/>
        </w:rPr>
        <w:tab/>
      </w:r>
      <w:r>
        <w:rPr>
          <w:highlight w:val="none"/>
        </w:rPr>
        <w:fldChar w:fldCharType="begin"/>
      </w:r>
      <w:r>
        <w:rPr>
          <w:highlight w:val="none"/>
        </w:rPr>
        <w:instrText xml:space="preserve"> PAGEREF _Toc24223 \h </w:instrText>
      </w:r>
      <w:r>
        <w:rPr>
          <w:highlight w:val="none"/>
        </w:rPr>
        <w:fldChar w:fldCharType="separate"/>
      </w:r>
      <w:r>
        <w:rPr>
          <w:highlight w:val="none"/>
        </w:rPr>
        <w:t>138</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_Toc23683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13.符合《政府采购促进中小企业发展管理办法》的相关材料</w:t>
      </w:r>
      <w:r>
        <w:rPr>
          <w:highlight w:val="none"/>
        </w:rPr>
        <w:tab/>
      </w:r>
      <w:r>
        <w:rPr>
          <w:highlight w:val="none"/>
        </w:rPr>
        <w:fldChar w:fldCharType="begin"/>
      </w:r>
      <w:r>
        <w:rPr>
          <w:highlight w:val="none"/>
        </w:rPr>
        <w:instrText xml:space="preserve"> PAGEREF _Toc23683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_Toc26926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13.1中小企业声明函</w:t>
      </w:r>
      <w:r>
        <w:rPr>
          <w:highlight w:val="none"/>
        </w:rPr>
        <w:tab/>
      </w:r>
      <w:r>
        <w:rPr>
          <w:highlight w:val="none"/>
        </w:rPr>
        <w:fldChar w:fldCharType="begin"/>
      </w:r>
      <w:r>
        <w:rPr>
          <w:highlight w:val="none"/>
        </w:rPr>
        <w:instrText xml:space="preserve"> PAGEREF _Toc26926 \h </w:instrText>
      </w:r>
      <w:r>
        <w:rPr>
          <w:highlight w:val="none"/>
        </w:rPr>
        <w:fldChar w:fldCharType="separate"/>
      </w:r>
      <w:r>
        <w:rPr>
          <w:highlight w:val="none"/>
        </w:rPr>
        <w:t>141</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_Toc14109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13.2 残疾人福利性单位声明函</w:t>
      </w:r>
      <w:r>
        <w:rPr>
          <w:highlight w:val="none"/>
        </w:rPr>
        <w:tab/>
      </w:r>
      <w:r>
        <w:rPr>
          <w:highlight w:val="none"/>
        </w:rPr>
        <w:fldChar w:fldCharType="begin"/>
      </w:r>
      <w:r>
        <w:rPr>
          <w:highlight w:val="none"/>
        </w:rPr>
        <w:instrText xml:space="preserve"> PAGEREF _Toc14109 \h </w:instrText>
      </w:r>
      <w:r>
        <w:rPr>
          <w:highlight w:val="none"/>
        </w:rPr>
        <w:fldChar w:fldCharType="separate"/>
      </w:r>
      <w:r>
        <w:rPr>
          <w:highlight w:val="none"/>
        </w:rPr>
        <w:t>142</w:t>
      </w:r>
      <w:r>
        <w:rPr>
          <w:highlight w:val="none"/>
        </w:rPr>
        <w:fldChar w:fldCharType="end"/>
      </w:r>
      <w:r>
        <w:rPr>
          <w:rFonts w:hint="eastAsia" w:ascii="宋体" w:hAnsi="宋体" w:eastAsia="宋体" w:cs="宋体"/>
          <w:szCs w:val="28"/>
          <w:highlight w:val="none"/>
        </w:rPr>
        <w:fldChar w:fldCharType="end"/>
      </w:r>
    </w:p>
    <w:p>
      <w:pPr>
        <w:pStyle w:val="17"/>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_Toc7341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13.3投标人监狱企业声明函</w:t>
      </w:r>
      <w:r>
        <w:rPr>
          <w:highlight w:val="none"/>
        </w:rPr>
        <w:tab/>
      </w:r>
      <w:r>
        <w:rPr>
          <w:highlight w:val="none"/>
        </w:rPr>
        <w:fldChar w:fldCharType="begin"/>
      </w:r>
      <w:r>
        <w:rPr>
          <w:highlight w:val="none"/>
        </w:rPr>
        <w:instrText xml:space="preserve"> PAGEREF _Toc7341 \h </w:instrText>
      </w:r>
      <w:r>
        <w:rPr>
          <w:highlight w:val="none"/>
        </w:rPr>
        <w:fldChar w:fldCharType="separate"/>
      </w:r>
      <w:r>
        <w:rPr>
          <w:highlight w:val="none"/>
        </w:rPr>
        <w:t>143</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_Toc15447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14.投标人关联单位情况说明</w:t>
      </w:r>
      <w:r>
        <w:rPr>
          <w:highlight w:val="none"/>
        </w:rPr>
        <w:tab/>
      </w:r>
      <w:r>
        <w:rPr>
          <w:highlight w:val="none"/>
        </w:rPr>
        <w:fldChar w:fldCharType="begin"/>
      </w:r>
      <w:r>
        <w:rPr>
          <w:highlight w:val="none"/>
        </w:rPr>
        <w:instrText xml:space="preserve"> PAGEREF _Toc15447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pStyle w:val="24"/>
        <w:tabs>
          <w:tab w:val="right" w:leader="dot" w:pos="9412"/>
        </w:tabs>
        <w:rPr>
          <w:highlight w:val="none"/>
        </w:rPr>
      </w:pPr>
      <w:r>
        <w:rPr>
          <w:rFonts w:hint="eastAsia" w:ascii="宋体" w:hAnsi="宋体" w:eastAsia="宋体" w:cs="宋体"/>
          <w:szCs w:val="28"/>
          <w:highlight w:val="none"/>
        </w:rPr>
        <w:fldChar w:fldCharType="begin"/>
      </w:r>
      <w:r>
        <w:rPr>
          <w:rFonts w:hint="eastAsia" w:ascii="宋体" w:hAnsi="宋体" w:eastAsia="宋体" w:cs="宋体"/>
          <w:szCs w:val="28"/>
          <w:highlight w:val="none"/>
        </w:rPr>
        <w:instrText xml:space="preserve"> HYPERLINK \l _Toc28923 </w:instrText>
      </w:r>
      <w:r>
        <w:rPr>
          <w:rFonts w:hint="eastAsia" w:ascii="宋体" w:hAnsi="宋体" w:eastAsia="宋体" w:cs="宋体"/>
          <w:szCs w:val="28"/>
          <w:highlight w:val="none"/>
        </w:rPr>
        <w:fldChar w:fldCharType="separate"/>
      </w:r>
      <w:r>
        <w:rPr>
          <w:rFonts w:hint="eastAsia" w:ascii="宋体" w:hAnsi="宋体" w:eastAsia="宋体" w:cs="宋体"/>
          <w:szCs w:val="24"/>
          <w:highlight w:val="none"/>
          <w:lang w:val="en-US" w:eastAsia="zh-CN"/>
        </w:rPr>
        <w:t>15.投标人认为有必要提供的其他资料</w:t>
      </w:r>
      <w:r>
        <w:rPr>
          <w:highlight w:val="none"/>
        </w:rPr>
        <w:tab/>
      </w:r>
      <w:r>
        <w:rPr>
          <w:highlight w:val="none"/>
        </w:rPr>
        <w:fldChar w:fldCharType="begin"/>
      </w:r>
      <w:r>
        <w:rPr>
          <w:highlight w:val="none"/>
        </w:rPr>
        <w:instrText xml:space="preserve"> PAGEREF _Toc28923 \h </w:instrText>
      </w:r>
      <w:r>
        <w:rPr>
          <w:highlight w:val="none"/>
        </w:rPr>
        <w:fldChar w:fldCharType="separate"/>
      </w:r>
      <w:r>
        <w:rPr>
          <w:highlight w:val="none"/>
        </w:rPr>
        <w:t>144</w:t>
      </w:r>
      <w:r>
        <w:rPr>
          <w:highlight w:val="none"/>
        </w:rPr>
        <w:fldChar w:fldCharType="end"/>
      </w:r>
      <w:r>
        <w:rPr>
          <w:rFonts w:hint="eastAsia" w:ascii="宋体" w:hAnsi="宋体" w:eastAsia="宋体" w:cs="宋体"/>
          <w:szCs w:val="28"/>
          <w:highlight w:val="none"/>
        </w:rPr>
        <w:fldChar w:fldCharType="end"/>
      </w:r>
    </w:p>
    <w:p>
      <w:pPr>
        <w:spacing w:line="560" w:lineRule="exact"/>
        <w:rPr>
          <w:rFonts w:hint="eastAsia" w:ascii="宋体" w:hAnsi="宋体" w:eastAsia="宋体" w:cs="宋体"/>
          <w:sz w:val="28"/>
          <w:szCs w:val="28"/>
          <w:highlight w:val="none"/>
        </w:rPr>
      </w:pPr>
      <w:r>
        <w:rPr>
          <w:rFonts w:hint="eastAsia" w:ascii="宋体" w:hAnsi="宋体" w:eastAsia="宋体" w:cs="宋体"/>
          <w:szCs w:val="28"/>
          <w:highlight w:val="none"/>
        </w:rPr>
        <w:fldChar w:fldCharType="end"/>
      </w:r>
    </w:p>
    <w:p>
      <w:pPr>
        <w:spacing w:line="360" w:lineRule="auto"/>
        <w:ind w:firstLine="420" w:firstLineChars="200"/>
        <w:rPr>
          <w:rFonts w:hint="eastAsia" w:ascii="宋体" w:hAnsi="宋体" w:eastAsia="宋体" w:cs="宋体"/>
          <w:szCs w:val="20"/>
          <w:highlight w:val="none"/>
        </w:rPr>
        <w:sectPr>
          <w:footerReference r:id="rId9" w:type="default"/>
          <w:pgSz w:w="11906" w:h="16838"/>
          <w:pgMar w:top="1418" w:right="1247" w:bottom="1418" w:left="1247" w:header="851" w:footer="992" w:gutter="0"/>
          <w:pgBorders>
            <w:top w:val="none" w:sz="0" w:space="0"/>
            <w:left w:val="none" w:sz="0" w:space="0"/>
            <w:bottom w:val="none" w:sz="0" w:space="0"/>
            <w:right w:val="none" w:sz="0" w:space="0"/>
          </w:pgBorders>
          <w:pgNumType w:start="0"/>
          <w:cols w:space="720" w:num="1"/>
          <w:docGrid w:type="lines" w:linePitch="312" w:charSpace="0"/>
        </w:sectPr>
      </w:pPr>
    </w:p>
    <w:p>
      <w:pPr>
        <w:pStyle w:val="4"/>
        <w:bidi w:val="0"/>
        <w:jc w:val="center"/>
        <w:rPr>
          <w:rFonts w:hint="eastAsia"/>
          <w:highlight w:val="none"/>
        </w:rPr>
      </w:pPr>
      <w:bookmarkStart w:id="0" w:name="_Toc184635052"/>
      <w:bookmarkStart w:id="1" w:name="_Toc345178445"/>
      <w:bookmarkStart w:id="2" w:name="_Toc32109"/>
      <w:r>
        <w:rPr>
          <w:rFonts w:hint="eastAsia"/>
          <w:highlight w:val="none"/>
        </w:rPr>
        <w:t xml:space="preserve">第一章 </w:t>
      </w:r>
      <w:bookmarkEnd w:id="0"/>
      <w:bookmarkEnd w:id="1"/>
      <w:r>
        <w:rPr>
          <w:rFonts w:hint="eastAsia"/>
          <w:highlight w:val="none"/>
        </w:rPr>
        <w:t>投标邀请</w:t>
      </w:r>
      <w:bookmarkEnd w:id="2"/>
    </w:p>
    <w:p>
      <w:pPr>
        <w:tabs>
          <w:tab w:val="left" w:pos="2300"/>
          <w:tab w:val="left" w:pos="5660"/>
        </w:tabs>
        <w:autoSpaceDE w:val="0"/>
        <w:autoSpaceDN w:val="0"/>
        <w:adjustRightInd w:val="0"/>
        <w:spacing w:line="380" w:lineRule="exact"/>
        <w:ind w:right="-23"/>
        <w:jc w:val="center"/>
        <w:rPr>
          <w:rFonts w:hint="eastAsia" w:ascii="宋体" w:hAnsi="宋体" w:eastAsia="宋体" w:cs="宋体"/>
          <w:b/>
          <w:bCs/>
          <w:kern w:val="0"/>
          <w:sz w:val="32"/>
          <w:szCs w:val="32"/>
          <w:highlight w:val="none"/>
        </w:rPr>
      </w:pPr>
      <w:bookmarkStart w:id="3" w:name="_Hlk69748472"/>
      <w:bookmarkStart w:id="4" w:name="_Toc184635069"/>
      <w:r>
        <w:rPr>
          <w:rFonts w:hint="eastAsia" w:ascii="宋体" w:hAnsi="宋体" w:eastAsia="宋体" w:cs="宋体"/>
          <w:b/>
          <w:bCs/>
          <w:sz w:val="32"/>
          <w:szCs w:val="32"/>
          <w:highlight w:val="none"/>
        </w:rPr>
        <w:t xml:space="preserve"> </w:t>
      </w:r>
      <w:bookmarkEnd w:id="3"/>
      <w:bookmarkStart w:id="5" w:name="_Toc184635056"/>
      <w:bookmarkStart w:id="6" w:name="OLE_LINK1"/>
      <w:r>
        <w:rPr>
          <w:rFonts w:hint="eastAsia" w:ascii="宋体" w:hAnsi="宋体" w:eastAsia="宋体" w:cs="宋体"/>
          <w:b/>
          <w:bCs/>
          <w:sz w:val="32"/>
          <w:szCs w:val="32"/>
          <w:highlight w:val="none"/>
        </w:rPr>
        <w:t xml:space="preserve"> 郑州市二七区大数据中心</w:t>
      </w:r>
      <w:r>
        <w:rPr>
          <w:rFonts w:hint="eastAsia" w:ascii="宋体" w:hAnsi="宋体" w:cs="宋体"/>
          <w:b/>
          <w:bCs/>
          <w:sz w:val="32"/>
          <w:szCs w:val="32"/>
          <w:highlight w:val="none"/>
          <w:lang w:eastAsia="zh-CN"/>
        </w:rPr>
        <w:t>二七区物联感知与管理服务项目常态化服务项目</w:t>
      </w:r>
      <w:r>
        <w:rPr>
          <w:rFonts w:hint="eastAsia" w:ascii="宋体" w:hAnsi="宋体" w:eastAsia="宋体" w:cs="宋体"/>
          <w:b/>
          <w:bCs/>
          <w:kern w:val="0"/>
          <w:sz w:val="32"/>
          <w:szCs w:val="32"/>
          <w:highlight w:val="none"/>
        </w:rPr>
        <w:t>招标公告</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项目概况</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郑州市二七区大数据中心二七区物联感知与管理服务项目常态化服务项目招标项目的潜在投标人应在登录“郑州市公共资源交易中心网”，凭企业身份认证锁下载招标文件获取招标文件，并于2023年07月10日10时00分（北京时间）前递交投标文件。</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一、项目基本情况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1、项目编号：二七政采公开-2023-26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2、项目名称：郑州市二七区大数据中心二七区物联感知与管理服务项目常态化服务项目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3、采购方式：公开招标 </w:t>
      </w:r>
    </w:p>
    <w:p>
      <w:pPr>
        <w:widowControl/>
        <w:spacing w:line="440" w:lineRule="exact"/>
        <w:ind w:firstLine="480" w:firstLineChars="2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4、预算金额：2,564,800.00元 </w:t>
      </w:r>
    </w:p>
    <w:p>
      <w:pPr>
        <w:widowControl/>
        <w:spacing w:line="440" w:lineRule="exact"/>
        <w:ind w:firstLine="960" w:firstLineChars="400"/>
        <w:jc w:val="left"/>
        <w:rPr>
          <w:rFonts w:hint="eastAsia" w:ascii="宋体" w:hAnsi="宋体" w:eastAsia="宋体" w:cs="宋体"/>
          <w:bCs/>
          <w:kern w:val="0"/>
          <w:sz w:val="24"/>
          <w:szCs w:val="21"/>
          <w:highlight w:val="none"/>
          <w:u w:val="none"/>
          <w:lang w:val="en-US" w:eastAsia="zh-CN"/>
        </w:rPr>
      </w:pPr>
      <w:r>
        <w:rPr>
          <w:rFonts w:hint="eastAsia" w:ascii="宋体" w:hAnsi="宋体" w:eastAsia="宋体" w:cs="宋体"/>
          <w:bCs/>
          <w:kern w:val="0"/>
          <w:sz w:val="24"/>
          <w:szCs w:val="21"/>
          <w:highlight w:val="none"/>
          <w:u w:val="none"/>
          <w:lang w:val="en-US" w:eastAsia="zh-CN"/>
        </w:rPr>
        <w:t xml:space="preserve">最高限价：2564800元  </w:t>
      </w:r>
    </w:p>
    <w:tbl>
      <w:tblPr>
        <w:tblStyle w:val="28"/>
        <w:tblW w:w="5000" w:type="pct"/>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415"/>
        <w:gridCol w:w="2082"/>
        <w:gridCol w:w="2917"/>
        <w:gridCol w:w="1248"/>
        <w:gridCol w:w="1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序号</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包号</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包名称</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包预算（元）</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A包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软件测评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187600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B包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密码测评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3</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C包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安全等级保护测评</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blCellSpacing w:w="0" w:type="dxa"/>
        </w:trPr>
        <w:tc>
          <w:tcPr>
            <w:tcW w:w="2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4</w:t>
            </w:r>
          </w:p>
        </w:tc>
        <w:tc>
          <w:tcPr>
            <w:tcW w:w="1250"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D包</w:t>
            </w:r>
          </w:p>
        </w:tc>
        <w:tc>
          <w:tcPr>
            <w:tcW w:w="1751"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网络链路</w:t>
            </w:r>
          </w:p>
        </w:tc>
        <w:tc>
          <w:tcPr>
            <w:tcW w:w="74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c>
          <w:tcPr>
            <w:tcW w:w="999" w:type="pct"/>
            <w:tcBorders>
              <w:tl2br w:val="nil"/>
              <w:tr2bl w:val="nil"/>
            </w:tcBorders>
            <w:shd w:val="clear" w:color="auto" w:fill="auto"/>
            <w:vAlign w:val="center"/>
          </w:tcPr>
          <w:p>
            <w:pPr>
              <w:keepNext w:val="0"/>
              <w:keepLines w:val="0"/>
              <w:widowControl/>
              <w:suppressLineNumbers w:val="0"/>
              <w:spacing w:line="240" w:lineRule="auto"/>
              <w:jc w:val="center"/>
              <w:rPr>
                <w:rFonts w:hint="eastAsia" w:ascii="宋体" w:hAnsi="宋体" w:eastAsia="宋体" w:cs="宋体"/>
                <w:color w:val="444444"/>
                <w:sz w:val="24"/>
                <w:szCs w:val="24"/>
              </w:rPr>
            </w:pPr>
            <w:r>
              <w:rPr>
                <w:rFonts w:hint="eastAsia" w:ascii="宋体" w:hAnsi="宋体" w:eastAsia="宋体" w:cs="宋体"/>
                <w:color w:val="444444"/>
                <w:kern w:val="0"/>
                <w:sz w:val="24"/>
                <w:szCs w:val="24"/>
                <w:lang w:val="en-US" w:eastAsia="zh-CN" w:bidi="ar"/>
              </w:rPr>
              <w:t>2077200</w:t>
            </w:r>
          </w:p>
        </w:tc>
      </w:tr>
    </w:tbl>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5、采购需求（包括但不限于标的的名称、数量、简要技术需求或服务要求等）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5.1采购内容：</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A包：按照国家相关规定开展二七区物联感知与管理服务项目常态化服务项目软件测评工作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B包：按照国家相关规定开展二七区物联感知与管理服务项目常态化服务项目密码测评工作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C包：按照国家相关规定开展二七区物联感知与管理服务项目常态化服务项目安全等级保护测评工作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D包：按照国家相关规定开展二七区物联感知与管理服务项目常态化服务项目网络链路工作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5.2计划工期：</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A包：签订合同生效后30日历天完成全部测试并出具测试报告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B包：签订合同生效后30日历天完成全部测试并出具测试报告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C包：签订合同生效后30日历天完成全部测试并出具测试报告</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D包：签订合同生效后30日历天完成安装调试</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5.3质量要求：符合国家、行业规定的合格标准和规范，满足招标文件和采购人的要求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6、合同履行期限：同计划工期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7、本项目是否接受联合体投标：否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8、是否接受进口产品：否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9、是否专门面向中小企业：否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二、申请人资格要求：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1、满足《中华人民共和国政府采购法》第二十二条规定；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2、落实政府采购政策满足的资格要求：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无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3、本项目的特定资格要求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（1）投标人应为国家密码管理局认定的商用密码应用安全性评估机构，提供证明文件；（本条款仅适用于B包）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（1）投标人须具有公安部第三研究所颁发的《网络安全等级测评与检测评估机构服务认证证书》；（本条款仅适用于C包）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（3）单位负责人为同一人或者存在直接控股、管理关系的不同供应商，不得参加同一合同项下的政府采购活动。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（4）为本项目提供过整体设计、规范编制或者项目管理、监理、检测等服务的供应商，不得再参加本项目上述服务以外的其他采购活动。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（5）符合相关政府采购政策、相关法律、法规规定的其他条件。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三、获取招标文件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1.时间：2023年06月17日 至 2023年06月26日，每天上午00:00至12:00，下午12:00至23:59（北京时间，法定节假日除外。）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2.地点：登录“郑州市公共资源交易中心网”，凭企业身份认证锁下载招标文件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3.方式：供应商凭CA密钥登录“郑州市公共资源交易中心网”点击“交易主体登录”下载所含格式（*.ZZZF）的招标文件及资料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4.售价：0元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四、投标截止时间及地点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2.地点：郑州市公共资源交易中心交易系统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五、开标时间及地点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1.时间：2023年07月10日10时00分（北京时间）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2.地点：郑州市公共资源交易中心门户网站远程开标大厅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六、发布公告的媒介及招标公告期限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本次招标公告在《河南省政府采购网》、《郑州市政府采购网》、《郑州市公共资源交易中心网》上发布，招标公告期限为五个工作日 。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七、其他补充事宜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1.开标事项说明：</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根据“郑州市公共资源交易中心关于推行不见面开标服务的通知”第（一）条供应商无需到交易中心现场参加开标会议，评标委员会不再对投标文件中涉及的相关资料原件进行验证。所有投标单位不需提供证书原件。本项目招标文件中所要求证件、证明等，投标文件中应附相应材料清晰的扫描件，由于模糊不清导致评委无法辨别的，后果由供应商自行承担。</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（2）所有供应商应提前30分钟，登录“郑州市公共资源交易中心门户网站远程开标大厅进行远程开标准备工作。</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（3）所有供应商登录“郑州市公共资源交易中心门户网站远程开标大厅”后，须先进行签到，其后应一直保持在线状态，保证能准时参加开标大会、投标文件的解密、现场答疑澄清等活动。</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（4）不见面开标操作说明详见郑州市公共资源交易中心网站办事指南栏目下政府采购专区中的《郑州市公共资源交易中心不见面开标大厅操作手册（供应商）》。</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2.落实的政府采购政策：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（1）执行《政府采购促进中小企业发展管理办法》（财库〔2020〕46号）相关政策；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（2）执行《关于进一步加大政府采购支持中小企业力度的通知》(财库[2022]19号)相关政策；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（3）执行《河南省财政厅关于进一步做好政府采购支持中小企业发展有关事项的通知》（豫财购〔2022〕5号）相关政策；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（4）执行《财政部、司法部关于政府采购支持监狱企业发展有关问题的通知》（财库[2014]68号）相关政策；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（5）执行《三部门联合发布关于促进残疾人就业政府采购政策的通知》（财库[2017]141号）相关政策；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（2）执行强制采购节能产品、优先采购节能环保产品相关政策；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（3）执行“财政部国家发展改革委信息产业部关于印发无线局域网产品政府采购实施意见的通知财库［2005］366号” 相关政策；</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（4）执行“关于信息安全产品实施政府采购的通知财库[2010]48号”相关政策。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八、凡对本次招标提出询问，请按照以下方式联系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1. 采购人信息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名称：郑州市二七区大数据中心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地址：郑州市二七区行政服务中心8楼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联系人：王雪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联系方式：0371-68864033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2.采购代理机构信息（如有）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名称：河南省机电设备国际招标有限公司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地址：郑州市商都路27号财信大厦14-15楼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3.项目联系方式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项目联系人：孙鹏 </w:t>
      </w:r>
    </w:p>
    <w:p>
      <w:pPr>
        <w:widowControl/>
        <w:spacing w:line="440" w:lineRule="exact"/>
        <w:ind w:firstLine="480" w:firstLineChars="200"/>
        <w:jc w:val="left"/>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t xml:space="preserve">联系方式：0371-86120878，18637180896 </w:t>
      </w:r>
    </w:p>
    <w:p>
      <w:pPr>
        <w:widowControl/>
        <w:spacing w:line="440" w:lineRule="exact"/>
        <w:jc w:val="left"/>
        <w:rPr>
          <w:rFonts w:hint="eastAsia" w:ascii="宋体" w:hAnsi="宋体" w:eastAsia="宋体" w:cs="宋体"/>
          <w:bCs/>
          <w:kern w:val="0"/>
          <w:sz w:val="24"/>
          <w:szCs w:val="21"/>
          <w:highlight w:val="none"/>
        </w:rPr>
      </w:pPr>
    </w:p>
    <w:p>
      <w:pPr>
        <w:rPr>
          <w:rFonts w:hint="eastAsia" w:ascii="宋体" w:hAnsi="宋体" w:eastAsia="宋体" w:cs="宋体"/>
          <w:bCs/>
          <w:kern w:val="0"/>
          <w:sz w:val="24"/>
          <w:szCs w:val="21"/>
          <w:highlight w:val="none"/>
        </w:rPr>
      </w:pPr>
      <w:r>
        <w:rPr>
          <w:rFonts w:hint="eastAsia" w:ascii="宋体" w:hAnsi="宋体" w:eastAsia="宋体" w:cs="宋体"/>
          <w:bCs/>
          <w:kern w:val="0"/>
          <w:sz w:val="24"/>
          <w:szCs w:val="21"/>
          <w:highlight w:val="none"/>
        </w:rPr>
        <w:br w:type="page"/>
      </w:r>
    </w:p>
    <w:bookmarkEnd w:id="5"/>
    <w:bookmarkEnd w:id="6"/>
    <w:p>
      <w:pPr>
        <w:pStyle w:val="4"/>
        <w:jc w:val="center"/>
        <w:rPr>
          <w:rFonts w:hint="eastAsia" w:ascii="Times New Roman" w:hAnsi="Times New Roman" w:eastAsia="宋体" w:cs="Times New Roman"/>
          <w:highlight w:val="none"/>
        </w:rPr>
      </w:pPr>
      <w:bookmarkStart w:id="7" w:name="_Toc30074"/>
      <w:bookmarkStart w:id="8" w:name="_Toc345178446"/>
      <w:r>
        <w:rPr>
          <w:rFonts w:hint="eastAsia" w:ascii="Times New Roman" w:hAnsi="Times New Roman" w:eastAsia="宋体" w:cs="Times New Roman"/>
          <w:highlight w:val="none"/>
        </w:rPr>
        <w:t>第二章 投标人须知</w:t>
      </w:r>
      <w:bookmarkEnd w:id="4"/>
      <w:bookmarkEnd w:id="7"/>
      <w:bookmarkEnd w:id="8"/>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9" w:name="_Toc27288"/>
      <w:r>
        <w:rPr>
          <w:rFonts w:hint="eastAsia" w:ascii="宋体" w:hAnsi="宋体" w:eastAsia="宋体" w:cs="宋体"/>
          <w:sz w:val="24"/>
          <w:szCs w:val="24"/>
          <w:highlight w:val="none"/>
        </w:rPr>
        <w:t>投标人须知前附表</w:t>
      </w:r>
      <w:bookmarkEnd w:id="9"/>
    </w:p>
    <w:p>
      <w:pPr>
        <w:pStyle w:val="2"/>
        <w:kinsoku w:val="0"/>
        <w:overflowPunct w:val="0"/>
        <w:spacing w:line="460" w:lineRule="exact"/>
        <w:ind w:firstLine="480" w:firstLine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本表是本招标项目的具体资料，是对投标人须知的具体补充和修改，如有矛盾，应以本表为准。</w:t>
      </w:r>
    </w:p>
    <w:tbl>
      <w:tblPr>
        <w:tblStyle w:val="28"/>
        <w:tblW w:w="825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04"/>
        <w:gridCol w:w="744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sz w:val="24"/>
                <w:highlight w:val="none"/>
              </w:rPr>
            </w:pPr>
            <w:r>
              <w:rPr>
                <w:sz w:val="24"/>
                <w:highlight w:val="none"/>
              </w:rPr>
              <w:t>条款号</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ind w:firstLine="2641" w:firstLineChars="1096"/>
              <w:textAlignment w:val="auto"/>
              <w:rPr>
                <w:b/>
                <w:sz w:val="24"/>
                <w:highlight w:val="none"/>
              </w:rPr>
            </w:pPr>
            <w:r>
              <w:rPr>
                <w:b/>
                <w:sz w:val="24"/>
                <w:highlight w:val="none"/>
              </w:rPr>
              <w:t xml:space="preserve">内      </w:t>
            </w:r>
            <w:r>
              <w:rPr>
                <w:rFonts w:hint="eastAsia"/>
                <w:b/>
                <w:sz w:val="24"/>
                <w:highlight w:val="none"/>
              </w:rPr>
              <w:t xml:space="preserve">  </w:t>
            </w:r>
            <w:r>
              <w:rPr>
                <w:b/>
                <w:sz w:val="24"/>
                <w:highlight w:val="none"/>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ind w:firstLine="2645" w:firstLineChars="1098"/>
              <w:textAlignment w:val="auto"/>
              <w:rPr>
                <w:rFonts w:hint="default" w:ascii="宋体" w:hAnsi="宋体" w:eastAsia="宋体"/>
                <w:b/>
                <w:sz w:val="24"/>
                <w:highlight w:val="none"/>
                <w:lang w:val="en-US" w:eastAsia="zh-CN"/>
              </w:rPr>
            </w:pPr>
            <w:r>
              <w:rPr>
                <w:rFonts w:ascii="宋体" w:hAnsi="宋体"/>
                <w:b/>
                <w:sz w:val="24"/>
                <w:highlight w:val="none"/>
              </w:rPr>
              <w:t xml:space="preserve">  </w:t>
            </w:r>
            <w:r>
              <w:rPr>
                <w:rFonts w:hint="eastAsia" w:ascii="宋体" w:hAnsi="宋体"/>
                <w:b/>
                <w:sz w:val="24"/>
                <w:highlight w:val="none"/>
              </w:rPr>
              <w:t xml:space="preserve"> </w:t>
            </w:r>
            <w:r>
              <w:rPr>
                <w:rFonts w:ascii="宋体" w:hAnsi="宋体"/>
                <w:b/>
                <w:sz w:val="24"/>
                <w:highlight w:val="none"/>
              </w:rPr>
              <w:t xml:space="preserve"> </w:t>
            </w:r>
            <w:r>
              <w:rPr>
                <w:rFonts w:hint="eastAsia" w:ascii="宋体" w:hAnsi="宋体"/>
                <w:b/>
                <w:sz w:val="24"/>
                <w:highlight w:val="none"/>
                <w:lang w:val="en-US" w:eastAsia="zh-CN"/>
              </w:rPr>
              <w:t>一、前言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sz w:val="24"/>
                <w:szCs w:val="20"/>
                <w:highlight w:val="none"/>
                <w:lang w:eastAsia="zh-CN"/>
              </w:rPr>
            </w:pPr>
            <w:r>
              <w:rPr>
                <w:rFonts w:ascii="宋体" w:hAnsi="宋体"/>
                <w:sz w:val="24"/>
                <w:szCs w:val="20"/>
                <w:highlight w:val="none"/>
              </w:rPr>
              <w:t>项目名称</w:t>
            </w:r>
            <w:r>
              <w:rPr>
                <w:rFonts w:hint="eastAsia" w:ascii="宋体" w:hAnsi="宋体"/>
                <w:sz w:val="24"/>
                <w:szCs w:val="20"/>
                <w:highlight w:val="none"/>
              </w:rPr>
              <w:t>：郑州市二七区大数据中心</w:t>
            </w:r>
            <w:r>
              <w:rPr>
                <w:rFonts w:hint="eastAsia" w:ascii="宋体" w:hAnsi="宋体"/>
                <w:sz w:val="24"/>
                <w:szCs w:val="20"/>
                <w:highlight w:val="none"/>
                <w:lang w:eastAsia="zh-CN"/>
              </w:rPr>
              <w:t>二七区物联感知与管理服务项目常态化服务项目</w:t>
            </w:r>
          </w:p>
          <w:p>
            <w:pPr>
              <w:keepNext w:val="0"/>
              <w:keepLines w:val="0"/>
              <w:pageBreakBefore w:val="0"/>
              <w:kinsoku/>
              <w:wordWrap/>
              <w:overflowPunct/>
              <w:topLinePunct w:val="0"/>
              <w:autoSpaceDE/>
              <w:autoSpaceDN/>
              <w:bidi w:val="0"/>
              <w:adjustRightInd/>
              <w:snapToGrid/>
              <w:spacing w:line="440" w:lineRule="exact"/>
              <w:jc w:val="left"/>
              <w:textAlignment w:val="auto"/>
              <w:rPr>
                <w:rFonts w:ascii="宋体" w:hAnsi="宋体" w:cs="宋体"/>
                <w:szCs w:val="21"/>
                <w:highlight w:val="none"/>
              </w:rPr>
            </w:pPr>
            <w:r>
              <w:rPr>
                <w:rFonts w:hint="eastAsia" w:ascii="宋体" w:hAnsi="宋体"/>
                <w:sz w:val="24"/>
                <w:szCs w:val="20"/>
                <w:highlight w:val="none"/>
              </w:rPr>
              <w:t>项目编号：二七政采公开-2023-26</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项目预算：2564800.00元</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rFonts w:hint="eastAsia" w:ascii="宋体" w:hAnsi="宋体"/>
                <w:sz w:val="24"/>
                <w:szCs w:val="20"/>
                <w:highlight w:val="none"/>
              </w:rPr>
              <w:t>最高限价：2564800.00元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各包最高限价：</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771"/>
              <w:gridCol w:w="4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序号</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包号</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1</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A包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187600.00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2</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B包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100000.00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3</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C包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4</w:t>
                  </w:r>
                </w:p>
              </w:tc>
              <w:tc>
                <w:tcPr>
                  <w:tcW w:w="1200"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rPr>
                  </w:pPr>
                  <w:r>
                    <w:rPr>
                      <w:rFonts w:hint="eastAsia" w:ascii="宋体" w:hAnsi="宋体" w:eastAsia="宋体" w:cs="宋体"/>
                      <w:bCs/>
                      <w:kern w:val="0"/>
                      <w:sz w:val="24"/>
                      <w:szCs w:val="21"/>
                      <w:highlight w:val="none"/>
                      <w:vertAlign w:val="baseline"/>
                      <w:lang w:val="en-US" w:eastAsia="zh-CN"/>
                    </w:rPr>
                    <w:t>D包</w:t>
                  </w:r>
                </w:p>
              </w:tc>
              <w:tc>
                <w:tcPr>
                  <w:tcW w:w="2854" w:type="pct"/>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Cs/>
                      <w:kern w:val="0"/>
                      <w:sz w:val="24"/>
                      <w:szCs w:val="21"/>
                      <w:highlight w:val="none"/>
                      <w:vertAlign w:val="baseline"/>
                      <w:lang w:val="en-US" w:eastAsia="zh-CN" w:bidi="ar-SA"/>
                    </w:rPr>
                  </w:pPr>
                  <w:r>
                    <w:rPr>
                      <w:rFonts w:hint="eastAsia" w:ascii="宋体" w:hAnsi="宋体" w:eastAsia="宋体" w:cs="宋体"/>
                      <w:bCs/>
                      <w:kern w:val="0"/>
                      <w:sz w:val="24"/>
                      <w:szCs w:val="21"/>
                      <w:highlight w:val="none"/>
                      <w:vertAlign w:val="baseline"/>
                      <w:lang w:val="en-US" w:eastAsia="zh-CN"/>
                    </w:rPr>
                    <w:t>2077200.00</w:t>
                  </w:r>
                </w:p>
              </w:tc>
            </w:tr>
          </w:tbl>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2"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sz w:val="24"/>
                <w:szCs w:val="20"/>
                <w:highlight w:val="none"/>
              </w:rPr>
            </w:pPr>
            <w:r>
              <w:rPr>
                <w:sz w:val="24"/>
                <w:highlight w:val="none"/>
              </w:rPr>
              <w:t>采购人名称：</w:t>
            </w:r>
            <w:r>
              <w:rPr>
                <w:rFonts w:hint="eastAsia"/>
                <w:sz w:val="24"/>
                <w:highlight w:val="none"/>
              </w:rPr>
              <w:t xml:space="preserve">郑州市二七区大数据中心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rPr>
              <w:t>采购代理机构</w:t>
            </w:r>
            <w:r>
              <w:rPr>
                <w:sz w:val="24"/>
                <w:highlight w:val="none"/>
              </w:rPr>
              <w:t>名称：河南省机电设备国际招标有限公司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2.4</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ascii="宋体"/>
                <w:sz w:val="24"/>
                <w:highlight w:val="none"/>
              </w:rPr>
              <w:t>本次采购活动的政府采购监督管理部门：本次采购项目的采购人所属预算级次的财政部门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8"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3.1</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rPr>
              <w:t>《政府采购法》第二十二条规定的条件</w:t>
            </w:r>
            <w:r>
              <w:rPr>
                <w:rFonts w:hint="eastAsia" w:ascii="宋体" w:hAnsi="Times New Roman" w:cs="Times New Roman"/>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（1）具有独立承担民事责任的能力；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2</w:t>
            </w:r>
            <w:r>
              <w:rPr>
                <w:rFonts w:hint="eastAsia" w:ascii="宋体" w:hAnsi="Times New Roman" w:cs="Times New Roman"/>
                <w:sz w:val="24"/>
                <w:highlight w:val="none"/>
              </w:rPr>
              <w:t>）具有良好的商业信誉和健全的财务会计制度；</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3</w:t>
            </w:r>
            <w:r>
              <w:rPr>
                <w:rFonts w:hint="eastAsia" w:ascii="宋体" w:hAnsi="Times New Roman" w:cs="Times New Roman"/>
                <w:sz w:val="24"/>
                <w:highlight w:val="none"/>
              </w:rPr>
              <w:t>）具有完成本次招标项目履行合同所必需的设备和专业技术能力；</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4</w:t>
            </w:r>
            <w:r>
              <w:rPr>
                <w:rFonts w:hint="eastAsia" w:ascii="宋体" w:hAnsi="Times New Roman" w:cs="Times New Roman"/>
                <w:sz w:val="24"/>
                <w:highlight w:val="none"/>
              </w:rPr>
              <w:t>）有依法缴纳税收和社会保障资金的良好记录；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5</w:t>
            </w:r>
            <w:r>
              <w:rPr>
                <w:rFonts w:hint="eastAsia" w:ascii="宋体" w:hAnsi="Times New Roman" w:cs="Times New Roman"/>
                <w:sz w:val="24"/>
                <w:highlight w:val="none"/>
              </w:rPr>
              <w:t>）参加政府采购活动前三年内，在经营活动中没有重大违法记录；</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highlight w:val="none"/>
                <w:lang w:eastAsia="zh-CN"/>
              </w:rPr>
            </w:pPr>
            <w:r>
              <w:rPr>
                <w:rFonts w:hint="eastAsia" w:ascii="宋体" w:hAnsi="Times New Roman" w:cs="Times New Roman"/>
                <w:sz w:val="24"/>
                <w:highlight w:val="none"/>
              </w:rPr>
              <w:t>（</w:t>
            </w:r>
            <w:r>
              <w:rPr>
                <w:rFonts w:hint="eastAsia" w:ascii="宋体" w:hAnsi="Times New Roman" w:cs="Times New Roman"/>
                <w:sz w:val="24"/>
                <w:highlight w:val="none"/>
                <w:lang w:val="en-US" w:eastAsia="zh-CN"/>
              </w:rPr>
              <w:t>6</w:t>
            </w:r>
            <w:r>
              <w:rPr>
                <w:rFonts w:hint="eastAsia" w:ascii="宋体" w:hAnsi="Times New Roman" w:cs="Times New Roman"/>
                <w:sz w:val="24"/>
                <w:highlight w:val="none"/>
              </w:rPr>
              <w:t>）法律、行政法规规定的其他条件。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94"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3.2</w:t>
            </w:r>
          </w:p>
        </w:tc>
        <w:tc>
          <w:tcPr>
            <w:tcW w:w="7446" w:type="dxa"/>
            <w:noWrap w:val="0"/>
            <w:vAlign w:val="top"/>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lang w:eastAsia="zh-CN"/>
              </w:rPr>
            </w:pPr>
            <w:r>
              <w:rPr>
                <w:rFonts w:hint="eastAsia" w:ascii="宋体" w:hAnsi="Times New Roman" w:cs="Times New Roman"/>
                <w:sz w:val="24"/>
                <w:highlight w:val="none"/>
                <w:lang w:eastAsia="zh-CN"/>
              </w:rPr>
              <w:t>本项目的特定资格要求：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（1）投标人应为国家密码管理局认定的商用密码应用安全性评估机构，提供证明文件；</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B包）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（1）投标人须具有公安部第三研究所颁发的《网络安全等级测评与检测评估机构服务认证证书》；</w:t>
            </w:r>
            <w:r>
              <w:rPr>
                <w:rFonts w:hint="eastAsia" w:ascii="宋体" w:hAnsi="Times New Roman" w:cs="Times New Roman"/>
                <w:b/>
                <w:bCs/>
                <w:sz w:val="24"/>
                <w:highlight w:val="none"/>
              </w:rPr>
              <w:t>（</w:t>
            </w:r>
            <w:r>
              <w:rPr>
                <w:rFonts w:hint="eastAsia" w:ascii="宋体" w:hAnsi="Times New Roman" w:cs="Times New Roman"/>
                <w:b/>
                <w:bCs/>
                <w:sz w:val="24"/>
                <w:highlight w:val="none"/>
                <w:lang w:eastAsia="zh-CN"/>
              </w:rPr>
              <w:t>本条款仅适用于</w:t>
            </w:r>
            <w:r>
              <w:rPr>
                <w:rFonts w:hint="eastAsia" w:ascii="宋体" w:hAnsi="Times New Roman" w:cs="Times New Roman"/>
                <w:b/>
                <w:bCs/>
                <w:sz w:val="24"/>
                <w:highlight w:val="none"/>
              </w:rPr>
              <w:t>C包）</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（3）单位负责人为同一人或者存在直接控股、管理关系的不同供应商，不得参加同一合同项下的政府采购活动。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Times New Roman" w:cs="Times New Roman"/>
                <w:sz w:val="24"/>
                <w:highlight w:val="none"/>
              </w:rPr>
            </w:pPr>
            <w:r>
              <w:rPr>
                <w:rFonts w:hint="eastAsia" w:ascii="宋体" w:hAnsi="Times New Roman" w:cs="Times New Roman"/>
                <w:sz w:val="24"/>
                <w:highlight w:val="none"/>
              </w:rPr>
              <w:t>（4）为本项目提供过整体设计、规范编制或者项目管理、监理、检测等服务的供应商，不得再参加本项目上述服务以外的其他采购活动。</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Tahoma" w:hAnsi="Tahoma"/>
                <w:b/>
                <w:bCs/>
                <w:sz w:val="24"/>
                <w:szCs w:val="20"/>
                <w:highlight w:val="none"/>
              </w:rPr>
            </w:pPr>
            <w:r>
              <w:rPr>
                <w:rFonts w:hint="eastAsia" w:ascii="宋体" w:hAnsi="Times New Roman" w:cs="Times New Roman"/>
                <w:sz w:val="24"/>
                <w:highlight w:val="none"/>
              </w:rPr>
              <w:t>（5）符合相关政府采购政策、相关法律、法规规定的其他条件。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sz w:val="24"/>
                <w:highlight w:val="none"/>
                <w:lang w:val="en-US" w:eastAsia="zh-CN"/>
              </w:rPr>
            </w:pPr>
            <w:r>
              <w:rPr>
                <w:rFonts w:hint="eastAsia" w:ascii="宋体" w:hAnsi="宋体"/>
                <w:b/>
                <w:sz w:val="24"/>
                <w:highlight w:val="none"/>
                <w:lang w:val="en-US" w:eastAsia="zh-CN"/>
              </w:rPr>
              <w:t>二、招标文件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投标人提出问题的时间: 应当在获取采购文件或者采购文件公告期限届满之日起7个工作日内一次性提出</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eastAsia="宋体"/>
                <w:sz w:val="24"/>
                <w:highlight w:val="none"/>
                <w:lang w:eastAsia="zh-CN"/>
              </w:rPr>
            </w:pPr>
            <w:r>
              <w:rPr>
                <w:rFonts w:hint="eastAsia" w:ascii="宋体" w:hAnsi="宋体" w:eastAsia="宋体" w:cs="宋体"/>
                <w:sz w:val="24"/>
                <w:szCs w:val="24"/>
                <w:highlight w:val="none"/>
              </w:rPr>
              <w:t>投标人提出问题的形式: 在郑州市公共资源交易平台上进行提问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三、投标文件的编制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 w:val="24"/>
                <w:highlight w:val="none"/>
              </w:rPr>
            </w:pPr>
            <w:r>
              <w:rPr>
                <w:rFonts w:hint="eastAsia" w:ascii="宋体" w:hAnsi="宋体" w:eastAsia="宋体" w:cs="宋体"/>
                <w:bCs/>
                <w:sz w:val="24"/>
                <w:highlight w:val="none"/>
              </w:rPr>
              <w:t>14.1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sz w:val="24"/>
                <w:highlight w:val="none"/>
              </w:rPr>
              <w:t>投标货币：</w:t>
            </w:r>
            <w:r>
              <w:rPr>
                <w:rFonts w:hint="eastAsia" w:ascii="宋体" w:hAnsi="宋体" w:eastAsia="宋体" w:cs="宋体"/>
                <w:sz w:val="24"/>
                <w:szCs w:val="24"/>
                <w:highlight w:val="none"/>
              </w:rPr>
              <w:t>人民币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szCs w:val="20"/>
                <w:highlight w:val="none"/>
              </w:rPr>
            </w:pPr>
            <w:r>
              <w:rPr>
                <w:rFonts w:hint="eastAsia" w:ascii="宋体" w:hAnsi="宋体"/>
                <w:sz w:val="24"/>
                <w:highlight w:val="none"/>
              </w:rPr>
              <w:t>18.1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i/>
                <w:sz w:val="24"/>
                <w:szCs w:val="20"/>
                <w:highlight w:val="none"/>
              </w:rPr>
            </w:pPr>
            <w:r>
              <w:rPr>
                <w:sz w:val="24"/>
                <w:highlight w:val="none"/>
              </w:rPr>
              <w:t>投标有效期：从提交投标文件的截止之日起</w:t>
            </w:r>
            <w:r>
              <w:rPr>
                <w:rFonts w:hint="eastAsia"/>
                <w:sz w:val="24"/>
                <w:highlight w:val="none"/>
                <w:u w:val="none"/>
              </w:rPr>
              <w:t>90</w:t>
            </w:r>
            <w:r>
              <w:rPr>
                <w:rFonts w:hint="eastAsia"/>
                <w:sz w:val="24"/>
                <w:highlight w:val="none"/>
              </w:rPr>
              <w:t>日</w:t>
            </w:r>
            <w:r>
              <w:rPr>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7"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19.1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投标文件的制作要求：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1.</w:t>
            </w:r>
            <w:r>
              <w:rPr>
                <w:rFonts w:hint="eastAsia"/>
                <w:sz w:val="24"/>
                <w:highlight w:val="none"/>
                <w:u w:val="none"/>
              </w:rPr>
              <w:t>投标人在制作电子投标文件时，应按照郑州市公共资源交易中心提供的“投标文件制作软件”制作电子投标文件。具体查询郑州市公共资源交易中心网站主页→办事指南。</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lang w:val="en-US" w:eastAsia="zh-CN"/>
              </w:rPr>
              <w:t>2.</w:t>
            </w:r>
            <w:r>
              <w:rPr>
                <w:rFonts w:hint="eastAsia"/>
                <w:sz w:val="24"/>
                <w:highlight w:val="none"/>
                <w:u w:val="none"/>
              </w:rPr>
              <w:t>投标文件格式所要求包含的全部资料应全部制作在投标文件内（格式中写明可以不提供的除外），严格按照本项目招标文件中提供的所有格式如实填写（不涉及的内容除外），不应存在漏项或缺项，否则将存在投标文件被拒绝的风险。投标函及投标报价一览表，须严格按照格式编辑，并作为电子开评标系统上传的依据。</w:t>
            </w:r>
          </w:p>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u w:val="none"/>
              </w:rPr>
            </w:pPr>
            <w:r>
              <w:rPr>
                <w:rFonts w:hint="eastAsia"/>
                <w:sz w:val="24"/>
                <w:highlight w:val="none"/>
                <w:u w:val="none"/>
                <w:lang w:val="en-US" w:eastAsia="zh-CN"/>
              </w:rPr>
              <w:t>3.</w:t>
            </w:r>
            <w:r>
              <w:rPr>
                <w:rFonts w:hint="eastAsia"/>
                <w:sz w:val="24"/>
                <w:highlight w:val="none"/>
                <w:u w:val="none"/>
              </w:rPr>
              <w:t>投标人在编辑电子投标文件时，根据招标文件要求用法人 CA 密钥和企业 CA 密钥进行签章制作；最后一步生成电子投标文件时，只能用本单位的企业 CA 密钥。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1</w:t>
            </w:r>
            <w:r>
              <w:rPr>
                <w:rFonts w:ascii="宋体" w:hAnsi="宋体"/>
                <w:sz w:val="24"/>
                <w:highlight w:val="none"/>
                <w:u w:val="none"/>
              </w:rPr>
              <w:t>9.2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投标文件的签字盖章要求：</w:t>
            </w:r>
            <w:r>
              <w:rPr>
                <w:rFonts w:hint="eastAsia" w:hAnsi="宋体"/>
                <w:sz w:val="24"/>
                <w:highlight w:val="none"/>
                <w:u w:val="none"/>
              </w:rPr>
              <w:t>投标人在制作投标文件时，应按招标文件第五章投标文件格式内容要求签字盖章。投标人可使用电子签章，也可使用实体签章。电子签章与实体签章具备同等效力，法人签章视为已签字。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b/>
                <w:bCs/>
                <w:sz w:val="24"/>
                <w:highlight w:val="none"/>
                <w:u w:val="none"/>
                <w:lang w:val="en-US" w:eastAsia="zh-CN"/>
              </w:rPr>
            </w:pPr>
            <w:r>
              <w:rPr>
                <w:rFonts w:hint="eastAsia"/>
                <w:b/>
                <w:bCs/>
                <w:sz w:val="24"/>
                <w:highlight w:val="none"/>
                <w:u w:val="none"/>
                <w:lang w:val="en-US" w:eastAsia="zh-CN"/>
              </w:rPr>
              <w:t>四、投标文件的递交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3"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w:t>
            </w:r>
            <w:r>
              <w:rPr>
                <w:rFonts w:ascii="宋体" w:hAnsi="宋体"/>
                <w:sz w:val="24"/>
                <w:highlight w:val="none"/>
              </w:rPr>
              <w:t>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rPr>
            </w:pPr>
            <w:r>
              <w:rPr>
                <w:rFonts w:hint="eastAsia"/>
                <w:sz w:val="24"/>
                <w:highlight w:val="none"/>
                <w:u w:val="none"/>
              </w:rPr>
              <w:t>投标文件的加密要求：</w:t>
            </w:r>
            <w:r>
              <w:rPr>
                <w:rFonts w:hint="eastAsia" w:hAnsi="宋体"/>
                <w:sz w:val="24"/>
                <w:highlight w:val="none"/>
                <w:u w:val="none"/>
              </w:rPr>
              <w:t>在</w:t>
            </w:r>
            <w:r>
              <w:rPr>
                <w:rFonts w:hint="eastAsia"/>
                <w:sz w:val="24"/>
                <w:highlight w:val="none"/>
                <w:u w:val="none"/>
                <w:lang w:eastAsia="zh-CN"/>
              </w:rPr>
              <w:t>郑州市公共资源交易中心</w:t>
            </w:r>
            <w:r>
              <w:rPr>
                <w:rFonts w:hint="eastAsia"/>
                <w:sz w:val="24"/>
                <w:highlight w:val="none"/>
                <w:u w:val="none"/>
              </w:rPr>
              <w:t>电子招标投标交易平台加密上传</w:t>
            </w:r>
            <w:r>
              <w:rPr>
                <w:rFonts w:hint="eastAsia" w:ascii="宋体" w:hAnsi="宋体" w:cs="宋体"/>
                <w:kern w:val="0"/>
                <w:sz w:val="24"/>
                <w:highlight w:val="none"/>
                <w:u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rPr>
            </w:pPr>
            <w:r>
              <w:rPr>
                <w:rFonts w:hint="eastAsia" w:ascii="宋体" w:hAnsi="宋体"/>
                <w:sz w:val="24"/>
                <w:highlight w:val="none"/>
              </w:rPr>
              <w:t>21.1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sz w:val="24"/>
                <w:highlight w:val="none"/>
              </w:rPr>
            </w:pPr>
            <w:r>
              <w:rPr>
                <w:rFonts w:hint="eastAsia"/>
                <w:sz w:val="24"/>
                <w:highlight w:val="none"/>
              </w:rPr>
              <w:t>投标截止时间（开标时间）：</w:t>
            </w:r>
            <w:r>
              <w:rPr>
                <w:rFonts w:hint="eastAsia" w:ascii="宋体" w:hAnsi="宋体" w:eastAsia="宋体" w:cs="宋体"/>
                <w:bCs/>
                <w:kern w:val="0"/>
                <w:sz w:val="24"/>
                <w:szCs w:val="21"/>
                <w:highlight w:val="none"/>
                <w:u w:val="none"/>
              </w:rPr>
              <w:t>2023年</w:t>
            </w:r>
            <w:r>
              <w:rPr>
                <w:rFonts w:hint="eastAsia" w:ascii="宋体" w:hAnsi="宋体" w:cs="宋体"/>
                <w:bCs/>
                <w:kern w:val="0"/>
                <w:sz w:val="24"/>
                <w:szCs w:val="21"/>
                <w:highlight w:val="none"/>
                <w:u w:val="none"/>
                <w:lang w:val="en-US" w:eastAsia="zh-CN"/>
              </w:rPr>
              <w:t>7</w:t>
            </w:r>
            <w:r>
              <w:rPr>
                <w:rFonts w:hint="eastAsia" w:ascii="宋体" w:hAnsi="宋体" w:eastAsia="宋体" w:cs="宋体"/>
                <w:bCs/>
                <w:kern w:val="0"/>
                <w:sz w:val="24"/>
                <w:szCs w:val="21"/>
                <w:highlight w:val="none"/>
                <w:u w:val="none"/>
              </w:rPr>
              <w:t>月</w:t>
            </w:r>
            <w:r>
              <w:rPr>
                <w:rFonts w:hint="eastAsia" w:ascii="宋体" w:hAnsi="宋体" w:cs="宋体"/>
                <w:bCs/>
                <w:kern w:val="0"/>
                <w:sz w:val="24"/>
                <w:szCs w:val="21"/>
                <w:highlight w:val="none"/>
                <w:u w:val="none"/>
                <w:lang w:val="en-US" w:eastAsia="zh-CN"/>
              </w:rPr>
              <w:t>10</w:t>
            </w:r>
            <w:r>
              <w:rPr>
                <w:rFonts w:hint="eastAsia" w:ascii="宋体" w:hAnsi="宋体" w:eastAsia="宋体" w:cs="宋体"/>
                <w:bCs/>
                <w:kern w:val="0"/>
                <w:sz w:val="24"/>
                <w:szCs w:val="21"/>
                <w:highlight w:val="none"/>
                <w:u w:val="none"/>
              </w:rPr>
              <w:t>日</w:t>
            </w:r>
            <w:r>
              <w:rPr>
                <w:rFonts w:hint="eastAsia" w:ascii="宋体" w:hAnsi="宋体" w:eastAsia="宋体" w:cs="宋体"/>
                <w:sz w:val="24"/>
                <w:highlight w:val="none"/>
                <w:u w:val="none"/>
                <w:lang w:val="en-US" w:eastAsia="zh-CN"/>
              </w:rPr>
              <w:t>10</w:t>
            </w:r>
            <w:r>
              <w:rPr>
                <w:rFonts w:hint="eastAsia" w:ascii="宋体" w:hAnsi="宋体" w:eastAsia="宋体" w:cs="宋体"/>
                <w:sz w:val="24"/>
                <w:highlight w:val="none"/>
                <w:u w:val="none"/>
              </w:rPr>
              <w:t>:00</w:t>
            </w:r>
            <w:r>
              <w:rPr>
                <w:rFonts w:hint="eastAsia" w:ascii="宋体" w:hAnsi="宋体" w:cs="宋体"/>
                <w:sz w:val="24"/>
                <w:highlight w:val="none"/>
                <w:u w:val="none"/>
                <w:lang w:eastAsia="zh-CN"/>
              </w:rPr>
              <w:t>（</w:t>
            </w:r>
            <w:r>
              <w:rPr>
                <w:rFonts w:hint="eastAsia" w:ascii="宋体" w:hAnsi="宋体" w:cs="宋体"/>
                <w:sz w:val="24"/>
                <w:highlight w:val="none"/>
                <w:u w:val="none"/>
                <w:lang w:val="en-US" w:eastAsia="zh-CN"/>
              </w:rPr>
              <w:t>北京时间</w:t>
            </w:r>
            <w:r>
              <w:rPr>
                <w:rFonts w:hint="eastAsia" w:ascii="宋体" w:hAnsi="宋体" w:cs="宋体"/>
                <w:sz w:val="24"/>
                <w:highlight w:val="none"/>
                <w:u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45"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b/>
                <w:sz w:val="24"/>
                <w:highlight w:val="none"/>
                <w:lang w:val="en-US" w:eastAsia="zh-CN"/>
              </w:rPr>
              <w:t>五、</w:t>
            </w:r>
            <w:r>
              <w:rPr>
                <w:rFonts w:hint="eastAsia"/>
                <w:b/>
                <w:sz w:val="24"/>
                <w:highlight w:val="none"/>
              </w:rPr>
              <w:t>开标</w:t>
            </w:r>
            <w:r>
              <w:rPr>
                <w:rFonts w:hint="eastAsia"/>
                <w:b/>
                <w:sz w:val="24"/>
                <w:highlight w:val="none"/>
                <w:lang w:val="en-US" w:eastAsia="zh-CN"/>
              </w:rPr>
              <w:t>与资格审查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0"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sz w:val="24"/>
                <w:highlight w:val="none"/>
                <w:u w:val="none"/>
              </w:rPr>
            </w:pPr>
            <w:r>
              <w:rPr>
                <w:rFonts w:hint="eastAsia" w:ascii="宋体" w:hAnsi="宋体"/>
                <w:sz w:val="24"/>
                <w:highlight w:val="none"/>
                <w:u w:val="none"/>
              </w:rPr>
              <w:t>2</w:t>
            </w:r>
            <w:r>
              <w:rPr>
                <w:rFonts w:ascii="宋体" w:hAnsi="宋体"/>
                <w:sz w:val="24"/>
                <w:highlight w:val="none"/>
                <w:u w:val="none"/>
              </w:rPr>
              <w:t>3.2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sz w:val="24"/>
                <w:highlight w:val="none"/>
                <w:u w:val="none"/>
              </w:rPr>
            </w:pPr>
            <w:r>
              <w:rPr>
                <w:rFonts w:hint="eastAsia"/>
                <w:sz w:val="24"/>
                <w:highlight w:val="none"/>
                <w:u w:val="none"/>
              </w:rPr>
              <w:t>开标方式：开标会议采用“远程不见面”方式，投标人无需到现场参加开标会议。所有投标人均应当在招标文件规定的投标截止时间前,登录远程开标大厅,在线准时参加开标活动，并在规定的时间内对投标文件进行解密、答疑澄清（如需要）等。具体事宜请查阅郑州市公共资源交易中心网站“办事指南”专区的《郑州市公共资源交易中心不见面开标大厅操作手册（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ascii="宋体" w:hAnsi="宋体"/>
                <w:b/>
                <w:sz w:val="24"/>
                <w:highlight w:val="none"/>
              </w:rPr>
            </w:pPr>
            <w:r>
              <w:rPr>
                <w:rFonts w:hint="eastAsia" w:ascii="宋体" w:hAnsi="宋体"/>
                <w:b/>
                <w:sz w:val="24"/>
                <w:highlight w:val="none"/>
                <w:lang w:val="en-US" w:eastAsia="zh-CN"/>
              </w:rPr>
              <w:t>六、</w:t>
            </w:r>
            <w:r>
              <w:rPr>
                <w:rFonts w:ascii="宋体" w:hAnsi="宋体"/>
                <w:b/>
                <w:sz w:val="24"/>
                <w:highlight w:val="none"/>
              </w:rPr>
              <w:t>评标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sz w:val="24"/>
                <w:highlight w:val="none"/>
                <w:lang w:val="en-US" w:eastAsia="zh-CN"/>
              </w:rPr>
            </w:pPr>
            <w:r>
              <w:rPr>
                <w:rFonts w:hint="eastAsia"/>
                <w:sz w:val="24"/>
                <w:highlight w:val="none"/>
                <w:lang w:val="en-US" w:eastAsia="zh-CN"/>
              </w:rPr>
              <w:t>25.2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评标委员会成员人数：</w:t>
            </w:r>
            <w:r>
              <w:rPr>
                <w:rFonts w:hint="eastAsia"/>
                <w:b w:val="0"/>
                <w:bCs/>
                <w:i w:val="0"/>
                <w:iCs/>
                <w:sz w:val="24"/>
                <w:highlight w:val="none"/>
                <w:lang w:val="en-US" w:eastAsia="zh-CN"/>
              </w:rPr>
              <w:t>5</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val="0"/>
                <w:bCs/>
                <w:i w:val="0"/>
                <w:iCs/>
                <w:sz w:val="24"/>
                <w:highlight w:val="none"/>
              </w:rPr>
            </w:pPr>
            <w:r>
              <w:rPr>
                <w:rFonts w:hint="eastAsia"/>
                <w:b w:val="0"/>
                <w:bCs/>
                <w:i w:val="0"/>
                <w:iCs/>
                <w:sz w:val="24"/>
                <w:highlight w:val="none"/>
              </w:rPr>
              <w:t>评标委员会由采购人代表和评审专家组成。其中：采购人代表</w:t>
            </w:r>
            <w:r>
              <w:rPr>
                <w:rFonts w:hint="eastAsia"/>
                <w:b w:val="0"/>
                <w:bCs/>
                <w:i w:val="0"/>
                <w:iCs/>
                <w:sz w:val="24"/>
                <w:highlight w:val="none"/>
                <w:lang w:val="en-US" w:eastAsia="zh-CN"/>
              </w:rPr>
              <w:t>1</w:t>
            </w:r>
            <w:r>
              <w:rPr>
                <w:rFonts w:hint="eastAsia"/>
                <w:b w:val="0"/>
                <w:bCs/>
                <w:i w:val="0"/>
                <w:iCs/>
                <w:sz w:val="24"/>
                <w:highlight w:val="none"/>
              </w:rPr>
              <w:t>人，评审专家</w:t>
            </w:r>
            <w:r>
              <w:rPr>
                <w:rFonts w:hint="eastAsia"/>
                <w:b w:val="0"/>
                <w:bCs/>
                <w:i w:val="0"/>
                <w:iCs/>
                <w:sz w:val="24"/>
                <w:highlight w:val="none"/>
                <w:lang w:val="en-US" w:eastAsia="zh-CN"/>
              </w:rPr>
              <w:t>4</w:t>
            </w:r>
            <w:r>
              <w:rPr>
                <w:rFonts w:hint="eastAsia"/>
                <w:b w:val="0"/>
                <w:bCs/>
                <w:i w:val="0"/>
                <w:iCs/>
                <w:sz w:val="24"/>
                <w:highlight w:val="none"/>
              </w:rPr>
              <w:t>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b/>
                <w:i/>
                <w:sz w:val="24"/>
                <w:highlight w:val="none"/>
              </w:rPr>
            </w:pPr>
            <w:r>
              <w:rPr>
                <w:rFonts w:hint="eastAsia"/>
                <w:b w:val="0"/>
                <w:bCs/>
                <w:i w:val="0"/>
                <w:iCs/>
                <w:sz w:val="24"/>
                <w:highlight w:val="none"/>
              </w:rPr>
              <w:t>评审专家产生方式：从财政部门的政府采购专家库中随机抽取。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30.6</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ascii="宋体" w:hAnsi="宋体" w:eastAsia="宋体" w:cs="宋体"/>
                <w:sz w:val="24"/>
                <w:szCs w:val="24"/>
                <w:highlight w:val="none"/>
              </w:rPr>
              <w:t>其它必要的评标因素和标准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32.2</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eastAsia="宋体"/>
                <w:b w:val="0"/>
                <w:bCs/>
                <w:i w:val="0"/>
                <w:iCs/>
                <w:sz w:val="24"/>
                <w:highlight w:val="none"/>
                <w:lang w:val="en-US" w:eastAsia="zh-CN"/>
              </w:rPr>
            </w:pPr>
            <w:r>
              <w:rPr>
                <w:rFonts w:hint="eastAsia"/>
                <w:b w:val="0"/>
                <w:bCs/>
                <w:i w:val="0"/>
                <w:iCs/>
                <w:sz w:val="24"/>
                <w:highlight w:val="none"/>
                <w:lang w:val="en-US" w:eastAsia="zh-CN"/>
              </w:rPr>
              <w:t>评标方法：综合评分法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32.3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推荐中标候选人的数量：2名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sz w:val="24"/>
                <w:highlight w:val="none"/>
                <w:lang w:val="en-US" w:eastAsia="zh-CN"/>
              </w:rPr>
            </w:pPr>
            <w:r>
              <w:rPr>
                <w:rFonts w:hint="eastAsia"/>
                <w:sz w:val="24"/>
                <w:highlight w:val="none"/>
                <w:lang w:val="en-US" w:eastAsia="zh-CN"/>
              </w:rPr>
              <w:t>33</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default"/>
                <w:b w:val="0"/>
                <w:bCs/>
                <w:i w:val="0"/>
                <w:iCs/>
                <w:sz w:val="24"/>
                <w:highlight w:val="none"/>
                <w:lang w:val="en-US" w:eastAsia="zh-CN"/>
              </w:rPr>
            </w:pPr>
            <w:r>
              <w:rPr>
                <w:rFonts w:hint="eastAsia"/>
                <w:b w:val="0"/>
                <w:bCs/>
                <w:i w:val="0"/>
                <w:iCs/>
                <w:sz w:val="24"/>
                <w:highlight w:val="none"/>
                <w:lang w:val="en-US" w:eastAsia="zh-CN"/>
              </w:rPr>
              <w:t>确定中标人方式：采购人根据评标委员会出具的评标报告中推荐的中标候选人顺序确定中标人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250" w:type="dxa"/>
            <w:gridSpan w:val="2"/>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b w:val="0"/>
                <w:bCs/>
                <w:i w:val="0"/>
                <w:iCs/>
                <w:sz w:val="24"/>
                <w:highlight w:val="none"/>
                <w:lang w:val="en-US" w:eastAsia="zh-CN"/>
              </w:rPr>
            </w:pPr>
            <w:r>
              <w:rPr>
                <w:rFonts w:hint="eastAsia"/>
                <w:b/>
                <w:bCs w:val="0"/>
                <w:i w:val="0"/>
                <w:iCs/>
                <w:sz w:val="24"/>
                <w:highlight w:val="none"/>
                <w:lang w:val="en-US" w:eastAsia="zh-CN"/>
              </w:rPr>
              <w:t>七、授予合同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kern w:val="2"/>
                <w:sz w:val="24"/>
                <w:szCs w:val="24"/>
                <w:highlight w:val="none"/>
                <w:lang w:val="en-US" w:eastAsia="zh-CN" w:bidi="ar-SA"/>
              </w:rPr>
            </w:pPr>
            <w:r>
              <w:rPr>
                <w:rFonts w:hint="eastAsia" w:cs="Times New Roman"/>
                <w:kern w:val="2"/>
                <w:sz w:val="24"/>
                <w:szCs w:val="24"/>
                <w:highlight w:val="none"/>
                <w:lang w:val="en-US" w:eastAsia="zh-CN" w:bidi="ar-SA"/>
              </w:rPr>
              <w:t>40.1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b/>
                <w:i/>
                <w:kern w:val="2"/>
                <w:sz w:val="24"/>
                <w:szCs w:val="24"/>
                <w:highlight w:val="none"/>
                <w:lang w:val="en-US" w:eastAsia="zh-CN" w:bidi="ar-SA"/>
              </w:rPr>
            </w:pPr>
            <w:r>
              <w:rPr>
                <w:rFonts w:hint="eastAsia" w:eastAsia="宋体"/>
                <w:b w:val="0"/>
                <w:bCs/>
                <w:i w:val="0"/>
                <w:iCs/>
                <w:sz w:val="24"/>
                <w:highlight w:val="none"/>
                <w:lang w:val="en-US" w:eastAsia="zh-CN"/>
              </w:rPr>
              <w:t>是否递交履约保证金：否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41.1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采购人需追加（或减少）与合同标的相同的货物、工程或者服务的，在不改变合同其它条款的前提下，可以与供应商签订补充合同，但所有补充合同的采购金额不得超过原合同金额的百分之十。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42.4</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质疑函接收信息</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单    位：河南省机电设备国际招标有限公司</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 系 人：孙鹏</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联系电话：0371-86120878</w:t>
            </w:r>
          </w:p>
          <w:p>
            <w:pPr>
              <w:keepNext w:val="0"/>
              <w:keepLines w:val="0"/>
              <w:pageBreakBefore w:val="0"/>
              <w:kinsoku/>
              <w:wordWrap/>
              <w:overflowPunct/>
              <w:topLinePunct w:val="0"/>
              <w:autoSpaceDE/>
              <w:autoSpaceDN/>
              <w:bidi w:val="0"/>
              <w:adjustRightInd/>
              <w:snapToGrid/>
              <w:spacing w:line="440" w:lineRule="exact"/>
              <w:textAlignment w:val="auto"/>
              <w:rPr>
                <w:rFonts w:hint="default"/>
                <w:highlight w:val="none"/>
                <w:lang w:val="en-US" w:eastAsia="zh-CN"/>
              </w:rPr>
            </w:pPr>
            <w:r>
              <w:rPr>
                <w:rFonts w:hint="eastAsia" w:eastAsia="宋体"/>
                <w:b w:val="0"/>
                <w:bCs/>
                <w:i w:val="0"/>
                <w:iCs/>
                <w:sz w:val="24"/>
                <w:highlight w:val="none"/>
                <w:lang w:val="en-US" w:eastAsia="zh-CN"/>
              </w:rPr>
              <w:t>通讯地址：郑州市商都路27号财信大厦1515室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43.1</w:t>
            </w:r>
          </w:p>
        </w:tc>
        <w:tc>
          <w:tcPr>
            <w:tcW w:w="7446" w:type="dxa"/>
            <w:noWrap w:val="0"/>
            <w:vAlign w:val="center"/>
          </w:tcPr>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预付款比例为：合同总价的30%</w:t>
            </w:r>
          </w:p>
          <w:p>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b w:val="0"/>
                <w:bCs/>
                <w:i w:val="0"/>
                <w:iCs/>
                <w:sz w:val="24"/>
                <w:highlight w:val="none"/>
                <w:lang w:val="en-US" w:eastAsia="zh-CN"/>
              </w:rPr>
            </w:pPr>
            <w:r>
              <w:rPr>
                <w:rFonts w:hint="eastAsia" w:eastAsia="宋体"/>
                <w:b w:val="0"/>
                <w:bCs/>
                <w:i w:val="0"/>
                <w:iCs/>
                <w:sz w:val="24"/>
                <w:highlight w:val="none"/>
                <w:lang w:val="en-US" w:eastAsia="zh-CN"/>
              </w:rPr>
              <w:t>如中标人为中小微企业将支付合同</w:t>
            </w:r>
            <w:r>
              <w:rPr>
                <w:rFonts w:hint="eastAsia"/>
                <w:b w:val="0"/>
                <w:bCs/>
                <w:i w:val="0"/>
                <w:iCs/>
                <w:sz w:val="24"/>
                <w:highlight w:val="none"/>
                <w:lang w:val="en-US" w:eastAsia="zh-CN"/>
              </w:rPr>
              <w:t>总价</w:t>
            </w:r>
            <w:r>
              <w:rPr>
                <w:rFonts w:hint="eastAsia" w:eastAsia="宋体"/>
                <w:b w:val="0"/>
                <w:bCs/>
                <w:i w:val="0"/>
                <w:iCs/>
                <w:sz w:val="24"/>
                <w:highlight w:val="none"/>
                <w:lang w:val="en-US" w:eastAsia="zh-CN"/>
              </w:rPr>
              <w:t>50%的预付款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44.1</w:t>
            </w:r>
          </w:p>
        </w:tc>
        <w:tc>
          <w:tcPr>
            <w:tcW w:w="7446" w:type="dxa"/>
            <w:noWrap w:val="0"/>
            <w:vAlign w:val="center"/>
          </w:tcPr>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由中标人缴纳</w:t>
            </w: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代理费：以采购预算价为基数，参照河南省招标投标协会豫招协【2023】002号文件中规定的招标代理服务收费标准向中标人收取招标代理服务费。</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支付形式：银行转账</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rPr>
              <w:t>支付时间：在收到中标通知书时</w:t>
            </w:r>
          </w:p>
          <w:p>
            <w:pPr>
              <w:spacing w:line="3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采购</w:t>
            </w:r>
            <w:r>
              <w:rPr>
                <w:rFonts w:hint="eastAsia" w:ascii="宋体" w:hAnsi="宋体" w:eastAsia="宋体" w:cs="宋体"/>
                <w:sz w:val="24"/>
                <w:highlight w:val="none"/>
              </w:rPr>
              <w:t>代理费收取信息：</w:t>
            </w:r>
          </w:p>
          <w:p>
            <w:pPr>
              <w:spacing w:line="380" w:lineRule="exact"/>
              <w:rPr>
                <w:rFonts w:hint="eastAsia" w:ascii="宋体" w:hAnsi="宋体" w:eastAsia="宋体" w:cs="宋体"/>
                <w:sz w:val="24"/>
                <w:highlight w:val="none"/>
                <w:lang w:eastAsia="zh-CN"/>
              </w:rPr>
            </w:pPr>
            <w:r>
              <w:rPr>
                <w:rFonts w:hint="eastAsia" w:ascii="宋体" w:hAnsi="宋体" w:eastAsia="宋体" w:cs="宋体"/>
                <w:sz w:val="24"/>
                <w:highlight w:val="none"/>
              </w:rPr>
              <w:t>单位：</w:t>
            </w:r>
            <w:r>
              <w:rPr>
                <w:rFonts w:hint="eastAsia" w:ascii="宋体" w:hAnsi="宋体" w:eastAsia="宋体" w:cs="宋体"/>
                <w:sz w:val="24"/>
                <w:highlight w:val="none"/>
                <w:lang w:val="en-US" w:eastAsia="zh-CN"/>
              </w:rPr>
              <w:t>河南省机电设备国际招标有限公司</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开户行：中国建设银行股份有限公司郑州直属支行</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账号：41001526010059688888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9" w:hRule="atLeast"/>
        </w:trPr>
        <w:tc>
          <w:tcPr>
            <w:tcW w:w="804" w:type="dxa"/>
            <w:noWrap w:val="0"/>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cs="Times New Roman"/>
                <w:kern w:val="2"/>
                <w:sz w:val="24"/>
                <w:szCs w:val="24"/>
                <w:highlight w:val="none"/>
                <w:lang w:val="en-US" w:eastAsia="zh-CN" w:bidi="ar-SA"/>
              </w:rPr>
            </w:pPr>
            <w:r>
              <w:rPr>
                <w:rFonts w:hint="eastAsia" w:cs="Times New Roman"/>
                <w:kern w:val="2"/>
                <w:sz w:val="24"/>
                <w:szCs w:val="24"/>
                <w:highlight w:val="none"/>
                <w:lang w:val="en-US" w:eastAsia="zh-CN" w:bidi="ar-SA"/>
              </w:rPr>
              <w:t>48.1</w:t>
            </w:r>
          </w:p>
        </w:tc>
        <w:tc>
          <w:tcPr>
            <w:tcW w:w="7446" w:type="dxa"/>
            <w:noWrap w:val="0"/>
            <w:vAlign w:val="center"/>
          </w:tcPr>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补充的其他内容</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1.本次采购项目属性：服务</w:t>
            </w:r>
          </w:p>
          <w:p>
            <w:pPr>
              <w:spacing w:line="380" w:lineRule="exac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2.采购标的所对应的中小企业划分标准所属行业：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A包：软件和信息技术服务业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B</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eastAsia" w:ascii="宋体" w:hAnsi="宋体" w:eastAsia="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C</w:t>
            </w:r>
            <w:r>
              <w:rPr>
                <w:rFonts w:hint="eastAsia" w:ascii="宋体" w:hAnsi="宋体" w:eastAsia="宋体" w:cs="宋体"/>
                <w:b/>
                <w:bCs/>
                <w:kern w:val="2"/>
                <w:sz w:val="24"/>
                <w:szCs w:val="24"/>
                <w:highlight w:val="none"/>
                <w:lang w:val="en-US" w:eastAsia="zh-CN" w:bidi="ar-SA"/>
              </w:rPr>
              <w:t>包：软件和信息技术服务业</w:t>
            </w:r>
          </w:p>
          <w:p>
            <w:pPr>
              <w:spacing w:line="380" w:lineRule="exact"/>
              <w:rPr>
                <w:rFonts w:hint="default"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D包：信息传输业</w:t>
            </w:r>
          </w:p>
        </w:tc>
      </w:tr>
    </w:tbl>
    <w:p>
      <w:pPr>
        <w:rPr>
          <w:highlight w:val="none"/>
        </w:rPr>
      </w:pPr>
      <w:r>
        <w:rPr>
          <w:highlight w:val="none"/>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rPr>
      </w:pPr>
      <w:bookmarkStart w:id="10" w:name="_Toc2211"/>
      <w:bookmarkStart w:id="11" w:name="_Toc26127"/>
      <w:bookmarkStart w:id="12" w:name="_Toc27688"/>
      <w:r>
        <w:rPr>
          <w:rFonts w:hint="eastAsia" w:ascii="宋体" w:hAnsi="宋体" w:eastAsia="宋体" w:cs="宋体"/>
          <w:sz w:val="24"/>
          <w:szCs w:val="24"/>
          <w:highlight w:val="none"/>
        </w:rPr>
        <w:t>投标人须知正文</w:t>
      </w:r>
      <w:bookmarkEnd w:id="10"/>
      <w:bookmarkEnd w:id="11"/>
      <w:bookmarkEnd w:id="12"/>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3" w:name="_Toc14017"/>
      <w:bookmarkStart w:id="14" w:name="_Toc184"/>
      <w:bookmarkStart w:id="15" w:name="_Toc7391"/>
      <w:r>
        <w:rPr>
          <w:rFonts w:hint="eastAsia" w:ascii="宋体" w:hAnsi="宋体" w:eastAsia="宋体" w:cs="宋体"/>
          <w:sz w:val="24"/>
          <w:szCs w:val="24"/>
          <w:highlight w:val="none"/>
        </w:rPr>
        <w:t>一、前言</w:t>
      </w:r>
      <w:bookmarkEnd w:id="13"/>
      <w:bookmarkEnd w:id="14"/>
      <w:bookmarkEnd w:id="1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b/>
          <w:bCs/>
          <w:sz w:val="24"/>
          <w:szCs w:val="24"/>
          <w:highlight w:val="none"/>
        </w:rPr>
      </w:pPr>
      <w:bookmarkStart w:id="16" w:name="_Toc21079"/>
      <w:r>
        <w:rPr>
          <w:rFonts w:hint="eastAsia"/>
          <w:b/>
          <w:bCs/>
          <w:sz w:val="24"/>
          <w:szCs w:val="24"/>
          <w:highlight w:val="none"/>
        </w:rPr>
        <w:t>适用范围</w:t>
      </w:r>
      <w:bookmarkEnd w:id="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本招标文件适用于本次公开招标的货物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w:t>
      </w:r>
      <w:r>
        <w:rPr>
          <w:rFonts w:hint="eastAsia" w:ascii="宋体" w:hAnsi="宋体" w:cs="宋体"/>
          <w:sz w:val="24"/>
          <w:szCs w:val="24"/>
          <w:highlight w:val="none"/>
          <w:lang w:val="en-US" w:eastAsia="zh-CN"/>
        </w:rPr>
        <w:t>本次招标项目的基本情况见</w:t>
      </w:r>
      <w:r>
        <w:rPr>
          <w:rFonts w:hint="eastAsia" w:ascii="宋体" w:hAnsi="宋体" w:eastAsia="宋体" w:cs="宋体"/>
          <w:sz w:val="24"/>
          <w:szCs w:val="24"/>
          <w:highlight w:val="none"/>
        </w:rPr>
        <w:t>“投标人须知前附表”</w:t>
      </w:r>
      <w:r>
        <w:rPr>
          <w:rFonts w:hint="eastAsia" w:ascii="宋体" w:hAnsi="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适用的法律法规：本项目采购人、采购代理机构、投标人、评标委员会的相关行为均受《中华人民共和国政府采购法》、《中华人民共和国政府采购法实施条例》、《政府采购货物和服务招标投标管理办法》及本项目本级和上级财政部门政府采购有关规定的约束和保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7" w:name="_Toc4531"/>
      <w:r>
        <w:rPr>
          <w:rFonts w:hint="eastAsia" w:ascii="Times New Roman" w:hAnsi="Times New Roman" w:eastAsia="宋体" w:cs="Times New Roman"/>
          <w:b/>
          <w:bCs/>
          <w:sz w:val="24"/>
          <w:szCs w:val="24"/>
          <w:highlight w:val="none"/>
        </w:rPr>
        <w:t>定义</w:t>
      </w:r>
      <w:bookmarkEnd w:id="1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采购人:“投标人须知前附表”中所述的依法进行政府采购的国家机关、事业单位、团体组织。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采购代理机构：“投标人须知前附表”中所述的，受采购人委托组织招标活动，在招标过程中负有相应义务和责任的社会中介组织。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投标人：指已按规定获取了该项目的招标文件，且已经提交本次投标文件的供应商。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政府采购监督管理部门：“投标人须知前附表”中所述的依法对政府采购进行监督管理的部门。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公章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指投标人的行政章。</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天（日）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除特别指明外，指日历天。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中标人：接到并接受中标通知，最终被授予合同的投标人。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投标文件：指投标人根据招标文件要求在投标截止时间前提交的所有文件。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8" w:name="_Toc20850"/>
      <w:r>
        <w:rPr>
          <w:rFonts w:hint="eastAsia" w:ascii="Times New Roman" w:hAnsi="Times New Roman" w:eastAsia="宋体" w:cs="Times New Roman"/>
          <w:b/>
          <w:bCs/>
          <w:sz w:val="24"/>
          <w:szCs w:val="24"/>
          <w:highlight w:val="none"/>
        </w:rPr>
        <w:t>合格的投标人</w:t>
      </w:r>
      <w:bookmarkEnd w:id="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具备</w:t>
      </w:r>
      <w:r>
        <w:rPr>
          <w:rFonts w:hint="eastAsia" w:ascii="宋体" w:hAnsi="宋体" w:eastAsia="宋体" w:cs="宋体"/>
          <w:bCs/>
          <w:sz w:val="24"/>
          <w:szCs w:val="24"/>
          <w:highlight w:val="none"/>
        </w:rPr>
        <w:t>《政府采购法》第二十二条规定的条件：</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具有独立承担民事责任的能力；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具有良好的商业信誉和健全的财务会计制度；</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具有完成本次招标项目履行合同所必需的设备和专业技术能力；</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有依法缴纳税收和社会保障资金的良好记录；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参加政府采购活动前三年内，在经营活动中没有重大违法记录；</w:t>
      </w:r>
    </w:p>
    <w:p>
      <w:pPr>
        <w:pageBreakBefore w:val="0"/>
        <w:widowControl w:val="0"/>
        <w:numPr>
          <w:ilvl w:val="0"/>
          <w:numId w:val="2"/>
        </w:numPr>
        <w:kinsoku/>
        <w:wordWrap/>
        <w:overflowPunct/>
        <w:topLinePunct w:val="0"/>
        <w:autoSpaceDE/>
        <w:autoSpaceDN/>
        <w:bidi w:val="0"/>
        <w:adjustRightInd/>
        <w:snapToGrid/>
        <w:spacing w:line="540" w:lineRule="exact"/>
        <w:textAlignment w:val="auto"/>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法律、行政法规规定的其他条件。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具备</w:t>
      </w:r>
      <w:r>
        <w:rPr>
          <w:rFonts w:hint="eastAsia" w:ascii="宋体" w:hAnsi="宋体" w:eastAsia="宋体" w:cs="宋体"/>
          <w:sz w:val="24"/>
          <w:szCs w:val="24"/>
          <w:highlight w:val="none"/>
        </w:rPr>
        <w:t>“投标人须知前附表”规定的其他资格条件。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19" w:name="_Toc15407"/>
      <w:r>
        <w:rPr>
          <w:rFonts w:hint="eastAsia" w:ascii="Times New Roman" w:hAnsi="Times New Roman" w:eastAsia="宋体" w:cs="Times New Roman"/>
          <w:b/>
          <w:bCs/>
          <w:sz w:val="24"/>
          <w:szCs w:val="24"/>
          <w:highlight w:val="none"/>
        </w:rPr>
        <w:t>投标费用</w:t>
      </w:r>
      <w:bookmarkEnd w:id="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无论投标过程中的作法和结果如何,投标人应自行承担所有与参加投标有关的全部费用，采购代理机构在任何情况下均无义务和责任承担上述费用。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0" w:name="_Toc21436"/>
      <w:r>
        <w:rPr>
          <w:rFonts w:hint="eastAsia" w:ascii="Times New Roman" w:hAnsi="Times New Roman" w:eastAsia="宋体" w:cs="Times New Roman"/>
          <w:b/>
          <w:bCs/>
          <w:sz w:val="24"/>
          <w:szCs w:val="24"/>
          <w:highlight w:val="none"/>
        </w:rPr>
        <w:t>知识产权</w:t>
      </w:r>
      <w:bookmarkEnd w:id="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保证采购人在中华人民共和国境内使用投标产品、资料、技术、服务或其任何一部分时，不会产生因第三方提出侵犯其专利权、商标权或其它知识产权而引起的法律或经济纠纷。如投标人不拥有相应的知识产权，则在投标报价中必须包含合法获取该知识产权的一切相关费用。如因此导致采购人损失的，投标人须承担全部赔偿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投标人如欲在项目实施过程中采用自有知识成果，须在投标文件中声明，并提供相关知识产权证明文件。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21" w:name="_Toc17596"/>
      <w:r>
        <w:rPr>
          <w:rFonts w:hint="eastAsia" w:ascii="Times New Roman" w:hAnsi="Times New Roman" w:eastAsia="宋体" w:cs="Times New Roman"/>
          <w:b/>
          <w:bCs/>
          <w:sz w:val="24"/>
          <w:szCs w:val="24"/>
          <w:highlight w:val="none"/>
        </w:rPr>
        <w:t>联合体投标</w:t>
      </w:r>
      <w:bookmarkEnd w:id="2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除非本项目明确要求不接受联合体形式投标外，两个以上的自然人、法人或者其他组织可以组成一个联合体，以一个投标人的身份共同参加本项目的投标。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以联合体形式参加投标的，联合体各方均应当符合《中华人民共和国政府采购法》第二十二条规定的条件，根据采购项目的特殊要求规定投标人特定条件的，联合体各方中至少应当有一方符合。</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联合体各方应当签订“联合体协议书”，明确约定联合体各方承担的工作和相应的责任，并将“联合体协议书”作为投标文件的组成部分随投标文件一同递交。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u w:val="none"/>
        </w:rPr>
        <w:t>组成联合体共同参加投标，联合体协议中应写明小型、微型企业所提供</w:t>
      </w:r>
      <w:r>
        <w:rPr>
          <w:rFonts w:hint="eastAsia" w:ascii="宋体" w:hAnsi="宋体" w:eastAsia="宋体" w:cs="宋体"/>
          <w:sz w:val="24"/>
          <w:szCs w:val="24"/>
          <w:highlight w:val="none"/>
          <w:u w:val="none"/>
          <w:lang w:val="en-US" w:eastAsia="zh-CN"/>
        </w:rPr>
        <w:t>货物或服务</w:t>
      </w:r>
      <w:r>
        <w:rPr>
          <w:rFonts w:hint="eastAsia" w:ascii="宋体" w:hAnsi="宋体" w:eastAsia="宋体" w:cs="宋体"/>
          <w:sz w:val="24"/>
          <w:szCs w:val="24"/>
          <w:highlight w:val="none"/>
          <w:u w:val="none"/>
        </w:rPr>
        <w:t>的合同金额占到联合体各方全部提供</w:t>
      </w:r>
      <w:r>
        <w:rPr>
          <w:rFonts w:hint="eastAsia" w:ascii="宋体" w:hAnsi="宋体" w:eastAsia="宋体" w:cs="宋体"/>
          <w:sz w:val="24"/>
          <w:szCs w:val="24"/>
          <w:highlight w:val="none"/>
          <w:u w:val="none"/>
          <w:lang w:val="en-US" w:eastAsia="zh-CN"/>
        </w:rPr>
        <w:t>的货物或服务</w:t>
      </w:r>
      <w:r>
        <w:rPr>
          <w:rFonts w:hint="eastAsia" w:ascii="宋体" w:hAnsi="宋体" w:eastAsia="宋体" w:cs="宋体"/>
          <w:sz w:val="24"/>
          <w:szCs w:val="24"/>
          <w:highlight w:val="none"/>
          <w:u w:val="none"/>
        </w:rPr>
        <w:t>合同总金额的比例</w:t>
      </w:r>
      <w:r>
        <w:rPr>
          <w:rFonts w:hint="eastAsia" w:ascii="宋体" w:hAnsi="宋体" w:cs="宋体"/>
          <w:sz w:val="24"/>
          <w:szCs w:val="24"/>
          <w:highlight w:val="none"/>
          <w:u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联合体中有同类资质的投标人按照联合体分工承担相同工作的，按照较低的资质等级确定联合体的资质等级。</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以联合体形式参加政府采购活动的，联合体各方不得再单独参加或者与其他投标人另外组成联合体参加本项目同一合同项下的采购活动，否则相关投标文件将被认定为无效投标文件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以联合体形式中标的，联合体各方应共同与采购人签订采购合同，就采购合同约定的事项对采购人承担连带责任。</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22" w:name="_Toc22568790"/>
      <w:bookmarkStart w:id="23" w:name="_Toc19957"/>
      <w:bookmarkStart w:id="24" w:name="_Toc30214"/>
      <w:bookmarkStart w:id="25" w:name="_Toc14686"/>
      <w:bookmarkStart w:id="26" w:name="_Toc500170648"/>
      <w:bookmarkStart w:id="27" w:name="_Toc22804076"/>
      <w:bookmarkStart w:id="28" w:name="_Toc22723957"/>
      <w:bookmarkStart w:id="29" w:name="_Toc22570497"/>
      <w:bookmarkStart w:id="30" w:name="_Toc22953398"/>
      <w:bookmarkStart w:id="31" w:name="_Toc22962879"/>
      <w:bookmarkStart w:id="32" w:name="_Toc497920485"/>
      <w:r>
        <w:rPr>
          <w:rFonts w:hint="eastAsia" w:ascii="宋体" w:hAnsi="宋体" w:eastAsia="宋体" w:cs="宋体"/>
          <w:sz w:val="24"/>
          <w:szCs w:val="24"/>
          <w:highlight w:val="none"/>
        </w:rPr>
        <w:t>二、招标文件</w:t>
      </w:r>
      <w:bookmarkEnd w:id="22"/>
      <w:bookmarkEnd w:id="23"/>
      <w:bookmarkEnd w:id="24"/>
      <w:bookmarkEnd w:id="25"/>
      <w:bookmarkEnd w:id="26"/>
      <w:bookmarkEnd w:id="27"/>
      <w:bookmarkEnd w:id="28"/>
      <w:bookmarkEnd w:id="29"/>
      <w:bookmarkEnd w:id="30"/>
      <w:bookmarkEnd w:id="31"/>
      <w:bookmarkEnd w:id="3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3" w:name="_Toc21514"/>
      <w:r>
        <w:rPr>
          <w:rFonts w:hint="eastAsia" w:ascii="Times New Roman" w:hAnsi="Times New Roman" w:eastAsia="宋体" w:cs="Times New Roman"/>
          <w:b/>
          <w:bCs/>
          <w:sz w:val="24"/>
          <w:szCs w:val="24"/>
          <w:highlight w:val="none"/>
        </w:rPr>
        <w:t>招标文件的构成</w:t>
      </w:r>
      <w:bookmarkEnd w:id="3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招标文件用以阐明本次招标的货物</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服务要求、招标投标程序和合同条件。</w:t>
      </w:r>
    </w:p>
    <w:p>
      <w:pPr>
        <w:pStyle w:val="25"/>
        <w:pageBreakBefore w:val="0"/>
        <w:widowControl w:val="0"/>
        <w:tabs>
          <w:tab w:val="left" w:pos="720"/>
          <w:tab w:val="left" w:pos="1080"/>
        </w:tabs>
        <w:kinsoku/>
        <w:wordWrap/>
        <w:overflowPunct/>
        <w:topLinePunct w:val="0"/>
        <w:autoSpaceDE/>
        <w:autoSpaceDN/>
        <w:bidi w:val="0"/>
        <w:adjustRightInd/>
        <w:snapToGrid/>
        <w:spacing w:line="540" w:lineRule="exact"/>
        <w:ind w:left="720"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招标文件由下述部分组成：</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投标邀请（</w:t>
      </w:r>
      <w:r>
        <w:rPr>
          <w:rFonts w:hint="eastAsia" w:ascii="宋体" w:hAnsi="宋体" w:eastAsia="宋体" w:cs="宋体"/>
          <w:sz w:val="24"/>
          <w:szCs w:val="24"/>
          <w:highlight w:val="none"/>
        </w:rPr>
        <w:t>招标公告</w:t>
      </w:r>
      <w:r>
        <w:rPr>
          <w:rFonts w:hint="eastAsia" w:ascii="宋体" w:hAnsi="宋体" w:eastAsia="宋体" w:cs="宋体"/>
          <w:sz w:val="24"/>
          <w:szCs w:val="24"/>
          <w:highlight w:val="none"/>
          <w:lang w:val="en-US" w:eastAsia="zh-CN"/>
        </w:rPr>
        <w:t>）</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投标人须知</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采购需求</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评标方法和标准</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政府采购合同</w:t>
      </w:r>
    </w:p>
    <w:p>
      <w:pPr>
        <w:pStyle w:val="23"/>
        <w:pageBreakBefore w:val="0"/>
        <w:widowControl w:val="0"/>
        <w:numPr>
          <w:ilvl w:val="0"/>
          <w:numId w:val="3"/>
        </w:numPr>
        <w:tabs>
          <w:tab w:val="left" w:pos="108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投标文件格式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仔细阅读招标文件中投标人须知、合同条款的所有事项、文本要求和技术规范等所有事项，按招标文件的要求提供投标文件，并保证所提供的全部资料的真实性，以使其投标对招标文件做出实质性响应，否则，将承担其投标无效的风险。</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招标文件中有不一致(或矛盾)的，有澄清的部分以最终的澄清更正内容为准；未澄清的，按照招标公告、评标方法和标准、采购需求、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须知、政府采购合同、投标文件格式的顺序进行解释，排名在前的具有优先解释权。第二章</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须知中，如果</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须知前附表的内容与</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须知中的内容有不一致(或矛盾)的以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34" w:name="_Toc31036"/>
      <w:r>
        <w:rPr>
          <w:rFonts w:hint="eastAsia" w:ascii="Times New Roman" w:hAnsi="Times New Roman" w:eastAsia="宋体" w:cs="Times New Roman"/>
          <w:b/>
          <w:bCs/>
          <w:sz w:val="24"/>
          <w:szCs w:val="24"/>
          <w:highlight w:val="none"/>
        </w:rPr>
        <w:t>招标文件的澄清或修改</w:t>
      </w:r>
      <w:bookmarkEnd w:id="3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应仔细阅读和检查招标文件的全部内容。如发现缺页或附件不全，应及时向采购代理机构提出，以便补齐。</w:t>
      </w:r>
      <w:r>
        <w:rPr>
          <w:rFonts w:hint="eastAsia" w:ascii="宋体" w:hAnsi="宋体" w:eastAsia="宋体" w:cs="宋体"/>
          <w:sz w:val="24"/>
          <w:szCs w:val="24"/>
          <w:highlight w:val="none"/>
        </w:rPr>
        <w:t>任何对招标文件认为有需要澄清的疑问的潜在投标人，应在本章前附表规定的时间和形式向采购代理机构提出。未在规定的时间和形式前提出的疑问，采购代理机构有权不再接受。对招标文件中描述有歧义或前后不一致的地方，评标委员会有权进行评判，但对同一条款的评判应适用于每个供应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澄清或修改，采购人或采购代理机构将在原公告发布媒体上发布澄清公告。招标期间，供应商可上网查看，澄清或修改公告一经上网发布，即视为书面通知，已送达所有投标人。招标文件的澄清或修改内容作为招标文件的组成部分，具有约束作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充分的时间对招标文件的澄清或修改部分进行研究，采购代理机构可延长投标截止日期。在招标公告中所述的投标截止日期前，采购代理机构可主动地或在解答投标人提出的澄清问题时对招标文件进行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公共资源</w:t>
      </w:r>
      <w:r>
        <w:rPr>
          <w:rFonts w:hint="eastAsia" w:ascii="宋体" w:hAnsi="宋体" w:eastAsia="宋体" w:cs="宋体"/>
          <w:sz w:val="24"/>
          <w:szCs w:val="24"/>
          <w:highlight w:val="none"/>
        </w:rPr>
        <w:t>交易平台投标人信息在投标截止时间前具有保密性，投标人在投标截止时间前应当自行查看项目进展、答疑、变更（澄清或更正）通知、澄清及回复，因投标人未及时查看（或未按要求编制投标文件）而造成的后果自负，采购人和采购代理机构不承担相关法律责任。</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为使投标人有足够的时间对招标文件的澄清、更正或修改部分进行研究而准备编制投标文件或因其他原因，采购人将依法决定是否顺延投标截止时间。</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eastAsia="zh-CN"/>
        </w:rPr>
      </w:pPr>
      <w:bookmarkStart w:id="35" w:name="_Toc22723958"/>
      <w:bookmarkStart w:id="36" w:name="_Toc22804077"/>
      <w:bookmarkStart w:id="37" w:name="_Toc9818"/>
      <w:bookmarkStart w:id="38" w:name="_Toc500170649"/>
      <w:bookmarkStart w:id="39" w:name="_Toc22570498"/>
      <w:bookmarkStart w:id="40" w:name="_Toc28925"/>
      <w:bookmarkStart w:id="41" w:name="_Toc22962880"/>
      <w:bookmarkStart w:id="42" w:name="_Toc22568791"/>
      <w:bookmarkStart w:id="43" w:name="_Toc497920486"/>
      <w:bookmarkStart w:id="44" w:name="_Toc22953399"/>
      <w:bookmarkStart w:id="45" w:name="_Toc19778"/>
      <w:r>
        <w:rPr>
          <w:rFonts w:hint="eastAsia" w:ascii="宋体" w:hAnsi="宋体" w:eastAsia="宋体" w:cs="宋体"/>
          <w:sz w:val="24"/>
          <w:szCs w:val="24"/>
          <w:highlight w:val="none"/>
        </w:rPr>
        <w:t>三、投标文件的</w:t>
      </w:r>
      <w:bookmarkEnd w:id="35"/>
      <w:bookmarkEnd w:id="36"/>
      <w:bookmarkEnd w:id="37"/>
      <w:bookmarkEnd w:id="38"/>
      <w:bookmarkEnd w:id="39"/>
      <w:bookmarkEnd w:id="40"/>
      <w:bookmarkEnd w:id="41"/>
      <w:bookmarkEnd w:id="42"/>
      <w:bookmarkEnd w:id="43"/>
      <w:bookmarkEnd w:id="44"/>
      <w:r>
        <w:rPr>
          <w:rFonts w:hint="eastAsia" w:ascii="宋体" w:hAnsi="宋体" w:eastAsia="宋体" w:cs="宋体"/>
          <w:sz w:val="24"/>
          <w:szCs w:val="24"/>
          <w:highlight w:val="none"/>
          <w:lang w:val="en-US" w:eastAsia="zh-CN"/>
        </w:rPr>
        <w:t>编制</w:t>
      </w:r>
      <w:bookmarkEnd w:id="45"/>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6" w:name="_Toc2192"/>
      <w:r>
        <w:rPr>
          <w:rFonts w:hint="eastAsia" w:ascii="Times New Roman" w:hAnsi="Times New Roman" w:eastAsia="宋体" w:cs="Times New Roman"/>
          <w:b/>
          <w:bCs/>
          <w:sz w:val="24"/>
          <w:szCs w:val="24"/>
          <w:highlight w:val="none"/>
        </w:rPr>
        <w:t>投标语言</w:t>
      </w:r>
      <w:bookmarkEnd w:id="4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除专用术语外，投标文件以及投标人所有与采购人及采购代理机构就投标来往的文件、资料均使用中文。如果投标人提供有外文资料应附有相应的中文译本，并以中文译本为准。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7" w:name="_Toc27126"/>
      <w:r>
        <w:rPr>
          <w:rFonts w:hint="eastAsia" w:ascii="Times New Roman" w:hAnsi="Times New Roman" w:eastAsia="宋体" w:cs="Times New Roman"/>
          <w:b/>
          <w:bCs/>
          <w:sz w:val="24"/>
          <w:szCs w:val="24"/>
          <w:highlight w:val="none"/>
        </w:rPr>
        <w:t>投标文件计量单位</w:t>
      </w:r>
      <w:bookmarkEnd w:id="4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除招标文件中有特殊要求外，投标文件中所使用的计量单位，应采用中华人民共和国法定计量单位。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8" w:name="_Toc8065"/>
      <w:r>
        <w:rPr>
          <w:rFonts w:hint="eastAsia" w:ascii="Times New Roman" w:hAnsi="Times New Roman" w:eastAsia="宋体" w:cs="Times New Roman"/>
          <w:b/>
          <w:bCs/>
          <w:sz w:val="24"/>
          <w:szCs w:val="24"/>
          <w:highlight w:val="none"/>
        </w:rPr>
        <w:t>投标文件的组成</w:t>
      </w:r>
      <w:bookmarkEnd w:id="4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投标文件须包括招标文件“第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投标文件格式”中所要求的内容。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招标文件中的每个分包，是项目招标不可拆分的最小投标单元，</w:t>
      </w:r>
      <w:r>
        <w:rPr>
          <w:rFonts w:hint="eastAsia" w:ascii="宋体" w:hAnsi="宋体" w:eastAsia="宋体" w:cs="宋体"/>
          <w:b w:val="0"/>
          <w:bCs w:val="0"/>
          <w:sz w:val="24"/>
          <w:szCs w:val="24"/>
          <w:highlight w:val="none"/>
          <w:u w:val="none"/>
        </w:rPr>
        <w:t>当采购项目分为两个及以上不同“包”或“标段”的，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应当以招标文件中的“包”或“标段”为单位编制投标文件；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当对所投“包”或“标段”按照招标文件中对应“包”或“标段”的“采购需求”中所列的所有采购内容进行投标及报价；如仅对“包”或“标段”中“采购需求”的部分内容进行投标（或报价），其该包（或标段）的投标文件将被认定为无效投标文件。</w:t>
      </w:r>
      <w:r>
        <w:rPr>
          <w:rFonts w:hint="eastAsia" w:ascii="宋体" w:hAnsi="宋体" w:eastAsia="宋体" w:cs="宋体"/>
          <w:sz w:val="24"/>
          <w:szCs w:val="24"/>
          <w:highlight w:val="none"/>
          <w:u w:val="none"/>
        </w:rPr>
        <w:t>招标文件中允许的偏差除外</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49" w:name="_Toc30363"/>
      <w:r>
        <w:rPr>
          <w:rFonts w:hint="eastAsia" w:ascii="Times New Roman" w:hAnsi="Times New Roman" w:eastAsia="宋体" w:cs="Times New Roman"/>
          <w:b/>
          <w:bCs/>
          <w:sz w:val="24"/>
          <w:szCs w:val="24"/>
          <w:highlight w:val="none"/>
        </w:rPr>
        <w:t>投标格式</w:t>
      </w:r>
      <w:bookmarkEnd w:id="4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完整地按照招标文件“第六章投标文件格式”中提供的格式及要求编制投标文件，招标文件提供标准格式的按标准格式编制，未提供标准格式的可自行拟定。投标文件中资格审查和符合性审查涉及的事项不满足招标文件要求的，其投标文件将被认定为无效投标文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0" w:name="_Toc15180"/>
      <w:r>
        <w:rPr>
          <w:rFonts w:hint="eastAsia" w:ascii="Times New Roman" w:hAnsi="Times New Roman" w:eastAsia="宋体" w:cs="Times New Roman"/>
          <w:b/>
          <w:bCs/>
          <w:sz w:val="24"/>
          <w:szCs w:val="24"/>
          <w:highlight w:val="none"/>
        </w:rPr>
        <w:t>投标报价</w:t>
      </w:r>
      <w:bookmarkEnd w:id="50"/>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以“包或标段”为基本单位进行投标报价。投标人的投标报价应当包括满足所投“包或标段”所应提供货物或服务的全部内容(除非在投标人须知前附表中另有规定)。所有投标均应以人民币报价。投标人的投标报价应遵守《中华人民共和国价格法》</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照招标文件中所提供的“采购需求”、质量要求、采购预算等全部内容，结合本项目实际情况和投标人自身成本、市场行情等因素，自主报价，且不得高于采购人给定的预算价或最高限价，否则投标文件将被认定为无效投标文件</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提供的报价表格式如实填写各项货物或服务的单价、分项总价和投标总报价。投标人应认真填报所有项目的单价和合价，投标文件中若有漏项、漏报，采购人视为该部分的报价投标人已包含在投标总报价中，风险由投标人自行承担，采购人将不再给予调整。投标人如果被确定为中标人，该投标人所报价格，在合同履行过程中是固定不变的，除因设计或是采购人原因引起的变更外，不予调整。投标人报价有算术错误的，其风险由投标人承担</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投标人的投标总报价应当包括：所提供货物或服务需要缴纳的所有税费的价格，包括调试、检验、技术服务、培训和采购文件要求提供的所有伴随服务等费用及交付采购人使用前发生的其它费用</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除非招标文件另有规定，每一“包”或“标段”只允许有一个投标总报价，任何有选择的投标总报价或替代方案将导致投标文件无效</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招标文件中规定的情况外，投标人不得以任何理由在投标截止时间后对投标报价予以修改。投标报价在投标有效期内是固定的，除招标文件中约定的原因外，不因任何原因而改变。任何包含价格调整要求和条件的投标（招标文件中约定的原因除外），将被视为非实质性响应投标而予以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投标人在报价时应考虑期间的物价上涨，政策性调整等诸多因素以及由此引起的费用变动并计入总报价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采购人不接受具有附加条件的报价或多个方案的报价</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报价中不允许提供赠品、回扣或者与采购无关的其他商品、服务。</w:t>
      </w:r>
    </w:p>
    <w:p>
      <w:pPr>
        <w:pageBreakBefore w:val="0"/>
        <w:widowControl w:val="0"/>
        <w:numPr>
          <w:ilvl w:val="1"/>
          <w:numId w:val="1"/>
        </w:numPr>
        <w:tabs>
          <w:tab w:val="left" w:pos="709"/>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如果单价、分项总价和总投标价之间有差异，按招标文件规定方式调整。投标人必须无条件接受评标委员会根据本招标文件规定方式进行的价格调整。</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1" w:name="_Toc15272"/>
      <w:r>
        <w:rPr>
          <w:rFonts w:hint="eastAsia" w:ascii="Times New Roman" w:hAnsi="Times New Roman" w:eastAsia="宋体" w:cs="Times New Roman"/>
          <w:b/>
          <w:bCs/>
          <w:sz w:val="24"/>
          <w:szCs w:val="24"/>
          <w:highlight w:val="none"/>
        </w:rPr>
        <w:t>投标货币</w:t>
      </w:r>
      <w:bookmarkEnd w:id="5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napToGrid w:val="0"/>
          <w:kern w:val="0"/>
          <w:sz w:val="24"/>
          <w:szCs w:val="24"/>
          <w:highlight w:val="none"/>
        </w:rPr>
        <w:t>除非另有规定，投标人提供的所有货物和服务</w:t>
      </w:r>
      <w:r>
        <w:rPr>
          <w:rFonts w:hint="eastAsia" w:ascii="宋体" w:hAnsi="宋体" w:eastAsia="宋体" w:cs="宋体"/>
          <w:sz w:val="24"/>
          <w:szCs w:val="24"/>
          <w:highlight w:val="none"/>
        </w:rPr>
        <w:t>用人民币报价。</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napToGrid w:val="0"/>
          <w:kern w:val="0"/>
          <w:sz w:val="24"/>
          <w:szCs w:val="24"/>
          <w:highlight w:val="none"/>
        </w:rPr>
      </w:pPr>
      <w:r>
        <w:rPr>
          <w:rFonts w:hint="eastAsia" w:ascii="宋体" w:hAnsi="宋体" w:eastAsia="宋体" w:cs="宋体"/>
          <w:snapToGrid w:val="0"/>
          <w:kern w:val="0"/>
          <w:sz w:val="24"/>
          <w:szCs w:val="24"/>
          <w:highlight w:val="none"/>
        </w:rPr>
        <w:t>投标人提供从中华人民共和国境外取得的货物和服务应同时提供相应的</w:t>
      </w:r>
      <w:r>
        <w:rPr>
          <w:rFonts w:hint="eastAsia" w:ascii="宋体" w:hAnsi="宋体" w:eastAsia="宋体" w:cs="宋体"/>
          <w:snapToGrid w:val="0"/>
          <w:kern w:val="0"/>
          <w:sz w:val="24"/>
          <w:szCs w:val="24"/>
          <w:highlight w:val="none"/>
          <w:lang w:val="en-US" w:eastAsia="zh-CN"/>
        </w:rPr>
        <w:t>DDP</w:t>
      </w:r>
      <w:r>
        <w:rPr>
          <w:rFonts w:hint="eastAsia" w:ascii="宋体" w:hAnsi="宋体" w:eastAsia="宋体" w:cs="宋体"/>
          <w:snapToGrid w:val="0"/>
          <w:kern w:val="0"/>
          <w:sz w:val="24"/>
          <w:szCs w:val="24"/>
          <w:highlight w:val="none"/>
        </w:rPr>
        <w:t>美元价格，该价格在任何情况下都不对约定投标货币产生影响。（适用于进口产品）</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2" w:name="_Toc2552"/>
      <w:r>
        <w:rPr>
          <w:rFonts w:hint="eastAsia" w:ascii="Times New Roman" w:hAnsi="Times New Roman" w:eastAsia="宋体" w:cs="Times New Roman"/>
          <w:b/>
          <w:bCs/>
          <w:sz w:val="24"/>
          <w:szCs w:val="24"/>
          <w:highlight w:val="none"/>
        </w:rPr>
        <w:t>投标人资格的证明文件</w:t>
      </w:r>
      <w:bookmarkEnd w:id="5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章投标文件格式规定的要求提交相应的资格证明文件，作为投标文件的一部分，以证明其有资格进行投标和有能力履行合同。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除非特别指明，本次招标不接受从中华人民共和国境外取得的货物，如明确指明可以采购进口货物，则必须有货物制造商或其指定代理出具响应本次招标的投标货物的正式授权书。</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3" w:name="_Toc16590"/>
      <w:r>
        <w:rPr>
          <w:rFonts w:hint="eastAsia" w:ascii="Times New Roman" w:hAnsi="Times New Roman" w:eastAsia="宋体" w:cs="Times New Roman"/>
          <w:b/>
          <w:bCs/>
          <w:sz w:val="24"/>
          <w:szCs w:val="24"/>
          <w:highlight w:val="none"/>
        </w:rPr>
        <w:t>证明能够满足招标文件技术要求的文件</w:t>
      </w:r>
      <w:bookmarkEnd w:id="5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章投标文件格式规定的要求编制实施或服务方案文件，作为投标文件的一部分，以证明其成果有满足采购人的技术需求。</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应按招标文件中的具体要求递交证明文件，证明所提供</w:t>
      </w:r>
      <w:r>
        <w:rPr>
          <w:rFonts w:hint="eastAsia" w:ascii="宋体" w:hAnsi="宋体" w:eastAsia="宋体" w:cs="宋体"/>
          <w:b w:val="0"/>
          <w:bCs w:val="0"/>
          <w:sz w:val="24"/>
          <w:szCs w:val="24"/>
          <w:highlight w:val="none"/>
          <w:u w:val="none"/>
          <w:lang w:val="en-US" w:eastAsia="zh-CN"/>
        </w:rPr>
        <w:t>货物或服务</w:t>
      </w:r>
      <w:r>
        <w:rPr>
          <w:rFonts w:hint="eastAsia" w:ascii="宋体" w:hAnsi="宋体" w:eastAsia="宋体" w:cs="宋体"/>
          <w:b w:val="0"/>
          <w:bCs w:val="0"/>
          <w:sz w:val="24"/>
          <w:szCs w:val="24"/>
          <w:highlight w:val="none"/>
          <w:u w:val="none"/>
        </w:rPr>
        <w:t>符合招标文件的规定。该证明文件是投标文件的技术文件</w:t>
      </w:r>
      <w:r>
        <w:rPr>
          <w:rFonts w:hint="eastAsia" w:ascii="宋体" w:hAnsi="宋体" w:eastAsia="宋体" w:cs="宋体"/>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证明文件可以是文字资料、图纸和数据，但应符合招标文件中的要求</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4" w:name="_Toc18218"/>
      <w:r>
        <w:rPr>
          <w:rFonts w:hint="eastAsia" w:ascii="Times New Roman" w:hAnsi="Times New Roman" w:eastAsia="宋体" w:cs="Times New Roman"/>
          <w:b/>
          <w:bCs/>
          <w:sz w:val="24"/>
          <w:szCs w:val="24"/>
          <w:highlight w:val="none"/>
        </w:rPr>
        <w:t>投标承诺函</w:t>
      </w:r>
      <w:bookmarkEnd w:id="5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投标人应按招标文件规定的格式，在投标文件中提交投标承诺函。</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投标承诺函是为了保护采购人及采购代理机构避免因投标人的行为带来的损失。采购人及采购代理机构因投标人的行为受到损害时，将根据1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 xml:space="preserve">.3条规定追究投标人的责任，并赔偿损失。 </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下列任何情况发生时，投标人应向采购人赔偿损失：</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投标人在招标文件规定的投标有效期内撤回其投标；</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中标人除因不可抗力未在规定时间内签订合同或拒绝与采购人订立合同或提出不合理要求的;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将中标项目转让给他人，或者在投标文件中未说明，且未经采购人同意，将中标项目分包给他人的；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中标人未能按招标文件规定提交履约保证金；</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未按招标文件规定按时向采购代理机构交纳中标服务费；</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left="1276" w:hanging="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在采购活动中发生违法失信行为，导致采购失效或给采购人造成损失的；</w:t>
      </w:r>
    </w:p>
    <w:p>
      <w:pPr>
        <w:pStyle w:val="23"/>
        <w:pageBreakBefore w:val="0"/>
        <w:widowControl w:val="0"/>
        <w:numPr>
          <w:ilvl w:val="2"/>
          <w:numId w:val="4"/>
        </w:numPr>
        <w:tabs>
          <w:tab w:val="left" w:pos="1260"/>
          <w:tab w:val="clear" w:pos="1485"/>
        </w:tabs>
        <w:kinsoku/>
        <w:wordWrap/>
        <w:overflowPunct/>
        <w:topLinePunct w:val="0"/>
        <w:autoSpaceDE/>
        <w:autoSpaceDN/>
        <w:bidi w:val="0"/>
        <w:adjustRightInd/>
        <w:snapToGrid/>
        <w:spacing w:line="540" w:lineRule="exact"/>
        <w:ind w:hanging="765"/>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其他违反法律法规的情形。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5" w:name="_Toc17133"/>
      <w:r>
        <w:rPr>
          <w:rFonts w:hint="eastAsia" w:ascii="Times New Roman" w:hAnsi="Times New Roman" w:eastAsia="宋体" w:cs="Times New Roman"/>
          <w:b/>
          <w:bCs/>
          <w:sz w:val="24"/>
          <w:szCs w:val="24"/>
          <w:highlight w:val="none"/>
        </w:rPr>
        <w:t>投标有效期</w:t>
      </w:r>
      <w:bookmarkEnd w:id="5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投标文件在“投标人须知前附表”规定的投标有效期时间内保持有效。投标有效期不满足要求的投标文件，将被认定为无效投标文件。投标人不得要求撤销或修改其投标文件。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特殊原因，采购人或采购代理机构可在原投标有效期截止之前，要求投标人延长投标文件的有效期。接受该要求的投标人将不会被要求和允许修正其投标文件。投标人也可以拒绝延长投标文件有效期的要求，且不承担任何责任。上述要求和答复都应以书面形式递交。</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56" w:name="_Toc13515"/>
      <w:r>
        <w:rPr>
          <w:rFonts w:hint="eastAsia" w:ascii="Times New Roman" w:hAnsi="Times New Roman" w:eastAsia="宋体" w:cs="Times New Roman"/>
          <w:b/>
          <w:bCs/>
          <w:sz w:val="24"/>
          <w:szCs w:val="24"/>
          <w:highlight w:val="none"/>
        </w:rPr>
        <w:t>投标文件的制作以及文件签署</w:t>
      </w:r>
      <w:bookmarkEnd w:id="5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投标人应按 “投标人须知前附表”规定进行制作。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全部采用电子文档，除投标人须知前附表另有规定外，投标文件所附证书证件均为原件扫描件，并采用单位和个人数字证书，按招标文件要求在相应位置加盖电子印章。由投标人的法定代表人签字并加盖电子印章的，应附法定代表人身份证明，由代理人签字或加盖电子印章的，应附由法定代表人签署的授权委托书。签字或盖章的具体要求见投标人须知前附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57" w:name="_Toc22804078"/>
      <w:bookmarkStart w:id="58" w:name="_Toc15024"/>
      <w:bookmarkStart w:id="59" w:name="_Toc22962881"/>
      <w:bookmarkStart w:id="60" w:name="_Toc497920487"/>
      <w:bookmarkStart w:id="61" w:name="_Toc22568792"/>
      <w:bookmarkStart w:id="62" w:name="_Toc22953400"/>
      <w:bookmarkStart w:id="63" w:name="_Toc27851"/>
      <w:bookmarkStart w:id="64" w:name="_Toc22570499"/>
      <w:bookmarkStart w:id="65" w:name="_Toc22723959"/>
      <w:bookmarkStart w:id="66" w:name="_Toc12095"/>
      <w:bookmarkStart w:id="67" w:name="_Toc500170650"/>
      <w:r>
        <w:rPr>
          <w:rFonts w:hint="eastAsia" w:ascii="宋体" w:hAnsi="宋体" w:eastAsia="宋体" w:cs="宋体"/>
          <w:sz w:val="24"/>
          <w:szCs w:val="24"/>
          <w:highlight w:val="none"/>
        </w:rPr>
        <w:t>四、投标文件的递交</w:t>
      </w:r>
      <w:bookmarkEnd w:id="57"/>
      <w:bookmarkEnd w:id="58"/>
      <w:bookmarkEnd w:id="59"/>
      <w:bookmarkEnd w:id="60"/>
      <w:bookmarkEnd w:id="61"/>
      <w:bookmarkEnd w:id="62"/>
      <w:bookmarkEnd w:id="63"/>
      <w:bookmarkEnd w:id="64"/>
      <w:bookmarkEnd w:id="65"/>
      <w:bookmarkEnd w:id="66"/>
      <w:bookmarkEnd w:id="6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8" w:name="_Toc13752"/>
      <w:r>
        <w:rPr>
          <w:rFonts w:hint="eastAsia" w:ascii="Times New Roman" w:hAnsi="Times New Roman" w:eastAsia="宋体" w:cs="Times New Roman"/>
          <w:b/>
          <w:bCs/>
          <w:sz w:val="24"/>
          <w:szCs w:val="24"/>
          <w:highlight w:val="none"/>
        </w:rPr>
        <w:t>投标文件的密封和标记</w:t>
      </w:r>
      <w:bookmarkEnd w:id="6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投标人应当按照招标文件和电子招标投标交易平台的要求加密投标文件，具体要求见投标人须知前附表。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未按本章第20.1项要求密封的投标文件，</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69" w:name="_Toc238"/>
      <w:r>
        <w:rPr>
          <w:rFonts w:hint="eastAsia" w:ascii="Times New Roman" w:hAnsi="Times New Roman" w:eastAsia="宋体" w:cs="Times New Roman"/>
          <w:b/>
          <w:bCs/>
          <w:sz w:val="24"/>
          <w:szCs w:val="24"/>
          <w:highlight w:val="none"/>
        </w:rPr>
        <w:t>投标文件的递交</w:t>
      </w:r>
      <w:bookmarkEnd w:id="6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投标人应在投标人须知前附表规定的投标截止时间前递交投标文件。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投标人通过下载招标文件的电子招标投标交易平台递交电子投标文件。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除投标人须知前附表另有规定外，投标人所递交的投标文件不予退还。</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投标人完成电子投标文件上传后，电子招标投标交易平台即时向投标人发出递交回执通知。递交时间以递交回执通知载明的传输完成时间为准。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逾期上传的投标文件，电子招标投标交易平台将予以拒收。</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70" w:name="_Toc784"/>
      <w:r>
        <w:rPr>
          <w:rFonts w:hint="eastAsia" w:ascii="Times New Roman" w:hAnsi="Times New Roman" w:eastAsia="宋体" w:cs="Times New Roman"/>
          <w:b/>
          <w:bCs/>
          <w:sz w:val="24"/>
          <w:szCs w:val="24"/>
          <w:highlight w:val="none"/>
        </w:rPr>
        <w:t>投标文件的修改和撤回</w:t>
      </w:r>
      <w:bookmarkEnd w:id="7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投标人在递交投标文件后，在投标截止时间之前可以修改或撤回其投标文件。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若投标文件的修改内容涉及报价，则必须修改所有相关内容。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在投标截止日期之后，投标人不得对其递交的投标文件做任何修改。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从投标截止之日至投标人在投标文件中载明的投标有效期满期间，投标人不得撤销其投标。</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71" w:name="_Toc497920488"/>
      <w:bookmarkStart w:id="72" w:name="_Toc22723960"/>
      <w:bookmarkStart w:id="73" w:name="_Toc22962882"/>
      <w:bookmarkStart w:id="74" w:name="_Toc22804079"/>
      <w:bookmarkStart w:id="75" w:name="_Toc22953401"/>
      <w:bookmarkStart w:id="76" w:name="_Toc22570500"/>
      <w:bookmarkStart w:id="77" w:name="_Toc22568793"/>
      <w:bookmarkStart w:id="78" w:name="_Toc18252"/>
      <w:bookmarkStart w:id="79" w:name="_Toc15036"/>
      <w:bookmarkStart w:id="80" w:name="_Toc500170651"/>
      <w:bookmarkStart w:id="81" w:name="_Toc24502"/>
      <w:r>
        <w:rPr>
          <w:rFonts w:hint="eastAsia" w:ascii="宋体" w:hAnsi="宋体" w:eastAsia="宋体" w:cs="宋体"/>
          <w:sz w:val="24"/>
          <w:szCs w:val="24"/>
          <w:highlight w:val="none"/>
        </w:rPr>
        <w:t>五、开标与</w:t>
      </w:r>
      <w:bookmarkEnd w:id="71"/>
      <w:bookmarkEnd w:id="72"/>
      <w:bookmarkEnd w:id="73"/>
      <w:bookmarkEnd w:id="74"/>
      <w:bookmarkEnd w:id="75"/>
      <w:bookmarkEnd w:id="76"/>
      <w:bookmarkEnd w:id="77"/>
      <w:r>
        <w:rPr>
          <w:rFonts w:hint="eastAsia" w:ascii="宋体" w:hAnsi="宋体" w:eastAsia="宋体" w:cs="宋体"/>
          <w:sz w:val="24"/>
          <w:szCs w:val="24"/>
          <w:highlight w:val="none"/>
        </w:rPr>
        <w:t>资格审查</w:t>
      </w:r>
      <w:bookmarkEnd w:id="78"/>
      <w:bookmarkEnd w:id="79"/>
      <w:bookmarkEnd w:id="80"/>
      <w:bookmarkEnd w:id="81"/>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2" w:name="_Toc30945"/>
      <w:r>
        <w:rPr>
          <w:rFonts w:hint="eastAsia" w:ascii="Times New Roman" w:hAnsi="Times New Roman" w:eastAsia="宋体" w:cs="Times New Roman"/>
          <w:b/>
          <w:bCs/>
          <w:sz w:val="24"/>
          <w:szCs w:val="24"/>
          <w:highlight w:val="none"/>
        </w:rPr>
        <w:t>开标</w:t>
      </w:r>
      <w:bookmarkEnd w:id="8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在本章第20.1项规定的投标截止时间（开标时间）,通过电子招标投标交易平台公开开标</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投标人通过电子招标投标交易平台对已递交的电子投标文件进行解密，具体开标方式见投标人须知前附表。投标人须在投标人须知前附表规定的时间内完成投标文件的解密。由于投标人的自身原因，在规定时间内解密不成功的，其投标文件将被拒绝</w:t>
      </w:r>
      <w:r>
        <w:rPr>
          <w:rFonts w:hint="eastAsia" w:ascii="宋体" w:hAnsi="宋体" w:eastAsia="宋体" w:cs="宋体"/>
          <w:sz w:val="24"/>
          <w:szCs w:val="24"/>
          <w:highlight w:val="none"/>
          <w:lang w:eastAsia="zh-CN"/>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在开标时没有启封和读出的投标文件（包括按照第19和第20条递交的修改书）将原封退回投标人。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采购代理机构将对开标情况做详细记录。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投标人不足3家的，不</w:t>
      </w:r>
      <w:r>
        <w:rPr>
          <w:rFonts w:hint="eastAsia" w:ascii="宋体" w:hAnsi="宋体" w:eastAsia="宋体" w:cs="宋体"/>
          <w:sz w:val="24"/>
          <w:szCs w:val="24"/>
          <w:highlight w:val="none"/>
          <w:lang w:val="en-US" w:eastAsia="zh-CN"/>
        </w:rPr>
        <w:t>得</w:t>
      </w:r>
      <w:r>
        <w:rPr>
          <w:rFonts w:hint="eastAsia" w:ascii="宋体" w:hAnsi="宋体" w:eastAsia="宋体" w:cs="宋体"/>
          <w:sz w:val="24"/>
          <w:szCs w:val="24"/>
          <w:highlight w:val="none"/>
        </w:rPr>
        <w:t>开标。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开标时，将公布投标人名称、投标报价等其它详细内容。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投标人对开标有异议的，应当在开标时提出，采购人（或采购代理机构）应及时作出答复，并制作记录。投标人未参加远程开标或未在远程开标过程中提出异议的，视同认可开标结果。</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3" w:name="_Toc3762"/>
      <w:r>
        <w:rPr>
          <w:rFonts w:hint="eastAsia" w:ascii="Times New Roman" w:hAnsi="Times New Roman" w:eastAsia="宋体" w:cs="Times New Roman"/>
          <w:b/>
          <w:bCs/>
          <w:sz w:val="24"/>
          <w:szCs w:val="24"/>
          <w:highlight w:val="none"/>
        </w:rPr>
        <w:t>投标文件的资格审查</w:t>
      </w:r>
      <w:bookmarkEnd w:id="8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开标结束后，采购人或采购代理机构依据法律法规和招标文件中规定的内容，对投标人进行资格审查，未通过资格审查的投标人不得进入评标。合格投标人不足3家的，不得评标。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资格性审查内容详见本</w:t>
      </w:r>
      <w:r>
        <w:rPr>
          <w:rFonts w:hint="eastAsia" w:ascii="宋体" w:hAnsi="宋体" w:eastAsia="宋体" w:cs="宋体"/>
          <w:bCs/>
          <w:sz w:val="24"/>
          <w:szCs w:val="24"/>
          <w:highlight w:val="none"/>
          <w:lang w:val="en-US" w:eastAsia="zh-CN"/>
        </w:rPr>
        <w:t>章附件3</w:t>
      </w:r>
      <w:r>
        <w:rPr>
          <w:rFonts w:hint="eastAsia" w:ascii="宋体" w:hAnsi="宋体" w:eastAsia="宋体" w:cs="宋体"/>
          <w:bCs/>
          <w:sz w:val="24"/>
          <w:szCs w:val="24"/>
          <w:highlight w:val="none"/>
        </w:rPr>
        <w:t>。</w:t>
      </w:r>
    </w:p>
    <w:p>
      <w:pPr>
        <w:pStyle w:val="6"/>
        <w:pageBreakBefore w:val="0"/>
        <w:widowControl w:val="0"/>
        <w:numPr>
          <w:ilvl w:val="0"/>
          <w:numId w:val="5"/>
        </w:numPr>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84" w:name="_Toc25226"/>
      <w:bookmarkStart w:id="85" w:name="_Toc500170652"/>
      <w:bookmarkStart w:id="86" w:name="_Toc7488"/>
      <w:bookmarkStart w:id="87" w:name="_Toc20681"/>
      <w:r>
        <w:rPr>
          <w:rFonts w:hint="eastAsia" w:ascii="宋体" w:hAnsi="宋体" w:eastAsia="宋体" w:cs="宋体"/>
          <w:sz w:val="24"/>
          <w:szCs w:val="24"/>
          <w:highlight w:val="none"/>
        </w:rPr>
        <w:t>评标</w:t>
      </w:r>
      <w:bookmarkEnd w:id="84"/>
      <w:bookmarkEnd w:id="85"/>
      <w:bookmarkEnd w:id="86"/>
      <w:bookmarkEnd w:id="87"/>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8" w:name="_Toc21128"/>
      <w:r>
        <w:rPr>
          <w:rFonts w:hint="eastAsia" w:ascii="Times New Roman" w:hAnsi="Times New Roman" w:eastAsia="宋体" w:cs="Times New Roman"/>
          <w:b/>
          <w:bCs/>
          <w:sz w:val="24"/>
          <w:szCs w:val="24"/>
          <w:highlight w:val="none"/>
        </w:rPr>
        <w:t>评标委员会</w:t>
      </w:r>
      <w:bookmarkEnd w:id="8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按照《中华人民共和国政府采购法》、《中华人民共和国政府采购法实施条例》、《政府采购货物和服务招标投标管理办法》及本项目本级和上级财政部门的有关规定依法组建的评标委员会，负责评标工作。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评标委员会由采购人代表和评审专家组成，成员人数为五人以上单数。其中，评审专家不得少于成员总数的三分之二。具体成员人数见投标人须知前附表。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89" w:name="_Toc23817"/>
      <w:r>
        <w:rPr>
          <w:rFonts w:hint="eastAsia" w:ascii="Times New Roman" w:hAnsi="Times New Roman" w:eastAsia="宋体" w:cs="Times New Roman"/>
          <w:b/>
          <w:bCs/>
          <w:sz w:val="24"/>
          <w:szCs w:val="24"/>
          <w:highlight w:val="none"/>
        </w:rPr>
        <w:t>投标文件符合性审查</w:t>
      </w:r>
      <w:bookmarkEnd w:id="8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标委员会将对符合资格条件的投标人的投标文件进行符合性审查。符合性审查是指依据招标文件的规定，从商务和技术角度对投标文件的有效性、完整性和响应程度进行审查，以确定其是否满足招标文件的实质性要求。投标人应当按照招标文件中的相关要求，递交符合性证明材料。未通过符合性审查的投标人不能进入下一阶段评审，其投标文件将被认定为无效投标文件。</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通过修正（更改）或撤销不符合要求的偏离，从而使其投标文件满足招标文件的实质性要求。评标委员会确定投标文件是否满足招标文件的实质性要求只根据招标文件要求、投标文件内容及政府采购的相关法律法规、财政主管部门的相关文件。如果投标文件不满足招标文件的实质性要求，其投标文件将作为无效投标文件处理，</w:t>
      </w:r>
      <w:r>
        <w:rPr>
          <w:rFonts w:hint="eastAsia" w:ascii="宋体" w:hAnsi="宋体" w:eastAsia="宋体" w:cs="宋体"/>
          <w:b w:val="0"/>
          <w:bCs/>
          <w:sz w:val="24"/>
          <w:szCs w:val="24"/>
          <w:highlight w:val="none"/>
          <w:lang w:eastAsia="zh-CN"/>
        </w:rPr>
        <w:t>投标人</w:t>
      </w:r>
      <w:r>
        <w:rPr>
          <w:rFonts w:hint="eastAsia" w:ascii="宋体" w:hAnsi="宋体" w:eastAsia="宋体" w:cs="宋体"/>
          <w:b w:val="0"/>
          <w:bCs/>
          <w:sz w:val="24"/>
          <w:szCs w:val="24"/>
          <w:highlight w:val="none"/>
        </w:rPr>
        <w:t>不得再对投标文件进行任何修正从而使其满足招标文件的实质性要求。</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0" w:name="_Toc5860"/>
      <w:r>
        <w:rPr>
          <w:rFonts w:hint="eastAsia" w:ascii="Times New Roman" w:hAnsi="Times New Roman" w:eastAsia="宋体" w:cs="Times New Roman"/>
          <w:b/>
          <w:bCs/>
          <w:sz w:val="24"/>
          <w:szCs w:val="24"/>
          <w:highlight w:val="none"/>
        </w:rPr>
        <w:t>串通投标</w:t>
      </w:r>
      <w:bookmarkEnd w:id="90"/>
    </w:p>
    <w:p>
      <w:pPr>
        <w:pageBreakBefore w:val="0"/>
        <w:widowControl w:val="0"/>
        <w:tabs>
          <w:tab w:val="left" w:pos="720"/>
        </w:tabs>
        <w:kinsoku/>
        <w:wordWrap/>
        <w:overflowPunct/>
        <w:topLinePunct w:val="0"/>
        <w:autoSpaceDE/>
        <w:autoSpaceDN/>
        <w:bidi w:val="0"/>
        <w:adjustRightInd/>
        <w:snapToGrid/>
        <w:spacing w:line="540" w:lineRule="exact"/>
        <w:ind w:firstLine="470" w:firstLineChars="196"/>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除政府采购法律法规规定的恶意串通、视同串通投标情形外，按照河南省财政厅《关于防范供应商串通投标促进政府采购公平竞争的通知》，有下列情形之一的，视为投标人串通投标：</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不同供应商的电子投标(响应) 文件上传计算机的网卡 MAC地址、CPU序列号和硬盘序列号等硬件信息相同的；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文件由同一电子设备编制、打印加密或者上传；</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文件由同一电子设备打印、 复印；</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文件由同一人送达或者分发，或者不同供应商联系人为同一人或不同联系人的联系电话一致的;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不同供应商的投标(响应) 文件的内容存在两处以上细节错误一致;</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不同供应商的法定代表人、委托代理人、项目经理、 项目负责人等由同一个单位缴纳社会保险或者领取报酬的；</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不同供应商投标(响应) 文件中法定代表人或者负责人签字出自同一人之手；</w:t>
      </w:r>
    </w:p>
    <w:p>
      <w:pPr>
        <w:pageBreakBefore w:val="0"/>
        <w:widowControl w:val="0"/>
        <w:numPr>
          <w:ilvl w:val="0"/>
          <w:numId w:val="6"/>
        </w:numPr>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其它涉嫌串通的情形。</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1" w:name="_Toc5098"/>
      <w:r>
        <w:rPr>
          <w:rFonts w:hint="eastAsia" w:ascii="Times New Roman" w:hAnsi="Times New Roman" w:eastAsia="宋体" w:cs="Times New Roman"/>
          <w:b/>
          <w:bCs/>
          <w:sz w:val="24"/>
          <w:szCs w:val="24"/>
          <w:highlight w:val="none"/>
        </w:rPr>
        <w:t>投标无效的情形</w:t>
      </w:r>
      <w:bookmarkEnd w:id="91"/>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投标（响应）文件制作机器码一致</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不具备招标文件规定的资格条件的；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投标文件未按照招标文件规定要求签署和盖章的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投标报价超出项目预算或最高限价的</w:t>
      </w:r>
      <w:r>
        <w:rPr>
          <w:rFonts w:hint="eastAsia" w:ascii="宋体" w:hAnsi="宋体" w:eastAsia="宋体" w:cs="宋体"/>
          <w:sz w:val="24"/>
          <w:szCs w:val="24"/>
          <w:highlight w:val="none"/>
          <w:lang w:eastAsia="zh-CN"/>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非实质性响应招标文件要求的；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有串通投标、弄虚作假、行贿等违法行为的；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拒绝接受评标委员会按招标文件规定调整的报价的；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评标委员会认为投标人的报价明显低于其他通过符合性审查投标人的报价，有可能影响成果质量或者不能诚信履约，且投标人在规定时间内不能证明其报价合理性的；</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投标文件含有采购人不能接受的附加条件的</w:t>
      </w:r>
      <w:r>
        <w:rPr>
          <w:rFonts w:hint="eastAsia" w:ascii="宋体" w:hAnsi="宋体" w:eastAsia="宋体" w:cs="宋体"/>
          <w:sz w:val="24"/>
          <w:szCs w:val="24"/>
          <w:highlight w:val="none"/>
        </w:rPr>
        <w:t>；</w:t>
      </w:r>
    </w:p>
    <w:p>
      <w:pPr>
        <w:pageBreakBefore w:val="0"/>
        <w:widowControl w:val="0"/>
        <w:numPr>
          <w:ilvl w:val="0"/>
          <w:numId w:val="7"/>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属于法律、法规和招标文件中规定的其他无效响应情形的</w:t>
      </w:r>
      <w:r>
        <w:rPr>
          <w:rFonts w:hint="eastAsia" w:ascii="宋体" w:hAnsi="宋体" w:eastAsia="宋体" w:cs="宋体"/>
          <w:sz w:val="24"/>
          <w:szCs w:val="24"/>
          <w:highlight w:val="none"/>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2" w:name="_Toc14598"/>
      <w:r>
        <w:rPr>
          <w:rFonts w:hint="eastAsia" w:ascii="Times New Roman" w:hAnsi="Times New Roman" w:eastAsia="宋体" w:cs="Times New Roman"/>
          <w:b/>
          <w:bCs/>
          <w:sz w:val="24"/>
          <w:szCs w:val="24"/>
          <w:highlight w:val="none"/>
        </w:rPr>
        <w:t>投标文件的澄清</w:t>
      </w:r>
      <w:bookmarkEnd w:id="9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评标期间，评标委员会可以以书面形式要求投标人对其投标文件中含义不明确、对同类问题表述不一致或者有明显文字和计算错误的内容等，以及评标委员会认为投标人的报价明显低于其他通过符合性审查投标人的报价，有可能影响履约的情况作必要的澄清、说明或补正。投标人的澄清、说明或补正应在评标委员会规定的时间内以书面方式进行，并不得超出投标文件范围或者改变投标文件的实质性内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none"/>
        </w:rPr>
        <w:t>评标委员会要求</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对投标文件进行澄清、说明或者补正的将以书面形式作出，并在交易系统中向</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发出，</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在收到该要求后，应在评标委员会规定时间内在交易系统中做出相应的回复，如果评标委员会在规定的时间内没有收到</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的回复则视为该</w:t>
      </w:r>
      <w:r>
        <w:rPr>
          <w:rFonts w:hint="eastAsia" w:ascii="宋体" w:hAnsi="宋体" w:eastAsia="宋体" w:cs="宋体"/>
          <w:sz w:val="24"/>
          <w:szCs w:val="24"/>
          <w:highlight w:val="none"/>
          <w:u w:val="none"/>
          <w:lang w:eastAsia="zh-CN"/>
        </w:rPr>
        <w:t>投标人</w:t>
      </w:r>
      <w:r>
        <w:rPr>
          <w:rFonts w:hint="eastAsia" w:ascii="宋体" w:hAnsi="宋体" w:eastAsia="宋体" w:cs="宋体"/>
          <w:sz w:val="24"/>
          <w:szCs w:val="24"/>
          <w:highlight w:val="none"/>
          <w:u w:val="none"/>
        </w:rPr>
        <w:t>没有回复。</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投标人应当在招标文件中确定的投标截止时间前,登录远程开标大厅,在线准时参加开标活动并根据需要进行文件答疑澄清等。</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投标人的澄清、说明或补正不得超出投标文件的范围或者改变投标文件的实质性内容。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3" w:name="_Toc24922"/>
      <w:r>
        <w:rPr>
          <w:rFonts w:hint="eastAsia" w:ascii="Times New Roman" w:hAnsi="Times New Roman" w:eastAsia="宋体" w:cs="Times New Roman"/>
          <w:b/>
          <w:bCs/>
          <w:sz w:val="24"/>
          <w:szCs w:val="24"/>
          <w:highlight w:val="none"/>
        </w:rPr>
        <w:t>投标文件的评审</w:t>
      </w:r>
      <w:bookmarkEnd w:id="9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评标委员会成员将按照客观、公正、审慎的原则，根据招标文件规定的评审程序、评审方法和评审标准进行独立评审。评标委员会只对已通过资格审查和符合性审查的投标文件进行评价和比较。</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投标文件中出现的算术错误除投标须知前附表另有规定外，将按以下方法更正：</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投标文件中开标一览表内容与投标文件中相应内容不一致的，以开标一览表为准；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大写金额和小写金额不一致的，以大写金额为准；</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单价金额小数点或者百分比有明显错位的，以开标一览表的总价为准，并修改单价；</w:t>
      </w:r>
    </w:p>
    <w:p>
      <w:pPr>
        <w:pageBreakBefore w:val="0"/>
        <w:widowControl w:val="0"/>
        <w:numPr>
          <w:ilvl w:val="0"/>
          <w:numId w:val="8"/>
        </w:numPr>
        <w:tabs>
          <w:tab w:val="left" w:pos="540"/>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总价金额与按单价汇总金额不一致的，以单价金额计算结果为准。</w:t>
      </w:r>
    </w:p>
    <w:p>
      <w:pPr>
        <w:pageBreakBefore w:val="0"/>
        <w:widowControl w:val="0"/>
        <w:tabs>
          <w:tab w:val="left" w:pos="540"/>
          <w:tab w:val="left" w:pos="720"/>
        </w:tabs>
        <w:kinsoku/>
        <w:wordWrap/>
        <w:overflowPunct/>
        <w:topLinePunct w:val="0"/>
        <w:autoSpaceDE/>
        <w:autoSpaceDN/>
        <w:bidi w:val="0"/>
        <w:adjustRightInd/>
        <w:snapToGrid/>
        <w:spacing w:line="540" w:lineRule="exact"/>
        <w:ind w:left="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同时出现两种以上不一致的，按照上述规定的顺序修正。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评标委员会按上述方法修正错误而调整投标人的投标报价的，修正后的报价应对投标人具有约束力，投标人代表应予以接受并确认。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若评标委员会认为投标人的报价明显低于其他通过符合性审查投标人的 报价，有可能影响成果质量或者不能诚信履约的，评标委员会有权要求投标人在规定的时间内提供书面说明，必要时提交相关证明资料。投标人不能证明其报价合理性的，评标委员会应当将其作为无效投标处理。</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允许修正投标文件中不构成重大偏离的、微小的、非正规的、不一致或不规则的地方。</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其它必要的评标因素和标准：见投标须知前附表。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4" w:name="_Toc7383"/>
      <w:r>
        <w:rPr>
          <w:rFonts w:hint="eastAsia" w:ascii="Times New Roman" w:hAnsi="Times New Roman" w:eastAsia="宋体" w:cs="Times New Roman"/>
          <w:b/>
          <w:bCs/>
          <w:sz w:val="24"/>
          <w:szCs w:val="24"/>
          <w:highlight w:val="none"/>
        </w:rPr>
        <w:t>评标价的确定</w:t>
      </w:r>
      <w:bookmarkEnd w:id="9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%的价格扣除。联合体各方均为小型、微型企业和监狱企业的，联合体视同为小型、微型企业和监狱企业。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狱企业、残疾人福利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残疾人福利企业参加政府采购活动时，应提供《财政部民政部中国残疾人联合会关于促进残疾人就业政府采购政策的通知》（财库（2017〔141〕号）的《残疾人福利性单位声明函》，并对声明的真实性负责。</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若采购人属地政府采购主管部门对中型企业有相应价格扣除政策，按采购人属地政策最低标准执行。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按照评标方法和标准产生的评标价仅限于评标的比较，对中标价没有任何影响。</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5" w:name="_Toc6824"/>
      <w:r>
        <w:rPr>
          <w:rFonts w:hint="eastAsia" w:ascii="Times New Roman" w:hAnsi="Times New Roman" w:eastAsia="宋体" w:cs="Times New Roman"/>
          <w:b/>
          <w:bCs/>
          <w:sz w:val="24"/>
          <w:szCs w:val="24"/>
          <w:highlight w:val="none"/>
        </w:rPr>
        <w:t>评标步骤</w:t>
      </w:r>
      <w:bookmarkEnd w:id="9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符合性审查：详见符合性审查表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投标文件的</w:t>
      </w:r>
      <w:r>
        <w:rPr>
          <w:rFonts w:hint="eastAsia" w:ascii="宋体" w:hAnsi="宋体" w:eastAsia="宋体" w:cs="宋体"/>
          <w:sz w:val="24"/>
          <w:szCs w:val="24"/>
          <w:highlight w:val="none"/>
        </w:rPr>
        <w:t>评审：评标严格按照招标文件的要求和条件进行。根据实际情况，在投标人须知前附表中规定采用下列一种评标方法，详细评标标准见“招标文件第四章评标方法和标准”。</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最低评标价法，是指投标文件满足招标文件全部实质性要求，且评标价最低的投标人为中标候选人的评标方法。</w:t>
      </w:r>
    </w:p>
    <w:p>
      <w:pPr>
        <w:pageBreakBefore w:val="0"/>
        <w:widowControl w:val="0"/>
        <w:numPr>
          <w:ilvl w:val="0"/>
          <w:numId w:val="9"/>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综合评分法，是指投标文件满足招标文件全部实质性要求，且按照评审因素的量化指标评审得分最高的投标人为中标候选人的评标方法。</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推荐中标候选人</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除了算术修正和落实政府采购政策需进行的价格调整外，不对投标人的投标价格进行任何调整。评标结果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采用综合评分法的，评标结果按评审后得分由高到低顺序排列。得分相同的，按修正和扣除后的投标报价由低到高顺序排列。报价相同的处理方式详见“招标文件第四章第四章评标方法和标准”。</w:t>
      </w:r>
    </w:p>
    <w:p>
      <w:pPr>
        <w:pageBreakBefore w:val="0"/>
        <w:widowControl w:val="0"/>
        <w:numPr>
          <w:ilvl w:val="0"/>
          <w:numId w:val="10"/>
        </w:numPr>
        <w:kinsoku/>
        <w:wordWrap/>
        <w:overflowPunct/>
        <w:topLinePunct w:val="0"/>
        <w:autoSpaceDE/>
        <w:autoSpaceDN/>
        <w:bidi w:val="0"/>
        <w:adjustRightInd/>
        <w:snapToGrid/>
        <w:spacing w:line="540" w:lineRule="exact"/>
        <w:ind w:left="1202" w:hanging="7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本项目推荐中标候选人的数量见投标人须知前附表。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6" w:name="_Toc26441"/>
      <w:r>
        <w:rPr>
          <w:rFonts w:hint="eastAsia" w:ascii="Times New Roman" w:hAnsi="Times New Roman" w:eastAsia="宋体" w:cs="Times New Roman"/>
          <w:b/>
          <w:bCs/>
          <w:sz w:val="24"/>
          <w:szCs w:val="24"/>
          <w:highlight w:val="none"/>
        </w:rPr>
        <w:t>定标</w:t>
      </w:r>
      <w:bookmarkEnd w:id="96"/>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采购人可按照以下两种情况之一进行定标</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具体方式详见投标人须知前附表</w:t>
      </w:r>
      <w:r>
        <w:rPr>
          <w:rFonts w:hint="eastAsia" w:ascii="宋体" w:hAnsi="宋体" w:eastAsia="宋体" w:cs="宋体"/>
          <w:bCs/>
          <w:sz w:val="24"/>
          <w:szCs w:val="24"/>
          <w:highlight w:val="none"/>
        </w:rPr>
        <w:t>：</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采购人可以事先授权评标委员会直接确定中标人。排序第一中标候选人并列的，由评标委员会投票表决（少数服从多数）确定中标人。</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采购人应当在收到评标报告后五个工作日内，按照评标报告中推荐的中标候选人顺序确定中标人。排序第一的中标候选人并列的，按招标文件规定确定中标人，招标文件未规定的，采取随机抽取的方式确定。</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7" w:name="_Toc27224"/>
      <w:r>
        <w:rPr>
          <w:rFonts w:hint="eastAsia" w:ascii="Times New Roman" w:hAnsi="Times New Roman" w:eastAsia="宋体" w:cs="Times New Roman"/>
          <w:b/>
          <w:bCs/>
          <w:sz w:val="24"/>
          <w:szCs w:val="24"/>
          <w:highlight w:val="none"/>
        </w:rPr>
        <w:t>保密</w:t>
      </w:r>
      <w:r>
        <w:rPr>
          <w:rFonts w:hint="eastAsia" w:ascii="Times New Roman" w:hAnsi="Times New Roman" w:eastAsia="宋体" w:cs="Times New Roman"/>
          <w:b/>
          <w:bCs/>
          <w:sz w:val="24"/>
          <w:szCs w:val="24"/>
          <w:highlight w:val="none"/>
          <w:lang w:val="en-US" w:eastAsia="zh-CN"/>
        </w:rPr>
        <w:t>要求</w:t>
      </w:r>
      <w:bookmarkEnd w:id="97"/>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评标将在严格保密的情况下进行，评标工作在评标委员会内独立进行。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有关人员应当遵守评标工作纪律，不得泄露招标文件、投标文件、评标情况和评标中获悉的国家秘密、商业秘密。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8" w:name="_Toc13511"/>
      <w:r>
        <w:rPr>
          <w:rFonts w:hint="eastAsia" w:ascii="Times New Roman" w:hAnsi="Times New Roman" w:eastAsia="宋体" w:cs="Times New Roman"/>
          <w:b/>
          <w:bCs/>
          <w:sz w:val="24"/>
          <w:szCs w:val="24"/>
          <w:highlight w:val="none"/>
        </w:rPr>
        <w:t>招标文件执行的政府采购政策</w:t>
      </w:r>
      <w:bookmarkEnd w:id="9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本项目需要执行的政府采购政策：详见“招标文件第四章第四章评标方法和标准”</w:t>
      </w:r>
      <w:r>
        <w:rPr>
          <w:rFonts w:hint="eastAsia" w:ascii="宋体" w:hAnsi="宋体" w:eastAsia="宋体" w:cs="宋体"/>
          <w:sz w:val="24"/>
          <w:szCs w:val="24"/>
          <w:highlight w:val="none"/>
          <w:lang w:eastAsia="zh-CN"/>
        </w:rPr>
        <w:t>。</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rPr>
      </w:pPr>
      <w:bookmarkStart w:id="99" w:name="_Toc28499"/>
      <w:r>
        <w:rPr>
          <w:rFonts w:hint="eastAsia" w:ascii="Times New Roman" w:hAnsi="Times New Roman" w:eastAsia="宋体" w:cs="Times New Roman"/>
          <w:b/>
          <w:bCs/>
          <w:sz w:val="24"/>
          <w:szCs w:val="24"/>
          <w:highlight w:val="none"/>
        </w:rPr>
        <w:t>废标</w:t>
      </w:r>
      <w:bookmarkEnd w:id="99"/>
    </w:p>
    <w:p>
      <w:pPr>
        <w:pageBreakBefore w:val="0"/>
        <w:widowControl w:val="0"/>
        <w:tabs>
          <w:tab w:val="left" w:pos="720"/>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出现下列情形之一，将导致项目废标：</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符合专业条件的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或者满足招标文件实质性要求的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出现影响采购公正的违法、违规行为的；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的报价均超过了采购预算或最高限价的，采购人不能支付的；</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因重大变故，采购任务取消的。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0" w:name="_Toc29721"/>
      <w:r>
        <w:rPr>
          <w:rFonts w:hint="eastAsia" w:ascii="Times New Roman" w:hAnsi="Times New Roman" w:eastAsia="宋体" w:cs="Times New Roman"/>
          <w:b/>
          <w:bCs/>
          <w:sz w:val="24"/>
          <w:szCs w:val="24"/>
          <w:highlight w:val="none"/>
          <w:lang w:val="en-US" w:eastAsia="zh-CN"/>
        </w:rPr>
        <w:t>中标结果公告及中标通知书</w:t>
      </w:r>
      <w:bookmarkEnd w:id="10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采购人或者采购代理机构应当在中标人确定之日起2个工作日内，在</w:t>
      </w:r>
      <w:r>
        <w:rPr>
          <w:rFonts w:hint="eastAsia" w:ascii="宋体" w:hAnsi="宋体" w:eastAsia="宋体" w:cs="宋体"/>
          <w:sz w:val="24"/>
          <w:szCs w:val="24"/>
          <w:highlight w:val="none"/>
          <w:lang w:val="en-US" w:eastAsia="zh-CN"/>
        </w:rPr>
        <w:t>招标公告发布的相同媒介</w:t>
      </w:r>
      <w:r>
        <w:rPr>
          <w:rFonts w:hint="eastAsia" w:ascii="宋体" w:hAnsi="宋体" w:eastAsia="宋体" w:cs="宋体"/>
          <w:sz w:val="24"/>
          <w:szCs w:val="24"/>
          <w:highlight w:val="none"/>
          <w:lang w:eastAsia="zh-CN"/>
        </w:rPr>
        <w:t>公告中标结果，同时向中标人发出中标通知书，中标通知书是合同的组成部分。</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01" w:name="_Toc700"/>
      <w:r>
        <w:rPr>
          <w:rFonts w:hint="eastAsia" w:ascii="Times New Roman" w:hAnsi="Times New Roman" w:eastAsia="宋体" w:cs="Times New Roman"/>
          <w:b/>
          <w:bCs/>
          <w:sz w:val="24"/>
          <w:szCs w:val="24"/>
          <w:highlight w:val="none"/>
          <w:lang w:val="en-US" w:eastAsia="zh-CN"/>
        </w:rPr>
        <w:t>告知招标结果</w:t>
      </w:r>
      <w:bookmarkEnd w:id="101"/>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在公告中标结果的同时，告知未通过资格审查投标人未通过的原因；采用综合评分法评审的，还将告知未中标投标人本人的评审得分和排序。</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02" w:name="_Toc9201"/>
      <w:bookmarkStart w:id="103" w:name="_Toc23441"/>
      <w:bookmarkStart w:id="104" w:name="_Toc22953402"/>
      <w:bookmarkStart w:id="105" w:name="_Toc22804080"/>
      <w:bookmarkStart w:id="106" w:name="_Toc22962883"/>
      <w:bookmarkStart w:id="107" w:name="_Toc22570501"/>
      <w:bookmarkStart w:id="108" w:name="_Toc22568794"/>
      <w:bookmarkStart w:id="109" w:name="_Toc4450"/>
      <w:bookmarkStart w:id="110" w:name="_Toc22723961"/>
      <w:bookmarkStart w:id="111" w:name="_Toc497920489"/>
      <w:bookmarkStart w:id="112" w:name="_Toc500170653"/>
      <w:r>
        <w:rPr>
          <w:rFonts w:hint="eastAsia" w:ascii="宋体" w:hAnsi="宋体" w:eastAsia="宋体" w:cs="宋体"/>
          <w:sz w:val="24"/>
          <w:szCs w:val="24"/>
          <w:highlight w:val="none"/>
        </w:rPr>
        <w:t>七、授予合同</w:t>
      </w:r>
      <w:bookmarkEnd w:id="102"/>
      <w:bookmarkEnd w:id="103"/>
      <w:bookmarkEnd w:id="104"/>
      <w:bookmarkEnd w:id="105"/>
      <w:bookmarkEnd w:id="106"/>
      <w:bookmarkEnd w:id="107"/>
      <w:bookmarkEnd w:id="108"/>
      <w:bookmarkEnd w:id="109"/>
      <w:bookmarkEnd w:id="110"/>
      <w:bookmarkEnd w:id="111"/>
      <w:bookmarkEnd w:id="112"/>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3" w:name="_Toc16755"/>
      <w:r>
        <w:rPr>
          <w:rFonts w:hint="eastAsia" w:ascii="Times New Roman" w:hAnsi="Times New Roman" w:eastAsia="宋体" w:cs="Times New Roman"/>
          <w:b/>
          <w:bCs/>
          <w:sz w:val="24"/>
          <w:szCs w:val="24"/>
          <w:highlight w:val="none"/>
          <w:lang w:val="en-US" w:eastAsia="zh-CN"/>
        </w:rPr>
        <w:t>签订合同</w:t>
      </w:r>
      <w:bookmarkEnd w:id="113"/>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中标人应当自发出中标通知书之日起 2 个工作日内，与采购人签订合同。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招标文件、中标</w:t>
      </w:r>
      <w:r>
        <w:rPr>
          <w:rFonts w:hint="eastAsia" w:ascii="宋体" w:hAnsi="宋体" w:eastAsia="宋体" w:cs="宋体"/>
          <w:sz w:val="24"/>
          <w:szCs w:val="24"/>
          <w:highlight w:val="none"/>
          <w:lang w:eastAsia="zh-CN"/>
        </w:rPr>
        <w:t>人</w:t>
      </w:r>
      <w:r>
        <w:rPr>
          <w:rFonts w:hint="eastAsia" w:ascii="宋体" w:hAnsi="宋体" w:eastAsia="宋体" w:cs="宋体"/>
          <w:sz w:val="24"/>
          <w:szCs w:val="24"/>
          <w:highlight w:val="none"/>
        </w:rPr>
        <w:t>的投标文件及其澄清文件等，均为签订合同的依据。</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中标人拒绝与采购人签订合同的，中标人须按投标保证承诺书内容向采购人和采购代理机构进行赔偿并支付赔偿金；采购人可以按照评标报告推荐的中标候选人排序，确定下一中标候选人为中标中标人，也可以重新开展采购活动。</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当出现法律、法规，规定的中标无效或中标结果无效情形时，采购人可以按照评标报告推荐的中标候选人排序，确定下一中标候选人为中标中标人，也可以重新开展采购活动。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4" w:name="_Toc14888"/>
      <w:r>
        <w:rPr>
          <w:rFonts w:hint="eastAsia" w:ascii="Times New Roman" w:hAnsi="Times New Roman" w:eastAsia="宋体" w:cs="Times New Roman"/>
          <w:b/>
          <w:bCs/>
          <w:sz w:val="24"/>
          <w:szCs w:val="24"/>
          <w:highlight w:val="none"/>
          <w:lang w:val="en-US" w:eastAsia="zh-CN"/>
        </w:rPr>
        <w:t>履约保证金</w:t>
      </w:r>
      <w:bookmarkEnd w:id="11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如果需要交纳履约保证金，中标中标人应按照</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须知前附表的规定向采购人提供履约保证金保函（格式见本章附件1）。经采购人同意，中标人也可以自愿采用其他履约保证金的提供方式。</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政府采购利用担保试点范围内的项目，除</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.1规定的情形外，中标人也可以按照财政部门的规定，向采购人提供合格的履约担保函（格式见本章附件2）。</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中标人没有按照上述履约保证金的规定执行，将被视为放弃中标资格，中标人须按投标保证承诺书的承诺向采购人和采购代理机构进行赔偿并支付赔偿金。在此情况下，采购人可确定下一候选人为中标中标人，也可以重新开展采购活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5" w:name="_Toc7807"/>
      <w:r>
        <w:rPr>
          <w:rFonts w:hint="eastAsia" w:ascii="Times New Roman" w:hAnsi="Times New Roman" w:eastAsia="宋体" w:cs="Times New Roman"/>
          <w:b/>
          <w:bCs/>
          <w:sz w:val="24"/>
          <w:szCs w:val="24"/>
          <w:highlight w:val="none"/>
          <w:lang w:val="en-US" w:eastAsia="zh-CN"/>
        </w:rPr>
        <w:t>授标时更改采购货物数量的权力</w:t>
      </w:r>
      <w:bookmarkEnd w:id="115"/>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采购人在授予合同时有权在“投标人须知前附表”规定的范围内，对“</w:t>
      </w:r>
      <w:r>
        <w:rPr>
          <w:rFonts w:hint="eastAsia" w:ascii="宋体" w:hAnsi="宋体" w:eastAsia="宋体" w:cs="宋体"/>
          <w:sz w:val="24"/>
          <w:szCs w:val="24"/>
          <w:highlight w:val="none"/>
          <w:lang w:val="en-US" w:eastAsia="zh-CN"/>
        </w:rPr>
        <w:t>采购需求</w:t>
      </w:r>
      <w:r>
        <w:rPr>
          <w:rFonts w:hint="eastAsia" w:ascii="宋体" w:hAnsi="宋体" w:eastAsia="宋体" w:cs="宋体"/>
          <w:sz w:val="24"/>
          <w:szCs w:val="24"/>
          <w:highlight w:val="none"/>
        </w:rPr>
        <w:t>”中规定的</w:t>
      </w:r>
      <w:r>
        <w:rPr>
          <w:rFonts w:hint="eastAsia" w:ascii="宋体" w:hAnsi="宋体" w:cs="宋体"/>
          <w:sz w:val="24"/>
          <w:szCs w:val="24"/>
          <w:highlight w:val="none"/>
          <w:lang w:val="en-US" w:eastAsia="zh-CN"/>
        </w:rPr>
        <w:t>货物、工程</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服务的数量予以增加或减少，但不得对单价或其它的条款和条件做任何改变。</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6" w:name="_Toc2694"/>
      <w:r>
        <w:rPr>
          <w:rFonts w:hint="eastAsia" w:ascii="Times New Roman" w:hAnsi="Times New Roman" w:eastAsia="宋体" w:cs="Times New Roman"/>
          <w:b/>
          <w:bCs/>
          <w:sz w:val="24"/>
          <w:szCs w:val="24"/>
          <w:highlight w:val="none"/>
          <w:lang w:val="en-US" w:eastAsia="zh-CN"/>
        </w:rPr>
        <w:t>质疑和投诉</w:t>
      </w:r>
      <w:bookmarkEnd w:id="11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认为招标文件、招标过程和中标结果使自己的权益受到损害的，可以根据《中华人民共和国政府采购法》、《中华人民共和国政府采购法实施条例》、《政府采购货物和服务招标投标管理办法》和《政府采购质疑和投诉办法》的有关规定，依法向采购人或其委托的采购代理机构提出质疑。</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应按照财政部制定的《政府采购质疑函范本》格式（可从财政部官方网站下载）和《政府采购质疑和投诉办法》的要求，在法定质疑期内以书面形式提出质疑，针对同一采购程序环节的质疑</w:t>
      </w:r>
      <w:r>
        <w:rPr>
          <w:rFonts w:hint="eastAsia" w:ascii="宋体" w:hAnsi="宋体" w:eastAsia="宋体" w:cs="宋体"/>
          <w:b w:val="0"/>
          <w:bCs w:val="0"/>
          <w:sz w:val="24"/>
          <w:szCs w:val="24"/>
          <w:highlight w:val="none"/>
          <w:u w:val="none"/>
          <w:lang w:val="en-US" w:eastAsia="zh-CN"/>
        </w:rPr>
        <w:t>应一次性提出</w:t>
      </w:r>
      <w:r>
        <w:rPr>
          <w:rFonts w:hint="eastAsia" w:ascii="宋体" w:hAnsi="宋体" w:eastAsia="宋体" w:cs="宋体"/>
          <w:b w:val="0"/>
          <w:bCs w:val="0"/>
          <w:sz w:val="24"/>
          <w:szCs w:val="24"/>
          <w:highlight w:val="none"/>
          <w:u w:val="none"/>
        </w:rPr>
        <w:t>。超出法定质疑期提交的质疑将被拒绝。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重复或分次提出的、内容或形式不符合《政府采购质疑和投诉办法》的，提出质疑的</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将依法承担不利后果。</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质疑函接收部门、联系电话和通讯地址,见</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7" w:name="_Toc19065"/>
      <w:bookmarkStart w:id="118" w:name="_Toc11769"/>
      <w:r>
        <w:rPr>
          <w:rFonts w:hint="eastAsia" w:ascii="Times New Roman" w:hAnsi="Times New Roman" w:eastAsia="宋体" w:cs="Times New Roman"/>
          <w:b/>
          <w:bCs/>
          <w:sz w:val="24"/>
          <w:szCs w:val="24"/>
          <w:highlight w:val="none"/>
          <w:lang w:val="en-US" w:eastAsia="zh-CN"/>
        </w:rPr>
        <w:t>预付款</w:t>
      </w:r>
      <w:bookmarkEnd w:id="117"/>
      <w:bookmarkEnd w:id="118"/>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预付款是在指政府采购合同签订后、履行前，采购人向中标人预先支付部分合同款项，预付款比例按照</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须知前附表规定执行。</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如采购人要求，中标人在收到预付款前，需向采购人提供预付款保函。预付款保函是指中标人向银行或者有资质的专业的担保机构申请，由其向采购人出具的确保预付款直接或者间接用于政府采购合同履约或者保障政府采购履约质量的银行保函或者担保保函等。</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19" w:name="_Toc13557"/>
      <w:r>
        <w:rPr>
          <w:rFonts w:hint="eastAsia" w:ascii="Times New Roman" w:hAnsi="Times New Roman" w:eastAsia="宋体" w:cs="Times New Roman"/>
          <w:b/>
          <w:bCs/>
          <w:sz w:val="24"/>
          <w:szCs w:val="24"/>
          <w:highlight w:val="none"/>
          <w:lang w:val="en-US" w:eastAsia="zh-CN"/>
        </w:rPr>
        <w:t>采购代理费</w:t>
      </w:r>
      <w:bookmarkEnd w:id="119"/>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中标人应在领取中标通知书时，按“投标须知前附表”中的规定向采购代理机构支付</w:t>
      </w:r>
      <w:r>
        <w:rPr>
          <w:rFonts w:hint="eastAsia" w:ascii="宋体" w:hAnsi="宋体" w:cs="宋体"/>
          <w:sz w:val="24"/>
          <w:szCs w:val="24"/>
          <w:highlight w:val="none"/>
          <w:lang w:val="en-US" w:eastAsia="zh-CN"/>
        </w:rPr>
        <w:t>采购代理</w:t>
      </w:r>
      <w:r>
        <w:rPr>
          <w:rFonts w:hint="eastAsia" w:ascii="宋体" w:hAnsi="宋体" w:eastAsia="宋体" w:cs="宋体"/>
          <w:sz w:val="24"/>
          <w:szCs w:val="24"/>
          <w:highlight w:val="none"/>
        </w:rPr>
        <w:t>费。</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0" w:name="_Toc5173"/>
      <w:r>
        <w:rPr>
          <w:rFonts w:hint="eastAsia" w:ascii="Times New Roman" w:hAnsi="Times New Roman" w:eastAsia="宋体" w:cs="Times New Roman"/>
          <w:b/>
          <w:bCs/>
          <w:sz w:val="24"/>
          <w:szCs w:val="24"/>
          <w:highlight w:val="none"/>
          <w:lang w:val="en-US" w:eastAsia="zh-CN"/>
        </w:rPr>
        <w:t>政府采购信用担保</w:t>
      </w:r>
      <w:bookmarkEnd w:id="120"/>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如属于政府采购信用担保试点范围内，中小型企业</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可以自由按照财政部门的规定，采用履约担保和融资担保。</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递交的履约担保函应符合本招标文件的规定。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中标供应商（中标人）可以采取融资担保的形式为政府采购项目履约进行融资。</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1" w:name="_Toc333"/>
      <w:bookmarkStart w:id="122" w:name="_Toc17432"/>
      <w:r>
        <w:rPr>
          <w:rFonts w:hint="eastAsia" w:ascii="Times New Roman" w:hAnsi="Times New Roman" w:eastAsia="宋体" w:cs="Times New Roman"/>
          <w:b/>
          <w:bCs/>
          <w:sz w:val="24"/>
          <w:szCs w:val="24"/>
          <w:highlight w:val="none"/>
          <w:lang w:val="en-US" w:eastAsia="zh-CN"/>
        </w:rPr>
        <w:t>廉洁自律规定</w:t>
      </w:r>
      <w:bookmarkEnd w:id="121"/>
      <w:bookmarkEnd w:id="122"/>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采购代理机构工作人员不得以不正当手段获取政府采购代理业务，不得与采购人、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恶意串通。</w:t>
      </w:r>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采购代理机构工作人员不得接受采购人或者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组织的宴请、旅游、娱乐，不得收受礼品、现金、有价证券等，不得向采购人或者</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报销应当由个人承担的费用。</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3" w:name="_Toc9009"/>
      <w:bookmarkStart w:id="124" w:name="_Toc6581"/>
      <w:r>
        <w:rPr>
          <w:rFonts w:hint="eastAsia" w:ascii="Times New Roman" w:hAnsi="Times New Roman" w:eastAsia="宋体" w:cs="Times New Roman"/>
          <w:b/>
          <w:bCs/>
          <w:sz w:val="24"/>
          <w:szCs w:val="24"/>
          <w:highlight w:val="none"/>
          <w:lang w:val="en-US" w:eastAsia="zh-CN"/>
        </w:rPr>
        <w:t>人员回避</w:t>
      </w:r>
      <w:bookmarkEnd w:id="123"/>
      <w:bookmarkEnd w:id="124"/>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潜在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认为招标文件使自己的权益受到损害的，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认为采购人员及其相关人员有法律法规所列与其他</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有利害关系的，均可以向采购人或采购代理机构书面提出回避申请，并说明理由。</w:t>
      </w:r>
    </w:p>
    <w:p>
      <w:pPr>
        <w:pStyle w:val="7"/>
        <w:keepNext w:val="0"/>
        <w:keepLines w:val="0"/>
        <w:pageBreakBefore w:val="0"/>
        <w:widowControl w:val="0"/>
        <w:numPr>
          <w:ilvl w:val="0"/>
          <w:numId w:val="1"/>
        </w:numPr>
        <w:kinsoku/>
        <w:wordWrap/>
        <w:overflowPunct/>
        <w:topLinePunct w:val="0"/>
        <w:autoSpaceDE/>
        <w:autoSpaceDN/>
        <w:bidi w:val="0"/>
        <w:adjustRightInd/>
        <w:snapToGrid/>
        <w:spacing w:line="540" w:lineRule="exact"/>
        <w:ind w:left="437" w:hanging="437"/>
        <w:textAlignment w:val="auto"/>
        <w:rPr>
          <w:rFonts w:hint="eastAsia" w:ascii="Times New Roman" w:hAnsi="Times New Roman" w:eastAsia="宋体" w:cs="Times New Roman"/>
          <w:b/>
          <w:bCs/>
          <w:sz w:val="24"/>
          <w:szCs w:val="24"/>
          <w:highlight w:val="none"/>
          <w:lang w:val="en-US" w:eastAsia="zh-CN"/>
        </w:rPr>
      </w:pPr>
      <w:bookmarkStart w:id="125" w:name="_Toc9457"/>
      <w:bookmarkStart w:id="126" w:name="_Toc24880"/>
      <w:r>
        <w:rPr>
          <w:rFonts w:hint="eastAsia" w:ascii="Times New Roman" w:hAnsi="Times New Roman" w:eastAsia="宋体" w:cs="Times New Roman"/>
          <w:b/>
          <w:bCs/>
          <w:sz w:val="24"/>
          <w:szCs w:val="24"/>
          <w:highlight w:val="none"/>
          <w:lang w:val="en-US" w:eastAsia="zh-CN"/>
        </w:rPr>
        <w:t>需要补充的其它内容</w:t>
      </w:r>
      <w:bookmarkEnd w:id="125"/>
      <w:bookmarkEnd w:id="126"/>
    </w:p>
    <w:p>
      <w:pPr>
        <w:pageBreakBefore w:val="0"/>
        <w:widowControl w:val="0"/>
        <w:numPr>
          <w:ilvl w:val="1"/>
          <w:numId w:val="1"/>
        </w:numPr>
        <w:tabs>
          <w:tab w:val="left" w:pos="709"/>
          <w:tab w:val="clear" w:pos="360"/>
        </w:tabs>
        <w:kinsoku/>
        <w:wordWrap/>
        <w:overflowPunct/>
        <w:topLinePunct w:val="0"/>
        <w:autoSpaceDE/>
        <w:autoSpaceDN/>
        <w:bidi w:val="0"/>
        <w:adjustRightInd/>
        <w:snapToGrid/>
        <w:spacing w:line="540" w:lineRule="exact"/>
        <w:ind w:left="709" w:hanging="70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需要补充的其它内容：见</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须知前附表。</w:t>
      </w:r>
    </w:p>
    <w:p>
      <w:pPr>
        <w:rPr>
          <w:highlight w:val="none"/>
        </w:rPr>
      </w:pPr>
    </w:p>
    <w:p>
      <w:pPr>
        <w:rPr>
          <w:rFonts w:hint="eastAsia" w:ascii="宋体" w:hAnsi="宋体" w:eastAsia="宋体" w:cs="宋体"/>
          <w:highlight w:val="none"/>
        </w:rPr>
      </w:pPr>
      <w:r>
        <w:rPr>
          <w:rFonts w:hint="eastAsia" w:ascii="宋体" w:hAnsi="宋体" w:eastAsia="宋体" w:cs="宋体"/>
          <w:highlight w:val="none"/>
        </w:rPr>
        <w:br w:type="page"/>
      </w:r>
    </w:p>
    <w:p>
      <w:pPr>
        <w:pStyle w:val="2"/>
        <w:tabs>
          <w:tab w:val="left" w:pos="4200"/>
        </w:tabs>
        <w:kinsoku w:val="0"/>
        <w:overflowPunct w:val="0"/>
        <w:spacing w:line="4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 1：履约保证金保函（格式）</w:t>
      </w:r>
    </w:p>
    <w:p>
      <w:pPr>
        <w:pStyle w:val="19"/>
        <w:rPr>
          <w:rFonts w:hint="eastAsia"/>
          <w:highlight w:val="none"/>
        </w:rPr>
      </w:pPr>
    </w:p>
    <w:p>
      <w:pPr>
        <w:pStyle w:val="2"/>
        <w:tabs>
          <w:tab w:val="left" w:pos="4200"/>
        </w:tabs>
        <w:kinsoku w:val="0"/>
        <w:overflowPunct w:val="0"/>
        <w:spacing w:line="460" w:lineRule="exact"/>
        <w:ind w:firstLine="562" w:firstLineChars="2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（如需要中标后开具）</w:t>
      </w:r>
    </w:p>
    <w:p>
      <w:pPr>
        <w:pStyle w:val="19"/>
        <w:rPr>
          <w:rFonts w:hint="eastAsia"/>
          <w:highlight w:val="none"/>
        </w:rPr>
      </w:pPr>
    </w:p>
    <w:p>
      <w:pPr>
        <w:pStyle w:val="2"/>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致: (</w:t>
      </w:r>
      <w:r>
        <w:rPr>
          <w:rFonts w:hint="eastAsia" w:ascii="宋体" w:hAnsi="宋体" w:eastAsia="宋体" w:cs="宋体"/>
          <w:sz w:val="21"/>
          <w:szCs w:val="21"/>
          <w:highlight w:val="none"/>
          <w:u w:val="single"/>
        </w:rPr>
        <w:t>买方名称</w:t>
      </w:r>
      <w:r>
        <w:rPr>
          <w:rFonts w:hint="eastAsia" w:ascii="宋体" w:hAnsi="宋体" w:eastAsia="宋体" w:cs="宋体"/>
          <w:sz w:val="21"/>
          <w:szCs w:val="21"/>
          <w:highlight w:val="none"/>
        </w:rPr>
        <w:t>)</w:t>
      </w:r>
    </w:p>
    <w:p>
      <w:pPr>
        <w:pStyle w:val="2"/>
        <w:tabs>
          <w:tab w:val="left" w:pos="1742"/>
        </w:tabs>
        <w:kinsoku w:val="0"/>
        <w:overflowPunct w:val="0"/>
        <w:spacing w:line="460" w:lineRule="exact"/>
        <w:jc w:val="center"/>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号合同履约保函</w:t>
      </w:r>
    </w:p>
    <w:p>
      <w:pPr>
        <w:pStyle w:val="2"/>
        <w:tabs>
          <w:tab w:val="left" w:pos="3852"/>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本保函作为贵方与(</w:t>
      </w:r>
      <w:r>
        <w:rPr>
          <w:rFonts w:hint="eastAsia" w:ascii="宋体" w:hAnsi="宋体" w:eastAsia="宋体" w:cs="宋体"/>
          <w:sz w:val="21"/>
          <w:szCs w:val="21"/>
          <w:highlight w:val="none"/>
          <w:u w:val="single"/>
        </w:rPr>
        <w:t>卖方名称</w:t>
      </w:r>
      <w:r>
        <w:rPr>
          <w:rFonts w:hint="eastAsia" w:ascii="宋体" w:hAnsi="宋体" w:eastAsia="宋体" w:cs="宋体"/>
          <w:sz w:val="21"/>
          <w:szCs w:val="21"/>
          <w:highlight w:val="none"/>
        </w:rPr>
        <w:t>)(以下简称卖方)于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ab/>
      </w:r>
      <w:r>
        <w:rPr>
          <w:rFonts w:hint="eastAsia" w:ascii="宋体" w:hAnsi="宋体" w:eastAsia="宋体" w:cs="宋体"/>
          <w:sz w:val="21"/>
          <w:szCs w:val="21"/>
          <w:highlight w:val="none"/>
        </w:rPr>
        <w:t>项目(以下简称项目)项下提供(</w:t>
      </w:r>
      <w:r>
        <w:rPr>
          <w:rFonts w:hint="eastAsia" w:ascii="宋体" w:hAnsi="宋体" w:eastAsia="宋体" w:cs="宋体"/>
          <w:sz w:val="21"/>
          <w:szCs w:val="21"/>
          <w:highlight w:val="none"/>
          <w:u w:val="single"/>
        </w:rPr>
        <w:t>标的名称</w:t>
      </w:r>
      <w:r>
        <w:rPr>
          <w:rFonts w:hint="eastAsia" w:ascii="宋体" w:hAnsi="宋体" w:eastAsia="宋体" w:cs="宋体"/>
          <w:sz w:val="21"/>
          <w:szCs w:val="21"/>
          <w:highlight w:val="none"/>
        </w:rPr>
        <w:t>)(以下简称</w:t>
      </w:r>
      <w:r>
        <w:rPr>
          <w:rFonts w:hint="eastAsia" w:ascii="宋体" w:hAnsi="宋体" w:eastAsia="宋体" w:cs="宋体"/>
          <w:b/>
          <w:sz w:val="21"/>
          <w:szCs w:val="21"/>
          <w:highlight w:val="none"/>
        </w:rPr>
        <w:t>标的物</w:t>
      </w:r>
      <w:r>
        <w:rPr>
          <w:rFonts w:hint="eastAsia" w:ascii="宋体" w:hAnsi="宋体" w:eastAsia="宋体" w:cs="宋体"/>
          <w:sz w:val="21"/>
          <w:szCs w:val="21"/>
          <w:highlight w:val="none"/>
        </w:rPr>
        <w:t>)签订的(</w:t>
      </w:r>
      <w:r>
        <w:rPr>
          <w:rFonts w:hint="eastAsia" w:ascii="宋体" w:hAnsi="宋体" w:eastAsia="宋体" w:cs="宋体"/>
          <w:sz w:val="21"/>
          <w:szCs w:val="21"/>
          <w:highlight w:val="none"/>
          <w:u w:val="single"/>
        </w:rPr>
        <w:t>合同号</w:t>
      </w:r>
      <w:r>
        <w:rPr>
          <w:rFonts w:hint="eastAsia" w:ascii="宋体" w:hAnsi="宋体" w:eastAsia="宋体" w:cs="宋体"/>
          <w:sz w:val="21"/>
          <w:szCs w:val="21"/>
          <w:highlight w:val="none"/>
        </w:rPr>
        <w:t>)号合同的履约保函。</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出具保函的银行名称</w:t>
      </w:r>
      <w:r>
        <w:rPr>
          <w:rFonts w:hint="eastAsia" w:ascii="宋体" w:hAnsi="宋体" w:eastAsia="宋体" w:cs="宋体"/>
          <w:sz w:val="21"/>
          <w:szCs w:val="21"/>
          <w:highlight w:val="none"/>
        </w:rPr>
        <w:t>)(以下简称银行)无条件地、不可撤销地具结保证本行、其继承人和受让人无追索地向贵方以(</w:t>
      </w:r>
      <w:r>
        <w:rPr>
          <w:rFonts w:hint="eastAsia" w:ascii="宋体" w:hAnsi="宋体" w:eastAsia="宋体" w:cs="宋体"/>
          <w:sz w:val="21"/>
          <w:szCs w:val="21"/>
          <w:highlight w:val="none"/>
          <w:u w:val="single"/>
        </w:rPr>
        <w:t>货币名称</w:t>
      </w:r>
      <w:r>
        <w:rPr>
          <w:rFonts w:hint="eastAsia" w:ascii="宋体" w:hAnsi="宋体" w:eastAsia="宋体" w:cs="宋体"/>
          <w:sz w:val="21"/>
          <w:szCs w:val="21"/>
          <w:highlight w:val="none"/>
        </w:rPr>
        <w:t>)支付总额不超过(</w:t>
      </w:r>
      <w:r>
        <w:rPr>
          <w:rFonts w:hint="eastAsia" w:ascii="宋体" w:hAnsi="宋体" w:eastAsia="宋体" w:cs="宋体"/>
          <w:sz w:val="21"/>
          <w:szCs w:val="21"/>
          <w:highlight w:val="none"/>
          <w:u w:val="single"/>
        </w:rPr>
        <w:t>货币数量</w:t>
      </w:r>
      <w:r>
        <w:rPr>
          <w:rFonts w:hint="eastAsia" w:ascii="宋体" w:hAnsi="宋体" w:eastAsia="宋体" w:cs="宋体"/>
          <w:sz w:val="21"/>
          <w:szCs w:val="21"/>
          <w:highlight w:val="none"/>
        </w:rPr>
        <w:t>),  即相当于合同价格的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%,并以此约定如下:</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只要贵方确定卖方未能忠实地履行所有合同文件的规定和双方此后一致同意的修改、补充和变动,包括更改和/或修补贵方认为有缺陷的标的物(以下简称违约),无论卖方有任何反对,本行将凭贵方关于卖方违约说明的书面通知,立即按贵方提出的累计总额不超过上述金额的款项和按贵方通知规定的方式付给贵方。</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2.本保函项下的任何支付应为免税和净值。对于现有或将来的税收、关税、收费、费用扣减或预提税款，不论这些款项是何种性质和由谁征收，都不应从本保函项下的支付中扣除。</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4.本保函在本合同规定的保证期期满前完全有效。</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谨启</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出具保函银行名称：</w:t>
      </w:r>
      <w:r>
        <w:rPr>
          <w:rFonts w:hint="eastAsia" w:ascii="宋体" w:hAnsi="宋体" w:eastAsia="宋体" w:cs="宋体"/>
          <w:sz w:val="21"/>
          <w:szCs w:val="21"/>
          <w:highlight w:val="none"/>
          <w:u w:val="single"/>
        </w:rPr>
        <w:t xml:space="preserve">  （加盖银行公章）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签字人姓名和职务：</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签字人签名：</w:t>
      </w:r>
      <w:r>
        <w:rPr>
          <w:rFonts w:hint="eastAsia" w:ascii="宋体" w:hAnsi="宋体" w:eastAsia="宋体" w:cs="宋体"/>
          <w:sz w:val="21"/>
          <w:szCs w:val="21"/>
          <w:highlight w:val="none"/>
          <w:u w:val="single"/>
        </w:rPr>
        <w:t xml:space="preserve">                         </w:t>
      </w:r>
    </w:p>
    <w:p>
      <w:pPr>
        <w:pStyle w:val="2"/>
        <w:tabs>
          <w:tab w:val="left" w:pos="4200"/>
        </w:tabs>
        <w:kinsoku w:val="0"/>
        <w:overflowPunct w:val="0"/>
        <w:spacing w:line="460" w:lineRule="exact"/>
        <w:ind w:firstLine="420" w:firstLineChars="200"/>
        <w:rPr>
          <w:rFonts w:hint="eastAsia" w:ascii="宋体" w:hAnsi="宋体" w:eastAsia="宋体" w:cs="宋体"/>
          <w:highlight w:val="none"/>
        </w:rPr>
      </w:pPr>
      <w:r>
        <w:rPr>
          <w:rFonts w:hint="eastAsia" w:ascii="宋体" w:hAnsi="宋体" w:eastAsia="宋体" w:cs="宋体"/>
          <w:sz w:val="21"/>
          <w:szCs w:val="21"/>
          <w:highlight w:val="none"/>
        </w:rPr>
        <w:t>日期：</w:t>
      </w:r>
      <w:r>
        <w:rPr>
          <w:rFonts w:hint="eastAsia" w:ascii="宋体" w:hAnsi="宋体" w:eastAsia="宋体" w:cs="宋体"/>
          <w:sz w:val="21"/>
          <w:szCs w:val="21"/>
          <w:highlight w:val="none"/>
          <w:u w:val="single"/>
        </w:rPr>
        <w:t xml:space="preserve">                               </w:t>
      </w:r>
      <w:r>
        <w:rPr>
          <w:rFonts w:hint="eastAsia" w:ascii="宋体" w:hAnsi="宋体" w:eastAsia="宋体" w:cs="宋体"/>
          <w:highlight w:val="none"/>
        </w:rPr>
        <w:br w:type="page"/>
      </w:r>
      <w:bookmarkStart w:id="127" w:name="_Toc30501"/>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 2：履约担保函格式</w:t>
      </w:r>
      <w:bookmarkEnd w:id="127"/>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（采用政府采购信用担保形式时使用）</w:t>
      </w:r>
    </w:p>
    <w:p>
      <w:pPr>
        <w:pStyle w:val="2"/>
        <w:tabs>
          <w:tab w:val="left" w:pos="4200"/>
        </w:tabs>
        <w:kinsoku w:val="0"/>
        <w:overflowPunct w:val="0"/>
        <w:spacing w:line="4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政府采购履约担保函（项目用）</w:t>
      </w:r>
    </w:p>
    <w:p>
      <w:pPr>
        <w:pStyle w:val="2"/>
        <w:kinsoku w:val="0"/>
        <w:overflowPunct w:val="0"/>
        <w:spacing w:line="460" w:lineRule="exact"/>
        <w:ind w:right="840" w:firstLine="5810" w:firstLineChars="2767"/>
        <w:rPr>
          <w:rFonts w:hint="eastAsia" w:ascii="宋体" w:hAnsi="宋体" w:eastAsia="宋体" w:cs="宋体"/>
          <w:sz w:val="21"/>
          <w:szCs w:val="21"/>
          <w:highlight w:val="none"/>
        </w:rPr>
      </w:pPr>
      <w:r>
        <w:rPr>
          <w:rFonts w:hint="eastAsia" w:ascii="宋体" w:hAnsi="宋体" w:eastAsia="宋体" w:cs="宋体"/>
          <w:sz w:val="21"/>
          <w:szCs w:val="21"/>
          <w:highlight w:val="none"/>
        </w:rPr>
        <w:t>编号：</w:t>
      </w:r>
    </w:p>
    <w:p>
      <w:pPr>
        <w:pStyle w:val="2"/>
        <w:tabs>
          <w:tab w:val="left" w:pos="3600"/>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（采购人名称）：</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鉴于你方与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（以下简称供应商）于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日签定编号为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政府采购合同》（以下简称主合同），且依据该合同的约定，供应商应在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日前向你方交纳履约保证金，且可以履约担保函的形式交纳履约保证金。应供应商的申请，我方以保证的方式向你方提供如下履约保证金担保：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一、保证责任的情形及保证金额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（一）在供应商出现下列情形之一时，我方承担保证责任：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1．将成交项目转让给他人，或者在响应文件中未说明，且未经采购招标机构人同意，将成交项目分包给他人的；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2．主合同约定的应当缴纳履约保证金的情形: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（1）未按主合同约定的质量、数量和期限供应</w:t>
      </w:r>
      <w:r>
        <w:rPr>
          <w:rFonts w:hint="eastAsia" w:ascii="宋体" w:hAnsi="宋体" w:eastAsia="宋体" w:cs="宋体"/>
          <w:b w:val="0"/>
          <w:bCs/>
          <w:sz w:val="21"/>
          <w:szCs w:val="21"/>
          <w:highlight w:val="none"/>
        </w:rPr>
        <w:t>货物/提供服务/完成工程的；</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（二）我方的保证范围是主合同约定的合同价款总额的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%数额为元（大写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），币种为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。（即主合同履约保证金金额）</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二、保证的方式及保证期间</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我方保证的方式为：连带责任保证。</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我方保证的期间为：自本合同生效之日起至供应商按照主合同约定的供货/ 完工期限届满后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如果供应商未按主合同约定向贵方</w:t>
      </w:r>
      <w:r>
        <w:rPr>
          <w:rFonts w:hint="eastAsia" w:ascii="宋体" w:hAnsi="宋体" w:eastAsia="宋体" w:cs="宋体"/>
          <w:b w:val="0"/>
          <w:bCs w:val="0"/>
          <w:sz w:val="21"/>
          <w:szCs w:val="21"/>
          <w:highlight w:val="none"/>
        </w:rPr>
        <w:t>供应货物/提供服务/完成工程的，</w:t>
      </w:r>
      <w:r>
        <w:rPr>
          <w:rFonts w:hint="eastAsia" w:ascii="宋体" w:hAnsi="宋体" w:eastAsia="宋体" w:cs="宋体"/>
          <w:sz w:val="21"/>
          <w:szCs w:val="21"/>
          <w:highlight w:val="none"/>
        </w:rPr>
        <w:t>由我方在保证金额内向你方支付上述款项。</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三、承担保证责任的程序</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1．你方要求我方承担保证责任的，应在本保函保证期间内向我方发出书面索赔通知。索赔通知应写明要求索赔的金额，支付款项应到达的帐号。并附有证明供应商违约事实的证明材料。</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如果你方与供应商</w:t>
      </w:r>
      <w:r>
        <w:rPr>
          <w:rFonts w:hint="eastAsia" w:ascii="宋体" w:hAnsi="宋体" w:eastAsia="宋体" w:cs="宋体"/>
          <w:b w:val="0"/>
          <w:bCs w:val="0"/>
          <w:sz w:val="21"/>
          <w:szCs w:val="21"/>
          <w:highlight w:val="none"/>
        </w:rPr>
        <w:t>因（货物/提供服务/完成工程）质量问题产生争议，你方还需同时提供</w:t>
      </w:r>
      <w:r>
        <w:rPr>
          <w:rFonts w:hint="eastAsia" w:ascii="宋体" w:hAnsi="宋体" w:eastAsia="宋体" w:cs="宋体"/>
          <w:b w:val="0"/>
          <w:bCs w:val="0"/>
          <w:sz w:val="21"/>
          <w:szCs w:val="21"/>
          <w:highlight w:val="none"/>
          <w:u w:val="single"/>
        </w:rPr>
        <w:t xml:space="preserve">           </w:t>
      </w:r>
      <w:r>
        <w:rPr>
          <w:rFonts w:hint="eastAsia" w:ascii="宋体" w:hAnsi="宋体" w:eastAsia="宋体" w:cs="宋体"/>
          <w:b w:val="0"/>
          <w:bCs w:val="0"/>
          <w:sz w:val="21"/>
          <w:szCs w:val="21"/>
          <w:highlight w:val="none"/>
        </w:rPr>
        <w:t>部门出具的质量检测报告，或经诉讼（仲裁）程</w:t>
      </w:r>
      <w:r>
        <w:rPr>
          <w:rFonts w:hint="eastAsia" w:ascii="宋体" w:hAnsi="宋体" w:eastAsia="宋体" w:cs="宋体"/>
          <w:sz w:val="21"/>
          <w:szCs w:val="21"/>
          <w:highlight w:val="none"/>
        </w:rPr>
        <w:t>序裁决后的裁决书、调解书，本保证人即按照检测结果或裁决书、调解书决定是否承担保证责任。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 我方收到你方的书面索赔通知及相应证明材料，在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工作日内进行核定后按照本保函的承诺承担保证责任。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四、保证责任的终止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1．保证期间届满你方未向我方书面主张保证责任的，自保证期间届满次日起，我方保证责任自动终止。保证期间届满前，主合</w:t>
      </w:r>
      <w:r>
        <w:rPr>
          <w:rFonts w:hint="eastAsia" w:ascii="宋体" w:hAnsi="宋体" w:eastAsia="宋体" w:cs="宋体"/>
          <w:b w:val="0"/>
          <w:bCs w:val="0"/>
          <w:sz w:val="21"/>
          <w:szCs w:val="21"/>
          <w:highlight w:val="none"/>
        </w:rPr>
        <w:t>同约定的货物\工程\服务全部验收</w:t>
      </w:r>
      <w:r>
        <w:rPr>
          <w:rFonts w:hint="eastAsia" w:ascii="宋体" w:hAnsi="宋体" w:eastAsia="宋体" w:cs="宋体"/>
          <w:sz w:val="21"/>
          <w:szCs w:val="21"/>
          <w:highlight w:val="none"/>
        </w:rPr>
        <w:t>合格的，自验收合格日起，我方保证责任自动终止。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2．我方按照本保函向你方履行了保证责任后，自我方向你方支付款项（支付款项从我方账户划出）之日起，保证责任即终止。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3．按照法律法规的规定或出现应终止我方保证责任的其它情形的，我方在本保函项下的保证责任亦终止。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五、免责条款</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1．因你方违反主合同约定致使供应商不能履行义务的，我方不承担保证责任。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2．依照法律法规的规定或你方与供应商的另行约定，全部或者部分免除供应商应缴纳的保证金义务的，我方亦免除相应的保证责任。</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3．因不可抗力造成供应商不能履行供货义务的，我方不承担保证责任。六、争议的解决</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因本保函发生的纠纷，由你我双方协商解决，协商不成的，通过诉讼程序解决，诉讼管辖地法院为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法院。</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七、保函的生效</w:t>
      </w:r>
    </w:p>
    <w:p>
      <w:pPr>
        <w:pStyle w:val="2"/>
        <w:tabs>
          <w:tab w:val="left" w:pos="4529"/>
          <w:tab w:val="left" w:pos="5535"/>
        </w:tabs>
        <w:kinsoku w:val="0"/>
        <w:overflowPunct w:val="0"/>
        <w:spacing w:line="460" w:lineRule="exact"/>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本保函自我方加盖公章之日起生效。</w:t>
      </w:r>
    </w:p>
    <w:p>
      <w:pPr>
        <w:pStyle w:val="2"/>
        <w:tabs>
          <w:tab w:val="left" w:pos="4529"/>
          <w:tab w:val="left" w:pos="5535"/>
        </w:tabs>
        <w:kinsoku w:val="0"/>
        <w:overflowPunct w:val="0"/>
        <w:spacing w:line="460" w:lineRule="exact"/>
        <w:ind w:firstLine="5103" w:firstLineChars="243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保证人：（公章）</w:t>
      </w:r>
    </w:p>
    <w:p>
      <w:pPr>
        <w:pStyle w:val="2"/>
        <w:tabs>
          <w:tab w:val="left" w:pos="8161"/>
          <w:tab w:val="left" w:pos="9121"/>
        </w:tabs>
        <w:kinsoku w:val="0"/>
        <w:overflowPunct w:val="0"/>
        <w:spacing w:line="460" w:lineRule="exact"/>
        <w:ind w:firstLine="5243" w:firstLineChars="2497"/>
        <w:rPr>
          <w:rFonts w:hint="eastAsia" w:ascii="宋体" w:hAnsi="宋体" w:eastAsia="宋体" w:cs="宋体"/>
          <w:sz w:val="21"/>
          <w:szCs w:val="21"/>
          <w:highlight w:val="none"/>
        </w:rPr>
      </w:pPr>
      <w:r>
        <w:rPr>
          <w:rFonts w:hint="eastAsia" w:ascii="宋体" w:hAnsi="宋体" w:eastAsia="宋体" w:cs="宋体"/>
          <w:sz w:val="21"/>
          <w:szCs w:val="21"/>
          <w:highlight w:val="none"/>
        </w:rPr>
        <w:t>年  月  日</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tabs>
          <w:tab w:val="left" w:pos="4200"/>
        </w:tabs>
        <w:kinsoku w:val="0"/>
        <w:overflowPunct w:val="0"/>
        <w:spacing w:line="460" w:lineRule="exact"/>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附件3：资格审查表</w:t>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rPr>
      </w:pPr>
      <w:bookmarkStart w:id="128" w:name="_Toc16540"/>
      <w:r>
        <w:rPr>
          <w:rFonts w:hint="eastAsia" w:ascii="宋体" w:hAnsi="宋体" w:eastAsia="宋体" w:cs="宋体"/>
          <w:sz w:val="24"/>
          <w:szCs w:val="24"/>
          <w:highlight w:val="none"/>
        </w:rPr>
        <w:t>资格审查表</w:t>
      </w:r>
      <w:bookmarkEnd w:id="128"/>
    </w:p>
    <w:tbl>
      <w:tblPr>
        <w:tblStyle w:val="28"/>
        <w:tblW w:w="4998" w:type="pct"/>
        <w:tblInd w:w="0" w:type="dxa"/>
        <w:tblLayout w:type="autofit"/>
        <w:tblCellMar>
          <w:top w:w="0" w:type="dxa"/>
          <w:left w:w="108" w:type="dxa"/>
          <w:bottom w:w="0" w:type="dxa"/>
          <w:right w:w="108" w:type="dxa"/>
        </w:tblCellMar>
      </w:tblPr>
      <w:tblGrid>
        <w:gridCol w:w="1053"/>
        <w:gridCol w:w="6014"/>
        <w:gridCol w:w="1452"/>
      </w:tblGrid>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352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审查项目</w:t>
            </w:r>
          </w:p>
        </w:tc>
        <w:tc>
          <w:tcPr>
            <w:tcW w:w="85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sz w:val="24"/>
                <w:highlight w:val="none"/>
                <w:lang w:val="en-US" w:eastAsia="zh-CN"/>
              </w:rPr>
            </w:pPr>
            <w:r>
              <w:rPr>
                <w:rFonts w:hint="eastAsia" w:ascii="宋体" w:hAnsi="宋体"/>
                <w:sz w:val="24"/>
                <w:highlight w:val="none"/>
                <w:lang w:val="en-US" w:eastAsia="zh-CN"/>
              </w:rPr>
              <w:t>备注</w:t>
            </w: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3529" w:type="pct"/>
            <w:tcBorders>
              <w:top w:val="single" w:color="auto" w:sz="4" w:space="0"/>
              <w:bottom w:val="single" w:color="auto" w:sz="4" w:space="0"/>
              <w:right w:val="single" w:color="auto" w:sz="4" w:space="0"/>
            </w:tcBorders>
            <w:vAlign w:val="center"/>
          </w:tcPr>
          <w:p>
            <w:pPr>
              <w:jc w:val="center"/>
              <w:rPr>
                <w:rFonts w:ascii="宋体" w:hAnsi="宋体" w:eastAsia="宋体"/>
                <w:sz w:val="24"/>
                <w:highlight w:val="none"/>
              </w:rPr>
            </w:pPr>
            <w:r>
              <w:rPr>
                <w:rFonts w:hint="eastAsia" w:ascii="宋体" w:hAnsi="宋体" w:eastAsia="宋体"/>
                <w:sz w:val="24"/>
                <w:highlight w:val="none"/>
              </w:rPr>
              <w:t>具有独立承担民事责任的能力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449"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2</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rPr>
            </w:pPr>
            <w:r>
              <w:rPr>
                <w:rFonts w:hint="eastAsia" w:ascii="宋体" w:hAnsi="Times New Roman" w:cs="Times New Roman"/>
                <w:sz w:val="24"/>
                <w:highlight w:val="none"/>
              </w:rPr>
              <w:t>具有良好的商业信誉和健全的财务会计制度</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3</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具有完成本次招标项目履行合同所必需的设备和专业技术能力</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4</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有依法缴纳税收和社会保障资金的良好记录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5</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参加政府采购活动前三年内，在经营活动中没有重大违法记录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6</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投标人应为国家密码管理局认定的商用密码应用安全性评估机构，提供证明文件；（本条款</w:t>
            </w:r>
            <w:r>
              <w:rPr>
                <w:rFonts w:hint="eastAsia" w:ascii="宋体" w:hAnsi="宋体"/>
                <w:sz w:val="24"/>
                <w:highlight w:val="none"/>
                <w:lang w:val="en-US" w:eastAsia="zh-CN"/>
              </w:rPr>
              <w:t>仅</w:t>
            </w:r>
            <w:r>
              <w:rPr>
                <w:rFonts w:hint="eastAsia" w:ascii="宋体" w:hAnsi="宋体" w:eastAsia="宋体"/>
                <w:sz w:val="24"/>
                <w:highlight w:val="none"/>
              </w:rPr>
              <w:t>适用于B包）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7</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投标人须具有公安部第三研究所颁发的《网络安全等级测评与检测评估机构服务认证证书》；（本条款</w:t>
            </w:r>
            <w:r>
              <w:rPr>
                <w:rFonts w:hint="eastAsia" w:ascii="宋体" w:hAnsi="宋体"/>
                <w:sz w:val="24"/>
                <w:highlight w:val="none"/>
                <w:lang w:val="en-US" w:eastAsia="zh-CN"/>
              </w:rPr>
              <w:t>仅</w:t>
            </w:r>
            <w:r>
              <w:rPr>
                <w:rFonts w:hint="eastAsia" w:ascii="宋体" w:hAnsi="宋体" w:eastAsia="宋体"/>
                <w:sz w:val="24"/>
                <w:highlight w:val="none"/>
              </w:rPr>
              <w:t>适用于C包）</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Times New Roman"/>
                <w:kern w:val="2"/>
                <w:sz w:val="24"/>
                <w:szCs w:val="24"/>
                <w:highlight w:val="none"/>
                <w:lang w:val="en-US" w:eastAsia="zh-CN" w:bidi="ar-SA"/>
              </w:rPr>
            </w:pPr>
            <w:r>
              <w:rPr>
                <w:rFonts w:ascii="宋体" w:hAnsi="宋体"/>
                <w:sz w:val="24"/>
                <w:highlight w:val="none"/>
              </w:rPr>
              <w:t>8</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lang w:val="en-US" w:eastAsia="zh-CN"/>
              </w:rPr>
              <w:t>供应商未被</w:t>
            </w:r>
            <w:r>
              <w:rPr>
                <w:rFonts w:hint="eastAsia" w:ascii="宋体" w:hAnsi="宋体" w:eastAsia="宋体"/>
                <w:sz w:val="24"/>
                <w:highlight w:val="none"/>
              </w:rPr>
              <w:t>列入失信被执行人、重大税收违法</w:t>
            </w:r>
            <w:r>
              <w:rPr>
                <w:rFonts w:hint="eastAsia" w:ascii="宋体" w:hAnsi="宋体" w:eastAsia="宋体"/>
                <w:sz w:val="24"/>
                <w:highlight w:val="none"/>
                <w:lang w:val="en-US" w:eastAsia="zh-CN"/>
              </w:rPr>
              <w:t>失信主体</w:t>
            </w:r>
            <w:r>
              <w:rPr>
                <w:rFonts w:hint="eastAsia" w:ascii="宋体" w:hAnsi="宋体" w:eastAsia="宋体"/>
                <w:sz w:val="24"/>
                <w:highlight w:val="none"/>
              </w:rPr>
              <w:t>、政府采购严重违法失信行为记录名单</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91"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9</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单位负责人为同一人或者存在直接控股、管理关系的不同供应商，不得参加同一合同项下的政府采购活动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10</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为本项目提供过整体设计、规范编制或者项目管理、监理、检测等服务的供应商，不得再参加本项目上述服务以外的其他采购活动</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r>
        <w:tblPrEx>
          <w:tblCellMar>
            <w:top w:w="0" w:type="dxa"/>
            <w:left w:w="108" w:type="dxa"/>
            <w:bottom w:w="0" w:type="dxa"/>
            <w:right w:w="108" w:type="dxa"/>
          </w:tblCellMar>
        </w:tblPrEx>
        <w:trPr>
          <w:trHeight w:val="530" w:hRule="atLeast"/>
        </w:trPr>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Times New Roman"/>
                <w:kern w:val="2"/>
                <w:sz w:val="24"/>
                <w:szCs w:val="24"/>
                <w:highlight w:val="none"/>
                <w:lang w:val="en-US" w:eastAsia="zh-CN" w:bidi="ar-SA"/>
              </w:rPr>
            </w:pPr>
            <w:r>
              <w:rPr>
                <w:rFonts w:hint="eastAsia" w:ascii="宋体" w:hAnsi="宋体"/>
                <w:sz w:val="24"/>
                <w:highlight w:val="none"/>
                <w:lang w:val="en-US" w:eastAsia="zh-CN"/>
              </w:rPr>
              <w:t>11</w:t>
            </w:r>
          </w:p>
        </w:tc>
        <w:tc>
          <w:tcPr>
            <w:tcW w:w="3529" w:type="pct"/>
            <w:tcBorders>
              <w:top w:val="single" w:color="auto" w:sz="4" w:space="0"/>
              <w:bottom w:val="single" w:color="auto" w:sz="4" w:space="0"/>
              <w:right w:val="single" w:color="auto" w:sz="4" w:space="0"/>
            </w:tcBorders>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符合相关政府采购政策、相关法律、法规规定的其他条件</w:t>
            </w:r>
          </w:p>
        </w:tc>
        <w:tc>
          <w:tcPr>
            <w:tcW w:w="852"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p>
        </w:tc>
      </w:tr>
    </w:tbl>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r>
        <w:rPr>
          <w:rFonts w:hint="eastAsia" w:ascii="宋体" w:hAnsi="宋体" w:eastAsia="宋体" w:cs="宋体"/>
          <w:sz w:val="24"/>
          <w:szCs w:val="24"/>
          <w:highlight w:val="none"/>
        </w:rPr>
        <w:br w:type="page"/>
      </w:r>
      <w:bookmarkStart w:id="129" w:name="_Toc17735"/>
      <w:r>
        <w:rPr>
          <w:rFonts w:hint="eastAsia" w:ascii="Times New Roman" w:hAnsi="Times New Roman" w:eastAsia="宋体" w:cs="Times New Roman"/>
          <w:highlight w:val="none"/>
        </w:rPr>
        <w:t>第三章 采购需求</w:t>
      </w:r>
      <w:bookmarkEnd w:id="129"/>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0" w:name="_Toc16626"/>
      <w:r>
        <w:rPr>
          <w:rFonts w:hint="eastAsia" w:ascii="宋体" w:hAnsi="宋体" w:eastAsia="宋体" w:cs="宋体"/>
          <w:sz w:val="24"/>
          <w:szCs w:val="24"/>
          <w:highlight w:val="none"/>
          <w:lang w:val="en-US" w:eastAsia="zh-CN"/>
        </w:rPr>
        <w:t>A包：软件测评</w:t>
      </w:r>
      <w:bookmarkEnd w:id="130"/>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1.测试目标及原则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通过第三方软件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服务项目的实施，应用专业的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方法、手段和工具，充分发现并及时修复系统缺陷，保障</w:t>
      </w:r>
      <w:r>
        <w:rPr>
          <w:rFonts w:hint="eastAsia" w:ascii="宋体" w:hAnsi="宋体" w:eastAsia="宋体" w:cs="宋体"/>
          <w:spacing w:val="-4"/>
          <w:sz w:val="24"/>
          <w:szCs w:val="24"/>
          <w:highlight w:val="none"/>
          <w:lang w:val="en-US" w:eastAsia="zh-CN"/>
        </w:rPr>
        <w:t>受测软件</w:t>
      </w:r>
      <w:r>
        <w:rPr>
          <w:rFonts w:hint="eastAsia" w:ascii="宋体" w:hAnsi="宋体" w:eastAsia="宋体" w:cs="宋体"/>
          <w:spacing w:val="-4"/>
          <w:sz w:val="24"/>
          <w:szCs w:val="24"/>
          <w:highlight w:val="none"/>
        </w:rPr>
        <w:t>的各个需求都被正确开发实施，功能、性能</w:t>
      </w:r>
      <w:r>
        <w:rPr>
          <w:rFonts w:hint="eastAsia" w:ascii="宋体" w:hAnsi="宋体" w:eastAsia="宋体" w:cs="宋体"/>
          <w:spacing w:val="-4"/>
          <w:sz w:val="24"/>
          <w:szCs w:val="24"/>
          <w:highlight w:val="none"/>
          <w:lang w:val="en-US" w:eastAsia="zh-CN"/>
        </w:rPr>
        <w:t>等</w:t>
      </w:r>
      <w:r>
        <w:rPr>
          <w:rFonts w:hint="eastAsia" w:ascii="宋体" w:hAnsi="宋体" w:eastAsia="宋体" w:cs="宋体"/>
          <w:spacing w:val="-4"/>
          <w:sz w:val="24"/>
          <w:szCs w:val="24"/>
          <w:highlight w:val="none"/>
        </w:rPr>
        <w:t>各项指标满足设计要求，为系统的稳定运行和充分发挥建设成效奠定坚实基础。</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供应商应具备完善的质量体系保障机制，秉承公平、公开、公正的原则，确保所有测试数据准确、客观、完整。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公平性原则：供应商应遵循“面向应用、保证质量、客观公正、诚信守诺”的原则开展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工作，测试结果真实有效。</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标准性原则：供应商应依据相关国家标准、行业标准开展工作。本</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要求所使用的标准和规范如与供应商所执行的标准不一致时，按较高标准执行。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保密性原则：中标人要对测试工程中获取的文件资料、测试相关信息、测试数据妥善保管，并做好保密工作。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运营影响最小原则：供应商应充分考虑系统运营现状，从对系统运营影响最小的角度组织测试，避免影响日常的业务。</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2.测试要求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供应商对本项目</w:t>
      </w:r>
      <w:r>
        <w:rPr>
          <w:rFonts w:hint="eastAsia" w:ascii="宋体" w:hAnsi="宋体" w:eastAsia="宋体" w:cs="宋体"/>
          <w:spacing w:val="-4"/>
          <w:sz w:val="24"/>
          <w:szCs w:val="24"/>
          <w:highlight w:val="none"/>
          <w:lang w:eastAsia="zh-CN"/>
        </w:rPr>
        <w:t>应用系统参与设计类</w:t>
      </w:r>
      <w:r>
        <w:rPr>
          <w:rFonts w:hint="eastAsia" w:ascii="宋体" w:hAnsi="宋体" w:eastAsia="宋体" w:cs="宋体"/>
          <w:spacing w:val="-4"/>
          <w:sz w:val="24"/>
          <w:szCs w:val="24"/>
          <w:highlight w:val="none"/>
          <w:lang w:val="en-US" w:eastAsia="zh-CN"/>
        </w:rPr>
        <w:t>文档审查</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功能完整性核查</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负责</w:t>
      </w:r>
      <w:r>
        <w:rPr>
          <w:rFonts w:hint="eastAsia" w:ascii="宋体" w:hAnsi="宋体" w:eastAsia="宋体" w:cs="宋体"/>
          <w:spacing w:val="-4"/>
          <w:sz w:val="24"/>
          <w:szCs w:val="24"/>
          <w:highlight w:val="none"/>
        </w:rPr>
        <w:t>实施</w:t>
      </w:r>
      <w:r>
        <w:rPr>
          <w:rFonts w:hint="eastAsia" w:ascii="宋体" w:hAnsi="宋体" w:eastAsia="宋体" w:cs="宋体"/>
          <w:spacing w:val="-4"/>
          <w:sz w:val="24"/>
          <w:szCs w:val="24"/>
          <w:highlight w:val="none"/>
          <w:lang w:val="en-US" w:eastAsia="zh-CN"/>
        </w:rPr>
        <w:t>验收</w:t>
      </w:r>
      <w:r>
        <w:rPr>
          <w:rFonts w:hint="eastAsia" w:ascii="宋体" w:hAnsi="宋体" w:eastAsia="宋体" w:cs="宋体"/>
          <w:spacing w:val="-4"/>
          <w:sz w:val="24"/>
          <w:szCs w:val="24"/>
          <w:highlight w:val="none"/>
        </w:rPr>
        <w:t>测试</w:t>
      </w:r>
      <w:r>
        <w:rPr>
          <w:rFonts w:hint="eastAsia" w:ascii="宋体" w:hAnsi="宋体" w:eastAsia="宋体" w:cs="宋体"/>
          <w:spacing w:val="-4"/>
          <w:sz w:val="24"/>
          <w:szCs w:val="24"/>
          <w:highlight w:val="none"/>
          <w:lang w:eastAsia="zh-CN"/>
        </w:rPr>
        <w:t>的工作。要求</w:t>
      </w:r>
      <w:r>
        <w:rPr>
          <w:rFonts w:hint="eastAsia" w:ascii="宋体" w:hAnsi="宋体" w:eastAsia="宋体" w:cs="宋体"/>
          <w:spacing w:val="-4"/>
          <w:sz w:val="24"/>
          <w:szCs w:val="24"/>
          <w:highlight w:val="none"/>
        </w:rPr>
        <w:t>采用专业的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方法、手段和工具，提供全面、严格的第三方测试服务，出具</w:t>
      </w:r>
      <w:r>
        <w:rPr>
          <w:rFonts w:hint="eastAsia" w:ascii="宋体" w:hAnsi="宋体" w:eastAsia="宋体" w:cs="宋体"/>
          <w:spacing w:val="-4"/>
          <w:sz w:val="24"/>
          <w:szCs w:val="24"/>
          <w:highlight w:val="none"/>
          <w:lang w:eastAsia="zh-CN"/>
        </w:rPr>
        <w:t>携带</w:t>
      </w:r>
      <w:r>
        <w:rPr>
          <w:rFonts w:hint="eastAsia" w:ascii="宋体" w:hAnsi="宋体" w:eastAsia="宋体" w:cs="宋体"/>
          <w:spacing w:val="-4"/>
          <w:sz w:val="24"/>
          <w:szCs w:val="24"/>
          <w:highlight w:val="none"/>
          <w:lang w:val="en-US" w:eastAsia="zh-CN"/>
        </w:rPr>
        <w:t>CNAS认可标识的</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报告，配合本项目验收工作。</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软件测试具体要求</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通过实施软件测试，发现和找出系统开发阶段未满足项目设计要求并且影响上线使用的开发设计缺陷，对被测试系统进行评估，指导开发方修改完善，为系统</w:t>
      </w:r>
      <w:r>
        <w:rPr>
          <w:rFonts w:hint="eastAsia" w:ascii="宋体" w:hAnsi="宋体" w:eastAsia="宋体" w:cs="宋体"/>
          <w:spacing w:val="-4"/>
          <w:sz w:val="24"/>
          <w:szCs w:val="24"/>
          <w:highlight w:val="none"/>
          <w:lang w:eastAsia="zh-CN"/>
        </w:rPr>
        <w:t>的初验及</w:t>
      </w:r>
      <w:r>
        <w:rPr>
          <w:rFonts w:hint="eastAsia" w:ascii="宋体" w:hAnsi="宋体" w:eastAsia="宋体" w:cs="宋体"/>
          <w:spacing w:val="-4"/>
          <w:sz w:val="24"/>
          <w:szCs w:val="24"/>
          <w:highlight w:val="none"/>
        </w:rPr>
        <w:t>最后总体验收</w:t>
      </w:r>
      <w:r>
        <w:rPr>
          <w:rFonts w:hint="eastAsia" w:ascii="宋体" w:hAnsi="宋体" w:eastAsia="宋体" w:cs="宋体"/>
          <w:spacing w:val="-4"/>
          <w:sz w:val="24"/>
          <w:szCs w:val="24"/>
          <w:highlight w:val="none"/>
          <w:lang w:eastAsia="zh-CN"/>
        </w:rPr>
        <w:t>上线</w:t>
      </w:r>
      <w:r>
        <w:rPr>
          <w:rFonts w:hint="eastAsia" w:ascii="宋体" w:hAnsi="宋体" w:eastAsia="宋体" w:cs="宋体"/>
          <w:spacing w:val="-4"/>
          <w:sz w:val="24"/>
          <w:szCs w:val="24"/>
          <w:highlight w:val="none"/>
        </w:rPr>
        <w:t>使用提供质量保证。</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lang w:eastAsia="zh-CN"/>
        </w:rPr>
        <w:t>设计类</w:t>
      </w:r>
      <w:r>
        <w:rPr>
          <w:rFonts w:hint="eastAsia" w:ascii="宋体" w:hAnsi="宋体" w:eastAsia="宋体" w:cs="宋体"/>
          <w:spacing w:val="-4"/>
          <w:sz w:val="24"/>
          <w:szCs w:val="24"/>
          <w:highlight w:val="none"/>
          <w:lang w:val="en-US" w:eastAsia="zh-CN"/>
        </w:rPr>
        <w:t>文档审查。在项目建设的前期过程中，供应商须依据本项目初步设计编制的内容，对承建单位提供的软件需求规格说明书、软件产品白皮书中约束的性能效率及维护性相关内容进行审查。审查与初步设计编制内容的是否一致，并满足本项目运行过程中的实际需求，发现设计类偏差。</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2）功能完整性核查。功能完整性核查的内容应全部覆盖承建合同（技术部分）、需求规格说明、软件设计文档的建设内容，核查每个功能点是否建设完成；发现软件缺失项，并出具功能完整性核查专项检测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（3）验收测试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根据软件需求和用户需求，验收测试内容应覆盖被测软件的关键内容及软件质量特性，满足软件建设合同、软件需求规格说明等规定的技术要求。发现软件缺陷，并按子系统出具验收测试报告。</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①系统的每个被测项至少应被一个测试用例所覆盖。</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②测试用例的输入应至少包括有效等价类值、无效等价类值和边界数据值。</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③应逐项测试系统、子系统开发设计文档规定的系统的功能、效率等质量特性。</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④应测试系统的全部存储量、输入/输出通道和处理时间的余量。</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⑤应测试系统恢复或重置功能和平均恢复时间，并且对每一类导致恢复或重置的情况进行测试。</w:t>
      </w:r>
    </w:p>
    <w:p>
      <w:pPr>
        <w:pStyle w:val="36"/>
        <w:spacing w:before="71" w:line="360" w:lineRule="auto"/>
        <w:ind w:firstLine="464" w:firstLineChars="200"/>
        <w:jc w:val="both"/>
        <w:outlineLvl w:val="9"/>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⑥对不同的实际问题应外加相应的专门测试。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3.验收测试内容</w:t>
      </w:r>
    </w:p>
    <w:p>
      <w:pPr>
        <w:pStyle w:val="36"/>
        <w:spacing w:before="71" w:line="360" w:lineRule="auto"/>
        <w:ind w:left="63" w:right="-94" w:rightChars="-45"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按照</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GB/T 25000.51-2016</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《系统与软件工程 系统与软件质量要求和评价（ SQuaRE） 第 51 部分：就绪可用软件产品（ RUSP）的质量要求和测试细则》，从</w:t>
      </w:r>
      <w:r>
        <w:rPr>
          <w:rFonts w:hint="eastAsia" w:ascii="宋体" w:hAnsi="宋体" w:eastAsia="宋体" w:cs="宋体"/>
          <w:spacing w:val="-4"/>
          <w:sz w:val="24"/>
          <w:szCs w:val="24"/>
          <w:highlight w:val="none"/>
        </w:rPr>
        <w:t>功能性、性能效率、</w:t>
      </w:r>
      <w:r>
        <w:rPr>
          <w:rFonts w:hint="eastAsia" w:ascii="宋体" w:hAnsi="宋体" w:eastAsia="宋体" w:cs="宋体"/>
          <w:spacing w:val="-4"/>
          <w:sz w:val="24"/>
          <w:szCs w:val="24"/>
          <w:highlight w:val="none"/>
          <w:lang w:eastAsia="zh-CN"/>
        </w:rPr>
        <w:t>用户文档集、</w:t>
      </w:r>
      <w:r>
        <w:rPr>
          <w:rFonts w:hint="eastAsia" w:ascii="宋体" w:hAnsi="宋体" w:eastAsia="宋体" w:cs="宋体"/>
          <w:spacing w:val="-4"/>
          <w:sz w:val="24"/>
          <w:szCs w:val="24"/>
          <w:highlight w:val="none"/>
          <w:lang w:val="en-US" w:eastAsia="zh-CN"/>
        </w:rPr>
        <w:t>兼容性、</w:t>
      </w:r>
      <w:r>
        <w:rPr>
          <w:rFonts w:hint="eastAsia" w:ascii="宋体" w:hAnsi="宋体" w:eastAsia="宋体" w:cs="宋体"/>
          <w:spacing w:val="-4"/>
          <w:sz w:val="24"/>
          <w:szCs w:val="24"/>
          <w:highlight w:val="none"/>
        </w:rPr>
        <w:t>易用性、可靠性、维护性、可移植性</w:t>
      </w:r>
      <w:r>
        <w:rPr>
          <w:rFonts w:hint="eastAsia" w:ascii="宋体" w:hAnsi="宋体" w:eastAsia="宋体" w:cs="宋体"/>
          <w:spacing w:val="-4"/>
          <w:sz w:val="24"/>
          <w:szCs w:val="24"/>
          <w:highlight w:val="none"/>
          <w:lang w:val="en-US" w:eastAsia="zh-CN"/>
        </w:rPr>
        <w:t>共八个</w:t>
      </w:r>
      <w:r>
        <w:rPr>
          <w:rFonts w:hint="eastAsia" w:ascii="宋体" w:hAnsi="宋体" w:eastAsia="宋体" w:cs="宋体"/>
          <w:spacing w:val="-4"/>
          <w:sz w:val="24"/>
          <w:szCs w:val="24"/>
          <w:highlight w:val="none"/>
        </w:rPr>
        <w:t>方面</w:t>
      </w:r>
      <w:r>
        <w:rPr>
          <w:rFonts w:hint="eastAsia" w:ascii="宋体" w:hAnsi="宋体" w:eastAsia="宋体" w:cs="宋体"/>
          <w:spacing w:val="-4"/>
          <w:sz w:val="24"/>
          <w:szCs w:val="24"/>
          <w:highlight w:val="none"/>
          <w:lang w:val="en-US" w:eastAsia="zh-CN"/>
        </w:rPr>
        <w:t>对本项目开展软件测试工作</w:t>
      </w:r>
      <w:r>
        <w:rPr>
          <w:rFonts w:hint="eastAsia" w:ascii="宋体" w:hAnsi="宋体" w:eastAsia="宋体" w:cs="宋体"/>
          <w:spacing w:val="-4"/>
          <w:sz w:val="24"/>
          <w:szCs w:val="24"/>
          <w:highlight w:val="none"/>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1</w:t>
      </w:r>
      <w:r>
        <w:rPr>
          <w:rFonts w:hint="eastAsia" w:ascii="宋体" w:hAnsi="宋体" w:eastAsia="宋体" w:cs="宋体"/>
          <w:spacing w:val="-4"/>
          <w:sz w:val="24"/>
          <w:szCs w:val="24"/>
          <w:highlight w:val="none"/>
        </w:rPr>
        <w:t>)功能</w:t>
      </w:r>
      <w:r>
        <w:rPr>
          <w:rFonts w:hint="eastAsia" w:ascii="宋体" w:hAnsi="宋体" w:eastAsia="宋体" w:cs="宋体"/>
          <w:spacing w:val="-4"/>
          <w:sz w:val="24"/>
          <w:szCs w:val="24"/>
          <w:highlight w:val="none"/>
          <w:lang w:val="en-US" w:eastAsia="zh-CN"/>
        </w:rPr>
        <w:t>性</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功能测试应按照业务需求严格对功能模块、业务流程、界面等进行全方位的测试，对本项目所有业务软件功能准确性、互操作性进行验证，确保业务功能符合实际业务运行需要，满足采购方要求。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①检查软件不应自相矛盾，并且不与产品说明和用户文档集矛盾。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②根据功能测试用例逐项测试，对用户文档集中所陈述的所有功能进行测试。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③检查业务流转、业务数据的正确性、完整性等。</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rPr>
        <w:t>)性能</w:t>
      </w:r>
      <w:r>
        <w:rPr>
          <w:rFonts w:hint="eastAsia" w:ascii="宋体" w:hAnsi="宋体" w:eastAsia="宋体" w:cs="宋体"/>
          <w:spacing w:val="-4"/>
          <w:sz w:val="24"/>
          <w:szCs w:val="24"/>
          <w:highlight w:val="none"/>
          <w:lang w:val="en-US" w:eastAsia="zh-CN"/>
        </w:rPr>
        <w:t>效率</w:t>
      </w:r>
      <w:r>
        <w:rPr>
          <w:rFonts w:hint="eastAsia" w:ascii="宋体" w:hAnsi="宋体" w:eastAsia="宋体" w:cs="宋体"/>
          <w:spacing w:val="-4"/>
          <w:sz w:val="24"/>
          <w:szCs w:val="24"/>
          <w:highlight w:val="none"/>
        </w:rPr>
        <w:t>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性能测试应对应用软件的并发用户、响应时间、负载量、吞吐量、资源利用率、事务通过率等是否与用户文档集中的相应描述一致进行测试。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3</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用户文档集</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文档审查内容应包括文档的完整性、完备性、正确性、一致性、易理解性、易学性、可操作性的检查和验证，尤其是软件文档与软件程序之间的一致性验证。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①文档完整性。用户文档集应包含必要的文档资料。</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文档完备性。用户文档集应包含使用被测软件必需的信息；用户文档集应说明最终用户能调用的所有功能；用户文档集应说明可靠性特征及其操作；用户文档集应列出所处置的和引起应用系统失效或终止的差错和失效，特别是那些导致数据丢失的应用系统终止的结束条件；用户文档集应给出必要数据的备份和恢复指南；对于所有关键的软件功能，用户文档集应提供完备的细则信息和参考信息；用户文档集应陈述被测软件数据输入的限制；用户文档集应陈述安装所要求的最小和最大磁盘空间。</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③正确性。用户文档集中的所有信息都应是正确的；用户文档集不应有歧义的信息。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④一致性。用户文档集中的各文档不应自相矛盾、互相矛盾。</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⑤易理解性。用户文档集应采用该软件特定读者可理解的术语和文体，使其容易被被测软件主要针对的最终用户群理解；应通过经编排的文档清单为理解用户文档集提供便利。</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⑥易学性。用户文档集应为用户学会如何使用该软件提供必要的信息。</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4)兼容性测试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①</w:t>
      </w:r>
      <w:r>
        <w:rPr>
          <w:rFonts w:hint="eastAsia" w:ascii="宋体" w:hAnsi="宋体" w:eastAsia="宋体" w:cs="宋体"/>
          <w:spacing w:val="-4"/>
          <w:sz w:val="24"/>
          <w:szCs w:val="24"/>
          <w:highlight w:val="none"/>
          <w:lang w:val="en-US" w:eastAsia="zh-CN"/>
        </w:rPr>
        <w:t>硬件兼容性：系统对测试环境硬件的兼容程度；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②</w:t>
      </w:r>
      <w:r>
        <w:rPr>
          <w:rFonts w:hint="eastAsia" w:ascii="宋体" w:hAnsi="宋体" w:eastAsia="宋体" w:cs="宋体"/>
          <w:spacing w:val="-4"/>
          <w:sz w:val="24"/>
          <w:szCs w:val="24"/>
          <w:highlight w:val="none"/>
          <w:lang w:val="en-US" w:eastAsia="zh-CN"/>
        </w:rPr>
        <w:t>平台兼容性：系统对操作系统、数据库系统的兼容程度；</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③</w:t>
      </w:r>
      <w:r>
        <w:rPr>
          <w:rFonts w:hint="eastAsia" w:ascii="宋体" w:hAnsi="宋体" w:eastAsia="宋体" w:cs="宋体"/>
          <w:spacing w:val="-4"/>
          <w:sz w:val="24"/>
          <w:szCs w:val="24"/>
          <w:highlight w:val="none"/>
          <w:lang w:val="en-US" w:eastAsia="zh-CN"/>
        </w:rPr>
        <w:t>软件兼容性：考察系统与其他应用软件的兼容性，如杀毒软件等；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rPr>
        <w:t>④</w:t>
      </w:r>
      <w:r>
        <w:rPr>
          <w:rFonts w:hint="eastAsia" w:ascii="宋体" w:hAnsi="宋体" w:eastAsia="宋体" w:cs="宋体"/>
          <w:spacing w:val="-4"/>
          <w:sz w:val="24"/>
          <w:szCs w:val="24"/>
          <w:highlight w:val="none"/>
          <w:lang w:val="en-US" w:eastAsia="zh-CN"/>
        </w:rPr>
        <w:t>数据兼容性：符合用户手册的数据标准要求，在保证系统和数据安全的前提下，能够方便地与其他的系统实现数据交换和共享，支持用户手册中规定的数据格式等。</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5</w:t>
      </w:r>
      <w:r>
        <w:rPr>
          <w:rFonts w:hint="eastAsia" w:ascii="宋体" w:hAnsi="宋体" w:eastAsia="宋体" w:cs="宋体"/>
          <w:spacing w:val="-4"/>
          <w:sz w:val="24"/>
          <w:szCs w:val="24"/>
          <w:highlight w:val="none"/>
          <w:lang w:eastAsia="zh-CN"/>
        </w:rPr>
        <w:t>)易用性测试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6</w:t>
      </w:r>
      <w:r>
        <w:rPr>
          <w:rFonts w:hint="eastAsia" w:ascii="宋体" w:hAnsi="宋体" w:eastAsia="宋体" w:cs="宋体"/>
          <w:spacing w:val="-4"/>
          <w:sz w:val="24"/>
          <w:szCs w:val="24"/>
          <w:highlight w:val="none"/>
        </w:rPr>
        <w:t>)可靠性测试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测试各业务系统在各种条件下使用时，系统各功能操作应具有一定的可靠性。可靠性测试应包括如下方面：</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成熟性。软件应按照用户文档集中定义的可靠性特性运行；在用户文档集中的限制范围内使用时，软件不应丢失数据；在用户文档集所描述的运行环境下，软件连续且稳定运行。</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7</w:t>
      </w:r>
      <w:r>
        <w:rPr>
          <w:rFonts w:hint="eastAsia" w:ascii="宋体" w:hAnsi="宋体" w:eastAsia="宋体" w:cs="宋体"/>
          <w:spacing w:val="-4"/>
          <w:sz w:val="24"/>
          <w:szCs w:val="24"/>
          <w:highlight w:val="none"/>
        </w:rPr>
        <w:t>)维护性测试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lang w:val="en-US" w:eastAsia="zh-CN"/>
        </w:rPr>
        <w:t>8</w:t>
      </w:r>
      <w:r>
        <w:rPr>
          <w:rFonts w:hint="eastAsia" w:ascii="宋体" w:hAnsi="宋体" w:eastAsia="宋体" w:cs="宋体"/>
          <w:spacing w:val="-4"/>
          <w:sz w:val="24"/>
          <w:szCs w:val="24"/>
          <w:highlight w:val="none"/>
        </w:rPr>
        <w:t>)可移植性测试</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①易安装性。如果用户能够实施安装，遵循安装文档中的信息应能成功地安装软件。</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②适应性。对于软件应用程序的成功安装和正确运行，应就产品说明中列出的所有支持平台和系统加以验证。</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③易替换性。软件应向用户提供移去或卸载所有己安装的部件的方法；软件应可被替换，且替换后的能力应符合既定要求。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④共存性。当用户能够实施安装、且该软件对已安装的任何部件具有任何共存性约束时，则这种约束应在安装前予以陈述。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4.项目组织</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项目团队：供应商应组建专业技术团队，成立项目组，设置项目负责人，并配备相关专业技术人员，技术能力应符合本项目要求。供应商人在本项目服务期间提供全面、及时、专业的测试服务。 </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项目实施：投标文件应对项目实施计划（包括项目管理、进度、人员组成及分工、质量保证体系等）进行详细描述。</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5.测试结果</w:t>
      </w:r>
    </w:p>
    <w:p>
      <w:pPr>
        <w:pStyle w:val="36"/>
        <w:spacing w:before="71" w:line="360" w:lineRule="auto"/>
        <w:ind w:left="63" w:firstLine="464" w:firstLineChars="200"/>
        <w:jc w:val="both"/>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rPr>
        <w:t>供应商应严格按照系统需求，客观、公正、严谨开展</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工作，并在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结束后提供</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报告，并保存相关</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文档以备验收审查，具体包含（但不限于）以下文档：</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方案</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计划（含人员、进度计划、里程碑等）</w:t>
      </w:r>
      <w:r>
        <w:rPr>
          <w:rFonts w:hint="eastAsia" w:ascii="宋体" w:hAnsi="宋体" w:eastAsia="宋体" w:cs="宋体"/>
          <w:spacing w:val="-4"/>
          <w:sz w:val="24"/>
          <w:szCs w:val="24"/>
          <w:highlight w:val="none"/>
          <w:lang w:eastAsia="zh-CN"/>
        </w:rPr>
        <w:t>、</w:t>
      </w:r>
      <w:r>
        <w:rPr>
          <w:rFonts w:hint="eastAsia" w:ascii="宋体" w:hAnsi="宋体" w:eastAsia="宋体" w:cs="宋体"/>
          <w:spacing w:val="-4"/>
          <w:sz w:val="24"/>
          <w:szCs w:val="24"/>
          <w:highlight w:val="none"/>
        </w:rPr>
        <w:t>缺陷报告</w:t>
      </w:r>
      <w:r>
        <w:rPr>
          <w:rFonts w:hint="eastAsia" w:ascii="宋体" w:hAnsi="宋体" w:eastAsia="宋体" w:cs="宋体"/>
          <w:spacing w:val="-4"/>
          <w:sz w:val="24"/>
          <w:szCs w:val="24"/>
          <w:highlight w:val="none"/>
          <w:lang w:eastAsia="zh-CN"/>
        </w:rPr>
        <w:t>、检测</w:t>
      </w:r>
      <w:r>
        <w:rPr>
          <w:rFonts w:hint="eastAsia" w:ascii="宋体" w:hAnsi="宋体" w:eastAsia="宋体" w:cs="宋体"/>
          <w:spacing w:val="-4"/>
          <w:sz w:val="24"/>
          <w:szCs w:val="24"/>
          <w:highlight w:val="none"/>
        </w:rPr>
        <w:t>报告</w:t>
      </w:r>
      <w:r>
        <w:rPr>
          <w:rFonts w:hint="eastAsia" w:ascii="宋体" w:hAnsi="宋体" w:eastAsia="宋体" w:cs="宋体"/>
          <w:spacing w:val="-4"/>
          <w:sz w:val="24"/>
          <w:szCs w:val="24"/>
          <w:highlight w:val="none"/>
          <w:lang w:eastAsia="zh-CN"/>
        </w:rPr>
        <w:t>。</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供应商应根据整体工作计划和安排完成软件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的验收工作，</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验收包含但不限于以下要求：</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完成所有</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项目交付物齐全，符合项目要求及有关标准的规定； </w:t>
      </w:r>
    </w:p>
    <w:p>
      <w:pPr>
        <w:pStyle w:val="36"/>
        <w:numPr>
          <w:ilvl w:val="0"/>
          <w:numId w:val="11"/>
        </w:numPr>
        <w:spacing w:before="71" w:line="360" w:lineRule="auto"/>
        <w:ind w:left="420" w:leftChars="0" w:hanging="420" w:firstLineChars="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报告详实、客观、有法律效力，为信息系统上线和验收提供指导。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6.测试环境和工具要求</w:t>
      </w:r>
    </w:p>
    <w:p>
      <w:pPr>
        <w:pStyle w:val="36"/>
        <w:spacing w:before="71" w:line="360" w:lineRule="auto"/>
        <w:ind w:left="63" w:firstLine="464" w:firstLineChars="200"/>
        <w:jc w:val="both"/>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供应商应根据项目需求和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工作内容在技术方案中提出明确的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环境建议和要求，并承诺在</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过程中所使用的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工具和</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管理工具，应具备通用性、先进性，应保证正版授权。</w:t>
      </w:r>
    </w:p>
    <w:p>
      <w:pPr>
        <w:pStyle w:val="36"/>
        <w:spacing w:before="71" w:line="360" w:lineRule="auto"/>
        <w:ind w:left="63" w:firstLine="464" w:firstLineChars="200"/>
        <w:jc w:val="both"/>
        <w:rPr>
          <w:rFonts w:hint="eastAsia" w:ascii="宋体" w:hAnsi="宋体" w:eastAsia="宋体" w:cs="宋体"/>
          <w:spacing w:val="-4"/>
          <w:sz w:val="21"/>
          <w:highlight w:val="none"/>
          <w:lang w:val="en-US" w:eastAsia="zh-CN"/>
        </w:rPr>
      </w:pPr>
      <w:r>
        <w:rPr>
          <w:rFonts w:hint="eastAsia" w:ascii="宋体" w:hAnsi="宋体" w:eastAsia="宋体" w:cs="宋体"/>
          <w:spacing w:val="-4"/>
          <w:sz w:val="24"/>
          <w:szCs w:val="24"/>
          <w:highlight w:val="none"/>
        </w:rPr>
        <w:t>供应商需使用业界主流的软件</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工具，并保证所使用的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工具具有合法的版权或使用权，本项目使用的</w:t>
      </w:r>
      <w:r>
        <w:rPr>
          <w:rFonts w:hint="eastAsia" w:ascii="宋体" w:hAnsi="宋体" w:eastAsia="宋体" w:cs="宋体"/>
          <w:spacing w:val="-4"/>
          <w:sz w:val="24"/>
          <w:szCs w:val="24"/>
          <w:highlight w:val="none"/>
          <w:lang w:eastAsia="zh-CN"/>
        </w:rPr>
        <w:t>测试</w:t>
      </w:r>
      <w:r>
        <w:rPr>
          <w:rFonts w:hint="eastAsia" w:ascii="宋体" w:hAnsi="宋体" w:eastAsia="宋体" w:cs="宋体"/>
          <w:spacing w:val="-4"/>
          <w:sz w:val="24"/>
          <w:szCs w:val="24"/>
          <w:highlight w:val="none"/>
        </w:rPr>
        <w:t>工具，如在项目使用过程中出现版权或使用权纠纷，应由中标人负责，采购单位不承担责任。</w:t>
      </w:r>
    </w:p>
    <w:p>
      <w:pPr>
        <w:pStyle w:val="2"/>
        <w:keepNext w:val="0"/>
        <w:keepLines w:val="0"/>
        <w:pageBreakBefore w:val="0"/>
        <w:widowControl w:val="0"/>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31" w:name="_Toc16097"/>
      <w:r>
        <w:rPr>
          <w:rFonts w:hint="eastAsia" w:ascii="宋体" w:hAnsi="宋体" w:eastAsia="宋体" w:cs="宋体"/>
          <w:sz w:val="24"/>
          <w:szCs w:val="24"/>
          <w:highlight w:val="none"/>
          <w:lang w:val="en-US" w:eastAsia="zh-CN"/>
        </w:rPr>
        <w:t>B包：密码测评</w:t>
      </w:r>
      <w:bookmarkEnd w:id="131"/>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项目概况</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为全面贯彻总体国家安全观和网络强国战略，深入贯彻落实习近平总书记关于核心技术自主可控重要批示精神和工作安排，在重要信息系统密码应用情况普查工作基础上，对</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eastAsia="宋体" w:cs="宋体"/>
          <w:sz w:val="24"/>
          <w:szCs w:val="24"/>
          <w:highlight w:val="none"/>
        </w:rPr>
        <w:t>开展商用密码应用安全性评估。</w:t>
      </w:r>
    </w:p>
    <w:p>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本次密码应用安全性测评服务范围：</w:t>
      </w:r>
      <w:r>
        <w:rPr>
          <w:rFonts w:hint="eastAsia" w:ascii="宋体" w:hAnsi="宋体" w:eastAsia="宋体" w:cs="宋体"/>
          <w:sz w:val="24"/>
          <w:szCs w:val="24"/>
          <w:highlight w:val="none"/>
          <w:u w:val="single"/>
        </w:rPr>
        <w:t>郑州市二七区大数据中心</w:t>
      </w:r>
      <w:r>
        <w:rPr>
          <w:rFonts w:hint="eastAsia" w:ascii="宋体" w:hAnsi="宋体" w:cs="宋体"/>
          <w:sz w:val="24"/>
          <w:szCs w:val="24"/>
          <w:highlight w:val="none"/>
          <w:u w:val="single"/>
          <w:lang w:eastAsia="zh-CN"/>
        </w:rPr>
        <w:t>二七区物联感知与管理服务项目常态化服务项目</w:t>
      </w:r>
      <w:r>
        <w:rPr>
          <w:rFonts w:hint="eastAsia" w:ascii="宋体" w:hAnsi="宋体" w:cs="宋体"/>
          <w:sz w:val="24"/>
          <w:szCs w:val="24"/>
          <w:highlight w:val="none"/>
          <w:lang w:val="en-US" w:eastAsia="zh-CN"/>
        </w:rPr>
        <w:t>共2个</w:t>
      </w:r>
      <w:r>
        <w:rPr>
          <w:rFonts w:hint="eastAsia" w:ascii="宋体" w:hAnsi="宋体" w:eastAsia="宋体" w:cs="宋体"/>
          <w:sz w:val="24"/>
          <w:szCs w:val="24"/>
          <w:highlight w:val="none"/>
        </w:rPr>
        <w:t>系统测评服务，通过密码应用安全性评估深入查找密码应用的薄弱环节和安全隐患，分析面临的风险，为提升我单位信息系统安全奠定基础。</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2.</w:t>
      </w:r>
      <w:r>
        <w:rPr>
          <w:rFonts w:hint="eastAsia" w:ascii="宋体" w:hAnsi="宋体" w:eastAsia="宋体" w:cs="宋体"/>
          <w:b/>
          <w:bCs/>
          <w:spacing w:val="-4"/>
          <w:sz w:val="24"/>
          <w:szCs w:val="24"/>
          <w:highlight w:val="none"/>
          <w:lang w:val="zh-CN" w:eastAsia="zh-CN"/>
        </w:rPr>
        <w:t>项目要求</w:t>
      </w:r>
    </w:p>
    <w:p>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完成</w:t>
      </w:r>
      <w:r>
        <w:rPr>
          <w:rFonts w:hint="eastAsia" w:ascii="宋体" w:hAnsi="宋体" w:eastAsia="宋体" w:cs="宋体"/>
          <w:bCs/>
          <w:sz w:val="24"/>
          <w:szCs w:val="24"/>
          <w:highlight w:val="none"/>
        </w:rPr>
        <w:t>商用密码应用安全性评估</w:t>
      </w:r>
      <w:r>
        <w:rPr>
          <w:rFonts w:hint="eastAsia" w:ascii="宋体" w:hAnsi="宋体" w:eastAsia="宋体" w:cs="宋体"/>
          <w:sz w:val="24"/>
          <w:szCs w:val="24"/>
          <w:highlight w:val="none"/>
        </w:rPr>
        <w:t>工作，提交商用密码应用安全性评估报告，协助完成在密码管理局的备案工作，依据密码应用安全性评估报告提供整改建议方案，并全程协助完成整改工作。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3.测评实施原则</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对信息系统开展密评时，遵循以下原则：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a）客观公正性原则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测评实施过程中，测评方保证在符合国家密码主管部门要求及最小主观判断情形下，按照与被测单位共同认可的密评方案，基于明确定义的测评方式和解释，实施测评活动。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b)可重用性原则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测评工作可重用已有测评结果，包括商用密码检测认证结果和密码应用安全性评估的测评结果等。所有重用结果都应以已有测评结果仍适用于当前被测信息系统为前提，并能够客观反映系统当前的安全状态。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c)可重复性和可再现性原则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同样的要求，使用同样的测评方法，在同样的环境下，不同的密评人员对每个测评实施过程的重复执行应得到同样的结果。可重复性和可再现性的区别在于，前者关注同一密评人员测评结果的一致性，后者则关注不同密评人员测评结果的一致性。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d）结果完善性原则 </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在正确理解《信息安全技术 信息系统密码应用基本要求》（GB/T 39786-2021）各个要求项内容的基础之上，测评所产生的结果应客观反映信息系统的密码应用现状。测评过程和结果应基于正确的测评方法，以确保其满足要求。</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需遵循的政策法规及行业规范</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需遵循的政策法规：</w:t>
      </w:r>
    </w:p>
    <w:p>
      <w:pPr>
        <w:widowControl w:val="0"/>
        <w:numPr>
          <w:ilvl w:val="0"/>
          <w:numId w:val="12"/>
        </w:numPr>
        <w:spacing w:line="360" w:lineRule="auto"/>
        <w:ind w:firstLine="480" w:firstLineChars="200"/>
        <w:jc w:val="left"/>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《中华人民共和国国家安全法》（2015年7月实施）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《中华人民共和国网络安全法》（2017年6月实施）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《中华人民共和国密码法》（2020年1月实施）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《中华人民共和国电子签名法》（2005年4月实施）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《中华人民共和国数据安全法》（2021年9月实施）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zh-CN" w:eastAsia="zh-CN" w:bidi="ar-SA"/>
        </w:rPr>
        <w:t>《中华人民共和国个人信息保护法》（2021年11月实施）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《中华人民共和国保守国家秘密法》（2010年10月实施）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《中华人民共和国计算机信息系统安全保护条例》（2022年1月实施）</w:t>
      </w:r>
    </w:p>
    <w:p>
      <w:pPr>
        <w:widowControl w:val="0"/>
        <w:numPr>
          <w:ilvl w:val="0"/>
          <w:numId w:val="12"/>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color w:val="000000"/>
          <w:kern w:val="2"/>
          <w:sz w:val="24"/>
          <w:szCs w:val="24"/>
          <w:highlight w:val="none"/>
          <w:lang w:val="zh-CN" w:eastAsia="zh-CN" w:bidi="ar-SA"/>
        </w:rPr>
        <w:t>《关键信息基础设施安全保护条例》</w:t>
      </w:r>
      <w:r>
        <w:rPr>
          <w:rFonts w:hint="eastAsia" w:ascii="宋体" w:hAnsi="宋体" w:eastAsia="宋体" w:cs="宋体"/>
          <w:kern w:val="2"/>
          <w:sz w:val="24"/>
          <w:szCs w:val="24"/>
          <w:highlight w:val="none"/>
          <w:lang w:val="zh-CN" w:eastAsia="zh-CN" w:bidi="ar-SA"/>
        </w:rPr>
        <w:t>（2021年9月实施）</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行业标准和规范：</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网络安全等级保护基本要求》（GB/T 22239-2019）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网络安全等级保护安全设计技术要求》（GB/T 25070-2019 ）</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网络安全等级保护定级指南》（GB/T 22240-2020）</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网络安全等级保护实施指南》（GB/T 25058-2019）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网络安全等级保护测评要求》（GB/T 28448-2019）</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《信息安全技术 信息系统密码应用基本要求》（GB/T 39786-2021）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《信息系统密码应用测评要求》（GM/T 0115-2021）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《信息系统密码应用测评过程指南》（GM/T 0116-2021）</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《信息系统密码应用高风险判定指引》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《商用密码应用安全性评估量化评估规则》</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《商用密码应用安全性评估管理办法》</w:t>
      </w:r>
    </w:p>
    <w:p>
      <w:pPr>
        <w:widowControl w:val="0"/>
        <w:numPr>
          <w:ilvl w:val="0"/>
          <w:numId w:val="13"/>
        </w:numPr>
        <w:spacing w:line="360" w:lineRule="auto"/>
        <w:ind w:firstLine="480" w:firstLineChars="200"/>
        <w:jc w:val="both"/>
        <w:rPr>
          <w:rFonts w:hint="eastAsia" w:ascii="宋体" w:hAnsi="宋体" w:eastAsia="宋体" w:cs="宋体"/>
          <w:kern w:val="2"/>
          <w:sz w:val="24"/>
          <w:szCs w:val="24"/>
          <w:highlight w:val="none"/>
          <w:lang w:val="zh-CN" w:eastAsia="zh-CN" w:bidi="ar-SA"/>
        </w:rPr>
      </w:pPr>
      <w:r>
        <w:rPr>
          <w:rFonts w:hint="eastAsia" w:ascii="宋体" w:hAnsi="宋体" w:eastAsia="宋体" w:cs="宋体"/>
          <w:kern w:val="2"/>
          <w:sz w:val="24"/>
          <w:szCs w:val="24"/>
          <w:highlight w:val="none"/>
          <w:lang w:val="zh-CN" w:eastAsia="zh-CN" w:bidi="ar-SA"/>
        </w:rPr>
        <w:t>《商用密码应用安全性评估测评作业指导书》</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5.测评具体内容</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1）</w:t>
      </w:r>
      <w:r>
        <w:rPr>
          <w:rFonts w:hint="eastAsia" w:ascii="宋体" w:hAnsi="宋体" w:eastAsia="宋体" w:cs="宋体"/>
          <w:b/>
          <w:bCs/>
          <w:spacing w:val="-4"/>
          <w:sz w:val="24"/>
          <w:szCs w:val="24"/>
          <w:highlight w:val="none"/>
          <w:lang w:val="zh-CN" w:eastAsia="zh-CN"/>
        </w:rPr>
        <w:t>测评方法</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访谈</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通过与相关人员进行交谈和问询，了解信息系统技术和管理方面的一些基本信息，并对一些测评内容进行确认。</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文档审查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审核被测系统提交的有关信息系统安全的各个方面的文档，如：被测系统总体描述文件，被测系统商用密码总体描述文件，安全管理制度文件，密钥管理制度，各种密码安全规章制度及相关过程管理记录、配置管理文档，测评委托单位的信息化建设与发展状况以及联络方式；密码应用方案及评审意见，安全保护等级定级报告，系统验收报告，安全需求分析报告，安全总体方案，自查或上次评估报告等等。通过对这些文档的审核与分析确认测评的相关内容是否达到安全保护等级的要求。</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实地察看</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现场查看测评对象所处的环境、外观等情况。</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配置检查</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查看测评对象的相关配置。</w:t>
      </w:r>
    </w:p>
    <w:p>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工具测试</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根据被测单位信息系统的实际情况，测评人员使用适合的测评工具对信息系统进行测试。</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2）测评实施流程</w:t>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drawing>
          <wp:inline distT="0" distB="0" distL="114300" distR="114300">
            <wp:extent cx="5173345" cy="7049770"/>
            <wp:effectExtent l="0" t="0" r="8255"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1"/>
                    <a:stretch>
                      <a:fillRect/>
                    </a:stretch>
                  </pic:blipFill>
                  <pic:spPr>
                    <a:xfrm>
                      <a:off x="0" y="0"/>
                      <a:ext cx="5173345" cy="7049770"/>
                    </a:xfrm>
                    <a:prstGeom prst="rect">
                      <a:avLst/>
                    </a:prstGeom>
                    <a:noFill/>
                    <a:ln>
                      <a:noFill/>
                    </a:ln>
                  </pic:spPr>
                </pic:pic>
              </a:graphicData>
            </a:graphic>
          </wp:inline>
        </w:drawing>
      </w:r>
    </w:p>
    <w:p>
      <w:pPr>
        <w:pStyle w:val="37"/>
        <w:ind w:firstLine="0" w:firstLineChars="0"/>
        <w:rPr>
          <w:rFonts w:hint="eastAsia" w:ascii="宋体" w:hAnsi="宋体" w:eastAsia="宋体" w:cs="宋体"/>
          <w:color w:val="000000"/>
          <w:sz w:val="24"/>
          <w:szCs w:val="24"/>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3）</w:t>
      </w:r>
      <w:r>
        <w:rPr>
          <w:rFonts w:hint="eastAsia" w:ascii="宋体" w:hAnsi="宋体" w:eastAsia="宋体" w:cs="宋体"/>
          <w:b/>
          <w:bCs/>
          <w:spacing w:val="-4"/>
          <w:sz w:val="24"/>
          <w:szCs w:val="24"/>
          <w:highlight w:val="none"/>
          <w:lang w:val="zh-CN" w:eastAsia="zh-CN"/>
        </w:rPr>
        <w:t>测评指标</w:t>
      </w:r>
    </w:p>
    <w:p>
      <w:pPr>
        <w:ind w:firstLine="480"/>
        <w:rPr>
          <w:rFonts w:hint="eastAsia" w:ascii="宋体" w:hAnsi="宋体" w:eastAsia="宋体" w:cs="宋体"/>
          <w:sz w:val="24"/>
          <w:szCs w:val="24"/>
          <w:highlight w:val="none"/>
        </w:rPr>
      </w:pPr>
      <w:bookmarkStart w:id="132" w:name="_Ref54275417"/>
      <w:r>
        <w:rPr>
          <w:rFonts w:hint="eastAsia" w:ascii="宋体" w:hAnsi="宋体" w:eastAsia="宋体" w:cs="宋体"/>
          <w:sz w:val="24"/>
          <w:szCs w:val="24"/>
          <w:highlight w:val="none"/>
        </w:rPr>
        <w:t>根据被测信息系统密码应用安全要求等级，选择GB/T 39786-2021《信息安全技术 信息系统密码应用基本要求》中的安全要求作为本次测评工作的基本指标。</w:t>
      </w:r>
    </w:p>
    <w:bookmarkEnd w:id="132"/>
    <w:tbl>
      <w:tblPr>
        <w:tblStyle w:val="28"/>
        <w:tblW w:w="4999"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943"/>
        <w:gridCol w:w="1578"/>
        <w:gridCol w:w="4864"/>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45" w:type="pct"/>
            <w:gridSpan w:val="3"/>
            <w:shd w:val="clear" w:color="auto" w:fill="D9D9D9"/>
            <w:noWrap w:val="0"/>
            <w:vAlign w:val="center"/>
          </w:tcPr>
          <w:p>
            <w:pPr>
              <w:ind w:firstLine="482"/>
              <w:rPr>
                <w:rFonts w:hint="eastAsia" w:ascii="宋体" w:hAnsi="宋体" w:eastAsia="宋体" w:cs="宋体"/>
                <w:b/>
                <w:sz w:val="24"/>
                <w:szCs w:val="24"/>
                <w:highlight w:val="none"/>
              </w:rPr>
            </w:pPr>
            <w:bookmarkStart w:id="133" w:name="_Toc529537780"/>
            <w:bookmarkEnd w:id="133"/>
            <w:r>
              <w:rPr>
                <w:rFonts w:hint="eastAsia" w:ascii="宋体" w:hAnsi="宋体" w:eastAsia="宋体" w:cs="宋体"/>
                <w:b/>
                <w:sz w:val="24"/>
                <w:szCs w:val="24"/>
                <w:highlight w:val="none"/>
                <w:lang w:bidi="ar"/>
              </w:rPr>
              <w:t>测评指标</w:t>
            </w:r>
          </w:p>
        </w:tc>
        <w:tc>
          <w:tcPr>
            <w:tcW w:w="2854" w:type="pct"/>
            <w:shd w:val="clear" w:color="auto" w:fill="D9D9D9"/>
            <w:noWrap w:val="0"/>
            <w:vAlign w:val="center"/>
          </w:tcPr>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测评指标描述</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技术要求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物理和环境安全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a）宜采用密码技术进行物理访问身份鉴别，保证重要区域进入人员身份的真实性；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电子门禁记录数据存储完整性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b）宜采用密码技术保证电子门禁系统进出记录数据的存储完整性；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视频监控记录数据存储完整性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8.1 c）宜采用密码技术保证视频监控音像记录数据的存储完整性。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网络和通信安全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a）应采用密码技术对通信实体进行身份鉴别，保证通信实体身份的真实性；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通信数据完整性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b)宜采用密码技术保证通信过程中数据的完整性；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通信过程中重要数据的机密性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c) 应采用密码技术保证通信过程中重要数据的机密性；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keepNext w:val="0"/>
              <w:keepLines w:val="0"/>
              <w:pageBreakBefore w:val="0"/>
              <w:widowControl w:val="0"/>
              <w:kinsoku/>
              <w:wordWrap/>
              <w:overflowPunct/>
              <w:topLinePunct w:val="0"/>
              <w:autoSpaceDE w:val="0"/>
              <w:autoSpaceDN w:val="0"/>
              <w:bidi w:val="0"/>
              <w:adjustRightInd w:val="0"/>
              <w:snapToGrid/>
              <w:spacing w:after="0" w:line="240" w:lineRule="auto"/>
              <w:ind w:firstLine="0" w:firstLineChars="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
              </w:rPr>
              <w:t>网络边界访问控制信息的完整性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d)宜采用密码技术保证网络边界访问控制信息的完整性；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安全接入认证</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8.2 e)可采用密码技术对从外部连接到内部网络的设备进行接入认证，确保接入的设备身份真实性。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设备和计算安全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a)应采用密码技术对登录设备的用户进行身份鉴别，保证用户身份的真实性；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远程管理通道安全</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b)远程管理设备时，应采用密码技术建立安全的信息传输通道；</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系统资源访问控制信息完整性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c)宜采用密码技术保证系统资源访问控制信息的完整性；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d)宜采用密码技术保证设备中的重要信息资源安全标记的完整性；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日志记录完整性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e)宜采用密码技术保证日志记录的完整性；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重要可执行程序完整性、重要可执行程序来源真实性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8.3 f)宜采用密码技术对重要可执行程序进行完整性保护，并对其来源进行真实性验证。</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应用和数据安全</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身份鉴别</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a)应采用密码技术对登录用户进行身份鉴别，保证应用系统用户身份的真实性；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访问控制信息完整性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b)宜采用密码技术保证信息系统应用的访问控制信息的完整性；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重要信息资源安全标记完整性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c)宜采用密码技术保证信息系统应用的重要信息资源安全标记的完整性；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d)应采用密码技术保证信息系统应用的重要数据在传输过程中的机密性；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重要数据存储机密性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e)应采用密码技术保证信息系统应用的重要数据在存储过程中的机密性；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重要数据传输完整性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f)宜采用密码技术保证信息系统应用的重要数据在传输过程中的完整性；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重要数据存储完整性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g)宜采用密码技术保证信息系统应用的重要数据在存储过程中的完整性；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不可否认性</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8.4 h)在可能涉及法律责任认定的应用中，宜采用密码技术提供数据原发证据和数据接收证据，实现数据原发行为的不可否认性和数据接收行为的不可否认性。</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管理要求</w:t>
            </w: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管理制度</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具备密码应用安全管理制度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a）应具备密码应用安全管理制度，包括密码人员管理、密钥管理、建设运行、应急处置、密码软硬件及介质管理等制度；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密钥管理规则</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b）应根据密码应用方案建立相应密钥管理规则；</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建立操作规程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c）应对管理人员或操作人员执行的日常管理操作建立操作规程；</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定期修订安全管理制度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d）应定期对密码应用安全管理制度和操作规程的合理性和适用性进行论证和审定，对存在不足或需要改进之处进行修订；</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明确管理制度发布流程</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e）应明确相关密码应用安全管理制度和操作规程的发布流程并进行版本控制；</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制度执行过程记录留存</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8.5 f）应具有密码应用操作规程的相关执行记录并妥善保存。</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人员管理</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了解并遵守密码相关法律法规和密码管理制度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a）相关人员应了解并遵守密码相关法律法规、密码应用安全管理制度；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建立密码应用岗位责任制度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b)应建立密码应用岗位责任制度，明确各岗位在安全系统中的职责和权限：</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1) 根据密码应用的实际情况，设置密钥管理员、密码安全审计员、密码操作员等关键安全岗位；</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 对关键岗位建立多人共管机制；</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3) 密钥管理、密码安全审计、密码操作人员职责互相制约互相监督，其中密钥管理员岗位不可与密码审计员、密码操作员等关键安全岗位兼任；</w:t>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 相关设备与系统的管理和使用账号不得多人共用。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建立上岗人员培训制度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c) 应建立上岗人员培训制度，对于涉及密码的操作和管理的人员进行专门培训，确保其具备岗位所需专业技能；</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定期进行安全岗位人员考核</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d) 应定期对密码应用安全岗位人员进行考核；</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建立关键岗位人员保密制度和调离制度</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8.6 e)应建立关键人员保密制度和调离制度，签订保密合同，承担保密义务。</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建设运行</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制定密码应用方案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a）应依据密码相关标准和密码应用需求，制定密码应用方案；</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制定密钥安全管理策略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b）应根据密码应用方案，确定系统涉及的密钥种类、体系及其生命周期环节，各环节安全管理要求参照《信息安全技术 信息系统密码应用基本要求》附录B；</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制定实施方案</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c）应按照应用方案实施建设；</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投入运行前进行密码应用安全性评估</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d）投入运行前应进行密码应用安全性评估，评估通过后系统方可正式运行；</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定期开展密码应用安全性评估及攻防对抗演习</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8.7 e）在运行过程中，应严格执行既定的密码应用安全管理制度，应定期开展密码应用安全性评估及攻防对抗演习，并根据评估结果进行整改。</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restar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应急处置</w:t>
            </w: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应急策略</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a）应制定密码应用应急策略，做好应急资源准备，当密码应用安全事件发生时，应立即启动应急处置措施，结合实际情况及时处置；</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事件处置</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b）事件发生后，应及时向信息系统主管部门进行报告；</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66"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553" w:type="pct"/>
            <w:vMerge w:val="continue"/>
            <w:shd w:val="clear" w:color="auto" w:fill="auto"/>
            <w:noWrap w:val="0"/>
            <w:vAlign w:val="center"/>
          </w:tcPr>
          <w:p>
            <w:pPr>
              <w:ind w:firstLine="480"/>
              <w:jc w:val="center"/>
              <w:rPr>
                <w:rFonts w:hint="eastAsia" w:ascii="宋体" w:hAnsi="宋体" w:eastAsia="宋体" w:cs="宋体"/>
                <w:sz w:val="24"/>
                <w:szCs w:val="24"/>
                <w:highlight w:val="none"/>
              </w:rPr>
            </w:pPr>
          </w:p>
        </w:tc>
        <w:tc>
          <w:tcPr>
            <w:tcW w:w="925" w:type="pct"/>
            <w:shd w:val="clear" w:color="auto" w:fill="auto"/>
            <w:noWrap w:val="0"/>
            <w:vAlign w:val="center"/>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向有关主管部门上报处置情况</w:t>
            </w:r>
          </w:p>
        </w:tc>
        <w:tc>
          <w:tcPr>
            <w:tcW w:w="2854" w:type="pct"/>
            <w:shd w:val="clear" w:color="auto" w:fill="auto"/>
            <w:noWrap w:val="0"/>
            <w:vAlign w:val="center"/>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8.8 c）事件处置完成后，应及时向信息系统主管部门及归属的密码管理部门报告事件发生情况及处置情况。</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219" w:type="pct"/>
            <w:gridSpan w:val="2"/>
            <w:shd w:val="clear" w:color="auto" w:fill="auto"/>
            <w:noWrap w:val="0"/>
            <w:vAlign w:val="center"/>
          </w:tcPr>
          <w:p>
            <w:pPr>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测评指标合计</w:t>
            </w:r>
          </w:p>
        </w:tc>
        <w:tc>
          <w:tcPr>
            <w:tcW w:w="3780" w:type="pct"/>
            <w:gridSpan w:val="2"/>
            <w:shd w:val="clear" w:color="auto" w:fill="auto"/>
            <w:noWrap w:val="0"/>
            <w:vAlign w:val="center"/>
          </w:tcPr>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41项</w:t>
            </w:r>
          </w:p>
        </w:tc>
      </w:tr>
    </w:tbl>
    <w:p>
      <w:pPr>
        <w:ind w:firstLine="0" w:firstLineChars="0"/>
        <w:rPr>
          <w:rFonts w:hint="eastAsia" w:ascii="宋体" w:hAnsi="宋体" w:eastAsia="宋体" w:cs="宋体"/>
          <w:sz w:val="24"/>
          <w:szCs w:val="24"/>
          <w:highlight w:val="none"/>
        </w:rPr>
        <w:sectPr>
          <w:headerReference r:id="rId16" w:type="default"/>
          <w:footerReference r:id="rId1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4）</w:t>
      </w:r>
      <w:r>
        <w:rPr>
          <w:rFonts w:hint="eastAsia" w:ascii="宋体" w:hAnsi="宋体" w:eastAsia="宋体" w:cs="宋体"/>
          <w:b/>
          <w:bCs/>
          <w:spacing w:val="-4"/>
          <w:sz w:val="24"/>
          <w:szCs w:val="24"/>
          <w:highlight w:val="none"/>
          <w:lang w:val="zh-CN" w:eastAsia="zh-CN"/>
        </w:rPr>
        <w:t>测评内容</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4" w:name="_bookmark28"/>
      <w:bookmarkEnd w:id="134"/>
      <w:r>
        <w:rPr>
          <w:rFonts w:hint="eastAsia" w:ascii="宋体" w:hAnsi="宋体" w:eastAsia="宋体" w:cs="宋体"/>
          <w:b/>
          <w:bCs/>
          <w:spacing w:val="-4"/>
          <w:sz w:val="24"/>
          <w:szCs w:val="24"/>
          <w:highlight w:val="none"/>
          <w:lang w:val="en-US" w:eastAsia="zh-CN"/>
        </w:rPr>
        <w:t>（1）物理和环境安全</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1"/>
        <w:gridCol w:w="1655"/>
        <w:gridCol w:w="988"/>
        <w:gridCol w:w="1363"/>
        <w:gridCol w:w="369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1" w:hRule="atLeast"/>
          <w:tblHeader/>
          <w:jc w:val="center"/>
        </w:trPr>
        <w:tc>
          <w:tcPr>
            <w:tcW w:w="379" w:type="pct"/>
            <w:tcBorders>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3"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818" w:type="pct"/>
            <w:tcBorders>
              <w:left w:val="single" w:color="000000" w:sz="4" w:space="0"/>
              <w:bottom w:val="single" w:color="000000" w:sz="4" w:space="0"/>
              <w:right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15" w:type="pct"/>
            <w:tcBorders>
              <w:left w:val="single" w:color="000000" w:sz="4" w:space="0"/>
              <w:bottom w:val="single" w:color="000000" w:sz="4" w:space="0"/>
            </w:tcBorders>
            <w:shd w:val="clear" w:color="auto" w:fill="F3F3F3"/>
            <w:noWrap w:val="0"/>
            <w:vAlign w:val="center"/>
          </w:tcPr>
          <w:p>
            <w:pPr>
              <w:spacing w:line="276"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81"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在电子门禁系统中，应使用密码技术的真实性服务来保护身份鉴别信息，保证重要区域进入人员身份的真实性。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访谈物理安全负责人，并查阅相关技术文档，了解电子门禁系统的身份鉴别措施； 核查电子门禁系统是否具有商密型号证书； 查验受测电子门禁系统是否采用密码技术 来确保进入重要区域人员身份鉴别信息的真实性，并截取相关关键数据，作为证据材料。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bottom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应使用密码技术的完整性服务来保证电子门禁系统进出记录的完整性。</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电子门禁系统</w:t>
            </w:r>
          </w:p>
        </w:tc>
        <w:tc>
          <w:tcPr>
            <w:tcW w:w="81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访谈物理安全负责人，并查阅相关技术文档，了解电子门禁系统进出记录完整性保护措施；核查电子门禁系统是否具有商密型号证书；查验受测电子门禁系统是否采用密码技术的完整性服务来确保电子门禁系统 进出记录的完整性，并截取相关关键数据，作为证据材料。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jc w:val="center"/>
        </w:trPr>
        <w:tc>
          <w:tcPr>
            <w:tcW w:w="379" w:type="pct"/>
            <w:tcBorders>
              <w:top w:val="single" w:color="000000" w:sz="4" w:space="0"/>
              <w:right w:val="single" w:color="000000" w:sz="4" w:space="0"/>
            </w:tcBorders>
            <w:noWrap w:val="0"/>
            <w:vAlign w:val="center"/>
          </w:tcPr>
          <w:p>
            <w:pPr>
              <w:spacing w:line="276"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应使用密码技术的完整性服务来保证视频监控音像记录的完整性。</w:t>
            </w:r>
          </w:p>
        </w:tc>
        <w:tc>
          <w:tcPr>
            <w:tcW w:w="593"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视频监控系统</w:t>
            </w:r>
          </w:p>
        </w:tc>
        <w:tc>
          <w:tcPr>
            <w:tcW w:w="81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访谈、文档审查、实地察看或配置检查、工具测试</w:t>
            </w:r>
          </w:p>
        </w:tc>
        <w:tc>
          <w:tcPr>
            <w:tcW w:w="2215"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48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看技术文档中关于视频监控系统视频监控音像记录数据的完整性保护技术及实现机制；查验受测视频监控系统中密码应用的正确性和有效性、是否使用国家密码管理局认可的密码算法、身份鉴别协议；并截取相关关键数据，作为证据材料。</w:t>
            </w:r>
          </w:p>
        </w:tc>
      </w:tr>
    </w:tbl>
    <w:p>
      <w:pPr>
        <w:ind w:firstLine="420"/>
        <w:rPr>
          <w:rFonts w:hint="eastAsia" w:ascii="宋体" w:hAnsi="宋体" w:eastAsia="宋体" w:cs="宋体"/>
          <w:sz w:val="24"/>
          <w:szCs w:val="24"/>
          <w:highlight w:val="none"/>
        </w:rPr>
        <w:sectPr>
          <w:pgSz w:w="11910" w:h="16840"/>
          <w:pgMar w:top="1440" w:right="1800" w:bottom="1440" w:left="1800" w:header="0" w:footer="987" w:gutter="0"/>
          <w:pgBorders>
            <w:top w:val="none" w:sz="0" w:space="0"/>
            <w:left w:val="none" w:sz="0" w:space="0"/>
            <w:bottom w:val="none" w:sz="0" w:space="0"/>
            <w:right w:val="none" w:sz="0" w:space="0"/>
          </w:pgBorders>
          <w:cols w:space="720" w:num="1"/>
        </w:sect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5" w:name="_bookmark29"/>
      <w:bookmarkEnd w:id="135"/>
      <w:r>
        <w:rPr>
          <w:rFonts w:hint="eastAsia" w:ascii="宋体" w:hAnsi="宋体" w:eastAsia="宋体" w:cs="宋体"/>
          <w:b/>
          <w:bCs/>
          <w:spacing w:val="-4"/>
          <w:sz w:val="24"/>
          <w:szCs w:val="24"/>
          <w:highlight w:val="none"/>
          <w:lang w:val="en-US" w:eastAsia="zh-CN"/>
        </w:rPr>
        <w:t>（2）网络和通信安全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29"/>
        <w:gridCol w:w="1918"/>
        <w:gridCol w:w="1021"/>
        <w:gridCol w:w="1024"/>
        <w:gridCol w:w="373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4" w:hRule="atLeast"/>
          <w:tblHeader/>
          <w:jc w:val="center"/>
        </w:trPr>
        <w:tc>
          <w:tcPr>
            <w:tcW w:w="37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52"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3"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40"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5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应采用密码技术对通信实体进行身份鉴别，保证通信实体身份的真实性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 或配置检 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查看设计文档中身份鉴别采用的密码技术及实现机制；查验通信主体身份鉴别功能的正确性和有效性；并截取相关关键数 据，作为证据材料；查看身份鉴别机制密码算法、密码协议是否符合有关密码国家标准和行业标准；查看密码设备是否获得国家密码管理部分颁发的密码产品型号证书。并截取相关关键数据，作为正确材料。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75"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宜采用密码技术保证通信过程中数据的完整性。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查看技术文档中关于通信过程中数据采用的完整性保护技术及实现机制；查验通信过程中数据完整性保护的正确性和有效 性、使用的密码算法身份鉴别协议是否得到国家密码管理局认可，相关网络安全设备是否经过了国家密码管理部门核准；并截取相关关键数据，作为证据材料。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92"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应采用密码技术保证通信过程中重要数据的机密性。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查看技术文档中网络通信中敏感数据采用的机密性保护技术及实现机制；查验受测通信过程中数据机密性保护的正确性和 有效性，是否使用国家密码管理局认可的密码算法、身份鉴别协议，相关网络安全设备是否经过了国家密码管理部门核准；并截取相关关键数据，作为证据材料。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6"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宜使用密码技术保证网络边界和系统资源访问控制信息的完整性。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网络整体（应用、管理）</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查看系统是否使用国家密码管理局认可的密码算法对网络边界和系统资源访问 控制信息进行完整性保护；并截取相关关键数据，作为证据材料；密码设备是否获得国家密码管理部门颁发的密码产品型号证书；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30" w:hRule="atLeast"/>
          <w:jc w:val="center"/>
        </w:trPr>
        <w:tc>
          <w:tcPr>
            <w:tcW w:w="37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可采用密码技术对外部连接到内部的设备进行接入认证， 确保接入设备的身份真实性</w:t>
            </w:r>
          </w:p>
        </w:tc>
        <w:tc>
          <w:tcPr>
            <w:tcW w:w="6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网络整体（运维）</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访谈、文档审查、实地察看、配置检查、工具测试</w:t>
            </w:r>
          </w:p>
        </w:tc>
        <w:tc>
          <w:tcPr>
            <w:tcW w:w="2240"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查看技术文档，系统是否采用基于密码技术进行集中管理，密码模块是否经过了国家密码管理部门核准；并截取相关关键数 据，作为证据材料。</w:t>
            </w:r>
          </w:p>
        </w:tc>
      </w:tr>
    </w:tbl>
    <w:p>
      <w:pPr>
        <w:widowControl w:val="0"/>
        <w:spacing w:before="9" w:line="520" w:lineRule="exact"/>
        <w:ind w:firstLine="480" w:firstLineChars="200"/>
        <w:jc w:val="both"/>
        <w:rPr>
          <w:rFonts w:hint="eastAsia" w:ascii="宋体" w:hAnsi="宋体" w:eastAsia="宋体" w:cs="宋体"/>
          <w:color w:val="008000"/>
          <w:kern w:val="2"/>
          <w:sz w:val="24"/>
          <w:szCs w:val="24"/>
          <w:highlight w:val="none"/>
          <w:lang w:val="en-US" w:eastAsia="zh-CN" w:bidi="ar-SA"/>
        </w:rPr>
      </w:pP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6" w:name="_bookmark30"/>
      <w:bookmarkEnd w:id="136"/>
      <w:r>
        <w:rPr>
          <w:rFonts w:hint="eastAsia" w:ascii="宋体" w:hAnsi="宋体" w:eastAsia="宋体" w:cs="宋体"/>
          <w:b/>
          <w:bCs/>
          <w:spacing w:val="-4"/>
          <w:sz w:val="24"/>
          <w:szCs w:val="24"/>
          <w:highlight w:val="none"/>
          <w:lang w:val="en-US" w:eastAsia="zh-CN"/>
        </w:rPr>
        <w:t>（3）设备和计算安全</w:t>
      </w:r>
    </w:p>
    <w:tbl>
      <w:tblPr>
        <w:tblStyle w:val="2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33"/>
        <w:gridCol w:w="1492"/>
        <w:gridCol w:w="941"/>
        <w:gridCol w:w="1024"/>
        <w:gridCol w:w="423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7" w:hRule="atLeast"/>
          <w:tblHeader/>
          <w:jc w:val="center"/>
        </w:trPr>
        <w:tc>
          <w:tcPr>
            <w:tcW w:w="380" w:type="pct"/>
            <w:tcBorders>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896"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6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1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542"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应使用密码技术对登录的用户身份鉴别，保证用户身份的真实性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系统管理员和数据库管理员，了解用户在本地登录核心数据库或核心服务器时，系统对用户实施身份鉴别的过程中是否采用密码技术对主机标识信息进行密码保护，并明确其所采用的密码技术；查验主机身份鉴别机制中所采用的加密算法是否符合法规和密码相关标准的要求；查验相关密码功能是否止确有效； 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远程管理设备时，应采用密码技术建立安全的信息传输通道</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访谈系统管理员，并查阅相关技术文档，了解远程管理时，所使用密码技术；查验远程管理所采用的密码机制是否正确有效；并截取相关关键数据，作为证据材料。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3"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宜采用密码技术保证系统资源访问控制信息的完整性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设计文档中访问控制信息完整性保护密码技术及实现机制；查验系统是否使用以及使用何种密码技术对系统资源访问控制信息进行完整性保护：查看是否使用国家密码管理局认可的密码算法；密码设备是否获得国家密码管理部门颁发的密码产品型号证书；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9"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宜采用密码技术技术保证设备中的重要资源安全标记的完整性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技术文档中关于可信计算技术建立从系统到应用信任链的实现机制，重要程序或文件完整性保护技术及实现机制；查验可信计算技术建立从系统到应用信任链实现机制的正确性和有效性、重要程序或文件完整性保护技术及实现机制的正确性和有效性；查验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宜采用密码技术保证日志记录的完整性</w:t>
            </w:r>
          </w:p>
        </w:tc>
        <w:tc>
          <w:tcPr>
            <w:tcW w:w="5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查看设计文档中日志信息完整性保护密码技术及实现机制；查验完整性保护功能的正确性和有效性；并截取相关关键数据，作为证据材料。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380"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896"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 码技术对重要 可执行程序进 行完整性保护， 并对其来源进行真实性验证</w:t>
            </w:r>
          </w:p>
        </w:tc>
        <w:tc>
          <w:tcPr>
            <w:tcW w:w="56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服务器、数据库、密码设备</w:t>
            </w:r>
          </w:p>
        </w:tc>
        <w:tc>
          <w:tcPr>
            <w:tcW w:w="61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或工具测试</w:t>
            </w:r>
          </w:p>
        </w:tc>
        <w:tc>
          <w:tcPr>
            <w:tcW w:w="2542"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 查验业务系统中重要数据在存储过程中完整性保护的正确性和有效性，是否使用国家密码管理局认可的密码算法、身份鉴别协议；并截取相关关键数据，作为证据材料。</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37" w:name="_bookmark31"/>
      <w:bookmarkEnd w:id="137"/>
      <w:r>
        <w:rPr>
          <w:rFonts w:hint="eastAsia" w:ascii="宋体" w:hAnsi="宋体" w:eastAsia="宋体" w:cs="宋体"/>
          <w:b/>
          <w:bCs/>
          <w:spacing w:val="-4"/>
          <w:sz w:val="24"/>
          <w:szCs w:val="24"/>
          <w:highlight w:val="none"/>
          <w:lang w:val="en-US" w:eastAsia="zh-CN"/>
        </w:rPr>
        <w:t>（4）应用和数据安全</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46"/>
        <w:gridCol w:w="1640"/>
        <w:gridCol w:w="1047"/>
        <w:gridCol w:w="1179"/>
        <w:gridCol w:w="381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4" w:hRule="atLeast"/>
          <w:tblHeader/>
        </w:trPr>
        <w:tc>
          <w:tcPr>
            <w:tcW w:w="388" w:type="pct"/>
            <w:tcBorders>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985"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9"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708" w:type="pct"/>
            <w:tcBorders>
              <w:left w:val="single" w:color="000000" w:sz="4" w:space="0"/>
              <w:bottom w:val="single" w:color="000000" w:sz="4" w:space="0"/>
              <w:right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88" w:type="pct"/>
            <w:tcBorders>
              <w:left w:val="single" w:color="000000" w:sz="4" w:space="0"/>
              <w:bottom w:val="single" w:color="000000" w:sz="4" w:space="0"/>
            </w:tcBorders>
            <w:shd w:val="clear" w:color="auto" w:fill="F3F3F3"/>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4"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 对登录的用户进行身 份标识和鉴别，保证应用系统用户身份的真实性。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行政管理系统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设计文档访谈应用系统管理员，了解受检应用系统在对用户实施身份鉴别的过程中是否使用了密码技术来实现对假冒的应用程序身份标识信息进行有效鉴别，并明确其所采用的密码技术和安全设备；查验应用系统用户身份鉴别过程是否使用国家密码管理局认可的密码算法；专用安全设备是否经过了国家密码管理部门核准；查验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77"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宜使用密码技术来保证业务应用系统的访问控制信息的完整性。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系统如何对业务应用系统访问控制策略、数据库表访问控制信息和重要信息资源敏感标记等重要信息进行完整性保护；了解是否使用密码技术对重要信息进行完整性保护；查验系统是否使用国家密码管理局认可的密码算法，密码协议；设备是否经过了国家密码管理部门核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0"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宜采用密码技术保证信息系统应用的重要信息资源安全标记的完整性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审阅技术文档，访谈系统管理员， 了解应用系统是否采用密码技术对重要程序的加载和卸载进行安全控制；查验系统采用的密码技术是否符合有关密码国家标准和行业标准，相关密码功能是否正确有效；并截取相关关键数据，作为证据材料。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应采用密码技术保证信息系统应用的重要数据在传输过程中的机密性。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机密性保护技术及实现机制；查验业务系统中重要数据在传输过程中机密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应采用密码技术保证应用的重要数据在存储过程中的机密性。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机密性保护技术及实现机制；查验业务系统中重要数据在存储过程中机密性保护的正确性和有效性，是否所使用国家密码管理局认可的密码算法、身份鉴别协议是否符合有关密码国家标准和行业标准；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1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宜采用密码技术保证应用的重要数据在传输过程中的完整性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文件传输系统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传输过程中的完整性保护技术及实现机制；查验业务系统中重要数据在传输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32" w:hRule="atLeast"/>
        </w:trPr>
        <w:tc>
          <w:tcPr>
            <w:tcW w:w="388" w:type="pct"/>
            <w:tcBorders>
              <w:top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应采用密码技术保证应用的重要数据在存储过程中的完整性</w:t>
            </w:r>
          </w:p>
        </w:tc>
        <w:tc>
          <w:tcPr>
            <w:tcW w:w="62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及时通信系统</w:t>
            </w:r>
          </w:p>
        </w:tc>
        <w:tc>
          <w:tcPr>
            <w:tcW w:w="70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bottom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查看相关技术文档，了解业务系统中重要数据在存储过程中的完整性保护技术及实现机制；查验业务系统中重要数据在存储过程中完整性保护的正确性和有效性，是否使用国家密码管理局认可的密码算法、身份鉴别协议；并截取相关关键数据，作为证据材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1" w:hRule="atLeast"/>
        </w:trPr>
        <w:tc>
          <w:tcPr>
            <w:tcW w:w="388" w:type="pct"/>
            <w:tcBorders>
              <w:top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985"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宜采用密码技术 提供数据原发证据和 数据接收证据，实现数据原发行为的不可否 认性和数据接收行为 的不可否认性。</w:t>
            </w:r>
          </w:p>
        </w:tc>
        <w:tc>
          <w:tcPr>
            <w:tcW w:w="629"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内网门户网站系统</w:t>
            </w:r>
          </w:p>
        </w:tc>
        <w:tc>
          <w:tcPr>
            <w:tcW w:w="70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访谈、文档审查、配置检查 或工具测 试</w:t>
            </w:r>
          </w:p>
        </w:tc>
        <w:tc>
          <w:tcPr>
            <w:tcW w:w="2288" w:type="pct"/>
            <w:tcBorders>
              <w:top w:val="single" w:color="000000" w:sz="4" w:space="0"/>
              <w:lef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76"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审阅技术文档，访谈安全审计员， 了解应用系统是否具有日志记录的功 能，了解是否进行了完整性保护，了解是否使用密码技术对日志记录进行了完整性保护；查验系统是否使用国家密码管理局认可的密码算法、协议；设备是否经过了国家密码管理部门核准，相关密码功能是否正确有效；并截取相关关键数据，作为证据材料。</w:t>
            </w:r>
          </w:p>
        </w:tc>
      </w:tr>
    </w:tbl>
    <w:p>
      <w:pPr>
        <w:rPr>
          <w:rFonts w:hint="eastAsia" w:ascii="宋体" w:hAnsi="宋体" w:eastAsia="宋体" w:cs="宋体"/>
          <w:sz w:val="24"/>
          <w:szCs w:val="24"/>
          <w:highlight w:val="none"/>
          <w:lang w:val="en-US"/>
        </w:rPr>
      </w:pPr>
      <w:bookmarkStart w:id="138" w:name="_bookmark32"/>
      <w:bookmarkEnd w:id="138"/>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（5）管理制度</w:t>
      </w:r>
    </w:p>
    <w:tbl>
      <w:tblPr>
        <w:tblStyle w:val="28"/>
        <w:tblW w:w="500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607"/>
        <w:gridCol w:w="1767"/>
        <w:gridCol w:w="1032"/>
        <w:gridCol w:w="1100"/>
        <w:gridCol w:w="382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4" w:hRule="atLeast"/>
          <w:tblHeader/>
          <w:jc w:val="center"/>
        </w:trPr>
        <w:tc>
          <w:tcPr>
            <w:tcW w:w="364"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rPr>
                <w:rFonts w:hint="eastAsia"/>
                <w:highlight w:val="none"/>
              </w:rPr>
            </w:pPr>
            <w:bookmarkStart w:id="139" w:name="_Toc2165"/>
            <w:r>
              <w:rPr>
                <w:rFonts w:hint="eastAsia" w:ascii="宋体" w:hAnsi="宋体" w:eastAsia="宋体" w:cs="宋体"/>
                <w:b/>
                <w:bCs/>
                <w:sz w:val="24"/>
                <w:szCs w:val="24"/>
                <w:highlight w:val="none"/>
              </w:rPr>
              <w:t>序号</w:t>
            </w:r>
            <w:bookmarkEnd w:id="139"/>
          </w:p>
        </w:tc>
        <w:tc>
          <w:tcPr>
            <w:tcW w:w="10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19"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60" w:type="pct"/>
            <w:tcBorders>
              <w:left w:val="single" w:color="000000" w:sz="4" w:space="0"/>
              <w:bottom w:val="single" w:color="000000" w:sz="4" w:space="0"/>
              <w:right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296" w:type="pct"/>
            <w:tcBorders>
              <w:left w:val="single" w:color="000000" w:sz="4" w:space="0"/>
              <w:bottom w:val="single" w:color="000000" w:sz="4" w:space="0"/>
            </w:tcBorders>
            <w:shd w:val="clear" w:color="auto" w:fill="F3F3F3"/>
            <w:noWrap w:val="0"/>
            <w:vAlign w:val="top"/>
          </w:tcPr>
          <w:p>
            <w:pPr>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65"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应具备密码人员管理、密钥管理、建设运行、应急处 置、密码软硬件以及介质管理制度。</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核查各项安全管理制度、安全操作规范和配套的操作规程是否覆盖包括密码建设、运维、人员、设备、密钥等密码管理相关内容。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0"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应根据密码应用方案建立相应密钥管理规则。</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核查是否具有密钥管理文件。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应对管理人员或操作人员执行的日常管理操作建立操作规程</w:t>
            </w:r>
          </w:p>
        </w:tc>
        <w:tc>
          <w:tcPr>
            <w:tcW w:w="619"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管理记录文档、管理操作 规程文档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核查是否具有操作规程文件、是否建立了操作执行文档。</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应定期对密码应用安全管理制度和操作规程的合理性和适用性进行论证和审定，对存在不足或需要改进之处进行修订</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安全管理记录文档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1）访谈安全主管是否定期对密码安全管理制度体系的合理性和适用性进行审定。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2）核查是否具有安全管理制度的审定或论证记录，如果对制度做过修订，核查是否有修订版本的安全管理制度。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60"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应明确相关密码应用安全管理制度和操作规程的发布流程并进行版本控制</w:t>
            </w:r>
          </w:p>
        </w:tc>
        <w:tc>
          <w:tcPr>
            <w:tcW w:w="619" w:type="pct"/>
            <w:vMerge w:val="restar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安全管理制度文档</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1）访谈安全主管是否具有管理制度发布流程。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bottom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2）核查是否具有管理制度发布文件。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60"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19" w:type="pct"/>
            <w:vMerge w:val="continue"/>
            <w:tcBorders>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660" w:type="pct"/>
            <w:tcBorders>
              <w:top w:val="single" w:color="000000" w:sz="4" w:space="0"/>
              <w:left w:val="single" w:color="000000" w:sz="4" w:space="0"/>
              <w:righ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tcBorders>
              <w:top w:val="single" w:color="000000" w:sz="4" w:space="0"/>
              <w:left w:val="single" w:color="000000" w:sz="4" w:space="0"/>
            </w:tcBorders>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3）文件的内容是否包含了制度的制定和发布流程、格式要求及版本编号等相关内容。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4" w:hRule="atLeast"/>
          <w:jc w:val="center"/>
        </w:trPr>
        <w:tc>
          <w:tcPr>
            <w:tcW w:w="364"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0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应具有密码应用操作规程的相关执行记录并妥善保存</w:t>
            </w:r>
          </w:p>
        </w:tc>
        <w:tc>
          <w:tcPr>
            <w:tcW w:w="619"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执行记录文档</w:t>
            </w:r>
          </w:p>
        </w:tc>
        <w:tc>
          <w:tcPr>
            <w:tcW w:w="660"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296" w:type="pct"/>
            <w:noWrap w:val="0"/>
            <w:vAlign w:val="center"/>
          </w:tcPr>
          <w:p>
            <w:pPr>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核查是否具有制度执行文件</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（6）人员管理</w:t>
      </w:r>
    </w:p>
    <w:tbl>
      <w:tblPr>
        <w:tblStyle w:val="28"/>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584"/>
        <w:gridCol w:w="1697"/>
        <w:gridCol w:w="957"/>
        <w:gridCol w:w="945"/>
        <w:gridCol w:w="413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5" w:hRule="atLeast"/>
          <w:tblHeader/>
        </w:trPr>
        <w:tc>
          <w:tcPr>
            <w:tcW w:w="351"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02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75"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6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484"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5" w:hRule="atLeast"/>
        </w:trPr>
        <w:tc>
          <w:tcPr>
            <w:tcW w:w="35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020" w:type="pct"/>
            <w:tcBorders>
              <w:top w:val="single" w:color="000000" w:sz="4" w:space="0"/>
              <w:left w:val="single" w:color="000000" w:sz="4" w:space="0"/>
              <w:bottom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相关人员应了解并遵守商用密码相关法律法规、密码应用安全管理制度。</w:t>
            </w:r>
          </w:p>
        </w:tc>
        <w:tc>
          <w:tcPr>
            <w:tcW w:w="57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密码相关人员</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1）随机抽查 1-2 位与密码相关的人员及系统负责人进行访谈，确认是否了解并遵守商用密码相关法律法规。</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880" w:hRule="atLeast"/>
        </w:trPr>
        <w:tc>
          <w:tcPr>
            <w:tcW w:w="351"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020" w:type="pct"/>
            <w:vMerge w:val="restart"/>
            <w:tcBorders>
              <w:top w:val="single" w:color="000000" w:sz="4" w:space="0"/>
              <w:left w:val="single" w:color="000000" w:sz="4" w:space="0"/>
              <w:right w:val="single" w:color="000000" w:sz="4" w:space="0"/>
            </w:tcBorders>
            <w:noWrap w:val="0"/>
            <w:vAlign w:val="top"/>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应根据相关密码管理政策、数据安全保密政策，结合组织实际情况，设置密钥管理人、安全审计人员、密码操作人员等关 键岗位；建立相应 的岗位责任制度， 明确相关人员在安全系统中的职责和权限，对关键岗位建立多人共管机制，相关设备与系统的管理和使用账号不得多人共用。</w:t>
            </w:r>
          </w:p>
        </w:tc>
        <w:tc>
          <w:tcPr>
            <w:tcW w:w="575"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1）访谈信息安全主管是否进行了信息安全管理岗位的划分。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2）核查记录表单类文档是否明确配备了密钥管理、安全审计、密码设备操作岗位人员。</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3）访谈信息安全主管是否明确了相关人员在密码设备管理与密钥系统管理中的职责和权限。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tcBorders>
              <w:top w:val="single" w:color="000000" w:sz="4" w:space="0"/>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tcBorders>
              <w:top w:val="single" w:color="000000" w:sz="4" w:space="0"/>
              <w:lef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4）核查安全管理制度类文档是否明确了相关人员在密码设备管理与密钥系统管理中的职责和权限。</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2" w:hRule="atLeast"/>
        </w:trPr>
        <w:tc>
          <w:tcPr>
            <w:tcW w:w="351"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1020"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75" w:type="pct"/>
            <w:vMerge w:val="continue"/>
            <w:tcBorders>
              <w:left w:val="single" w:color="000000" w:sz="4" w:space="0"/>
              <w:right w:val="single" w:color="000000" w:sz="4" w:space="0"/>
            </w:tcBorders>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p>
        </w:tc>
        <w:tc>
          <w:tcPr>
            <w:tcW w:w="568"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5）核查人员配备文档是否针对关键岗位配备多人。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50"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应建立人员培训制度，对于涉及密码的操作和管理以及密钥管理人员进行专门培训，确保其具备岗位所需专业技能。</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w:t>
            </w:r>
          </w:p>
        </w:tc>
        <w:tc>
          <w:tcPr>
            <w:tcW w:w="2484" w:type="pct"/>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1）核查是否建立了人员培训制度。</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2）核查是否对于涉及密码的操作和管理及密钥管理人员进行了专门培训。</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020"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应建立人员考核制度，定期进行</w:t>
            </w:r>
          </w:p>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岗位人员考核。</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484"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1）核查是否建立了人员考核制度，是否定期进行岗位人员考核，是否建立健全奖惩制度。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351" w:type="pct"/>
            <w:tcBorders>
              <w:left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020"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应建立关键岗位人员保密制度和调离制度，签订保密合同，承担保密义务。</w:t>
            </w:r>
          </w:p>
        </w:tc>
        <w:tc>
          <w:tcPr>
            <w:tcW w:w="575" w:type="pct"/>
            <w:tcBorders>
              <w:left w:val="single" w:color="000000" w:sz="4" w:space="0"/>
              <w:right w:val="single" w:color="000000" w:sz="4" w:space="0"/>
            </w:tcBorders>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制度文档、记录文档</w:t>
            </w:r>
          </w:p>
        </w:tc>
        <w:tc>
          <w:tcPr>
            <w:tcW w:w="568" w:type="pct"/>
            <w:noWrap w:val="0"/>
            <w:vAlign w:val="center"/>
          </w:tcPr>
          <w:p>
            <w:pPr>
              <w:pStyle w:val="36"/>
              <w:keepNext w:val="0"/>
              <w:keepLines w:val="0"/>
              <w:pageBreakBefore w:val="0"/>
              <w:widowControl w:val="0"/>
              <w:kinsoku/>
              <w:wordWrap/>
              <w:overflowPunct/>
              <w:topLinePunct w:val="0"/>
              <w:autoSpaceDE/>
              <w:autoSpaceDN/>
              <w:bidi w:val="0"/>
              <w:adjustRightInd/>
              <w:snapToGrid/>
              <w:spacing w:before="164"/>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484" w:type="pct"/>
            <w:noWrap w:val="0"/>
            <w:vAlign w:val="center"/>
          </w:tcPr>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核查人员关键岗位人员保密制度和调离制度等。</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核查关键岗位人员是否签订了保密合同，承担保密业务。</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（7）建设运行</w:t>
      </w:r>
    </w:p>
    <w:tbl>
      <w:tblPr>
        <w:tblStyle w:val="28"/>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1018"/>
        <w:gridCol w:w="1881"/>
        <w:gridCol w:w="1039"/>
        <w:gridCol w:w="1115"/>
        <w:gridCol w:w="32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5" w:hRule="atLeast"/>
          <w:tblHeader/>
          <w:jc w:val="center"/>
        </w:trPr>
        <w:tc>
          <w:tcPr>
            <w:tcW w:w="612"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3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624"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670" w:type="pct"/>
            <w:tcBorders>
              <w:left w:val="single" w:color="000000" w:sz="4" w:space="0"/>
              <w:bottom w:val="single" w:color="000000" w:sz="4" w:space="0"/>
              <w:right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1962" w:type="pct"/>
            <w:tcBorders>
              <w:left w:val="single" w:color="000000" w:sz="4" w:space="0"/>
              <w:bottom w:val="single" w:color="000000" w:sz="4" w:space="0"/>
            </w:tcBorders>
            <w:shd w:val="clear" w:color="auto" w:fill="F3F3F3"/>
            <w:noWrap w:val="0"/>
            <w:vAlign w:val="to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05"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应依据密码相关标准和密码应用需求，制定密码应用方案</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核查在规划阶段，是否依据密码相关标准，制定密码应用方案。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应根据密码应用方案，确定系统涉及的密钥种类、体系及其生存周期节。</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密钥管理文档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检查是否根据密码应用方案建立了密钥生命周期文档。是否确定密钥种类、体系</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应按照应用方案实施建设</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实施方案</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是否按照国家相关标准，制定实施方案，方案内容应包括但不少于信息系统概述、安全需求分析、商用密码系统设计方案、商用密码产品清单（包括产品资质、功能及性能列表和产品生产单位等）、商用密码系 统安全管理与维护策略、商用密码系统实施计划等。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3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信息系统投入运行前，应经密码测评机构进行安全性评估，评估通过方可投入正式运行。</w:t>
            </w:r>
          </w:p>
        </w:tc>
        <w:tc>
          <w:tcPr>
            <w:tcW w:w="624"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bottom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bottom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检查信息系统投入运行前，责任单位是否进行了密码安全性评估，是否具有评估报告。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27" w:hRule="atLeast"/>
          <w:jc w:val="center"/>
        </w:trPr>
        <w:tc>
          <w:tcPr>
            <w:tcW w:w="612"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3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在运行过程 中，应严格执行既定的密码应用安全管理制度，应定期开展密码应用安全性评估及攻防对抗演习，并根据评估结果进行整改</w:t>
            </w:r>
          </w:p>
        </w:tc>
        <w:tc>
          <w:tcPr>
            <w:tcW w:w="624"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评审文档</w:t>
            </w:r>
          </w:p>
        </w:tc>
        <w:tc>
          <w:tcPr>
            <w:tcW w:w="670" w:type="pct"/>
            <w:tcBorders>
              <w:top w:val="single" w:color="000000" w:sz="4" w:space="0"/>
              <w:left w:val="single" w:color="000000" w:sz="4" w:space="0"/>
              <w:righ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访谈和资质核查</w:t>
            </w:r>
          </w:p>
        </w:tc>
        <w:tc>
          <w:tcPr>
            <w:tcW w:w="1962" w:type="pct"/>
            <w:tcBorders>
              <w:top w:val="single" w:color="000000" w:sz="4" w:space="0"/>
              <w:left w:val="single" w:color="000000" w:sz="4" w:space="0"/>
            </w:tcBorders>
            <w:noWrap w:val="0"/>
            <w:vAlign w:val="center"/>
          </w:tcPr>
          <w:p>
            <w:pPr>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检查信息系统投入运行后，责任单位是否每年委托测评机构开展密码应用安全性评估，是否具有评估报告。有重大安全隐患的，是否停止系统运行，制定整改方案，整改完成并通过评估后方可投入运行。</w:t>
            </w:r>
          </w:p>
        </w:tc>
      </w:tr>
    </w:tbl>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（8）应急处置</w:t>
      </w:r>
    </w:p>
    <w:tbl>
      <w:tblPr>
        <w:tblStyle w:val="28"/>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739"/>
        <w:gridCol w:w="1980"/>
        <w:gridCol w:w="995"/>
        <w:gridCol w:w="995"/>
        <w:gridCol w:w="360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7" w:hRule="atLeast"/>
        </w:trPr>
        <w:tc>
          <w:tcPr>
            <w:tcW w:w="445" w:type="pct"/>
            <w:tcBorders>
              <w:top w:val="single" w:color="auto" w:sz="4" w:space="0"/>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1190"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测评指标</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测评对象</w:t>
            </w:r>
          </w:p>
        </w:tc>
        <w:tc>
          <w:tcPr>
            <w:tcW w:w="598" w:type="pct"/>
            <w:tcBorders>
              <w:left w:val="single" w:color="000000" w:sz="4" w:space="0"/>
              <w:bottom w:val="single" w:color="000000" w:sz="4" w:space="0"/>
              <w:right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测评方式</w:t>
            </w:r>
          </w:p>
        </w:tc>
        <w:tc>
          <w:tcPr>
            <w:tcW w:w="2168" w:type="pct"/>
            <w:tcBorders>
              <w:left w:val="single" w:color="000000" w:sz="4" w:space="0"/>
              <w:bottom w:val="single" w:color="000000" w:sz="4" w:space="0"/>
            </w:tcBorders>
            <w:shd w:val="clear" w:color="auto" w:fill="F3F3F3"/>
            <w:noWrap w:val="0"/>
            <w:vAlign w:val="top"/>
          </w:tcPr>
          <w:p>
            <w:pPr>
              <w:keepNext w:val="0"/>
              <w:keepLines w:val="0"/>
              <w:pageBreakBefore w:val="0"/>
              <w:widowControl w:val="0"/>
              <w:kinsoku/>
              <w:wordWrap/>
              <w:overflowPunct/>
              <w:topLinePunct w:val="0"/>
              <w:autoSpaceDE/>
              <w:autoSpaceDN/>
              <w:bidi w:val="0"/>
              <w:adjustRightInd/>
              <w:snapToGrid/>
              <w:ind w:left="42" w:leftChars="20" w:right="42" w:rightChars="20"/>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测评实施工作单元描述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92"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应制定密码应用应急预案，做好应急资源准备，当密码应用事件发生时，应立即启动应急处置措施，结合实际情况及时处置</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应急方案、记录文档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检查应急预案及相关管理制度文档，是否根据安全事件等级制定了相应的应急预案及管理制度，明确了应急事件处理流程及其他管理措施，并遵照执行。如有安全事件发生，检查是否有相应的处置记录。</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事件发生后， 应及时向信息系统主管部门进行报告。</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检查安全事件发生后，是否及时向信息系统的上级主管部门进行报告。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8" w:hRule="atLeast"/>
        </w:trPr>
        <w:tc>
          <w:tcPr>
            <w:tcW w:w="4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9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事件处置完成后，应及时向信息系统主管部门及归属的密码管理部门报告事件发生情况处置情况。</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记录文档</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访谈、文档审查</w:t>
            </w:r>
          </w:p>
        </w:tc>
        <w:tc>
          <w:tcPr>
            <w:tcW w:w="2168" w:type="pct"/>
            <w:tcBorders>
              <w:top w:val="single" w:color="000000" w:sz="4" w:space="0"/>
              <w:left w:val="single" w:color="000000" w:sz="4" w:space="0"/>
              <w:bottom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left="42" w:leftChars="20" w:right="42" w:rightChars="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检查安全事件完成后，是否及时向同级的密码主管部门报告事件发生情况及处置情况。</w:t>
            </w:r>
          </w:p>
        </w:tc>
      </w:tr>
    </w:tbl>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ind w:firstLine="40"/>
        <w:rPr>
          <w:rFonts w:hint="eastAsia" w:ascii="宋体" w:hAnsi="宋体" w:eastAsia="宋体" w:cs="宋体"/>
          <w:sz w:val="24"/>
          <w:szCs w:val="24"/>
          <w:highlight w:val="none"/>
        </w:rPr>
      </w:pPr>
    </w:p>
    <w:p>
      <w:pP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br w:type="page"/>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5）风险分析</w:t>
      </w:r>
    </w:p>
    <w:p>
      <w:pPr>
        <w:spacing w:after="156" w:afterLines="50"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在完成各单元测评并收集单元测评结果后，针对其中的不符合项，采取逐条判定的方法，从安全控制间、层面间和区域间出发考虑，给出整体测评的具体结果，并对系统结构进行整体安全测评，分为以下几个步骤：</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步骤一：</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其他测评项</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步骤二：</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其他层面的测评对象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步骤三：</w:t>
      </w:r>
      <w:r>
        <w:rPr>
          <w:rFonts w:hint="eastAsia" w:ascii="宋体" w:hAnsi="宋体" w:eastAsia="宋体" w:cs="宋体"/>
          <w:sz w:val="24"/>
          <w:szCs w:val="24"/>
          <w:highlight w:val="none"/>
          <w:lang w:bidi="ar"/>
        </w:rPr>
        <w:t>针对测评对象“部分符合”及“不符合”要求的单个测评项，分析与该测评项相关的</w:t>
      </w:r>
      <w:r>
        <w:rPr>
          <w:rFonts w:hint="eastAsia" w:ascii="宋体" w:hAnsi="宋体" w:eastAsia="宋体" w:cs="宋体"/>
          <w:b/>
          <w:sz w:val="24"/>
          <w:szCs w:val="24"/>
          <w:highlight w:val="none"/>
          <w:lang w:bidi="ar"/>
        </w:rPr>
        <w:t>其他区域的测评对象</w:t>
      </w:r>
      <w:r>
        <w:rPr>
          <w:rFonts w:hint="eastAsia" w:ascii="宋体" w:hAnsi="宋体" w:eastAsia="宋体" w:cs="宋体"/>
          <w:sz w:val="24"/>
          <w:szCs w:val="24"/>
          <w:highlight w:val="none"/>
          <w:lang w:bidi="ar"/>
        </w:rPr>
        <w:t>能否和它发生关联关系，发生什么样的关联关系，这些关联关系产生的作用是否可以“弥补”该测评项的不足，以及该测评项的不足是否会影响与其有关联关系的其他测评项的测评结果。</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步骤四：</w:t>
      </w:r>
      <w:r>
        <w:rPr>
          <w:rFonts w:hint="eastAsia" w:ascii="宋体" w:hAnsi="宋体" w:eastAsia="宋体" w:cs="宋体"/>
          <w:sz w:val="24"/>
          <w:szCs w:val="24"/>
          <w:highlight w:val="none"/>
          <w:lang w:bidi="ar"/>
        </w:rPr>
        <w:t>从安全角度分析被测系统整体结构的安全性，从系统角度分析被测系统整体安全防范的合理性。</w:t>
      </w:r>
    </w:p>
    <w:p>
      <w:pPr>
        <w:spacing w:after="156" w:afterLines="50" w:line="360" w:lineRule="auto"/>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lang w:bidi="ar"/>
        </w:rPr>
        <w:t>步骤五：</w:t>
      </w:r>
      <w:r>
        <w:rPr>
          <w:rFonts w:hint="eastAsia" w:ascii="宋体" w:hAnsi="宋体" w:eastAsia="宋体" w:cs="宋体"/>
          <w:sz w:val="24"/>
          <w:szCs w:val="24"/>
          <w:highlight w:val="none"/>
          <w:lang w:bidi="ar"/>
        </w:rPr>
        <w:t>汇总上述分析结论，形成表格。</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6.测评输出</w:t>
      </w:r>
    </w:p>
    <w:p>
      <w:pPr>
        <w:numPr>
          <w:ilvl w:val="0"/>
          <w:numId w:val="15"/>
        </w:numPr>
        <w:spacing w:line="360" w:lineRule="auto"/>
        <w:ind w:left="902" w:hanging="420"/>
        <w:rPr>
          <w:rFonts w:hint="eastAsia" w:ascii="宋体" w:hAnsi="宋体" w:eastAsia="宋体" w:cs="宋体"/>
          <w:b/>
          <w:sz w:val="24"/>
          <w:szCs w:val="24"/>
          <w:highlight w:val="none"/>
        </w:rPr>
      </w:pPr>
      <w:r>
        <w:rPr>
          <w:rFonts w:hint="eastAsia" w:ascii="宋体" w:hAnsi="宋体" w:eastAsia="宋体" w:cs="宋体"/>
          <w:b/>
          <w:sz w:val="24"/>
          <w:szCs w:val="24"/>
          <w:highlight w:val="none"/>
        </w:rPr>
        <w:t>形成密码应用安全性评估相关报告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针对每个被评估系统编制密码应用安全性评估报告，报告按照国家密码管理局要求包含的内容编制或参考模板编制。协助被评估单位认清风险，查找漏洞，找出差距，提出有针对性的加强完善密码安全管理和防护建议。审核汇总形成密码应用安全性评估总结报告。</w:t>
      </w:r>
    </w:p>
    <w:p>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完成所有系统的密码应用性评估工作后，编制评估总结报告，对密评工作开展的情况，遇到的问题，密评结果数据、所有被评估单位上报的密码应用情况、梳理共性问题和个性问题，形成密码应用情况分析总结报告，提交。</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7.</w:t>
      </w:r>
      <w:r>
        <w:rPr>
          <w:rFonts w:hint="eastAsia" w:ascii="宋体" w:hAnsi="宋体" w:eastAsia="宋体" w:cs="宋体"/>
          <w:b/>
          <w:bCs/>
          <w:spacing w:val="-4"/>
          <w:sz w:val="24"/>
          <w:szCs w:val="24"/>
          <w:highlight w:val="none"/>
          <w:lang w:val="zh-CN" w:eastAsia="zh-CN"/>
        </w:rPr>
        <w:t>密码应用</w:t>
      </w:r>
      <w:r>
        <w:rPr>
          <w:rFonts w:hint="eastAsia" w:ascii="宋体" w:hAnsi="宋体" w:eastAsia="宋体" w:cs="宋体"/>
          <w:b/>
          <w:bCs/>
          <w:spacing w:val="-4"/>
          <w:sz w:val="24"/>
          <w:szCs w:val="24"/>
          <w:highlight w:val="none"/>
          <w:lang w:val="en-US" w:eastAsia="zh-CN"/>
        </w:rPr>
        <w:t>及密码</w:t>
      </w:r>
      <w:r>
        <w:rPr>
          <w:rFonts w:hint="eastAsia" w:ascii="宋体" w:hAnsi="宋体" w:eastAsia="宋体" w:cs="宋体"/>
          <w:b/>
          <w:bCs/>
          <w:spacing w:val="-4"/>
          <w:sz w:val="24"/>
          <w:szCs w:val="24"/>
          <w:highlight w:val="none"/>
          <w:lang w:val="zh-CN" w:eastAsia="zh-CN"/>
        </w:rPr>
        <w:t>评估相关培训</w:t>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从国家法规、国家密码标准、密码行业标准、密码要求规范等方面对被评估单位进行培训，制作培训课件。重点包括密码应用要求、密码测评要求等，明确密码对被评估单位提</w:t>
      </w:r>
      <w:r>
        <w:rPr>
          <w:rFonts w:hint="eastAsia" w:ascii="宋体" w:hAnsi="宋体" w:eastAsia="宋体" w:cs="宋体"/>
          <w:color w:val="000000"/>
          <w:sz w:val="24"/>
          <w:szCs w:val="24"/>
          <w:highlight w:val="none"/>
        </w:rPr>
        <w:t>供现场答疑和整个项目评估建设工期内电话咨询服务。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8.</w:t>
      </w:r>
      <w:r>
        <w:rPr>
          <w:rFonts w:hint="eastAsia" w:ascii="宋体" w:hAnsi="宋体" w:eastAsia="宋体" w:cs="宋体"/>
          <w:b/>
          <w:bCs/>
          <w:spacing w:val="-4"/>
          <w:sz w:val="24"/>
          <w:szCs w:val="24"/>
          <w:highlight w:val="none"/>
          <w:lang w:val="zh-CN" w:eastAsia="zh-CN"/>
        </w:rPr>
        <w:t>复测服务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中标单位应在每年度现场测评完成后当年内，为已整改的被测系统提供复测服务。</w:t>
      </w:r>
    </w:p>
    <w:p>
      <w:pPr>
        <w:pStyle w:val="36"/>
        <w:spacing w:before="71" w:line="360" w:lineRule="auto"/>
        <w:jc w:val="both"/>
        <w:rPr>
          <w:rFonts w:hint="eastAsia" w:ascii="宋体" w:hAnsi="宋体" w:eastAsia="宋体" w:cs="宋体"/>
          <w:b/>
          <w:bCs/>
          <w:spacing w:val="-4"/>
          <w:sz w:val="24"/>
          <w:szCs w:val="24"/>
          <w:highlight w:val="none"/>
          <w:lang w:val="zh-CN" w:eastAsia="zh-CN"/>
        </w:rPr>
      </w:pPr>
      <w:r>
        <w:rPr>
          <w:rFonts w:hint="eastAsia" w:ascii="宋体" w:hAnsi="宋体" w:eastAsia="宋体" w:cs="宋体"/>
          <w:b/>
          <w:bCs/>
          <w:spacing w:val="-4"/>
          <w:sz w:val="24"/>
          <w:szCs w:val="24"/>
          <w:highlight w:val="none"/>
          <w:lang w:val="en-US" w:eastAsia="zh-CN"/>
        </w:rPr>
        <w:t>9.</w:t>
      </w:r>
      <w:r>
        <w:rPr>
          <w:rFonts w:hint="eastAsia" w:ascii="宋体" w:hAnsi="宋体" w:eastAsia="宋体" w:cs="宋体"/>
          <w:b/>
          <w:bCs/>
          <w:spacing w:val="-4"/>
          <w:sz w:val="24"/>
          <w:szCs w:val="24"/>
          <w:highlight w:val="none"/>
          <w:lang w:val="zh-CN" w:eastAsia="zh-CN"/>
        </w:rPr>
        <w:t>应急响应服务</w:t>
      </w:r>
    </w:p>
    <w:p>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承诺为被测单位提供一年应急响应服务。</w:t>
      </w:r>
    </w:p>
    <w:p>
      <w:pPr>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40" w:name="_Toc24326"/>
      <w:r>
        <w:rPr>
          <w:rFonts w:hint="eastAsia" w:ascii="宋体" w:hAnsi="宋体" w:eastAsia="宋体" w:cs="宋体"/>
          <w:sz w:val="24"/>
          <w:szCs w:val="24"/>
          <w:highlight w:val="none"/>
          <w:lang w:val="en-US" w:eastAsia="zh-CN"/>
        </w:rPr>
        <w:t>C包：安全等级保护测评</w:t>
      </w:r>
      <w:bookmarkEnd w:id="140"/>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1" w:name="_Toc394916200"/>
      <w:bookmarkStart w:id="142" w:name="_Toc493489988"/>
      <w:bookmarkStart w:id="143" w:name="_Toc394916155"/>
      <w:bookmarkStart w:id="144" w:name="_Toc394916008"/>
      <w:r>
        <w:rPr>
          <w:rFonts w:hint="eastAsia" w:ascii="宋体" w:hAnsi="宋体" w:eastAsia="宋体" w:cs="宋体"/>
          <w:b/>
          <w:bCs/>
          <w:spacing w:val="-4"/>
          <w:sz w:val="24"/>
          <w:szCs w:val="24"/>
          <w:highlight w:val="none"/>
          <w:lang w:val="en-US" w:eastAsia="zh-CN"/>
        </w:rPr>
        <w:t>1.项目</w:t>
      </w:r>
      <w:bookmarkEnd w:id="141"/>
      <w:bookmarkEnd w:id="142"/>
      <w:bookmarkEnd w:id="143"/>
      <w:bookmarkEnd w:id="144"/>
      <w:r>
        <w:rPr>
          <w:rFonts w:hint="eastAsia" w:ascii="宋体" w:hAnsi="宋体" w:eastAsia="宋体" w:cs="宋体"/>
          <w:b/>
          <w:bCs/>
          <w:spacing w:val="-4"/>
          <w:sz w:val="24"/>
          <w:szCs w:val="24"/>
          <w:highlight w:val="none"/>
          <w:lang w:val="en-US" w:eastAsia="zh-CN"/>
        </w:rPr>
        <w:t>意义</w:t>
      </w:r>
    </w:p>
    <w:p>
      <w:pPr>
        <w:keepNext w:val="0"/>
        <w:keepLines w:val="0"/>
        <w:pageBreakBefore w:val="0"/>
        <w:kinsoku/>
        <w:wordWrap/>
        <w:overflowPunct/>
        <w:topLinePunct w:val="0"/>
        <w:autoSpaceDE/>
        <w:autoSpaceDN/>
        <w:bidi w:val="0"/>
        <w:adjustRightInd/>
        <w:snapToGrid/>
        <w:spacing w:line="540" w:lineRule="exact"/>
        <w:ind w:left="-2" w:leftChars="-1"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为贯彻国家政策要求，落实网络安全等级保护制度，全面提升信息系统安全保护能力和网络安全管理水平，按照国家相关要求开展网络安全等级保护测评工作。</w:t>
      </w:r>
    </w:p>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2.服务内容</w:t>
      </w:r>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sz w:val="24"/>
          <w:szCs w:val="24"/>
          <w:highlight w:val="none"/>
          <w:lang w:bidi="ar"/>
        </w:rPr>
      </w:pPr>
      <w:r>
        <w:rPr>
          <w:rFonts w:hint="eastAsia" w:ascii="宋体" w:hAnsi="宋体" w:cs="宋体"/>
          <w:color w:val="000000"/>
          <w:kern w:val="0"/>
          <w:sz w:val="24"/>
          <w:szCs w:val="24"/>
          <w:highlight w:val="none"/>
          <w:lang w:val="en-US" w:eastAsia="zh-CN" w:bidi="ar"/>
        </w:rPr>
        <w:t>对</w:t>
      </w:r>
      <w:r>
        <w:rPr>
          <w:rFonts w:hint="eastAsia" w:ascii="宋体" w:hAnsi="宋体" w:eastAsia="宋体" w:cs="宋体"/>
          <w:color w:val="000000"/>
          <w:kern w:val="0"/>
          <w:sz w:val="24"/>
          <w:szCs w:val="24"/>
          <w:highlight w:val="none"/>
          <w:lang w:bidi="ar"/>
        </w:rPr>
        <w:t>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cs="宋体"/>
          <w:color w:val="000000"/>
          <w:kern w:val="0"/>
          <w:sz w:val="24"/>
          <w:szCs w:val="24"/>
          <w:highlight w:val="none"/>
          <w:lang w:val="en-US" w:eastAsia="zh-CN" w:bidi="ar"/>
        </w:rPr>
        <w:t>共2个系统，按照等级保护2级，三年2次测评的要求提供</w:t>
      </w:r>
      <w:r>
        <w:rPr>
          <w:rFonts w:hint="eastAsia" w:ascii="宋体" w:hAnsi="宋体" w:eastAsia="宋体" w:cs="宋体"/>
          <w:color w:val="000000"/>
          <w:kern w:val="0"/>
          <w:sz w:val="24"/>
          <w:szCs w:val="24"/>
          <w:highlight w:val="none"/>
          <w:lang w:bidi="ar"/>
        </w:rPr>
        <w:t>等级保护测评服务</w:t>
      </w:r>
      <w:r>
        <w:rPr>
          <w:rFonts w:hint="eastAsia" w:ascii="宋体" w:hAnsi="宋体" w:eastAsia="宋体" w:cs="宋体"/>
          <w:sz w:val="24"/>
          <w:szCs w:val="24"/>
          <w:highlight w:val="none"/>
          <w:lang w:bidi="ar"/>
        </w:rPr>
        <w:t>。</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5" w:name="_Toc394916010"/>
      <w:bookmarkStart w:id="146" w:name="_Toc394916202"/>
      <w:bookmarkStart w:id="147" w:name="_Toc493489990"/>
      <w:bookmarkStart w:id="148" w:name="_Toc394916157"/>
      <w:r>
        <w:rPr>
          <w:rFonts w:hint="eastAsia" w:ascii="宋体" w:hAnsi="宋体" w:eastAsia="宋体" w:cs="宋体"/>
          <w:b/>
          <w:bCs/>
          <w:spacing w:val="-4"/>
          <w:sz w:val="24"/>
          <w:szCs w:val="24"/>
          <w:highlight w:val="none"/>
          <w:lang w:val="en-US" w:eastAsia="zh-CN"/>
        </w:rPr>
        <w:t>3.项目要求</w:t>
      </w:r>
      <w:bookmarkEnd w:id="145"/>
      <w:bookmarkEnd w:id="146"/>
      <w:bookmarkEnd w:id="147"/>
      <w:bookmarkEnd w:id="148"/>
    </w:p>
    <w:p>
      <w:pPr>
        <w:keepNext w:val="0"/>
        <w:keepLines w:val="0"/>
        <w:pageBreakBefore w:val="0"/>
        <w:tabs>
          <w:tab w:val="left" w:pos="425"/>
        </w:tabs>
        <w:kinsoku/>
        <w:wordWrap/>
        <w:overflowPunct/>
        <w:topLinePunct w:val="0"/>
        <w:autoSpaceDE/>
        <w:autoSpaceDN/>
        <w:bidi w:val="0"/>
        <w:adjustRightInd/>
        <w:snapToGrid/>
        <w:spacing w:line="54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完成信息系统安全等级保护测评工作，提交信息系统的安全等级保护测评报告，协助完成在当地公安部门的等级保护备案工作，取得备案证明。</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49" w:name="_Toc442367401"/>
      <w:r>
        <w:rPr>
          <w:rFonts w:hint="eastAsia" w:ascii="宋体" w:hAnsi="宋体" w:eastAsia="宋体" w:cs="宋体"/>
          <w:b/>
          <w:bCs/>
          <w:spacing w:val="-4"/>
          <w:sz w:val="24"/>
          <w:szCs w:val="24"/>
          <w:highlight w:val="none"/>
          <w:lang w:val="en-US" w:eastAsia="zh-CN"/>
        </w:rPr>
        <w:t>4.遵循的政策法规</w:t>
      </w:r>
      <w:bookmarkEnd w:id="149"/>
      <w:r>
        <w:rPr>
          <w:rFonts w:hint="eastAsia" w:ascii="宋体" w:hAnsi="宋体" w:eastAsia="宋体" w:cs="宋体"/>
          <w:b/>
          <w:bCs/>
          <w:spacing w:val="-4"/>
          <w:sz w:val="24"/>
          <w:szCs w:val="24"/>
          <w:highlight w:val="none"/>
          <w:lang w:val="en-US" w:eastAsia="zh-CN"/>
        </w:rPr>
        <w:t>和规范</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《中华人民共和国网络安全法》；</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《中华人民共和国计算机信息系统安全保护条例》（国务院令147号）；</w:t>
      </w:r>
    </w:p>
    <w:p>
      <w:pPr>
        <w:keepNext w:val="0"/>
        <w:keepLines w:val="0"/>
        <w:pageBreakBefore w:val="0"/>
        <w:numPr>
          <w:ilvl w:val="0"/>
          <w:numId w:val="16"/>
        </w:numPr>
        <w:tabs>
          <w:tab w:val="left" w:pos="425"/>
        </w:tabs>
        <w:kinsoku/>
        <w:wordWrap/>
        <w:overflowPunct/>
        <w:topLinePunct w:val="0"/>
        <w:autoSpaceDE/>
        <w:autoSpaceDN/>
        <w:bidi w:val="0"/>
        <w:adjustRightInd/>
        <w:snapToGrid/>
        <w:spacing w:line="540" w:lineRule="exact"/>
        <w:textAlignment w:val="auto"/>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《计算机信息系统安全等级保护划分准则》（GB/T17859-1999）；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《信息安全等级保护管理办法》（公通字[2007]43号）；</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信息系统安全等级保护实施指南》（GB/T 25058-2010）；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网络安全等级保护基本要求》（GB/T 22239-2019）；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网络安全保护等级保护定级指南》（GB/T 22240-2020）；</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网络安全等级保护测评要求》（GB/T 28448-2019）；</w:t>
      </w:r>
    </w:p>
    <w:p>
      <w:pPr>
        <w:keepNext w:val="0"/>
        <w:keepLines w:val="0"/>
        <w:pageBreakBefore w:val="0"/>
        <w:numPr>
          <w:ilvl w:val="0"/>
          <w:numId w:val="16"/>
        </w:numPr>
        <w:kinsoku/>
        <w:wordWrap/>
        <w:overflowPunct/>
        <w:topLinePunct w:val="0"/>
        <w:autoSpaceDE/>
        <w:autoSpaceDN/>
        <w:bidi w:val="0"/>
        <w:adjustRightInd/>
        <w:snapToGrid/>
        <w:spacing w:line="5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《信息安全技术 网络安全等级保护测评过程指南》（GB/T 28449-2018）。</w:t>
      </w:r>
    </w:p>
    <w:p>
      <w:pPr>
        <w:pStyle w:val="36"/>
        <w:spacing w:before="71" w:line="360" w:lineRule="auto"/>
        <w:jc w:val="both"/>
        <w:rPr>
          <w:rFonts w:hint="eastAsia" w:ascii="宋体" w:hAnsi="宋体" w:eastAsia="宋体" w:cs="宋体"/>
          <w:b/>
          <w:bCs/>
          <w:spacing w:val="-4"/>
          <w:sz w:val="24"/>
          <w:szCs w:val="24"/>
          <w:highlight w:val="none"/>
          <w:lang w:val="en-US" w:eastAsia="zh-CN"/>
        </w:rPr>
      </w:pPr>
      <w:bookmarkStart w:id="150" w:name="_Toc442367403"/>
      <w:bookmarkStart w:id="151" w:name="_Toc442367407"/>
      <w:r>
        <w:rPr>
          <w:rFonts w:hint="eastAsia" w:ascii="宋体" w:hAnsi="宋体" w:eastAsia="宋体" w:cs="宋体"/>
          <w:b/>
          <w:bCs/>
          <w:spacing w:val="-4"/>
          <w:sz w:val="24"/>
          <w:szCs w:val="24"/>
          <w:highlight w:val="none"/>
          <w:lang w:val="en-US" w:eastAsia="zh-CN"/>
        </w:rPr>
        <w:t>5.项目具体要求</w:t>
      </w:r>
      <w:bookmarkEnd w:id="150"/>
    </w:p>
    <w:p>
      <w:pPr>
        <w:keepNext w:val="0"/>
        <w:keepLines w:val="0"/>
        <w:pageBreakBefore w:val="0"/>
        <w:widowControl/>
        <w:kinsoku/>
        <w:wordWrap/>
        <w:overflowPunct/>
        <w:topLinePunct w:val="0"/>
        <w:autoSpaceDE/>
        <w:autoSpaceDN/>
        <w:bidi w:val="0"/>
        <w:adjustRightInd/>
        <w:snapToGrid/>
        <w:spacing w:line="540" w:lineRule="exact"/>
        <w:ind w:firstLine="480" w:firstLineChars="200"/>
        <w:jc w:val="left"/>
        <w:textAlignment w:val="auto"/>
        <w:rPr>
          <w:rFonts w:hint="eastAsia"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本项目内容包括：郑州市二七区大数据中心</w:t>
      </w:r>
      <w:r>
        <w:rPr>
          <w:rFonts w:hint="eastAsia" w:ascii="宋体" w:hAnsi="宋体" w:cs="宋体"/>
          <w:color w:val="000000"/>
          <w:kern w:val="0"/>
          <w:sz w:val="24"/>
          <w:szCs w:val="24"/>
          <w:highlight w:val="none"/>
          <w:lang w:eastAsia="zh-CN" w:bidi="ar"/>
        </w:rPr>
        <w:t>二七区物联感知与管理服务项目常态化服务项目</w:t>
      </w:r>
      <w:r>
        <w:rPr>
          <w:rFonts w:hint="eastAsia" w:ascii="宋体" w:hAnsi="宋体" w:eastAsia="宋体" w:cs="宋体"/>
          <w:color w:val="000000"/>
          <w:kern w:val="0"/>
          <w:sz w:val="24"/>
          <w:szCs w:val="24"/>
          <w:highlight w:val="none"/>
          <w:lang w:bidi="ar"/>
        </w:rPr>
        <w:t xml:space="preserve">等级保护测评服务。以上服务内容，当甲方信息系统发生变更时，可在限定数量内与规模相当的信息系统调整。供应商须根据采购人需求，提供合理可行的整体方案和具体实现方式。供应商为本项目服务所需的软硬件工具，由供应商根据服务要求自行采购，免费提供本项目服务，产权归属不变。等保服务应符合新出台的国家技术规范和标准，以及行业规范和标准。 </w:t>
      </w:r>
    </w:p>
    <w:tbl>
      <w:tblPr>
        <w:tblStyle w:val="28"/>
        <w:tblpPr w:leftFromText="180" w:rightFromText="180" w:vertAnchor="text" w:tblpXSpec="center" w:tblpY="1"/>
        <w:tblOverlap w:val="never"/>
        <w:tblW w:w="8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769"/>
        <w:gridCol w:w="7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769"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名称</w:t>
            </w:r>
          </w:p>
        </w:tc>
        <w:tc>
          <w:tcPr>
            <w:tcW w:w="7022" w:type="dxa"/>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restart"/>
            <w:noWrap w:val="0"/>
            <w:vAlign w:val="center"/>
          </w:tcPr>
          <w:p>
            <w:pPr>
              <w:widowControl/>
              <w:jc w:val="center"/>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1</w:t>
            </w:r>
          </w:p>
        </w:tc>
        <w:tc>
          <w:tcPr>
            <w:tcW w:w="769" w:type="dxa"/>
            <w:vMerge w:val="restart"/>
            <w:noWrap w:val="0"/>
            <w:vAlign w:val="center"/>
          </w:tcPr>
          <w:p>
            <w:pPr>
              <w:widowControl/>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等级保护测评服 务</w:t>
            </w: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参照国家等级保护2.0技术标准对郑州市二七区大数据中心</w:t>
            </w:r>
            <w:r>
              <w:rPr>
                <w:rFonts w:hint="eastAsia" w:ascii="宋体" w:hAnsi="宋体" w:cs="宋体"/>
                <w:sz w:val="24"/>
                <w:szCs w:val="24"/>
                <w:highlight w:val="none"/>
                <w:lang w:eastAsia="zh-CN"/>
              </w:rPr>
              <w:t>二七区物联感知与管理服务项目常态化服务项目</w:t>
            </w:r>
            <w:r>
              <w:rPr>
                <w:rFonts w:hint="eastAsia" w:ascii="宋体" w:hAnsi="宋体" w:eastAsia="宋体" w:cs="宋体"/>
                <w:sz w:val="24"/>
                <w:szCs w:val="24"/>
                <w:highlight w:val="none"/>
              </w:rPr>
              <w:t>按照等级保护</w:t>
            </w:r>
            <w:r>
              <w:rPr>
                <w:rFonts w:hint="eastAsia" w:ascii="宋体" w:hAnsi="宋体" w:eastAsia="宋体" w:cs="宋体"/>
                <w:sz w:val="24"/>
                <w:szCs w:val="24"/>
                <w:highlight w:val="none"/>
                <w:lang w:val="en-US" w:eastAsia="zh-CN"/>
              </w:rPr>
              <w:t>2级</w:t>
            </w:r>
            <w:r>
              <w:rPr>
                <w:rFonts w:hint="eastAsia" w:ascii="宋体" w:hAnsi="宋体" w:eastAsia="宋体" w:cs="宋体"/>
                <w:sz w:val="24"/>
                <w:szCs w:val="24"/>
                <w:highlight w:val="none"/>
              </w:rPr>
              <w:t xml:space="preserve">标准开展测评和差距分析，出具整改意见和测评报告，协助完成系统定级专家评审工作，完成本次测评报告在网安部门的备案工作，并取得有效的备案证明。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要求与《信息安全等级保护管理办法》（公通字[2007]43号）、《信息系统安全等级保护实施指南》（信安字[2007]10号）和《信息安全等级保护安全建设整改工作指导意见》（公信安[2009]1429号）（含附件）等公安部信息安全等级保护系列文件要求保持一致。</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1.《中华人民共和国保守国家秘密法》（1988年9月5日中华人民共和国主席令第6号公布）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2.《中华人民共和国保守国家秘密法实施办法》（国家保密局文件国保发[1990]1号）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3.《中华人民共和国国家安全法》（主席令68号，1993年2月22日第七届全国人民代表大会常务委员会第三十次会议通过）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4.《中华人民共和国计算机信息系统安全保护条例》（国务院令147号）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5.《计算机信息系统保密管理暂行规定》（国家保密局文件国保发[1998]1号）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6.《计算机信息系统国际联网保密管理规定》（国家保密局文件国保发[1999]1号）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7.《中华人民共和国计算机信息网络国际联网管理暂行规定》（国务院令195号）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8.《中华人民共和国计算机信息网络国际联网管理暂行规定实施办法》（1997年12月8日国务院信息化工作领导小组审定）</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9.《计算机病毒防治管理办法》（2000年4月26日中华人民共和国公安部第51号令）</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10.《计算机信息网络国际联网安全保护管理办法》（1997年12月11日国务院批准，1997年12月30日公安部发布）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11.《计算机信息系统安全专用产品分类原则》（1997年4月公安部发布）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12.《计算机信息系统安全保护等级划分准则》（1999年9月国家技术监督局发布）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13.《互联网电子公告服务管理规定》（信息产业部2000年10月8日第4次部务会议通过）</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14.《互联网站从事登载新闻业务管理暂行规定》（国务院新闻办公室和信息产业部11月7日联合发布）</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15.《计算机信息系统安全等级保护划分准则》（GB/T17859-1999）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16.《计算机信息系统安全等级保护网络技术要求》（GA/T387-2002）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17.《计算机信息系统安全等级保护操作系统技术要求》（GA/T388-2002）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18.《计算机信息系统安全等级保护数据库管理系统技术要求》（GA/T389-2002）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19.《计算机信息系统安全等级保护通用技术要求》（GA/T390-2002）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20.《计算机信息系统安全等级保护管理要求》（GA/T391-2002）</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21.《计算机机房场地安全要求》（GB9361-88）</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22.《国家信息化领导小组关于加强信息安全保障工作的意见》（中央27号文件）</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23.《信息安全等级保护管理办法》(公通字[2007]43号)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24.《信息安全技术 网络安全等级保护实施指南》(GB/T 25058-2019)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25.《信息安全等级保护安全建设整改工作指导意见》(公信安[2009]1429号)</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26.《信息安全技术 网络安全等级保护定级指南》（</w:t>
            </w:r>
            <w:r>
              <w:rPr>
                <w:rFonts w:hint="eastAsia" w:ascii="宋体" w:hAnsi="宋体" w:eastAsia="宋体" w:cs="宋体"/>
                <w:sz w:val="24"/>
                <w:szCs w:val="24"/>
                <w:highlight w:val="none"/>
              </w:rPr>
              <w:tab/>
            </w:r>
            <w:r>
              <w:rPr>
                <w:rFonts w:hint="eastAsia" w:ascii="宋体" w:hAnsi="宋体" w:eastAsia="宋体" w:cs="宋体"/>
                <w:sz w:val="24"/>
                <w:szCs w:val="24"/>
                <w:highlight w:val="none"/>
              </w:rPr>
              <w:t>GB/T22240-2020）</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27.《信息安全技术 网络安全等级保护基本要求》（GB/T 22239-2019）</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28.《信息安全技术 网络安全等级保护测评要求》（GB/T 28448-2019）</w:t>
            </w:r>
          </w:p>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29.《信息安全技术 网络安全等级保护测评过程指南》（GB/T 28449-2018）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本项目按照信息安全等级保护2.0技术标准进行安全等级测评。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测评内容主要包括两个方面：一是单元测评，测评指标与GB/T2239-2019相应等级的基本要求完全一致；二是系统整体测评，主要测评分析信息系统的整体安全性。</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单元测评包括安全技术测评和安全管理测评两大部分，其中安全技术测评层面主要包含：安全物理环境、安全通信网络、安全区域边界、安全计算环境、安全管理中心。安全管理测评层面主要包含：安全管理制度、安全管理人员、安全管理机构、安全建设管理、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整体测评在单元测评的基础上进行进一步测评分析，在内容上主要包括安全控制间、层面间和区域间相互作用的安全测评以及系统结构的安全测评等。</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（1）安全物理环境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主要包含物理位置选择、物理访问控制、防盗窃和防破坏、防雷击、防火、防水和防潮、防静电、温湿度控制、电力供应、电磁防护10个方面的内容。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（2）安全通信网络</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主要包含网络架构、通信传输、可信验证3方面的内容。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（3）安全区域边界</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主要包含边界防护、访问控制、入侵防范、恶意代码和垃圾邮件防范、安全审计、可信验证等6个方面的内容。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（4）安全计算环境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主要包含身份鉴别、访问控制、安全审计、入侵防范、恶意代码防范、可信验证、数据完整性、数据备份恢复、剩余信息保护、个人信息保护10方面的内容。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（5）安全管理中心</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主要包含系统管理、审计管理</w:t>
            </w:r>
            <w:r>
              <w:rPr>
                <w:rFonts w:hint="eastAsia" w:ascii="宋体" w:hAnsi="宋体" w:eastAsia="宋体" w:cs="宋体"/>
                <w:sz w:val="24"/>
                <w:szCs w:val="24"/>
                <w:highlight w:val="none"/>
                <w:lang w:val="zh-TW"/>
              </w:rPr>
              <w:t>2</w:t>
            </w:r>
            <w:r>
              <w:rPr>
                <w:rFonts w:hint="eastAsia" w:ascii="宋体" w:hAnsi="宋体" w:eastAsia="宋体" w:cs="宋体"/>
                <w:sz w:val="24"/>
                <w:szCs w:val="24"/>
                <w:highlight w:val="none"/>
                <w:lang w:val="zh-TW" w:eastAsia="zh-TW"/>
              </w:rPr>
              <w:t>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（6）安全管理机构</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主要包含岗位设置、人员配备、授权和审批、沟通和合作、审核和检查5个方面的内容。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（7）安全管理人员</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主要包含人员录用、人员离岗、安全意识教育和培训、外部人员访问管理4个方面的内容。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（8）安全管理制度</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主要包含安全策略、管理制度、制定和发布、评审和修订4个方面的内容。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（9）安全建设管理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主要包含定级和备案、安全方案设计、产品采购和使用、自行软件开发、外包软件开发、工程实施、测试验收、系统交付、等级测评、服务供应商选择10个方面的内容。</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（10）安全运维管理</w:t>
            </w:r>
          </w:p>
          <w:p>
            <w:pPr>
              <w:rPr>
                <w:rFonts w:hint="eastAsia" w:ascii="宋体" w:hAnsi="宋体" w:eastAsia="宋体" w:cs="宋体"/>
                <w:sz w:val="24"/>
                <w:szCs w:val="24"/>
                <w:highlight w:val="none"/>
                <w:lang w:val="zh-TW" w:eastAsia="zh-TW"/>
              </w:rPr>
            </w:pPr>
            <w:r>
              <w:rPr>
                <w:rFonts w:hint="eastAsia" w:ascii="宋体" w:hAnsi="宋体" w:eastAsia="宋体" w:cs="宋体"/>
                <w:sz w:val="24"/>
                <w:szCs w:val="24"/>
                <w:highlight w:val="none"/>
                <w:lang w:val="zh-TW" w:eastAsia="zh-TW"/>
              </w:rPr>
              <w:t>主要包含环境管理、资产管理、介质管理、设备维护管理、漏洞和风险管理、网络和系统安全管理、恶意代码防范管理、配置管理、密码管理、变更管理、备份与恢复管理、安全事件处置、应急预案管理、外包运维管理14个方面的内容。</w:t>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zh-TW" w:eastAsia="zh-TW"/>
              </w:rPr>
              <w:t>系统整体测评涉及到信息系统的整体拓扑、局部结构，也关系到信息系统的具体安全功能实现和安全控制配置，与特定信息系统的实际情况紧密相关，内容复杂且充满系统个性。因此，全面地给出系统整体测评要求的完整内容、具体实施方法和明确的结果判定方法是很困难的。测评人员应根据特定信息系统的具体情况，结合本标准要求，确定系统整体测评的具体内容，在安全控制测评的基础上，重点考虑安全控制间、层面间以及区域间的相互关联关系，测评安全控制间、层面间和区域间是否存在安全功能上的增强、补充和削弱作用以及信息系统整体结构安全性、不同信息系统之间整体安全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535"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69" w:type="dxa"/>
            <w:vMerge w:val="continue"/>
            <w:noWrap w:val="0"/>
            <w:vAlign w:val="center"/>
          </w:tcPr>
          <w:p>
            <w:pPr>
              <w:widowControl/>
              <w:jc w:val="center"/>
              <w:rPr>
                <w:rFonts w:hint="eastAsia" w:ascii="宋体" w:hAnsi="宋体" w:eastAsia="宋体" w:cs="宋体"/>
                <w:b/>
                <w:bCs/>
                <w:color w:val="000000"/>
                <w:kern w:val="0"/>
                <w:sz w:val="24"/>
                <w:szCs w:val="24"/>
                <w:highlight w:val="none"/>
              </w:rPr>
            </w:pPr>
          </w:p>
        </w:tc>
        <w:tc>
          <w:tcPr>
            <w:tcW w:w="7022" w:type="dxa"/>
            <w:noWrap w:val="0"/>
            <w:vAlign w:val="top"/>
          </w:tcPr>
          <w:p>
            <w:pPr>
              <w:rPr>
                <w:rFonts w:hint="eastAsia" w:ascii="宋体" w:hAnsi="宋体" w:eastAsia="宋体" w:cs="宋体"/>
                <w:b/>
                <w:bCs/>
                <w:color w:val="000000"/>
                <w:kern w:val="0"/>
                <w:sz w:val="24"/>
                <w:szCs w:val="24"/>
                <w:highlight w:val="none"/>
              </w:rPr>
            </w:pPr>
            <w:r>
              <w:rPr>
                <w:rFonts w:hint="eastAsia" w:ascii="宋体" w:hAnsi="宋体" w:eastAsia="宋体" w:cs="宋体"/>
                <w:sz w:val="24"/>
                <w:szCs w:val="24"/>
                <w:highlight w:val="none"/>
              </w:rPr>
              <w:t>★交付物：信息系统等级保护测评报告。</w:t>
            </w:r>
          </w:p>
        </w:tc>
      </w:tr>
    </w:tbl>
    <w:p>
      <w:pPr>
        <w:pStyle w:val="36"/>
        <w:spacing w:before="71" w:line="360" w:lineRule="auto"/>
        <w:jc w:val="both"/>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6.工期要求</w:t>
      </w:r>
      <w:bookmarkEnd w:id="151"/>
      <w:r>
        <w:rPr>
          <w:rFonts w:hint="eastAsia" w:ascii="宋体" w:hAnsi="宋体" w:eastAsia="宋体" w:cs="宋体"/>
          <w:b/>
          <w:bCs/>
          <w:spacing w:val="-4"/>
          <w:sz w:val="24"/>
          <w:szCs w:val="24"/>
          <w:highlight w:val="none"/>
          <w:lang w:val="en-US" w:eastAsia="zh-CN"/>
        </w:rPr>
        <w:t>和交付成果</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个</w:t>
      </w:r>
      <w:r>
        <w:rPr>
          <w:rFonts w:hint="eastAsia" w:ascii="宋体" w:hAnsi="宋体" w:cs="宋体"/>
          <w:sz w:val="24"/>
          <w:szCs w:val="24"/>
          <w:highlight w:val="none"/>
          <w:lang w:val="en-US" w:eastAsia="zh-CN"/>
        </w:rPr>
        <w:t>日历天</w:t>
      </w:r>
      <w:r>
        <w:rPr>
          <w:rFonts w:hint="eastAsia" w:ascii="宋体" w:hAnsi="宋体" w:eastAsia="宋体" w:cs="宋体"/>
          <w:sz w:val="24"/>
          <w:szCs w:val="24"/>
          <w:highlight w:val="none"/>
        </w:rPr>
        <w:t>内完成。</w:t>
      </w:r>
    </w:p>
    <w:p>
      <w:pPr>
        <w:keepNext w:val="0"/>
        <w:keepLines w:val="0"/>
        <w:pageBreakBefore w:val="0"/>
        <w:widowControl w:val="0"/>
        <w:kinsoku/>
        <w:wordWrap/>
        <w:overflowPunct/>
        <w:topLinePunct w:val="0"/>
        <w:autoSpaceDE/>
        <w:autoSpaceDN/>
        <w:bidi w:val="0"/>
        <w:snapToGrid/>
        <w:spacing w:line="540" w:lineRule="exact"/>
        <w:ind w:firstLine="600" w:firstLineChars="250"/>
        <w:jc w:val="left"/>
        <w:textAlignment w:val="auto"/>
        <w:rPr>
          <w:rFonts w:hint="eastAsia" w:ascii="宋体" w:hAnsi="宋体" w:eastAsia="宋体" w:cs="宋体"/>
          <w:bCs/>
          <w:sz w:val="24"/>
          <w:szCs w:val="24"/>
          <w:highlight w:val="none"/>
        </w:rPr>
      </w:pPr>
      <w:r>
        <w:rPr>
          <w:rFonts w:hint="eastAsia" w:ascii="宋体" w:hAnsi="宋体" w:eastAsia="宋体" w:cs="宋体"/>
          <w:sz w:val="24"/>
          <w:szCs w:val="24"/>
          <w:highlight w:val="none"/>
        </w:rPr>
        <w:t>成果包含：</w:t>
      </w:r>
      <w:r>
        <w:rPr>
          <w:rFonts w:hint="eastAsia" w:ascii="宋体" w:hAnsi="宋体" w:eastAsia="宋体" w:cs="宋体"/>
          <w:bCs/>
          <w:sz w:val="24"/>
          <w:szCs w:val="24"/>
          <w:highlight w:val="none"/>
        </w:rPr>
        <w:t>《信息系统等级保护测评报告》</w:t>
      </w:r>
    </w:p>
    <w:p>
      <w:pPr>
        <w:pStyle w:val="39"/>
        <w:keepNext w:val="0"/>
        <w:keepLines w:val="0"/>
        <w:pageBreakBefore w:val="0"/>
        <w:widowControl w:val="0"/>
        <w:kinsoku/>
        <w:wordWrap/>
        <w:overflowPunct/>
        <w:topLinePunct w:val="0"/>
        <w:autoSpaceDE/>
        <w:autoSpaceDN/>
        <w:bidi w:val="0"/>
        <w:snapToGrid/>
        <w:spacing w:line="540" w:lineRule="exact"/>
        <w:ind w:firstLine="1860" w:firstLineChars="775"/>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公安网安部门颁发的《信息系统等级备案证明》</w:t>
      </w:r>
    </w:p>
    <w:p>
      <w:pPr>
        <w:pStyle w:val="3"/>
        <w:rPr>
          <w:rFonts w:hint="eastAsia"/>
          <w:highlight w:val="none"/>
          <w:lang w:val="en-US" w:eastAsia="zh-CN"/>
        </w:rPr>
      </w:pPr>
    </w:p>
    <w:p>
      <w:pPr>
        <w:pStyle w:val="2"/>
        <w:keepNext w:val="0"/>
        <w:keepLines w:val="0"/>
        <w:pageBreakBefore w:val="0"/>
        <w:widowControl w:val="0"/>
        <w:kinsoku w:val="0"/>
        <w:wordWrap/>
        <w:overflowPunct w:val="0"/>
        <w:topLinePunct w:val="0"/>
        <w:autoSpaceDE/>
        <w:autoSpaceDN/>
        <w:bidi w:val="0"/>
        <w:adjustRightInd/>
        <w:snapToGrid/>
        <w:spacing w:line="540" w:lineRule="exact"/>
        <w:jc w:val="center"/>
        <w:textAlignment w:val="auto"/>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52" w:name="_Toc2328"/>
      <w:r>
        <w:rPr>
          <w:rFonts w:hint="eastAsia" w:ascii="宋体" w:hAnsi="宋体" w:eastAsia="宋体" w:cs="宋体"/>
          <w:sz w:val="24"/>
          <w:szCs w:val="24"/>
          <w:highlight w:val="none"/>
          <w:lang w:val="en-US" w:eastAsia="zh-CN"/>
        </w:rPr>
        <w:t>D包：网络链路</w:t>
      </w:r>
      <w:bookmarkEnd w:id="152"/>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1.整体需求</w:t>
      </w:r>
    </w:p>
    <w:tbl>
      <w:tblPr>
        <w:tblStyle w:val="28"/>
        <w:tblpPr w:leftFromText="180" w:rightFromText="180" w:vertAnchor="text" w:horzAnchor="page" w:tblpX="1560" w:tblpY="222"/>
        <w:tblOverlap w:val="never"/>
        <w:tblW w:w="9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0"/>
        <w:gridCol w:w="1950"/>
        <w:gridCol w:w="6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专线类型</w:t>
            </w:r>
          </w:p>
        </w:tc>
        <w:tc>
          <w:tcPr>
            <w:tcW w:w="650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highlight w:val="none"/>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数据专线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1条二七区大数据中心数据专线-1000M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1条二七区大数据中心VPN专线-1000M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VPN专线</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59条就近办VPN专线-100M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出口带宽</w:t>
            </w:r>
          </w:p>
        </w:tc>
        <w:tc>
          <w:tcPr>
            <w:tcW w:w="6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1条二七区大数据中心出口带宽-500M</w:t>
            </w:r>
          </w:p>
        </w:tc>
      </w:tr>
    </w:tbl>
    <w:p>
      <w:pPr>
        <w:numPr>
          <w:ilvl w:val="0"/>
          <w:numId w:val="0"/>
        </w:numPr>
        <w:rPr>
          <w:rFonts w:hint="eastAsia" w:ascii="宋体" w:hAnsi="宋体" w:eastAsia="宋体" w:cs="宋体"/>
          <w:sz w:val="24"/>
          <w:szCs w:val="24"/>
          <w:highlight w:val="none"/>
          <w:lang w:val="en-US" w:eastAsia="zh-CN"/>
        </w:rPr>
      </w:pPr>
    </w:p>
    <w:p>
      <w:pPr>
        <w:numPr>
          <w:ilvl w:val="0"/>
          <w:numId w:val="0"/>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2.技术要求</w:t>
      </w:r>
    </w:p>
    <w:tbl>
      <w:tblPr>
        <w:tblStyle w:val="28"/>
        <w:tblpPr w:leftFromText="180" w:rightFromText="180" w:vertAnchor="text" w:horzAnchor="page" w:tblpX="1525" w:tblpY="306"/>
        <w:tblOverlap w:val="never"/>
        <w:tblW w:w="9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1950"/>
        <w:gridCol w:w="5341"/>
        <w:gridCol w:w="11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60" w:type="dxa"/>
            <w:tcBorders>
              <w:top w:val="single" w:color="000000" w:sz="8" w:space="0"/>
              <w:left w:val="single" w:color="000000" w:sz="8" w:space="0"/>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950"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类型</w:t>
            </w:r>
          </w:p>
        </w:tc>
        <w:tc>
          <w:tcPr>
            <w:tcW w:w="5341"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描述</w:t>
            </w:r>
          </w:p>
        </w:tc>
        <w:tc>
          <w:tcPr>
            <w:tcW w:w="1139" w:type="dxa"/>
            <w:tcBorders>
              <w:top w:val="single" w:color="000000" w:sz="8" w:space="0"/>
              <w:left w:val="nil"/>
              <w:bottom w:val="single" w:color="000000" w:sz="8" w:space="0"/>
              <w:right w:val="single" w:color="000000" w:sz="8" w:space="0"/>
            </w:tcBorders>
            <w:shd w:val="clear" w:color="auto" w:fill="D7D7D7" w:themeFill="background1" w:themeFillShade="D8"/>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网络运营资源要求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供应商本地</w:t>
            </w:r>
            <w:r>
              <w:rPr>
                <w:rStyle w:val="40"/>
                <w:rFonts w:hint="eastAsia" w:ascii="宋体" w:hAnsi="宋体" w:eastAsia="宋体" w:cs="宋体"/>
                <w:sz w:val="24"/>
                <w:szCs w:val="24"/>
                <w:highlight w:val="none"/>
                <w:lang w:val="en-US" w:eastAsia="zh-CN" w:bidi="ar"/>
              </w:rPr>
              <w:t xml:space="preserve">IP </w:t>
            </w:r>
            <w:r>
              <w:rPr>
                <w:rStyle w:val="41"/>
                <w:rFonts w:hint="eastAsia" w:ascii="宋体" w:hAnsi="宋体" w:eastAsia="宋体" w:cs="宋体"/>
                <w:sz w:val="24"/>
                <w:szCs w:val="24"/>
                <w:highlight w:val="none"/>
                <w:lang w:val="en-US" w:eastAsia="zh-CN" w:bidi="ar"/>
              </w:rPr>
              <w:t>城域网网络总出口带宽达到2000</w:t>
            </w:r>
            <w:r>
              <w:rPr>
                <w:rStyle w:val="40"/>
                <w:rFonts w:hint="eastAsia" w:ascii="宋体" w:hAnsi="宋体" w:eastAsia="宋体" w:cs="宋体"/>
                <w:sz w:val="24"/>
                <w:szCs w:val="24"/>
                <w:highlight w:val="none"/>
                <w:lang w:val="en-US" w:eastAsia="zh-CN" w:bidi="ar"/>
              </w:rPr>
              <w:t>G</w:t>
            </w:r>
            <w:r>
              <w:rPr>
                <w:rStyle w:val="41"/>
                <w:rFonts w:hint="eastAsia" w:ascii="宋体" w:hAnsi="宋体" w:eastAsia="宋体" w:cs="宋体"/>
                <w:sz w:val="24"/>
                <w:szCs w:val="24"/>
                <w:highlight w:val="none"/>
                <w:lang w:val="en-US" w:eastAsia="zh-CN" w:bidi="ar"/>
              </w:rPr>
              <w:t>以上；</w:t>
            </w:r>
          </w:p>
        </w:tc>
        <w:tc>
          <w:tcPr>
            <w:tcW w:w="1139"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500M</w:t>
            </w:r>
            <w:r>
              <w:rPr>
                <w:rStyle w:val="41"/>
                <w:rFonts w:hint="eastAsia" w:ascii="宋体" w:hAnsi="宋体" w:eastAsia="宋体" w:cs="宋体"/>
                <w:sz w:val="24"/>
                <w:szCs w:val="24"/>
                <w:highlight w:val="none"/>
                <w:lang w:val="en-US" w:eastAsia="zh-CN" w:bidi="ar"/>
              </w:rPr>
              <w:t>网络出口带宽、1000M数据专线、1000M VPN专线及59条100M VPN专线</w:t>
            </w:r>
            <w:r>
              <w:rPr>
                <w:rStyle w:val="40"/>
                <w:rFonts w:hint="eastAsia" w:ascii="宋体" w:hAnsi="宋体" w:eastAsia="宋体" w:cs="宋体"/>
                <w:sz w:val="24"/>
                <w:szCs w:val="24"/>
                <w:highlight w:val="none"/>
                <w:lang w:val="en-US" w:eastAsia="zh-CN" w:bidi="ar"/>
              </w:rPr>
              <w:t>3</w:t>
            </w:r>
            <w:r>
              <w:rPr>
                <w:rStyle w:val="41"/>
                <w:rFonts w:hint="eastAsia" w:ascii="宋体" w:hAnsi="宋体" w:eastAsia="宋体" w:cs="宋体"/>
                <w:sz w:val="24"/>
                <w:szCs w:val="24"/>
                <w:highlight w:val="none"/>
                <w:lang w:val="en-US" w:eastAsia="zh-CN" w:bidi="ar"/>
              </w:rPr>
              <w:t>年使用服务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本地城域网出口带宽峰值利用率低于</w:t>
            </w:r>
            <w:r>
              <w:rPr>
                <w:rStyle w:val="40"/>
                <w:rFonts w:hint="eastAsia" w:ascii="宋体" w:hAnsi="宋体" w:eastAsia="宋体" w:cs="宋体"/>
                <w:sz w:val="24"/>
                <w:szCs w:val="24"/>
                <w:highlight w:val="none"/>
                <w:lang w:val="en-US" w:eastAsia="zh-CN" w:bidi="ar"/>
              </w:rPr>
              <w:t>60%</w:t>
            </w:r>
            <w:r>
              <w:rPr>
                <w:rStyle w:val="41"/>
                <w:rFonts w:hint="eastAsia" w:ascii="宋体" w:hAnsi="宋体" w:eastAsia="宋体" w:cs="宋体"/>
                <w:sz w:val="24"/>
                <w:szCs w:val="24"/>
                <w:highlight w:val="none"/>
                <w:lang w:val="en-US" w:eastAsia="zh-CN" w:bidi="ar"/>
              </w:rPr>
              <w:t>，有充足的带宽保障；</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接入点相邻骨干互联网络，衰耗小、时延小、速度快；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运营商在本地拥有至少两个以上IDC数据基地</w:t>
            </w:r>
            <w:r>
              <w:rPr>
                <w:rStyle w:val="41"/>
                <w:rFonts w:hint="eastAsia" w:ascii="宋体" w:hAnsi="宋体" w:eastAsia="宋体" w:cs="宋体"/>
                <w:sz w:val="24"/>
                <w:szCs w:val="24"/>
                <w:highlight w:val="none"/>
                <w:lang w:val="en-US" w:eastAsia="zh-CN" w:bidi="ar"/>
              </w:rPr>
              <w:t>，为各大门户网站、应用站点提供运行服务，通过供应商网络访问这些门户网站、应用站点速度更快。</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60" w:type="dxa"/>
            <w:vMerge w:val="restart"/>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950" w:type="dxa"/>
            <w:vMerge w:val="restar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专线技术指标要求</w:t>
            </w: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提供从运营商直接至二七区大数据中心独立以太网互联网光纤接入，提供500M宽带以太网接口、提供1000M数据专线。网速带宽，上下行速率一致，速率稳定；</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提供公网</w:t>
            </w:r>
            <w:r>
              <w:rPr>
                <w:rStyle w:val="42"/>
                <w:rFonts w:hint="eastAsia" w:ascii="宋体" w:hAnsi="宋体" w:eastAsia="宋体" w:cs="宋体"/>
                <w:sz w:val="24"/>
                <w:szCs w:val="24"/>
                <w:highlight w:val="none"/>
                <w:lang w:val="en-US" w:eastAsia="zh-CN" w:bidi="ar"/>
              </w:rPr>
              <w:t>IP</w:t>
            </w:r>
            <w:r>
              <w:rPr>
                <w:rStyle w:val="43"/>
                <w:rFonts w:hint="eastAsia" w:ascii="宋体" w:hAnsi="宋体" w:eastAsia="宋体" w:cs="宋体"/>
                <w:sz w:val="24"/>
                <w:szCs w:val="24"/>
                <w:highlight w:val="none"/>
                <w:lang w:val="en-US" w:eastAsia="zh-CN" w:bidi="ar"/>
              </w:rPr>
              <w:t>地址不少于</w:t>
            </w:r>
            <w:r>
              <w:rPr>
                <w:rStyle w:val="44"/>
                <w:rFonts w:hint="eastAsia" w:ascii="宋体" w:hAnsi="宋体" w:eastAsia="宋体" w:cs="宋体"/>
                <w:sz w:val="24"/>
                <w:szCs w:val="24"/>
                <w:highlight w:val="none"/>
                <w:lang w:val="en-US" w:eastAsia="zh-CN" w:bidi="ar"/>
              </w:rPr>
              <w:t xml:space="preserve"> 32</w:t>
            </w:r>
            <w:r>
              <w:rPr>
                <w:rStyle w:val="43"/>
                <w:rFonts w:hint="eastAsia" w:ascii="宋体" w:hAnsi="宋体" w:eastAsia="宋体" w:cs="宋体"/>
                <w:sz w:val="24"/>
                <w:szCs w:val="24"/>
                <w:highlight w:val="none"/>
                <w:lang w:val="en-US" w:eastAsia="zh-CN" w:bidi="ar"/>
              </w:rPr>
              <w:t>个；</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本地供应商宽带城域网端局级汇聚接入点数量</w:t>
            </w:r>
            <w:r>
              <w:rPr>
                <w:rStyle w:val="40"/>
                <w:rFonts w:hint="eastAsia" w:ascii="宋体" w:hAnsi="宋体" w:eastAsia="宋体" w:cs="宋体"/>
                <w:sz w:val="24"/>
                <w:szCs w:val="24"/>
                <w:highlight w:val="none"/>
                <w:lang w:val="en-US" w:eastAsia="zh-CN" w:bidi="ar"/>
              </w:rPr>
              <w:t>20</w:t>
            </w:r>
            <w:r>
              <w:rPr>
                <w:rStyle w:val="41"/>
                <w:rFonts w:hint="eastAsia" w:ascii="宋体" w:hAnsi="宋体" w:eastAsia="宋体" w:cs="宋体"/>
                <w:sz w:val="24"/>
                <w:szCs w:val="24"/>
                <w:highlight w:val="none"/>
                <w:lang w:val="en-US" w:eastAsia="zh-CN" w:bidi="ar"/>
              </w:rPr>
              <w:t>个以上</w:t>
            </w:r>
            <w:r>
              <w:rPr>
                <w:rStyle w:val="45"/>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nil"/>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任意两个互联网骨干网节点的时延值≤</w:t>
            </w:r>
            <w:r>
              <w:rPr>
                <w:rStyle w:val="40"/>
                <w:rFonts w:hint="eastAsia" w:ascii="宋体" w:hAnsi="宋体" w:eastAsia="宋体" w:cs="宋体"/>
                <w:sz w:val="24"/>
                <w:szCs w:val="24"/>
                <w:highlight w:val="none"/>
                <w:lang w:val="en-US" w:eastAsia="zh-CN" w:bidi="ar"/>
              </w:rPr>
              <w:t>100ms</w:t>
            </w:r>
            <w:r>
              <w:rPr>
                <w:rStyle w:val="41"/>
                <w:rFonts w:hint="eastAsia" w:ascii="宋体" w:hAnsi="宋体" w:eastAsia="宋体" w:cs="宋体"/>
                <w:sz w:val="24"/>
                <w:szCs w:val="24"/>
                <w:highlight w:val="none"/>
                <w:lang w:val="en-US" w:eastAsia="zh-CN" w:bidi="ar"/>
              </w:rPr>
              <w:t>，省网出口节点到相邻骨干网节点的时延值≤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w:t>
            </w:r>
            <w:r>
              <w:rPr>
                <w:rStyle w:val="40"/>
                <w:rFonts w:hint="eastAsia" w:ascii="宋体" w:hAnsi="宋体" w:eastAsia="宋体" w:cs="宋体"/>
                <w:sz w:val="24"/>
                <w:szCs w:val="24"/>
                <w:highlight w:val="none"/>
                <w:lang w:val="en-US" w:eastAsia="zh-CN" w:bidi="ar"/>
              </w:rPr>
              <w:t>IP</w:t>
            </w:r>
            <w:r>
              <w:rPr>
                <w:rStyle w:val="41"/>
                <w:rFonts w:hint="eastAsia" w:ascii="宋体" w:hAnsi="宋体" w:eastAsia="宋体" w:cs="宋体"/>
                <w:sz w:val="24"/>
                <w:szCs w:val="24"/>
                <w:highlight w:val="none"/>
                <w:lang w:val="en-US" w:eastAsia="zh-CN" w:bidi="ar"/>
              </w:rPr>
              <w:t>网省内接入路由器到汇聚路由器时延值≤</w:t>
            </w:r>
            <w:r>
              <w:rPr>
                <w:rStyle w:val="40"/>
                <w:rFonts w:hint="eastAsia" w:ascii="宋体" w:hAnsi="宋体" w:eastAsia="宋体" w:cs="宋体"/>
                <w:sz w:val="24"/>
                <w:szCs w:val="24"/>
                <w:highlight w:val="none"/>
                <w:lang w:val="en-US" w:eastAsia="zh-CN" w:bidi="ar"/>
              </w:rPr>
              <w:t>20ms</w:t>
            </w:r>
            <w:r>
              <w:rPr>
                <w:rStyle w:val="41"/>
                <w:rFonts w:hint="eastAsia" w:ascii="宋体" w:hAnsi="宋体" w:eastAsia="宋体" w:cs="宋体"/>
                <w:sz w:val="24"/>
                <w:szCs w:val="24"/>
                <w:highlight w:val="none"/>
                <w:lang w:val="en-US" w:eastAsia="zh-CN" w:bidi="ar"/>
              </w:rPr>
              <w:t>，互联网专线用户接入到最近的接入点网关平均时延≤</w:t>
            </w:r>
            <w:r>
              <w:rPr>
                <w:rStyle w:val="40"/>
                <w:rFonts w:hint="eastAsia" w:ascii="宋体" w:hAnsi="宋体" w:eastAsia="宋体" w:cs="宋体"/>
                <w:sz w:val="24"/>
                <w:szCs w:val="24"/>
                <w:highlight w:val="none"/>
                <w:lang w:val="en-US" w:eastAsia="zh-CN" w:bidi="ar"/>
              </w:rPr>
              <w:t>10ms</w:t>
            </w:r>
            <w:r>
              <w:rPr>
                <w:rStyle w:val="41"/>
                <w:rFonts w:hint="eastAsia" w:ascii="宋体" w:hAnsi="宋体" w:eastAsia="宋体" w:cs="宋体"/>
                <w:sz w:val="24"/>
                <w:szCs w:val="24"/>
                <w:highlight w:val="none"/>
                <w:lang w:val="en-US" w:eastAsia="zh-CN" w:bidi="ar"/>
              </w:rPr>
              <w:t>；</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0" w:hRule="atLeast"/>
        </w:trPr>
        <w:tc>
          <w:tcPr>
            <w:tcW w:w="660" w:type="dxa"/>
            <w:vMerge w:val="continue"/>
            <w:tcBorders>
              <w:top w:val="nil"/>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c>
          <w:tcPr>
            <w:tcW w:w="1950" w:type="dxa"/>
            <w:vMerge w:val="continue"/>
            <w:tcBorders>
              <w:top w:val="nil"/>
              <w:left w:val="nil"/>
              <w:bottom w:val="single" w:color="000000" w:sz="8" w:space="0"/>
              <w:right w:val="single" w:color="000000" w:sz="8" w:space="0"/>
            </w:tcBorders>
            <w:shd w:val="clear" w:color="auto" w:fill="auto"/>
            <w:vAlign w:val="center"/>
          </w:tcPr>
          <w:p>
            <w:pPr>
              <w:jc w:val="both"/>
              <w:rPr>
                <w:rFonts w:hint="eastAsia" w:ascii="宋体" w:hAnsi="宋体" w:eastAsia="宋体" w:cs="宋体"/>
                <w:i w:val="0"/>
                <w:iCs w:val="0"/>
                <w:color w:val="000000"/>
                <w:sz w:val="24"/>
                <w:szCs w:val="24"/>
                <w:highlight w:val="none"/>
                <w:u w:val="none"/>
              </w:rPr>
            </w:pP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任意两个互联网骨干网节点之间的丢包率≤2%，省网出口节点到相临骨干网节点之间的丢包率≤1%，省内城域网节点到省网出口节点之间的丢包率以及省内城域网节点之间的丢包率≤1%，互联网专线用户接入最近的接入点网络丢包率≤0.5%；互联网接入业务时延抖动≤20ms，业务接入点靠近核心层，网络接入跳数少，时延低；用户接入使用业务接入层专用接口，独享接入带宽，使用高质量单模光纤传输保证传输。</w:t>
            </w:r>
          </w:p>
          <w:p>
            <w:pPr>
              <w:pStyle w:val="2"/>
              <w:rPr>
                <w:rFonts w:hint="eastAsia" w:ascii="宋体" w:hAnsi="宋体" w:eastAsia="宋体" w:cs="宋体"/>
                <w:sz w:val="24"/>
                <w:szCs w:val="24"/>
                <w:highlight w:val="none"/>
                <w:lang w:val="en-US" w:eastAsia="zh-CN"/>
              </w:rPr>
            </w:pPr>
          </w:p>
          <w:p>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VPN组网要求：采用PTN网络承载大数据中心的业务数据传输需要。具有多业务承载的能力，无线回传(Backhaul)的TDM/ATM以及以太网业务、企事业单位和家庭用户的以太网业务；严格QoS，能够保证TDM/ATM和高等级数据业务低时延、低抖动和高带宽需求，而宽带数据业务峰值流量大且突发性强，要求PTN同时具备流分类、带宽管理、优先级调度和拥塞控制等QoS能力。</w:t>
            </w:r>
          </w:p>
          <w:p>
            <w:pPr>
              <w:pStyle w:val="19"/>
              <w:rPr>
                <w:rFonts w:hint="eastAsia" w:ascii="宋体" w:hAnsi="宋体" w:eastAsia="宋体" w:cs="宋体"/>
                <w:sz w:val="24"/>
                <w:szCs w:val="24"/>
                <w:highlight w:val="none"/>
                <w:lang w:val="en-US" w:eastAsia="zh-CN"/>
              </w:rPr>
            </w:pP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5" w:hRule="atLeast"/>
        </w:trPr>
        <w:tc>
          <w:tcPr>
            <w:tcW w:w="66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9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运维服务要求</w:t>
            </w:r>
          </w:p>
        </w:tc>
        <w:tc>
          <w:tcPr>
            <w:tcW w:w="5341"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设有售后服务、应急保障驻点，承诺系统出现故障后</w:t>
            </w:r>
            <w:r>
              <w:rPr>
                <w:rStyle w:val="40"/>
                <w:rFonts w:hint="eastAsia" w:ascii="宋体" w:hAnsi="宋体" w:eastAsia="宋体" w:cs="宋体"/>
                <w:sz w:val="24"/>
                <w:szCs w:val="24"/>
                <w:highlight w:val="none"/>
                <w:lang w:val="en-US" w:eastAsia="zh-CN" w:bidi="ar"/>
              </w:rPr>
              <w:t>30</w:t>
            </w:r>
            <w:r>
              <w:rPr>
                <w:rStyle w:val="41"/>
                <w:rFonts w:hint="eastAsia" w:ascii="宋体" w:hAnsi="宋体" w:eastAsia="宋体" w:cs="宋体"/>
                <w:sz w:val="24"/>
                <w:szCs w:val="24"/>
                <w:highlight w:val="none"/>
                <w:lang w:val="en-US" w:eastAsia="zh-CN" w:bidi="ar"/>
              </w:rPr>
              <w:t>分钟内响应，</w:t>
            </w:r>
            <w:r>
              <w:rPr>
                <w:rStyle w:val="40"/>
                <w:rFonts w:hint="eastAsia" w:ascii="宋体" w:hAnsi="宋体" w:eastAsia="宋体" w:cs="宋体"/>
                <w:sz w:val="24"/>
                <w:szCs w:val="24"/>
                <w:highlight w:val="none"/>
                <w:lang w:val="en-US" w:eastAsia="zh-CN" w:bidi="ar"/>
              </w:rPr>
              <w:t>1</w:t>
            </w:r>
            <w:r>
              <w:rPr>
                <w:rStyle w:val="41"/>
                <w:rFonts w:hint="eastAsia" w:ascii="宋体" w:hAnsi="宋体" w:eastAsia="宋体" w:cs="宋体"/>
                <w:sz w:val="24"/>
                <w:szCs w:val="24"/>
                <w:highlight w:val="none"/>
                <w:lang w:val="en-US" w:eastAsia="zh-CN" w:bidi="ar"/>
              </w:rPr>
              <w:t>小时内到达现场，</w:t>
            </w:r>
            <w:r>
              <w:rPr>
                <w:rStyle w:val="40"/>
                <w:rFonts w:hint="eastAsia" w:ascii="宋体" w:hAnsi="宋体" w:eastAsia="宋体" w:cs="宋体"/>
                <w:sz w:val="24"/>
                <w:szCs w:val="24"/>
                <w:highlight w:val="none"/>
                <w:lang w:val="en-US" w:eastAsia="zh-CN" w:bidi="ar"/>
              </w:rPr>
              <w:t>2</w:t>
            </w:r>
            <w:r>
              <w:rPr>
                <w:rStyle w:val="41"/>
                <w:rFonts w:hint="eastAsia" w:ascii="宋体" w:hAnsi="宋体" w:eastAsia="宋体" w:cs="宋体"/>
                <w:sz w:val="24"/>
                <w:szCs w:val="24"/>
                <w:highlight w:val="none"/>
                <w:lang w:val="en-US" w:eastAsia="zh-CN" w:bidi="ar"/>
              </w:rPr>
              <w:t>小时内解决问题；提供</w:t>
            </w:r>
            <w:r>
              <w:rPr>
                <w:rStyle w:val="40"/>
                <w:rFonts w:hint="eastAsia" w:ascii="宋体" w:hAnsi="宋体" w:eastAsia="宋体" w:cs="宋体"/>
                <w:sz w:val="24"/>
                <w:szCs w:val="24"/>
                <w:highlight w:val="none"/>
                <w:lang w:val="en-US" w:eastAsia="zh-CN" w:bidi="ar"/>
              </w:rPr>
              <w:t>7*24</w:t>
            </w:r>
            <w:r>
              <w:rPr>
                <w:rStyle w:val="41"/>
                <w:rFonts w:hint="eastAsia" w:ascii="宋体" w:hAnsi="宋体" w:eastAsia="宋体" w:cs="宋体"/>
                <w:sz w:val="24"/>
                <w:szCs w:val="24"/>
                <w:highlight w:val="none"/>
                <w:lang w:val="en-US" w:eastAsia="zh-CN" w:bidi="ar"/>
              </w:rPr>
              <w:t>小时电路监控及故障、业务受理；应急维护服务压力测试，带宽测试确保稳定性；定期检查网络的运行情况，并能根据用户系统变化情况及时调整优化；在客户要求工期内完成线路调测开通等工作；免费培训基本操作知识，定期回访。</w:t>
            </w:r>
          </w:p>
        </w:tc>
        <w:tc>
          <w:tcPr>
            <w:tcW w:w="1139" w:type="dxa"/>
            <w:vMerge w:val="continue"/>
            <w:tcBorders>
              <w:top w:val="nil"/>
              <w:left w:val="nil"/>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bl>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pPr>
        <w:rPr>
          <w:rFonts w:hint="eastAsia" w:ascii="宋体" w:hAnsi="宋体" w:eastAsia="宋体" w:cs="宋体"/>
          <w:b/>
          <w:sz w:val="32"/>
          <w:szCs w:val="32"/>
          <w:highlight w:val="none"/>
        </w:rPr>
      </w:pP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53" w:name="_Toc27267"/>
      <w:r>
        <w:rPr>
          <w:rFonts w:hint="eastAsia" w:ascii="Times New Roman" w:hAnsi="Times New Roman" w:eastAsia="宋体" w:cs="Times New Roman"/>
          <w:highlight w:val="none"/>
        </w:rPr>
        <w:t>第四章 评标方法和标准</w:t>
      </w:r>
      <w:bookmarkEnd w:id="153"/>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评标委员会将按照本项目招标文件及相关法律法规的规定进行评标工作， 采购人负责评标的组织工作。</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4" w:name="_Toc11410"/>
      <w:r>
        <w:rPr>
          <w:rFonts w:hint="eastAsia" w:ascii="宋体" w:hAnsi="宋体" w:eastAsia="宋体" w:cs="宋体"/>
          <w:sz w:val="24"/>
          <w:szCs w:val="24"/>
          <w:highlight w:val="none"/>
          <w:lang w:val="en-US" w:eastAsia="zh-CN"/>
        </w:rPr>
        <w:t>一、评标依据</w:t>
      </w:r>
      <w:bookmarkEnd w:id="154"/>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1、《中华人民共和国政府采购法》；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2、《中华人民共和国政府采购法实施条例》；</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3、《政府采购货物和服务招标投标管理办法》（财政部第 87 号令）；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4、《财政部关于加强政府采购货物和服务项目价格评审管理的通知》；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5、《政府采购评审专家管理办法》；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6、法律法规的相关规定；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7、本项目招标文件。</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5" w:name="_Toc25568"/>
      <w:r>
        <w:rPr>
          <w:rFonts w:hint="eastAsia" w:ascii="宋体" w:hAnsi="宋体" w:eastAsia="宋体" w:cs="宋体"/>
          <w:sz w:val="24"/>
          <w:szCs w:val="24"/>
          <w:highlight w:val="none"/>
          <w:lang w:val="en-US" w:eastAsia="zh-CN"/>
        </w:rPr>
        <w:t>二、评标原则</w:t>
      </w:r>
      <w:bookmarkEnd w:id="155"/>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1、评标委员会应当按照客观、公正、审慎的原则，根据采购文件规定的评审程序、评审方法和评审标准独立进行评审；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2、评标委员会由采购人代表和评审专家组成，成员人数为五人以上单数。其中，评审专家不得少于成员总数的三分之二。采购数额在 1000 万元以上、技术复杂的项目，评标委员会成员人数应当为 7 人以上单数。评审专家在政府采购专家库中随机抽取后并依法组建评标委员会，有关人员对所聘任的评标委员会成员名单必须严格保密，与投标有利害关系的人员不得进入评标委员会；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3、参加评标的人员应严格遵守国家有关保密的法律、法规和规定，并接受有关部门的监督；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4、根据法律法规规定，参加评标的有关人员应对整个评标、定标过程保密， 不得泄露；</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5、评标委员会成员应按规定的程序评标；</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6、评标委员会将对确定为实质上响应招标文件要求的投标文件进行比较评审。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7、投标人对评委施加影响的任何行为，都将被取消中标资格。</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6" w:name="_Toc29747"/>
      <w:r>
        <w:rPr>
          <w:rFonts w:hint="eastAsia" w:ascii="宋体" w:hAnsi="宋体" w:eastAsia="宋体" w:cs="宋体"/>
          <w:sz w:val="24"/>
          <w:szCs w:val="24"/>
          <w:highlight w:val="none"/>
          <w:lang w:val="en-US" w:eastAsia="zh-CN"/>
        </w:rPr>
        <w:t>三、评标准备工作</w:t>
      </w:r>
      <w:bookmarkEnd w:id="156"/>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评标准备工作由采购人负责。</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1、核对评审专家身份和采购人代表授权函；</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2、宣布评标纪律，集中保管通讯工具；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3、公布投标人名单，告知评审专家应当回避的情形；</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4、组织评标委员会推选评标组长；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7" w:name="_Toc21620"/>
      <w:r>
        <w:rPr>
          <w:rFonts w:hint="eastAsia" w:ascii="宋体" w:hAnsi="宋体" w:eastAsia="宋体" w:cs="宋体"/>
          <w:sz w:val="24"/>
          <w:szCs w:val="24"/>
          <w:highlight w:val="none"/>
          <w:lang w:val="en-US" w:eastAsia="zh-CN"/>
        </w:rPr>
        <w:t>四、评标程序如下</w:t>
      </w:r>
      <w:bookmarkEnd w:id="157"/>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1、资格审查工作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开标结束后，首先按照《政府采购货物和服务招标投标管理办法》（财政部第 87 号令）第四十四条的规定由采购人或采购代理机构对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的资格进行审查。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采购人或采购代理机构依据法律、法规和招标文件中规定的内容，对</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进行资格审查，未通过资格审查的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不得进入评标。通过资格审查的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不足三家的，不得评标。采购人将通过资格审查的投标文件交评标委员会进行下一步的评审。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2、符合性审查工作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符合性审查是指评标委员会依据招标文件的规定，从商务和技术角度对投标文件的有效性和完整性进行审查，以确定是否对招标文件的实质性要求做出响应，填写“符合性审查表”。</w:t>
      </w:r>
    </w:p>
    <w:p>
      <w:pPr>
        <w:rPr>
          <w:rFonts w:hint="eastAsia"/>
          <w:b/>
          <w:bCs/>
          <w:sz w:val="32"/>
          <w:szCs w:val="32"/>
          <w:highlight w:val="none"/>
          <w:lang w:val="en-US" w:eastAsia="zh-CN"/>
        </w:rPr>
      </w:pPr>
      <w:r>
        <w:rPr>
          <w:rFonts w:hint="eastAsia"/>
          <w:b/>
          <w:bCs/>
          <w:sz w:val="32"/>
          <w:szCs w:val="32"/>
          <w:highlight w:val="none"/>
          <w:lang w:val="en-US" w:eastAsia="zh-CN"/>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58" w:name="_Toc9265"/>
      <w:r>
        <w:rPr>
          <w:rFonts w:hint="eastAsia" w:ascii="宋体" w:hAnsi="宋体" w:eastAsia="宋体" w:cs="宋体"/>
          <w:sz w:val="24"/>
          <w:szCs w:val="24"/>
          <w:highlight w:val="none"/>
          <w:lang w:val="en-US" w:eastAsia="zh-CN"/>
        </w:rPr>
        <w:t>符合性审查表</w:t>
      </w:r>
      <w:bookmarkEnd w:id="158"/>
    </w:p>
    <w:tbl>
      <w:tblPr>
        <w:tblStyle w:val="28"/>
        <w:tblW w:w="4984" w:type="pct"/>
        <w:tblInd w:w="0" w:type="dxa"/>
        <w:tblLayout w:type="autofit"/>
        <w:tblCellMar>
          <w:top w:w="0" w:type="dxa"/>
          <w:left w:w="108" w:type="dxa"/>
          <w:bottom w:w="0" w:type="dxa"/>
          <w:right w:w="108" w:type="dxa"/>
        </w:tblCellMar>
      </w:tblPr>
      <w:tblGrid>
        <w:gridCol w:w="1176"/>
        <w:gridCol w:w="2377"/>
        <w:gridCol w:w="4942"/>
      </w:tblGrid>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序号</w:t>
            </w:r>
          </w:p>
        </w:tc>
        <w:tc>
          <w:tcPr>
            <w:tcW w:w="139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本项目要求</w:t>
            </w:r>
          </w:p>
        </w:tc>
        <w:tc>
          <w:tcPr>
            <w:tcW w:w="290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评审标准</w:t>
            </w:r>
          </w:p>
        </w:tc>
      </w:tr>
      <w:tr>
        <w:tblPrEx>
          <w:tblCellMar>
            <w:top w:w="0" w:type="dxa"/>
            <w:left w:w="108" w:type="dxa"/>
            <w:bottom w:w="0" w:type="dxa"/>
            <w:right w:w="108" w:type="dxa"/>
          </w:tblCellMar>
        </w:tblPrEx>
        <w:trPr>
          <w:trHeight w:val="449"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1</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标书雷同性分析</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投标（响应）文件制作机器码不能一致</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2</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投标人名称</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与营业执照一致</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3</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投标报价</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报价未超过招标文件规定的预算金额或最高限价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4</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投标内容</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投标人对所投分包招标文件中所列的所有内容进行投标。</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5</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投标有效期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blPrEx>
          <w:tblCellMar>
            <w:top w:w="0" w:type="dxa"/>
            <w:left w:w="108" w:type="dxa"/>
            <w:bottom w:w="0" w:type="dxa"/>
            <w:right w:w="108" w:type="dxa"/>
          </w:tblCellMar>
        </w:tblPrEx>
        <w:trPr>
          <w:trHeight w:val="591"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6</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投标文件签字盖章</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按照招标文件格式要求有法定代表人或其委托代理人签字或盖章、加盖单位公章</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7</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报价唯一</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szCs w:val="20"/>
                <w:highlight w:val="none"/>
              </w:rPr>
              <w:t>只能有一个有效报价</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highlight w:val="none"/>
              </w:rPr>
            </w:pPr>
            <w:r>
              <w:rPr>
                <w:rFonts w:ascii="宋体" w:hAnsi="宋体"/>
                <w:sz w:val="24"/>
                <w:highlight w:val="none"/>
              </w:rPr>
              <w:t>8</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价格修正</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接受价格的算术修正</w:t>
            </w:r>
          </w:p>
        </w:tc>
      </w:tr>
      <w:tr>
        <w:tblPrEx>
          <w:tblCellMar>
            <w:top w:w="0" w:type="dxa"/>
            <w:left w:w="108" w:type="dxa"/>
            <w:bottom w:w="0" w:type="dxa"/>
            <w:right w:w="108" w:type="dxa"/>
          </w:tblCellMar>
        </w:tblPrEx>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hint="eastAsia" w:ascii="宋体" w:hAnsi="宋体"/>
                <w:sz w:val="24"/>
                <w:highlight w:val="none"/>
                <w:lang w:val="en-US" w:eastAsia="zh-CN"/>
              </w:rPr>
              <w:t>9</w:t>
            </w:r>
          </w:p>
        </w:tc>
        <w:tc>
          <w:tcPr>
            <w:tcW w:w="1399" w:type="pct"/>
            <w:tcBorders>
              <w:top w:val="single" w:color="auto" w:sz="4" w:space="0"/>
              <w:bottom w:val="single" w:color="auto" w:sz="4" w:space="0"/>
              <w:right w:val="single" w:color="auto" w:sz="4" w:space="0"/>
            </w:tcBorders>
            <w:vAlign w:val="center"/>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计划工期</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符合招标文件要求</w:t>
            </w:r>
          </w:p>
        </w:tc>
      </w:tr>
      <w:tr>
        <w:trPr>
          <w:trHeight w:val="530" w:hRule="atLeast"/>
        </w:trPr>
        <w:tc>
          <w:tcPr>
            <w:tcW w:w="69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sz w:val="24"/>
                <w:highlight w:val="none"/>
                <w:lang w:eastAsia="zh-CN"/>
              </w:rPr>
            </w:pPr>
            <w:r>
              <w:rPr>
                <w:rFonts w:ascii="宋体" w:hAnsi="宋体"/>
                <w:sz w:val="24"/>
                <w:highlight w:val="none"/>
              </w:rPr>
              <w:t>1</w:t>
            </w:r>
            <w:r>
              <w:rPr>
                <w:rFonts w:hint="eastAsia" w:ascii="宋体" w:hAnsi="宋体"/>
                <w:sz w:val="24"/>
                <w:highlight w:val="none"/>
                <w:lang w:val="en-US" w:eastAsia="zh-CN"/>
              </w:rPr>
              <w:t>0</w:t>
            </w:r>
          </w:p>
        </w:tc>
        <w:tc>
          <w:tcPr>
            <w:tcW w:w="1399"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其他</w:t>
            </w:r>
          </w:p>
        </w:tc>
        <w:tc>
          <w:tcPr>
            <w:tcW w:w="2908" w:type="pct"/>
            <w:tcBorders>
              <w:top w:val="single" w:color="auto" w:sz="4" w:space="0"/>
              <w:bottom w:val="single" w:color="auto" w:sz="4" w:space="0"/>
              <w:right w:val="single" w:color="auto" w:sz="4" w:space="0"/>
            </w:tcBorders>
            <w:vAlign w:val="center"/>
          </w:tcPr>
          <w:p>
            <w:pPr>
              <w:jc w:val="center"/>
              <w:rPr>
                <w:rFonts w:ascii="宋体" w:hAnsi="宋体"/>
                <w:sz w:val="24"/>
                <w:highlight w:val="none"/>
              </w:rPr>
            </w:pPr>
            <w:r>
              <w:rPr>
                <w:rFonts w:hint="eastAsia" w:ascii="宋体" w:hAnsi="宋体"/>
                <w:sz w:val="24"/>
                <w:highlight w:val="none"/>
              </w:rPr>
              <w:t>无采购人不能接受的附加条件</w:t>
            </w:r>
          </w:p>
        </w:tc>
      </w:tr>
    </w:tbl>
    <w:p>
      <w:pPr>
        <w:rPr>
          <w:rFonts w:hint="eastAsia"/>
          <w:highlight w:val="none"/>
          <w:lang w:val="en-US" w:eastAsia="zh-CN"/>
        </w:rPr>
      </w:pP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3、要求</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对投标文件有关事项作出澄清或者说明（如有）。评标委员会认为</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的报价明显低于其他通过符合性审查</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的报价，有可能影响产品质量或者不能诚信履约的，应当要求其通过</w:t>
      </w:r>
      <w:r>
        <w:rPr>
          <w:rFonts w:hint="eastAsia" w:ascii="宋体" w:hAnsi="宋体" w:eastAsia="宋体" w:cs="宋体"/>
          <w:sz w:val="24"/>
          <w:szCs w:val="24"/>
          <w:highlight w:val="none"/>
          <w:lang w:val="en-US" w:eastAsia="zh-CN"/>
        </w:rPr>
        <w:t>公共资源交易平台</w:t>
      </w:r>
      <w:r>
        <w:rPr>
          <w:rFonts w:hint="eastAsia" w:ascii="宋体" w:hAnsi="宋体" w:eastAsia="宋体" w:cs="宋体"/>
          <w:sz w:val="24"/>
          <w:szCs w:val="24"/>
          <w:highlight w:val="none"/>
        </w:rPr>
        <w:t>交易系统提供书面说明，必要时提交相关证明材料；</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不能证明其报价合理性的，评标委员会应当将其作为无效投标处理。提交证明材料的时间要求：评标委员会在公共资源交易</w:t>
      </w:r>
      <w:r>
        <w:rPr>
          <w:rFonts w:hint="eastAsia" w:ascii="宋体" w:hAnsi="宋体" w:eastAsia="宋体" w:cs="宋体"/>
          <w:sz w:val="24"/>
          <w:szCs w:val="24"/>
          <w:highlight w:val="none"/>
          <w:lang w:val="en-US" w:eastAsia="zh-CN"/>
        </w:rPr>
        <w:t>平台</w:t>
      </w:r>
      <w:r>
        <w:rPr>
          <w:rFonts w:hint="eastAsia" w:ascii="宋体" w:hAnsi="宋体" w:eastAsia="宋体" w:cs="宋体"/>
          <w:sz w:val="24"/>
          <w:szCs w:val="24"/>
          <w:highlight w:val="none"/>
        </w:rPr>
        <w:t>交易系统发出澄清要求后规定的时间内。</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4、对投标文件进行比较和评价</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本项目评标方法为综合评分法，评标委员会对满足招标文件全部实质性要求的投标文件，按照招标文件规定的评审因素的量化指标进行评审打分，以评审得分从高到低顺序确定中标候选人。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评标委员会每位成员独立对每个有效</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的投标文件进行评价、打分；然后汇总每个</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的得分，计算得分平均值，以平均值由高到低进行排序，按排序顺序推荐中标候选人。分值计算保留小数点后两位，第三位四舍五入。</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5、核对评标结果。</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6、确定中标候选人名单，或者根据采购人委托直接确定中标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59" w:name="_Toc14064"/>
      <w:r>
        <w:rPr>
          <w:rFonts w:hint="eastAsia" w:ascii="宋体" w:hAnsi="宋体" w:eastAsia="宋体" w:cs="宋体"/>
          <w:sz w:val="24"/>
          <w:szCs w:val="24"/>
          <w:highlight w:val="none"/>
          <w:lang w:val="en-US" w:eastAsia="zh-CN"/>
        </w:rPr>
        <w:t>五、执行的政府采购政策</w:t>
      </w:r>
      <w:bookmarkEnd w:id="159"/>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1、根据关于印发《政府采购促进中小企业发展管理办法》的通知 {财库〔2020〕46 号}、《关于进一步加大政府采购支持中小企业力度的通知》(财库[2022]19 号)、《河南省财政厅关于进一步做好政府采购支持中小企业发展有关事项的通知》（豫财购〔2022〕5 号）、《财政部 司法部关于政府采购支持监狱企业发展有关问题的通知》（财库〔2014〕68 号）和《三部门联合发布关于促进残疾人就业政府采购政策的通知》（财库〔2017〕141 号）的规定，对满足价格扣除条件并在投标文件中递交了《中小企业声明函》（声明内容需符合价格扣除条件）、《残疾人福利性单位声明函》或省级以上监狱管理局、戒毒管理局（含新疆生产建设兵团）出具的属于监狱企业的证明文件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，货物服务采购项目给予小微企业的价格扣除优惠，其投标报价扣除10%后参与评审。对于同时属于小微企业、监狱企业或残疾人福利性单位的，不重复进行投标报价扣除。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2、联合协议中约定，小型、微型企业和监狱企业的协议合同金额占到联合体协议合同总金额 30%以上的，或大中型企业与小微企业组成联合体或者大中型企业向小微企业分包的，可给予联合体</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%的价格扣除。</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联合体各方均为小型、微型企业和监狱企业的，联合体视同为小型、微型企业和监狱企业。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3、国家相关部委针对节能产品、环境标志产品出台了相关调整优化政府采购执行机制，并于近期相继颁布《财政部发展改革委 生态环境部市场监管总局关于调整优化节能产品、环境标志产品政府采购执行机制的通知》（财库〔2019〕9号）、《市场监管总局关于发布参与实施政府采购节能产品、环境标志产品认证机构名录的公告》（市场监管总局 2019 年 4 月 3 日下发）（以下简称“机构名录”）、《关于印发节能产品政府采购品目清单的通知》（财库〔2019〕19 号）（以下简称“节能清单”）、《关于印发环境标志产品政府采购品目清单的通知》（财库〔2019〕18 号）（以下简称“环保清单”）。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根据要求，投标产品如有中属于“节能清单”中标记“★”产品的，必须提供经过“机构名录”中的认证机构出具的“节能产品认证证书及相关附件”，未提供的按无效投标处理。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对于投标产品属于“节能清单”中标记非“★”产品的以及属于“环保清单”产品并经“机构名录”中的认证机构出具相应的产品认证证书的给于优先采购体现（详见采购需求及评标标准）。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采购人采购产品属于节能产品或环境标志产品品目清单范围内，且</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所投产品具有有效期内的产品认证证书，在评标时予以优先采购，具体优惠措施为：如果采购项目包有多种设备，在技术部分打分项中给于优先采购体现（详见采购需求及评标标准）。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 xml:space="preserve">所投产品列入无线局域网产品清单，应提供相关证明，在评标时予以优先采购，具体优惠措施为：如果采购项目包有多种设备，在技术部分打分项中给于优先采购体现（详见评标标准）。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5、其他政府采购政策要求：</w:t>
      </w:r>
      <w:r>
        <w:rPr>
          <w:rFonts w:hint="eastAsia" w:ascii="宋体" w:hAnsi="宋体" w:eastAsia="宋体" w:cs="宋体"/>
          <w:sz w:val="24"/>
          <w:szCs w:val="24"/>
          <w:highlight w:val="none"/>
          <w:u w:val="single"/>
        </w:rPr>
        <w:t xml:space="preserve"> 无 </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default" w:ascii="宋体" w:hAnsi="宋体" w:eastAsia="宋体" w:cs="宋体"/>
          <w:sz w:val="24"/>
          <w:szCs w:val="24"/>
          <w:highlight w:val="none"/>
          <w:lang w:val="en-US" w:eastAsia="zh-CN"/>
        </w:rPr>
      </w:pPr>
      <w:bookmarkStart w:id="160" w:name="_Toc16001"/>
      <w:r>
        <w:rPr>
          <w:rFonts w:hint="eastAsia" w:ascii="宋体" w:hAnsi="宋体" w:eastAsia="宋体" w:cs="宋体"/>
          <w:sz w:val="24"/>
          <w:szCs w:val="24"/>
          <w:highlight w:val="none"/>
          <w:lang w:val="en-US" w:eastAsia="zh-CN"/>
        </w:rPr>
        <w:t>六、评标时，特殊情况的处理原则</w:t>
      </w:r>
      <w:bookmarkEnd w:id="160"/>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、同品牌处理办法：（本项目不适用）</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采用综合评标法，则：（1）如果为单一产品采购项目，提供相同品牌产品且通过资格审查、符合性审查的不同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参加同一合同项下投标的，按一家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计算，评审后得分最高的同品牌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获得中标人推荐资格；评审得分相同的，报价得分最高的获得中标人推荐资格，其他同品牌</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不作为中标候选人。</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rPr>
        <w:t>（2）非单一产品采购项目，将在招标文件中载明核心产品。多家</w:t>
      </w:r>
      <w:r>
        <w:rPr>
          <w:rFonts w:hint="eastAsia" w:ascii="宋体" w:hAnsi="宋体" w:eastAsia="宋体" w:cs="宋体"/>
          <w:b w:val="0"/>
          <w:bCs w:val="0"/>
          <w:sz w:val="24"/>
          <w:szCs w:val="24"/>
          <w:highlight w:val="none"/>
          <w:u w:val="none"/>
          <w:lang w:eastAsia="zh-CN"/>
        </w:rPr>
        <w:t>投标人</w:t>
      </w:r>
      <w:r>
        <w:rPr>
          <w:rFonts w:hint="eastAsia" w:ascii="宋体" w:hAnsi="宋体" w:eastAsia="宋体" w:cs="宋体"/>
          <w:b w:val="0"/>
          <w:bCs w:val="0"/>
          <w:sz w:val="24"/>
          <w:szCs w:val="24"/>
          <w:highlight w:val="none"/>
          <w:u w:val="none"/>
        </w:rPr>
        <w:t>提供的核心产品品牌相同的，按（1）“单一产品采购项目”规定处理。</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、中标候选人并列时的处理方式：</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如采用最低评标办法，由采购人采取随机抽取的方式确定。</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采用综合评标法，根据采购需要、商务、技术均能满足招标文件要求，按评标委员会评出的综合得分，由高到低顺序排列，中标候选人得分相同的，按投标报价由低到高顺序排列。得分且投标报价相同的由采购人采取随机抽取的方式确定。</w:t>
      </w:r>
    </w:p>
    <w:p>
      <w:pPr>
        <w:pStyle w:val="5"/>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sz w:val="24"/>
          <w:szCs w:val="24"/>
          <w:highlight w:val="none"/>
          <w:lang w:val="en-US" w:eastAsia="zh-CN"/>
        </w:rPr>
      </w:pPr>
      <w:bookmarkStart w:id="161" w:name="_Toc22353"/>
      <w:r>
        <w:rPr>
          <w:rFonts w:hint="eastAsia" w:ascii="宋体" w:hAnsi="宋体" w:eastAsia="宋体" w:cs="宋体"/>
          <w:sz w:val="24"/>
          <w:szCs w:val="24"/>
          <w:highlight w:val="none"/>
          <w:lang w:val="en-US" w:eastAsia="zh-CN"/>
        </w:rPr>
        <w:t>七、综合评分标准</w:t>
      </w:r>
      <w:bookmarkEnd w:id="161"/>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65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本项目采用综合评分法。评委将根据评分标准，分别对通过符合性审查、资格性审查的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，进行综合评分。具体评分标准如下：</w:t>
      </w:r>
    </w:p>
    <w:p>
      <w:pPr>
        <w:rPr>
          <w:highlight w:val="none"/>
        </w:rPr>
      </w:pPr>
      <w:r>
        <w:rPr>
          <w:highlight w:val="none"/>
        </w:rPr>
        <w:br w:type="page"/>
      </w:r>
    </w:p>
    <w:p>
      <w:pPr>
        <w:pStyle w:val="6"/>
        <w:pageBreakBefore w:val="0"/>
        <w:widowControl w:val="0"/>
        <w:kinsoku/>
        <w:wordWrap/>
        <w:overflowPunct/>
        <w:topLinePunct w:val="0"/>
        <w:autoSpaceDE/>
        <w:autoSpaceDN/>
        <w:bidi w:val="0"/>
        <w:adjustRightInd/>
        <w:snapToGrid/>
        <w:spacing w:before="0" w:after="0" w:line="540" w:lineRule="exact"/>
        <w:textAlignment w:val="auto"/>
        <w:rPr>
          <w:rFonts w:hint="eastAsia" w:ascii="宋体" w:hAnsi="宋体" w:eastAsia="宋体" w:cs="宋体"/>
          <w:sz w:val="24"/>
          <w:szCs w:val="24"/>
          <w:highlight w:val="none"/>
          <w:lang w:val="en-US" w:eastAsia="zh-CN"/>
        </w:rPr>
      </w:pPr>
      <w:bookmarkStart w:id="162" w:name="_Toc466985689"/>
      <w:bookmarkStart w:id="163" w:name="_Toc29064"/>
      <w:bookmarkStart w:id="164" w:name="_Toc18209"/>
      <w:r>
        <w:rPr>
          <w:rFonts w:hint="eastAsia" w:ascii="宋体" w:hAnsi="宋体" w:eastAsia="宋体" w:cs="宋体"/>
          <w:sz w:val="24"/>
          <w:szCs w:val="24"/>
          <w:highlight w:val="none"/>
          <w:lang w:val="en-US" w:eastAsia="zh-CN"/>
        </w:rPr>
        <w:t>评分标准</w:t>
      </w:r>
      <w:bookmarkEnd w:id="162"/>
      <w:bookmarkEnd w:id="163"/>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7"/>
        <w:gridCol w:w="1266"/>
        <w:gridCol w:w="1028"/>
        <w:gridCol w:w="4546"/>
        <w:gridCol w:w="96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A包：软件测评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1</w:t>
            </w:r>
            <w:r>
              <w:rPr>
                <w:rFonts w:ascii="宋体" w:hAnsi="宋体" w:cs="MS Mincho"/>
                <w:kern w:val="0"/>
                <w:sz w:val="24"/>
                <w:highlight w:val="none"/>
              </w:rPr>
              <w:t>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17分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1</w:t>
            </w:r>
            <w:r>
              <w:rPr>
                <w:rFonts w:hint="eastAsia" w:ascii="宋体" w:hAnsi="宋体" w:eastAsia="宋体" w:cs="Times New Roman"/>
                <w:bCs/>
                <w:kern w:val="0"/>
                <w:sz w:val="24"/>
                <w:highlight w:val="none"/>
                <w:shd w:val="clear" w:color="auto" w:fill="FFFFFF"/>
                <w:lang w:val="en-US" w:eastAsia="zh-CN"/>
              </w:rPr>
              <w:t>.具有中国合格评定国家认可委员会颁发的实验室认可证书（CNAS），且证书附件检测对象包含：行业应用软件或软件产品等软件类检测，得2分，未提供不得分。以提供的认可证书附件《认可的检测能力范围》中“检测对象”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2.提供的CNAS《认可的检测能力范围》中的检测标准（方法）内容：</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34943-2017”《C/C++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34944-2017”《Java 语言源代码漏洞测试规范》得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包含“GB/T 34975-2017”《信息安全技术 移动智能终端应用软件 安全技术要求和测试评价方法》得 3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本项</w:t>
            </w:r>
            <w:r>
              <w:rPr>
                <w:rFonts w:hint="eastAsia" w:ascii="宋体" w:hAnsi="宋体"/>
                <w:bCs/>
                <w:kern w:val="0"/>
                <w:sz w:val="24"/>
                <w:highlight w:val="none"/>
                <w:shd w:val="clear" w:color="auto" w:fill="FFFFFF"/>
              </w:rPr>
              <w:t>累计最高得 9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以提供的认可证书附件《认可的检测能力范围》中“检测标准（方法）”为依据。</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9分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vMerge w:val="continue"/>
            <w:tcBorders>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3.提供ISO管理体系认证证书：</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具有信息安全管理体系认证证书，得 2 分；具有信息技术服务管理体系认证证书，得 2 分；具有隐私信息管理体系认证，得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 xml:space="preserve">以上提供的认证证书的范围包含“软件检测”或“软件测试”，否则不得分，累积最高得 </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 xml:space="preserve"> 分；以上提供的认证证书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拟派项目团队成员具有软件测试类资格证书，每提供一个得1分，本项最高得5分。同一人具有多个证书的，不重复计分。注：服务团队成员需提供人员身份证、资质（资格证书）证书及投标人为其缴纳的社保证明，缺项不得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1028"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项目测试整体目标和方向的理解程度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质量特性测试方法贴合需求的程度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评测工作流程（包括测评组织准备、软件质量测试、阶段成果提交、回归测试、测评报告出具等）介绍清晰程度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评测保密安全保障措施的完备程度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1.测评保密安全保障措施合理和到位，完全能够满足项目需求得7分。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项目组织搭配、岗位职责、人员配备、技术力量</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拟投入的工具设备的功能说明和使用计划的描述详细程度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1.完全能够满足项目需求得7分。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966"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9"/>
        <w:rPr>
          <w:rFonts w:hint="eastAsia"/>
          <w:highlight w:val="none"/>
        </w:rPr>
      </w:pPr>
    </w:p>
    <w:p>
      <w:pPr>
        <w:rPr>
          <w:rFonts w:hint="default" w:hAnsi="宋体" w:eastAsia="宋体"/>
          <w:b/>
          <w:sz w:val="32"/>
          <w:szCs w:val="32"/>
          <w:highlight w:val="none"/>
          <w:lang w:val="en-US" w:eastAsia="zh-CN"/>
        </w:rPr>
      </w:pPr>
      <w:r>
        <w:rPr>
          <w:rFonts w:hint="default" w:hAnsi="宋体" w:eastAsia="宋体"/>
          <w:b/>
          <w:sz w:val="32"/>
          <w:szCs w:val="32"/>
          <w:highlight w:val="none"/>
          <w:lang w:val="en-US" w:eastAsia="zh-CN"/>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B包：密码测评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34</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56</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商务部分34分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提供ISO体系认证证书：</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rPr>
              <w:t>具有质量管理体系认证证书，得 2 分；具有职业健康管理体系认证证书认证证书，得 2 分；</w:t>
            </w:r>
            <w:r>
              <w:rPr>
                <w:rFonts w:hint="eastAsia" w:ascii="宋体" w:hAnsi="宋体"/>
                <w:bCs/>
                <w:kern w:val="0"/>
                <w:sz w:val="24"/>
                <w:highlight w:val="none"/>
                <w:shd w:val="clear" w:color="auto" w:fill="FFFFFF"/>
                <w:lang w:val="en-US" w:eastAsia="zh-CN"/>
              </w:rPr>
              <w:t>具有环境健康管理体系认证证书，得2分；具有信息安全管理体系认证证书得2分；具有信息技术服务管理体系认证证书</w:t>
            </w:r>
            <w:r>
              <w:rPr>
                <w:rFonts w:hint="eastAsia" w:ascii="宋体" w:hAnsi="宋体"/>
                <w:bCs/>
                <w:kern w:val="0"/>
                <w:sz w:val="24"/>
                <w:highlight w:val="none"/>
                <w:shd w:val="clear" w:color="auto" w:fill="FFFFFF"/>
              </w:rPr>
              <w:t xml:space="preserve">，得 </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 xml:space="preserve"> 分</w:t>
            </w:r>
            <w:r>
              <w:rPr>
                <w:rFonts w:hint="eastAsia" w:ascii="宋体" w:hAnsi="宋体"/>
                <w:bCs/>
                <w:kern w:val="0"/>
                <w:sz w:val="24"/>
                <w:highlight w:val="none"/>
                <w:shd w:val="clear" w:color="auto" w:fill="FFFFFF"/>
                <w:lang w:eastAsia="zh-CN"/>
              </w:rPr>
              <w:t>。</w:t>
            </w:r>
            <w:r>
              <w:rPr>
                <w:rFonts w:hint="eastAsia" w:ascii="宋体" w:hAnsi="宋体"/>
                <w:bCs/>
                <w:kern w:val="0"/>
                <w:sz w:val="24"/>
                <w:highlight w:val="none"/>
                <w:shd w:val="clear" w:color="auto" w:fill="FFFFFF"/>
                <w:lang w:val="en-US" w:eastAsia="zh-CN"/>
              </w:rPr>
              <w:t>本项最高得10分。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注：</w:t>
            </w:r>
            <w:r>
              <w:rPr>
                <w:rFonts w:hint="eastAsia" w:ascii="宋体" w:hAnsi="宋体"/>
                <w:bCs/>
                <w:kern w:val="0"/>
                <w:sz w:val="24"/>
                <w:highlight w:val="none"/>
                <w:shd w:val="clear" w:color="auto" w:fill="FFFFFF"/>
              </w:rPr>
              <w:t>以上提供的认证证书</w:t>
            </w:r>
            <w:r>
              <w:rPr>
                <w:rFonts w:hint="eastAsia" w:ascii="宋体" w:hAnsi="宋体"/>
                <w:bCs/>
                <w:kern w:val="0"/>
                <w:sz w:val="24"/>
                <w:highlight w:val="none"/>
                <w:shd w:val="clear" w:color="auto" w:fill="FFFFFF"/>
                <w:lang w:val="en-US" w:eastAsia="zh-CN"/>
              </w:rPr>
              <w:t>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12分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1.项目负责人通过商用密码应用安全性评估人员测评能力考核且具有高级信息系统项目管理师证书得5分。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w:t>
            </w:r>
            <w:r>
              <w:rPr>
                <w:rFonts w:hint="default" w:ascii="宋体" w:hAnsi="宋体" w:eastAsia="宋体" w:cs="Times New Roman"/>
                <w:bCs/>
                <w:kern w:val="0"/>
                <w:sz w:val="24"/>
                <w:highlight w:val="none"/>
                <w:shd w:val="clear" w:color="auto" w:fill="FFFFFF"/>
                <w:lang w:val="en-US" w:eastAsia="zh-CN"/>
              </w:rPr>
              <w:t>投标人为本项目提供不少于5人的本地支撑服务团队（含项目负责人）。</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服务团队中满足：</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1）通过商用密码应用安全性评估人员测评能力考核的每人得2分，最多得6分；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2）团队成员具有网络信息安全工程师（技术水平）证书的每人得1分，最多得1分；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服务团队成员需提供人员身份证、密评能力考核合格证书、资质证书及投标人为其缴纳的社保证明，缺项不得分。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12分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售后服务方案8分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在满足采购人的服务要求及标准前提下，比较各供应商提交的服务方案，根据服务方案及优惠承诺描述情况进行打分。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内容科学、合理、有针对性，完善程度非常全面准确的，得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内容科学、合理、有针对性、完善程度比较全面的，得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hint="eastAsia" w:ascii="宋体" w:hAnsi="宋体"/>
                <w:bCs/>
                <w:kern w:val="0"/>
                <w:sz w:val="24"/>
                <w:highlight w:val="none"/>
                <w:shd w:val="clear" w:color="auto" w:fill="FFFFFF"/>
              </w:rPr>
            </w:pPr>
            <w:r>
              <w:rPr>
                <w:rFonts w:hint="eastAsia" w:ascii="宋体" w:hAnsi="宋体"/>
                <w:bCs/>
                <w:kern w:val="0"/>
                <w:sz w:val="24"/>
                <w:highlight w:val="none"/>
                <w:shd w:val="clear" w:color="auto" w:fill="FFFFFF"/>
              </w:rPr>
              <w:t>内容科学、合理、完善程度上一般，得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技术部分56分</w:t>
            </w: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方案总体评价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根据服务方案中服务内容的全面性和完整性进行综合分析比较评分：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密码测评技术方案</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根据服务方案中实施方法和技术措施的可操作性和有效技术测评指标根据服务方案中实施方法和技术措施的可操作性和有效技术测评指标对 GB/T39786-2021《信息安全技术信息系统密码应用基本要求》、GM/T0115《信息系统密码应用测评要求》、GM/T0116《信息系统密码应用测评过程指南》、《信息系统密码应用高风险判定指引》、《商用密码应用安全性评估量化评估规则》、《政务信息系统密码应用与安全性评估工作指南》等标准规范的涵盖程度，进行综合分析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内容科学、合理、有针对性，完善程度非常全面准确的，得1</w:t>
            </w:r>
            <w:r>
              <w:rPr>
                <w:rFonts w:hint="eastAsia" w:ascii="宋体" w:hAnsi="宋体" w:cs="Times New Roman"/>
                <w:bCs/>
                <w:kern w:val="0"/>
                <w:sz w:val="24"/>
                <w:highlight w:val="none"/>
                <w:shd w:val="clear" w:color="auto" w:fill="FFFFFF"/>
                <w:lang w:val="en-US" w:eastAsia="zh-CN"/>
              </w:rPr>
              <w:t>0</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cs="Times New Roman"/>
                <w:bCs/>
                <w:kern w:val="0"/>
                <w:sz w:val="24"/>
                <w:highlight w:val="none"/>
                <w:shd w:val="clear" w:color="auto" w:fill="FFFFFF"/>
                <w:lang w:val="en-US" w:eastAsia="zh-CN"/>
              </w:rPr>
              <w:t>7</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评测进度管理保障措施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1.完全能够满足项目需求得6分。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6分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检测设备工具配置</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根据服务方案中检测设备工具对本项目服务需求的符合程度进行综合分析比较评分：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没有提供上述内容，或提供的不完整的，得1分。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3269" w:type="pct"/>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内控和保密制度及措施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根据服务方案中内控和保密制度及措施管理办法内容综合评分：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16"/>
        <w:rPr>
          <w:rFonts w:hint="default"/>
          <w:highlight w:val="none"/>
          <w:lang w:val="en-US" w:eastAsia="zh-CN"/>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C包：安全等级保护测评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10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35</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55</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10分</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价格分采用低价优先法计算，即满足招标文件要求且投标价格最低的投标报价为评标基准价，其价格分为满分。其他投标人的价格分统一按照下列公式计算：</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投标报价得分=(评标基准价/投标报价)×10</w:t>
            </w:r>
          </w:p>
          <w:p>
            <w:pPr>
              <w:widowControl/>
              <w:shd w:val="solid" w:color="FFFFFF" w:fill="auto"/>
              <w:autoSpaceDN w:val="0"/>
              <w:spacing w:line="360" w:lineRule="exact"/>
              <w:jc w:val="left"/>
              <w:rPr>
                <w:rFonts w:hint="eastAsia" w:ascii="宋体" w:hAnsi="宋体" w:eastAsia="宋体" w:cs="宋体"/>
                <w:bCs/>
                <w:kern w:val="0"/>
                <w:sz w:val="24"/>
                <w:szCs w:val="24"/>
                <w:highlight w:val="none"/>
                <w:shd w:val="clear" w:color="auto" w:fill="FFFFFF"/>
              </w:rPr>
            </w:pPr>
            <w:r>
              <w:rPr>
                <w:rFonts w:hint="eastAsia" w:ascii="宋体" w:hAnsi="宋体" w:eastAsia="宋体" w:cs="宋体"/>
                <w:bCs/>
                <w:kern w:val="0"/>
                <w:sz w:val="24"/>
                <w:szCs w:val="24"/>
                <w:highlight w:val="none"/>
                <w:shd w:val="clear" w:color="auto" w:fill="FFFFFF"/>
              </w:rPr>
              <w:t>因落实政府采购政策进行价格调整的，以调整后的价格计算评标基准价和投标报价。具体规定如下：</w:t>
            </w:r>
          </w:p>
          <w:p>
            <w:pPr>
              <w:widowControl/>
              <w:shd w:val="solid" w:color="FFFFFF" w:fill="auto"/>
              <w:autoSpaceDN w:val="0"/>
              <w:spacing w:line="360" w:lineRule="exact"/>
              <w:jc w:val="left"/>
              <w:rPr>
                <w:rFonts w:ascii="宋体" w:hAnsi="宋体"/>
                <w:sz w:val="24"/>
                <w:highlight w:val="none"/>
              </w:rPr>
            </w:pPr>
            <w:r>
              <w:rPr>
                <w:rFonts w:hint="eastAsia" w:ascii="宋体" w:hAnsi="宋体" w:eastAsia="宋体" w:cs="宋体"/>
                <w:bCs/>
                <w:kern w:val="0"/>
                <w:sz w:val="24"/>
                <w:szCs w:val="24"/>
                <w:highlight w:val="none"/>
                <w:shd w:val="clear" w:color="auto" w:fill="FFFFFF"/>
              </w:rPr>
              <w:t>对符合政府采购政策规定的小微企业、监狱企业、残疾人福利性单位合格投标人，价格给予10%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1</w:t>
            </w:r>
            <w:r>
              <w:rPr>
                <w:rFonts w:ascii="宋体" w:hAnsi="宋体"/>
                <w:b/>
                <w:bCs/>
                <w:kern w:val="0"/>
                <w:sz w:val="24"/>
                <w:highlight w:val="none"/>
                <w:shd w:val="clear" w:color="auto" w:fill="FFFFFF"/>
              </w:rPr>
              <w:t>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商务部分35分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26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自主知识产权10分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eastAsia="宋体" w:cs="宋体"/>
                <w:bCs/>
                <w:kern w:val="0"/>
                <w:sz w:val="24"/>
                <w:szCs w:val="24"/>
                <w:highlight w:val="none"/>
                <w:shd w:val="clear" w:color="auto" w:fill="FFFFFF"/>
                <w:lang w:val="en-US" w:eastAsia="zh-CN" w:bidi="ar-SA"/>
              </w:rPr>
              <w:t>投标人具有与本项目采购需求相关的自主知识产权的相关安全检测能力，包括安全防护咨询服务、运营维护处理、数据信息管理检测平台、网络安全等级保护测评、网络技术服务咨询、网络数据统计平台、远程安全风险评估管理、网络安全后台维护、网络安全评估软件、互联网网站后台安全测评等计算机软件著作权登记证书，每提供一份得1分，最高得10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技术能力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投标人具有政府部门颁发的信息安全防入侵监测相关的科学技术成果证书、恶意代码检测分析相关的科学技术成果证书；、网络安全漏洞修复相关的科学技术成果证书，满足得5分，不满足不得分。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企业实力5分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提供ISO体系认证证书：</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质量管理体系认证证书、职业健康安全管理体系认证证书、环境管理体系认证证书、信息安全管理体系认证证书、20000-1的服务管理体系认证证书，每提供一份得1分，最高得5分，没有不得分。</w:t>
            </w:r>
          </w:p>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注：以上提供的认证证书均须在有效期内，不在有效期内不得分。投标文件中需同时提供证书原件扫描件和国家市场监督管理总局全国认证认可信息公共服务平台查询界面截图，否则不得分。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项目团队</w:t>
            </w:r>
          </w:p>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3分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投标人为本项目提供不少于5人的支撑服务团队（含项目负责人）。服务团队</w:t>
            </w:r>
            <w:r>
              <w:rPr>
                <w:rFonts w:hint="eastAsia" w:ascii="宋体" w:hAnsi="宋体" w:eastAsia="宋体" w:cs="Times New Roman"/>
                <w:bCs/>
                <w:kern w:val="0"/>
                <w:sz w:val="24"/>
                <w:highlight w:val="none"/>
                <w:shd w:val="clear" w:color="auto" w:fill="FFFFFF"/>
                <w:lang w:val="en-US" w:eastAsia="zh-CN"/>
              </w:rPr>
              <w:t>成员</w:t>
            </w:r>
            <w:r>
              <w:rPr>
                <w:rFonts w:hint="default" w:ascii="宋体" w:hAnsi="宋体" w:eastAsia="宋体" w:cs="Times New Roman"/>
                <w:bCs/>
                <w:kern w:val="0"/>
                <w:sz w:val="24"/>
                <w:highlight w:val="none"/>
                <w:shd w:val="clear" w:color="auto" w:fill="FFFFFF"/>
                <w:lang w:val="en-US" w:eastAsia="zh-CN"/>
              </w:rPr>
              <w:t>中每</w:t>
            </w:r>
            <w:r>
              <w:rPr>
                <w:rFonts w:hint="eastAsia" w:ascii="宋体" w:hAnsi="宋体" w:eastAsia="宋体" w:cs="Times New Roman"/>
                <w:bCs/>
                <w:kern w:val="0"/>
                <w:sz w:val="24"/>
                <w:highlight w:val="none"/>
                <w:shd w:val="clear" w:color="auto" w:fill="FFFFFF"/>
                <w:lang w:val="en-US" w:eastAsia="zh-CN"/>
              </w:rPr>
              <w:t>有1人具有测评师资格</w:t>
            </w:r>
            <w:r>
              <w:rPr>
                <w:rFonts w:hint="default" w:ascii="宋体" w:hAnsi="宋体" w:eastAsia="宋体" w:cs="Times New Roman"/>
                <w:bCs/>
                <w:kern w:val="0"/>
                <w:sz w:val="24"/>
                <w:highlight w:val="none"/>
                <w:shd w:val="clear" w:color="auto" w:fill="FFFFFF"/>
                <w:lang w:val="en-US" w:eastAsia="zh-CN"/>
              </w:rPr>
              <w:t>得1分，最多得</w:t>
            </w:r>
            <w:r>
              <w:rPr>
                <w:rFonts w:hint="eastAsia" w:ascii="宋体" w:hAnsi="宋体" w:eastAsia="宋体" w:cs="Times New Roman"/>
                <w:bCs/>
                <w:kern w:val="0"/>
                <w:sz w:val="24"/>
                <w:highlight w:val="none"/>
                <w:shd w:val="clear" w:color="auto" w:fill="FFFFFF"/>
                <w:lang w:val="en-US" w:eastAsia="zh-CN"/>
              </w:rPr>
              <w:t>5</w:t>
            </w:r>
            <w:r>
              <w:rPr>
                <w:rFonts w:hint="default" w:ascii="宋体" w:hAnsi="宋体" w:eastAsia="宋体" w:cs="Times New Roman"/>
                <w:bCs/>
                <w:kern w:val="0"/>
                <w:sz w:val="24"/>
                <w:highlight w:val="none"/>
                <w:shd w:val="clear" w:color="auto" w:fill="FFFFFF"/>
                <w:lang w:val="en-US" w:eastAsia="zh-CN"/>
              </w:rPr>
              <w:t>分</w:t>
            </w:r>
            <w:r>
              <w:rPr>
                <w:rFonts w:hint="eastAsia" w:ascii="宋体" w:hAnsi="宋体" w:eastAsia="宋体" w:cs="Times New Roman"/>
                <w:bCs/>
                <w:kern w:val="0"/>
                <w:sz w:val="24"/>
                <w:highlight w:val="none"/>
                <w:shd w:val="clear" w:color="auto" w:fill="FFFFFF"/>
                <w:lang w:val="en-US" w:eastAsia="zh-CN"/>
              </w:rPr>
              <w:t>.</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注：</w:t>
            </w:r>
            <w:r>
              <w:rPr>
                <w:rFonts w:hint="default" w:ascii="宋体" w:hAnsi="宋体" w:eastAsia="宋体" w:cs="Times New Roman"/>
                <w:bCs/>
                <w:kern w:val="0"/>
                <w:sz w:val="24"/>
                <w:highlight w:val="none"/>
                <w:shd w:val="clear" w:color="auto" w:fill="FFFFFF"/>
                <w:lang w:val="en-US" w:eastAsia="zh-CN"/>
              </w:rPr>
              <w:t>服务团队成员需提供人员身份证、资质</w:t>
            </w:r>
            <w:r>
              <w:rPr>
                <w:rFonts w:hint="eastAsia" w:ascii="宋体" w:hAnsi="宋体" w:eastAsia="宋体" w:cs="Times New Roman"/>
                <w:bCs/>
                <w:kern w:val="0"/>
                <w:sz w:val="24"/>
                <w:highlight w:val="none"/>
                <w:shd w:val="clear" w:color="auto" w:fill="FFFFFF"/>
                <w:lang w:val="en-US" w:eastAsia="zh-CN"/>
              </w:rPr>
              <w:t>（资格）</w:t>
            </w:r>
            <w:r>
              <w:rPr>
                <w:rFonts w:hint="default" w:ascii="宋体" w:hAnsi="宋体" w:eastAsia="宋体" w:cs="Times New Roman"/>
                <w:bCs/>
                <w:kern w:val="0"/>
                <w:sz w:val="24"/>
                <w:highlight w:val="none"/>
                <w:shd w:val="clear" w:color="auto" w:fill="FFFFFF"/>
                <w:lang w:val="en-US" w:eastAsia="zh-CN"/>
              </w:rPr>
              <w:t>证书及投标人为其缴纳的社保证明，缺项不得分。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3分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售后服务方案及承诺8分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根据供应商针对本项目提供的人员（至少</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人）服务计划、售后服务措施等，承诺措施内容科学可行的得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numPr>
                <w:ilvl w:val="0"/>
                <w:numId w:val="0"/>
              </w:numPr>
              <w:shd w:val="solid" w:color="FFFFFF" w:fill="auto"/>
              <w:autoSpaceDN w:val="0"/>
              <w:spacing w:line="360" w:lineRule="exact"/>
              <w:ind w:left="0" w:leftChars="0" w:firstLine="0" w:firstLineChars="0"/>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4</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1</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技术部分55分</w:t>
            </w: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项目理解与需求分析</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对采购人的需求理解程度进行综合评价，从现状问题分析、需求分析等方面评价方案是否现状理解深刻、需求分析准确到位：</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需求分析切实可行、方案全面内容完整、可实施性强得8分；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需求分析较为可行，内容较好、方案一般得4分；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需求分析较差、内容不完整、可实施性较差得1分；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项目总体规划</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根据投标人针对本项目总体规划，能结合同类项目的实施经验，提出完善的项目总体规划方案，总体规划可操作性、人员配备、规划合理综合评价：</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服务方案</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根据供应商针对本项目整体实施方案，能结合同类项目的实施经验，提出完善的项目实施方案与服务进行综合评价：</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内容科学、合理、有针对性，完善程度非常全面准确的，得8分；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内容科学、合理、有针对性、完善程度比较全面的，得4分；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内容科学、合理、完善程度上一般，得1分；</w:t>
            </w:r>
          </w:p>
          <w:p>
            <w:pPr>
              <w:widowControl/>
              <w:shd w:val="solid" w:color="FFFFFF" w:fill="auto"/>
              <w:autoSpaceDN w:val="0"/>
              <w:spacing w:line="360" w:lineRule="exact"/>
              <w:jc w:val="left"/>
              <w:rPr>
                <w:rFonts w:hint="eastAsia" w:ascii="宋体" w:hAnsi="宋体" w:eastAsia="宋体" w:cs="Times New Roman"/>
                <w:bCs/>
                <w:kern w:val="0"/>
                <w:sz w:val="24"/>
                <w:szCs w:val="24"/>
                <w:highlight w:val="none"/>
                <w:shd w:val="clear" w:color="auto" w:fill="FFFFFF"/>
                <w:lang w:val="en-US" w:eastAsia="zh-CN" w:bidi="ar-SA"/>
              </w:rPr>
            </w:pPr>
            <w:r>
              <w:rPr>
                <w:rFonts w:hint="eastAsia" w:ascii="宋体" w:hAnsi="宋体" w:eastAsia="宋体" w:cs="Times New Roman"/>
                <w:bCs/>
                <w:kern w:val="0"/>
                <w:sz w:val="24"/>
                <w:szCs w:val="24"/>
                <w:highlight w:val="none"/>
                <w:shd w:val="clear" w:color="auto" w:fill="FFFFFF"/>
                <w:lang w:val="en-US" w:eastAsia="zh-CN" w:bidi="ar-SA"/>
              </w:rPr>
              <w:t>没有提供上述内容，或提供的不完整的，得0分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cs="Times New Roman"/>
                <w:b/>
                <w:bCs/>
                <w:kern w:val="0"/>
                <w:sz w:val="24"/>
                <w:szCs w:val="24"/>
                <w:highlight w:val="none"/>
                <w:shd w:val="clear" w:color="auto" w:fill="FFFFFF"/>
                <w:lang w:val="en-US" w:eastAsia="zh-CN" w:bidi="ar-SA"/>
              </w:rPr>
            </w:pPr>
            <w:r>
              <w:rPr>
                <w:rFonts w:hint="eastAsia" w:ascii="宋体" w:hAnsi="宋体" w:eastAsia="宋体" w:cs="Times New Roman"/>
                <w:b/>
                <w:bCs/>
                <w:kern w:val="0"/>
                <w:sz w:val="24"/>
                <w:szCs w:val="24"/>
                <w:highlight w:val="none"/>
                <w:shd w:val="clear" w:color="auto" w:fill="FFFFFF"/>
                <w:lang w:val="en-US" w:eastAsia="zh-CN" w:bidi="ar-SA"/>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评测工作流程</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2.可以满足项目需求，但有个别细节需要进一步完善得4分。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质量管理保障措施</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1.完全能够满足项目需求得8分。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2.可以满足项目需求，但有个别细节需要进一步完善得3分。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3.虽然能够满足项目需求，但有很多方面需要进一步完善得1分。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4.未提供的得0分。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风险分析及风险规避措施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根据供应商针对本项目在测评过程中可能对重要信息系统产生重大影响，为了规避风险，需要提供风险分析并提出规避措施。</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5572" w:type="dxa"/>
            <w:gridSpan w:val="2"/>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网络安全应急服务方案</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根据供应商针对项目实施过程中可能出现的问题提出的应急支撑方案（至少涵盖网络安全应急服务团队和服务能力情况）进行综合评价：</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内容科学、合理、有针对性，完善程度非常全面准确的，得</w:t>
            </w:r>
            <w:r>
              <w:rPr>
                <w:rFonts w:hint="eastAsia" w:ascii="宋体" w:hAnsi="宋体" w:eastAsia="宋体" w:cs="Times New Roman"/>
                <w:bCs/>
                <w:kern w:val="0"/>
                <w:sz w:val="24"/>
                <w:highlight w:val="none"/>
                <w:shd w:val="clear" w:color="auto" w:fill="FFFFFF"/>
                <w:lang w:val="en-US" w:eastAsia="zh-CN"/>
              </w:rPr>
              <w:t>7</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内容科学、合理、有针对性、完善程度比较全面的，得</w:t>
            </w:r>
            <w:r>
              <w:rPr>
                <w:rFonts w:hint="eastAsia" w:ascii="宋体" w:hAnsi="宋体" w:eastAsia="宋体" w:cs="Times New Roman"/>
                <w:bCs/>
                <w:kern w:val="0"/>
                <w:sz w:val="24"/>
                <w:highlight w:val="none"/>
                <w:shd w:val="clear" w:color="auto" w:fill="FFFFFF"/>
                <w:lang w:val="en-US" w:eastAsia="zh-CN"/>
              </w:rPr>
              <w:t>4</w:t>
            </w:r>
            <w:r>
              <w:rPr>
                <w:rFonts w:hint="default" w:ascii="宋体" w:hAnsi="宋体" w:eastAsia="宋体" w:cs="Times New Roman"/>
                <w:bCs/>
                <w:kern w:val="0"/>
                <w:sz w:val="24"/>
                <w:highlight w:val="none"/>
                <w:shd w:val="clear" w:color="auto" w:fill="FFFFFF"/>
                <w:lang w:val="en-US" w:eastAsia="zh-CN"/>
              </w:rPr>
              <w:t>分；</w:t>
            </w:r>
          </w:p>
          <w:p>
            <w:pPr>
              <w:widowControl/>
              <w:shd w:val="solid" w:color="FFFFFF" w:fill="auto"/>
              <w:autoSpaceDN w:val="0"/>
              <w:spacing w:line="360" w:lineRule="exact"/>
              <w:jc w:val="left"/>
              <w:rPr>
                <w:rFonts w:hint="default" w:ascii="宋体" w:hAnsi="宋体" w:eastAsia="宋体" w:cs="Times New Roman"/>
                <w:bCs/>
                <w:kern w:val="0"/>
                <w:sz w:val="24"/>
                <w:highlight w:val="none"/>
                <w:shd w:val="clear" w:color="auto" w:fill="FFFFFF"/>
                <w:lang w:val="en-US" w:eastAsia="zh-CN"/>
              </w:rPr>
            </w:pPr>
            <w:r>
              <w:rPr>
                <w:rFonts w:hint="default" w:ascii="宋体" w:hAnsi="宋体" w:eastAsia="宋体" w:cs="Times New Roman"/>
                <w:bCs/>
                <w:kern w:val="0"/>
                <w:sz w:val="24"/>
                <w:highlight w:val="none"/>
                <w:shd w:val="clear" w:color="auto" w:fill="FFFFFF"/>
                <w:lang w:val="en-US" w:eastAsia="zh-CN"/>
              </w:rPr>
              <w:t>内容科学、合理、完善程度上一般，得</w:t>
            </w:r>
            <w:r>
              <w:rPr>
                <w:rFonts w:hint="eastAsia" w:ascii="宋体" w:hAnsi="宋体" w:eastAsia="宋体" w:cs="Times New Roman"/>
                <w:bCs/>
                <w:kern w:val="0"/>
                <w:sz w:val="24"/>
                <w:highlight w:val="none"/>
                <w:shd w:val="clear" w:color="auto" w:fill="FFFFFF"/>
                <w:lang w:val="en-US" w:eastAsia="zh-CN"/>
              </w:rPr>
              <w:t>1</w:t>
            </w:r>
            <w:r>
              <w:rPr>
                <w:rFonts w:hint="default" w:ascii="宋体" w:hAnsi="宋体" w:eastAsia="宋体" w:cs="Times New Roman"/>
                <w:bCs/>
                <w:kern w:val="0"/>
                <w:sz w:val="24"/>
                <w:highlight w:val="none"/>
                <w:shd w:val="clear" w:color="auto" w:fill="FFFFFF"/>
                <w:lang w:val="en-US" w:eastAsia="zh-CN"/>
              </w:rPr>
              <w:t>分；没有提供上述内容，或提供的不完整的，得</w:t>
            </w:r>
            <w:r>
              <w:rPr>
                <w:rFonts w:hint="eastAsia" w:ascii="宋体" w:hAnsi="宋体" w:eastAsia="宋体" w:cs="Times New Roman"/>
                <w:bCs/>
                <w:kern w:val="0"/>
                <w:sz w:val="24"/>
                <w:highlight w:val="none"/>
                <w:shd w:val="clear" w:color="auto" w:fill="FFFFFF"/>
                <w:lang w:val="en-US" w:eastAsia="zh-CN"/>
              </w:rPr>
              <w:t>0</w:t>
            </w:r>
            <w:r>
              <w:rPr>
                <w:rFonts w:hint="default" w:ascii="宋体" w:hAnsi="宋体" w:eastAsia="宋体" w:cs="Times New Roman"/>
                <w:bCs/>
                <w:kern w:val="0"/>
                <w:sz w:val="24"/>
                <w:highlight w:val="none"/>
                <w:shd w:val="clear" w:color="auto" w:fill="FFFFFF"/>
                <w:lang w:val="en-US" w:eastAsia="zh-CN"/>
              </w:rPr>
              <w:t>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tbl>
      <w:tblPr>
        <w:tblStyle w:val="2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18"/>
        <w:gridCol w:w="1266"/>
        <w:gridCol w:w="1028"/>
        <w:gridCol w:w="4544"/>
        <w:gridCol w:w="9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D包：网络链路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分值构成：总分100分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（1）投标报价：</w:t>
            </w:r>
            <w:r>
              <w:rPr>
                <w:rFonts w:hint="eastAsia" w:ascii="宋体" w:hAnsi="宋体" w:cs="MS Mincho"/>
                <w:kern w:val="0"/>
                <w:sz w:val="24"/>
                <w:highlight w:val="none"/>
                <w:lang w:val="en-US" w:eastAsia="zh-CN"/>
              </w:rPr>
              <w:t>20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（2）</w:t>
            </w:r>
            <w:r>
              <w:rPr>
                <w:rFonts w:hint="eastAsia" w:ascii="宋体" w:hAnsi="宋体" w:cs="MS Mincho"/>
                <w:kern w:val="0"/>
                <w:sz w:val="24"/>
                <w:highlight w:val="none"/>
                <w:lang w:val="en-US" w:eastAsia="zh-CN"/>
              </w:rPr>
              <w:t>商务部分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30</w:t>
            </w:r>
            <w:r>
              <w:rPr>
                <w:rFonts w:hint="eastAsia" w:ascii="宋体" w:hAnsi="宋体" w:cs="MS Mincho"/>
                <w:kern w:val="0"/>
                <w:sz w:val="24"/>
                <w:highlight w:val="none"/>
              </w:rPr>
              <w:t>分</w:t>
            </w:r>
          </w:p>
          <w:p>
            <w:pPr>
              <w:autoSpaceDE w:val="0"/>
              <w:autoSpaceDN w:val="0"/>
              <w:adjustRightInd w:val="0"/>
              <w:spacing w:line="380" w:lineRule="exact"/>
              <w:jc w:val="left"/>
              <w:rPr>
                <w:rFonts w:hint="eastAsia" w:ascii="宋体" w:hAnsi="宋体" w:cs="MS Mincho"/>
                <w:kern w:val="0"/>
                <w:sz w:val="24"/>
                <w:highlight w:val="none"/>
              </w:rPr>
            </w:pPr>
            <w:r>
              <w:rPr>
                <w:rFonts w:hint="eastAsia" w:ascii="宋体" w:hAnsi="宋体" w:cs="MS Mincho"/>
                <w:kern w:val="0"/>
                <w:sz w:val="24"/>
                <w:highlight w:val="none"/>
              </w:rPr>
              <w:t>（3）</w:t>
            </w:r>
            <w:r>
              <w:rPr>
                <w:rFonts w:hint="eastAsia" w:ascii="宋体" w:hAnsi="宋体" w:cs="MS Mincho"/>
                <w:kern w:val="0"/>
                <w:sz w:val="24"/>
                <w:highlight w:val="none"/>
                <w:lang w:val="en-US" w:eastAsia="zh-CN"/>
              </w:rPr>
              <w:t>技术部分</w:t>
            </w:r>
            <w:r>
              <w:rPr>
                <w:rFonts w:hint="eastAsia" w:ascii="宋体" w:hAnsi="宋体" w:cs="MS Mincho"/>
                <w:kern w:val="0"/>
                <w:sz w:val="24"/>
                <w:highlight w:val="none"/>
              </w:rPr>
              <w:t>：</w:t>
            </w:r>
            <w:r>
              <w:rPr>
                <w:rFonts w:hint="eastAsia" w:ascii="宋体" w:hAnsi="宋体" w:cs="MS Mincho"/>
                <w:kern w:val="0"/>
                <w:sz w:val="24"/>
                <w:highlight w:val="none"/>
                <w:lang w:val="en-US" w:eastAsia="zh-CN"/>
              </w:rPr>
              <w:t>50</w:t>
            </w:r>
            <w:r>
              <w:rPr>
                <w:rFonts w:hint="eastAsia" w:ascii="宋体" w:hAnsi="宋体" w:cs="MS Mincho"/>
                <w:kern w:val="0"/>
                <w:sz w:val="24"/>
                <w:highlight w:val="none"/>
              </w:rPr>
              <w:t>分</w:t>
            </w:r>
          </w:p>
          <w:p>
            <w:pPr>
              <w:autoSpaceDE w:val="0"/>
              <w:autoSpaceDN w:val="0"/>
              <w:adjustRightInd w:val="0"/>
              <w:spacing w:line="380" w:lineRule="exact"/>
              <w:jc w:val="left"/>
              <w:rPr>
                <w:rFonts w:ascii="宋体" w:hAnsi="宋体"/>
                <w:b/>
                <w:bCs/>
                <w:kern w:val="0"/>
                <w:sz w:val="24"/>
                <w:highlight w:val="none"/>
                <w:shd w:val="clear" w:color="auto" w:fill="FFFFFF"/>
              </w:rPr>
            </w:pPr>
            <w:r>
              <w:rPr>
                <w:rFonts w:hint="eastAsia" w:ascii="宋体" w:hAnsi="宋体" w:cs="MS Mincho"/>
                <w:kern w:val="0"/>
                <w:sz w:val="24"/>
                <w:highlight w:val="none"/>
              </w:rPr>
              <w:t>除以上评分分值外，其他政策性加分项分值为</w:t>
            </w:r>
            <w:r>
              <w:rPr>
                <w:rFonts w:hint="eastAsia" w:ascii="宋体" w:hAnsi="宋体" w:cs="MS Mincho"/>
                <w:kern w:val="0"/>
                <w:sz w:val="24"/>
                <w:highlight w:val="none"/>
                <w:lang w:val="en-US" w:eastAsia="zh-CN"/>
              </w:rPr>
              <w:t>0</w:t>
            </w:r>
            <w:r>
              <w:rPr>
                <w:rFonts w:hint="eastAsia" w:ascii="宋体" w:hAnsi="宋体" w:cs="MS Mincho"/>
                <w:kern w:val="0"/>
                <w:sz w:val="24"/>
                <w:highlight w:val="none"/>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4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序号</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Times New Roman"/>
                <w:b/>
                <w:kern w:val="2"/>
                <w:sz w:val="24"/>
                <w:szCs w:val="24"/>
                <w:highlight w:val="none"/>
                <w:lang w:val="en-US" w:eastAsia="zh-CN" w:bidi="ar-SA"/>
              </w:rPr>
            </w:pPr>
            <w:r>
              <w:rPr>
                <w:rFonts w:hint="eastAsia" w:ascii="宋体" w:hAnsi="宋体"/>
                <w:b/>
                <w:sz w:val="24"/>
                <w:highlight w:val="none"/>
              </w:rPr>
              <w:t>评审因素量化指标</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left"/>
              <w:rPr>
                <w:rFonts w:hint="eastAsia" w:ascii="宋体" w:hAnsi="宋体" w:eastAsia="宋体" w:cs="Times New Roman"/>
                <w:b/>
                <w:bCs/>
                <w:kern w:val="0"/>
                <w:sz w:val="24"/>
                <w:szCs w:val="24"/>
                <w:highlight w:val="none"/>
                <w:shd w:val="clear" w:color="auto" w:fill="FFFFFF"/>
                <w:lang w:val="en-US" w:eastAsia="zh-CN" w:bidi="ar-SA"/>
              </w:rPr>
            </w:pPr>
            <w:r>
              <w:rPr>
                <w:rFonts w:hint="eastAsia" w:ascii="宋体" w:hAnsi="宋体"/>
                <w:b/>
                <w:bCs/>
                <w:kern w:val="0"/>
                <w:sz w:val="24"/>
                <w:highlight w:val="none"/>
                <w:shd w:val="clear" w:color="auto" w:fill="FFFFFF"/>
              </w:rPr>
              <w:t>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9" w:hRule="atLeast"/>
        </w:trPr>
        <w:tc>
          <w:tcPr>
            <w:tcW w:w="421"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1</w:t>
            </w:r>
          </w:p>
        </w:tc>
        <w:tc>
          <w:tcPr>
            <w:tcW w:w="742"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b w:val="0"/>
                <w:bCs w:val="0"/>
                <w:kern w:val="0"/>
                <w:sz w:val="24"/>
                <w:highlight w:val="none"/>
                <w:shd w:val="clear" w:color="auto" w:fill="FFFFFF"/>
              </w:rPr>
            </w:pPr>
            <w:r>
              <w:rPr>
                <w:rFonts w:hint="eastAsia" w:ascii="宋体" w:hAnsi="宋体"/>
                <w:b w:val="0"/>
                <w:bCs w:val="0"/>
                <w:kern w:val="0"/>
                <w:sz w:val="24"/>
                <w:highlight w:val="none"/>
                <w:shd w:val="clear" w:color="auto" w:fill="FFFFFF"/>
              </w:rPr>
              <w:t>投标报价</w:t>
            </w:r>
          </w:p>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20分</w:t>
            </w:r>
          </w:p>
        </w:tc>
        <w:tc>
          <w:tcPr>
            <w:tcW w:w="55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380" w:lineRule="exact"/>
              <w:jc w:val="left"/>
              <w:rPr>
                <w:rFonts w:ascii="宋体" w:hAnsi="宋体" w:cs="MS Mincho"/>
                <w:kern w:val="0"/>
                <w:sz w:val="24"/>
                <w:highlight w:val="none"/>
              </w:rPr>
            </w:pPr>
            <w:r>
              <w:rPr>
                <w:rFonts w:hint="eastAsia" w:ascii="宋体" w:hAnsi="宋体" w:cs="MS Mincho"/>
                <w:kern w:val="0"/>
                <w:sz w:val="24"/>
                <w:highlight w:val="none"/>
              </w:rPr>
              <w:t>价格分采用低价优先法计算，即满足招标文件要求且投标价格最低的投标报价为评标基准价，其价格分为满分。其他投标人的价格分统一按照下列公式计算：</w:t>
            </w:r>
          </w:p>
          <w:p>
            <w:pPr>
              <w:autoSpaceDE w:val="0"/>
              <w:autoSpaceDN w:val="0"/>
              <w:adjustRightInd w:val="0"/>
              <w:spacing w:line="380" w:lineRule="exact"/>
              <w:jc w:val="left"/>
              <w:rPr>
                <w:rFonts w:hint="default" w:ascii="宋体" w:hAnsi="宋体" w:eastAsia="宋体" w:cs="MS Mincho"/>
                <w:kern w:val="0"/>
                <w:sz w:val="24"/>
                <w:highlight w:val="none"/>
                <w:lang w:val="en-US" w:eastAsia="zh-CN"/>
              </w:rPr>
            </w:pPr>
            <w:r>
              <w:rPr>
                <w:rFonts w:hint="eastAsia" w:ascii="宋体" w:hAnsi="宋体" w:cs="MS Mincho"/>
                <w:kern w:val="0"/>
                <w:sz w:val="24"/>
                <w:highlight w:val="none"/>
              </w:rPr>
              <w:t>投标报价得分</w:t>
            </w:r>
            <w:r>
              <w:rPr>
                <w:rFonts w:ascii="宋体" w:hAnsi="宋体" w:cs="MS Mincho"/>
                <w:kern w:val="0"/>
                <w:sz w:val="24"/>
                <w:highlight w:val="none"/>
              </w:rPr>
              <w:t>=(</w:t>
            </w:r>
            <w:r>
              <w:rPr>
                <w:rFonts w:hint="eastAsia" w:ascii="宋体" w:hAnsi="宋体" w:cs="MS Mincho"/>
                <w:kern w:val="0"/>
                <w:sz w:val="24"/>
                <w:highlight w:val="none"/>
              </w:rPr>
              <w:t>评标基准价</w:t>
            </w:r>
            <w:r>
              <w:rPr>
                <w:rFonts w:ascii="宋体" w:hAnsi="宋体" w:cs="MS Mincho"/>
                <w:kern w:val="0"/>
                <w:sz w:val="24"/>
                <w:highlight w:val="none"/>
              </w:rPr>
              <w:t>/</w:t>
            </w:r>
            <w:r>
              <w:rPr>
                <w:rFonts w:hint="eastAsia" w:ascii="宋体" w:hAnsi="宋体" w:cs="MS Mincho"/>
                <w:kern w:val="0"/>
                <w:sz w:val="24"/>
                <w:highlight w:val="none"/>
              </w:rPr>
              <w:t>投标报价</w:t>
            </w:r>
            <w:r>
              <w:rPr>
                <w:rFonts w:ascii="宋体" w:hAnsi="宋体" w:cs="MS Mincho"/>
                <w:kern w:val="0"/>
                <w:sz w:val="24"/>
                <w:highlight w:val="none"/>
              </w:rPr>
              <w:t>)</w:t>
            </w:r>
            <w:r>
              <w:rPr>
                <w:rFonts w:hint="eastAsia" w:ascii="宋体" w:hAnsi="宋体" w:cs="MS Mincho"/>
                <w:kern w:val="0"/>
                <w:sz w:val="24"/>
                <w:highlight w:val="none"/>
              </w:rPr>
              <w:t>×</w:t>
            </w:r>
            <w:r>
              <w:rPr>
                <w:rFonts w:hint="eastAsia" w:ascii="宋体" w:hAnsi="宋体" w:cs="MS Mincho"/>
                <w:kern w:val="0"/>
                <w:sz w:val="24"/>
                <w:highlight w:val="none"/>
                <w:lang w:val="en-US" w:eastAsia="zh-CN"/>
              </w:rPr>
              <w:t>20</w:t>
            </w:r>
          </w:p>
          <w:p>
            <w:pPr>
              <w:spacing w:line="380" w:lineRule="exact"/>
              <w:rPr>
                <w:rFonts w:ascii="宋体" w:hAnsi="宋体"/>
                <w:sz w:val="24"/>
                <w:highlight w:val="none"/>
              </w:rPr>
            </w:pPr>
            <w:r>
              <w:rPr>
                <w:rFonts w:hint="eastAsia" w:ascii="宋体" w:hAnsi="宋体"/>
                <w:sz w:val="24"/>
                <w:highlight w:val="none"/>
              </w:rPr>
              <w:t>因落实政府采购政策进行价格调整的，以调整后的价格计算评标基准价和投标报价。具体规定如下：</w:t>
            </w:r>
          </w:p>
          <w:p>
            <w:pPr>
              <w:spacing w:line="380" w:lineRule="exact"/>
              <w:rPr>
                <w:rFonts w:ascii="宋体" w:hAnsi="宋体"/>
                <w:sz w:val="24"/>
                <w:highlight w:val="none"/>
              </w:rPr>
            </w:pPr>
            <w:r>
              <w:rPr>
                <w:rFonts w:hint="eastAsia" w:ascii="宋体" w:hAnsi="宋体"/>
                <w:sz w:val="24"/>
                <w:highlight w:val="none"/>
              </w:rPr>
              <w:t>对符合政府采购政策规定的小微企业、监狱企业、残疾人福利性单位合格投标人，价格给予</w:t>
            </w:r>
            <w:r>
              <w:rPr>
                <w:rFonts w:hint="eastAsia" w:ascii="宋体" w:hAnsi="宋体"/>
                <w:sz w:val="24"/>
                <w:highlight w:val="none"/>
                <w:lang w:val="en-US" w:eastAsia="zh-CN"/>
              </w:rPr>
              <w:t>10</w:t>
            </w:r>
            <w:r>
              <w:rPr>
                <w:rFonts w:hint="eastAsia" w:ascii="宋体" w:hAnsi="宋体"/>
                <w:sz w:val="24"/>
                <w:highlight w:val="none"/>
              </w:rPr>
              <w:t>%的扣除，用扣除后的价格计算评标基准价和投标报价。对于同时属于小微企业、监狱企业或残疾人福利性单位的，不重复进行投标报价扣除。</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20</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2</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商务部分30分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类似项目业绩</w:t>
            </w:r>
            <w:r>
              <w:rPr>
                <w:rFonts w:hint="eastAsia" w:ascii="宋体" w:hAnsi="宋体" w:cs="Times New Roman"/>
                <w:bCs/>
                <w:kern w:val="0"/>
                <w:sz w:val="24"/>
                <w:highlight w:val="none"/>
                <w:shd w:val="clear" w:color="auto" w:fill="FFFFFF"/>
                <w:lang w:val="en-US" w:eastAsia="zh-CN"/>
              </w:rPr>
              <w:t>4</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hint="eastAsia"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投标人每提供一份2019年1月1日（以合同签订时间为准）以来类似业绩合同的得2分，最多得4分，没有不得分。</w:t>
            </w:r>
          </w:p>
          <w:p>
            <w:pPr>
              <w:widowControl/>
              <w:shd w:val="solid" w:color="FFFFFF" w:fill="auto"/>
              <w:autoSpaceDN w:val="0"/>
              <w:spacing w:line="360" w:lineRule="exact"/>
              <w:jc w:val="left"/>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注：须附业绩合同（关键页）、中标公告和中标通知书。</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hint="eastAsia" w:ascii="宋体" w:hAnsi="宋体"/>
                <w:b/>
                <w:bCs/>
                <w:kern w:val="0"/>
                <w:sz w:val="24"/>
                <w:highlight w:val="none"/>
                <w:shd w:val="clear" w:color="auto" w:fill="FFFFFF"/>
                <w:lang w:val="en-US" w:eastAsia="zh-CN"/>
              </w:rPr>
              <w:t>4</w:t>
            </w:r>
            <w:r>
              <w:rPr>
                <w:rFonts w:hint="eastAsia" w:ascii="宋体" w:hAnsi="宋体"/>
                <w:b/>
                <w:bCs/>
                <w:kern w:val="0"/>
                <w:sz w:val="24"/>
                <w:highlight w:val="none"/>
                <w:shd w:val="clear" w:color="auto" w:fill="FFFFFF"/>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企业实力</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cs="Times New Roman"/>
                <w:bCs/>
                <w:kern w:val="0"/>
                <w:sz w:val="24"/>
                <w:highlight w:val="none"/>
                <w:shd w:val="clear" w:color="auto" w:fill="FFFFFF"/>
                <w:lang w:val="en-US" w:eastAsia="zh-CN"/>
              </w:rPr>
              <w:t>6</w:t>
            </w:r>
            <w:r>
              <w:rPr>
                <w:rFonts w:hint="eastAsia" w:ascii="宋体" w:hAnsi="宋体" w:eastAsia="宋体" w:cs="Times New Roman"/>
                <w:bCs/>
                <w:kern w:val="0"/>
                <w:sz w:val="24"/>
                <w:highlight w:val="none"/>
                <w:shd w:val="clear" w:color="auto" w:fill="FFFFFF"/>
                <w:lang w:val="en-US" w:eastAsia="zh-CN"/>
              </w:rPr>
              <w:t>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rPr>
              <w:t>为保障线路运行稳定，项目顺利实施，</w:t>
            </w:r>
            <w:r>
              <w:rPr>
                <w:rFonts w:hint="eastAsia" w:ascii="宋体" w:hAnsi="宋体"/>
                <w:bCs/>
                <w:kern w:val="0"/>
                <w:sz w:val="24"/>
                <w:highlight w:val="none"/>
                <w:shd w:val="clear" w:color="auto" w:fill="FFFFFF"/>
                <w:lang w:val="en-US" w:eastAsia="zh-CN"/>
              </w:rPr>
              <w:t>投标人</w:t>
            </w:r>
            <w:r>
              <w:rPr>
                <w:rFonts w:hint="eastAsia" w:ascii="宋体" w:hAnsi="宋体"/>
                <w:bCs/>
                <w:kern w:val="0"/>
                <w:sz w:val="24"/>
                <w:highlight w:val="none"/>
                <w:shd w:val="clear" w:color="auto" w:fill="FFFFFF"/>
              </w:rPr>
              <w:t>获得ISP增值电信业务许可证，得</w:t>
            </w:r>
            <w:r>
              <w:rPr>
                <w:rFonts w:hint="eastAsia" w:ascii="宋体" w:hAnsi="宋体"/>
                <w:bCs/>
                <w:kern w:val="0"/>
                <w:sz w:val="24"/>
                <w:highlight w:val="none"/>
                <w:shd w:val="clear" w:color="auto" w:fill="FFFFFF"/>
                <w:lang w:val="en-US" w:eastAsia="zh-CN"/>
              </w:rPr>
              <w:t>6</w:t>
            </w:r>
            <w:r>
              <w:rPr>
                <w:rFonts w:hint="eastAsia" w:ascii="宋体" w:hAnsi="宋体"/>
                <w:bCs/>
                <w:kern w:val="0"/>
                <w:sz w:val="24"/>
                <w:highlight w:val="none"/>
                <w:shd w:val="clear" w:color="auto" w:fill="FFFFFF"/>
              </w:rPr>
              <w:t>分，否则不得分。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6</w:t>
            </w:r>
            <w:r>
              <w:rPr>
                <w:rFonts w:hint="eastAsia" w:ascii="宋体" w:hAnsi="宋体" w:eastAsia="宋体"/>
                <w:b/>
                <w:bCs/>
                <w:kern w:val="0"/>
                <w:sz w:val="24"/>
                <w:highlight w:val="none"/>
                <w:shd w:val="clear" w:color="auto" w:fill="FFFFFF"/>
                <w:lang w:val="en-US" w:eastAsia="zh-C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售后服务方案及承诺20分</w:t>
            </w:r>
          </w:p>
        </w:tc>
        <w:tc>
          <w:tcPr>
            <w:tcW w:w="4544"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shd w:val="solid" w:color="FFFFFF" w:fill="auto"/>
              <w:autoSpaceDN w:val="0"/>
              <w:spacing w:line="360" w:lineRule="exact"/>
              <w:jc w:val="left"/>
              <w:rPr>
                <w:rFonts w:hint="default" w:ascii="宋体" w:hAnsi="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1.服务期限内提供7*24小时技术支持、免费维护期内提供免费升级软件，满足以上内容得4分，否则不得分。</w:t>
            </w:r>
          </w:p>
          <w:p>
            <w:pPr>
              <w:widowControl/>
              <w:numPr>
                <w:ilvl w:val="0"/>
                <w:numId w:val="0"/>
              </w:numPr>
              <w:shd w:val="solid" w:color="FFFFFF" w:fill="auto"/>
              <w:autoSpaceDN w:val="0"/>
              <w:spacing w:line="360" w:lineRule="exact"/>
              <w:jc w:val="left"/>
              <w:rPr>
                <w:rFonts w:hint="eastAsia" w:ascii="宋体" w:hAnsi="宋体"/>
                <w:bCs/>
                <w:kern w:val="0"/>
                <w:sz w:val="24"/>
                <w:highlight w:val="none"/>
                <w:shd w:val="clear" w:color="auto" w:fill="FFFFFF"/>
                <w:lang w:eastAsia="zh-CN"/>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针对本项目提供的服务计划、售后服务措施等，承诺措施内容科学可行的得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r>
              <w:rPr>
                <w:rFonts w:hint="eastAsia" w:ascii="宋体" w:hAnsi="宋体"/>
                <w:bCs/>
                <w:kern w:val="0"/>
                <w:sz w:val="24"/>
                <w:highlight w:val="none"/>
                <w:shd w:val="clear" w:color="auto" w:fill="FFFFFF"/>
                <w:lang w:eastAsia="zh-CN"/>
              </w:rPr>
              <w:t>；</w:t>
            </w:r>
          </w:p>
          <w:p>
            <w:pPr>
              <w:widowControl/>
              <w:shd w:val="solid" w:color="FFFFFF" w:fill="auto"/>
              <w:autoSpaceDN w:val="0"/>
              <w:spacing w:line="360" w:lineRule="exact"/>
              <w:jc w:val="left"/>
              <w:rPr>
                <w:rFonts w:ascii="宋体" w:hAnsi="宋体"/>
                <w:bCs/>
                <w:kern w:val="0"/>
                <w:sz w:val="24"/>
                <w:highlight w:val="none"/>
                <w:shd w:val="clear" w:color="auto" w:fill="FFFFFF"/>
              </w:rPr>
            </w:pPr>
            <w:r>
              <w:rPr>
                <w:rFonts w:hint="eastAsia" w:ascii="宋体" w:hAnsi="宋体"/>
                <w:bCs/>
                <w:kern w:val="0"/>
                <w:sz w:val="24"/>
                <w:highlight w:val="none"/>
                <w:shd w:val="clear" w:color="auto" w:fill="FFFFFF"/>
                <w:lang w:val="en-US" w:eastAsia="zh-CN"/>
              </w:rPr>
              <w:t>2.投标人</w:t>
            </w:r>
            <w:r>
              <w:rPr>
                <w:rFonts w:hint="eastAsia" w:ascii="宋体" w:hAnsi="宋体"/>
                <w:bCs/>
                <w:kern w:val="0"/>
                <w:sz w:val="24"/>
                <w:highlight w:val="none"/>
                <w:shd w:val="clear" w:color="auto" w:fill="FFFFFF"/>
              </w:rPr>
              <w:t>针对本项目提供的服务响应时间、故障排除时间、对服务期满后的续保条件等方面所做出的承诺情况科学可行的得</w:t>
            </w:r>
            <w:r>
              <w:rPr>
                <w:rFonts w:hint="eastAsia" w:ascii="宋体" w:hAnsi="宋体"/>
                <w:bCs/>
                <w:kern w:val="0"/>
                <w:sz w:val="24"/>
                <w:highlight w:val="none"/>
                <w:shd w:val="clear" w:color="auto" w:fill="FFFFFF"/>
                <w:lang w:val="en-US" w:eastAsia="zh-CN"/>
              </w:rPr>
              <w:t>8</w:t>
            </w:r>
            <w:r>
              <w:rPr>
                <w:rFonts w:hint="eastAsia" w:ascii="宋体" w:hAnsi="宋体"/>
                <w:bCs/>
                <w:kern w:val="0"/>
                <w:sz w:val="24"/>
                <w:highlight w:val="none"/>
                <w:shd w:val="clear" w:color="auto" w:fill="FFFFFF"/>
              </w:rPr>
              <w:t>分；承诺措施内容基本合理的得</w:t>
            </w:r>
            <w:r>
              <w:rPr>
                <w:rFonts w:hint="eastAsia" w:ascii="宋体" w:hAnsi="宋体"/>
                <w:bCs/>
                <w:kern w:val="0"/>
                <w:sz w:val="24"/>
                <w:highlight w:val="none"/>
                <w:shd w:val="clear" w:color="auto" w:fill="FFFFFF"/>
                <w:lang w:val="en-US" w:eastAsia="zh-CN"/>
              </w:rPr>
              <w:t>5</w:t>
            </w:r>
            <w:r>
              <w:rPr>
                <w:rFonts w:hint="eastAsia" w:ascii="宋体" w:hAnsi="宋体"/>
                <w:bCs/>
                <w:kern w:val="0"/>
                <w:sz w:val="24"/>
                <w:highlight w:val="none"/>
                <w:shd w:val="clear" w:color="auto" w:fill="FFFFFF"/>
              </w:rPr>
              <w:t>分；承诺措施内容不完整的得</w:t>
            </w:r>
            <w:r>
              <w:rPr>
                <w:rFonts w:hint="eastAsia" w:ascii="宋体" w:hAnsi="宋体"/>
                <w:bCs/>
                <w:kern w:val="0"/>
                <w:sz w:val="24"/>
                <w:highlight w:val="none"/>
                <w:shd w:val="clear" w:color="auto" w:fill="FFFFFF"/>
                <w:lang w:val="en-US" w:eastAsia="zh-CN"/>
              </w:rPr>
              <w:t>2</w:t>
            </w:r>
            <w:r>
              <w:rPr>
                <w:rFonts w:hint="eastAsia" w:ascii="宋体" w:hAnsi="宋体"/>
                <w:bCs/>
                <w:kern w:val="0"/>
                <w:sz w:val="24"/>
                <w:highlight w:val="none"/>
                <w:shd w:val="clear" w:color="auto" w:fill="FFFFFF"/>
              </w:rPr>
              <w:t>分，没有不得分。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b/>
                <w:bCs/>
                <w:kern w:val="0"/>
                <w:sz w:val="24"/>
                <w:highlight w:val="none"/>
                <w:shd w:val="clear" w:color="auto" w:fill="FFFFFF"/>
                <w:lang w:val="en-US" w:eastAsia="zh-CN"/>
              </w:rPr>
              <w:t>20分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r>
              <w:rPr>
                <w:rFonts w:ascii="宋体" w:hAnsi="宋体"/>
                <w:bCs/>
                <w:kern w:val="0"/>
                <w:sz w:val="24"/>
                <w:highlight w:val="none"/>
                <w:shd w:val="clear" w:color="auto" w:fill="FFFFFF"/>
              </w:rPr>
              <w:t>3</w:t>
            </w:r>
          </w:p>
        </w:tc>
        <w:tc>
          <w:tcPr>
            <w:tcW w:w="742" w:type="pct"/>
            <w:vMerge w:val="restart"/>
            <w:tcBorders>
              <w:top w:val="single" w:color="auto" w:sz="4" w:space="0"/>
              <w:left w:val="single" w:color="auto" w:sz="4" w:space="0"/>
              <w:right w:val="single" w:color="auto" w:sz="4" w:space="0"/>
            </w:tcBorders>
            <w:vAlign w:val="center"/>
          </w:tcPr>
          <w:p>
            <w:pPr>
              <w:widowControl/>
              <w:shd w:val="solid" w:color="FFFFFF" w:fill="auto"/>
              <w:autoSpaceDN w:val="0"/>
              <w:spacing w:line="380" w:lineRule="exact"/>
              <w:jc w:val="center"/>
              <w:rPr>
                <w:rFonts w:hint="default" w:ascii="宋体" w:hAnsi="宋体" w:eastAsia="宋体"/>
                <w:bCs/>
                <w:kern w:val="0"/>
                <w:sz w:val="24"/>
                <w:highlight w:val="none"/>
                <w:shd w:val="clear" w:color="auto" w:fill="FFFFFF"/>
                <w:lang w:val="en-US" w:eastAsia="zh-CN"/>
              </w:rPr>
            </w:pPr>
            <w:r>
              <w:rPr>
                <w:rFonts w:hint="eastAsia" w:ascii="宋体" w:hAnsi="宋体"/>
                <w:bCs/>
                <w:kern w:val="0"/>
                <w:sz w:val="24"/>
                <w:highlight w:val="none"/>
                <w:shd w:val="clear" w:color="auto" w:fill="FFFFFF"/>
                <w:lang w:val="en-US" w:eastAsia="zh-CN"/>
              </w:rPr>
              <w:t>技术部分50分</w:t>
            </w: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 xml:space="preserve">技术要求 </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40分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针对本项目采购需求中要求提供的服务的技术，投标人的响应完全或优于招标文件的要求的得40分，每有1项不满足扣3分，最多扣30分，超过10项不满足的视为技术不响应，其投标文件无效。</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40分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421" w:type="pct"/>
            <w:vMerge w:val="continue"/>
            <w:tcBorders>
              <w:left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Cs/>
                <w:kern w:val="0"/>
                <w:sz w:val="24"/>
                <w:highlight w:val="none"/>
                <w:shd w:val="clear" w:color="auto" w:fill="FFFFFF"/>
              </w:rPr>
            </w:pPr>
          </w:p>
        </w:tc>
        <w:tc>
          <w:tcPr>
            <w:tcW w:w="742" w:type="pct"/>
            <w:vMerge w:val="continue"/>
            <w:tcBorders>
              <w:left w:val="single" w:color="auto" w:sz="4" w:space="0"/>
              <w:right w:val="single" w:color="auto" w:sz="4" w:space="0"/>
            </w:tcBorders>
            <w:vAlign w:val="center"/>
          </w:tcPr>
          <w:p>
            <w:pPr>
              <w:widowControl/>
              <w:shd w:val="solid" w:color="FFFFFF" w:fill="auto"/>
              <w:autoSpaceDN w:val="0"/>
              <w:spacing w:line="380" w:lineRule="exact"/>
              <w:jc w:val="center"/>
              <w:rPr>
                <w:rFonts w:hint="eastAsia" w:ascii="宋体" w:hAnsi="宋体"/>
                <w:bCs/>
                <w:kern w:val="0"/>
                <w:sz w:val="24"/>
                <w:highlight w:val="none"/>
                <w:shd w:val="clear" w:color="auto" w:fill="FFFFFF"/>
                <w:lang w:val="en-US" w:eastAsia="zh-CN"/>
              </w:rPr>
            </w:pPr>
          </w:p>
        </w:tc>
        <w:tc>
          <w:tcPr>
            <w:tcW w:w="603"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实施方案</w:t>
            </w:r>
          </w:p>
          <w:p>
            <w:pPr>
              <w:widowControl/>
              <w:shd w:val="solid" w:color="FFFFFF" w:fill="auto"/>
              <w:autoSpaceDN w:val="0"/>
              <w:spacing w:line="360" w:lineRule="exact"/>
              <w:jc w:val="center"/>
              <w:rPr>
                <w:rFonts w:hint="default"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10分</w:t>
            </w:r>
          </w:p>
        </w:tc>
        <w:tc>
          <w:tcPr>
            <w:tcW w:w="4544" w:type="dxa"/>
            <w:tcBorders>
              <w:top w:val="single" w:color="auto" w:sz="4" w:space="0"/>
              <w:left w:val="single" w:color="auto" w:sz="4" w:space="0"/>
              <w:bottom w:val="single" w:color="auto" w:sz="4" w:space="0"/>
              <w:right w:val="single" w:color="auto" w:sz="4" w:space="0"/>
            </w:tcBorders>
            <w:vAlign w:val="top"/>
          </w:tcPr>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据投标人的安装、组织、服务方案，对使用方的培训及配套服务等方案对比打分，根据方案的科学性、合理性、实用性等进行评分。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方案描述详尽合理，具有较强的可操作性，得10分；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方案相对合理，描述一般，可操作性一般，得5分；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方案一般，描述不详细，可操作性差的得1分，</w:t>
            </w:r>
          </w:p>
          <w:p>
            <w:pPr>
              <w:widowControl/>
              <w:shd w:val="solid" w:color="FFFFFF" w:fill="auto"/>
              <w:autoSpaceDN w:val="0"/>
              <w:spacing w:line="360" w:lineRule="exact"/>
              <w:jc w:val="left"/>
              <w:rPr>
                <w:rFonts w:hint="eastAsia" w:ascii="宋体" w:hAnsi="宋体" w:eastAsia="宋体" w:cs="Times New Roman"/>
                <w:bCs/>
                <w:kern w:val="0"/>
                <w:sz w:val="24"/>
                <w:highlight w:val="none"/>
                <w:shd w:val="clear" w:color="auto" w:fill="FFFFFF"/>
                <w:lang w:val="en-US" w:eastAsia="zh-CN"/>
              </w:rPr>
            </w:pPr>
            <w:r>
              <w:rPr>
                <w:rFonts w:hint="eastAsia" w:ascii="宋体" w:hAnsi="宋体" w:eastAsia="宋体" w:cs="Times New Roman"/>
                <w:bCs/>
                <w:kern w:val="0"/>
                <w:sz w:val="24"/>
                <w:highlight w:val="none"/>
                <w:shd w:val="clear" w:color="auto" w:fill="FFFFFF"/>
                <w:lang w:val="en-US" w:eastAsia="zh-CN"/>
              </w:rPr>
              <w:t>未提供的不得分。</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hint="default" w:ascii="宋体" w:hAnsi="宋体" w:eastAsia="宋体"/>
                <w:b/>
                <w:bCs/>
                <w:kern w:val="0"/>
                <w:sz w:val="24"/>
                <w:highlight w:val="none"/>
                <w:shd w:val="clear" w:color="auto" w:fill="FFFFFF"/>
                <w:lang w:val="en-US" w:eastAsia="zh-CN"/>
              </w:rPr>
            </w:pPr>
            <w:r>
              <w:rPr>
                <w:rFonts w:hint="eastAsia" w:ascii="宋体" w:hAnsi="宋体" w:eastAsia="宋体"/>
                <w:b/>
                <w:bCs/>
                <w:kern w:val="0"/>
                <w:sz w:val="24"/>
                <w:highlight w:val="none"/>
                <w:shd w:val="clear" w:color="auto" w:fill="FFFFFF"/>
                <w:lang w:val="en-US" w:eastAsia="zh-CN"/>
              </w:rPr>
              <w:t>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164"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80" w:lineRule="exact"/>
              <w:jc w:val="center"/>
              <w:rPr>
                <w:rFonts w:ascii="宋体" w:hAnsi="宋体"/>
                <w:sz w:val="24"/>
                <w:highlight w:val="none"/>
              </w:rPr>
            </w:pPr>
            <w:r>
              <w:rPr>
                <w:rFonts w:hint="eastAsia" w:ascii="宋体" w:hAnsi="宋体"/>
                <w:b/>
                <w:bCs/>
                <w:kern w:val="0"/>
                <w:sz w:val="24"/>
                <w:highlight w:val="none"/>
                <w:shd w:val="clear" w:color="auto" w:fill="FFFFFF"/>
              </w:rPr>
              <w:t>政策性加分项</w:t>
            </w:r>
          </w:p>
        </w:tc>
        <w:tc>
          <w:tcPr>
            <w:tcW w:w="3269" w:type="pct"/>
            <w:gridSpan w:val="2"/>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exact"/>
              <w:jc w:val="center"/>
              <w:rPr>
                <w:rFonts w:ascii="宋体" w:hAnsi="宋体"/>
                <w:b/>
                <w:bCs/>
                <w:sz w:val="24"/>
                <w:highlight w:val="none"/>
              </w:rPr>
            </w:pPr>
            <w:r>
              <w:rPr>
                <w:rFonts w:hint="eastAsia" w:ascii="宋体" w:hAnsi="宋体"/>
                <w:b/>
                <w:bCs/>
                <w:sz w:val="24"/>
                <w:highlight w:val="none"/>
              </w:rPr>
              <w:t>/</w:t>
            </w:r>
          </w:p>
        </w:tc>
        <w:tc>
          <w:tcPr>
            <w:tcW w:w="566" w:type="pct"/>
            <w:tcBorders>
              <w:top w:val="single" w:color="auto" w:sz="4" w:space="0"/>
              <w:left w:val="single" w:color="auto" w:sz="4" w:space="0"/>
              <w:bottom w:val="single" w:color="auto" w:sz="4" w:space="0"/>
              <w:right w:val="single" w:color="auto" w:sz="4" w:space="0"/>
            </w:tcBorders>
            <w:vAlign w:val="center"/>
          </w:tcPr>
          <w:p>
            <w:pPr>
              <w:widowControl/>
              <w:shd w:val="solid" w:color="FFFFFF" w:fill="auto"/>
              <w:autoSpaceDN w:val="0"/>
              <w:spacing w:line="360" w:lineRule="auto"/>
              <w:jc w:val="center"/>
              <w:rPr>
                <w:rFonts w:ascii="宋体" w:hAnsi="宋体"/>
                <w:b/>
                <w:bCs/>
                <w:kern w:val="0"/>
                <w:sz w:val="24"/>
                <w:highlight w:val="none"/>
                <w:shd w:val="clear" w:color="auto" w:fill="FFFFFF"/>
              </w:rPr>
            </w:pPr>
            <w:r>
              <w:rPr>
                <w:rFonts w:ascii="宋体" w:hAnsi="宋体"/>
                <w:b/>
                <w:bCs/>
                <w:kern w:val="0"/>
                <w:sz w:val="24"/>
                <w:highlight w:val="none"/>
                <w:shd w:val="clear" w:color="auto" w:fill="FFFFFF"/>
              </w:rPr>
              <w:t>/</w:t>
            </w:r>
          </w:p>
        </w:tc>
      </w:tr>
    </w:tbl>
    <w:p>
      <w:pPr>
        <w:pStyle w:val="26"/>
        <w:rPr>
          <w:rFonts w:hint="eastAsia"/>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65" w:name="_Toc23390"/>
      <w:r>
        <w:rPr>
          <w:rFonts w:hint="eastAsia" w:ascii="Times New Roman" w:hAnsi="Times New Roman" w:eastAsia="宋体" w:cs="Times New Roman"/>
          <w:highlight w:val="none"/>
        </w:rPr>
        <w:t>第五章 政府采购合同</w:t>
      </w:r>
      <w:bookmarkEnd w:id="164"/>
      <w:bookmarkEnd w:id="165"/>
    </w:p>
    <w:p>
      <w:pPr>
        <w:jc w:val="center"/>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A包：软件测评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4"/>
          <w:szCs w:val="24"/>
          <w:highlight w:val="none"/>
        </w:rPr>
        <w:t xml:space="preserve"> </w:t>
      </w: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ascii="宋体" w:hAnsi="宋体" w:eastAsia="宋体" w:cs="宋体"/>
          <w:b/>
          <w:bCs/>
          <w:sz w:val="28"/>
          <w:szCs w:val="28"/>
          <w:highlight w:val="none"/>
        </w:rPr>
      </w:pPr>
      <w:r>
        <w:rPr>
          <w:rFonts w:hint="eastAsia" w:ascii="宋体" w:hAnsi="宋体" w:eastAsia="宋体" w:cs="宋体"/>
          <w:b/>
          <w:bCs/>
          <w:sz w:val="28"/>
          <w:szCs w:val="28"/>
          <w:highlight w:val="none"/>
        </w:rPr>
        <w:t>（A包：软件测评）采购合同</w:t>
      </w:r>
    </w:p>
    <w:p>
      <w:pPr>
        <w:spacing w:line="258" w:lineRule="auto"/>
        <w:rPr>
          <w:rFonts w:ascii="Arial"/>
          <w:sz w:val="21"/>
          <w:highlight w:val="none"/>
        </w:rPr>
      </w:pPr>
    </w:p>
    <w:p>
      <w:pPr>
        <w:spacing w:line="258" w:lineRule="auto"/>
        <w:rPr>
          <w:rFonts w:ascii="Arial"/>
          <w:sz w:val="21"/>
          <w:highlight w:val="none"/>
        </w:rPr>
      </w:pPr>
    </w:p>
    <w:p>
      <w:pPr>
        <w:spacing w:line="258" w:lineRule="auto"/>
        <w:rPr>
          <w:rFonts w:ascii="Arial"/>
          <w:sz w:val="21"/>
          <w:highlight w:val="none"/>
        </w:rPr>
      </w:pPr>
    </w:p>
    <w:p>
      <w:pPr>
        <w:spacing w:line="259" w:lineRule="auto"/>
        <w:rPr>
          <w:rFonts w:ascii="Arial"/>
          <w:sz w:val="21"/>
          <w:highlight w:val="none"/>
        </w:rPr>
      </w:pPr>
    </w:p>
    <w:p>
      <w:pPr>
        <w:spacing w:line="259" w:lineRule="auto"/>
        <w:rPr>
          <w:rFonts w:ascii="Arial"/>
          <w:sz w:val="21"/>
          <w:highlight w:val="none"/>
        </w:rPr>
      </w:pP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第一条 名词和术语的解释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1 本合同：指合同主体文本及合同附件。合同附件属“合同”不可分割之部分，与合同主体文本条款具有同等法律效力。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合同附件：除本合同明确列举的附件外，与履行本合同有关的技术背景资料、可行性论证和技术评价报告、项目任务书和计划书、技术标准、技术规范、原始设计和工艺文件，以及其他技术文档，亦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 本合同双方：指本合同的甲方和乙方，本合同双方亦称甲、乙双方或本合同各方。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合同总金额：指依本合同约定的标准确定的乙方完全履行合同义务后甲方应向乙方支付之报酬金额。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1.5本项目：由甲方委托乙方进行郑州市二七区大数据中心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 (以下简称“本项目”)。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1.6 保密信息：本合同所称保密信息是指本合同拥有信息的一方 (“信息提供方”) 根据本合同向另一方(“信息接受方”) 提供的信息以及各方在执行本合同过程中产生或得知的所有信息，包括但不限于 提供方不予公开的观点信息、发现、发明、公式、文件、程序、模型、参数、专有技术秘密和任何 一方所持有的事务或其事务运转操作方法，上述保密信息被视为信息提供方的专有财产。</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1.7不可抗力事件：本合同项下的不可抗力事件，是指不能预见、不能避免并无法克服的客观情况，包 括但不限于火灾、雷击、洪水、地震及动乱、暴动、骚乱、罢工等，但不包括任何一方及其工作人员的故意或过失行为。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1.8情势变更：本合同项下之情势变更是指因不可归责于甲、乙双方任何一方的原因，本合同履行过程中客观环境或经济环境发生巨大变化，致使甲、乙双方订立本合同时的客观基础丧失或动摇，若继 续履行合同将导致显失公平的结果。情势变更包括国家经济政策的重大调整、社会经济形势或经济环境的巨大变化等。正常的商业风险不属于情势变更的范围。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1.9技术要求：指本项目招标文件中技术规范书和/或其它由甲方不时指定的技术文件和技术规范。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第二条 测试服务范围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1测试内容：郑州市二七区大数据中心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（A包：软件测评）。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2.2测试时间要求：从合同签订并具备进场条件后30日内完成全部测试并出具测试报告。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2.3测试报告：纸质版且加盖单位公章，一式三份。电子版扫描件两份。</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第三条 测试要求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1乙方在测试开始之前需向甲方提交测试人员名单及相关履历由甲方审核，乙方所派遣的测试人员应具有相应技术资质，最终测试人员名单由甲方审查确定。经甲方审定的具体人员安排和分组名单作 为本合同附件，乙方调换相关人员需提前书面告知甲方并获得甲方同意，未经甲方事先书面同意不 得调换测试人员，若因乙方违反上述约定，影响项目进度的，甲方有权要求乙方承担相应违约责任。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乙方应严格按照甲方技术要求提供测试设备、工具和相关测试软件。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3乙方于测试结束后，应在 15 个工作日内提交最终测试报告，并满足本合同 2.2 、2.3 款的要求。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4 测试报告应充分详实，明确各项测试的问题和整改意见。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第四条 合同总金额及支付方式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2.乙方完成全部测试工作，提交测试报告后的【20】个工作日内，甲方向乙方支付合同总价款的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 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4.付款方式：银行转账，银行账户详细信息见合同签署页。 </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第五条 甲方权利和义务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5.1甲方需按合同约定支付合同费用。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甲方在测试实施过程中给予乙方工作支持，提供必需的联络信息、协调人员配合乙方完成测试工作。 甲方有权对乙方的测试规程提出建议性意见。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5.3 甲方选派相关人员作为现场监督支持，配合乙方完成测试工作。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5.4 合同执行过程中， 甲方有权根据实际需要，在合同总价不变的情况下调整测试内容。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第六条 乙方权利和义务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 1乙方严格按照甲方的技术要求和合同约定的进度、时间需求及其它要求提交测试数据及阶段性测试 报告及最终测试报告，按时完成测试任务。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6.2 乙方必须保证测试数据的准确性和真实性，不得在测试过程中擅自修改测试结果。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6.3乙方应使用满足合同要求的测试工具、设备和软件完成测试工作。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6.4乙方应保证其交付的测试报告内容完整，符合甲方要求。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6.5 未经甲方事先书面同意，乙方不得将本项目任何部分转让、分包给任何第三方。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6.6乙方有权根据合同约定获取相应技术服务报酬。</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6.7为保证项目的顺利完成，乙方应为本项目成立专项项目组，项目期间项目组成员必须听从甲方的安排，不得随意更换，如有人员变化，需向甲方提交正式的书面材料报批。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第七条 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 1乙方在履行本合同过程中形成的所有测试成果 (包括但不限于测试报告、测试数据和信息) 的知识 产权归属甲方。乙方应在测试结束后或本合同因任何原因终止后</w:t>
      </w:r>
      <w:r>
        <w:rPr>
          <w:rFonts w:hint="eastAsia" w:ascii="宋体" w:hAnsi="宋体" w:eastAsia="宋体" w:cs="宋体"/>
          <w:snapToGrid/>
          <w:kern w:val="2"/>
          <w:sz w:val="24"/>
          <w:szCs w:val="24"/>
          <w:highlight w:val="none"/>
          <w:u w:val="single"/>
          <w:lang w:val="en-US" w:eastAsia="zh-CN" w:bidi="ar-SA"/>
        </w:rPr>
        <w:t>10</w:t>
      </w:r>
      <w:r>
        <w:rPr>
          <w:rFonts w:hint="eastAsia" w:ascii="宋体" w:hAnsi="宋体" w:eastAsia="宋体" w:cs="宋体"/>
          <w:snapToGrid/>
          <w:kern w:val="2"/>
          <w:sz w:val="24"/>
          <w:szCs w:val="24"/>
          <w:highlight w:val="none"/>
          <w:lang w:val="en-US" w:eastAsia="zh-CN" w:bidi="ar-SA"/>
        </w:rPr>
        <w:t>日内向甲方提交所有载有测试成果的资料，并且承诺其不再保留此类资料。乙方应积极配合甲方以合法方式行使上述知识产权。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7.2甲方提供给乙方的任何文件、信息和数据 (包括但不限于技术规范和测试规范) 的知识产权属于甲 方，乙方不得将上述内容用于本合同以外的其他事项。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第八条 保密条款</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 1合同各方一致同意在任何时候对在签订和履行合同过程中所知悉的对方的技术和商业秘密负有严 格保密责任，未经一方事先书面授权且出于执行本合同的合理需要，任一方不得在任何时间以任何 方式向任何个人或组织泄漏、拷贝、或抄写。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8.2 合同双方同意，一方无须为对方的保密行为另外付费。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8.3 违反本条规定，违约方应承担因此给对方造成的全部损失。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8.4 本保密条款具有独立法律效力，不因合同其他条款无效或解除而失效。合同终止后，甲乙双方亦应持续履行本条所述各项保密责任。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第九条 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 1任何一方未履行本合同项下的任何一项条款均被视为违约，违约方收到守约方发出的具体说明违约 情况的通知后应在3日内纠正违约行为，且承担合同规定的违约责任。如果3日内违约方没有纠正，则守约方有权选择提前终止本合同，应提前通知违约方，并且违约方应赔偿守约方因此而遭受 的一切损失。</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如乙方的测试人员未使用或未按合同约定要求使用测试工具、设备或软件，则甲方可就每人次扣除乙方合同总金额的 1%；两人次或以上时甲方有权解除合同，并且乙方应返还甲方已支付的全部款项。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9.3如乙方交付的测试报告不符合本合同规定的内容和/或地点，则必须于10个工作日内补齐所缺内容和/或地点。如所缺内容/或地点无法弥补，则按每缺少一项内容或一地点扣除合同总金额的10% 。如缺少的内容和/或地点超过两项，甲方有权解除合同并且乙方应退还甲方已支付的全部款项。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9.4如乙方未按约定时间提交测试报告的，每逾期一天，应按合同总额1%的标准向甲方支付违约金。 逾期30天仍未提交的，甲方有权解除合同并且乙方应退还甲方已支付的全部款项。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9.5未经甲方书面同意，乙方不得将本合同项下的权利和义务的全部或部分转让、转委托给第三方，乙方违反本款约定的，甲方有权解除本合同，乙方还应返还甲方支付的全部费用。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9.6乙方应保证其交付的成果及提供的服务均合法、合规且不侵犯第三方的合法权益。若违反本约定， 乙方应负责解决由此产生的一切纠纷，承担全部法律责任和经济赔偿，同时，甲方有权解除合同。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9.7乙方违反本合同约定的保密条款、知识产权归属条款的，赔偿因此给甲方造成的全部损失。同时， 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9.8乙方应保证其有资质和能力签订并履行本合同。若违反本项约定，赔偿因此给甲方造成的全部损失。 同时，甲方还有权解除本合同，乙方应退还甲方已支付的全部费用。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9.9本合同所约定的甲方损失，包括但不限于甲方经济利益的减损、甲方为证实乙方违约所支付的调查 取证、公证费用， 甲方为寻求救济所支付的诉讼费、律师费、差旅费等，以及甲方对第三方的赔偿 款、向行政机关缴纳的罚款等。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第十条 不可抗力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 1 本合同所称“不可抗力”是指不能预见、不能避免并不能克服的客观情况，包括但不限于：自然灾 害如水灾、火灾、旱灾、台风、地震，以及社会事件如战争、动乱、罢工，政府行为等公认事件。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10.2 合同生效后，合同各方的任何一方由于不可抗力事件而影响到本合同履行时，应共同协商是否延 长履行合同的期限，这一期限应相当于事件所影响的时间，并可根据情况部分或全部免于承担违约 责任，但一方延误履约后发生不可抗力的，不能免除责任。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10.3如果不可抗力事件的影响持续达</w:t>
      </w:r>
      <w:r>
        <w:rPr>
          <w:rFonts w:hint="eastAsia" w:ascii="宋体" w:hAnsi="宋体" w:cs="宋体"/>
          <w:snapToGrid/>
          <w:kern w:val="2"/>
          <w:sz w:val="24"/>
          <w:szCs w:val="24"/>
          <w:highlight w:val="none"/>
          <w:lang w:val="en-US" w:eastAsia="zh-CN" w:bidi="ar-SA"/>
        </w:rPr>
        <w:t>30</w:t>
      </w:r>
      <w:r>
        <w:rPr>
          <w:rFonts w:hint="eastAsia" w:ascii="宋体" w:hAnsi="宋体" w:eastAsia="宋体" w:cs="宋体"/>
          <w:snapToGrid/>
          <w:kern w:val="2"/>
          <w:sz w:val="24"/>
          <w:szCs w:val="24"/>
          <w:highlight w:val="none"/>
          <w:lang w:val="en-US" w:eastAsia="zh-CN" w:bidi="ar-SA"/>
        </w:rPr>
        <w:t>日或以上时，双方应根据该事件对本合同履行的影响程度协商 对本合同予以修改或终止。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第十一条 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 1如果任何争议、权利要求起因于本合同、与本合同有关或与本合同的解释、违约、终止或效力有 关，都应由双方通过友好协商解决。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11.2如果双方通过协商不能解决争议，则各方同意按下列第【11.2.2】种方式解决：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11.2.1将该争议提交至甲方所在地仲裁委员会，该会依据其现行有效的仲裁规则在甲方所在地进行仲裁；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11.2.2 向甲方所在地有管辖权的人民法院提起诉讼。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第十二条 合同生效与终止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12.1本合同自双方法定代表人或授权代表 (附授权书) 签字并加盖公章或合同专用章后立即生效。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12.2合同执行期内，甲乙双方均不得擅自变更或解除合同，合同如有未尽事宜，须经双方共同协商，做出补充规定，补充规定与本合同具有同等效力。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12.3 本合同一式四份， 甲乙双方各执二份，具有同等法律效力。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 4本合同所有条款均属甲乙双方平等、 自由、完全协商一致所达成。</w:t>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bookmarkStart w:id="166" w:name="_Toc15826"/>
      <w:r>
        <w:rPr>
          <w:rFonts w:hint="eastAsia" w:ascii="宋体" w:hAnsi="宋体" w:eastAsia="宋体" w:cs="宋体"/>
          <w:b/>
          <w:bCs/>
          <w:sz w:val="28"/>
          <w:szCs w:val="28"/>
          <w:highlight w:val="none"/>
          <w:lang w:val="en-US" w:eastAsia="zh-CN"/>
        </w:rPr>
        <w:t>郑州市二七区大数据中心</w:t>
      </w:r>
      <w:r>
        <w:rPr>
          <w:rFonts w:hint="eastAsia" w:ascii="宋体" w:hAnsi="宋体" w:cs="宋体"/>
          <w:b/>
          <w:bCs/>
          <w:sz w:val="28"/>
          <w:szCs w:val="28"/>
          <w:highlight w:val="none"/>
          <w:lang w:val="en-US"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（B包：密码测评）采购合同</w:t>
      </w:r>
    </w:p>
    <w:p>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ascii="Arial"/>
          <w:sz w:val="24"/>
          <w:szCs w:val="24"/>
          <w:highlight w:val="none"/>
        </w:rPr>
      </w:pPr>
    </w:p>
    <w:p>
      <w:pPr>
        <w:pStyle w:val="2"/>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rFonts w:hint="eastAsia"/>
          <w:highlight w:val="none"/>
          <w:lang w:val="en-US" w:eastAsia="zh-CN"/>
        </w:rPr>
      </w:pPr>
      <w:r>
        <w:rPr>
          <w:rFonts w:hint="eastAsia"/>
          <w:highlight w:val="none"/>
          <w:lang w:val="en-US" w:eastAsia="zh-CN"/>
        </w:rPr>
        <w:br w:type="page"/>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鉴于本合同为甲方委托乙方就甲方郑州市二七区大数据中心</w:t>
      </w:r>
      <w:r>
        <w:rPr>
          <w:rFonts w:hint="eastAsia" w:ascii="宋体" w:hAnsi="宋体" w:cs="宋体"/>
          <w:snapToGrid/>
          <w:kern w:val="2"/>
          <w:sz w:val="24"/>
          <w:szCs w:val="24"/>
          <w:highlight w:val="none"/>
          <w:lang w:val="en-US" w:eastAsia="zh-CN" w:bidi="ar-SA"/>
        </w:rPr>
        <w:t>二七区物联感知与管理服务项目常态化服务项目</w:t>
      </w:r>
      <w:r>
        <w:rPr>
          <w:rFonts w:hint="eastAsia" w:ascii="宋体" w:hAnsi="宋体" w:eastAsia="宋体" w:cs="宋体"/>
          <w:snapToGrid/>
          <w:kern w:val="2"/>
          <w:sz w:val="24"/>
          <w:szCs w:val="24"/>
          <w:highlight w:val="none"/>
          <w:lang w:val="en-US" w:eastAsia="zh-CN" w:bidi="ar-SA"/>
        </w:rPr>
        <w:t>（B包：密码测评）进行的专项技术服务，并支付相应的技术服务报酬。为明确各自的权利和义务，双方经过平等协商，根据《中华人民共和国民法典》等有关法律法规的规定，订立本合同。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1.技术服务项目概要</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1.1系统概述：被测系统名称为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1.2 技术服务的目标：完成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密码应用安全性评估服务。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 xml:space="preserve">1.3 技术服务的内容：对 </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 xml:space="preserve">（B包：密码测评）2个系统 </w:t>
      </w:r>
      <w:r>
        <w:rPr>
          <w:rFonts w:hint="eastAsia" w:ascii="宋体" w:hAnsi="宋体" w:eastAsia="宋体" w:cs="宋体"/>
          <w:snapToGrid/>
          <w:kern w:val="2"/>
          <w:sz w:val="24"/>
          <w:szCs w:val="24"/>
          <w:highlight w:val="none"/>
          <w:lang w:val="en-US" w:eastAsia="zh-CN" w:bidi="ar-SA"/>
        </w:rPr>
        <w:t>系统进行密码应用安全性评估，出具《密码应用安全性评估报告》和《密码应用安全性评估整改建议》。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 技术服务的方式：甲方指定地现场数据采集、乙方所在地测评方案及评估报告编制。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2.技术服务具体要求</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2.1技术服务地点：河南省郑州市二七区。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2.2 技术服务期限：具备测评条件后，乙方测评师进场30日历天。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2.3 技术服务质量要求：按密码管理部门要求及相关标准要求完成密码应用安全性评估服务，并提交成果交付物。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3.组织与管理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3.1在本合同有效期内，乙方应派出获得密码应用安全性评估资格测评师为甲方提供技术服务。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 本合同双方分别指定项目负责人如下：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为确保双方更好的履行合同，双方应委派各自的项目负责人。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3.2.1甲乙双方项目负责人的主要职责：</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负责组织协调履行合同；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负责跟踪技术服务工作进展和成果；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 负责沟通协调、信息传递等工作。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3.2.2 双方负责人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甲方负责人：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乙方负责人：</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，电话：</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 人员更换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3.3.1 一方变更项目负责人的，应当及时以书面形式通知另一方。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3.3.2 甲方认为乙方工作人员不能胜任项目工作或玩忽职守的，有权要求乙方立即更换。上述被更换的人员无甲方另行批准不得重新参加本项目技术服务工作。</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4.技术服务报酬及支付方式</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4.1合同签订生效之日起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4.2 乙方完成全部测评工作，向甲方提供《密码应用安全性评估报告》《密码应用安全性评估整改 建议》后</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 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4.3 乙方在甲方支付每一笔款项前应向甲方出具相应金额的正规增值税发票。</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4.4 付款方式：银行转账，银行账户详细信息见合同签署页。</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4.5 如因财政拨付程序原因需方未能按照上述约定的付款方式付款，供方不得追究需方违约责任。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5.技术服务工作成果的验收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5.1乙方完成技术服务工作的形式：交付《密码应用安全性评估报告》、《密码应用安全性评估整改建议》。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5.2 技术服务工作成果的验收标准：完成并交付所有成果交付物。</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见附件：保密协议。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7.1乙方不履行本合同义务或履行义务不符合约定的，甲方有权要求乙方承担继续履行、赔偿损失或 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7.1.1乙方未按合同约定履行合同义务，经甲方催告仍未纠正的，甲方有权单方解除合同。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7.1.2乙方违反合同约定的保密义务，应承担一切法律责任并向甲方支付相当于技术服务报酬10%的违约金。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7.1.3 合同因乙方原因解除的，甲方有权停止支付并要求乙方退还甲方已支付的全部款项，且乙方应 向甲方支付相当于技术服务报酬10%的违约金。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7.2甲方不履行本合同义务或者履行义务不符合约定的，乙方有权要求甲方承担继续履行、支付违约金等违约责任。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7.2.1甲方有义务协调相关资源保障测评项目工作进度。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7.2.2 甲方违反合同约定的保密义务，应承担一切法律责任并向乙方支付相当于技术服务报酬10%的 违约金。</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8.合同变更和解除</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8.1双方经协商一致可变更或解除合同，并以书面形式确定。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9.争议解决</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9.1 因合同及合同有关事项发生的争议，双方应本着诚实信用原则，通过友好协商解决，经协商仍无法达成一致的，按以下第</w:t>
      </w:r>
      <w:r>
        <w:rPr>
          <w:rFonts w:hint="eastAsia" w:ascii="宋体" w:hAnsi="宋体" w:eastAsia="宋体" w:cs="宋体"/>
          <w:snapToGrid/>
          <w:kern w:val="2"/>
          <w:sz w:val="24"/>
          <w:szCs w:val="24"/>
          <w:highlight w:val="none"/>
          <w:u w:val="single"/>
          <w:lang w:val="en-US" w:eastAsia="zh-CN" w:bidi="ar-SA"/>
        </w:rPr>
        <w:t xml:space="preserve"> 2  </w:t>
      </w:r>
      <w:r>
        <w:rPr>
          <w:rFonts w:hint="eastAsia" w:ascii="宋体" w:hAnsi="宋体" w:eastAsia="宋体" w:cs="宋体"/>
          <w:snapToGrid/>
          <w:kern w:val="2"/>
          <w:sz w:val="24"/>
          <w:szCs w:val="24"/>
          <w:highlight w:val="none"/>
          <w:lang w:val="en-US" w:eastAsia="zh-CN" w:bidi="ar-SA"/>
        </w:rPr>
        <w:t>种方式处理：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 仲裁：提交</w:t>
      </w:r>
      <w:r>
        <w:rPr>
          <w:rFonts w:hint="eastAsia" w:ascii="宋体" w:hAnsi="宋体" w:eastAsia="宋体" w:cs="宋体"/>
          <w:snapToGrid/>
          <w:kern w:val="2"/>
          <w:sz w:val="24"/>
          <w:szCs w:val="24"/>
          <w:highlight w:val="none"/>
          <w:u w:val="single"/>
          <w:lang w:val="en-US" w:eastAsia="zh-CN" w:bidi="ar-SA"/>
        </w:rPr>
        <w:t xml:space="preserve"> /  </w:t>
      </w:r>
      <w:r>
        <w:rPr>
          <w:rFonts w:hint="eastAsia" w:ascii="宋体" w:hAnsi="宋体" w:eastAsia="宋体" w:cs="宋体"/>
          <w:snapToGrid/>
          <w:kern w:val="2"/>
          <w:sz w:val="24"/>
          <w:szCs w:val="24"/>
          <w:highlight w:val="none"/>
          <w:lang w:val="en-US" w:eastAsia="zh-CN" w:bidi="ar-SA"/>
        </w:rPr>
        <w:t>仲裁，按照申请仲裁时该仲裁机构有效的仲裁规则进行仲裁。仲裁裁决是终局的，对双方均有约束力。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 诉讼 向</w:t>
      </w:r>
      <w:r>
        <w:rPr>
          <w:rFonts w:hint="eastAsia" w:ascii="宋体" w:hAnsi="宋体" w:eastAsia="宋体" w:cs="宋体"/>
          <w:snapToGrid/>
          <w:kern w:val="2"/>
          <w:sz w:val="24"/>
          <w:szCs w:val="24"/>
          <w:highlight w:val="none"/>
          <w:u w:val="single"/>
          <w:lang w:val="en-US" w:eastAsia="zh-CN" w:bidi="ar-SA"/>
        </w:rPr>
        <w:t xml:space="preserve"> 甲方 </w:t>
      </w:r>
      <w:r>
        <w:rPr>
          <w:rFonts w:hint="eastAsia" w:ascii="宋体" w:hAnsi="宋体" w:eastAsia="宋体" w:cs="宋体"/>
          <w:snapToGrid/>
          <w:kern w:val="2"/>
          <w:sz w:val="24"/>
          <w:szCs w:val="24"/>
          <w:highlight w:val="none"/>
          <w:lang w:val="en-US" w:eastAsia="zh-CN" w:bidi="ar-SA"/>
        </w:rPr>
        <w:t>所在地人民法院提起诉讼。</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9.2 在争议解决期间，合同中未涉及争议部分的条款仍须履行。</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与履行本合同有关的下列技术文件，经双方约定，作为本合同的组成部分。</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11.其他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11.1本合同经双方法定代表人 (负责人) 或其授权代表签署并加盖双方公章或合同专用章之日起生效。</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11.2 本合同一式</w:t>
      </w:r>
      <w:r>
        <w:rPr>
          <w:rFonts w:hint="eastAsia" w:ascii="宋体" w:hAnsi="宋体" w:eastAsia="宋体" w:cs="宋体"/>
          <w:snapToGrid/>
          <w:kern w:val="2"/>
          <w:sz w:val="24"/>
          <w:szCs w:val="24"/>
          <w:highlight w:val="none"/>
          <w:u w:val="single"/>
          <w:lang w:val="en-US" w:eastAsia="zh-CN" w:bidi="ar-SA"/>
        </w:rPr>
        <w:t xml:space="preserve"> 肆 </w:t>
      </w:r>
      <w:r>
        <w:rPr>
          <w:rFonts w:hint="eastAsia" w:ascii="宋体" w:hAnsi="宋体" w:eastAsia="宋体" w:cs="宋体"/>
          <w:snapToGrid/>
          <w:kern w:val="2"/>
          <w:sz w:val="24"/>
          <w:szCs w:val="24"/>
          <w:highlight w:val="none"/>
          <w:lang w:val="en-US" w:eastAsia="zh-CN" w:bidi="ar-SA"/>
        </w:rPr>
        <w:t>份， 甲方执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份，乙方执</w:t>
      </w:r>
      <w:r>
        <w:rPr>
          <w:rFonts w:hint="eastAsia" w:ascii="宋体" w:hAnsi="宋体" w:eastAsia="宋体" w:cs="宋体"/>
          <w:snapToGrid/>
          <w:kern w:val="2"/>
          <w:sz w:val="24"/>
          <w:szCs w:val="24"/>
          <w:highlight w:val="none"/>
          <w:u w:val="single"/>
          <w:lang w:val="en-US" w:eastAsia="zh-CN" w:bidi="ar-SA"/>
        </w:rPr>
        <w:t xml:space="preserve"> 贰 </w:t>
      </w:r>
      <w:r>
        <w:rPr>
          <w:rFonts w:hint="eastAsia" w:ascii="宋体" w:hAnsi="宋体" w:eastAsia="宋体" w:cs="宋体"/>
          <w:snapToGrid/>
          <w:kern w:val="2"/>
          <w:sz w:val="24"/>
          <w:szCs w:val="24"/>
          <w:highlight w:val="none"/>
          <w:lang w:val="en-US" w:eastAsia="zh-CN" w:bidi="ar-SA"/>
        </w:rPr>
        <w:t>份，具有同等法律效力。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11.3 特别约定</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本特别约定是合同各方经协商后对合同其他条款的修改或补充，如有不一致，以特别约定为准。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附件保密协议</w:t>
      </w:r>
    </w:p>
    <w:p>
      <w:pPr>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napToGrid/>
          <w:kern w:val="2"/>
          <w:sz w:val="30"/>
          <w:szCs w:val="30"/>
          <w:highlight w:val="none"/>
          <w:lang w:val="en-US" w:eastAsia="zh-CN" w:bidi="ar-SA"/>
        </w:rPr>
      </w:pPr>
      <w:r>
        <w:rPr>
          <w:rFonts w:hint="eastAsia" w:ascii="宋体" w:hAnsi="宋体" w:eastAsia="宋体" w:cs="宋体"/>
          <w:b/>
          <w:bCs/>
          <w:snapToGrid/>
          <w:kern w:val="2"/>
          <w:sz w:val="30"/>
          <w:szCs w:val="30"/>
          <w:highlight w:val="none"/>
          <w:lang w:val="en-US" w:eastAsia="zh-CN" w:bidi="ar-SA"/>
        </w:rPr>
        <w:t>保密协议</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鉴于：受</w:t>
      </w:r>
      <w:r>
        <w:rPr>
          <w:rFonts w:hint="eastAsia" w:ascii="宋体" w:hAnsi="宋体" w:eastAsia="宋体" w:cs="宋体"/>
          <w:snapToGrid/>
          <w:kern w:val="2"/>
          <w:sz w:val="24"/>
          <w:szCs w:val="24"/>
          <w:highlight w:val="none"/>
          <w:u w:val="single"/>
          <w:lang w:val="en-US" w:eastAsia="zh-CN" w:bidi="ar-SA"/>
        </w:rPr>
        <w:t xml:space="preserve"> 郑州市二七区大数据中心 </w:t>
      </w:r>
      <w:r>
        <w:rPr>
          <w:rFonts w:hint="eastAsia" w:ascii="宋体" w:hAnsi="宋体" w:eastAsia="宋体" w:cs="宋体"/>
          <w:snapToGrid/>
          <w:kern w:val="2"/>
          <w:sz w:val="24"/>
          <w:szCs w:val="24"/>
          <w:highlight w:val="none"/>
          <w:lang w:val="en-US" w:eastAsia="zh-CN" w:bidi="ar-SA"/>
        </w:rPr>
        <w:t>委托，乙方对甲方</w:t>
      </w:r>
      <w:r>
        <w:rPr>
          <w:rFonts w:hint="eastAsia" w:ascii="宋体" w:hAnsi="宋体" w:eastAsia="宋体" w:cs="宋体"/>
          <w:snapToGrid/>
          <w:kern w:val="2"/>
          <w:sz w:val="24"/>
          <w:szCs w:val="24"/>
          <w:highlight w:val="none"/>
          <w:u w:val="single"/>
          <w:lang w:val="en-US" w:eastAsia="zh-CN" w:bidi="ar-SA"/>
        </w:rPr>
        <w:t>郑州市二七区大数据中心</w:t>
      </w:r>
      <w:r>
        <w:rPr>
          <w:rFonts w:hint="eastAsia" w:ascii="宋体" w:hAnsi="宋体" w:cs="宋体"/>
          <w:snapToGrid/>
          <w:kern w:val="2"/>
          <w:sz w:val="24"/>
          <w:szCs w:val="24"/>
          <w:highlight w:val="none"/>
          <w:u w:val="single"/>
          <w:lang w:val="en-US" w:eastAsia="zh-CN" w:bidi="ar-SA"/>
        </w:rPr>
        <w:t>二七区物联感知与管理服务项目常态化服务项目</w:t>
      </w:r>
      <w:r>
        <w:rPr>
          <w:rFonts w:hint="eastAsia" w:ascii="宋体" w:hAnsi="宋体" w:eastAsia="宋体" w:cs="宋体"/>
          <w:snapToGrid/>
          <w:kern w:val="2"/>
          <w:sz w:val="24"/>
          <w:szCs w:val="24"/>
          <w:highlight w:val="none"/>
          <w:u w:val="single"/>
          <w:lang w:val="en-US" w:eastAsia="zh-CN" w:bidi="ar-SA"/>
        </w:rPr>
        <w:t>（B包：密码测评）</w:t>
      </w:r>
      <w:r>
        <w:rPr>
          <w:rFonts w:hint="eastAsia" w:ascii="宋体" w:hAnsi="宋体" w:eastAsia="宋体" w:cs="宋体"/>
          <w:snapToGrid/>
          <w:kern w:val="2"/>
          <w:sz w:val="24"/>
          <w:szCs w:val="24"/>
          <w:highlight w:val="none"/>
          <w:lang w:val="en-US" w:eastAsia="zh-CN" w:bidi="ar-SA"/>
        </w:rPr>
        <w:t>系统密码应用安全性评估项目进行的专项技术服务，需甲方/甲方指定被测评系统责任单位提交相关文档资料，现就文档资料使用所涉及的保密信息达成以下一致：</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1.在本协议中，“保密信息”指：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甲方/甲方指定被测评系统责任单位提供给乙方的一切非公开技术和非技术信息，信息系统架构、评 估原始记录、评估报告、质量分析报告的内容，重大评估事故分析报告的内容； 甲方指定被测评系统责任单位的技术资料、技术成果专利；甲方/甲方指定被测评系统责任单位的内控标准、流程；其它列为保密范围的文件和资料；</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乙方的评估流程，评估文档等。</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2.权利保证：甲方/甲方指定被测评系统责任单位保证其向乙方透露的专有信息不侵犯任何第三方的知识产权及其它权益。</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3.保密义务：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甲方保证不向所属密码管理局之外的机构、人员透露属于乙方的保密信息；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乙方自愿接受甲方/甲方指定被测评系统责任单位的监督，严格遵守相关保密规定，除向甲方主管密码管理部门报备外，不向其他单位和个人泄露被测系统的相关信息；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严格控制甲方/甲方指定被测评系统责任单位所透露的专有信息，保护的程度不能低于乙方保护自己的专有信息。但无论如何，乙方对该专有信息的保护程度不能低于一个管理良好的技术企业保护自己的专有信息的保护程度；</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乙方保证采取所有必要的方法对甲方/甲方指定被测评系统责任单位提供的专有信息进行保密，包括(但不限于) 执行和坚持令人满意的作业程序来避免非授权透露、使用或复制专有信息；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乙方保证不向甲方/甲方指定被测评系统责任单位之外的相关方或不相关方透露本协议的存在或本协议的任何内容。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4.保密期限</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除非特别约定，双方承担保密义务的期限为无限期保密，直至对方宣布解密或者秘密信息实际上已经公开。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5.使用方式和不使用的义务：</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乙方同意如下内容：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甲方/甲方指定被测评系统责任单位所透露的信息只能被乙方用于评估系统安全性；不能将甲方/甲方指定被测评系统责任单位所透露的专有信息用于其它任何目的；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除乙方的高级职员和直接参与本项工作的普通职员之外，不能将专有信息透露给其它任何人；无论如何，不能将此专有信息的全部或部分进行复制或仿造。</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乙方应当告知并以适当方式要求其参与本项工作之雇员遵守本协议规定，若参与本项工作之雇员违反本协议规定，乙方应承担连带责任。</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6.专有信息的交回：</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当甲方/甲方指定被测评系统责任单位以书面形式要求乙方交回专有信息时，乙方应当立即交回所有书面的或其他有形的专有信息以及所有描述和概括该专有信息的文件；</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没有甲方/甲方指定被测评系统责任单位的书面许可，乙方不得随意处理任何书面的或其他有形专有信息。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7.乙方只在评估需要时才使用甲方/甲方指定被测评系统责任单位的保密信息。绝不为与该评估项目无关的目的使用保密信息。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8.乙方承诺将保密信息的使用限制在乙方工作人员。</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9乙方在本协议中承担的保密义务在下述情况下将被终止：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甲方/甲方指定被测评系统责任单位在提供给乙方时已经是公开的信息；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甲方/甲方指定被测评系统责任单位在提供给乙方后由于甲方的过错而变成公开信息的信息；甲方/甲方指定被测评系统责任单位在提供给乙方时，乙方已合法获得的信息；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其他情况乙方合法获得的信息。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10.乙方从甲方/甲方指定被测评系统责任单位获得所有保密信息，乙方明确对这些文件只有使用权，并没有所有权、知识产权及解释权。</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11.如果有关权威机构认定本协议的条文无法履行或者无效，这种认定不能使本协议整体无法履行 或者无效，在此情况下，只能修改该条文，且将这种改动解释为在适用法律或适用法庭判决的范围内实现该无法履行或无效条款预定的目标。</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12．对于本协议条款的修改，只有经双方授权的代表书面签署方可生效并对双方具有约束力。</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13．本协议所要求的或允许的所有通知和报告均以书面为准，且必须用人员送达，或用电子邮件、传真或挂号信送达，同时要求对方返送回执，在人员送达、寄送五天后或电子邮件接收并被确认后视为已经送达。通知必须按密码应用安全性评估委托协议书签署页的地址或双方规定的其他地址寄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14.纠纷解决途径</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因本协议而引起的纠纷，双方应先进行友好协商，如果协商解决不成，任何一方均有权提起诉讼，选择甲方住所地人民法院作为第一审管辖法院。</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15.本协议适用中华人民共和国法律。</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(上述合同为样本，应根据项目的实际情况填写相应内容)</w:t>
      </w: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C包：</w:t>
      </w:r>
      <w:r>
        <w:rPr>
          <w:rFonts w:hint="eastAsia" w:ascii="宋体" w:hAnsi="宋体" w:eastAsia="宋体" w:cs="宋体"/>
          <w:b/>
          <w:bCs/>
          <w:sz w:val="28"/>
          <w:szCs w:val="28"/>
          <w:highlight w:val="none"/>
          <w:lang w:eastAsia="zh-CN"/>
        </w:rPr>
        <w:t>安全等级保护测评</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C</w:t>
      </w:r>
      <w:r>
        <w:rPr>
          <w:rFonts w:hint="eastAsia" w:ascii="宋体" w:hAnsi="宋体" w:eastAsia="宋体" w:cs="宋体"/>
          <w:b/>
          <w:bCs/>
          <w:sz w:val="28"/>
          <w:szCs w:val="28"/>
          <w:highlight w:val="none"/>
          <w:lang w:eastAsia="zh-CN"/>
        </w:rPr>
        <w:t>包：安全等级保护测评）</w:t>
      </w:r>
      <w:r>
        <w:rPr>
          <w:rFonts w:hint="eastAsia" w:ascii="宋体" w:hAnsi="宋体" w:eastAsia="宋体" w:cs="宋体"/>
          <w:b/>
          <w:bCs/>
          <w:sz w:val="28"/>
          <w:szCs w:val="28"/>
          <w:highlight w:val="none"/>
        </w:rPr>
        <w:t>采购合同</w:t>
      </w:r>
    </w:p>
    <w:p>
      <w:pPr>
        <w:rPr>
          <w:highlight w:val="none"/>
        </w:rPr>
      </w:pPr>
    </w:p>
    <w:p>
      <w:pPr>
        <w:pStyle w:val="2"/>
        <w:rPr>
          <w:highlight w:val="none"/>
        </w:rPr>
      </w:pPr>
    </w:p>
    <w:p>
      <w:pPr>
        <w:pStyle w:val="19"/>
        <w:rPr>
          <w:highlight w:val="none"/>
        </w:rPr>
      </w:pPr>
    </w:p>
    <w:p>
      <w:pPr>
        <w:pStyle w:val="19"/>
        <w:rPr>
          <w:highlight w:val="none"/>
        </w:rPr>
      </w:pPr>
    </w:p>
    <w:p>
      <w:pPr>
        <w:pStyle w:val="19"/>
        <w:rPr>
          <w:rFonts w:ascii="Arial"/>
          <w:sz w:val="24"/>
          <w:szCs w:val="24"/>
          <w:highlight w:val="none"/>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b/>
          <w:bCs/>
          <w:snapToGrid/>
          <w:kern w:val="2"/>
          <w:sz w:val="24"/>
          <w:szCs w:val="24"/>
          <w:highlight w:val="none"/>
          <w:lang w:val="en-US" w:eastAsia="zh-CN" w:bidi="ar-SA"/>
        </w:rPr>
      </w:pPr>
      <w:r>
        <w:rPr>
          <w:rFonts w:hint="eastAsia" w:ascii="宋体" w:hAnsi="宋体" w:eastAsia="宋体" w:cs="宋体"/>
          <w:b/>
          <w:bCs/>
          <w:snapToGrid/>
          <w:kern w:val="2"/>
          <w:sz w:val="24"/>
          <w:szCs w:val="24"/>
          <w:highlight w:val="none"/>
          <w:lang w:val="en-US" w:eastAsia="zh-CN" w:bidi="ar-SA"/>
        </w:rPr>
        <w:t>合同双方基本信息</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甲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邮  编：</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乙  方：</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地  址：</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联系人：</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电  话：</w:t>
      </w:r>
    </w:p>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t>传  真：</w:t>
      </w:r>
    </w:p>
    <w:p>
      <w:pPr>
        <w:rPr>
          <w:highlight w:val="none"/>
        </w:rPr>
      </w:pPr>
      <w:r>
        <w:rPr>
          <w:highlight w:val="none"/>
        </w:rPr>
        <w:br w:type="page"/>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甲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Style w:val="48"/>
          <w:rFonts w:hint="eastAsia" w:ascii="宋体" w:hAnsi="宋体" w:eastAsia="宋体" w:cs="宋体"/>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26"/>
        <w:pageBreakBefore w:val="0"/>
        <w:widowControl w:val="0"/>
        <w:kinsoku/>
        <w:wordWrap/>
        <w:overflowPunct/>
        <w:topLinePunct w:val="0"/>
        <w:bidi w:val="0"/>
        <w:snapToGrid/>
        <w:spacing w:after="0" w:line="520" w:lineRule="exact"/>
        <w:ind w:firstLine="480" w:firstLineChars="200"/>
        <w:rPr>
          <w:rFonts w:hint="eastAsia" w:ascii="宋体" w:hAnsi="宋体" w:eastAsia="宋体" w:cs="宋体"/>
          <w:sz w:val="24"/>
          <w:szCs w:val="24"/>
          <w:highlight w:val="none"/>
        </w:rPr>
      </w:pP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乙  方：</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住  所：</w:t>
      </w:r>
      <w:r>
        <w:rPr>
          <w:rFonts w:hint="eastAsia" w:ascii="宋体" w:hAnsi="宋体" w:eastAsia="宋体" w:cs="宋体"/>
          <w:bCs/>
          <w:sz w:val="24"/>
          <w:szCs w:val="24"/>
          <w:highlight w:val="none"/>
          <w:u w:val="single"/>
        </w:rPr>
        <w:t xml:space="preserve">                            </w:t>
      </w:r>
    </w:p>
    <w:p>
      <w:pPr>
        <w:pageBreakBefore w:val="0"/>
        <w:widowControl w:val="0"/>
        <w:tabs>
          <w:tab w:val="left" w:pos="540"/>
        </w:tabs>
        <w:kinsoku/>
        <w:wordWrap/>
        <w:overflowPunct/>
        <w:topLinePunct w:val="0"/>
        <w:bidi w:val="0"/>
        <w:snapToGrid/>
        <w:spacing w:line="52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w:t>
      </w:r>
      <w:r>
        <w:rPr>
          <w:rFonts w:hint="eastAsia" w:ascii="宋体" w:hAnsi="宋体" w:eastAsia="宋体" w:cs="宋体"/>
          <w:bCs/>
          <w:sz w:val="24"/>
          <w:szCs w:val="24"/>
          <w:highlight w:val="none"/>
          <w:u w:val="single"/>
        </w:rPr>
        <w:t xml:space="preserve">                        </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bookmarkStart w:id="167" w:name="_Toc521411292"/>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根据《中华人民共和国民法典》等相关法律法规的规定，就甲方委托乙方对甲方的信息系统进行等级保护测评服务，双方遵循自愿、公平、诚实信用的原则，经过友好协商，一致同意签订本合同，以兹共同遵守。</w:t>
      </w:r>
    </w:p>
    <w:p>
      <w:pPr>
        <w:pageBreakBefore w:val="0"/>
        <w:widowControl w:val="0"/>
        <w:kinsoku/>
        <w:wordWrap/>
        <w:overflowPunct/>
        <w:topLinePunct w:val="0"/>
        <w:bidi w:val="0"/>
        <w:snapToGrid/>
        <w:spacing w:line="52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第一条  定义</w:t>
      </w:r>
    </w:p>
    <w:bookmarkEnd w:id="167"/>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本合同下列术语应解释为：</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1.1“合同”系指甲乙双方签署的、合同格式中载明的甲乙双方所达成的协议，包括所有的附件、附录和上述文件所提到的构成合同的所有文件。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1.2“合同价”系指根据合同规定，乙方在正确地完全履行合同义务后，甲方应支付给乙方的价格。 </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1.3“服务”系指根据合同规定，乙方承担本</w:t>
      </w:r>
      <w:r>
        <w:rPr>
          <w:rFonts w:hint="eastAsia" w:ascii="宋体" w:hAnsi="宋体" w:eastAsia="宋体" w:cs="宋体"/>
          <w:sz w:val="24"/>
          <w:szCs w:val="24"/>
          <w:highlight w:val="none"/>
          <w:lang w:eastAsia="zh-Hans"/>
        </w:rPr>
        <w:t>合同中约定的乙方应承担的义务</w:t>
      </w:r>
      <w:r>
        <w:rPr>
          <w:rFonts w:hint="eastAsia" w:ascii="宋体" w:hAnsi="宋体" w:eastAsia="宋体" w:cs="宋体"/>
          <w:sz w:val="24"/>
          <w:szCs w:val="24"/>
          <w:highlight w:val="none"/>
        </w:rPr>
        <w:t>。</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1.4“项目现场”系指甲方指定的服务地点。</w:t>
      </w:r>
    </w:p>
    <w:p>
      <w:pPr>
        <w:pStyle w:val="26"/>
        <w:pageBreakBefore w:val="0"/>
        <w:widowControl w:val="0"/>
        <w:kinsoku/>
        <w:wordWrap/>
        <w:overflowPunct/>
        <w:topLinePunct w:val="0"/>
        <w:bidi w:val="0"/>
        <w:snapToGrid/>
        <w:spacing w:after="0" w:line="520" w:lineRule="exact"/>
        <w:ind w:left="560" w:hanging="480" w:hangingChars="200"/>
        <w:rPr>
          <w:rFonts w:hint="eastAsia" w:ascii="宋体" w:hAnsi="宋体" w:eastAsia="宋体" w:cs="宋体"/>
          <w:b w:val="0"/>
          <w:spacing w:val="0"/>
          <w:kern w:val="2"/>
          <w:sz w:val="24"/>
          <w:szCs w:val="24"/>
          <w:highlight w:val="none"/>
        </w:rPr>
      </w:pPr>
      <w:r>
        <w:rPr>
          <w:rFonts w:hint="eastAsia" w:ascii="宋体" w:hAnsi="宋体" w:eastAsia="宋体" w:cs="宋体"/>
          <w:b w:val="0"/>
          <w:spacing w:val="0"/>
          <w:kern w:val="2"/>
          <w:sz w:val="24"/>
          <w:szCs w:val="24"/>
          <w:highlight w:val="none"/>
        </w:rPr>
        <w:t>1.5“不可抗力事件”系指受影响一方不能控制的、无法预料或即使可预料到也不可避免且无法克服，并于本协议签订之后出现的，使该方对本协议全部或部分的履行在客观上成为不可能或不实际的任何客观事件。此事件包括但不限于水灾、自然灾害、旱灾、台风、地震及其它自然灾害、罢工、地震、战争及政策性因素。</w:t>
      </w:r>
    </w:p>
    <w:p>
      <w:pPr>
        <w:pageBreakBefore w:val="0"/>
        <w:widowControl w:val="0"/>
        <w:kinsoku/>
        <w:wordWrap/>
        <w:overflowPunct/>
        <w:topLinePunct w:val="0"/>
        <w:bidi w:val="0"/>
        <w:snapToGrid/>
        <w:spacing w:line="520" w:lineRule="exact"/>
        <w:ind w:left="562" w:hanging="482" w:hangingChars="2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w:t>
      </w:r>
      <w:r>
        <w:rPr>
          <w:rFonts w:hint="eastAsia" w:ascii="宋体" w:hAnsi="宋体" w:eastAsia="宋体" w:cs="宋体"/>
          <w:b/>
          <w:bCs/>
          <w:sz w:val="24"/>
          <w:szCs w:val="24"/>
          <w:highlight w:val="none"/>
          <w:lang w:eastAsia="zh-Hans"/>
        </w:rPr>
        <w:t>服务</w:t>
      </w:r>
      <w:r>
        <w:rPr>
          <w:rFonts w:hint="eastAsia" w:ascii="宋体" w:hAnsi="宋体" w:eastAsia="宋体" w:cs="宋体"/>
          <w:b/>
          <w:bCs/>
          <w:sz w:val="24"/>
          <w:szCs w:val="24"/>
          <w:highlight w:val="none"/>
        </w:rPr>
        <w:t>内容</w:t>
      </w:r>
    </w:p>
    <w:p>
      <w:pPr>
        <w:pStyle w:val="4"/>
        <w:pageBreakBefore w:val="0"/>
        <w:widowControl w:val="0"/>
        <w:tabs>
          <w:tab w:val="center" w:pos="4232"/>
          <w:tab w:val="left" w:pos="7380"/>
        </w:tabs>
        <w:kinsoku/>
        <w:wordWrap/>
        <w:overflowPunct/>
        <w:topLinePunct w:val="0"/>
        <w:bidi w:val="0"/>
        <w:snapToGrid/>
        <w:spacing w:before="0" w:beforeLines="0" w:after="0" w:afterLines="0" w:line="520" w:lineRule="exact"/>
        <w:ind w:firstLine="480" w:firstLineChars="200"/>
        <w:jc w:val="left"/>
        <w:rPr>
          <w:rFonts w:hint="eastAsia" w:ascii="宋体" w:hAnsi="宋体" w:eastAsia="宋体" w:cs="宋体"/>
          <w:b w:val="0"/>
          <w:spacing w:val="0"/>
          <w:kern w:val="2"/>
          <w:sz w:val="24"/>
          <w:szCs w:val="24"/>
          <w:highlight w:val="none"/>
        </w:rPr>
      </w:pPr>
      <w:r>
        <w:rPr>
          <w:rFonts w:hint="eastAsia" w:ascii="宋体" w:hAnsi="宋体" w:eastAsia="宋体" w:cs="宋体"/>
          <w:b w:val="0"/>
          <w:bCs/>
          <w:sz w:val="24"/>
          <w:szCs w:val="24"/>
          <w:highlight w:val="none"/>
          <w:lang w:val="en-US" w:eastAsia="zh-CN"/>
        </w:rPr>
        <w:t>甲方委托乙方对</w:t>
      </w:r>
      <w:r>
        <w:rPr>
          <w:rFonts w:hint="eastAsia" w:ascii="宋体" w:hAnsi="宋体" w:eastAsia="宋体" w:cs="宋体"/>
          <w:b w:val="0"/>
          <w:bCs/>
          <w:sz w:val="24"/>
          <w:szCs w:val="24"/>
          <w:highlight w:val="none"/>
          <w:u w:val="single"/>
          <w:lang w:val="en-US" w:eastAsia="zh-CN"/>
        </w:rPr>
        <w:t>郑州市二七区大数据中心二七区物联感知与管理服务项目常态化服务项目共2个系统，按照等级保护2级，三年2次测评</w:t>
      </w:r>
      <w:r>
        <w:rPr>
          <w:rFonts w:hint="eastAsia" w:ascii="宋体" w:hAnsi="宋体" w:eastAsia="宋体" w:cs="宋体"/>
          <w:b w:val="0"/>
          <w:bCs/>
          <w:sz w:val="24"/>
          <w:szCs w:val="24"/>
          <w:highlight w:val="none"/>
          <w:lang w:val="en-US" w:eastAsia="zh-CN"/>
        </w:rPr>
        <w:t>的要求进行网络安全等级保护测评，乙方完成测评工作后向甲方交付相关工作成果。</w:t>
      </w:r>
    </w:p>
    <w:tbl>
      <w:tblPr>
        <w:tblStyle w:val="28"/>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4783"/>
        <w:gridCol w:w="2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序号</w:t>
            </w: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系统名称</w:t>
            </w: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r>
              <w:rPr>
                <w:rFonts w:hint="eastAsia" w:ascii="宋体" w:hAnsi="宋体" w:eastAsia="宋体" w:cs="宋体"/>
                <w:bCs/>
                <w:spacing w:val="0"/>
                <w:kern w:val="2"/>
                <w:sz w:val="24"/>
                <w:szCs w:val="24"/>
                <w:highlight w:val="none"/>
              </w:rPr>
              <w:t>系统等级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right"/>
        </w:trPr>
        <w:tc>
          <w:tcPr>
            <w:tcW w:w="1420"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5191"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c>
          <w:tcPr>
            <w:tcW w:w="2527" w:type="dxa"/>
            <w:shd w:val="clear" w:color="auto" w:fill="auto"/>
            <w:noWrap w:val="0"/>
            <w:vAlign w:val="top"/>
          </w:tcPr>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rPr>
            </w:pPr>
          </w:p>
        </w:tc>
      </w:tr>
    </w:tbl>
    <w:p>
      <w:pPr>
        <w:pStyle w:val="26"/>
        <w:pageBreakBefore w:val="0"/>
        <w:widowControl w:val="0"/>
        <w:kinsoku/>
        <w:wordWrap/>
        <w:overflowPunct/>
        <w:topLinePunct w:val="0"/>
        <w:bidi w:val="0"/>
        <w:snapToGrid/>
        <w:spacing w:after="0" w:line="520" w:lineRule="exact"/>
        <w:ind w:left="562" w:hanging="480" w:hangingChars="200"/>
        <w:jc w:val="center"/>
        <w:rPr>
          <w:rFonts w:hint="eastAsia" w:ascii="宋体" w:hAnsi="宋体" w:eastAsia="宋体" w:cs="宋体"/>
          <w:bCs/>
          <w:spacing w:val="0"/>
          <w:kern w:val="2"/>
          <w:sz w:val="24"/>
          <w:szCs w:val="24"/>
          <w:highlight w:val="none"/>
          <w:lang w:eastAsia="zh-Hans"/>
        </w:rPr>
      </w:pPr>
      <w:r>
        <w:rPr>
          <w:rFonts w:hint="eastAsia" w:ascii="宋体" w:hAnsi="宋体" w:eastAsia="宋体" w:cs="宋体"/>
          <w:bCs/>
          <w:spacing w:val="0"/>
          <w:kern w:val="2"/>
          <w:sz w:val="24"/>
          <w:szCs w:val="24"/>
          <w:highlight w:val="none"/>
        </w:rPr>
        <w:t>第三条  服务</w:t>
      </w:r>
      <w:r>
        <w:rPr>
          <w:rFonts w:hint="eastAsia" w:ascii="宋体" w:hAnsi="宋体" w:eastAsia="宋体" w:cs="宋体"/>
          <w:bCs/>
          <w:spacing w:val="0"/>
          <w:kern w:val="2"/>
          <w:sz w:val="24"/>
          <w:szCs w:val="24"/>
          <w:highlight w:val="none"/>
          <w:lang w:eastAsia="zh-Hans"/>
        </w:rPr>
        <w:t>费用及付款方式</w:t>
      </w:r>
    </w:p>
    <w:p>
      <w:pPr>
        <w:pStyle w:val="26"/>
        <w:pageBreakBefore w:val="0"/>
        <w:widowControl w:val="0"/>
        <w:kinsoku/>
        <w:wordWrap/>
        <w:overflowPunct/>
        <w:topLinePunct w:val="0"/>
        <w:bidi w:val="0"/>
        <w:snapToGrid/>
        <w:spacing w:after="0" w:line="520" w:lineRule="exact"/>
        <w:ind w:left="560" w:hanging="480" w:hangingChars="200"/>
        <w:jc w:val="left"/>
        <w:rPr>
          <w:rStyle w:val="48"/>
          <w:rFonts w:hint="eastAsia" w:ascii="宋体" w:hAnsi="宋体" w:eastAsia="宋体" w:cs="宋体"/>
          <w:b w:val="0"/>
          <w:sz w:val="24"/>
          <w:szCs w:val="24"/>
          <w:highlight w:val="none"/>
        </w:rPr>
      </w:pPr>
      <w:r>
        <w:rPr>
          <w:rFonts w:hint="eastAsia" w:ascii="宋体" w:hAnsi="宋体" w:eastAsia="宋体" w:cs="宋体"/>
          <w:b w:val="0"/>
          <w:spacing w:val="0"/>
          <w:kern w:val="2"/>
          <w:sz w:val="24"/>
          <w:szCs w:val="24"/>
          <w:highlight w:val="none"/>
          <w:lang w:eastAsia="zh-Hans"/>
        </w:rPr>
        <w:t>3.1</w:t>
      </w:r>
      <w:r>
        <w:rPr>
          <w:rFonts w:hint="eastAsia" w:ascii="宋体" w:hAnsi="宋体" w:eastAsia="宋体" w:cs="宋体"/>
          <w:b w:val="0"/>
          <w:spacing w:val="0"/>
          <w:kern w:val="2"/>
          <w:sz w:val="24"/>
          <w:szCs w:val="24"/>
          <w:highlight w:val="none"/>
        </w:rPr>
        <w:t xml:space="preserve"> </w:t>
      </w:r>
      <w:r>
        <w:rPr>
          <w:rStyle w:val="48"/>
          <w:rFonts w:hint="eastAsia" w:ascii="宋体" w:hAnsi="宋体" w:eastAsia="宋体" w:cs="宋体"/>
          <w:b w:val="0"/>
          <w:sz w:val="24"/>
          <w:szCs w:val="24"/>
          <w:highlight w:val="none"/>
        </w:rPr>
        <w:t>上述服务总价合计为人民币</w:t>
      </w:r>
      <w:r>
        <w:rPr>
          <w:rStyle w:val="48"/>
          <w:rFonts w:hint="eastAsia" w:ascii="宋体" w:hAnsi="宋体" w:eastAsia="宋体" w:cs="宋体"/>
          <w:b w:val="0"/>
          <w:sz w:val="24"/>
          <w:szCs w:val="24"/>
          <w:highlight w:val="none"/>
          <w:u w:val="single"/>
          <w:lang w:eastAsia="zh-Hans"/>
        </w:rPr>
        <w:t>（大写金额）</w:t>
      </w:r>
      <w:r>
        <w:rPr>
          <w:rStyle w:val="48"/>
          <w:rFonts w:hint="eastAsia" w:ascii="宋体" w:hAnsi="宋体" w:eastAsia="宋体" w:cs="宋体"/>
          <w:b w:val="0"/>
          <w:sz w:val="24"/>
          <w:szCs w:val="24"/>
          <w:highlight w:val="none"/>
        </w:rPr>
        <w:t>，即：</w:t>
      </w:r>
      <w:r>
        <w:rPr>
          <w:rStyle w:val="48"/>
          <w:rFonts w:hint="eastAsia" w:ascii="宋体" w:hAnsi="宋体" w:eastAsia="宋体" w:cs="宋体"/>
          <w:b w:val="0"/>
          <w:sz w:val="24"/>
          <w:szCs w:val="24"/>
          <w:highlight w:val="none"/>
          <w:u w:val="single"/>
          <w:lang w:eastAsia="zh-Hans"/>
        </w:rPr>
        <w:t>（小写金额）</w:t>
      </w:r>
      <w:r>
        <w:rPr>
          <w:rStyle w:val="48"/>
          <w:rFonts w:hint="eastAsia" w:ascii="宋体" w:hAnsi="宋体" w:eastAsia="宋体" w:cs="宋体"/>
          <w:b w:val="0"/>
          <w:sz w:val="24"/>
          <w:szCs w:val="24"/>
          <w:highlight w:val="none"/>
        </w:rPr>
        <w:t>（</w:t>
      </w:r>
      <w:r>
        <w:rPr>
          <w:rStyle w:val="48"/>
          <w:rFonts w:hint="eastAsia" w:ascii="宋体" w:hAnsi="宋体" w:eastAsia="宋体" w:cs="宋体"/>
          <w:b w:val="0"/>
          <w:sz w:val="24"/>
          <w:szCs w:val="24"/>
          <w:highlight w:val="none"/>
          <w:lang w:eastAsia="zh-Hans"/>
        </w:rPr>
        <w:t>含税</w:t>
      </w:r>
      <w:r>
        <w:rPr>
          <w:rStyle w:val="48"/>
          <w:rFonts w:hint="eastAsia" w:ascii="宋体" w:hAnsi="宋体" w:eastAsia="宋体" w:cs="宋体"/>
          <w:b w:val="0"/>
          <w:sz w:val="24"/>
          <w:szCs w:val="24"/>
          <w:highlight w:val="none"/>
        </w:rPr>
        <w:t>价，</w:t>
      </w:r>
      <w:r>
        <w:rPr>
          <w:rFonts w:hint="eastAsia" w:ascii="宋体" w:hAnsi="宋体" w:eastAsia="宋体" w:cs="宋体"/>
          <w:b w:val="0"/>
          <w:sz w:val="24"/>
          <w:szCs w:val="24"/>
          <w:highlight w:val="none"/>
        </w:rPr>
        <w:t>如遇国家税收政策调整，不含税价不变，相应调整含税价格并开具发票</w:t>
      </w:r>
      <w:r>
        <w:rPr>
          <w:rStyle w:val="48"/>
          <w:rFonts w:hint="eastAsia" w:ascii="宋体" w:hAnsi="宋体" w:eastAsia="宋体" w:cs="宋体"/>
          <w:b w:val="0"/>
          <w:sz w:val="24"/>
          <w:szCs w:val="24"/>
          <w:highlight w:val="none"/>
        </w:rPr>
        <w:t>，税率：</w:t>
      </w:r>
      <w:r>
        <w:rPr>
          <w:rStyle w:val="48"/>
          <w:rFonts w:hint="eastAsia" w:ascii="宋体" w:hAnsi="宋体" w:eastAsia="宋体" w:cs="宋体"/>
          <w:b w:val="0"/>
          <w:sz w:val="24"/>
          <w:szCs w:val="24"/>
          <w:highlight w:val="none"/>
          <w:u w:val="single"/>
        </w:rPr>
        <w:t xml:space="preserve">   </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17" w:leftChars="294" w:firstLine="0"/>
        <w:jc w:val="left"/>
        <w:rPr>
          <w:rStyle w:val="48"/>
          <w:rFonts w:hint="eastAsia" w:ascii="宋体" w:hAnsi="宋体" w:eastAsia="宋体" w:cs="宋体"/>
          <w:b w:val="0"/>
          <w:sz w:val="24"/>
          <w:szCs w:val="24"/>
          <w:highlight w:val="none"/>
        </w:rPr>
      </w:pPr>
      <w:r>
        <w:rPr>
          <w:rStyle w:val="48"/>
          <w:rFonts w:hint="eastAsia" w:ascii="宋体" w:hAnsi="宋体" w:eastAsia="宋体" w:cs="宋体"/>
          <w:b w:val="0"/>
          <w:sz w:val="24"/>
          <w:szCs w:val="24"/>
          <w:highlight w:val="none"/>
        </w:rPr>
        <w:t>此价格为包干价格，</w:t>
      </w:r>
      <w:r>
        <w:rPr>
          <w:rStyle w:val="48"/>
          <w:rFonts w:hint="eastAsia" w:ascii="宋体" w:hAnsi="宋体" w:eastAsia="宋体" w:cs="宋体"/>
          <w:b w:val="0"/>
          <w:sz w:val="24"/>
          <w:szCs w:val="24"/>
          <w:highlight w:val="none"/>
          <w:lang w:eastAsia="zh-Hans"/>
        </w:rPr>
        <w:t>如超出本合同约定服务范围，需双方共同协商此类变更所需要的工作量，并另行签署合同</w:t>
      </w:r>
      <w:r>
        <w:rPr>
          <w:rStyle w:val="48"/>
          <w:rFonts w:hint="eastAsia" w:ascii="宋体" w:hAnsi="宋体" w:eastAsia="宋体" w:cs="宋体"/>
          <w:b w:val="0"/>
          <w:sz w:val="24"/>
          <w:szCs w:val="24"/>
          <w:highlight w:val="none"/>
        </w:rPr>
        <w:t>。</w:t>
      </w:r>
    </w:p>
    <w:p>
      <w:pPr>
        <w:pStyle w:val="26"/>
        <w:pageBreakBefore w:val="0"/>
        <w:widowControl w:val="0"/>
        <w:kinsoku/>
        <w:wordWrap/>
        <w:overflowPunct/>
        <w:topLinePunct w:val="0"/>
        <w:bidi w:val="0"/>
        <w:snapToGrid/>
        <w:spacing w:after="0" w:line="520" w:lineRule="exact"/>
        <w:ind w:left="640" w:hanging="480" w:hangingChars="200"/>
        <w:jc w:val="left"/>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3.2 </w:t>
      </w:r>
      <w:r>
        <w:rPr>
          <w:rFonts w:hint="eastAsia" w:ascii="宋体" w:hAnsi="宋体" w:eastAsia="宋体" w:cs="宋体"/>
          <w:snapToGrid/>
          <w:kern w:val="2"/>
          <w:sz w:val="24"/>
          <w:szCs w:val="24"/>
          <w:highlight w:val="none"/>
          <w:lang w:val="en-US" w:eastAsia="zh-CN" w:bidi="ar-SA"/>
        </w:rPr>
        <w:t>合同签订生效之日起</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w:t>
      </w:r>
      <w:r>
        <w:rPr>
          <w:rFonts w:hint="eastAsia" w:ascii="宋体" w:hAnsi="宋体" w:eastAsia="宋体" w:cs="宋体"/>
          <w:b w:val="0"/>
          <w:bCs/>
          <w:sz w:val="24"/>
          <w:szCs w:val="24"/>
          <w:highlight w:val="none"/>
        </w:rPr>
        <w:t>向甲方出具测评报告及被测评系统备案证明后</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个工作日内，甲方向乙方支付合同总价款的</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%，计：¥</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 大写：人民币</w:t>
      </w:r>
      <w:r>
        <w:rPr>
          <w:rFonts w:hint="eastAsia" w:ascii="宋体" w:hAnsi="宋体" w:eastAsia="宋体" w:cs="宋体"/>
          <w:snapToGrid/>
          <w:kern w:val="2"/>
          <w:sz w:val="24"/>
          <w:szCs w:val="24"/>
          <w:highlight w:val="none"/>
          <w:u w:val="single"/>
          <w:lang w:val="en-US" w:eastAsia="zh-CN" w:bidi="ar-SA"/>
        </w:rPr>
        <w:t xml:space="preserve">       </w:t>
      </w:r>
      <w:r>
        <w:rPr>
          <w:rFonts w:hint="eastAsia" w:ascii="宋体" w:hAnsi="宋体" w:eastAsia="宋体" w:cs="宋体"/>
          <w:snapToGrid/>
          <w:kern w:val="2"/>
          <w:sz w:val="24"/>
          <w:szCs w:val="24"/>
          <w:highlight w:val="none"/>
          <w:lang w:val="en-US" w:eastAsia="zh-CN" w:bidi="ar-SA"/>
        </w:rPr>
        <w:t>元整。乙方在甲方支付每一笔款项前应向甲方出具相应金额的正规增值税发票。</w:t>
      </w:r>
    </w:p>
    <w:p>
      <w:pPr>
        <w:pageBreakBefore w:val="0"/>
        <w:widowControl w:val="0"/>
        <w:kinsoku/>
        <w:wordWrap/>
        <w:overflowPunct/>
        <w:topLinePunct w:val="0"/>
        <w:bidi w:val="0"/>
        <w:snapToGrid/>
        <w:spacing w:line="520" w:lineRule="exact"/>
        <w:ind w:left="640" w:hanging="560" w:hanging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3.3 乙方收款账户信息如下：</w:t>
      </w:r>
    </w:p>
    <w:p>
      <w:pPr>
        <w:pageBreakBefore w:val="0"/>
        <w:widowControl w:val="0"/>
        <w:kinsoku/>
        <w:wordWrap/>
        <w:overflowPunct/>
        <w:topLinePunct w:val="0"/>
        <w:bidi w:val="0"/>
        <w:snapToGrid/>
        <w:spacing w:line="520" w:lineRule="exact"/>
        <w:ind w:firstLine="560" w:firstLineChars="200"/>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名  称：</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rPr>
      </w:pPr>
      <w:r>
        <w:rPr>
          <w:rFonts w:hint="eastAsia" w:ascii="宋体" w:hAnsi="宋体" w:eastAsia="宋体" w:cs="宋体"/>
          <w:bCs/>
          <w:spacing w:val="20"/>
          <w:kern w:val="0"/>
          <w:sz w:val="24"/>
          <w:szCs w:val="24"/>
          <w:highlight w:val="none"/>
        </w:rPr>
        <w:t>开户行：</w:t>
      </w:r>
    </w:p>
    <w:p>
      <w:pPr>
        <w:pageBreakBefore w:val="0"/>
        <w:widowControl w:val="0"/>
        <w:kinsoku/>
        <w:wordWrap/>
        <w:overflowPunct/>
        <w:topLinePunct w:val="0"/>
        <w:bidi w:val="0"/>
        <w:snapToGrid/>
        <w:spacing w:line="520" w:lineRule="exact"/>
        <w:ind w:left="617" w:leftChars="294"/>
        <w:jc w:val="left"/>
        <w:rPr>
          <w:rFonts w:hint="eastAsia" w:ascii="宋体" w:hAnsi="宋体" w:eastAsia="宋体" w:cs="宋体"/>
          <w:bCs/>
          <w:spacing w:val="20"/>
          <w:kern w:val="0"/>
          <w:sz w:val="24"/>
          <w:szCs w:val="24"/>
          <w:highlight w:val="none"/>
          <w:lang w:eastAsia="zh-Hans"/>
        </w:rPr>
      </w:pPr>
      <w:r>
        <w:rPr>
          <w:rFonts w:hint="eastAsia" w:ascii="宋体" w:hAnsi="宋体" w:eastAsia="宋体" w:cs="宋体"/>
          <w:bCs/>
          <w:spacing w:val="20"/>
          <w:kern w:val="0"/>
          <w:sz w:val="24"/>
          <w:szCs w:val="24"/>
          <w:highlight w:val="none"/>
        </w:rPr>
        <w:t>账  号：</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 xml:space="preserve">第四条  </w:t>
      </w:r>
      <w:r>
        <w:rPr>
          <w:rFonts w:hint="eastAsia" w:ascii="宋体" w:hAnsi="宋体" w:eastAsia="宋体" w:cs="宋体"/>
          <w:sz w:val="24"/>
          <w:szCs w:val="24"/>
          <w:highlight w:val="none"/>
          <w:lang w:eastAsia="zh-Hans"/>
        </w:rPr>
        <w:t>双方责任与义务</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 xml:space="preserve">4.1 </w:t>
      </w:r>
      <w:r>
        <w:rPr>
          <w:rFonts w:hint="eastAsia" w:ascii="宋体" w:hAnsi="宋体" w:eastAsia="宋体" w:cs="宋体"/>
          <w:kern w:val="0"/>
          <w:sz w:val="24"/>
          <w:szCs w:val="24"/>
          <w:highlight w:val="none"/>
        </w:rPr>
        <w:t>乙方职责与承诺</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4.1.1 乙方依据《信息安全技术等级保护基本要求》（GB/T 22239-2019）、《计算机信息系统安全等级划分准则》（GB17859）等一系列国家信息安全等级保护相关标准对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实施网络安全等级保护测评，评审甲方被测评信息系统保护现状是否符合等级保护要求并</w:t>
      </w:r>
      <w:r>
        <w:rPr>
          <w:rFonts w:hint="eastAsia" w:ascii="宋体" w:hAnsi="宋体" w:eastAsia="宋体" w:cs="宋体"/>
          <w:kern w:val="0"/>
          <w:sz w:val="24"/>
          <w:szCs w:val="24"/>
          <w:highlight w:val="none"/>
        </w:rPr>
        <w:t>提交《信息安全等级测评报告》</w:t>
      </w:r>
      <w:r>
        <w:rPr>
          <w:rFonts w:hint="eastAsia" w:ascii="宋体" w:hAnsi="宋体" w:eastAsia="宋体" w:cs="宋体"/>
          <w:sz w:val="24"/>
          <w:szCs w:val="24"/>
          <w:highlight w:val="none"/>
        </w:rPr>
        <w:t>，对甲方系统安全建设提出意见和建议。</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4.1.2 </w:t>
      </w:r>
      <w:r>
        <w:rPr>
          <w:rFonts w:hint="eastAsia" w:ascii="宋体" w:hAnsi="宋体" w:eastAsia="宋体" w:cs="宋体"/>
          <w:iCs/>
          <w:sz w:val="24"/>
          <w:szCs w:val="24"/>
          <w:highlight w:val="none"/>
        </w:rPr>
        <w:t>乙方具备国家网络安全等级保护工作协调小组办公室颁发的“网络安全等级保护测评机构”资质。</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4.1.3 </w:t>
      </w:r>
      <w:r>
        <w:rPr>
          <w:rFonts w:hint="eastAsia" w:ascii="宋体" w:hAnsi="宋体" w:eastAsia="宋体" w:cs="宋体"/>
          <w:iCs/>
          <w:sz w:val="24"/>
          <w:szCs w:val="24"/>
          <w:highlight w:val="none"/>
        </w:rPr>
        <w:t>乙方作为等级保护测评机构，承诺满足《信息安全等级保护管理办法》第二十三条中对从事信息系统安全等级测评的机构应当履行义务的要求，具体如下：</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（1）遵守国家有关法律法规和技术标准，提供安全、客观、公正的检测评估服务，保证测评的质量和效果；</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（2）保守在测评活动中知悉的国家秘密、商业秘密和个人隐私，防范测评风险；</w:t>
      </w:r>
    </w:p>
    <w:p>
      <w:pPr>
        <w:pageBreakBefore w:val="0"/>
        <w:widowControl w:val="0"/>
        <w:tabs>
          <w:tab w:val="left" w:pos="1560"/>
        </w:tabs>
        <w:kinsoku/>
        <w:wordWrap/>
        <w:overflowPunct/>
        <w:topLinePunct w:val="0"/>
        <w:autoSpaceDE w:val="0"/>
        <w:autoSpaceDN w:val="0"/>
        <w:bidi w:val="0"/>
        <w:adjustRightInd w:val="0"/>
        <w:snapToGrid/>
        <w:spacing w:line="520" w:lineRule="exact"/>
        <w:ind w:left="759" w:leftChars="133" w:hanging="480" w:hangingChars="200"/>
        <w:rPr>
          <w:rFonts w:hint="eastAsia" w:ascii="宋体" w:hAnsi="宋体" w:eastAsia="宋体" w:cs="宋体"/>
          <w:iCs/>
          <w:sz w:val="24"/>
          <w:szCs w:val="24"/>
          <w:highlight w:val="none"/>
        </w:rPr>
      </w:pPr>
      <w:r>
        <w:rPr>
          <w:rFonts w:hint="eastAsia" w:ascii="宋体" w:hAnsi="宋体" w:eastAsia="宋体" w:cs="宋体"/>
          <w:iCs/>
          <w:sz w:val="24"/>
          <w:szCs w:val="24"/>
          <w:highlight w:val="none"/>
        </w:rPr>
        <w:t>（3）对测评人员进行安全保密教育，与其签订安全保密责任书，规定应当履行的安全保密义务和承担的法律责任，并负责检查落实。</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4.1.4 乙方进行的信息系统等级测评行为将受到测评机构主管机关的监督和管理。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4.1.5 </w:t>
      </w:r>
      <w:r>
        <w:rPr>
          <w:rFonts w:hint="eastAsia" w:ascii="宋体" w:hAnsi="宋体" w:eastAsia="宋体" w:cs="宋体"/>
          <w:iCs/>
          <w:sz w:val="24"/>
          <w:szCs w:val="24"/>
          <w:highlight w:val="none"/>
        </w:rPr>
        <w:t>乙方承诺项目实施人员受过良好的专业培训，将以精湛的技艺、勤勉的态度来履行合同规定的服务，并遵循国家信息安全等级保护测评标准和相关法律、法规。</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4.1.6 </w:t>
      </w:r>
      <w:r>
        <w:rPr>
          <w:rFonts w:hint="eastAsia" w:ascii="宋体" w:hAnsi="宋体" w:eastAsia="宋体" w:cs="宋体"/>
          <w:iCs/>
          <w:sz w:val="24"/>
          <w:szCs w:val="24"/>
          <w:highlight w:val="none"/>
        </w:rPr>
        <w:t>乙方承诺将为甲方专门成立等级保护测评项目组，指定一位合格的、有足够安全服务经验的项目经理，负责甲方和乙方之间的正式交流，领导和推进项目组的全面工作。</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4.1.7 </w:t>
      </w:r>
      <w:r>
        <w:rPr>
          <w:rFonts w:hint="eastAsia" w:ascii="宋体" w:hAnsi="宋体" w:eastAsia="宋体" w:cs="宋体"/>
          <w:iCs/>
          <w:sz w:val="24"/>
          <w:szCs w:val="24"/>
          <w:highlight w:val="none"/>
        </w:rPr>
        <w:t>乙方承诺对等级测评服务中得知的与甲方业务相关的数据进行严格保密。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4.1.8 事先未征得甲方的同意，乙方不得转让合同的全部或任一部分。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4.1.9</w:t>
      </w:r>
      <w:r>
        <w:rPr>
          <w:rFonts w:hint="eastAsia" w:ascii="宋体" w:hAnsi="宋体" w:eastAsia="宋体" w:cs="宋体"/>
          <w:iCs/>
          <w:sz w:val="24"/>
          <w:szCs w:val="24"/>
          <w:highlight w:val="none"/>
        </w:rPr>
        <w:t xml:space="preserve"> 乙方承诺在履行本合同之前，将向甲方提供具体实施步骤和计划，在设备的使用、信息的获取和更改方面得到甲方书面确认。</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sz w:val="24"/>
          <w:szCs w:val="24"/>
          <w:highlight w:val="none"/>
        </w:rPr>
        <w:t>4.1.10</w:t>
      </w:r>
      <w:r>
        <w:rPr>
          <w:rFonts w:hint="eastAsia" w:ascii="宋体" w:hAnsi="宋体" w:eastAsia="宋体" w:cs="宋体"/>
          <w:iCs/>
          <w:sz w:val="24"/>
          <w:szCs w:val="24"/>
          <w:highlight w:val="none"/>
        </w:rPr>
        <w:t>项目工期：自合同签订之日起为时</w:t>
      </w:r>
      <w:r>
        <w:rPr>
          <w:rFonts w:hint="eastAsia" w:ascii="宋体" w:hAnsi="宋体" w:eastAsia="宋体" w:cs="宋体"/>
          <w:iCs/>
          <w:sz w:val="24"/>
          <w:szCs w:val="24"/>
          <w:highlight w:val="none"/>
          <w:u w:val="single"/>
        </w:rPr>
        <w:t xml:space="preserve">      </w:t>
      </w:r>
      <w:r>
        <w:rPr>
          <w:rFonts w:hint="eastAsia" w:ascii="宋体" w:hAnsi="宋体" w:eastAsia="宋体" w:cs="宋体"/>
          <w:iCs/>
          <w:sz w:val="24"/>
          <w:szCs w:val="24"/>
          <w:highlight w:val="none"/>
        </w:rPr>
        <w:t>工作日（甲方系统整改时间除外），乙方将按照双方约定的时间保质保量完成指定的测评内容，协助甲方取得公安网监部门颁发的备案证明。</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iCs/>
          <w:sz w:val="24"/>
          <w:szCs w:val="24"/>
          <w:highlight w:val="none"/>
        </w:rPr>
      </w:pPr>
      <w:r>
        <w:rPr>
          <w:rFonts w:hint="eastAsia" w:ascii="宋体" w:hAnsi="宋体" w:eastAsia="宋体" w:cs="宋体"/>
          <w:iCs/>
          <w:sz w:val="24"/>
          <w:szCs w:val="24"/>
          <w:highlight w:val="none"/>
        </w:rPr>
        <w:t xml:space="preserve">4.1.11 远程协助或现场支持：项目成果文档的修订更新、优化及维护服务；项目范围内的信息安全技术支持服务；信息安全管理及信息安全技术咨询服务。 </w:t>
      </w:r>
    </w:p>
    <w:p>
      <w:pPr>
        <w:pStyle w:val="39"/>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w:t>
      </w:r>
      <w:r>
        <w:rPr>
          <w:rFonts w:hint="eastAsia" w:ascii="宋体" w:hAnsi="宋体" w:eastAsia="宋体" w:cs="宋体"/>
          <w:iCs/>
          <w:sz w:val="24"/>
          <w:szCs w:val="24"/>
          <w:highlight w:val="none"/>
          <w:lang w:eastAsia="zh-Hans"/>
        </w:rPr>
        <w:t>.</w:t>
      </w:r>
      <w:r>
        <w:rPr>
          <w:rFonts w:hint="eastAsia" w:ascii="宋体" w:hAnsi="宋体" w:eastAsia="宋体" w:cs="宋体"/>
          <w:iCs/>
          <w:sz w:val="24"/>
          <w:szCs w:val="24"/>
          <w:highlight w:val="none"/>
        </w:rPr>
        <w:t>1.12 乙方在整个服务期间不得做出任何有损甲方利益的行为。</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iCs/>
          <w:sz w:val="24"/>
          <w:szCs w:val="24"/>
          <w:highlight w:val="none"/>
        </w:rPr>
      </w:pPr>
      <w:r>
        <w:rPr>
          <w:rFonts w:hint="eastAsia" w:ascii="宋体" w:hAnsi="宋体" w:eastAsia="宋体" w:cs="宋体"/>
          <w:iCs/>
          <w:sz w:val="24"/>
          <w:szCs w:val="24"/>
          <w:highlight w:val="none"/>
        </w:rPr>
        <w:t>4.1.13 以上内容乙方如有违背，甲方可以按照本合同相应条款追究乙方违约责任。</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4.2 甲方职责</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 甲方将以书面形式指定一个项目协调人，以配合乙方的项目组工作，负责所有与乙方公司的正式交流，同时提供及时的信息反馈。</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4.2.2 甲方将指定相关技术人员，为乙方提供进行本合同约定的安全服务所需要的信息。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4.2.3 甲方将为乙方提供适当的工作场所，现场测评过程中所用的工作耗材（</w:t>
      </w:r>
      <w:r>
        <w:rPr>
          <w:rFonts w:hint="eastAsia" w:ascii="宋体" w:hAnsi="宋体" w:eastAsia="宋体" w:cs="宋体"/>
          <w:sz w:val="24"/>
          <w:szCs w:val="24"/>
          <w:highlight w:val="none"/>
          <w:lang w:eastAsia="zh-Hans"/>
        </w:rPr>
        <w:t>包括但不限于打印纸张</w:t>
      </w:r>
      <w:r>
        <w:rPr>
          <w:rFonts w:hint="eastAsia" w:ascii="宋体" w:hAnsi="宋体" w:eastAsia="宋体" w:cs="宋体"/>
          <w:sz w:val="24"/>
          <w:szCs w:val="24"/>
          <w:highlight w:val="none"/>
        </w:rPr>
        <w:t>）等将由甲方来承担。</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4.2.4甲方将为乙方提供进行本合同约定的安全服务所需要的访问网络设备和主机设备的权限，但乙方不得滥用该权限，仅能用于双方指定用途。</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4.2.5 甲方将向乙方提供实施本合同约定的安全服务所需要的文件。</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4.2.6 甲方保证拥有必要的许可、证明，确保乙方实施本合同中约定的服务时，对于设备的使用、信息的获取和更改，不会违反任何保密或协议责任，不会侵犯第三方的权利。如果实施合同约定的服务中造成侵权的行为，甲方应承担所有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4.2.7 事先未征得乙方的同意，甲方不得转让合同的全部或任一部分。</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4.2.8 甲方将按照本合同中约定的付款方式和时间付款。</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4.2.9 甲方应按照乙方的要求，提供测评工作所需要的相关资料，并对其合法性、真实性、合规性等承担责任。</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4.2.10 除非甲乙双方另有书面约定，为开展合作项目双方各自提供的内容和技术的知识产权由原所有方享有。甲乙双方承认并同意，任何一方向另一方提供的软件、规范、程序以及相关技术支持的行为不构成该方转让、许可或授予另一方享有其专利、版权、专有技术、商业秘密或其他知识产权。</w:t>
      </w:r>
    </w:p>
    <w:p>
      <w:pPr>
        <w:pStyle w:val="26"/>
        <w:pageBreakBefore w:val="0"/>
        <w:widowControl w:val="0"/>
        <w:kinsoku/>
        <w:wordWrap/>
        <w:overflowPunct/>
        <w:topLinePunct w:val="0"/>
        <w:bidi w:val="0"/>
        <w:snapToGrid/>
        <w:spacing w:after="0" w:line="520" w:lineRule="exact"/>
        <w:ind w:left="960" w:hanging="720" w:hangingChars="3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4.2.11</w:t>
      </w:r>
      <w:r>
        <w:rPr>
          <w:rFonts w:hint="eastAsia" w:ascii="宋体" w:hAnsi="宋体" w:eastAsia="宋体" w:cs="宋体"/>
          <w:b w:val="0"/>
          <w:bCs/>
          <w:sz w:val="24"/>
          <w:szCs w:val="24"/>
          <w:highlight w:val="none"/>
          <w:lang w:eastAsia="zh-Hans"/>
        </w:rPr>
        <w:t>在实施服务期间，甲方应为乙方指派到场的相关工作人员提供必要、及时的安全防护措施。如因甲方原因造成乙方人员损伤的，由甲方承担因此产生的一切费用。</w:t>
      </w:r>
    </w:p>
    <w:p>
      <w:pPr>
        <w:pageBreakBefore w:val="0"/>
        <w:widowControl w:val="0"/>
        <w:kinsoku/>
        <w:wordWrap/>
        <w:overflowPunct/>
        <w:topLinePunct w:val="0"/>
        <w:bidi w:val="0"/>
        <w:snapToGrid/>
        <w:spacing w:line="520" w:lineRule="exact"/>
        <w:ind w:left="1120" w:hanging="960" w:hangingChars="4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4.2.12 </w:t>
      </w:r>
      <w:r>
        <w:rPr>
          <w:rFonts w:hint="eastAsia" w:ascii="宋体" w:hAnsi="宋体" w:eastAsia="宋体" w:cs="宋体"/>
          <w:iCs/>
          <w:sz w:val="24"/>
          <w:szCs w:val="24"/>
          <w:highlight w:val="none"/>
        </w:rPr>
        <w:t>以上内容甲方如有违背，乙方可以按照本合同相应条款追究甲方违约责任。</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第五条  保密条款</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5.1在本条款中，“保密信息”指：</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5.1.1甲方提供给乙方的一切非公开技术和非技术信息，包括但不限于：网络拓扑结构、业务流程、网络安全机制、网络设备、网络方案、以及任何乙方无权向第三方泄露的信息。</w:t>
      </w:r>
    </w:p>
    <w:p>
      <w:pPr>
        <w:pageBreakBefore w:val="0"/>
        <w:widowControl w:val="0"/>
        <w:kinsoku/>
        <w:wordWrap/>
        <w:overflowPunct/>
        <w:topLinePunct w:val="0"/>
        <w:bidi w:val="0"/>
        <w:snapToGrid/>
        <w:spacing w:line="520" w:lineRule="exact"/>
        <w:ind w:left="840" w:hanging="720" w:hangingChars="3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5.1.2 </w:t>
      </w:r>
      <w:r>
        <w:rPr>
          <w:rFonts w:hint="eastAsia" w:ascii="宋体" w:hAnsi="宋体" w:eastAsia="宋体" w:cs="宋体"/>
          <w:sz w:val="24"/>
          <w:szCs w:val="24"/>
          <w:highlight w:val="none"/>
          <w:lang w:eastAsia="zh-Hans"/>
        </w:rPr>
        <w:t>乙方提供给甲方的一切非公开技术和非技术信息，包括但不限于：测评流程、测评问卷、测评项目控制文档、以及任何甲方无权向第三方泄露的信息。</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5.2 无论在测评过程中和测评结束后，双方都有义务不向任何第三方泄露测评过程中所获知的保密信息。</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68" w:name="_Toc506963835"/>
      <w:bookmarkStart w:id="169" w:name="_Toc512342307"/>
      <w:bookmarkStart w:id="170" w:name="_Toc512342413"/>
      <w:bookmarkStart w:id="171" w:name="_Toc512355542"/>
      <w:bookmarkStart w:id="172" w:name="_Toc512342201"/>
      <w:bookmarkStart w:id="173" w:name="_Toc521411300"/>
      <w:r>
        <w:rPr>
          <w:rFonts w:hint="eastAsia" w:ascii="宋体" w:hAnsi="宋体" w:eastAsia="宋体" w:cs="宋体"/>
          <w:sz w:val="24"/>
          <w:szCs w:val="24"/>
          <w:highlight w:val="none"/>
        </w:rPr>
        <w:t>第六条</w:t>
      </w:r>
      <w:bookmarkEnd w:id="168"/>
      <w:bookmarkEnd w:id="169"/>
      <w:bookmarkEnd w:id="170"/>
      <w:bookmarkEnd w:id="171"/>
      <w:bookmarkEnd w:id="172"/>
      <w:r>
        <w:rPr>
          <w:rFonts w:hint="eastAsia" w:ascii="宋体" w:hAnsi="宋体" w:eastAsia="宋体" w:cs="宋体"/>
          <w:sz w:val="24"/>
          <w:szCs w:val="24"/>
          <w:highlight w:val="none"/>
        </w:rPr>
        <w:t xml:space="preserve">  不可抗力</w:t>
      </w:r>
      <w:bookmarkEnd w:id="173"/>
      <w:r>
        <w:rPr>
          <w:rFonts w:hint="eastAsia" w:ascii="宋体" w:hAnsi="宋体" w:eastAsia="宋体" w:cs="宋体"/>
          <w:sz w:val="24"/>
          <w:szCs w:val="24"/>
          <w:highlight w:val="none"/>
        </w:rPr>
        <w:t>事件</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6.1 任何一方因不可抗力而暂时无法履行合同时，将履行期限延长至该不可抗力结束后，期限与费用不变。</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6.2 因不可抗力致使本合同无法履行时，双方均有义务立即以电话、传真或电报等最简捷的方式尽快通知对方，并于不可抗力发生后十五（15）个工作日内，以EMS信函方式将有关该不可抗力事件的适当证据提供给其他各方。声称受到不可抗力事件影响的一方有责任尽一切可能消除或者减轻此不可抗力事件对其履行义务的影响。该不可抗力终止或排除后，应以同样方式通知对方。</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6.3 不可抗力发生后，双方均有权就是否继续履行本合同进行磋商。</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bookmarkStart w:id="174" w:name="_Toc521411299"/>
      <w:r>
        <w:rPr>
          <w:rFonts w:hint="eastAsia" w:ascii="宋体" w:hAnsi="宋体" w:eastAsia="宋体" w:cs="宋体"/>
          <w:sz w:val="24"/>
          <w:szCs w:val="24"/>
          <w:highlight w:val="none"/>
        </w:rPr>
        <w:t>第七条  违约责任</w:t>
      </w:r>
      <w:bookmarkEnd w:id="174"/>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7.1如乙方因自身过错导致没有按照本合同约定的内容按时完成测评服务，或</w:t>
      </w:r>
      <w:r>
        <w:rPr>
          <w:rFonts w:hint="eastAsia" w:ascii="宋体" w:hAnsi="宋体" w:eastAsia="宋体" w:cs="宋体"/>
          <w:bCs/>
          <w:sz w:val="24"/>
          <w:szCs w:val="24"/>
          <w:highlight w:val="none"/>
          <w:lang w:eastAsia="zh-Hans"/>
        </w:rPr>
        <w:t>甲方未按本合同约定期限支付相应款项</w:t>
      </w:r>
      <w:r>
        <w:rPr>
          <w:rFonts w:hint="eastAsia" w:ascii="宋体" w:hAnsi="宋体" w:eastAsia="宋体" w:cs="宋体"/>
          <w:bCs/>
          <w:sz w:val="24"/>
          <w:szCs w:val="24"/>
          <w:highlight w:val="none"/>
        </w:rPr>
        <w:t>，</w:t>
      </w:r>
      <w:r>
        <w:rPr>
          <w:rFonts w:hint="eastAsia" w:ascii="宋体" w:hAnsi="宋体" w:eastAsia="宋体" w:cs="宋体"/>
          <w:sz w:val="24"/>
          <w:szCs w:val="24"/>
          <w:highlight w:val="none"/>
        </w:rPr>
        <w:t>每延迟一周，违约方应向守约方支付合同总额</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的违约金。</w:t>
      </w:r>
    </w:p>
    <w:p>
      <w:pPr>
        <w:pageBreakBefore w:val="0"/>
        <w:widowControl w:val="0"/>
        <w:tabs>
          <w:tab w:val="left" w:pos="567"/>
        </w:tabs>
        <w:kinsoku/>
        <w:wordWrap/>
        <w:overflowPunct/>
        <w:topLinePunct w:val="0"/>
        <w:bidi w:val="0"/>
        <w:snapToGrid/>
        <w:spacing w:line="520" w:lineRule="exact"/>
        <w:ind w:left="557" w:hanging="477" w:hangingChars="199"/>
        <w:rPr>
          <w:rFonts w:hint="eastAsia" w:ascii="宋体" w:hAnsi="宋体" w:eastAsia="宋体" w:cs="宋体"/>
          <w:sz w:val="24"/>
          <w:szCs w:val="24"/>
          <w:highlight w:val="none"/>
          <w:lang w:eastAsia="zh-Hans"/>
        </w:rPr>
      </w:pPr>
      <w:r>
        <w:rPr>
          <w:rFonts w:hint="eastAsia" w:ascii="宋体" w:hAnsi="宋体" w:eastAsia="宋体" w:cs="宋体"/>
          <w:sz w:val="24"/>
          <w:szCs w:val="24"/>
          <w:highlight w:val="none"/>
        </w:rPr>
        <w:t>7.2 如果乙方违背了信息安全等级保护工作中技术、产品和等级测评的承诺保证，甲方可以追究乙方相关责任。</w:t>
      </w:r>
      <w:r>
        <w:rPr>
          <w:rFonts w:hint="eastAsia" w:ascii="宋体" w:hAnsi="宋体" w:eastAsia="宋体" w:cs="宋体"/>
          <w:bCs/>
          <w:spacing w:val="20"/>
          <w:kern w:val="0"/>
          <w:sz w:val="24"/>
          <w:szCs w:val="24"/>
          <w:highlight w:val="none"/>
          <w:lang w:eastAsia="zh-Hans"/>
        </w:rPr>
        <w:t>但是“安全是相对的，绝对的安全是不存在的”。乙方将以专业化的工作方式向甲方提供等级测评并给出测评结果和网络安全建议，以协助提高甲方信息系统的安全保障能力。</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lang w:eastAsia="zh-Hans"/>
        </w:rPr>
      </w:pPr>
      <w:r>
        <w:rPr>
          <w:rFonts w:hint="eastAsia" w:ascii="宋体" w:hAnsi="宋体" w:eastAsia="宋体" w:cs="宋体"/>
          <w:b w:val="0"/>
          <w:bCs/>
          <w:sz w:val="24"/>
          <w:szCs w:val="24"/>
          <w:highlight w:val="none"/>
        </w:rPr>
        <w:t>7.3 在测评过程中，当与其它应用系统（含硬件、集成平台、应用系统、数据库系统等）发生任何矛盾时（如协作冲突、技术分歧等），</w:t>
      </w:r>
      <w:r>
        <w:rPr>
          <w:rFonts w:hint="eastAsia" w:ascii="宋体" w:hAnsi="宋体" w:eastAsia="宋体" w:cs="宋体"/>
          <w:b w:val="0"/>
          <w:bCs/>
          <w:sz w:val="24"/>
          <w:szCs w:val="24"/>
          <w:highlight w:val="none"/>
          <w:lang w:eastAsia="zh-Hans"/>
        </w:rPr>
        <w:t>应由甲、乙双方共同协商解决</w:t>
      </w:r>
      <w:r>
        <w:rPr>
          <w:rFonts w:hint="eastAsia" w:ascii="宋体" w:hAnsi="宋体" w:eastAsia="宋体" w:cs="宋体"/>
          <w:b w:val="0"/>
          <w:bCs/>
          <w:sz w:val="24"/>
          <w:szCs w:val="24"/>
          <w:highlight w:val="none"/>
        </w:rPr>
        <w:t>。</w:t>
      </w:r>
      <w:r>
        <w:rPr>
          <w:rFonts w:hint="eastAsia" w:ascii="宋体" w:hAnsi="宋体" w:eastAsia="宋体" w:cs="宋体"/>
          <w:b w:val="0"/>
          <w:bCs/>
          <w:sz w:val="24"/>
          <w:szCs w:val="24"/>
          <w:highlight w:val="none"/>
          <w:lang w:eastAsia="zh-Hans"/>
        </w:rPr>
        <w:t>无法协商解决的，乙方应服从甲方的协调或裁决，由此产生的后果由甲方承担。</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Hans"/>
        </w:rPr>
        <w:t>7.</w:t>
      </w:r>
      <w:r>
        <w:rPr>
          <w:rFonts w:hint="eastAsia" w:ascii="宋体" w:hAnsi="宋体" w:eastAsia="宋体" w:cs="宋体"/>
          <w:b w:val="0"/>
          <w:bCs/>
          <w:sz w:val="24"/>
          <w:szCs w:val="24"/>
          <w:highlight w:val="none"/>
        </w:rPr>
        <w:t>4</w:t>
      </w:r>
      <w:r>
        <w:rPr>
          <w:rFonts w:hint="eastAsia" w:ascii="宋体" w:hAnsi="宋体" w:eastAsia="宋体" w:cs="宋体"/>
          <w:b w:val="0"/>
          <w:bCs/>
          <w:sz w:val="24"/>
          <w:szCs w:val="24"/>
          <w:highlight w:val="none"/>
          <w:lang w:eastAsia="zh-Hans"/>
        </w:rPr>
        <w:t xml:space="preserve"> </w:t>
      </w:r>
      <w:r>
        <w:rPr>
          <w:rFonts w:hint="eastAsia" w:ascii="宋体" w:hAnsi="宋体" w:eastAsia="宋体" w:cs="宋体"/>
          <w:b w:val="0"/>
          <w:bCs/>
          <w:sz w:val="24"/>
          <w:szCs w:val="24"/>
          <w:highlight w:val="none"/>
        </w:rPr>
        <w:t>本合同任何一方无正当理由提前解除合同或者擅自转让或部分转让</w:t>
      </w:r>
      <w:r>
        <w:rPr>
          <w:rFonts w:hint="eastAsia" w:ascii="宋体" w:hAnsi="宋体" w:eastAsia="宋体" w:cs="宋体"/>
          <w:b w:val="0"/>
          <w:sz w:val="24"/>
          <w:szCs w:val="24"/>
          <w:highlight w:val="none"/>
        </w:rPr>
        <w:t>本合同权利义务的</w:t>
      </w:r>
      <w:r>
        <w:rPr>
          <w:rFonts w:hint="eastAsia" w:ascii="宋体" w:hAnsi="宋体" w:eastAsia="宋体" w:cs="宋体"/>
          <w:b w:val="0"/>
          <w:bCs/>
          <w:sz w:val="24"/>
          <w:szCs w:val="24"/>
          <w:highlight w:val="none"/>
        </w:rPr>
        <w:t>，应向守约方支付合同总金额</w:t>
      </w:r>
      <w:r>
        <w:rPr>
          <w:rFonts w:hint="eastAsia" w:ascii="宋体" w:hAnsi="宋体" w:eastAsia="宋体" w:cs="宋体"/>
          <w:b w:val="0"/>
          <w:bCs/>
          <w:sz w:val="24"/>
          <w:szCs w:val="24"/>
          <w:highlight w:val="none"/>
          <w:u w:val="single"/>
        </w:rPr>
        <w:t xml:space="preserve"> 30% </w:t>
      </w:r>
      <w:r>
        <w:rPr>
          <w:rFonts w:hint="eastAsia" w:ascii="宋体" w:hAnsi="宋体" w:eastAsia="宋体" w:cs="宋体"/>
          <w:b w:val="0"/>
          <w:bCs/>
          <w:sz w:val="24"/>
          <w:szCs w:val="24"/>
          <w:highlight w:val="none"/>
        </w:rPr>
        <w:t>的违约金。由于解除本合同或转让合同权利义务给守约方造成的经济损失超过违约金的，违约方还应给予守约方赔偿。</w:t>
      </w:r>
    </w:p>
    <w:p>
      <w:pPr>
        <w:pStyle w:val="26"/>
        <w:pageBreakBefore w:val="0"/>
        <w:widowControl w:val="0"/>
        <w:kinsoku/>
        <w:wordWrap/>
        <w:overflowPunct/>
        <w:topLinePunct w:val="0"/>
        <w:bidi w:val="0"/>
        <w:snapToGrid/>
        <w:spacing w:after="0" w:line="520" w:lineRule="exact"/>
        <w:ind w:left="640" w:hanging="480" w:hangingChars="20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7.5 如甲乙任意一方未履行或未完全履行本合同约定的义务和责任，违约方除应承担相应违约责任外，还应向守约方赔偿由此主张权利产生的一切费用（该费用包括但不限于诉讼费、保全费、律师费等）。</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第八条  合同的变更</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8.1 协议的变更，需通过双方正式书面文件确认并由甲方和乙方的授权签约者共同签署后方有效。</w:t>
      </w:r>
    </w:p>
    <w:p>
      <w:pPr>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8.2 以上条款如有未尽事宜，经甲、乙双方协商后加以补充。</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第九条  合同的效力</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9.1 本协议由甲乙双方共同拟定，双方均认可本协议的所有条款，并愿意为履行协议条款承担法律责任。</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9.2 本协议应经双方主要负责人签字并加盖有效公章方可生效。</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9.3 本合同期满后，双方应继续按照本合同有关信息保密的规定继续履行保密义务。</w:t>
      </w:r>
    </w:p>
    <w:p>
      <w:pPr>
        <w:pageBreakBefore w:val="0"/>
        <w:widowControl w:val="0"/>
        <w:tabs>
          <w:tab w:val="left" w:pos="567"/>
        </w:tabs>
        <w:kinsoku/>
        <w:wordWrap/>
        <w:overflowPunct/>
        <w:topLinePunct w:val="0"/>
        <w:bidi w:val="0"/>
        <w:snapToGrid/>
        <w:spacing w:line="520" w:lineRule="exact"/>
        <w:ind w:left="560" w:hanging="480" w:hangingChars="200"/>
        <w:rPr>
          <w:rFonts w:hint="eastAsia" w:ascii="宋体" w:hAnsi="宋体" w:eastAsia="宋体" w:cs="宋体"/>
          <w:bCs/>
          <w:sz w:val="24"/>
          <w:szCs w:val="24"/>
          <w:highlight w:val="none"/>
          <w:lang w:eastAsia="zh-Hans"/>
        </w:rPr>
      </w:pPr>
      <w:r>
        <w:rPr>
          <w:rFonts w:hint="eastAsia" w:ascii="宋体" w:hAnsi="宋体" w:eastAsia="宋体" w:cs="宋体"/>
          <w:sz w:val="24"/>
          <w:szCs w:val="24"/>
          <w:highlight w:val="none"/>
        </w:rPr>
        <w:t>9.4 本协议一式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陆</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份，甲执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份，乙执</w:t>
      </w:r>
      <w:r>
        <w:rPr>
          <w:rFonts w:hint="eastAsia" w:ascii="宋体" w:hAnsi="宋体" w:eastAsia="宋体" w:cs="宋体"/>
          <w:b/>
          <w:sz w:val="24"/>
          <w:szCs w:val="24"/>
          <w:highlight w:val="none"/>
          <w:u w:val="single"/>
        </w:rPr>
        <w:t xml:space="preserve">  叁  </w:t>
      </w:r>
      <w:r>
        <w:rPr>
          <w:rFonts w:hint="eastAsia" w:ascii="宋体" w:hAnsi="宋体" w:eastAsia="宋体" w:cs="宋体"/>
          <w:sz w:val="24"/>
          <w:szCs w:val="24"/>
          <w:highlight w:val="none"/>
        </w:rPr>
        <w:t>份，具有同等法律效力。</w:t>
      </w:r>
    </w:p>
    <w:p>
      <w:pPr>
        <w:pStyle w:val="4"/>
        <w:pageBreakBefore w:val="0"/>
        <w:widowControl w:val="0"/>
        <w:kinsoku/>
        <w:wordWrap/>
        <w:overflowPunct/>
        <w:topLinePunct w:val="0"/>
        <w:bidi w:val="0"/>
        <w:snapToGrid/>
        <w:spacing w:before="0" w:beforeLines="0" w:after="0" w:afterLines="0" w:line="520" w:lineRule="exact"/>
        <w:ind w:left="562" w:hanging="482" w:hangingChars="2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第十条  争议解决</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r>
        <w:rPr>
          <w:rFonts w:hint="eastAsia" w:ascii="宋体" w:hAnsi="宋体" w:eastAsia="宋体" w:cs="宋体"/>
          <w:sz w:val="24"/>
          <w:szCs w:val="24"/>
          <w:highlight w:val="none"/>
        </w:rPr>
        <w:t>10  本合同未尽事宜由双方协商解决。协商不成的，任何一方有权向原告方所在地的人民法院提起诉讼解决。争议解决期间，除双方发生争议部分以外，本合同的其他部分仍应继续执行。</w:t>
      </w:r>
    </w:p>
    <w:p>
      <w:pPr>
        <w:pStyle w:val="49"/>
        <w:pageBreakBefore w:val="0"/>
        <w:widowControl w:val="0"/>
        <w:kinsoku/>
        <w:wordWrap/>
        <w:overflowPunct/>
        <w:topLinePunct w:val="0"/>
        <w:bidi w:val="0"/>
        <w:snapToGrid/>
        <w:spacing w:line="520" w:lineRule="exact"/>
        <w:ind w:left="560" w:hanging="480" w:hangingChars="200"/>
        <w:rPr>
          <w:rFonts w:hint="eastAsia" w:ascii="宋体" w:hAnsi="宋体" w:eastAsia="宋体" w:cs="宋体"/>
          <w:sz w:val="24"/>
          <w:szCs w:val="24"/>
          <w:highlight w:val="none"/>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3"/>
        <w:gridCol w:w="4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9" w:hRule="atLeast"/>
          <w:jc w:val="center"/>
        </w:trPr>
        <w:tc>
          <w:tcPr>
            <w:tcW w:w="4503" w:type="dxa"/>
            <w:noWrap w:val="0"/>
            <w:vAlign w:val="top"/>
          </w:tcPr>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甲方（盖章）：</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bookmarkStart w:id="175" w:name="_Hlk27480308"/>
          </w:p>
          <w:bookmarkEnd w:id="175"/>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ind w:left="15" w:leftChars="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c>
          <w:tcPr>
            <w:tcW w:w="4819" w:type="dxa"/>
            <w:noWrap w:val="0"/>
            <w:vAlign w:val="top"/>
          </w:tcPr>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乙方（盖章）：</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法定代表人或授权代表（签字）：</w:t>
            </w:r>
          </w:p>
          <w:p>
            <w:pPr>
              <w:pageBreakBefore w:val="0"/>
              <w:widowControl w:val="0"/>
              <w:kinsoku/>
              <w:wordWrap/>
              <w:overflowPunct/>
              <w:topLinePunct w:val="0"/>
              <w:bidi w:val="0"/>
              <w:snapToGrid/>
              <w:spacing w:line="520" w:lineRule="exact"/>
              <w:ind w:left="2" w:leftChars="-31" w:hanging="67" w:hangingChars="28"/>
              <w:rPr>
                <w:rFonts w:hint="eastAsia" w:ascii="宋体" w:hAnsi="宋体" w:eastAsia="宋体" w:cs="宋体"/>
                <w:sz w:val="24"/>
                <w:szCs w:val="24"/>
                <w:highlight w:val="none"/>
              </w:rPr>
            </w:pP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p>
            <w:pPr>
              <w:pageBreakBefore w:val="0"/>
              <w:widowControl w:val="0"/>
              <w:kinsoku/>
              <w:wordWrap/>
              <w:overflowPunct/>
              <w:topLinePunct w:val="0"/>
              <w:bidi w:val="0"/>
              <w:snapToGrid/>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签定日期：     年    月   日</w:t>
            </w:r>
          </w:p>
        </w:tc>
      </w:tr>
    </w:tbl>
    <w:p>
      <w:pPr>
        <w:pageBreakBefore w:val="0"/>
        <w:widowControl w:val="0"/>
        <w:kinsoku/>
        <w:wordWrap/>
        <w:overflowPunct/>
        <w:topLinePunct w:val="0"/>
        <w:autoSpaceDE/>
        <w:autoSpaceDN/>
        <w:bidi w:val="0"/>
        <w:adjustRightInd/>
        <w:snapToGrid/>
        <w:spacing w:line="500" w:lineRule="exact"/>
        <w:ind w:left="280" w:firstLine="420"/>
        <w:jc w:val="both"/>
        <w:textAlignment w:val="auto"/>
        <w:rPr>
          <w:rFonts w:hint="eastAsia" w:ascii="宋体" w:hAnsi="宋体" w:eastAsia="宋体" w:cs="宋体"/>
          <w:snapToGrid/>
          <w:kern w:val="2"/>
          <w:sz w:val="24"/>
          <w:szCs w:val="24"/>
          <w:highlight w:val="none"/>
          <w:lang w:val="en-US" w:eastAsia="zh-CN" w:bidi="ar-SA"/>
        </w:rPr>
      </w:pPr>
      <w:r>
        <w:rPr>
          <w:rFonts w:hint="eastAsia" w:ascii="宋体" w:hAnsi="宋体" w:eastAsia="宋体" w:cs="宋体"/>
          <w:snapToGrid/>
          <w:kern w:val="2"/>
          <w:sz w:val="24"/>
          <w:szCs w:val="24"/>
          <w:highlight w:val="none"/>
          <w:lang w:val="en-US" w:eastAsia="zh-CN" w:bidi="ar-SA"/>
        </w:rPr>
        <w:br w:type="page"/>
      </w:r>
    </w:p>
    <w:p>
      <w:p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D包：网络链路</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 郑州市二七区大数据中心</w:t>
      </w:r>
      <w:r>
        <w:rPr>
          <w:rFonts w:hint="eastAsia" w:ascii="宋体" w:hAnsi="宋体" w:cs="宋体"/>
          <w:b/>
          <w:bCs/>
          <w:sz w:val="28"/>
          <w:szCs w:val="28"/>
          <w:highlight w:val="none"/>
          <w:lang w:eastAsia="zh-CN"/>
        </w:rPr>
        <w:t>二七区物联感知与管理服务项目常态化服务项目</w:t>
      </w:r>
    </w:p>
    <w:p>
      <w:pPr>
        <w:keepNext w:val="0"/>
        <w:keepLines w:val="0"/>
        <w:pageBreakBefore w:val="0"/>
        <w:widowControl/>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（D包：网络链路）</w:t>
      </w:r>
      <w:r>
        <w:rPr>
          <w:rFonts w:hint="eastAsia" w:ascii="宋体" w:hAnsi="宋体" w:eastAsia="宋体" w:cs="宋体"/>
          <w:b/>
          <w:bCs/>
          <w:sz w:val="28"/>
          <w:szCs w:val="28"/>
          <w:highlight w:val="none"/>
        </w:rPr>
        <w:t>采购合同</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甲方：（需方）</w:t>
      </w:r>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firstLine="720" w:firstLineChars="3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乙方：（供方）</w:t>
      </w:r>
      <w:bookmarkStart w:id="176" w:name="_Toc2889_WPSOffice_Level2"/>
      <w:bookmarkStart w:id="177" w:name="_Toc3322_WPSOffice_Level2"/>
      <w:r>
        <w:rPr>
          <w:rFonts w:hint="eastAsia" w:ascii="宋体" w:hAnsi="宋体" w:eastAsia="宋体" w:cs="宋体"/>
          <w:sz w:val="24"/>
          <w:szCs w:val="24"/>
          <w:highlight w:val="none"/>
          <w:u w:val="single"/>
        </w:rPr>
        <w:t xml:space="preserve">                  </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甲、乙双方根据招标文件、投标文件的内容，并经双方协商一致，达成以下合同条款：</w:t>
      </w:r>
      <w:bookmarkEnd w:id="176"/>
      <w:bookmarkEnd w:id="177"/>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一、本合同所指货物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为此次招标采购的货物</w:t>
      </w:r>
      <w:r>
        <w:rPr>
          <w:rFonts w:hint="eastAsia" w:ascii="宋体" w:hAnsi="宋体" w:cs="宋体"/>
          <w:sz w:val="24"/>
          <w:szCs w:val="24"/>
          <w:highlight w:val="none"/>
          <w:lang w:val="en-US" w:eastAsia="zh-CN"/>
        </w:rPr>
        <w:t>或</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，详见清单（详细注明：品名、规格型号、数量、单价、产地及技术要求</w:t>
      </w:r>
      <w:r>
        <w:rPr>
          <w:rFonts w:hint="eastAsia" w:ascii="宋体" w:hAnsi="宋体" w:eastAsia="宋体" w:cs="宋体"/>
          <w:sz w:val="24"/>
          <w:szCs w:val="24"/>
          <w:highlight w:val="none"/>
          <w:lang w:val="en-US" w:eastAsia="zh-CN"/>
        </w:rPr>
        <w:t>和服务标准</w:t>
      </w:r>
      <w:r>
        <w:rPr>
          <w:rFonts w:hint="eastAsia" w:ascii="宋体" w:hAnsi="宋体" w:eastAsia="宋体" w:cs="宋体"/>
          <w:sz w:val="24"/>
          <w:szCs w:val="24"/>
          <w:highlight w:val="none"/>
        </w:rPr>
        <w:t>等）</w:t>
      </w:r>
      <w:r>
        <w:rPr>
          <w:rFonts w:hint="eastAsia" w:ascii="宋体" w:hAnsi="宋体" w:eastAsia="宋体" w:cs="宋体"/>
          <w:sz w:val="24"/>
          <w:szCs w:val="24"/>
          <w:highlight w:val="none"/>
          <w:lang w:eastAsia="zh-CN"/>
        </w:rPr>
        <w:t>。</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合同总价款为：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元整）。</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本合同为固定总价合同，不因人工、材料和设备等价格的波动而影响。</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、质量要求及乙方对质量负责条件和期限：</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乙方提供的</w:t>
      </w:r>
      <w:r>
        <w:rPr>
          <w:rFonts w:hint="eastAsia" w:ascii="宋体" w:hAnsi="宋体" w:cs="宋体"/>
          <w:sz w:val="24"/>
          <w:szCs w:val="24"/>
          <w:highlight w:val="none"/>
          <w:lang w:val="en-US" w:eastAsia="zh-CN"/>
        </w:rPr>
        <w:t>网络产品及服务应</w:t>
      </w:r>
      <w:r>
        <w:rPr>
          <w:rFonts w:hint="eastAsia" w:ascii="宋体" w:hAnsi="宋体" w:eastAsia="宋体" w:cs="宋体"/>
          <w:sz w:val="24"/>
          <w:szCs w:val="24"/>
          <w:highlight w:val="none"/>
        </w:rPr>
        <w:t>符合国家强制标准、检测标准，符合《招标文件》及其修改、补充、澄清要求且达到乙方投标文件及澄清中的技术标准。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项目工期</w:t>
      </w:r>
      <w:r>
        <w:rPr>
          <w:rFonts w:hint="eastAsia" w:ascii="宋体" w:hAnsi="宋体" w:eastAsia="宋体" w:cs="宋体"/>
          <w:sz w:val="24"/>
          <w:szCs w:val="24"/>
          <w:highlight w:val="none"/>
        </w:rPr>
        <w:t>：合同生效，乙方应于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日前安装调试完毕，具备正常使用及验收条件。乙方在交付</w:t>
      </w:r>
      <w:r>
        <w:rPr>
          <w:rFonts w:hint="eastAsia" w:ascii="宋体" w:hAnsi="宋体" w:cs="宋体"/>
          <w:sz w:val="24"/>
          <w:szCs w:val="24"/>
          <w:highlight w:val="none"/>
          <w:lang w:val="en-US" w:eastAsia="zh-CN"/>
        </w:rPr>
        <w:t>标的物</w:t>
      </w:r>
      <w:r>
        <w:rPr>
          <w:rFonts w:hint="eastAsia" w:ascii="宋体" w:hAnsi="宋体" w:eastAsia="宋体" w:cs="宋体"/>
          <w:sz w:val="24"/>
          <w:szCs w:val="24"/>
          <w:highlight w:val="none"/>
        </w:rPr>
        <w:t>时应向甲方提供使用说明书、合格证书及其他相关的资料。</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、验收程序和要求：</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1.验收时间：所供安装调试结束、具备正常使用及验收条件时，由采购人成立验收工作组负责验收。</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2.验收工作组：合同履约验收工作应成立验收工作组专门负责，直接参与该项目政府采购活动的主要责任人不得作为验收工作的主要责任人。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3.验收报告：验收后，由验收工作组等出具验收报告。</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4.根据招标文件要求，甲方保留招标后通过测试验证技术参数的权利。如在验收时发现乙方实际提供的货物参数与投标文件中不一致，视为虚假中标，乙方应承担由此带的一切损失。</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val="en-US" w:eastAsia="zh-CN"/>
        </w:rPr>
        <w:t xml:space="preserve"> 合同签订后5个工作日内，支付合同金额的30%，剩余货款（服务款）按相关采购管理规定支付。</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六、责任和义务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78" w:name="_Toc6558_WPSOffice_Level2"/>
      <w:bookmarkStart w:id="179" w:name="_Toc6187_WPSOffice_Level2"/>
      <w:r>
        <w:rPr>
          <w:rFonts w:hint="eastAsia" w:ascii="宋体" w:hAnsi="宋体" w:eastAsia="宋体" w:cs="宋体"/>
          <w:sz w:val="24"/>
          <w:szCs w:val="24"/>
          <w:highlight w:val="none"/>
        </w:rPr>
        <w:t>1.甲方的责任和义务</w:t>
      </w:r>
      <w:bookmarkEnd w:id="178"/>
      <w:bookmarkEnd w:id="179"/>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（1）对乙方供货安装调试工作提供必要的场地、给予必要的协助。</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（2）按时验收、及时支付资金；</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（3）遵守国家法律法规，不得要求乙方虚开发票，不得要求乙方提供合同以外的其他物品或服务；</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（4）对乙方未按合同约定履约在验收报告中注明违约情形和事项，并应及时通知财政部门。属假冒伪劣产品的，同时向市场监督部门举报。</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bookmarkStart w:id="180" w:name="_Toc17720_WPSOffice_Level2"/>
      <w:bookmarkStart w:id="181" w:name="_Toc21783_WPSOffice_Level2"/>
      <w:r>
        <w:rPr>
          <w:rFonts w:hint="eastAsia" w:ascii="宋体" w:hAnsi="宋体" w:eastAsia="宋体" w:cs="宋体"/>
          <w:sz w:val="24"/>
          <w:szCs w:val="24"/>
          <w:highlight w:val="none"/>
        </w:rPr>
        <w:t>2.乙方的责任和义务</w:t>
      </w:r>
      <w:bookmarkEnd w:id="180"/>
      <w:bookmarkEnd w:id="181"/>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（1）严格按招标文件要求与投标文件的质量及服务承诺执行，保质、按期履行。保证提供全新正规产品，不得以次充好；提供优质服务，出现故障及时响应、上门维修。</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（2）不得将合同权利义务全部或部分转让给第三人。</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（3）货物验收合格前，对货物和人员的安全负责，应采取安全措施，确保人员、材料、设备和设施的安全，防止货物验收合格前的人身伤害和财产损失。应对其履行合同所雇佣的全部人员的工伤事故承担责任。</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（4）遵守法律、依法纳税。</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（5）遵守职业道德和行业规范，坚决杜绝送礼、回扣、报销费用等一切不正当竞争行为和商业贿赂行为。</w:t>
      </w:r>
    </w:p>
    <w:p>
      <w:pPr>
        <w:pageBreakBefore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（6）其他法律法规规定应尽的义务。</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、违约责任：</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1.甲方无正当理由拒收货物、拒付货款的，向乙方偿付拒收拒付部分货物款总额5%的违约金。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2.乙方所交货物的规格型号、技术要求、质量品质等不符合合同规定，甲方有权拒收货物，乙方应负责更换并承担因更换而支付的全部实际费用。因更换而造成逾期交货，则按逾期交货处理。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3.乙方不能交付货物的，乙方向甲方支付未交付部分货物款总额5%的违约金。</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4.乙方逾期交付货物，乙方向甲方每日偿付逾期交货部分货款总值5 %赔偿费。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八、《招标文件》及其修改补充、《投标文件》及其修改补充澄清均为本合同的组成部分。</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九、因货物质量问题发生争议，由项目所在地市级市场监督管理部门或双方认可的具备资质的第三方机构进行质量鉴定。</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十、因履行本合同发生的争议，由双方当事人协商解决，协商不成的采用下列第（一）种方式解决：</w:t>
      </w:r>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2" w:name="_Toc14885_WPSOffice_Level2"/>
      <w:bookmarkStart w:id="183" w:name="_Toc5742_WPSOffice_Level2"/>
      <w:r>
        <w:rPr>
          <w:rFonts w:hint="eastAsia" w:ascii="宋体" w:hAnsi="宋体" w:eastAsia="宋体" w:cs="宋体"/>
          <w:sz w:val="24"/>
          <w:szCs w:val="24"/>
          <w:highlight w:val="none"/>
        </w:rPr>
        <w:t>（一）提交郑州市仲裁委员会仲裁；</w:t>
      </w:r>
      <w:bookmarkEnd w:id="182"/>
      <w:bookmarkEnd w:id="183"/>
    </w:p>
    <w:p>
      <w:pPr>
        <w:pageBreakBefore w:val="0"/>
        <w:kinsoku/>
        <w:wordWrap/>
        <w:overflowPunct/>
        <w:topLinePunct w:val="0"/>
        <w:autoSpaceDE/>
        <w:autoSpaceDN/>
        <w:bidi w:val="0"/>
        <w:adjustRightInd/>
        <w:snapToGrid/>
        <w:spacing w:line="500" w:lineRule="exact"/>
        <w:ind w:left="280" w:firstLine="240" w:firstLineChars="100"/>
        <w:textAlignment w:val="auto"/>
        <w:rPr>
          <w:rFonts w:hint="eastAsia" w:ascii="宋体" w:hAnsi="宋体" w:eastAsia="宋体" w:cs="宋体"/>
          <w:sz w:val="24"/>
          <w:szCs w:val="24"/>
          <w:highlight w:val="none"/>
        </w:rPr>
      </w:pPr>
      <w:bookmarkStart w:id="184" w:name="_Toc28504_WPSOffice_Level2"/>
      <w:bookmarkStart w:id="185" w:name="_Toc16786_WPSOffice_Level2"/>
      <w:r>
        <w:rPr>
          <w:rFonts w:hint="eastAsia" w:ascii="宋体" w:hAnsi="宋体" w:eastAsia="宋体" w:cs="宋体"/>
          <w:sz w:val="24"/>
          <w:szCs w:val="24"/>
          <w:highlight w:val="none"/>
        </w:rPr>
        <w:t>（二）依法向郑州市</w:t>
      </w:r>
      <w:r>
        <w:rPr>
          <w:rFonts w:hint="eastAsia" w:ascii="宋体" w:hAnsi="宋体" w:eastAsia="宋体" w:cs="宋体"/>
          <w:sz w:val="24"/>
          <w:szCs w:val="24"/>
          <w:highlight w:val="none"/>
          <w:u w:val="single"/>
        </w:rPr>
        <w:t xml:space="preserve"> 二七 </w:t>
      </w:r>
      <w:r>
        <w:rPr>
          <w:rFonts w:hint="eastAsia" w:ascii="宋体" w:hAnsi="宋体" w:eastAsia="宋体" w:cs="宋体"/>
          <w:sz w:val="24"/>
          <w:szCs w:val="24"/>
          <w:highlight w:val="none"/>
        </w:rPr>
        <w:t>区人民法院起诉。</w:t>
      </w:r>
      <w:bookmarkEnd w:id="184"/>
      <w:bookmarkEnd w:id="185"/>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十一、合同生效及其它：</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本合同经甲乙双方代表签字、加盖公章后生效。本合同一式肆份，甲乙双方各执贰份。</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乙方：</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地址：</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rPr>
        <w:tab/>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委托代理人：</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电话：</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开户银行：</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银行账号：</w:t>
      </w:r>
    </w:p>
    <w:p>
      <w:pPr>
        <w:pageBreakBefore w:val="0"/>
        <w:kinsoku/>
        <w:wordWrap/>
        <w:overflowPunct/>
        <w:topLinePunct w:val="0"/>
        <w:autoSpaceDE/>
        <w:autoSpaceDN/>
        <w:bidi w:val="0"/>
        <w:adjustRightInd/>
        <w:snapToGrid/>
        <w:spacing w:line="500" w:lineRule="exact"/>
        <w:ind w:left="280"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纳税人识别号：</w:t>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ab/>
      </w:r>
      <w:r>
        <w:rPr>
          <w:rFonts w:hint="eastAsia" w:ascii="宋体" w:hAnsi="宋体" w:eastAsia="宋体" w:cs="宋体"/>
          <w:sz w:val="24"/>
          <w:szCs w:val="24"/>
          <w:highlight w:val="none"/>
        </w:rPr>
        <w:t>统一社会信用代码：</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  月 日                                 年  月 日</w:t>
      </w:r>
    </w:p>
    <w:p>
      <w:pPr>
        <w:pageBreakBefore w:val="0"/>
        <w:kinsoku/>
        <w:wordWrap/>
        <w:overflowPunct/>
        <w:topLinePunct w:val="0"/>
        <w:autoSpaceDE/>
        <w:autoSpaceDN/>
        <w:bidi w:val="0"/>
        <w:adjustRightInd/>
        <w:snapToGrid/>
        <w:spacing w:line="500" w:lineRule="exact"/>
        <w:ind w:right="960" w:firstLine="720" w:firstLineChars="3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附件：采购清单</w:t>
      </w:r>
    </w:p>
    <w:p>
      <w:pPr>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highlight w:val="none"/>
          <w:lang w:eastAsia="zh-CN"/>
        </w:rPr>
        <w:sectPr>
          <w:headerReference r:id="rId18" w:type="default"/>
          <w:footerReference r:id="rId19"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spacing w:line="460" w:lineRule="exact"/>
        <w:rPr>
          <w:rFonts w:hAnsi="宋体" w:cs="宋体"/>
          <w:b/>
          <w:bCs/>
          <w:sz w:val="28"/>
          <w:szCs w:val="28"/>
          <w:highlight w:val="none"/>
        </w:rPr>
      </w:pPr>
      <w:r>
        <w:rPr>
          <w:rFonts w:hAnsi="宋体" w:cs="宋体"/>
          <w:b/>
          <w:bCs/>
          <w:sz w:val="28"/>
          <w:szCs w:val="28"/>
          <w:highlight w:val="none"/>
        </w:rPr>
        <w:t>特别提示：</w:t>
      </w:r>
    </w:p>
    <w:p>
      <w:pPr>
        <w:pStyle w:val="2"/>
        <w:spacing w:line="460" w:lineRule="exact"/>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郑州市政府采购合同融资政策告知函</w:t>
      </w:r>
    </w:p>
    <w:p>
      <w:pPr>
        <w:pStyle w:val="2"/>
        <w:spacing w:line="460" w:lineRule="exact"/>
        <w:rPr>
          <w:rFonts w:hint="eastAsia" w:ascii="宋体" w:hAnsi="宋体" w:eastAsia="宋体" w:cs="宋体"/>
          <w:sz w:val="24"/>
          <w:szCs w:val="24"/>
          <w:highlight w:val="none"/>
        </w:rPr>
      </w:pPr>
    </w:p>
    <w:p>
      <w:pPr>
        <w:pStyle w:val="2"/>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各供应商：</w:t>
      </w:r>
    </w:p>
    <w:p>
      <w:pPr>
        <w:pStyle w:val="2"/>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欢迎贵公司参与郑州市政府采购活动！</w:t>
      </w:r>
    </w:p>
    <w:p>
      <w:pPr>
        <w:pStyle w:val="2"/>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号）和《郑州市财政局关于加强和推进政府采购合同融资工作的通知》（郑财购〔2018〕4 号），按照双方自愿的原则提供便捷、优惠的贷款服务。贷款渠道和提供贷款的金融机构，可在郑州市政府采购网 “郑州市政府采购合同融资入口”查询联系。</w:t>
      </w:r>
    </w:p>
    <w:p>
      <w:pPr>
        <w:rPr>
          <w:rFonts w:hint="eastAsia" w:ascii="宋体" w:hAnsi="宋体" w:eastAsia="宋体" w:cs="宋体"/>
          <w:sz w:val="24"/>
          <w:szCs w:val="24"/>
          <w:highlight w:val="none"/>
        </w:rPr>
      </w:pPr>
    </w:p>
    <w:p>
      <w:pPr>
        <w:rPr>
          <w:rFonts w:hint="eastAsia" w:ascii="宋体" w:hAnsi="宋体" w:eastAsia="宋体" w:cs="宋体"/>
          <w:szCs w:val="32"/>
          <w:highlight w:val="none"/>
        </w:rPr>
      </w:pPr>
      <w:r>
        <w:rPr>
          <w:rFonts w:hint="eastAsia" w:ascii="宋体" w:hAnsi="宋体" w:eastAsia="宋体" w:cs="宋体"/>
          <w:szCs w:val="32"/>
          <w:highlight w:val="none"/>
        </w:rPr>
        <w:br w:type="page"/>
      </w:r>
    </w:p>
    <w:p>
      <w:pPr>
        <w:pStyle w:val="4"/>
        <w:keepNext/>
        <w:keepLines/>
        <w:pageBreakBefore w:val="0"/>
        <w:widowControl w:val="0"/>
        <w:kinsoku/>
        <w:wordWrap/>
        <w:overflowPunct/>
        <w:topLinePunct w:val="0"/>
        <w:autoSpaceDE/>
        <w:autoSpaceDN/>
        <w:bidi w:val="0"/>
        <w:adjustRightInd/>
        <w:snapToGrid/>
        <w:spacing w:beforeAutospacing="0" w:afterAutospacing="0" w:line="600" w:lineRule="exact"/>
        <w:ind w:left="0" w:right="0" w:firstLine="0"/>
        <w:jc w:val="center"/>
        <w:textAlignment w:val="auto"/>
        <w:rPr>
          <w:rFonts w:hint="eastAsia" w:ascii="Times New Roman" w:hAnsi="Times New Roman" w:eastAsia="宋体" w:cs="Times New Roman"/>
          <w:highlight w:val="none"/>
        </w:rPr>
      </w:pPr>
      <w:bookmarkStart w:id="186" w:name="_Toc282"/>
      <w:r>
        <w:rPr>
          <w:rFonts w:hint="eastAsia" w:ascii="Times New Roman" w:hAnsi="Times New Roman" w:eastAsia="宋体" w:cs="Times New Roman"/>
          <w:highlight w:val="none"/>
        </w:rPr>
        <w:t>第六章 投标文件格式</w:t>
      </w:r>
      <w:bookmarkEnd w:id="166"/>
      <w:bookmarkEnd w:id="186"/>
    </w:p>
    <w:p>
      <w:pPr>
        <w:pStyle w:val="2"/>
        <w:kinsoku w:val="0"/>
        <w:overflowPunct w:val="0"/>
        <w:spacing w:line="460" w:lineRule="exact"/>
        <w:jc w:val="center"/>
        <w:rPr>
          <w:rFonts w:hint="eastAsia" w:ascii="宋体" w:hAnsi="宋体" w:eastAsia="宋体" w:cs="宋体"/>
          <w:highlight w:val="none"/>
        </w:rPr>
      </w:pPr>
      <w:r>
        <w:rPr>
          <w:rFonts w:hint="eastAsia" w:ascii="宋体" w:hAnsi="宋体" w:eastAsia="宋体" w:cs="宋体"/>
          <w:highlight w:val="none"/>
        </w:rPr>
        <w:t>（投标文件封面）</w:t>
      </w:r>
    </w:p>
    <w:p>
      <w:pPr>
        <w:pStyle w:val="2"/>
        <w:kinsoku w:val="0"/>
        <w:overflowPunct w:val="0"/>
        <w:spacing w:before="1"/>
        <w:rPr>
          <w:rFonts w:hint="eastAsia" w:ascii="宋体" w:hAnsi="宋体" w:eastAsia="宋体" w:cs="宋体"/>
          <w:highlight w:val="none"/>
        </w:rPr>
      </w:pPr>
    </w:p>
    <w:p>
      <w:pPr>
        <w:spacing w:line="360" w:lineRule="auto"/>
        <w:ind w:firstLine="522" w:firstLineChars="100"/>
        <w:jc w:val="center"/>
        <w:rPr>
          <w:rFonts w:hint="eastAsia" w:ascii="宋体" w:hAnsi="宋体" w:eastAsia="宋体" w:cs="宋体"/>
          <w:b/>
          <w:sz w:val="52"/>
          <w:szCs w:val="52"/>
          <w:highlight w:val="none"/>
          <w:u w:val="none"/>
          <w:lang w:val="en-US" w:eastAsia="zh-CN"/>
        </w:rPr>
      </w:pPr>
      <w:r>
        <w:rPr>
          <w:rFonts w:hint="eastAsia" w:ascii="宋体" w:hAnsi="宋体" w:eastAsia="宋体" w:cs="宋体"/>
          <w:b/>
          <w:sz w:val="52"/>
          <w:szCs w:val="52"/>
          <w:highlight w:val="none"/>
          <w:u w:val="none"/>
          <w:lang w:val="en-US" w:eastAsia="zh-CN"/>
        </w:rPr>
        <w:t>郑州市二七区大数据中心</w:t>
      </w:r>
    </w:p>
    <w:p>
      <w:pPr>
        <w:spacing w:line="360" w:lineRule="auto"/>
        <w:ind w:firstLine="522" w:firstLineChars="100"/>
        <w:jc w:val="center"/>
        <w:rPr>
          <w:rFonts w:hint="eastAsia" w:ascii="宋体" w:hAnsi="宋体" w:eastAsia="宋体" w:cs="宋体"/>
          <w:b/>
          <w:sz w:val="52"/>
          <w:szCs w:val="52"/>
          <w:highlight w:val="none"/>
          <w:u w:val="none"/>
        </w:rPr>
      </w:pPr>
      <w:r>
        <w:rPr>
          <w:rFonts w:hint="eastAsia" w:ascii="宋体" w:hAnsi="宋体" w:cs="宋体"/>
          <w:b/>
          <w:sz w:val="52"/>
          <w:szCs w:val="52"/>
          <w:highlight w:val="none"/>
          <w:u w:val="none"/>
          <w:lang w:val="en-US" w:eastAsia="zh-CN"/>
        </w:rPr>
        <w:t>二七区物联感知与管理服务项目常态化服务项目</w:t>
      </w:r>
    </w:p>
    <w:p>
      <w:pPr>
        <w:spacing w:line="360" w:lineRule="auto"/>
        <w:jc w:val="center"/>
        <w:rPr>
          <w:rFonts w:hint="eastAsia" w:ascii="宋体" w:hAnsi="宋体" w:eastAsia="宋体" w:cs="宋体"/>
          <w:b/>
          <w:sz w:val="44"/>
          <w:szCs w:val="44"/>
          <w:highlight w:val="none"/>
          <w:lang w:eastAsia="zh-CN"/>
        </w:rPr>
      </w:pPr>
      <w:r>
        <w:rPr>
          <w:rFonts w:hint="eastAsia" w:ascii="宋体" w:hAnsi="宋体" w:cs="宋体"/>
          <w:b/>
          <w:sz w:val="44"/>
          <w:szCs w:val="44"/>
          <w:highlight w:val="none"/>
          <w:lang w:eastAsia="zh-CN"/>
        </w:rPr>
        <w:t>（</w:t>
      </w:r>
      <w:r>
        <w:rPr>
          <w:rFonts w:hint="eastAsia" w:ascii="宋体" w:hAnsi="宋体" w:cs="宋体"/>
          <w:b/>
          <w:sz w:val="44"/>
          <w:szCs w:val="44"/>
          <w:highlight w:val="none"/>
          <w:u w:val="single"/>
          <w:lang w:val="en-US" w:eastAsia="zh-CN"/>
        </w:rPr>
        <w:t xml:space="preserve">   </w:t>
      </w:r>
      <w:r>
        <w:rPr>
          <w:rFonts w:hint="eastAsia" w:ascii="宋体" w:hAnsi="宋体" w:cs="宋体"/>
          <w:b/>
          <w:sz w:val="44"/>
          <w:szCs w:val="44"/>
          <w:highlight w:val="none"/>
          <w:u w:val="none"/>
          <w:lang w:val="en-US" w:eastAsia="zh-CN"/>
        </w:rPr>
        <w:t>包</w:t>
      </w:r>
      <w:r>
        <w:rPr>
          <w:rFonts w:hint="eastAsia" w:ascii="宋体" w:hAnsi="宋体" w:cs="宋体"/>
          <w:b/>
          <w:sz w:val="44"/>
          <w:szCs w:val="44"/>
          <w:highlight w:val="none"/>
          <w:lang w:eastAsia="zh-CN"/>
        </w:rPr>
        <w:t>）</w:t>
      </w: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spacing w:before="8"/>
        <w:rPr>
          <w:rFonts w:hint="eastAsia" w:ascii="宋体" w:hAnsi="宋体" w:eastAsia="宋体" w:cs="宋体"/>
          <w:highlight w:val="none"/>
        </w:rPr>
      </w:pPr>
    </w:p>
    <w:p>
      <w:pPr>
        <w:pStyle w:val="2"/>
        <w:tabs>
          <w:tab w:val="left" w:pos="1687"/>
        </w:tabs>
        <w:kinsoku w:val="0"/>
        <w:overflowPunct w:val="0"/>
        <w:ind w:right="363"/>
        <w:jc w:val="center"/>
        <w:rPr>
          <w:rFonts w:hint="eastAsia" w:ascii="宋体" w:hAnsi="宋体" w:eastAsia="宋体" w:cs="宋体"/>
          <w:b/>
          <w:sz w:val="84"/>
          <w:szCs w:val="84"/>
          <w:highlight w:val="none"/>
        </w:rPr>
      </w:pPr>
      <w:r>
        <w:rPr>
          <w:rFonts w:hint="eastAsia" w:ascii="宋体" w:hAnsi="宋体" w:eastAsia="宋体" w:cs="宋体"/>
          <w:b/>
          <w:sz w:val="84"/>
          <w:szCs w:val="84"/>
          <w:highlight w:val="none"/>
        </w:rPr>
        <w:t>投 标 文 件</w:t>
      </w:r>
    </w:p>
    <w:p>
      <w:pPr>
        <w:pStyle w:val="2"/>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采购</w:t>
      </w:r>
      <w:r>
        <w:rPr>
          <w:rFonts w:hint="eastAsia" w:ascii="宋体" w:hAnsi="宋体" w:eastAsia="宋体" w:cs="宋体"/>
          <w:b/>
          <w:sz w:val="28"/>
          <w:szCs w:val="28"/>
          <w:highlight w:val="none"/>
        </w:rPr>
        <w:t>编号：二七政采公开-2023-26</w:t>
      </w: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投标人</w:t>
      </w:r>
      <w:r>
        <w:rPr>
          <w:rFonts w:hint="eastAsia" w:ascii="宋体" w:hAnsi="宋体" w:eastAsia="宋体" w:cs="宋体"/>
          <w:b/>
          <w:sz w:val="28"/>
          <w:szCs w:val="28"/>
          <w:highlight w:val="none"/>
        </w:rPr>
        <w:t>：（企业电子签章）</w:t>
      </w:r>
    </w:p>
    <w:p>
      <w:pPr>
        <w:pStyle w:val="2"/>
        <w:kinsoku w:val="0"/>
        <w:overflowPunct w:val="0"/>
        <w:spacing w:before="100" w:beforeAutospacing="1" w:after="100" w:afterAutospacing="1" w:line="460" w:lineRule="exact"/>
        <w:ind w:left="0" w:leftChars="0" w:firstLine="1164" w:firstLineChars="414"/>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法定代表人或负责人或委托代理人：（个人电子签章）：</w:t>
      </w:r>
    </w:p>
    <w:p>
      <w:pPr>
        <w:pStyle w:val="2"/>
        <w:tabs>
          <w:tab w:val="left" w:pos="3449"/>
          <w:tab w:val="left" w:pos="4654"/>
          <w:tab w:val="left" w:pos="5559"/>
          <w:tab w:val="left" w:pos="6462"/>
        </w:tabs>
        <w:kinsoku w:val="0"/>
        <w:overflowPunct w:val="0"/>
        <w:spacing w:before="100" w:beforeAutospacing="1" w:after="100" w:afterAutospacing="1" w:line="460" w:lineRule="exact"/>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日 期：  年  月  日</w:t>
      </w:r>
    </w:p>
    <w:p>
      <w:pPr>
        <w:pStyle w:val="2"/>
        <w:kinsoku w:val="0"/>
        <w:overflowPunct w:val="0"/>
        <w:rPr>
          <w:rFonts w:hint="eastAsia" w:ascii="宋体" w:hAnsi="宋体" w:eastAsia="宋体" w:cs="宋体"/>
          <w:b/>
          <w:highlight w:val="none"/>
        </w:rPr>
      </w:pPr>
    </w:p>
    <w:p>
      <w:pPr>
        <w:pStyle w:val="2"/>
        <w:kinsoku w:val="0"/>
        <w:overflowPunct w:val="0"/>
        <w:spacing w:before="100" w:beforeAutospacing="1" w:after="100" w:afterAutospacing="1" w:line="734"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目 录</w:t>
      </w:r>
    </w:p>
    <w:p>
      <w:pPr>
        <w:pStyle w:val="2"/>
        <w:kinsoku w:val="0"/>
        <w:overflowPunct w:val="0"/>
        <w:spacing w:line="20" w:lineRule="exact"/>
        <w:ind w:left="1403"/>
        <w:rPr>
          <w:rFonts w:hint="eastAsia" w:ascii="宋体" w:hAnsi="宋体" w:eastAsia="宋体" w:cs="宋体"/>
          <w:highlight w:val="none"/>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1.投标函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法定代表人（或负责人）身份证明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3.法定代表人（或负责人）授权委托书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4.投标人资格证明文件</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4.1资格承诺声明函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4.2具有独立承担民事责任的能力的证明材料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4.3具有良好的商业信誉和健全的财务会计制度的证明材料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4.4具备履行合同所必需的设备和专业技术能力的证明材料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4.5依法缴纳税收和社会保障资金的记录</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4.6参加政府采购活动前 3 年内在经营活动中没有重大违法记录的书面声明</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4.7满足本项目特定资格要求的承诺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5.反商业贿赂承诺书</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6.投标承诺函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7.投标报价表格</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7.1开标一览表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7.2分项报价表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8.技术规格及商务偏离表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8.1技术偏差表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8.2商务偏差表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9.项目部人员配备</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10.项目实施方案及服务计划</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11.售后服务计划及承诺</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12.投标人及提供产品适用政府采购政策情况表</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13.符合《政府采购促进中小企业发展管理办法》的相关材料</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13.1中小企业声明函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13.2 残疾人福利性单位声明函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13.3投标人监狱企业声明函</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14.投标人关联单位情况说明</w:t>
      </w:r>
    </w:p>
    <w:p>
      <w:pP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15.投标人认为有必要提供的其他资料</w:t>
      </w:r>
    </w:p>
    <w:p>
      <w:pPr>
        <w:rPr>
          <w:rFonts w:hint="default"/>
          <w:highlight w:val="none"/>
          <w:lang w:val="en-US" w:eastAsia="zh-CN"/>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rPr>
      </w:pPr>
      <w:r>
        <w:rPr>
          <w:rFonts w:hint="eastAsia" w:ascii="宋体" w:hAnsi="宋体" w:eastAsia="宋体" w:cs="宋体"/>
          <w:highlight w:val="none"/>
        </w:rPr>
        <w:br w:type="page"/>
      </w:r>
      <w:bookmarkStart w:id="187" w:name="_Toc28"/>
      <w:bookmarkStart w:id="188" w:name="_Toc5092"/>
      <w:bookmarkStart w:id="189" w:name="_Toc12917"/>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投标函</w:t>
      </w:r>
      <w:bookmarkEnd w:id="187"/>
      <w:bookmarkEnd w:id="188"/>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(采购人及招标代理公司）</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566"/>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我们获取了招标编号为</w:t>
      </w:r>
      <w:r>
        <w:rPr>
          <w:rFonts w:hint="eastAsia" w:ascii="宋体" w:hAnsi="宋体" w:eastAsia="宋体" w:cs="宋体"/>
          <w:sz w:val="24"/>
          <w:szCs w:val="24"/>
          <w:highlight w:val="none"/>
          <w:u w:val="single"/>
        </w:rPr>
        <w:t xml:space="preserve">  二七政采公开-2023-26（填写招标编号）  </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 xml:space="preserve">     （填写项目名称）    </w:t>
      </w:r>
      <w:r>
        <w:rPr>
          <w:rFonts w:hint="eastAsia" w:ascii="宋体" w:hAnsi="宋体" w:eastAsia="宋体" w:cs="宋体"/>
          <w:sz w:val="24"/>
          <w:szCs w:val="24"/>
          <w:highlight w:val="none"/>
        </w:rPr>
        <w:t>招标文件， 经详细研究招标文件的全部内容，委托代理人(</w:t>
      </w:r>
      <w:r>
        <w:rPr>
          <w:rFonts w:hint="eastAsia" w:ascii="宋体" w:hAnsi="宋体" w:eastAsia="宋体" w:cs="宋体"/>
          <w:sz w:val="24"/>
          <w:szCs w:val="24"/>
          <w:highlight w:val="none"/>
          <w:u w:val="single"/>
        </w:rPr>
        <w:t>姓名、职务)</w:t>
      </w:r>
      <w:r>
        <w:rPr>
          <w:rFonts w:hint="eastAsia" w:ascii="宋体" w:hAnsi="宋体" w:eastAsia="宋体" w:cs="宋体"/>
          <w:sz w:val="24"/>
          <w:szCs w:val="24"/>
          <w:highlight w:val="none"/>
        </w:rPr>
        <w:t>经正式授权并代表</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名称、地址</w:t>
      </w:r>
      <w:r>
        <w:rPr>
          <w:rFonts w:hint="eastAsia" w:ascii="宋体" w:hAnsi="宋体" w:eastAsia="宋体" w:cs="宋体"/>
          <w:sz w:val="24"/>
          <w:szCs w:val="24"/>
          <w:highlight w:val="none"/>
        </w:rPr>
        <w:t>）决定参加该项目（</w:t>
      </w:r>
      <w:r>
        <w:rPr>
          <w:rFonts w:hint="eastAsia" w:ascii="宋体" w:hAnsi="宋体" w:eastAsia="宋体" w:cs="宋体"/>
          <w:sz w:val="24"/>
          <w:szCs w:val="24"/>
          <w:highlight w:val="none"/>
          <w:u w:val="single"/>
        </w:rPr>
        <w:t xml:space="preserve">    填写项目名称、标段及标段名称或包号及对应的包号名称    </w:t>
      </w:r>
      <w:r>
        <w:rPr>
          <w:rFonts w:hint="eastAsia" w:ascii="宋体" w:hAnsi="宋体" w:eastAsia="宋体" w:cs="宋体"/>
          <w:sz w:val="24"/>
          <w:szCs w:val="24"/>
          <w:highlight w:val="none"/>
        </w:rPr>
        <w:t>）的投标活动并按要求递交投标文件。我方郑重声明以下诸点并负法律责任：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1、愿意按照招标文件中规定的条款和要求，提供完成招标文件规定的全部工作，投标总报价为（大写）：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（小写：</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val="en-US" w:eastAsia="zh-CN"/>
        </w:rPr>
        <w:t>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计划工期</w:t>
      </w:r>
      <w:r>
        <w:rPr>
          <w:rFonts w:hint="eastAsia" w:ascii="宋体" w:hAnsi="宋体" w:eastAsia="宋体" w:cs="宋体"/>
          <w:sz w:val="24"/>
          <w:szCs w:val="24"/>
          <w:highlight w:val="none"/>
        </w:rPr>
        <w:t>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。详见开标一览表。</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2、本投标有效期为自投标截止之日起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个日历日。</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3、如果我方的投标文件被接受，我们将履行招标文件中规定的各项要求。</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4、我方愿提供招标文件中要求的所有文件资料。</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我方已经详细审查了全部招标文件，包括所有补充通知、更正等（如果有的话），如有需要澄清的问题，我们同意按招标文件规定的时间向采购人提出。逾期不提，我方同意放弃对这方面有不明及误解的权利。</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6、我方同意提供按照采购人可能要求的与其投标有关的一切数据或资料， 完全理解采购人不一定接受最低价的投标或收到的任何投标。</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7、按照招标文件的规定，在收到中标通知书时向采购代理机构一次性支付招标代理服务费。</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8、完全理解并无条件承担中标后不依法与采购人签订合同的法律后果。</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9、我方愿按《中华人民共和国民法典》履行自己的全部责任和义务。</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10、我方在此声明，所递交的投标文件中所有内容及资料均真实、有效、准确。如有弄虚作假情况出现，愿意按照招标文件中的相关规定承担责任。</w:t>
      </w:r>
    </w:p>
    <w:p>
      <w:pPr>
        <w:pStyle w:val="35"/>
        <w:keepNext w:val="0"/>
        <w:keepLines w:val="0"/>
        <w:pageBreakBefore w:val="0"/>
        <w:widowControl w:val="0"/>
        <w:tabs>
          <w:tab w:val="left" w:pos="2401"/>
          <w:tab w:val="left" w:pos="7599"/>
        </w:tabs>
        <w:kinsoku w:val="0"/>
        <w:wordWrap/>
        <w:overflowPunct w:val="0"/>
        <w:topLinePunct w:val="0"/>
        <w:autoSpaceDE/>
        <w:autoSpaceDN/>
        <w:bidi w:val="0"/>
        <w:adjustRightInd/>
        <w:snapToGrid/>
        <w:spacing w:line="54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11、联合体中的大中型企业和其他自然人、法人或者非法人组织，与联合体中的小型、微型企业之间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存在、不存在）投资关系（如果是联合体投标需要填写，非联合体参加投标不需要填写该条）。</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与本投标有关的正式通讯地址：</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详细地址：</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固定电话：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委托代理人移动电话：</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5155"/>
          <w:tab w:val="left" w:pos="6236"/>
          <w:tab w:val="left" w:pos="9803"/>
        </w:tabs>
        <w:kinsoku w:val="0"/>
        <w:wordWrap/>
        <w:overflowPunct w:val="0"/>
        <w:topLinePunct w:val="0"/>
        <w:autoSpaceDE/>
        <w:autoSpaceDN/>
        <w:bidi w:val="0"/>
        <w:adjustRightInd/>
        <w:snapToGrid/>
        <w:spacing w:line="540" w:lineRule="exact"/>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电子邮箱：</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keepNext w:val="0"/>
        <w:keepLines w:val="0"/>
        <w:pageBreakBefore w:val="0"/>
        <w:widowControl w:val="0"/>
        <w:tabs>
          <w:tab w:val="left" w:pos="6901"/>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开户银行（全称）：</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7196"/>
          <w:tab w:val="left" w:pos="8036"/>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银行帐号：</w:t>
      </w:r>
      <w:r>
        <w:rPr>
          <w:rFonts w:hint="eastAsia" w:ascii="宋体" w:hAnsi="宋体" w:eastAsia="宋体" w:cs="宋体"/>
          <w:sz w:val="24"/>
          <w:szCs w:val="24"/>
          <w:highlight w:val="none"/>
          <w:u w:val="single"/>
        </w:rPr>
        <w:t xml:space="preserve">                      </w:t>
      </w:r>
    </w:p>
    <w:p>
      <w:pPr>
        <w:pStyle w:val="2"/>
        <w:keepNext w:val="0"/>
        <w:keepLines w:val="0"/>
        <w:pageBreakBefore w:val="0"/>
        <w:widowControl w:val="0"/>
        <w:tabs>
          <w:tab w:val="left" w:pos="4838"/>
        </w:tabs>
        <w:kinsoku w:val="0"/>
        <w:wordWrap/>
        <w:overflowPunct w:val="0"/>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left="1403"/>
        <w:textAlignment w:val="auto"/>
        <w:rPr>
          <w:rFonts w:hint="eastAsia" w:ascii="宋体" w:hAnsi="宋体" w:eastAsia="宋体" w:cs="宋体"/>
          <w:sz w:val="24"/>
          <w:szCs w:val="24"/>
          <w:highlight w:val="none"/>
        </w:rPr>
      </w:pPr>
    </w:p>
    <w:p>
      <w:pPr>
        <w:rPr>
          <w:rFonts w:hint="eastAsia"/>
          <w:highlight w:val="none"/>
        </w:rPr>
      </w:pP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rPr>
      </w:pPr>
      <w:r>
        <w:rPr>
          <w:rFonts w:hint="eastAsia" w:ascii="宋体" w:hAnsi="宋体" w:eastAsia="宋体" w:cs="宋体"/>
          <w:highlight w:val="none"/>
        </w:rPr>
        <w:br w:type="page"/>
      </w:r>
      <w:bookmarkEnd w:id="189"/>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190" w:name="_Toc27328"/>
      <w:bookmarkStart w:id="191" w:name="_Toc9377"/>
      <w:bookmarkStart w:id="192" w:name="_Toc24434"/>
      <w:r>
        <w:rPr>
          <w:rFonts w:hint="eastAsia" w:ascii="宋体" w:hAnsi="宋体" w:eastAsia="宋体" w:cs="宋体"/>
          <w:sz w:val="24"/>
          <w:szCs w:val="24"/>
          <w:highlight w:val="none"/>
          <w:lang w:val="en-US" w:eastAsia="zh-CN"/>
        </w:rPr>
        <w:t>2.法定代表人（或负责人）身份证明</w:t>
      </w:r>
      <w:bookmarkEnd w:id="190"/>
      <w:bookmarkEnd w:id="191"/>
    </w:p>
    <w:p>
      <w:pPr>
        <w:pStyle w:val="2"/>
        <w:tabs>
          <w:tab w:val="left" w:pos="7136"/>
          <w:tab w:val="left" w:pos="9803"/>
        </w:tabs>
        <w:kinsoku w:val="0"/>
        <w:overflowPunct w:val="0"/>
        <w:spacing w:line="460" w:lineRule="exact"/>
        <w:jc w:val="both"/>
        <w:rPr>
          <w:rFonts w:hint="eastAsia" w:ascii="宋体" w:hAnsi="宋体" w:eastAsia="宋体" w:cs="宋体"/>
          <w:highlight w:val="none"/>
        </w:rPr>
      </w:pP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单位性质：</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7136"/>
          <w:tab w:val="left" w:pos="9803"/>
        </w:tabs>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经营期限：</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系（供应商或投标人名称）的法定代表人（或负责人）。</w:t>
      </w:r>
    </w:p>
    <w:p>
      <w:pPr>
        <w:pStyle w:val="2"/>
        <w:tabs>
          <w:tab w:val="left" w:pos="3950"/>
          <w:tab w:val="left" w:pos="4222"/>
          <w:tab w:val="left" w:pos="5768"/>
          <w:tab w:val="left" w:pos="7585"/>
          <w:tab w:val="left" w:pos="9508"/>
        </w:tabs>
        <w:kinsoku w:val="0"/>
        <w:overflowPunct w:val="0"/>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特此证明。</w:t>
      </w:r>
    </w:p>
    <w:p>
      <w:pPr>
        <w:pStyle w:val="2"/>
        <w:kinsoku w:val="0"/>
        <w:overflowPunct w:val="0"/>
        <w:spacing w:line="460" w:lineRule="exact"/>
        <w:rPr>
          <w:rFonts w:hint="eastAsia" w:ascii="宋体" w:hAnsi="宋体" w:eastAsia="宋体" w:cs="宋体"/>
          <w:b/>
          <w:sz w:val="24"/>
          <w:szCs w:val="24"/>
          <w:highlight w:val="none"/>
        </w:rPr>
      </w:pPr>
    </w:p>
    <w:p>
      <w:pPr>
        <w:pStyle w:val="2"/>
        <w:tabs>
          <w:tab w:val="left" w:pos="624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详细通讯地址：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邮政编码：</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 子 邮 箱 ： </w:t>
      </w:r>
      <w:r>
        <w:rPr>
          <w:rFonts w:hint="eastAsia" w:ascii="宋体" w:hAnsi="宋体" w:eastAsia="宋体" w:cs="宋体"/>
          <w:sz w:val="24"/>
          <w:szCs w:val="24"/>
          <w:highlight w:val="none"/>
          <w:u w:val="single"/>
        </w:rPr>
        <w:t xml:space="preserve">            </w:t>
      </w:r>
    </w:p>
    <w:p>
      <w:pPr>
        <w:pStyle w:val="2"/>
        <w:tabs>
          <w:tab w:val="left" w:pos="3960"/>
          <w:tab w:val="left" w:pos="4920"/>
          <w:tab w:val="left" w:pos="5881"/>
          <w:tab w:val="left" w:pos="6056"/>
          <w:tab w:val="left" w:pos="6416"/>
          <w:tab w:val="left" w:pos="9803"/>
        </w:tabs>
        <w:kinsoku w:val="0"/>
        <w:overflowPunct w:val="0"/>
        <w:spacing w:line="460" w:lineRule="exact"/>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注：自然人投标的无需提供</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（下面应附法定代表人或负责人身份证扫描件正反面）</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3" w:name="_Toc1605"/>
      <w:bookmarkStart w:id="194" w:name="_Toc15328"/>
      <w:r>
        <w:rPr>
          <w:rFonts w:hint="eastAsia" w:ascii="宋体" w:hAnsi="宋体" w:eastAsia="宋体" w:cs="宋体"/>
          <w:sz w:val="24"/>
          <w:szCs w:val="24"/>
          <w:highlight w:val="none"/>
          <w:lang w:val="en-US" w:eastAsia="zh-CN"/>
        </w:rPr>
        <w:t>3.法定代表人（或负责人）授权委托书</w:t>
      </w:r>
      <w:bookmarkEnd w:id="193"/>
      <w:bookmarkEnd w:id="194"/>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（供应商或投标人名称）的法定代表人（或负责人），现委托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（姓名）为我单位的合法代理人。代理人根据授权，就（</w:t>
      </w:r>
      <w:r>
        <w:rPr>
          <w:rFonts w:hint="eastAsia" w:ascii="宋体" w:hAnsi="宋体" w:eastAsia="宋体" w:cs="宋体"/>
          <w:sz w:val="24"/>
          <w:szCs w:val="24"/>
          <w:highlight w:val="none"/>
          <w:u w:val="single"/>
        </w:rPr>
        <w:t>项目名称、标段号及标段名称或包号及包名称</w:t>
      </w:r>
      <w:r>
        <w:rPr>
          <w:rFonts w:hint="eastAsia" w:ascii="宋体" w:hAnsi="宋体" w:eastAsia="宋体" w:cs="宋体"/>
          <w:sz w:val="24"/>
          <w:szCs w:val="24"/>
          <w:highlight w:val="none"/>
        </w:rPr>
        <w:t>）投标，以我单位名义处理一切与之有关的事务，其法律后果由我单位承担。</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委托期限：</w:t>
      </w:r>
      <w:r>
        <w:rPr>
          <w:rFonts w:hint="eastAsia" w:ascii="宋体" w:hAnsi="宋体" w:eastAsia="宋体" w:cs="宋体"/>
          <w:sz w:val="24"/>
          <w:szCs w:val="24"/>
          <w:highlight w:val="none"/>
          <w:u w:val="single"/>
        </w:rPr>
        <w:t xml:space="preserve">    年    月    日至    年    月    日</w:t>
      </w:r>
      <w:r>
        <w:rPr>
          <w:rFonts w:hint="eastAsia" w:ascii="宋体" w:hAnsi="宋体" w:eastAsia="宋体" w:cs="宋体"/>
          <w:sz w:val="24"/>
          <w:szCs w:val="24"/>
          <w:highlight w:val="none"/>
        </w:rPr>
        <w:t>(填写具体日期) 。</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（个人电子签章）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（签字或签章）</w:t>
      </w:r>
    </w:p>
    <w:p>
      <w:pPr>
        <w:pStyle w:val="2"/>
        <w:tabs>
          <w:tab w:val="left" w:pos="354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代理人详细通讯地址：</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邮 政 编 码 ：</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代理人联系电话：</w:t>
      </w:r>
      <w:r>
        <w:rPr>
          <w:rFonts w:hint="eastAsia" w:ascii="宋体" w:hAnsi="宋体" w:eastAsia="宋体" w:cs="宋体"/>
          <w:sz w:val="24"/>
          <w:szCs w:val="24"/>
          <w:highlight w:val="none"/>
          <w:u w:val="single"/>
        </w:rPr>
        <w:t xml:space="preserve"> （填写一个手机号和一个座机号）</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代理人电子邮箱：</w:t>
      </w:r>
      <w:r>
        <w:rPr>
          <w:rFonts w:hint="eastAsia" w:ascii="宋体" w:hAnsi="宋体" w:eastAsia="宋体" w:cs="宋体"/>
          <w:sz w:val="24"/>
          <w:szCs w:val="24"/>
          <w:highlight w:val="none"/>
          <w:u w:val="single"/>
        </w:rPr>
        <w:t xml:space="preserve">                    </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注：自然人投标的或单位法定代表人或单位负责人投标的无需提供本授权委托书。</w:t>
      </w:r>
    </w:p>
    <w:p>
      <w:pPr>
        <w:pStyle w:val="2"/>
        <w:tabs>
          <w:tab w:val="left" w:pos="3750"/>
          <w:tab w:val="left" w:pos="5821"/>
          <w:tab w:val="left" w:pos="6961"/>
        </w:tabs>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（下面应附代理人身份证扫描件正反面）</w:t>
      </w:r>
    </w:p>
    <w:p>
      <w:pPr>
        <w:pStyle w:val="2"/>
        <w:kinsoku w:val="0"/>
        <w:overflowPunct w:val="0"/>
        <w:spacing w:before="3"/>
        <w:rPr>
          <w:rFonts w:hint="eastAsia" w:ascii="宋体" w:hAnsi="宋体" w:eastAsia="宋体" w:cs="宋体"/>
          <w:sz w:val="24"/>
          <w:szCs w:val="24"/>
          <w:highlight w:val="none"/>
        </w:rPr>
      </w:pPr>
    </w:p>
    <w:p>
      <w:pPr>
        <w:rPr>
          <w:rFonts w:hint="eastAsia" w:ascii="宋体" w:hAnsi="宋体" w:eastAsia="宋体" w:cs="宋体"/>
          <w:highlight w:val="none"/>
        </w:rPr>
      </w:pPr>
    </w:p>
    <w:bookmarkEnd w:id="192"/>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r>
        <w:rPr>
          <w:rFonts w:hint="eastAsia" w:ascii="宋体" w:hAnsi="宋体" w:eastAsia="宋体" w:cs="宋体"/>
          <w:highlight w:val="none"/>
        </w:rPr>
        <w:br w:type="page"/>
      </w:r>
      <w:bookmarkStart w:id="195" w:name="_Toc27499"/>
      <w:r>
        <w:rPr>
          <w:rFonts w:hint="eastAsia" w:ascii="宋体" w:hAnsi="宋体" w:eastAsia="宋体" w:cs="宋体"/>
          <w:sz w:val="24"/>
          <w:szCs w:val="24"/>
          <w:highlight w:val="none"/>
          <w:lang w:val="en-US" w:eastAsia="zh-CN"/>
        </w:rPr>
        <w:t>4.</w:t>
      </w:r>
      <w:bookmarkStart w:id="196" w:name="_Toc23195"/>
      <w:r>
        <w:rPr>
          <w:rFonts w:hint="eastAsia" w:ascii="宋体" w:hAnsi="宋体" w:eastAsia="宋体" w:cs="宋体"/>
          <w:sz w:val="24"/>
          <w:szCs w:val="24"/>
          <w:highlight w:val="none"/>
          <w:lang w:val="en-US" w:eastAsia="zh-CN"/>
        </w:rPr>
        <w:t>投标人资格证明文件</w:t>
      </w:r>
      <w:bookmarkEnd w:id="195"/>
    </w:p>
    <w:bookmarkEnd w:id="196"/>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197" w:name="_Toc12770"/>
      <w:bookmarkStart w:id="198" w:name="_Toc6810"/>
      <w:bookmarkStart w:id="199" w:name="_Toc2904"/>
      <w:r>
        <w:rPr>
          <w:rFonts w:hint="eastAsia" w:ascii="宋体" w:hAnsi="宋体" w:eastAsia="宋体" w:cs="宋体"/>
          <w:sz w:val="24"/>
          <w:szCs w:val="24"/>
          <w:highlight w:val="none"/>
          <w:lang w:val="en-US" w:eastAsia="zh-CN"/>
        </w:rPr>
        <w:t>4.1资格承诺声明函</w:t>
      </w:r>
      <w:bookmarkEnd w:id="197"/>
    </w:p>
    <w:p>
      <w:pPr>
        <w:pStyle w:val="26"/>
        <w:keepNext w:val="0"/>
        <w:keepLines w:val="0"/>
        <w:pageBreakBefore w:val="0"/>
        <w:widowControl w:val="0"/>
        <w:wordWrap/>
        <w:topLinePunct w:val="0"/>
        <w:autoSpaceDE/>
        <w:autoSpaceDN/>
        <w:bidi w:val="0"/>
        <w:adjustRightInd/>
        <w:snapToGrid/>
        <w:spacing w:after="0" w:line="540" w:lineRule="exact"/>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（采购人名称）</w:t>
      </w:r>
      <w:r>
        <w:rPr>
          <w:rFonts w:hint="eastAsia" w:ascii="宋体" w:hAnsi="宋体" w:eastAsia="宋体" w:cs="宋体"/>
          <w:sz w:val="24"/>
          <w:szCs w:val="24"/>
          <w:highlight w:val="none"/>
        </w:rPr>
        <w:t>：</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我单位自愿参加本次政府采购活动，严格遵守《中华人民共和国政府采购法》及相关法律法规，依法诚信经营，依法遵守本次政府采购活动的各项规定。我单位郑重承诺声明如下：</w:t>
      </w:r>
    </w:p>
    <w:p>
      <w:pPr>
        <w:pStyle w:val="26"/>
        <w:keepNext w:val="0"/>
        <w:keepLines w:val="0"/>
        <w:pageBreakBefore w:val="0"/>
        <w:widowControl w:val="0"/>
        <w:wordWrap/>
        <w:topLinePunct w:val="0"/>
        <w:autoSpaceDE/>
        <w:autoSpaceDN/>
        <w:bidi w:val="0"/>
        <w:adjustRightInd/>
        <w:snapToGrid/>
        <w:spacing w:after="0" w:line="540" w:lineRule="exact"/>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一、我单位全称为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注册地点为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统一社会信用代码为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法定代表人（单位负责人）为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，联系方式为</w:t>
      </w:r>
      <w:r>
        <w:rPr>
          <w:rFonts w:hint="eastAsia" w:ascii="宋体" w:hAnsi="宋体" w:eastAsia="宋体" w:cs="宋体"/>
          <w:sz w:val="24"/>
          <w:szCs w:val="24"/>
          <w:highlight w:val="none"/>
          <w:u w:val="single"/>
        </w:rPr>
        <w:t xml:space="preserve">               。</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一、我单位具备《中华人民共和国政府采购法》第二十二条：</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（7）根据采购项目提出的特殊条件。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二、我单位满足本项目的特定资格要求：</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我</w:t>
      </w:r>
      <w:r>
        <w:rPr>
          <w:rFonts w:hint="eastAsia" w:ascii="宋体" w:hAnsi="宋体" w:eastAsia="宋体" w:cs="宋体"/>
          <w:sz w:val="24"/>
          <w:szCs w:val="24"/>
          <w:highlight w:val="none"/>
          <w:lang w:val="en-US" w:eastAsia="zh-CN"/>
        </w:rPr>
        <w:t>单位</w:t>
      </w:r>
      <w:r>
        <w:rPr>
          <w:rFonts w:hint="eastAsia" w:ascii="宋体" w:hAnsi="宋体" w:eastAsia="宋体" w:cs="宋体"/>
          <w:sz w:val="24"/>
          <w:szCs w:val="24"/>
          <w:highlight w:val="none"/>
        </w:rPr>
        <w:t>未被失信被执行人、重大税收违法</w:t>
      </w:r>
      <w:r>
        <w:rPr>
          <w:rFonts w:hint="eastAsia" w:ascii="宋体" w:hAnsi="宋体" w:eastAsia="宋体" w:cs="宋体"/>
          <w:sz w:val="24"/>
          <w:szCs w:val="24"/>
          <w:highlight w:val="none"/>
          <w:lang w:val="en-US" w:eastAsia="zh-CN"/>
        </w:rPr>
        <w:t>失信主体</w:t>
      </w:r>
      <w:r>
        <w:rPr>
          <w:rFonts w:hint="eastAsia" w:ascii="宋体" w:hAnsi="宋体" w:eastAsia="宋体" w:cs="宋体"/>
          <w:sz w:val="24"/>
          <w:szCs w:val="24"/>
          <w:highlight w:val="none"/>
        </w:rPr>
        <w:t>、政府采购严重违法失信行为记录名单</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我</w:t>
      </w:r>
      <w:r>
        <w:rPr>
          <w:rFonts w:hint="eastAsia" w:ascii="宋体" w:hAnsi="宋体" w:eastAsia="宋体" w:cs="宋体"/>
          <w:sz w:val="24"/>
          <w:szCs w:val="24"/>
          <w:highlight w:val="none"/>
          <w:lang w:val="en-US" w:eastAsia="zh-CN"/>
        </w:rPr>
        <w:t>单位参加本次招标采购活动，不存在与单位负责人为同一人或者存在直接控股、管理关系的其他投标人参与同一合同项下的投标活动行为</w:t>
      </w:r>
      <w:r>
        <w:rPr>
          <w:rFonts w:hint="eastAsia" w:ascii="宋体" w:hAnsi="宋体" w:eastAsia="宋体" w:cs="宋体"/>
          <w:sz w:val="24"/>
          <w:szCs w:val="24"/>
          <w:highlight w:val="none"/>
          <w:lang w:eastAsia="zh-CN"/>
        </w:rPr>
        <w:t>；</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）我单位参加本次招标采购活动，不存在为采购项目提供整体设计、规范编制或者项目管理、监理、检测等服务的行为；</w:t>
      </w:r>
      <w:r>
        <w:rPr>
          <w:rFonts w:hint="eastAsia" w:ascii="宋体" w:hAnsi="宋体" w:eastAsia="宋体" w:cs="宋体"/>
          <w:b/>
          <w:bCs/>
          <w:sz w:val="24"/>
          <w:szCs w:val="24"/>
          <w:highlight w:val="none"/>
          <w:lang w:eastAsia="zh-CN"/>
        </w:rPr>
        <w:t>（本条由供应商或投标人按实际情况编写）</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我单位</w:t>
      </w:r>
      <w:r>
        <w:rPr>
          <w:rFonts w:hint="eastAsia" w:ascii="宋体" w:hAnsi="宋体" w:eastAsia="宋体" w:cs="宋体"/>
          <w:sz w:val="24"/>
          <w:szCs w:val="24"/>
          <w:highlight w:val="none"/>
          <w:lang w:eastAsia="zh-CN"/>
        </w:rPr>
        <w:t>符合相关政府采购政策、相关法律、法规规定的其他条件。</w:t>
      </w:r>
    </w:p>
    <w:p>
      <w:pPr>
        <w:pStyle w:val="2"/>
        <w:keepNext w:val="0"/>
        <w:keepLines w:val="0"/>
        <w:pageBreakBefore w:val="0"/>
        <w:widowControl w:val="0"/>
        <w:kinsoku w:val="0"/>
        <w:wordWrap/>
        <w:overflowPunct w:val="0"/>
        <w:topLinePunct w:val="0"/>
        <w:autoSpaceDE/>
        <w:autoSpaceDN/>
        <w:bidi w:val="0"/>
        <w:adjustRightInd/>
        <w:snapToGrid/>
        <w:spacing w:line="540" w:lineRule="exact"/>
        <w:ind w:firstLine="479"/>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我单位在此申明：保证本次投标文件中提供的所有内容、资料、陈述是正确的、真实的、有效的、合法的，并愿意承担相关法律责任。</w:t>
      </w: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1"/>
          <w:szCs w:val="21"/>
          <w:highlight w:val="none"/>
          <w:lang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ind w:firstLine="479"/>
        <w:rPr>
          <w:rFonts w:hint="default" w:ascii="宋体" w:hAnsi="宋体" w:eastAsia="宋体" w:cs="宋体"/>
          <w:sz w:val="24"/>
          <w:szCs w:val="24"/>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0" w:name="_Toc104"/>
      <w:r>
        <w:rPr>
          <w:rFonts w:hint="eastAsia" w:ascii="宋体" w:hAnsi="宋体" w:eastAsia="宋体" w:cs="宋体"/>
          <w:sz w:val="24"/>
          <w:szCs w:val="24"/>
          <w:highlight w:val="none"/>
          <w:lang w:val="en-US" w:eastAsia="zh-CN"/>
        </w:rPr>
        <w:t>4.2具有独立承担民事责任的能力的证明材料</w:t>
      </w:r>
      <w:bookmarkEnd w:id="200"/>
    </w:p>
    <w:p>
      <w:pPr>
        <w:pStyle w:val="2"/>
        <w:kinsoku w:val="0"/>
        <w:overflowPunct w:val="0"/>
        <w:spacing w:line="46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证明材料：</w:t>
      </w:r>
      <w:r>
        <w:rPr>
          <w:rFonts w:hint="eastAsia" w:ascii="宋体" w:hAnsi="宋体" w:eastAsia="宋体" w:cs="宋体"/>
          <w:sz w:val="24"/>
          <w:szCs w:val="24"/>
          <w:highlight w:val="none"/>
          <w:lang w:val="en-US" w:eastAsia="zh-CN"/>
        </w:rPr>
        <w:t>提供</w:t>
      </w:r>
      <w:r>
        <w:rPr>
          <w:rFonts w:hint="eastAsia" w:ascii="宋体" w:hAnsi="宋体" w:eastAsia="宋体" w:cs="宋体"/>
          <w:sz w:val="24"/>
          <w:szCs w:val="24"/>
          <w:highlight w:val="none"/>
        </w:rPr>
        <w:t>法人或者非法人组织的营业执照或其它证明文件或自然人的身份证明扫描件</w:t>
      </w:r>
      <w:bookmarkEnd w:id="198"/>
      <w:r>
        <w:rPr>
          <w:rFonts w:hint="eastAsia" w:ascii="宋体" w:hAnsi="宋体" w:eastAsia="宋体" w:cs="宋体"/>
          <w:sz w:val="24"/>
          <w:szCs w:val="24"/>
          <w:highlight w:val="none"/>
          <w:lang w:eastAsia="zh-CN"/>
        </w:rPr>
        <w:t>。</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1" w:name="_Toc2945"/>
      <w:r>
        <w:rPr>
          <w:rFonts w:hint="eastAsia" w:ascii="宋体" w:hAnsi="宋体" w:eastAsia="宋体" w:cs="宋体"/>
          <w:sz w:val="24"/>
          <w:szCs w:val="24"/>
          <w:highlight w:val="none"/>
          <w:lang w:val="en-US" w:eastAsia="zh-CN"/>
        </w:rPr>
        <w:t>4.3具有良好的商业信誉和健全的财务会计制度的证明材料</w:t>
      </w:r>
      <w:bookmarkEnd w:id="199"/>
      <w:bookmarkEnd w:id="201"/>
    </w:p>
    <w:p>
      <w:pPr>
        <w:pStyle w:val="2"/>
        <w:kinsoku w:val="0"/>
        <w:overflowPunct w:val="0"/>
        <w:spacing w:before="8"/>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证明材料，</w:t>
      </w:r>
      <w:r>
        <w:rPr>
          <w:rFonts w:hint="eastAsia" w:ascii="宋体" w:hAnsi="宋体" w:eastAsia="宋体" w:cs="宋体"/>
          <w:b/>
          <w:bCs/>
          <w:sz w:val="24"/>
          <w:highlight w:val="none"/>
        </w:rPr>
        <w:t>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提供投标人</w:t>
      </w:r>
      <w:r>
        <w:rPr>
          <w:rFonts w:ascii="宋体" w:hAnsi="宋体" w:cs="宋体"/>
          <w:b w:val="0"/>
          <w:bCs w:val="0"/>
          <w:sz w:val="24"/>
          <w:highlight w:val="none"/>
          <w:u w:val="single"/>
        </w:rPr>
        <w:t>2021</w:t>
      </w:r>
      <w:r>
        <w:rPr>
          <w:rFonts w:hint="eastAsia" w:ascii="宋体" w:hAnsi="宋体" w:cs="宋体"/>
          <w:b w:val="0"/>
          <w:bCs w:val="0"/>
          <w:sz w:val="24"/>
          <w:highlight w:val="none"/>
          <w:u w:val="single"/>
        </w:rPr>
        <w:t>年度财务审计报告，成立时间不足1年的，可提供成立时间至当前时间节点的财务状况报告。</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ascii="宋体" w:hAnsi="宋体" w:cs="宋体"/>
          <w:b w:val="0"/>
          <w:bCs w:val="0"/>
          <w:sz w:val="24"/>
          <w:highlight w:val="none"/>
          <w:u w:val="single"/>
        </w:rPr>
      </w:pPr>
      <w:r>
        <w:rPr>
          <w:rFonts w:hint="eastAsia" w:ascii="宋体" w:hAnsi="宋体" w:cs="宋体"/>
          <w:b w:val="0"/>
          <w:bCs w:val="0"/>
          <w:sz w:val="24"/>
          <w:highlight w:val="none"/>
          <w:u w:val="single"/>
          <w:lang w:val="en-US" w:eastAsia="zh-CN"/>
        </w:rPr>
        <w:t>2.</w:t>
      </w:r>
      <w:r>
        <w:rPr>
          <w:rFonts w:hint="eastAsia" w:ascii="宋体" w:hAnsi="宋体" w:cs="宋体"/>
          <w:b w:val="0"/>
          <w:bCs w:val="0"/>
          <w:sz w:val="24"/>
          <w:highlight w:val="none"/>
          <w:u w:val="single"/>
        </w:rPr>
        <w:t>距投标截止时间3个月内基本开户银行出具的资信证明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3.</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2" w:name="_Toc18581"/>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3" w:name="_Toc12517"/>
      <w:r>
        <w:rPr>
          <w:rFonts w:hint="eastAsia" w:ascii="宋体" w:hAnsi="宋体" w:eastAsia="宋体" w:cs="宋体"/>
          <w:sz w:val="24"/>
          <w:szCs w:val="24"/>
          <w:highlight w:val="none"/>
          <w:lang w:val="en-US" w:eastAsia="zh-CN"/>
        </w:rPr>
        <w:t>4.4具备履行合同所必需的设备和专业技术能力的证明材料</w:t>
      </w:r>
      <w:bookmarkEnd w:id="202"/>
      <w:bookmarkEnd w:id="203"/>
    </w:p>
    <w:p>
      <w:pPr>
        <w:rPr>
          <w:rFonts w:hint="eastAsia"/>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cs="宋体"/>
          <w:b/>
          <w:bCs/>
          <w:sz w:val="24"/>
          <w:highlight w:val="none"/>
        </w:rPr>
      </w:pPr>
      <w:r>
        <w:rPr>
          <w:rFonts w:hint="eastAsia" w:ascii="宋体" w:hAnsi="宋体" w:cs="宋体"/>
          <w:b/>
          <w:bCs/>
          <w:sz w:val="24"/>
          <w:highlight w:val="none"/>
        </w:rPr>
        <w:t>证明材料，满足下列一项即可：</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lang w:val="en-US" w:eastAsia="zh-CN"/>
        </w:rPr>
      </w:pPr>
      <w:r>
        <w:rPr>
          <w:rFonts w:hint="eastAsia" w:ascii="宋体" w:hAnsi="宋体" w:cs="宋体"/>
          <w:b w:val="0"/>
          <w:bCs w:val="0"/>
          <w:sz w:val="24"/>
          <w:highlight w:val="none"/>
          <w:u w:val="single"/>
          <w:lang w:val="en-US" w:eastAsia="zh-CN"/>
        </w:rPr>
        <w:t>1.</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6"/>
        <w:keepNext w:val="0"/>
        <w:keepLines w:val="0"/>
        <w:pageBreakBefore w:val="0"/>
        <w:kinsoku/>
        <w:wordWrap/>
        <w:overflowPunct/>
        <w:topLinePunct w:val="0"/>
        <w:autoSpaceDE/>
        <w:autoSpaceDN/>
        <w:bidi w:val="0"/>
        <w:adjustRightInd/>
        <w:snapToGrid/>
        <w:spacing w:after="0" w:line="440" w:lineRule="exact"/>
        <w:ind w:firstLine="720" w:firstLineChars="300"/>
        <w:textAlignment w:val="auto"/>
        <w:rPr>
          <w:rFonts w:hint="eastAsia" w:ascii="宋体" w:hAnsi="宋体" w:eastAsia="宋体" w:cs="宋体"/>
          <w:b w:val="0"/>
          <w:bCs w:val="0"/>
          <w:sz w:val="24"/>
          <w:szCs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eastAsia="宋体" w:cs="宋体"/>
          <w:b w:val="0"/>
          <w:bCs w:val="0"/>
          <w:sz w:val="24"/>
          <w:szCs w:val="24"/>
          <w:highlight w:val="none"/>
          <w:u w:val="single"/>
        </w:rPr>
        <w:t>设备购置发票及工作人员相关证书</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bookmarkStart w:id="204" w:name="_Toc22642"/>
      <w:r>
        <w:rPr>
          <w:rFonts w:hint="eastAsia" w:ascii="宋体" w:hAnsi="宋体" w:eastAsia="宋体" w:cs="宋体"/>
          <w:highlight w:val="none"/>
          <w:lang w:val="en-US" w:eastAsia="zh-CN"/>
        </w:rPr>
        <w:br w:type="page"/>
      </w: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5" w:name="_Toc11419"/>
      <w:r>
        <w:rPr>
          <w:rFonts w:hint="eastAsia" w:ascii="宋体" w:hAnsi="宋体" w:eastAsia="宋体" w:cs="宋体"/>
          <w:sz w:val="24"/>
          <w:szCs w:val="24"/>
          <w:highlight w:val="none"/>
          <w:lang w:val="en-US" w:eastAsia="zh-CN"/>
        </w:rPr>
        <w:t>4.5依法缴纳税收和社会保障资金的记录</w:t>
      </w:r>
      <w:bookmarkEnd w:id="204"/>
      <w:bookmarkEnd w:id="205"/>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sz w:val="24"/>
          <w:highlight w:val="none"/>
          <w:lang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bCs/>
          <w:sz w:val="24"/>
          <w:highlight w:val="none"/>
        </w:rPr>
        <w:t>，满足下列一项即可</w:t>
      </w:r>
      <w:r>
        <w:rPr>
          <w:rFonts w:hint="eastAsia" w:ascii="宋体" w:hAnsi="宋体" w:cs="宋体"/>
          <w:b/>
          <w:bCs/>
          <w:sz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default" w:ascii="宋体" w:hAnsi="宋体" w:eastAsia="宋体" w:cs="宋体"/>
          <w:b w:val="0"/>
          <w:bCs w:val="0"/>
          <w:sz w:val="24"/>
          <w:highlight w:val="none"/>
          <w:u w:val="single"/>
          <w:lang w:val="en-US" w:eastAsia="zh-CN"/>
        </w:rPr>
      </w:pPr>
      <w:r>
        <w:rPr>
          <w:rFonts w:hint="eastAsia" w:ascii="宋体" w:hAnsi="宋体" w:eastAsia="宋体" w:cs="宋体"/>
          <w:b w:val="0"/>
          <w:bCs w:val="0"/>
          <w:sz w:val="24"/>
          <w:highlight w:val="none"/>
          <w:u w:val="single"/>
          <w:lang w:val="en-US" w:eastAsia="zh-CN"/>
        </w:rPr>
        <w:t>1.</w:t>
      </w:r>
      <w:r>
        <w:rPr>
          <w:rFonts w:hint="eastAsia" w:ascii="宋体" w:hAnsi="宋体" w:eastAsia="宋体" w:cs="宋体"/>
          <w:b w:val="0"/>
          <w:bCs w:val="0"/>
          <w:sz w:val="24"/>
          <w:highlight w:val="none"/>
          <w:u w:val="single"/>
        </w:rPr>
        <w:t>提供任意1个月依法缴纳税收和社会保障资金的证明材料；依法免税企业，应提供相关证明文件；新成立的企业，可提供自成立以来相应证明材料。</w:t>
      </w:r>
      <w:r>
        <w:rPr>
          <w:rFonts w:hint="eastAsia" w:ascii="宋体" w:hAnsi="宋体" w:eastAsia="宋体" w:cs="宋体"/>
          <w:b w:val="0"/>
          <w:bCs w:val="0"/>
          <w:sz w:val="24"/>
          <w:highlight w:val="none"/>
          <w:u w:val="single"/>
          <w:lang w:val="en-US" w:eastAsia="zh-CN"/>
        </w:rPr>
        <w:t>或投标人书面声明。</w:t>
      </w:r>
    </w:p>
    <w:p>
      <w:pPr>
        <w:keepNext w:val="0"/>
        <w:keepLines w:val="0"/>
        <w:pageBreakBefore w:val="0"/>
        <w:kinsoku/>
        <w:wordWrap/>
        <w:overflowPunct/>
        <w:topLinePunct w:val="0"/>
        <w:autoSpaceDE/>
        <w:autoSpaceDN/>
        <w:bidi w:val="0"/>
        <w:adjustRightInd/>
        <w:snapToGrid/>
        <w:spacing w:line="440" w:lineRule="exact"/>
        <w:ind w:firstLine="720" w:firstLineChars="300"/>
        <w:jc w:val="left"/>
        <w:textAlignment w:val="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u w:val="single"/>
          <w:lang w:val="en-US" w:eastAsia="zh-CN"/>
        </w:rPr>
        <w:t>2.</w:t>
      </w:r>
      <w:r>
        <w:rPr>
          <w:rFonts w:hint="eastAsia" w:ascii="宋体" w:hAnsi="宋体" w:cs="宋体"/>
          <w:b w:val="0"/>
          <w:bCs w:val="0"/>
          <w:sz w:val="24"/>
          <w:highlight w:val="none"/>
          <w:u w:val="single"/>
        </w:rPr>
        <w:t>投标人书面</w:t>
      </w:r>
      <w:r>
        <w:rPr>
          <w:rFonts w:hint="eastAsia" w:ascii="宋体" w:hAnsi="宋体" w:cs="宋体"/>
          <w:b w:val="0"/>
          <w:bCs w:val="0"/>
          <w:sz w:val="24"/>
          <w:highlight w:val="none"/>
          <w:u w:val="single"/>
          <w:lang w:val="en-US" w:eastAsia="zh-CN"/>
        </w:rPr>
        <w:t>承诺（格式自拟）。</w:t>
      </w:r>
    </w:p>
    <w:p>
      <w:pPr>
        <w:pStyle w:val="2"/>
        <w:kinsoku w:val="0"/>
        <w:overflowPunct w:val="0"/>
        <w:spacing w:line="460" w:lineRule="exact"/>
        <w:ind w:firstLine="482" w:firstLineChars="200"/>
        <w:rPr>
          <w:rFonts w:hint="eastAsia" w:ascii="宋体" w:hAnsi="宋体" w:eastAsia="宋体" w:cs="宋体"/>
          <w:b/>
          <w:sz w:val="24"/>
          <w:szCs w:val="24"/>
          <w:highlight w:val="none"/>
        </w:rPr>
      </w:pPr>
    </w:p>
    <w:p>
      <w:pPr>
        <w:pStyle w:val="3"/>
        <w:rPr>
          <w:rFonts w:hint="eastAsia" w:ascii="宋体" w:hAnsi="宋体" w:eastAsia="宋体" w:cs="宋体"/>
          <w:b/>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b/>
          <w:sz w:val="24"/>
          <w:szCs w:val="24"/>
          <w:highlight w:val="none"/>
        </w:rPr>
      </w:pPr>
    </w:p>
    <w:p>
      <w:pPr>
        <w:pStyle w:val="2"/>
        <w:kinsoku w:val="0"/>
        <w:overflowPunct w:val="0"/>
        <w:spacing w:line="46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根据郑州市财政局关于印发《郑州市政府采购营商环境优化提升专项行动方案》的通知郑财购〔2020〕16号规定，2021年6月起，郑州市本级试行“承诺+信用管理”的准入制，即供应商在参加市本级政府采购项目时无需提供相关财务状况、社保资金等证明资料。</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2.2.如果是联合体投标，联合体各方均需提供上述证明材料或承诺</w:t>
      </w:r>
      <w:r>
        <w:rPr>
          <w:rFonts w:hint="eastAsia" w:ascii="宋体" w:hAnsi="宋体" w:eastAsia="宋体" w:cs="宋体"/>
          <w:sz w:val="24"/>
          <w:szCs w:val="24"/>
          <w:highlight w:val="none"/>
        </w:rPr>
        <w:t>。</w:t>
      </w:r>
    </w:p>
    <w:p>
      <w:pPr>
        <w:pStyle w:val="2"/>
        <w:kinsoku w:val="0"/>
        <w:overflowPunct w:val="0"/>
        <w:spacing w:line="460" w:lineRule="exact"/>
        <w:ind w:firstLine="420" w:firstLineChars="20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pStyle w:val="2"/>
        <w:kinsoku w:val="0"/>
        <w:overflowPunct w:val="0"/>
        <w:rPr>
          <w:rFonts w:hint="eastAsia" w:ascii="宋体" w:hAnsi="宋体" w:eastAsia="宋体" w:cs="宋体"/>
          <w:highlight w:val="none"/>
        </w:rPr>
      </w:pPr>
    </w:p>
    <w:p>
      <w:pPr>
        <w:rPr>
          <w:rFonts w:hint="eastAsia"/>
          <w:highlight w:val="none"/>
        </w:rPr>
      </w:pPr>
      <w:r>
        <w:rPr>
          <w:rFonts w:hint="eastAsia"/>
          <w:highlight w:val="none"/>
        </w:rPr>
        <w:br w:type="page"/>
      </w:r>
      <w:bookmarkStart w:id="206" w:name="_Toc28757"/>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eastAsia" w:ascii="宋体" w:hAnsi="宋体" w:eastAsia="宋体" w:cs="宋体"/>
          <w:sz w:val="24"/>
          <w:szCs w:val="24"/>
          <w:highlight w:val="none"/>
          <w:lang w:val="en-US" w:eastAsia="zh-CN"/>
        </w:rPr>
      </w:pPr>
      <w:bookmarkStart w:id="207" w:name="_Toc30211"/>
      <w:r>
        <w:rPr>
          <w:rFonts w:hint="eastAsia" w:ascii="宋体" w:hAnsi="宋体" w:eastAsia="宋体" w:cs="宋体"/>
          <w:sz w:val="24"/>
          <w:szCs w:val="24"/>
          <w:highlight w:val="none"/>
          <w:lang w:val="en-US" w:eastAsia="zh-CN"/>
        </w:rPr>
        <w:t>4.6参加政府采购活动前 3 年内在经营活动中没有重大违法记录的书面声明</w:t>
      </w:r>
      <w:bookmarkEnd w:id="206"/>
      <w:bookmarkEnd w:id="207"/>
    </w:p>
    <w:p>
      <w:pPr>
        <w:pStyle w:val="2"/>
        <w:kinsoku w:val="0"/>
        <w:overflowPunct w:val="0"/>
        <w:spacing w:before="100" w:beforeAutospacing="1" w:after="100" w:afterAutospacing="1" w:line="460" w:lineRule="exact"/>
        <w:jc w:val="center"/>
        <w:rPr>
          <w:rFonts w:hint="eastAsia" w:ascii="宋体" w:hAnsi="宋体" w:eastAsia="宋体" w:cs="宋体"/>
          <w:highlight w:val="none"/>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投标人的书面承诺，格式自拟。</w:t>
      </w:r>
    </w:p>
    <w:p>
      <w:pPr>
        <w:pStyle w:val="2"/>
        <w:kinsoku w:val="0"/>
        <w:overflowPunct w:val="0"/>
        <w:spacing w:line="460" w:lineRule="exact"/>
        <w:rPr>
          <w:rFonts w:hint="eastAsia" w:ascii="宋体" w:hAnsi="宋体" w:eastAsia="宋体" w:cs="宋体"/>
          <w:highlight w:val="none"/>
        </w:rPr>
      </w:pPr>
    </w:p>
    <w:p>
      <w:pPr>
        <w:pStyle w:val="3"/>
        <w:rPr>
          <w:rFonts w:hint="eastAsia"/>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lang w:val="en-US" w:eastAsia="zh-CN"/>
        </w:rPr>
        <w:t>应如实承诺</w:t>
      </w:r>
      <w:r>
        <w:rPr>
          <w:rFonts w:hint="eastAsia" w:ascii="宋体" w:hAnsi="宋体" w:eastAsia="宋体" w:cs="宋体"/>
          <w:sz w:val="24"/>
          <w:szCs w:val="24"/>
          <w:highlight w:val="none"/>
        </w:rPr>
        <w:t>在参加本投标活动前三年内在经营活动中</w:t>
      </w:r>
      <w:r>
        <w:rPr>
          <w:rFonts w:hint="eastAsia" w:ascii="宋体" w:hAnsi="宋体" w:eastAsia="宋体" w:cs="宋体"/>
          <w:sz w:val="24"/>
          <w:szCs w:val="24"/>
          <w:highlight w:val="none"/>
          <w:lang w:val="en-US" w:eastAsia="zh-CN"/>
        </w:rPr>
        <w:t>是否</w:t>
      </w:r>
      <w:r>
        <w:rPr>
          <w:rFonts w:hint="eastAsia" w:ascii="宋体" w:hAnsi="宋体" w:eastAsia="宋体" w:cs="宋体"/>
          <w:sz w:val="24"/>
          <w:szCs w:val="24"/>
          <w:highlight w:val="none"/>
        </w:rPr>
        <w:t>有重大违法记录</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rPr>
        <w:t>做出说明。</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如果是联合体投标，联合体各方均需提供上述</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p>
    <w:p>
      <w:pPr>
        <w:pStyle w:val="2"/>
        <w:kinsoku w:val="0"/>
        <w:overflowPunct w:val="0"/>
        <w:rPr>
          <w:rFonts w:hint="eastAsia" w:ascii="宋体" w:hAnsi="宋体" w:eastAsia="宋体" w:cs="宋体"/>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rPr>
          <w:rFonts w:hint="eastAsia"/>
          <w:highlight w:val="none"/>
          <w:lang w:val="en-US" w:eastAsia="zh-CN"/>
        </w:rPr>
      </w:pPr>
    </w:p>
    <w:p>
      <w:pPr>
        <w:pStyle w:val="6"/>
        <w:pageBreakBefore w:val="0"/>
        <w:widowControl w:val="0"/>
        <w:numPr>
          <w:ilvl w:val="0"/>
          <w:numId w:val="0"/>
        </w:numPr>
        <w:kinsoku/>
        <w:wordWrap/>
        <w:overflowPunct/>
        <w:topLinePunct w:val="0"/>
        <w:autoSpaceDE/>
        <w:autoSpaceDN/>
        <w:bidi w:val="0"/>
        <w:adjustRightInd/>
        <w:snapToGrid/>
        <w:spacing w:before="0" w:after="0" w:line="540" w:lineRule="exact"/>
        <w:jc w:val="center"/>
        <w:textAlignment w:val="auto"/>
        <w:rPr>
          <w:rFonts w:hint="default" w:ascii="宋体" w:hAnsi="宋体" w:eastAsia="宋体" w:cs="宋体"/>
          <w:sz w:val="24"/>
          <w:szCs w:val="24"/>
          <w:highlight w:val="none"/>
          <w:lang w:val="en-US" w:eastAsia="zh-CN"/>
        </w:rPr>
      </w:pPr>
      <w:bookmarkStart w:id="208" w:name="_Toc9122"/>
      <w:r>
        <w:rPr>
          <w:rFonts w:hint="eastAsia" w:ascii="宋体" w:hAnsi="宋体" w:eastAsia="宋体" w:cs="宋体"/>
          <w:sz w:val="24"/>
          <w:szCs w:val="24"/>
          <w:highlight w:val="none"/>
          <w:lang w:val="en-US" w:eastAsia="zh-CN"/>
        </w:rPr>
        <w:t>4.7满足本项目特定资格要求的承诺</w:t>
      </w:r>
      <w:bookmarkEnd w:id="208"/>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本项目的特定资格要求包括：</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（1）投标人应为国家密码管理局认定的商用密码应用安全性评估机构，提供证明文件；</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B包）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（1）投标人须具有公安部第三研究所颁发的《网络安全等级测评与检测评估机构服务认证证书》；</w:t>
      </w:r>
      <w:r>
        <w:rPr>
          <w:rFonts w:hint="default"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本条款仅适用于</w:t>
      </w:r>
      <w:r>
        <w:rPr>
          <w:rFonts w:hint="default" w:ascii="宋体" w:hAnsi="宋体" w:eastAsia="宋体" w:cs="宋体"/>
          <w:b/>
          <w:bCs/>
          <w:sz w:val="24"/>
          <w:szCs w:val="24"/>
          <w:highlight w:val="none"/>
          <w:lang w:val="en-US" w:eastAsia="zh-CN"/>
        </w:rPr>
        <w:t>C包）</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（2）根据《关于在政府采购活动中查询及使用信用记录有关问题的通知》(财库[2016]125号) 《河南省财政厅关于转发财政部关于在政府采购活动中查询及使用信用记录有关问题的通知的通知》（豫财购〔2016〕15号）的规定，对列入失信被执行人、重大税收违法失信主体、政府采购严重违法失信行为记录名单的供应商，拒绝参与本项目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（3）单位负责人为同一人或者存在直接控股、管理关系的不同供应商，不得参加同一合同项下的政府采购活动。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（4）为本项目提供过整体设计、规范编制或者项目管理、监理、检测等服务的供应商，不得再参加本项目上述服务以外的其他采购活动。</w:t>
      </w:r>
    </w:p>
    <w:p>
      <w:pPr>
        <w:pStyle w:val="2"/>
        <w:kinsoku w:val="0"/>
        <w:overflowPunct w:val="0"/>
        <w:spacing w:line="460" w:lineRule="exact"/>
        <w:ind w:firstLine="480" w:firstLineChars="200"/>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（5）符合相关政府采购政策、相关法律、法规规定的其他条件。</w:t>
      </w:r>
    </w:p>
    <w:p>
      <w:pPr>
        <w:pStyle w:val="3"/>
        <w:rPr>
          <w:rFonts w:hint="default" w:ascii="宋体" w:hAnsi="宋体" w:eastAsia="宋体" w:cs="宋体"/>
          <w:b w:val="0"/>
          <w:bCs w:val="0"/>
          <w:sz w:val="24"/>
          <w:highlight w:val="none"/>
          <w:lang w:val="en-US" w:eastAsia="zh-CN"/>
        </w:rPr>
      </w:pPr>
    </w:p>
    <w:p>
      <w:pPr>
        <w:pStyle w:val="2"/>
        <w:kinsoku w:val="0"/>
        <w:overflowPunct w:val="0"/>
        <w:spacing w:line="460" w:lineRule="exact"/>
        <w:rPr>
          <w:rFonts w:hint="default" w:ascii="宋体" w:hAnsi="宋体" w:eastAsia="宋体" w:cs="宋体"/>
          <w:highlight w:val="none"/>
          <w:lang w:val="en-US" w:eastAsia="zh-CN"/>
        </w:rPr>
      </w:pPr>
      <w:r>
        <w:rPr>
          <w:rFonts w:hint="eastAsia" w:ascii="宋体" w:hAnsi="宋体" w:cs="宋体"/>
          <w:b/>
          <w:bCs/>
          <w:sz w:val="24"/>
          <w:highlight w:val="none"/>
        </w:rPr>
        <w:t>证明材料</w:t>
      </w:r>
      <w:r>
        <w:rPr>
          <w:rFonts w:hint="eastAsia" w:ascii="宋体" w:hAnsi="宋体" w:cs="宋体"/>
          <w:b/>
          <w:bCs/>
          <w:sz w:val="24"/>
          <w:highlight w:val="none"/>
          <w:lang w:eastAsia="zh-CN"/>
        </w:rPr>
        <w:t>：</w:t>
      </w:r>
      <w:r>
        <w:rPr>
          <w:rFonts w:hint="eastAsia" w:ascii="宋体" w:hAnsi="宋体" w:cs="宋体"/>
          <w:b w:val="0"/>
          <w:bCs w:val="0"/>
          <w:sz w:val="24"/>
          <w:highlight w:val="none"/>
          <w:lang w:val="en-US" w:eastAsia="zh-CN"/>
        </w:rPr>
        <w:t>投标人的书面承诺及相关证明材料，格式自拟。</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rPr>
          <w:rFonts w:hint="eastAsia" w:ascii="宋体" w:hAnsi="宋体" w:eastAsia="宋体" w:cs="宋体"/>
          <w:highlight w:val="none"/>
        </w:rPr>
      </w:pPr>
    </w:p>
    <w:p>
      <w:pPr>
        <w:pStyle w:val="2"/>
        <w:kinsoku w:val="0"/>
        <w:overflowPunct w:val="0"/>
        <w:spacing w:line="4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如果是联合体投标，联合体各方均需提供上述声明。</w:t>
      </w:r>
    </w:p>
    <w:p>
      <w:pPr>
        <w:pStyle w:val="2"/>
        <w:kinsoku w:val="0"/>
        <w:overflowPunct w:val="0"/>
        <w:spacing w:before="4"/>
        <w:rPr>
          <w:rFonts w:hint="eastAsia" w:ascii="宋体" w:hAnsi="宋体" w:eastAsia="宋体" w:cs="宋体"/>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Start w:id="209" w:name="_Toc32502"/>
      <w:bookmarkStart w:id="210" w:name="_Toc17497"/>
      <w:r>
        <w:rPr>
          <w:rFonts w:hint="eastAsia" w:ascii="宋体" w:hAnsi="宋体" w:eastAsia="宋体" w:cs="宋体"/>
          <w:sz w:val="24"/>
          <w:szCs w:val="24"/>
          <w:highlight w:val="none"/>
          <w:lang w:val="en-US" w:eastAsia="zh-CN"/>
        </w:rPr>
        <w:t>5.反商业贿赂承诺书</w:t>
      </w:r>
      <w:bookmarkEnd w:id="209"/>
    </w:p>
    <w:p>
      <w:pPr>
        <w:pStyle w:val="2"/>
        <w:kinsoku w:val="0"/>
        <w:overflowPunct w:val="0"/>
        <w:spacing w:before="7"/>
        <w:rPr>
          <w:rFonts w:hint="eastAsia" w:ascii="宋体" w:hAnsi="宋体" w:eastAsia="宋体" w:cs="宋体"/>
          <w:highlight w:val="none"/>
        </w:rPr>
      </w:pP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w:t>
      </w:r>
    </w:p>
    <w:p>
      <w:pPr>
        <w:pStyle w:val="2"/>
        <w:kinsoku w:val="0"/>
        <w:overflowPunct w:val="0"/>
        <w:spacing w:line="46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在参加</w:t>
      </w:r>
      <w:r>
        <w:rPr>
          <w:rFonts w:hint="eastAsia" w:ascii="宋体" w:hAnsi="宋体" w:eastAsia="宋体" w:cs="宋体"/>
          <w:sz w:val="24"/>
          <w:szCs w:val="24"/>
          <w:highlight w:val="none"/>
          <w:u w:val="single"/>
        </w:rPr>
        <w:t xml:space="preserve"> （投标项目名称）</w:t>
      </w:r>
      <w:r>
        <w:rPr>
          <w:rFonts w:hint="eastAsia" w:ascii="宋体" w:hAnsi="宋体" w:eastAsia="宋体" w:cs="宋体"/>
          <w:sz w:val="24"/>
          <w:szCs w:val="24"/>
          <w:highlight w:val="none"/>
        </w:rPr>
        <w:t>招投标活动中，我单位保证做到：</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12.1 公平竞争参加本次招投标活动。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12.2 杜绝任何形式的商业贿赂行为。不向国家工作人员、政府采购代理机构工作人员、评审专家及其亲属提供礼品礼金、有价证券、购物券、回扣、佣金、咨询费、劳务费、赞助费、宣传费、宴请；不为其报销各种消费凭证， 不支付其旅游、娱乐等费用。</w:t>
      </w: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12.3 若出现上述行为，我单位及参与投标的工作人员愿意接受按照国家法律法规等有关规定给予的处罚。</w:t>
      </w: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kinsoku w:val="0"/>
        <w:overflowPunct w:val="0"/>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rPr>
          <w:rFonts w:hint="eastAsia" w:ascii="宋体" w:hAnsi="宋体" w:eastAsia="宋体" w:cs="宋体"/>
          <w:sz w:val="24"/>
          <w:szCs w:val="24"/>
          <w:highlight w:val="none"/>
        </w:rPr>
      </w:pPr>
    </w:p>
    <w:p>
      <w:pPr>
        <w:pStyle w:val="2"/>
        <w:kinsoku w:val="0"/>
        <w:overflowPunct w:val="0"/>
        <w:spacing w:before="6"/>
        <w:rPr>
          <w:rFonts w:hint="eastAsia" w:ascii="宋体" w:hAnsi="宋体" w:eastAsia="宋体" w:cs="宋体"/>
          <w:sz w:val="24"/>
          <w:szCs w:val="24"/>
          <w:highlight w:val="none"/>
        </w:rPr>
      </w:pPr>
    </w:p>
    <w:p>
      <w:pPr>
        <w:pStyle w:val="2"/>
        <w:kinsoku w:val="0"/>
        <w:overflowPunct w:val="0"/>
        <w:spacing w:line="46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说明：如果是联合体投标，联合体各方均需提供上述承诺书。</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11" w:name="_Toc31570"/>
      <w:r>
        <w:rPr>
          <w:rFonts w:hint="eastAsia" w:ascii="宋体" w:hAnsi="宋体" w:eastAsia="宋体" w:cs="宋体"/>
          <w:sz w:val="24"/>
          <w:szCs w:val="24"/>
          <w:highlight w:val="none"/>
          <w:lang w:val="en-US" w:eastAsia="zh-CN"/>
        </w:rPr>
        <w:t>6.投标承诺函</w:t>
      </w:r>
      <w:bookmarkEnd w:id="211"/>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（采购人及采购代理机构名称）</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sz w:val="24"/>
          <w:highlight w:val="none"/>
        </w:rPr>
      </w:pPr>
      <w:r>
        <w:rPr>
          <w:rFonts w:hint="eastAsia" w:ascii="宋体" w:hAnsi="宋体"/>
          <w:sz w:val="24"/>
          <w:highlight w:val="none"/>
        </w:rPr>
        <w:t>我们收到了招标编号为</w:t>
      </w:r>
      <w:r>
        <w:rPr>
          <w:rFonts w:hint="eastAsia" w:ascii="宋体" w:hAnsi="宋体"/>
          <w:sz w:val="24"/>
          <w:highlight w:val="none"/>
          <w:u w:val="single"/>
        </w:rPr>
        <w:t xml:space="preserve"> 二七政采公开-2023-26</w:t>
      </w:r>
      <w:r>
        <w:rPr>
          <w:rFonts w:hint="eastAsia" w:ascii="宋体" w:hAnsi="宋体"/>
          <w:sz w:val="24"/>
          <w:highlight w:val="none"/>
        </w:rPr>
        <w:t>的</w:t>
      </w:r>
      <w:r>
        <w:rPr>
          <w:rFonts w:hint="eastAsia" w:ascii="宋体" w:hAnsi="宋体"/>
          <w:sz w:val="24"/>
          <w:highlight w:val="none"/>
          <w:u w:val="single"/>
        </w:rPr>
        <w:t xml:space="preserve">    （项目名称）  的</w:t>
      </w:r>
      <w:r>
        <w:rPr>
          <w:rFonts w:hint="eastAsia" w:ascii="宋体" w:hAnsi="宋体"/>
          <w:sz w:val="24"/>
          <w:highlight w:val="none"/>
        </w:rPr>
        <w:t>招标文件，已详细审查全部内容（含补遗文件，如有），我们完全理解并同意放弃对上述文件有不明及误解的权利。我方在此郑重承诺</w:t>
      </w:r>
      <w:r>
        <w:rPr>
          <w:rFonts w:hint="eastAsia" w:ascii="宋体" w:hAnsi="宋体"/>
          <w:sz w:val="24"/>
          <w:highlight w:val="none"/>
          <w:lang w:val="en-US" w:eastAsia="zh-CN"/>
        </w:rPr>
        <w:t>如下</w:t>
      </w:r>
      <w:r>
        <w:rPr>
          <w:rFonts w:hint="eastAsia" w:ascii="宋体" w:hAnsi="宋体"/>
          <w:sz w:val="24"/>
          <w:highlight w:val="none"/>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我单位完全接受和满足本项目招标文件中规定的实质性要求，如对采购（招标）文件有异议，已经在收到招标文件之日起或招标文件公告期限届满之日起七个工作日内依法进行维权救济，不存在对采购（招标）文件有异议的同时又参加投标以求侥幸中标或者为实现其他非法目的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、我单位参加本次招标采购活动，不存在和其他供应商（投标人）在同一合同项下的采购项目中，同时委托同一个自然人、同一家庭的人员、同一单位的人员作为代理人的行为</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、我单位参加本次招标采购活动，不存在与采购人、其他供应商或者采购代理机构恶意串通</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、我单位参加本次招标采购活动，不存在在投标文件中提供虚假材料</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我单位参加本次招标采购活动，</w:t>
      </w:r>
      <w:r>
        <w:rPr>
          <w:rFonts w:hint="eastAsia" w:ascii="宋体" w:hAnsi="宋体" w:eastAsia="宋体" w:cs="宋体"/>
          <w:sz w:val="24"/>
          <w:szCs w:val="24"/>
          <w:highlight w:val="none"/>
          <w:lang w:val="en-US" w:eastAsia="zh-CN"/>
        </w:rPr>
        <w:t>不存在未</w:t>
      </w:r>
      <w:r>
        <w:rPr>
          <w:rFonts w:hint="eastAsia" w:ascii="宋体" w:hAnsi="宋体" w:eastAsia="宋体" w:cs="宋体"/>
          <w:sz w:val="24"/>
          <w:szCs w:val="24"/>
          <w:highlight w:val="none"/>
        </w:rPr>
        <w:t>在规定时间内签订合同或拒绝与采购人订立合同或提出不合理要求</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hAnsi="宋体" w:eastAsia="宋体" w:cs="宋体"/>
          <w:sz w:val="24"/>
          <w:szCs w:val="24"/>
          <w:highlight w:val="none"/>
        </w:rPr>
        <w:t>按招标文件规定提交履约保证金</w:t>
      </w:r>
      <w:r>
        <w:rPr>
          <w:rFonts w:hint="eastAsia" w:ascii="宋体" w:hAnsi="宋体" w:eastAsia="宋体" w:cs="宋体"/>
          <w:sz w:val="24"/>
          <w:szCs w:val="24"/>
          <w:highlight w:val="none"/>
          <w:lang w:eastAsia="zh-CN"/>
        </w:rPr>
        <w:t>；</w:t>
      </w:r>
    </w:p>
    <w:p>
      <w:pPr>
        <w:pStyle w:val="2"/>
        <w:kinsoku w:val="0"/>
        <w:overflowPunct w:val="0"/>
        <w:spacing w:line="460" w:lineRule="exact"/>
        <w:ind w:firstLine="47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我单位</w:t>
      </w:r>
      <w:r>
        <w:rPr>
          <w:rFonts w:hint="eastAsia" w:ascii="宋体" w:hAnsi="宋体" w:eastAsia="宋体" w:cs="宋体"/>
          <w:sz w:val="24"/>
          <w:szCs w:val="24"/>
          <w:highlight w:val="none"/>
          <w:lang w:val="en-US" w:eastAsia="zh-CN"/>
        </w:rPr>
        <w:t>承诺</w:t>
      </w:r>
      <w:r>
        <w:rPr>
          <w:rFonts w:hint="eastAsia" w:ascii="宋体" w:eastAsia="宋体"/>
          <w:sz w:val="24"/>
          <w:highlight w:val="none"/>
        </w:rPr>
        <w:t>按招标文件规定按时向采购代理机构交纳</w:t>
      </w:r>
      <w:r>
        <w:rPr>
          <w:rFonts w:hint="eastAsia" w:ascii="宋体" w:eastAsia="宋体"/>
          <w:sz w:val="24"/>
          <w:highlight w:val="none"/>
          <w:lang w:val="en-US" w:eastAsia="zh-CN"/>
        </w:rPr>
        <w:t>采购代理</w:t>
      </w:r>
      <w:r>
        <w:rPr>
          <w:rFonts w:hint="eastAsia" w:ascii="宋体" w:eastAsia="宋体"/>
          <w:sz w:val="24"/>
          <w:highlight w:val="none"/>
        </w:rPr>
        <w:t>费</w:t>
      </w:r>
      <w:r>
        <w:rPr>
          <w:rFonts w:hint="eastAsia" w:ascii="宋体" w:eastAsia="宋体"/>
          <w:sz w:val="24"/>
          <w:highlight w:val="none"/>
          <w:lang w:eastAsia="zh-CN"/>
        </w:rPr>
        <w:t>；</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、存在以下行为之一的愿意接受相关部门的处理：</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1我单位在投标有效期内撤销投标文件的；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8.2</w:t>
      </w:r>
      <w:r>
        <w:rPr>
          <w:rFonts w:hint="eastAsia" w:ascii="宋体" w:hAnsi="宋体" w:eastAsia="宋体" w:cs="宋体"/>
          <w:sz w:val="24"/>
          <w:szCs w:val="24"/>
          <w:highlight w:val="none"/>
        </w:rPr>
        <w:t>我单位在采购人确定中标人以前放弃中标候选人资格的；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8.3</w:t>
      </w:r>
      <w:r>
        <w:rPr>
          <w:rFonts w:hint="eastAsia" w:ascii="宋体" w:hAnsi="宋体" w:eastAsia="宋体" w:cs="宋体"/>
          <w:sz w:val="24"/>
          <w:szCs w:val="24"/>
          <w:highlight w:val="none"/>
        </w:rPr>
        <w:t>由于我单位的原因未能按照招标文件的规定与采购人签订合同；</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8.4</w:t>
      </w:r>
      <w:r>
        <w:rPr>
          <w:rFonts w:hint="eastAsia" w:ascii="宋体" w:hAnsi="宋体" w:eastAsia="宋体" w:cs="宋体"/>
          <w:sz w:val="24"/>
          <w:szCs w:val="24"/>
          <w:highlight w:val="none"/>
        </w:rPr>
        <w:t>由于我单位的原因未能按照招标文件的规定交纳履约保证金；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8.5</w:t>
      </w:r>
      <w:r>
        <w:rPr>
          <w:rFonts w:hint="eastAsia" w:ascii="宋体" w:hAnsi="宋体" w:eastAsia="宋体" w:cs="宋体"/>
          <w:sz w:val="24"/>
          <w:szCs w:val="24"/>
          <w:highlight w:val="none"/>
        </w:rPr>
        <w:t>我单位在投标文件中提供虚假材料；</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8.6</w:t>
      </w:r>
      <w:r>
        <w:rPr>
          <w:rFonts w:hint="eastAsia" w:ascii="宋体" w:hAnsi="宋体" w:eastAsia="宋体" w:cs="宋体"/>
          <w:sz w:val="24"/>
          <w:szCs w:val="24"/>
          <w:highlight w:val="none"/>
        </w:rPr>
        <w:t>我单位与采购人、其他供应商（ 投标人） 或者采购代理机构恶意串通的；</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8.7</w:t>
      </w:r>
      <w:r>
        <w:rPr>
          <w:rFonts w:hint="eastAsia" w:ascii="宋体" w:hAnsi="宋体" w:eastAsia="宋体" w:cs="宋体"/>
          <w:sz w:val="24"/>
          <w:szCs w:val="24"/>
          <w:highlight w:val="none"/>
        </w:rPr>
        <w:t>在投标有效期内，我单位在政府采购活动中有违法、违规、违纪行为。</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我单位如果发生任意一条以上行为，将在行为发生的 5 个工作日内， 向采购人</w:t>
      </w:r>
      <w:r>
        <w:rPr>
          <w:rFonts w:hint="eastAsia" w:ascii="宋体" w:hAnsi="宋体" w:eastAsia="宋体" w:cs="宋体"/>
          <w:sz w:val="24"/>
          <w:szCs w:val="24"/>
          <w:highlight w:val="none"/>
          <w:lang w:val="en-US" w:eastAsia="zh-CN"/>
        </w:rPr>
        <w:t>及采购代理机构</w:t>
      </w:r>
      <w:r>
        <w:rPr>
          <w:rFonts w:hint="eastAsia" w:ascii="宋体" w:hAnsi="宋体" w:eastAsia="宋体" w:cs="宋体"/>
          <w:sz w:val="24"/>
          <w:szCs w:val="24"/>
          <w:highlight w:val="none"/>
        </w:rPr>
        <w:t>分别支付本招标文件公布的预算金额或最高限价（如无预算金额或最高限价的话，以我单位的投标报价为基准）的2%作为违约赔偿金。</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我单位知晓上述行为的法律后果，承认本承诺书作为采购人及采购代理机构要求我单位履行违约赔偿义务的依据作用。</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由此产生的一切法律后果和责任由我单位承担。我单位声明放弃对此提出任何异议和追索的权利。</w:t>
      </w:r>
    </w:p>
    <w:p>
      <w:pPr>
        <w:pStyle w:val="2"/>
        <w:kinsoku w:val="0"/>
        <w:overflowPunct w:val="0"/>
        <w:spacing w:line="460" w:lineRule="exact"/>
        <w:ind w:firstLine="511"/>
        <w:rPr>
          <w:rFonts w:hint="eastAsia" w:ascii="宋体" w:hAnsi="宋体" w:eastAsia="宋体" w:cs="宋体"/>
          <w:sz w:val="24"/>
          <w:szCs w:val="24"/>
          <w:highlight w:val="none"/>
        </w:rPr>
      </w:pPr>
      <w:r>
        <w:rPr>
          <w:rFonts w:hint="eastAsia" w:ascii="宋体" w:hAnsi="宋体" w:eastAsia="宋体" w:cs="宋体"/>
          <w:sz w:val="24"/>
          <w:szCs w:val="24"/>
          <w:highlight w:val="none"/>
        </w:rPr>
        <w:t>我单位对上述承诺的内容事项真实性负责。如经查实上述承诺的内容事项存在虚假，我单位愿意接受以提供虚假材料谋取中标而被追究法律责任。</w:t>
      </w:r>
    </w:p>
    <w:p>
      <w:pPr>
        <w:pStyle w:val="3"/>
        <w:rPr>
          <w:rFonts w:hint="eastAsia" w:ascii="宋体" w:hAnsi="宋体" w:eastAsia="宋体" w:cs="宋体"/>
          <w:sz w:val="24"/>
          <w:szCs w:val="24"/>
          <w:highlight w:val="none"/>
        </w:rPr>
      </w:pPr>
    </w:p>
    <w:p>
      <w:pPr>
        <w:pStyle w:val="3"/>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3"/>
        <w:rPr>
          <w:rFonts w:hint="eastAsia" w:ascii="宋体" w:hAnsi="宋体" w:eastAsia="宋体" w:cs="宋体"/>
          <w:sz w:val="24"/>
          <w:szCs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12" w:name="_Toc27233"/>
      <w:r>
        <w:rPr>
          <w:rFonts w:hint="eastAsia" w:ascii="宋体" w:hAnsi="宋体" w:eastAsia="宋体" w:cs="宋体"/>
          <w:sz w:val="24"/>
          <w:szCs w:val="24"/>
          <w:highlight w:val="none"/>
          <w:lang w:val="en-US" w:eastAsia="zh-CN"/>
        </w:rPr>
        <w:t>7.投标报价表格</w:t>
      </w:r>
      <w:bookmarkEnd w:id="212"/>
    </w:p>
    <w:p>
      <w:pPr>
        <w:pStyle w:val="6"/>
        <w:rPr>
          <w:rFonts w:hint="eastAsia" w:ascii="宋体" w:hAnsi="宋体" w:eastAsia="宋体" w:cs="宋体"/>
          <w:sz w:val="24"/>
          <w:szCs w:val="24"/>
          <w:highlight w:val="none"/>
          <w:lang w:val="en-US" w:eastAsia="zh-CN"/>
        </w:rPr>
      </w:pPr>
      <w:bookmarkStart w:id="213" w:name="_Toc830"/>
      <w:r>
        <w:rPr>
          <w:rFonts w:hint="eastAsia" w:ascii="宋体" w:hAnsi="宋体" w:eastAsia="宋体" w:cs="宋体"/>
          <w:sz w:val="24"/>
          <w:szCs w:val="24"/>
          <w:highlight w:val="none"/>
          <w:lang w:val="en-US" w:eastAsia="zh-CN"/>
        </w:rPr>
        <w:t>7.1开标一览表</w:t>
      </w:r>
      <w:bookmarkEnd w:id="213"/>
    </w:p>
    <w:tbl>
      <w:tblPr>
        <w:tblStyle w:val="28"/>
        <w:tblW w:w="5086" w:type="pct"/>
        <w:jc w:val="center"/>
        <w:tblLayout w:type="autofit"/>
        <w:tblCellMar>
          <w:top w:w="0" w:type="dxa"/>
          <w:left w:w="0" w:type="dxa"/>
          <w:bottom w:w="0" w:type="dxa"/>
          <w:right w:w="0" w:type="dxa"/>
        </w:tblCellMar>
      </w:tblPr>
      <w:tblGrid>
        <w:gridCol w:w="2318"/>
        <w:gridCol w:w="6161"/>
      </w:tblGrid>
      <w:tr>
        <w:tblPrEx>
          <w:tblCellMar>
            <w:top w:w="0" w:type="dxa"/>
            <w:left w:w="0" w:type="dxa"/>
            <w:bottom w:w="0" w:type="dxa"/>
            <w:right w:w="0" w:type="dxa"/>
          </w:tblCellMar>
        </w:tblPrEx>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rPr>
          <w:trHeight w:val="1029" w:hRule="atLeast"/>
          <w:jc w:val="center"/>
        </w:trPr>
        <w:tc>
          <w:tcPr>
            <w:tcW w:w="1367" w:type="pct"/>
            <w:tcBorders>
              <w:top w:val="single" w:color="000000" w:sz="12"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投标范围</w:t>
            </w:r>
          </w:p>
        </w:tc>
        <w:tc>
          <w:tcPr>
            <w:tcW w:w="3632" w:type="pct"/>
            <w:tcBorders>
              <w:top w:val="single" w:color="000000" w:sz="12" w:space="0"/>
              <w:left w:val="single" w:color="000000" w:sz="6" w:space="0"/>
              <w:bottom w:val="single" w:color="000000" w:sz="6" w:space="0"/>
              <w:right w:val="single" w:color="000000" w:sz="12" w:space="0"/>
            </w:tcBorders>
            <w:noWrap w:val="0"/>
            <w:vAlign w:val="center"/>
          </w:tcPr>
          <w:p>
            <w:pPr>
              <w:pStyle w:val="36"/>
              <w:keepNext w:val="0"/>
              <w:keepLines w:val="0"/>
              <w:pageBreakBefore w:val="0"/>
              <w:widowControl w:val="0"/>
              <w:kinsoku w:val="0"/>
              <w:wordWrap/>
              <w:overflowPunct w:val="0"/>
              <w:topLinePunct w:val="0"/>
              <w:autoSpaceDE/>
              <w:autoSpaceDN/>
              <w:bidi w:val="0"/>
              <w:adjustRightInd/>
              <w:snapToGrid/>
              <w:spacing w:line="42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郑州市二七区大数据中心</w:t>
            </w:r>
            <w:r>
              <w:rPr>
                <w:rFonts w:hint="eastAsia" w:ascii="宋体" w:hAnsi="宋体" w:cs="宋体"/>
                <w:sz w:val="24"/>
                <w:szCs w:val="24"/>
                <w:highlight w:val="none"/>
                <w:lang w:eastAsia="zh-CN"/>
              </w:rPr>
              <w:t>二七区物联感知与管理服务项目常态化服务项目</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□A包：软件测评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□B包：密码测评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□C包：安全等级保护测评</w:t>
            </w:r>
          </w:p>
          <w:p>
            <w:pPr>
              <w:pStyle w:val="36"/>
              <w:keepNext w:val="0"/>
              <w:keepLines w:val="0"/>
              <w:pageBreakBefore w:val="0"/>
              <w:widowControl w:val="0"/>
              <w:kinsoku w:val="0"/>
              <w:wordWrap/>
              <w:overflowPunct w:val="0"/>
              <w:topLinePunct w:val="0"/>
              <w:autoSpaceDE/>
              <w:autoSpaceDN/>
              <w:bidi w:val="0"/>
              <w:adjustRightInd/>
              <w:snapToGrid/>
              <w:spacing w:line="420" w:lineRule="exact"/>
              <w:jc w:val="both"/>
              <w:textAlignment w:val="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none"/>
                <w:lang w:val="en-US" w:eastAsia="zh-CN"/>
              </w:rPr>
              <w:t>□D包：网络链路</w:t>
            </w:r>
          </w:p>
        </w:tc>
      </w:tr>
      <w:tr>
        <w:trPr>
          <w:trHeight w:val="1077"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投标总报价（元）</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b/>
                <w:sz w:val="24"/>
                <w:szCs w:val="24"/>
                <w:highlight w:val="none"/>
                <w:u w:val="single"/>
              </w:rPr>
            </w:pPr>
          </w:p>
        </w:tc>
      </w:tr>
      <w:tr>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计划工期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服务质量</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rPr>
          <w:trHeight w:val="1041" w:hRule="atLeast"/>
          <w:jc w:val="center"/>
        </w:trPr>
        <w:tc>
          <w:tcPr>
            <w:tcW w:w="1367" w:type="pct"/>
            <w:tcBorders>
              <w:top w:val="single" w:color="000000" w:sz="6" w:space="0"/>
              <w:left w:val="single" w:color="000000" w:sz="12" w:space="0"/>
              <w:bottom w:val="single" w:color="000000" w:sz="6"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3632" w:type="pct"/>
            <w:tcBorders>
              <w:top w:val="single" w:color="000000" w:sz="6" w:space="0"/>
              <w:left w:val="single" w:color="000000" w:sz="6" w:space="0"/>
              <w:bottom w:val="single" w:color="000000" w:sz="6"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r>
        <w:tblPrEx>
          <w:tblCellMar>
            <w:top w:w="0" w:type="dxa"/>
            <w:left w:w="0" w:type="dxa"/>
            <w:bottom w:w="0" w:type="dxa"/>
            <w:right w:w="0" w:type="dxa"/>
          </w:tblCellMar>
        </w:tblPrEx>
        <w:trPr>
          <w:trHeight w:val="1078" w:hRule="atLeast"/>
          <w:jc w:val="center"/>
        </w:trPr>
        <w:tc>
          <w:tcPr>
            <w:tcW w:w="1367" w:type="pct"/>
            <w:tcBorders>
              <w:top w:val="single" w:color="000000" w:sz="6" w:space="0"/>
              <w:left w:val="single" w:color="000000" w:sz="12" w:space="0"/>
              <w:bottom w:val="single" w:color="000000" w:sz="12" w:space="0"/>
              <w:right w:val="single" w:color="000000" w:sz="6"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其他声明</w:t>
            </w:r>
          </w:p>
        </w:tc>
        <w:tc>
          <w:tcPr>
            <w:tcW w:w="3632" w:type="pct"/>
            <w:tcBorders>
              <w:top w:val="single" w:color="000000" w:sz="6" w:space="0"/>
              <w:left w:val="single" w:color="000000" w:sz="6" w:space="0"/>
              <w:bottom w:val="single" w:color="000000" w:sz="12" w:space="0"/>
              <w:right w:val="single" w:color="000000" w:sz="12" w:space="0"/>
            </w:tcBorders>
            <w:noWrap w:val="0"/>
            <w:vAlign w:val="center"/>
          </w:tcPr>
          <w:p>
            <w:pPr>
              <w:pStyle w:val="36"/>
              <w:kinsoku w:val="0"/>
              <w:overflowPunct w:val="0"/>
              <w:spacing w:line="360" w:lineRule="auto"/>
              <w:jc w:val="center"/>
              <w:rPr>
                <w:rFonts w:hint="eastAsia" w:ascii="宋体" w:hAnsi="宋体" w:eastAsia="宋体" w:cs="宋体"/>
                <w:sz w:val="24"/>
                <w:szCs w:val="24"/>
                <w:highlight w:val="none"/>
              </w:rPr>
            </w:pPr>
          </w:p>
        </w:tc>
      </w:tr>
    </w:tbl>
    <w:p>
      <w:pPr>
        <w:pStyle w:val="2"/>
        <w:kinsoku w:val="0"/>
        <w:overflowPunct w:val="0"/>
        <w:rPr>
          <w:rFonts w:hint="eastAsia" w:ascii="宋体" w:hAnsi="宋体" w:eastAsia="宋体" w:cs="宋体"/>
          <w:sz w:val="24"/>
          <w:szCs w:val="24"/>
          <w:highlight w:val="none"/>
        </w:rPr>
      </w:pPr>
    </w:p>
    <w:p>
      <w:pPr>
        <w:pStyle w:val="2"/>
        <w:kinsoku w:val="0"/>
        <w:overflowPunct w:val="0"/>
        <w:spacing w:before="2"/>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说明：此表中，每标段（或包）的投标总价应和投标分项报价表的总价相一致。</w:t>
      </w:r>
    </w:p>
    <w:p>
      <w:pPr>
        <w:pStyle w:val="2"/>
        <w:kinsoku w:val="0"/>
        <w:overflowPunct w:val="0"/>
        <w:spacing w:line="460" w:lineRule="exact"/>
        <w:rPr>
          <w:rFonts w:hint="eastAsia" w:ascii="宋体" w:hAnsi="宋体" w:eastAsia="宋体" w:cs="宋体"/>
          <w:sz w:val="24"/>
          <w:szCs w:val="24"/>
          <w:highlight w:val="none"/>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pStyle w:val="2"/>
        <w:kinsoku w:val="0"/>
        <w:overflowPunct w:val="0"/>
        <w:spacing w:line="460" w:lineRule="exact"/>
        <w:rPr>
          <w:rFonts w:hint="eastAsia" w:ascii="宋体" w:hAnsi="宋体" w:eastAsia="宋体" w:cs="宋体"/>
          <w:sz w:val="24"/>
          <w:szCs w:val="24"/>
          <w:highlight w:val="none"/>
        </w:rPr>
      </w:pPr>
    </w:p>
    <w:p>
      <w:pPr>
        <w:pStyle w:val="6"/>
        <w:rPr>
          <w:rFonts w:hint="eastAsia" w:ascii="宋体" w:hAnsi="宋体" w:eastAsia="宋体" w:cs="宋体"/>
          <w:sz w:val="24"/>
          <w:szCs w:val="24"/>
          <w:highlight w:val="none"/>
          <w:lang w:val="en-US" w:eastAsia="zh-CN"/>
        </w:rPr>
      </w:pPr>
      <w:r>
        <w:rPr>
          <w:rFonts w:hint="eastAsia" w:ascii="宋体" w:hAnsi="宋体" w:eastAsia="宋体" w:cs="宋体"/>
          <w:highlight w:val="none"/>
        </w:rPr>
        <w:br w:type="page"/>
      </w:r>
      <w:bookmarkEnd w:id="210"/>
      <w:bookmarkStart w:id="214" w:name="_Toc6428"/>
      <w:bookmarkStart w:id="215" w:name="_Toc21539"/>
      <w:bookmarkStart w:id="216" w:name="_Toc83888817"/>
      <w:bookmarkStart w:id="217" w:name="_Toc83889142"/>
      <w:bookmarkStart w:id="218" w:name="_Toc395181595"/>
      <w:bookmarkStart w:id="219" w:name="_Toc497920537"/>
      <w:bookmarkStart w:id="220" w:name="_Toc1565"/>
      <w:bookmarkStart w:id="221" w:name="_Toc83897988"/>
      <w:bookmarkStart w:id="222" w:name="_Toc3897"/>
      <w:bookmarkStart w:id="223" w:name="_Toc500170699"/>
      <w:r>
        <w:rPr>
          <w:rFonts w:hint="eastAsia" w:ascii="宋体" w:hAnsi="宋体" w:eastAsia="宋体" w:cs="宋体"/>
          <w:sz w:val="24"/>
          <w:szCs w:val="24"/>
          <w:highlight w:val="none"/>
          <w:lang w:val="en-US" w:eastAsia="zh-CN"/>
        </w:rPr>
        <w:t>7.2分项报价表</w:t>
      </w:r>
      <w:bookmarkEnd w:id="214"/>
      <w:bookmarkEnd w:id="215"/>
      <w:bookmarkEnd w:id="216"/>
      <w:bookmarkEnd w:id="217"/>
      <w:bookmarkEnd w:id="218"/>
      <w:bookmarkEnd w:id="219"/>
      <w:bookmarkEnd w:id="220"/>
      <w:bookmarkEnd w:id="221"/>
      <w:bookmarkEnd w:id="222"/>
      <w:bookmarkEnd w:id="223"/>
    </w:p>
    <w:p>
      <w:pPr>
        <w:rPr>
          <w:highlight w:val="none"/>
        </w:rPr>
      </w:pPr>
    </w:p>
    <w:tbl>
      <w:tblPr>
        <w:tblStyle w:val="28"/>
        <w:tblW w:w="4998" w:type="pct"/>
        <w:tblInd w:w="0" w:type="dxa"/>
        <w:tblLayout w:type="autofit"/>
        <w:tblCellMar>
          <w:top w:w="0" w:type="dxa"/>
          <w:left w:w="0" w:type="dxa"/>
          <w:bottom w:w="0" w:type="dxa"/>
          <w:right w:w="0" w:type="dxa"/>
        </w:tblCellMar>
      </w:tblPr>
      <w:tblGrid>
        <w:gridCol w:w="825"/>
        <w:gridCol w:w="985"/>
        <w:gridCol w:w="3752"/>
        <w:gridCol w:w="1467"/>
        <w:gridCol w:w="1304"/>
      </w:tblGrid>
      <w:tr>
        <w:tblPrEx>
          <w:tblCellMar>
            <w:top w:w="0" w:type="dxa"/>
            <w:left w:w="0" w:type="dxa"/>
            <w:bottom w:w="0" w:type="dxa"/>
            <w:right w:w="0" w:type="dxa"/>
          </w:tblCellMar>
        </w:tblPrEx>
        <w:trPr>
          <w:trHeight w:val="330" w:hRule="atLeast"/>
        </w:trPr>
        <w:tc>
          <w:tcPr>
            <w:tcW w:w="3337" w:type="pct"/>
            <w:gridSpan w:val="3"/>
            <w:vMerge w:val="restart"/>
            <w:tcBorders>
              <w:top w:val="nil"/>
              <w:left w:val="nil"/>
              <w:right w:val="nil"/>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投标人名称：</w:t>
            </w:r>
          </w:p>
          <w:p>
            <w:pPr>
              <w:rPr>
                <w:rFonts w:hint="eastAsia" w:ascii="宋体" w:hAnsi="宋体"/>
                <w:sz w:val="24"/>
                <w:highlight w:val="none"/>
              </w:rPr>
            </w:pPr>
            <w:r>
              <w:rPr>
                <w:rFonts w:hint="eastAsia" w:ascii="宋体" w:hAnsi="宋体"/>
                <w:sz w:val="24"/>
                <w:highlight w:val="none"/>
              </w:rPr>
              <w:t>采购编号：二七政采公开-2023-26</w:t>
            </w:r>
          </w:p>
          <w:p>
            <w:pPr>
              <w:rPr>
                <w:rFonts w:ascii="宋体" w:hAnsi="宋体"/>
                <w:sz w:val="24"/>
                <w:highlight w:val="none"/>
              </w:rPr>
            </w:pPr>
            <w:r>
              <w:rPr>
                <w:rFonts w:hint="eastAsia" w:ascii="宋体" w:hAnsi="宋体"/>
                <w:sz w:val="24"/>
                <w:highlight w:val="none"/>
              </w:rPr>
              <w:t>包号：</w:t>
            </w:r>
            <w:r>
              <w:rPr>
                <w:rFonts w:hint="eastAsia"/>
                <w:sz w:val="24"/>
                <w:highlight w:val="none"/>
              </w:rPr>
              <w:t xml:space="preserve">  </w:t>
            </w:r>
          </w:p>
        </w:tc>
        <w:tc>
          <w:tcPr>
            <w:tcW w:w="880"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330" w:hRule="atLeast"/>
        </w:trPr>
        <w:tc>
          <w:tcPr>
            <w:tcW w:w="3337" w:type="pct"/>
            <w:gridSpan w:val="3"/>
            <w:vMerge w:val="continue"/>
            <w:tcBorders>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c>
          <w:tcPr>
            <w:tcW w:w="1662" w:type="pct"/>
            <w:gridSpan w:val="2"/>
            <w:tcBorders>
              <w:top w:val="nil"/>
              <w:left w:val="nil"/>
              <w:bottom w:val="nil"/>
              <w:right w:val="nil"/>
            </w:tcBorders>
            <w:noWrap w:val="0"/>
            <w:tcMar>
              <w:top w:w="15" w:type="dxa"/>
              <w:left w:w="15" w:type="dxa"/>
              <w:bottom w:w="0" w:type="dxa"/>
              <w:right w:w="15" w:type="dxa"/>
            </w:tcMar>
            <w:vAlign w:val="bottom"/>
          </w:tcPr>
          <w:p>
            <w:pPr>
              <w:jc w:val="right"/>
              <w:rPr>
                <w:rFonts w:ascii="宋体" w:hAnsi="宋体"/>
                <w:sz w:val="24"/>
                <w:highlight w:val="none"/>
              </w:rPr>
            </w:pPr>
            <w:r>
              <w:rPr>
                <w:rFonts w:hint="eastAsia" w:ascii="宋体" w:hAnsi="宋体"/>
                <w:sz w:val="24"/>
                <w:highlight w:val="none"/>
              </w:rPr>
              <w:t>金额单位：元</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序号</w:t>
            </w:r>
          </w:p>
        </w:tc>
        <w:tc>
          <w:tcPr>
            <w:tcW w:w="225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项目</w:t>
            </w:r>
          </w:p>
        </w:tc>
        <w:tc>
          <w:tcPr>
            <w:tcW w:w="880"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报价</w:t>
            </w:r>
          </w:p>
        </w:tc>
        <w:tc>
          <w:tcPr>
            <w:tcW w:w="782" w:type="pc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备注</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其他</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hint="eastAsia" w:ascii="宋体" w:hAnsi="宋体"/>
                <w:sz w:val="24"/>
                <w:highlight w:val="none"/>
              </w:rPr>
            </w:pPr>
          </w:p>
        </w:tc>
      </w:tr>
      <w:tr>
        <w:tblPrEx>
          <w:tblCellMar>
            <w:top w:w="0" w:type="dxa"/>
            <w:left w:w="0" w:type="dxa"/>
            <w:bottom w:w="0" w:type="dxa"/>
            <w:right w:w="0" w:type="dxa"/>
          </w:tblCellMar>
        </w:tblPrEx>
        <w:trPr>
          <w:trHeight w:val="285" w:hRule="atLeast"/>
        </w:trPr>
        <w:tc>
          <w:tcPr>
            <w:tcW w:w="1086" w:type="pct"/>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p>
        </w:tc>
        <w:tc>
          <w:tcPr>
            <w:tcW w:w="225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税费</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315" w:hRule="atLeast"/>
        </w:trPr>
        <w:tc>
          <w:tcPr>
            <w:tcW w:w="3337" w:type="pct"/>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jc w:val="center"/>
              <w:rPr>
                <w:rFonts w:ascii="宋体" w:hAnsi="宋体"/>
                <w:sz w:val="24"/>
                <w:highlight w:val="none"/>
              </w:rPr>
            </w:pPr>
            <w:r>
              <w:rPr>
                <w:rFonts w:hint="eastAsia" w:ascii="宋体" w:hAnsi="宋体"/>
                <w:sz w:val="24"/>
                <w:highlight w:val="none"/>
              </w:rPr>
              <w:t>总</w:t>
            </w:r>
            <w:r>
              <w:rPr>
                <w:rFonts w:ascii="宋体" w:hAnsi="宋体"/>
                <w:sz w:val="24"/>
                <w:highlight w:val="none"/>
              </w:rPr>
              <w:t xml:space="preserve">               </w:t>
            </w:r>
            <w:r>
              <w:rPr>
                <w:rFonts w:hint="eastAsia" w:ascii="宋体" w:hAnsi="宋体"/>
                <w:sz w:val="24"/>
                <w:highlight w:val="none"/>
              </w:rPr>
              <w:t>计</w:t>
            </w:r>
            <w:r>
              <w:rPr>
                <w:rFonts w:ascii="宋体" w:hAnsi="宋体"/>
                <w:sz w:val="24"/>
                <w:highlight w:val="none"/>
              </w:rPr>
              <w:t xml:space="preserve">  </w:t>
            </w:r>
          </w:p>
        </w:tc>
        <w:tc>
          <w:tcPr>
            <w:tcW w:w="880"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c>
          <w:tcPr>
            <w:tcW w:w="782" w:type="pc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rPr>
                <w:rFonts w:ascii="宋体" w:hAnsi="宋体"/>
                <w:sz w:val="24"/>
                <w:highlight w:val="none"/>
              </w:rPr>
            </w:pPr>
            <w:r>
              <w:rPr>
                <w:rFonts w:hint="eastAsia" w:ascii="宋体" w:hAnsi="宋体"/>
                <w:sz w:val="24"/>
                <w:highlight w:val="none"/>
              </w:rPr>
              <w:t>　</w:t>
            </w: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p>
            <w:pPr>
              <w:jc w:val="center"/>
              <w:rPr>
                <w:rFonts w:hint="eastAsia" w:ascii="宋体" w:hAnsi="宋体"/>
                <w:sz w:val="24"/>
                <w:highlight w:val="none"/>
              </w:rPr>
            </w:pPr>
          </w:p>
          <w:p>
            <w:pPr>
              <w:jc w:val="center"/>
              <w:rPr>
                <w:rFonts w:hint="eastAsia" w:ascii="宋体" w:hAnsi="宋体"/>
                <w:sz w:val="24"/>
                <w:highlight w:val="none"/>
              </w:rPr>
            </w:pPr>
            <w:r>
              <w:rPr>
                <w:rFonts w:hint="eastAsia" w:ascii="宋体" w:hAnsi="宋体"/>
                <w:sz w:val="24"/>
                <w:highlight w:val="none"/>
              </w:rPr>
              <w:t>注：</w:t>
            </w:r>
          </w:p>
          <w:p>
            <w:pPr>
              <w:jc w:val="center"/>
              <w:rPr>
                <w:rFonts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r>
              <w:rPr>
                <w:rFonts w:ascii="宋体" w:hAnsi="宋体"/>
                <w:sz w:val="24"/>
                <w:highlight w:val="none"/>
              </w:rPr>
              <w:t>1</w:t>
            </w:r>
            <w:r>
              <w:rPr>
                <w:rFonts w:hint="eastAsia" w:ascii="宋体" w:hAnsi="宋体"/>
                <w:sz w:val="24"/>
                <w:highlight w:val="none"/>
              </w:rPr>
              <w:t>、请按项目包号分别填写；</w:t>
            </w:r>
          </w:p>
          <w:p>
            <w:pPr>
              <w:rPr>
                <w:rFonts w:hint="eastAsia" w:ascii="宋体" w:hAnsi="宋体"/>
                <w:sz w:val="24"/>
                <w:highlight w:val="none"/>
              </w:rPr>
            </w:pPr>
            <w:r>
              <w:rPr>
                <w:rFonts w:hint="eastAsia" w:ascii="宋体" w:hAnsi="宋体"/>
                <w:sz w:val="24"/>
                <w:highlight w:val="none"/>
              </w:rPr>
              <w:t>2、如果没有特殊说明所有应报价内容均已包含在投标总价中。</w:t>
            </w: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r>
        <w:tblPrEx>
          <w:tblCellMar>
            <w:top w:w="0" w:type="dxa"/>
            <w:left w:w="0" w:type="dxa"/>
            <w:bottom w:w="0" w:type="dxa"/>
            <w:right w:w="0" w:type="dxa"/>
          </w:tblCellMar>
        </w:tblPrEx>
        <w:trPr>
          <w:trHeight w:val="285" w:hRule="atLeast"/>
        </w:trPr>
        <w:tc>
          <w:tcPr>
            <w:tcW w:w="495" w:type="pct"/>
            <w:tcBorders>
              <w:top w:val="nil"/>
              <w:left w:val="nil"/>
              <w:bottom w:val="nil"/>
              <w:right w:val="nil"/>
            </w:tcBorders>
            <w:noWrap w:val="0"/>
            <w:tcMar>
              <w:top w:w="15" w:type="dxa"/>
              <w:left w:w="15" w:type="dxa"/>
              <w:bottom w:w="0" w:type="dxa"/>
              <w:right w:w="15" w:type="dxa"/>
            </w:tcMar>
            <w:vAlign w:val="bottom"/>
          </w:tcPr>
          <w:p>
            <w:pPr>
              <w:jc w:val="center"/>
              <w:rPr>
                <w:rFonts w:hint="eastAsia" w:ascii="宋体" w:hAnsi="宋体"/>
                <w:sz w:val="24"/>
                <w:highlight w:val="none"/>
              </w:rPr>
            </w:pPr>
          </w:p>
        </w:tc>
        <w:tc>
          <w:tcPr>
            <w:tcW w:w="3721" w:type="pct"/>
            <w:gridSpan w:val="3"/>
            <w:tcBorders>
              <w:top w:val="nil"/>
              <w:left w:val="nil"/>
              <w:bottom w:val="nil"/>
              <w:right w:val="nil"/>
            </w:tcBorders>
            <w:noWrap w:val="0"/>
            <w:tcMar>
              <w:top w:w="15" w:type="dxa"/>
              <w:left w:w="15" w:type="dxa"/>
              <w:bottom w:w="0" w:type="dxa"/>
              <w:right w:w="15" w:type="dxa"/>
            </w:tcMar>
            <w:vAlign w:val="bottom"/>
          </w:tcPr>
          <w:p>
            <w:pPr>
              <w:rPr>
                <w:rFonts w:hint="eastAsia" w:ascii="宋体" w:hAnsi="宋体"/>
                <w:sz w:val="24"/>
                <w:highlight w:val="none"/>
              </w:rPr>
            </w:pPr>
          </w:p>
        </w:tc>
        <w:tc>
          <w:tcPr>
            <w:tcW w:w="782" w:type="pct"/>
            <w:tcBorders>
              <w:top w:val="nil"/>
              <w:left w:val="nil"/>
              <w:bottom w:val="nil"/>
              <w:right w:val="nil"/>
            </w:tcBorders>
            <w:noWrap w:val="0"/>
            <w:tcMar>
              <w:top w:w="15" w:type="dxa"/>
              <w:left w:w="15" w:type="dxa"/>
              <w:bottom w:w="0" w:type="dxa"/>
              <w:right w:w="15" w:type="dxa"/>
            </w:tcMar>
            <w:vAlign w:val="bottom"/>
          </w:tcPr>
          <w:p>
            <w:pPr>
              <w:rPr>
                <w:rFonts w:ascii="宋体" w:hAnsi="宋体"/>
                <w:sz w:val="24"/>
                <w:highlight w:val="none"/>
              </w:rPr>
            </w:pPr>
          </w:p>
        </w:tc>
      </w:tr>
    </w:tbl>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1"/>
          <w:szCs w:val="21"/>
          <w:highlight w:val="none"/>
          <w:lang w:val="en-US" w:eastAsia="zh-CN"/>
        </w:rPr>
      </w:pPr>
    </w:p>
    <w:p>
      <w:pPr>
        <w:pStyle w:val="3"/>
        <w:rPr>
          <w:rFonts w:hint="eastAsia" w:ascii="宋体" w:hAnsi="宋体" w:eastAsia="宋体" w:cs="宋体"/>
          <w:sz w:val="21"/>
          <w:szCs w:val="21"/>
          <w:highlight w:val="none"/>
          <w:lang w:val="en-US" w:eastAsia="zh-CN"/>
        </w:rPr>
      </w:pPr>
    </w:p>
    <w:p>
      <w:pPr>
        <w:pStyle w:val="2"/>
        <w:tabs>
          <w:tab w:val="left" w:pos="60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（企业电子签章）</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法定代表人或负责人或委托代理人：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（个人电子签章） </w:t>
      </w:r>
    </w:p>
    <w:p>
      <w:pPr>
        <w:pStyle w:val="2"/>
        <w:tabs>
          <w:tab w:val="left" w:pos="2160"/>
          <w:tab w:val="left" w:pos="4800"/>
          <w:tab w:val="left" w:pos="6001"/>
          <w:tab w:val="left" w:pos="6961"/>
        </w:tabs>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4" w:name="_Toc3462"/>
      <w:r>
        <w:rPr>
          <w:rFonts w:hint="eastAsia" w:ascii="宋体" w:hAnsi="宋体" w:eastAsia="宋体" w:cs="宋体"/>
          <w:sz w:val="24"/>
          <w:szCs w:val="24"/>
          <w:highlight w:val="none"/>
          <w:lang w:val="en-US" w:eastAsia="zh-CN"/>
        </w:rPr>
        <w:t>8.技术规格及商务偏离表</w:t>
      </w:r>
      <w:bookmarkEnd w:id="224"/>
    </w:p>
    <w:p>
      <w:pPr>
        <w:pStyle w:val="6"/>
        <w:rPr>
          <w:rFonts w:hint="eastAsia" w:ascii="宋体" w:hAnsi="宋体" w:eastAsia="宋体" w:cs="宋体"/>
          <w:sz w:val="24"/>
          <w:szCs w:val="24"/>
          <w:highlight w:val="none"/>
          <w:lang w:val="en-US" w:eastAsia="zh-CN"/>
        </w:rPr>
      </w:pPr>
      <w:bookmarkStart w:id="225" w:name="_Toc31254"/>
      <w:r>
        <w:rPr>
          <w:rFonts w:hint="eastAsia" w:ascii="宋体" w:hAnsi="宋体" w:eastAsia="宋体" w:cs="宋体"/>
          <w:sz w:val="24"/>
          <w:szCs w:val="24"/>
          <w:highlight w:val="none"/>
          <w:lang w:val="en-US" w:eastAsia="zh-CN"/>
        </w:rPr>
        <w:t>8.1技术偏差表</w:t>
      </w:r>
      <w:bookmarkEnd w:id="225"/>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pStyle w:val="6"/>
        <w:rPr>
          <w:rFonts w:hint="eastAsia" w:ascii="宋体" w:hAnsi="宋体" w:eastAsia="宋体" w:cs="宋体"/>
          <w:sz w:val="24"/>
          <w:szCs w:val="24"/>
          <w:highlight w:val="none"/>
          <w:lang w:val="en-US" w:eastAsia="zh-CN"/>
        </w:rPr>
      </w:pPr>
      <w:bookmarkStart w:id="226" w:name="_Toc21362"/>
      <w:r>
        <w:rPr>
          <w:rFonts w:hint="eastAsia" w:ascii="宋体" w:hAnsi="宋体" w:eastAsia="宋体" w:cs="宋体"/>
          <w:sz w:val="24"/>
          <w:szCs w:val="24"/>
          <w:highlight w:val="none"/>
          <w:lang w:val="en-US" w:eastAsia="zh-CN"/>
        </w:rPr>
        <w:t>8.2商务偏差表</w:t>
      </w:r>
      <w:bookmarkEnd w:id="226"/>
    </w:p>
    <w:tbl>
      <w:tblPr>
        <w:tblStyle w:val="2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1594"/>
        <w:gridCol w:w="1369"/>
        <w:gridCol w:w="1302"/>
        <w:gridCol w:w="1179"/>
        <w:gridCol w:w="1099"/>
        <w:gridCol w:w="1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44" w:hRule="atLeast"/>
        </w:trPr>
        <w:tc>
          <w:tcPr>
            <w:tcW w:w="441"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序号</w:t>
            </w:r>
          </w:p>
        </w:tc>
        <w:tc>
          <w:tcPr>
            <w:tcW w:w="935"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章节及条款号</w:t>
            </w:r>
          </w:p>
        </w:tc>
        <w:tc>
          <w:tcPr>
            <w:tcW w:w="803"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招标文件要求</w:t>
            </w:r>
          </w:p>
        </w:tc>
        <w:tc>
          <w:tcPr>
            <w:tcW w:w="764"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投标文件响应内容</w:t>
            </w:r>
          </w:p>
        </w:tc>
        <w:tc>
          <w:tcPr>
            <w:tcW w:w="692" w:type="pct"/>
            <w:tcBorders>
              <w:top w:val="single" w:color="auto" w:sz="4" w:space="0"/>
              <w:left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偏差说明</w:t>
            </w:r>
          </w:p>
        </w:tc>
        <w:tc>
          <w:tcPr>
            <w:tcW w:w="645"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索引</w:t>
            </w:r>
          </w:p>
        </w:tc>
        <w:tc>
          <w:tcPr>
            <w:tcW w:w="717" w:type="pct"/>
            <w:tcBorders>
              <w:top w:val="single" w:color="auto" w:sz="4" w:space="0"/>
              <w:left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r>
              <w:rPr>
                <w:rFonts w:hint="eastAsia" w:ascii="宋体" w:hAnsi="宋体"/>
                <w:sz w:val="24"/>
                <w:highlight w:val="none"/>
              </w:rPr>
              <w:t>2</w:t>
            </w: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2" w:hRule="atLeast"/>
        </w:trPr>
        <w:tc>
          <w:tcPr>
            <w:tcW w:w="44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9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ascii="宋体" w:hAnsi="宋体"/>
                <w:sz w:val="24"/>
                <w:highlight w:val="none"/>
              </w:rPr>
              <w:t>……</w:t>
            </w:r>
          </w:p>
        </w:tc>
        <w:tc>
          <w:tcPr>
            <w:tcW w:w="803"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64"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92"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64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highlight w:val="none"/>
              </w:rPr>
            </w:pPr>
          </w:p>
        </w:tc>
      </w:tr>
    </w:tbl>
    <w:p>
      <w:pPr>
        <w:rPr>
          <w:rFonts w:hint="eastAsia"/>
          <w:b/>
          <w:bCs/>
          <w:sz w:val="24"/>
          <w:szCs w:val="24"/>
          <w:highlight w:val="none"/>
          <w:lang w:val="en-US" w:eastAsia="zh-CN"/>
        </w:rPr>
      </w:pPr>
      <w:r>
        <w:rPr>
          <w:rFonts w:hint="eastAsia"/>
          <w:b/>
          <w:bCs/>
          <w:sz w:val="24"/>
          <w:szCs w:val="24"/>
          <w:highlight w:val="none"/>
          <w:lang w:val="en-US" w:eastAsia="zh-CN"/>
        </w:rPr>
        <w:t>投标人保证：除技术偏差表列出的偏差外，投标人响应招标文件的全部要求。</w:t>
      </w:r>
    </w:p>
    <w:p>
      <w:pPr>
        <w:rPr>
          <w:rFonts w:hint="eastAsia"/>
          <w:highlight w:val="none"/>
          <w:lang w:val="en-US" w:eastAsia="zh-CN"/>
        </w:rPr>
      </w:pPr>
      <w:r>
        <w:rPr>
          <w:rFonts w:hint="eastAsia"/>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27" w:name="_Toc10730"/>
      <w:r>
        <w:rPr>
          <w:rFonts w:hint="eastAsia" w:ascii="宋体" w:hAnsi="宋体" w:eastAsia="宋体" w:cs="宋体"/>
          <w:sz w:val="24"/>
          <w:szCs w:val="24"/>
          <w:highlight w:val="none"/>
          <w:lang w:val="en-US" w:eastAsia="zh-CN"/>
        </w:rPr>
        <w:t>9.</w:t>
      </w:r>
      <w:bookmarkStart w:id="228" w:name="_Toc4800"/>
      <w:r>
        <w:rPr>
          <w:rFonts w:hint="eastAsia" w:ascii="宋体" w:hAnsi="宋体" w:eastAsia="宋体" w:cs="宋体"/>
          <w:sz w:val="24"/>
          <w:szCs w:val="24"/>
          <w:highlight w:val="none"/>
          <w:lang w:val="en-US" w:eastAsia="zh-CN"/>
        </w:rPr>
        <w:t>项目人员配备</w:t>
      </w:r>
      <w:bookmarkEnd w:id="227"/>
    </w:p>
    <w:p>
      <w:pPr>
        <w:pStyle w:val="6"/>
        <w:rPr>
          <w:rFonts w:hint="eastAsia" w:ascii="宋体" w:hAnsi="宋体" w:eastAsia="宋体" w:cs="宋体"/>
          <w:sz w:val="24"/>
          <w:szCs w:val="24"/>
          <w:highlight w:val="none"/>
          <w:lang w:val="en-US" w:eastAsia="zh-CN"/>
        </w:rPr>
      </w:pPr>
      <w:bookmarkStart w:id="229" w:name="_Toc32719"/>
      <w:r>
        <w:rPr>
          <w:rFonts w:hint="eastAsia" w:ascii="宋体" w:hAnsi="宋体" w:eastAsia="宋体" w:cs="宋体"/>
          <w:sz w:val="24"/>
          <w:szCs w:val="24"/>
          <w:highlight w:val="none"/>
          <w:lang w:val="en-US" w:eastAsia="zh-CN"/>
        </w:rPr>
        <w:t>9.1项目部人员汇总表</w:t>
      </w:r>
      <w:bookmarkEnd w:id="229"/>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82"/>
        <w:gridCol w:w="1383"/>
        <w:gridCol w:w="1383"/>
        <w:gridCol w:w="1383"/>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序号</w:t>
            </w:r>
          </w:p>
        </w:tc>
        <w:tc>
          <w:tcPr>
            <w:tcW w:w="1382"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专业</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383"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2" w:type="dxa"/>
            <w:vAlign w:val="center"/>
          </w:tcPr>
          <w:p>
            <w:pPr>
              <w:widowControl/>
              <w:spacing w:line="480" w:lineRule="exact"/>
              <w:jc w:val="center"/>
              <w:rPr>
                <w:rFonts w:ascii="宋体" w:hAnsi="宋体" w:cs="宋体"/>
                <w:kern w:val="0"/>
                <w:sz w:val="24"/>
                <w:highlight w:val="none"/>
              </w:rPr>
            </w:pPr>
          </w:p>
        </w:tc>
        <w:tc>
          <w:tcPr>
            <w:tcW w:w="1382"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c>
          <w:tcPr>
            <w:tcW w:w="1383" w:type="dxa"/>
            <w:vAlign w:val="center"/>
          </w:tcPr>
          <w:p>
            <w:pPr>
              <w:widowControl/>
              <w:spacing w:line="480" w:lineRule="exact"/>
              <w:jc w:val="center"/>
              <w:rPr>
                <w:rFonts w:ascii="宋体" w:hAnsi="宋体" w:cs="宋体"/>
                <w:kern w:val="0"/>
                <w:sz w:val="24"/>
                <w:highlight w:val="none"/>
              </w:rPr>
            </w:pPr>
          </w:p>
        </w:tc>
      </w:tr>
    </w:tbl>
    <w:p>
      <w:pPr>
        <w:widowControl/>
        <w:spacing w:line="480" w:lineRule="exact"/>
        <w:jc w:val="left"/>
        <w:rPr>
          <w:rFonts w:ascii="宋体" w:hAnsi="宋体" w:cs="宋体"/>
          <w:kern w:val="0"/>
          <w:sz w:val="24"/>
          <w:highlight w:val="none"/>
        </w:rPr>
      </w:pPr>
    </w:p>
    <w:p>
      <w:pPr>
        <w:widowControl/>
        <w:spacing w:line="480" w:lineRule="exact"/>
        <w:jc w:val="left"/>
        <w:rPr>
          <w:rFonts w:ascii="宋体" w:hAnsi="宋体" w:cs="宋体"/>
          <w:kern w:val="0"/>
          <w:sz w:val="24"/>
          <w:highlight w:val="none"/>
        </w:rPr>
      </w:pPr>
    </w:p>
    <w:p>
      <w:pPr>
        <w:rPr>
          <w:rFonts w:hint="eastAsia"/>
          <w:highlight w:val="none"/>
          <w:lang w:val="en-US" w:eastAsia="zh-CN"/>
        </w:rPr>
      </w:pPr>
    </w:p>
    <w:p>
      <w:pPr>
        <w:widowControl/>
        <w:spacing w:line="480" w:lineRule="exact"/>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widowControl/>
        <w:spacing w:line="480" w:lineRule="exact"/>
        <w:ind w:right="140"/>
        <w:jc w:val="righ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0" w:name="_Toc12134"/>
      <w:r>
        <w:rPr>
          <w:rFonts w:hint="eastAsia" w:ascii="宋体" w:hAnsi="宋体" w:eastAsia="宋体" w:cs="宋体"/>
          <w:sz w:val="24"/>
          <w:szCs w:val="24"/>
          <w:highlight w:val="none"/>
          <w:lang w:val="en-US" w:eastAsia="zh-CN"/>
        </w:rPr>
        <w:t>9.2项目负责人情况表</w:t>
      </w:r>
      <w:bookmarkEnd w:id="230"/>
    </w:p>
    <w:tbl>
      <w:tblPr>
        <w:tblStyle w:val="29"/>
        <w:tblW w:w="8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1426"/>
        <w:gridCol w:w="1427"/>
        <w:gridCol w:w="1427"/>
        <w:gridCol w:w="1427"/>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1426"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1427" w:type="dxa"/>
            <w:vAlign w:val="center"/>
          </w:tcPr>
          <w:p>
            <w:pPr>
              <w:widowControl/>
              <w:spacing w:line="480" w:lineRule="exact"/>
              <w:jc w:val="center"/>
              <w:rPr>
                <w:rFonts w:ascii="宋体" w:hAnsi="宋体" w:cs="宋体"/>
                <w:kern w:val="0"/>
                <w:sz w:val="24"/>
                <w:highlight w:val="none"/>
              </w:rPr>
            </w:pPr>
          </w:p>
        </w:tc>
        <w:tc>
          <w:tcPr>
            <w:tcW w:w="1427"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1430" w:type="dxa"/>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563" w:type="dxa"/>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7137" w:type="dxa"/>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426" w:type="dxa"/>
            <w:vAlign w:val="center"/>
          </w:tcPr>
          <w:p>
            <w:pPr>
              <w:widowControl/>
              <w:spacing w:line="480" w:lineRule="exact"/>
              <w:jc w:val="center"/>
              <w:rPr>
                <w:rFonts w:ascii="宋体" w:hAnsi="宋体" w:cs="宋体"/>
                <w:kern w:val="0"/>
                <w:sz w:val="24"/>
                <w:highlight w:val="none"/>
              </w:rPr>
            </w:pPr>
          </w:p>
        </w:tc>
        <w:tc>
          <w:tcPr>
            <w:tcW w:w="7137" w:type="dxa"/>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cs="宋体"/>
          <w:kern w:val="0"/>
          <w:sz w:val="24"/>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widowControl/>
        <w:spacing w:line="480" w:lineRule="exact"/>
        <w:ind w:left="2520" w:leftChars="1200"/>
        <w:jc w:val="left"/>
        <w:rPr>
          <w:rFonts w:ascii="宋体" w:hAnsi="宋体" w:cs="宋体"/>
          <w:kern w:val="0"/>
          <w:sz w:val="24"/>
          <w:highlight w:val="none"/>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6"/>
        <w:rPr>
          <w:rFonts w:hint="eastAsia" w:ascii="宋体" w:hAnsi="宋体" w:eastAsia="宋体" w:cs="宋体"/>
          <w:sz w:val="24"/>
          <w:szCs w:val="24"/>
          <w:highlight w:val="none"/>
          <w:lang w:val="en-US" w:eastAsia="zh-CN"/>
        </w:rPr>
      </w:pPr>
      <w:bookmarkStart w:id="231" w:name="_Toc5436"/>
      <w:r>
        <w:rPr>
          <w:rFonts w:hint="eastAsia" w:ascii="宋体" w:hAnsi="宋体" w:eastAsia="宋体" w:cs="宋体"/>
          <w:sz w:val="24"/>
          <w:szCs w:val="24"/>
          <w:highlight w:val="none"/>
          <w:lang w:val="en-US" w:eastAsia="zh-CN"/>
        </w:rPr>
        <w:t>9.3项目其他人员情况表</w:t>
      </w:r>
      <w:bookmarkEnd w:id="231"/>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420"/>
        <w:gridCol w:w="1420"/>
        <w:gridCol w:w="1420"/>
        <w:gridCol w:w="1420"/>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年龄</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职称</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职业资格</w:t>
            </w:r>
          </w:p>
        </w:tc>
        <w:tc>
          <w:tcPr>
            <w:tcW w:w="833" w:type="pct"/>
            <w:vAlign w:val="center"/>
          </w:tcPr>
          <w:p>
            <w:pPr>
              <w:widowControl/>
              <w:spacing w:line="480" w:lineRule="exact"/>
              <w:jc w:val="center"/>
              <w:rPr>
                <w:rFonts w:ascii="宋体" w:hAnsi="宋体" w:cs="宋体"/>
                <w:kern w:val="0"/>
                <w:sz w:val="24"/>
                <w:highlight w:val="none"/>
              </w:rPr>
            </w:pPr>
          </w:p>
        </w:tc>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拟在本项目中任职</w:t>
            </w:r>
          </w:p>
        </w:tc>
        <w:tc>
          <w:tcPr>
            <w:tcW w:w="835" w:type="pct"/>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毕业院校及专业</w:t>
            </w: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5000" w:type="pct"/>
            <w:gridSpan w:val="6"/>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时间</w:t>
            </w:r>
          </w:p>
        </w:tc>
        <w:tc>
          <w:tcPr>
            <w:tcW w:w="4167" w:type="pct"/>
            <w:gridSpan w:val="5"/>
            <w:vAlign w:val="center"/>
          </w:tcPr>
          <w:p>
            <w:pPr>
              <w:widowControl/>
              <w:spacing w:line="480" w:lineRule="exact"/>
              <w:jc w:val="center"/>
              <w:rPr>
                <w:rFonts w:ascii="宋体" w:hAnsi="宋体" w:cs="宋体"/>
                <w:kern w:val="0"/>
                <w:sz w:val="24"/>
                <w:highlight w:val="none"/>
              </w:rPr>
            </w:pPr>
            <w:r>
              <w:rPr>
                <w:rFonts w:hint="eastAsia" w:ascii="宋体" w:hAnsi="宋体" w:cs="宋体"/>
                <w:kern w:val="0"/>
                <w:sz w:val="24"/>
                <w:highlight w:val="none"/>
              </w:rPr>
              <w:t>参加过的类似项目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833" w:type="pct"/>
            <w:vAlign w:val="center"/>
          </w:tcPr>
          <w:p>
            <w:pPr>
              <w:widowControl/>
              <w:spacing w:line="480" w:lineRule="exact"/>
              <w:jc w:val="center"/>
              <w:rPr>
                <w:rFonts w:ascii="宋体" w:hAnsi="宋体" w:cs="宋体"/>
                <w:kern w:val="0"/>
                <w:sz w:val="24"/>
                <w:highlight w:val="none"/>
              </w:rPr>
            </w:pPr>
          </w:p>
        </w:tc>
        <w:tc>
          <w:tcPr>
            <w:tcW w:w="4167" w:type="pct"/>
            <w:gridSpan w:val="5"/>
            <w:vAlign w:val="center"/>
          </w:tcPr>
          <w:p>
            <w:pPr>
              <w:widowControl/>
              <w:spacing w:line="480" w:lineRule="exact"/>
              <w:jc w:val="center"/>
              <w:rPr>
                <w:rFonts w:ascii="宋体" w:hAnsi="宋体" w:cs="宋体"/>
                <w:kern w:val="0"/>
                <w:sz w:val="24"/>
                <w:highlight w:val="none"/>
              </w:rPr>
            </w:pPr>
          </w:p>
        </w:tc>
      </w:tr>
    </w:tbl>
    <w:p>
      <w:pPr>
        <w:spacing w:line="480" w:lineRule="auto"/>
        <w:rPr>
          <w:rFonts w:ascii="宋体" w:hAnsi="宋体"/>
          <w:szCs w:val="21"/>
          <w:highlight w:val="none"/>
        </w:rPr>
      </w:pPr>
      <w:r>
        <w:rPr>
          <w:rFonts w:hint="eastAsia" w:ascii="宋体" w:hAnsi="宋体"/>
          <w:szCs w:val="21"/>
          <w:highlight w:val="none"/>
        </w:rPr>
        <w:t>注：后附相关人员资格（资质）证书、职称证书及评分办法中要求的其他相关资料。</w:t>
      </w:r>
    </w:p>
    <w:p>
      <w:pPr>
        <w:widowControl/>
        <w:spacing w:line="480" w:lineRule="exact"/>
        <w:ind w:right="140"/>
        <w:jc w:val="right"/>
        <w:rPr>
          <w:rFonts w:ascii="宋体" w:hAnsi="宋体" w:cs="宋体"/>
          <w:kern w:val="0"/>
          <w:sz w:val="24"/>
          <w:highlight w:val="none"/>
        </w:rPr>
      </w:pPr>
    </w:p>
    <w:p>
      <w:pPr>
        <w:rPr>
          <w:rFonts w:hint="eastAsia"/>
          <w:highlight w:val="none"/>
          <w:lang w:val="en-US" w:eastAsia="zh-CN"/>
        </w:rPr>
      </w:pPr>
    </w:p>
    <w:p>
      <w:pPr>
        <w:rPr>
          <w:rFonts w:hint="eastAsia"/>
          <w:highlight w:val="none"/>
          <w:lang w:val="en-US" w:eastAsia="zh-CN"/>
        </w:rPr>
      </w:pPr>
    </w:p>
    <w:p>
      <w:pPr>
        <w:rPr>
          <w:rFonts w:hint="eastAsia"/>
          <w:highlight w:val="none"/>
          <w:lang w:val="en-US" w:eastAsia="zh-CN"/>
        </w:rPr>
      </w:pP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pPr>
        <w:pStyle w:val="5"/>
        <w:spacing w:before="100" w:beforeAutospacing="1" w:after="100" w:afterAutospacing="1" w:line="460" w:lineRule="exact"/>
        <w:ind w:left="0"/>
        <w:jc w:val="center"/>
        <w:rPr>
          <w:rFonts w:hint="default" w:ascii="宋体" w:hAnsi="宋体" w:eastAsia="宋体" w:cs="宋体"/>
          <w:sz w:val="24"/>
          <w:szCs w:val="24"/>
          <w:highlight w:val="none"/>
          <w:lang w:val="en-US" w:eastAsia="zh-CN"/>
        </w:rPr>
      </w:pPr>
      <w:bookmarkStart w:id="232" w:name="_Toc11420"/>
      <w:r>
        <w:rPr>
          <w:rFonts w:hint="eastAsia" w:ascii="宋体" w:hAnsi="宋体" w:eastAsia="宋体" w:cs="宋体"/>
          <w:sz w:val="24"/>
          <w:szCs w:val="24"/>
          <w:highlight w:val="none"/>
          <w:lang w:val="en-US" w:eastAsia="zh-CN"/>
        </w:rPr>
        <w:t>10.</w:t>
      </w:r>
      <w:bookmarkEnd w:id="228"/>
      <w:r>
        <w:rPr>
          <w:rFonts w:hint="eastAsia" w:ascii="宋体" w:hAnsi="宋体" w:eastAsia="宋体" w:cs="宋体"/>
          <w:sz w:val="24"/>
          <w:szCs w:val="24"/>
          <w:highlight w:val="none"/>
          <w:lang w:val="en-US" w:eastAsia="zh-CN"/>
        </w:rPr>
        <w:t>技术文件</w:t>
      </w:r>
      <w:bookmarkEnd w:id="232"/>
    </w:p>
    <w:p>
      <w:pPr>
        <w:rPr>
          <w:rFonts w:hint="default"/>
          <w:highlight w:val="none"/>
          <w:lang w:val="en-US" w:eastAsia="zh-CN"/>
        </w:rPr>
      </w:pP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3" w:name="_Toc22469"/>
      <w:r>
        <w:rPr>
          <w:rFonts w:hint="eastAsia" w:ascii="宋体" w:hAnsi="宋体" w:eastAsia="宋体" w:cs="宋体"/>
          <w:sz w:val="24"/>
          <w:szCs w:val="24"/>
          <w:highlight w:val="none"/>
          <w:lang w:val="en-US" w:eastAsia="zh-CN"/>
        </w:rPr>
        <w:t>11.售后服务计划及承诺</w:t>
      </w:r>
      <w:bookmarkEnd w:id="233"/>
    </w:p>
    <w:p>
      <w:pPr>
        <w:jc w:val="center"/>
        <w:rPr>
          <w:rFonts w:hint="default"/>
          <w:sz w:val="24"/>
          <w:szCs w:val="24"/>
          <w:highlight w:val="none"/>
          <w:lang w:val="en-US" w:eastAsia="zh-CN"/>
        </w:rPr>
      </w:pPr>
      <w:r>
        <w:rPr>
          <w:rFonts w:hint="default"/>
          <w:sz w:val="24"/>
          <w:szCs w:val="24"/>
          <w:highlight w:val="none"/>
          <w:lang w:val="en-US" w:eastAsia="zh-CN"/>
        </w:rPr>
        <w:t>供应商结合本项目实际情况及自身能力自主编制</w:t>
      </w:r>
    </w:p>
    <w:p>
      <w:pPr>
        <w:rPr>
          <w:rFonts w:hint="default"/>
          <w:sz w:val="24"/>
          <w:szCs w:val="24"/>
          <w:highlight w:val="none"/>
          <w:lang w:val="en-US" w:eastAsia="zh-CN"/>
        </w:rPr>
      </w:pPr>
      <w:r>
        <w:rPr>
          <w:rFonts w:hint="default"/>
          <w:sz w:val="24"/>
          <w:szCs w:val="24"/>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4" w:name="_Toc24223"/>
      <w:r>
        <w:rPr>
          <w:rFonts w:hint="eastAsia" w:ascii="宋体" w:hAnsi="宋体" w:eastAsia="宋体" w:cs="宋体"/>
          <w:sz w:val="24"/>
          <w:szCs w:val="24"/>
          <w:highlight w:val="none"/>
          <w:lang w:val="en-US" w:eastAsia="zh-CN"/>
        </w:rPr>
        <w:t>12.投标人及提供产品适用政府采购政策情况表（如有）</w:t>
      </w:r>
      <w:bookmarkEnd w:id="234"/>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1.</w:t>
      </w:r>
      <w:r>
        <w:rPr>
          <w:rFonts w:hint="eastAsia" w:ascii="宋体" w:hAnsi="宋体"/>
          <w:b/>
          <w:kern w:val="0"/>
          <w:sz w:val="24"/>
          <w:highlight w:val="none"/>
        </w:rPr>
        <w:t>强制采购通过相关认证的清单产品</w:t>
      </w:r>
      <w:r>
        <w:rPr>
          <w:rFonts w:ascii="宋体" w:hAnsi="宋体"/>
          <w:b/>
          <w:kern w:val="0"/>
          <w:sz w:val="24"/>
          <w:highlight w:val="none"/>
        </w:rPr>
        <w:t>(</w:t>
      </w:r>
      <w:r>
        <w:rPr>
          <w:rFonts w:hint="eastAsia" w:ascii="宋体" w:hAnsi="宋体"/>
          <w:b/>
          <w:kern w:val="0"/>
          <w:sz w:val="24"/>
          <w:highlight w:val="none"/>
        </w:rPr>
        <w:t>如有</w:t>
      </w:r>
      <w:r>
        <w:rPr>
          <w:rFonts w:ascii="宋体" w:hAnsi="宋体"/>
          <w:b/>
          <w:kern w:val="0"/>
          <w:sz w:val="24"/>
          <w:highlight w:val="none"/>
        </w:rPr>
        <w:t>)</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4"/>
        <w:gridCol w:w="1414"/>
        <w:gridCol w:w="1415"/>
        <w:gridCol w:w="1415"/>
        <w:gridCol w:w="1416"/>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投标产品中强制采购经国家认证的信息安全产品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vAlign w:val="top"/>
          </w:tcPr>
          <w:p>
            <w:pPr>
              <w:autoSpaceDE w:val="0"/>
              <w:autoSpaceDN w:val="0"/>
              <w:adjustRightInd w:val="0"/>
              <w:spacing w:line="360" w:lineRule="auto"/>
              <w:jc w:val="center"/>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投标产品中强制采购通过</w:t>
            </w:r>
            <w:r>
              <w:rPr>
                <w:rFonts w:ascii="宋体" w:hAnsi="宋体"/>
                <w:kern w:val="0"/>
                <w:sz w:val="24"/>
                <w:highlight w:val="none"/>
              </w:rPr>
              <w:t>3C</w:t>
            </w:r>
            <w:r>
              <w:rPr>
                <w:rFonts w:hint="eastAsia" w:ascii="宋体" w:hAnsi="宋体"/>
                <w:kern w:val="0"/>
                <w:sz w:val="24"/>
                <w:highlight w:val="none"/>
              </w:rPr>
              <w:t>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说明</w:t>
      </w:r>
      <w:r>
        <w:rPr>
          <w:rFonts w:ascii="宋体" w:hAnsi="宋体"/>
          <w:kern w:val="0"/>
          <w:sz w:val="24"/>
          <w:highlight w:val="none"/>
        </w:rPr>
        <w:t>;</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r>
        <w:rPr>
          <w:rFonts w:hint="eastAsia" w:ascii="宋体" w:hAnsi="宋体"/>
          <w:kern w:val="0"/>
          <w:sz w:val="24"/>
          <w:highlight w:val="none"/>
        </w:rPr>
        <w:t>如采购人所采购产品为《关于印发节能产品政府采购品目清单的通知》财库〔</w:t>
      </w:r>
      <w:r>
        <w:rPr>
          <w:rFonts w:ascii="宋体" w:hAnsi="宋体"/>
          <w:kern w:val="0"/>
          <w:sz w:val="24"/>
          <w:highlight w:val="none"/>
        </w:rPr>
        <w:t>2019</w:t>
      </w:r>
      <w:r>
        <w:rPr>
          <w:rFonts w:hint="eastAsia" w:ascii="宋体" w:hAnsi="宋体"/>
          <w:kern w:val="0"/>
          <w:sz w:val="24"/>
          <w:highlight w:val="none"/>
        </w:rPr>
        <w:t>〕</w:t>
      </w:r>
      <w:r>
        <w:rPr>
          <w:rFonts w:ascii="宋体" w:hAnsi="宋体"/>
          <w:kern w:val="0"/>
          <w:sz w:val="24"/>
          <w:highlight w:val="none"/>
        </w:rPr>
        <w:t>19</w:t>
      </w:r>
      <w:r>
        <w:rPr>
          <w:rFonts w:hint="eastAsia" w:ascii="宋体" w:hAnsi="宋体"/>
          <w:kern w:val="0"/>
          <w:sz w:val="24"/>
          <w:highlight w:val="none"/>
        </w:rPr>
        <w:t>号“节能产品政府采购品目清单”中政府强制采购节能产品的（标记“★”产品），投标人应提供有效期内的节能认证证书（认证机构：应符合《市场监管总局关于发布参与实施政府采购节能产品、环境标志产品认证机构名录的公告》</w:t>
      </w:r>
      <w:r>
        <w:rPr>
          <w:rFonts w:ascii="宋体" w:hAnsi="宋体"/>
          <w:kern w:val="0"/>
          <w:sz w:val="24"/>
          <w:highlight w:val="none"/>
        </w:rPr>
        <w:t>[2019</w:t>
      </w:r>
      <w:r>
        <w:rPr>
          <w:rFonts w:hint="eastAsia" w:ascii="宋体" w:hAnsi="宋体"/>
          <w:kern w:val="0"/>
          <w:sz w:val="24"/>
          <w:highlight w:val="none"/>
        </w:rPr>
        <w:t>年第</w:t>
      </w:r>
      <w:r>
        <w:rPr>
          <w:rFonts w:ascii="宋体" w:hAnsi="宋体"/>
          <w:kern w:val="0"/>
          <w:sz w:val="24"/>
          <w:highlight w:val="none"/>
        </w:rPr>
        <w:t>16</w:t>
      </w:r>
      <w:r>
        <w:rPr>
          <w:rFonts w:hint="eastAsia" w:ascii="宋体" w:hAnsi="宋体"/>
          <w:kern w:val="0"/>
          <w:sz w:val="24"/>
          <w:highlight w:val="none"/>
        </w:rPr>
        <w:t>号</w:t>
      </w:r>
      <w:r>
        <w:rPr>
          <w:rFonts w:ascii="宋体" w:hAnsi="宋体"/>
          <w:kern w:val="0"/>
          <w:sz w:val="24"/>
          <w:highlight w:val="none"/>
        </w:rPr>
        <w:t>]</w:t>
      </w:r>
      <w:r>
        <w:rPr>
          <w:rFonts w:hint="eastAsia" w:ascii="宋体" w:hAnsi="宋体"/>
          <w:kern w:val="0"/>
          <w:sz w:val="24"/>
          <w:highlight w:val="none"/>
        </w:rPr>
        <w:t>的“参与实施政府采购节能产品认证机构名录”），否则其投标将被认定为投标无效。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r>
        <w:rPr>
          <w:rFonts w:hint="eastAsia" w:ascii="宋体" w:hAnsi="宋体"/>
          <w:kern w:val="0"/>
          <w:sz w:val="24"/>
          <w:highlight w:val="none"/>
        </w:rPr>
        <w:t>如采购人所采购产品属于信息安全产品的，根据《关于信息安全产品实施政府采购的通知》财库</w:t>
      </w:r>
      <w:r>
        <w:rPr>
          <w:rFonts w:ascii="宋体" w:hAnsi="宋体"/>
          <w:kern w:val="0"/>
          <w:sz w:val="24"/>
          <w:highlight w:val="none"/>
        </w:rPr>
        <w:t>[2010]48</w:t>
      </w:r>
      <w:r>
        <w:rPr>
          <w:rFonts w:hint="eastAsia" w:ascii="宋体" w:hAnsi="宋体"/>
          <w:kern w:val="0"/>
          <w:sz w:val="24"/>
          <w:highlight w:val="none"/>
        </w:rPr>
        <w:t>号和国家质量监督检验检疫总局、国家认证认可监督管理委员会《关于调整信息安全产品强制性认证实施要求的公告》</w:t>
      </w:r>
      <w:r>
        <w:rPr>
          <w:rFonts w:ascii="宋体" w:hAnsi="宋体"/>
          <w:kern w:val="0"/>
          <w:sz w:val="24"/>
          <w:highlight w:val="none"/>
        </w:rPr>
        <w:t>2009</w:t>
      </w:r>
      <w:r>
        <w:rPr>
          <w:rFonts w:hint="eastAsia" w:ascii="宋体" w:hAnsi="宋体"/>
          <w:kern w:val="0"/>
          <w:sz w:val="24"/>
          <w:highlight w:val="none"/>
        </w:rPr>
        <w:t>年第</w:t>
      </w:r>
      <w:r>
        <w:rPr>
          <w:rFonts w:ascii="宋体" w:hAnsi="宋体"/>
          <w:kern w:val="0"/>
          <w:sz w:val="24"/>
          <w:highlight w:val="none"/>
        </w:rPr>
        <w:t>33</w:t>
      </w:r>
      <w:r>
        <w:rPr>
          <w:rFonts w:hint="eastAsia" w:ascii="宋体" w:hAnsi="宋体"/>
          <w:kern w:val="0"/>
          <w:sz w:val="24"/>
          <w:highlight w:val="none"/>
        </w:rPr>
        <w:t>号的规定，投标人所投产品应为经国家认证的信息安全产品，并提供由中国信息安全认证中心按国家标准认证颁发的有效认证证书，否则其投标将被认定为投标无效。</w:t>
      </w:r>
    </w:p>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r>
        <w:rPr>
          <w:rFonts w:hint="eastAsia" w:ascii="宋体" w:hAnsi="宋体"/>
          <w:kern w:val="0"/>
          <w:sz w:val="24"/>
          <w:highlight w:val="none"/>
        </w:rPr>
        <w:t>投标产品已列入《市场监管总局关于优化强制性产品认证目录的公告》【</w:t>
      </w:r>
      <w:r>
        <w:rPr>
          <w:rFonts w:ascii="宋体" w:hAnsi="宋体"/>
          <w:kern w:val="0"/>
          <w:sz w:val="24"/>
          <w:highlight w:val="none"/>
        </w:rPr>
        <w:t>2020</w:t>
      </w:r>
      <w:r>
        <w:rPr>
          <w:rFonts w:hint="eastAsia" w:ascii="宋体" w:hAnsi="宋体"/>
          <w:kern w:val="0"/>
          <w:sz w:val="24"/>
          <w:highlight w:val="none"/>
        </w:rPr>
        <w:t>年第</w:t>
      </w:r>
      <w:r>
        <w:rPr>
          <w:rFonts w:ascii="宋体" w:hAnsi="宋体"/>
          <w:kern w:val="0"/>
          <w:sz w:val="24"/>
          <w:highlight w:val="none"/>
        </w:rPr>
        <w:t>18</w:t>
      </w:r>
      <w:r>
        <w:rPr>
          <w:rFonts w:hint="eastAsia" w:ascii="宋体" w:hAnsi="宋体"/>
          <w:kern w:val="0"/>
          <w:sz w:val="24"/>
          <w:highlight w:val="none"/>
        </w:rPr>
        <w:t>号】的产品必须提供通过国家</w:t>
      </w:r>
      <w:r>
        <w:rPr>
          <w:rFonts w:ascii="宋体" w:hAnsi="宋体"/>
          <w:kern w:val="0"/>
          <w:sz w:val="24"/>
          <w:highlight w:val="none"/>
        </w:rPr>
        <w:t>3C</w:t>
      </w:r>
      <w:r>
        <w:rPr>
          <w:rFonts w:hint="eastAsia" w:ascii="宋体" w:hAnsi="宋体"/>
          <w:kern w:val="0"/>
          <w:sz w:val="24"/>
          <w:highlight w:val="none"/>
        </w:rPr>
        <w:t>认证的有关证明材料。否则其投标将被认定为投标无效。</w:t>
      </w:r>
    </w:p>
    <w:p>
      <w:pPr>
        <w:autoSpaceDE w:val="0"/>
        <w:autoSpaceDN w:val="0"/>
        <w:adjustRightInd w:val="0"/>
        <w:spacing w:line="360" w:lineRule="auto"/>
        <w:ind w:firstLine="420"/>
        <w:jc w:val="left"/>
        <w:rPr>
          <w:rFonts w:ascii="宋体" w:hAnsi="宋体"/>
          <w:b/>
          <w:kern w:val="0"/>
          <w:sz w:val="24"/>
          <w:highlight w:val="none"/>
        </w:rPr>
      </w:pPr>
      <w:r>
        <w:rPr>
          <w:rFonts w:ascii="宋体" w:hAnsi="宋体"/>
          <w:b/>
          <w:kern w:val="0"/>
          <w:sz w:val="24"/>
          <w:highlight w:val="none"/>
        </w:rPr>
        <w:t xml:space="preserve">2. </w:t>
      </w:r>
      <w:r>
        <w:rPr>
          <w:rFonts w:hint="eastAsia" w:ascii="宋体" w:hAnsi="宋体"/>
          <w:b/>
          <w:kern w:val="0"/>
          <w:sz w:val="24"/>
          <w:highlight w:val="none"/>
        </w:rPr>
        <w:t>政府采购优先采购的清单产品（如有）</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6"/>
        <w:gridCol w:w="1427"/>
        <w:gridCol w:w="1398"/>
        <w:gridCol w:w="1398"/>
        <w:gridCol w:w="1428"/>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投标产品中通过节能认证的产品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投标产品中通过环境标志认证的产品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序号</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货物名称</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规格型号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生产厂商</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jc w:val="left"/>
              <w:rPr>
                <w:rFonts w:ascii="宋体" w:hAnsi="宋体"/>
                <w:kern w:val="0"/>
                <w:sz w:val="24"/>
                <w:highlight w:val="none"/>
              </w:rPr>
            </w:pPr>
            <w:r>
              <w:rPr>
                <w:rFonts w:hint="eastAsia" w:ascii="宋体" w:hAnsi="宋体"/>
                <w:kern w:val="0"/>
                <w:sz w:val="24"/>
                <w:highlight w:val="none"/>
              </w:rPr>
              <w:t>证书编号</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2" w:type="dxa"/>
            <w:gridSpan w:val="6"/>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center"/>
              <w:rPr>
                <w:rFonts w:ascii="宋体" w:hAnsi="宋体"/>
                <w:kern w:val="0"/>
                <w:sz w:val="24"/>
                <w:highlight w:val="none"/>
              </w:rPr>
            </w:pPr>
            <w:r>
              <w:rPr>
                <w:rFonts w:hint="eastAsia" w:ascii="宋体" w:hAnsi="宋体"/>
                <w:kern w:val="0"/>
                <w:sz w:val="24"/>
                <w:highlight w:val="none"/>
              </w:rPr>
              <w:t>投标产品中无线局域网产品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1</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2</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ascii="宋体" w:hAnsi="宋体"/>
                <w:kern w:val="0"/>
                <w:sz w:val="24"/>
                <w:highlight w:val="none"/>
              </w:rPr>
              <w:t>3</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r>
              <w:rPr>
                <w:rFonts w:hint="eastAsia" w:ascii="宋体" w:hAnsi="宋体"/>
                <w:kern w:val="0"/>
                <w:sz w:val="24"/>
                <w:highlight w:val="none"/>
              </w:rPr>
              <w:t>…</w:t>
            </w:r>
            <w:r>
              <w:rPr>
                <w:rFonts w:ascii="宋体" w:hAnsi="宋体"/>
                <w:kern w:val="0"/>
                <w:sz w:val="24"/>
                <w:highlight w:val="none"/>
              </w:rPr>
              <w:t>..</w:t>
            </w:r>
          </w:p>
        </w:tc>
        <w:tc>
          <w:tcPr>
            <w:tcW w:w="1534"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ind w:firstLine="420"/>
              <w:jc w:val="left"/>
              <w:rPr>
                <w:rFonts w:ascii="宋体" w:hAnsi="宋体"/>
                <w:kern w:val="0"/>
                <w:sz w:val="24"/>
                <w:highlight w:val="none"/>
              </w:rPr>
            </w:pPr>
          </w:p>
        </w:tc>
      </w:tr>
    </w:tbl>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 xml:space="preserve">说明： </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1.对于投标产品属于“节能清单”中非标记“★”产品并经“机构名录”中的认证机构出具相应的产品认证证书的给于优先采购体现（详见评标标准）。</w:t>
      </w:r>
      <w:r>
        <w:rPr>
          <w:rFonts w:hint="eastAsia" w:ascii="宋体" w:hAnsi="宋体" w:eastAsia="宋体"/>
          <w:kern w:val="0"/>
          <w:sz w:val="24"/>
          <w:highlight w:val="none"/>
        </w:rPr>
        <w:tab/>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2.采购人采购产品属于节能产品或环境标志产品品目清单范围内，且投标人所投产品具有有效期内的环境标志产品认证证书，在评标时予以优先采购，具体优惠措施为：如果采购项目包有多种设备，在技术部分打分项中给于优先采购体现（详见评标标准）。</w:t>
      </w:r>
    </w:p>
    <w:p>
      <w:pPr>
        <w:autoSpaceDE w:val="0"/>
        <w:autoSpaceDN w:val="0"/>
        <w:adjustRightInd w:val="0"/>
        <w:spacing w:line="360" w:lineRule="auto"/>
        <w:ind w:firstLine="420"/>
        <w:jc w:val="left"/>
        <w:rPr>
          <w:rFonts w:hint="eastAsia" w:ascii="宋体" w:hAnsi="宋体" w:eastAsia="宋体"/>
          <w:kern w:val="0"/>
          <w:sz w:val="24"/>
          <w:highlight w:val="none"/>
        </w:rPr>
      </w:pPr>
      <w:r>
        <w:rPr>
          <w:rFonts w:hint="eastAsia" w:ascii="宋体" w:hAnsi="宋体" w:eastAsia="宋体"/>
          <w:kern w:val="0"/>
          <w:sz w:val="24"/>
          <w:highlight w:val="none"/>
        </w:rPr>
        <w:t>3.投标人所投产品列入“财政部国家发展改革委信息产业部关于印发无线局域网产品政府采购实施意见的通知财库［2005］366号”无线局域网产品清单的，在评标时予以优先采购，具体优惠措施为：如果采购项目包有多种设备，在技术部分打分项中给于优先采购体现（详见评标标准）。</w:t>
      </w:r>
    </w:p>
    <w:p>
      <w:pPr>
        <w:rPr>
          <w:rFonts w:hint="default"/>
          <w:highlight w:val="none"/>
          <w:lang w:val="en-US" w:eastAsia="zh-CN"/>
        </w:rPr>
      </w:pPr>
      <w:r>
        <w:rPr>
          <w:rFonts w:hint="default"/>
          <w:highlight w:val="none"/>
          <w:lang w:val="en-US" w:eastAsia="zh-CN"/>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35" w:name="_Toc23683"/>
      <w:r>
        <w:rPr>
          <w:rFonts w:hint="eastAsia" w:ascii="宋体" w:hAnsi="宋体" w:eastAsia="宋体" w:cs="宋体"/>
          <w:sz w:val="24"/>
          <w:szCs w:val="24"/>
          <w:highlight w:val="none"/>
          <w:lang w:val="en-US" w:eastAsia="zh-CN"/>
        </w:rPr>
        <w:t>13.符合《政府采购促进中小企业发展管理办法》的相关材料</w:t>
      </w:r>
      <w:bookmarkEnd w:id="235"/>
    </w:p>
    <w:p>
      <w:pPr>
        <w:pStyle w:val="6"/>
        <w:rPr>
          <w:rFonts w:hint="eastAsia" w:ascii="宋体" w:hAnsi="宋体" w:eastAsia="宋体" w:cs="宋体"/>
          <w:sz w:val="24"/>
          <w:szCs w:val="24"/>
          <w:highlight w:val="none"/>
          <w:lang w:val="en-US" w:eastAsia="zh-CN"/>
        </w:rPr>
      </w:pPr>
      <w:bookmarkStart w:id="236" w:name="_Toc26926"/>
      <w:r>
        <w:rPr>
          <w:rFonts w:hint="eastAsia" w:ascii="宋体" w:hAnsi="宋体" w:eastAsia="宋体" w:cs="宋体"/>
          <w:sz w:val="24"/>
          <w:szCs w:val="24"/>
          <w:highlight w:val="none"/>
          <w:lang w:val="en-US" w:eastAsia="zh-CN"/>
        </w:rPr>
        <w:t>13.1中小企业声明函</w:t>
      </w:r>
      <w:bookmarkEnd w:id="236"/>
    </w:p>
    <w:p>
      <w:pPr>
        <w:pStyle w:val="2"/>
        <w:kinsoku w:val="0"/>
        <w:overflowPunct w:val="0"/>
        <w:spacing w:line="4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中小企业声明函（服务）</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采购活动，服务全部由符合政策要求的中小企业承接。相关企业（含联合体中的中小企业、签订分包意向协议的中小企业）的具体情况如下：</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小型企业、微型企业</w:t>
      </w:r>
      <w:r>
        <w:rPr>
          <w:rFonts w:hint="eastAsia" w:ascii="宋体" w:hAnsi="宋体" w:eastAsia="宋体" w:cs="宋体"/>
          <w:sz w:val="24"/>
          <w:szCs w:val="24"/>
          <w:highlight w:val="none"/>
        </w:rPr>
        <w:t>）；</w:t>
      </w:r>
    </w:p>
    <w:p>
      <w:pPr>
        <w:pStyle w:val="2"/>
        <w:kinsoku w:val="0"/>
        <w:overflowPunct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pPr>
        <w:pStyle w:val="2"/>
        <w:kinsoku w:val="0"/>
        <w:overflowPunct w:val="0"/>
        <w:spacing w:line="460" w:lineRule="exact"/>
        <w:ind w:firstLine="479"/>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pPr>
        <w:pStyle w:val="2"/>
        <w:kinsoku w:val="0"/>
        <w:overflowPunct w:val="0"/>
        <w:spacing w:line="460" w:lineRule="exact"/>
        <w:rPr>
          <w:rFonts w:hint="eastAsia" w:ascii="宋体" w:hAnsi="宋体" w:eastAsia="宋体" w:cs="宋体"/>
          <w:sz w:val="24"/>
          <w:szCs w:val="24"/>
          <w:highlight w:val="none"/>
        </w:rPr>
      </w:pP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企业名称（企业电子签章）：</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pPr>
        <w:pStyle w:val="2"/>
        <w:kinsoku w:val="0"/>
        <w:overflowPunc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从业人员、营业收入、资产总额填报上一年度数据，无上一年度数据的新成立企业可不填报。</w:t>
      </w:r>
    </w:p>
    <w:p>
      <w:pPr>
        <w:pStyle w:val="2"/>
        <w:kinsoku w:val="0"/>
        <w:overflowPunct w:val="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说明：符合要求的单位，按照上述格式进行填写；不符合要求的企业不需要提供。</w:t>
      </w:r>
    </w:p>
    <w:p>
      <w:pPr>
        <w:rPr>
          <w:rFonts w:hint="default"/>
          <w:highlight w:val="none"/>
          <w:lang w:val="en-US" w:eastAsia="zh-CN"/>
        </w:rPr>
      </w:pPr>
    </w:p>
    <w:p>
      <w:pPr>
        <w:rPr>
          <w:rFonts w:hint="default"/>
          <w:highlight w:val="none"/>
          <w:lang w:val="en-US" w:eastAsia="zh-CN"/>
        </w:rPr>
      </w:pPr>
      <w:r>
        <w:rPr>
          <w:rFonts w:hint="default"/>
          <w:highlight w:val="none"/>
          <w:lang w:val="en-US" w:eastAsia="zh-CN"/>
        </w:rPr>
        <w:br w:type="page"/>
      </w:r>
    </w:p>
    <w:p>
      <w:pPr>
        <w:pStyle w:val="6"/>
        <w:rPr>
          <w:rFonts w:hint="eastAsia" w:ascii="宋体" w:hAnsi="宋体" w:eastAsia="宋体" w:cs="宋体"/>
          <w:sz w:val="24"/>
          <w:szCs w:val="24"/>
          <w:highlight w:val="none"/>
          <w:lang w:val="en-US" w:eastAsia="zh-CN"/>
        </w:rPr>
      </w:pPr>
      <w:bookmarkStart w:id="237" w:name="_Toc503535292"/>
      <w:bookmarkStart w:id="238" w:name="_Toc503972199"/>
      <w:bookmarkStart w:id="239" w:name="_Toc40448294"/>
      <w:bookmarkStart w:id="240" w:name="_Toc40977438"/>
      <w:bookmarkStart w:id="241" w:name="_Toc49001021"/>
      <w:bookmarkStart w:id="242" w:name="_Toc40977395"/>
      <w:bookmarkStart w:id="243" w:name="_Toc14109"/>
      <w:r>
        <w:rPr>
          <w:rFonts w:hint="eastAsia" w:ascii="宋体" w:hAnsi="宋体" w:eastAsia="宋体" w:cs="宋体"/>
          <w:sz w:val="24"/>
          <w:szCs w:val="24"/>
          <w:highlight w:val="none"/>
          <w:lang w:val="en-US" w:eastAsia="zh-CN"/>
        </w:rPr>
        <w:t>13.2</w:t>
      </w:r>
      <w:bookmarkEnd w:id="237"/>
      <w:bookmarkEnd w:id="238"/>
      <w:bookmarkStart w:id="244" w:name="OLE_LINK13"/>
      <w:r>
        <w:rPr>
          <w:rFonts w:hint="eastAsia" w:ascii="宋体" w:hAnsi="宋体" w:eastAsia="宋体" w:cs="宋体"/>
          <w:sz w:val="24"/>
          <w:szCs w:val="24"/>
          <w:highlight w:val="none"/>
          <w:lang w:val="en-US" w:eastAsia="zh-CN"/>
        </w:rPr>
        <w:t xml:space="preserve"> 残疾人福利性单位声明函</w:t>
      </w:r>
      <w:bookmarkEnd w:id="239"/>
      <w:bookmarkEnd w:id="240"/>
      <w:bookmarkEnd w:id="241"/>
      <w:bookmarkEnd w:id="242"/>
      <w:bookmarkEnd w:id="243"/>
      <w:bookmarkEnd w:id="244"/>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sz w:val="24"/>
          <w:szCs w:val="24"/>
          <w:highlight w:val="none"/>
        </w:rPr>
        <w:t>〔2017〕 141</w:t>
      </w:r>
      <w:r>
        <w:rPr>
          <w:rFonts w:hint="eastAsia" w:ascii="宋体" w:hAnsi="宋体" w:eastAsia="宋体" w:cs="宋体"/>
          <w:spacing w:val="6"/>
          <w:sz w:val="24"/>
          <w:szCs w:val="24"/>
          <w:highlight w:val="none"/>
        </w:rPr>
        <w:t>号）的规定，本单位为符合条件的残疾人福利性单位，且本单位参加</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单位的</w:t>
      </w:r>
      <w:r>
        <w:rPr>
          <w:rFonts w:hint="eastAsia" w:ascii="宋体" w:hAnsi="宋体" w:eastAsia="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szCs w:val="24"/>
          <w:highlight w:val="none"/>
        </w:rPr>
      </w:pPr>
    </w:p>
    <w:p>
      <w:pPr>
        <w:spacing w:line="588" w:lineRule="exact"/>
        <w:ind w:firstLine="504" w:firstLineChars="200"/>
        <w:rPr>
          <w:rFonts w:hint="eastAsia" w:ascii="宋体" w:hAnsi="宋体" w:eastAsia="宋体" w:cs="宋体"/>
          <w:spacing w:val="6"/>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tabs>
          <w:tab w:val="left" w:pos="4860"/>
        </w:tabs>
        <w:spacing w:line="588" w:lineRule="exact"/>
        <w:ind w:right="1560" w:firstLine="504" w:firstLineChars="200"/>
        <w:jc w:val="center"/>
        <w:rPr>
          <w:rFonts w:hint="eastAsia" w:ascii="宋体" w:hAnsi="宋体" w:eastAsia="宋体" w:cs="宋体"/>
          <w:spacing w:val="6"/>
          <w:sz w:val="24"/>
          <w:szCs w:val="24"/>
          <w:highlight w:val="none"/>
        </w:rPr>
      </w:pPr>
    </w:p>
    <w:p>
      <w:pPr>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1、在政府采购活动中，残疾人福利性单位视同小型、微型企业；</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2、属于残疾人福利性单位的填写，不属于的无需填写此项内容。</w:t>
      </w:r>
    </w:p>
    <w:p>
      <w:pPr>
        <w:rPr>
          <w:rFonts w:hint="eastAsia" w:ascii="宋体" w:hAnsi="宋体" w:eastAsia="宋体" w:cs="宋体"/>
          <w:sz w:val="24"/>
          <w:szCs w:val="24"/>
          <w:highlight w:val="none"/>
          <w:lang w:val="en-US" w:eastAsia="zh-CN"/>
        </w:rPr>
      </w:pPr>
      <w:bookmarkStart w:id="245" w:name="_Toc49001022"/>
      <w:r>
        <w:rPr>
          <w:rFonts w:hint="eastAsia" w:ascii="宋体" w:hAnsi="宋体" w:eastAsia="宋体" w:cs="宋体"/>
          <w:sz w:val="24"/>
          <w:szCs w:val="24"/>
          <w:highlight w:val="none"/>
          <w:lang w:val="en-US" w:eastAsia="zh-CN"/>
        </w:rPr>
        <w:br w:type="page"/>
      </w:r>
    </w:p>
    <w:p>
      <w:pPr>
        <w:pStyle w:val="6"/>
        <w:rPr>
          <w:rFonts w:hint="eastAsia" w:ascii="宋体" w:hAnsi="宋体" w:eastAsia="宋体" w:cs="宋体"/>
          <w:sz w:val="24"/>
          <w:szCs w:val="24"/>
          <w:highlight w:val="none"/>
          <w:lang w:val="en-US" w:eastAsia="zh-CN"/>
        </w:rPr>
      </w:pPr>
      <w:bookmarkStart w:id="246" w:name="_Toc7341"/>
      <w:r>
        <w:rPr>
          <w:rFonts w:hint="eastAsia" w:ascii="宋体" w:hAnsi="宋体" w:eastAsia="宋体" w:cs="宋体"/>
          <w:sz w:val="24"/>
          <w:szCs w:val="24"/>
          <w:highlight w:val="none"/>
          <w:lang w:val="en-US" w:eastAsia="zh-CN"/>
        </w:rPr>
        <w:t>13.3投标人监狱企业声明函</w:t>
      </w:r>
      <w:bookmarkEnd w:id="245"/>
      <w:bookmarkEnd w:id="246"/>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本企业（单位）郑重声明下列事项（按照实际情况勾选或填空）：</w:t>
      </w:r>
    </w:p>
    <w:p>
      <w:pPr>
        <w:widowControl/>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本企业（单位）为直接投标人提供本企业（单位）服务。</w:t>
      </w:r>
    </w:p>
    <w:p>
      <w:pPr>
        <w:widowControl/>
        <w:spacing w:line="360" w:lineRule="auto"/>
        <w:ind w:firstLine="360" w:firstLineChars="15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（请填写：是、不是）监狱企业。后附省级以上监狱管理局、戒毒管理局（含新疆生产建设兵团）出具的属于监狱企业的证明文件。</w:t>
      </w:r>
    </w:p>
    <w:p>
      <w:pPr>
        <w:widowControl/>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（2）本企业（单位）</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p>
    <w:p>
      <w:pPr>
        <w:widowControl/>
        <w:spacing w:line="360" w:lineRule="auto"/>
        <w:ind w:firstLine="475"/>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本企业（单位）对上述声明的真实性负责。如有虚假，将依法承担相应责任。</w:t>
      </w:r>
    </w:p>
    <w:p>
      <w:pPr>
        <w:widowControl/>
        <w:spacing w:line="360" w:lineRule="auto"/>
        <w:ind w:firstLine="475"/>
        <w:jc w:val="left"/>
        <w:rPr>
          <w:rFonts w:hint="eastAsia" w:ascii="宋体" w:hAnsi="宋体" w:eastAsia="宋体" w:cs="宋体"/>
          <w:kern w:val="0"/>
          <w:sz w:val="24"/>
          <w:szCs w:val="24"/>
          <w:highlight w:val="none"/>
        </w:rPr>
      </w:pP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（企业电子签章）</w:t>
      </w:r>
    </w:p>
    <w:p>
      <w:pPr>
        <w:spacing w:line="480" w:lineRule="auto"/>
        <w:rPr>
          <w:rFonts w:hint="eastAsia" w:ascii="宋体" w:hAnsi="宋体" w:eastAsia="宋体" w:cs="宋体"/>
          <w:sz w:val="24"/>
          <w:szCs w:val="24"/>
          <w:highlight w:val="none"/>
        </w:rPr>
      </w:pPr>
    </w:p>
    <w:p>
      <w:pPr>
        <w:spacing w:line="480" w:lineRule="auto"/>
        <w:rPr>
          <w:rFonts w:hint="eastAsia" w:ascii="宋体" w:hAnsi="宋体" w:eastAsia="宋体" w:cs="宋体"/>
          <w:sz w:val="24"/>
          <w:szCs w:val="24"/>
          <w:highlight w:val="none"/>
          <w:u w:val="single" w:color="FFFFFF"/>
        </w:rPr>
      </w:pPr>
      <w:r>
        <w:rPr>
          <w:rFonts w:hint="eastAsia" w:ascii="宋体" w:hAnsi="宋体" w:eastAsia="宋体" w:cs="宋体"/>
          <w:sz w:val="24"/>
          <w:szCs w:val="24"/>
          <w:highlight w:val="none"/>
          <w:u w:val="single" w:color="FFFFFF"/>
        </w:rPr>
        <w:t>法定代表人（单位负责人）或</w:t>
      </w:r>
      <w:r>
        <w:rPr>
          <w:rFonts w:hint="eastAsia" w:ascii="宋体" w:hAnsi="宋体" w:eastAsia="宋体" w:cs="宋体"/>
          <w:sz w:val="24"/>
          <w:szCs w:val="24"/>
          <w:highlight w:val="none"/>
        </w:rPr>
        <w:t>授权代表人：</w:t>
      </w:r>
      <w:r>
        <w:rPr>
          <w:rFonts w:hint="eastAsia" w:ascii="宋体" w:hAnsi="宋体" w:eastAsia="宋体" w:cs="宋体"/>
          <w:sz w:val="24"/>
          <w:szCs w:val="24"/>
          <w:highlight w:val="none"/>
          <w:u w:val="single"/>
        </w:rPr>
        <w:t>（签字或个人电子签章）</w:t>
      </w:r>
    </w:p>
    <w:p>
      <w:pPr>
        <w:spacing w:line="480" w:lineRule="auto"/>
        <w:rPr>
          <w:rFonts w:hint="eastAsia" w:ascii="宋体" w:hAnsi="宋体" w:eastAsia="宋体" w:cs="宋体"/>
          <w:sz w:val="24"/>
          <w:szCs w:val="24"/>
          <w:highlight w:val="none"/>
        </w:rPr>
      </w:pPr>
    </w:p>
    <w:p>
      <w:pPr>
        <w:pStyle w:val="18"/>
        <w:tabs>
          <w:tab w:val="left" w:pos="5580"/>
        </w:tabs>
        <w:spacing w:line="480" w:lineRule="auto"/>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pPr>
        <w:widowControl/>
        <w:jc w:val="left"/>
        <w:rPr>
          <w:rFonts w:hint="eastAsia" w:ascii="宋体" w:hAnsi="宋体" w:eastAsia="宋体" w:cs="宋体"/>
          <w:b/>
          <w:bCs/>
          <w:iCs/>
          <w:kern w:val="0"/>
          <w:sz w:val="24"/>
          <w:szCs w:val="24"/>
          <w:highlight w:val="none"/>
        </w:rPr>
      </w:pPr>
      <w:r>
        <w:rPr>
          <w:rFonts w:hint="eastAsia" w:ascii="宋体" w:hAnsi="宋体" w:eastAsia="宋体" w:cs="宋体"/>
          <w:bCs/>
          <w:iCs/>
          <w:kern w:val="0"/>
          <w:sz w:val="24"/>
          <w:szCs w:val="24"/>
          <w:highlight w:val="none"/>
        </w:rPr>
        <w:br w:type="page"/>
      </w: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7" w:name="_Toc15447"/>
      <w:r>
        <w:rPr>
          <w:rFonts w:hint="eastAsia" w:ascii="宋体" w:hAnsi="宋体" w:eastAsia="宋体" w:cs="宋体"/>
          <w:sz w:val="24"/>
          <w:szCs w:val="24"/>
          <w:highlight w:val="none"/>
          <w:lang w:val="en-US" w:eastAsia="zh-CN"/>
        </w:rPr>
        <w:t>14.投标人关联单位情况说明</w:t>
      </w:r>
      <w:bookmarkEnd w:id="247"/>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r>
        <w:rPr>
          <w:rFonts w:hint="eastAsia" w:ascii="宋体" w:hAnsi="宋体"/>
          <w:sz w:val="28"/>
          <w:szCs w:val="28"/>
          <w:highlight w:val="none"/>
        </w:rPr>
        <w:t>（格式自拟）</w:t>
      </w: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jc w:val="center"/>
        <w:rPr>
          <w:rFonts w:ascii="宋体" w:hAnsi="宋体"/>
          <w:sz w:val="28"/>
          <w:szCs w:val="28"/>
          <w:highlight w:val="none"/>
        </w:rPr>
      </w:pPr>
    </w:p>
    <w:p>
      <w:pPr>
        <w:pStyle w:val="12"/>
        <w:spacing w:line="360" w:lineRule="auto"/>
        <w:ind w:firstLine="560"/>
        <w:rPr>
          <w:rFonts w:ascii="宋体" w:hAnsi="宋体"/>
          <w:sz w:val="28"/>
          <w:szCs w:val="28"/>
          <w:highlight w:val="none"/>
        </w:rPr>
      </w:pPr>
      <w:r>
        <w:rPr>
          <w:rFonts w:hint="eastAsia" w:ascii="宋体" w:hAnsi="宋体"/>
          <w:sz w:val="28"/>
          <w:szCs w:val="28"/>
          <w:highlight w:val="none"/>
        </w:rPr>
        <w:t>说明：投标人应将与本单位存在下列关联关系的单位名称作出说明：</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1</w:t>
      </w:r>
      <w:r>
        <w:rPr>
          <w:rFonts w:hint="eastAsia" w:ascii="宋体" w:hAnsi="宋体"/>
          <w:sz w:val="28"/>
          <w:szCs w:val="28"/>
          <w:highlight w:val="none"/>
        </w:rPr>
        <w:t>）与投标人单位负责人为同一人的其他单位；</w:t>
      </w:r>
    </w:p>
    <w:p>
      <w:pPr>
        <w:pStyle w:val="12"/>
        <w:spacing w:line="360" w:lineRule="auto"/>
        <w:ind w:firstLine="560"/>
        <w:rPr>
          <w:rFonts w:ascii="宋体" w:hAnsi="宋体"/>
          <w:sz w:val="28"/>
          <w:szCs w:val="28"/>
          <w:highlight w:val="none"/>
        </w:rPr>
      </w:pPr>
      <w:r>
        <w:rPr>
          <w:rFonts w:hint="eastAsia" w:ascii="宋体" w:hAnsi="宋体"/>
          <w:sz w:val="28"/>
          <w:szCs w:val="28"/>
          <w:highlight w:val="none"/>
        </w:rPr>
        <w:t>（</w:t>
      </w:r>
      <w:r>
        <w:rPr>
          <w:rFonts w:ascii="宋体" w:hAnsi="宋体"/>
          <w:sz w:val="28"/>
          <w:szCs w:val="28"/>
          <w:highlight w:val="none"/>
        </w:rPr>
        <w:t>2</w:t>
      </w:r>
      <w:r>
        <w:rPr>
          <w:rFonts w:hint="eastAsia" w:ascii="宋体" w:hAnsi="宋体"/>
          <w:sz w:val="28"/>
          <w:szCs w:val="28"/>
          <w:highlight w:val="none"/>
        </w:rPr>
        <w:t>）与投标人存在直接控股、管理关系的其他单位。</w:t>
      </w:r>
    </w:p>
    <w:p>
      <w:pPr>
        <w:pStyle w:val="12"/>
        <w:spacing w:line="360" w:lineRule="auto"/>
        <w:ind w:firstLine="560"/>
        <w:rPr>
          <w:rFonts w:ascii="宋体" w:hAnsi="宋体"/>
          <w:sz w:val="28"/>
          <w:szCs w:val="28"/>
          <w:highlight w:val="none"/>
        </w:rPr>
      </w:pPr>
    </w:p>
    <w:p>
      <w:pPr>
        <w:pStyle w:val="12"/>
        <w:spacing w:line="360" w:lineRule="auto"/>
        <w:ind w:firstLine="560"/>
        <w:rPr>
          <w:rFonts w:ascii="宋体" w:hAnsi="宋体"/>
          <w:sz w:val="28"/>
          <w:szCs w:val="28"/>
          <w:highlight w:val="none"/>
        </w:rPr>
      </w:pPr>
    </w:p>
    <w:p>
      <w:pPr>
        <w:pStyle w:val="5"/>
        <w:spacing w:before="100" w:beforeAutospacing="1" w:after="100" w:afterAutospacing="1" w:line="460" w:lineRule="exact"/>
        <w:ind w:left="0"/>
        <w:jc w:val="center"/>
        <w:rPr>
          <w:rFonts w:hint="eastAsia" w:ascii="宋体" w:hAnsi="宋体" w:eastAsia="宋体" w:cs="宋体"/>
          <w:sz w:val="24"/>
          <w:szCs w:val="24"/>
          <w:highlight w:val="none"/>
          <w:lang w:val="en-US" w:eastAsia="zh-CN"/>
        </w:rPr>
      </w:pPr>
      <w:bookmarkStart w:id="248" w:name="_Toc28923"/>
      <w:bookmarkStart w:id="249" w:name="_Toc49001026"/>
      <w:r>
        <w:rPr>
          <w:rFonts w:hint="eastAsia" w:ascii="宋体" w:hAnsi="宋体" w:eastAsia="宋体" w:cs="宋体"/>
          <w:sz w:val="24"/>
          <w:szCs w:val="24"/>
          <w:highlight w:val="none"/>
          <w:lang w:val="en-US" w:eastAsia="zh-CN"/>
        </w:rPr>
        <w:t>15.投标人认为有必要提供的其他资料</w:t>
      </w:r>
      <w:bookmarkEnd w:id="248"/>
      <w:bookmarkEnd w:id="249"/>
    </w:p>
    <w:p>
      <w:pPr>
        <w:tabs>
          <w:tab w:val="left" w:pos="3280"/>
          <w:tab w:val="left" w:pos="4680"/>
          <w:tab w:val="left" w:pos="6080"/>
        </w:tabs>
        <w:autoSpaceDE w:val="0"/>
        <w:autoSpaceDN w:val="0"/>
        <w:adjustRightInd w:val="0"/>
        <w:spacing w:line="480" w:lineRule="exact"/>
        <w:ind w:right="-20"/>
        <w:jc w:val="center"/>
        <w:rPr>
          <w:rFonts w:ascii="宋体" w:hAnsi="宋体"/>
          <w:sz w:val="28"/>
          <w:szCs w:val="28"/>
          <w:highlight w:val="none"/>
        </w:rPr>
      </w:pPr>
      <w:r>
        <w:rPr>
          <w:rFonts w:hint="eastAsia" w:ascii="宋体" w:hAnsi="宋体"/>
          <w:sz w:val="28"/>
          <w:szCs w:val="28"/>
          <w:highlight w:val="none"/>
        </w:rPr>
        <w:t>招标文件要求投标人提交的其他资料及投标人认为有必要提交的其他资料。</w:t>
      </w:r>
    </w:p>
    <w:p>
      <w:pPr>
        <w:rPr>
          <w:rFonts w:ascii="宋体" w:hAnsi="宋体"/>
          <w:sz w:val="28"/>
          <w:szCs w:val="28"/>
          <w:highlight w:val="none"/>
        </w:rPr>
      </w:pPr>
    </w:p>
    <w:p>
      <w:pPr>
        <w:pStyle w:val="5"/>
        <w:rPr>
          <w:rFonts w:hint="eastAsia" w:ascii="宋体" w:hAnsi="宋体" w:eastAsia="宋体" w:cs="宋体"/>
          <w:sz w:val="24"/>
          <w:szCs w:val="24"/>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1"/>
      </w:rPr>
    </w:pPr>
    <w:r>
      <w:fldChar w:fldCharType="begin"/>
    </w:r>
    <w:r>
      <w:rPr>
        <w:rStyle w:val="31"/>
      </w:rPr>
      <w:instrText xml:space="preserve">PAGE  </w:instrText>
    </w:r>
    <w:r>
      <w:fldChar w:fldCharType="separate"/>
    </w:r>
    <w:r>
      <w:rPr>
        <w:rStyle w:val="31"/>
      </w:rPr>
      <w:t>8</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96850"/>
              <wp:effectExtent l="0" t="0" r="0" b="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8638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2.55pt;mso-position-horizontal:center;mso-position-horizontal-relative:margin;mso-wrap-style:none;z-index:251659264;mso-width-relative:page;mso-height-relative:page;" filled="f" stroked="f" coordsize="21600,21600" o:gfxdata="UEsDBAoAAAAAAIdO4kAAAAAAAAAAAAAAAAAEAAAAZHJzL1BLAwQUAAAACACHTuJApIxZx9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KSMWcfRAAAAAwEAAA8AAAAAAAAAAQAgAAAAIgAA&#10;AGRycy9kb3ducmV2LnhtbFBLAQIUABQAAAAIAIdO4kCe+BbY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J2o66XRAAAAAwEAAA8AAAAAAAAAAQAgAAAAIgAA&#10;AGRycy9kb3ducmV2LnhtbFBLAQIUABQAAAAIAIdO4kCkYeH4DwIAABAEAAAOAAAAAAAAAAEAIAAA&#10;ACABAABkcnMvZTJvRG9jLnhtbFBLBQYAAAAABgAGAFkBAAChBQ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43535" cy="196850"/>
              <wp:effectExtent l="0" t="0" r="0"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343535" cy="196850"/>
                      </a:xfrm>
                      <a:prstGeom prst="rect">
                        <a:avLst/>
                      </a:prstGeom>
                      <a:noFill/>
                      <a:ln>
                        <a:noFill/>
                      </a:ln>
                      <a:effectLst/>
                    </wps:spPr>
                    <wps:txbx>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5.5pt;width:27.05pt;mso-position-horizontal:center;mso-position-horizontal-relative:margin;mso-wrap-style:none;z-index:251660288;mso-width-relative:page;mso-height-relative:page;" filled="f" stroked="f" coordsize="21600,21600" o:gfxdata="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dqOul0QAAAAMBAAAPAAAAAAAAAAEAIAAAACIA&#10;AABkcnMvZG93bnJldi54bWxQSwECFAAUAAAACACHTuJArph49xACAAAQBAAADgAAAAAAAAABACAA&#10;AAAgAQAAZHJzL2Uyb0RvYy54bWxQSwUGAAAAAAYABgBZAQAAogUAAAAA&#10;">
              <v:fill on="f" focussize="0,0"/>
              <v:stroke on="f"/>
              <v:imagedata o:title=""/>
              <o:lock v:ext="edit" aspectratio="f"/>
              <v:textbox inset="0mm,0mm,0mm,0mm" style="mso-fit-shape-to-text:t;">
                <w:txbxContent>
                  <w:p>
                    <w:pPr>
                      <w:widowControl w:val="0"/>
                      <w:snapToGrid w:val="0"/>
                      <w:spacing w:line="360" w:lineRule="auto"/>
                      <w:ind w:firstLine="360" w:firstLineChars="2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pPr>
      <w:widowControl w:val="0"/>
      <w:snapToGrid w:val="0"/>
      <w:spacing w:line="360" w:lineRule="auto"/>
      <w:ind w:firstLine="360" w:firstLineChars="200"/>
      <w:jc w:val="center"/>
      <w:rPr>
        <w:rFonts w:ascii="Times New Roman" w:hAnsi="Times New Roman" w:eastAsia="宋体" w:cs="Times New Roman"/>
        <w:kern w:val="2"/>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spacing w:line="360" w:lineRule="auto"/>
      <w:ind w:firstLine="360" w:firstLineChars="200"/>
      <w:jc w:val="center"/>
      <w:rPr>
        <w:rFonts w:ascii="Times New Roman" w:hAnsi="Times New Roman" w:eastAsia="宋体" w:cs="Times New Roman"/>
        <w:kern w:val="2"/>
        <w:sz w:val="18"/>
        <w:szCs w:val="18"/>
        <w:lang w:val="zh-CN"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281DD0"/>
    <w:multiLevelType w:val="singleLevel"/>
    <w:tmpl w:val="9F281DD0"/>
    <w:lvl w:ilvl="0" w:tentative="0">
      <w:start w:val="1"/>
      <w:numFmt w:val="decimal"/>
      <w:suff w:val="nothing"/>
      <w:lvlText w:val="%1）"/>
      <w:lvlJc w:val="left"/>
    </w:lvl>
  </w:abstractNum>
  <w:abstractNum w:abstractNumId="1">
    <w:nsid w:val="AD158DE6"/>
    <w:multiLevelType w:val="multilevel"/>
    <w:tmpl w:val="AD158D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2680BE6"/>
    <w:multiLevelType w:val="multilevel"/>
    <w:tmpl w:val="02680BE6"/>
    <w:lvl w:ilvl="0" w:tentative="0">
      <w:start w:val="1"/>
      <w:numFmt w:val="decimal"/>
      <w:lvlText w:val="（%1）"/>
      <w:lvlJc w:val="left"/>
      <w:pPr>
        <w:ind w:left="1560" w:hanging="10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E754979"/>
    <w:multiLevelType w:val="multilevel"/>
    <w:tmpl w:val="0E75497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360"/>
        </w:tabs>
        <w:ind w:left="360" w:hanging="360"/>
      </w:pPr>
      <w:rPr>
        <w:rFonts w:hint="eastAsia"/>
      </w:rPr>
    </w:lvl>
    <w:lvl w:ilvl="2" w:tentative="0">
      <w:start w:val="1"/>
      <w:numFmt w:val="decimal"/>
      <w:isLgl/>
      <w:lvlText w:val="%1.%2.%3"/>
      <w:lvlJc w:val="left"/>
      <w:pPr>
        <w:tabs>
          <w:tab w:val="left" w:pos="720"/>
        </w:tabs>
        <w:ind w:left="720" w:hanging="720"/>
      </w:pPr>
      <w:rPr>
        <w:rFonts w:hint="eastAsia"/>
      </w:rPr>
    </w:lvl>
    <w:lvl w:ilvl="3" w:tentative="0">
      <w:start w:val="1"/>
      <w:numFmt w:val="decimal"/>
      <w:isLgl/>
      <w:lvlText w:val="%1.%2.%3.%4"/>
      <w:lvlJc w:val="left"/>
      <w:pPr>
        <w:tabs>
          <w:tab w:val="left" w:pos="1080"/>
        </w:tabs>
        <w:ind w:left="1080" w:hanging="1080"/>
      </w:pPr>
      <w:rPr>
        <w:rFonts w:hint="eastAsia"/>
      </w:rPr>
    </w:lvl>
    <w:lvl w:ilvl="4" w:tentative="0">
      <w:start w:val="1"/>
      <w:numFmt w:val="decimal"/>
      <w:isLgl/>
      <w:lvlText w:val="%1.%2.%3.%4.%5"/>
      <w:lvlJc w:val="left"/>
      <w:pPr>
        <w:tabs>
          <w:tab w:val="left" w:pos="1080"/>
        </w:tabs>
        <w:ind w:left="1080" w:hanging="1080"/>
      </w:pPr>
      <w:rPr>
        <w:rFonts w:hint="eastAsia"/>
      </w:rPr>
    </w:lvl>
    <w:lvl w:ilvl="5" w:tentative="0">
      <w:start w:val="1"/>
      <w:numFmt w:val="decimal"/>
      <w:isLgl/>
      <w:lvlText w:val="%1.%2.%3.%4.%5.%6"/>
      <w:lvlJc w:val="left"/>
      <w:pPr>
        <w:tabs>
          <w:tab w:val="left" w:pos="1440"/>
        </w:tabs>
        <w:ind w:left="1440" w:hanging="1440"/>
      </w:pPr>
      <w:rPr>
        <w:rFonts w:hint="eastAsia"/>
      </w:rPr>
    </w:lvl>
    <w:lvl w:ilvl="6" w:tentative="0">
      <w:start w:val="1"/>
      <w:numFmt w:val="decimal"/>
      <w:isLgl/>
      <w:lvlText w:val="%1.%2.%3.%4.%5.%6.%7"/>
      <w:lvlJc w:val="left"/>
      <w:pPr>
        <w:tabs>
          <w:tab w:val="left" w:pos="1440"/>
        </w:tabs>
        <w:ind w:left="1440" w:hanging="1440"/>
      </w:pPr>
      <w:rPr>
        <w:rFonts w:hint="eastAsia"/>
      </w:rPr>
    </w:lvl>
    <w:lvl w:ilvl="7" w:tentative="0">
      <w:start w:val="1"/>
      <w:numFmt w:val="decimal"/>
      <w:isLgl/>
      <w:lvlText w:val="%1.%2.%3.%4.%5.%6.%7.%8"/>
      <w:lvlJc w:val="left"/>
      <w:pPr>
        <w:tabs>
          <w:tab w:val="left" w:pos="1800"/>
        </w:tabs>
        <w:ind w:left="1800" w:hanging="1800"/>
      </w:pPr>
      <w:rPr>
        <w:rFonts w:hint="eastAsia"/>
      </w:rPr>
    </w:lvl>
    <w:lvl w:ilvl="8" w:tentative="0">
      <w:start w:val="1"/>
      <w:numFmt w:val="decimal"/>
      <w:isLgl/>
      <w:lvlText w:val="%1.%2.%3.%4.%5.%6.%7.%8.%9"/>
      <w:lvlJc w:val="left"/>
      <w:pPr>
        <w:tabs>
          <w:tab w:val="left" w:pos="1800"/>
        </w:tabs>
        <w:ind w:left="1800" w:hanging="1800"/>
      </w:pPr>
      <w:rPr>
        <w:rFonts w:hint="eastAsia"/>
      </w:rPr>
    </w:lvl>
  </w:abstractNum>
  <w:abstractNum w:abstractNumId="4">
    <w:nsid w:val="13054834"/>
    <w:multiLevelType w:val="multilevel"/>
    <w:tmpl w:val="13054834"/>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5">
    <w:nsid w:val="137C2D82"/>
    <w:multiLevelType w:val="multilevel"/>
    <w:tmpl w:val="137C2D82"/>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6">
    <w:nsid w:val="219B7C98"/>
    <w:multiLevelType w:val="multilevel"/>
    <w:tmpl w:val="219B7C98"/>
    <w:lvl w:ilvl="0" w:tentative="0">
      <w:start w:val="1"/>
      <w:numFmt w:val="decimal"/>
      <w:lvlText w:val="（%1）"/>
      <w:lvlJc w:val="left"/>
      <w:pPr>
        <w:ind w:left="1440" w:hanging="720"/>
      </w:pPr>
      <w:rPr>
        <w:rFonts w:hint="default"/>
      </w:r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7">
    <w:nsid w:val="40B11585"/>
    <w:multiLevelType w:val="multilevel"/>
    <w:tmpl w:val="40B11585"/>
    <w:lvl w:ilvl="0" w:tentative="0">
      <w:start w:val="1"/>
      <w:numFmt w:val="decimal"/>
      <w:lvlText w:val="（%1）"/>
      <w:lvlJc w:val="left"/>
      <w:pPr>
        <w:tabs>
          <w:tab w:val="left" w:pos="-420"/>
        </w:tabs>
        <w:ind w:left="0" w:hanging="420"/>
      </w:pPr>
      <w:rPr>
        <w:rFonts w:hint="eastAsia"/>
      </w:r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420"/>
        </w:tabs>
        <w:ind w:left="840" w:hanging="420"/>
      </w:pPr>
    </w:lvl>
    <w:lvl w:ilvl="3" w:tentative="0">
      <w:start w:val="1"/>
      <w:numFmt w:val="decimal"/>
      <w:lvlText w:val="%4."/>
      <w:lvlJc w:val="left"/>
      <w:pPr>
        <w:tabs>
          <w:tab w:val="left" w:pos="-420"/>
        </w:tabs>
        <w:ind w:left="1260" w:hanging="420"/>
      </w:pPr>
    </w:lvl>
    <w:lvl w:ilvl="4" w:tentative="0">
      <w:start w:val="1"/>
      <w:numFmt w:val="lowerLetter"/>
      <w:lvlText w:val="%5)"/>
      <w:lvlJc w:val="left"/>
      <w:pPr>
        <w:tabs>
          <w:tab w:val="left" w:pos="-420"/>
        </w:tabs>
        <w:ind w:left="1680" w:hanging="420"/>
      </w:pPr>
    </w:lvl>
    <w:lvl w:ilvl="5" w:tentative="0">
      <w:start w:val="1"/>
      <w:numFmt w:val="lowerRoman"/>
      <w:lvlText w:val="%6."/>
      <w:lvlJc w:val="right"/>
      <w:pPr>
        <w:tabs>
          <w:tab w:val="left" w:pos="-420"/>
        </w:tabs>
        <w:ind w:left="2100" w:hanging="420"/>
      </w:pPr>
    </w:lvl>
    <w:lvl w:ilvl="6" w:tentative="0">
      <w:start w:val="1"/>
      <w:numFmt w:val="decimal"/>
      <w:lvlText w:val="%7."/>
      <w:lvlJc w:val="left"/>
      <w:pPr>
        <w:tabs>
          <w:tab w:val="left" w:pos="-420"/>
        </w:tabs>
        <w:ind w:left="2520" w:hanging="420"/>
      </w:pPr>
    </w:lvl>
    <w:lvl w:ilvl="7" w:tentative="0">
      <w:start w:val="1"/>
      <w:numFmt w:val="lowerLetter"/>
      <w:lvlText w:val="%8)"/>
      <w:lvlJc w:val="left"/>
      <w:pPr>
        <w:tabs>
          <w:tab w:val="left" w:pos="-420"/>
        </w:tabs>
        <w:ind w:left="2940" w:hanging="420"/>
      </w:pPr>
    </w:lvl>
    <w:lvl w:ilvl="8" w:tentative="0">
      <w:start w:val="1"/>
      <w:numFmt w:val="lowerRoman"/>
      <w:lvlText w:val="%9."/>
      <w:lvlJc w:val="right"/>
      <w:pPr>
        <w:tabs>
          <w:tab w:val="left" w:pos="-420"/>
        </w:tabs>
        <w:ind w:left="3360" w:hanging="420"/>
      </w:pPr>
    </w:lvl>
  </w:abstractNum>
  <w:abstractNum w:abstractNumId="8">
    <w:nsid w:val="452320FE"/>
    <w:multiLevelType w:val="multilevel"/>
    <w:tmpl w:val="452320FE"/>
    <w:lvl w:ilvl="0" w:tentative="0">
      <w:start w:val="1"/>
      <w:numFmt w:val="decimal"/>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9">
    <w:nsid w:val="4C7E4318"/>
    <w:multiLevelType w:val="multilevel"/>
    <w:tmpl w:val="4C7E4318"/>
    <w:lvl w:ilvl="0" w:tentative="0">
      <w:start w:val="1"/>
      <w:numFmt w:val="japaneseCounting"/>
      <w:lvlText w:val="第%1章"/>
      <w:lvlJc w:val="left"/>
      <w:pPr>
        <w:tabs>
          <w:tab w:val="left" w:pos="1980"/>
        </w:tabs>
        <w:ind w:left="1965" w:hanging="1260"/>
      </w:pPr>
      <w:rPr>
        <w:rFonts w:hint="eastAsia"/>
      </w:rPr>
    </w:lvl>
    <w:lvl w:ilvl="1" w:tentative="0">
      <w:start w:val="1"/>
      <w:numFmt w:val="decimal"/>
      <w:lvlText w:val="(%2)"/>
      <w:lvlJc w:val="left"/>
      <w:pPr>
        <w:tabs>
          <w:tab w:val="left" w:pos="1500"/>
        </w:tabs>
        <w:ind w:left="1500" w:hanging="360"/>
      </w:pPr>
      <w:rPr>
        <w:rFonts w:hint="default"/>
      </w:rPr>
    </w:lvl>
    <w:lvl w:ilvl="2" w:tentative="0">
      <w:start w:val="1"/>
      <w:numFmt w:val="upperLetter"/>
      <w:lvlText w:val="%3."/>
      <w:lvlJc w:val="left"/>
      <w:pPr>
        <w:tabs>
          <w:tab w:val="left" w:pos="2115"/>
        </w:tabs>
        <w:ind w:left="2115" w:hanging="555"/>
      </w:pPr>
      <w:rPr>
        <w:rFonts w:hint="eastAsia"/>
      </w:r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10">
    <w:nsid w:val="5A44C535"/>
    <w:multiLevelType w:val="singleLevel"/>
    <w:tmpl w:val="5A44C535"/>
    <w:lvl w:ilvl="0" w:tentative="0">
      <w:start w:val="6"/>
      <w:numFmt w:val="chineseCounting"/>
      <w:suff w:val="space"/>
      <w:lvlText w:val="%1、"/>
      <w:lvlJc w:val="left"/>
    </w:lvl>
  </w:abstractNum>
  <w:abstractNum w:abstractNumId="11">
    <w:nsid w:val="64112C00"/>
    <w:multiLevelType w:val="multilevel"/>
    <w:tmpl w:val="64112C00"/>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6D692A6B"/>
    <w:multiLevelType w:val="multilevel"/>
    <w:tmpl w:val="6D692A6B"/>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75341919"/>
    <w:multiLevelType w:val="singleLevel"/>
    <w:tmpl w:val="75341919"/>
    <w:lvl w:ilvl="0" w:tentative="0">
      <w:start w:val="1"/>
      <w:numFmt w:val="bullet"/>
      <w:lvlText w:val=""/>
      <w:lvlJc w:val="left"/>
      <w:pPr>
        <w:ind w:left="420" w:hanging="420"/>
      </w:pPr>
      <w:rPr>
        <w:rFonts w:hint="default" w:ascii="Wingdings" w:hAnsi="Wingdings"/>
      </w:rPr>
    </w:lvl>
  </w:abstractNum>
  <w:abstractNum w:abstractNumId="14">
    <w:nsid w:val="77303788"/>
    <w:multiLevelType w:val="multilevel"/>
    <w:tmpl w:val="77303788"/>
    <w:lvl w:ilvl="0" w:tentative="0">
      <w:start w:val="1"/>
      <w:numFmt w:val="decimal"/>
      <w:lvlText w:val="第%1章"/>
      <w:lvlJc w:val="left"/>
      <w:pPr>
        <w:tabs>
          <w:tab w:val="left" w:pos="3060"/>
        </w:tabs>
        <w:ind w:left="3060" w:hanging="1260"/>
      </w:pPr>
      <w:rPr>
        <w:rFonts w:hint="eastAsia"/>
      </w:rPr>
    </w:lvl>
    <w:lvl w:ilvl="1" w:tentative="0">
      <w:start w:val="1"/>
      <w:numFmt w:val="chineseCountingThousand"/>
      <w:lvlText w:val="第%2章 "/>
      <w:lvlJc w:val="left"/>
      <w:pPr>
        <w:tabs>
          <w:tab w:val="left" w:pos="4701"/>
        </w:tabs>
        <w:ind w:left="4311" w:hanging="420"/>
      </w:pPr>
      <w:rPr>
        <w:rFonts w:hint="eastAsia"/>
      </w:rPr>
    </w:lvl>
    <w:lvl w:ilvl="2" w:tentative="0">
      <w:start w:val="1"/>
      <w:numFmt w:val="decimal"/>
      <w:lvlText w:val="(%3)"/>
      <w:lvlJc w:val="left"/>
      <w:pPr>
        <w:tabs>
          <w:tab w:val="left" w:pos="1485"/>
        </w:tabs>
        <w:ind w:left="1622" w:hanging="360"/>
      </w:pPr>
      <w:rPr>
        <w:rFonts w:hint="eastAsia"/>
        <w:b w:val="0"/>
      </w:rPr>
    </w:lvl>
    <w:lvl w:ilvl="3" w:tentative="0">
      <w:start w:val="1"/>
      <w:numFmt w:val="decimal"/>
      <w:lvlText w:val="%4、"/>
      <w:lvlJc w:val="left"/>
      <w:pPr>
        <w:tabs>
          <w:tab w:val="left" w:pos="2062"/>
        </w:tabs>
        <w:ind w:left="2062" w:hanging="360"/>
      </w:pPr>
      <w:rPr>
        <w:rFonts w:hint="eastAsia"/>
      </w:rPr>
    </w:lvl>
    <w:lvl w:ilvl="4" w:tentative="0">
      <w:start w:val="1"/>
      <w:numFmt w:val="lowerLetter"/>
      <w:lvlText w:val="%5)"/>
      <w:lvlJc w:val="left"/>
      <w:pPr>
        <w:tabs>
          <w:tab w:val="left" w:pos="2385"/>
        </w:tabs>
        <w:ind w:left="2385" w:hanging="420"/>
      </w:pPr>
      <w:rPr>
        <w:rFonts w:hint="eastAsia"/>
      </w:rPr>
    </w:lvl>
    <w:lvl w:ilvl="5" w:tentative="0">
      <w:start w:val="1"/>
      <w:numFmt w:val="lowerRoman"/>
      <w:lvlText w:val="%6."/>
      <w:lvlJc w:val="right"/>
      <w:pPr>
        <w:tabs>
          <w:tab w:val="left" w:pos="2805"/>
        </w:tabs>
        <w:ind w:left="2805" w:hanging="420"/>
      </w:pPr>
      <w:rPr>
        <w:rFonts w:hint="eastAsia"/>
      </w:rPr>
    </w:lvl>
    <w:lvl w:ilvl="6" w:tentative="0">
      <w:start w:val="1"/>
      <w:numFmt w:val="decimal"/>
      <w:lvlText w:val="%7."/>
      <w:lvlJc w:val="left"/>
      <w:pPr>
        <w:tabs>
          <w:tab w:val="left" w:pos="3225"/>
        </w:tabs>
        <w:ind w:left="3225" w:hanging="420"/>
      </w:pPr>
      <w:rPr>
        <w:rFonts w:hint="eastAsia"/>
      </w:rPr>
    </w:lvl>
    <w:lvl w:ilvl="7" w:tentative="0">
      <w:start w:val="1"/>
      <w:numFmt w:val="lowerLetter"/>
      <w:lvlText w:val="%8)"/>
      <w:lvlJc w:val="left"/>
      <w:pPr>
        <w:tabs>
          <w:tab w:val="left" w:pos="3645"/>
        </w:tabs>
        <w:ind w:left="3645" w:hanging="420"/>
      </w:pPr>
      <w:rPr>
        <w:rFonts w:hint="eastAsia"/>
      </w:rPr>
    </w:lvl>
    <w:lvl w:ilvl="8" w:tentative="0">
      <w:start w:val="1"/>
      <w:numFmt w:val="lowerRoman"/>
      <w:lvlText w:val="%9."/>
      <w:lvlJc w:val="right"/>
      <w:pPr>
        <w:tabs>
          <w:tab w:val="left" w:pos="4065"/>
        </w:tabs>
        <w:ind w:left="4065" w:hanging="420"/>
      </w:pPr>
      <w:rPr>
        <w:rFonts w:hint="eastAsia"/>
      </w:rPr>
    </w:lvl>
  </w:abstractNum>
  <w:abstractNum w:abstractNumId="15">
    <w:nsid w:val="796745BC"/>
    <w:multiLevelType w:val="multilevel"/>
    <w:tmpl w:val="796745BC"/>
    <w:lvl w:ilvl="0" w:tentative="0">
      <w:start w:val="1"/>
      <w:numFmt w:val="decimal"/>
      <w:lvlText w:val="（%1）"/>
      <w:lvlJc w:val="left"/>
      <w:pPr>
        <w:ind w:left="1417" w:hanging="720"/>
      </w:pPr>
      <w:rPr>
        <w:rFonts w:hint="default"/>
        <w:b w:val="0"/>
      </w:rPr>
    </w:lvl>
    <w:lvl w:ilvl="1" w:tentative="0">
      <w:start w:val="1"/>
      <w:numFmt w:val="lowerLetter"/>
      <w:lvlText w:val="%2)"/>
      <w:lvlJc w:val="left"/>
      <w:pPr>
        <w:ind w:left="1537" w:hanging="420"/>
      </w:pPr>
    </w:lvl>
    <w:lvl w:ilvl="2" w:tentative="0">
      <w:start w:val="1"/>
      <w:numFmt w:val="lowerRoman"/>
      <w:lvlText w:val="%3."/>
      <w:lvlJc w:val="right"/>
      <w:pPr>
        <w:ind w:left="1957" w:hanging="420"/>
      </w:pPr>
    </w:lvl>
    <w:lvl w:ilvl="3" w:tentative="0">
      <w:start w:val="1"/>
      <w:numFmt w:val="decimal"/>
      <w:lvlText w:val="%4."/>
      <w:lvlJc w:val="left"/>
      <w:pPr>
        <w:ind w:left="2377" w:hanging="420"/>
      </w:pPr>
    </w:lvl>
    <w:lvl w:ilvl="4" w:tentative="0">
      <w:start w:val="1"/>
      <w:numFmt w:val="lowerLetter"/>
      <w:lvlText w:val="%5)"/>
      <w:lvlJc w:val="left"/>
      <w:pPr>
        <w:ind w:left="2797" w:hanging="420"/>
      </w:pPr>
    </w:lvl>
    <w:lvl w:ilvl="5" w:tentative="0">
      <w:start w:val="1"/>
      <w:numFmt w:val="lowerRoman"/>
      <w:lvlText w:val="%6."/>
      <w:lvlJc w:val="right"/>
      <w:pPr>
        <w:ind w:left="3217" w:hanging="420"/>
      </w:pPr>
    </w:lvl>
    <w:lvl w:ilvl="6" w:tentative="0">
      <w:start w:val="1"/>
      <w:numFmt w:val="decimal"/>
      <w:lvlText w:val="%7."/>
      <w:lvlJc w:val="left"/>
      <w:pPr>
        <w:ind w:left="3637" w:hanging="420"/>
      </w:pPr>
    </w:lvl>
    <w:lvl w:ilvl="7" w:tentative="0">
      <w:start w:val="1"/>
      <w:numFmt w:val="lowerLetter"/>
      <w:lvlText w:val="%8)"/>
      <w:lvlJc w:val="left"/>
      <w:pPr>
        <w:ind w:left="4057" w:hanging="420"/>
      </w:pPr>
    </w:lvl>
    <w:lvl w:ilvl="8" w:tentative="0">
      <w:start w:val="1"/>
      <w:numFmt w:val="lowerRoman"/>
      <w:lvlText w:val="%9."/>
      <w:lvlJc w:val="right"/>
      <w:pPr>
        <w:ind w:left="4477" w:hanging="420"/>
      </w:pPr>
    </w:lvl>
  </w:abstractNum>
  <w:num w:numId="1">
    <w:abstractNumId w:val="3"/>
  </w:num>
  <w:num w:numId="2">
    <w:abstractNumId w:val="12"/>
  </w:num>
  <w:num w:numId="3">
    <w:abstractNumId w:val="9"/>
  </w:num>
  <w:num w:numId="4">
    <w:abstractNumId w:val="14"/>
  </w:num>
  <w:num w:numId="5">
    <w:abstractNumId w:val="10"/>
  </w:num>
  <w:num w:numId="6">
    <w:abstractNumId w:val="15"/>
  </w:num>
  <w:num w:numId="7">
    <w:abstractNumId w:val="6"/>
  </w:num>
  <w:num w:numId="8">
    <w:abstractNumId w:val="8"/>
  </w:num>
  <w:num w:numId="9">
    <w:abstractNumId w:val="2"/>
  </w:num>
  <w:num w:numId="10">
    <w:abstractNumId w:val="1"/>
  </w:num>
  <w:num w:numId="11">
    <w:abstractNumId w:val="13"/>
  </w:num>
  <w:num w:numId="12">
    <w:abstractNumId w:val="7"/>
  </w:num>
  <w:num w:numId="13">
    <w:abstractNumId w:val="4"/>
  </w:num>
  <w:num w:numId="14">
    <w:abstractNumId w:val="0"/>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28Kvf0ijUdx5TJjzLBHUthVjFU8=" w:salt="Fk/0Nv03tbThMAHMURPD0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MWJhNWYyMjMzNTg2YjlmNTU1NDQwZDAyOGM1MmMifQ=="/>
  </w:docVars>
  <w:rsids>
    <w:rsidRoot w:val="288738A3"/>
    <w:rsid w:val="01784AD2"/>
    <w:rsid w:val="01802C9E"/>
    <w:rsid w:val="0246041C"/>
    <w:rsid w:val="029B6164"/>
    <w:rsid w:val="02F34435"/>
    <w:rsid w:val="02F5745D"/>
    <w:rsid w:val="031353E4"/>
    <w:rsid w:val="04414C81"/>
    <w:rsid w:val="04B27B87"/>
    <w:rsid w:val="05090523"/>
    <w:rsid w:val="05376B1F"/>
    <w:rsid w:val="05953F4B"/>
    <w:rsid w:val="059D6B5E"/>
    <w:rsid w:val="05F34630"/>
    <w:rsid w:val="06172D8E"/>
    <w:rsid w:val="062929D9"/>
    <w:rsid w:val="062B53E9"/>
    <w:rsid w:val="0636093E"/>
    <w:rsid w:val="06A74F16"/>
    <w:rsid w:val="06B4072D"/>
    <w:rsid w:val="07561C90"/>
    <w:rsid w:val="08031F33"/>
    <w:rsid w:val="08B31D10"/>
    <w:rsid w:val="08ED6E6B"/>
    <w:rsid w:val="098970BB"/>
    <w:rsid w:val="09BB7189"/>
    <w:rsid w:val="0A1B66C4"/>
    <w:rsid w:val="0A7F7F9A"/>
    <w:rsid w:val="0AC27AB4"/>
    <w:rsid w:val="0ACE6A16"/>
    <w:rsid w:val="0B1964C2"/>
    <w:rsid w:val="0B781611"/>
    <w:rsid w:val="0B9510F4"/>
    <w:rsid w:val="0B995FD0"/>
    <w:rsid w:val="0BCE4D3A"/>
    <w:rsid w:val="0C561190"/>
    <w:rsid w:val="0C8A677F"/>
    <w:rsid w:val="0D405013"/>
    <w:rsid w:val="0DB72DF1"/>
    <w:rsid w:val="0DC350E0"/>
    <w:rsid w:val="0DF966C1"/>
    <w:rsid w:val="0E103A2B"/>
    <w:rsid w:val="0E182127"/>
    <w:rsid w:val="0E3A690A"/>
    <w:rsid w:val="0E811E04"/>
    <w:rsid w:val="0EDD4E1F"/>
    <w:rsid w:val="0EFE4B31"/>
    <w:rsid w:val="0F0C3DC3"/>
    <w:rsid w:val="0F24282F"/>
    <w:rsid w:val="0F4470B9"/>
    <w:rsid w:val="0F4820E9"/>
    <w:rsid w:val="0F644B5A"/>
    <w:rsid w:val="0F7F6F50"/>
    <w:rsid w:val="10CE5599"/>
    <w:rsid w:val="118B0F65"/>
    <w:rsid w:val="11CC0BD3"/>
    <w:rsid w:val="12282CC2"/>
    <w:rsid w:val="13386796"/>
    <w:rsid w:val="136C4E31"/>
    <w:rsid w:val="13C51B57"/>
    <w:rsid w:val="14042885"/>
    <w:rsid w:val="14717CCD"/>
    <w:rsid w:val="14AD24E8"/>
    <w:rsid w:val="14BA55A9"/>
    <w:rsid w:val="14C17B19"/>
    <w:rsid w:val="14E34E43"/>
    <w:rsid w:val="15542ED7"/>
    <w:rsid w:val="15AA7FA9"/>
    <w:rsid w:val="15B24882"/>
    <w:rsid w:val="16026CF4"/>
    <w:rsid w:val="16184DFC"/>
    <w:rsid w:val="161D0664"/>
    <w:rsid w:val="16805424"/>
    <w:rsid w:val="169B10F0"/>
    <w:rsid w:val="16B2043D"/>
    <w:rsid w:val="16B54D41"/>
    <w:rsid w:val="16B74F8B"/>
    <w:rsid w:val="17486D8F"/>
    <w:rsid w:val="1844012A"/>
    <w:rsid w:val="193052BC"/>
    <w:rsid w:val="19507FF3"/>
    <w:rsid w:val="196F6876"/>
    <w:rsid w:val="197F6605"/>
    <w:rsid w:val="199D252E"/>
    <w:rsid w:val="19AF2F90"/>
    <w:rsid w:val="19DD00FB"/>
    <w:rsid w:val="19F93535"/>
    <w:rsid w:val="1A285FB6"/>
    <w:rsid w:val="1AA444EA"/>
    <w:rsid w:val="1B1D1177"/>
    <w:rsid w:val="1B9A62B3"/>
    <w:rsid w:val="1C0A3531"/>
    <w:rsid w:val="1C167390"/>
    <w:rsid w:val="1C25322F"/>
    <w:rsid w:val="1C8D087E"/>
    <w:rsid w:val="1C8F264F"/>
    <w:rsid w:val="1E0C3498"/>
    <w:rsid w:val="1E415701"/>
    <w:rsid w:val="1F211A2A"/>
    <w:rsid w:val="1F3C7DAD"/>
    <w:rsid w:val="1FB7492D"/>
    <w:rsid w:val="1FBA6481"/>
    <w:rsid w:val="1FDD6465"/>
    <w:rsid w:val="200F4073"/>
    <w:rsid w:val="20D64DA0"/>
    <w:rsid w:val="20F905E3"/>
    <w:rsid w:val="22126DBF"/>
    <w:rsid w:val="22280ABD"/>
    <w:rsid w:val="224D0358"/>
    <w:rsid w:val="22901214"/>
    <w:rsid w:val="22B83742"/>
    <w:rsid w:val="22E201E2"/>
    <w:rsid w:val="23321A31"/>
    <w:rsid w:val="23567D6B"/>
    <w:rsid w:val="2385098D"/>
    <w:rsid w:val="23891A0F"/>
    <w:rsid w:val="23B90D7D"/>
    <w:rsid w:val="24173F52"/>
    <w:rsid w:val="2432686A"/>
    <w:rsid w:val="24370640"/>
    <w:rsid w:val="244A7031"/>
    <w:rsid w:val="24656A71"/>
    <w:rsid w:val="24814E89"/>
    <w:rsid w:val="24980BC0"/>
    <w:rsid w:val="24F20F0E"/>
    <w:rsid w:val="26236584"/>
    <w:rsid w:val="26BC5523"/>
    <w:rsid w:val="270D3158"/>
    <w:rsid w:val="27297973"/>
    <w:rsid w:val="2743265B"/>
    <w:rsid w:val="27953582"/>
    <w:rsid w:val="27DD61D7"/>
    <w:rsid w:val="280E4E20"/>
    <w:rsid w:val="288738A3"/>
    <w:rsid w:val="28E7613D"/>
    <w:rsid w:val="29173920"/>
    <w:rsid w:val="2935132E"/>
    <w:rsid w:val="29476024"/>
    <w:rsid w:val="29D83866"/>
    <w:rsid w:val="29F00112"/>
    <w:rsid w:val="29F46620"/>
    <w:rsid w:val="29FC0E25"/>
    <w:rsid w:val="2A5E70D0"/>
    <w:rsid w:val="2AEF15E9"/>
    <w:rsid w:val="2B2C741B"/>
    <w:rsid w:val="2BEE5268"/>
    <w:rsid w:val="2BF57357"/>
    <w:rsid w:val="2D1250F2"/>
    <w:rsid w:val="2D32165A"/>
    <w:rsid w:val="2DD702D0"/>
    <w:rsid w:val="2E0C2F03"/>
    <w:rsid w:val="2E13667C"/>
    <w:rsid w:val="2EA27B52"/>
    <w:rsid w:val="2EFE38AB"/>
    <w:rsid w:val="2F00067D"/>
    <w:rsid w:val="2F0138CA"/>
    <w:rsid w:val="2F7866C8"/>
    <w:rsid w:val="2F8239FE"/>
    <w:rsid w:val="30DF009E"/>
    <w:rsid w:val="31175F84"/>
    <w:rsid w:val="311D7177"/>
    <w:rsid w:val="316B5CC1"/>
    <w:rsid w:val="31B4543C"/>
    <w:rsid w:val="31D72142"/>
    <w:rsid w:val="322B021E"/>
    <w:rsid w:val="324B42C8"/>
    <w:rsid w:val="326E4334"/>
    <w:rsid w:val="3273009E"/>
    <w:rsid w:val="32B1082E"/>
    <w:rsid w:val="33656259"/>
    <w:rsid w:val="337F70BE"/>
    <w:rsid w:val="338C2FAC"/>
    <w:rsid w:val="33B06FDC"/>
    <w:rsid w:val="33C72A37"/>
    <w:rsid w:val="33FD6021"/>
    <w:rsid w:val="342C3CB5"/>
    <w:rsid w:val="34321BC6"/>
    <w:rsid w:val="351039A8"/>
    <w:rsid w:val="354F5780"/>
    <w:rsid w:val="358B5CEE"/>
    <w:rsid w:val="35C12962"/>
    <w:rsid w:val="36217EEA"/>
    <w:rsid w:val="362C64F3"/>
    <w:rsid w:val="3761620B"/>
    <w:rsid w:val="378805C7"/>
    <w:rsid w:val="384E46D1"/>
    <w:rsid w:val="38510AE3"/>
    <w:rsid w:val="388C63E7"/>
    <w:rsid w:val="38A6148F"/>
    <w:rsid w:val="39200C9B"/>
    <w:rsid w:val="39AA433B"/>
    <w:rsid w:val="39C03DE5"/>
    <w:rsid w:val="39E02ED5"/>
    <w:rsid w:val="3A2722C2"/>
    <w:rsid w:val="3A3526FA"/>
    <w:rsid w:val="3A457D3C"/>
    <w:rsid w:val="3ACB05EC"/>
    <w:rsid w:val="3AD6380B"/>
    <w:rsid w:val="3AF47336"/>
    <w:rsid w:val="3B097DA7"/>
    <w:rsid w:val="3B117EE8"/>
    <w:rsid w:val="3BC76631"/>
    <w:rsid w:val="3C227261"/>
    <w:rsid w:val="3C483C6A"/>
    <w:rsid w:val="3C4D6CFE"/>
    <w:rsid w:val="3C81213D"/>
    <w:rsid w:val="3C8D29E8"/>
    <w:rsid w:val="3C99397C"/>
    <w:rsid w:val="3CEC4769"/>
    <w:rsid w:val="3CFD7BD7"/>
    <w:rsid w:val="3D135833"/>
    <w:rsid w:val="3D530E7D"/>
    <w:rsid w:val="3DAB4624"/>
    <w:rsid w:val="3DD6560B"/>
    <w:rsid w:val="3E3A1C5D"/>
    <w:rsid w:val="3E720870"/>
    <w:rsid w:val="3E7E5894"/>
    <w:rsid w:val="3EDD5396"/>
    <w:rsid w:val="3EEE6C45"/>
    <w:rsid w:val="3F620FE1"/>
    <w:rsid w:val="3F9E5AF5"/>
    <w:rsid w:val="3FA96B6D"/>
    <w:rsid w:val="3FD21812"/>
    <w:rsid w:val="4019602A"/>
    <w:rsid w:val="4037788F"/>
    <w:rsid w:val="40502021"/>
    <w:rsid w:val="4050500F"/>
    <w:rsid w:val="40A72962"/>
    <w:rsid w:val="41211967"/>
    <w:rsid w:val="41ED1745"/>
    <w:rsid w:val="41F353C0"/>
    <w:rsid w:val="421519F0"/>
    <w:rsid w:val="42284F9F"/>
    <w:rsid w:val="423D1BAA"/>
    <w:rsid w:val="42755200"/>
    <w:rsid w:val="43100752"/>
    <w:rsid w:val="43482900"/>
    <w:rsid w:val="43CC7589"/>
    <w:rsid w:val="44136A7F"/>
    <w:rsid w:val="45204063"/>
    <w:rsid w:val="45C53DA9"/>
    <w:rsid w:val="46576379"/>
    <w:rsid w:val="46DF0E9A"/>
    <w:rsid w:val="46F320B7"/>
    <w:rsid w:val="47E728A0"/>
    <w:rsid w:val="48376AB4"/>
    <w:rsid w:val="48496604"/>
    <w:rsid w:val="48496F13"/>
    <w:rsid w:val="487B1097"/>
    <w:rsid w:val="48C43D23"/>
    <w:rsid w:val="48D20D16"/>
    <w:rsid w:val="491237A9"/>
    <w:rsid w:val="492339A4"/>
    <w:rsid w:val="492E0939"/>
    <w:rsid w:val="493356AB"/>
    <w:rsid w:val="49610774"/>
    <w:rsid w:val="49AE449B"/>
    <w:rsid w:val="4A243541"/>
    <w:rsid w:val="4A5B73E8"/>
    <w:rsid w:val="4AB67ADC"/>
    <w:rsid w:val="4B4C0AC8"/>
    <w:rsid w:val="4B57127C"/>
    <w:rsid w:val="4C305084"/>
    <w:rsid w:val="4CC86AF6"/>
    <w:rsid w:val="4CF53D76"/>
    <w:rsid w:val="4D016BB7"/>
    <w:rsid w:val="4D286F21"/>
    <w:rsid w:val="4D3A558D"/>
    <w:rsid w:val="4D484E3F"/>
    <w:rsid w:val="4D6E2119"/>
    <w:rsid w:val="4D736796"/>
    <w:rsid w:val="4DE26FD9"/>
    <w:rsid w:val="4E555EE6"/>
    <w:rsid w:val="4E760336"/>
    <w:rsid w:val="4F234D1D"/>
    <w:rsid w:val="4F3464D5"/>
    <w:rsid w:val="4F486635"/>
    <w:rsid w:val="4F614F88"/>
    <w:rsid w:val="4FB12301"/>
    <w:rsid w:val="4FD81F11"/>
    <w:rsid w:val="4FDD43E5"/>
    <w:rsid w:val="5059420E"/>
    <w:rsid w:val="509727E6"/>
    <w:rsid w:val="51791D2E"/>
    <w:rsid w:val="51896E79"/>
    <w:rsid w:val="51A73BDA"/>
    <w:rsid w:val="51B74294"/>
    <w:rsid w:val="51D47087"/>
    <w:rsid w:val="536B6826"/>
    <w:rsid w:val="537875A6"/>
    <w:rsid w:val="538D6F7E"/>
    <w:rsid w:val="539B2D1D"/>
    <w:rsid w:val="53B22EEC"/>
    <w:rsid w:val="53B35B81"/>
    <w:rsid w:val="5483555B"/>
    <w:rsid w:val="54E45CF2"/>
    <w:rsid w:val="56537AC2"/>
    <w:rsid w:val="56A434B9"/>
    <w:rsid w:val="56C42BCE"/>
    <w:rsid w:val="56E17FE0"/>
    <w:rsid w:val="57300A0C"/>
    <w:rsid w:val="58136BF6"/>
    <w:rsid w:val="581A0678"/>
    <w:rsid w:val="587832AB"/>
    <w:rsid w:val="58C07706"/>
    <w:rsid w:val="590D6A4D"/>
    <w:rsid w:val="5919023C"/>
    <w:rsid w:val="5936505F"/>
    <w:rsid w:val="5950704B"/>
    <w:rsid w:val="59C059D2"/>
    <w:rsid w:val="5A083257"/>
    <w:rsid w:val="5B416702"/>
    <w:rsid w:val="5B9068CF"/>
    <w:rsid w:val="5BBF79CB"/>
    <w:rsid w:val="5BEE092E"/>
    <w:rsid w:val="5C0C4088"/>
    <w:rsid w:val="5C430981"/>
    <w:rsid w:val="5C766A7C"/>
    <w:rsid w:val="5CD13F5C"/>
    <w:rsid w:val="5CEB492E"/>
    <w:rsid w:val="5D2A4CCF"/>
    <w:rsid w:val="5D302A03"/>
    <w:rsid w:val="5D521DF5"/>
    <w:rsid w:val="5DAA410D"/>
    <w:rsid w:val="5E086363"/>
    <w:rsid w:val="5E430EE8"/>
    <w:rsid w:val="5E9233AE"/>
    <w:rsid w:val="5EAB402C"/>
    <w:rsid w:val="5EC44EE5"/>
    <w:rsid w:val="5EFA052E"/>
    <w:rsid w:val="5F4875DF"/>
    <w:rsid w:val="5F8D6007"/>
    <w:rsid w:val="5FF30596"/>
    <w:rsid w:val="60182E76"/>
    <w:rsid w:val="606342CB"/>
    <w:rsid w:val="6095569C"/>
    <w:rsid w:val="60BD72E4"/>
    <w:rsid w:val="60C36EEE"/>
    <w:rsid w:val="60D03D54"/>
    <w:rsid w:val="60D21984"/>
    <w:rsid w:val="612147E3"/>
    <w:rsid w:val="6191468E"/>
    <w:rsid w:val="631A5652"/>
    <w:rsid w:val="634B3432"/>
    <w:rsid w:val="63862972"/>
    <w:rsid w:val="63C244C2"/>
    <w:rsid w:val="63D63F11"/>
    <w:rsid w:val="63E540E9"/>
    <w:rsid w:val="63F26DA7"/>
    <w:rsid w:val="64002DAD"/>
    <w:rsid w:val="642469CD"/>
    <w:rsid w:val="644848F0"/>
    <w:rsid w:val="64591E34"/>
    <w:rsid w:val="64680FC0"/>
    <w:rsid w:val="646B6B7A"/>
    <w:rsid w:val="6475498C"/>
    <w:rsid w:val="64956D96"/>
    <w:rsid w:val="653F54CE"/>
    <w:rsid w:val="6612105A"/>
    <w:rsid w:val="668F2A3A"/>
    <w:rsid w:val="673E2324"/>
    <w:rsid w:val="67997F24"/>
    <w:rsid w:val="67C378B9"/>
    <w:rsid w:val="68095E78"/>
    <w:rsid w:val="68297D70"/>
    <w:rsid w:val="68583817"/>
    <w:rsid w:val="68824896"/>
    <w:rsid w:val="694D3E6C"/>
    <w:rsid w:val="69B6638D"/>
    <w:rsid w:val="69CD3733"/>
    <w:rsid w:val="69FB1963"/>
    <w:rsid w:val="6A3A53D0"/>
    <w:rsid w:val="6A7B441F"/>
    <w:rsid w:val="6AF405C0"/>
    <w:rsid w:val="6B461629"/>
    <w:rsid w:val="6BBE729D"/>
    <w:rsid w:val="6BC30EBA"/>
    <w:rsid w:val="6C727F37"/>
    <w:rsid w:val="6CE52421"/>
    <w:rsid w:val="6D1A3A4F"/>
    <w:rsid w:val="6D35333D"/>
    <w:rsid w:val="6D800F93"/>
    <w:rsid w:val="6E472A13"/>
    <w:rsid w:val="6E990FFB"/>
    <w:rsid w:val="6EE33FE0"/>
    <w:rsid w:val="6F745D74"/>
    <w:rsid w:val="6F9E7295"/>
    <w:rsid w:val="71211228"/>
    <w:rsid w:val="721D2CF0"/>
    <w:rsid w:val="723730A1"/>
    <w:rsid w:val="729B5B9C"/>
    <w:rsid w:val="73FC2A01"/>
    <w:rsid w:val="74324450"/>
    <w:rsid w:val="74730F39"/>
    <w:rsid w:val="74B3736E"/>
    <w:rsid w:val="74F62490"/>
    <w:rsid w:val="76297030"/>
    <w:rsid w:val="766308F1"/>
    <w:rsid w:val="76665AF9"/>
    <w:rsid w:val="76855A8B"/>
    <w:rsid w:val="768858BC"/>
    <w:rsid w:val="76CA6BC2"/>
    <w:rsid w:val="76E85E0B"/>
    <w:rsid w:val="76EB4CB7"/>
    <w:rsid w:val="77130569"/>
    <w:rsid w:val="7736177B"/>
    <w:rsid w:val="77803538"/>
    <w:rsid w:val="77F527E2"/>
    <w:rsid w:val="781C392B"/>
    <w:rsid w:val="78696C7A"/>
    <w:rsid w:val="78D266AC"/>
    <w:rsid w:val="7986195D"/>
    <w:rsid w:val="79A21A35"/>
    <w:rsid w:val="79CF673C"/>
    <w:rsid w:val="79FF6B82"/>
    <w:rsid w:val="7A01049E"/>
    <w:rsid w:val="7A0506E9"/>
    <w:rsid w:val="7AAC6D0A"/>
    <w:rsid w:val="7AF50C8F"/>
    <w:rsid w:val="7B66357A"/>
    <w:rsid w:val="7B6D1B0B"/>
    <w:rsid w:val="7B8A52AF"/>
    <w:rsid w:val="7C047D33"/>
    <w:rsid w:val="7C672EE5"/>
    <w:rsid w:val="7C73357D"/>
    <w:rsid w:val="7CD24BBA"/>
    <w:rsid w:val="7D354A92"/>
    <w:rsid w:val="7DB61D58"/>
    <w:rsid w:val="7EFB0260"/>
    <w:rsid w:val="7F8043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360" w:lineRule="auto"/>
      <w:outlineLvl w:val="0"/>
    </w:pPr>
    <w:rPr>
      <w:b/>
      <w:kern w:val="44"/>
      <w:sz w:val="32"/>
      <w:szCs w:val="20"/>
    </w:rPr>
  </w:style>
  <w:style w:type="paragraph" w:styleId="5">
    <w:name w:val="heading 2"/>
    <w:basedOn w:val="1"/>
    <w:next w:val="1"/>
    <w:qFormat/>
    <w:uiPriority w:val="0"/>
    <w:pPr>
      <w:keepNext/>
      <w:keepLines/>
      <w:spacing w:before="260" w:after="260" w:line="415" w:lineRule="auto"/>
      <w:outlineLvl w:val="1"/>
    </w:pPr>
    <w:rPr>
      <w:rFonts w:ascii="Arial" w:hAnsi="Arial" w:eastAsia="黑体"/>
      <w:b/>
      <w:sz w:val="32"/>
      <w:szCs w:val="20"/>
    </w:rPr>
  </w:style>
  <w:style w:type="paragraph" w:styleId="6">
    <w:name w:val="heading 3"/>
    <w:basedOn w:val="1"/>
    <w:next w:val="1"/>
    <w:qFormat/>
    <w:uiPriority w:val="0"/>
    <w:pPr>
      <w:keepNext/>
      <w:keepLines/>
      <w:spacing w:before="260" w:after="260" w:line="416" w:lineRule="auto"/>
      <w:ind w:left="420"/>
      <w:jc w:val="center"/>
      <w:outlineLvl w:val="2"/>
    </w:pPr>
    <w:rPr>
      <w:rFonts w:eastAsia="黑体"/>
      <w:b/>
      <w:sz w:val="28"/>
      <w:szCs w:val="20"/>
    </w:rPr>
  </w:style>
  <w:style w:type="paragraph" w:styleId="7">
    <w:name w:val="heading 4"/>
    <w:basedOn w:val="1"/>
    <w:next w:val="1"/>
    <w:qFormat/>
    <w:uiPriority w:val="0"/>
    <w:pPr>
      <w:ind w:left="2239" w:hanging="799"/>
      <w:outlineLvl w:val="3"/>
    </w:pPr>
  </w:style>
  <w:style w:type="paragraph" w:styleId="8">
    <w:name w:val="heading 5"/>
    <w:basedOn w:val="1"/>
    <w:next w:val="1"/>
    <w:qFormat/>
    <w:uiPriority w:val="0"/>
    <w:pPr>
      <w:ind w:left="4592"/>
      <w:outlineLvl w:val="4"/>
    </w:pPr>
    <w:rPr>
      <w:rFonts w:ascii="黑体" w:eastAsia="黑体"/>
    </w:rPr>
  </w:style>
  <w:style w:type="paragraph" w:styleId="9">
    <w:name w:val="heading 6"/>
    <w:basedOn w:val="1"/>
    <w:next w:val="1"/>
    <w:qFormat/>
    <w:uiPriority w:val="0"/>
    <w:pPr>
      <w:spacing w:before="186"/>
      <w:ind w:left="1440"/>
      <w:outlineLvl w:val="5"/>
    </w:pPr>
    <w:rPr>
      <w:b/>
    </w:rPr>
  </w:style>
  <w:style w:type="paragraph" w:styleId="10">
    <w:name w:val="heading 7"/>
    <w:basedOn w:val="1"/>
    <w:next w:val="1"/>
    <w:qFormat/>
    <w:uiPriority w:val="0"/>
    <w:pPr>
      <w:ind w:left="1440"/>
      <w:outlineLvl w:val="6"/>
    </w:pPr>
    <w:rPr>
      <w:rFonts w:ascii="黑体" w:eastAsia="黑体"/>
    </w:rPr>
  </w:style>
  <w:style w:type="paragraph" w:styleId="11">
    <w:name w:val="heading 8"/>
    <w:basedOn w:val="1"/>
    <w:next w:val="1"/>
    <w:qFormat/>
    <w:uiPriority w:val="0"/>
    <w:pPr>
      <w:ind w:left="1440"/>
      <w:outlineLvl w:val="7"/>
    </w:pPr>
    <w:rPr>
      <w:b/>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Body Text 2"/>
    <w:basedOn w:val="1"/>
    <w:next w:val="2"/>
    <w:qFormat/>
    <w:uiPriority w:val="0"/>
    <w:pPr>
      <w:spacing w:after="120" w:line="480" w:lineRule="auto"/>
    </w:pPr>
  </w:style>
  <w:style w:type="paragraph" w:styleId="12">
    <w:name w:val="Normal Indent"/>
    <w:basedOn w:val="1"/>
    <w:next w:val="1"/>
    <w:qFormat/>
    <w:uiPriority w:val="0"/>
    <w:pPr>
      <w:ind w:firstLine="420"/>
    </w:pPr>
    <w:rPr>
      <w:szCs w:val="20"/>
    </w:rPr>
  </w:style>
  <w:style w:type="paragraph" w:styleId="13">
    <w:name w:val="annotation text"/>
    <w:basedOn w:val="1"/>
    <w:semiHidden/>
    <w:qFormat/>
    <w:uiPriority w:val="0"/>
    <w:pPr>
      <w:jc w:val="left"/>
    </w:pPr>
  </w:style>
  <w:style w:type="paragraph" w:styleId="14">
    <w:name w:val="Body Text Indent"/>
    <w:basedOn w:val="1"/>
    <w:next w:val="15"/>
    <w:qFormat/>
    <w:uiPriority w:val="0"/>
    <w:pPr>
      <w:spacing w:after="120"/>
      <w:ind w:left="420" w:leftChars="200"/>
    </w:pPr>
  </w:style>
  <w:style w:type="paragraph" w:styleId="15">
    <w:name w:val="envelope return"/>
    <w:basedOn w:val="1"/>
    <w:qFormat/>
    <w:uiPriority w:val="0"/>
    <w:pPr>
      <w:ind w:firstLine="200"/>
      <w:jc w:val="both"/>
    </w:pPr>
    <w:rPr>
      <w:rFonts w:ascii="Tahoma" w:hAnsi="Tahoma" w:cs="Tahoma"/>
      <w:spacing w:val="-10"/>
      <w:sz w:val="20"/>
      <w:szCs w:val="24"/>
      <w:lang w:eastAsia="zh-CN"/>
    </w:rPr>
  </w:style>
  <w:style w:type="paragraph" w:styleId="16">
    <w:name w:val="Block Text"/>
    <w:basedOn w:val="1"/>
    <w:qFormat/>
    <w:uiPriority w:val="0"/>
    <w:pPr>
      <w:spacing w:line="360" w:lineRule="auto"/>
      <w:ind w:firstLine="964" w:firstLineChars="200"/>
    </w:pPr>
    <w:rPr>
      <w:rFonts w:hAnsi="宋体"/>
      <w:sz w:val="21"/>
    </w:rPr>
  </w:style>
  <w:style w:type="paragraph" w:styleId="17">
    <w:name w:val="toc 3"/>
    <w:basedOn w:val="1"/>
    <w:next w:val="1"/>
    <w:qFormat/>
    <w:uiPriority w:val="39"/>
    <w:pPr>
      <w:ind w:left="840" w:leftChars="400"/>
    </w:pPr>
    <w:rPr>
      <w:szCs w:val="20"/>
    </w:rPr>
  </w:style>
  <w:style w:type="paragraph" w:styleId="18">
    <w:name w:val="Plain Text"/>
    <w:basedOn w:val="1"/>
    <w:qFormat/>
    <w:uiPriority w:val="0"/>
    <w:rPr>
      <w:rFonts w:ascii="宋体" w:hAnsi="Courier New" w:cstheme="minorBidi"/>
      <w:szCs w:val="22"/>
    </w:rPr>
  </w:style>
  <w:style w:type="paragraph" w:styleId="19">
    <w:name w:val="footer"/>
    <w:basedOn w:val="1"/>
    <w:qFormat/>
    <w:uiPriority w:val="0"/>
    <w:pPr>
      <w:tabs>
        <w:tab w:val="center" w:pos="4153"/>
        <w:tab w:val="right" w:pos="8306"/>
      </w:tabs>
      <w:snapToGrid w:val="0"/>
      <w:jc w:val="left"/>
    </w:pPr>
    <w:rPr>
      <w:rFonts w:asciiTheme="minorHAnsi" w:hAnsiTheme="minorHAnsi" w:cstheme="minorBidi"/>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21">
    <w:name w:val="toc 1"/>
    <w:basedOn w:val="1"/>
    <w:next w:val="1"/>
    <w:qFormat/>
    <w:uiPriority w:val="39"/>
    <w:rPr>
      <w:szCs w:val="20"/>
    </w:rPr>
  </w:style>
  <w:style w:type="paragraph" w:styleId="22">
    <w:name w:val="toc 4"/>
    <w:basedOn w:val="1"/>
    <w:next w:val="1"/>
    <w:qFormat/>
    <w:uiPriority w:val="0"/>
    <w:pPr>
      <w:ind w:left="1260" w:leftChars="600"/>
    </w:pPr>
  </w:style>
  <w:style w:type="paragraph" w:styleId="23">
    <w:name w:val="List 5"/>
    <w:basedOn w:val="1"/>
    <w:qFormat/>
    <w:uiPriority w:val="0"/>
    <w:pPr>
      <w:ind w:left="2100" w:hanging="420"/>
    </w:pPr>
    <w:rPr>
      <w:rFonts w:eastAsia="楷体_GB2312"/>
      <w:sz w:val="32"/>
      <w:szCs w:val="20"/>
    </w:rPr>
  </w:style>
  <w:style w:type="paragraph" w:styleId="24">
    <w:name w:val="toc 2"/>
    <w:basedOn w:val="1"/>
    <w:next w:val="1"/>
    <w:qFormat/>
    <w:uiPriority w:val="39"/>
    <w:pPr>
      <w:ind w:left="420" w:leftChars="200"/>
    </w:pPr>
    <w:rPr>
      <w:szCs w:val="20"/>
    </w:rPr>
  </w:style>
  <w:style w:type="paragraph" w:styleId="25">
    <w:name w:val="List 4"/>
    <w:basedOn w:val="1"/>
    <w:qFormat/>
    <w:uiPriority w:val="0"/>
    <w:pPr>
      <w:ind w:left="1680" w:hanging="420"/>
    </w:pPr>
    <w:rPr>
      <w:rFonts w:eastAsia="楷体_GB2312"/>
      <w:sz w:val="32"/>
      <w:szCs w:val="20"/>
    </w:rPr>
  </w:style>
  <w:style w:type="paragraph" w:styleId="26">
    <w:name w:val="Body Text First Indent"/>
    <w:basedOn w:val="2"/>
    <w:next w:val="27"/>
    <w:qFormat/>
    <w:uiPriority w:val="0"/>
    <w:pPr>
      <w:adjustRightInd/>
      <w:spacing w:after="120"/>
      <w:ind w:firstLine="420"/>
      <w:jc w:val="both"/>
      <w:textAlignment w:val="auto"/>
    </w:pPr>
    <w:rPr>
      <w:rFonts w:ascii="Times New Roman"/>
      <w:kern w:val="2"/>
      <w:sz w:val="32"/>
    </w:rPr>
  </w:style>
  <w:style w:type="paragraph" w:styleId="27">
    <w:name w:val="Body Text First Indent 2"/>
    <w:basedOn w:val="14"/>
    <w:next w:val="1"/>
    <w:qFormat/>
    <w:uiPriority w:val="0"/>
    <w:pPr>
      <w:ind w:firstLine="420" w:firstLineChars="200"/>
    </w:pPr>
    <w:rPr>
      <w:rFonts w:eastAsia="楷体_GB2312"/>
      <w:b/>
      <w:kern w:val="44"/>
      <w:sz w:val="44"/>
      <w:lang w:val="en-US" w:eastAsia="zh-CN" w:bidi="ar-SA"/>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qFormat/>
    <w:uiPriority w:val="0"/>
    <w:rPr>
      <w:rFonts w:cs="Times New Roman"/>
    </w:rPr>
  </w:style>
  <w:style w:type="character" w:styleId="32">
    <w:name w:val="FollowedHyperlink"/>
    <w:basedOn w:val="30"/>
    <w:qFormat/>
    <w:uiPriority w:val="0"/>
    <w:rPr>
      <w:color w:val="000000"/>
      <w:u w:val="none"/>
    </w:rPr>
  </w:style>
  <w:style w:type="character" w:styleId="33">
    <w:name w:val="Hyperlink"/>
    <w:qFormat/>
    <w:uiPriority w:val="99"/>
    <w:rPr>
      <w:color w:val="333333"/>
      <w:u w:val="none"/>
    </w:rPr>
  </w:style>
  <w:style w:type="character" w:styleId="34">
    <w:name w:val="annotation reference"/>
    <w:qFormat/>
    <w:uiPriority w:val="0"/>
    <w:rPr>
      <w:sz w:val="21"/>
      <w:szCs w:val="21"/>
    </w:rPr>
  </w:style>
  <w:style w:type="paragraph" w:customStyle="1" w:styleId="35">
    <w:name w:val="List Paragraph"/>
    <w:basedOn w:val="1"/>
    <w:qFormat/>
    <w:uiPriority w:val="0"/>
    <w:pPr>
      <w:ind w:left="2160" w:hanging="720"/>
    </w:pPr>
  </w:style>
  <w:style w:type="paragraph" w:customStyle="1" w:styleId="36">
    <w:name w:val="Table Paragraph"/>
    <w:basedOn w:val="1"/>
    <w:qFormat/>
    <w:uiPriority w:val="0"/>
  </w:style>
  <w:style w:type="paragraph" w:customStyle="1" w:styleId="37">
    <w:name w:val="No Spacing1"/>
    <w:basedOn w:val="1"/>
    <w:qFormat/>
    <w:uiPriority w:val="0"/>
    <w:pPr>
      <w:spacing w:line="400" w:lineRule="exact"/>
      <w:ind w:firstLine="200" w:firstLineChars="200"/>
    </w:pPr>
    <w:rPr>
      <w:rFonts w:ascii="Times New Roman" w:hAnsi="Times New Roman" w:eastAsia="宋体" w:cs="Times New Roman"/>
      <w:sz w:val="24"/>
      <w:szCs w:val="24"/>
    </w:rPr>
  </w:style>
  <w:style w:type="paragraph" w:customStyle="1" w:styleId="38">
    <w:name w:val="正文（缩进）"/>
    <w:basedOn w:val="1"/>
    <w:qFormat/>
    <w:uiPriority w:val="0"/>
    <w:pPr>
      <w:spacing w:before="50" w:after="50"/>
      <w:ind w:firstLine="200" w:firstLineChars="200"/>
    </w:pPr>
    <w:rPr>
      <w:szCs w:val="22"/>
    </w:rPr>
  </w:style>
  <w:style w:type="paragraph" w:customStyle="1" w:styleId="39">
    <w:name w:val="_Style 1"/>
    <w:basedOn w:val="1"/>
    <w:qFormat/>
    <w:uiPriority w:val="0"/>
    <w:pPr>
      <w:adjustRightInd w:val="0"/>
      <w:snapToGrid w:val="0"/>
      <w:spacing w:line="360" w:lineRule="auto"/>
      <w:ind w:firstLine="420" w:firstLineChars="200"/>
    </w:pPr>
    <w:rPr>
      <w:color w:val="000000"/>
      <w:szCs w:val="21"/>
    </w:rPr>
  </w:style>
  <w:style w:type="character" w:customStyle="1" w:styleId="40">
    <w:name w:val="font41"/>
    <w:basedOn w:val="30"/>
    <w:qFormat/>
    <w:uiPriority w:val="0"/>
    <w:rPr>
      <w:rFonts w:hint="default" w:ascii="Calibri" w:hAnsi="Calibri" w:cs="Calibri"/>
      <w:color w:val="000000"/>
      <w:sz w:val="20"/>
      <w:szCs w:val="20"/>
      <w:u w:val="none"/>
    </w:rPr>
  </w:style>
  <w:style w:type="character" w:customStyle="1" w:styleId="41">
    <w:name w:val="font51"/>
    <w:basedOn w:val="30"/>
    <w:qFormat/>
    <w:uiPriority w:val="0"/>
    <w:rPr>
      <w:rFonts w:hint="eastAsia" w:ascii="宋体" w:hAnsi="宋体" w:eastAsia="宋体" w:cs="宋体"/>
      <w:color w:val="000000"/>
      <w:sz w:val="20"/>
      <w:szCs w:val="20"/>
      <w:u w:val="none"/>
    </w:rPr>
  </w:style>
  <w:style w:type="character" w:customStyle="1" w:styleId="42">
    <w:name w:val="font21"/>
    <w:basedOn w:val="30"/>
    <w:qFormat/>
    <w:uiPriority w:val="0"/>
    <w:rPr>
      <w:rFonts w:hint="default" w:ascii="Calibri" w:hAnsi="Calibri" w:cs="Calibri"/>
      <w:color w:val="000000"/>
      <w:sz w:val="20"/>
      <w:szCs w:val="20"/>
      <w:u w:val="none"/>
    </w:rPr>
  </w:style>
  <w:style w:type="character" w:customStyle="1" w:styleId="43">
    <w:name w:val="font11"/>
    <w:basedOn w:val="30"/>
    <w:qFormat/>
    <w:uiPriority w:val="0"/>
    <w:rPr>
      <w:rFonts w:hint="eastAsia" w:ascii="宋体" w:hAnsi="宋体" w:eastAsia="宋体" w:cs="宋体"/>
      <w:color w:val="000000"/>
      <w:sz w:val="20"/>
      <w:szCs w:val="20"/>
      <w:u w:val="none"/>
    </w:rPr>
  </w:style>
  <w:style w:type="character" w:customStyle="1" w:styleId="44">
    <w:name w:val="font91"/>
    <w:basedOn w:val="30"/>
    <w:qFormat/>
    <w:uiPriority w:val="0"/>
    <w:rPr>
      <w:rFonts w:ascii="Arial" w:hAnsi="Arial" w:cs="Arial"/>
      <w:color w:val="000000"/>
      <w:sz w:val="20"/>
      <w:szCs w:val="20"/>
      <w:u w:val="none"/>
    </w:rPr>
  </w:style>
  <w:style w:type="character" w:customStyle="1" w:styleId="45">
    <w:name w:val="font81"/>
    <w:basedOn w:val="30"/>
    <w:qFormat/>
    <w:uiPriority w:val="0"/>
    <w:rPr>
      <w:rFonts w:ascii="微软雅黑" w:hAnsi="微软雅黑" w:eastAsia="微软雅黑" w:cs="微软雅黑"/>
      <w:color w:val="000000"/>
      <w:sz w:val="20"/>
      <w:szCs w:val="20"/>
      <w:u w:val="none"/>
    </w:rPr>
  </w:style>
  <w:style w:type="paragraph" w:customStyle="1" w:styleId="46">
    <w:name w:val="表格"/>
    <w:basedOn w:val="1"/>
    <w:next w:val="1"/>
    <w:qFormat/>
    <w:uiPriority w:val="0"/>
    <w:pPr>
      <w:widowControl/>
      <w:spacing w:line="360" w:lineRule="auto"/>
    </w:pPr>
    <w:rPr>
      <w:rFonts w:hAnsi="Arial"/>
      <w:snapToGrid w:val="0"/>
      <w:kern w:val="0"/>
      <w:sz w:val="24"/>
      <w:szCs w:val="20"/>
      <w:lang w:eastAsia="en-US"/>
    </w:rPr>
  </w:style>
  <w:style w:type="table" w:customStyle="1" w:styleId="47">
    <w:name w:val="Table Normal"/>
    <w:semiHidden/>
    <w:unhideWhenUsed/>
    <w:qFormat/>
    <w:uiPriority w:val="0"/>
    <w:tblPr>
      <w:tblCellMar>
        <w:top w:w="0" w:type="dxa"/>
        <w:left w:w="0" w:type="dxa"/>
        <w:bottom w:w="0" w:type="dxa"/>
        <w:right w:w="0" w:type="dxa"/>
      </w:tblCellMar>
    </w:tblPr>
  </w:style>
  <w:style w:type="character" w:customStyle="1" w:styleId="48">
    <w:name w:val="dash6b63_6587__char1"/>
    <w:qFormat/>
    <w:uiPriority w:val="0"/>
    <w:rPr>
      <w:rFonts w:hint="default" w:ascii="Times New Roman" w:hAnsi="Times New Roman" w:cs="Times New Roman"/>
      <w:sz w:val="20"/>
      <w:szCs w:val="20"/>
    </w:rPr>
  </w:style>
  <w:style w:type="paragraph" w:customStyle="1" w:styleId="49">
    <w:name w:val="彩色列表1"/>
    <w:basedOn w:val="1"/>
    <w:qFormat/>
    <w:uiPriority w:val="34"/>
    <w:pPr>
      <w:ind w:firstLine="420" w:firstLineChars="200"/>
    </w:pPr>
    <w:rPr>
      <w:rFonts w:ascii="Calibri" w:hAnsi="Calibri"/>
      <w:szCs w:val="22"/>
    </w:rPr>
  </w:style>
  <w:style w:type="character" w:customStyle="1" w:styleId="50">
    <w:name w:val="fr"/>
    <w:basedOn w:val="30"/>
    <w:qFormat/>
    <w:uiPriority w:val="0"/>
  </w:style>
  <w:style w:type="character" w:customStyle="1" w:styleId="51">
    <w:name w:val="first-child"/>
    <w:basedOn w:val="30"/>
    <w:qFormat/>
    <w:uiPriority w:val="0"/>
    <w:rPr>
      <w:color w:val="1F3149"/>
      <w:sz w:val="24"/>
      <w:szCs w:val="24"/>
    </w:rPr>
  </w:style>
  <w:style w:type="character" w:customStyle="1" w:styleId="52">
    <w:name w:val="first-child1"/>
    <w:basedOn w:val="30"/>
    <w:qFormat/>
    <w:uiPriority w:val="0"/>
    <w:rPr>
      <w:color w:val="1F3149"/>
      <w:sz w:val="24"/>
      <w:szCs w:val="24"/>
    </w:rPr>
  </w:style>
  <w:style w:type="character" w:customStyle="1" w:styleId="53">
    <w:name w:val="icon_gys"/>
    <w:basedOn w:val="30"/>
    <w:qFormat/>
    <w:uiPriority w:val="0"/>
    <w:rPr>
      <w:sz w:val="21"/>
      <w:szCs w:val="21"/>
    </w:rPr>
  </w:style>
  <w:style w:type="character" w:customStyle="1" w:styleId="54">
    <w:name w:val="xiadan"/>
    <w:basedOn w:val="30"/>
    <w:qFormat/>
    <w:uiPriority w:val="0"/>
    <w:rPr>
      <w:shd w:val="clear" w:fill="E4393C"/>
    </w:rPr>
  </w:style>
  <w:style w:type="character" w:customStyle="1" w:styleId="55">
    <w:name w:val="icon_ds"/>
    <w:basedOn w:val="30"/>
    <w:qFormat/>
    <w:uiPriority w:val="0"/>
  </w:style>
  <w:style w:type="character" w:customStyle="1" w:styleId="56">
    <w:name w:val="icon_ds1"/>
    <w:basedOn w:val="30"/>
    <w:qFormat/>
    <w:uiPriority w:val="0"/>
    <w:rPr>
      <w:sz w:val="21"/>
      <w:szCs w:val="21"/>
    </w:rPr>
  </w:style>
  <w:style w:type="character" w:customStyle="1" w:styleId="57">
    <w:name w:val="first-child2"/>
    <w:basedOn w:val="30"/>
    <w:qFormat/>
    <w:uiPriority w:val="0"/>
    <w:rPr>
      <w:color w:val="1F3149"/>
      <w:sz w:val="24"/>
      <w:szCs w:val="24"/>
    </w:rPr>
  </w:style>
  <w:style w:type="paragraph" w:customStyle="1" w:styleId="58">
    <w:name w:val="shsj2em"/>
    <w:basedOn w:val="1"/>
    <w:qFormat/>
    <w:uiPriority w:val="0"/>
    <w:pPr>
      <w:ind w:firstLine="420"/>
      <w:jc w:val="left"/>
    </w:pPr>
    <w:rPr>
      <w:kern w:val="0"/>
      <w:lang w:val="en-US" w:eastAsia="zh-CN" w:bidi="ar"/>
    </w:rPr>
  </w:style>
  <w:style w:type="character" w:customStyle="1" w:styleId="59">
    <w:name w:val="hover18"/>
    <w:basedOn w:val="30"/>
    <w:qFormat/>
    <w:uiPriority w:val="0"/>
  </w:style>
  <w:style w:type="character" w:customStyle="1" w:styleId="60">
    <w:name w:val="hover17"/>
    <w:basedOn w:val="30"/>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148</Pages>
  <Words>69954</Words>
  <Characters>72641</Characters>
  <Lines>0</Lines>
  <Paragraphs>0</Paragraphs>
  <TotalTime>2</TotalTime>
  <ScaleCrop>false</ScaleCrop>
  <LinksUpToDate>false</LinksUpToDate>
  <CharactersWithSpaces>79224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2023-05-22T02:06:00Z</dcterms:created>
  <dc:creator>NEW</dc:creator>
  <cp:lastModifiedBy>NEW</cp:lastModifiedBy>
  <dcterms:modified xsi:type="dcterms:W3CDTF">2023-06-16T08:13:05Z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AE7B55E9FAA94968A7D2156E5E6BAB56_13</vt:lpwstr>
  </property>
</Properties>
</file>