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spacing w:line="360" w:lineRule="auto"/>
        <w:rPr>
          <w:rStyle w:val="9"/>
          <w:rFonts w:hint="eastAsia" w:ascii="宋体" w:hAnsi="宋体" w:cs="宋体"/>
          <w:b/>
          <w:szCs w:val="32"/>
        </w:rPr>
      </w:pPr>
      <w:r>
        <w:rPr>
          <w:rStyle w:val="9"/>
          <w:rFonts w:hint="eastAsia" w:ascii="宋体" w:hAnsi="宋体" w:cs="宋体"/>
          <w:b/>
          <w:szCs w:val="22"/>
        </w:rPr>
        <w:t xml:space="preserve"> </w:t>
      </w:r>
      <w:r>
        <w:rPr>
          <w:rStyle w:val="9"/>
          <w:rFonts w:hint="eastAsia" w:ascii="宋体" w:hAnsi="宋体" w:cs="宋体"/>
          <w:b/>
          <w:szCs w:val="32"/>
        </w:rPr>
        <w:t>服务需求</w:t>
      </w:r>
    </w:p>
    <w:p>
      <w:pPr>
        <w:spacing w:line="360" w:lineRule="auto"/>
        <w:jc w:val="left"/>
        <w:rPr>
          <w:rFonts w:hint="eastAsia" w:ascii="宋体" w:hAnsi="宋体" w:cs="宋体"/>
          <w:b/>
          <w:bCs/>
          <w:szCs w:val="21"/>
        </w:rPr>
      </w:pPr>
      <w:r>
        <w:rPr>
          <w:rFonts w:hint="eastAsia" w:ascii="宋体" w:hAnsi="宋体" w:cs="宋体"/>
          <w:b/>
          <w:bCs/>
          <w:szCs w:val="21"/>
          <w:lang w:val="en-US" w:eastAsia="zh-CN"/>
        </w:rPr>
        <w:t>A包</w:t>
      </w:r>
      <w:r>
        <w:rPr>
          <w:rFonts w:hint="eastAsia" w:ascii="宋体" w:hAnsi="宋体" w:cs="宋体"/>
          <w:b/>
          <w:bCs/>
          <w:szCs w:val="21"/>
        </w:rPr>
        <w:t>（1）技术要求</w:t>
      </w:r>
    </w:p>
    <w:p>
      <w:pPr>
        <w:spacing w:line="360" w:lineRule="auto"/>
        <w:jc w:val="center"/>
        <w:rPr>
          <w:rFonts w:hint="eastAsia" w:ascii="宋体" w:hAnsi="宋体" w:cs="宋体"/>
          <w:b/>
          <w:bCs/>
          <w:szCs w:val="21"/>
        </w:rPr>
      </w:pPr>
      <w:r>
        <w:rPr>
          <w:rFonts w:hint="eastAsia" w:ascii="宋体" w:hAnsi="宋体" w:cs="微软雅黑"/>
          <w:b/>
          <w:szCs w:val="21"/>
        </w:rPr>
        <w:t>★</w:t>
      </w:r>
      <w:r>
        <w:rPr>
          <w:rFonts w:hint="eastAsia" w:ascii="宋体" w:hAnsi="宋体" w:cs="宋体"/>
          <w:b/>
          <w:bCs/>
          <w:szCs w:val="21"/>
        </w:rPr>
        <w:t>（一）主要技术参数</w:t>
      </w:r>
    </w:p>
    <w:p>
      <w:pPr>
        <w:pStyle w:val="6"/>
        <w:spacing w:line="360" w:lineRule="auto"/>
        <w:jc w:val="left"/>
        <w:rPr>
          <w:rFonts w:hint="eastAsia" w:ascii="宋体" w:hAnsi="宋体" w:eastAsia="宋体" w:cs="宋体"/>
          <w:sz w:val="21"/>
          <w:szCs w:val="21"/>
        </w:rPr>
      </w:pPr>
      <w:r>
        <w:rPr>
          <w:rFonts w:hint="eastAsia" w:ascii="宋体" w:hAnsi="宋体" w:eastAsia="宋体" w:cs="宋体"/>
          <w:sz w:val="21"/>
          <w:szCs w:val="21"/>
        </w:rPr>
        <w:t>1、需配备4台中型洗扫车、3台中型高压冲洗车、2台中型吸尘车（必须有</w:t>
      </w:r>
      <w:r>
        <w:rPr>
          <w:rFonts w:ascii="宋体" w:hAnsi="宋体" w:eastAsia="宋体" w:cs="宋体"/>
          <w:sz w:val="21"/>
          <w:szCs w:val="21"/>
        </w:rPr>
        <w:t>3</w:t>
      </w:r>
      <w:r>
        <w:rPr>
          <w:rFonts w:hint="eastAsia" w:ascii="宋体" w:hAnsi="宋体" w:eastAsia="宋体" w:cs="宋体"/>
          <w:sz w:val="21"/>
          <w:szCs w:val="21"/>
        </w:rPr>
        <w:t>台氢能源）；需配置4台大型扫雪机（推雪铲）、1台大型干（湿）撒布机；其他小型车辆根据实际情况配置；车辆需购置定位系统，与大数据平台进行连接；如区城管局提供车辆，中标单位必须使用，租赁费按照租赁评估价格向区财政交纳；配备环卫驿站1座。</w:t>
      </w:r>
    </w:p>
    <w:p>
      <w:pPr>
        <w:pStyle w:val="6"/>
        <w:spacing w:line="360" w:lineRule="auto"/>
        <w:jc w:val="left"/>
        <w:rPr>
          <w:rFonts w:hint="eastAsia" w:ascii="宋体" w:hAnsi="宋体" w:eastAsia="宋体" w:cs="宋体"/>
          <w:sz w:val="21"/>
          <w:szCs w:val="21"/>
        </w:rPr>
      </w:pPr>
      <w:r>
        <w:rPr>
          <w:rFonts w:hint="eastAsia" w:ascii="宋体" w:hAnsi="宋体" w:eastAsia="宋体" w:cs="宋体"/>
          <w:sz w:val="21"/>
          <w:szCs w:val="21"/>
        </w:rPr>
        <w:t>2、机扫作业（洗扫车、高压冲洗车、吸尘车）驾驶员按照每台车“三班制”、每班次1.1人；主、次干道按“两班半制”人均清扫面积6000平方米配备人员，支路背街按“两班半制”人均清扫面积4000平方米配备清扫保洁人员；执行环卫职工工资2598元/月、技术岗位人员工资4053元/月，如调整，执行郑州市城管局要求的工资水平。</w:t>
      </w:r>
    </w:p>
    <w:p>
      <w:pPr>
        <w:spacing w:line="360" w:lineRule="auto"/>
        <w:ind w:firstLine="422" w:firstLineChars="200"/>
        <w:jc w:val="center"/>
        <w:rPr>
          <w:rFonts w:hint="eastAsia" w:ascii="宋体" w:hAnsi="宋体" w:cs="宋体"/>
          <w:b/>
          <w:bCs/>
          <w:szCs w:val="21"/>
        </w:rPr>
      </w:pPr>
      <w:r>
        <w:rPr>
          <w:rFonts w:hint="eastAsia" w:ascii="宋体" w:hAnsi="宋体" w:cs="微软雅黑"/>
          <w:b/>
          <w:szCs w:val="21"/>
        </w:rPr>
        <w:t>★</w:t>
      </w:r>
      <w:r>
        <w:rPr>
          <w:rFonts w:hint="eastAsia" w:ascii="宋体" w:hAnsi="宋体" w:cs="宋体"/>
          <w:b/>
          <w:bCs/>
          <w:szCs w:val="21"/>
        </w:rPr>
        <w:t>（二）环卫作业主要技术参数</w:t>
      </w:r>
    </w:p>
    <w:p>
      <w:pPr>
        <w:spacing w:line="360" w:lineRule="auto"/>
        <w:jc w:val="center"/>
        <w:rPr>
          <w:rFonts w:hint="eastAsia" w:ascii="宋体" w:hAnsi="宋体" w:cs="宋体"/>
          <w:szCs w:val="21"/>
        </w:rPr>
      </w:pPr>
      <w:r>
        <w:rPr>
          <w:rFonts w:hint="eastAsia" w:ascii="宋体" w:hAnsi="宋体" w:cs="宋体"/>
          <w:szCs w:val="21"/>
        </w:rPr>
        <w:t>（环卫作业具体内容）</w:t>
      </w:r>
    </w:p>
    <w:p>
      <w:pPr>
        <w:spacing w:line="360" w:lineRule="auto"/>
        <w:ind w:firstLine="420" w:firstLineChars="200"/>
        <w:rPr>
          <w:rFonts w:hint="eastAsia" w:ascii="宋体" w:hAnsi="宋体" w:cs="宋体"/>
          <w:szCs w:val="21"/>
        </w:rPr>
      </w:pPr>
      <w:r>
        <w:rPr>
          <w:rFonts w:hint="eastAsia" w:ascii="宋体" w:hAnsi="宋体" w:cs="宋体"/>
          <w:szCs w:val="21"/>
        </w:rPr>
        <w:t>1、辖区内居民小区外所有道路（道路两侧临街建筑物立面之间的所有路面，含人行天桥、道路立交桥、桥梁涵洞等）按照“横到边、竖到底”的原则进行清扫保洁、冲洗降尘。做到无垃圾、浮土、积水、污泥、烟头、果皮、纸屑、包装盒、塑料袋及砖瓦、石块等废弃物。</w:t>
      </w:r>
    </w:p>
    <w:p>
      <w:pPr>
        <w:spacing w:line="360" w:lineRule="auto"/>
        <w:ind w:firstLine="420" w:firstLineChars="200"/>
        <w:rPr>
          <w:rFonts w:hint="eastAsia" w:ascii="宋体" w:hAnsi="宋体" w:cs="宋体"/>
          <w:szCs w:val="21"/>
        </w:rPr>
      </w:pPr>
      <w:r>
        <w:rPr>
          <w:rFonts w:hint="eastAsia" w:ascii="宋体" w:hAnsi="宋体" w:cs="宋体"/>
          <w:szCs w:val="21"/>
        </w:rPr>
        <w:t>2、下水道口及窨井口的清理、清洗，无污物、见本色。</w:t>
      </w:r>
    </w:p>
    <w:p>
      <w:pPr>
        <w:spacing w:line="360" w:lineRule="auto"/>
        <w:ind w:firstLine="420" w:firstLineChars="200"/>
        <w:rPr>
          <w:rFonts w:hint="eastAsia" w:ascii="宋体" w:hAnsi="宋体" w:cs="宋体"/>
          <w:szCs w:val="21"/>
        </w:rPr>
      </w:pPr>
      <w:r>
        <w:rPr>
          <w:rFonts w:hint="eastAsia" w:ascii="宋体" w:hAnsi="宋体" w:cs="宋体"/>
          <w:szCs w:val="21"/>
        </w:rPr>
        <w:t>3、辖区日常清扫保洁垃圾收运到指定的垃圾中转站，做到日产日清。</w:t>
      </w:r>
    </w:p>
    <w:p>
      <w:pPr>
        <w:spacing w:line="360" w:lineRule="auto"/>
        <w:ind w:firstLine="420" w:firstLineChars="200"/>
        <w:rPr>
          <w:rFonts w:hint="eastAsia" w:ascii="宋体" w:hAnsi="宋体" w:cs="宋体"/>
          <w:szCs w:val="21"/>
        </w:rPr>
      </w:pPr>
      <w:r>
        <w:rPr>
          <w:rFonts w:hint="eastAsia" w:ascii="宋体" w:hAnsi="宋体" w:cs="宋体"/>
          <w:szCs w:val="21"/>
        </w:rPr>
        <w:t>4、城市家具(工具箱、道班房、座椅、垃圾箱、果皮箱等环卫设施)清洗、清掏和维护。</w:t>
      </w:r>
    </w:p>
    <w:p>
      <w:pPr>
        <w:spacing w:line="360" w:lineRule="auto"/>
        <w:ind w:firstLine="420" w:firstLineChars="200"/>
        <w:rPr>
          <w:rFonts w:hint="eastAsia" w:ascii="宋体" w:hAnsi="宋体" w:cs="宋体"/>
          <w:szCs w:val="21"/>
        </w:rPr>
      </w:pPr>
      <w:r>
        <w:rPr>
          <w:rFonts w:hint="eastAsia" w:ascii="宋体" w:hAnsi="宋体" w:cs="宋体"/>
          <w:szCs w:val="21"/>
        </w:rPr>
        <w:t>5、绿化带、公共绿地内的垃圾捡拾、清理和巡回保洁。禁止焚烧枯枝落叶、杂物和垃圾。</w:t>
      </w:r>
    </w:p>
    <w:p>
      <w:pPr>
        <w:spacing w:line="360" w:lineRule="auto"/>
        <w:ind w:firstLine="420" w:firstLineChars="200"/>
        <w:rPr>
          <w:rFonts w:hint="eastAsia" w:ascii="宋体" w:hAnsi="宋体" w:cs="宋体"/>
          <w:szCs w:val="21"/>
        </w:rPr>
      </w:pPr>
      <w:r>
        <w:rPr>
          <w:rFonts w:hint="eastAsia" w:ascii="宋体" w:hAnsi="宋体" w:cs="宋体"/>
          <w:szCs w:val="21"/>
        </w:rPr>
        <w:t>6、墙根、树穴、立杆、空调外机等边角处卫生死角治理，与其他区交界部分清扫须扫至交界线以外3米处。</w:t>
      </w:r>
    </w:p>
    <w:p>
      <w:pPr>
        <w:spacing w:line="360" w:lineRule="auto"/>
        <w:ind w:firstLine="420" w:firstLineChars="200"/>
        <w:rPr>
          <w:rFonts w:hint="eastAsia" w:ascii="宋体" w:hAnsi="宋体" w:cs="宋体"/>
          <w:szCs w:val="21"/>
        </w:rPr>
      </w:pPr>
      <w:r>
        <w:rPr>
          <w:rFonts w:hint="eastAsia" w:ascii="宋体" w:hAnsi="宋体" w:cs="宋体"/>
          <w:szCs w:val="21"/>
        </w:rPr>
        <w:t>7、辖区无主垃圾，偷倒的建筑垃圾（装修垃圾）、大件垃圾清理（不得清运到垃圾中转站，由乙方负责自行处理）。</w:t>
      </w:r>
    </w:p>
    <w:p>
      <w:pPr>
        <w:spacing w:line="360" w:lineRule="auto"/>
        <w:ind w:firstLine="420" w:firstLineChars="200"/>
        <w:rPr>
          <w:rFonts w:hint="eastAsia" w:ascii="宋体" w:hAnsi="宋体" w:cs="宋体"/>
          <w:szCs w:val="21"/>
        </w:rPr>
      </w:pPr>
      <w:r>
        <w:rPr>
          <w:rFonts w:hint="eastAsia" w:ascii="宋体" w:hAnsi="宋体" w:cs="宋体"/>
          <w:szCs w:val="21"/>
        </w:rPr>
        <w:t>8、降雨后道路淤泥的清理、冲刷，积水的清除；</w:t>
      </w:r>
    </w:p>
    <w:p>
      <w:pPr>
        <w:spacing w:line="360" w:lineRule="auto"/>
        <w:ind w:firstLine="420" w:firstLineChars="200"/>
        <w:rPr>
          <w:rFonts w:hint="eastAsia" w:ascii="宋体" w:hAnsi="宋体" w:cs="宋体"/>
          <w:szCs w:val="21"/>
        </w:rPr>
      </w:pPr>
      <w:r>
        <w:rPr>
          <w:rFonts w:hint="eastAsia" w:ascii="宋体" w:hAnsi="宋体" w:cs="宋体"/>
          <w:szCs w:val="21"/>
        </w:rPr>
        <w:t>9、提前购置储备融雪剂，降雪前后在清扫保洁区域内撒布，及时清理积雪并清运至指定场所。禁止向车行道、人行道上堆雪、摊雪、撒雪；禁止向雨水井内倾倒冰雪；禁止在公交车站、街心花坛、绿化带、树池内和垃圾箱周围堆放冰雪；禁止向雪堆上倾倒垃圾、污水、污物。</w:t>
      </w:r>
    </w:p>
    <w:p>
      <w:pPr>
        <w:spacing w:line="360" w:lineRule="auto"/>
        <w:ind w:firstLine="420" w:firstLineChars="200"/>
        <w:rPr>
          <w:rFonts w:hint="eastAsia" w:ascii="宋体" w:hAnsi="宋体" w:cs="宋体"/>
          <w:szCs w:val="21"/>
        </w:rPr>
      </w:pPr>
      <w:r>
        <w:rPr>
          <w:rFonts w:hint="eastAsia" w:ascii="宋体" w:hAnsi="宋体" w:cs="宋体"/>
          <w:szCs w:val="21"/>
        </w:rPr>
        <w:t>10、上门收集、清运沿街商户门店生活垃圾。垃圾收运过程中必须采用市环卫部门要求配备的密闭车辆，不得“滴冒跑漏”。</w:t>
      </w:r>
    </w:p>
    <w:p>
      <w:pPr>
        <w:spacing w:line="360" w:lineRule="auto"/>
        <w:ind w:firstLine="420" w:firstLineChars="200"/>
        <w:rPr>
          <w:rFonts w:hint="eastAsia" w:ascii="宋体" w:hAnsi="宋体" w:cs="宋体"/>
          <w:szCs w:val="21"/>
        </w:rPr>
      </w:pPr>
      <w:r>
        <w:rPr>
          <w:rFonts w:hint="eastAsia" w:ascii="宋体" w:hAnsi="宋体" w:cs="宋体"/>
          <w:szCs w:val="21"/>
        </w:rPr>
        <w:t>11、机扫道路进行全天候清扫保洁工作。</w:t>
      </w:r>
    </w:p>
    <w:p>
      <w:pPr>
        <w:spacing w:line="360" w:lineRule="auto"/>
        <w:ind w:firstLine="420" w:firstLineChars="200"/>
        <w:rPr>
          <w:rFonts w:hint="eastAsia" w:ascii="宋体" w:hAnsi="宋体" w:cs="宋体"/>
          <w:szCs w:val="21"/>
        </w:rPr>
      </w:pPr>
      <w:r>
        <w:rPr>
          <w:rFonts w:hint="eastAsia" w:ascii="宋体" w:hAnsi="宋体" w:cs="宋体"/>
          <w:szCs w:val="21"/>
        </w:rPr>
        <w:t>12、对所管道路隔离护栏清洗、擦拭，见本色、无污渍。</w:t>
      </w:r>
    </w:p>
    <w:p>
      <w:pPr>
        <w:spacing w:line="360" w:lineRule="auto"/>
        <w:ind w:firstLine="420" w:firstLineChars="200"/>
        <w:rPr>
          <w:rFonts w:hint="eastAsia" w:ascii="宋体" w:hAnsi="宋体" w:cs="宋体"/>
          <w:szCs w:val="21"/>
        </w:rPr>
      </w:pPr>
      <w:r>
        <w:rPr>
          <w:rFonts w:hint="eastAsia" w:ascii="宋体" w:hAnsi="宋体" w:cs="宋体"/>
          <w:szCs w:val="21"/>
        </w:rPr>
        <w:t>13、对辖区环卫数字化案件做到及时整改、及时回复。</w:t>
      </w:r>
    </w:p>
    <w:p>
      <w:pPr>
        <w:spacing w:line="360" w:lineRule="auto"/>
        <w:ind w:firstLine="420" w:firstLineChars="200"/>
        <w:rPr>
          <w:rFonts w:hint="eastAsia" w:ascii="宋体" w:hAnsi="宋体" w:cs="宋体"/>
          <w:szCs w:val="21"/>
        </w:rPr>
      </w:pPr>
      <w:r>
        <w:rPr>
          <w:rFonts w:hint="eastAsia" w:ascii="宋体" w:hAnsi="宋体" w:cs="宋体"/>
          <w:szCs w:val="21"/>
        </w:rPr>
        <w:t>14、对沿街两侧树干、线杆、箱体、花坛、建筑立面及橱窗、卷闸门等处小广告进行清理、整饰。</w:t>
      </w:r>
    </w:p>
    <w:p>
      <w:pPr>
        <w:spacing w:line="360" w:lineRule="auto"/>
        <w:ind w:firstLine="420" w:firstLineChars="200"/>
        <w:rPr>
          <w:rFonts w:hint="eastAsia" w:ascii="宋体" w:hAnsi="宋体" w:cs="宋体"/>
          <w:szCs w:val="21"/>
        </w:rPr>
      </w:pPr>
      <w:r>
        <w:rPr>
          <w:rFonts w:hint="eastAsia" w:ascii="宋体" w:hAnsi="宋体" w:cs="宋体"/>
          <w:szCs w:val="21"/>
        </w:rPr>
        <w:t>15、完成甲方交办的其他临时性、突击性工作。遇重要活动，乙方应无条件服从甲方的工作调度和安排，对于延长作业时间，完成指定作业任务，甲方不支付任何补贴费用。</w:t>
      </w:r>
    </w:p>
    <w:p>
      <w:pPr>
        <w:spacing w:line="360" w:lineRule="auto"/>
        <w:jc w:val="center"/>
        <w:rPr>
          <w:rFonts w:hint="eastAsia" w:ascii="宋体" w:hAnsi="宋体" w:cs="宋体"/>
          <w:b/>
          <w:szCs w:val="21"/>
        </w:rPr>
      </w:pPr>
      <w:r>
        <w:rPr>
          <w:rFonts w:hint="eastAsia" w:ascii="宋体" w:hAnsi="宋体" w:cs="微软雅黑"/>
          <w:b/>
          <w:sz w:val="21"/>
          <w:szCs w:val="21"/>
        </w:rPr>
        <w:t>★</w:t>
      </w:r>
      <w:r>
        <w:rPr>
          <w:rFonts w:hint="eastAsia" w:ascii="宋体" w:hAnsi="宋体" w:cs="宋体"/>
          <w:b/>
          <w:szCs w:val="21"/>
        </w:rPr>
        <w:t>（三）二七区街道物业化管理细则</w:t>
      </w:r>
    </w:p>
    <w:p>
      <w:pPr>
        <w:spacing w:line="360" w:lineRule="auto"/>
        <w:jc w:val="center"/>
        <w:rPr>
          <w:rFonts w:hint="eastAsia" w:ascii="宋体" w:hAnsi="宋体" w:cs="宋体"/>
          <w:b/>
          <w:szCs w:val="21"/>
        </w:rPr>
      </w:pPr>
      <w:r>
        <w:rPr>
          <w:rFonts w:hint="eastAsia" w:ascii="宋体" w:hAnsi="宋体" w:cs="宋体"/>
          <w:bCs/>
          <w:szCs w:val="21"/>
        </w:rPr>
        <w:t>（以区城管局制定的最新细则为准）</w:t>
      </w:r>
    </w:p>
    <w:p>
      <w:pPr>
        <w:spacing w:line="360" w:lineRule="auto"/>
        <w:ind w:firstLine="640"/>
        <w:rPr>
          <w:rFonts w:hint="eastAsia" w:ascii="宋体" w:hAnsi="宋体" w:cs="宋体"/>
          <w:b/>
          <w:bCs/>
          <w:szCs w:val="21"/>
        </w:rPr>
      </w:pPr>
      <w:r>
        <w:rPr>
          <w:rFonts w:hint="eastAsia" w:ascii="宋体" w:hAnsi="宋体" w:cs="宋体"/>
          <w:b/>
          <w:bCs/>
          <w:szCs w:val="21"/>
        </w:rPr>
        <w:t>一、环卫作业</w:t>
      </w:r>
    </w:p>
    <w:p>
      <w:pPr>
        <w:spacing w:line="360" w:lineRule="auto"/>
        <w:ind w:firstLine="420" w:firstLineChars="200"/>
        <w:rPr>
          <w:rFonts w:hint="eastAsia" w:ascii="宋体" w:hAnsi="宋体" w:cs="宋体"/>
          <w:szCs w:val="21"/>
        </w:rPr>
      </w:pPr>
      <w:r>
        <w:rPr>
          <w:rFonts w:hint="eastAsia" w:ascii="宋体" w:hAnsi="宋体" w:cs="宋体"/>
          <w:szCs w:val="21"/>
        </w:rPr>
        <w:t>1、晨扫考核或日常巡查时发现晨扫不到位或未进行晨扫的路段每处（路段长度50米以上）每次扣款10000元，如果发现多处路段未晨扫或晨扫不到位的可累计扣款。</w:t>
      </w:r>
    </w:p>
    <w:p>
      <w:pPr>
        <w:spacing w:line="360" w:lineRule="auto"/>
        <w:ind w:firstLine="420" w:firstLineChars="200"/>
        <w:rPr>
          <w:rFonts w:hint="eastAsia" w:ascii="宋体" w:hAnsi="宋体" w:cs="宋体"/>
          <w:szCs w:val="21"/>
        </w:rPr>
      </w:pPr>
      <w:r>
        <w:rPr>
          <w:rFonts w:hint="eastAsia" w:ascii="宋体" w:hAnsi="宋体" w:cs="宋体"/>
          <w:szCs w:val="21"/>
        </w:rPr>
        <w:t>2、晨扫考核或日常保洁巡查时发现成堆垃圾的每堆每次扣款1000元。</w:t>
      </w:r>
    </w:p>
    <w:p>
      <w:pPr>
        <w:spacing w:line="360" w:lineRule="auto"/>
        <w:ind w:firstLine="420" w:firstLineChars="200"/>
        <w:rPr>
          <w:rFonts w:hint="eastAsia" w:ascii="宋体" w:hAnsi="宋体" w:cs="宋体"/>
          <w:szCs w:val="21"/>
        </w:rPr>
      </w:pPr>
      <w:r>
        <w:rPr>
          <w:rFonts w:hint="eastAsia" w:ascii="宋体" w:hAnsi="宋体" w:cs="宋体"/>
          <w:szCs w:val="21"/>
        </w:rPr>
        <w:t>3、禁止焚烧垃圾，发现焚烧垃圾的每次扣款10000元。</w:t>
      </w:r>
    </w:p>
    <w:p>
      <w:pPr>
        <w:spacing w:line="360" w:lineRule="auto"/>
        <w:ind w:firstLine="420" w:firstLineChars="200"/>
        <w:rPr>
          <w:rFonts w:hint="eastAsia" w:ascii="宋体" w:hAnsi="宋体" w:cs="宋体"/>
          <w:szCs w:val="21"/>
        </w:rPr>
      </w:pPr>
      <w:r>
        <w:rPr>
          <w:rFonts w:hint="eastAsia" w:ascii="宋体" w:hAnsi="宋体" w:cs="宋体"/>
          <w:szCs w:val="21"/>
        </w:rPr>
        <w:t>4、发现乱倾倒垃圾或将沙土扫至下水道和绿化带的每次扣款1000元。</w:t>
      </w:r>
    </w:p>
    <w:p>
      <w:pPr>
        <w:spacing w:line="360" w:lineRule="auto"/>
        <w:ind w:firstLine="420" w:firstLineChars="200"/>
        <w:rPr>
          <w:rFonts w:hint="eastAsia" w:ascii="宋体" w:hAnsi="宋体" w:cs="宋体"/>
          <w:szCs w:val="21"/>
        </w:rPr>
      </w:pPr>
      <w:r>
        <w:rPr>
          <w:rFonts w:hint="eastAsia" w:ascii="宋体" w:hAnsi="宋体" w:cs="宋体"/>
          <w:szCs w:val="21"/>
        </w:rPr>
        <w:t>5、发现未按照要求配置机械化清扫、洒水、冲洗、除雪等车辆，每辆每次扣款10000元，合同期间乙方不得私自调用中标要求车辆为非中标区域服务，违反约定每天向甲方支付5000元/车的违约金，如遇特殊情况，乙方须提前告知甲方，经甲方同意后方可调用。</w:t>
      </w:r>
    </w:p>
    <w:p>
      <w:pPr>
        <w:spacing w:line="360" w:lineRule="auto"/>
        <w:ind w:firstLine="420" w:firstLineChars="200"/>
        <w:rPr>
          <w:rFonts w:hint="eastAsia" w:ascii="宋体" w:hAnsi="宋体" w:cs="宋体"/>
          <w:szCs w:val="21"/>
        </w:rPr>
      </w:pPr>
      <w:r>
        <w:rPr>
          <w:rFonts w:hint="eastAsia" w:ascii="宋体" w:hAnsi="宋体" w:cs="宋体"/>
          <w:szCs w:val="21"/>
        </w:rPr>
        <w:t>6、清扫保洁作业工具的每人每次扣款100元。</w:t>
      </w:r>
    </w:p>
    <w:p>
      <w:pPr>
        <w:spacing w:line="360" w:lineRule="auto"/>
        <w:ind w:firstLine="420" w:firstLineChars="200"/>
        <w:rPr>
          <w:rFonts w:hint="eastAsia" w:ascii="宋体" w:hAnsi="宋体" w:cs="宋体"/>
          <w:szCs w:val="21"/>
        </w:rPr>
      </w:pPr>
      <w:r>
        <w:rPr>
          <w:rFonts w:hint="eastAsia" w:ascii="宋体" w:hAnsi="宋体" w:cs="宋体"/>
          <w:szCs w:val="21"/>
        </w:rPr>
        <w:t>7、发现未按规定穿乙方明显标志的服装的每次扣款100元。</w:t>
      </w:r>
    </w:p>
    <w:p>
      <w:pPr>
        <w:spacing w:line="360" w:lineRule="auto"/>
        <w:ind w:firstLine="420" w:firstLineChars="200"/>
        <w:rPr>
          <w:rFonts w:hint="eastAsia" w:ascii="宋体" w:hAnsi="宋体" w:cs="宋体"/>
          <w:szCs w:val="21"/>
        </w:rPr>
      </w:pPr>
      <w:r>
        <w:rPr>
          <w:rFonts w:hint="eastAsia" w:ascii="宋体" w:hAnsi="宋体" w:cs="宋体"/>
          <w:szCs w:val="21"/>
        </w:rPr>
        <w:t xml:space="preserve">    8、保洁范围10米内废弃物不超过2处，每超出1处扣款100元，以此类推。</w:t>
      </w:r>
    </w:p>
    <w:p>
      <w:pPr>
        <w:spacing w:line="360" w:lineRule="auto"/>
        <w:ind w:firstLine="420" w:firstLineChars="200"/>
        <w:rPr>
          <w:rFonts w:hint="eastAsia" w:ascii="宋体" w:hAnsi="宋体" w:cs="宋体"/>
          <w:szCs w:val="21"/>
        </w:rPr>
      </w:pPr>
      <w:r>
        <w:rPr>
          <w:rFonts w:hint="eastAsia" w:ascii="宋体" w:hAnsi="宋体" w:cs="宋体"/>
          <w:szCs w:val="21"/>
        </w:rPr>
        <w:t>9、甲方将每天不定时对保洁作业人员在岗情况进行抽查，发现作业人员未按规定人员配备者视为缺岗，每发现一人次每月扣款2598元，以此类推；</w:t>
      </w:r>
    </w:p>
    <w:p>
      <w:pPr>
        <w:spacing w:line="360" w:lineRule="auto"/>
        <w:ind w:firstLine="420" w:firstLineChars="200"/>
        <w:rPr>
          <w:rFonts w:hint="eastAsia" w:ascii="宋体" w:hAnsi="宋体" w:cs="宋体"/>
          <w:szCs w:val="21"/>
        </w:rPr>
      </w:pPr>
      <w:r>
        <w:rPr>
          <w:rFonts w:hint="eastAsia" w:ascii="宋体" w:hAnsi="宋体" w:cs="宋体"/>
          <w:szCs w:val="21"/>
        </w:rPr>
        <w:t>10、各种车辆摆放规范，发现未规范摆放，每辆每次扣款10元。</w:t>
      </w:r>
    </w:p>
    <w:p>
      <w:pPr>
        <w:spacing w:line="360" w:lineRule="auto"/>
        <w:ind w:firstLine="420" w:firstLineChars="200"/>
        <w:rPr>
          <w:rFonts w:hint="eastAsia" w:ascii="宋体" w:hAnsi="宋体" w:cs="宋体"/>
          <w:szCs w:val="21"/>
        </w:rPr>
      </w:pPr>
      <w:r>
        <w:rPr>
          <w:rFonts w:hint="eastAsia" w:ascii="宋体" w:hAnsi="宋体" w:cs="宋体"/>
          <w:szCs w:val="21"/>
        </w:rPr>
        <w:t>11、各种车辆每周至少清洗一次，保持外观的整洁卫生，发现车辆外观不整洁的每次扣款100元。</w:t>
      </w:r>
    </w:p>
    <w:p>
      <w:pPr>
        <w:spacing w:line="360" w:lineRule="auto"/>
        <w:ind w:firstLine="420" w:firstLineChars="200"/>
        <w:rPr>
          <w:rFonts w:hint="eastAsia" w:ascii="宋体" w:hAnsi="宋体" w:cs="宋体"/>
          <w:szCs w:val="21"/>
        </w:rPr>
      </w:pPr>
      <w:r>
        <w:rPr>
          <w:rFonts w:hint="eastAsia" w:ascii="宋体" w:hAnsi="宋体" w:cs="宋体"/>
          <w:szCs w:val="21"/>
        </w:rPr>
        <w:t>12、果皮箱应及时清洗、清掏，保持外观的整洁卫生、无垃圾外溢，发现果皮箱未及时清洗或清掏造成外观不整洁的每个扣款100元/次、有垃圾外溢的每个扣款100元/次。</w:t>
      </w:r>
    </w:p>
    <w:p>
      <w:pPr>
        <w:spacing w:line="360" w:lineRule="auto"/>
        <w:ind w:firstLine="420" w:firstLineChars="200"/>
        <w:rPr>
          <w:rFonts w:hint="eastAsia" w:ascii="宋体" w:hAnsi="宋体" w:cs="宋体"/>
          <w:szCs w:val="21"/>
        </w:rPr>
      </w:pPr>
      <w:r>
        <w:rPr>
          <w:rFonts w:hint="eastAsia" w:ascii="宋体" w:hAnsi="宋体" w:cs="宋体"/>
          <w:szCs w:val="21"/>
        </w:rPr>
        <w:t>13、及时清理地面上的小广告，发现地面小广告未清除的，每处扣款100元。</w:t>
      </w:r>
    </w:p>
    <w:p>
      <w:pPr>
        <w:spacing w:line="360" w:lineRule="auto"/>
        <w:ind w:firstLine="420" w:firstLineChars="200"/>
        <w:rPr>
          <w:rFonts w:hint="eastAsia" w:ascii="宋体" w:hAnsi="宋体" w:cs="宋体"/>
          <w:szCs w:val="21"/>
        </w:rPr>
      </w:pPr>
      <w:r>
        <w:rPr>
          <w:rFonts w:hint="eastAsia" w:ascii="宋体" w:hAnsi="宋体" w:cs="宋体"/>
          <w:szCs w:val="21"/>
        </w:rPr>
        <w:t>14、保洁车、垃圾运输车辆未按照市里要求进行密闭的或规格不符，每发现一辆扣款1000元/次。</w:t>
      </w:r>
    </w:p>
    <w:p>
      <w:pPr>
        <w:spacing w:line="360" w:lineRule="auto"/>
        <w:ind w:firstLine="420" w:firstLineChars="200"/>
        <w:rPr>
          <w:rFonts w:hint="eastAsia" w:ascii="宋体" w:hAnsi="宋体" w:cs="宋体"/>
          <w:szCs w:val="21"/>
        </w:rPr>
      </w:pPr>
      <w:r>
        <w:rPr>
          <w:rFonts w:hint="eastAsia" w:ascii="宋体" w:hAnsi="宋体" w:cs="宋体"/>
          <w:szCs w:val="21"/>
        </w:rPr>
        <w:t>15、乙方负责区域内果皮箱的日常管理，如出现果皮箱损坏和丢失，应及时进行维修和更换，发现未及时维修、更换的，每个扣款100元/次。</w:t>
      </w:r>
    </w:p>
    <w:p>
      <w:pPr>
        <w:spacing w:line="360" w:lineRule="auto"/>
        <w:ind w:firstLine="420" w:firstLineChars="200"/>
        <w:rPr>
          <w:rFonts w:hint="eastAsia" w:ascii="宋体" w:hAnsi="宋体" w:cs="宋体"/>
          <w:szCs w:val="21"/>
        </w:rPr>
      </w:pPr>
      <w:r>
        <w:rPr>
          <w:rFonts w:hint="eastAsia" w:ascii="宋体" w:hAnsi="宋体" w:cs="宋体"/>
          <w:szCs w:val="21"/>
        </w:rPr>
        <w:t>16、垃圾日产日清，如遇到重要活动或节假日时应增加收集次数。发现未能按规定时间完成收集清运的，每次扣款10000元。</w:t>
      </w:r>
    </w:p>
    <w:p>
      <w:pPr>
        <w:spacing w:line="360" w:lineRule="auto"/>
        <w:ind w:firstLine="420" w:firstLineChars="200"/>
        <w:rPr>
          <w:rFonts w:hint="eastAsia" w:ascii="宋体" w:hAnsi="宋体" w:cs="宋体"/>
          <w:szCs w:val="21"/>
        </w:rPr>
      </w:pPr>
      <w:r>
        <w:rPr>
          <w:rFonts w:hint="eastAsia" w:ascii="宋体" w:hAnsi="宋体" w:cs="宋体"/>
          <w:szCs w:val="21"/>
        </w:rPr>
        <w:t>17、乙方须指定一名人员负责标段内数字化案件的处置工作，如未在规定时间内处置，将按照市、区对数字化案件处置的规定进行扣款。</w:t>
      </w:r>
    </w:p>
    <w:p>
      <w:pPr>
        <w:spacing w:line="360" w:lineRule="auto"/>
        <w:ind w:firstLine="420" w:firstLineChars="200"/>
        <w:rPr>
          <w:rFonts w:hint="eastAsia" w:ascii="宋体" w:hAnsi="宋体" w:cs="宋体"/>
          <w:szCs w:val="21"/>
        </w:rPr>
      </w:pPr>
      <w:r>
        <w:rPr>
          <w:rFonts w:hint="eastAsia" w:ascii="宋体" w:hAnsi="宋体" w:cs="宋体"/>
          <w:szCs w:val="21"/>
        </w:rPr>
        <w:t>18、乙方责任区内被有关部门罚款或有偿整改（经核实属于乙方责任的），将依照郑州市、二七区对罚款或有偿整改的规定进行扣款，费用在当月清扫费用中扣除。</w:t>
      </w:r>
    </w:p>
    <w:p>
      <w:pPr>
        <w:spacing w:line="360" w:lineRule="auto"/>
        <w:ind w:firstLine="420" w:firstLineChars="200"/>
        <w:rPr>
          <w:rFonts w:hint="eastAsia" w:ascii="宋体" w:hAnsi="宋体" w:cs="宋体"/>
          <w:szCs w:val="21"/>
        </w:rPr>
      </w:pPr>
      <w:r>
        <w:rPr>
          <w:rFonts w:hint="eastAsia" w:ascii="宋体" w:hAnsi="宋体" w:cs="宋体"/>
          <w:szCs w:val="21"/>
        </w:rPr>
        <w:t>19、中标区域路长制道路评选中得黑旗的路段（经核实属于乙方责任的）所产生的罚款由乙方承担。</w:t>
      </w:r>
    </w:p>
    <w:p>
      <w:pPr>
        <w:spacing w:line="360" w:lineRule="auto"/>
        <w:ind w:firstLine="420" w:firstLineChars="200"/>
        <w:rPr>
          <w:rFonts w:hint="eastAsia" w:ascii="宋体" w:hAnsi="宋体" w:cs="宋体"/>
          <w:szCs w:val="21"/>
        </w:rPr>
      </w:pPr>
      <w:r>
        <w:rPr>
          <w:rFonts w:hint="eastAsia" w:ascii="宋体" w:hAnsi="宋体" w:cs="宋体"/>
          <w:szCs w:val="21"/>
        </w:rPr>
        <w:t>20、甲方每周将定期或临时召开会议，乙方项目负责人或法人接到通知后应准时参加，未能按时参加的每次扣款1000元；参加会议迟到（30分钟内的）每次扣款200元，超过30分钟的扣款500元。</w:t>
      </w:r>
    </w:p>
    <w:p>
      <w:pPr>
        <w:spacing w:line="360" w:lineRule="auto"/>
        <w:ind w:firstLine="420" w:firstLineChars="200"/>
        <w:rPr>
          <w:rFonts w:hint="eastAsia" w:ascii="宋体" w:hAnsi="宋体" w:cs="宋体"/>
          <w:szCs w:val="21"/>
        </w:rPr>
      </w:pPr>
      <w:r>
        <w:rPr>
          <w:rFonts w:hint="eastAsia" w:ascii="宋体" w:hAnsi="宋体" w:cs="宋体"/>
          <w:szCs w:val="21"/>
        </w:rPr>
        <w:t>21、月检查记录表由乙方项目负责人或法人在月底签字，如有特殊情况不能按时来签到的，需向区城管局请假，经同意后可延时签字。</w:t>
      </w:r>
    </w:p>
    <w:p>
      <w:pPr>
        <w:spacing w:line="360" w:lineRule="auto"/>
        <w:ind w:firstLine="420" w:firstLineChars="200"/>
        <w:rPr>
          <w:rFonts w:hint="eastAsia" w:ascii="宋体" w:hAnsi="宋体" w:cs="宋体"/>
          <w:szCs w:val="21"/>
        </w:rPr>
      </w:pPr>
      <w:r>
        <w:rPr>
          <w:rFonts w:hint="eastAsia" w:ascii="宋体" w:hAnsi="宋体" w:cs="宋体"/>
          <w:szCs w:val="21"/>
        </w:rPr>
        <w:t xml:space="preserve">22、乙方质检员每天跟班作业，日常巡查时检查人员到达质检员所管区域后，电话通知质检员，质检员10分钟内到达指定位置，否则每次扣200元/人，以此类推，当月累积计算，次月重新计算。    </w:t>
      </w:r>
    </w:p>
    <w:p>
      <w:pPr>
        <w:spacing w:line="360" w:lineRule="auto"/>
        <w:ind w:firstLine="420" w:firstLineChars="200"/>
        <w:rPr>
          <w:rFonts w:hint="eastAsia" w:ascii="宋体" w:hAnsi="宋体" w:cs="宋体"/>
          <w:szCs w:val="21"/>
        </w:rPr>
      </w:pPr>
      <w:r>
        <w:rPr>
          <w:rFonts w:hint="eastAsia" w:ascii="宋体" w:hAnsi="宋体" w:cs="宋体"/>
          <w:szCs w:val="21"/>
        </w:rPr>
        <w:t>23、日常巡查考核时发现乙方保洁或管理不到位等情况，发出口头或书面整改通知书要求限时整改，如乙方未能按时完成整改的每次扣款500元，如未进行整改的每次扣款1000元。</w:t>
      </w:r>
    </w:p>
    <w:p>
      <w:pPr>
        <w:spacing w:line="360" w:lineRule="auto"/>
        <w:ind w:firstLine="420" w:firstLineChars="200"/>
        <w:rPr>
          <w:rFonts w:hint="eastAsia" w:ascii="宋体" w:hAnsi="宋体" w:cs="宋体"/>
          <w:szCs w:val="21"/>
        </w:rPr>
      </w:pPr>
      <w:r>
        <w:rPr>
          <w:rFonts w:hint="eastAsia" w:ascii="宋体" w:hAnsi="宋体" w:cs="宋体"/>
          <w:szCs w:val="21"/>
        </w:rPr>
        <w:t>24、合同签订后15日内乙方需在中标区域范围内设置一处固定办公场所，在固定办公场所内按规定及投标承诺建有规范的管理制度、检查考核制度、安全生产防范保障措施、标段内保洁人员及车辆配备情况、重大活动和突发事故应急保障措施等内容，未按规定设置办公场所的每月扣款5000元，以此类推。</w:t>
      </w:r>
    </w:p>
    <w:p>
      <w:pPr>
        <w:spacing w:line="360" w:lineRule="auto"/>
        <w:ind w:firstLine="420" w:firstLineChars="200"/>
        <w:rPr>
          <w:rFonts w:hint="eastAsia" w:ascii="宋体" w:hAnsi="宋体" w:cs="宋体"/>
          <w:szCs w:val="21"/>
        </w:rPr>
      </w:pPr>
      <w:r>
        <w:rPr>
          <w:rFonts w:hint="eastAsia" w:ascii="宋体" w:hAnsi="宋体" w:cs="宋体"/>
          <w:szCs w:val="21"/>
        </w:rPr>
        <w:t>25、受上级主管部门通报批评或新闻媒体曝光及市民举报的，经核实是乙方责任的每次扣款10000元。</w:t>
      </w:r>
    </w:p>
    <w:p>
      <w:pPr>
        <w:spacing w:line="360" w:lineRule="auto"/>
        <w:ind w:firstLine="420" w:firstLineChars="200"/>
        <w:rPr>
          <w:rFonts w:hint="eastAsia" w:ascii="宋体" w:hAnsi="宋体" w:cs="宋体"/>
          <w:szCs w:val="21"/>
        </w:rPr>
      </w:pPr>
      <w:r>
        <w:rPr>
          <w:rFonts w:hint="eastAsia" w:ascii="宋体" w:hAnsi="宋体" w:cs="宋体"/>
          <w:szCs w:val="21"/>
        </w:rPr>
        <w:t>26、乙方中标后不得转包或分包他人，否则甲方有权单方解除合同，并可追究违约方的法律责任。</w:t>
      </w:r>
      <w:r>
        <w:rPr>
          <w:rFonts w:hint="eastAsia" w:ascii="宋体" w:hAnsi="宋体" w:cs="宋体"/>
          <w:szCs w:val="21"/>
        </w:rPr>
        <w:br w:type="page"/>
      </w:r>
    </w:p>
    <w:p>
      <w:pPr>
        <w:spacing w:line="360" w:lineRule="auto"/>
        <w:jc w:val="center"/>
        <w:rPr>
          <w:rFonts w:hint="eastAsia" w:ascii="宋体" w:hAnsi="宋体" w:cs="宋体"/>
          <w:b/>
          <w:bCs/>
          <w:color w:val="000000"/>
          <w:szCs w:val="21"/>
        </w:rPr>
      </w:pPr>
      <w:r>
        <w:rPr>
          <w:rFonts w:hint="eastAsia" w:ascii="宋体" w:hAnsi="宋体" w:cs="宋体"/>
          <w:b/>
          <w:bCs/>
          <w:szCs w:val="21"/>
        </w:rPr>
        <w:t>★（四）</w:t>
      </w:r>
      <w:r>
        <w:rPr>
          <w:rFonts w:hint="eastAsia" w:ascii="宋体" w:hAnsi="宋体" w:cs="宋体"/>
          <w:b/>
          <w:bCs/>
          <w:color w:val="000000"/>
          <w:szCs w:val="21"/>
        </w:rPr>
        <w:t>关于印发2018年郑州市城市精细化管理环境卫生治理工作专案的通知</w:t>
      </w:r>
    </w:p>
    <w:p>
      <w:pPr>
        <w:pStyle w:val="6"/>
        <w:rPr>
          <w:rFonts w:hint="eastAsia" w:ascii="宋体" w:hAnsi="宋体" w:eastAsia="宋体" w:cs="宋体"/>
        </w:rPr>
      </w:pPr>
      <w:r>
        <w:rPr>
          <w:rFonts w:hint="eastAsia" w:ascii="宋体" w:hAnsi="宋体" w:eastAsia="宋体" w:cs="宋体"/>
        </w:rPr>
        <w:drawing>
          <wp:inline distT="0" distB="0" distL="114300" distR="114300">
            <wp:extent cx="5623560" cy="8031480"/>
            <wp:effectExtent l="0" t="0" r="0" b="0"/>
            <wp:docPr id="1" name="图片 1" descr="1678862809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678862809855"/>
                    <pic:cNvPicPr>
                      <a:picLocks noChangeAspect="1"/>
                    </pic:cNvPicPr>
                  </pic:nvPicPr>
                  <pic:blipFill>
                    <a:blip r:embed="rId4"/>
                    <a:stretch>
                      <a:fillRect/>
                    </a:stretch>
                  </pic:blipFill>
                  <pic:spPr>
                    <a:xfrm>
                      <a:off x="0" y="0"/>
                      <a:ext cx="5623560" cy="8031480"/>
                    </a:xfrm>
                    <a:prstGeom prst="rect">
                      <a:avLst/>
                    </a:prstGeom>
                    <a:noFill/>
                    <a:ln>
                      <a:noFill/>
                    </a:ln>
                  </pic:spPr>
                </pic:pic>
              </a:graphicData>
            </a:graphic>
          </wp:inline>
        </w:drawing>
      </w:r>
    </w:p>
    <w:p>
      <w:pPr>
        <w:rPr>
          <w:rFonts w:hint="eastAsia" w:ascii="宋体" w:hAnsi="宋体" w:cs="宋体"/>
        </w:rPr>
      </w:pPr>
    </w:p>
    <w:p>
      <w:pPr>
        <w:pStyle w:val="6"/>
        <w:rPr>
          <w:rFonts w:hint="eastAsia" w:ascii="宋体" w:hAnsi="宋体" w:eastAsia="宋体" w:cs="宋体"/>
        </w:rPr>
      </w:pPr>
    </w:p>
    <w:p>
      <w:pPr>
        <w:rPr>
          <w:rFonts w:hint="eastAsia" w:ascii="宋体" w:hAnsi="宋体" w:cs="宋体"/>
        </w:rPr>
      </w:pPr>
      <w:r>
        <w:rPr>
          <w:rFonts w:hint="eastAsia" w:ascii="宋体" w:hAnsi="宋体" w:cs="宋体"/>
        </w:rPr>
        <w:drawing>
          <wp:inline distT="0" distB="0" distL="114300" distR="114300">
            <wp:extent cx="5585460" cy="7947660"/>
            <wp:effectExtent l="0" t="0" r="7620" b="7620"/>
            <wp:docPr id="2" name="图片 2" descr="d1d220446b38234c7698c55ff5af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1d220446b38234c7698c55ff5af417"/>
                    <pic:cNvPicPr>
                      <a:picLocks noChangeAspect="1"/>
                    </pic:cNvPicPr>
                  </pic:nvPicPr>
                  <pic:blipFill>
                    <a:blip r:embed="rId5"/>
                    <a:stretch>
                      <a:fillRect/>
                    </a:stretch>
                  </pic:blipFill>
                  <pic:spPr>
                    <a:xfrm>
                      <a:off x="0" y="0"/>
                      <a:ext cx="5585460" cy="7947660"/>
                    </a:xfrm>
                    <a:prstGeom prst="rect">
                      <a:avLst/>
                    </a:prstGeom>
                    <a:noFill/>
                    <a:ln>
                      <a:noFill/>
                    </a:ln>
                  </pic:spPr>
                </pic:pic>
              </a:graphicData>
            </a:graphic>
          </wp:inline>
        </w:drawing>
      </w:r>
    </w:p>
    <w:p>
      <w:pPr>
        <w:pStyle w:val="6"/>
        <w:rPr>
          <w:rFonts w:hint="eastAsia" w:ascii="宋体" w:hAnsi="宋体" w:eastAsia="宋体" w:cs="宋体"/>
        </w:rPr>
      </w:pPr>
    </w:p>
    <w:p>
      <w:pPr>
        <w:rPr>
          <w:rFonts w:hint="eastAsia" w:ascii="宋体" w:hAnsi="宋体" w:cs="宋体"/>
        </w:rPr>
      </w:pPr>
    </w:p>
    <w:p>
      <w:pPr>
        <w:pStyle w:val="6"/>
        <w:rPr>
          <w:rFonts w:hint="eastAsia" w:ascii="宋体" w:hAnsi="宋体" w:eastAsia="宋体" w:cs="宋体"/>
        </w:rPr>
      </w:pPr>
      <w:r>
        <w:rPr>
          <w:rFonts w:hint="eastAsia" w:ascii="宋体" w:hAnsi="宋体" w:eastAsia="宋体" w:cs="宋体"/>
        </w:rPr>
        <w:drawing>
          <wp:inline distT="0" distB="0" distL="114300" distR="114300">
            <wp:extent cx="5562600" cy="7559040"/>
            <wp:effectExtent l="0" t="0" r="0" b="0"/>
            <wp:docPr id="3" name="图片 3" descr="1678862883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678862883997"/>
                    <pic:cNvPicPr>
                      <a:picLocks noChangeAspect="1"/>
                    </pic:cNvPicPr>
                  </pic:nvPicPr>
                  <pic:blipFill>
                    <a:blip r:embed="rId6"/>
                    <a:stretch>
                      <a:fillRect/>
                    </a:stretch>
                  </pic:blipFill>
                  <pic:spPr>
                    <a:xfrm>
                      <a:off x="0" y="0"/>
                      <a:ext cx="5562600" cy="7559040"/>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547360" cy="7848600"/>
            <wp:effectExtent l="0" t="0" r="0" b="0"/>
            <wp:docPr id="6" name="图片 4" descr="1678862919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descr="1678862919046"/>
                    <pic:cNvPicPr>
                      <a:picLocks noChangeAspect="1"/>
                    </pic:cNvPicPr>
                  </pic:nvPicPr>
                  <pic:blipFill>
                    <a:blip r:embed="rId7"/>
                    <a:stretch>
                      <a:fillRect/>
                    </a:stretch>
                  </pic:blipFill>
                  <pic:spPr>
                    <a:xfrm>
                      <a:off x="0" y="0"/>
                      <a:ext cx="5547360" cy="7848600"/>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600700" cy="7833360"/>
            <wp:effectExtent l="0" t="0" r="7620" b="0"/>
            <wp:docPr id="27" name="图片 5" descr="1678862944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descr="1678862944961"/>
                    <pic:cNvPicPr>
                      <a:picLocks noChangeAspect="1"/>
                    </pic:cNvPicPr>
                  </pic:nvPicPr>
                  <pic:blipFill>
                    <a:blip r:embed="rId8"/>
                    <a:stretch>
                      <a:fillRect/>
                    </a:stretch>
                  </pic:blipFill>
                  <pic:spPr>
                    <a:xfrm>
                      <a:off x="0" y="0"/>
                      <a:ext cx="5600700" cy="7833360"/>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608320" cy="7833360"/>
            <wp:effectExtent l="0" t="0" r="0" b="0"/>
            <wp:docPr id="28" name="图片 6" descr="1678862980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 descr="1678862980232"/>
                    <pic:cNvPicPr>
                      <a:picLocks noChangeAspect="1"/>
                    </pic:cNvPicPr>
                  </pic:nvPicPr>
                  <pic:blipFill>
                    <a:blip r:embed="rId9"/>
                    <a:stretch>
                      <a:fillRect/>
                    </a:stretch>
                  </pic:blipFill>
                  <pic:spPr>
                    <a:xfrm>
                      <a:off x="0" y="0"/>
                      <a:ext cx="5608320" cy="7833360"/>
                    </a:xfrm>
                    <a:prstGeom prst="rect">
                      <a:avLst/>
                    </a:prstGeom>
                    <a:noFill/>
                    <a:ln>
                      <a:noFill/>
                    </a:ln>
                  </pic:spPr>
                </pic:pic>
              </a:graphicData>
            </a:graphic>
          </wp:inline>
        </w:drawing>
      </w:r>
    </w:p>
    <w:p>
      <w:pPr>
        <w:rPr>
          <w:rFonts w:hint="eastAsia" w:ascii="宋体" w:hAnsi="宋体" w:cs="宋体"/>
        </w:rPr>
      </w:pPr>
      <w:r>
        <w:rPr>
          <w:rFonts w:hint="eastAsia" w:ascii="宋体" w:hAnsi="宋体" w:cs="宋体"/>
        </w:rPr>
        <w:drawing>
          <wp:inline distT="0" distB="0" distL="114300" distR="114300">
            <wp:extent cx="5478780" cy="7741920"/>
            <wp:effectExtent l="0" t="0" r="7620" b="0"/>
            <wp:docPr id="29" name="图片 7" descr="1678862998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7" descr="1678862998987"/>
                    <pic:cNvPicPr>
                      <a:picLocks noChangeAspect="1"/>
                    </pic:cNvPicPr>
                  </pic:nvPicPr>
                  <pic:blipFill>
                    <a:blip r:embed="rId10"/>
                    <a:stretch>
                      <a:fillRect/>
                    </a:stretch>
                  </pic:blipFill>
                  <pic:spPr>
                    <a:xfrm>
                      <a:off x="0" y="0"/>
                      <a:ext cx="5478780" cy="7741920"/>
                    </a:xfrm>
                    <a:prstGeom prst="rect">
                      <a:avLst/>
                    </a:prstGeom>
                    <a:noFill/>
                    <a:ln>
                      <a:noFill/>
                    </a:ln>
                  </pic:spPr>
                </pic:pic>
              </a:graphicData>
            </a:graphic>
          </wp:inline>
        </w:drawing>
      </w:r>
      <w:r>
        <w:rPr>
          <w:rFonts w:hint="eastAsia" w:ascii="宋体" w:hAnsi="宋体" w:cs="宋体"/>
        </w:rPr>
        <w:drawing>
          <wp:inline distT="0" distB="0" distL="114300" distR="114300">
            <wp:extent cx="5654040" cy="7917180"/>
            <wp:effectExtent l="0" t="0" r="0" b="7620"/>
            <wp:docPr id="30" name="图片 8" descr="1678863027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8" descr="1678863027669"/>
                    <pic:cNvPicPr>
                      <a:picLocks noChangeAspect="1"/>
                    </pic:cNvPicPr>
                  </pic:nvPicPr>
                  <pic:blipFill>
                    <a:blip r:embed="rId11"/>
                    <a:stretch>
                      <a:fillRect/>
                    </a:stretch>
                  </pic:blipFill>
                  <pic:spPr>
                    <a:xfrm>
                      <a:off x="0" y="0"/>
                      <a:ext cx="5654040" cy="7917180"/>
                    </a:xfrm>
                    <a:prstGeom prst="rect">
                      <a:avLst/>
                    </a:prstGeom>
                    <a:noFill/>
                    <a:ln>
                      <a:noFill/>
                    </a:ln>
                  </pic:spPr>
                </pic:pic>
              </a:graphicData>
            </a:graphic>
          </wp:inline>
        </w:drawing>
      </w:r>
      <w:r>
        <w:rPr>
          <w:rFonts w:hint="eastAsia" w:ascii="宋体" w:hAnsi="宋体" w:cs="宋体"/>
        </w:rPr>
        <w:drawing>
          <wp:inline distT="0" distB="0" distL="114300" distR="114300">
            <wp:extent cx="5585460" cy="7863840"/>
            <wp:effectExtent l="0" t="0" r="7620" b="0"/>
            <wp:docPr id="31" name="图片 9" descr="167886305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9" descr="1678863051437"/>
                    <pic:cNvPicPr>
                      <a:picLocks noChangeAspect="1"/>
                    </pic:cNvPicPr>
                  </pic:nvPicPr>
                  <pic:blipFill>
                    <a:blip r:embed="rId12"/>
                    <a:stretch>
                      <a:fillRect/>
                    </a:stretch>
                  </pic:blipFill>
                  <pic:spPr>
                    <a:xfrm>
                      <a:off x="0" y="0"/>
                      <a:ext cx="5585460" cy="7863840"/>
                    </a:xfrm>
                    <a:prstGeom prst="rect">
                      <a:avLst/>
                    </a:prstGeom>
                    <a:noFill/>
                    <a:ln>
                      <a:noFill/>
                    </a:ln>
                  </pic:spPr>
                </pic:pic>
              </a:graphicData>
            </a:graphic>
          </wp:inline>
        </w:drawing>
      </w:r>
      <w:r>
        <w:rPr>
          <w:rFonts w:hint="eastAsia" w:ascii="宋体" w:hAnsi="宋体" w:cs="宋体"/>
        </w:rPr>
        <w:drawing>
          <wp:inline distT="0" distB="0" distL="114300" distR="114300">
            <wp:extent cx="5615940" cy="7833360"/>
            <wp:effectExtent l="0" t="0" r="7620" b="0"/>
            <wp:docPr id="32" name="图片 10" descr="1678863080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0" descr="1678863080572"/>
                    <pic:cNvPicPr>
                      <a:picLocks noChangeAspect="1"/>
                    </pic:cNvPicPr>
                  </pic:nvPicPr>
                  <pic:blipFill>
                    <a:blip r:embed="rId13"/>
                    <a:stretch>
                      <a:fillRect/>
                    </a:stretch>
                  </pic:blipFill>
                  <pic:spPr>
                    <a:xfrm>
                      <a:off x="0" y="0"/>
                      <a:ext cx="5615940" cy="7833360"/>
                    </a:xfrm>
                    <a:prstGeom prst="rect">
                      <a:avLst/>
                    </a:prstGeom>
                    <a:noFill/>
                    <a:ln>
                      <a:noFill/>
                    </a:ln>
                  </pic:spPr>
                </pic:pic>
              </a:graphicData>
            </a:graphic>
          </wp:inline>
        </w:drawing>
      </w:r>
    </w:p>
    <w:p>
      <w:pPr>
        <w:ind w:firstLine="420" w:firstLineChars="200"/>
        <w:rPr>
          <w:rFonts w:hint="eastAsia" w:ascii="宋体" w:hAnsi="宋体" w:cs="宋体"/>
        </w:rPr>
      </w:pPr>
    </w:p>
    <w:p>
      <w:pPr>
        <w:pStyle w:val="10"/>
        <w:snapToGrid w:val="0"/>
        <w:spacing w:before="312" w:beforeLines="100" w:line="360" w:lineRule="auto"/>
        <w:ind w:left="720" w:firstLine="0" w:firstLineChars="0"/>
        <w:rPr>
          <w:rFonts w:hint="eastAsia"/>
          <w:sz w:val="21"/>
          <w:szCs w:val="21"/>
        </w:rPr>
      </w:pPr>
    </w:p>
    <w:p>
      <w:pPr>
        <w:pStyle w:val="10"/>
        <w:snapToGrid w:val="0"/>
        <w:spacing w:before="312" w:beforeLines="100" w:line="360" w:lineRule="auto"/>
        <w:ind w:left="720" w:firstLine="0" w:firstLineChars="0"/>
        <w:rPr>
          <w:rFonts w:hint="eastAsia"/>
          <w:sz w:val="28"/>
          <w:szCs w:val="28"/>
        </w:rPr>
      </w:pPr>
    </w:p>
    <w:p>
      <w:pPr>
        <w:pStyle w:val="10"/>
        <w:snapToGrid w:val="0"/>
        <w:spacing w:before="312" w:beforeLines="100"/>
        <w:ind w:left="720" w:firstLine="0" w:firstLineChars="0"/>
        <w:rPr>
          <w:rFonts w:hint="eastAsia"/>
          <w:sz w:val="28"/>
          <w:szCs w:val="28"/>
        </w:rPr>
      </w:pPr>
      <w:r>
        <w:rPr>
          <w:rFonts w:hint="eastAsia"/>
        </w:rPr>
        <w:drawing>
          <wp:inline distT="0" distB="0" distL="114300" distR="114300">
            <wp:extent cx="5271135" cy="7450455"/>
            <wp:effectExtent l="0" t="0" r="1905" b="1905"/>
            <wp:docPr id="34" name="图片 11" descr="组合 1_页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1" descr="组合 1_页面_02"/>
                    <pic:cNvPicPr>
                      <a:picLocks noChangeAspect="1"/>
                    </pic:cNvPicPr>
                  </pic:nvPicPr>
                  <pic:blipFill>
                    <a:blip r:embed="rId14"/>
                    <a:stretch>
                      <a:fillRect/>
                    </a:stretch>
                  </pic:blipFill>
                  <pic:spPr>
                    <a:xfrm>
                      <a:off x="0" y="0"/>
                      <a:ext cx="5271135" cy="7450455"/>
                    </a:xfrm>
                    <a:prstGeom prst="rect">
                      <a:avLst/>
                    </a:prstGeom>
                    <a:noFill/>
                    <a:ln>
                      <a:noFill/>
                    </a:ln>
                  </pic:spPr>
                </pic:pic>
              </a:graphicData>
            </a:graphic>
          </wp:inline>
        </w:drawing>
      </w:r>
    </w:p>
    <w:p>
      <w:pPr>
        <w:pStyle w:val="10"/>
        <w:snapToGrid w:val="0"/>
        <w:spacing w:before="312" w:beforeLines="100"/>
        <w:ind w:left="720" w:firstLine="0" w:firstLineChars="0"/>
        <w:rPr>
          <w:rFonts w:hint="eastAsia"/>
          <w:sz w:val="28"/>
          <w:szCs w:val="28"/>
        </w:rPr>
      </w:pPr>
    </w:p>
    <w:p>
      <w:pPr>
        <w:rPr>
          <w:rFonts w:hint="eastAsia" w:ascii="宋体" w:hAnsi="宋体" w:cs="宋体"/>
          <w:szCs w:val="32"/>
        </w:rPr>
      </w:pPr>
      <w:r>
        <w:rPr>
          <w:rFonts w:hint="eastAsia" w:ascii="宋体" w:hAnsi="宋体" w:cs="宋体"/>
          <w:szCs w:val="32"/>
        </w:rPr>
        <w:br w:type="page"/>
      </w:r>
    </w:p>
    <w:p>
      <w:pPr>
        <w:rPr>
          <w:rFonts w:hint="eastAsia" w:ascii="宋体" w:hAnsi="宋体" w:cs="宋体"/>
          <w:szCs w:val="32"/>
        </w:rPr>
      </w:pPr>
      <w:r>
        <w:rPr>
          <w:rFonts w:hint="eastAsia" w:ascii="宋体" w:hAnsi="宋体" w:cs="宋体"/>
          <w:szCs w:val="32"/>
        </w:rPr>
        <w:br w:type="page"/>
      </w:r>
      <w:r>
        <w:rPr>
          <w:rFonts w:hint="eastAsia" w:ascii="宋体" w:hAnsi="宋体" w:cs="宋体"/>
        </w:rPr>
        <w:drawing>
          <wp:anchor distT="0" distB="0" distL="114300" distR="114300" simplePos="0" relativeHeight="251659264" behindDoc="0" locked="0" layoutInCell="1" allowOverlap="1">
            <wp:simplePos x="0" y="0"/>
            <wp:positionH relativeFrom="column">
              <wp:posOffset>212725</wp:posOffset>
            </wp:positionH>
            <wp:positionV relativeFrom="paragraph">
              <wp:posOffset>180975</wp:posOffset>
            </wp:positionV>
            <wp:extent cx="5271135" cy="7450455"/>
            <wp:effectExtent l="0" t="0" r="1905" b="1905"/>
            <wp:wrapSquare wrapText="bothSides"/>
            <wp:docPr id="33" name="图片 3" descr="组合 1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descr="组合 1_页面_01"/>
                    <pic:cNvPicPr>
                      <a:picLocks noChangeAspect="1"/>
                    </pic:cNvPicPr>
                  </pic:nvPicPr>
                  <pic:blipFill>
                    <a:blip r:embed="rId15"/>
                    <a:stretch>
                      <a:fillRect/>
                    </a:stretch>
                  </pic:blipFill>
                  <pic:spPr>
                    <a:xfrm>
                      <a:off x="0" y="0"/>
                      <a:ext cx="5271135" cy="7450455"/>
                    </a:xfrm>
                    <a:prstGeom prst="rect">
                      <a:avLst/>
                    </a:prstGeom>
                    <a:noFill/>
                    <a:ln>
                      <a:noFill/>
                    </a:ln>
                  </pic:spPr>
                </pic:pic>
              </a:graphicData>
            </a:graphic>
          </wp:anchor>
        </w:drawing>
      </w:r>
    </w:p>
    <w:p>
      <w:pPr>
        <w:rPr>
          <w:rFonts w:hint="eastAsia" w:ascii="宋体" w:hAnsi="宋体" w:cs="宋体"/>
          <w:szCs w:val="32"/>
        </w:rPr>
      </w:pPr>
    </w:p>
    <w:p>
      <w:pPr>
        <w:spacing w:line="360" w:lineRule="auto"/>
        <w:jc w:val="center"/>
        <w:rPr>
          <w:rFonts w:hint="eastAsia" w:ascii="宋体" w:hAnsi="宋体" w:cs="宋体"/>
          <w:b/>
          <w:bCs/>
          <w:szCs w:val="21"/>
        </w:rPr>
      </w:pPr>
      <w:r>
        <w:rPr>
          <w:rFonts w:hint="eastAsia" w:ascii="宋体" w:hAnsi="宋体" w:cs="微软雅黑"/>
          <w:b/>
          <w:szCs w:val="21"/>
        </w:rPr>
        <w:t>★</w:t>
      </w:r>
      <w:r>
        <w:rPr>
          <w:rFonts w:hint="eastAsia" w:ascii="宋体" w:hAnsi="宋体" w:cs="宋体"/>
          <w:b/>
          <w:bCs/>
          <w:szCs w:val="21"/>
        </w:rPr>
        <w:t>（五）关于印发郑州市城市道路清除冰雪工作导则的通知</w:t>
      </w:r>
    </w:p>
    <w:p>
      <w:pPr>
        <w:rPr>
          <w:rFonts w:hint="eastAsia" w:ascii="宋体" w:hAnsi="宋体" w:cs="宋体"/>
          <w:szCs w:val="32"/>
        </w:rPr>
      </w:pPr>
      <w:r>
        <w:rPr>
          <w:rFonts w:hint="eastAsia" w:ascii="宋体" w:hAnsi="宋体" w:cs="宋体"/>
          <w:sz w:val="32"/>
          <w:szCs w:val="32"/>
        </w:rPr>
        <w:drawing>
          <wp:inline distT="0" distB="0" distL="114300" distR="114300">
            <wp:extent cx="5272405" cy="6819900"/>
            <wp:effectExtent l="0" t="0" r="635" b="7620"/>
            <wp:docPr id="35" name="图片 12" descr="组合 1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2" descr="组合 1_页面_03"/>
                    <pic:cNvPicPr>
                      <a:picLocks noChangeAspect="1"/>
                    </pic:cNvPicPr>
                  </pic:nvPicPr>
                  <pic:blipFill>
                    <a:blip r:embed="rId16"/>
                    <a:stretch>
                      <a:fillRect/>
                    </a:stretch>
                  </pic:blipFill>
                  <pic:spPr>
                    <a:xfrm>
                      <a:off x="0" y="0"/>
                      <a:ext cx="5272405" cy="6819900"/>
                    </a:xfrm>
                    <a:prstGeom prst="rect">
                      <a:avLst/>
                    </a:prstGeom>
                    <a:noFill/>
                    <a:ln>
                      <a:noFill/>
                    </a:ln>
                  </pic:spPr>
                </pic:pic>
              </a:graphicData>
            </a:graphic>
          </wp:inline>
        </w:drawing>
      </w:r>
      <w:r>
        <w:rPr>
          <w:rFonts w:hint="eastAsia" w:ascii="宋体" w:hAnsi="宋体" w:cs="宋体"/>
          <w:sz w:val="32"/>
          <w:szCs w:val="32"/>
        </w:rPr>
        <w:drawing>
          <wp:inline distT="0" distB="0" distL="114300" distR="114300">
            <wp:extent cx="5272405" cy="6819900"/>
            <wp:effectExtent l="0" t="0" r="635" b="7620"/>
            <wp:docPr id="36" name="图片 13" descr="组合 1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3" descr="组合 1_页面_04"/>
                    <pic:cNvPicPr>
                      <a:picLocks noChangeAspect="1"/>
                    </pic:cNvPicPr>
                  </pic:nvPicPr>
                  <pic:blipFill>
                    <a:blip r:embed="rId17"/>
                    <a:stretch>
                      <a:fillRect/>
                    </a:stretch>
                  </pic:blipFill>
                  <pic:spPr>
                    <a:xfrm>
                      <a:off x="0" y="0"/>
                      <a:ext cx="5272405" cy="6819900"/>
                    </a:xfrm>
                    <a:prstGeom prst="rect">
                      <a:avLst/>
                    </a:prstGeom>
                    <a:noFill/>
                    <a:ln>
                      <a:noFill/>
                    </a:ln>
                  </pic:spPr>
                </pic:pic>
              </a:graphicData>
            </a:graphic>
          </wp:inline>
        </w:drawing>
      </w:r>
      <w:r>
        <w:rPr>
          <w:rFonts w:hint="eastAsia" w:ascii="宋体" w:hAnsi="宋体" w:cs="宋体"/>
          <w:sz w:val="32"/>
          <w:szCs w:val="32"/>
        </w:rPr>
        <w:drawing>
          <wp:inline distT="0" distB="0" distL="114300" distR="114300">
            <wp:extent cx="5271135" cy="7453630"/>
            <wp:effectExtent l="0" t="0" r="1905" b="13970"/>
            <wp:docPr id="37" name="图片 14" descr="组合 1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4" descr="组合 1_页面_05"/>
                    <pic:cNvPicPr>
                      <a:picLocks noChangeAspect="1"/>
                    </pic:cNvPicPr>
                  </pic:nvPicPr>
                  <pic:blipFill>
                    <a:blip r:embed="rId18"/>
                    <a:stretch>
                      <a:fillRect/>
                    </a:stretch>
                  </pic:blipFill>
                  <pic:spPr>
                    <a:xfrm>
                      <a:off x="0" y="0"/>
                      <a:ext cx="5271135" cy="7453630"/>
                    </a:xfrm>
                    <a:prstGeom prst="rect">
                      <a:avLst/>
                    </a:prstGeom>
                    <a:noFill/>
                    <a:ln>
                      <a:noFill/>
                    </a:ln>
                  </pic:spPr>
                </pic:pic>
              </a:graphicData>
            </a:graphic>
          </wp:inline>
        </w:drawing>
      </w:r>
      <w:r>
        <w:rPr>
          <w:rFonts w:hint="eastAsia" w:ascii="宋体" w:hAnsi="宋体" w:cs="宋体"/>
          <w:sz w:val="32"/>
          <w:szCs w:val="32"/>
        </w:rPr>
        <w:drawing>
          <wp:inline distT="0" distB="0" distL="114300" distR="114300">
            <wp:extent cx="5271135" cy="7453630"/>
            <wp:effectExtent l="0" t="0" r="1905" b="13970"/>
            <wp:docPr id="38" name="图片 15" descr="组合 1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5" descr="组合 1_页面_06"/>
                    <pic:cNvPicPr>
                      <a:picLocks noChangeAspect="1"/>
                    </pic:cNvPicPr>
                  </pic:nvPicPr>
                  <pic:blipFill>
                    <a:blip r:embed="rId19"/>
                    <a:stretch>
                      <a:fillRect/>
                    </a:stretch>
                  </pic:blipFill>
                  <pic:spPr>
                    <a:xfrm>
                      <a:off x="0" y="0"/>
                      <a:ext cx="5271135" cy="7453630"/>
                    </a:xfrm>
                    <a:prstGeom prst="rect">
                      <a:avLst/>
                    </a:prstGeom>
                    <a:noFill/>
                    <a:ln>
                      <a:noFill/>
                    </a:ln>
                  </pic:spPr>
                </pic:pic>
              </a:graphicData>
            </a:graphic>
          </wp:inline>
        </w:drawing>
      </w:r>
      <w:r>
        <w:rPr>
          <w:rFonts w:hint="eastAsia" w:ascii="宋体" w:hAnsi="宋体" w:cs="宋体"/>
          <w:sz w:val="32"/>
          <w:szCs w:val="32"/>
        </w:rPr>
        <w:drawing>
          <wp:inline distT="0" distB="0" distL="114300" distR="114300">
            <wp:extent cx="5271135" cy="7453630"/>
            <wp:effectExtent l="0" t="0" r="1905" b="13970"/>
            <wp:docPr id="39" name="图片 16" descr="组合 1_页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6" descr="组合 1_页面_07"/>
                    <pic:cNvPicPr>
                      <a:picLocks noChangeAspect="1"/>
                    </pic:cNvPicPr>
                  </pic:nvPicPr>
                  <pic:blipFill>
                    <a:blip r:embed="rId20"/>
                    <a:stretch>
                      <a:fillRect/>
                    </a:stretch>
                  </pic:blipFill>
                  <pic:spPr>
                    <a:xfrm>
                      <a:off x="0" y="0"/>
                      <a:ext cx="5271135" cy="7453630"/>
                    </a:xfrm>
                    <a:prstGeom prst="rect">
                      <a:avLst/>
                    </a:prstGeom>
                    <a:noFill/>
                    <a:ln>
                      <a:noFill/>
                    </a:ln>
                  </pic:spPr>
                </pic:pic>
              </a:graphicData>
            </a:graphic>
          </wp:inline>
        </w:drawing>
      </w:r>
      <w:r>
        <w:rPr>
          <w:rFonts w:hint="eastAsia" w:ascii="宋体" w:hAnsi="宋体" w:cs="宋体"/>
          <w:sz w:val="32"/>
          <w:szCs w:val="32"/>
        </w:rPr>
        <w:drawing>
          <wp:inline distT="0" distB="0" distL="114300" distR="114300">
            <wp:extent cx="5271135" cy="7453630"/>
            <wp:effectExtent l="0" t="0" r="1905" b="13970"/>
            <wp:docPr id="40" name="图片 17" descr="组合 1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7" descr="组合 1_页面_08"/>
                    <pic:cNvPicPr>
                      <a:picLocks noChangeAspect="1"/>
                    </pic:cNvPicPr>
                  </pic:nvPicPr>
                  <pic:blipFill>
                    <a:blip r:embed="rId21"/>
                    <a:stretch>
                      <a:fillRect/>
                    </a:stretch>
                  </pic:blipFill>
                  <pic:spPr>
                    <a:xfrm>
                      <a:off x="0" y="0"/>
                      <a:ext cx="5271135" cy="7453630"/>
                    </a:xfrm>
                    <a:prstGeom prst="rect">
                      <a:avLst/>
                    </a:prstGeom>
                    <a:noFill/>
                    <a:ln>
                      <a:noFill/>
                    </a:ln>
                  </pic:spPr>
                </pic:pic>
              </a:graphicData>
            </a:graphic>
          </wp:inline>
        </w:drawing>
      </w:r>
      <w:r>
        <w:rPr>
          <w:rFonts w:hint="eastAsia" w:ascii="宋体" w:hAnsi="宋体" w:cs="宋体"/>
          <w:sz w:val="32"/>
          <w:szCs w:val="32"/>
        </w:rPr>
        <w:drawing>
          <wp:inline distT="0" distB="0" distL="114300" distR="114300">
            <wp:extent cx="5271135" cy="7453630"/>
            <wp:effectExtent l="0" t="0" r="1905" b="13970"/>
            <wp:docPr id="41" name="图片 18" descr="组合 1_页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8" descr="组合 1_页面_09"/>
                    <pic:cNvPicPr>
                      <a:picLocks noChangeAspect="1"/>
                    </pic:cNvPicPr>
                  </pic:nvPicPr>
                  <pic:blipFill>
                    <a:blip r:embed="rId22"/>
                    <a:stretch>
                      <a:fillRect/>
                    </a:stretch>
                  </pic:blipFill>
                  <pic:spPr>
                    <a:xfrm>
                      <a:off x="0" y="0"/>
                      <a:ext cx="5271135" cy="7453630"/>
                    </a:xfrm>
                    <a:prstGeom prst="rect">
                      <a:avLst/>
                    </a:prstGeom>
                    <a:noFill/>
                    <a:ln>
                      <a:noFill/>
                    </a:ln>
                  </pic:spPr>
                </pic:pic>
              </a:graphicData>
            </a:graphic>
          </wp:inline>
        </w:drawing>
      </w:r>
      <w:r>
        <w:rPr>
          <w:rFonts w:hint="eastAsia" w:ascii="宋体" w:hAnsi="宋体" w:cs="宋体"/>
          <w:sz w:val="32"/>
          <w:szCs w:val="32"/>
        </w:rPr>
        <w:drawing>
          <wp:inline distT="0" distB="0" distL="114300" distR="114300">
            <wp:extent cx="5271135" cy="7453630"/>
            <wp:effectExtent l="0" t="0" r="1905" b="13970"/>
            <wp:docPr id="42" name="图片 42" descr="组合 1_页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组合 1_页面_10"/>
                    <pic:cNvPicPr>
                      <a:picLocks noChangeAspect="1"/>
                    </pic:cNvPicPr>
                  </pic:nvPicPr>
                  <pic:blipFill>
                    <a:blip r:embed="rId23"/>
                    <a:stretch>
                      <a:fillRect/>
                    </a:stretch>
                  </pic:blipFill>
                  <pic:spPr>
                    <a:xfrm>
                      <a:off x="0" y="0"/>
                      <a:ext cx="5271135" cy="7453630"/>
                    </a:xfrm>
                    <a:prstGeom prst="rect">
                      <a:avLst/>
                    </a:prstGeom>
                    <a:noFill/>
                    <a:ln>
                      <a:noFill/>
                    </a:ln>
                  </pic:spPr>
                </pic:pic>
              </a:graphicData>
            </a:graphic>
          </wp:inline>
        </w:drawing>
      </w:r>
      <w:r>
        <w:rPr>
          <w:rFonts w:hint="eastAsia" w:ascii="宋体" w:hAnsi="宋体" w:cs="宋体"/>
          <w:sz w:val="32"/>
          <w:szCs w:val="32"/>
        </w:rPr>
        <w:drawing>
          <wp:inline distT="0" distB="0" distL="114300" distR="114300">
            <wp:extent cx="5271135" cy="7453630"/>
            <wp:effectExtent l="0" t="0" r="1905" b="13970"/>
            <wp:docPr id="43" name="图片 20" descr="组合 1_页面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0" descr="组合 1_页面_11"/>
                    <pic:cNvPicPr>
                      <a:picLocks noChangeAspect="1"/>
                    </pic:cNvPicPr>
                  </pic:nvPicPr>
                  <pic:blipFill>
                    <a:blip r:embed="rId24"/>
                    <a:stretch>
                      <a:fillRect/>
                    </a:stretch>
                  </pic:blipFill>
                  <pic:spPr>
                    <a:xfrm>
                      <a:off x="0" y="0"/>
                      <a:ext cx="5271135" cy="7453630"/>
                    </a:xfrm>
                    <a:prstGeom prst="rect">
                      <a:avLst/>
                    </a:prstGeom>
                    <a:noFill/>
                    <a:ln>
                      <a:noFill/>
                    </a:ln>
                  </pic:spPr>
                </pic:pic>
              </a:graphicData>
            </a:graphic>
          </wp:inline>
        </w:drawing>
      </w:r>
      <w:r>
        <w:rPr>
          <w:rFonts w:hint="eastAsia" w:ascii="宋体" w:hAnsi="宋体" w:cs="宋体"/>
          <w:sz w:val="32"/>
          <w:szCs w:val="32"/>
        </w:rPr>
        <w:drawing>
          <wp:inline distT="0" distB="0" distL="114300" distR="114300">
            <wp:extent cx="5271135" cy="7453630"/>
            <wp:effectExtent l="0" t="0" r="1905" b="13970"/>
            <wp:docPr id="44" name="图片 21" descr="组合 1_页面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1" descr="组合 1_页面_12"/>
                    <pic:cNvPicPr>
                      <a:picLocks noChangeAspect="1"/>
                    </pic:cNvPicPr>
                  </pic:nvPicPr>
                  <pic:blipFill>
                    <a:blip r:embed="rId25"/>
                    <a:stretch>
                      <a:fillRect/>
                    </a:stretch>
                  </pic:blipFill>
                  <pic:spPr>
                    <a:xfrm>
                      <a:off x="0" y="0"/>
                      <a:ext cx="5271135" cy="7453630"/>
                    </a:xfrm>
                    <a:prstGeom prst="rect">
                      <a:avLst/>
                    </a:prstGeom>
                    <a:noFill/>
                    <a:ln>
                      <a:noFill/>
                    </a:ln>
                  </pic:spPr>
                </pic:pic>
              </a:graphicData>
            </a:graphic>
          </wp:inline>
        </w:drawing>
      </w:r>
      <w:r>
        <w:rPr>
          <w:rFonts w:hint="eastAsia" w:ascii="宋体" w:hAnsi="宋体" w:cs="宋体"/>
          <w:szCs w:val="32"/>
        </w:rPr>
        <w:br w:type="page"/>
      </w:r>
    </w:p>
    <w:p>
      <w:pPr>
        <w:spacing w:line="360" w:lineRule="auto"/>
        <w:jc w:val="center"/>
        <w:rPr>
          <w:rFonts w:hint="eastAsia" w:ascii="宋体" w:hAnsi="宋体" w:cs="宋体"/>
          <w:b/>
          <w:bCs/>
          <w:szCs w:val="21"/>
        </w:rPr>
      </w:pPr>
      <w:r>
        <w:rPr>
          <w:rFonts w:hint="eastAsia" w:ascii="宋体" w:hAnsi="宋体" w:cs="宋体"/>
          <w:b/>
          <w:bCs/>
          <w:szCs w:val="21"/>
        </w:rPr>
        <w:t>（六）面积统计表</w:t>
      </w:r>
    </w:p>
    <w:p>
      <w:pPr>
        <w:rPr>
          <w:rFonts w:hint="eastAsia" w:ascii="宋体" w:hAnsi="宋体" w:cs="宋体"/>
          <w:szCs w:val="32"/>
        </w:rPr>
      </w:pPr>
    </w:p>
    <w:tbl>
      <w:tblPr>
        <w:tblStyle w:val="7"/>
        <w:tblW w:w="8940" w:type="dxa"/>
        <w:jc w:val="center"/>
        <w:tblLayout w:type="autofit"/>
        <w:tblCellMar>
          <w:top w:w="0" w:type="dxa"/>
          <w:left w:w="108" w:type="dxa"/>
          <w:bottom w:w="0" w:type="dxa"/>
          <w:right w:w="108" w:type="dxa"/>
        </w:tblCellMar>
      </w:tblPr>
      <w:tblGrid>
        <w:gridCol w:w="638"/>
        <w:gridCol w:w="1080"/>
        <w:gridCol w:w="1060"/>
        <w:gridCol w:w="1842"/>
        <w:gridCol w:w="1080"/>
        <w:gridCol w:w="1080"/>
        <w:gridCol w:w="1161"/>
        <w:gridCol w:w="1080"/>
      </w:tblGrid>
      <w:tr>
        <w:trPr>
          <w:trHeight w:val="640" w:hRule="atLeast"/>
          <w:jc w:val="center"/>
        </w:trPr>
        <w:tc>
          <w:tcPr>
            <w:tcW w:w="8940" w:type="dxa"/>
            <w:gridSpan w:val="8"/>
            <w:tcBorders>
              <w:top w:val="nil"/>
              <w:left w:val="nil"/>
              <w:bottom w:val="nil"/>
              <w:right w:val="nil"/>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A包道路基本情况统计表</w:t>
            </w:r>
          </w:p>
        </w:tc>
      </w:tr>
      <w:tr>
        <w:tblPrEx>
          <w:tblCellMar>
            <w:top w:w="0" w:type="dxa"/>
            <w:left w:w="108" w:type="dxa"/>
            <w:bottom w:w="0" w:type="dxa"/>
            <w:right w:w="108" w:type="dxa"/>
          </w:tblCellMar>
        </w:tblPrEx>
        <w:trPr>
          <w:trHeight w:val="640" w:hRule="atLeast"/>
          <w:jc w:val="center"/>
        </w:trPr>
        <w:tc>
          <w:tcPr>
            <w:tcW w:w="63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b/>
                <w:bCs/>
                <w:color w:val="000000"/>
                <w:szCs w:val="21"/>
              </w:rPr>
            </w:pPr>
            <w:r>
              <w:rPr>
                <w:rFonts w:hint="eastAsia" w:ascii="宋体" w:hAnsi="宋体" w:cs="宋体"/>
                <w:b/>
                <w:bCs/>
                <w:color w:val="000000"/>
                <w:kern w:val="0"/>
                <w:szCs w:val="21"/>
                <w:lang w:bidi="ar"/>
              </w:rPr>
              <w:t>序号</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b/>
                <w:bCs/>
                <w:color w:val="000000"/>
                <w:szCs w:val="21"/>
              </w:rPr>
            </w:pPr>
            <w:r>
              <w:rPr>
                <w:rFonts w:hint="eastAsia" w:ascii="宋体" w:hAnsi="宋体" w:cs="宋体"/>
                <w:b/>
                <w:bCs/>
                <w:color w:val="000000"/>
                <w:kern w:val="0"/>
                <w:szCs w:val="21"/>
                <w:lang w:bidi="ar"/>
              </w:rPr>
              <w:t>道路名称</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b/>
                <w:bCs/>
                <w:color w:val="000000"/>
                <w:szCs w:val="21"/>
              </w:rPr>
            </w:pPr>
            <w:r>
              <w:rPr>
                <w:rFonts w:hint="eastAsia" w:ascii="宋体" w:hAnsi="宋体" w:cs="宋体"/>
                <w:b/>
                <w:bCs/>
                <w:color w:val="000000"/>
                <w:kern w:val="0"/>
                <w:szCs w:val="21"/>
                <w:lang w:bidi="ar"/>
              </w:rPr>
              <w:t>道路级别</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b/>
                <w:bCs/>
                <w:color w:val="000000"/>
                <w:szCs w:val="21"/>
              </w:rPr>
            </w:pPr>
            <w:r>
              <w:rPr>
                <w:rFonts w:hint="eastAsia" w:ascii="宋体" w:hAnsi="宋体" w:cs="宋体"/>
                <w:b/>
                <w:bCs/>
                <w:color w:val="000000"/>
                <w:kern w:val="0"/>
                <w:szCs w:val="21"/>
                <w:lang w:bidi="ar"/>
              </w:rPr>
              <w:t>起止点</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b/>
                <w:bCs/>
                <w:color w:val="000000"/>
                <w:szCs w:val="21"/>
              </w:rPr>
            </w:pPr>
            <w:r>
              <w:rPr>
                <w:rFonts w:hint="eastAsia" w:ascii="宋体" w:hAnsi="宋体" w:cs="宋体"/>
                <w:b/>
                <w:bCs/>
                <w:color w:val="000000"/>
                <w:kern w:val="0"/>
                <w:szCs w:val="21"/>
                <w:lang w:bidi="ar"/>
              </w:rPr>
              <w:t>长（m）</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b/>
                <w:bCs/>
                <w:color w:val="000000"/>
                <w:szCs w:val="21"/>
              </w:rPr>
            </w:pPr>
            <w:r>
              <w:rPr>
                <w:rFonts w:hint="eastAsia" w:ascii="宋体" w:hAnsi="宋体" w:cs="宋体"/>
                <w:b/>
                <w:bCs/>
                <w:color w:val="000000"/>
                <w:kern w:val="0"/>
                <w:szCs w:val="21"/>
                <w:lang w:bidi="ar"/>
              </w:rPr>
              <w:t>宽（m）</w:t>
            </w:r>
          </w:p>
        </w:tc>
        <w:tc>
          <w:tcPr>
            <w:tcW w:w="1080"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b/>
                <w:bCs/>
                <w:color w:val="000000"/>
                <w:szCs w:val="21"/>
              </w:rPr>
            </w:pPr>
            <w:r>
              <w:rPr>
                <w:rFonts w:hint="eastAsia" w:ascii="宋体" w:hAnsi="宋体" w:cs="宋体"/>
                <w:b/>
                <w:bCs/>
                <w:color w:val="000000"/>
                <w:kern w:val="0"/>
                <w:szCs w:val="21"/>
                <w:lang w:bidi="ar"/>
              </w:rPr>
              <w:t>道路面积</w:t>
            </w:r>
            <w:r>
              <w:rPr>
                <w:rFonts w:hint="eastAsia" w:ascii="宋体" w:hAnsi="宋体" w:cs="宋体"/>
                <w:b/>
                <w:bCs/>
                <w:color w:val="000000"/>
                <w:kern w:val="0"/>
                <w:szCs w:val="21"/>
                <w:lang w:bidi="ar"/>
              </w:rPr>
              <w:br w:type="textWrapping"/>
            </w:r>
            <w:r>
              <w:rPr>
                <w:rFonts w:hint="eastAsia" w:ascii="宋体" w:hAnsi="宋体" w:cs="宋体"/>
                <w:b/>
                <w:bCs/>
                <w:color w:val="000000"/>
                <w:kern w:val="0"/>
                <w:szCs w:val="21"/>
                <w:lang w:bidi="ar"/>
              </w:rPr>
              <w:t>（m</w:t>
            </w:r>
            <w:r>
              <w:rPr>
                <w:rStyle w:val="11"/>
                <w:rFonts w:hint="default" w:ascii="宋体" w:hAnsi="宋体" w:eastAsia="宋体" w:cs="宋体"/>
                <w:sz w:val="21"/>
                <w:szCs w:val="21"/>
                <w:lang w:bidi="ar"/>
              </w:rPr>
              <w:t>2</w:t>
            </w:r>
            <w:r>
              <w:rPr>
                <w:rStyle w:val="12"/>
                <w:rFonts w:hint="default" w:ascii="宋体" w:hAnsi="宋体" w:eastAsia="宋体" w:cs="宋体"/>
                <w:sz w:val="21"/>
                <w:szCs w:val="21"/>
                <w:lang w:bidi="ar"/>
              </w:rPr>
              <w:t>）</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b/>
                <w:bCs/>
                <w:color w:val="000000"/>
                <w:szCs w:val="21"/>
              </w:rPr>
            </w:pPr>
            <w:r>
              <w:rPr>
                <w:rFonts w:hint="eastAsia" w:ascii="宋体" w:hAnsi="宋体" w:cs="宋体"/>
                <w:b/>
                <w:bCs/>
                <w:color w:val="000000"/>
                <w:kern w:val="0"/>
                <w:szCs w:val="21"/>
                <w:lang w:bidi="ar"/>
              </w:rPr>
              <w:t>备注</w:t>
            </w:r>
          </w:p>
        </w:tc>
      </w:tr>
      <w:tr>
        <w:tblPrEx>
          <w:tblCellMar>
            <w:top w:w="0" w:type="dxa"/>
            <w:left w:w="108" w:type="dxa"/>
            <w:bottom w:w="0" w:type="dxa"/>
            <w:right w:w="108" w:type="dxa"/>
          </w:tblCellMar>
        </w:tblPrEx>
        <w:trPr>
          <w:trHeight w:val="640" w:hRule="atLeast"/>
          <w:jc w:val="center"/>
        </w:trPr>
        <w:tc>
          <w:tcPr>
            <w:tcW w:w="63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1</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中原路</w:t>
            </w:r>
          </w:p>
        </w:tc>
        <w:tc>
          <w:tcPr>
            <w:tcW w:w="106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主</w:t>
            </w:r>
          </w:p>
        </w:tc>
        <w:tc>
          <w:tcPr>
            <w:tcW w:w="1842"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大学路口---嵩山路</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1400</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 xml:space="preserve">82.04 </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114857</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p>
        </w:tc>
      </w:tr>
      <w:tr>
        <w:tblPrEx>
          <w:tblCellMar>
            <w:top w:w="0" w:type="dxa"/>
            <w:left w:w="108" w:type="dxa"/>
            <w:bottom w:w="0" w:type="dxa"/>
            <w:right w:w="108" w:type="dxa"/>
          </w:tblCellMar>
        </w:tblPrEx>
        <w:trPr>
          <w:trHeight w:val="640" w:hRule="atLeast"/>
          <w:jc w:val="center"/>
        </w:trPr>
        <w:tc>
          <w:tcPr>
            <w:tcW w:w="63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2</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嵩山北路路东</w:t>
            </w:r>
          </w:p>
        </w:tc>
        <w:tc>
          <w:tcPr>
            <w:tcW w:w="106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主</w:t>
            </w:r>
          </w:p>
        </w:tc>
        <w:tc>
          <w:tcPr>
            <w:tcW w:w="1842"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中原路---陇海路</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1200</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23.65</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28390</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p>
        </w:tc>
      </w:tr>
      <w:tr>
        <w:tblPrEx>
          <w:tblCellMar>
            <w:top w:w="0" w:type="dxa"/>
            <w:left w:w="108" w:type="dxa"/>
            <w:bottom w:w="0" w:type="dxa"/>
            <w:right w:w="108" w:type="dxa"/>
          </w:tblCellMar>
        </w:tblPrEx>
        <w:trPr>
          <w:trHeight w:val="640" w:hRule="atLeast"/>
          <w:jc w:val="center"/>
        </w:trPr>
        <w:tc>
          <w:tcPr>
            <w:tcW w:w="638" w:type="dxa"/>
            <w:vMerge w:val="restart"/>
            <w:tcBorders>
              <w:top w:val="single" w:color="000000" w:sz="4" w:space="0"/>
              <w:left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3</w:t>
            </w:r>
          </w:p>
        </w:tc>
        <w:tc>
          <w:tcPr>
            <w:tcW w:w="1080" w:type="dxa"/>
            <w:vMerge w:val="restar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大学路</w:t>
            </w:r>
          </w:p>
        </w:tc>
        <w:tc>
          <w:tcPr>
            <w:tcW w:w="106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主</w:t>
            </w:r>
          </w:p>
        </w:tc>
        <w:tc>
          <w:tcPr>
            <w:tcW w:w="1842"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中原路---陇海路</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1200</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70.5</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84600</w:t>
            </w:r>
          </w:p>
        </w:tc>
        <w:tc>
          <w:tcPr>
            <w:tcW w:w="1080" w:type="dxa"/>
            <w:vMerge w:val="restar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p>
        </w:tc>
      </w:tr>
      <w:tr>
        <w:tblPrEx>
          <w:tblCellMar>
            <w:top w:w="0" w:type="dxa"/>
            <w:left w:w="108" w:type="dxa"/>
            <w:bottom w:w="0" w:type="dxa"/>
            <w:right w:w="108" w:type="dxa"/>
          </w:tblCellMar>
        </w:tblPrEx>
        <w:trPr>
          <w:trHeight w:val="640" w:hRule="atLeast"/>
          <w:jc w:val="center"/>
        </w:trPr>
        <w:tc>
          <w:tcPr>
            <w:tcW w:w="638" w:type="dxa"/>
            <w:vMerge w:val="continue"/>
            <w:tcBorders>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kern w:val="0"/>
                <w:szCs w:val="21"/>
                <w:lang w:bidi="ar"/>
              </w:rPr>
            </w:pPr>
          </w:p>
        </w:tc>
        <w:tc>
          <w:tcPr>
            <w:tcW w:w="1080"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cs="宋体"/>
                <w:color w:val="000000"/>
                <w:szCs w:val="21"/>
              </w:rPr>
            </w:pPr>
          </w:p>
        </w:tc>
        <w:tc>
          <w:tcPr>
            <w:tcW w:w="106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主</w:t>
            </w:r>
          </w:p>
        </w:tc>
        <w:tc>
          <w:tcPr>
            <w:tcW w:w="1842"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大学路辅路两侧扩宽路桥</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81</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20</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1620</w:t>
            </w:r>
          </w:p>
        </w:tc>
        <w:tc>
          <w:tcPr>
            <w:tcW w:w="1080"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cs="宋体"/>
                <w:color w:val="000000"/>
                <w:szCs w:val="21"/>
              </w:rPr>
            </w:pPr>
          </w:p>
        </w:tc>
      </w:tr>
      <w:tr>
        <w:tblPrEx>
          <w:tblCellMar>
            <w:top w:w="0" w:type="dxa"/>
            <w:left w:w="108" w:type="dxa"/>
            <w:bottom w:w="0" w:type="dxa"/>
            <w:right w:w="108" w:type="dxa"/>
          </w:tblCellMar>
        </w:tblPrEx>
        <w:trPr>
          <w:trHeight w:val="640" w:hRule="atLeast"/>
          <w:jc w:val="center"/>
        </w:trPr>
        <w:tc>
          <w:tcPr>
            <w:tcW w:w="63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kern w:val="0"/>
                <w:szCs w:val="21"/>
                <w:lang w:bidi="ar"/>
              </w:rPr>
            </w:pPr>
            <w:r>
              <w:rPr>
                <w:rFonts w:hint="eastAsia" w:ascii="宋体" w:hAnsi="宋体" w:cs="宋体"/>
                <w:color w:val="000000"/>
                <w:kern w:val="0"/>
                <w:szCs w:val="21"/>
                <w:lang w:bidi="ar"/>
              </w:rPr>
              <w:t>4</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陇海路</w:t>
            </w:r>
          </w:p>
        </w:tc>
        <w:tc>
          <w:tcPr>
            <w:tcW w:w="106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主</w:t>
            </w:r>
          </w:p>
        </w:tc>
        <w:tc>
          <w:tcPr>
            <w:tcW w:w="1842"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路北：交通路---嵩山路</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1700</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22.9</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38947.85</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p>
        </w:tc>
      </w:tr>
      <w:tr>
        <w:tblPrEx>
          <w:tblCellMar>
            <w:top w:w="0" w:type="dxa"/>
            <w:left w:w="108" w:type="dxa"/>
            <w:bottom w:w="0" w:type="dxa"/>
            <w:right w:w="108" w:type="dxa"/>
          </w:tblCellMar>
        </w:tblPrEx>
        <w:trPr>
          <w:trHeight w:val="640" w:hRule="atLeast"/>
          <w:jc w:val="center"/>
        </w:trPr>
        <w:tc>
          <w:tcPr>
            <w:tcW w:w="63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kern w:val="0"/>
                <w:szCs w:val="21"/>
                <w:lang w:bidi="ar"/>
              </w:rPr>
            </w:pPr>
            <w:r>
              <w:rPr>
                <w:rFonts w:hint="eastAsia" w:ascii="宋体" w:hAnsi="宋体" w:cs="宋体"/>
                <w:color w:val="000000"/>
                <w:kern w:val="0"/>
                <w:szCs w:val="21"/>
                <w:lang w:bidi="ar"/>
              </w:rPr>
              <w:t>5</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伊河路</w:t>
            </w:r>
          </w:p>
        </w:tc>
        <w:tc>
          <w:tcPr>
            <w:tcW w:w="106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次</w:t>
            </w:r>
          </w:p>
        </w:tc>
        <w:tc>
          <w:tcPr>
            <w:tcW w:w="1842"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嵩山路－兴华北街</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424</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22.05</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9350</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p>
        </w:tc>
      </w:tr>
      <w:tr>
        <w:tblPrEx>
          <w:tblCellMar>
            <w:top w:w="0" w:type="dxa"/>
            <w:left w:w="108" w:type="dxa"/>
            <w:bottom w:w="0" w:type="dxa"/>
            <w:right w:w="108" w:type="dxa"/>
          </w:tblCellMar>
        </w:tblPrEx>
        <w:trPr>
          <w:trHeight w:val="640" w:hRule="atLeast"/>
          <w:jc w:val="center"/>
        </w:trPr>
        <w:tc>
          <w:tcPr>
            <w:tcW w:w="63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kern w:val="0"/>
                <w:szCs w:val="21"/>
                <w:lang w:bidi="ar"/>
              </w:rPr>
            </w:pPr>
            <w:r>
              <w:rPr>
                <w:rFonts w:hint="eastAsia" w:ascii="宋体" w:hAnsi="宋体" w:cs="宋体"/>
                <w:color w:val="000000"/>
                <w:kern w:val="0"/>
                <w:szCs w:val="21"/>
                <w:lang w:bidi="ar"/>
              </w:rPr>
              <w:t>6</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兴华街</w:t>
            </w:r>
          </w:p>
        </w:tc>
        <w:tc>
          <w:tcPr>
            <w:tcW w:w="106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次</w:t>
            </w:r>
          </w:p>
        </w:tc>
        <w:tc>
          <w:tcPr>
            <w:tcW w:w="1842"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陇海路---中原路</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1200</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26.44</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31735</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p>
        </w:tc>
      </w:tr>
      <w:tr>
        <w:tblPrEx>
          <w:tblCellMar>
            <w:top w:w="0" w:type="dxa"/>
            <w:left w:w="108" w:type="dxa"/>
            <w:bottom w:w="0" w:type="dxa"/>
            <w:right w:w="108" w:type="dxa"/>
          </w:tblCellMar>
        </w:tblPrEx>
        <w:trPr>
          <w:trHeight w:val="640" w:hRule="atLeast"/>
          <w:jc w:val="center"/>
        </w:trPr>
        <w:tc>
          <w:tcPr>
            <w:tcW w:w="638" w:type="dxa"/>
            <w:vMerge w:val="restart"/>
            <w:tcBorders>
              <w:top w:val="single" w:color="000000" w:sz="4" w:space="0"/>
              <w:left w:val="single" w:color="000000" w:sz="4" w:space="0"/>
              <w:right w:val="single" w:color="000000" w:sz="4" w:space="0"/>
            </w:tcBorders>
            <w:noWrap/>
            <w:vAlign w:val="center"/>
          </w:tcPr>
          <w:p>
            <w:pPr>
              <w:widowControl/>
              <w:jc w:val="center"/>
              <w:textAlignment w:val="center"/>
              <w:rPr>
                <w:rFonts w:hint="eastAsia" w:ascii="宋体" w:hAnsi="宋体" w:cs="宋体"/>
                <w:color w:val="000000"/>
                <w:kern w:val="0"/>
                <w:szCs w:val="21"/>
                <w:lang w:bidi="ar"/>
              </w:rPr>
            </w:pPr>
            <w:r>
              <w:rPr>
                <w:rFonts w:hint="eastAsia" w:ascii="宋体" w:hAnsi="宋体" w:cs="宋体"/>
                <w:color w:val="000000"/>
                <w:kern w:val="0"/>
                <w:szCs w:val="21"/>
                <w:lang w:bidi="ar"/>
              </w:rPr>
              <w:t>7</w:t>
            </w:r>
          </w:p>
        </w:tc>
        <w:tc>
          <w:tcPr>
            <w:tcW w:w="1080" w:type="dxa"/>
            <w:vMerge w:val="restar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大学路辅道</w:t>
            </w:r>
          </w:p>
        </w:tc>
        <w:tc>
          <w:tcPr>
            <w:tcW w:w="106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背</w:t>
            </w:r>
          </w:p>
        </w:tc>
        <w:tc>
          <w:tcPr>
            <w:tcW w:w="1842"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中原路---大学路</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149</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10</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1490</w:t>
            </w:r>
          </w:p>
        </w:tc>
        <w:tc>
          <w:tcPr>
            <w:tcW w:w="1080" w:type="dxa"/>
            <w:vMerge w:val="restar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p>
        </w:tc>
      </w:tr>
      <w:tr>
        <w:tblPrEx>
          <w:tblCellMar>
            <w:top w:w="0" w:type="dxa"/>
            <w:left w:w="108" w:type="dxa"/>
            <w:bottom w:w="0" w:type="dxa"/>
            <w:right w:w="108" w:type="dxa"/>
          </w:tblCellMar>
        </w:tblPrEx>
        <w:trPr>
          <w:trHeight w:val="640" w:hRule="atLeast"/>
          <w:jc w:val="center"/>
        </w:trPr>
        <w:tc>
          <w:tcPr>
            <w:tcW w:w="638" w:type="dxa"/>
            <w:vMerge w:val="continue"/>
            <w:tcBorders>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kern w:val="0"/>
                <w:szCs w:val="21"/>
                <w:lang w:bidi="ar"/>
              </w:rPr>
            </w:pPr>
          </w:p>
        </w:tc>
        <w:tc>
          <w:tcPr>
            <w:tcW w:w="1080"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cs="宋体"/>
                <w:color w:val="000000"/>
                <w:szCs w:val="21"/>
              </w:rPr>
            </w:pPr>
          </w:p>
        </w:tc>
        <w:tc>
          <w:tcPr>
            <w:tcW w:w="106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背</w:t>
            </w:r>
          </w:p>
        </w:tc>
        <w:tc>
          <w:tcPr>
            <w:tcW w:w="1842"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两侧拓宽</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81</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20</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1620</w:t>
            </w:r>
          </w:p>
        </w:tc>
        <w:tc>
          <w:tcPr>
            <w:tcW w:w="1080"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cs="宋体"/>
                <w:color w:val="000000"/>
                <w:szCs w:val="21"/>
              </w:rPr>
            </w:pPr>
          </w:p>
        </w:tc>
      </w:tr>
      <w:tr>
        <w:tblPrEx>
          <w:tblCellMar>
            <w:top w:w="0" w:type="dxa"/>
            <w:left w:w="108" w:type="dxa"/>
            <w:bottom w:w="0" w:type="dxa"/>
            <w:right w:w="108" w:type="dxa"/>
          </w:tblCellMar>
        </w:tblPrEx>
        <w:trPr>
          <w:trHeight w:val="640" w:hRule="atLeast"/>
          <w:jc w:val="center"/>
        </w:trPr>
        <w:tc>
          <w:tcPr>
            <w:tcW w:w="63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kern w:val="0"/>
                <w:szCs w:val="21"/>
                <w:lang w:bidi="ar"/>
              </w:rPr>
            </w:pPr>
            <w:r>
              <w:rPr>
                <w:rFonts w:hint="eastAsia" w:ascii="宋体" w:hAnsi="宋体" w:cs="宋体"/>
                <w:color w:val="000000"/>
                <w:kern w:val="0"/>
                <w:szCs w:val="21"/>
                <w:lang w:bidi="ar"/>
              </w:rPr>
              <w:t>8</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广场南街</w:t>
            </w:r>
          </w:p>
        </w:tc>
        <w:tc>
          <w:tcPr>
            <w:tcW w:w="106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支</w:t>
            </w:r>
          </w:p>
        </w:tc>
        <w:tc>
          <w:tcPr>
            <w:tcW w:w="1842"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嵩山路－兴华北街</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424</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28.1</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11925</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p>
        </w:tc>
      </w:tr>
      <w:tr>
        <w:tblPrEx>
          <w:tblCellMar>
            <w:top w:w="0" w:type="dxa"/>
            <w:left w:w="108" w:type="dxa"/>
            <w:bottom w:w="0" w:type="dxa"/>
            <w:right w:w="108" w:type="dxa"/>
          </w:tblCellMar>
        </w:tblPrEx>
        <w:trPr>
          <w:trHeight w:val="640" w:hRule="atLeast"/>
          <w:jc w:val="center"/>
        </w:trPr>
        <w:tc>
          <w:tcPr>
            <w:tcW w:w="63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kern w:val="0"/>
                <w:szCs w:val="21"/>
                <w:lang w:bidi="ar"/>
              </w:rPr>
            </w:pPr>
            <w:r>
              <w:rPr>
                <w:rFonts w:hint="eastAsia" w:ascii="宋体" w:hAnsi="宋体" w:cs="宋体"/>
                <w:color w:val="000000"/>
                <w:kern w:val="0"/>
                <w:szCs w:val="21"/>
                <w:lang w:bidi="ar"/>
              </w:rPr>
              <w:t>9</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郑大市场北街</w:t>
            </w:r>
          </w:p>
        </w:tc>
        <w:tc>
          <w:tcPr>
            <w:tcW w:w="106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背</w:t>
            </w:r>
          </w:p>
        </w:tc>
        <w:tc>
          <w:tcPr>
            <w:tcW w:w="1842"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交通路－大学路</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280</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20.55</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5754</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p>
        </w:tc>
      </w:tr>
      <w:tr>
        <w:tblPrEx>
          <w:tblCellMar>
            <w:top w:w="0" w:type="dxa"/>
            <w:left w:w="108" w:type="dxa"/>
            <w:bottom w:w="0" w:type="dxa"/>
            <w:right w:w="108" w:type="dxa"/>
          </w:tblCellMar>
        </w:tblPrEx>
        <w:trPr>
          <w:trHeight w:val="640" w:hRule="atLeast"/>
          <w:jc w:val="center"/>
        </w:trPr>
        <w:tc>
          <w:tcPr>
            <w:tcW w:w="63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10</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交通路</w:t>
            </w:r>
          </w:p>
        </w:tc>
        <w:tc>
          <w:tcPr>
            <w:tcW w:w="106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支</w:t>
            </w:r>
          </w:p>
        </w:tc>
        <w:tc>
          <w:tcPr>
            <w:tcW w:w="1842"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康复前街----陇海路路东侧</w:t>
            </w:r>
          </w:p>
        </w:tc>
        <w:tc>
          <w:tcPr>
            <w:tcW w:w="1080" w:type="dxa"/>
            <w:vMerge w:val="restar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648</w:t>
            </w:r>
          </w:p>
        </w:tc>
        <w:tc>
          <w:tcPr>
            <w:tcW w:w="1080" w:type="dxa"/>
            <w:vMerge w:val="restar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15.1</w:t>
            </w:r>
          </w:p>
        </w:tc>
        <w:tc>
          <w:tcPr>
            <w:tcW w:w="1080" w:type="dxa"/>
            <w:vMerge w:val="restar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9787</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p>
        </w:tc>
      </w:tr>
      <w:tr>
        <w:tblPrEx>
          <w:tblCellMar>
            <w:top w:w="0" w:type="dxa"/>
            <w:left w:w="108" w:type="dxa"/>
            <w:bottom w:w="0" w:type="dxa"/>
            <w:right w:w="108" w:type="dxa"/>
          </w:tblCellMar>
        </w:tblPrEx>
        <w:trPr>
          <w:trHeight w:val="640" w:hRule="atLeast"/>
          <w:jc w:val="center"/>
        </w:trPr>
        <w:tc>
          <w:tcPr>
            <w:tcW w:w="63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11</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交通路</w:t>
            </w:r>
          </w:p>
        </w:tc>
        <w:tc>
          <w:tcPr>
            <w:tcW w:w="106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支</w:t>
            </w:r>
          </w:p>
        </w:tc>
        <w:tc>
          <w:tcPr>
            <w:tcW w:w="1842"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康复前街----陇海路路西侧</w:t>
            </w:r>
          </w:p>
        </w:tc>
        <w:tc>
          <w:tcPr>
            <w:tcW w:w="1080"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cs="宋体"/>
                <w:color w:val="000000"/>
                <w:szCs w:val="21"/>
              </w:rPr>
            </w:pPr>
          </w:p>
        </w:tc>
        <w:tc>
          <w:tcPr>
            <w:tcW w:w="1080"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cs="宋体"/>
                <w:color w:val="000000"/>
                <w:szCs w:val="21"/>
              </w:rPr>
            </w:pPr>
          </w:p>
        </w:tc>
        <w:tc>
          <w:tcPr>
            <w:tcW w:w="1080"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cs="宋体"/>
                <w:color w:val="000000"/>
                <w:szCs w:val="21"/>
              </w:rPr>
            </w:pP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p>
        </w:tc>
      </w:tr>
      <w:tr>
        <w:tblPrEx>
          <w:tblCellMar>
            <w:top w:w="0" w:type="dxa"/>
            <w:left w:w="108" w:type="dxa"/>
            <w:bottom w:w="0" w:type="dxa"/>
            <w:right w:w="108" w:type="dxa"/>
          </w:tblCellMar>
        </w:tblPrEx>
        <w:trPr>
          <w:trHeight w:val="640" w:hRule="atLeast"/>
          <w:jc w:val="center"/>
        </w:trPr>
        <w:tc>
          <w:tcPr>
            <w:tcW w:w="63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12</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康复前街</w:t>
            </w:r>
          </w:p>
        </w:tc>
        <w:tc>
          <w:tcPr>
            <w:tcW w:w="106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支</w:t>
            </w:r>
          </w:p>
        </w:tc>
        <w:tc>
          <w:tcPr>
            <w:tcW w:w="1842"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交通路－大学路两侧</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270</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30.84</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8328.84</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p>
        </w:tc>
      </w:tr>
      <w:tr>
        <w:tblPrEx>
          <w:tblCellMar>
            <w:top w:w="0" w:type="dxa"/>
            <w:left w:w="108" w:type="dxa"/>
            <w:bottom w:w="0" w:type="dxa"/>
            <w:right w:w="108" w:type="dxa"/>
          </w:tblCellMar>
        </w:tblPrEx>
        <w:trPr>
          <w:trHeight w:val="640" w:hRule="atLeast"/>
          <w:jc w:val="center"/>
        </w:trPr>
        <w:tc>
          <w:tcPr>
            <w:tcW w:w="63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13</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康复后街</w:t>
            </w:r>
          </w:p>
        </w:tc>
        <w:tc>
          <w:tcPr>
            <w:tcW w:w="106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支</w:t>
            </w:r>
          </w:p>
        </w:tc>
        <w:tc>
          <w:tcPr>
            <w:tcW w:w="1842"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西公厕----大学路</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280</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19</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5320</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p>
        </w:tc>
      </w:tr>
      <w:tr>
        <w:tblPrEx>
          <w:tblCellMar>
            <w:top w:w="0" w:type="dxa"/>
            <w:left w:w="108" w:type="dxa"/>
            <w:bottom w:w="0" w:type="dxa"/>
            <w:right w:w="108" w:type="dxa"/>
          </w:tblCellMar>
        </w:tblPrEx>
        <w:trPr>
          <w:trHeight w:val="640" w:hRule="atLeast"/>
          <w:jc w:val="center"/>
        </w:trPr>
        <w:tc>
          <w:tcPr>
            <w:tcW w:w="63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14</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桃源路</w:t>
            </w:r>
          </w:p>
        </w:tc>
        <w:tc>
          <w:tcPr>
            <w:tcW w:w="106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支</w:t>
            </w:r>
          </w:p>
        </w:tc>
        <w:tc>
          <w:tcPr>
            <w:tcW w:w="1842"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兴华街---大学路</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1000</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36.44</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36440</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p>
        </w:tc>
      </w:tr>
      <w:tr>
        <w:tblPrEx>
          <w:tblCellMar>
            <w:top w:w="0" w:type="dxa"/>
            <w:left w:w="108" w:type="dxa"/>
            <w:bottom w:w="0" w:type="dxa"/>
            <w:right w:w="108" w:type="dxa"/>
          </w:tblCellMar>
        </w:tblPrEx>
        <w:trPr>
          <w:trHeight w:val="640" w:hRule="atLeast"/>
          <w:jc w:val="center"/>
        </w:trPr>
        <w:tc>
          <w:tcPr>
            <w:tcW w:w="63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szCs w:val="21"/>
              </w:rPr>
              <w:t>15</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勤劳街</w:t>
            </w:r>
          </w:p>
        </w:tc>
        <w:tc>
          <w:tcPr>
            <w:tcW w:w="106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支</w:t>
            </w:r>
          </w:p>
        </w:tc>
        <w:tc>
          <w:tcPr>
            <w:tcW w:w="1842"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桃园路---陇海路</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420</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20.9</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8778</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p>
        </w:tc>
      </w:tr>
      <w:tr>
        <w:tblPrEx>
          <w:tblCellMar>
            <w:top w:w="0" w:type="dxa"/>
            <w:left w:w="108" w:type="dxa"/>
            <w:bottom w:w="0" w:type="dxa"/>
            <w:right w:w="108" w:type="dxa"/>
          </w:tblCellMar>
        </w:tblPrEx>
        <w:trPr>
          <w:trHeight w:val="640" w:hRule="atLeast"/>
          <w:jc w:val="center"/>
        </w:trPr>
        <w:tc>
          <w:tcPr>
            <w:tcW w:w="63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16</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淮北街</w:t>
            </w:r>
          </w:p>
        </w:tc>
        <w:tc>
          <w:tcPr>
            <w:tcW w:w="106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支</w:t>
            </w:r>
          </w:p>
        </w:tc>
        <w:tc>
          <w:tcPr>
            <w:tcW w:w="1842"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桃源路---陇海路</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420</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24.5</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10303</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p>
        </w:tc>
      </w:tr>
      <w:tr>
        <w:tblPrEx>
          <w:tblCellMar>
            <w:top w:w="0" w:type="dxa"/>
            <w:left w:w="108" w:type="dxa"/>
            <w:bottom w:w="0" w:type="dxa"/>
            <w:right w:w="108" w:type="dxa"/>
          </w:tblCellMar>
        </w:tblPrEx>
        <w:trPr>
          <w:trHeight w:val="640" w:hRule="atLeast"/>
          <w:jc w:val="center"/>
        </w:trPr>
        <w:tc>
          <w:tcPr>
            <w:tcW w:w="63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17</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郑大市场南街</w:t>
            </w:r>
          </w:p>
        </w:tc>
        <w:tc>
          <w:tcPr>
            <w:tcW w:w="106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支</w:t>
            </w:r>
          </w:p>
        </w:tc>
        <w:tc>
          <w:tcPr>
            <w:tcW w:w="1842"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大学路－交通路</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270</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26.1</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7056</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p>
        </w:tc>
      </w:tr>
      <w:tr>
        <w:tblPrEx>
          <w:tblCellMar>
            <w:top w:w="0" w:type="dxa"/>
            <w:left w:w="108" w:type="dxa"/>
            <w:bottom w:w="0" w:type="dxa"/>
            <w:right w:w="108" w:type="dxa"/>
          </w:tblCellMar>
        </w:tblPrEx>
        <w:trPr>
          <w:trHeight w:val="640" w:hRule="atLeast"/>
          <w:jc w:val="center"/>
        </w:trPr>
        <w:tc>
          <w:tcPr>
            <w:tcW w:w="63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18</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 xml:space="preserve">郑大东门天桥 </w:t>
            </w:r>
          </w:p>
        </w:tc>
        <w:tc>
          <w:tcPr>
            <w:tcW w:w="106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背</w:t>
            </w:r>
          </w:p>
        </w:tc>
        <w:tc>
          <w:tcPr>
            <w:tcW w:w="1842"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cs="宋体"/>
                <w:color w:val="000000"/>
                <w:szCs w:val="21"/>
              </w:rPr>
            </w:pP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50</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10</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500</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p>
        </w:tc>
      </w:tr>
      <w:tr>
        <w:tblPrEx>
          <w:tblCellMar>
            <w:top w:w="0" w:type="dxa"/>
            <w:left w:w="108" w:type="dxa"/>
            <w:bottom w:w="0" w:type="dxa"/>
            <w:right w:w="108" w:type="dxa"/>
          </w:tblCellMar>
        </w:tblPrEx>
        <w:trPr>
          <w:trHeight w:val="640" w:hRule="atLeast"/>
          <w:jc w:val="center"/>
        </w:trPr>
        <w:tc>
          <w:tcPr>
            <w:tcW w:w="63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19</w:t>
            </w:r>
          </w:p>
        </w:tc>
        <w:tc>
          <w:tcPr>
            <w:tcW w:w="1080"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兑周村</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背</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中原路—中原路</w:t>
            </w:r>
          </w:p>
        </w:tc>
        <w:tc>
          <w:tcPr>
            <w:tcW w:w="1080"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600</w:t>
            </w:r>
          </w:p>
        </w:tc>
        <w:tc>
          <w:tcPr>
            <w:tcW w:w="1080"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4</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2400</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p>
        </w:tc>
      </w:tr>
      <w:tr>
        <w:tblPrEx>
          <w:tblCellMar>
            <w:top w:w="0" w:type="dxa"/>
            <w:left w:w="108" w:type="dxa"/>
            <w:bottom w:w="0" w:type="dxa"/>
            <w:right w:w="108" w:type="dxa"/>
          </w:tblCellMar>
        </w:tblPrEx>
        <w:trPr>
          <w:trHeight w:val="640" w:hRule="atLeast"/>
          <w:jc w:val="center"/>
        </w:trPr>
        <w:tc>
          <w:tcPr>
            <w:tcW w:w="638"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20</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炮院后门小路</w:t>
            </w:r>
          </w:p>
        </w:tc>
        <w:tc>
          <w:tcPr>
            <w:tcW w:w="106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背</w:t>
            </w:r>
          </w:p>
        </w:tc>
        <w:tc>
          <w:tcPr>
            <w:tcW w:w="1842"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中原路－炮院</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100</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24.5</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2450</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p>
        </w:tc>
      </w:tr>
      <w:tr>
        <w:tblPrEx>
          <w:tblCellMar>
            <w:top w:w="0" w:type="dxa"/>
            <w:left w:w="108" w:type="dxa"/>
            <w:bottom w:w="0" w:type="dxa"/>
            <w:right w:w="108" w:type="dxa"/>
          </w:tblCellMar>
        </w:tblPrEx>
        <w:trPr>
          <w:trHeight w:val="640" w:hRule="atLeast"/>
          <w:jc w:val="center"/>
        </w:trPr>
        <w:tc>
          <w:tcPr>
            <w:tcW w:w="638"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Cs w:val="21"/>
              </w:rPr>
            </w:pPr>
            <w:r>
              <w:rPr>
                <w:rFonts w:hint="eastAsia" w:ascii="宋体" w:hAnsi="宋体" w:cs="宋体"/>
                <w:color w:val="000000"/>
                <w:szCs w:val="21"/>
              </w:rPr>
              <w:t>21</w:t>
            </w:r>
          </w:p>
        </w:tc>
        <w:tc>
          <w:tcPr>
            <w:tcW w:w="1080"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碧沙岗南门小路</w:t>
            </w:r>
          </w:p>
        </w:tc>
        <w:tc>
          <w:tcPr>
            <w:tcW w:w="1060"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背</w:t>
            </w:r>
          </w:p>
        </w:tc>
        <w:tc>
          <w:tcPr>
            <w:tcW w:w="1842"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中原路－碧沙岗南门</w:t>
            </w:r>
          </w:p>
        </w:tc>
        <w:tc>
          <w:tcPr>
            <w:tcW w:w="1080"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110</w:t>
            </w:r>
          </w:p>
        </w:tc>
        <w:tc>
          <w:tcPr>
            <w:tcW w:w="1080"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6.4</w:t>
            </w:r>
          </w:p>
        </w:tc>
        <w:tc>
          <w:tcPr>
            <w:tcW w:w="1080"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704</w:t>
            </w:r>
          </w:p>
        </w:tc>
        <w:tc>
          <w:tcPr>
            <w:tcW w:w="108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p>
        </w:tc>
      </w:tr>
      <w:tr>
        <w:tblPrEx>
          <w:tblCellMar>
            <w:top w:w="0" w:type="dxa"/>
            <w:left w:w="108" w:type="dxa"/>
            <w:bottom w:w="0" w:type="dxa"/>
            <w:right w:w="108" w:type="dxa"/>
          </w:tblCellMar>
        </w:tblPrEx>
        <w:trPr>
          <w:trHeight w:val="640" w:hRule="atLeast"/>
          <w:jc w:val="center"/>
        </w:trPr>
        <w:tc>
          <w:tcPr>
            <w:tcW w:w="0" w:type="auto"/>
            <w:gridSpan w:val="2"/>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合计</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cs="宋体"/>
                <w:color w:val="000000"/>
                <w:szCs w:val="21"/>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cs="宋体"/>
                <w:color w:val="000000"/>
                <w:szCs w:val="21"/>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cs="宋体"/>
                <w:color w:val="000000"/>
                <w:szCs w:val="21"/>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cs="宋体"/>
                <w:color w:val="000000"/>
                <w:szCs w:val="21"/>
              </w:rPr>
            </w:pP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422355.69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cs="宋体"/>
                <w:color w:val="000000"/>
                <w:szCs w:val="21"/>
              </w:rPr>
            </w:pPr>
          </w:p>
        </w:tc>
      </w:tr>
    </w:tbl>
    <w:p>
      <w:pPr>
        <w:spacing w:line="360" w:lineRule="auto"/>
        <w:jc w:val="left"/>
        <w:rPr>
          <w:rFonts w:hint="eastAsia" w:ascii="宋体" w:hAnsi="宋体" w:cs="宋体"/>
          <w:b/>
          <w:bCs/>
          <w:sz w:val="21"/>
          <w:szCs w:val="21"/>
        </w:rPr>
      </w:pPr>
    </w:p>
    <w:p>
      <w:pPr>
        <w:spacing w:line="360" w:lineRule="auto"/>
        <w:jc w:val="left"/>
        <w:rPr>
          <w:rFonts w:hint="eastAsia" w:ascii="宋体" w:hAnsi="宋体" w:cs="宋体"/>
          <w:b/>
          <w:bCs/>
          <w:sz w:val="21"/>
          <w:szCs w:val="21"/>
        </w:rPr>
      </w:pPr>
      <w:r>
        <w:rPr>
          <w:rFonts w:hint="eastAsia" w:ascii="宋体" w:hAnsi="宋体" w:cs="宋体"/>
          <w:b/>
          <w:bCs/>
          <w:sz w:val="21"/>
          <w:szCs w:val="21"/>
        </w:rPr>
        <w:t>★（2）商务要求</w:t>
      </w:r>
    </w:p>
    <w:p>
      <w:pPr>
        <w:spacing w:line="560" w:lineRule="exact"/>
        <w:ind w:firstLine="420" w:firstLineChars="200"/>
        <w:jc w:val="left"/>
        <w:rPr>
          <w:rFonts w:hint="eastAsia" w:ascii="宋体" w:hAnsi="宋体" w:cs="宋体"/>
          <w:iCs/>
          <w:sz w:val="21"/>
          <w:szCs w:val="21"/>
        </w:rPr>
      </w:pPr>
      <w:r>
        <w:rPr>
          <w:rFonts w:hint="eastAsia" w:ascii="宋体" w:hAnsi="宋体" w:cs="宋体"/>
          <w:iCs/>
          <w:sz w:val="21"/>
          <w:szCs w:val="21"/>
        </w:rPr>
        <w:t>1.采购标的的时间：2024年4月；</w:t>
      </w:r>
    </w:p>
    <w:p>
      <w:pPr>
        <w:spacing w:line="560" w:lineRule="exact"/>
        <w:ind w:firstLine="420" w:firstLineChars="200"/>
        <w:jc w:val="left"/>
        <w:rPr>
          <w:rFonts w:hint="eastAsia" w:ascii="宋体" w:hAnsi="宋体" w:cs="宋体"/>
          <w:iCs/>
          <w:sz w:val="21"/>
          <w:szCs w:val="21"/>
        </w:rPr>
      </w:pPr>
      <w:r>
        <w:rPr>
          <w:rFonts w:hint="eastAsia" w:ascii="宋体" w:hAnsi="宋体" w:cs="宋体"/>
          <w:iCs/>
          <w:sz w:val="21"/>
          <w:szCs w:val="21"/>
        </w:rPr>
        <w:t>2.服务期限：自合同签订之日起两年</w:t>
      </w:r>
    </w:p>
    <w:p>
      <w:pPr>
        <w:spacing w:line="560" w:lineRule="exact"/>
        <w:ind w:firstLine="420" w:firstLineChars="200"/>
        <w:jc w:val="left"/>
        <w:rPr>
          <w:rFonts w:hint="eastAsia" w:ascii="宋体" w:hAnsi="宋体" w:cs="宋体"/>
          <w:iCs/>
          <w:sz w:val="21"/>
          <w:szCs w:val="21"/>
        </w:rPr>
      </w:pPr>
      <w:r>
        <w:rPr>
          <w:rFonts w:hint="eastAsia" w:ascii="宋体" w:hAnsi="宋体" w:cs="宋体"/>
          <w:iCs/>
          <w:sz w:val="21"/>
          <w:szCs w:val="21"/>
        </w:rPr>
        <w:t>3.服务地点：采购人指定</w:t>
      </w:r>
    </w:p>
    <w:p>
      <w:pPr>
        <w:spacing w:line="560" w:lineRule="exact"/>
        <w:ind w:firstLine="420" w:firstLineChars="200"/>
        <w:jc w:val="left"/>
        <w:rPr>
          <w:rFonts w:hint="eastAsia" w:ascii="宋体" w:hAnsi="宋体" w:cs="宋体"/>
          <w:iCs/>
          <w:sz w:val="21"/>
          <w:szCs w:val="21"/>
        </w:rPr>
      </w:pPr>
      <w:r>
        <w:rPr>
          <w:rFonts w:hint="eastAsia" w:ascii="宋体" w:hAnsi="宋体" w:cs="宋体"/>
          <w:iCs/>
          <w:sz w:val="21"/>
          <w:szCs w:val="21"/>
        </w:rPr>
        <w:t>4.质量要求：执行《全国卫生城市检查标准》和郑州市、二七区城市环境卫生精细化管理要求。</w:t>
      </w:r>
    </w:p>
    <w:p>
      <w:pPr>
        <w:spacing w:line="560" w:lineRule="exact"/>
        <w:ind w:firstLine="420" w:firstLineChars="200"/>
        <w:jc w:val="left"/>
        <w:outlineLvl w:val="0"/>
        <w:rPr>
          <w:rFonts w:hint="eastAsia" w:ascii="宋体" w:hAnsi="宋体" w:cs="宋体"/>
          <w:iCs/>
          <w:sz w:val="21"/>
          <w:szCs w:val="21"/>
        </w:rPr>
      </w:pPr>
      <w:r>
        <w:rPr>
          <w:rFonts w:hint="eastAsia" w:ascii="宋体" w:hAnsi="宋体" w:cs="宋体"/>
          <w:iCs/>
          <w:sz w:val="21"/>
          <w:szCs w:val="21"/>
        </w:rPr>
        <w:t>5.采购范围：中原路（大学路口至嵩山路）、嵩山北路路东（中原路至陇海路）、大学路（中原路至陇海路、大学路辅路两侧扩宽路桥）、陇海路（路北：交通路至嵩山路）、伊河路（嵩山路至兴华北街）、兴华街（陇海路至中原路）、大学路辅道（中原路至大学路、两侧拓宽）、广场南街（嵩山路至兴华北街）、郑大市场北街（交通路至大学路）、交通路（康复前街至陇海路路东侧、康复前街至陇海路路西侧）、康复前街（交通路至大学路两侧）、康复后街（西公厕至大学路）、桃源路（兴华街至大学路）、勤劳街（桃园路至陇海路）、淮北街（桃源路至陇海路）、郑大市场南街（大学路至交通路）、郑大东门天桥、兑周村（中原路至中原路）、炮院后门小路（中原路至炮院）、碧沙岗南门小路（中原路至碧沙岗南门）等道路清扫保洁，道路清扫保洁面积 422355.69 平方米；</w:t>
      </w:r>
    </w:p>
    <w:p>
      <w:pPr>
        <w:spacing w:line="560" w:lineRule="exact"/>
        <w:ind w:firstLine="420" w:firstLineChars="200"/>
        <w:jc w:val="left"/>
        <w:rPr>
          <w:rFonts w:hint="eastAsia" w:ascii="宋体" w:hAnsi="宋体" w:cs="宋体"/>
          <w:iCs/>
          <w:sz w:val="21"/>
          <w:szCs w:val="21"/>
        </w:rPr>
      </w:pPr>
      <w:r>
        <w:rPr>
          <w:rFonts w:hint="eastAsia" w:ascii="宋体" w:hAnsi="宋体" w:cs="宋体"/>
          <w:iCs/>
          <w:sz w:val="21"/>
          <w:szCs w:val="21"/>
        </w:rPr>
        <w:t>6.本项目是否接受联合体投标：否；</w:t>
      </w:r>
    </w:p>
    <w:p>
      <w:pPr>
        <w:spacing w:line="560" w:lineRule="exact"/>
        <w:ind w:firstLine="420" w:firstLineChars="200"/>
        <w:jc w:val="left"/>
        <w:rPr>
          <w:rFonts w:hint="eastAsia" w:ascii="宋体" w:hAnsi="宋体" w:cs="宋体"/>
          <w:iCs/>
          <w:sz w:val="21"/>
          <w:szCs w:val="21"/>
        </w:rPr>
      </w:pPr>
      <w:r>
        <w:rPr>
          <w:rFonts w:hint="eastAsia" w:ascii="宋体" w:hAnsi="宋体" w:cs="宋体"/>
          <w:iCs/>
          <w:sz w:val="21"/>
          <w:szCs w:val="21"/>
        </w:rPr>
        <w:t>7.是否接受进口产品：否；</w:t>
      </w:r>
    </w:p>
    <w:p>
      <w:pPr>
        <w:spacing w:line="560" w:lineRule="exact"/>
        <w:ind w:firstLine="420" w:firstLineChars="200"/>
        <w:jc w:val="left"/>
        <w:rPr>
          <w:rFonts w:hint="eastAsia" w:ascii="宋体" w:hAnsi="宋体" w:cs="宋体"/>
          <w:iCs/>
          <w:sz w:val="21"/>
          <w:szCs w:val="21"/>
        </w:rPr>
      </w:pPr>
      <w:r>
        <w:rPr>
          <w:rFonts w:hint="eastAsia" w:ascii="宋体" w:hAnsi="宋体" w:cs="宋体"/>
          <w:iCs/>
          <w:sz w:val="21"/>
          <w:szCs w:val="21"/>
        </w:rPr>
        <w:t>8.是否专门面向中小企业：否；</w:t>
      </w:r>
    </w:p>
    <w:p>
      <w:pPr>
        <w:spacing w:line="560" w:lineRule="exact"/>
        <w:ind w:firstLine="420" w:firstLineChars="200"/>
        <w:jc w:val="left"/>
        <w:rPr>
          <w:rFonts w:hint="eastAsia" w:ascii="宋体" w:hAnsi="宋体" w:cs="宋体"/>
          <w:iCs/>
          <w:sz w:val="21"/>
          <w:szCs w:val="21"/>
        </w:rPr>
      </w:pPr>
      <w:r>
        <w:rPr>
          <w:rFonts w:hint="eastAsia" w:ascii="宋体" w:hAnsi="宋体" w:cs="宋体"/>
          <w:iCs/>
          <w:sz w:val="21"/>
          <w:szCs w:val="21"/>
        </w:rPr>
        <w:t>9.付款方式：根据豫财购〔2022〕5号文件要求建立预付款机制。甲方在合同生效后，如当月未发现环卫作业等质量问题，以转账方式全额向乙方支付月服务费，如发现环卫作业等服务质量问题，甲方按《二七区环卫保洁管理细则》（见附件）的标准扣款，以上款项均为无息支付。</w:t>
      </w:r>
    </w:p>
    <w:p>
      <w:pPr>
        <w:spacing w:line="560" w:lineRule="exact"/>
        <w:ind w:firstLine="420" w:firstLineChars="200"/>
        <w:jc w:val="left"/>
        <w:rPr>
          <w:rFonts w:hint="eastAsia" w:ascii="宋体" w:hAnsi="宋体" w:eastAsia="宋体" w:cs="宋体"/>
          <w:iCs/>
          <w:sz w:val="21"/>
          <w:szCs w:val="21"/>
        </w:rPr>
      </w:pPr>
      <w:r>
        <w:rPr>
          <w:rFonts w:hint="eastAsia" w:ascii="宋体" w:hAnsi="宋体" w:eastAsia="宋体" w:cs="宋体"/>
          <w:iCs/>
          <w:sz w:val="21"/>
          <w:szCs w:val="21"/>
        </w:rPr>
        <w:t xml:space="preserve">10.履约验收方式 </w:t>
      </w:r>
    </w:p>
    <w:p>
      <w:pPr>
        <w:spacing w:line="560" w:lineRule="exact"/>
        <w:ind w:firstLine="420" w:firstLineChars="200"/>
        <w:jc w:val="left"/>
        <w:rPr>
          <w:rFonts w:hint="eastAsia" w:ascii="宋体" w:hAnsi="宋体" w:eastAsia="宋体" w:cs="宋体"/>
          <w:iCs/>
          <w:sz w:val="21"/>
          <w:szCs w:val="21"/>
        </w:rPr>
      </w:pPr>
      <w:r>
        <w:rPr>
          <w:rFonts w:hint="eastAsia" w:ascii="宋体" w:hAnsi="宋体" w:eastAsia="宋体" w:cs="宋体"/>
          <w:iCs/>
          <w:sz w:val="21"/>
          <w:szCs w:val="21"/>
        </w:rPr>
        <w:t xml:space="preserve">由郑州市二七区城市管理局成立验收小组,按照采购合同的约定对投标人履约情况进行书面验收。验收结束后,应当出具验收书,列明各项标准的验收情况及项目总体评价,由验收双方共同签署。 </w:t>
      </w:r>
    </w:p>
    <w:p>
      <w:pPr>
        <w:spacing w:line="560" w:lineRule="exact"/>
        <w:ind w:firstLine="420" w:firstLineChars="200"/>
        <w:jc w:val="left"/>
        <w:rPr>
          <w:rFonts w:hint="eastAsia" w:ascii="宋体" w:hAnsi="宋体" w:eastAsia="宋体" w:cs="宋体"/>
          <w:iCs/>
          <w:sz w:val="21"/>
          <w:szCs w:val="21"/>
        </w:rPr>
      </w:pPr>
      <w:r>
        <w:rPr>
          <w:rFonts w:hint="eastAsia" w:ascii="宋体" w:hAnsi="宋体" w:eastAsia="宋体" w:cs="宋体"/>
          <w:iCs/>
          <w:sz w:val="21"/>
          <w:szCs w:val="21"/>
        </w:rPr>
        <w:t xml:space="preserve">11.履约验收程序 </w:t>
      </w:r>
    </w:p>
    <w:p>
      <w:pPr>
        <w:spacing w:line="560" w:lineRule="exact"/>
        <w:ind w:firstLine="420" w:firstLineChars="200"/>
        <w:jc w:val="left"/>
        <w:rPr>
          <w:rFonts w:hint="eastAsia" w:ascii="宋体" w:hAnsi="宋体" w:eastAsia="宋体" w:cs="宋体"/>
          <w:iCs/>
          <w:sz w:val="21"/>
          <w:szCs w:val="21"/>
        </w:rPr>
      </w:pPr>
      <w:r>
        <w:rPr>
          <w:rFonts w:hint="eastAsia" w:ascii="宋体" w:hAnsi="宋体" w:eastAsia="宋体" w:cs="宋体"/>
          <w:iCs/>
          <w:sz w:val="21"/>
          <w:szCs w:val="21"/>
        </w:rPr>
        <w:t xml:space="preserve">（1）供应商履约完毕提出验收申请； </w:t>
      </w:r>
    </w:p>
    <w:p>
      <w:pPr>
        <w:spacing w:line="560" w:lineRule="exact"/>
        <w:ind w:firstLine="420" w:firstLineChars="200"/>
        <w:jc w:val="left"/>
        <w:rPr>
          <w:rFonts w:hint="eastAsia" w:ascii="宋体" w:hAnsi="宋体" w:eastAsia="宋体" w:cs="宋体"/>
          <w:iCs/>
          <w:sz w:val="21"/>
          <w:szCs w:val="21"/>
        </w:rPr>
      </w:pPr>
      <w:r>
        <w:rPr>
          <w:rFonts w:hint="eastAsia" w:ascii="宋体" w:hAnsi="宋体" w:eastAsia="宋体" w:cs="宋体"/>
          <w:iCs/>
          <w:sz w:val="21"/>
          <w:szCs w:val="21"/>
        </w:rPr>
        <w:t xml:space="preserve">（2）组成履约验收小组；    </w:t>
      </w:r>
    </w:p>
    <w:p>
      <w:pPr>
        <w:spacing w:line="560" w:lineRule="exact"/>
        <w:ind w:firstLine="420" w:firstLineChars="200"/>
        <w:jc w:val="left"/>
        <w:rPr>
          <w:rFonts w:hint="eastAsia" w:ascii="宋体" w:hAnsi="宋体" w:eastAsia="宋体" w:cs="宋体"/>
          <w:iCs/>
          <w:sz w:val="21"/>
          <w:szCs w:val="21"/>
        </w:rPr>
      </w:pPr>
      <w:r>
        <w:rPr>
          <w:rFonts w:hint="eastAsia" w:ascii="宋体" w:hAnsi="宋体" w:eastAsia="宋体" w:cs="宋体"/>
          <w:iCs/>
          <w:sz w:val="21"/>
          <w:szCs w:val="21"/>
        </w:rPr>
        <w:t xml:space="preserve">（3）制定履约验收规则；       </w:t>
      </w:r>
    </w:p>
    <w:p>
      <w:pPr>
        <w:spacing w:line="560" w:lineRule="exact"/>
        <w:ind w:firstLine="420" w:firstLineChars="200"/>
        <w:jc w:val="left"/>
        <w:rPr>
          <w:rFonts w:hint="eastAsia" w:ascii="宋体" w:hAnsi="宋体" w:eastAsia="宋体" w:cs="宋体"/>
          <w:iCs/>
          <w:sz w:val="21"/>
          <w:szCs w:val="21"/>
        </w:rPr>
      </w:pPr>
      <w:r>
        <w:rPr>
          <w:rFonts w:hint="eastAsia" w:ascii="宋体" w:hAnsi="宋体" w:eastAsia="宋体" w:cs="宋体"/>
          <w:iCs/>
          <w:sz w:val="21"/>
          <w:szCs w:val="21"/>
        </w:rPr>
        <w:t xml:space="preserve">（4）制定履约验收流程；          </w:t>
      </w:r>
    </w:p>
    <w:p>
      <w:pPr>
        <w:spacing w:line="560" w:lineRule="exact"/>
        <w:ind w:firstLine="420" w:firstLineChars="200"/>
        <w:jc w:val="left"/>
        <w:rPr>
          <w:rFonts w:hint="eastAsia" w:ascii="宋体" w:hAnsi="宋体" w:eastAsia="宋体" w:cs="宋体"/>
          <w:iCs/>
          <w:sz w:val="21"/>
          <w:szCs w:val="21"/>
        </w:rPr>
      </w:pPr>
      <w:r>
        <w:rPr>
          <w:rFonts w:hint="eastAsia" w:ascii="宋体" w:hAnsi="宋体" w:eastAsia="宋体" w:cs="宋体"/>
          <w:iCs/>
          <w:sz w:val="21"/>
          <w:szCs w:val="21"/>
        </w:rPr>
        <w:t xml:space="preserve">（5）根据验收结果出具履约验收报告，并要求参与人员签字确认；    </w:t>
      </w:r>
    </w:p>
    <w:p>
      <w:pPr>
        <w:spacing w:line="560" w:lineRule="exact"/>
        <w:ind w:firstLine="420" w:firstLineChars="200"/>
        <w:jc w:val="left"/>
        <w:rPr>
          <w:rFonts w:hint="eastAsia" w:ascii="宋体" w:hAnsi="宋体" w:eastAsia="宋体" w:cs="宋体"/>
          <w:iCs/>
          <w:sz w:val="21"/>
          <w:szCs w:val="21"/>
        </w:rPr>
      </w:pPr>
      <w:r>
        <w:rPr>
          <w:rFonts w:hint="eastAsia" w:ascii="宋体" w:hAnsi="宋体" w:eastAsia="宋体" w:cs="宋体"/>
          <w:iCs/>
          <w:sz w:val="21"/>
          <w:szCs w:val="21"/>
        </w:rPr>
        <w:t xml:space="preserve">（6）由采购人在验收后2个工作日内发布履约验收报告。            </w:t>
      </w:r>
    </w:p>
    <w:p>
      <w:pPr>
        <w:spacing w:line="560" w:lineRule="exact"/>
        <w:ind w:firstLine="420" w:firstLineChars="200"/>
        <w:jc w:val="left"/>
        <w:rPr>
          <w:rFonts w:hint="eastAsia" w:ascii="宋体" w:hAnsi="宋体" w:eastAsia="宋体" w:cs="宋体"/>
          <w:iCs/>
          <w:sz w:val="21"/>
          <w:szCs w:val="21"/>
        </w:rPr>
      </w:pPr>
      <w:r>
        <w:rPr>
          <w:rFonts w:hint="eastAsia" w:ascii="宋体" w:hAnsi="宋体" w:eastAsia="宋体" w:cs="宋体"/>
          <w:iCs/>
          <w:sz w:val="21"/>
          <w:szCs w:val="21"/>
        </w:rPr>
        <w:t xml:space="preserve">12.履约验收标准 </w:t>
      </w:r>
    </w:p>
    <w:p>
      <w:pPr>
        <w:spacing w:line="560" w:lineRule="exact"/>
        <w:ind w:firstLine="420" w:firstLineChars="200"/>
        <w:jc w:val="left"/>
        <w:rPr>
          <w:rFonts w:hint="eastAsia" w:ascii="宋体" w:hAnsi="宋体" w:eastAsia="宋体" w:cs="宋体"/>
          <w:iCs/>
          <w:sz w:val="21"/>
          <w:szCs w:val="21"/>
        </w:rPr>
      </w:pPr>
      <w:r>
        <w:rPr>
          <w:rFonts w:hint="eastAsia" w:ascii="宋体" w:hAnsi="宋体" w:eastAsia="宋体" w:cs="宋体"/>
          <w:iCs/>
          <w:sz w:val="21"/>
          <w:szCs w:val="21"/>
        </w:rPr>
        <w:t>执行《全国卫生城市检查标准》和郑州市、二七区城市环境卫生精细化管理要求。</w:t>
      </w:r>
    </w:p>
    <w:p>
      <w:pPr>
        <w:spacing w:line="560" w:lineRule="exact"/>
        <w:ind w:firstLine="420" w:firstLineChars="200"/>
        <w:jc w:val="left"/>
        <w:rPr>
          <w:rFonts w:hint="eastAsia" w:ascii="宋体" w:hAnsi="宋体" w:eastAsia="宋体" w:cs="宋体"/>
          <w:iCs/>
          <w:sz w:val="21"/>
          <w:szCs w:val="21"/>
        </w:rPr>
      </w:pPr>
      <w:r>
        <w:rPr>
          <w:rFonts w:hint="eastAsia" w:ascii="宋体" w:hAnsi="宋体" w:eastAsia="宋体" w:cs="宋体"/>
          <w:iCs/>
          <w:sz w:val="21"/>
          <w:szCs w:val="21"/>
        </w:rPr>
        <w:t>采购人根据国家及省市区有关规定、招标文件、中标方的投标文件以及合同约定的内容和验收标准进行验收，采购人可以视项目情况邀请第三方机构或者参加本项目投标的落标人参与验收。验收情况作为支付服务款的依据。如有异议，以相关质量技术检验检测机构的检验结果为准，如产生检验检测费用，则该费用由过失方承担。</w:t>
      </w:r>
    </w:p>
    <w:p>
      <w:pPr>
        <w:spacing w:line="560" w:lineRule="exact"/>
        <w:ind w:firstLine="422" w:firstLineChars="200"/>
        <w:jc w:val="left"/>
        <w:rPr>
          <w:rFonts w:hint="eastAsia" w:ascii="宋体" w:hAnsi="宋体" w:cs="宋体"/>
          <w:b/>
          <w:bCs/>
          <w:iCs/>
          <w:sz w:val="21"/>
          <w:szCs w:val="21"/>
        </w:rPr>
      </w:pPr>
      <w:r>
        <w:rPr>
          <w:rFonts w:hint="eastAsia" w:ascii="宋体" w:hAnsi="宋体" w:cs="宋体"/>
          <w:b/>
          <w:bCs/>
          <w:iCs/>
          <w:sz w:val="21"/>
          <w:szCs w:val="21"/>
        </w:rPr>
        <w:t>★为实质性条款，供应商须对此条款作出实质性响应，否则做无效投标处理。</w:t>
      </w:r>
    </w:p>
    <w:p/>
    <w:p/>
    <w:p>
      <w:pPr>
        <w:spacing w:line="560" w:lineRule="exact"/>
        <w:ind w:firstLine="422" w:firstLineChars="200"/>
        <w:jc w:val="left"/>
        <w:rPr>
          <w:rFonts w:hint="eastAsia" w:ascii="宋体" w:hAnsi="宋体" w:cs="宋体"/>
          <w:b/>
          <w:bCs/>
          <w:sz w:val="21"/>
          <w:szCs w:val="21"/>
        </w:rPr>
      </w:pPr>
      <w:r>
        <w:rPr>
          <w:rFonts w:hint="eastAsia" w:ascii="宋体" w:hAnsi="宋体" w:cs="宋体"/>
          <w:b/>
          <w:bCs/>
          <w:sz w:val="21"/>
          <w:szCs w:val="21"/>
          <w:lang w:val="en-US" w:eastAsia="zh-CN"/>
        </w:rPr>
        <w:t>B包</w:t>
      </w:r>
      <w:r>
        <w:rPr>
          <w:rFonts w:hint="eastAsia" w:ascii="宋体" w:hAnsi="宋体" w:cs="宋体"/>
          <w:b/>
          <w:bCs/>
          <w:sz w:val="21"/>
          <w:szCs w:val="21"/>
        </w:rPr>
        <w:t>（1）技术要求</w:t>
      </w:r>
    </w:p>
    <w:p>
      <w:pPr>
        <w:spacing w:line="360" w:lineRule="auto"/>
        <w:jc w:val="center"/>
        <w:rPr>
          <w:rFonts w:hint="eastAsia" w:ascii="宋体" w:hAnsi="宋体" w:cs="宋体"/>
          <w:b/>
          <w:bCs/>
          <w:sz w:val="21"/>
          <w:szCs w:val="21"/>
        </w:rPr>
      </w:pPr>
      <w:r>
        <w:rPr>
          <w:rFonts w:hint="eastAsia" w:ascii="宋体" w:hAnsi="宋体" w:cs="微软雅黑"/>
          <w:b/>
          <w:szCs w:val="21"/>
        </w:rPr>
        <w:t>★</w:t>
      </w:r>
      <w:r>
        <w:rPr>
          <w:rFonts w:hint="eastAsia" w:ascii="宋体" w:hAnsi="宋体" w:cs="宋体"/>
          <w:b/>
          <w:bCs/>
          <w:sz w:val="21"/>
          <w:szCs w:val="21"/>
        </w:rPr>
        <w:t>（一）主要技术参数</w:t>
      </w:r>
    </w:p>
    <w:p>
      <w:pPr>
        <w:pStyle w:val="5"/>
        <w:ind w:left="1260"/>
        <w:rPr>
          <w:rFonts w:hint="eastAsia" w:ascii="宋体" w:hAnsi="宋体" w:cs="宋体"/>
          <w:sz w:val="21"/>
          <w:szCs w:val="21"/>
        </w:rPr>
      </w:pPr>
    </w:p>
    <w:p>
      <w:pPr>
        <w:spacing w:line="360" w:lineRule="auto"/>
        <w:ind w:firstLine="420" w:firstLineChars="200"/>
        <w:rPr>
          <w:rFonts w:hint="eastAsia" w:ascii="宋体" w:hAnsi="宋体" w:cs="宋体"/>
          <w:sz w:val="21"/>
          <w:szCs w:val="21"/>
        </w:rPr>
      </w:pPr>
      <w:r>
        <w:rPr>
          <w:rFonts w:hint="eastAsia" w:ascii="宋体" w:hAnsi="宋体" w:cs="宋体"/>
          <w:sz w:val="21"/>
          <w:szCs w:val="21"/>
        </w:rPr>
        <w:t>1、需配备6台中型洗扫车、4台中型高压冲洗车、3台中型吸尘车（必须有</w:t>
      </w:r>
      <w:r>
        <w:rPr>
          <w:rFonts w:ascii="宋体" w:hAnsi="宋体" w:cs="宋体"/>
          <w:sz w:val="21"/>
          <w:szCs w:val="21"/>
        </w:rPr>
        <w:t>4</w:t>
      </w:r>
      <w:r>
        <w:rPr>
          <w:rFonts w:hint="eastAsia" w:ascii="宋体" w:hAnsi="宋体" w:cs="宋体"/>
          <w:sz w:val="21"/>
          <w:szCs w:val="21"/>
        </w:rPr>
        <w:t>台氢能源）；需配置6台大型扫雪机（推雪铲）、1台大型干（湿）撒布机；其他小型车辆根据实际情况配置；车辆需购置定位系统，与大数据平台进行连接；如区城管局提供车辆，中标单位必须使用，租赁费按照租赁评估价格向区财政交纳；配备环卫驿站1座。</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2、机扫作业（洗扫车、高压冲洗车、吸尘车）驾驶员按照每台车“三班制”、每班次1.1人；主、次干道按“两班半制”人均清扫面积6000平方米配备人员，支路背街按“两班半制”人均清扫面积4000平方米配备清扫保洁人员；执行环卫职工工资2598元/月、技术岗位人员工资4053元/月，如调整，执行郑州市城管局要求的工资水平。</w:t>
      </w:r>
    </w:p>
    <w:p>
      <w:pPr>
        <w:spacing w:line="360" w:lineRule="auto"/>
        <w:ind w:firstLine="422" w:firstLineChars="200"/>
        <w:jc w:val="center"/>
        <w:rPr>
          <w:rFonts w:hint="eastAsia" w:ascii="宋体" w:hAnsi="宋体" w:cs="宋体"/>
          <w:b/>
          <w:bCs/>
          <w:sz w:val="21"/>
          <w:szCs w:val="21"/>
        </w:rPr>
      </w:pPr>
      <w:r>
        <w:rPr>
          <w:rFonts w:hint="eastAsia" w:ascii="宋体" w:hAnsi="宋体" w:cs="微软雅黑"/>
          <w:b/>
          <w:szCs w:val="21"/>
        </w:rPr>
        <w:t>★</w:t>
      </w:r>
      <w:r>
        <w:rPr>
          <w:rFonts w:hint="eastAsia" w:ascii="宋体" w:hAnsi="宋体" w:cs="宋体"/>
          <w:b/>
          <w:bCs/>
          <w:sz w:val="21"/>
          <w:szCs w:val="21"/>
        </w:rPr>
        <w:t>（二）环卫作业主要技术参数</w:t>
      </w:r>
    </w:p>
    <w:p>
      <w:pPr>
        <w:spacing w:line="360" w:lineRule="auto"/>
        <w:jc w:val="center"/>
        <w:rPr>
          <w:rFonts w:hint="eastAsia" w:ascii="宋体" w:hAnsi="宋体" w:cs="宋体"/>
          <w:sz w:val="21"/>
          <w:szCs w:val="21"/>
        </w:rPr>
      </w:pPr>
      <w:r>
        <w:rPr>
          <w:rFonts w:hint="eastAsia" w:ascii="宋体" w:hAnsi="宋体" w:cs="宋体"/>
          <w:sz w:val="21"/>
          <w:szCs w:val="21"/>
        </w:rPr>
        <w:t>（环卫作业具体内容）</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1、辖区内居民小区外所有道路（道路两侧临街建筑物立面之间的所有路面，含人行天桥、道路立交桥、桥梁涵洞等）按照“横到边、竖到底”的原则进行清扫保洁、冲洗降尘。做到无垃圾、浮土、积水、污泥、烟头、果皮、纸屑、包装盒、塑料袋及砖瓦、石块等废弃物。</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2、下水道口及窨井口的清理、清洗，无污物、见本色。</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3、辖区日常清扫保洁垃圾收运到指定的垃圾中转站，做到日产日清。</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4、城市家具(工具箱、道班房、座椅、垃圾箱、果皮箱等环卫设施)清洗、清掏和维护。</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5、绿化带、公共绿地内的垃圾捡拾、清理和巡回保洁。禁止焚烧枯枝落叶、杂物和垃圾。</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6、墙根、树穴、立杆、空调外机等边角处卫生死角治理，与其他区交界部分清扫须扫至交界线以外3米处。</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7、辖区无主垃圾，偷倒的建筑垃圾（装修垃圾）、大件垃圾清理（不得清运到垃圾中转站，由乙方负责自行处理）。</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8、降雨后道路淤泥的清理、冲刷，积水的清除；</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9、提前购置储备融雪剂，降雪前后在清扫保洁区域内撒布，及时清理积雪并清运至指定场所。禁止向车行道、人行道上堆雪、摊雪、撒雪；禁止向雨水井内倾倒冰雪；禁止在公交车站、街心花坛、绿化带、树池内和垃圾箱周围堆放冰雪；禁止向雪堆上倾倒垃圾、污水、污物。</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10、上门收集、清运沿街商户门店生活垃圾。垃圾收运过程中必须采用市环卫部门要求配备的密闭车辆，不得“滴冒跑漏”。</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11、机扫道路进行全天候清扫保洁工作。</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12、对所管道路隔离护栏清洗、擦拭，见本色、无污渍。</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13、对辖区环卫数字化案件做到及时整改、及时回复。</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14、对沿街两侧树干、线杆、箱体、花坛、建筑立面及橱窗、卷闸门等处小广告进行清理、整饰。</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15、完成甲方交办的其他临时性、突击性工作。遇重要活动，乙方应无条件服从甲方的工作调度和安排，对于延长作业时间，完成指定作业任务，甲方不支付任何补贴费用。</w:t>
      </w:r>
    </w:p>
    <w:p>
      <w:pPr>
        <w:spacing w:line="360" w:lineRule="auto"/>
        <w:jc w:val="center"/>
        <w:rPr>
          <w:rFonts w:hint="eastAsia" w:ascii="宋体" w:hAnsi="宋体" w:cs="宋体"/>
          <w:b/>
          <w:sz w:val="21"/>
          <w:szCs w:val="21"/>
        </w:rPr>
      </w:pPr>
      <w:r>
        <w:rPr>
          <w:rFonts w:hint="eastAsia" w:ascii="宋体" w:hAnsi="宋体" w:cs="微软雅黑"/>
          <w:b/>
          <w:szCs w:val="21"/>
        </w:rPr>
        <w:t>★</w:t>
      </w:r>
      <w:r>
        <w:rPr>
          <w:rFonts w:hint="eastAsia" w:ascii="宋体" w:hAnsi="宋体" w:cs="宋体"/>
          <w:b/>
          <w:sz w:val="21"/>
          <w:szCs w:val="21"/>
        </w:rPr>
        <w:t>（三）二七区街道物业化管理细则</w:t>
      </w:r>
    </w:p>
    <w:p>
      <w:pPr>
        <w:spacing w:line="360" w:lineRule="auto"/>
        <w:jc w:val="center"/>
        <w:rPr>
          <w:rFonts w:hint="eastAsia" w:ascii="宋体" w:hAnsi="宋体" w:cs="宋体"/>
          <w:b/>
          <w:sz w:val="21"/>
          <w:szCs w:val="21"/>
        </w:rPr>
      </w:pPr>
      <w:r>
        <w:rPr>
          <w:rFonts w:hint="eastAsia" w:ascii="宋体" w:hAnsi="宋体" w:cs="宋体"/>
          <w:bCs/>
          <w:sz w:val="21"/>
          <w:szCs w:val="21"/>
        </w:rPr>
        <w:t>（以区城管局制定的最新细则为准）</w:t>
      </w:r>
    </w:p>
    <w:p>
      <w:pPr>
        <w:spacing w:line="360" w:lineRule="auto"/>
        <w:ind w:firstLine="640"/>
        <w:rPr>
          <w:rFonts w:hint="eastAsia" w:ascii="宋体" w:hAnsi="宋体" w:cs="宋体"/>
          <w:b/>
          <w:bCs/>
          <w:sz w:val="21"/>
          <w:szCs w:val="21"/>
        </w:rPr>
      </w:pPr>
      <w:r>
        <w:rPr>
          <w:rFonts w:hint="eastAsia" w:ascii="宋体" w:hAnsi="宋体" w:cs="宋体"/>
          <w:b/>
          <w:bCs/>
          <w:sz w:val="21"/>
          <w:szCs w:val="21"/>
        </w:rPr>
        <w:t>一、环卫作业</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1、晨扫考核或日常巡查时发现晨扫不到位或未进行晨扫的路段每处（路段长度50米以上）每次扣款10000元，如果发现多处路段未晨扫或晨扫不到位的可累计扣款。</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2、晨扫考核或日常保洁巡查时发现成堆垃圾的每堆每次扣款1000元。</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3、禁止焚烧垃圾，发现焚烧垃圾的每次扣款10000元。</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4、发现乱倾倒垃圾或将沙土扫至下水道和绿化带的每次扣款1000元。</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5、发现未按照要求配置机械化清扫、洒水、冲洗、除雪等车辆，每辆每次扣款10000元，合同期间乙方不得私自调用中标要求车辆为非中标区域服务，违反约定每天向甲方支付5000元/车的违约金，如遇特殊情况，乙方须提前告知甲方，经甲方同意后方可调用。</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6、清扫保洁作业工具的每人每次扣款100元。</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7、发现未按规定穿乙方明显标志的服装的每次扣款100元。</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 xml:space="preserve">    8、保洁范围10米内废弃物不超过2处，每超出1处扣款100元，以此类推。</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9、甲方将每天不定时对保洁作业人员在岗情况进行抽查，发现作业人员未按规定人员配备者视为缺岗，每发现一人次每月扣款2598元，以此类推；</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10、各种车辆摆放规范，发现未规范摆放，每辆每次扣款10元。</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11、各种车辆每周至少清洗一次，保持外观的整洁卫生，发现车辆外观不整洁的每次扣款100元。</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12、果皮箱应及时清洗、清掏，保持外观的整洁卫生、无垃圾外溢，发现果皮箱未及时清洗或清掏造成外观不整洁的每个扣款100元/次、有垃圾外溢的每个扣款100元/次。</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13、及时清理地面上的小广告，发现地面小广告未清除的，每处扣款100元。</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14、保洁车、垃圾运输车辆未按照市里要求进行密闭的或规格不符，每发现一辆扣款1000元/次。</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15、乙方负责区域内果皮箱的日常管理，如出现果皮箱损坏和丢失，应及时进行维修和更换，发现未及时维修、更换的，每个扣款100元/次。</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16、垃圾日产日清，如遇到重要活动或节假日时应增加收集次数。发现未能按规定时间完成收集清运的，每次扣款10000元。</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17、乙方须指定一名人员负责标段内数字化案件的处置工作，如未在规定时间内处置，将按照市、区对数字化案件处置的规定进行扣款。</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18、乙方责任区内被有关部门罚款或有偿整改（经核实属于乙方责任的），将依照郑州市、二七区对罚款或有偿整改的规定进行扣款，费用在当月清扫费用中扣除。</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19、中标区域路长制道路评选中得黑旗的路段（经核实属于乙方责任的）所产生的罚款由乙方承担。</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20、甲方每周将定期或临时召开会议，乙方项目负责人或法人接到通知后应准时参加，未能按时参加的每次扣款1000元；参加会议迟到（30分钟内的）每次扣款200元，超过30分钟的扣款500元。</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21、月检查记录表由乙方项目负责人或法人在月底签字，如有特殊情况不能按时来签到的，需向区城管局请假，经同意后可延时签字。</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 xml:space="preserve">22、乙方质检员每天跟班作业，日常巡查时检查人员到达质检员所管区域后，电话通知质检员，质检员10分钟内到达指定位置，否则每次扣200元/人，以此类推，当月累积计算，次月重新计算。    </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23、日常巡查考核时发现乙方保洁或管理不到位等情况，发出口头或书面整改通知书要求限时整改，如乙方未能按时完成整改的每次扣款500元，如未进行整改的每次扣款1000元。</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24、合同签订后15日内乙方需在中标区域范围内设置一处固定办公场所，在固定办公场所内按规定及投标承诺建有规范的管理制度、检查考核制度、安全生产防范保障措施、标段内保洁人员及车辆配备情况、重大活动和突发事故应急保障措施等内容，未按规定设置办公场所的每月扣款5000元，以此类推。</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25、受上级主管部门通报批评或新闻媒体曝光及市民举报的，经核实是乙方责任的每次扣款10000元。</w:t>
      </w:r>
    </w:p>
    <w:p>
      <w:pPr>
        <w:spacing w:line="360" w:lineRule="auto"/>
        <w:ind w:firstLine="420" w:firstLineChars="200"/>
        <w:rPr>
          <w:rFonts w:hint="eastAsia" w:ascii="宋体" w:hAnsi="宋体" w:cs="宋体"/>
          <w:sz w:val="21"/>
          <w:szCs w:val="21"/>
        </w:rPr>
      </w:pPr>
      <w:r>
        <w:rPr>
          <w:rFonts w:hint="eastAsia" w:ascii="宋体" w:hAnsi="宋体" w:cs="宋体"/>
          <w:sz w:val="21"/>
          <w:szCs w:val="21"/>
        </w:rPr>
        <w:t>26、乙方中标后不得转包或分包他人，否则甲方有权单方解除合同，并可追究违约方的法律责任。</w:t>
      </w:r>
      <w:r>
        <w:rPr>
          <w:rFonts w:hint="eastAsia" w:ascii="宋体" w:hAnsi="宋体" w:cs="宋体"/>
          <w:sz w:val="21"/>
          <w:szCs w:val="21"/>
        </w:rPr>
        <w:br w:type="page"/>
      </w:r>
    </w:p>
    <w:p>
      <w:pPr>
        <w:spacing w:line="360" w:lineRule="auto"/>
        <w:jc w:val="center"/>
        <w:rPr>
          <w:rFonts w:hint="eastAsia" w:ascii="宋体" w:hAnsi="宋体" w:cs="宋体"/>
          <w:b/>
          <w:bCs/>
          <w:color w:val="000000"/>
          <w:sz w:val="21"/>
          <w:szCs w:val="21"/>
        </w:rPr>
      </w:pPr>
      <w:r>
        <w:rPr>
          <w:rFonts w:hint="eastAsia" w:ascii="宋体" w:hAnsi="宋体" w:cs="微软雅黑"/>
          <w:b/>
          <w:szCs w:val="21"/>
        </w:rPr>
        <w:t>★</w:t>
      </w:r>
      <w:r>
        <w:rPr>
          <w:rFonts w:hint="eastAsia" w:ascii="宋体" w:hAnsi="宋体" w:cs="宋体"/>
          <w:b/>
          <w:bCs/>
          <w:sz w:val="21"/>
          <w:szCs w:val="21"/>
        </w:rPr>
        <w:t>（四）</w:t>
      </w:r>
      <w:r>
        <w:rPr>
          <w:rFonts w:hint="eastAsia" w:ascii="宋体" w:hAnsi="宋体" w:cs="宋体"/>
          <w:b/>
          <w:bCs/>
          <w:color w:val="000000"/>
          <w:sz w:val="21"/>
          <w:szCs w:val="21"/>
        </w:rPr>
        <w:t>关于印发2018年郑州市城市精细化管理环境卫生治理工作专案的通知</w:t>
      </w:r>
    </w:p>
    <w:p>
      <w:pPr>
        <w:pStyle w:val="6"/>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5623560" cy="8031480"/>
            <wp:effectExtent l="0" t="0" r="0" b="0"/>
            <wp:docPr id="4" name="图片 1" descr="1678862809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1678862809855"/>
                    <pic:cNvPicPr>
                      <a:picLocks noChangeAspect="1"/>
                    </pic:cNvPicPr>
                  </pic:nvPicPr>
                  <pic:blipFill>
                    <a:blip r:embed="rId4"/>
                    <a:stretch>
                      <a:fillRect/>
                    </a:stretch>
                  </pic:blipFill>
                  <pic:spPr>
                    <a:xfrm>
                      <a:off x="0" y="0"/>
                      <a:ext cx="5623560" cy="8031480"/>
                    </a:xfrm>
                    <a:prstGeom prst="rect">
                      <a:avLst/>
                    </a:prstGeom>
                    <a:noFill/>
                    <a:ln>
                      <a:noFill/>
                    </a:ln>
                  </pic:spPr>
                </pic:pic>
              </a:graphicData>
            </a:graphic>
          </wp:inline>
        </w:drawing>
      </w:r>
    </w:p>
    <w:p>
      <w:pPr>
        <w:rPr>
          <w:rFonts w:hint="eastAsia" w:ascii="宋体" w:hAnsi="宋体" w:cs="宋体"/>
          <w:sz w:val="21"/>
          <w:szCs w:val="21"/>
        </w:rPr>
      </w:pPr>
    </w:p>
    <w:p>
      <w:pPr>
        <w:pStyle w:val="6"/>
        <w:rPr>
          <w:rFonts w:hint="eastAsia" w:ascii="宋体" w:hAnsi="宋体" w:eastAsia="宋体" w:cs="宋体"/>
          <w:sz w:val="21"/>
          <w:szCs w:val="21"/>
        </w:rPr>
      </w:pPr>
    </w:p>
    <w:p>
      <w:pPr>
        <w:rPr>
          <w:rFonts w:hint="eastAsia" w:ascii="宋体" w:hAnsi="宋体" w:cs="宋体"/>
          <w:sz w:val="21"/>
          <w:szCs w:val="21"/>
        </w:rPr>
      </w:pPr>
      <w:r>
        <w:rPr>
          <w:rFonts w:hint="eastAsia" w:ascii="宋体" w:hAnsi="宋体" w:cs="宋体"/>
          <w:sz w:val="21"/>
          <w:szCs w:val="21"/>
        </w:rPr>
        <w:drawing>
          <wp:inline distT="0" distB="0" distL="114300" distR="114300">
            <wp:extent cx="5585460" cy="7947660"/>
            <wp:effectExtent l="0" t="0" r="7620" b="7620"/>
            <wp:docPr id="16" name="图片 2" descr="d1d220446b38234c7698c55ff5af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descr="d1d220446b38234c7698c55ff5af417"/>
                    <pic:cNvPicPr>
                      <a:picLocks noChangeAspect="1"/>
                    </pic:cNvPicPr>
                  </pic:nvPicPr>
                  <pic:blipFill>
                    <a:blip r:embed="rId5"/>
                    <a:stretch>
                      <a:fillRect/>
                    </a:stretch>
                  </pic:blipFill>
                  <pic:spPr>
                    <a:xfrm>
                      <a:off x="0" y="0"/>
                      <a:ext cx="5585460" cy="7947660"/>
                    </a:xfrm>
                    <a:prstGeom prst="rect">
                      <a:avLst/>
                    </a:prstGeom>
                    <a:noFill/>
                    <a:ln>
                      <a:noFill/>
                    </a:ln>
                  </pic:spPr>
                </pic:pic>
              </a:graphicData>
            </a:graphic>
          </wp:inline>
        </w:drawing>
      </w:r>
    </w:p>
    <w:p>
      <w:pPr>
        <w:pStyle w:val="6"/>
        <w:rPr>
          <w:rFonts w:hint="eastAsia" w:ascii="宋体" w:hAnsi="宋体" w:eastAsia="宋体" w:cs="宋体"/>
          <w:sz w:val="21"/>
          <w:szCs w:val="21"/>
        </w:rPr>
      </w:pPr>
    </w:p>
    <w:p>
      <w:pPr>
        <w:rPr>
          <w:rFonts w:hint="eastAsia" w:ascii="宋体" w:hAnsi="宋体" w:cs="宋体"/>
          <w:sz w:val="21"/>
          <w:szCs w:val="21"/>
        </w:rPr>
      </w:pPr>
    </w:p>
    <w:p>
      <w:pPr>
        <w:pStyle w:val="6"/>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5562600" cy="7559040"/>
            <wp:effectExtent l="0" t="0" r="0" b="0"/>
            <wp:docPr id="5" name="图片 3" descr="1678862883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descr="1678862883997"/>
                    <pic:cNvPicPr>
                      <a:picLocks noChangeAspect="1"/>
                    </pic:cNvPicPr>
                  </pic:nvPicPr>
                  <pic:blipFill>
                    <a:blip r:embed="rId6"/>
                    <a:stretch>
                      <a:fillRect/>
                    </a:stretch>
                  </pic:blipFill>
                  <pic:spPr>
                    <a:xfrm>
                      <a:off x="0" y="0"/>
                      <a:ext cx="5562600" cy="7559040"/>
                    </a:xfrm>
                    <a:prstGeom prst="rect">
                      <a:avLst/>
                    </a:prstGeom>
                    <a:noFill/>
                    <a:ln>
                      <a:noFill/>
                    </a:ln>
                  </pic:spPr>
                </pic:pic>
              </a:graphicData>
            </a:graphic>
          </wp:inline>
        </w:drawing>
      </w:r>
      <w:r>
        <w:rPr>
          <w:rFonts w:hint="eastAsia" w:ascii="宋体" w:hAnsi="宋体" w:eastAsia="宋体" w:cs="宋体"/>
          <w:sz w:val="21"/>
          <w:szCs w:val="21"/>
        </w:rPr>
        <w:drawing>
          <wp:inline distT="0" distB="0" distL="114300" distR="114300">
            <wp:extent cx="5547360" cy="7848600"/>
            <wp:effectExtent l="0" t="0" r="0" b="0"/>
            <wp:docPr id="21" name="图片 4" descr="1678862919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descr="1678862919046"/>
                    <pic:cNvPicPr>
                      <a:picLocks noChangeAspect="1"/>
                    </pic:cNvPicPr>
                  </pic:nvPicPr>
                  <pic:blipFill>
                    <a:blip r:embed="rId7"/>
                    <a:stretch>
                      <a:fillRect/>
                    </a:stretch>
                  </pic:blipFill>
                  <pic:spPr>
                    <a:xfrm>
                      <a:off x="0" y="0"/>
                      <a:ext cx="5547360" cy="7848600"/>
                    </a:xfrm>
                    <a:prstGeom prst="rect">
                      <a:avLst/>
                    </a:prstGeom>
                    <a:noFill/>
                    <a:ln>
                      <a:noFill/>
                    </a:ln>
                  </pic:spPr>
                </pic:pic>
              </a:graphicData>
            </a:graphic>
          </wp:inline>
        </w:drawing>
      </w:r>
      <w:r>
        <w:rPr>
          <w:rFonts w:hint="eastAsia" w:ascii="宋体" w:hAnsi="宋体" w:eastAsia="宋体" w:cs="宋体"/>
          <w:sz w:val="21"/>
          <w:szCs w:val="21"/>
        </w:rPr>
        <w:drawing>
          <wp:inline distT="0" distB="0" distL="114300" distR="114300">
            <wp:extent cx="5600700" cy="7833360"/>
            <wp:effectExtent l="0" t="0" r="7620" b="0"/>
            <wp:docPr id="18" name="图片 5" descr="1678862944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 descr="1678862944961"/>
                    <pic:cNvPicPr>
                      <a:picLocks noChangeAspect="1"/>
                    </pic:cNvPicPr>
                  </pic:nvPicPr>
                  <pic:blipFill>
                    <a:blip r:embed="rId8"/>
                    <a:stretch>
                      <a:fillRect/>
                    </a:stretch>
                  </pic:blipFill>
                  <pic:spPr>
                    <a:xfrm>
                      <a:off x="0" y="0"/>
                      <a:ext cx="5600700" cy="7833360"/>
                    </a:xfrm>
                    <a:prstGeom prst="rect">
                      <a:avLst/>
                    </a:prstGeom>
                    <a:noFill/>
                    <a:ln>
                      <a:noFill/>
                    </a:ln>
                  </pic:spPr>
                </pic:pic>
              </a:graphicData>
            </a:graphic>
          </wp:inline>
        </w:drawing>
      </w:r>
      <w:r>
        <w:rPr>
          <w:rFonts w:hint="eastAsia" w:ascii="宋体" w:hAnsi="宋体" w:eastAsia="宋体" w:cs="宋体"/>
          <w:sz w:val="21"/>
          <w:szCs w:val="21"/>
        </w:rPr>
        <w:drawing>
          <wp:inline distT="0" distB="0" distL="114300" distR="114300">
            <wp:extent cx="5608320" cy="7833360"/>
            <wp:effectExtent l="0" t="0" r="0" b="0"/>
            <wp:docPr id="7" name="图片 6" descr="1678862980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1678862980232"/>
                    <pic:cNvPicPr>
                      <a:picLocks noChangeAspect="1"/>
                    </pic:cNvPicPr>
                  </pic:nvPicPr>
                  <pic:blipFill>
                    <a:blip r:embed="rId9"/>
                    <a:stretch>
                      <a:fillRect/>
                    </a:stretch>
                  </pic:blipFill>
                  <pic:spPr>
                    <a:xfrm>
                      <a:off x="0" y="0"/>
                      <a:ext cx="5608320" cy="7833360"/>
                    </a:xfrm>
                    <a:prstGeom prst="rect">
                      <a:avLst/>
                    </a:prstGeom>
                    <a:noFill/>
                    <a:ln>
                      <a:noFill/>
                    </a:ln>
                  </pic:spPr>
                </pic:pic>
              </a:graphicData>
            </a:graphic>
          </wp:inline>
        </w:drawing>
      </w:r>
    </w:p>
    <w:p>
      <w:pPr>
        <w:rPr>
          <w:rFonts w:hint="eastAsia" w:ascii="宋体" w:hAnsi="宋体" w:cs="宋体"/>
          <w:sz w:val="21"/>
          <w:szCs w:val="21"/>
        </w:rPr>
      </w:pPr>
      <w:r>
        <w:rPr>
          <w:rFonts w:hint="eastAsia" w:ascii="宋体" w:hAnsi="宋体" w:cs="宋体"/>
          <w:sz w:val="21"/>
          <w:szCs w:val="21"/>
        </w:rPr>
        <w:drawing>
          <wp:inline distT="0" distB="0" distL="114300" distR="114300">
            <wp:extent cx="5478780" cy="7741920"/>
            <wp:effectExtent l="0" t="0" r="7620" b="0"/>
            <wp:docPr id="8" name="图片 7" descr="1678862998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1678862998987"/>
                    <pic:cNvPicPr>
                      <a:picLocks noChangeAspect="1"/>
                    </pic:cNvPicPr>
                  </pic:nvPicPr>
                  <pic:blipFill>
                    <a:blip r:embed="rId10"/>
                    <a:stretch>
                      <a:fillRect/>
                    </a:stretch>
                  </pic:blipFill>
                  <pic:spPr>
                    <a:xfrm>
                      <a:off x="0" y="0"/>
                      <a:ext cx="5478780" cy="7741920"/>
                    </a:xfrm>
                    <a:prstGeom prst="rect">
                      <a:avLst/>
                    </a:prstGeom>
                    <a:noFill/>
                    <a:ln>
                      <a:noFill/>
                    </a:ln>
                  </pic:spPr>
                </pic:pic>
              </a:graphicData>
            </a:graphic>
          </wp:inline>
        </w:drawing>
      </w:r>
      <w:r>
        <w:rPr>
          <w:rFonts w:hint="eastAsia" w:ascii="宋体" w:hAnsi="宋体" w:cs="宋体"/>
          <w:sz w:val="21"/>
          <w:szCs w:val="21"/>
        </w:rPr>
        <w:drawing>
          <wp:inline distT="0" distB="0" distL="114300" distR="114300">
            <wp:extent cx="5654040" cy="7917180"/>
            <wp:effectExtent l="0" t="0" r="0" b="7620"/>
            <wp:docPr id="13" name="图片 8" descr="1678863027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descr="1678863027669"/>
                    <pic:cNvPicPr>
                      <a:picLocks noChangeAspect="1"/>
                    </pic:cNvPicPr>
                  </pic:nvPicPr>
                  <pic:blipFill>
                    <a:blip r:embed="rId11"/>
                    <a:stretch>
                      <a:fillRect/>
                    </a:stretch>
                  </pic:blipFill>
                  <pic:spPr>
                    <a:xfrm>
                      <a:off x="0" y="0"/>
                      <a:ext cx="5654040" cy="7917180"/>
                    </a:xfrm>
                    <a:prstGeom prst="rect">
                      <a:avLst/>
                    </a:prstGeom>
                    <a:noFill/>
                    <a:ln>
                      <a:noFill/>
                    </a:ln>
                  </pic:spPr>
                </pic:pic>
              </a:graphicData>
            </a:graphic>
          </wp:inline>
        </w:drawing>
      </w:r>
      <w:r>
        <w:rPr>
          <w:rFonts w:hint="eastAsia" w:ascii="宋体" w:hAnsi="宋体" w:cs="宋体"/>
          <w:sz w:val="21"/>
          <w:szCs w:val="21"/>
        </w:rPr>
        <w:drawing>
          <wp:inline distT="0" distB="0" distL="114300" distR="114300">
            <wp:extent cx="5585460" cy="7863840"/>
            <wp:effectExtent l="0" t="0" r="7620" b="0"/>
            <wp:docPr id="17" name="图片 9" descr="167886305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9" descr="1678863051437"/>
                    <pic:cNvPicPr>
                      <a:picLocks noChangeAspect="1"/>
                    </pic:cNvPicPr>
                  </pic:nvPicPr>
                  <pic:blipFill>
                    <a:blip r:embed="rId12"/>
                    <a:stretch>
                      <a:fillRect/>
                    </a:stretch>
                  </pic:blipFill>
                  <pic:spPr>
                    <a:xfrm>
                      <a:off x="0" y="0"/>
                      <a:ext cx="5585460" cy="7863840"/>
                    </a:xfrm>
                    <a:prstGeom prst="rect">
                      <a:avLst/>
                    </a:prstGeom>
                    <a:noFill/>
                    <a:ln>
                      <a:noFill/>
                    </a:ln>
                  </pic:spPr>
                </pic:pic>
              </a:graphicData>
            </a:graphic>
          </wp:inline>
        </w:drawing>
      </w:r>
      <w:r>
        <w:rPr>
          <w:rFonts w:hint="eastAsia" w:ascii="宋体" w:hAnsi="宋体" w:cs="宋体"/>
          <w:sz w:val="21"/>
          <w:szCs w:val="21"/>
        </w:rPr>
        <w:drawing>
          <wp:inline distT="0" distB="0" distL="114300" distR="114300">
            <wp:extent cx="5615940" cy="7833360"/>
            <wp:effectExtent l="0" t="0" r="7620" b="0"/>
            <wp:docPr id="15" name="图片 10" descr="1678863080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 descr="1678863080572"/>
                    <pic:cNvPicPr>
                      <a:picLocks noChangeAspect="1"/>
                    </pic:cNvPicPr>
                  </pic:nvPicPr>
                  <pic:blipFill>
                    <a:blip r:embed="rId13"/>
                    <a:stretch>
                      <a:fillRect/>
                    </a:stretch>
                  </pic:blipFill>
                  <pic:spPr>
                    <a:xfrm>
                      <a:off x="0" y="0"/>
                      <a:ext cx="5615940" cy="7833360"/>
                    </a:xfrm>
                    <a:prstGeom prst="rect">
                      <a:avLst/>
                    </a:prstGeom>
                    <a:noFill/>
                    <a:ln>
                      <a:noFill/>
                    </a:ln>
                  </pic:spPr>
                </pic:pic>
              </a:graphicData>
            </a:graphic>
          </wp:inline>
        </w:drawing>
      </w:r>
    </w:p>
    <w:p>
      <w:pPr>
        <w:ind w:firstLine="420" w:firstLineChars="200"/>
        <w:rPr>
          <w:rFonts w:hint="eastAsia" w:ascii="宋体" w:hAnsi="宋体" w:cs="宋体"/>
          <w:sz w:val="21"/>
          <w:szCs w:val="21"/>
        </w:rPr>
      </w:pPr>
    </w:p>
    <w:p>
      <w:pPr>
        <w:pStyle w:val="10"/>
        <w:snapToGrid w:val="0"/>
        <w:spacing w:before="312" w:beforeLines="100" w:line="360" w:lineRule="auto"/>
        <w:ind w:left="720" w:firstLine="0" w:firstLineChars="0"/>
        <w:rPr>
          <w:rFonts w:hint="eastAsia"/>
          <w:sz w:val="21"/>
          <w:szCs w:val="21"/>
        </w:rPr>
      </w:pPr>
    </w:p>
    <w:p>
      <w:pPr>
        <w:pStyle w:val="10"/>
        <w:snapToGrid w:val="0"/>
        <w:spacing w:before="312" w:beforeLines="100" w:line="360" w:lineRule="auto"/>
        <w:ind w:left="720" w:firstLine="0" w:firstLineChars="0"/>
        <w:rPr>
          <w:rFonts w:hint="eastAsia"/>
          <w:sz w:val="21"/>
          <w:szCs w:val="21"/>
        </w:rPr>
      </w:pPr>
    </w:p>
    <w:p>
      <w:pPr>
        <w:pStyle w:val="10"/>
        <w:snapToGrid w:val="0"/>
        <w:spacing w:before="312" w:beforeLines="100"/>
        <w:ind w:left="720" w:firstLine="0" w:firstLineChars="0"/>
        <w:rPr>
          <w:rFonts w:hint="eastAsia"/>
          <w:sz w:val="21"/>
          <w:szCs w:val="21"/>
        </w:rPr>
      </w:pPr>
      <w:r>
        <w:rPr>
          <w:rFonts w:hint="eastAsia"/>
          <w:sz w:val="21"/>
          <w:szCs w:val="21"/>
        </w:rPr>
        <w:drawing>
          <wp:inline distT="0" distB="0" distL="114300" distR="114300">
            <wp:extent cx="5271135" cy="7450455"/>
            <wp:effectExtent l="0" t="0" r="1905" b="1905"/>
            <wp:docPr id="11" name="图片 11" descr="组合 1_页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组合 1_页面_02"/>
                    <pic:cNvPicPr>
                      <a:picLocks noChangeAspect="1"/>
                    </pic:cNvPicPr>
                  </pic:nvPicPr>
                  <pic:blipFill>
                    <a:blip r:embed="rId14"/>
                    <a:stretch>
                      <a:fillRect/>
                    </a:stretch>
                  </pic:blipFill>
                  <pic:spPr>
                    <a:xfrm>
                      <a:off x="0" y="0"/>
                      <a:ext cx="5271135" cy="7450455"/>
                    </a:xfrm>
                    <a:prstGeom prst="rect">
                      <a:avLst/>
                    </a:prstGeom>
                    <a:noFill/>
                    <a:ln>
                      <a:noFill/>
                    </a:ln>
                  </pic:spPr>
                </pic:pic>
              </a:graphicData>
            </a:graphic>
          </wp:inline>
        </w:drawing>
      </w:r>
    </w:p>
    <w:p>
      <w:pPr>
        <w:pStyle w:val="10"/>
        <w:snapToGrid w:val="0"/>
        <w:spacing w:before="312" w:beforeLines="100"/>
        <w:ind w:left="720" w:firstLine="0" w:firstLineChars="0"/>
        <w:rPr>
          <w:rFonts w:hint="eastAsia"/>
          <w:sz w:val="21"/>
          <w:szCs w:val="21"/>
        </w:rPr>
      </w:pPr>
    </w:p>
    <w:p>
      <w:pPr>
        <w:rPr>
          <w:rFonts w:hint="eastAsia" w:ascii="宋体" w:hAnsi="宋体" w:cs="宋体"/>
          <w:sz w:val="21"/>
          <w:szCs w:val="21"/>
        </w:rPr>
      </w:pPr>
      <w:r>
        <w:rPr>
          <w:rFonts w:hint="eastAsia" w:ascii="宋体" w:hAnsi="宋体" w:cs="宋体"/>
          <w:sz w:val="21"/>
          <w:szCs w:val="21"/>
        </w:rPr>
        <w:br w:type="page"/>
      </w:r>
    </w:p>
    <w:p>
      <w:pPr>
        <w:rPr>
          <w:rFonts w:hint="eastAsia" w:ascii="宋体" w:hAnsi="宋体" w:cs="微软雅黑"/>
          <w:b/>
          <w:szCs w:val="21"/>
        </w:rPr>
      </w:pPr>
      <w:r>
        <w:rPr>
          <w:rFonts w:hint="eastAsia" w:ascii="宋体" w:hAnsi="宋体" w:cs="微软雅黑"/>
          <w:b/>
          <w:szCs w:val="21"/>
        </w:rPr>
        <w:br w:type="page"/>
      </w:r>
      <w:r>
        <w:rPr>
          <w:rFonts w:hint="eastAsia" w:ascii="宋体" w:hAnsi="宋体" w:cs="宋体"/>
          <w:sz w:val="21"/>
          <w:szCs w:val="21"/>
        </w:rPr>
        <w:drawing>
          <wp:anchor distT="0" distB="0" distL="114300" distR="114300" simplePos="0" relativeHeight="251660288" behindDoc="0" locked="0" layoutInCell="1" allowOverlap="1">
            <wp:simplePos x="0" y="0"/>
            <wp:positionH relativeFrom="column">
              <wp:posOffset>212725</wp:posOffset>
            </wp:positionH>
            <wp:positionV relativeFrom="paragraph">
              <wp:posOffset>180975</wp:posOffset>
            </wp:positionV>
            <wp:extent cx="5271135" cy="7450455"/>
            <wp:effectExtent l="0" t="0" r="1905" b="1905"/>
            <wp:wrapSquare wrapText="bothSides"/>
            <wp:docPr id="9" name="图片 3" descr="组合 1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descr="组合 1_页面_01"/>
                    <pic:cNvPicPr>
                      <a:picLocks noChangeAspect="1"/>
                    </pic:cNvPicPr>
                  </pic:nvPicPr>
                  <pic:blipFill>
                    <a:blip r:embed="rId15"/>
                    <a:stretch>
                      <a:fillRect/>
                    </a:stretch>
                  </pic:blipFill>
                  <pic:spPr>
                    <a:xfrm>
                      <a:off x="0" y="0"/>
                      <a:ext cx="5271135" cy="7450455"/>
                    </a:xfrm>
                    <a:prstGeom prst="rect">
                      <a:avLst/>
                    </a:prstGeom>
                    <a:noFill/>
                    <a:ln>
                      <a:noFill/>
                    </a:ln>
                  </pic:spPr>
                </pic:pic>
              </a:graphicData>
            </a:graphic>
          </wp:anchor>
        </w:drawing>
      </w:r>
    </w:p>
    <w:p>
      <w:pPr>
        <w:spacing w:line="360" w:lineRule="auto"/>
        <w:jc w:val="center"/>
        <w:rPr>
          <w:rFonts w:hint="eastAsia" w:ascii="宋体" w:hAnsi="宋体" w:cs="宋体"/>
          <w:b/>
          <w:bCs/>
          <w:sz w:val="21"/>
          <w:szCs w:val="21"/>
        </w:rPr>
      </w:pPr>
      <w:r>
        <w:rPr>
          <w:rFonts w:hint="eastAsia" w:ascii="宋体" w:hAnsi="宋体" w:cs="微软雅黑"/>
          <w:b/>
          <w:szCs w:val="21"/>
        </w:rPr>
        <w:t>★</w:t>
      </w:r>
      <w:r>
        <w:rPr>
          <w:rFonts w:hint="eastAsia" w:ascii="宋体" w:hAnsi="宋体" w:cs="宋体"/>
          <w:b/>
          <w:bCs/>
          <w:sz w:val="21"/>
          <w:szCs w:val="21"/>
        </w:rPr>
        <w:t>（五）关于印发郑州市城市道路清除冰雪工作导则的通知</w:t>
      </w:r>
    </w:p>
    <w:p>
      <w:pPr>
        <w:spacing w:line="360" w:lineRule="auto"/>
        <w:jc w:val="center"/>
        <w:rPr>
          <w:rFonts w:hint="eastAsia" w:ascii="宋体" w:hAnsi="宋体" w:cs="宋体"/>
          <w:b/>
          <w:bCs/>
          <w:sz w:val="21"/>
          <w:szCs w:val="21"/>
        </w:rPr>
      </w:pPr>
      <w:r>
        <w:rPr>
          <w:rFonts w:hint="eastAsia" w:ascii="宋体" w:hAnsi="宋体" w:cs="宋体"/>
          <w:sz w:val="21"/>
          <w:szCs w:val="21"/>
        </w:rPr>
        <w:drawing>
          <wp:inline distT="0" distB="0" distL="114300" distR="114300">
            <wp:extent cx="5272405" cy="6819900"/>
            <wp:effectExtent l="0" t="0" r="635" b="7620"/>
            <wp:docPr id="10" name="图片 12" descr="组合 1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2" descr="组合 1_页面_03"/>
                    <pic:cNvPicPr>
                      <a:picLocks noChangeAspect="1"/>
                    </pic:cNvPicPr>
                  </pic:nvPicPr>
                  <pic:blipFill>
                    <a:blip r:embed="rId16"/>
                    <a:stretch>
                      <a:fillRect/>
                    </a:stretch>
                  </pic:blipFill>
                  <pic:spPr>
                    <a:xfrm>
                      <a:off x="0" y="0"/>
                      <a:ext cx="5272405" cy="6819900"/>
                    </a:xfrm>
                    <a:prstGeom prst="rect">
                      <a:avLst/>
                    </a:prstGeom>
                    <a:noFill/>
                    <a:ln>
                      <a:noFill/>
                    </a:ln>
                  </pic:spPr>
                </pic:pic>
              </a:graphicData>
            </a:graphic>
          </wp:inline>
        </w:drawing>
      </w:r>
      <w:r>
        <w:rPr>
          <w:rFonts w:hint="eastAsia" w:ascii="宋体" w:hAnsi="宋体" w:cs="宋体"/>
          <w:sz w:val="21"/>
          <w:szCs w:val="21"/>
        </w:rPr>
        <w:drawing>
          <wp:inline distT="0" distB="0" distL="114300" distR="114300">
            <wp:extent cx="5272405" cy="6819900"/>
            <wp:effectExtent l="0" t="0" r="635" b="7620"/>
            <wp:docPr id="19" name="图片 13" descr="组合 1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3" descr="组合 1_页面_04"/>
                    <pic:cNvPicPr>
                      <a:picLocks noChangeAspect="1"/>
                    </pic:cNvPicPr>
                  </pic:nvPicPr>
                  <pic:blipFill>
                    <a:blip r:embed="rId17"/>
                    <a:stretch>
                      <a:fillRect/>
                    </a:stretch>
                  </pic:blipFill>
                  <pic:spPr>
                    <a:xfrm>
                      <a:off x="0" y="0"/>
                      <a:ext cx="5272405" cy="6819900"/>
                    </a:xfrm>
                    <a:prstGeom prst="rect">
                      <a:avLst/>
                    </a:prstGeom>
                    <a:noFill/>
                    <a:ln>
                      <a:noFill/>
                    </a:ln>
                  </pic:spPr>
                </pic:pic>
              </a:graphicData>
            </a:graphic>
          </wp:inline>
        </w:drawing>
      </w:r>
      <w:r>
        <w:rPr>
          <w:rFonts w:hint="eastAsia" w:ascii="宋体" w:hAnsi="宋体" w:cs="宋体"/>
          <w:sz w:val="21"/>
          <w:szCs w:val="21"/>
        </w:rPr>
        <w:drawing>
          <wp:inline distT="0" distB="0" distL="114300" distR="114300">
            <wp:extent cx="5271135" cy="7453630"/>
            <wp:effectExtent l="0" t="0" r="1905" b="13970"/>
            <wp:docPr id="12" name="图片 14" descr="组合 1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4" descr="组合 1_页面_05"/>
                    <pic:cNvPicPr>
                      <a:picLocks noChangeAspect="1"/>
                    </pic:cNvPicPr>
                  </pic:nvPicPr>
                  <pic:blipFill>
                    <a:blip r:embed="rId18"/>
                    <a:stretch>
                      <a:fillRect/>
                    </a:stretch>
                  </pic:blipFill>
                  <pic:spPr>
                    <a:xfrm>
                      <a:off x="0" y="0"/>
                      <a:ext cx="5271135" cy="7453630"/>
                    </a:xfrm>
                    <a:prstGeom prst="rect">
                      <a:avLst/>
                    </a:prstGeom>
                    <a:noFill/>
                    <a:ln>
                      <a:noFill/>
                    </a:ln>
                  </pic:spPr>
                </pic:pic>
              </a:graphicData>
            </a:graphic>
          </wp:inline>
        </w:drawing>
      </w:r>
      <w:r>
        <w:rPr>
          <w:rFonts w:hint="eastAsia" w:ascii="宋体" w:hAnsi="宋体" w:cs="宋体"/>
          <w:sz w:val="21"/>
          <w:szCs w:val="21"/>
        </w:rPr>
        <w:drawing>
          <wp:inline distT="0" distB="0" distL="114300" distR="114300">
            <wp:extent cx="5271135" cy="7453630"/>
            <wp:effectExtent l="0" t="0" r="1905" b="13970"/>
            <wp:docPr id="14" name="图片 15" descr="组合 1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5" descr="组合 1_页面_06"/>
                    <pic:cNvPicPr>
                      <a:picLocks noChangeAspect="1"/>
                    </pic:cNvPicPr>
                  </pic:nvPicPr>
                  <pic:blipFill>
                    <a:blip r:embed="rId19"/>
                    <a:stretch>
                      <a:fillRect/>
                    </a:stretch>
                  </pic:blipFill>
                  <pic:spPr>
                    <a:xfrm>
                      <a:off x="0" y="0"/>
                      <a:ext cx="5271135" cy="7453630"/>
                    </a:xfrm>
                    <a:prstGeom prst="rect">
                      <a:avLst/>
                    </a:prstGeom>
                    <a:noFill/>
                    <a:ln>
                      <a:noFill/>
                    </a:ln>
                  </pic:spPr>
                </pic:pic>
              </a:graphicData>
            </a:graphic>
          </wp:inline>
        </w:drawing>
      </w:r>
      <w:r>
        <w:rPr>
          <w:rFonts w:hint="eastAsia" w:ascii="宋体" w:hAnsi="宋体" w:cs="宋体"/>
          <w:sz w:val="21"/>
          <w:szCs w:val="21"/>
        </w:rPr>
        <w:drawing>
          <wp:inline distT="0" distB="0" distL="114300" distR="114300">
            <wp:extent cx="5271135" cy="7453630"/>
            <wp:effectExtent l="0" t="0" r="1905" b="13970"/>
            <wp:docPr id="20" name="图片 16" descr="组合 1_页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6" descr="组合 1_页面_07"/>
                    <pic:cNvPicPr>
                      <a:picLocks noChangeAspect="1"/>
                    </pic:cNvPicPr>
                  </pic:nvPicPr>
                  <pic:blipFill>
                    <a:blip r:embed="rId20"/>
                    <a:stretch>
                      <a:fillRect/>
                    </a:stretch>
                  </pic:blipFill>
                  <pic:spPr>
                    <a:xfrm>
                      <a:off x="0" y="0"/>
                      <a:ext cx="5271135" cy="7453630"/>
                    </a:xfrm>
                    <a:prstGeom prst="rect">
                      <a:avLst/>
                    </a:prstGeom>
                    <a:noFill/>
                    <a:ln>
                      <a:noFill/>
                    </a:ln>
                  </pic:spPr>
                </pic:pic>
              </a:graphicData>
            </a:graphic>
          </wp:inline>
        </w:drawing>
      </w:r>
      <w:r>
        <w:rPr>
          <w:rFonts w:hint="eastAsia" w:ascii="宋体" w:hAnsi="宋体" w:cs="宋体"/>
          <w:sz w:val="21"/>
          <w:szCs w:val="21"/>
        </w:rPr>
        <w:drawing>
          <wp:inline distT="0" distB="0" distL="114300" distR="114300">
            <wp:extent cx="5271135" cy="7453630"/>
            <wp:effectExtent l="0" t="0" r="1905" b="13970"/>
            <wp:docPr id="22" name="图片 17" descr="组合 1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7" descr="组合 1_页面_08"/>
                    <pic:cNvPicPr>
                      <a:picLocks noChangeAspect="1"/>
                    </pic:cNvPicPr>
                  </pic:nvPicPr>
                  <pic:blipFill>
                    <a:blip r:embed="rId21"/>
                    <a:stretch>
                      <a:fillRect/>
                    </a:stretch>
                  </pic:blipFill>
                  <pic:spPr>
                    <a:xfrm>
                      <a:off x="0" y="0"/>
                      <a:ext cx="5271135" cy="7453630"/>
                    </a:xfrm>
                    <a:prstGeom prst="rect">
                      <a:avLst/>
                    </a:prstGeom>
                    <a:noFill/>
                    <a:ln>
                      <a:noFill/>
                    </a:ln>
                  </pic:spPr>
                </pic:pic>
              </a:graphicData>
            </a:graphic>
          </wp:inline>
        </w:drawing>
      </w:r>
      <w:r>
        <w:rPr>
          <w:rFonts w:hint="eastAsia" w:ascii="宋体" w:hAnsi="宋体" w:cs="宋体"/>
          <w:sz w:val="21"/>
          <w:szCs w:val="21"/>
        </w:rPr>
        <w:drawing>
          <wp:inline distT="0" distB="0" distL="114300" distR="114300">
            <wp:extent cx="5271135" cy="7453630"/>
            <wp:effectExtent l="0" t="0" r="1905" b="13970"/>
            <wp:docPr id="25" name="图片 18" descr="组合 1_页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8" descr="组合 1_页面_09"/>
                    <pic:cNvPicPr>
                      <a:picLocks noChangeAspect="1"/>
                    </pic:cNvPicPr>
                  </pic:nvPicPr>
                  <pic:blipFill>
                    <a:blip r:embed="rId22"/>
                    <a:stretch>
                      <a:fillRect/>
                    </a:stretch>
                  </pic:blipFill>
                  <pic:spPr>
                    <a:xfrm>
                      <a:off x="0" y="0"/>
                      <a:ext cx="5271135" cy="7453630"/>
                    </a:xfrm>
                    <a:prstGeom prst="rect">
                      <a:avLst/>
                    </a:prstGeom>
                    <a:noFill/>
                    <a:ln>
                      <a:noFill/>
                    </a:ln>
                  </pic:spPr>
                </pic:pic>
              </a:graphicData>
            </a:graphic>
          </wp:inline>
        </w:drawing>
      </w:r>
      <w:r>
        <w:rPr>
          <w:rFonts w:hint="eastAsia" w:ascii="宋体" w:hAnsi="宋体" w:cs="宋体"/>
          <w:sz w:val="21"/>
          <w:szCs w:val="21"/>
        </w:rPr>
        <w:drawing>
          <wp:inline distT="0" distB="0" distL="114300" distR="114300">
            <wp:extent cx="5271135" cy="7453630"/>
            <wp:effectExtent l="0" t="0" r="1905" b="13970"/>
            <wp:docPr id="24" name="图片 19" descr="组合 1_页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9" descr="组合 1_页面_10"/>
                    <pic:cNvPicPr>
                      <a:picLocks noChangeAspect="1"/>
                    </pic:cNvPicPr>
                  </pic:nvPicPr>
                  <pic:blipFill>
                    <a:blip r:embed="rId23"/>
                    <a:stretch>
                      <a:fillRect/>
                    </a:stretch>
                  </pic:blipFill>
                  <pic:spPr>
                    <a:xfrm>
                      <a:off x="0" y="0"/>
                      <a:ext cx="5271135" cy="7453630"/>
                    </a:xfrm>
                    <a:prstGeom prst="rect">
                      <a:avLst/>
                    </a:prstGeom>
                    <a:noFill/>
                    <a:ln>
                      <a:noFill/>
                    </a:ln>
                  </pic:spPr>
                </pic:pic>
              </a:graphicData>
            </a:graphic>
          </wp:inline>
        </w:drawing>
      </w:r>
      <w:r>
        <w:rPr>
          <w:rFonts w:hint="eastAsia" w:ascii="宋体" w:hAnsi="宋体" w:cs="宋体"/>
          <w:sz w:val="21"/>
          <w:szCs w:val="21"/>
        </w:rPr>
        <w:drawing>
          <wp:inline distT="0" distB="0" distL="114300" distR="114300">
            <wp:extent cx="5271135" cy="7453630"/>
            <wp:effectExtent l="0" t="0" r="1905" b="13970"/>
            <wp:docPr id="23" name="图片 20" descr="组合 1_页面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0" descr="组合 1_页面_11"/>
                    <pic:cNvPicPr>
                      <a:picLocks noChangeAspect="1"/>
                    </pic:cNvPicPr>
                  </pic:nvPicPr>
                  <pic:blipFill>
                    <a:blip r:embed="rId24"/>
                    <a:stretch>
                      <a:fillRect/>
                    </a:stretch>
                  </pic:blipFill>
                  <pic:spPr>
                    <a:xfrm>
                      <a:off x="0" y="0"/>
                      <a:ext cx="5271135" cy="7453630"/>
                    </a:xfrm>
                    <a:prstGeom prst="rect">
                      <a:avLst/>
                    </a:prstGeom>
                    <a:noFill/>
                    <a:ln>
                      <a:noFill/>
                    </a:ln>
                  </pic:spPr>
                </pic:pic>
              </a:graphicData>
            </a:graphic>
          </wp:inline>
        </w:drawing>
      </w:r>
      <w:r>
        <w:rPr>
          <w:rFonts w:hint="eastAsia" w:ascii="宋体" w:hAnsi="宋体" w:cs="宋体"/>
          <w:sz w:val="21"/>
          <w:szCs w:val="21"/>
        </w:rPr>
        <w:drawing>
          <wp:inline distT="0" distB="0" distL="114300" distR="114300">
            <wp:extent cx="5271135" cy="7453630"/>
            <wp:effectExtent l="0" t="0" r="1905" b="13970"/>
            <wp:docPr id="26" name="图片 21" descr="组合 1_页面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1" descr="组合 1_页面_12"/>
                    <pic:cNvPicPr>
                      <a:picLocks noChangeAspect="1"/>
                    </pic:cNvPicPr>
                  </pic:nvPicPr>
                  <pic:blipFill>
                    <a:blip r:embed="rId25"/>
                    <a:stretch>
                      <a:fillRect/>
                    </a:stretch>
                  </pic:blipFill>
                  <pic:spPr>
                    <a:xfrm>
                      <a:off x="0" y="0"/>
                      <a:ext cx="5271135" cy="7453630"/>
                    </a:xfrm>
                    <a:prstGeom prst="rect">
                      <a:avLst/>
                    </a:prstGeom>
                    <a:noFill/>
                    <a:ln>
                      <a:noFill/>
                    </a:ln>
                  </pic:spPr>
                </pic:pic>
              </a:graphicData>
            </a:graphic>
          </wp:inline>
        </w:drawing>
      </w:r>
      <w:r>
        <w:rPr>
          <w:rFonts w:hint="eastAsia" w:ascii="宋体" w:hAnsi="宋体" w:cs="宋体"/>
          <w:sz w:val="21"/>
          <w:szCs w:val="21"/>
        </w:rPr>
        <w:br w:type="page"/>
      </w:r>
      <w:r>
        <w:rPr>
          <w:rFonts w:hint="eastAsia" w:ascii="宋体" w:hAnsi="宋体" w:cs="宋体"/>
          <w:b/>
          <w:bCs/>
          <w:sz w:val="21"/>
          <w:szCs w:val="21"/>
        </w:rPr>
        <w:t>（六）面积统计表</w:t>
      </w:r>
    </w:p>
    <w:tbl>
      <w:tblPr>
        <w:tblStyle w:val="7"/>
        <w:tblW w:w="8640" w:type="dxa"/>
        <w:jc w:val="center"/>
        <w:tblLayout w:type="autofit"/>
        <w:tblCellMar>
          <w:top w:w="0" w:type="dxa"/>
          <w:left w:w="108" w:type="dxa"/>
          <w:bottom w:w="0" w:type="dxa"/>
          <w:right w:w="108" w:type="dxa"/>
        </w:tblCellMar>
      </w:tblPr>
      <w:tblGrid>
        <w:gridCol w:w="638"/>
        <w:gridCol w:w="1131"/>
        <w:gridCol w:w="1131"/>
        <w:gridCol w:w="1131"/>
        <w:gridCol w:w="1131"/>
        <w:gridCol w:w="1130"/>
        <w:gridCol w:w="1217"/>
        <w:gridCol w:w="1131"/>
      </w:tblGrid>
      <w:tr>
        <w:tblPrEx>
          <w:tblCellMar>
            <w:top w:w="0" w:type="dxa"/>
            <w:left w:w="108" w:type="dxa"/>
            <w:bottom w:w="0" w:type="dxa"/>
            <w:right w:w="108" w:type="dxa"/>
          </w:tblCellMar>
        </w:tblPrEx>
        <w:trPr>
          <w:trHeight w:val="1600" w:hRule="atLeast"/>
          <w:jc w:val="center"/>
        </w:trPr>
        <w:tc>
          <w:tcPr>
            <w:tcW w:w="8640" w:type="dxa"/>
            <w:gridSpan w:val="8"/>
            <w:tcBorders>
              <w:top w:val="nil"/>
              <w:left w:val="nil"/>
              <w:bottom w:val="nil"/>
              <w:right w:val="nil"/>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（B包）道路基本情况统计表</w:t>
            </w:r>
          </w:p>
        </w:tc>
      </w:tr>
      <w:tr>
        <w:tblPrEx>
          <w:tblCellMar>
            <w:top w:w="0" w:type="dxa"/>
            <w:left w:w="108" w:type="dxa"/>
            <w:bottom w:w="0" w:type="dxa"/>
            <w:right w:w="108" w:type="dxa"/>
          </w:tblCellMar>
        </w:tblPrEx>
        <w:trPr>
          <w:trHeight w:val="60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b/>
                <w:bCs/>
                <w:color w:val="000000"/>
                <w:sz w:val="21"/>
                <w:szCs w:val="21"/>
              </w:rPr>
            </w:pPr>
            <w:r>
              <w:rPr>
                <w:rFonts w:hint="eastAsia" w:ascii="宋体" w:hAnsi="宋体" w:cs="宋体"/>
                <w:b/>
                <w:bCs/>
                <w:color w:val="000000"/>
                <w:kern w:val="0"/>
                <w:sz w:val="21"/>
                <w:szCs w:val="21"/>
                <w:lang w:bidi="ar"/>
              </w:rPr>
              <w:t>序号</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b/>
                <w:bCs/>
                <w:color w:val="000000"/>
                <w:sz w:val="21"/>
                <w:szCs w:val="21"/>
              </w:rPr>
            </w:pPr>
            <w:r>
              <w:rPr>
                <w:rFonts w:hint="eastAsia" w:ascii="宋体" w:hAnsi="宋体" w:cs="宋体"/>
                <w:b/>
                <w:bCs/>
                <w:color w:val="000000"/>
                <w:kern w:val="0"/>
                <w:sz w:val="21"/>
                <w:szCs w:val="21"/>
                <w:lang w:bidi="ar"/>
              </w:rPr>
              <w:t>道路名称</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b/>
                <w:bCs/>
                <w:color w:val="000000"/>
                <w:sz w:val="21"/>
                <w:szCs w:val="21"/>
              </w:rPr>
            </w:pPr>
            <w:r>
              <w:rPr>
                <w:rFonts w:hint="eastAsia" w:ascii="宋体" w:hAnsi="宋体" w:cs="宋体"/>
                <w:b/>
                <w:bCs/>
                <w:color w:val="000000"/>
                <w:kern w:val="0"/>
                <w:sz w:val="21"/>
                <w:szCs w:val="21"/>
                <w:lang w:bidi="ar"/>
              </w:rPr>
              <w:t>道路级别</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b/>
                <w:bCs/>
                <w:color w:val="000000"/>
                <w:sz w:val="21"/>
                <w:szCs w:val="21"/>
              </w:rPr>
            </w:pPr>
            <w:r>
              <w:rPr>
                <w:rFonts w:hint="eastAsia" w:ascii="宋体" w:hAnsi="宋体" w:cs="宋体"/>
                <w:b/>
                <w:bCs/>
                <w:color w:val="000000"/>
                <w:kern w:val="0"/>
                <w:sz w:val="21"/>
                <w:szCs w:val="21"/>
                <w:lang w:bidi="ar"/>
              </w:rPr>
              <w:t>起止点</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b/>
                <w:bCs/>
                <w:color w:val="000000"/>
                <w:sz w:val="21"/>
                <w:szCs w:val="21"/>
              </w:rPr>
            </w:pPr>
            <w:r>
              <w:rPr>
                <w:rFonts w:hint="eastAsia" w:ascii="宋体" w:hAnsi="宋体" w:cs="宋体"/>
                <w:b/>
                <w:bCs/>
                <w:color w:val="000000"/>
                <w:kern w:val="0"/>
                <w:sz w:val="21"/>
                <w:szCs w:val="21"/>
                <w:lang w:bidi="ar"/>
              </w:rPr>
              <w:t>长（m）</w:t>
            </w:r>
          </w:p>
        </w:tc>
        <w:tc>
          <w:tcPr>
            <w:tcW w:w="113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b/>
                <w:bCs/>
                <w:color w:val="000000"/>
                <w:sz w:val="21"/>
                <w:szCs w:val="21"/>
              </w:rPr>
            </w:pPr>
            <w:r>
              <w:rPr>
                <w:rFonts w:hint="eastAsia" w:ascii="宋体" w:hAnsi="宋体" w:cs="宋体"/>
                <w:b/>
                <w:bCs/>
                <w:color w:val="000000"/>
                <w:kern w:val="0"/>
                <w:sz w:val="21"/>
                <w:szCs w:val="21"/>
                <w:lang w:bidi="ar"/>
              </w:rPr>
              <w:t>宽（m）</w:t>
            </w: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b/>
                <w:bCs/>
                <w:color w:val="000000"/>
                <w:sz w:val="21"/>
                <w:szCs w:val="21"/>
              </w:rPr>
            </w:pPr>
            <w:r>
              <w:rPr>
                <w:rFonts w:hint="eastAsia" w:ascii="宋体" w:hAnsi="宋体" w:cs="宋体"/>
                <w:b/>
                <w:bCs/>
                <w:color w:val="000000"/>
                <w:kern w:val="0"/>
                <w:sz w:val="21"/>
                <w:szCs w:val="21"/>
                <w:lang w:bidi="ar"/>
              </w:rPr>
              <w:t>道路面积</w:t>
            </w:r>
            <w:r>
              <w:rPr>
                <w:rFonts w:hint="eastAsia" w:ascii="宋体" w:hAnsi="宋体" w:cs="宋体"/>
                <w:b/>
                <w:bCs/>
                <w:color w:val="000000"/>
                <w:kern w:val="0"/>
                <w:sz w:val="21"/>
                <w:szCs w:val="21"/>
                <w:lang w:bidi="ar"/>
              </w:rPr>
              <w:br w:type="textWrapping"/>
            </w:r>
            <w:r>
              <w:rPr>
                <w:rFonts w:hint="eastAsia" w:ascii="宋体" w:hAnsi="宋体" w:cs="宋体"/>
                <w:b/>
                <w:bCs/>
                <w:color w:val="000000"/>
                <w:kern w:val="0"/>
                <w:sz w:val="21"/>
                <w:szCs w:val="21"/>
                <w:lang w:bidi="ar"/>
              </w:rPr>
              <w:t>（m</w:t>
            </w:r>
            <w:r>
              <w:rPr>
                <w:rFonts w:hint="eastAsia" w:ascii="宋体" w:hAnsi="宋体" w:cs="宋体"/>
                <w:b/>
                <w:bCs/>
                <w:color w:val="000000"/>
                <w:kern w:val="0"/>
                <w:sz w:val="21"/>
                <w:szCs w:val="21"/>
                <w:vertAlign w:val="superscript"/>
                <w:lang w:bidi="ar"/>
              </w:rPr>
              <w:t>2</w:t>
            </w:r>
            <w:r>
              <w:rPr>
                <w:rFonts w:hint="eastAsia" w:ascii="宋体" w:hAnsi="宋体" w:cs="宋体"/>
                <w:b/>
                <w:bCs/>
                <w:color w:val="000000"/>
                <w:kern w:val="0"/>
                <w:sz w:val="21"/>
                <w:szCs w:val="21"/>
                <w:lang w:bidi="ar"/>
              </w:rPr>
              <w:t>）</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b/>
                <w:bCs/>
                <w:color w:val="000000"/>
                <w:sz w:val="21"/>
                <w:szCs w:val="21"/>
              </w:rPr>
            </w:pPr>
            <w:r>
              <w:rPr>
                <w:rFonts w:hint="eastAsia" w:ascii="宋体" w:hAnsi="宋体" w:cs="宋体"/>
                <w:b/>
                <w:bCs/>
                <w:color w:val="000000"/>
                <w:kern w:val="0"/>
                <w:sz w:val="21"/>
                <w:szCs w:val="21"/>
                <w:lang w:bidi="ar"/>
              </w:rPr>
              <w:t>备注</w:t>
            </w:r>
          </w:p>
        </w:tc>
      </w:tr>
      <w:tr>
        <w:tblPrEx>
          <w:tblCellMar>
            <w:top w:w="0" w:type="dxa"/>
            <w:left w:w="108" w:type="dxa"/>
            <w:bottom w:w="0" w:type="dxa"/>
            <w:right w:w="108" w:type="dxa"/>
          </w:tblCellMar>
        </w:tblPrEx>
        <w:trPr>
          <w:trHeight w:val="60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sz w:val="21"/>
                <w:szCs w:val="21"/>
              </w:rPr>
              <w:t>1</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金水路</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主</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（河医转盘-高阳桥）两侧</w:t>
            </w:r>
          </w:p>
        </w:tc>
        <w:tc>
          <w:tcPr>
            <w:tcW w:w="1131"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700</w:t>
            </w:r>
          </w:p>
        </w:tc>
        <w:tc>
          <w:tcPr>
            <w:tcW w:w="113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47.04</w:t>
            </w: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32928</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sz w:val="21"/>
                <w:szCs w:val="21"/>
              </w:rPr>
              <w:t>2</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建设东路</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主</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（京广路-嵩山路）两侧</w:t>
            </w:r>
          </w:p>
        </w:tc>
        <w:tc>
          <w:tcPr>
            <w:tcW w:w="1131"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1900</w:t>
            </w:r>
          </w:p>
        </w:tc>
        <w:tc>
          <w:tcPr>
            <w:tcW w:w="113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46.3</w:t>
            </w: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87964</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sz w:val="21"/>
                <w:szCs w:val="21"/>
              </w:rPr>
              <w:t>3</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棉纺东路</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主</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（河医转盘-嵩山路）两侧</w:t>
            </w:r>
          </w:p>
        </w:tc>
        <w:tc>
          <w:tcPr>
            <w:tcW w:w="1131"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1400</w:t>
            </w:r>
          </w:p>
        </w:tc>
        <w:tc>
          <w:tcPr>
            <w:tcW w:w="113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28.57</w:t>
            </w: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40001</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sz w:val="21"/>
                <w:szCs w:val="21"/>
              </w:rPr>
              <w:t>4</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大学路</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主</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（河医转盘-中原路）两侧</w:t>
            </w:r>
          </w:p>
        </w:tc>
        <w:tc>
          <w:tcPr>
            <w:tcW w:w="1131"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700</w:t>
            </w:r>
          </w:p>
        </w:tc>
        <w:tc>
          <w:tcPr>
            <w:tcW w:w="113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47</w:t>
            </w: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32900</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sz w:val="21"/>
                <w:szCs w:val="21"/>
              </w:rPr>
              <w:t>5</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中原路</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主</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（康复中街-大学路）两侧</w:t>
            </w:r>
          </w:p>
        </w:tc>
        <w:tc>
          <w:tcPr>
            <w:tcW w:w="1131"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900</w:t>
            </w:r>
          </w:p>
        </w:tc>
        <w:tc>
          <w:tcPr>
            <w:tcW w:w="113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63</w:t>
            </w: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56700</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sz w:val="21"/>
                <w:szCs w:val="21"/>
              </w:rPr>
              <w:t>6</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二环支路</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次</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（嵩山路-金水区交界）南侧</w:t>
            </w:r>
          </w:p>
        </w:tc>
        <w:tc>
          <w:tcPr>
            <w:tcW w:w="1131"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800</w:t>
            </w:r>
          </w:p>
        </w:tc>
        <w:tc>
          <w:tcPr>
            <w:tcW w:w="113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46.48</w:t>
            </w: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37182</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638" w:type="dxa"/>
            <w:vMerge w:val="restart"/>
            <w:tcBorders>
              <w:top w:val="single" w:color="000000" w:sz="4" w:space="0"/>
              <w:left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sz w:val="21"/>
                <w:szCs w:val="21"/>
              </w:rPr>
              <w:t>7</w:t>
            </w:r>
          </w:p>
        </w:tc>
        <w:tc>
          <w:tcPr>
            <w:tcW w:w="1131" w:type="dxa"/>
            <w:vMerge w:val="restar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嵩山北路路东</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主</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中原路－二环支路</w:t>
            </w:r>
          </w:p>
        </w:tc>
        <w:tc>
          <w:tcPr>
            <w:tcW w:w="1131"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1400</w:t>
            </w:r>
          </w:p>
        </w:tc>
        <w:tc>
          <w:tcPr>
            <w:tcW w:w="113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11</w:t>
            </w: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15400</w:t>
            </w:r>
          </w:p>
        </w:tc>
        <w:tc>
          <w:tcPr>
            <w:tcW w:w="1131" w:type="dxa"/>
            <w:vMerge w:val="restar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638" w:type="dxa"/>
            <w:vMerge w:val="continue"/>
            <w:tcBorders>
              <w:left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p>
        </w:tc>
        <w:tc>
          <w:tcPr>
            <w:tcW w:w="1131"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cs="宋体"/>
                <w:color w:val="000000"/>
                <w:sz w:val="21"/>
                <w:szCs w:val="21"/>
              </w:rPr>
            </w:pP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主</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二环支路至黄河路夹角</w:t>
            </w:r>
          </w:p>
        </w:tc>
        <w:tc>
          <w:tcPr>
            <w:tcW w:w="1131"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cs="宋体"/>
                <w:color w:val="000000"/>
                <w:sz w:val="21"/>
                <w:szCs w:val="21"/>
              </w:rPr>
            </w:pPr>
          </w:p>
        </w:tc>
        <w:tc>
          <w:tcPr>
            <w:tcW w:w="1130"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cs="宋体"/>
                <w:color w:val="000000"/>
                <w:sz w:val="21"/>
                <w:szCs w:val="21"/>
              </w:rPr>
            </w:pP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5400</w:t>
            </w:r>
          </w:p>
        </w:tc>
        <w:tc>
          <w:tcPr>
            <w:tcW w:w="1131"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638" w:type="dxa"/>
            <w:vMerge w:val="continue"/>
            <w:tcBorders>
              <w:left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p>
        </w:tc>
        <w:tc>
          <w:tcPr>
            <w:tcW w:w="1131"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cs="宋体"/>
                <w:color w:val="000000"/>
                <w:sz w:val="21"/>
                <w:szCs w:val="21"/>
              </w:rPr>
            </w:pP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主</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建设路至棉纺路</w:t>
            </w:r>
          </w:p>
        </w:tc>
        <w:tc>
          <w:tcPr>
            <w:tcW w:w="1131"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cs="宋体"/>
                <w:color w:val="000000"/>
                <w:sz w:val="21"/>
                <w:szCs w:val="21"/>
              </w:rPr>
            </w:pPr>
          </w:p>
        </w:tc>
        <w:tc>
          <w:tcPr>
            <w:tcW w:w="1130"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cs="宋体"/>
                <w:color w:val="000000"/>
                <w:sz w:val="21"/>
                <w:szCs w:val="21"/>
              </w:rPr>
            </w:pP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11600</w:t>
            </w:r>
          </w:p>
        </w:tc>
        <w:tc>
          <w:tcPr>
            <w:tcW w:w="1131"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638" w:type="dxa"/>
            <w:vMerge w:val="continue"/>
            <w:tcBorders>
              <w:left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p>
        </w:tc>
        <w:tc>
          <w:tcPr>
            <w:tcW w:w="1131"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cs="宋体"/>
                <w:color w:val="000000"/>
                <w:sz w:val="21"/>
                <w:szCs w:val="21"/>
              </w:rPr>
            </w:pP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主</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棉纺路至地下通道</w:t>
            </w:r>
          </w:p>
        </w:tc>
        <w:tc>
          <w:tcPr>
            <w:tcW w:w="1131"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cs="宋体"/>
                <w:color w:val="000000"/>
                <w:sz w:val="21"/>
                <w:szCs w:val="21"/>
              </w:rPr>
            </w:pPr>
          </w:p>
        </w:tc>
        <w:tc>
          <w:tcPr>
            <w:tcW w:w="1130"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cs="宋体"/>
                <w:color w:val="000000"/>
                <w:sz w:val="21"/>
                <w:szCs w:val="21"/>
              </w:rPr>
            </w:pP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10140</w:t>
            </w:r>
          </w:p>
        </w:tc>
        <w:tc>
          <w:tcPr>
            <w:tcW w:w="1131"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638" w:type="dxa"/>
            <w:vMerge w:val="continue"/>
            <w:tcBorders>
              <w:left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p>
        </w:tc>
        <w:tc>
          <w:tcPr>
            <w:tcW w:w="1131"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cs="宋体"/>
                <w:color w:val="000000"/>
                <w:sz w:val="21"/>
                <w:szCs w:val="21"/>
              </w:rPr>
            </w:pP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主</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金水路东南小路</w:t>
            </w:r>
          </w:p>
        </w:tc>
        <w:tc>
          <w:tcPr>
            <w:tcW w:w="1131"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cs="宋体"/>
                <w:color w:val="000000"/>
                <w:sz w:val="21"/>
                <w:szCs w:val="21"/>
              </w:rPr>
            </w:pPr>
          </w:p>
        </w:tc>
        <w:tc>
          <w:tcPr>
            <w:tcW w:w="1130"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cs="宋体"/>
                <w:color w:val="000000"/>
                <w:sz w:val="21"/>
                <w:szCs w:val="21"/>
              </w:rPr>
            </w:pP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2945</w:t>
            </w:r>
          </w:p>
        </w:tc>
        <w:tc>
          <w:tcPr>
            <w:tcW w:w="1131"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638" w:type="dxa"/>
            <w:vMerge w:val="continue"/>
            <w:tcBorders>
              <w:left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p>
        </w:tc>
        <w:tc>
          <w:tcPr>
            <w:tcW w:w="1131"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cs="宋体"/>
                <w:color w:val="000000"/>
                <w:sz w:val="21"/>
                <w:szCs w:val="21"/>
              </w:rPr>
            </w:pP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主</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金水路至二环支路</w:t>
            </w:r>
          </w:p>
        </w:tc>
        <w:tc>
          <w:tcPr>
            <w:tcW w:w="1131"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cs="宋体"/>
                <w:color w:val="000000"/>
                <w:sz w:val="21"/>
                <w:szCs w:val="21"/>
              </w:rPr>
            </w:pPr>
          </w:p>
        </w:tc>
        <w:tc>
          <w:tcPr>
            <w:tcW w:w="1130"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cs="宋体"/>
                <w:color w:val="000000"/>
                <w:sz w:val="21"/>
                <w:szCs w:val="21"/>
              </w:rPr>
            </w:pP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2520</w:t>
            </w:r>
          </w:p>
        </w:tc>
        <w:tc>
          <w:tcPr>
            <w:tcW w:w="1131"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638" w:type="dxa"/>
            <w:vMerge w:val="continue"/>
            <w:tcBorders>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p>
        </w:tc>
        <w:tc>
          <w:tcPr>
            <w:tcW w:w="1131"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cs="宋体"/>
                <w:color w:val="000000"/>
                <w:sz w:val="21"/>
                <w:szCs w:val="21"/>
              </w:rPr>
            </w:pP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主</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天桥（新增）</w:t>
            </w:r>
          </w:p>
        </w:tc>
        <w:tc>
          <w:tcPr>
            <w:tcW w:w="1131"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cs="宋体"/>
                <w:color w:val="000000"/>
                <w:sz w:val="21"/>
                <w:szCs w:val="21"/>
              </w:rPr>
            </w:pPr>
          </w:p>
        </w:tc>
        <w:tc>
          <w:tcPr>
            <w:tcW w:w="1130"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cs="宋体"/>
                <w:color w:val="000000"/>
                <w:sz w:val="21"/>
                <w:szCs w:val="21"/>
              </w:rPr>
            </w:pP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500</w:t>
            </w:r>
          </w:p>
        </w:tc>
        <w:tc>
          <w:tcPr>
            <w:tcW w:w="1131"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sz w:val="21"/>
                <w:szCs w:val="21"/>
              </w:rPr>
              <w:t>8</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康复中街</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支</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（中原路-康复前街）西侧</w:t>
            </w:r>
          </w:p>
        </w:tc>
        <w:tc>
          <w:tcPr>
            <w:tcW w:w="1131"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800</w:t>
            </w:r>
          </w:p>
        </w:tc>
        <w:tc>
          <w:tcPr>
            <w:tcW w:w="113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10.15</w:t>
            </w: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8120</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sz w:val="21"/>
                <w:szCs w:val="21"/>
              </w:rPr>
              <w:t>9</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康复后街</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支</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（康复中街-西公厕）两侧</w:t>
            </w:r>
          </w:p>
        </w:tc>
        <w:tc>
          <w:tcPr>
            <w:tcW w:w="1131"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400</w:t>
            </w:r>
          </w:p>
        </w:tc>
        <w:tc>
          <w:tcPr>
            <w:tcW w:w="113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20.21</w:t>
            </w: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8084.35</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sz w:val="21"/>
                <w:szCs w:val="21"/>
              </w:rPr>
              <w:t>10</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康复前街</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支</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（康复中街-大学路办事处交界）北侧</w:t>
            </w:r>
          </w:p>
        </w:tc>
        <w:tc>
          <w:tcPr>
            <w:tcW w:w="1131"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300</w:t>
            </w:r>
          </w:p>
        </w:tc>
        <w:tc>
          <w:tcPr>
            <w:tcW w:w="113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12.7</w:t>
            </w: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3810</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sz w:val="21"/>
                <w:szCs w:val="21"/>
              </w:rPr>
              <w:t>11</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建新街</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背</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(金水路-建新北街丁字口)两侧</w:t>
            </w:r>
          </w:p>
        </w:tc>
        <w:tc>
          <w:tcPr>
            <w:tcW w:w="1131"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400</w:t>
            </w:r>
          </w:p>
        </w:tc>
        <w:tc>
          <w:tcPr>
            <w:tcW w:w="113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29.11</w:t>
            </w: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11642</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sz w:val="21"/>
                <w:szCs w:val="21"/>
              </w:rPr>
              <w:t>12</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建新北街</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背</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(建新街--建新东街口)两侧</w:t>
            </w:r>
          </w:p>
        </w:tc>
        <w:tc>
          <w:tcPr>
            <w:tcW w:w="1131"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600</w:t>
            </w:r>
          </w:p>
        </w:tc>
        <w:tc>
          <w:tcPr>
            <w:tcW w:w="113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8.74</w:t>
            </w: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5242</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sz w:val="21"/>
                <w:szCs w:val="21"/>
              </w:rPr>
              <w:t>13</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建新东街</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背</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(建新北街-金水河桥)两侧</w:t>
            </w:r>
          </w:p>
        </w:tc>
        <w:tc>
          <w:tcPr>
            <w:tcW w:w="1131"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500</w:t>
            </w:r>
          </w:p>
        </w:tc>
        <w:tc>
          <w:tcPr>
            <w:tcW w:w="113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9.8</w:t>
            </w: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4900</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sz w:val="21"/>
                <w:szCs w:val="21"/>
              </w:rPr>
              <w:t>14</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合作路东西路</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背</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（金水路-王立砦街）两侧</w:t>
            </w:r>
          </w:p>
        </w:tc>
        <w:tc>
          <w:tcPr>
            <w:tcW w:w="1131" w:type="dxa"/>
            <w:vMerge w:val="restar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900</w:t>
            </w:r>
          </w:p>
        </w:tc>
        <w:tc>
          <w:tcPr>
            <w:tcW w:w="1130" w:type="dxa"/>
            <w:vMerge w:val="restart"/>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10.62</w:t>
            </w:r>
          </w:p>
        </w:tc>
        <w:tc>
          <w:tcPr>
            <w:tcW w:w="1217" w:type="dxa"/>
            <w:vMerge w:val="restar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9561</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sz w:val="21"/>
                <w:szCs w:val="21"/>
              </w:rPr>
              <w:t>15</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合作路南北路</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背</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（棉纺东路-合作路东西路）两侧</w:t>
            </w:r>
          </w:p>
        </w:tc>
        <w:tc>
          <w:tcPr>
            <w:tcW w:w="1131"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cs="宋体"/>
                <w:color w:val="000000"/>
                <w:sz w:val="21"/>
                <w:szCs w:val="21"/>
              </w:rPr>
            </w:pPr>
          </w:p>
        </w:tc>
        <w:tc>
          <w:tcPr>
            <w:tcW w:w="1130"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cs="宋体"/>
                <w:color w:val="000000"/>
                <w:sz w:val="21"/>
                <w:szCs w:val="21"/>
              </w:rPr>
            </w:pPr>
          </w:p>
        </w:tc>
        <w:tc>
          <w:tcPr>
            <w:tcW w:w="1217"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cs="宋体"/>
                <w:color w:val="000000"/>
                <w:sz w:val="21"/>
                <w:szCs w:val="21"/>
              </w:rPr>
            </w:pP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sz w:val="21"/>
                <w:szCs w:val="21"/>
              </w:rPr>
              <w:t>16</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京广北路</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主</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（建设路-中原路）西侧</w:t>
            </w:r>
          </w:p>
        </w:tc>
        <w:tc>
          <w:tcPr>
            <w:tcW w:w="1131"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700</w:t>
            </w:r>
          </w:p>
        </w:tc>
        <w:tc>
          <w:tcPr>
            <w:tcW w:w="113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37.5</w:t>
            </w: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26250</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sz w:val="21"/>
                <w:szCs w:val="21"/>
              </w:rPr>
              <w:t>17</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瑞光路</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背</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（二环支路-铁路沿线）两侧</w:t>
            </w:r>
          </w:p>
        </w:tc>
        <w:tc>
          <w:tcPr>
            <w:tcW w:w="1131"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600</w:t>
            </w:r>
          </w:p>
        </w:tc>
        <w:tc>
          <w:tcPr>
            <w:tcW w:w="113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6.42</w:t>
            </w: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3850</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sz w:val="21"/>
                <w:szCs w:val="21"/>
              </w:rPr>
              <w:t>18</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建新西街</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背</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家属区至金水河</w:t>
            </w:r>
          </w:p>
        </w:tc>
        <w:tc>
          <w:tcPr>
            <w:tcW w:w="1131"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522</w:t>
            </w:r>
          </w:p>
        </w:tc>
        <w:tc>
          <w:tcPr>
            <w:tcW w:w="113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6.96</w:t>
            </w: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2310</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sz w:val="21"/>
                <w:szCs w:val="21"/>
              </w:rPr>
              <w:t>19</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建新西街</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背</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cs="宋体"/>
                <w:color w:val="000000"/>
                <w:sz w:val="21"/>
                <w:szCs w:val="21"/>
              </w:rPr>
            </w:pPr>
          </w:p>
        </w:tc>
        <w:tc>
          <w:tcPr>
            <w:tcW w:w="1131"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300</w:t>
            </w:r>
          </w:p>
        </w:tc>
        <w:tc>
          <w:tcPr>
            <w:tcW w:w="1130"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cs="宋体"/>
                <w:color w:val="000000"/>
                <w:sz w:val="21"/>
                <w:szCs w:val="21"/>
              </w:rPr>
            </w:pP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1322.4</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sz w:val="21"/>
                <w:szCs w:val="21"/>
              </w:rPr>
              <w:t>20</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王立砦北街</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背</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（合作路至户籍服务站450站台）两侧</w:t>
            </w:r>
          </w:p>
        </w:tc>
        <w:tc>
          <w:tcPr>
            <w:tcW w:w="1131"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300</w:t>
            </w:r>
          </w:p>
        </w:tc>
        <w:tc>
          <w:tcPr>
            <w:tcW w:w="113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15</w:t>
            </w: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4500</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sz w:val="21"/>
                <w:szCs w:val="21"/>
              </w:rPr>
              <w:t>21</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菜王街</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背</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（中原路至康复后街）两侧</w:t>
            </w:r>
          </w:p>
        </w:tc>
        <w:tc>
          <w:tcPr>
            <w:tcW w:w="1131"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260</w:t>
            </w:r>
          </w:p>
        </w:tc>
        <w:tc>
          <w:tcPr>
            <w:tcW w:w="113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6.46</w:t>
            </w: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1680</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sz w:val="21"/>
                <w:szCs w:val="21"/>
              </w:rPr>
              <w:t>22</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解放路立交桥</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主</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河医立交桥－民主路</w:t>
            </w:r>
          </w:p>
        </w:tc>
        <w:tc>
          <w:tcPr>
            <w:tcW w:w="1131"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1710</w:t>
            </w:r>
          </w:p>
        </w:tc>
        <w:tc>
          <w:tcPr>
            <w:tcW w:w="113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55.1</w:t>
            </w: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94209</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sz w:val="21"/>
                <w:szCs w:val="21"/>
              </w:rPr>
              <w:t>23</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河医立交桥</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主</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立交桥二层、三层</w:t>
            </w:r>
          </w:p>
        </w:tc>
        <w:tc>
          <w:tcPr>
            <w:tcW w:w="1131"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3600</w:t>
            </w:r>
          </w:p>
        </w:tc>
        <w:tc>
          <w:tcPr>
            <w:tcW w:w="113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12.63</w:t>
            </w: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45477</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sz w:val="21"/>
                <w:szCs w:val="21"/>
              </w:rPr>
              <w:t>24</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棉纺路天桥</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背</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cs="宋体"/>
                <w:color w:val="000000"/>
                <w:sz w:val="21"/>
                <w:szCs w:val="21"/>
              </w:rPr>
            </w:pP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50</w:t>
            </w:r>
          </w:p>
        </w:tc>
        <w:tc>
          <w:tcPr>
            <w:tcW w:w="1130"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10</w:t>
            </w: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500</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sz w:val="21"/>
                <w:szCs w:val="21"/>
              </w:rPr>
              <w:t>25</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嵩山路市政设计院门前小路</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背</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嵩山北路加油站—铁路沿</w:t>
            </w:r>
          </w:p>
        </w:tc>
        <w:tc>
          <w:tcPr>
            <w:tcW w:w="1131"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160</w:t>
            </w:r>
          </w:p>
        </w:tc>
        <w:tc>
          <w:tcPr>
            <w:tcW w:w="113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9</w:t>
            </w: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1440</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sz w:val="21"/>
                <w:szCs w:val="21"/>
              </w:rPr>
              <w:t>26</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菜王南街</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背</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中原路－断头</w:t>
            </w:r>
          </w:p>
        </w:tc>
        <w:tc>
          <w:tcPr>
            <w:tcW w:w="1131"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300</w:t>
            </w:r>
          </w:p>
        </w:tc>
        <w:tc>
          <w:tcPr>
            <w:tcW w:w="113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5.2</w:t>
            </w: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1560</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sz w:val="21"/>
                <w:szCs w:val="21"/>
              </w:rPr>
              <w:t>27</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黄河路南侧小路</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背</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嵩山北路-桥</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139.2</w:t>
            </w:r>
          </w:p>
        </w:tc>
        <w:tc>
          <w:tcPr>
            <w:tcW w:w="113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9.2</w:t>
            </w: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1280.64</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p>
        </w:tc>
      </w:tr>
      <w:tr>
        <w:tblPrEx>
          <w:tblCellMar>
            <w:top w:w="0" w:type="dxa"/>
            <w:left w:w="108" w:type="dxa"/>
            <w:bottom w:w="0" w:type="dxa"/>
            <w:right w:w="108" w:type="dxa"/>
          </w:tblCellMar>
        </w:tblPrEx>
        <w:trPr>
          <w:trHeight w:val="600" w:hRule="atLeast"/>
          <w:jc w:val="center"/>
        </w:trPr>
        <w:tc>
          <w:tcPr>
            <w:tcW w:w="0" w:type="auto"/>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sz w:val="21"/>
                <w:szCs w:val="21"/>
              </w:rPr>
              <w:t>28</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桥</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背</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无名路-桥中心</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29.1</w:t>
            </w:r>
          </w:p>
        </w:tc>
        <w:tc>
          <w:tcPr>
            <w:tcW w:w="113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16</w:t>
            </w: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465.6</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桥</w:t>
            </w:r>
          </w:p>
        </w:tc>
      </w:tr>
      <w:tr>
        <w:tblPrEx>
          <w:tblCellMar>
            <w:top w:w="0" w:type="dxa"/>
            <w:left w:w="108" w:type="dxa"/>
            <w:bottom w:w="0" w:type="dxa"/>
            <w:right w:w="108" w:type="dxa"/>
          </w:tblCellMar>
        </w:tblPrEx>
        <w:trPr>
          <w:trHeight w:val="600" w:hRule="atLeast"/>
          <w:jc w:val="center"/>
        </w:trPr>
        <w:tc>
          <w:tcPr>
            <w:tcW w:w="638" w:type="dxa"/>
            <w:vMerge w:val="restart"/>
            <w:tcBorders>
              <w:top w:val="single" w:color="000000" w:sz="4" w:space="0"/>
              <w:left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sz w:val="21"/>
                <w:szCs w:val="21"/>
              </w:rPr>
              <w:t>29</w:t>
            </w:r>
          </w:p>
        </w:tc>
        <w:tc>
          <w:tcPr>
            <w:tcW w:w="1131" w:type="dxa"/>
            <w:vMerge w:val="restar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金水东路</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主</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嵩山路-立交桥</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207</w:t>
            </w:r>
          </w:p>
        </w:tc>
        <w:tc>
          <w:tcPr>
            <w:tcW w:w="113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路南：9</w:t>
            </w:r>
            <w:r>
              <w:rPr>
                <w:rFonts w:hint="eastAsia" w:ascii="宋体" w:hAnsi="宋体" w:cs="宋体"/>
                <w:color w:val="000000"/>
                <w:kern w:val="0"/>
                <w:sz w:val="21"/>
                <w:szCs w:val="21"/>
                <w:lang w:bidi="ar"/>
              </w:rPr>
              <w:br w:type="textWrapping"/>
            </w:r>
            <w:r>
              <w:rPr>
                <w:rFonts w:hint="eastAsia" w:ascii="宋体" w:hAnsi="宋体" w:cs="宋体"/>
                <w:color w:val="000000"/>
                <w:kern w:val="0"/>
                <w:sz w:val="21"/>
                <w:szCs w:val="21"/>
                <w:lang w:bidi="ar"/>
              </w:rPr>
              <w:t>路北：19</w:t>
            </w: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5796</w:t>
            </w:r>
          </w:p>
        </w:tc>
        <w:tc>
          <w:tcPr>
            <w:tcW w:w="1131" w:type="dxa"/>
            <w:vMerge w:val="restar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kern w:val="0"/>
                <w:sz w:val="21"/>
                <w:szCs w:val="21"/>
                <w:lang w:bidi="ar"/>
              </w:rPr>
            </w:pPr>
          </w:p>
        </w:tc>
      </w:tr>
      <w:tr>
        <w:tblPrEx>
          <w:tblCellMar>
            <w:top w:w="0" w:type="dxa"/>
            <w:left w:w="108" w:type="dxa"/>
            <w:bottom w:w="0" w:type="dxa"/>
            <w:right w:w="108" w:type="dxa"/>
          </w:tblCellMar>
        </w:tblPrEx>
        <w:trPr>
          <w:trHeight w:val="600" w:hRule="atLeast"/>
          <w:jc w:val="center"/>
        </w:trPr>
        <w:tc>
          <w:tcPr>
            <w:tcW w:w="638" w:type="dxa"/>
            <w:vMerge w:val="continue"/>
            <w:tcBorders>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p>
        </w:tc>
        <w:tc>
          <w:tcPr>
            <w:tcW w:w="1131"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cs="宋体"/>
                <w:color w:val="000000"/>
                <w:kern w:val="0"/>
                <w:sz w:val="21"/>
                <w:szCs w:val="21"/>
                <w:lang w:bidi="ar"/>
              </w:rPr>
            </w:pP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主</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立交桥上</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38</w:t>
            </w:r>
          </w:p>
        </w:tc>
        <w:tc>
          <w:tcPr>
            <w:tcW w:w="113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15.3</w:t>
            </w: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581.4</w:t>
            </w:r>
          </w:p>
        </w:tc>
        <w:tc>
          <w:tcPr>
            <w:tcW w:w="1131"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cs="宋体"/>
                <w:color w:val="000000"/>
                <w:kern w:val="0"/>
                <w:sz w:val="21"/>
                <w:szCs w:val="21"/>
                <w:lang w:bidi="ar"/>
              </w:rPr>
            </w:pPr>
          </w:p>
        </w:tc>
      </w:tr>
      <w:tr>
        <w:tblPrEx>
          <w:tblCellMar>
            <w:top w:w="0" w:type="dxa"/>
            <w:left w:w="108" w:type="dxa"/>
            <w:bottom w:w="0" w:type="dxa"/>
            <w:right w:w="108" w:type="dxa"/>
          </w:tblCellMar>
        </w:tblPrEx>
        <w:trPr>
          <w:trHeight w:val="600" w:hRule="atLeast"/>
          <w:jc w:val="center"/>
        </w:trPr>
        <w:tc>
          <w:tcPr>
            <w:tcW w:w="638" w:type="dxa"/>
            <w:vMerge w:val="restart"/>
            <w:tcBorders>
              <w:top w:val="single" w:color="000000" w:sz="4" w:space="0"/>
              <w:left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sz w:val="21"/>
                <w:szCs w:val="21"/>
              </w:rPr>
              <w:t>30</w:t>
            </w:r>
          </w:p>
        </w:tc>
        <w:tc>
          <w:tcPr>
            <w:tcW w:w="1131" w:type="dxa"/>
            <w:vMerge w:val="restar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金水路辅路</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主</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嵩山北路-立交桥</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211</w:t>
            </w:r>
          </w:p>
        </w:tc>
        <w:tc>
          <w:tcPr>
            <w:tcW w:w="113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9</w:t>
            </w: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1899</w:t>
            </w:r>
          </w:p>
        </w:tc>
        <w:tc>
          <w:tcPr>
            <w:tcW w:w="1131" w:type="dxa"/>
            <w:vMerge w:val="restart"/>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kern w:val="0"/>
                <w:sz w:val="21"/>
                <w:szCs w:val="21"/>
                <w:lang w:bidi="ar"/>
              </w:rPr>
            </w:pPr>
          </w:p>
        </w:tc>
      </w:tr>
      <w:tr>
        <w:tblPrEx>
          <w:tblCellMar>
            <w:top w:w="0" w:type="dxa"/>
            <w:left w:w="108" w:type="dxa"/>
            <w:bottom w:w="0" w:type="dxa"/>
            <w:right w:w="108" w:type="dxa"/>
          </w:tblCellMar>
        </w:tblPrEx>
        <w:trPr>
          <w:trHeight w:val="600" w:hRule="atLeast"/>
          <w:jc w:val="center"/>
        </w:trPr>
        <w:tc>
          <w:tcPr>
            <w:tcW w:w="638" w:type="dxa"/>
            <w:vMerge w:val="continue"/>
            <w:tcBorders>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p>
        </w:tc>
        <w:tc>
          <w:tcPr>
            <w:tcW w:w="1131"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cs="宋体"/>
                <w:color w:val="000000"/>
                <w:kern w:val="0"/>
                <w:sz w:val="21"/>
                <w:szCs w:val="21"/>
                <w:lang w:bidi="ar"/>
              </w:rPr>
            </w:pP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主</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立交桥上</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45</w:t>
            </w:r>
          </w:p>
        </w:tc>
        <w:tc>
          <w:tcPr>
            <w:tcW w:w="1130"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7.2</w:t>
            </w: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kern w:val="0"/>
                <w:sz w:val="21"/>
                <w:szCs w:val="21"/>
                <w:lang w:bidi="ar"/>
              </w:rPr>
            </w:pPr>
            <w:r>
              <w:rPr>
                <w:rFonts w:hint="eastAsia" w:ascii="宋体" w:hAnsi="宋体" w:cs="宋体"/>
                <w:color w:val="000000"/>
                <w:kern w:val="0"/>
                <w:sz w:val="21"/>
                <w:szCs w:val="21"/>
                <w:lang w:bidi="ar"/>
              </w:rPr>
              <w:t>324</w:t>
            </w:r>
          </w:p>
        </w:tc>
        <w:tc>
          <w:tcPr>
            <w:tcW w:w="1131"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cs="宋体"/>
                <w:color w:val="000000"/>
                <w:kern w:val="0"/>
                <w:sz w:val="21"/>
                <w:szCs w:val="21"/>
                <w:lang w:bidi="ar"/>
              </w:rPr>
            </w:pPr>
          </w:p>
        </w:tc>
      </w:tr>
      <w:tr>
        <w:tblPrEx>
          <w:tblCellMar>
            <w:top w:w="0" w:type="dxa"/>
            <w:left w:w="108" w:type="dxa"/>
            <w:bottom w:w="0" w:type="dxa"/>
            <w:right w:w="108" w:type="dxa"/>
          </w:tblCellMar>
        </w:tblPrEx>
        <w:trPr>
          <w:trHeight w:val="600" w:hRule="atLeast"/>
          <w:jc w:val="center"/>
        </w:trPr>
        <w:tc>
          <w:tcPr>
            <w:tcW w:w="0" w:type="auto"/>
            <w:gridSpan w:val="4"/>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合计</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cs="宋体"/>
                <w:color w:val="000000"/>
                <w:sz w:val="21"/>
                <w:szCs w:val="21"/>
              </w:rPr>
            </w:pPr>
          </w:p>
        </w:tc>
        <w:tc>
          <w:tcPr>
            <w:tcW w:w="1130" w:type="dxa"/>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cs="宋体"/>
                <w:color w:val="000000"/>
                <w:sz w:val="21"/>
                <w:szCs w:val="21"/>
              </w:rPr>
            </w:pPr>
          </w:p>
        </w:tc>
        <w:tc>
          <w:tcPr>
            <w:tcW w:w="1217"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textAlignment w:val="center"/>
              <w:rPr>
                <w:rFonts w:hint="eastAsia" w:ascii="宋体" w:hAnsi="宋体" w:cs="宋体"/>
                <w:color w:val="000000"/>
                <w:sz w:val="21"/>
                <w:szCs w:val="21"/>
              </w:rPr>
            </w:pPr>
            <w:r>
              <w:rPr>
                <w:rFonts w:hint="eastAsia" w:ascii="宋体" w:hAnsi="宋体" w:cs="宋体"/>
                <w:color w:val="000000"/>
                <w:kern w:val="0"/>
                <w:sz w:val="21"/>
                <w:szCs w:val="21"/>
                <w:lang w:bidi="ar"/>
              </w:rPr>
              <w:t>580984.39</w:t>
            </w:r>
          </w:p>
        </w:tc>
        <w:tc>
          <w:tcPr>
            <w:tcW w:w="1131"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eastAsia" w:ascii="宋体" w:hAnsi="宋体" w:cs="宋体"/>
                <w:color w:val="000000"/>
                <w:sz w:val="21"/>
                <w:szCs w:val="21"/>
              </w:rPr>
            </w:pPr>
          </w:p>
        </w:tc>
      </w:tr>
    </w:tbl>
    <w:p>
      <w:pPr>
        <w:pStyle w:val="5"/>
        <w:ind w:left="0" w:leftChars="0"/>
        <w:rPr>
          <w:rFonts w:hint="eastAsia" w:ascii="宋体" w:hAnsi="宋体" w:cs="宋体"/>
          <w:sz w:val="21"/>
          <w:szCs w:val="21"/>
        </w:rPr>
      </w:pPr>
    </w:p>
    <w:p>
      <w:pPr>
        <w:rPr>
          <w:rFonts w:hint="eastAsia" w:ascii="宋体" w:hAnsi="宋体" w:cs="宋体"/>
          <w:sz w:val="21"/>
          <w:szCs w:val="21"/>
        </w:rPr>
      </w:pPr>
    </w:p>
    <w:p>
      <w:pPr>
        <w:spacing w:line="360" w:lineRule="auto"/>
        <w:jc w:val="left"/>
        <w:rPr>
          <w:rFonts w:hint="eastAsia" w:ascii="宋体" w:hAnsi="宋体" w:cs="宋体"/>
          <w:b/>
          <w:bCs/>
          <w:sz w:val="21"/>
          <w:szCs w:val="21"/>
        </w:rPr>
      </w:pPr>
      <w:r>
        <w:rPr>
          <w:rFonts w:hint="eastAsia" w:ascii="宋体" w:hAnsi="宋体" w:cs="宋体"/>
          <w:b/>
          <w:bCs/>
          <w:sz w:val="21"/>
          <w:szCs w:val="21"/>
        </w:rPr>
        <w:t>★（2）商务要求</w:t>
      </w:r>
    </w:p>
    <w:p>
      <w:pPr>
        <w:spacing w:line="560" w:lineRule="exact"/>
        <w:ind w:firstLine="420" w:firstLineChars="200"/>
        <w:jc w:val="left"/>
        <w:rPr>
          <w:rFonts w:hint="eastAsia" w:ascii="宋体" w:hAnsi="宋体" w:cs="宋体"/>
          <w:iCs/>
          <w:sz w:val="21"/>
          <w:szCs w:val="21"/>
        </w:rPr>
      </w:pPr>
      <w:r>
        <w:rPr>
          <w:rFonts w:hint="eastAsia" w:ascii="宋体" w:hAnsi="宋体" w:cs="宋体"/>
          <w:iCs/>
          <w:sz w:val="21"/>
          <w:szCs w:val="21"/>
        </w:rPr>
        <w:t>1.采购标的的时间：2024年4月；</w:t>
      </w:r>
    </w:p>
    <w:p>
      <w:pPr>
        <w:spacing w:line="560" w:lineRule="exact"/>
        <w:ind w:firstLine="420" w:firstLineChars="200"/>
        <w:jc w:val="left"/>
        <w:rPr>
          <w:rFonts w:hint="eastAsia" w:ascii="宋体" w:hAnsi="宋体" w:cs="宋体"/>
          <w:iCs/>
          <w:sz w:val="21"/>
          <w:szCs w:val="21"/>
        </w:rPr>
      </w:pPr>
      <w:r>
        <w:rPr>
          <w:rFonts w:hint="eastAsia" w:ascii="宋体" w:hAnsi="宋体" w:cs="宋体"/>
          <w:iCs/>
          <w:sz w:val="21"/>
          <w:szCs w:val="21"/>
        </w:rPr>
        <w:t>2.服务期限：自合同签订之日起两年</w:t>
      </w:r>
    </w:p>
    <w:p>
      <w:pPr>
        <w:spacing w:line="560" w:lineRule="exact"/>
        <w:ind w:firstLine="420" w:firstLineChars="200"/>
        <w:jc w:val="left"/>
        <w:rPr>
          <w:rFonts w:hint="eastAsia" w:ascii="宋体" w:hAnsi="宋体" w:cs="宋体"/>
          <w:iCs/>
          <w:sz w:val="21"/>
          <w:szCs w:val="21"/>
        </w:rPr>
      </w:pPr>
      <w:r>
        <w:rPr>
          <w:rFonts w:hint="eastAsia" w:ascii="宋体" w:hAnsi="宋体" w:cs="宋体"/>
          <w:iCs/>
          <w:sz w:val="21"/>
          <w:szCs w:val="21"/>
        </w:rPr>
        <w:t>3.服务地点：采购人指定</w:t>
      </w:r>
    </w:p>
    <w:p>
      <w:pPr>
        <w:spacing w:line="560" w:lineRule="exact"/>
        <w:ind w:firstLine="420" w:firstLineChars="200"/>
        <w:jc w:val="left"/>
        <w:rPr>
          <w:rFonts w:hint="eastAsia" w:ascii="宋体" w:hAnsi="宋体" w:cs="宋体"/>
          <w:iCs/>
          <w:sz w:val="21"/>
          <w:szCs w:val="21"/>
        </w:rPr>
      </w:pPr>
      <w:r>
        <w:rPr>
          <w:rFonts w:hint="eastAsia" w:ascii="宋体" w:hAnsi="宋体" w:cs="宋体"/>
          <w:iCs/>
          <w:sz w:val="21"/>
          <w:szCs w:val="21"/>
        </w:rPr>
        <w:t>4.质量要求：执行《全国卫生城市检查标准》和郑州市、二七区城市环境卫生精细化管理要求。</w:t>
      </w:r>
    </w:p>
    <w:p>
      <w:pPr>
        <w:spacing w:line="560" w:lineRule="exact"/>
        <w:ind w:firstLine="420" w:firstLineChars="200"/>
        <w:jc w:val="left"/>
        <w:rPr>
          <w:rFonts w:hint="eastAsia" w:ascii="宋体" w:hAnsi="宋体" w:cs="宋体"/>
          <w:iCs/>
          <w:sz w:val="21"/>
          <w:szCs w:val="21"/>
        </w:rPr>
      </w:pPr>
      <w:r>
        <w:rPr>
          <w:rFonts w:hint="eastAsia" w:ascii="宋体" w:hAnsi="宋体" w:cs="宋体"/>
          <w:iCs/>
          <w:sz w:val="21"/>
          <w:szCs w:val="21"/>
        </w:rPr>
        <w:t>5.采购范围：康复中街（（中原路至康复前街）西侧）、康复后街（（康复中街至西公厕）两侧）、康复前街（（康复中街至大学路办事处交界）北侧）、建新街（(金水路至建新北街丁字口)两侧）、建新北街（（建新街至建新东街口)两侧）、建新东街（(建新北街至金水河桥)两侧）、合作路东西路（（金水路至王立砦街）两侧）、合作路南北路（（棉纺东路至合作路东西路）两侧）、京广北路（（建设路至中原路）西侧）、瑞光路（（二环支路至铁路沿线）两侧）、建新西街（家属区至金水河）、建新西街、王立砦北街（（合作路至户籍服务站450站台）两侧）、菜王街（（中原路至康复后街）两侧）、解放路立交桥（（河医立交桥至民主路）、河医立交桥（立交桥二层、三层）、棉纺路天桥、嵩山路市政设计院门前小路（嵩山北路加油站至铁路沿）、菜王南街（中原路至断头）、黄河路南侧小路（嵩山北路至桥）、桥（无名路至桥中心）、金水东路（嵩山路至立交桥、立交桥上）、金水路辅路（嵩山北路至立交桥、立交桥上）等道路清扫保洁，道路清扫保洁面积 580984.39平方米；</w:t>
      </w:r>
    </w:p>
    <w:p>
      <w:pPr>
        <w:spacing w:line="560" w:lineRule="exact"/>
        <w:ind w:firstLine="420" w:firstLineChars="200"/>
        <w:jc w:val="left"/>
        <w:rPr>
          <w:rFonts w:hint="eastAsia" w:ascii="宋体" w:hAnsi="宋体" w:cs="宋体"/>
          <w:iCs/>
          <w:sz w:val="21"/>
          <w:szCs w:val="21"/>
        </w:rPr>
      </w:pPr>
      <w:r>
        <w:rPr>
          <w:rFonts w:hint="eastAsia" w:ascii="宋体" w:hAnsi="宋体" w:cs="宋体"/>
          <w:iCs/>
          <w:sz w:val="21"/>
          <w:szCs w:val="21"/>
        </w:rPr>
        <w:t>6.本项目是否接受联合体投标：否；</w:t>
      </w:r>
    </w:p>
    <w:p>
      <w:pPr>
        <w:spacing w:line="560" w:lineRule="exact"/>
        <w:ind w:firstLine="420" w:firstLineChars="200"/>
        <w:jc w:val="left"/>
        <w:rPr>
          <w:rFonts w:hint="eastAsia" w:ascii="宋体" w:hAnsi="宋体" w:cs="宋体"/>
          <w:iCs/>
          <w:sz w:val="21"/>
          <w:szCs w:val="21"/>
        </w:rPr>
      </w:pPr>
      <w:r>
        <w:rPr>
          <w:rFonts w:hint="eastAsia" w:ascii="宋体" w:hAnsi="宋体" w:cs="宋体"/>
          <w:iCs/>
          <w:sz w:val="21"/>
          <w:szCs w:val="21"/>
        </w:rPr>
        <w:t>7.是否接受进口产品：否；</w:t>
      </w:r>
    </w:p>
    <w:p>
      <w:pPr>
        <w:spacing w:line="560" w:lineRule="exact"/>
        <w:ind w:firstLine="420" w:firstLineChars="200"/>
        <w:jc w:val="left"/>
        <w:rPr>
          <w:rFonts w:hint="eastAsia" w:ascii="宋体" w:hAnsi="宋体" w:cs="宋体"/>
          <w:iCs/>
          <w:sz w:val="21"/>
          <w:szCs w:val="21"/>
        </w:rPr>
      </w:pPr>
      <w:r>
        <w:rPr>
          <w:rFonts w:hint="eastAsia" w:ascii="宋体" w:hAnsi="宋体" w:cs="宋体"/>
          <w:iCs/>
          <w:sz w:val="21"/>
          <w:szCs w:val="21"/>
        </w:rPr>
        <w:t>8.是否专门面向中小企业：否；</w:t>
      </w:r>
      <w:bookmarkStart w:id="0" w:name="_GoBack"/>
      <w:bookmarkEnd w:id="0"/>
    </w:p>
    <w:p>
      <w:pPr>
        <w:spacing w:line="560" w:lineRule="exact"/>
        <w:ind w:firstLine="420" w:firstLineChars="200"/>
        <w:jc w:val="left"/>
        <w:rPr>
          <w:rFonts w:hint="eastAsia" w:ascii="宋体" w:hAnsi="宋体" w:cs="宋体"/>
          <w:iCs/>
          <w:sz w:val="21"/>
          <w:szCs w:val="21"/>
        </w:rPr>
      </w:pPr>
      <w:r>
        <w:rPr>
          <w:rFonts w:hint="eastAsia" w:ascii="宋体" w:hAnsi="宋体" w:cs="宋体"/>
          <w:iCs/>
          <w:sz w:val="21"/>
          <w:szCs w:val="21"/>
        </w:rPr>
        <w:t>9.付款方式：根据豫财购〔2022〕5号文件要求建立预付款机制。甲方在合同生效后，如当月未发现环卫作业等质量问题，以转账方式全额向乙方支付月服务费，如发现环卫作业等服务质量问题，甲方按《二七区环卫保洁管理细则》（见附件）的标准扣款，以上款项均为无息支付。</w:t>
      </w:r>
    </w:p>
    <w:p>
      <w:pPr>
        <w:spacing w:line="560" w:lineRule="exact"/>
        <w:ind w:firstLine="420" w:firstLineChars="200"/>
        <w:jc w:val="left"/>
        <w:rPr>
          <w:rFonts w:hint="eastAsia" w:ascii="宋体" w:hAnsi="宋体" w:eastAsia="宋体" w:cs="宋体"/>
          <w:iCs/>
          <w:sz w:val="21"/>
          <w:szCs w:val="21"/>
        </w:rPr>
      </w:pPr>
      <w:r>
        <w:rPr>
          <w:rFonts w:hint="eastAsia" w:ascii="宋体" w:hAnsi="宋体" w:eastAsia="宋体" w:cs="宋体"/>
          <w:iCs/>
          <w:sz w:val="21"/>
          <w:szCs w:val="21"/>
        </w:rPr>
        <w:t xml:space="preserve">10.履约验收方式 </w:t>
      </w:r>
    </w:p>
    <w:p>
      <w:pPr>
        <w:spacing w:line="560" w:lineRule="exact"/>
        <w:ind w:firstLine="420" w:firstLineChars="200"/>
        <w:jc w:val="left"/>
        <w:rPr>
          <w:rFonts w:hint="eastAsia" w:ascii="宋体" w:hAnsi="宋体" w:eastAsia="宋体" w:cs="宋体"/>
          <w:iCs/>
          <w:sz w:val="21"/>
          <w:szCs w:val="21"/>
        </w:rPr>
      </w:pPr>
      <w:r>
        <w:rPr>
          <w:rFonts w:hint="eastAsia" w:ascii="宋体" w:hAnsi="宋体" w:eastAsia="宋体" w:cs="宋体"/>
          <w:iCs/>
          <w:sz w:val="21"/>
          <w:szCs w:val="21"/>
        </w:rPr>
        <w:t xml:space="preserve">由郑州市二七区城市管理局成立验收小组,按照采购合同的约定对投标人履约情况进行书面验收。验收结束后,应当出具验收书,列明各项标准的验收情况及项目总体评价,由验收双方共同签署。 </w:t>
      </w:r>
    </w:p>
    <w:p>
      <w:pPr>
        <w:spacing w:line="560" w:lineRule="exact"/>
        <w:ind w:firstLine="420" w:firstLineChars="200"/>
        <w:jc w:val="left"/>
        <w:rPr>
          <w:rFonts w:hint="eastAsia" w:ascii="宋体" w:hAnsi="宋体" w:eastAsia="宋体" w:cs="宋体"/>
          <w:iCs/>
          <w:sz w:val="21"/>
          <w:szCs w:val="21"/>
        </w:rPr>
      </w:pPr>
      <w:r>
        <w:rPr>
          <w:rFonts w:hint="eastAsia" w:ascii="宋体" w:hAnsi="宋体" w:eastAsia="宋体" w:cs="宋体"/>
          <w:iCs/>
          <w:sz w:val="21"/>
          <w:szCs w:val="21"/>
        </w:rPr>
        <w:t xml:space="preserve">11.履约验收程序 </w:t>
      </w:r>
    </w:p>
    <w:p>
      <w:pPr>
        <w:spacing w:line="560" w:lineRule="exact"/>
        <w:ind w:firstLine="420" w:firstLineChars="200"/>
        <w:jc w:val="left"/>
        <w:rPr>
          <w:rFonts w:hint="eastAsia" w:ascii="宋体" w:hAnsi="宋体" w:eastAsia="宋体" w:cs="宋体"/>
          <w:iCs/>
          <w:sz w:val="21"/>
          <w:szCs w:val="21"/>
        </w:rPr>
      </w:pPr>
      <w:r>
        <w:rPr>
          <w:rFonts w:hint="eastAsia" w:ascii="宋体" w:hAnsi="宋体" w:eastAsia="宋体" w:cs="宋体"/>
          <w:iCs/>
          <w:sz w:val="21"/>
          <w:szCs w:val="21"/>
        </w:rPr>
        <w:t xml:space="preserve">（1）供应商履约完毕提出验收申请； </w:t>
      </w:r>
    </w:p>
    <w:p>
      <w:pPr>
        <w:spacing w:line="560" w:lineRule="exact"/>
        <w:ind w:firstLine="420" w:firstLineChars="200"/>
        <w:jc w:val="left"/>
        <w:rPr>
          <w:rFonts w:hint="eastAsia" w:ascii="宋体" w:hAnsi="宋体" w:eastAsia="宋体" w:cs="宋体"/>
          <w:iCs/>
          <w:sz w:val="21"/>
          <w:szCs w:val="21"/>
        </w:rPr>
      </w:pPr>
      <w:r>
        <w:rPr>
          <w:rFonts w:hint="eastAsia" w:ascii="宋体" w:hAnsi="宋体" w:eastAsia="宋体" w:cs="宋体"/>
          <w:iCs/>
          <w:sz w:val="21"/>
          <w:szCs w:val="21"/>
        </w:rPr>
        <w:t xml:space="preserve">（2）组成履约验收小组；    </w:t>
      </w:r>
    </w:p>
    <w:p>
      <w:pPr>
        <w:spacing w:line="560" w:lineRule="exact"/>
        <w:ind w:firstLine="420" w:firstLineChars="200"/>
        <w:jc w:val="left"/>
        <w:rPr>
          <w:rFonts w:hint="eastAsia" w:ascii="宋体" w:hAnsi="宋体" w:eastAsia="宋体" w:cs="宋体"/>
          <w:iCs/>
          <w:sz w:val="21"/>
          <w:szCs w:val="21"/>
        </w:rPr>
      </w:pPr>
      <w:r>
        <w:rPr>
          <w:rFonts w:hint="eastAsia" w:ascii="宋体" w:hAnsi="宋体" w:eastAsia="宋体" w:cs="宋体"/>
          <w:iCs/>
          <w:sz w:val="21"/>
          <w:szCs w:val="21"/>
        </w:rPr>
        <w:t xml:space="preserve">（3）制定履约验收规则；       </w:t>
      </w:r>
    </w:p>
    <w:p>
      <w:pPr>
        <w:spacing w:line="560" w:lineRule="exact"/>
        <w:ind w:firstLine="420" w:firstLineChars="200"/>
        <w:jc w:val="left"/>
        <w:rPr>
          <w:rFonts w:hint="eastAsia" w:ascii="宋体" w:hAnsi="宋体" w:eastAsia="宋体" w:cs="宋体"/>
          <w:iCs/>
          <w:sz w:val="21"/>
          <w:szCs w:val="21"/>
        </w:rPr>
      </w:pPr>
      <w:r>
        <w:rPr>
          <w:rFonts w:hint="eastAsia" w:ascii="宋体" w:hAnsi="宋体" w:eastAsia="宋体" w:cs="宋体"/>
          <w:iCs/>
          <w:sz w:val="21"/>
          <w:szCs w:val="21"/>
        </w:rPr>
        <w:t xml:space="preserve">（4）制定履约验收流程；          </w:t>
      </w:r>
    </w:p>
    <w:p>
      <w:pPr>
        <w:spacing w:line="560" w:lineRule="exact"/>
        <w:ind w:firstLine="420" w:firstLineChars="200"/>
        <w:jc w:val="left"/>
        <w:rPr>
          <w:rFonts w:hint="eastAsia" w:ascii="宋体" w:hAnsi="宋体" w:eastAsia="宋体" w:cs="宋体"/>
          <w:iCs/>
          <w:sz w:val="21"/>
          <w:szCs w:val="21"/>
        </w:rPr>
      </w:pPr>
      <w:r>
        <w:rPr>
          <w:rFonts w:hint="eastAsia" w:ascii="宋体" w:hAnsi="宋体" w:eastAsia="宋体" w:cs="宋体"/>
          <w:iCs/>
          <w:sz w:val="21"/>
          <w:szCs w:val="21"/>
        </w:rPr>
        <w:t xml:space="preserve">（5）根据验收结果出具履约验收报告，并要求参与人员签字确认；    </w:t>
      </w:r>
    </w:p>
    <w:p>
      <w:pPr>
        <w:spacing w:line="560" w:lineRule="exact"/>
        <w:ind w:firstLine="420" w:firstLineChars="200"/>
        <w:jc w:val="left"/>
        <w:rPr>
          <w:rFonts w:hint="eastAsia" w:ascii="宋体" w:hAnsi="宋体" w:eastAsia="宋体" w:cs="宋体"/>
          <w:iCs/>
          <w:sz w:val="21"/>
          <w:szCs w:val="21"/>
        </w:rPr>
      </w:pPr>
      <w:r>
        <w:rPr>
          <w:rFonts w:hint="eastAsia" w:ascii="宋体" w:hAnsi="宋体" w:eastAsia="宋体" w:cs="宋体"/>
          <w:iCs/>
          <w:sz w:val="21"/>
          <w:szCs w:val="21"/>
        </w:rPr>
        <w:t xml:space="preserve">（6）由采购人在验收后2个工作日内发布履约验收报告。            </w:t>
      </w:r>
    </w:p>
    <w:p>
      <w:pPr>
        <w:spacing w:line="560" w:lineRule="exact"/>
        <w:ind w:firstLine="420" w:firstLineChars="200"/>
        <w:jc w:val="left"/>
        <w:rPr>
          <w:rFonts w:hint="eastAsia" w:ascii="宋体" w:hAnsi="宋体" w:eastAsia="宋体" w:cs="宋体"/>
          <w:iCs/>
          <w:sz w:val="21"/>
          <w:szCs w:val="21"/>
        </w:rPr>
      </w:pPr>
      <w:r>
        <w:rPr>
          <w:rFonts w:hint="eastAsia" w:ascii="宋体" w:hAnsi="宋体" w:eastAsia="宋体" w:cs="宋体"/>
          <w:iCs/>
          <w:sz w:val="21"/>
          <w:szCs w:val="21"/>
        </w:rPr>
        <w:t xml:space="preserve">12.履约验收标准 </w:t>
      </w:r>
    </w:p>
    <w:p>
      <w:pPr>
        <w:spacing w:line="560" w:lineRule="exact"/>
        <w:ind w:firstLine="420" w:firstLineChars="200"/>
        <w:jc w:val="left"/>
        <w:rPr>
          <w:rFonts w:hint="eastAsia" w:ascii="宋体" w:hAnsi="宋体" w:eastAsia="宋体" w:cs="宋体"/>
          <w:iCs/>
          <w:sz w:val="21"/>
          <w:szCs w:val="21"/>
        </w:rPr>
      </w:pPr>
      <w:r>
        <w:rPr>
          <w:rFonts w:hint="eastAsia" w:ascii="宋体" w:hAnsi="宋体" w:eastAsia="宋体" w:cs="宋体"/>
          <w:iCs/>
          <w:sz w:val="21"/>
          <w:szCs w:val="21"/>
        </w:rPr>
        <w:t>执行《全国卫生城市检查标准》和郑州市、二七区城市环境卫生精细化管理要求。</w:t>
      </w:r>
    </w:p>
    <w:p>
      <w:pPr>
        <w:spacing w:line="560" w:lineRule="exact"/>
        <w:ind w:firstLine="420" w:firstLineChars="200"/>
        <w:jc w:val="left"/>
        <w:rPr>
          <w:rFonts w:hint="eastAsia" w:ascii="宋体" w:hAnsi="宋体" w:cs="宋体"/>
          <w:iCs/>
          <w:sz w:val="21"/>
          <w:szCs w:val="21"/>
        </w:rPr>
      </w:pPr>
      <w:r>
        <w:rPr>
          <w:rFonts w:hint="eastAsia" w:ascii="宋体" w:hAnsi="宋体" w:eastAsia="宋体" w:cs="宋体"/>
          <w:iCs/>
          <w:sz w:val="21"/>
          <w:szCs w:val="21"/>
        </w:rPr>
        <w:t xml:space="preserve">采购人根据国家及省市区有关规定、招标文件、中标方的投标文件以及合同约定的内容和验收标准进行验收，采购人可以视项目情况邀请第三方机构或者参加本项目投标的落标人参与验收。验收情况作为支付服务款的依据。如有异议，以相关质量技术检验检测机构的检验结果为准，如产生检验检测费用，则该费用由过失方承担。 </w:t>
      </w:r>
      <w:r>
        <w:rPr>
          <w:rFonts w:hint="eastAsia" w:ascii="宋体" w:hAnsi="宋体" w:cs="宋体"/>
          <w:iCs/>
          <w:sz w:val="21"/>
          <w:szCs w:val="21"/>
        </w:rPr>
        <w:t xml:space="preserve">             </w:t>
      </w:r>
    </w:p>
    <w:p>
      <w:pPr>
        <w:spacing w:line="560" w:lineRule="exact"/>
        <w:ind w:firstLine="422" w:firstLineChars="200"/>
        <w:jc w:val="left"/>
      </w:pPr>
      <w:r>
        <w:rPr>
          <w:rFonts w:hint="eastAsia" w:ascii="宋体" w:hAnsi="宋体" w:cs="宋体"/>
          <w:b/>
          <w:bCs/>
          <w:iCs/>
          <w:sz w:val="21"/>
          <w:szCs w:val="21"/>
        </w:rPr>
        <w:t>★为实质性条款，供应商须对此条款作出实质性响应，否则做无效投标处理。</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swiss"/>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altName w:val="楷体"/>
    <w:panose1 w:val="00000000000000000000"/>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楷体">
    <w:panose1 w:val="02010609060101010101"/>
    <w:charset w:val="86"/>
    <w:family w:val="auto"/>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lhYzFlOTNmZmM1ZDI4OTAwNWEwOWViNDI1NWMyMTQifQ=="/>
  </w:docVars>
  <w:rsids>
    <w:rsidRoot w:val="00000000"/>
    <w:rsid w:val="097748F2"/>
    <w:rsid w:val="25AF1C08"/>
    <w:rsid w:val="54F513E7"/>
    <w:rsid w:val="7D3B1FF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qFormat="1"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9"/>
    <w:qFormat/>
    <w:uiPriority w:val="0"/>
    <w:pPr>
      <w:keepNext/>
      <w:keepLines/>
      <w:spacing w:line="480" w:lineRule="auto"/>
      <w:jc w:val="center"/>
      <w:outlineLvl w:val="0"/>
    </w:pPr>
    <w:rPr>
      <w:b/>
      <w:kern w:val="44"/>
      <w:sz w:val="32"/>
      <w:szCs w:val="20"/>
    </w:rPr>
  </w:style>
  <w:style w:type="character" w:default="1" w:styleId="8">
    <w:name w:val="Default Paragraph Font"/>
    <w:autoRedefine/>
    <w:semiHidden/>
    <w:qFormat/>
    <w:uiPriority w:val="0"/>
  </w:style>
  <w:style w:type="table" w:default="1" w:styleId="7">
    <w:name w:val="Normal Table"/>
    <w:autoRedefine/>
    <w:semiHidden/>
    <w:qFormat/>
    <w:uiPriority w:val="0"/>
    <w:tblPr>
      <w:tblCellMar>
        <w:top w:w="0" w:type="dxa"/>
        <w:left w:w="108" w:type="dxa"/>
        <w:bottom w:w="0" w:type="dxa"/>
        <w:right w:w="108" w:type="dxa"/>
      </w:tblCellMar>
    </w:tblPr>
  </w:style>
  <w:style w:type="paragraph" w:styleId="3">
    <w:name w:val="Body Text"/>
    <w:basedOn w:val="1"/>
    <w:next w:val="4"/>
    <w:autoRedefine/>
    <w:qFormat/>
    <w:uiPriority w:val="0"/>
    <w:pPr>
      <w:spacing w:after="120"/>
    </w:pPr>
  </w:style>
  <w:style w:type="paragraph" w:customStyle="1" w:styleId="4">
    <w:name w:val="Default"/>
    <w:next w:val="1"/>
    <w:autoRedefine/>
    <w:qFormat/>
    <w:uiPriority w:val="0"/>
    <w:pPr>
      <w:widowControl w:val="0"/>
      <w:autoSpaceDE w:val="0"/>
      <w:autoSpaceDN w:val="0"/>
      <w:adjustRightInd w:val="0"/>
    </w:pPr>
    <w:rPr>
      <w:rFonts w:ascii="宋体" w:hAnsi="Times New Roman" w:eastAsia="宋体" w:cs="宋体"/>
      <w:color w:val="000000"/>
      <w:kern w:val="0"/>
      <w:sz w:val="24"/>
      <w:szCs w:val="24"/>
      <w:lang w:val="en-US" w:eastAsia="zh-CN" w:bidi="ar-SA"/>
    </w:rPr>
  </w:style>
  <w:style w:type="paragraph" w:styleId="5">
    <w:name w:val="index 4"/>
    <w:basedOn w:val="1"/>
    <w:next w:val="1"/>
    <w:autoRedefine/>
    <w:qFormat/>
    <w:uiPriority w:val="0"/>
    <w:pPr>
      <w:ind w:left="600" w:leftChars="600"/>
    </w:pPr>
  </w:style>
  <w:style w:type="paragraph" w:styleId="6">
    <w:name w:val="Body Text First Indent"/>
    <w:basedOn w:val="3"/>
    <w:next w:val="1"/>
    <w:autoRedefine/>
    <w:qFormat/>
    <w:uiPriority w:val="0"/>
    <w:pPr>
      <w:ind w:firstLine="420"/>
    </w:pPr>
    <w:rPr>
      <w:rFonts w:eastAsia="楷体_GB2312"/>
      <w:sz w:val="32"/>
      <w:szCs w:val="20"/>
    </w:rPr>
  </w:style>
  <w:style w:type="character" w:customStyle="1" w:styleId="9">
    <w:name w:val="标题 1 字符"/>
    <w:basedOn w:val="8"/>
    <w:link w:val="2"/>
    <w:autoRedefine/>
    <w:qFormat/>
    <w:uiPriority w:val="0"/>
    <w:rPr>
      <w:b/>
      <w:kern w:val="44"/>
      <w:sz w:val="32"/>
      <w:szCs w:val="20"/>
    </w:rPr>
  </w:style>
  <w:style w:type="paragraph" w:styleId="10">
    <w:name w:val="List Paragraph"/>
    <w:basedOn w:val="1"/>
    <w:autoRedefine/>
    <w:qFormat/>
    <w:uiPriority w:val="99"/>
    <w:pPr>
      <w:ind w:firstLine="420" w:firstLineChars="200"/>
    </w:pPr>
    <w:rPr>
      <w:rFonts w:ascii="Calibri" w:hAnsi="Calibri"/>
      <w:szCs w:val="22"/>
    </w:rPr>
  </w:style>
  <w:style w:type="character" w:customStyle="1" w:styleId="11">
    <w:name w:val="font31"/>
    <w:basedOn w:val="8"/>
    <w:autoRedefine/>
    <w:qFormat/>
    <w:uiPriority w:val="0"/>
    <w:rPr>
      <w:rFonts w:hint="eastAsia" w:ascii="仿宋" w:hAnsi="仿宋" w:eastAsia="仿宋" w:cs="仿宋"/>
      <w:b/>
      <w:bCs/>
      <w:color w:val="000000"/>
      <w:sz w:val="20"/>
      <w:szCs w:val="20"/>
      <w:u w:val="none"/>
      <w:vertAlign w:val="superscript"/>
    </w:rPr>
  </w:style>
  <w:style w:type="character" w:customStyle="1" w:styleId="12">
    <w:name w:val="font21"/>
    <w:basedOn w:val="8"/>
    <w:autoRedefine/>
    <w:qFormat/>
    <w:uiPriority w:val="0"/>
    <w:rPr>
      <w:rFonts w:hint="eastAsia" w:ascii="仿宋" w:hAnsi="仿宋" w:eastAsia="仿宋" w:cs="仿宋"/>
      <w:b/>
      <w:bCs/>
      <w:color w:val="000000"/>
      <w:sz w:val="16"/>
      <w:szCs w:val="16"/>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6" Type="http://schemas.openxmlformats.org/officeDocument/2006/relationships/fontTable" Target="fontTable.xml"/><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2024-04-12T06:37:00Z</dcterms:created>
  <dc:creator>a</dc:creator>
  <cp:lastModifiedBy>M</cp:lastModifiedBy>
  <dcterms:modified xsi:type="dcterms:W3CDTF">2024-04-12T09:46:43Z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9C86C82D03D745CEA07C0C0CDDECE46E_12</vt:lpwstr>
  </property>
</Properties>
</file>