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jc w:val="center"/>
        <w:rPr>
          <w:rFonts w:hint="eastAsia"/>
          <w:b/>
          <w:color w:val="auto"/>
          <w:sz w:val="32"/>
          <w:szCs w:val="32"/>
          <w:lang w:val="en-US" w:eastAsia="zh-CN"/>
        </w:rPr>
      </w:pPr>
      <w:r>
        <w:rPr>
          <w:rFonts w:hint="eastAsia"/>
          <w:b/>
          <w:color w:val="auto"/>
          <w:sz w:val="32"/>
          <w:szCs w:val="32"/>
          <w:lang w:val="en-US" w:eastAsia="zh-CN"/>
        </w:rPr>
        <w:t>巩义市新中镇人民政府2023年巩义市新中镇灵官殿村红色美丽村庄项目排序表</w:t>
      </w:r>
    </w:p>
    <w:p>
      <w:pPr>
        <w:tabs>
          <w:tab w:val="left" w:pos="1800"/>
        </w:tabs>
        <w:spacing w:line="440" w:lineRule="exact"/>
        <w:ind w:firstLine="482" w:firstLineChars="200"/>
        <w:rPr>
          <w:rFonts w:hint="eastAsia" w:ascii="宋体" w:hAnsi="宋体"/>
          <w:b/>
          <w:bCs/>
          <w:color w:val="auto"/>
          <w:sz w:val="24"/>
          <w:lang w:val="en-US" w:eastAsia="zh-CN"/>
        </w:rPr>
      </w:pPr>
    </w:p>
    <w:p>
      <w:pPr>
        <w:tabs>
          <w:tab w:val="left" w:pos="1800"/>
        </w:tabs>
        <w:spacing w:line="440" w:lineRule="exact"/>
        <w:ind w:firstLine="482" w:firstLineChars="200"/>
        <w:rPr>
          <w:rFonts w:hint="eastAsia" w:ascii="宋体" w:hAnsi="宋体" w:eastAsia="宋体"/>
          <w:b/>
          <w:bCs/>
          <w:color w:val="auto"/>
          <w:sz w:val="24"/>
          <w:lang w:val="en-US" w:eastAsia="zh-CN"/>
        </w:rPr>
      </w:pPr>
      <w:r>
        <w:rPr>
          <w:rFonts w:hint="eastAsia" w:ascii="宋体" w:hAnsi="宋体"/>
          <w:b/>
          <w:bCs/>
          <w:color w:val="auto"/>
          <w:sz w:val="24"/>
          <w:lang w:val="en-US" w:eastAsia="zh-CN"/>
        </w:rPr>
        <w:t>1.评审结果</w:t>
      </w:r>
    </w:p>
    <w:p>
      <w:pPr>
        <w:tabs>
          <w:tab w:val="left" w:pos="1800"/>
        </w:tabs>
        <w:spacing w:line="440" w:lineRule="exact"/>
        <w:ind w:firstLine="480" w:firstLineChars="200"/>
        <w:rPr>
          <w:rFonts w:hint="eastAsia" w:ascii="宋体" w:hAnsi="宋体"/>
          <w:b/>
          <w:color w:val="auto"/>
          <w:spacing w:val="-8"/>
          <w:sz w:val="24"/>
          <w:lang w:val="en-US" w:eastAsia="zh-CN"/>
        </w:rPr>
      </w:pPr>
      <w:r>
        <w:rPr>
          <w:rFonts w:hint="eastAsia" w:ascii="宋体" w:hAnsi="宋体"/>
          <w:b w:val="0"/>
          <w:bCs w:val="0"/>
          <w:color w:val="auto"/>
          <w:sz w:val="24"/>
          <w:lang w:val="en-US" w:eastAsia="zh-CN"/>
        </w:rPr>
        <w:t>磋商小组对各供应商的响应文件进行了评审，各供应商的响应文件均符合要求，磋商小组根据磋商文件的规定按照评审报价由低到高的顺序确定各供应商的排序如下：</w:t>
      </w:r>
    </w:p>
    <w:tbl>
      <w:tblPr>
        <w:tblStyle w:val="5"/>
        <w:tblpPr w:leftFromText="180" w:rightFromText="180" w:vertAnchor="text" w:horzAnchor="page" w:tblpXSpec="center" w:tblpY="72"/>
        <w:tblOverlap w:val="never"/>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456"/>
        <w:gridCol w:w="1250"/>
        <w:gridCol w:w="1422"/>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pPr>
              <w:tabs>
                <w:tab w:val="left" w:pos="1800"/>
              </w:tabs>
              <w:spacing w:line="480" w:lineRule="exact"/>
              <w:jc w:val="center"/>
              <w:outlineLvl w:val="0"/>
              <w:rPr>
                <w:rFonts w:hint="eastAsia" w:ascii="宋体" w:hAnsi="宋体" w:eastAsia="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序号</w:t>
            </w:r>
          </w:p>
        </w:tc>
        <w:tc>
          <w:tcPr>
            <w:tcW w:w="3456" w:type="dxa"/>
            <w:vAlign w:val="center"/>
          </w:tcPr>
          <w:p>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供应商名称</w:t>
            </w:r>
          </w:p>
        </w:tc>
        <w:tc>
          <w:tcPr>
            <w:tcW w:w="1250" w:type="dxa"/>
            <w:vAlign w:val="center"/>
          </w:tcPr>
          <w:p>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最终报价（元）</w:t>
            </w:r>
          </w:p>
        </w:tc>
        <w:tc>
          <w:tcPr>
            <w:tcW w:w="1422" w:type="dxa"/>
            <w:vAlign w:val="center"/>
          </w:tcPr>
          <w:p>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评审得分</w:t>
            </w:r>
          </w:p>
        </w:tc>
        <w:tc>
          <w:tcPr>
            <w:tcW w:w="1015" w:type="dxa"/>
            <w:vAlign w:val="center"/>
          </w:tcPr>
          <w:p>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c>
          <w:tcPr>
            <w:tcW w:w="3456" w:type="dxa"/>
            <w:vAlign w:val="center"/>
          </w:tcPr>
          <w:p>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河南东亚建筑工程有限公司</w:t>
            </w:r>
          </w:p>
        </w:tc>
        <w:tc>
          <w:tcPr>
            <w:tcW w:w="1250" w:type="dxa"/>
            <w:vAlign w:val="center"/>
          </w:tcPr>
          <w:p>
            <w:pPr>
              <w:tabs>
                <w:tab w:val="left" w:pos="554"/>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default" w:ascii="宋体" w:hAnsi="宋体"/>
                <w:b w:val="0"/>
                <w:bCs/>
                <w:color w:val="auto"/>
                <w:spacing w:val="-8"/>
                <w:sz w:val="24"/>
                <w:vertAlign w:val="baseline"/>
                <w:lang w:val="en-US" w:eastAsia="zh-CN"/>
              </w:rPr>
              <w:t>3127200</w:t>
            </w:r>
          </w:p>
        </w:tc>
        <w:tc>
          <w:tcPr>
            <w:tcW w:w="1422" w:type="dxa"/>
            <w:vAlign w:val="center"/>
          </w:tcPr>
          <w:p>
            <w:pPr>
              <w:tabs>
                <w:tab w:val="left" w:pos="554"/>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94.17</w:t>
            </w:r>
          </w:p>
        </w:tc>
        <w:tc>
          <w:tcPr>
            <w:tcW w:w="1015"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c>
          <w:tcPr>
            <w:tcW w:w="3456" w:type="dxa"/>
            <w:vAlign w:val="center"/>
          </w:tcPr>
          <w:p>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河南启川建设工程有限公司</w:t>
            </w:r>
          </w:p>
        </w:tc>
        <w:tc>
          <w:tcPr>
            <w:tcW w:w="1250"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default" w:ascii="宋体" w:hAnsi="宋体"/>
                <w:b w:val="0"/>
                <w:bCs/>
                <w:color w:val="auto"/>
                <w:spacing w:val="-8"/>
                <w:sz w:val="24"/>
                <w:vertAlign w:val="baseline"/>
                <w:lang w:val="en-US" w:eastAsia="zh-CN"/>
              </w:rPr>
              <w:t>3142600</w:t>
            </w:r>
          </w:p>
        </w:tc>
        <w:tc>
          <w:tcPr>
            <w:tcW w:w="1422"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84.04</w:t>
            </w:r>
          </w:p>
        </w:tc>
        <w:tc>
          <w:tcPr>
            <w:tcW w:w="1015" w:type="dxa"/>
            <w:vAlign w:val="center"/>
          </w:tcPr>
          <w:p>
            <w:pPr>
              <w:tabs>
                <w:tab w:val="left" w:pos="259"/>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6"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c>
          <w:tcPr>
            <w:tcW w:w="3456" w:type="dxa"/>
            <w:vAlign w:val="center"/>
          </w:tcPr>
          <w:p>
            <w:pPr>
              <w:tabs>
                <w:tab w:val="left" w:pos="1800"/>
              </w:tabs>
              <w:spacing w:line="480" w:lineRule="exact"/>
              <w:jc w:val="center"/>
              <w:outlineLvl w:val="0"/>
              <w:rPr>
                <w:rFonts w:hint="eastAsia"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河南福彰建筑工程有限公司</w:t>
            </w:r>
          </w:p>
        </w:tc>
        <w:tc>
          <w:tcPr>
            <w:tcW w:w="1250"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default" w:ascii="宋体" w:hAnsi="宋体"/>
                <w:b w:val="0"/>
                <w:bCs/>
                <w:color w:val="auto"/>
                <w:spacing w:val="-8"/>
                <w:sz w:val="24"/>
                <w:vertAlign w:val="baseline"/>
                <w:lang w:val="en-US" w:eastAsia="zh-CN"/>
              </w:rPr>
              <w:t>3137000</w:t>
            </w:r>
          </w:p>
        </w:tc>
        <w:tc>
          <w:tcPr>
            <w:tcW w:w="1422"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78.25</w:t>
            </w:r>
          </w:p>
        </w:tc>
        <w:tc>
          <w:tcPr>
            <w:tcW w:w="1015" w:type="dxa"/>
            <w:vAlign w:val="center"/>
          </w:tcPr>
          <w:p>
            <w:pPr>
              <w:tabs>
                <w:tab w:val="left" w:pos="1800"/>
              </w:tabs>
              <w:spacing w:line="480" w:lineRule="exact"/>
              <w:jc w:val="center"/>
              <w:outlineLvl w:val="0"/>
              <w:rPr>
                <w:rFonts w:hint="default" w:ascii="宋体" w:hAnsi="宋体"/>
                <w:b w:val="0"/>
                <w:bCs/>
                <w:color w:val="auto"/>
                <w:spacing w:val="-8"/>
                <w:sz w:val="24"/>
                <w:vertAlign w:val="baseline"/>
                <w:lang w:val="en-US" w:eastAsia="zh-CN"/>
              </w:rPr>
            </w:pPr>
            <w:r>
              <w:rPr>
                <w:rFonts w:hint="eastAsia" w:ascii="宋体" w:hAnsi="宋体"/>
                <w:b w:val="0"/>
                <w:bCs/>
                <w:color w:val="auto"/>
                <w:spacing w:val="-8"/>
                <w:sz w:val="24"/>
                <w:vertAlign w:val="baseline"/>
                <w:lang w:val="en-US" w:eastAsia="zh-CN"/>
              </w:rPr>
              <w:t>3</w:t>
            </w:r>
          </w:p>
        </w:tc>
      </w:tr>
    </w:tbl>
    <w:p>
      <w:pPr>
        <w:tabs>
          <w:tab w:val="left" w:pos="366"/>
          <w:tab w:val="left" w:pos="1800"/>
        </w:tabs>
        <w:spacing w:line="480" w:lineRule="exact"/>
        <w:outlineLvl w:val="0"/>
        <w:rPr>
          <w:rFonts w:hint="eastAsia" w:ascii="宋体" w:hAnsi="宋体" w:eastAsia="宋体"/>
          <w:b/>
          <w:color w:val="auto"/>
          <w:spacing w:val="-8"/>
          <w:sz w:val="24"/>
          <w:lang w:eastAsia="zh-CN"/>
        </w:rPr>
      </w:pPr>
      <w:r>
        <w:rPr>
          <w:rFonts w:hint="eastAsia" w:ascii="宋体" w:hAnsi="宋体"/>
          <w:b/>
          <w:bCs w:val="0"/>
          <w:color w:val="auto"/>
          <w:spacing w:val="-8"/>
          <w:sz w:val="24"/>
          <w:lang w:val="en-US" w:eastAsia="zh-CN"/>
        </w:rPr>
        <w:t>2.</w:t>
      </w:r>
      <w:r>
        <w:rPr>
          <w:rFonts w:hint="eastAsia" w:ascii="宋体" w:hAnsi="宋体"/>
          <w:b/>
          <w:bCs w:val="0"/>
          <w:color w:val="auto"/>
          <w:spacing w:val="-8"/>
          <w:sz w:val="24"/>
        </w:rPr>
        <w:t>成交候选人</w:t>
      </w:r>
      <w:r>
        <w:rPr>
          <w:rFonts w:hint="eastAsia" w:ascii="宋体" w:hAnsi="宋体"/>
          <w:b/>
          <w:bCs w:val="0"/>
          <w:color w:val="auto"/>
          <w:spacing w:val="-8"/>
          <w:sz w:val="24"/>
          <w:lang w:eastAsia="zh-CN"/>
        </w:rPr>
        <w:t>名单</w:t>
      </w:r>
    </w:p>
    <w:p>
      <w:pPr>
        <w:tabs>
          <w:tab w:val="left" w:pos="1800"/>
        </w:tabs>
        <w:spacing w:line="480" w:lineRule="exact"/>
        <w:ind w:firstLine="480" w:firstLineChars="200"/>
        <w:rPr>
          <w:rFonts w:hint="eastAsia" w:ascii="宋体" w:hAnsi="宋体"/>
          <w:color w:val="auto"/>
          <w:spacing w:val="-2"/>
          <w:sz w:val="24"/>
        </w:rPr>
      </w:pPr>
      <w:r>
        <w:rPr>
          <w:rFonts w:hint="eastAsia" w:ascii="宋体" w:hAnsi="宋体"/>
          <w:color w:val="auto"/>
          <w:sz w:val="24"/>
          <w:lang w:eastAsia="zh-CN"/>
        </w:rPr>
        <w:t>磋商</w:t>
      </w:r>
      <w:r>
        <w:rPr>
          <w:rFonts w:hint="eastAsia" w:ascii="宋体" w:hAnsi="宋体"/>
          <w:color w:val="auto"/>
          <w:sz w:val="24"/>
        </w:rPr>
        <w:t>小组</w:t>
      </w:r>
      <w:r>
        <w:rPr>
          <w:rFonts w:hint="eastAsia" w:ascii="宋体" w:hAnsi="宋体"/>
          <w:color w:val="auto"/>
          <w:spacing w:val="-2"/>
          <w:sz w:val="24"/>
        </w:rPr>
        <w:t>按照</w:t>
      </w:r>
      <w:r>
        <w:rPr>
          <w:rFonts w:hint="eastAsia" w:ascii="宋体" w:hAnsi="宋体"/>
          <w:color w:val="auto"/>
          <w:spacing w:val="-2"/>
          <w:sz w:val="24"/>
          <w:lang w:eastAsia="zh-CN"/>
        </w:rPr>
        <w:t>磋商</w:t>
      </w:r>
      <w:bookmarkStart w:id="0" w:name="_GoBack"/>
      <w:bookmarkEnd w:id="0"/>
      <w:r>
        <w:rPr>
          <w:rFonts w:hint="eastAsia" w:ascii="宋体" w:hAnsi="宋体"/>
          <w:color w:val="auto"/>
          <w:spacing w:val="-2"/>
          <w:sz w:val="24"/>
        </w:rPr>
        <w:t>文件规定，推荐成交候选人如下：</w:t>
      </w:r>
    </w:p>
    <w:p>
      <w:pPr>
        <w:spacing w:line="360" w:lineRule="auto"/>
        <w:ind w:firstLine="480" w:firstLineChars="200"/>
        <w:rPr>
          <w:rFonts w:hint="eastAsia" w:ascii="宋体" w:hAnsi="宋体" w:eastAsia="宋体"/>
          <w:b w:val="0"/>
          <w:bCs w:val="0"/>
          <w:color w:val="auto"/>
          <w:sz w:val="24"/>
          <w:lang w:eastAsia="zh-CN"/>
        </w:rPr>
      </w:pPr>
      <w:r>
        <w:rPr>
          <w:rFonts w:hint="eastAsia" w:ascii="宋体" w:hAnsi="宋体"/>
          <w:b w:val="0"/>
          <w:bCs w:val="0"/>
          <w:color w:val="auto"/>
          <w:sz w:val="24"/>
        </w:rPr>
        <w:t>第一</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河南东亚建筑工程有限公司</w:t>
      </w:r>
    </w:p>
    <w:p>
      <w:pPr>
        <w:spacing w:line="360" w:lineRule="auto"/>
        <w:ind w:firstLine="480" w:firstLineChars="200"/>
        <w:rPr>
          <w:rFonts w:hint="eastAsia" w:ascii="宋体" w:hAnsi="宋体" w:eastAsia="宋体"/>
          <w:b w:val="0"/>
          <w:bCs w:val="0"/>
          <w:color w:val="auto"/>
          <w:sz w:val="24"/>
          <w:lang w:eastAsia="zh-CN"/>
        </w:rPr>
      </w:pPr>
      <w:r>
        <w:rPr>
          <w:rFonts w:hint="eastAsia" w:ascii="宋体" w:hAnsi="宋体"/>
          <w:b w:val="0"/>
          <w:bCs w:val="0"/>
          <w:color w:val="auto"/>
          <w:sz w:val="24"/>
        </w:rPr>
        <w:t>第二</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河南启川建设工程有限公司</w:t>
      </w:r>
    </w:p>
    <w:p>
      <w:pPr>
        <w:spacing w:line="360" w:lineRule="auto"/>
        <w:ind w:firstLine="480" w:firstLineChars="200"/>
        <w:rPr>
          <w:rFonts w:hint="eastAsia" w:eastAsia="宋体"/>
          <w:lang w:eastAsia="zh-CN"/>
        </w:rPr>
      </w:pPr>
      <w:r>
        <w:rPr>
          <w:rFonts w:hint="eastAsia" w:ascii="宋体" w:hAnsi="宋体"/>
          <w:b w:val="0"/>
          <w:bCs w:val="0"/>
          <w:color w:val="auto"/>
          <w:sz w:val="24"/>
        </w:rPr>
        <w:t>第三</w:t>
      </w:r>
      <w:r>
        <w:rPr>
          <w:rFonts w:hint="eastAsia" w:ascii="宋体" w:hAnsi="宋体"/>
          <w:b w:val="0"/>
          <w:bCs w:val="0"/>
          <w:color w:val="auto"/>
          <w:sz w:val="24"/>
          <w:lang w:val="en-US" w:eastAsia="zh-CN"/>
        </w:rPr>
        <w:t>成交</w:t>
      </w:r>
      <w:r>
        <w:rPr>
          <w:rFonts w:hint="eastAsia" w:ascii="宋体" w:hAnsi="宋体"/>
          <w:b w:val="0"/>
          <w:bCs w:val="0"/>
          <w:color w:val="auto"/>
          <w:sz w:val="24"/>
        </w:rPr>
        <w:t>候选人：</w:t>
      </w:r>
      <w:r>
        <w:rPr>
          <w:rFonts w:hint="eastAsia" w:ascii="宋体" w:hAnsi="宋体"/>
          <w:b w:val="0"/>
          <w:bCs/>
          <w:color w:val="auto"/>
          <w:spacing w:val="-8"/>
          <w:sz w:val="24"/>
          <w:vertAlign w:val="baseline"/>
          <w:lang w:val="en-US" w:eastAsia="zh-CN"/>
        </w:rPr>
        <w:t>河南福彰建筑工程有限公司</w:t>
      </w:r>
    </w:p>
    <w:p>
      <w:pPr>
        <w:rPr>
          <w:rFonts w:ascii="宋体" w:hAnsi="宋体" w:eastAsia="宋体" w:cs="宋体"/>
          <w:sz w:val="24"/>
          <w:szCs w:val="24"/>
        </w:rPr>
      </w:pPr>
      <w:r>
        <w:rPr>
          <w:rFonts w:hint="eastAsia" w:ascii="宋体" w:hAnsi="宋体" w:cs="宋体"/>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DZiMGExNDZjODZjOGMwNTkxZjc4Mzk3NTNjNDUifQ=="/>
  </w:docVars>
  <w:rsids>
    <w:rsidRoot w:val="00172A27"/>
    <w:rsid w:val="010A0E64"/>
    <w:rsid w:val="02076F1C"/>
    <w:rsid w:val="0B725406"/>
    <w:rsid w:val="0C7071E4"/>
    <w:rsid w:val="102B5C60"/>
    <w:rsid w:val="13950B66"/>
    <w:rsid w:val="15EE3555"/>
    <w:rsid w:val="1655716F"/>
    <w:rsid w:val="1D0D1432"/>
    <w:rsid w:val="1F3225AD"/>
    <w:rsid w:val="2E913546"/>
    <w:rsid w:val="30BB0AEF"/>
    <w:rsid w:val="3406680D"/>
    <w:rsid w:val="391D4354"/>
    <w:rsid w:val="3B293484"/>
    <w:rsid w:val="41FA709D"/>
    <w:rsid w:val="42885319"/>
    <w:rsid w:val="48BB02CE"/>
    <w:rsid w:val="4A231F5B"/>
    <w:rsid w:val="4C1C2604"/>
    <w:rsid w:val="4DA7500B"/>
    <w:rsid w:val="4E860C0A"/>
    <w:rsid w:val="50EC48E0"/>
    <w:rsid w:val="514C1822"/>
    <w:rsid w:val="5B8F417D"/>
    <w:rsid w:val="5BCF0251"/>
    <w:rsid w:val="5BE30367"/>
    <w:rsid w:val="5CD52621"/>
    <w:rsid w:val="5DD0520B"/>
    <w:rsid w:val="61E575C5"/>
    <w:rsid w:val="653D6B73"/>
    <w:rsid w:val="6A3F1482"/>
    <w:rsid w:val="6D5C528B"/>
    <w:rsid w:val="6F525DFE"/>
    <w:rsid w:val="73915243"/>
    <w:rsid w:val="74FE444B"/>
    <w:rsid w:val="79DF6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table" w:styleId="5">
    <w:name w:val="Table Grid"/>
    <w:basedOn w:val="4"/>
    <w:autoRedefine/>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bCs/>
    </w:rPr>
  </w:style>
  <w:style w:type="character" w:styleId="8">
    <w:name w:val="FollowedHyperlink"/>
    <w:basedOn w:val="6"/>
    <w:autoRedefine/>
    <w:qFormat/>
    <w:uiPriority w:val="0"/>
    <w:rPr>
      <w:color w:val="800080"/>
      <w:u w:val="none"/>
    </w:rPr>
  </w:style>
  <w:style w:type="character" w:styleId="9">
    <w:name w:val="Emphasis"/>
    <w:basedOn w:val="6"/>
    <w:qFormat/>
    <w:uiPriority w:val="0"/>
    <w:rPr>
      <w:b/>
      <w:bCs/>
    </w:rPr>
  </w:style>
  <w:style w:type="character" w:styleId="10">
    <w:name w:val="HTML Definition"/>
    <w:basedOn w:val="6"/>
    <w:autoRedefine/>
    <w:qFormat/>
    <w:uiPriority w:val="0"/>
    <w:rPr>
      <w:vanish/>
    </w:rPr>
  </w:style>
  <w:style w:type="character" w:styleId="11">
    <w:name w:val="HTML Typewriter"/>
    <w:basedOn w:val="6"/>
    <w:autoRedefine/>
    <w:qFormat/>
    <w:uiPriority w:val="0"/>
    <w:rPr>
      <w:rFonts w:hint="default" w:ascii="monospace" w:hAnsi="monospace" w:eastAsia="monospace" w:cs="monospace"/>
      <w:sz w:val="20"/>
    </w:rPr>
  </w:style>
  <w:style w:type="character" w:styleId="12">
    <w:name w:val="HTML Acronym"/>
    <w:basedOn w:val="6"/>
    <w:autoRedefine/>
    <w:qFormat/>
    <w:uiPriority w:val="0"/>
    <w:rPr>
      <w:rFonts w:ascii="ActionIcon ! important" w:hAnsi="ActionIcon ! important" w:eastAsia="ActionIcon ! important" w:cs="ActionIcon ! important"/>
      <w:vanish/>
      <w:color w:val="3D4B62"/>
      <w:sz w:val="24"/>
      <w:szCs w:val="24"/>
      <w:bdr w:val="single" w:color="D6D6D6" w:sz="2" w:space="0"/>
      <w:shd w:val="clear" w:fill="FFFFFF"/>
    </w:rPr>
  </w:style>
  <w:style w:type="character" w:styleId="13">
    <w:name w:val="HTML Variable"/>
    <w:basedOn w:val="6"/>
    <w:autoRedefine/>
    <w:qFormat/>
    <w:uiPriority w:val="0"/>
  </w:style>
  <w:style w:type="character" w:styleId="14">
    <w:name w:val="Hyperlink"/>
    <w:basedOn w:val="6"/>
    <w:qFormat/>
    <w:uiPriority w:val="0"/>
    <w:rPr>
      <w:color w:val="0000FF"/>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autoRedefine/>
    <w:qFormat/>
    <w:uiPriority w:val="0"/>
    <w:rPr>
      <w:rFonts w:hint="default" w:ascii="monospace" w:hAnsi="monospace" w:eastAsia="monospace" w:cs="monospace"/>
      <w:sz w:val="20"/>
    </w:rPr>
  </w:style>
  <w:style w:type="character" w:styleId="18">
    <w:name w:val="HTML Sample"/>
    <w:basedOn w:val="6"/>
    <w:autoRedefine/>
    <w:qFormat/>
    <w:uiPriority w:val="0"/>
    <w:rPr>
      <w:rFonts w:ascii="monospace" w:hAnsi="monospace" w:eastAsia="monospace" w:cs="monospace"/>
      <w:bdr w:val="single" w:color="F1F1F1" w:sz="6" w:space="0"/>
      <w:shd w:val="clear" w:fill="F1F1F1"/>
    </w:rPr>
  </w:style>
  <w:style w:type="paragraph" w:customStyle="1" w:styleId="19">
    <w:name w:val="无间隔1"/>
    <w:basedOn w:val="1"/>
    <w:next w:val="20"/>
    <w:autoRedefine/>
    <w:qFormat/>
    <w:uiPriority w:val="1"/>
    <w:pPr>
      <w:spacing w:line="400" w:lineRule="exact"/>
    </w:pPr>
    <w:rPr>
      <w:sz w:val="24"/>
    </w:rPr>
  </w:style>
  <w:style w:type="paragraph" w:customStyle="1" w:styleId="20">
    <w:name w:val="正文（首行缩进） Char"/>
    <w:basedOn w:val="1"/>
    <w:next w:val="21"/>
    <w:autoRedefine/>
    <w:qFormat/>
    <w:uiPriority w:val="0"/>
    <w:pPr>
      <w:spacing w:line="360" w:lineRule="auto"/>
      <w:ind w:firstLine="480"/>
    </w:pPr>
    <w:rPr>
      <w:rFonts w:ascii="Arial"/>
      <w:color w:val="000000"/>
      <w:sz w:val="24"/>
    </w:rPr>
  </w:style>
  <w:style w:type="paragraph" w:customStyle="1" w:styleId="21">
    <w:name w:val="2号黑体加粗"/>
    <w:basedOn w:val="1"/>
    <w:next w:val="22"/>
    <w:autoRedefine/>
    <w:qFormat/>
    <w:uiPriority w:val="0"/>
    <w:pPr>
      <w:jc w:val="center"/>
    </w:pPr>
    <w:rPr>
      <w:rFonts w:eastAsia="黑体"/>
      <w:b/>
      <w:sz w:val="44"/>
    </w:rPr>
  </w:style>
  <w:style w:type="paragraph" w:customStyle="1" w:styleId="22">
    <w:name w:val="表格文字"/>
    <w:basedOn w:val="1"/>
    <w:next w:val="1"/>
    <w:qFormat/>
    <w:uiPriority w:val="0"/>
    <w:pPr>
      <w:spacing w:line="420" w:lineRule="atLeast"/>
    </w:pPr>
  </w:style>
  <w:style w:type="character" w:customStyle="1" w:styleId="23">
    <w:name w:val="toolbarlabel"/>
    <w:basedOn w:val="6"/>
    <w:qFormat/>
    <w:uiPriority w:val="0"/>
    <w:rPr>
      <w:color w:val="333333"/>
      <w:sz w:val="18"/>
      <w:szCs w:val="18"/>
    </w:rPr>
  </w:style>
  <w:style w:type="character" w:customStyle="1" w:styleId="24">
    <w:name w:val="toolbarlabel2"/>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331</Characters>
  <Lines>0</Lines>
  <Paragraphs>0</Paragraphs>
  <TotalTime>10</TotalTime>
  <ScaleCrop>false</ScaleCrop>
  <LinksUpToDate>false</LinksUpToDate>
  <CharactersWithSpaces>364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2021-09-27T06:26:00Z</dcterms:created>
  <dc:creator>NTKO</dc:creator>
  <cp:lastModifiedBy>A       阳</cp:lastModifiedBy>
  <dcterms:modified xsi:type="dcterms:W3CDTF">2024-03-26T06:44:41Z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0CD3D0CE37D940749A730B0E5373820A</vt:lpwstr>
  </property>
</Properties>
</file>