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3D794">
      <w:pPr>
        <w:pageBreakBefore w:val="0"/>
        <w:kinsoku/>
        <w:wordWrap w:val="0"/>
        <w:overflowPunct/>
        <w:bidi w:val="0"/>
        <w:spacing w:line="360" w:lineRule="auto"/>
        <w:jc w:val="center"/>
        <w:rPr>
          <w:rFonts w:hint="eastAsia" w:ascii="宋体" w:hAnsi="宋体" w:eastAsia="宋体" w:cs="宋体"/>
          <w:b/>
          <w:color w:val="auto"/>
          <w:sz w:val="48"/>
          <w:szCs w:val="96"/>
          <w:highlight w:val="none"/>
          <w:lang w:eastAsia="zh-CN"/>
        </w:rPr>
      </w:pPr>
    </w:p>
    <w:p w14:paraId="1315B5A9">
      <w:pPr>
        <w:pageBreakBefore w:val="0"/>
        <w:kinsoku/>
        <w:wordWrap w:val="0"/>
        <w:overflowPunct/>
        <w:bidi w:val="0"/>
        <w:spacing w:line="360" w:lineRule="auto"/>
        <w:jc w:val="center"/>
        <w:rPr>
          <w:rFonts w:hint="eastAsia" w:ascii="宋体" w:hAnsi="宋体" w:eastAsia="宋体" w:cs="宋体"/>
          <w:b/>
          <w:color w:val="auto"/>
          <w:sz w:val="44"/>
          <w:szCs w:val="72"/>
          <w:highlight w:val="none"/>
          <w:lang w:eastAsia="zh-CN"/>
        </w:rPr>
      </w:pPr>
      <w:r>
        <w:rPr>
          <w:rFonts w:hint="eastAsia" w:ascii="宋体" w:hAnsi="宋体" w:cs="宋体"/>
          <w:b/>
          <w:color w:val="auto"/>
          <w:sz w:val="48"/>
          <w:szCs w:val="96"/>
          <w:highlight w:val="none"/>
          <w:lang w:eastAsia="zh-CN"/>
        </w:rPr>
        <w:t>固始县2024年农作物重大病虫害绿色防控项目</w:t>
      </w:r>
    </w:p>
    <w:p w14:paraId="376A0402">
      <w:pPr>
        <w:pageBreakBefore w:val="0"/>
        <w:kinsoku/>
        <w:wordWrap w:val="0"/>
        <w:overflowPunct/>
        <w:bidi w:val="0"/>
        <w:spacing w:line="360" w:lineRule="auto"/>
        <w:jc w:val="center"/>
        <w:rPr>
          <w:rFonts w:hint="eastAsia" w:ascii="宋体" w:hAnsi="宋体" w:eastAsia="宋体" w:cs="宋体"/>
          <w:b/>
          <w:color w:val="auto"/>
          <w:sz w:val="21"/>
          <w:szCs w:val="21"/>
          <w:highlight w:val="none"/>
        </w:rPr>
      </w:pPr>
    </w:p>
    <w:p w14:paraId="3F4D3E4F">
      <w:pPr>
        <w:pageBreakBefore w:val="0"/>
        <w:kinsoku/>
        <w:wordWrap w:val="0"/>
        <w:overflowPunct/>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 w:val="72"/>
          <w:szCs w:val="72"/>
          <w:highlight w:val="none"/>
        </w:rPr>
        <w:t>竞争性磋商文件</w:t>
      </w:r>
    </w:p>
    <w:p w14:paraId="179EE130">
      <w:pPr>
        <w:pageBreakBefore w:val="0"/>
        <w:kinsoku/>
        <w:wordWrap w:val="0"/>
        <w:overflowPunct/>
        <w:bidi w:val="0"/>
        <w:spacing w:line="360" w:lineRule="auto"/>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采购编号：</w:t>
      </w:r>
      <w:r>
        <w:rPr>
          <w:rFonts w:hint="eastAsia" w:ascii="宋体" w:hAnsi="宋体" w:cs="宋体"/>
          <w:b/>
          <w:color w:val="auto"/>
          <w:sz w:val="32"/>
          <w:szCs w:val="32"/>
          <w:highlight w:val="none"/>
          <w:lang w:val="en-US" w:eastAsia="zh-CN"/>
        </w:rPr>
        <w:t>固财磋商采购-2024-44</w:t>
      </w:r>
    </w:p>
    <w:p w14:paraId="10EFFF26">
      <w:pPr>
        <w:rPr>
          <w:rFonts w:hint="eastAsia" w:ascii="宋体" w:hAnsi="宋体" w:eastAsia="宋体" w:cs="宋体"/>
          <w:color w:val="auto"/>
          <w:highlight w:val="none"/>
          <w:lang w:val="en-US" w:eastAsia="zh-CN"/>
        </w:rPr>
      </w:pPr>
    </w:p>
    <w:p w14:paraId="44991752">
      <w:pPr>
        <w:pStyle w:val="3"/>
        <w:jc w:val="center"/>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drawing>
          <wp:inline distT="0" distB="0" distL="114300" distR="114300">
            <wp:extent cx="1873885" cy="1800225"/>
            <wp:effectExtent l="0" t="0" r="5715" b="0"/>
            <wp:docPr id="7" name="图片 1" descr="微信图片_2022081411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微信图片_20220814111117"/>
                    <pic:cNvPicPr>
                      <a:picLocks noChangeAspect="1"/>
                    </pic:cNvPicPr>
                  </pic:nvPicPr>
                  <pic:blipFill>
                    <a:blip r:embed="rId16"/>
                    <a:stretch>
                      <a:fillRect/>
                    </a:stretch>
                  </pic:blipFill>
                  <pic:spPr>
                    <a:xfrm>
                      <a:off x="0" y="0"/>
                      <a:ext cx="1873885" cy="1800225"/>
                    </a:xfrm>
                    <a:prstGeom prst="rect">
                      <a:avLst/>
                    </a:prstGeom>
                    <a:noFill/>
                    <a:ln>
                      <a:noFill/>
                    </a:ln>
                  </pic:spPr>
                </pic:pic>
              </a:graphicData>
            </a:graphic>
          </wp:inline>
        </w:drawing>
      </w:r>
    </w:p>
    <w:p w14:paraId="47CBB43E">
      <w:pPr>
        <w:rPr>
          <w:rFonts w:hint="eastAsia"/>
          <w:color w:val="auto"/>
          <w:highlight w:val="none"/>
        </w:rPr>
      </w:pPr>
    </w:p>
    <w:p w14:paraId="04E5EB74">
      <w:pPr>
        <w:pStyle w:val="71"/>
        <w:rPr>
          <w:rFonts w:hint="eastAsia"/>
          <w:color w:val="auto"/>
          <w:highlight w:val="none"/>
        </w:rPr>
      </w:pPr>
    </w:p>
    <w:p w14:paraId="0674CA68">
      <w:pPr>
        <w:pageBreakBefore w:val="0"/>
        <w:kinsoku/>
        <w:wordWrap w:val="0"/>
        <w:overflowPunct/>
        <w:bidi w:val="0"/>
        <w:spacing w:line="720" w:lineRule="auto"/>
        <w:ind w:firstLine="1494" w:firstLineChars="496"/>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采   购   人：</w:t>
      </w:r>
      <w:r>
        <w:rPr>
          <w:rFonts w:hint="eastAsia" w:ascii="宋体" w:hAnsi="宋体" w:eastAsia="宋体" w:cs="宋体"/>
          <w:b/>
          <w:color w:val="auto"/>
          <w:sz w:val="30"/>
          <w:szCs w:val="30"/>
          <w:highlight w:val="none"/>
          <w:lang w:eastAsia="zh-CN"/>
        </w:rPr>
        <w:t>固始县农业农村局</w:t>
      </w:r>
    </w:p>
    <w:p w14:paraId="3BE6A809">
      <w:pPr>
        <w:pageBreakBefore w:val="0"/>
        <w:kinsoku/>
        <w:wordWrap w:val="0"/>
        <w:overflowPunct/>
        <w:bidi w:val="0"/>
        <w:spacing w:line="720" w:lineRule="auto"/>
        <w:ind w:firstLine="1494" w:firstLineChars="496"/>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采购代理机构：</w:t>
      </w:r>
      <w:r>
        <w:rPr>
          <w:rFonts w:hint="eastAsia" w:ascii="宋体" w:hAnsi="宋体" w:cs="宋体"/>
          <w:b/>
          <w:color w:val="auto"/>
          <w:sz w:val="30"/>
          <w:szCs w:val="30"/>
          <w:highlight w:val="none"/>
          <w:lang w:eastAsia="zh-CN"/>
        </w:rPr>
        <w:t>河南立铭项目咨询有限公司</w:t>
      </w:r>
    </w:p>
    <w:p w14:paraId="5C686B9A">
      <w:pPr>
        <w:pageBreakBefore w:val="0"/>
        <w:kinsoku/>
        <w:wordWrap w:val="0"/>
        <w:overflowPunct/>
        <w:bidi w:val="0"/>
        <w:spacing w:line="720" w:lineRule="auto"/>
        <w:ind w:firstLine="1494" w:firstLineChars="496"/>
        <w:rPr>
          <w:rFonts w:hint="eastAsia" w:ascii="宋体" w:hAnsi="宋体" w:eastAsia="宋体" w:cs="宋体"/>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0" w:gutter="0"/>
          <w:pgNumType w:start="1"/>
          <w:cols w:space="720" w:num="1"/>
          <w:titlePg/>
          <w:docGrid w:linePitch="312" w:charSpace="0"/>
        </w:sectPr>
      </w:pPr>
      <w:r>
        <w:rPr>
          <w:rFonts w:hint="eastAsia" w:ascii="宋体" w:hAnsi="宋体" w:eastAsia="宋体" w:cs="宋体"/>
          <w:b/>
          <w:color w:val="auto"/>
          <w:sz w:val="30"/>
          <w:szCs w:val="30"/>
          <w:highlight w:val="none"/>
        </w:rPr>
        <w:t>日        期：二〇二</w:t>
      </w:r>
      <w:r>
        <w:rPr>
          <w:rFonts w:hint="eastAsia" w:ascii="宋体" w:hAnsi="宋体" w:cs="宋体"/>
          <w:b/>
          <w:color w:val="auto"/>
          <w:sz w:val="30"/>
          <w:szCs w:val="30"/>
          <w:highlight w:val="none"/>
          <w:lang w:val="en-US" w:eastAsia="zh-CN"/>
        </w:rPr>
        <w:t>四</w:t>
      </w:r>
      <w:r>
        <w:rPr>
          <w:rFonts w:hint="eastAsia" w:ascii="宋体" w:hAnsi="宋体" w:eastAsia="宋体" w:cs="宋体"/>
          <w:b/>
          <w:color w:val="auto"/>
          <w:sz w:val="30"/>
          <w:szCs w:val="30"/>
          <w:highlight w:val="none"/>
        </w:rPr>
        <w:t>年</w:t>
      </w:r>
      <w:r>
        <w:rPr>
          <w:rFonts w:hint="eastAsia" w:ascii="宋体" w:hAnsi="宋体" w:cs="宋体"/>
          <w:b/>
          <w:color w:val="auto"/>
          <w:sz w:val="30"/>
          <w:szCs w:val="30"/>
          <w:highlight w:val="none"/>
          <w:lang w:val="en-US" w:eastAsia="zh-CN"/>
        </w:rPr>
        <w:t>十一</w:t>
      </w:r>
      <w:r>
        <w:rPr>
          <w:rFonts w:hint="eastAsia" w:ascii="宋体" w:hAnsi="宋体" w:eastAsia="宋体" w:cs="宋体"/>
          <w:b/>
          <w:color w:val="auto"/>
          <w:sz w:val="30"/>
          <w:szCs w:val="30"/>
          <w:highlight w:val="none"/>
        </w:rPr>
        <w:t>月</w:t>
      </w:r>
    </w:p>
    <w:p w14:paraId="20BEF329">
      <w:pPr>
        <w:pStyle w:val="41"/>
        <w:pageBreakBefore w:val="0"/>
        <w:tabs>
          <w:tab w:val="right" w:leader="dot" w:pos="9412"/>
          <w:tab w:val="clear" w:pos="8778"/>
        </w:tabs>
        <w:kinsoku/>
        <w:wordWrap w:val="0"/>
        <w:overflowPunct/>
        <w:bidi w:val="0"/>
        <w:rPr>
          <w:rFonts w:hint="eastAsia" w:ascii="宋体" w:hAnsi="宋体" w:eastAsia="宋体" w:cs="宋体"/>
          <w:bCs w:val="0"/>
          <w:iCs w:val="0"/>
          <w:caps w:val="0"/>
          <w:color w:val="auto"/>
          <w:sz w:val="28"/>
          <w:szCs w:val="48"/>
          <w:highlight w:val="none"/>
        </w:rPr>
      </w:pPr>
      <w:bookmarkStart w:id="0" w:name="_Toc247085670"/>
      <w:bookmarkStart w:id="1" w:name="_Toc246996156"/>
      <w:bookmarkStart w:id="2" w:name="_Toc246996899"/>
      <w:r>
        <w:rPr>
          <w:rFonts w:hint="eastAsia" w:ascii="宋体" w:hAnsi="宋体" w:eastAsia="宋体" w:cs="宋体"/>
          <w:bCs w:val="0"/>
          <w:iCs w:val="0"/>
          <w:caps w:val="0"/>
          <w:color w:val="auto"/>
          <w:sz w:val="28"/>
          <w:szCs w:val="48"/>
          <w:highlight w:val="none"/>
        </w:rPr>
        <w:t>目     录</w:t>
      </w:r>
      <w:bookmarkEnd w:id="0"/>
      <w:bookmarkEnd w:id="1"/>
      <w:bookmarkEnd w:id="2"/>
    </w:p>
    <w:p w14:paraId="25B1F492">
      <w:pPr>
        <w:pStyle w:val="41"/>
        <w:pageBreakBefore w:val="0"/>
        <w:tabs>
          <w:tab w:val="right" w:leader="dot" w:pos="9412"/>
          <w:tab w:val="clear" w:pos="8778"/>
        </w:tabs>
        <w:kinsoku/>
        <w:wordWrap w:val="0"/>
        <w:overflowPunct/>
        <w:bidi w:val="0"/>
        <w:rPr>
          <w:rFonts w:hint="eastAsia" w:ascii="宋体" w:hAnsi="宋体" w:eastAsia="宋体" w:cs="宋体"/>
          <w:b w:val="0"/>
          <w:bCs w:val="0"/>
          <w:iCs w:val="0"/>
          <w:caps w:val="0"/>
          <w:color w:val="auto"/>
          <w:sz w:val="36"/>
          <w:szCs w:val="36"/>
          <w:highlight w:val="none"/>
        </w:rPr>
      </w:pPr>
    </w:p>
    <w:p w14:paraId="671A2E9D">
      <w:pPr>
        <w:pStyle w:val="41"/>
        <w:pageBreakBefore w:val="0"/>
        <w:tabs>
          <w:tab w:val="right" w:leader="dot" w:pos="9070"/>
          <w:tab w:val="clear" w:pos="8778"/>
        </w:tabs>
        <w:kinsoku/>
        <w:wordWrap w:val="0"/>
        <w:overflowPunct/>
        <w:bidi w:val="0"/>
        <w:rPr>
          <w:rFonts w:hint="eastAsia" w:ascii="宋体" w:hAnsi="宋体" w:eastAsia="宋体" w:cs="宋体"/>
          <w:color w:val="auto"/>
          <w:sz w:val="28"/>
          <w:szCs w:val="48"/>
          <w:highlight w:val="none"/>
        </w:rPr>
      </w:pPr>
      <w:r>
        <w:rPr>
          <w:rFonts w:hint="eastAsia" w:ascii="宋体" w:hAnsi="宋体" w:eastAsia="宋体" w:cs="宋体"/>
          <w:color w:val="auto"/>
          <w:sz w:val="28"/>
          <w:szCs w:val="48"/>
          <w:highlight w:val="none"/>
        </w:rPr>
        <w:fldChar w:fldCharType="begin"/>
      </w:r>
      <w:r>
        <w:rPr>
          <w:rFonts w:hint="eastAsia" w:ascii="宋体" w:hAnsi="宋体" w:eastAsia="宋体" w:cs="宋体"/>
          <w:color w:val="auto"/>
          <w:sz w:val="28"/>
          <w:szCs w:val="48"/>
          <w:highlight w:val="none"/>
        </w:rPr>
        <w:instrText xml:space="preserve">TOC \o "1-1" \h \u </w:instrText>
      </w:r>
      <w:r>
        <w:rPr>
          <w:rFonts w:hint="eastAsia" w:ascii="宋体" w:hAnsi="宋体" w:eastAsia="宋体" w:cs="宋体"/>
          <w:color w:val="auto"/>
          <w:sz w:val="28"/>
          <w:szCs w:val="48"/>
          <w:highlight w:val="none"/>
        </w:rPr>
        <w:fldChar w:fldCharType="separate"/>
      </w:r>
      <w:r>
        <w:rPr>
          <w:rFonts w:hint="eastAsia" w:ascii="宋体" w:hAnsi="宋体" w:eastAsia="宋体" w:cs="宋体"/>
          <w:color w:val="auto"/>
          <w:sz w:val="28"/>
          <w:szCs w:val="48"/>
          <w:highlight w:val="none"/>
        </w:rPr>
        <w:fldChar w:fldCharType="begin"/>
      </w:r>
      <w:r>
        <w:rPr>
          <w:rFonts w:hint="eastAsia" w:ascii="宋体" w:hAnsi="宋体" w:eastAsia="宋体" w:cs="宋体"/>
          <w:color w:val="auto"/>
          <w:sz w:val="28"/>
          <w:szCs w:val="48"/>
          <w:highlight w:val="none"/>
        </w:rPr>
        <w:instrText xml:space="preserve"> HYPERLINK \l _Toc2362 </w:instrText>
      </w:r>
      <w:r>
        <w:rPr>
          <w:rFonts w:hint="eastAsia" w:ascii="宋体" w:hAnsi="宋体" w:eastAsia="宋体" w:cs="宋体"/>
          <w:color w:val="auto"/>
          <w:sz w:val="28"/>
          <w:szCs w:val="48"/>
          <w:highlight w:val="none"/>
        </w:rPr>
        <w:fldChar w:fldCharType="separate"/>
      </w:r>
      <w:r>
        <w:rPr>
          <w:rFonts w:hint="eastAsia" w:ascii="宋体" w:hAnsi="宋体" w:eastAsia="宋体" w:cs="宋体"/>
          <w:color w:val="auto"/>
          <w:sz w:val="28"/>
          <w:szCs w:val="48"/>
          <w:highlight w:val="none"/>
          <w:lang w:val="en-US" w:eastAsia="zh-CN"/>
        </w:rPr>
        <w:t>第一章 竞争性磋商公告</w:t>
      </w:r>
      <w:r>
        <w:rPr>
          <w:rFonts w:hint="eastAsia" w:ascii="宋体" w:hAnsi="宋体" w:eastAsia="宋体" w:cs="宋体"/>
          <w:color w:val="auto"/>
          <w:sz w:val="28"/>
          <w:szCs w:val="48"/>
          <w:highlight w:val="none"/>
        </w:rPr>
        <w:tab/>
      </w:r>
      <w:r>
        <w:rPr>
          <w:rFonts w:hint="eastAsia" w:ascii="宋体" w:hAnsi="宋体" w:eastAsia="宋体" w:cs="宋体"/>
          <w:color w:val="auto"/>
          <w:sz w:val="28"/>
          <w:szCs w:val="48"/>
          <w:highlight w:val="none"/>
        </w:rPr>
        <w:fldChar w:fldCharType="begin"/>
      </w:r>
      <w:r>
        <w:rPr>
          <w:rFonts w:hint="eastAsia" w:ascii="宋体" w:hAnsi="宋体" w:eastAsia="宋体" w:cs="宋体"/>
          <w:color w:val="auto"/>
          <w:sz w:val="28"/>
          <w:szCs w:val="48"/>
          <w:highlight w:val="none"/>
        </w:rPr>
        <w:instrText xml:space="preserve"> PAGEREF _Toc2362 \h </w:instrText>
      </w:r>
      <w:r>
        <w:rPr>
          <w:rFonts w:hint="eastAsia" w:ascii="宋体" w:hAnsi="宋体" w:eastAsia="宋体" w:cs="宋体"/>
          <w:color w:val="auto"/>
          <w:sz w:val="28"/>
          <w:szCs w:val="48"/>
          <w:highlight w:val="none"/>
        </w:rPr>
        <w:fldChar w:fldCharType="separate"/>
      </w:r>
      <w:r>
        <w:rPr>
          <w:rFonts w:hint="eastAsia" w:ascii="宋体" w:hAnsi="宋体" w:eastAsia="宋体" w:cs="宋体"/>
          <w:color w:val="auto"/>
          <w:sz w:val="28"/>
          <w:szCs w:val="48"/>
          <w:highlight w:val="none"/>
        </w:rPr>
        <w:t>3</w:t>
      </w:r>
      <w:r>
        <w:rPr>
          <w:rFonts w:hint="eastAsia" w:ascii="宋体" w:hAnsi="宋体" w:eastAsia="宋体" w:cs="宋体"/>
          <w:color w:val="auto"/>
          <w:sz w:val="28"/>
          <w:szCs w:val="48"/>
          <w:highlight w:val="none"/>
        </w:rPr>
        <w:fldChar w:fldCharType="end"/>
      </w:r>
      <w:r>
        <w:rPr>
          <w:rFonts w:hint="eastAsia" w:ascii="宋体" w:hAnsi="宋体" w:eastAsia="宋体" w:cs="宋体"/>
          <w:color w:val="auto"/>
          <w:sz w:val="28"/>
          <w:szCs w:val="48"/>
          <w:highlight w:val="none"/>
        </w:rPr>
        <w:fldChar w:fldCharType="end"/>
      </w:r>
    </w:p>
    <w:p w14:paraId="2A66CF97">
      <w:pPr>
        <w:pStyle w:val="41"/>
        <w:pageBreakBefore w:val="0"/>
        <w:tabs>
          <w:tab w:val="right" w:leader="dot" w:pos="9070"/>
          <w:tab w:val="clear" w:pos="8778"/>
        </w:tabs>
        <w:kinsoku/>
        <w:wordWrap w:val="0"/>
        <w:overflowPunct/>
        <w:bidi w:val="0"/>
        <w:rPr>
          <w:rFonts w:hint="eastAsia" w:ascii="宋体" w:hAnsi="宋体" w:eastAsia="宋体" w:cs="宋体"/>
          <w:color w:val="auto"/>
          <w:sz w:val="28"/>
          <w:szCs w:val="48"/>
          <w:highlight w:val="none"/>
        </w:rPr>
      </w:pPr>
      <w:r>
        <w:rPr>
          <w:rFonts w:hint="eastAsia" w:ascii="宋体" w:hAnsi="宋体" w:eastAsia="宋体" w:cs="宋体"/>
          <w:color w:val="auto"/>
          <w:sz w:val="28"/>
          <w:szCs w:val="48"/>
          <w:highlight w:val="none"/>
        </w:rPr>
        <w:fldChar w:fldCharType="begin"/>
      </w:r>
      <w:r>
        <w:rPr>
          <w:rFonts w:hint="eastAsia" w:ascii="宋体" w:hAnsi="宋体" w:eastAsia="宋体" w:cs="宋体"/>
          <w:color w:val="auto"/>
          <w:sz w:val="28"/>
          <w:szCs w:val="48"/>
          <w:highlight w:val="none"/>
        </w:rPr>
        <w:instrText xml:space="preserve"> HYPERLINK \l _Toc26326 </w:instrText>
      </w:r>
      <w:r>
        <w:rPr>
          <w:rFonts w:hint="eastAsia" w:ascii="宋体" w:hAnsi="宋体" w:eastAsia="宋体" w:cs="宋体"/>
          <w:color w:val="auto"/>
          <w:sz w:val="28"/>
          <w:szCs w:val="48"/>
          <w:highlight w:val="none"/>
        </w:rPr>
        <w:fldChar w:fldCharType="separate"/>
      </w:r>
      <w:r>
        <w:rPr>
          <w:rFonts w:hint="eastAsia" w:ascii="宋体" w:hAnsi="宋体" w:eastAsia="宋体" w:cs="宋体"/>
          <w:bCs/>
          <w:color w:val="auto"/>
          <w:kern w:val="44"/>
          <w:sz w:val="28"/>
          <w:szCs w:val="56"/>
          <w:highlight w:val="none"/>
          <w:lang w:val="en-US" w:eastAsia="zh-CN" w:bidi="ar-SA"/>
        </w:rPr>
        <w:t>第二章 供应商须知</w:t>
      </w:r>
      <w:r>
        <w:rPr>
          <w:rFonts w:hint="eastAsia" w:ascii="宋体" w:hAnsi="宋体" w:eastAsia="宋体" w:cs="宋体"/>
          <w:color w:val="auto"/>
          <w:sz w:val="28"/>
          <w:szCs w:val="48"/>
          <w:highlight w:val="none"/>
        </w:rPr>
        <w:tab/>
      </w:r>
      <w:r>
        <w:rPr>
          <w:rFonts w:hint="eastAsia" w:ascii="宋体" w:hAnsi="宋体" w:eastAsia="宋体" w:cs="宋体"/>
          <w:color w:val="auto"/>
          <w:sz w:val="28"/>
          <w:szCs w:val="48"/>
          <w:highlight w:val="none"/>
        </w:rPr>
        <w:fldChar w:fldCharType="begin"/>
      </w:r>
      <w:r>
        <w:rPr>
          <w:rFonts w:hint="eastAsia" w:ascii="宋体" w:hAnsi="宋体" w:eastAsia="宋体" w:cs="宋体"/>
          <w:color w:val="auto"/>
          <w:sz w:val="28"/>
          <w:szCs w:val="48"/>
          <w:highlight w:val="none"/>
        </w:rPr>
        <w:instrText xml:space="preserve"> PAGEREF _Toc26326 \h </w:instrText>
      </w:r>
      <w:r>
        <w:rPr>
          <w:rFonts w:hint="eastAsia" w:ascii="宋体" w:hAnsi="宋体" w:eastAsia="宋体" w:cs="宋体"/>
          <w:color w:val="auto"/>
          <w:sz w:val="28"/>
          <w:szCs w:val="48"/>
          <w:highlight w:val="none"/>
        </w:rPr>
        <w:fldChar w:fldCharType="separate"/>
      </w:r>
      <w:r>
        <w:rPr>
          <w:rFonts w:hint="eastAsia" w:ascii="宋体" w:hAnsi="宋体" w:eastAsia="宋体" w:cs="宋体"/>
          <w:color w:val="auto"/>
          <w:sz w:val="28"/>
          <w:szCs w:val="48"/>
          <w:highlight w:val="none"/>
        </w:rPr>
        <w:t>7</w:t>
      </w:r>
      <w:r>
        <w:rPr>
          <w:rFonts w:hint="eastAsia" w:ascii="宋体" w:hAnsi="宋体" w:eastAsia="宋体" w:cs="宋体"/>
          <w:color w:val="auto"/>
          <w:sz w:val="28"/>
          <w:szCs w:val="48"/>
          <w:highlight w:val="none"/>
        </w:rPr>
        <w:fldChar w:fldCharType="end"/>
      </w:r>
      <w:r>
        <w:rPr>
          <w:rFonts w:hint="eastAsia" w:ascii="宋体" w:hAnsi="宋体" w:eastAsia="宋体" w:cs="宋体"/>
          <w:color w:val="auto"/>
          <w:sz w:val="28"/>
          <w:szCs w:val="48"/>
          <w:highlight w:val="none"/>
        </w:rPr>
        <w:fldChar w:fldCharType="end"/>
      </w:r>
    </w:p>
    <w:p w14:paraId="517B4494">
      <w:pPr>
        <w:pStyle w:val="41"/>
        <w:pageBreakBefore w:val="0"/>
        <w:tabs>
          <w:tab w:val="right" w:leader="dot" w:pos="9070"/>
          <w:tab w:val="clear" w:pos="8778"/>
        </w:tabs>
        <w:kinsoku/>
        <w:wordWrap w:val="0"/>
        <w:overflowPunct/>
        <w:bidi w:val="0"/>
        <w:rPr>
          <w:rFonts w:hint="eastAsia" w:ascii="宋体" w:hAnsi="宋体" w:eastAsia="宋体" w:cs="宋体"/>
          <w:color w:val="auto"/>
          <w:sz w:val="28"/>
          <w:szCs w:val="48"/>
          <w:highlight w:val="none"/>
        </w:rPr>
      </w:pPr>
      <w:r>
        <w:rPr>
          <w:rFonts w:hint="eastAsia" w:ascii="宋体" w:hAnsi="宋体" w:eastAsia="宋体" w:cs="宋体"/>
          <w:color w:val="auto"/>
          <w:sz w:val="28"/>
          <w:szCs w:val="48"/>
          <w:highlight w:val="none"/>
        </w:rPr>
        <w:fldChar w:fldCharType="begin"/>
      </w:r>
      <w:r>
        <w:rPr>
          <w:rFonts w:hint="eastAsia" w:ascii="宋体" w:hAnsi="宋体" w:eastAsia="宋体" w:cs="宋体"/>
          <w:color w:val="auto"/>
          <w:sz w:val="28"/>
          <w:szCs w:val="48"/>
          <w:highlight w:val="none"/>
        </w:rPr>
        <w:instrText xml:space="preserve"> HYPERLINK \l _Toc16648 </w:instrText>
      </w:r>
      <w:r>
        <w:rPr>
          <w:rFonts w:hint="eastAsia" w:ascii="宋体" w:hAnsi="宋体" w:eastAsia="宋体" w:cs="宋体"/>
          <w:color w:val="auto"/>
          <w:sz w:val="28"/>
          <w:szCs w:val="48"/>
          <w:highlight w:val="none"/>
        </w:rPr>
        <w:fldChar w:fldCharType="separate"/>
      </w:r>
      <w:r>
        <w:rPr>
          <w:rFonts w:hint="eastAsia" w:ascii="宋体" w:hAnsi="宋体" w:eastAsia="宋体" w:cs="宋体"/>
          <w:bCs/>
          <w:color w:val="auto"/>
          <w:kern w:val="44"/>
          <w:sz w:val="28"/>
          <w:szCs w:val="56"/>
          <w:highlight w:val="none"/>
        </w:rPr>
        <w:t>第三章 评标办法（综合评分法）</w:t>
      </w:r>
      <w:r>
        <w:rPr>
          <w:rFonts w:hint="eastAsia" w:ascii="宋体" w:hAnsi="宋体" w:eastAsia="宋体" w:cs="宋体"/>
          <w:color w:val="auto"/>
          <w:sz w:val="28"/>
          <w:szCs w:val="48"/>
          <w:highlight w:val="none"/>
        </w:rPr>
        <w:tab/>
      </w:r>
      <w:r>
        <w:rPr>
          <w:rFonts w:hint="eastAsia" w:ascii="宋体" w:hAnsi="宋体" w:eastAsia="宋体" w:cs="宋体"/>
          <w:color w:val="auto"/>
          <w:sz w:val="28"/>
          <w:szCs w:val="48"/>
          <w:highlight w:val="none"/>
        </w:rPr>
        <w:fldChar w:fldCharType="begin"/>
      </w:r>
      <w:r>
        <w:rPr>
          <w:rFonts w:hint="eastAsia" w:ascii="宋体" w:hAnsi="宋体" w:eastAsia="宋体" w:cs="宋体"/>
          <w:color w:val="auto"/>
          <w:sz w:val="28"/>
          <w:szCs w:val="48"/>
          <w:highlight w:val="none"/>
        </w:rPr>
        <w:instrText xml:space="preserve"> PAGEREF _Toc16648 \h </w:instrText>
      </w:r>
      <w:r>
        <w:rPr>
          <w:rFonts w:hint="eastAsia" w:ascii="宋体" w:hAnsi="宋体" w:eastAsia="宋体" w:cs="宋体"/>
          <w:color w:val="auto"/>
          <w:sz w:val="28"/>
          <w:szCs w:val="48"/>
          <w:highlight w:val="none"/>
        </w:rPr>
        <w:fldChar w:fldCharType="separate"/>
      </w:r>
      <w:r>
        <w:rPr>
          <w:rFonts w:hint="eastAsia" w:ascii="宋体" w:hAnsi="宋体" w:eastAsia="宋体" w:cs="宋体"/>
          <w:color w:val="auto"/>
          <w:sz w:val="28"/>
          <w:szCs w:val="48"/>
          <w:highlight w:val="none"/>
        </w:rPr>
        <w:t>18</w:t>
      </w:r>
      <w:r>
        <w:rPr>
          <w:rFonts w:hint="eastAsia" w:ascii="宋体" w:hAnsi="宋体" w:eastAsia="宋体" w:cs="宋体"/>
          <w:color w:val="auto"/>
          <w:sz w:val="28"/>
          <w:szCs w:val="48"/>
          <w:highlight w:val="none"/>
        </w:rPr>
        <w:fldChar w:fldCharType="end"/>
      </w:r>
      <w:r>
        <w:rPr>
          <w:rFonts w:hint="eastAsia" w:ascii="宋体" w:hAnsi="宋体" w:eastAsia="宋体" w:cs="宋体"/>
          <w:color w:val="auto"/>
          <w:sz w:val="28"/>
          <w:szCs w:val="48"/>
          <w:highlight w:val="none"/>
        </w:rPr>
        <w:fldChar w:fldCharType="end"/>
      </w:r>
    </w:p>
    <w:p w14:paraId="62A31CB6">
      <w:pPr>
        <w:pStyle w:val="41"/>
        <w:pageBreakBefore w:val="0"/>
        <w:tabs>
          <w:tab w:val="right" w:leader="dot" w:pos="9070"/>
          <w:tab w:val="clear" w:pos="8778"/>
        </w:tabs>
        <w:kinsoku/>
        <w:wordWrap w:val="0"/>
        <w:overflowPunct/>
        <w:bidi w:val="0"/>
        <w:rPr>
          <w:rFonts w:hint="eastAsia" w:ascii="宋体" w:hAnsi="宋体" w:eastAsia="宋体" w:cs="宋体"/>
          <w:color w:val="auto"/>
          <w:sz w:val="28"/>
          <w:szCs w:val="48"/>
          <w:highlight w:val="none"/>
        </w:rPr>
      </w:pPr>
      <w:r>
        <w:rPr>
          <w:rFonts w:hint="eastAsia" w:ascii="宋体" w:hAnsi="宋体" w:eastAsia="宋体" w:cs="宋体"/>
          <w:color w:val="auto"/>
          <w:sz w:val="28"/>
          <w:szCs w:val="48"/>
          <w:highlight w:val="none"/>
        </w:rPr>
        <w:fldChar w:fldCharType="begin"/>
      </w:r>
      <w:r>
        <w:rPr>
          <w:rFonts w:hint="eastAsia" w:ascii="宋体" w:hAnsi="宋体" w:eastAsia="宋体" w:cs="宋体"/>
          <w:color w:val="auto"/>
          <w:sz w:val="28"/>
          <w:szCs w:val="48"/>
          <w:highlight w:val="none"/>
        </w:rPr>
        <w:instrText xml:space="preserve"> HYPERLINK \l _Toc19439 </w:instrText>
      </w:r>
      <w:r>
        <w:rPr>
          <w:rFonts w:hint="eastAsia" w:ascii="宋体" w:hAnsi="宋体" w:eastAsia="宋体" w:cs="宋体"/>
          <w:color w:val="auto"/>
          <w:sz w:val="28"/>
          <w:szCs w:val="48"/>
          <w:highlight w:val="none"/>
        </w:rPr>
        <w:fldChar w:fldCharType="separate"/>
      </w:r>
      <w:r>
        <w:rPr>
          <w:rFonts w:hint="eastAsia" w:ascii="宋体" w:hAnsi="宋体" w:eastAsia="宋体" w:cs="宋体"/>
          <w:bCs/>
          <w:color w:val="auto"/>
          <w:kern w:val="44"/>
          <w:sz w:val="28"/>
          <w:szCs w:val="56"/>
          <w:highlight w:val="none"/>
          <w:lang w:eastAsia="zh-CN"/>
        </w:rPr>
        <w:t>第四章</w:t>
      </w:r>
      <w:r>
        <w:rPr>
          <w:rFonts w:hint="eastAsia" w:ascii="宋体" w:hAnsi="宋体" w:eastAsia="宋体" w:cs="宋体"/>
          <w:bCs/>
          <w:color w:val="auto"/>
          <w:kern w:val="44"/>
          <w:sz w:val="28"/>
          <w:szCs w:val="56"/>
          <w:highlight w:val="none"/>
          <w:lang w:val="en-US" w:eastAsia="zh-CN"/>
        </w:rPr>
        <w:t xml:space="preserve"> </w:t>
      </w:r>
      <w:r>
        <w:rPr>
          <w:rFonts w:hint="eastAsia" w:ascii="宋体" w:hAnsi="宋体" w:eastAsia="宋体" w:cs="宋体"/>
          <w:bCs/>
          <w:color w:val="auto"/>
          <w:kern w:val="44"/>
          <w:sz w:val="28"/>
          <w:szCs w:val="56"/>
          <w:highlight w:val="none"/>
        </w:rPr>
        <w:t>河南省政府采购合同（参考文本）</w:t>
      </w:r>
      <w:r>
        <w:rPr>
          <w:rFonts w:hint="eastAsia" w:ascii="宋体" w:hAnsi="宋体" w:eastAsia="宋体" w:cs="宋体"/>
          <w:color w:val="auto"/>
          <w:sz w:val="28"/>
          <w:szCs w:val="48"/>
          <w:highlight w:val="none"/>
        </w:rPr>
        <w:tab/>
      </w:r>
      <w:r>
        <w:rPr>
          <w:rFonts w:hint="eastAsia" w:ascii="宋体" w:hAnsi="宋体" w:eastAsia="宋体" w:cs="宋体"/>
          <w:color w:val="auto"/>
          <w:sz w:val="28"/>
          <w:szCs w:val="48"/>
          <w:highlight w:val="none"/>
        </w:rPr>
        <w:fldChar w:fldCharType="begin"/>
      </w:r>
      <w:r>
        <w:rPr>
          <w:rFonts w:hint="eastAsia" w:ascii="宋体" w:hAnsi="宋体" w:eastAsia="宋体" w:cs="宋体"/>
          <w:color w:val="auto"/>
          <w:sz w:val="28"/>
          <w:szCs w:val="48"/>
          <w:highlight w:val="none"/>
        </w:rPr>
        <w:instrText xml:space="preserve"> PAGEREF _Toc19439 \h </w:instrText>
      </w:r>
      <w:r>
        <w:rPr>
          <w:rFonts w:hint="eastAsia" w:ascii="宋体" w:hAnsi="宋体" w:eastAsia="宋体" w:cs="宋体"/>
          <w:color w:val="auto"/>
          <w:sz w:val="28"/>
          <w:szCs w:val="48"/>
          <w:highlight w:val="none"/>
        </w:rPr>
        <w:fldChar w:fldCharType="separate"/>
      </w:r>
      <w:r>
        <w:rPr>
          <w:rFonts w:hint="eastAsia" w:ascii="宋体" w:hAnsi="宋体" w:eastAsia="宋体" w:cs="宋体"/>
          <w:color w:val="auto"/>
          <w:sz w:val="28"/>
          <w:szCs w:val="48"/>
          <w:highlight w:val="none"/>
        </w:rPr>
        <w:t>23</w:t>
      </w:r>
      <w:r>
        <w:rPr>
          <w:rFonts w:hint="eastAsia" w:ascii="宋体" w:hAnsi="宋体" w:eastAsia="宋体" w:cs="宋体"/>
          <w:color w:val="auto"/>
          <w:sz w:val="28"/>
          <w:szCs w:val="48"/>
          <w:highlight w:val="none"/>
        </w:rPr>
        <w:fldChar w:fldCharType="end"/>
      </w:r>
      <w:r>
        <w:rPr>
          <w:rFonts w:hint="eastAsia" w:ascii="宋体" w:hAnsi="宋体" w:eastAsia="宋体" w:cs="宋体"/>
          <w:color w:val="auto"/>
          <w:sz w:val="28"/>
          <w:szCs w:val="48"/>
          <w:highlight w:val="none"/>
        </w:rPr>
        <w:fldChar w:fldCharType="end"/>
      </w:r>
    </w:p>
    <w:p w14:paraId="6FBC1DCC">
      <w:pPr>
        <w:pStyle w:val="41"/>
        <w:pageBreakBefore w:val="0"/>
        <w:tabs>
          <w:tab w:val="right" w:leader="dot" w:pos="9070"/>
          <w:tab w:val="clear" w:pos="8778"/>
        </w:tabs>
        <w:kinsoku/>
        <w:wordWrap w:val="0"/>
        <w:overflowPunct/>
        <w:bidi w:val="0"/>
        <w:rPr>
          <w:rFonts w:hint="eastAsia" w:ascii="宋体" w:hAnsi="宋体" w:eastAsia="宋体" w:cs="宋体"/>
          <w:color w:val="auto"/>
          <w:sz w:val="28"/>
          <w:szCs w:val="48"/>
          <w:highlight w:val="none"/>
        </w:rPr>
      </w:pPr>
      <w:r>
        <w:rPr>
          <w:rFonts w:hint="eastAsia" w:ascii="宋体" w:hAnsi="宋体" w:eastAsia="宋体" w:cs="宋体"/>
          <w:color w:val="auto"/>
          <w:sz w:val="28"/>
          <w:szCs w:val="48"/>
          <w:highlight w:val="none"/>
        </w:rPr>
        <w:fldChar w:fldCharType="begin"/>
      </w:r>
      <w:r>
        <w:rPr>
          <w:rFonts w:hint="eastAsia" w:ascii="宋体" w:hAnsi="宋体" w:eastAsia="宋体" w:cs="宋体"/>
          <w:color w:val="auto"/>
          <w:sz w:val="28"/>
          <w:szCs w:val="48"/>
          <w:highlight w:val="none"/>
        </w:rPr>
        <w:instrText xml:space="preserve"> HYPERLINK \l _Toc27917 </w:instrText>
      </w:r>
      <w:r>
        <w:rPr>
          <w:rFonts w:hint="eastAsia" w:ascii="宋体" w:hAnsi="宋体" w:eastAsia="宋体" w:cs="宋体"/>
          <w:color w:val="auto"/>
          <w:sz w:val="28"/>
          <w:szCs w:val="48"/>
          <w:highlight w:val="none"/>
        </w:rPr>
        <w:fldChar w:fldCharType="separate"/>
      </w:r>
      <w:r>
        <w:rPr>
          <w:rFonts w:hint="eastAsia" w:ascii="宋体" w:hAnsi="宋体" w:eastAsia="宋体" w:cs="宋体"/>
          <w:color w:val="auto"/>
          <w:sz w:val="28"/>
          <w:szCs w:val="48"/>
          <w:highlight w:val="none"/>
        </w:rPr>
        <w:t>第五章</w:t>
      </w:r>
      <w:r>
        <w:rPr>
          <w:rFonts w:hint="eastAsia" w:ascii="宋体" w:hAnsi="宋体" w:eastAsia="宋体" w:cs="宋体"/>
          <w:color w:val="auto"/>
          <w:sz w:val="28"/>
          <w:szCs w:val="48"/>
          <w:highlight w:val="none"/>
          <w:lang w:val="en-US" w:eastAsia="zh-CN"/>
        </w:rPr>
        <w:t xml:space="preserve"> </w:t>
      </w:r>
      <w:r>
        <w:rPr>
          <w:rFonts w:hint="eastAsia" w:ascii="宋体" w:hAnsi="宋体" w:eastAsia="宋体" w:cs="宋体"/>
          <w:color w:val="auto"/>
          <w:sz w:val="28"/>
          <w:szCs w:val="48"/>
          <w:highlight w:val="none"/>
        </w:rPr>
        <w:t>采购需求</w:t>
      </w:r>
      <w:r>
        <w:rPr>
          <w:rFonts w:hint="eastAsia" w:ascii="宋体" w:hAnsi="宋体" w:eastAsia="宋体" w:cs="宋体"/>
          <w:color w:val="auto"/>
          <w:sz w:val="28"/>
          <w:szCs w:val="48"/>
          <w:highlight w:val="none"/>
        </w:rPr>
        <w:tab/>
      </w:r>
      <w:r>
        <w:rPr>
          <w:rFonts w:hint="eastAsia" w:ascii="宋体" w:hAnsi="宋体" w:eastAsia="宋体" w:cs="宋体"/>
          <w:color w:val="auto"/>
          <w:sz w:val="28"/>
          <w:szCs w:val="48"/>
          <w:highlight w:val="none"/>
        </w:rPr>
        <w:fldChar w:fldCharType="begin"/>
      </w:r>
      <w:r>
        <w:rPr>
          <w:rFonts w:hint="eastAsia" w:ascii="宋体" w:hAnsi="宋体" w:eastAsia="宋体" w:cs="宋体"/>
          <w:color w:val="auto"/>
          <w:sz w:val="28"/>
          <w:szCs w:val="48"/>
          <w:highlight w:val="none"/>
        </w:rPr>
        <w:instrText xml:space="preserve"> PAGEREF _Toc27917 \h </w:instrText>
      </w:r>
      <w:r>
        <w:rPr>
          <w:rFonts w:hint="eastAsia" w:ascii="宋体" w:hAnsi="宋体" w:eastAsia="宋体" w:cs="宋体"/>
          <w:color w:val="auto"/>
          <w:sz w:val="28"/>
          <w:szCs w:val="48"/>
          <w:highlight w:val="none"/>
        </w:rPr>
        <w:fldChar w:fldCharType="separate"/>
      </w:r>
      <w:r>
        <w:rPr>
          <w:rFonts w:hint="eastAsia" w:ascii="宋体" w:hAnsi="宋体" w:eastAsia="宋体" w:cs="宋体"/>
          <w:color w:val="auto"/>
          <w:sz w:val="28"/>
          <w:szCs w:val="48"/>
          <w:highlight w:val="none"/>
        </w:rPr>
        <w:t>25</w:t>
      </w:r>
      <w:r>
        <w:rPr>
          <w:rFonts w:hint="eastAsia" w:ascii="宋体" w:hAnsi="宋体" w:eastAsia="宋体" w:cs="宋体"/>
          <w:color w:val="auto"/>
          <w:sz w:val="28"/>
          <w:szCs w:val="48"/>
          <w:highlight w:val="none"/>
        </w:rPr>
        <w:fldChar w:fldCharType="end"/>
      </w:r>
      <w:r>
        <w:rPr>
          <w:rFonts w:hint="eastAsia" w:ascii="宋体" w:hAnsi="宋体" w:eastAsia="宋体" w:cs="宋体"/>
          <w:color w:val="auto"/>
          <w:sz w:val="28"/>
          <w:szCs w:val="48"/>
          <w:highlight w:val="none"/>
        </w:rPr>
        <w:fldChar w:fldCharType="end"/>
      </w:r>
    </w:p>
    <w:p w14:paraId="6D8925B7">
      <w:pPr>
        <w:pStyle w:val="41"/>
        <w:pageBreakBefore w:val="0"/>
        <w:tabs>
          <w:tab w:val="right" w:leader="dot" w:pos="9070"/>
          <w:tab w:val="clear" w:pos="8778"/>
        </w:tabs>
        <w:kinsoku/>
        <w:wordWrap w:val="0"/>
        <w:overflowPunct/>
        <w:bidi w:val="0"/>
        <w:rPr>
          <w:rFonts w:hint="eastAsia" w:ascii="宋体" w:hAnsi="宋体" w:eastAsia="宋体" w:cs="宋体"/>
          <w:color w:val="auto"/>
          <w:sz w:val="28"/>
          <w:szCs w:val="48"/>
          <w:highlight w:val="none"/>
        </w:rPr>
      </w:pPr>
      <w:r>
        <w:rPr>
          <w:rFonts w:hint="eastAsia" w:ascii="宋体" w:hAnsi="宋体" w:eastAsia="宋体" w:cs="宋体"/>
          <w:color w:val="auto"/>
          <w:sz w:val="28"/>
          <w:szCs w:val="48"/>
          <w:highlight w:val="none"/>
        </w:rPr>
        <w:fldChar w:fldCharType="begin"/>
      </w:r>
      <w:r>
        <w:rPr>
          <w:rFonts w:hint="eastAsia" w:ascii="宋体" w:hAnsi="宋体" w:eastAsia="宋体" w:cs="宋体"/>
          <w:color w:val="auto"/>
          <w:sz w:val="28"/>
          <w:szCs w:val="48"/>
          <w:highlight w:val="none"/>
        </w:rPr>
        <w:instrText xml:space="preserve"> HYPERLINK \l _Toc23712 </w:instrText>
      </w:r>
      <w:r>
        <w:rPr>
          <w:rFonts w:hint="eastAsia" w:ascii="宋体" w:hAnsi="宋体" w:eastAsia="宋体" w:cs="宋体"/>
          <w:color w:val="auto"/>
          <w:sz w:val="28"/>
          <w:szCs w:val="48"/>
          <w:highlight w:val="none"/>
        </w:rPr>
        <w:fldChar w:fldCharType="separate"/>
      </w:r>
      <w:r>
        <w:rPr>
          <w:rFonts w:hint="eastAsia" w:ascii="宋体" w:hAnsi="宋体" w:eastAsia="宋体" w:cs="宋体"/>
          <w:bCs/>
          <w:color w:val="auto"/>
          <w:kern w:val="44"/>
          <w:sz w:val="28"/>
          <w:szCs w:val="56"/>
          <w:highlight w:val="none"/>
          <w:lang w:val="en-US" w:eastAsia="zh-CN" w:bidi="ar-SA"/>
        </w:rPr>
        <w:t>第六章 响应文件格式</w:t>
      </w:r>
      <w:r>
        <w:rPr>
          <w:rFonts w:hint="eastAsia" w:ascii="宋体" w:hAnsi="宋体" w:eastAsia="宋体" w:cs="宋体"/>
          <w:color w:val="auto"/>
          <w:sz w:val="28"/>
          <w:szCs w:val="48"/>
          <w:highlight w:val="none"/>
        </w:rPr>
        <w:tab/>
      </w:r>
      <w:r>
        <w:rPr>
          <w:rFonts w:hint="eastAsia" w:ascii="宋体" w:hAnsi="宋体" w:eastAsia="宋体" w:cs="宋体"/>
          <w:color w:val="auto"/>
          <w:sz w:val="28"/>
          <w:szCs w:val="48"/>
          <w:highlight w:val="none"/>
        </w:rPr>
        <w:fldChar w:fldCharType="begin"/>
      </w:r>
      <w:r>
        <w:rPr>
          <w:rFonts w:hint="eastAsia" w:ascii="宋体" w:hAnsi="宋体" w:eastAsia="宋体" w:cs="宋体"/>
          <w:color w:val="auto"/>
          <w:sz w:val="28"/>
          <w:szCs w:val="48"/>
          <w:highlight w:val="none"/>
        </w:rPr>
        <w:instrText xml:space="preserve"> PAGEREF _Toc23712 \h </w:instrText>
      </w:r>
      <w:r>
        <w:rPr>
          <w:rFonts w:hint="eastAsia" w:ascii="宋体" w:hAnsi="宋体" w:eastAsia="宋体" w:cs="宋体"/>
          <w:color w:val="auto"/>
          <w:sz w:val="28"/>
          <w:szCs w:val="48"/>
          <w:highlight w:val="none"/>
        </w:rPr>
        <w:fldChar w:fldCharType="separate"/>
      </w:r>
      <w:r>
        <w:rPr>
          <w:rFonts w:hint="eastAsia" w:ascii="宋体" w:hAnsi="宋体" w:eastAsia="宋体" w:cs="宋体"/>
          <w:color w:val="auto"/>
          <w:sz w:val="28"/>
          <w:szCs w:val="48"/>
          <w:highlight w:val="none"/>
        </w:rPr>
        <w:t>27</w:t>
      </w:r>
      <w:r>
        <w:rPr>
          <w:rFonts w:hint="eastAsia" w:ascii="宋体" w:hAnsi="宋体" w:eastAsia="宋体" w:cs="宋体"/>
          <w:color w:val="auto"/>
          <w:sz w:val="28"/>
          <w:szCs w:val="48"/>
          <w:highlight w:val="none"/>
        </w:rPr>
        <w:fldChar w:fldCharType="end"/>
      </w:r>
      <w:r>
        <w:rPr>
          <w:rFonts w:hint="eastAsia" w:ascii="宋体" w:hAnsi="宋体" w:eastAsia="宋体" w:cs="宋体"/>
          <w:color w:val="auto"/>
          <w:sz w:val="28"/>
          <w:szCs w:val="48"/>
          <w:highlight w:val="none"/>
        </w:rPr>
        <w:fldChar w:fldCharType="end"/>
      </w:r>
    </w:p>
    <w:p w14:paraId="5061CEA6">
      <w:pPr>
        <w:pageBreakBefore w:val="0"/>
        <w:kinsoku/>
        <w:wordWrap w:val="0"/>
        <w:overflowPunct/>
        <w:autoSpaceDE w:val="0"/>
        <w:autoSpaceDN w:val="0"/>
        <w:bidi w:val="0"/>
        <w:adjustRightInd w:val="0"/>
        <w:snapToGrid w:val="0"/>
        <w:spacing w:after="120" w:afterLines="50"/>
        <w:outlineLvl w:val="0"/>
        <w:rPr>
          <w:rFonts w:hint="eastAsia" w:ascii="宋体" w:hAnsi="宋体" w:eastAsia="宋体" w:cs="宋体"/>
          <w:color w:val="auto"/>
          <w:highlight w:val="none"/>
        </w:rPr>
        <w:sectPr>
          <w:headerReference r:id="rId9" w:type="default"/>
          <w:footerReference r:id="rId10" w:type="default"/>
          <w:pgSz w:w="11906" w:h="16838"/>
          <w:pgMar w:top="1418" w:right="1418" w:bottom="1418" w:left="1418" w:header="851" w:footer="850" w:gutter="0"/>
          <w:pgNumType w:start="1"/>
          <w:cols w:space="720" w:num="1"/>
          <w:docGrid w:linePitch="312" w:charSpace="0"/>
        </w:sectPr>
      </w:pPr>
      <w:r>
        <w:rPr>
          <w:rFonts w:hint="eastAsia" w:ascii="宋体" w:hAnsi="宋体" w:eastAsia="宋体" w:cs="宋体"/>
          <w:color w:val="auto"/>
          <w:sz w:val="28"/>
          <w:szCs w:val="36"/>
          <w:highlight w:val="none"/>
        </w:rPr>
        <w:fldChar w:fldCharType="end"/>
      </w:r>
    </w:p>
    <w:p w14:paraId="1DADFAF1">
      <w:pPr>
        <w:pStyle w:val="396"/>
        <w:wordWrap w:val="0"/>
        <w:ind w:left="0" w:leftChars="0" w:firstLine="0" w:firstLineChars="0"/>
        <w:jc w:val="center"/>
        <w:rPr>
          <w:rFonts w:hint="default" w:cs="宋体"/>
          <w:b/>
          <w:bCs/>
          <w:color w:val="auto"/>
          <w:sz w:val="24"/>
          <w:highlight w:val="none"/>
        </w:rPr>
      </w:pPr>
      <w:bookmarkStart w:id="3" w:name="_Toc28967"/>
      <w:bookmarkStart w:id="4" w:name="OLE_LINK1"/>
      <w:r>
        <w:rPr>
          <w:rFonts w:cs="宋体"/>
          <w:b/>
          <w:color w:val="auto"/>
          <w:spacing w:val="14"/>
          <w:sz w:val="44"/>
          <w:szCs w:val="44"/>
          <w:highlight w:val="none"/>
        </w:rPr>
        <w:t>电子招投标特别提示</w:t>
      </w:r>
    </w:p>
    <w:p w14:paraId="547D4CC4">
      <w:pPr>
        <w:wordWrap w:val="0"/>
        <w:spacing w:line="360" w:lineRule="exact"/>
        <w:ind w:firstLine="422"/>
        <w:rPr>
          <w:rFonts w:ascii="宋体" w:hAnsi="宋体" w:cs="宋体"/>
          <w:b/>
          <w:bCs/>
          <w:color w:val="auto"/>
          <w:szCs w:val="21"/>
          <w:highlight w:val="none"/>
          <w:u w:val="double"/>
        </w:rPr>
      </w:pPr>
      <w:r>
        <w:rPr>
          <w:rFonts w:hint="eastAsia" w:ascii="宋体" w:hAnsi="宋体" w:cs="宋体"/>
          <w:b/>
          <w:bCs/>
          <w:color w:val="auto"/>
          <w:szCs w:val="21"/>
          <w:highlight w:val="none"/>
          <w:u w:val="double"/>
        </w:rPr>
        <w:t>一、投标人（供应商）注册</w:t>
      </w:r>
    </w:p>
    <w:p w14:paraId="3D362B92">
      <w:pPr>
        <w:wordWrap w:val="0"/>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凡有意参加本项目的投标人（供应商），请登录“固始县公共资源交易网（http://gushi.xyggzyjy.cn）”网站进行交易主体自主注册，按网站公告通知有关要求填报企业信息并上传有关原件扫描件至诚信库，不需携带原件到固始县公共资源交易中心进行审核。投标人（供应商）应对所上传材料的真实性、合法性、有效性负责，其上传的信息将全部对外公示，接受社会监督。</w:t>
      </w:r>
    </w:p>
    <w:p w14:paraId="1D3297B4">
      <w:pPr>
        <w:wordWrap w:val="0"/>
        <w:spacing w:line="360" w:lineRule="exact"/>
        <w:ind w:firstLine="422"/>
        <w:rPr>
          <w:rFonts w:ascii="宋体" w:hAnsi="宋体" w:cs="宋体"/>
          <w:b/>
          <w:bCs/>
          <w:color w:val="auto"/>
          <w:szCs w:val="21"/>
          <w:highlight w:val="none"/>
          <w:u w:val="double"/>
        </w:rPr>
      </w:pPr>
      <w:r>
        <w:rPr>
          <w:rFonts w:hint="eastAsia" w:ascii="宋体" w:hAnsi="宋体" w:cs="宋体"/>
          <w:b/>
          <w:bCs/>
          <w:color w:val="auto"/>
          <w:szCs w:val="21"/>
          <w:highlight w:val="none"/>
          <w:u w:val="double"/>
        </w:rPr>
        <w:t>二、办理CA数字证书</w:t>
      </w:r>
    </w:p>
    <w:p w14:paraId="3169CBEE">
      <w:pPr>
        <w:wordWrap w:val="0"/>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完成企业诚信库注册后，必须办理CA数字证书方可在网上办理招投标相关业务。投标人（供应商）根据《固始县公共资源交易网》下载中心有关办理CA数字证书的要求，准备好CA办理所需资料，到固始县公共资源交易中心现场办理CA数字证书。</w:t>
      </w:r>
    </w:p>
    <w:p w14:paraId="6A789495">
      <w:pPr>
        <w:wordWrap w:val="0"/>
        <w:spacing w:line="360" w:lineRule="exact"/>
        <w:ind w:firstLine="422"/>
        <w:rPr>
          <w:rFonts w:ascii="宋体" w:hAnsi="宋体" w:cs="宋体"/>
          <w:b/>
          <w:bCs/>
          <w:color w:val="auto"/>
          <w:szCs w:val="21"/>
          <w:highlight w:val="none"/>
          <w:u w:val="double"/>
        </w:rPr>
      </w:pPr>
      <w:r>
        <w:rPr>
          <w:rFonts w:hint="eastAsia" w:ascii="宋体" w:hAnsi="宋体" w:cs="宋体"/>
          <w:b/>
          <w:bCs/>
          <w:color w:val="auto"/>
          <w:szCs w:val="21"/>
          <w:highlight w:val="none"/>
          <w:u w:val="double"/>
        </w:rPr>
        <w:t>三、招标（采购）文件获取方式</w:t>
      </w:r>
    </w:p>
    <w:p w14:paraId="17A1C4A6">
      <w:pPr>
        <w:wordWrap w:val="0"/>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投标人（供应商）凭CA数字证书登录会员系统后，即可按网上提示免费下载招标（采购）文件及资料（操作程序详见固始县公共资源交易网网站下载中心栏目里投标人操作手册）。招标文件（*.gstf 格式）下载后需使用“固始县投标文件制作工具软件”打开（该工具软件可在“固始县公共资源交易网（http://gushi.xyggzyjy.cn）”网站下载中心栏目内下载或在招标文件领取页面下载）。</w:t>
      </w:r>
    </w:p>
    <w:p w14:paraId="2BE58EF7">
      <w:pPr>
        <w:tabs>
          <w:tab w:val="left" w:pos="0"/>
        </w:tabs>
        <w:wordWrap w:val="0"/>
        <w:spacing w:line="360" w:lineRule="exact"/>
        <w:ind w:firstLine="422"/>
        <w:rPr>
          <w:rFonts w:ascii="宋体" w:hAnsi="宋体" w:cs="宋体"/>
          <w:b/>
          <w:bCs/>
          <w:color w:val="auto"/>
          <w:szCs w:val="21"/>
          <w:highlight w:val="none"/>
          <w:u w:val="double"/>
        </w:rPr>
      </w:pPr>
      <w:r>
        <w:rPr>
          <w:rFonts w:hint="eastAsia" w:ascii="宋体" w:hAnsi="宋体" w:cs="宋体"/>
          <w:b/>
          <w:bCs/>
          <w:color w:val="auto"/>
          <w:szCs w:val="21"/>
          <w:highlight w:val="none"/>
          <w:u w:val="double"/>
        </w:rPr>
        <w:t>四、投标（响应）文件制作</w:t>
      </w:r>
    </w:p>
    <w:p w14:paraId="28E2C44F">
      <w:pPr>
        <w:tabs>
          <w:tab w:val="left" w:pos="0"/>
        </w:tabs>
        <w:wordWrap w:val="0"/>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投标（响应）文件应使用固始县公共资源交易系统投标文件制作专用工具软件编制，投标（响应）文件格式为“（*.gstf 格式和*.ngstf 格式）”。</w:t>
      </w:r>
    </w:p>
    <w:p w14:paraId="5B852BE1">
      <w:pPr>
        <w:tabs>
          <w:tab w:val="left" w:pos="0"/>
        </w:tabs>
        <w:wordWrap w:val="0"/>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投标人（供应商）须在投标（响应）文件递交截止时间前制作并提交。</w:t>
      </w:r>
    </w:p>
    <w:p w14:paraId="76343AC7">
      <w:pPr>
        <w:pStyle w:val="23"/>
        <w:wordWrap w:val="0"/>
        <w:spacing w:line="360" w:lineRule="exact"/>
        <w:ind w:firstLine="422"/>
        <w:rPr>
          <w:rFonts w:ascii="宋体" w:hAnsi="宋体" w:cs="宋体"/>
          <w:b/>
          <w:bCs/>
          <w:color w:val="auto"/>
          <w:szCs w:val="21"/>
          <w:highlight w:val="none"/>
        </w:rPr>
      </w:pPr>
      <w:r>
        <w:rPr>
          <w:rFonts w:hint="eastAsia" w:ascii="宋体" w:hAnsi="宋体" w:cs="宋体"/>
          <w:b/>
          <w:bCs/>
          <w:color w:val="auto"/>
          <w:szCs w:val="21"/>
          <w:highlight w:val="none"/>
          <w:u w:val="double"/>
        </w:rPr>
        <w:t>五、投标（响应）文件的签字和盖章要求</w:t>
      </w:r>
    </w:p>
    <w:p w14:paraId="732D8C97">
      <w:pPr>
        <w:wordWrap w:val="0"/>
        <w:adjustRightInd w:val="0"/>
        <w:snapToGrid w:val="0"/>
        <w:spacing w:line="36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1、投标文件（响应）格式中所有要求投标人（供应商）加盖公章的地方都须加盖投标人（供应商）的 CA 印章。</w:t>
      </w:r>
    </w:p>
    <w:p w14:paraId="45CE4A7F">
      <w:pPr>
        <w:wordWrap w:val="0"/>
        <w:adjustRightInd w:val="0"/>
        <w:snapToGrid w:val="0"/>
        <w:spacing w:line="360" w:lineRule="exact"/>
        <w:ind w:left="-126" w:leftChars="-60" w:firstLine="525" w:firstLineChars="250"/>
        <w:jc w:val="left"/>
        <w:rPr>
          <w:rFonts w:ascii="宋体" w:hAnsi="宋体" w:cs="宋体"/>
          <w:b/>
          <w:bCs/>
          <w:color w:val="auto"/>
          <w:szCs w:val="21"/>
          <w:highlight w:val="none"/>
        </w:rPr>
      </w:pPr>
      <w:r>
        <w:rPr>
          <w:rFonts w:hint="eastAsia" w:ascii="宋体" w:hAnsi="宋体" w:cs="宋体"/>
          <w:color w:val="auto"/>
          <w:szCs w:val="21"/>
          <w:highlight w:val="none"/>
        </w:rPr>
        <w:t>2、投标文件（响应）格式中所有要求法定代表人或其委托代理人签字或盖章的地方</w:t>
      </w:r>
      <w:r>
        <w:rPr>
          <w:rFonts w:hint="eastAsia" w:ascii="宋体" w:hAnsi="宋体" w:cs="宋体"/>
          <w:b/>
          <w:bCs/>
          <w:color w:val="auto"/>
          <w:szCs w:val="21"/>
          <w:highlight w:val="none"/>
        </w:rPr>
        <w:t>（不含授权委托书委托人签字）</w:t>
      </w:r>
      <w:r>
        <w:rPr>
          <w:rFonts w:hint="eastAsia" w:ascii="宋体" w:hAnsi="宋体" w:cs="宋体"/>
          <w:color w:val="auto"/>
          <w:szCs w:val="21"/>
          <w:highlight w:val="none"/>
        </w:rPr>
        <w:t>都须加盖法定代表人</w:t>
      </w:r>
      <w:r>
        <w:rPr>
          <w:rFonts w:hint="eastAsia" w:ascii="宋体" w:hAnsi="宋体" w:cs="宋体"/>
          <w:b/>
          <w:bCs/>
          <w:color w:val="auto"/>
          <w:szCs w:val="21"/>
          <w:highlight w:val="none"/>
        </w:rPr>
        <w:t>CA 印章。</w:t>
      </w:r>
    </w:p>
    <w:p w14:paraId="297B9437">
      <w:pPr>
        <w:pStyle w:val="23"/>
        <w:wordWrap w:val="0"/>
        <w:spacing w:line="360" w:lineRule="exact"/>
        <w:ind w:firstLine="422"/>
        <w:rPr>
          <w:rFonts w:ascii="宋体" w:hAnsi="宋体" w:cs="宋体"/>
          <w:b/>
          <w:bCs/>
          <w:color w:val="auto"/>
          <w:szCs w:val="21"/>
          <w:highlight w:val="none"/>
          <w:u w:val="double"/>
        </w:rPr>
      </w:pPr>
      <w:r>
        <w:rPr>
          <w:rFonts w:hint="eastAsia" w:ascii="宋体" w:hAnsi="宋体" w:cs="宋体"/>
          <w:b/>
          <w:bCs/>
          <w:color w:val="auto"/>
          <w:szCs w:val="21"/>
          <w:highlight w:val="none"/>
          <w:u w:val="double"/>
        </w:rPr>
        <w:t>六、投标文件份数</w:t>
      </w:r>
    </w:p>
    <w:p w14:paraId="497A6651">
      <w:pPr>
        <w:wordWrap w:val="0"/>
        <w:adjustRightInd w:val="0"/>
        <w:snapToGrid w:val="0"/>
        <w:spacing w:line="36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加密的电子投标（响应）文件壹份（*.gstf 格式和*.ngstf 格式），在会员系统指定位置上传）。</w:t>
      </w:r>
    </w:p>
    <w:p w14:paraId="763B5448">
      <w:pPr>
        <w:pStyle w:val="23"/>
        <w:wordWrap w:val="0"/>
        <w:spacing w:line="360" w:lineRule="exact"/>
        <w:ind w:firstLine="422"/>
        <w:rPr>
          <w:rFonts w:ascii="宋体" w:hAnsi="宋体" w:cs="宋体"/>
          <w:b/>
          <w:bCs/>
          <w:color w:val="auto"/>
          <w:szCs w:val="21"/>
          <w:highlight w:val="none"/>
          <w:u w:val="double"/>
        </w:rPr>
      </w:pPr>
      <w:r>
        <w:rPr>
          <w:rFonts w:hint="eastAsia" w:ascii="宋体" w:hAnsi="宋体" w:cs="宋体"/>
          <w:b/>
          <w:bCs/>
          <w:color w:val="auto"/>
          <w:szCs w:val="21"/>
          <w:highlight w:val="none"/>
          <w:u w:val="double"/>
        </w:rPr>
        <w:t>七、投标（响应）文件的递交</w:t>
      </w:r>
    </w:p>
    <w:p w14:paraId="7C809171">
      <w:pPr>
        <w:wordWrap w:val="0"/>
        <w:adjustRightInd w:val="0"/>
        <w:snapToGrid w:val="0"/>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1、电子投标（响应）文件的递交</w:t>
      </w:r>
    </w:p>
    <w:p w14:paraId="268214C7">
      <w:pPr>
        <w:wordWrap w:val="0"/>
        <w:spacing w:line="360" w:lineRule="exact"/>
        <w:ind w:firstLine="420"/>
        <w:jc w:val="left"/>
        <w:rPr>
          <w:rFonts w:ascii="宋体" w:hAnsi="宋体" w:cs="宋体"/>
          <w:color w:val="auto"/>
          <w:szCs w:val="21"/>
          <w:highlight w:val="none"/>
        </w:rPr>
      </w:pPr>
      <w:r>
        <w:rPr>
          <w:rFonts w:hint="eastAsia" w:ascii="宋体" w:hAnsi="宋体" w:cs="宋体"/>
          <w:color w:val="auto"/>
          <w:szCs w:val="21"/>
          <w:highlight w:val="none"/>
        </w:rPr>
        <w:t>各投标（供应商）人应在投标截止时间前上传加密的电子投标（响应）文件（*.gstf 格式和*.ngstf 格式）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09111B0E">
      <w:pPr>
        <w:wordWrap w:val="0"/>
        <w:spacing w:line="36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2、除电子投标（响应）文件外，不再接受任何纸质文件、资料原件等。</w:t>
      </w:r>
    </w:p>
    <w:p w14:paraId="7B0143A1">
      <w:pPr>
        <w:wordWrap w:val="0"/>
        <w:spacing w:line="360" w:lineRule="exact"/>
        <w:ind w:firstLine="422"/>
        <w:rPr>
          <w:rFonts w:ascii="宋体" w:hAnsi="宋体" w:cs="宋体"/>
          <w:b/>
          <w:bCs/>
          <w:color w:val="auto"/>
          <w:szCs w:val="21"/>
          <w:highlight w:val="none"/>
          <w:u w:val="double"/>
        </w:rPr>
        <w:sectPr>
          <w:footerReference r:id="rId11" w:type="default"/>
          <w:pgSz w:w="11905" w:h="16838"/>
          <w:pgMar w:top="1440" w:right="1080" w:bottom="1440" w:left="1080" w:header="850" w:footer="850" w:gutter="0"/>
          <w:pgNumType w:start="1"/>
          <w:cols w:space="720" w:num="1"/>
          <w:docGrid w:type="lines" w:linePitch="411" w:charSpace="0"/>
        </w:sectPr>
      </w:pPr>
    </w:p>
    <w:p w14:paraId="33DF65B6">
      <w:pPr>
        <w:wordWrap w:val="0"/>
        <w:spacing w:line="360" w:lineRule="exact"/>
        <w:ind w:firstLine="422"/>
        <w:rPr>
          <w:rFonts w:ascii="宋体" w:hAnsi="宋体" w:cs="宋体"/>
          <w:b/>
          <w:bCs/>
          <w:color w:val="auto"/>
          <w:szCs w:val="21"/>
          <w:highlight w:val="none"/>
          <w:u w:val="double"/>
        </w:rPr>
      </w:pPr>
      <w:r>
        <w:rPr>
          <w:rFonts w:hint="eastAsia" w:ascii="宋体" w:hAnsi="宋体" w:cs="宋体"/>
          <w:b/>
          <w:bCs/>
          <w:color w:val="auto"/>
          <w:szCs w:val="21"/>
          <w:highlight w:val="none"/>
          <w:u w:val="double"/>
        </w:rPr>
        <w:t>八、澄清与变更</w:t>
      </w:r>
    </w:p>
    <w:p w14:paraId="421436FD">
      <w:pPr>
        <w:wordWrap w:val="0"/>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如有疑问，以书面形式（包括信函、电报、传真等可以有形表现所载内容的形式），要求招标人（采购人）对招标（采购）文件予以澄清。澄清或修改的内容在固始县公共资源交易系统“变更公告”或“答疑文件”菜单进行发布，投标人（供应商）应在投标（响应）文件递交截止时间前及时查看澄清或修改内容，因投标人（采购人）未及时查看而造成的后果自负。</w:t>
      </w:r>
    </w:p>
    <w:p w14:paraId="17C291A3">
      <w:pPr>
        <w:widowControl/>
        <w:numPr>
          <w:ilvl w:val="0"/>
          <w:numId w:val="1"/>
        </w:numPr>
        <w:wordWrap w:val="0"/>
        <w:spacing w:line="360" w:lineRule="exact"/>
        <w:ind w:firstLine="422"/>
        <w:jc w:val="left"/>
        <w:rPr>
          <w:rFonts w:ascii="宋体" w:hAnsi="宋体" w:cs="宋体"/>
          <w:b/>
          <w:bCs/>
          <w:color w:val="auto"/>
          <w:szCs w:val="21"/>
          <w:highlight w:val="none"/>
          <w:u w:val="double"/>
        </w:rPr>
      </w:pPr>
      <w:r>
        <w:rPr>
          <w:rFonts w:hint="eastAsia" w:ascii="宋体" w:hAnsi="宋体" w:cs="宋体"/>
          <w:b/>
          <w:bCs/>
          <w:color w:val="auto"/>
          <w:szCs w:val="21"/>
          <w:highlight w:val="none"/>
          <w:u w:val="double"/>
        </w:rPr>
        <w:t xml:space="preserve">其他注意事项 </w:t>
      </w:r>
    </w:p>
    <w:p w14:paraId="49A4F912">
      <w:pPr>
        <w:widowControl/>
        <w:wordWrap w:val="0"/>
        <w:spacing w:line="400" w:lineRule="exact"/>
        <w:ind w:firstLine="422"/>
        <w:jc w:val="left"/>
        <w:rPr>
          <w:rFonts w:ascii="宋体" w:hAnsi="宋体" w:cs="宋体"/>
          <w:b/>
          <w:bCs/>
          <w:color w:val="auto"/>
          <w:szCs w:val="21"/>
          <w:highlight w:val="none"/>
          <w:u w:val="double"/>
        </w:rPr>
      </w:pPr>
      <w:r>
        <w:rPr>
          <w:rFonts w:hint="eastAsia" w:ascii="宋体" w:hAnsi="宋体" w:cs="宋体"/>
          <w:b/>
          <w:bCs/>
          <w:color w:val="auto"/>
          <w:szCs w:val="21"/>
          <w:highlight w:val="none"/>
          <w:u w:val="double"/>
        </w:rPr>
        <w:t>1、供应商编制投标文件时，涉及的营业执照、资质、获奖、社保、纳税等固定内容可在交易中心主体信用信息中录入</w:t>
      </w:r>
      <w:r>
        <w:rPr>
          <w:rFonts w:hint="eastAsia" w:ascii="宋体" w:hAnsi="宋体" w:cs="宋体"/>
          <w:b/>
          <w:bCs/>
          <w:color w:val="auto"/>
          <w:szCs w:val="21"/>
          <w:highlight w:val="none"/>
          <w:u w:val="double"/>
          <w:lang w:eastAsia="zh-CN"/>
        </w:rPr>
        <w:t>，</w:t>
      </w:r>
      <w:r>
        <w:rPr>
          <w:rFonts w:hint="eastAsia" w:ascii="宋体" w:hAnsi="宋体" w:cs="宋体"/>
          <w:b/>
          <w:bCs/>
          <w:color w:val="auto"/>
          <w:szCs w:val="21"/>
          <w:highlight w:val="none"/>
          <w:u w:val="double"/>
          <w:lang w:val="en-US" w:eastAsia="zh-CN"/>
        </w:rPr>
        <w:t>加强社会监督，不作为评审依据</w:t>
      </w:r>
      <w:r>
        <w:rPr>
          <w:rFonts w:hint="eastAsia" w:ascii="宋体" w:hAnsi="宋体" w:cs="宋体"/>
          <w:b/>
          <w:bCs/>
          <w:color w:val="auto"/>
          <w:szCs w:val="21"/>
          <w:highlight w:val="none"/>
          <w:u w:val="double"/>
        </w:rPr>
        <w:t xml:space="preserve">。 </w:t>
      </w:r>
    </w:p>
    <w:p w14:paraId="4EF03BA6">
      <w:pPr>
        <w:widowControl/>
        <w:wordWrap w:val="0"/>
        <w:spacing w:line="400" w:lineRule="exact"/>
        <w:ind w:firstLine="422"/>
        <w:jc w:val="left"/>
        <w:rPr>
          <w:rFonts w:ascii="宋体" w:hAnsi="宋体" w:cs="宋体"/>
          <w:b/>
          <w:bCs/>
          <w:color w:val="auto"/>
          <w:szCs w:val="21"/>
          <w:highlight w:val="none"/>
          <w:u w:val="double"/>
        </w:rPr>
      </w:pPr>
      <w:r>
        <w:rPr>
          <w:rFonts w:hint="eastAsia" w:ascii="宋体" w:hAnsi="宋体" w:cs="宋体"/>
          <w:b/>
          <w:bCs/>
          <w:color w:val="auto"/>
          <w:szCs w:val="21"/>
          <w:highlight w:val="none"/>
          <w:u w:val="double"/>
        </w:rPr>
        <w:t>2、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扫描件及本人身份证扫描件（加盖单位公章）一并提交），以质疑函接收确认日期作为受理时间；逾期未提交或未按照要求提交的质疑函将不予受理。</w:t>
      </w:r>
    </w:p>
    <w:p w14:paraId="6E9D498B">
      <w:pPr>
        <w:widowControl/>
        <w:wordWrap w:val="0"/>
        <w:spacing w:line="400" w:lineRule="exact"/>
        <w:ind w:firstLine="422"/>
        <w:jc w:val="left"/>
        <w:rPr>
          <w:rFonts w:ascii="宋体" w:hAnsi="宋体" w:cs="宋体"/>
          <w:b/>
          <w:bCs/>
          <w:color w:val="auto"/>
          <w:szCs w:val="21"/>
          <w:highlight w:val="none"/>
          <w:u w:val="double"/>
        </w:rPr>
      </w:pPr>
      <w:r>
        <w:rPr>
          <w:rFonts w:hint="eastAsia" w:ascii="宋体" w:hAnsi="宋体" w:cs="宋体"/>
          <w:b/>
          <w:bCs/>
          <w:color w:val="auto"/>
          <w:szCs w:val="21"/>
          <w:highlight w:val="none"/>
          <w:u w:val="double"/>
        </w:rPr>
        <w:t>十、特别提醒</w:t>
      </w:r>
    </w:p>
    <w:p w14:paraId="06682948">
      <w:pPr>
        <w:widowControl/>
        <w:wordWrap w:val="0"/>
        <w:spacing w:line="400" w:lineRule="exact"/>
        <w:ind w:firstLine="422"/>
        <w:jc w:val="left"/>
        <w:rPr>
          <w:rFonts w:ascii="宋体" w:hAnsi="宋体" w:cs="宋体"/>
          <w:b/>
          <w:bCs/>
          <w:color w:val="auto"/>
          <w:szCs w:val="21"/>
          <w:highlight w:val="none"/>
          <w:u w:val="double"/>
        </w:rPr>
      </w:pPr>
      <w:r>
        <w:rPr>
          <w:rFonts w:hint="eastAsia" w:ascii="宋体" w:hAnsi="宋体" w:cs="宋体"/>
          <w:b/>
          <w:bCs/>
          <w:color w:val="auto"/>
          <w:szCs w:val="21"/>
          <w:highlight w:val="none"/>
          <w:u w:val="double"/>
        </w:rPr>
        <w:t>投标文件中的扫描件，在确保清晰的前提下，每张最好控制在 500kb 内，生成的加密电子投标文件最好不要超过50MB。</w:t>
      </w:r>
    </w:p>
    <w:p w14:paraId="5D4CB5F5">
      <w:pPr>
        <w:pStyle w:val="23"/>
        <w:pageBreakBefore w:val="0"/>
        <w:kinsoku/>
        <w:wordWrap w:val="0"/>
        <w:overflowPunct/>
        <w:topLinePunct w:val="0"/>
        <w:bidi w:val="0"/>
        <w:ind w:left="0" w:leftChars="0" w:firstLine="0" w:firstLineChars="0"/>
        <w:rPr>
          <w:rFonts w:hint="eastAsia" w:ascii="宋体" w:hAnsi="宋体" w:eastAsia="宋体" w:cs="宋体"/>
          <w:color w:val="auto"/>
          <w:sz w:val="24"/>
          <w:szCs w:val="24"/>
          <w:highlight w:val="none"/>
        </w:rPr>
      </w:pPr>
    </w:p>
    <w:p w14:paraId="11DAC835">
      <w:pPr>
        <w:pStyle w:val="74"/>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color w:val="auto"/>
          <w:sz w:val="24"/>
          <w:szCs w:val="24"/>
          <w:highlight w:val="none"/>
          <w:lang w:val="en-US" w:eastAsia="zh-CN"/>
        </w:rPr>
        <w:sectPr>
          <w:headerReference r:id="rId12" w:type="default"/>
          <w:pgSz w:w="11906" w:h="16838"/>
          <w:pgMar w:top="1440" w:right="1080" w:bottom="1440" w:left="1080" w:header="851" w:footer="992" w:gutter="0"/>
          <w:pgNumType w:fmt="decimal"/>
          <w:cols w:space="720" w:num="1"/>
          <w:docGrid w:type="lines" w:linePitch="312" w:charSpace="0"/>
        </w:sectPr>
      </w:pPr>
    </w:p>
    <w:p w14:paraId="5214F015">
      <w:pPr>
        <w:pStyle w:val="2"/>
        <w:pageBreakBefore w:val="0"/>
        <w:kinsoku/>
        <w:wordWrap w:val="0"/>
        <w:overflowPunct/>
        <w:bidi w:val="0"/>
        <w:rPr>
          <w:rFonts w:hint="eastAsia" w:ascii="宋体" w:hAnsi="宋体" w:eastAsia="宋体" w:cs="宋体"/>
          <w:color w:val="auto"/>
          <w:highlight w:val="none"/>
          <w:lang w:val="en-US" w:eastAsia="zh-CN"/>
        </w:rPr>
      </w:pPr>
      <w:bookmarkStart w:id="5" w:name="_Toc2362"/>
      <w:r>
        <w:rPr>
          <w:rFonts w:hint="eastAsia" w:ascii="宋体" w:hAnsi="宋体" w:eastAsia="宋体" w:cs="宋体"/>
          <w:color w:val="auto"/>
          <w:highlight w:val="none"/>
          <w:lang w:val="en-US" w:eastAsia="zh-CN"/>
        </w:rPr>
        <w:t xml:space="preserve">第一章 </w:t>
      </w:r>
      <w:bookmarkEnd w:id="3"/>
      <w:r>
        <w:rPr>
          <w:rFonts w:hint="eastAsia" w:ascii="宋体" w:hAnsi="宋体" w:eastAsia="宋体" w:cs="宋体"/>
          <w:color w:val="auto"/>
          <w:highlight w:val="none"/>
          <w:lang w:val="en-US" w:eastAsia="zh-CN"/>
        </w:rPr>
        <w:t>竞争性磋商公告</w:t>
      </w:r>
      <w:bookmarkEnd w:id="5"/>
    </w:p>
    <w:p w14:paraId="0CDA12B3">
      <w:pPr>
        <w:pStyle w:val="23"/>
        <w:pageBreakBefore w:val="0"/>
        <w:kinsoku/>
        <w:wordWrap w:val="0"/>
        <w:overflowPunct/>
        <w:bidi w:val="0"/>
        <w:adjustRightInd w:val="0"/>
        <w:snapToGrid w:val="0"/>
        <w:spacing w:after="120" w:line="300" w:lineRule="auto"/>
        <w:jc w:val="cente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固始县2024年农作物重大病虫害绿色防控项目</w:t>
      </w:r>
    </w:p>
    <w:p w14:paraId="2181715A">
      <w:pPr>
        <w:pageBreakBefore w:val="0"/>
        <w:tabs>
          <w:tab w:val="left" w:pos="709"/>
        </w:tabs>
        <w:kinsoku/>
        <w:wordWrap w:val="0"/>
        <w:overflowPunct/>
        <w:autoSpaceDE w:val="0"/>
        <w:autoSpaceDN w:val="0"/>
        <w:bidi w:val="0"/>
        <w:adjustRightInd w:val="0"/>
        <w:snapToGrid w:val="0"/>
        <w:spacing w:line="360" w:lineRule="auto"/>
        <w:jc w:val="center"/>
        <w:rPr>
          <w:rFonts w:hint="eastAsia" w:ascii="宋体" w:hAnsi="宋体" w:eastAsia="宋体" w:cs="宋体"/>
          <w:b/>
          <w:color w:val="auto"/>
          <w:sz w:val="32"/>
          <w:szCs w:val="32"/>
          <w:highlight w:val="none"/>
        </w:rPr>
      </w:pPr>
      <w:bookmarkStart w:id="6" w:name="_Toc20435"/>
      <w:r>
        <w:rPr>
          <w:rFonts w:hint="eastAsia" w:ascii="宋体" w:hAnsi="宋体" w:eastAsia="宋体" w:cs="宋体"/>
          <w:b/>
          <w:color w:val="auto"/>
          <w:sz w:val="32"/>
          <w:szCs w:val="32"/>
          <w:highlight w:val="none"/>
        </w:rPr>
        <w:t>竞争性磋商公告</w:t>
      </w:r>
    </w:p>
    <w:bookmarkEnd w:id="4"/>
    <w:p w14:paraId="117866EA">
      <w:pPr>
        <w:pageBreakBefore w:val="0"/>
        <w:pBdr>
          <w:top w:val="single" w:color="auto" w:sz="4" w:space="1"/>
          <w:left w:val="single" w:color="auto" w:sz="4" w:space="4"/>
          <w:bottom w:val="single" w:color="auto" w:sz="4" w:space="1"/>
          <w:right w:val="single" w:color="auto" w:sz="4" w:space="4"/>
        </w:pBdr>
        <w:kinsoku/>
        <w:wordWrap w:val="0"/>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06C1C1D8">
      <w:pPr>
        <w:pageBreakBefore w:val="0"/>
        <w:pBdr>
          <w:top w:val="single" w:color="auto" w:sz="4" w:space="1"/>
          <w:left w:val="single" w:color="auto" w:sz="4" w:space="4"/>
          <w:bottom w:val="single" w:color="auto" w:sz="4" w:space="1"/>
          <w:right w:val="single" w:color="auto" w:sz="4" w:space="4"/>
        </w:pBdr>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bCs/>
          <w:color w:val="auto"/>
          <w:szCs w:val="21"/>
          <w:highlight w:val="none"/>
          <w:u w:val="single"/>
          <w:shd w:val="clear" w:color="auto" w:fill="FFFFFF"/>
          <w:lang w:eastAsia="zh-CN"/>
        </w:rPr>
        <w:t>固始县2024年农作物重大病虫害绿色防控项目</w:t>
      </w:r>
      <w:r>
        <w:rPr>
          <w:rFonts w:hint="eastAsia" w:ascii="宋体" w:hAnsi="宋体" w:eastAsia="宋体" w:cs="宋体"/>
          <w:color w:val="auto"/>
          <w:szCs w:val="21"/>
          <w:highlight w:val="none"/>
          <w:shd w:val="clear" w:color="auto" w:fill="FFFFFF"/>
        </w:rPr>
        <w:t>招标项目的潜在投标人应在《</w:t>
      </w:r>
      <w:r>
        <w:rPr>
          <w:rFonts w:hint="eastAsia" w:ascii="宋体" w:hAnsi="宋体" w:cs="宋体"/>
          <w:color w:val="auto"/>
          <w:szCs w:val="21"/>
          <w:highlight w:val="none"/>
          <w:shd w:val="clear" w:color="auto" w:fill="FFFFFF"/>
          <w:lang w:eastAsia="zh-CN"/>
        </w:rPr>
        <w:t>固始县公共资源交易网</w:t>
      </w:r>
      <w:r>
        <w:rPr>
          <w:rFonts w:hint="eastAsia" w:ascii="宋体" w:hAnsi="宋体" w:eastAsia="宋体" w:cs="宋体"/>
          <w:color w:val="auto"/>
          <w:szCs w:val="21"/>
          <w:highlight w:val="none"/>
          <w:shd w:val="clear" w:color="auto" w:fill="FFFFFF"/>
        </w:rPr>
        <w:t>》</w:t>
      </w:r>
      <w:r>
        <w:rPr>
          <w:rFonts w:hint="eastAsia" w:ascii="宋体" w:hAnsi="宋体" w:eastAsia="宋体" w:cs="宋体"/>
          <w:bCs/>
          <w:color w:val="auto"/>
          <w:szCs w:val="21"/>
          <w:highlight w:val="none"/>
          <w:u w:val="single"/>
          <w:shd w:val="clear" w:color="auto" w:fill="FFFFFF"/>
          <w:lang w:eastAsia="zh-CN"/>
        </w:rPr>
        <w:t>（</w:t>
      </w:r>
      <w:r>
        <w:rPr>
          <w:rFonts w:hint="eastAsia" w:ascii="宋体" w:hAnsi="宋体" w:cs="宋体"/>
          <w:bCs/>
          <w:color w:val="auto"/>
          <w:szCs w:val="21"/>
          <w:highlight w:val="none"/>
          <w:u w:val="single"/>
          <w:shd w:val="clear" w:color="auto" w:fill="FFFFFF"/>
          <w:lang w:eastAsia="zh-CN"/>
        </w:rPr>
        <w:t>http://gushi.xyggzyjy.cn/</w:t>
      </w:r>
      <w:r>
        <w:rPr>
          <w:rFonts w:hint="eastAsia" w:ascii="宋体" w:hAnsi="宋体" w:eastAsia="宋体" w:cs="宋体"/>
          <w:bCs/>
          <w:color w:val="auto"/>
          <w:szCs w:val="21"/>
          <w:highlight w:val="none"/>
          <w:u w:val="single"/>
          <w:shd w:val="clear" w:color="auto" w:fill="FFFFFF"/>
          <w:lang w:eastAsia="zh-CN"/>
        </w:rPr>
        <w:t>）</w:t>
      </w:r>
      <w:r>
        <w:rPr>
          <w:rFonts w:hint="eastAsia" w:ascii="宋体" w:hAnsi="宋体" w:eastAsia="宋体" w:cs="宋体"/>
          <w:color w:val="auto"/>
          <w:szCs w:val="21"/>
          <w:highlight w:val="none"/>
          <w:shd w:val="clear" w:color="auto" w:fill="FFFFFF"/>
        </w:rPr>
        <w:t>获取磋商文件，并于</w:t>
      </w:r>
      <w:r>
        <w:rPr>
          <w:rFonts w:hint="eastAsia" w:ascii="宋体" w:hAnsi="宋体" w:cs="宋体"/>
          <w:bCs/>
          <w:color w:val="auto"/>
          <w:szCs w:val="21"/>
          <w:highlight w:val="none"/>
          <w:u w:val="single"/>
          <w:shd w:val="clear" w:color="auto" w:fill="FFFFFF"/>
          <w:lang w:eastAsia="zh-CN"/>
        </w:rPr>
        <w:t>2024年11月15日</w:t>
      </w:r>
      <w:r>
        <w:rPr>
          <w:rFonts w:hint="eastAsia" w:ascii="宋体" w:hAnsi="宋体" w:eastAsia="宋体" w:cs="宋体"/>
          <w:bCs/>
          <w:color w:val="auto"/>
          <w:szCs w:val="21"/>
          <w:highlight w:val="none"/>
          <w:u w:val="single"/>
          <w:shd w:val="clear" w:color="auto" w:fill="FFFFFF"/>
          <w:lang w:val="en-US" w:eastAsia="zh-CN"/>
        </w:rPr>
        <w:t>08</w:t>
      </w:r>
      <w:r>
        <w:rPr>
          <w:rFonts w:hint="eastAsia" w:ascii="宋体" w:hAnsi="宋体" w:eastAsia="宋体" w:cs="宋体"/>
          <w:bCs/>
          <w:color w:val="auto"/>
          <w:szCs w:val="21"/>
          <w:highlight w:val="none"/>
          <w:u w:val="single"/>
          <w:shd w:val="clear" w:color="auto" w:fill="FFFFFF"/>
        </w:rPr>
        <w:t>时</w:t>
      </w:r>
      <w:r>
        <w:rPr>
          <w:rFonts w:hint="eastAsia" w:ascii="宋体" w:hAnsi="宋体" w:eastAsia="宋体" w:cs="宋体"/>
          <w:bCs/>
          <w:color w:val="auto"/>
          <w:szCs w:val="21"/>
          <w:highlight w:val="none"/>
          <w:u w:val="single"/>
          <w:shd w:val="clear" w:color="auto" w:fill="FFFFFF"/>
          <w:lang w:val="en-US" w:eastAsia="zh-CN"/>
        </w:rPr>
        <w:t>30</w:t>
      </w:r>
      <w:r>
        <w:rPr>
          <w:rFonts w:hint="eastAsia" w:ascii="宋体" w:hAnsi="宋体" w:eastAsia="宋体" w:cs="宋体"/>
          <w:bCs/>
          <w:color w:val="auto"/>
          <w:szCs w:val="21"/>
          <w:highlight w:val="none"/>
          <w:u w:val="single"/>
          <w:shd w:val="clear" w:color="auto" w:fill="FFFFFF"/>
        </w:rPr>
        <w:t>分</w:t>
      </w:r>
      <w:r>
        <w:rPr>
          <w:rFonts w:hint="eastAsia" w:ascii="宋体" w:hAnsi="宋体" w:eastAsia="宋体" w:cs="宋体"/>
          <w:color w:val="auto"/>
          <w:szCs w:val="21"/>
          <w:highlight w:val="none"/>
          <w:shd w:val="clear" w:color="auto" w:fill="FFFFFF"/>
        </w:rPr>
        <w:t>（北京时间）前递交响应文件。</w:t>
      </w:r>
    </w:p>
    <w:p w14:paraId="73255383">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一、项目基本情况</w:t>
      </w:r>
    </w:p>
    <w:p w14:paraId="3EA69F3A">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1、采购编号：</w:t>
      </w:r>
      <w:r>
        <w:rPr>
          <w:rFonts w:hint="eastAsia" w:ascii="宋体" w:hAnsi="宋体" w:cs="宋体"/>
          <w:color w:val="auto"/>
          <w:szCs w:val="21"/>
          <w:highlight w:val="none"/>
          <w:lang w:eastAsia="zh-CN"/>
        </w:rPr>
        <w:t>固财磋商采购-2024-44</w:t>
      </w:r>
    </w:p>
    <w:p w14:paraId="45C54BB1">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2、项目名称：</w:t>
      </w:r>
      <w:r>
        <w:rPr>
          <w:rFonts w:hint="eastAsia" w:ascii="宋体" w:hAnsi="宋体" w:cs="宋体"/>
          <w:color w:val="auto"/>
          <w:szCs w:val="21"/>
          <w:highlight w:val="none"/>
          <w:lang w:eastAsia="zh-CN"/>
        </w:rPr>
        <w:t>固始县2024年农作物重大病虫害绿色防控项目</w:t>
      </w:r>
    </w:p>
    <w:p w14:paraId="5F390489">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3、采购方式：竞争性磋商</w:t>
      </w:r>
    </w:p>
    <w:p w14:paraId="2CA35F4D">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4、预算金额：</w:t>
      </w:r>
      <w:r>
        <w:rPr>
          <w:rFonts w:hint="eastAsia" w:ascii="宋体" w:hAnsi="宋体" w:cs="宋体"/>
          <w:color w:val="auto"/>
          <w:szCs w:val="21"/>
          <w:highlight w:val="none"/>
          <w:lang w:eastAsia="zh-CN"/>
        </w:rPr>
        <w:t>1632420.0</w:t>
      </w:r>
      <w:r>
        <w:rPr>
          <w:rFonts w:hint="eastAsia" w:ascii="宋体" w:hAnsi="宋体" w:eastAsia="宋体" w:cs="宋体"/>
          <w:color w:val="auto"/>
          <w:szCs w:val="21"/>
          <w:highlight w:val="none"/>
        </w:rPr>
        <w:t>元</w:t>
      </w:r>
    </w:p>
    <w:p w14:paraId="21762374">
      <w:pPr>
        <w:pageBreakBefore w:val="0"/>
        <w:kinsoku/>
        <w:wordWrap w:val="0"/>
        <w:overflowPunct/>
        <w:bidi w:val="0"/>
        <w:spacing w:line="360" w:lineRule="auto"/>
        <w:ind w:firstLine="945" w:firstLineChars="450"/>
        <w:rPr>
          <w:rFonts w:hint="eastAsia" w:ascii="宋体" w:hAnsi="宋体" w:eastAsia="宋体" w:cs="宋体"/>
          <w:color w:val="auto"/>
          <w:highlight w:val="none"/>
        </w:rPr>
      </w:pPr>
      <w:r>
        <w:rPr>
          <w:rFonts w:hint="eastAsia" w:ascii="宋体" w:hAnsi="宋体" w:eastAsia="宋体" w:cs="宋体"/>
          <w:bCs/>
          <w:color w:val="auto"/>
          <w:szCs w:val="21"/>
          <w:highlight w:val="none"/>
        </w:rPr>
        <w:t>最高限价：</w:t>
      </w:r>
      <w:r>
        <w:rPr>
          <w:rFonts w:hint="eastAsia" w:ascii="宋体" w:hAnsi="宋体" w:cs="宋体"/>
          <w:bCs/>
          <w:color w:val="auto"/>
          <w:szCs w:val="21"/>
          <w:highlight w:val="none"/>
          <w:lang w:eastAsia="zh-CN"/>
        </w:rPr>
        <w:t>1632420.0</w:t>
      </w:r>
      <w:r>
        <w:rPr>
          <w:rFonts w:hint="eastAsia" w:ascii="宋体" w:hAnsi="宋体" w:eastAsia="宋体" w:cs="宋体"/>
          <w:color w:val="auto"/>
          <w:szCs w:val="21"/>
          <w:highlight w:val="none"/>
          <w:lang w:bidi="zh-CN"/>
        </w:rPr>
        <w:t>元</w:t>
      </w:r>
    </w:p>
    <w:tbl>
      <w:tblPr>
        <w:tblStyle w:val="52"/>
        <w:tblpPr w:leftFromText="180" w:rightFromText="180" w:vertAnchor="text" w:horzAnchor="page" w:tblpX="1521" w:tblpY="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2037"/>
        <w:gridCol w:w="2977"/>
        <w:gridCol w:w="1688"/>
        <w:gridCol w:w="1714"/>
      </w:tblGrid>
      <w:tr w14:paraId="36ECE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7"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DA6A664">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序号</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244E40E9">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包号</w:t>
            </w:r>
          </w:p>
        </w:tc>
        <w:tc>
          <w:tcPr>
            <w:tcW w:w="2977" w:type="dxa"/>
            <w:tcBorders>
              <w:top w:val="single" w:color="000000" w:sz="4" w:space="0"/>
              <w:left w:val="single" w:color="000000" w:sz="4" w:space="0"/>
              <w:bottom w:val="single" w:color="000000" w:sz="4" w:space="0"/>
              <w:right w:val="single" w:color="auto" w:sz="4" w:space="0"/>
            </w:tcBorders>
            <w:noWrap w:val="0"/>
            <w:vAlign w:val="center"/>
          </w:tcPr>
          <w:p w14:paraId="27DB31DE">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包名称</w:t>
            </w:r>
          </w:p>
        </w:tc>
        <w:tc>
          <w:tcPr>
            <w:tcW w:w="1688" w:type="dxa"/>
            <w:tcBorders>
              <w:top w:val="single" w:color="000000" w:sz="4" w:space="0"/>
              <w:left w:val="single" w:color="000000" w:sz="4" w:space="0"/>
              <w:bottom w:val="single" w:color="000000" w:sz="4" w:space="0"/>
              <w:right w:val="single" w:color="auto" w:sz="4" w:space="0"/>
            </w:tcBorders>
            <w:noWrap w:val="0"/>
            <w:vAlign w:val="center"/>
          </w:tcPr>
          <w:p w14:paraId="2F554DC4">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预算金额（元）</w:t>
            </w:r>
          </w:p>
        </w:tc>
        <w:tc>
          <w:tcPr>
            <w:tcW w:w="1714" w:type="dxa"/>
            <w:tcBorders>
              <w:top w:val="single" w:color="000000" w:sz="4" w:space="0"/>
              <w:left w:val="single" w:color="auto" w:sz="4" w:space="0"/>
              <w:bottom w:val="single" w:color="000000" w:sz="4" w:space="0"/>
              <w:right w:val="single" w:color="auto" w:sz="4" w:space="0"/>
            </w:tcBorders>
            <w:noWrap w:val="0"/>
            <w:vAlign w:val="center"/>
          </w:tcPr>
          <w:p w14:paraId="6A592BFB">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最高限价（元）</w:t>
            </w:r>
          </w:p>
        </w:tc>
      </w:tr>
      <w:tr w14:paraId="7DB6D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23CE4C2">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30809CAB">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eastAsia="zh-CN"/>
              </w:rPr>
              <w:t>固财磋商采购-2024-44</w:t>
            </w:r>
            <w:r>
              <w:rPr>
                <w:rFonts w:hint="eastAsia" w:ascii="宋体" w:hAnsi="宋体" w:eastAsia="宋体" w:cs="宋体"/>
                <w:color w:val="auto"/>
                <w:szCs w:val="21"/>
                <w:highlight w:val="none"/>
                <w:shd w:val="clear" w:color="auto" w:fill="FFFFFF"/>
                <w:lang w:val="en-US" w:eastAsia="zh-CN"/>
              </w:rPr>
              <w:t>-1</w:t>
            </w:r>
          </w:p>
        </w:tc>
        <w:tc>
          <w:tcPr>
            <w:tcW w:w="2977" w:type="dxa"/>
            <w:tcBorders>
              <w:top w:val="single" w:color="000000" w:sz="4" w:space="0"/>
              <w:left w:val="single" w:color="000000" w:sz="4" w:space="0"/>
              <w:bottom w:val="single" w:color="000000" w:sz="4" w:space="0"/>
              <w:right w:val="single" w:color="auto" w:sz="4" w:space="0"/>
            </w:tcBorders>
            <w:noWrap w:val="0"/>
            <w:vAlign w:val="center"/>
          </w:tcPr>
          <w:p w14:paraId="4CEDCCE0">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eastAsia="zh-CN"/>
              </w:rPr>
              <w:t>固始县2024年农作物重大病虫害绿色防控项目</w:t>
            </w:r>
            <w:r>
              <w:rPr>
                <w:rFonts w:hint="eastAsia" w:ascii="宋体" w:hAnsi="宋体" w:eastAsia="宋体" w:cs="宋体"/>
                <w:color w:val="auto"/>
                <w:szCs w:val="21"/>
                <w:highlight w:val="none"/>
                <w:shd w:val="clear" w:color="auto" w:fill="FFFFFF"/>
                <w:lang w:val="en-US" w:eastAsia="zh-CN"/>
              </w:rPr>
              <w:t>1包</w:t>
            </w:r>
          </w:p>
        </w:tc>
        <w:tc>
          <w:tcPr>
            <w:tcW w:w="1688" w:type="dxa"/>
            <w:tcBorders>
              <w:top w:val="single" w:color="000000" w:sz="4" w:space="0"/>
              <w:left w:val="single" w:color="000000" w:sz="4" w:space="0"/>
              <w:bottom w:val="single" w:color="000000" w:sz="4" w:space="0"/>
              <w:right w:val="single" w:color="auto" w:sz="4" w:space="0"/>
            </w:tcBorders>
            <w:noWrap w:val="0"/>
            <w:vAlign w:val="center"/>
          </w:tcPr>
          <w:p w14:paraId="5774395A">
            <w:pPr>
              <w:keepNext w:val="0"/>
              <w:keepLines w:val="0"/>
              <w:pageBreakBefore w:val="0"/>
              <w:suppressLineNumbers w:val="0"/>
              <w:kinsoku/>
              <w:wordWrap w:val="0"/>
              <w:overflowPunct/>
              <w:bidi w:val="0"/>
              <w:spacing w:before="0" w:beforeAutospacing="0" w:after="0" w:afterAutospacing="0"/>
              <w:ind w:left="0" w:right="0"/>
              <w:jc w:val="center"/>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412500</w:t>
            </w:r>
          </w:p>
        </w:tc>
        <w:tc>
          <w:tcPr>
            <w:tcW w:w="1714" w:type="dxa"/>
            <w:tcBorders>
              <w:top w:val="single" w:color="000000" w:sz="4" w:space="0"/>
              <w:left w:val="single" w:color="auto" w:sz="4" w:space="0"/>
              <w:bottom w:val="single" w:color="000000" w:sz="4" w:space="0"/>
              <w:right w:val="single" w:color="auto" w:sz="4" w:space="0"/>
            </w:tcBorders>
            <w:shd w:val="clear" w:color="auto" w:fill="auto"/>
            <w:noWrap w:val="0"/>
            <w:vAlign w:val="center"/>
          </w:tcPr>
          <w:p w14:paraId="6FC99136">
            <w:pPr>
              <w:keepNext w:val="0"/>
              <w:keepLines w:val="0"/>
              <w:pageBreakBefore w:val="0"/>
              <w:suppressLineNumbers w:val="0"/>
              <w:kinsoku/>
              <w:wordWrap w:val="0"/>
              <w:overflowPunct/>
              <w:bidi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shd w:val="clear" w:color="auto" w:fill="FFFFFF"/>
                <w:lang w:val="en-US" w:eastAsia="zh-CN" w:bidi="ar-SA"/>
              </w:rPr>
            </w:pPr>
            <w:r>
              <w:rPr>
                <w:rFonts w:hint="eastAsia" w:ascii="宋体" w:hAnsi="宋体" w:cs="宋体"/>
                <w:color w:val="auto"/>
                <w:szCs w:val="21"/>
                <w:highlight w:val="none"/>
                <w:shd w:val="clear" w:color="auto" w:fill="FFFFFF"/>
                <w:lang w:val="en-US" w:eastAsia="zh-CN"/>
              </w:rPr>
              <w:t>412500</w:t>
            </w:r>
          </w:p>
        </w:tc>
      </w:tr>
      <w:tr w14:paraId="3C52B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48FB7E3">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75F07C25">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eastAsia="zh-CN"/>
              </w:rPr>
              <w:t>固财磋商采购-2024-44</w:t>
            </w:r>
            <w:r>
              <w:rPr>
                <w:rFonts w:hint="eastAsia" w:ascii="宋体" w:hAnsi="宋体" w:eastAsia="宋体" w:cs="宋体"/>
                <w:color w:val="auto"/>
                <w:szCs w:val="21"/>
                <w:highlight w:val="none"/>
                <w:shd w:val="clear" w:color="auto" w:fill="FFFFFF"/>
                <w:lang w:val="en-US" w:eastAsia="zh-CN"/>
              </w:rPr>
              <w:t>-2</w:t>
            </w:r>
          </w:p>
        </w:tc>
        <w:tc>
          <w:tcPr>
            <w:tcW w:w="2977" w:type="dxa"/>
            <w:tcBorders>
              <w:top w:val="single" w:color="000000" w:sz="4" w:space="0"/>
              <w:left w:val="single" w:color="000000" w:sz="4" w:space="0"/>
              <w:bottom w:val="single" w:color="000000" w:sz="4" w:space="0"/>
              <w:right w:val="single" w:color="auto" w:sz="4" w:space="0"/>
            </w:tcBorders>
            <w:noWrap w:val="0"/>
            <w:vAlign w:val="center"/>
          </w:tcPr>
          <w:p w14:paraId="03F87896">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eastAsia="zh-CN"/>
              </w:rPr>
              <w:t>固始县2024年农作物重大病虫害绿色防控项目</w:t>
            </w:r>
            <w:r>
              <w:rPr>
                <w:rFonts w:hint="eastAsia" w:ascii="宋体" w:hAnsi="宋体" w:eastAsia="宋体" w:cs="宋体"/>
                <w:color w:val="auto"/>
                <w:szCs w:val="21"/>
                <w:highlight w:val="none"/>
                <w:shd w:val="clear" w:color="auto" w:fill="FFFFFF"/>
                <w:lang w:val="en-US" w:eastAsia="zh-CN"/>
              </w:rPr>
              <w:t>2包</w:t>
            </w:r>
          </w:p>
        </w:tc>
        <w:tc>
          <w:tcPr>
            <w:tcW w:w="1688" w:type="dxa"/>
            <w:tcBorders>
              <w:top w:val="single" w:color="000000" w:sz="4" w:space="0"/>
              <w:left w:val="single" w:color="000000" w:sz="4" w:space="0"/>
              <w:bottom w:val="single" w:color="000000" w:sz="4" w:space="0"/>
              <w:right w:val="single" w:color="auto" w:sz="4" w:space="0"/>
            </w:tcBorders>
            <w:noWrap w:val="0"/>
            <w:vAlign w:val="center"/>
          </w:tcPr>
          <w:p w14:paraId="1A341E0A">
            <w:pPr>
              <w:keepNext w:val="0"/>
              <w:keepLines w:val="0"/>
              <w:pageBreakBefore w:val="0"/>
              <w:suppressLineNumbers w:val="0"/>
              <w:kinsoku/>
              <w:wordWrap w:val="0"/>
              <w:overflowPunct/>
              <w:bidi w:val="0"/>
              <w:spacing w:before="0" w:beforeAutospacing="0" w:after="0" w:afterAutospacing="0"/>
              <w:ind w:left="0" w:right="0"/>
              <w:jc w:val="center"/>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436900</w:t>
            </w:r>
          </w:p>
        </w:tc>
        <w:tc>
          <w:tcPr>
            <w:tcW w:w="1714" w:type="dxa"/>
            <w:tcBorders>
              <w:top w:val="single" w:color="000000" w:sz="4" w:space="0"/>
              <w:left w:val="single" w:color="auto" w:sz="4" w:space="0"/>
              <w:bottom w:val="single" w:color="000000" w:sz="4" w:space="0"/>
              <w:right w:val="single" w:color="auto" w:sz="4" w:space="0"/>
            </w:tcBorders>
            <w:shd w:val="clear" w:color="auto" w:fill="auto"/>
            <w:noWrap w:val="0"/>
            <w:vAlign w:val="center"/>
          </w:tcPr>
          <w:p w14:paraId="74F349D6">
            <w:pPr>
              <w:keepNext w:val="0"/>
              <w:keepLines w:val="0"/>
              <w:pageBreakBefore w:val="0"/>
              <w:suppressLineNumbers w:val="0"/>
              <w:kinsoku/>
              <w:wordWrap w:val="0"/>
              <w:overflowPunct/>
              <w:bidi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shd w:val="clear" w:color="auto" w:fill="FFFFFF"/>
                <w:lang w:val="en-US" w:eastAsia="zh-CN" w:bidi="ar-SA"/>
              </w:rPr>
            </w:pPr>
            <w:r>
              <w:rPr>
                <w:rFonts w:hint="eastAsia" w:ascii="宋体" w:hAnsi="宋体" w:cs="宋体"/>
                <w:color w:val="auto"/>
                <w:szCs w:val="21"/>
                <w:highlight w:val="none"/>
                <w:shd w:val="clear" w:color="auto" w:fill="FFFFFF"/>
                <w:lang w:val="en-US" w:eastAsia="zh-CN"/>
              </w:rPr>
              <w:t>436900</w:t>
            </w:r>
          </w:p>
        </w:tc>
      </w:tr>
      <w:tr w14:paraId="71E35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FF2CEC9">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0654D82B">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eastAsia="zh-CN"/>
              </w:rPr>
              <w:t>固财磋商采购-2024-44</w:t>
            </w:r>
            <w:r>
              <w:rPr>
                <w:rFonts w:hint="eastAsia" w:ascii="宋体" w:hAnsi="宋体" w:eastAsia="宋体" w:cs="宋体"/>
                <w:color w:val="auto"/>
                <w:szCs w:val="21"/>
                <w:highlight w:val="none"/>
                <w:shd w:val="clear" w:color="auto" w:fill="FFFFFF"/>
                <w:lang w:val="en-US" w:eastAsia="zh-CN"/>
              </w:rPr>
              <w:t>-3</w:t>
            </w:r>
          </w:p>
        </w:tc>
        <w:tc>
          <w:tcPr>
            <w:tcW w:w="2977" w:type="dxa"/>
            <w:tcBorders>
              <w:top w:val="single" w:color="000000" w:sz="4" w:space="0"/>
              <w:left w:val="single" w:color="000000" w:sz="4" w:space="0"/>
              <w:bottom w:val="single" w:color="000000" w:sz="4" w:space="0"/>
              <w:right w:val="single" w:color="auto" w:sz="4" w:space="0"/>
            </w:tcBorders>
            <w:noWrap w:val="0"/>
            <w:vAlign w:val="center"/>
          </w:tcPr>
          <w:p w14:paraId="2B7855B4">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eastAsia="zh-CN"/>
              </w:rPr>
              <w:t>固始县2024年农作物重大病虫害绿色防控项目</w:t>
            </w:r>
            <w:r>
              <w:rPr>
                <w:rFonts w:hint="eastAsia" w:ascii="宋体" w:hAnsi="宋体" w:eastAsia="宋体" w:cs="宋体"/>
                <w:color w:val="auto"/>
                <w:szCs w:val="21"/>
                <w:highlight w:val="none"/>
                <w:shd w:val="clear" w:color="auto" w:fill="FFFFFF"/>
                <w:lang w:val="en-US" w:eastAsia="zh-CN"/>
              </w:rPr>
              <w:t>3包</w:t>
            </w:r>
          </w:p>
        </w:tc>
        <w:tc>
          <w:tcPr>
            <w:tcW w:w="1688" w:type="dxa"/>
            <w:tcBorders>
              <w:top w:val="single" w:color="000000" w:sz="4" w:space="0"/>
              <w:left w:val="single" w:color="000000" w:sz="4" w:space="0"/>
              <w:bottom w:val="single" w:color="000000" w:sz="4" w:space="0"/>
              <w:right w:val="single" w:color="auto" w:sz="4" w:space="0"/>
            </w:tcBorders>
            <w:noWrap w:val="0"/>
            <w:vAlign w:val="center"/>
          </w:tcPr>
          <w:p w14:paraId="0E57FE6B">
            <w:pPr>
              <w:keepNext w:val="0"/>
              <w:keepLines w:val="0"/>
              <w:pageBreakBefore w:val="0"/>
              <w:suppressLineNumbers w:val="0"/>
              <w:kinsoku/>
              <w:wordWrap w:val="0"/>
              <w:overflowPunct/>
              <w:bidi w:val="0"/>
              <w:spacing w:before="0" w:beforeAutospacing="0" w:after="0" w:afterAutospacing="0"/>
              <w:ind w:left="0" w:right="0"/>
              <w:jc w:val="center"/>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383500</w:t>
            </w:r>
          </w:p>
        </w:tc>
        <w:tc>
          <w:tcPr>
            <w:tcW w:w="1714" w:type="dxa"/>
            <w:tcBorders>
              <w:top w:val="single" w:color="000000" w:sz="4" w:space="0"/>
              <w:left w:val="single" w:color="auto" w:sz="4" w:space="0"/>
              <w:bottom w:val="single" w:color="000000" w:sz="4" w:space="0"/>
              <w:right w:val="single" w:color="auto" w:sz="4" w:space="0"/>
            </w:tcBorders>
            <w:shd w:val="clear" w:color="auto" w:fill="auto"/>
            <w:noWrap w:val="0"/>
            <w:vAlign w:val="center"/>
          </w:tcPr>
          <w:p w14:paraId="0D9498FA">
            <w:pPr>
              <w:keepNext w:val="0"/>
              <w:keepLines w:val="0"/>
              <w:pageBreakBefore w:val="0"/>
              <w:suppressLineNumbers w:val="0"/>
              <w:kinsoku/>
              <w:wordWrap w:val="0"/>
              <w:overflowPunct/>
              <w:bidi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shd w:val="clear" w:color="auto" w:fill="FFFFFF"/>
                <w:lang w:val="en-US" w:eastAsia="zh-CN" w:bidi="ar-SA"/>
              </w:rPr>
            </w:pPr>
            <w:r>
              <w:rPr>
                <w:rFonts w:hint="eastAsia" w:ascii="宋体" w:hAnsi="宋体" w:cs="宋体"/>
                <w:color w:val="auto"/>
                <w:szCs w:val="21"/>
                <w:highlight w:val="none"/>
                <w:shd w:val="clear" w:color="auto" w:fill="FFFFFF"/>
                <w:lang w:val="en-US" w:eastAsia="zh-CN"/>
              </w:rPr>
              <w:t>383500</w:t>
            </w:r>
          </w:p>
        </w:tc>
      </w:tr>
      <w:tr w14:paraId="5C87C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FA5C921">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586DCE2C">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eastAsia="zh-CN"/>
              </w:rPr>
              <w:t>固财磋商采购-2024-44</w:t>
            </w:r>
            <w:r>
              <w:rPr>
                <w:rFonts w:hint="eastAsia" w:ascii="宋体" w:hAnsi="宋体" w:eastAsia="宋体" w:cs="宋体"/>
                <w:color w:val="auto"/>
                <w:szCs w:val="21"/>
                <w:highlight w:val="none"/>
                <w:shd w:val="clear" w:color="auto" w:fill="FFFFFF"/>
                <w:lang w:val="en-US" w:eastAsia="zh-CN"/>
              </w:rPr>
              <w:t>-4</w:t>
            </w:r>
          </w:p>
        </w:tc>
        <w:tc>
          <w:tcPr>
            <w:tcW w:w="2977" w:type="dxa"/>
            <w:tcBorders>
              <w:top w:val="single" w:color="000000" w:sz="4" w:space="0"/>
              <w:left w:val="single" w:color="000000" w:sz="4" w:space="0"/>
              <w:bottom w:val="single" w:color="000000" w:sz="4" w:space="0"/>
              <w:right w:val="single" w:color="auto" w:sz="4" w:space="0"/>
            </w:tcBorders>
            <w:noWrap w:val="0"/>
            <w:vAlign w:val="center"/>
          </w:tcPr>
          <w:p w14:paraId="481B1F81">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eastAsia="zh-CN"/>
              </w:rPr>
              <w:t>固始县2024年农作物重大病虫害绿色防控项目</w:t>
            </w:r>
            <w:r>
              <w:rPr>
                <w:rFonts w:hint="eastAsia" w:ascii="宋体" w:hAnsi="宋体" w:eastAsia="宋体" w:cs="宋体"/>
                <w:color w:val="auto"/>
                <w:szCs w:val="21"/>
                <w:highlight w:val="none"/>
                <w:shd w:val="clear" w:color="auto" w:fill="FFFFFF"/>
                <w:lang w:val="en-US" w:eastAsia="zh-CN"/>
              </w:rPr>
              <w:t>4包</w:t>
            </w:r>
          </w:p>
        </w:tc>
        <w:tc>
          <w:tcPr>
            <w:tcW w:w="1688" w:type="dxa"/>
            <w:tcBorders>
              <w:top w:val="single" w:color="000000" w:sz="4" w:space="0"/>
              <w:left w:val="single" w:color="000000" w:sz="4" w:space="0"/>
              <w:bottom w:val="single" w:color="000000" w:sz="4" w:space="0"/>
              <w:right w:val="single" w:color="auto" w:sz="4" w:space="0"/>
            </w:tcBorders>
            <w:noWrap w:val="0"/>
            <w:vAlign w:val="center"/>
          </w:tcPr>
          <w:p w14:paraId="1D654810">
            <w:pPr>
              <w:keepNext w:val="0"/>
              <w:keepLines w:val="0"/>
              <w:pageBreakBefore w:val="0"/>
              <w:suppressLineNumbers w:val="0"/>
              <w:kinsoku/>
              <w:wordWrap w:val="0"/>
              <w:overflowPunct/>
              <w:bidi w:val="0"/>
              <w:spacing w:before="0" w:beforeAutospacing="0" w:after="0" w:afterAutospacing="0"/>
              <w:ind w:left="0" w:right="0"/>
              <w:jc w:val="center"/>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399520</w:t>
            </w:r>
          </w:p>
        </w:tc>
        <w:tc>
          <w:tcPr>
            <w:tcW w:w="1714" w:type="dxa"/>
            <w:tcBorders>
              <w:top w:val="single" w:color="000000" w:sz="4" w:space="0"/>
              <w:left w:val="single" w:color="auto" w:sz="4" w:space="0"/>
              <w:bottom w:val="single" w:color="000000" w:sz="4" w:space="0"/>
              <w:right w:val="single" w:color="auto" w:sz="4" w:space="0"/>
            </w:tcBorders>
            <w:shd w:val="clear" w:color="auto" w:fill="auto"/>
            <w:noWrap w:val="0"/>
            <w:vAlign w:val="center"/>
          </w:tcPr>
          <w:p w14:paraId="5F400949">
            <w:pPr>
              <w:keepNext w:val="0"/>
              <w:keepLines w:val="0"/>
              <w:pageBreakBefore w:val="0"/>
              <w:suppressLineNumbers w:val="0"/>
              <w:kinsoku/>
              <w:wordWrap w:val="0"/>
              <w:overflowPunct/>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cs="宋体"/>
                <w:color w:val="auto"/>
                <w:szCs w:val="21"/>
                <w:highlight w:val="none"/>
                <w:shd w:val="clear" w:color="auto" w:fill="FFFFFF"/>
                <w:lang w:val="en-US" w:eastAsia="zh-CN"/>
              </w:rPr>
              <w:t>399520</w:t>
            </w:r>
          </w:p>
        </w:tc>
      </w:tr>
    </w:tbl>
    <w:p w14:paraId="48C42F97">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5、采购需求：</w:t>
      </w:r>
      <w:r>
        <w:rPr>
          <w:rFonts w:hint="eastAsia" w:ascii="宋体" w:hAnsi="宋体" w:eastAsia="宋体" w:cs="宋体"/>
          <w:bCs/>
          <w:color w:val="auto"/>
          <w:szCs w:val="21"/>
          <w:highlight w:val="none"/>
        </w:rPr>
        <w:t>（包括但不限于标的的名称、数量、简要技术需求或服务要求等）：</w:t>
      </w:r>
    </w:p>
    <w:p w14:paraId="6285E2E0">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5.1</w:t>
      </w:r>
      <w:r>
        <w:rPr>
          <w:rFonts w:hint="eastAsia" w:ascii="宋体" w:hAnsi="宋体" w:eastAsia="宋体" w:cs="宋体"/>
          <w:color w:val="auto"/>
          <w:szCs w:val="21"/>
          <w:highlight w:val="none"/>
          <w:lang w:val="en-US" w:eastAsia="zh-CN"/>
        </w:rPr>
        <w:t>本次采购共分</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个包，</w:t>
      </w:r>
    </w:p>
    <w:p w14:paraId="05BAD519">
      <w:pPr>
        <w:pageBreakBefore w:val="0"/>
        <w:tabs>
          <w:tab w:val="left" w:pos="709"/>
        </w:tabs>
        <w:kinsoku/>
        <w:wordWrap w:val="0"/>
        <w:overflowPunct/>
        <w:autoSpaceDE w:val="0"/>
        <w:autoSpaceDN w:val="0"/>
        <w:bidi w:val="0"/>
        <w:adjustRightInd w:val="0"/>
        <w:snapToGrid w:val="0"/>
        <w:spacing w:line="360" w:lineRule="auto"/>
        <w:ind w:left="210" w:leftChars="100" w:firstLine="728" w:firstLineChars="347"/>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1包：频振式太阳能杀虫灯150台；</w:t>
      </w:r>
    </w:p>
    <w:p w14:paraId="163839A7">
      <w:pPr>
        <w:pageBreakBefore w:val="0"/>
        <w:tabs>
          <w:tab w:val="left" w:pos="709"/>
        </w:tabs>
        <w:kinsoku/>
        <w:wordWrap w:val="0"/>
        <w:overflowPunct/>
        <w:autoSpaceDE w:val="0"/>
        <w:autoSpaceDN w:val="0"/>
        <w:bidi w:val="0"/>
        <w:adjustRightInd w:val="0"/>
        <w:snapToGrid w:val="0"/>
        <w:spacing w:line="360" w:lineRule="auto"/>
        <w:ind w:left="210" w:leftChars="100" w:firstLine="728" w:firstLineChars="347"/>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2包：35%唑醚.戊唑醇悬浮剂1700千克；</w:t>
      </w:r>
    </w:p>
    <w:p w14:paraId="16AEC85C">
      <w:pPr>
        <w:pageBreakBefore w:val="0"/>
        <w:tabs>
          <w:tab w:val="left" w:pos="709"/>
        </w:tabs>
        <w:kinsoku/>
        <w:wordWrap w:val="0"/>
        <w:overflowPunct/>
        <w:autoSpaceDE w:val="0"/>
        <w:autoSpaceDN w:val="0"/>
        <w:bidi w:val="0"/>
        <w:adjustRightInd w:val="0"/>
        <w:snapToGrid w:val="0"/>
        <w:spacing w:line="360" w:lineRule="auto"/>
        <w:ind w:left="210" w:leftChars="100" w:firstLine="728" w:firstLineChars="347"/>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3包：14%甲维.茚虫威悬浮剂1</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00千克；</w:t>
      </w:r>
    </w:p>
    <w:p w14:paraId="6B4B1D93">
      <w:pPr>
        <w:pageBreakBefore w:val="0"/>
        <w:tabs>
          <w:tab w:val="left" w:pos="709"/>
        </w:tabs>
        <w:kinsoku/>
        <w:wordWrap w:val="0"/>
        <w:overflowPunct/>
        <w:autoSpaceDE w:val="0"/>
        <w:autoSpaceDN w:val="0"/>
        <w:bidi w:val="0"/>
        <w:adjustRightInd w:val="0"/>
        <w:snapToGrid w:val="0"/>
        <w:spacing w:line="360" w:lineRule="auto"/>
        <w:ind w:left="210" w:leftChars="100" w:firstLine="728" w:firstLineChars="347"/>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4包：20%噻呋.己唑醇悬浮剂2270千克。（详见磋商文件第五章）</w:t>
      </w:r>
    </w:p>
    <w:p w14:paraId="77EAB2DE">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szCs w:val="21"/>
          <w:highlight w:val="none"/>
          <w:lang w:eastAsia="zh-CN"/>
        </w:rPr>
        <w:t>质量要求</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合格；</w:t>
      </w:r>
    </w:p>
    <w:p w14:paraId="0C1D2C72">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5.3供货期：</w:t>
      </w:r>
      <w:r>
        <w:rPr>
          <w:rFonts w:hint="eastAsia" w:ascii="宋体" w:hAnsi="宋体" w:eastAsia="宋体" w:cs="宋体"/>
          <w:color w:val="auto"/>
          <w:sz w:val="21"/>
          <w:szCs w:val="21"/>
          <w:highlight w:val="none"/>
          <w:lang w:eastAsia="zh-CN"/>
        </w:rPr>
        <w:t xml:space="preserve">自合同签订后接采购人通知 </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 xml:space="preserve"> 日内供货至业主指定地点</w:t>
      </w:r>
      <w:r>
        <w:rPr>
          <w:rFonts w:hint="eastAsia" w:ascii="宋体" w:hAnsi="宋体" w:eastAsia="宋体" w:cs="宋体"/>
          <w:color w:val="auto"/>
          <w:szCs w:val="21"/>
          <w:highlight w:val="none"/>
          <w:lang w:eastAsia="zh-CN"/>
        </w:rPr>
        <w:t>；</w:t>
      </w:r>
    </w:p>
    <w:p w14:paraId="6C694862">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6、合同履行期限：自合同签订</w:t>
      </w:r>
      <w:r>
        <w:rPr>
          <w:rFonts w:hint="eastAsia" w:ascii="宋体" w:hAnsi="宋体" w:eastAsia="宋体" w:cs="宋体"/>
          <w:color w:val="auto"/>
          <w:szCs w:val="21"/>
          <w:highlight w:val="none"/>
          <w:lang w:val="en-US" w:eastAsia="zh-CN"/>
        </w:rPr>
        <w:t>至质保期结束</w:t>
      </w:r>
      <w:r>
        <w:rPr>
          <w:rFonts w:hint="eastAsia" w:ascii="宋体" w:hAnsi="宋体" w:eastAsia="宋体" w:cs="宋体"/>
          <w:color w:val="auto"/>
          <w:szCs w:val="21"/>
          <w:highlight w:val="none"/>
        </w:rPr>
        <w:t>。</w:t>
      </w:r>
    </w:p>
    <w:p w14:paraId="6549A93F">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7、是否接受进口产品投标：否</w:t>
      </w:r>
    </w:p>
    <w:p w14:paraId="22993EF9">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8、是否接受联合体投标：否</w:t>
      </w:r>
    </w:p>
    <w:p w14:paraId="444D5972">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9、是否专门面向中小企业：否</w:t>
      </w:r>
    </w:p>
    <w:p w14:paraId="03F691D7">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w:t>
      </w:r>
      <w:r>
        <w:rPr>
          <w:rFonts w:hint="eastAsia" w:ascii="宋体" w:hAnsi="宋体" w:eastAsia="宋体" w:cs="宋体"/>
          <w:b/>
          <w:color w:val="auto"/>
          <w:szCs w:val="21"/>
          <w:highlight w:val="none"/>
          <w:lang w:val="en-US" w:eastAsia="zh-CN"/>
        </w:rPr>
        <w:t>供应商</w:t>
      </w:r>
      <w:r>
        <w:rPr>
          <w:rFonts w:hint="eastAsia" w:ascii="宋体" w:hAnsi="宋体" w:eastAsia="宋体" w:cs="宋体"/>
          <w:b/>
          <w:color w:val="auto"/>
          <w:szCs w:val="21"/>
          <w:highlight w:val="none"/>
        </w:rPr>
        <w:t>的资格要求：</w:t>
      </w:r>
    </w:p>
    <w:p w14:paraId="0016314A">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4BED8840">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0DBA5794">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cs="宋体"/>
          <w:color w:val="auto"/>
          <w:szCs w:val="21"/>
          <w:highlight w:val="none"/>
          <w:lang w:val="en-US" w:eastAsia="zh-CN"/>
        </w:rPr>
        <w:t>非</w:t>
      </w:r>
      <w:r>
        <w:rPr>
          <w:rFonts w:hint="eastAsia" w:ascii="宋体" w:hAnsi="宋体" w:eastAsia="宋体" w:cs="宋体"/>
          <w:color w:val="auto"/>
          <w:szCs w:val="21"/>
          <w:highlight w:val="none"/>
        </w:rPr>
        <w:t>专门面向中小企业采购。本项目落实执行促进中小型企业发展政策（监狱企业、残疾人福利性企业视同小微企业）等政府采购政策。</w:t>
      </w:r>
    </w:p>
    <w:p w14:paraId="5E4FB319">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p>
    <w:p w14:paraId="1CCDE3AE">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2-4包</w:t>
      </w:r>
      <w:r>
        <w:rPr>
          <w:rFonts w:hint="eastAsia" w:ascii="宋体" w:hAnsi="宋体" w:eastAsia="宋体" w:cs="宋体"/>
          <w:color w:val="auto"/>
          <w:szCs w:val="21"/>
          <w:highlight w:val="none"/>
        </w:rPr>
        <w:t>供应商</w:t>
      </w:r>
      <w:r>
        <w:rPr>
          <w:rFonts w:hint="eastAsia" w:ascii="宋体" w:hAnsi="宋体" w:cs="宋体"/>
          <w:color w:val="auto"/>
          <w:szCs w:val="21"/>
          <w:highlight w:val="none"/>
          <w:lang w:val="en-US" w:eastAsia="zh-CN"/>
        </w:rPr>
        <w:t>所</w:t>
      </w:r>
      <w:r>
        <w:rPr>
          <w:rFonts w:hint="eastAsia" w:ascii="宋体" w:hAnsi="宋体" w:eastAsia="宋体" w:cs="宋体"/>
          <w:color w:val="auto"/>
          <w:szCs w:val="21"/>
          <w:highlight w:val="none"/>
        </w:rPr>
        <w:t>供产品应具有“三证”《农药登记证》、《生产许可证》、《产品标准证》并在有效期内</w:t>
      </w:r>
      <w:r>
        <w:rPr>
          <w:rFonts w:hint="eastAsia" w:ascii="宋体" w:hAnsi="宋体" w:eastAsia="宋体" w:cs="宋体"/>
          <w:color w:val="auto"/>
          <w:szCs w:val="21"/>
          <w:highlight w:val="none"/>
          <w:lang w:eastAsia="zh-CN"/>
        </w:rPr>
        <w:t>；</w:t>
      </w:r>
    </w:p>
    <w:p w14:paraId="5F90C1A1">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单位负责人为同一人或者存在控股、管理关系的不同单位，不得同时参加本项目投标（提供</w:t>
      </w:r>
      <w:r>
        <w:rPr>
          <w:rFonts w:hint="eastAsia" w:ascii="宋体" w:hAnsi="宋体" w:eastAsia="宋体" w:cs="宋体"/>
          <w:color w:val="auto"/>
          <w:szCs w:val="21"/>
          <w:highlight w:val="none"/>
          <w:u w:val="none"/>
        </w:rPr>
        <w:t>“国家企业信用信息公示系统”中公示的公司信息、股东或投资人信息网页截图加盖单位公章，查询时间需在本磋商公告发布之后）。</w:t>
      </w:r>
    </w:p>
    <w:p w14:paraId="126FE0B0">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4.其他说明：</w:t>
      </w:r>
    </w:p>
    <w:p w14:paraId="7890AA38">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4.1本项目适用信用承诺（详见下述要求）。</w:t>
      </w:r>
    </w:p>
    <w:p w14:paraId="5CBA87E4">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（一）在本项目政府采购活动中，供应商在投标（响应）时，可对照资格要求进行自主核对，确定符合资格要求的，可按照规定提供相关承诺函（详见投标文件“</w:t>
      </w:r>
      <w:r>
        <w:rPr>
          <w:rFonts w:hint="eastAsia" w:ascii="宋体" w:hAnsi="宋体" w:cs="宋体"/>
          <w:color w:val="auto"/>
          <w:szCs w:val="21"/>
          <w:highlight w:val="none"/>
          <w:lang w:eastAsia="zh-CN"/>
        </w:rPr>
        <w:t>资格证明材料</w:t>
      </w:r>
      <w:r>
        <w:rPr>
          <w:rFonts w:hint="eastAsia" w:ascii="宋体" w:hAnsi="宋体" w:eastAsia="宋体" w:cs="宋体"/>
          <w:color w:val="auto"/>
          <w:szCs w:val="21"/>
          <w:highlight w:val="none"/>
          <w:lang w:val="en-US" w:eastAsia="zh-CN"/>
        </w:rPr>
        <w:t>-信用承诺函”</w:t>
      </w:r>
      <w:r>
        <w:rPr>
          <w:rFonts w:hint="eastAsia" w:ascii="宋体" w:hAnsi="宋体" w:eastAsia="宋体" w:cs="宋体"/>
          <w:color w:val="auto"/>
          <w:szCs w:val="21"/>
          <w:highlight w:val="none"/>
          <w:lang w:eastAsia="zh-CN"/>
        </w:rPr>
        <w:t>），供应商只需在资格审查环节提供满足相应条件的书面承诺书，不再需要提供以下证明材料：</w:t>
      </w:r>
    </w:p>
    <w:p w14:paraId="78108EC9">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①具有独立承担民事责任的能力，提供营业执照等证明文件；</w:t>
      </w:r>
    </w:p>
    <w:p w14:paraId="224A9708">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②具有良好的商业信誉和健全的财务会计制度（提供</w:t>
      </w:r>
      <w:r>
        <w:rPr>
          <w:rFonts w:hint="eastAsia" w:ascii="宋体" w:hAnsi="宋体" w:cs="宋体"/>
          <w:color w:val="auto"/>
          <w:szCs w:val="21"/>
          <w:highlight w:val="none"/>
          <w:lang w:eastAsia="zh-CN"/>
        </w:rPr>
        <w:t>2023年度</w:t>
      </w:r>
      <w:r>
        <w:rPr>
          <w:rFonts w:hint="eastAsia" w:ascii="宋体" w:hAnsi="宋体" w:eastAsia="宋体" w:cs="宋体"/>
          <w:color w:val="auto"/>
          <w:szCs w:val="21"/>
          <w:highlight w:val="none"/>
          <w:lang w:eastAsia="zh-CN"/>
        </w:rPr>
        <w:t>经审计的财务审计报告，202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eastAsia="zh-CN"/>
        </w:rPr>
        <w:t>年成立的公司提供基本户的开户行开具的银行资信证明）；</w:t>
      </w:r>
    </w:p>
    <w:p w14:paraId="65B3F59C">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③具有履行合同所必需的设备和专业技术能力（提供相关证明材料或承诺函）；</w:t>
      </w:r>
    </w:p>
    <w:p w14:paraId="257E0A38">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④有依法缴纳税收和社会保险的良好记录（提供</w:t>
      </w:r>
      <w:r>
        <w:rPr>
          <w:rFonts w:hint="eastAsia" w:ascii="宋体" w:hAnsi="宋体" w:cs="宋体"/>
          <w:color w:val="auto"/>
          <w:szCs w:val="21"/>
          <w:highlight w:val="none"/>
          <w:lang w:eastAsia="zh-CN"/>
        </w:rPr>
        <w:t>2024年1月</w:t>
      </w:r>
      <w:r>
        <w:rPr>
          <w:rFonts w:hint="eastAsia" w:ascii="宋体" w:hAnsi="宋体" w:eastAsia="宋体" w:cs="宋体"/>
          <w:color w:val="auto"/>
          <w:szCs w:val="21"/>
          <w:highlight w:val="none"/>
          <w:lang w:eastAsia="zh-CN"/>
        </w:rPr>
        <w:t>以来任意3个月依法缴纳税收和社会保险的证明，成立不足三个月的提供自成立日以来的依法缴纳税收和社会保险的证明，依法免税和免缴纳社会保障金的须提供依法免缴纳证明）；</w:t>
      </w:r>
    </w:p>
    <w:p w14:paraId="1A0A6001">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⑤参加政府采购活动前三年内，在经营活动中没有重大违法记录（提供声明函）；</w:t>
      </w:r>
    </w:p>
    <w:p w14:paraId="45DF1A67">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⑥通过“中国执行信息公开网”（zxgk.court.gov.cn）、“信用中国”网站（www.creditchina.gov.cn）、“中国政府采购网”（www.ccgp.gov.cn）查询供应商信用记录，被列入“中国执行信息公开网”“失信被执行人”、“信用中国”网站“重大税收违法失信主体”及“中国政府采购网”网站“政府采购严重违法失信行为记录名单”的单位将被拒绝参与本项目政府采购活动（提供查询网页截图加盖单位公章，查询时间需在本公告发布之后）；</w:t>
      </w:r>
    </w:p>
    <w:p w14:paraId="1033A147">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4.2本项目实行资格后审，资格审查的具体要求见招标文件，资格后审不合格的投标人其投标将被否决。</w:t>
      </w:r>
    </w:p>
    <w:p w14:paraId="360954B3">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highlight w:val="none"/>
          <w:u w:val="none"/>
        </w:rPr>
      </w:pPr>
      <w:r>
        <w:rPr>
          <w:rFonts w:hint="eastAsia" w:ascii="宋体" w:hAnsi="宋体" w:eastAsia="宋体" w:cs="宋体"/>
          <w:b/>
          <w:color w:val="auto"/>
          <w:szCs w:val="21"/>
          <w:highlight w:val="none"/>
          <w:u w:val="none"/>
        </w:rPr>
        <w:t>三、获取磋商文件</w:t>
      </w:r>
    </w:p>
    <w:p w14:paraId="1904F50B">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1、时间：202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05</w:t>
      </w:r>
      <w:r>
        <w:rPr>
          <w:rFonts w:hint="eastAsia" w:ascii="宋体" w:hAnsi="宋体" w:eastAsia="宋体" w:cs="宋体"/>
          <w:color w:val="auto"/>
          <w:szCs w:val="21"/>
          <w:highlight w:val="none"/>
          <w:lang w:eastAsia="zh-CN"/>
        </w:rPr>
        <w:t>日至202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eastAsia="zh-CN"/>
        </w:rPr>
        <w:t>日（北京时间）；每天上午08:00至12:00，下午12:00至18:00（北京时间，法定节假日除外。）</w:t>
      </w:r>
    </w:p>
    <w:p w14:paraId="6B36BFF3">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地点：登陆《</w:t>
      </w:r>
      <w:r>
        <w:rPr>
          <w:rFonts w:hint="eastAsia" w:ascii="宋体" w:hAnsi="宋体" w:cs="宋体"/>
          <w:color w:val="auto"/>
          <w:szCs w:val="21"/>
          <w:highlight w:val="none"/>
          <w:u w:val="none"/>
          <w:lang w:eastAsia="zh-CN"/>
        </w:rPr>
        <w:t>固始县公共资源交易网</w:t>
      </w:r>
      <w:r>
        <w:rPr>
          <w:rFonts w:hint="eastAsia" w:ascii="宋体" w:hAnsi="宋体" w:eastAsia="宋体" w:cs="宋体"/>
          <w:color w:val="auto"/>
          <w:szCs w:val="21"/>
          <w:highlight w:val="none"/>
          <w:u w:val="none"/>
        </w:rPr>
        <w:t>》，凭办理的企业身份认证锁（CA数字证书）登陆会员系统进行网上投标；</w:t>
      </w:r>
    </w:p>
    <w:p w14:paraId="54F29CB0">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方式：供应商凭CA数字证书登陆会员系统后，即可按网上提示免费下载磋商文件及资料（操作程序详见</w:t>
      </w:r>
      <w:r>
        <w:rPr>
          <w:rFonts w:hint="eastAsia" w:ascii="宋体" w:hAnsi="宋体" w:cs="宋体"/>
          <w:color w:val="auto"/>
          <w:szCs w:val="21"/>
          <w:highlight w:val="none"/>
          <w:u w:val="none"/>
          <w:lang w:val="en-US" w:eastAsia="zh-CN"/>
        </w:rPr>
        <w:t>固始县公共资源交易网</w:t>
      </w:r>
      <w:r>
        <w:rPr>
          <w:rFonts w:hint="eastAsia" w:ascii="宋体" w:hAnsi="宋体" w:eastAsia="宋体" w:cs="宋体"/>
          <w:color w:val="auto"/>
          <w:szCs w:val="21"/>
          <w:highlight w:val="none"/>
          <w:u w:val="none"/>
        </w:rPr>
        <w:t>网站下载中心栏目里供应商操作手册）。磋商文件(*</w:t>
      </w:r>
      <w:r>
        <w:rPr>
          <w:rFonts w:hint="eastAsia" w:ascii="宋体" w:hAnsi="宋体" w:eastAsia="宋体" w:cs="宋体"/>
          <w:color w:val="auto"/>
          <w:szCs w:val="21"/>
          <w:highlight w:val="none"/>
          <w:u w:val="none"/>
          <w:lang w:eastAsia="zh-CN"/>
        </w:rPr>
        <w:t>.gszf</w:t>
      </w:r>
      <w:r>
        <w:rPr>
          <w:rFonts w:hint="eastAsia" w:ascii="宋体" w:hAnsi="宋体" w:eastAsia="宋体" w:cs="宋体"/>
          <w:color w:val="auto"/>
          <w:szCs w:val="21"/>
          <w:highlight w:val="none"/>
          <w:u w:val="none"/>
        </w:rPr>
        <w:t>格式)下载后需使用“</w:t>
      </w:r>
      <w:r>
        <w:rPr>
          <w:rFonts w:hint="eastAsia" w:ascii="宋体" w:hAnsi="宋体" w:eastAsia="宋体" w:cs="宋体"/>
          <w:color w:val="auto"/>
          <w:szCs w:val="21"/>
          <w:highlight w:val="none"/>
          <w:u w:val="none"/>
          <w:lang w:eastAsia="zh-CN"/>
        </w:rPr>
        <w:t>固始县电子投标文件制作工具软件</w:t>
      </w:r>
      <w:r>
        <w:rPr>
          <w:rFonts w:hint="eastAsia" w:ascii="宋体" w:hAnsi="宋体" w:eastAsia="宋体" w:cs="宋体"/>
          <w:color w:val="auto"/>
          <w:szCs w:val="21"/>
          <w:highlight w:val="none"/>
          <w:u w:val="none"/>
        </w:rPr>
        <w:t>”打开（该工具软件可在“</w:t>
      </w:r>
      <w:r>
        <w:rPr>
          <w:rFonts w:hint="eastAsia" w:ascii="宋体" w:hAnsi="宋体" w:cs="宋体"/>
          <w:color w:val="auto"/>
          <w:szCs w:val="21"/>
          <w:highlight w:val="none"/>
          <w:u w:val="none"/>
          <w:lang w:eastAsia="zh-CN"/>
        </w:rPr>
        <w:t>固始县公共资源交易网</w:t>
      </w:r>
      <w:r>
        <w:rPr>
          <w:rFonts w:hint="eastAsia" w:ascii="宋体" w:hAnsi="宋体" w:eastAsia="宋体" w:cs="宋体"/>
          <w:color w:val="auto"/>
          <w:szCs w:val="21"/>
          <w:highlight w:val="none"/>
          <w:u w:val="none"/>
          <w:lang w:eastAsia="zh-CN"/>
        </w:rPr>
        <w:t>（</w:t>
      </w:r>
      <w:r>
        <w:rPr>
          <w:rFonts w:hint="eastAsia" w:ascii="宋体" w:hAnsi="宋体" w:cs="宋体"/>
          <w:color w:val="auto"/>
          <w:szCs w:val="21"/>
          <w:highlight w:val="none"/>
          <w:u w:val="none"/>
          <w:lang w:eastAsia="zh-CN"/>
        </w:rPr>
        <w:t>http://gushi.xyggzyjy.cn/</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”网站下载中心栏目内下载或在磋商文件领取页面下载）。请供应商下载磋商文件后，及时关注系统业务菜单（“答疑澄清文件领取”、“控制价文件领取”）内该项目是否</w:t>
      </w:r>
      <w:r>
        <w:rPr>
          <w:rFonts w:hint="eastAsia" w:ascii="宋体" w:hAnsi="宋体" w:eastAsia="宋体" w:cs="宋体"/>
          <w:color w:val="auto"/>
          <w:szCs w:val="21"/>
          <w:highlight w:val="none"/>
          <w:u w:val="none"/>
          <w:lang w:eastAsia="zh-CN"/>
        </w:rPr>
        <w:t>有</w:t>
      </w:r>
      <w:r>
        <w:rPr>
          <w:rFonts w:hint="eastAsia" w:ascii="宋体" w:hAnsi="宋体" w:eastAsia="宋体" w:cs="宋体"/>
          <w:color w:val="auto"/>
          <w:szCs w:val="21"/>
          <w:highlight w:val="none"/>
          <w:u w:val="none"/>
        </w:rPr>
        <w:t>新的答疑澄清文件或控制价文件。如有请直接下载，不再另行通知。</w:t>
      </w:r>
    </w:p>
    <w:p w14:paraId="3E1557A0">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4</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售价：0元。</w:t>
      </w:r>
    </w:p>
    <w:p w14:paraId="214C91CF">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highlight w:val="none"/>
          <w:u w:val="none"/>
        </w:rPr>
      </w:pPr>
      <w:r>
        <w:rPr>
          <w:rFonts w:hint="eastAsia" w:ascii="宋体" w:hAnsi="宋体" w:eastAsia="宋体" w:cs="宋体"/>
          <w:b/>
          <w:color w:val="auto"/>
          <w:szCs w:val="21"/>
          <w:highlight w:val="none"/>
          <w:u w:val="none"/>
        </w:rPr>
        <w:t>四、提交响应文件截止时间及地点</w:t>
      </w:r>
    </w:p>
    <w:p w14:paraId="09BC33BD">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1、时间：</w:t>
      </w:r>
      <w:r>
        <w:rPr>
          <w:rFonts w:hint="eastAsia" w:ascii="宋体" w:hAnsi="宋体" w:cs="宋体"/>
          <w:color w:val="auto"/>
          <w:szCs w:val="21"/>
          <w:highlight w:val="none"/>
          <w:u w:val="none"/>
          <w:lang w:eastAsia="zh-CN"/>
        </w:rPr>
        <w:t>2024年11月15日</w:t>
      </w:r>
      <w:r>
        <w:rPr>
          <w:rFonts w:hint="eastAsia" w:ascii="宋体" w:hAnsi="宋体" w:eastAsia="宋体" w:cs="宋体"/>
          <w:color w:val="auto"/>
          <w:szCs w:val="21"/>
          <w:highlight w:val="none"/>
          <w:u w:val="none"/>
        </w:rPr>
        <w:t>08时30分(北京时间）。</w:t>
      </w:r>
    </w:p>
    <w:p w14:paraId="0571D21F">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2、地点：投标人必须在投标截止时间前通过</w:t>
      </w:r>
      <w:r>
        <w:rPr>
          <w:rFonts w:hint="eastAsia" w:ascii="宋体" w:hAnsi="宋体" w:cs="宋体"/>
          <w:color w:val="auto"/>
          <w:szCs w:val="21"/>
          <w:highlight w:val="none"/>
          <w:u w:val="none"/>
          <w:lang w:eastAsia="zh-CN"/>
        </w:rPr>
        <w:t>固始县公共资源交易网</w:t>
      </w:r>
      <w:r>
        <w:rPr>
          <w:rFonts w:hint="eastAsia" w:ascii="宋体" w:hAnsi="宋体" w:eastAsia="宋体" w:cs="宋体"/>
          <w:color w:val="auto"/>
          <w:szCs w:val="21"/>
          <w:highlight w:val="none"/>
          <w:u w:val="none"/>
        </w:rPr>
        <w:t>电子招投标系统上传电子响应文件(</w:t>
      </w:r>
      <w:r>
        <w:rPr>
          <w:rFonts w:hint="eastAsia" w:ascii="宋体" w:hAnsi="宋体" w:eastAsia="宋体" w:cs="宋体"/>
          <w:color w:val="auto"/>
          <w:szCs w:val="21"/>
          <w:highlight w:val="none"/>
          <w:u w:val="none"/>
          <w:lang w:eastAsia="zh-CN"/>
        </w:rPr>
        <w:t>*.gstf</w:t>
      </w:r>
      <w:r>
        <w:rPr>
          <w:rFonts w:hint="eastAsia" w:ascii="宋体" w:hAnsi="宋体" w:eastAsia="宋体" w:cs="宋体"/>
          <w:color w:val="auto"/>
          <w:szCs w:val="21"/>
          <w:highlight w:val="none"/>
          <w:u w:val="none"/>
        </w:rPr>
        <w:t>格式)。上传的电子响应文件应使用投标人CA数字证书认证并加密。</w:t>
      </w:r>
    </w:p>
    <w:p w14:paraId="4CA7974D">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3、加密电子响应文件逾期上传的招标人不予受理。</w:t>
      </w:r>
    </w:p>
    <w:p w14:paraId="017C60D0">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highlight w:val="none"/>
          <w:u w:val="none"/>
        </w:rPr>
      </w:pPr>
      <w:r>
        <w:rPr>
          <w:rFonts w:hint="eastAsia" w:ascii="宋体" w:hAnsi="宋体" w:eastAsia="宋体" w:cs="宋体"/>
          <w:b/>
          <w:color w:val="auto"/>
          <w:szCs w:val="21"/>
          <w:highlight w:val="none"/>
          <w:u w:val="none"/>
        </w:rPr>
        <w:t>五、开标时间及地点</w:t>
      </w:r>
    </w:p>
    <w:p w14:paraId="70D4F810">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时间：</w:t>
      </w:r>
      <w:r>
        <w:rPr>
          <w:rFonts w:hint="eastAsia" w:ascii="宋体" w:hAnsi="宋体" w:cs="宋体"/>
          <w:color w:val="auto"/>
          <w:szCs w:val="21"/>
          <w:highlight w:val="none"/>
          <w:u w:val="none"/>
          <w:lang w:eastAsia="zh-CN"/>
        </w:rPr>
        <w:t>2024年11月15日</w:t>
      </w:r>
      <w:r>
        <w:rPr>
          <w:rFonts w:hint="eastAsia" w:ascii="宋体" w:hAnsi="宋体" w:eastAsia="宋体" w:cs="宋体"/>
          <w:color w:val="auto"/>
          <w:szCs w:val="21"/>
          <w:highlight w:val="none"/>
          <w:u w:val="none"/>
        </w:rPr>
        <w:t>08时30分(北京时间）</w:t>
      </w:r>
    </w:p>
    <w:p w14:paraId="127B707A">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地点：</w:t>
      </w:r>
      <w:r>
        <w:rPr>
          <w:rFonts w:hint="eastAsia" w:ascii="宋体" w:hAnsi="宋体" w:eastAsia="宋体" w:cs="宋体"/>
          <w:color w:val="auto"/>
          <w:szCs w:val="21"/>
          <w:highlight w:val="none"/>
          <w:u w:val="none"/>
          <w:lang w:eastAsia="zh-CN"/>
        </w:rPr>
        <w:t>固始县公共资源交易中心</w:t>
      </w:r>
      <w:r>
        <w:rPr>
          <w:rFonts w:hint="eastAsia" w:ascii="宋体" w:hAnsi="宋体" w:eastAsia="宋体" w:cs="宋体"/>
          <w:color w:val="auto"/>
          <w:szCs w:val="21"/>
          <w:highlight w:val="none"/>
          <w:u w:val="none"/>
          <w:lang w:val="en-US" w:eastAsia="zh-CN"/>
        </w:rPr>
        <w:t>六</w:t>
      </w:r>
      <w:r>
        <w:rPr>
          <w:rFonts w:hint="eastAsia" w:ascii="宋体" w:hAnsi="宋体" w:eastAsia="宋体" w:cs="宋体"/>
          <w:color w:val="auto"/>
          <w:szCs w:val="21"/>
          <w:highlight w:val="none"/>
          <w:u w:val="none"/>
        </w:rPr>
        <w:t>楼</w:t>
      </w:r>
      <w:r>
        <w:rPr>
          <w:rFonts w:hint="eastAsia" w:ascii="宋体" w:hAnsi="宋体" w:eastAsia="宋体" w:cs="宋体"/>
          <w:color w:val="auto"/>
          <w:szCs w:val="21"/>
          <w:highlight w:val="none"/>
          <w:u w:val="none"/>
          <w:lang w:eastAsia="zh-CN"/>
        </w:rPr>
        <w:t>不见面</w:t>
      </w:r>
      <w:r>
        <w:rPr>
          <w:rFonts w:hint="eastAsia" w:ascii="宋体" w:hAnsi="宋体" w:cs="宋体"/>
          <w:color w:val="auto"/>
          <w:szCs w:val="21"/>
          <w:highlight w:val="none"/>
          <w:u w:val="none"/>
          <w:lang w:eastAsia="zh-CN"/>
        </w:rPr>
        <w:t>第二开标室</w:t>
      </w:r>
      <w:r>
        <w:rPr>
          <w:rFonts w:hint="eastAsia" w:ascii="宋体" w:hAnsi="宋体" w:eastAsia="宋体" w:cs="宋体"/>
          <w:color w:val="auto"/>
          <w:szCs w:val="21"/>
          <w:highlight w:val="none"/>
          <w:u w:val="none"/>
        </w:rPr>
        <w:t>。</w:t>
      </w:r>
    </w:p>
    <w:p w14:paraId="5FED29A0">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highlight w:val="none"/>
          <w:u w:val="none"/>
        </w:rPr>
      </w:pPr>
      <w:r>
        <w:rPr>
          <w:rFonts w:hint="eastAsia" w:ascii="宋体" w:hAnsi="宋体" w:eastAsia="宋体" w:cs="宋体"/>
          <w:b/>
          <w:color w:val="auto"/>
          <w:szCs w:val="21"/>
          <w:highlight w:val="none"/>
          <w:u w:val="none"/>
        </w:rPr>
        <w:t>六、发布公告的媒介及招标公告期限</w:t>
      </w:r>
    </w:p>
    <w:p w14:paraId="7F4FEA53">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本公告在《河南省政府采购网</w:t>
      </w:r>
      <w:r>
        <w:rPr>
          <w:rFonts w:hint="eastAsia" w:ascii="宋体" w:hAnsi="宋体" w:eastAsia="宋体" w:cs="宋体"/>
          <w:color w:val="auto"/>
          <w:szCs w:val="21"/>
          <w:highlight w:val="none"/>
          <w:u w:val="none"/>
          <w:lang w:eastAsia="zh-CN"/>
        </w:rPr>
        <w:t>》《</w:t>
      </w:r>
      <w:r>
        <w:rPr>
          <w:rFonts w:hint="eastAsia" w:ascii="宋体" w:hAnsi="宋体" w:cs="宋体"/>
          <w:color w:val="auto"/>
          <w:kern w:val="0"/>
          <w:szCs w:val="21"/>
          <w:highlight w:val="none"/>
          <w:u w:val="none"/>
          <w:lang w:eastAsia="zh-CN"/>
        </w:rPr>
        <w:t>中国采购与招标网</w:t>
      </w:r>
      <w:r>
        <w:rPr>
          <w:rFonts w:hint="eastAsia" w:ascii="宋体" w:hAnsi="宋体" w:eastAsia="宋体" w:cs="宋体"/>
          <w:color w:val="auto"/>
          <w:kern w:val="0"/>
          <w:szCs w:val="21"/>
          <w:highlight w:val="none"/>
          <w:u w:val="none"/>
        </w:rPr>
        <w:t>》</w:t>
      </w:r>
      <w:r>
        <w:rPr>
          <w:rFonts w:hint="eastAsia" w:ascii="宋体" w:hAnsi="宋体" w:eastAsia="宋体" w:cs="宋体"/>
          <w:color w:val="auto"/>
          <w:szCs w:val="21"/>
          <w:highlight w:val="none"/>
          <w:u w:val="none"/>
        </w:rPr>
        <w:t>和《</w:t>
      </w:r>
      <w:r>
        <w:rPr>
          <w:rFonts w:hint="eastAsia" w:ascii="宋体" w:hAnsi="宋体" w:cs="宋体"/>
          <w:color w:val="auto"/>
          <w:szCs w:val="21"/>
          <w:highlight w:val="none"/>
          <w:u w:val="none"/>
          <w:lang w:eastAsia="zh-CN"/>
        </w:rPr>
        <w:t>固始县公共资源交易网</w:t>
      </w:r>
      <w:r>
        <w:rPr>
          <w:rFonts w:hint="eastAsia" w:ascii="宋体" w:hAnsi="宋体" w:eastAsia="宋体" w:cs="宋体"/>
          <w:color w:val="auto"/>
          <w:szCs w:val="21"/>
          <w:highlight w:val="none"/>
          <w:u w:val="none"/>
        </w:rPr>
        <w:t>》上发布。</w:t>
      </w:r>
    </w:p>
    <w:p w14:paraId="60555502">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lang w:eastAsia="zh-CN"/>
        </w:rPr>
        <w:t>公告期限为五个工作日。</w:t>
      </w:r>
    </w:p>
    <w:p w14:paraId="7EDF152D">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highlight w:val="none"/>
          <w:u w:val="none"/>
        </w:rPr>
      </w:pPr>
      <w:r>
        <w:rPr>
          <w:rFonts w:hint="eastAsia" w:ascii="宋体" w:hAnsi="宋体" w:eastAsia="宋体" w:cs="宋体"/>
          <w:b/>
          <w:color w:val="auto"/>
          <w:szCs w:val="21"/>
          <w:highlight w:val="none"/>
          <w:u w:val="none"/>
        </w:rPr>
        <w:t>七、其他补充事宜：</w:t>
      </w:r>
    </w:p>
    <w:p w14:paraId="1DBCE228">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各投标人应在投标文件递交截止时间前上传加密的电子响应文件到系统的指定位置。上传的电子响应文件应使用投标人CA数字证书认证并加密。上传时必须得到交易系统“上传成功”的确认回复后方为上传成功。请投标人在上传前务必认真检查上传响应文件是否完整、正确。</w:t>
      </w:r>
    </w:p>
    <w:p w14:paraId="20929DCB">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2</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本项目采用“不见面开标”交易方式，不见面开标大厅网址为</w:t>
      </w:r>
      <w:r>
        <w:rPr>
          <w:rFonts w:hint="eastAsia" w:ascii="宋体" w:hAnsi="宋体" w:cs="宋体"/>
          <w:color w:val="auto"/>
          <w:szCs w:val="21"/>
          <w:highlight w:val="none"/>
          <w:lang w:eastAsia="zh-CN"/>
        </w:rPr>
        <w:t>https://ggzyjy.xinyang.gov.cn/BidOpening/bidhall/xinyang/login.html</w:t>
      </w:r>
      <w:r>
        <w:rPr>
          <w:rFonts w:hint="eastAsia" w:ascii="宋体" w:hAnsi="宋体" w:eastAsia="宋体" w:cs="宋体"/>
          <w:color w:val="auto"/>
          <w:szCs w:val="21"/>
          <w:highlight w:val="none"/>
        </w:rPr>
        <w:t>。投标人无需寄送和递交非加密的电子投标文件，无需到现场参加开标会议，无需到达现场提交原件资料。</w:t>
      </w:r>
    </w:p>
    <w:p w14:paraId="45F9026D">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投标人应当在投标截止时间前，使用投标人CA数字证书登录不见面开标大厅，在线签到并准时参加开标活动，并在规定时间内完成投标文件解密、答疑澄清等。</w:t>
      </w:r>
    </w:p>
    <w:p w14:paraId="77425DA3">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逾期解密或者没有准时在线</w:t>
      </w:r>
      <w:r>
        <w:rPr>
          <w:rFonts w:hint="eastAsia" w:ascii="宋体" w:hAnsi="宋体" w:eastAsia="宋体" w:cs="宋体"/>
          <w:color w:val="auto"/>
          <w:szCs w:val="21"/>
          <w:highlight w:val="none"/>
          <w:lang w:val="en-US" w:eastAsia="zh-CN"/>
        </w:rPr>
        <w:t>签到</w:t>
      </w:r>
      <w:r>
        <w:rPr>
          <w:rFonts w:hint="eastAsia" w:ascii="宋体" w:hAnsi="宋体" w:eastAsia="宋体" w:cs="宋体"/>
          <w:color w:val="auto"/>
          <w:szCs w:val="21"/>
          <w:highlight w:val="none"/>
        </w:rPr>
        <w:t>参加开标活动导致的一切后果投标人自行承担。</w:t>
      </w:r>
    </w:p>
    <w:p w14:paraId="48905D92">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不见面开标服务的具体事宜，请查阅</w:t>
      </w:r>
      <w:r>
        <w:rPr>
          <w:rFonts w:hint="eastAsia" w:ascii="宋体" w:hAnsi="宋体" w:cs="宋体"/>
          <w:color w:val="auto"/>
          <w:szCs w:val="21"/>
          <w:highlight w:val="none"/>
          <w:lang w:eastAsia="zh-CN"/>
        </w:rPr>
        <w:t>固始县公共资源交易网</w:t>
      </w:r>
      <w:r>
        <w:rPr>
          <w:rFonts w:hint="eastAsia" w:ascii="宋体" w:hAnsi="宋体" w:eastAsia="宋体" w:cs="宋体"/>
          <w:color w:val="auto"/>
          <w:szCs w:val="21"/>
          <w:highlight w:val="none"/>
        </w:rPr>
        <w:t>网站首页—下载中心—固始县不见面开标大厅系统操作手册。</w:t>
      </w:r>
    </w:p>
    <w:p w14:paraId="7A09105E">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特别提示：本项目的采购方式为竞争性磋商，需要各投标人进行二次报价，第二轮报价在不见面开标系统上远程报价，故投标人在线签到时，应如实准确的填写授权委托人的联系电话，开标当天请务必保证电话畅通，否则引发的后果由投标人自行承担。</w:t>
      </w:r>
    </w:p>
    <w:p w14:paraId="35F2AB1C">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本项目评标以电子投标文件为依据，未在投标截止时间前上传电子投标文件的投标人，视为自动放弃其投标。</w:t>
      </w:r>
    </w:p>
    <w:p w14:paraId="017AA4E9">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八、对本次招标提出询问，请按以下方式联系</w:t>
      </w:r>
    </w:p>
    <w:p w14:paraId="66B746E6">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52703BD8">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固始县农业农村局</w:t>
      </w:r>
    </w:p>
    <w:p w14:paraId="7F2D2D90">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lang w:eastAsia="zh-CN"/>
        </w:rPr>
        <w:t>固始县蓼城大道与幸福路交叉口</w:t>
      </w:r>
    </w:p>
    <w:p w14:paraId="78983AAB">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张先华</w:t>
      </w:r>
    </w:p>
    <w:p w14:paraId="5EFDE0D5">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lang w:val="en-US" w:eastAsia="zh-CN"/>
        </w:rPr>
        <w:t>13507611616</w:t>
      </w:r>
    </w:p>
    <w:p w14:paraId="05B1411D">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4FD46180">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cs="宋体"/>
          <w:color w:val="auto"/>
          <w:szCs w:val="21"/>
          <w:highlight w:val="none"/>
          <w:lang w:eastAsia="zh-CN"/>
        </w:rPr>
        <w:t>河南立铭项目咨询有限公司</w:t>
      </w:r>
    </w:p>
    <w:p w14:paraId="7CC3C556">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cs="宋体"/>
          <w:color w:val="auto"/>
          <w:szCs w:val="21"/>
          <w:highlight w:val="none"/>
          <w:lang w:eastAsia="zh-CN"/>
        </w:rPr>
        <w:t>固始县城关镇陈元光大道西段68号</w:t>
      </w:r>
    </w:p>
    <w:p w14:paraId="24A2D4E7">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cs="宋体"/>
          <w:color w:val="auto"/>
          <w:szCs w:val="21"/>
          <w:highlight w:val="none"/>
          <w:lang w:eastAsia="zh-CN"/>
        </w:rPr>
        <w:t>张志立</w:t>
      </w:r>
    </w:p>
    <w:p w14:paraId="5248FFF3">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联系方式：</w:t>
      </w:r>
      <w:r>
        <w:rPr>
          <w:rFonts w:hint="eastAsia" w:ascii="宋体" w:hAnsi="宋体" w:cs="宋体"/>
          <w:color w:val="auto"/>
          <w:szCs w:val="21"/>
          <w:highlight w:val="none"/>
          <w:lang w:eastAsia="zh-CN"/>
        </w:rPr>
        <w:t>17537623333</w:t>
      </w:r>
    </w:p>
    <w:p w14:paraId="049AF940">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4AA1E50C">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cs="宋体"/>
          <w:color w:val="auto"/>
          <w:szCs w:val="21"/>
          <w:highlight w:val="none"/>
          <w:lang w:eastAsia="zh-CN"/>
        </w:rPr>
        <w:t>张志立</w:t>
      </w:r>
    </w:p>
    <w:p w14:paraId="7E82A9FA">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联系方式：</w:t>
      </w:r>
      <w:r>
        <w:rPr>
          <w:rFonts w:hint="eastAsia" w:ascii="宋体" w:hAnsi="宋体" w:cs="宋体"/>
          <w:color w:val="auto"/>
          <w:szCs w:val="21"/>
          <w:highlight w:val="none"/>
          <w:lang w:eastAsia="zh-CN"/>
        </w:rPr>
        <w:t>17537623333</w:t>
      </w:r>
    </w:p>
    <w:p w14:paraId="2F8C6847">
      <w:pPr>
        <w:pageBreakBefore w:val="0"/>
        <w:numPr>
          <w:ilvl w:val="0"/>
          <w:numId w:val="2"/>
        </w:numPr>
        <w:kinsoku/>
        <w:wordWrap w:val="0"/>
        <w:overflowPunct/>
        <w:autoSpaceDE w:val="0"/>
        <w:autoSpaceDN w:val="0"/>
        <w:bidi w:val="0"/>
        <w:adjustRightInd w:val="0"/>
        <w:snapToGrid w:val="0"/>
        <w:spacing w:after="120" w:afterLines="50"/>
        <w:jc w:val="center"/>
        <w:outlineLvl w:val="0"/>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0"/>
          <w:sz w:val="32"/>
          <w:szCs w:val="32"/>
          <w:highlight w:val="none"/>
        </w:rPr>
        <w:br w:type="page"/>
      </w:r>
      <w:bookmarkStart w:id="7" w:name="_Toc26326"/>
      <w:r>
        <w:rPr>
          <w:rFonts w:hint="eastAsia" w:ascii="宋体" w:hAnsi="宋体" w:eastAsia="宋体" w:cs="宋体"/>
          <w:b/>
          <w:bCs/>
          <w:color w:val="auto"/>
          <w:kern w:val="44"/>
          <w:sz w:val="44"/>
          <w:szCs w:val="44"/>
          <w:highlight w:val="none"/>
          <w:lang w:val="en-US" w:eastAsia="zh-CN" w:bidi="ar-SA"/>
        </w:rPr>
        <w:t>供应商须知</w:t>
      </w:r>
      <w:bookmarkEnd w:id="6"/>
      <w:bookmarkEnd w:id="7"/>
    </w:p>
    <w:p w14:paraId="3A1C7758">
      <w:pPr>
        <w:pageBreakBefore w:val="0"/>
        <w:kinsoku/>
        <w:wordWrap w:val="0"/>
        <w:overflowPunct/>
        <w:autoSpaceDE w:val="0"/>
        <w:autoSpaceDN w:val="0"/>
        <w:bidi w:val="0"/>
        <w:adjustRightInd w:val="0"/>
        <w:snapToGrid w:val="0"/>
        <w:spacing w:after="120" w:afterLines="50"/>
        <w:ind w:firstLine="2891" w:firstLineChars="1200"/>
        <w:outlineLvl w:val="1"/>
        <w:rPr>
          <w:rFonts w:hint="eastAsia" w:ascii="宋体" w:hAnsi="宋体" w:eastAsia="宋体" w:cs="宋体"/>
          <w:b/>
          <w:color w:val="auto"/>
          <w:kern w:val="0"/>
          <w:sz w:val="24"/>
          <w:highlight w:val="none"/>
        </w:rPr>
      </w:pPr>
      <w:bookmarkStart w:id="8" w:name="_Toc2549"/>
      <w:r>
        <w:rPr>
          <w:rFonts w:hint="eastAsia" w:ascii="宋体" w:hAnsi="宋体" w:eastAsia="宋体" w:cs="宋体"/>
          <w:b/>
          <w:color w:val="auto"/>
          <w:kern w:val="0"/>
          <w:sz w:val="24"/>
          <w:highlight w:val="none"/>
        </w:rPr>
        <w:t>（一）供应商须知前附表</w:t>
      </w:r>
      <w:bookmarkEnd w:id="8"/>
    </w:p>
    <w:tbl>
      <w:tblPr>
        <w:tblStyle w:val="52"/>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2211"/>
        <w:gridCol w:w="6424"/>
      </w:tblGrid>
      <w:tr w14:paraId="3EDA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16" w:type="dxa"/>
            <w:noWrap w:val="0"/>
            <w:vAlign w:val="center"/>
          </w:tcPr>
          <w:p w14:paraId="1E14B813">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条款号</w:t>
            </w:r>
          </w:p>
        </w:tc>
        <w:tc>
          <w:tcPr>
            <w:tcW w:w="2211" w:type="dxa"/>
            <w:noWrap w:val="0"/>
            <w:vAlign w:val="center"/>
          </w:tcPr>
          <w:p w14:paraId="47D3FF80">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条 款 名 称</w:t>
            </w:r>
          </w:p>
        </w:tc>
        <w:tc>
          <w:tcPr>
            <w:tcW w:w="6424" w:type="dxa"/>
            <w:noWrap w:val="0"/>
            <w:vAlign w:val="center"/>
          </w:tcPr>
          <w:p w14:paraId="02D96F29">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编 列 内 容</w:t>
            </w:r>
          </w:p>
        </w:tc>
      </w:tr>
      <w:tr w14:paraId="4467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noWrap w:val="0"/>
            <w:vAlign w:val="center"/>
          </w:tcPr>
          <w:p w14:paraId="5B6D7032">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w:t>
            </w:r>
          </w:p>
        </w:tc>
        <w:tc>
          <w:tcPr>
            <w:tcW w:w="2211" w:type="dxa"/>
            <w:noWrap w:val="0"/>
            <w:vAlign w:val="center"/>
          </w:tcPr>
          <w:p w14:paraId="075E7929">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w:t>
            </w:r>
          </w:p>
        </w:tc>
        <w:tc>
          <w:tcPr>
            <w:tcW w:w="6424" w:type="dxa"/>
            <w:noWrap w:val="0"/>
            <w:vAlign w:val="center"/>
          </w:tcPr>
          <w:p w14:paraId="65319CF0">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eastAsia="zh-CN"/>
              </w:rPr>
              <w:t>固始县农业农村局</w:t>
            </w:r>
          </w:p>
          <w:p w14:paraId="0555B427">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eastAsia="zh-CN"/>
              </w:rPr>
              <w:t>固始县蓼城大道与幸福路交叉口</w:t>
            </w:r>
          </w:p>
          <w:p w14:paraId="553C9F01">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张先华</w:t>
            </w:r>
          </w:p>
          <w:p w14:paraId="24A4097B">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val="en-US" w:eastAsia="zh-CN"/>
              </w:rPr>
              <w:t>13507611616</w:t>
            </w:r>
          </w:p>
        </w:tc>
      </w:tr>
      <w:tr w14:paraId="0891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noWrap w:val="0"/>
            <w:vAlign w:val="center"/>
          </w:tcPr>
          <w:p w14:paraId="70BD473F">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1.2.2</w:t>
            </w:r>
          </w:p>
        </w:tc>
        <w:tc>
          <w:tcPr>
            <w:tcW w:w="2211" w:type="dxa"/>
            <w:noWrap w:val="0"/>
            <w:vAlign w:val="center"/>
          </w:tcPr>
          <w:p w14:paraId="655BF447">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采购代理机构</w:t>
            </w:r>
          </w:p>
        </w:tc>
        <w:tc>
          <w:tcPr>
            <w:tcW w:w="6424" w:type="dxa"/>
            <w:noWrap w:val="0"/>
            <w:vAlign w:val="center"/>
          </w:tcPr>
          <w:p w14:paraId="44E23AC0">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eastAsia="zh-CN"/>
              </w:rPr>
              <w:t>河南立铭项目咨询有限公司</w:t>
            </w:r>
          </w:p>
          <w:p w14:paraId="1E5D32F4">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cs="宋体"/>
                <w:color w:val="auto"/>
                <w:sz w:val="21"/>
                <w:szCs w:val="21"/>
                <w:highlight w:val="none"/>
                <w:lang w:eastAsia="zh-CN"/>
              </w:rPr>
              <w:t>固始县城关镇陈元光大道西段68号</w:t>
            </w:r>
          </w:p>
          <w:p w14:paraId="0E51D24E">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张志立</w:t>
            </w:r>
          </w:p>
          <w:p w14:paraId="0B5C05E6">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联系方式：</w:t>
            </w:r>
            <w:r>
              <w:rPr>
                <w:rFonts w:hint="eastAsia" w:ascii="宋体" w:hAnsi="宋体" w:cs="宋体"/>
                <w:color w:val="auto"/>
                <w:sz w:val="21"/>
                <w:szCs w:val="21"/>
                <w:highlight w:val="none"/>
                <w:lang w:eastAsia="zh-CN"/>
              </w:rPr>
              <w:t>17537623333</w:t>
            </w:r>
          </w:p>
        </w:tc>
      </w:tr>
      <w:tr w14:paraId="1C04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16" w:type="dxa"/>
            <w:noWrap w:val="0"/>
            <w:vAlign w:val="center"/>
          </w:tcPr>
          <w:p w14:paraId="48E9293C">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w:t>
            </w:r>
          </w:p>
        </w:tc>
        <w:tc>
          <w:tcPr>
            <w:tcW w:w="2211" w:type="dxa"/>
            <w:noWrap w:val="0"/>
            <w:vAlign w:val="center"/>
          </w:tcPr>
          <w:p w14:paraId="49CD9159">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p>
        </w:tc>
        <w:tc>
          <w:tcPr>
            <w:tcW w:w="6424" w:type="dxa"/>
            <w:noWrap w:val="0"/>
            <w:vAlign w:val="center"/>
          </w:tcPr>
          <w:p w14:paraId="3CCA9A56">
            <w:pPr>
              <w:pStyle w:val="28"/>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固始县2024年农作物重大病虫害绿色防控项目</w:t>
            </w:r>
          </w:p>
        </w:tc>
      </w:tr>
      <w:tr w14:paraId="2156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16" w:type="dxa"/>
            <w:noWrap w:val="0"/>
            <w:vAlign w:val="center"/>
          </w:tcPr>
          <w:p w14:paraId="70E919E1">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w:t>
            </w:r>
          </w:p>
        </w:tc>
        <w:tc>
          <w:tcPr>
            <w:tcW w:w="2211" w:type="dxa"/>
            <w:noWrap w:val="0"/>
            <w:vAlign w:val="center"/>
          </w:tcPr>
          <w:p w14:paraId="3CBDC854">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采购方式</w:t>
            </w:r>
          </w:p>
        </w:tc>
        <w:tc>
          <w:tcPr>
            <w:tcW w:w="6424" w:type="dxa"/>
            <w:noWrap w:val="0"/>
            <w:vAlign w:val="center"/>
          </w:tcPr>
          <w:p w14:paraId="051D81D1">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left"/>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竞争性磋商</w:t>
            </w:r>
          </w:p>
        </w:tc>
      </w:tr>
      <w:tr w14:paraId="596F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16" w:type="dxa"/>
            <w:noWrap w:val="0"/>
            <w:vAlign w:val="center"/>
          </w:tcPr>
          <w:p w14:paraId="5E47654A">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1.2.5</w:t>
            </w:r>
          </w:p>
        </w:tc>
        <w:tc>
          <w:tcPr>
            <w:tcW w:w="2211" w:type="dxa"/>
            <w:noWrap w:val="0"/>
            <w:vAlign w:val="center"/>
          </w:tcPr>
          <w:p w14:paraId="654D2610">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预算价（</w:t>
            </w:r>
            <w:r>
              <w:rPr>
                <w:rFonts w:hint="eastAsia" w:ascii="宋体" w:hAnsi="宋体" w:eastAsia="宋体" w:cs="宋体"/>
                <w:color w:val="auto"/>
                <w:sz w:val="21"/>
                <w:szCs w:val="21"/>
                <w:highlight w:val="none"/>
              </w:rPr>
              <w:t>最高限价</w:t>
            </w:r>
            <w:r>
              <w:rPr>
                <w:rFonts w:hint="eastAsia" w:ascii="宋体" w:hAnsi="宋体" w:eastAsia="宋体" w:cs="宋体"/>
                <w:color w:val="auto"/>
                <w:kern w:val="0"/>
                <w:sz w:val="21"/>
                <w:szCs w:val="21"/>
                <w:highlight w:val="none"/>
              </w:rPr>
              <w:t>）</w:t>
            </w:r>
          </w:p>
        </w:tc>
        <w:tc>
          <w:tcPr>
            <w:tcW w:w="6424" w:type="dxa"/>
            <w:noWrap w:val="0"/>
            <w:vAlign w:val="center"/>
          </w:tcPr>
          <w:p w14:paraId="4CB61F0F">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预算价（最高限价）：</w:t>
            </w:r>
            <w:r>
              <w:rPr>
                <w:rFonts w:hint="eastAsia" w:ascii="宋体" w:hAnsi="宋体" w:eastAsia="宋体" w:cs="宋体"/>
                <w:b/>
                <w:bCs/>
                <w:color w:val="auto"/>
                <w:kern w:val="0"/>
                <w:sz w:val="21"/>
                <w:szCs w:val="21"/>
                <w:highlight w:val="none"/>
                <w:lang w:val="en-US" w:eastAsia="zh-CN"/>
              </w:rPr>
              <w:t>1包：412500.0元；</w:t>
            </w:r>
          </w:p>
          <w:p w14:paraId="117284F7">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2包：436900.0元；</w:t>
            </w:r>
          </w:p>
          <w:p w14:paraId="2BFE8FD7">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3包：383500.0元；</w:t>
            </w:r>
          </w:p>
          <w:p w14:paraId="28E65A9D">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4包：399520.0元</w:t>
            </w:r>
          </w:p>
          <w:p w14:paraId="231BDEF1">
            <w:pPr>
              <w:pStyle w:val="276"/>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投标报价超过预算价（最高限价）按无效投标处理</w:t>
            </w:r>
          </w:p>
        </w:tc>
      </w:tr>
      <w:tr w14:paraId="3896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6" w:type="dxa"/>
            <w:noWrap w:val="0"/>
            <w:vAlign w:val="center"/>
          </w:tcPr>
          <w:p w14:paraId="3E893DC2">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w:t>
            </w:r>
          </w:p>
        </w:tc>
        <w:tc>
          <w:tcPr>
            <w:tcW w:w="2211" w:type="dxa"/>
            <w:noWrap w:val="0"/>
            <w:vAlign w:val="center"/>
          </w:tcPr>
          <w:p w14:paraId="13E92359">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6424" w:type="dxa"/>
            <w:noWrap w:val="0"/>
            <w:vAlign w:val="center"/>
          </w:tcPr>
          <w:p w14:paraId="25FBCE29">
            <w:pPr>
              <w:pStyle w:val="24"/>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财政资金</w:t>
            </w:r>
          </w:p>
        </w:tc>
      </w:tr>
      <w:tr w14:paraId="24BC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16" w:type="dxa"/>
            <w:noWrap w:val="0"/>
            <w:vAlign w:val="center"/>
          </w:tcPr>
          <w:p w14:paraId="1B831589">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1.2.2</w:t>
            </w:r>
          </w:p>
        </w:tc>
        <w:tc>
          <w:tcPr>
            <w:tcW w:w="2211" w:type="dxa"/>
            <w:noWrap w:val="0"/>
            <w:vAlign w:val="center"/>
          </w:tcPr>
          <w:p w14:paraId="74798E5D">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出资比例</w:t>
            </w:r>
          </w:p>
        </w:tc>
        <w:tc>
          <w:tcPr>
            <w:tcW w:w="6424" w:type="dxa"/>
            <w:noWrap w:val="0"/>
            <w:vAlign w:val="center"/>
          </w:tcPr>
          <w:p w14:paraId="11B7BBCB">
            <w:pPr>
              <w:pStyle w:val="24"/>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r>
      <w:tr w14:paraId="3095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16" w:type="dxa"/>
            <w:noWrap w:val="0"/>
            <w:vAlign w:val="center"/>
          </w:tcPr>
          <w:p w14:paraId="6237AF09">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w:t>
            </w:r>
          </w:p>
        </w:tc>
        <w:tc>
          <w:tcPr>
            <w:tcW w:w="2211" w:type="dxa"/>
            <w:noWrap w:val="0"/>
            <w:vAlign w:val="center"/>
          </w:tcPr>
          <w:p w14:paraId="74D2103A">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采购内容</w:t>
            </w:r>
          </w:p>
        </w:tc>
        <w:tc>
          <w:tcPr>
            <w:tcW w:w="6424" w:type="dxa"/>
            <w:noWrap w:val="0"/>
            <w:vAlign w:val="center"/>
          </w:tcPr>
          <w:p w14:paraId="468F0C14">
            <w:pPr>
              <w:pStyle w:val="276"/>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本次采购共分</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个包</w:t>
            </w:r>
          </w:p>
          <w:p w14:paraId="3BAE4277">
            <w:pPr>
              <w:pStyle w:val="276"/>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1包：频振式太阳能杀虫灯150台；</w:t>
            </w:r>
          </w:p>
          <w:p w14:paraId="7C5C154D">
            <w:pPr>
              <w:pStyle w:val="276"/>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2包：35%唑醚.戊唑醇悬浮剂1700千克；</w:t>
            </w:r>
          </w:p>
          <w:p w14:paraId="58978B90">
            <w:pPr>
              <w:pStyle w:val="276"/>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3包：14%甲维.茚虫威悬浮剂1300千克；</w:t>
            </w:r>
          </w:p>
          <w:p w14:paraId="5B8DCAAF">
            <w:pPr>
              <w:pStyle w:val="276"/>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4包：20%噻呋.己唑醇悬浮剂2270千克。（详见磋商文件第五章）</w:t>
            </w:r>
          </w:p>
        </w:tc>
      </w:tr>
      <w:tr w14:paraId="698D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16" w:type="dxa"/>
            <w:noWrap w:val="0"/>
            <w:vAlign w:val="center"/>
          </w:tcPr>
          <w:p w14:paraId="28CB2455">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w:t>
            </w:r>
          </w:p>
        </w:tc>
        <w:tc>
          <w:tcPr>
            <w:tcW w:w="2211" w:type="dxa"/>
            <w:noWrap w:val="0"/>
            <w:vAlign w:val="center"/>
          </w:tcPr>
          <w:p w14:paraId="5D6DD351">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质量要求</w:t>
            </w:r>
          </w:p>
        </w:tc>
        <w:tc>
          <w:tcPr>
            <w:tcW w:w="6424" w:type="dxa"/>
            <w:noWrap w:val="0"/>
            <w:vAlign w:val="center"/>
          </w:tcPr>
          <w:p w14:paraId="74DA0DF3">
            <w:pPr>
              <w:pStyle w:val="276"/>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合格</w:t>
            </w:r>
          </w:p>
        </w:tc>
      </w:tr>
      <w:tr w14:paraId="025B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16" w:type="dxa"/>
            <w:noWrap w:val="0"/>
            <w:vAlign w:val="center"/>
          </w:tcPr>
          <w:p w14:paraId="09BBFF0A">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w:t>
            </w:r>
          </w:p>
        </w:tc>
        <w:tc>
          <w:tcPr>
            <w:tcW w:w="2211" w:type="dxa"/>
            <w:noWrap w:val="0"/>
            <w:vAlign w:val="center"/>
          </w:tcPr>
          <w:p w14:paraId="58058D36">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供货期</w:t>
            </w:r>
          </w:p>
        </w:tc>
        <w:tc>
          <w:tcPr>
            <w:tcW w:w="6424" w:type="dxa"/>
            <w:noWrap w:val="0"/>
            <w:vAlign w:val="center"/>
          </w:tcPr>
          <w:p w14:paraId="6BFC43F3">
            <w:pPr>
              <w:keepNext w:val="0"/>
              <w:keepLines w:val="0"/>
              <w:pageBreakBefore w:val="0"/>
              <w:suppressLineNumbers w:val="0"/>
              <w:kinsoku/>
              <w:wordWrap w:val="0"/>
              <w:overflowPunct/>
              <w:bidi w:val="0"/>
              <w:adjustRightInd w:val="0"/>
              <w:snapToGrid w:val="0"/>
              <w:spacing w:before="72" w:beforeLines="30" w:beforeAutospacing="0" w:after="0" w:afterAutospacing="0" w:line="288" w:lineRule="auto"/>
              <w:ind w:left="21" w:leftChars="10" w:right="21" w:rightChars="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 xml:space="preserve">自合同签订后接采购人通知 </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 xml:space="preserve"> 日内供货至业主指定地点</w:t>
            </w:r>
          </w:p>
        </w:tc>
      </w:tr>
      <w:tr w14:paraId="4F0D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16" w:type="dxa"/>
            <w:tcBorders>
              <w:top w:val="single" w:color="auto" w:sz="4" w:space="0"/>
            </w:tcBorders>
            <w:noWrap w:val="0"/>
            <w:vAlign w:val="center"/>
          </w:tcPr>
          <w:p w14:paraId="21C2723C">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1.5.1</w:t>
            </w:r>
          </w:p>
        </w:tc>
        <w:tc>
          <w:tcPr>
            <w:tcW w:w="2211" w:type="dxa"/>
            <w:tcBorders>
              <w:top w:val="single" w:color="auto" w:sz="4" w:space="0"/>
            </w:tcBorders>
            <w:noWrap w:val="0"/>
            <w:vAlign w:val="center"/>
          </w:tcPr>
          <w:p w14:paraId="4AC03C6C">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供应商资格要求</w:t>
            </w:r>
          </w:p>
        </w:tc>
        <w:tc>
          <w:tcPr>
            <w:tcW w:w="6424" w:type="dxa"/>
            <w:tcBorders>
              <w:top w:val="single" w:color="auto" w:sz="4" w:space="0"/>
            </w:tcBorders>
            <w:noWrap w:val="0"/>
            <w:vAlign w:val="center"/>
          </w:tcPr>
          <w:p w14:paraId="75CE0EAF">
            <w:pPr>
              <w:keepNext w:val="0"/>
              <w:keepLines w:val="0"/>
              <w:pageBreakBefore w:val="0"/>
              <w:numPr>
                <w:ilvl w:val="0"/>
                <w:numId w:val="3"/>
              </w:numPr>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满足《中华人民共和国政府采购法》第二十二条规定；</w:t>
            </w:r>
          </w:p>
          <w:p w14:paraId="7A3C2765">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①具有独立承担民事责任的能力，提供营业执照等证明文件；</w:t>
            </w:r>
          </w:p>
          <w:p w14:paraId="12627884">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②具有良好的商业信誉和健全的财务会计制度（提供</w:t>
            </w:r>
            <w:r>
              <w:rPr>
                <w:rFonts w:hint="eastAsia" w:ascii="宋体" w:hAnsi="宋体" w:cs="宋体"/>
                <w:color w:val="auto"/>
                <w:sz w:val="21"/>
                <w:szCs w:val="21"/>
                <w:highlight w:val="none"/>
                <w:lang w:eastAsia="zh-CN"/>
              </w:rPr>
              <w:t>2023年度</w:t>
            </w:r>
            <w:r>
              <w:rPr>
                <w:rFonts w:hint="eastAsia" w:ascii="宋体" w:hAnsi="宋体" w:eastAsia="宋体" w:cs="宋体"/>
                <w:color w:val="auto"/>
                <w:sz w:val="21"/>
                <w:szCs w:val="21"/>
                <w:highlight w:val="none"/>
              </w:rPr>
              <w:t>经审计的财务审计报告，202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年成立的公司提供基本户的开户行开具的银行资信证明）；</w:t>
            </w:r>
          </w:p>
          <w:p w14:paraId="506AC302">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③具有履行合同所必需的设备和专业技术能力（提供相关证明材料或承诺函）；</w:t>
            </w:r>
          </w:p>
          <w:p w14:paraId="4614F5C1">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④有依法缴纳税收和社会保险的良好记录（提供</w:t>
            </w:r>
            <w:r>
              <w:rPr>
                <w:rFonts w:hint="eastAsia" w:ascii="宋体" w:hAnsi="宋体" w:cs="宋体"/>
                <w:color w:val="auto"/>
                <w:sz w:val="21"/>
                <w:szCs w:val="21"/>
                <w:highlight w:val="none"/>
                <w:lang w:eastAsia="zh-CN"/>
              </w:rPr>
              <w:t>2024年1月</w:t>
            </w:r>
            <w:r>
              <w:rPr>
                <w:rFonts w:hint="eastAsia" w:ascii="宋体" w:hAnsi="宋体" w:eastAsia="宋体" w:cs="宋体"/>
                <w:color w:val="auto"/>
                <w:sz w:val="21"/>
                <w:szCs w:val="21"/>
                <w:highlight w:val="none"/>
              </w:rPr>
              <w:t>以来任意3个月依法缴纳税收和社会保险的证明，成立不足三个月的提供自成立日以来的依法缴纳税收和社会保险的证明，依法免税和免缴纳社会保障金的须提供依法免缴纳证明）；</w:t>
            </w:r>
          </w:p>
          <w:p w14:paraId="1FD91EA2">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⑤参加政府采购活动前三年内，在经营活动中没有重大违法记录（提供声明函）；</w:t>
            </w:r>
          </w:p>
          <w:p w14:paraId="30EAA962">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通过“中国执行信息公开网”（zxgk.court.gov.cn）、“信用中国”网站（www.creditchina.gov.cn）、“中国政府采购网”（www.ccgp.gov.cn）查询供应商信用记录，被列入“中国执行信息公开网”“失信被执行人”、“信用中国”网站“重大税收违法失信主体”及“中国政府采购网”网站“政府采购严重违法失信行为记录名单”的单位将被拒绝参与本项目政府采购活动（提供查询网页截图加盖单位公章，查询时间需在本公告发布之后）；</w:t>
            </w:r>
          </w:p>
          <w:p w14:paraId="74F5B4FE">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4788FEDE">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本项目专门面向中小企业采购。本项目落实执行促进中小型企业发展政策（监狱企业、残疾人福利性企业视同小微企业）等政府采购政策。</w:t>
            </w:r>
          </w:p>
          <w:p w14:paraId="426898C4">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08AFF943">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 </w:t>
            </w:r>
            <w:r>
              <w:rPr>
                <w:rFonts w:hint="eastAsia" w:ascii="宋体" w:hAnsi="宋体" w:cs="宋体"/>
                <w:color w:val="auto"/>
                <w:sz w:val="21"/>
                <w:szCs w:val="21"/>
                <w:highlight w:val="none"/>
                <w:lang w:eastAsia="zh-CN"/>
              </w:rPr>
              <w:t>2-4包</w:t>
            </w:r>
            <w:r>
              <w:rPr>
                <w:rFonts w:hint="eastAsia" w:ascii="宋体" w:hAnsi="宋体" w:eastAsia="宋体" w:cs="宋体"/>
                <w:color w:val="auto"/>
                <w:sz w:val="21"/>
                <w:szCs w:val="21"/>
                <w:highlight w:val="none"/>
              </w:rPr>
              <w:t>供应商所供产品应具有“三证”《农药登记证》、《生产许可证》、《产品标准证》并在有效期内；</w:t>
            </w:r>
          </w:p>
          <w:p w14:paraId="2DEDB37A">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单位负责人为同一人或者存在控股、管理关系的不同单位，不得同时参加本项目投标（提供“国家企业信用信息公示系统”中公示的公司信息、股东或投资人信息网页截图加盖单位公章，查询时间需在本磋商公告发布之后）</w:t>
            </w:r>
          </w:p>
        </w:tc>
      </w:tr>
      <w:tr w14:paraId="2C9E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noWrap w:val="0"/>
            <w:vAlign w:val="center"/>
          </w:tcPr>
          <w:p w14:paraId="18FB1599">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2211" w:type="dxa"/>
            <w:tcBorders>
              <w:top w:val="single" w:color="auto" w:sz="4" w:space="0"/>
            </w:tcBorders>
            <w:noWrap w:val="0"/>
            <w:vAlign w:val="center"/>
          </w:tcPr>
          <w:p w14:paraId="4FC861F0">
            <w:pPr>
              <w:keepNext w:val="0"/>
              <w:keepLines w:val="0"/>
              <w:pageBreakBefore w:val="0"/>
              <w:suppressLineNumbers w:val="0"/>
              <w:kinsoku/>
              <w:wordWrap w:val="0"/>
              <w:overflowPunct/>
              <w:bidi w:val="0"/>
              <w:spacing w:before="0" w:beforeAutospacing="0" w:after="0" w:afterAutospacing="0" w:line="3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w:t>
            </w:r>
          </w:p>
        </w:tc>
        <w:tc>
          <w:tcPr>
            <w:tcW w:w="6424" w:type="dxa"/>
            <w:tcBorders>
              <w:top w:val="single" w:color="auto" w:sz="4" w:space="0"/>
            </w:tcBorders>
            <w:noWrap w:val="0"/>
            <w:vAlign w:val="center"/>
          </w:tcPr>
          <w:p w14:paraId="2A081D82">
            <w:pPr>
              <w:pStyle w:val="21"/>
              <w:keepNext w:val="0"/>
              <w:keepLines w:val="0"/>
              <w:pageBreakBefore w:val="0"/>
              <w:suppressLineNumbers w:val="0"/>
              <w:kinsoku/>
              <w:wordWrap w:val="0"/>
              <w:overflowPunct/>
              <w:topLinePunct/>
              <w:bidi w:val="0"/>
              <w:adjustRightInd w:val="0"/>
              <w:spacing w:before="0" w:beforeAutospacing="0" w:after="0" w:afterAutospacing="0" w:line="340" w:lineRule="exact"/>
              <w:ind w:left="0" w:right="0" w:firstLine="0" w:firstLineChars="0"/>
              <w:jc w:val="left"/>
              <w:textAlignment w:val="baseline"/>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不接受</w:t>
            </w:r>
          </w:p>
        </w:tc>
      </w:tr>
      <w:tr w14:paraId="6A49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noWrap w:val="0"/>
            <w:vAlign w:val="center"/>
          </w:tcPr>
          <w:p w14:paraId="3F34EAA6">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w:t>
            </w:r>
          </w:p>
        </w:tc>
        <w:tc>
          <w:tcPr>
            <w:tcW w:w="2211" w:type="dxa"/>
            <w:tcBorders>
              <w:top w:val="single" w:color="auto" w:sz="4" w:space="0"/>
            </w:tcBorders>
            <w:noWrap w:val="0"/>
            <w:vAlign w:val="center"/>
          </w:tcPr>
          <w:p w14:paraId="6DE8266A">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w:t>
            </w:r>
          </w:p>
        </w:tc>
        <w:tc>
          <w:tcPr>
            <w:tcW w:w="6424" w:type="dxa"/>
            <w:tcBorders>
              <w:top w:val="single" w:color="auto" w:sz="4" w:space="0"/>
            </w:tcBorders>
            <w:noWrap w:val="0"/>
            <w:vAlign w:val="center"/>
          </w:tcPr>
          <w:p w14:paraId="0EFA83F4">
            <w:pPr>
              <w:pStyle w:val="21"/>
              <w:keepNext w:val="0"/>
              <w:keepLines w:val="0"/>
              <w:pageBreakBefore w:val="0"/>
              <w:suppressLineNumbers w:val="0"/>
              <w:kinsoku/>
              <w:wordWrap w:val="0"/>
              <w:overflowPunct/>
              <w:topLinePunct/>
              <w:bidi w:val="0"/>
              <w:adjustRightInd w:val="0"/>
              <w:spacing w:before="0" w:beforeAutospacing="0" w:after="0" w:afterAutospacing="0" w:line="340" w:lineRule="exact"/>
              <w:ind w:left="0" w:right="0" w:firstLine="0" w:firstLineChars="0"/>
              <w:jc w:val="left"/>
              <w:textAlignment w:val="baseline"/>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自行踏勘</w:t>
            </w:r>
          </w:p>
        </w:tc>
      </w:tr>
      <w:tr w14:paraId="6997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noWrap w:val="0"/>
            <w:vAlign w:val="center"/>
          </w:tcPr>
          <w:p w14:paraId="1FB09745">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2211" w:type="dxa"/>
            <w:tcBorders>
              <w:top w:val="single" w:color="auto" w:sz="4" w:space="0"/>
            </w:tcBorders>
            <w:noWrap w:val="0"/>
            <w:vAlign w:val="center"/>
          </w:tcPr>
          <w:p w14:paraId="2F2BC89B">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6424" w:type="dxa"/>
            <w:tcBorders>
              <w:top w:val="single" w:color="auto" w:sz="4" w:space="0"/>
            </w:tcBorders>
            <w:noWrap w:val="0"/>
            <w:vAlign w:val="center"/>
          </w:tcPr>
          <w:p w14:paraId="2928EF45">
            <w:pPr>
              <w:pStyle w:val="21"/>
              <w:keepNext w:val="0"/>
              <w:keepLines w:val="0"/>
              <w:pageBreakBefore w:val="0"/>
              <w:suppressLineNumbers w:val="0"/>
              <w:kinsoku/>
              <w:wordWrap w:val="0"/>
              <w:overflowPunct/>
              <w:topLinePunct/>
              <w:bidi w:val="0"/>
              <w:adjustRightInd w:val="0"/>
              <w:spacing w:before="0" w:beforeAutospacing="0" w:after="0" w:afterAutospacing="0" w:line="340" w:lineRule="exact"/>
              <w:ind w:left="0" w:right="0" w:firstLine="0" w:firstLineChars="0"/>
              <w:jc w:val="left"/>
              <w:textAlignment w:val="baseline"/>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不允许分包</w:t>
            </w:r>
          </w:p>
        </w:tc>
      </w:tr>
      <w:tr w14:paraId="4D11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noWrap w:val="0"/>
            <w:vAlign w:val="center"/>
          </w:tcPr>
          <w:p w14:paraId="55B202A1">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1.12</w:t>
            </w:r>
          </w:p>
        </w:tc>
        <w:tc>
          <w:tcPr>
            <w:tcW w:w="2211" w:type="dxa"/>
            <w:tcBorders>
              <w:top w:val="single" w:color="auto" w:sz="4" w:space="0"/>
            </w:tcBorders>
            <w:noWrap w:val="0"/>
            <w:vAlign w:val="center"/>
          </w:tcPr>
          <w:p w14:paraId="2D3F81D1">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偏离</w:t>
            </w:r>
          </w:p>
        </w:tc>
        <w:tc>
          <w:tcPr>
            <w:tcW w:w="6424" w:type="dxa"/>
            <w:tcBorders>
              <w:top w:val="single" w:color="auto" w:sz="4" w:space="0"/>
            </w:tcBorders>
            <w:noWrap w:val="0"/>
            <w:vAlign w:val="center"/>
          </w:tcPr>
          <w:p w14:paraId="04D66CB3">
            <w:pPr>
              <w:keepNext w:val="0"/>
              <w:keepLines w:val="0"/>
              <w:pageBreakBefore w:val="0"/>
              <w:suppressLineNumbers w:val="0"/>
              <w:kinsoku/>
              <w:wordWrap w:val="0"/>
              <w:overflowPunct/>
              <w:bidi w:val="0"/>
              <w:spacing w:before="0" w:beforeAutospacing="0" w:after="0" w:afterAutospacing="0" w:line="320" w:lineRule="exact"/>
              <w:ind w:left="0" w:right="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允许正偏离</w:t>
            </w:r>
          </w:p>
        </w:tc>
      </w:tr>
      <w:tr w14:paraId="1751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noWrap w:val="0"/>
            <w:vAlign w:val="center"/>
          </w:tcPr>
          <w:p w14:paraId="4DE8D5BF">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211" w:type="dxa"/>
            <w:tcBorders>
              <w:top w:val="single" w:color="auto" w:sz="4" w:space="0"/>
            </w:tcBorders>
            <w:noWrap w:val="0"/>
            <w:vAlign w:val="center"/>
          </w:tcPr>
          <w:p w14:paraId="36CD6B8E">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构成磋商文件</w:t>
            </w:r>
          </w:p>
          <w:p w14:paraId="4AF2FF38">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的其他材料</w:t>
            </w:r>
          </w:p>
        </w:tc>
        <w:tc>
          <w:tcPr>
            <w:tcW w:w="6424" w:type="dxa"/>
            <w:tcBorders>
              <w:top w:val="single" w:color="auto" w:sz="4" w:space="0"/>
            </w:tcBorders>
            <w:noWrap w:val="0"/>
            <w:vAlign w:val="center"/>
          </w:tcPr>
          <w:p w14:paraId="6A0A33E1">
            <w:pPr>
              <w:keepNext w:val="0"/>
              <w:keepLines w:val="0"/>
              <w:pageBreakBefore w:val="0"/>
              <w:suppressLineNumbers w:val="0"/>
              <w:kinsoku/>
              <w:wordWrap w:val="0"/>
              <w:overflowPunct/>
              <w:bidi w:val="0"/>
              <w:spacing w:before="0" w:beforeAutospacing="0" w:after="0" w:afterAutospacing="0" w:line="3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除磋商文件外，采购人在磋商期间发出的澄清、修改、补充、补遗和其它有效正式函件等内容均是磋商文件的组成部分</w:t>
            </w:r>
          </w:p>
        </w:tc>
      </w:tr>
      <w:tr w14:paraId="1BD2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noWrap w:val="0"/>
            <w:vAlign w:val="center"/>
          </w:tcPr>
          <w:p w14:paraId="5CB6D874">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2211" w:type="dxa"/>
            <w:tcBorders>
              <w:top w:val="single" w:color="auto" w:sz="4" w:space="0"/>
            </w:tcBorders>
            <w:noWrap w:val="0"/>
            <w:vAlign w:val="center"/>
          </w:tcPr>
          <w:p w14:paraId="2161702B">
            <w:pPr>
              <w:keepNext w:val="0"/>
              <w:keepLines w:val="0"/>
              <w:pageBreakBefore w:val="0"/>
              <w:widowControl w:val="0"/>
              <w:suppressLineNumbers w:val="0"/>
              <w:kinsoku/>
              <w:wordWrap w:val="0"/>
              <w:overflowPunct/>
              <w:topLinePunct w:val="0"/>
              <w:bidi w:val="0"/>
              <w:spacing w:before="0" w:beforeAutospacing="0" w:after="0" w:afterAutospacing="0" w:line="400" w:lineRule="exact"/>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cs="宋体"/>
                <w:color w:val="000000"/>
                <w:szCs w:val="21"/>
                <w:highlight w:val="none"/>
              </w:rPr>
              <w:t>供应商提出问题的截止时间</w:t>
            </w:r>
          </w:p>
        </w:tc>
        <w:tc>
          <w:tcPr>
            <w:tcW w:w="6424" w:type="dxa"/>
            <w:tcBorders>
              <w:top w:val="single" w:color="auto" w:sz="4" w:space="0"/>
            </w:tcBorders>
            <w:noWrap w:val="0"/>
            <w:vAlign w:val="center"/>
          </w:tcPr>
          <w:p w14:paraId="3C1CD521">
            <w:pPr>
              <w:keepNext w:val="0"/>
              <w:keepLines w:val="0"/>
              <w:pageBreakBefore w:val="0"/>
              <w:widowControl w:val="0"/>
              <w:suppressLineNumbers w:val="0"/>
              <w:kinsoku/>
              <w:wordWrap w:val="0"/>
              <w:overflowPunct/>
              <w:topLinePunct w:val="0"/>
              <w:bidi w:val="0"/>
              <w:spacing w:before="0" w:beforeAutospacing="0" w:after="0" w:afterAutospacing="0" w:line="400" w:lineRule="exact"/>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000000"/>
                <w:szCs w:val="21"/>
                <w:highlight w:val="none"/>
              </w:rPr>
              <w:t>公告发布之日起</w:t>
            </w:r>
            <w:r>
              <w:rPr>
                <w:rFonts w:hint="eastAsia" w:ascii="宋体" w:hAnsi="宋体" w:cs="宋体"/>
                <w:color w:val="000000"/>
                <w:szCs w:val="21"/>
                <w:highlight w:val="none"/>
                <w:lang w:val="en-US" w:eastAsia="zh-CN"/>
              </w:rPr>
              <w:t>7</w:t>
            </w:r>
            <w:r>
              <w:rPr>
                <w:rFonts w:hint="eastAsia" w:ascii="宋体" w:hAnsi="宋体" w:eastAsia="宋体" w:cs="宋体"/>
                <w:color w:val="000000"/>
                <w:szCs w:val="21"/>
                <w:highlight w:val="none"/>
              </w:rPr>
              <w:t>日内</w:t>
            </w:r>
          </w:p>
        </w:tc>
      </w:tr>
      <w:tr w14:paraId="1E09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noWrap w:val="0"/>
            <w:vAlign w:val="center"/>
          </w:tcPr>
          <w:p w14:paraId="4D65A343">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2211" w:type="dxa"/>
            <w:tcBorders>
              <w:top w:val="single" w:color="auto" w:sz="4" w:space="0"/>
            </w:tcBorders>
            <w:noWrap w:val="0"/>
            <w:vAlign w:val="center"/>
          </w:tcPr>
          <w:p w14:paraId="071A665E">
            <w:pPr>
              <w:keepNext w:val="0"/>
              <w:keepLines w:val="0"/>
              <w:pageBreakBefore w:val="0"/>
              <w:widowControl w:val="0"/>
              <w:suppressLineNumbers w:val="0"/>
              <w:kinsoku/>
              <w:wordWrap w:val="0"/>
              <w:overflowPunct/>
              <w:topLinePunct w:val="0"/>
              <w:bidi w:val="0"/>
              <w:spacing w:before="0" w:beforeAutospacing="0" w:after="0" w:afterAutospacing="0" w:line="400" w:lineRule="exact"/>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cs="宋体"/>
                <w:color w:val="000000"/>
                <w:szCs w:val="21"/>
                <w:highlight w:val="none"/>
              </w:rPr>
              <w:t>采购人澄清磋商文件的截止时间</w:t>
            </w:r>
          </w:p>
        </w:tc>
        <w:tc>
          <w:tcPr>
            <w:tcW w:w="6424" w:type="dxa"/>
            <w:tcBorders>
              <w:top w:val="single" w:color="auto" w:sz="4" w:space="0"/>
            </w:tcBorders>
            <w:noWrap w:val="0"/>
            <w:vAlign w:val="center"/>
          </w:tcPr>
          <w:p w14:paraId="5F646402">
            <w:pPr>
              <w:keepNext w:val="0"/>
              <w:keepLines w:val="0"/>
              <w:pageBreakBefore w:val="0"/>
              <w:widowControl w:val="0"/>
              <w:suppressLineNumbers w:val="0"/>
              <w:kinsoku/>
              <w:wordWrap w:val="0"/>
              <w:overflowPunct/>
              <w:topLinePunct w:val="0"/>
              <w:bidi w:val="0"/>
              <w:spacing w:before="0" w:beforeAutospacing="0" w:after="0" w:afterAutospacing="0" w:line="400" w:lineRule="exact"/>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000000"/>
                <w:szCs w:val="21"/>
                <w:highlight w:val="none"/>
              </w:rPr>
              <w:t>递交响应文件截止之日5天前</w:t>
            </w:r>
          </w:p>
        </w:tc>
      </w:tr>
      <w:tr w14:paraId="5DEA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noWrap w:val="0"/>
            <w:vAlign w:val="center"/>
          </w:tcPr>
          <w:p w14:paraId="71BFD509">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w:t>
            </w:r>
          </w:p>
        </w:tc>
        <w:tc>
          <w:tcPr>
            <w:tcW w:w="2211" w:type="dxa"/>
            <w:tcBorders>
              <w:top w:val="single" w:color="auto" w:sz="4" w:space="0"/>
            </w:tcBorders>
            <w:noWrap w:val="0"/>
            <w:vAlign w:val="center"/>
          </w:tcPr>
          <w:p w14:paraId="06AF77F3">
            <w:pPr>
              <w:keepNext w:val="0"/>
              <w:keepLines w:val="0"/>
              <w:pageBreakBefore w:val="0"/>
              <w:widowControl w:val="0"/>
              <w:suppressLineNumbers w:val="0"/>
              <w:kinsoku/>
              <w:wordWrap w:val="0"/>
              <w:overflowPunct/>
              <w:topLinePunct w:val="0"/>
              <w:bidi w:val="0"/>
              <w:spacing w:before="0" w:beforeAutospacing="0" w:after="0" w:afterAutospacing="0" w:line="400" w:lineRule="exact"/>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cs="宋体"/>
                <w:color w:val="000000"/>
                <w:szCs w:val="21"/>
                <w:highlight w:val="none"/>
              </w:rPr>
              <w:t>供应商确认收到磋商文件澄清的时间</w:t>
            </w:r>
          </w:p>
        </w:tc>
        <w:tc>
          <w:tcPr>
            <w:tcW w:w="6424" w:type="dxa"/>
            <w:tcBorders>
              <w:top w:val="single" w:color="auto" w:sz="4" w:space="0"/>
            </w:tcBorders>
            <w:noWrap w:val="0"/>
            <w:vAlign w:val="center"/>
          </w:tcPr>
          <w:p w14:paraId="28CD7DFE">
            <w:pPr>
              <w:keepNext w:val="0"/>
              <w:keepLines w:val="0"/>
              <w:pageBreakBefore w:val="0"/>
              <w:widowControl w:val="0"/>
              <w:suppressLineNumbers w:val="0"/>
              <w:kinsoku/>
              <w:wordWrap w:val="0"/>
              <w:overflowPunct/>
              <w:topLinePunct w:val="0"/>
              <w:bidi w:val="0"/>
              <w:spacing w:before="0" w:beforeAutospacing="0" w:after="0" w:afterAutospacing="0" w:line="400" w:lineRule="exact"/>
              <w:ind w:left="0" w:leftChars="0" w:right="0" w:firstLine="0" w:firstLineChars="0"/>
              <w:rPr>
                <w:rFonts w:hint="eastAsia" w:ascii="宋体" w:hAnsi="宋体" w:eastAsia="宋体" w:cs="宋体"/>
                <w:color w:val="auto"/>
                <w:sz w:val="21"/>
                <w:szCs w:val="21"/>
                <w:highlight w:val="none"/>
              </w:rPr>
            </w:pPr>
            <w:r>
              <w:rPr>
                <w:rFonts w:hint="eastAsia"/>
                <w:color w:val="000000"/>
                <w:highlight w:val="none"/>
              </w:rPr>
              <w:t>一经发布，视为自动确认</w:t>
            </w:r>
          </w:p>
        </w:tc>
      </w:tr>
      <w:tr w14:paraId="33CB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16" w:type="dxa"/>
            <w:tcBorders>
              <w:bottom w:val="single" w:color="auto" w:sz="4" w:space="0"/>
            </w:tcBorders>
            <w:noWrap w:val="0"/>
            <w:vAlign w:val="center"/>
          </w:tcPr>
          <w:p w14:paraId="440362C1">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w:t>
            </w:r>
          </w:p>
        </w:tc>
        <w:tc>
          <w:tcPr>
            <w:tcW w:w="2211" w:type="dxa"/>
            <w:tcBorders>
              <w:bottom w:val="single" w:color="auto" w:sz="4" w:space="0"/>
            </w:tcBorders>
            <w:noWrap w:val="0"/>
            <w:vAlign w:val="center"/>
          </w:tcPr>
          <w:p w14:paraId="0A1A3D3C">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spacing w:val="-6"/>
                <w:kern w:val="0"/>
                <w:sz w:val="21"/>
                <w:szCs w:val="21"/>
                <w:highlight w:val="none"/>
              </w:rPr>
            </w:pPr>
            <w:r>
              <w:rPr>
                <w:rFonts w:hint="eastAsia" w:ascii="宋体" w:hAnsi="宋体" w:eastAsia="宋体" w:cs="宋体"/>
                <w:color w:val="auto"/>
                <w:spacing w:val="-6"/>
                <w:kern w:val="0"/>
                <w:sz w:val="21"/>
                <w:szCs w:val="21"/>
                <w:highlight w:val="none"/>
              </w:rPr>
              <w:t>构成响应文件的其他材料</w:t>
            </w:r>
          </w:p>
        </w:tc>
        <w:tc>
          <w:tcPr>
            <w:tcW w:w="6424" w:type="dxa"/>
            <w:tcBorders>
              <w:bottom w:val="single" w:color="auto" w:sz="4" w:space="0"/>
            </w:tcBorders>
            <w:noWrap w:val="0"/>
            <w:vAlign w:val="center"/>
          </w:tcPr>
          <w:p w14:paraId="149102BF">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供应商认为其他所需要补充的内容</w:t>
            </w:r>
          </w:p>
        </w:tc>
      </w:tr>
      <w:tr w14:paraId="0E58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noWrap w:val="0"/>
            <w:vAlign w:val="center"/>
          </w:tcPr>
          <w:p w14:paraId="4369C95A">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3.2.1</w:t>
            </w:r>
          </w:p>
        </w:tc>
        <w:tc>
          <w:tcPr>
            <w:tcW w:w="2211" w:type="dxa"/>
            <w:noWrap w:val="0"/>
            <w:vAlign w:val="center"/>
          </w:tcPr>
          <w:p w14:paraId="548F8E2A">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磋商报价</w:t>
            </w:r>
          </w:p>
        </w:tc>
        <w:tc>
          <w:tcPr>
            <w:tcW w:w="6424" w:type="dxa"/>
            <w:noWrap w:val="0"/>
            <w:vAlign w:val="center"/>
          </w:tcPr>
          <w:p w14:paraId="74E636EB">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自主报价</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超出最高限价的文件为无效文件</w:t>
            </w:r>
          </w:p>
        </w:tc>
      </w:tr>
      <w:tr w14:paraId="1A7F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noWrap w:val="0"/>
            <w:vAlign w:val="center"/>
          </w:tcPr>
          <w:p w14:paraId="3D0ADCE8">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3.3.1</w:t>
            </w:r>
          </w:p>
        </w:tc>
        <w:tc>
          <w:tcPr>
            <w:tcW w:w="2211" w:type="dxa"/>
            <w:noWrap w:val="0"/>
            <w:vAlign w:val="center"/>
          </w:tcPr>
          <w:p w14:paraId="00AB9C23">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磋商有效期</w:t>
            </w:r>
          </w:p>
        </w:tc>
        <w:tc>
          <w:tcPr>
            <w:tcW w:w="6424" w:type="dxa"/>
            <w:noWrap w:val="0"/>
            <w:vAlign w:val="center"/>
          </w:tcPr>
          <w:p w14:paraId="286FDBED">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60日历天（从磋商截止之日算起）</w:t>
            </w:r>
          </w:p>
        </w:tc>
      </w:tr>
      <w:tr w14:paraId="4F45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noWrap w:val="0"/>
            <w:vAlign w:val="center"/>
          </w:tcPr>
          <w:p w14:paraId="7A83CB2E">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p>
        </w:tc>
        <w:tc>
          <w:tcPr>
            <w:tcW w:w="2211" w:type="dxa"/>
            <w:noWrap w:val="0"/>
            <w:vAlign w:val="center"/>
          </w:tcPr>
          <w:p w14:paraId="7FBBBBC0">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响应文件签字和盖章要求</w:t>
            </w:r>
          </w:p>
        </w:tc>
        <w:tc>
          <w:tcPr>
            <w:tcW w:w="6424" w:type="dxa"/>
            <w:noWrap w:val="0"/>
            <w:vAlign w:val="center"/>
          </w:tcPr>
          <w:p w14:paraId="1C2D5E6D">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1、响应文件格式中所有要求供应商加盖公章的地方都须加盖供应商的 CA 印章。</w:t>
            </w:r>
          </w:p>
          <w:p w14:paraId="67DD34D8">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2、所有要求法定代表人或其委托代理人签字的地方都须法定代表人或其委托代理人加盖CA印章或签字。</w:t>
            </w:r>
          </w:p>
        </w:tc>
      </w:tr>
      <w:tr w14:paraId="735E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noWrap w:val="0"/>
            <w:vAlign w:val="center"/>
          </w:tcPr>
          <w:p w14:paraId="60AABB50">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w:t>
            </w:r>
          </w:p>
        </w:tc>
        <w:tc>
          <w:tcPr>
            <w:tcW w:w="2211" w:type="dxa"/>
            <w:noWrap w:val="0"/>
            <w:vAlign w:val="center"/>
          </w:tcPr>
          <w:p w14:paraId="67F13F0D">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响应文件份数及其他要求</w:t>
            </w:r>
          </w:p>
        </w:tc>
        <w:tc>
          <w:tcPr>
            <w:tcW w:w="6424" w:type="dxa"/>
            <w:noWrap w:val="0"/>
            <w:vAlign w:val="center"/>
          </w:tcPr>
          <w:p w14:paraId="031DD760">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加密的电子响应文件壹份（*</w:t>
            </w:r>
            <w:r>
              <w:rPr>
                <w:rFonts w:hint="eastAsia" w:ascii="宋体" w:hAnsi="宋体" w:eastAsia="宋体" w:cs="宋体"/>
                <w:color w:val="auto"/>
                <w:kern w:val="0"/>
                <w:sz w:val="21"/>
                <w:szCs w:val="21"/>
                <w:highlight w:val="none"/>
                <w:lang w:eastAsia="zh-CN"/>
              </w:rPr>
              <w:t>*.gstf</w:t>
            </w:r>
            <w:r>
              <w:rPr>
                <w:rFonts w:hint="eastAsia" w:ascii="宋体" w:hAnsi="宋体" w:eastAsia="宋体" w:cs="宋体"/>
                <w:color w:val="auto"/>
                <w:kern w:val="0"/>
                <w:sz w:val="21"/>
                <w:szCs w:val="21"/>
                <w:highlight w:val="none"/>
              </w:rPr>
              <w:t xml:space="preserve"> 格式，在会员系统指定位置上传）</w:t>
            </w:r>
          </w:p>
        </w:tc>
      </w:tr>
      <w:tr w14:paraId="49EE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16" w:type="dxa"/>
            <w:noWrap w:val="0"/>
            <w:vAlign w:val="center"/>
          </w:tcPr>
          <w:p w14:paraId="76F3C15D">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w:t>
            </w:r>
          </w:p>
        </w:tc>
        <w:tc>
          <w:tcPr>
            <w:tcW w:w="2211" w:type="dxa"/>
            <w:noWrap w:val="0"/>
            <w:vAlign w:val="center"/>
          </w:tcPr>
          <w:p w14:paraId="7F471E62">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响应文件递交</w:t>
            </w:r>
          </w:p>
        </w:tc>
        <w:tc>
          <w:tcPr>
            <w:tcW w:w="6424" w:type="dxa"/>
            <w:noWrap w:val="0"/>
            <w:vAlign w:val="center"/>
          </w:tcPr>
          <w:p w14:paraId="0F0228FA">
            <w:pPr>
              <w:keepNext w:val="0"/>
              <w:keepLines w:val="0"/>
              <w:pageBreakBefore w:val="0"/>
              <w:suppressLineNumbers w:val="0"/>
              <w:kinsoku/>
              <w:wordWrap w:val="0"/>
              <w:overflowPunct/>
              <w:bidi w:val="0"/>
              <w:adjustRightInd w:val="0"/>
              <w:spacing w:before="72" w:beforeLines="30" w:beforeAutospacing="0" w:after="0" w:afterAutospacing="0" w:line="288" w:lineRule="auto"/>
              <w:ind w:left="21" w:leftChars="10" w:right="21" w:rightChars="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1、电子响应文件的递交</w:t>
            </w:r>
          </w:p>
          <w:p w14:paraId="33D5E717">
            <w:pPr>
              <w:keepNext w:val="0"/>
              <w:keepLines w:val="0"/>
              <w:pageBreakBefore w:val="0"/>
              <w:suppressLineNumbers w:val="0"/>
              <w:kinsoku/>
              <w:wordWrap w:val="0"/>
              <w:overflowPunct/>
              <w:bidi w:val="0"/>
              <w:adjustRightInd w:val="0"/>
              <w:spacing w:before="72" w:beforeLines="30" w:beforeAutospacing="0" w:after="0" w:afterAutospacing="0" w:line="288" w:lineRule="auto"/>
              <w:ind w:left="21" w:leftChars="10" w:right="21" w:rightChars="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各供应商应在投标截止时间前上传加密的电子响应文件（*</w:t>
            </w:r>
            <w:r>
              <w:rPr>
                <w:rFonts w:hint="eastAsia" w:ascii="宋体" w:hAnsi="宋体" w:eastAsia="宋体" w:cs="宋体"/>
                <w:color w:val="auto"/>
                <w:sz w:val="21"/>
                <w:szCs w:val="21"/>
                <w:highlight w:val="none"/>
                <w:lang w:eastAsia="zh-CN"/>
              </w:rPr>
              <w:t>*.gstf</w:t>
            </w:r>
            <w:r>
              <w:rPr>
                <w:rFonts w:hint="eastAsia" w:ascii="宋体" w:hAnsi="宋体" w:eastAsia="宋体" w:cs="宋体"/>
                <w:color w:val="auto"/>
                <w:sz w:val="21"/>
                <w:szCs w:val="21"/>
                <w:highlight w:val="none"/>
              </w:rPr>
              <w:t>）到会员系统的指定位置。上传时必须得到交易系统“上传成功”的确认回复后方为上传成功。请供应商在上传前务必认真检查上传响应文件是否完整、正确。</w:t>
            </w:r>
          </w:p>
          <w:p w14:paraId="113FB300">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2、本项目采用“不见面开标”交易方式，不见面开标大厅网址为</w:t>
            </w:r>
            <w:r>
              <w:rPr>
                <w:rFonts w:hint="eastAsia" w:ascii="宋体" w:hAnsi="宋体" w:eastAsia="宋体" w:cs="宋体"/>
                <w:color w:val="auto"/>
                <w:kern w:val="0"/>
                <w:sz w:val="21"/>
                <w:szCs w:val="21"/>
                <w:highlight w:val="none"/>
                <w:lang w:eastAsia="zh-CN"/>
              </w:rPr>
              <w:t>https://ggzyjy.xinyang.gov.cn/BidOpening/bidhall/xinyang/login.html</w:t>
            </w:r>
            <w:r>
              <w:rPr>
                <w:rFonts w:hint="eastAsia" w:ascii="宋体" w:hAnsi="宋体" w:eastAsia="宋体" w:cs="宋体"/>
                <w:color w:val="auto"/>
                <w:kern w:val="0"/>
                <w:sz w:val="21"/>
                <w:szCs w:val="21"/>
                <w:highlight w:val="none"/>
              </w:rPr>
              <w:t>，供应商无需寄送和递交非加密的电子响应文件，无需到现场参加开标会议，无需到达现场提交原件资料。</w:t>
            </w:r>
          </w:p>
        </w:tc>
      </w:tr>
      <w:tr w14:paraId="4800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noWrap w:val="0"/>
            <w:vAlign w:val="center"/>
          </w:tcPr>
          <w:p w14:paraId="5B178483">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2211" w:type="dxa"/>
            <w:noWrap w:val="0"/>
            <w:vAlign w:val="center"/>
          </w:tcPr>
          <w:p w14:paraId="0235E0A2">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提交响应文件截止时间</w:t>
            </w:r>
          </w:p>
        </w:tc>
        <w:tc>
          <w:tcPr>
            <w:tcW w:w="6424" w:type="dxa"/>
            <w:noWrap w:val="0"/>
            <w:vAlign w:val="center"/>
          </w:tcPr>
          <w:p w14:paraId="09DD0409">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2024年11月15日</w:t>
            </w:r>
            <w:r>
              <w:rPr>
                <w:rFonts w:hint="eastAsia" w:ascii="宋体" w:hAnsi="宋体" w:eastAsia="宋体" w:cs="宋体"/>
                <w:color w:val="auto"/>
                <w:sz w:val="21"/>
                <w:szCs w:val="21"/>
                <w:highlight w:val="none"/>
              </w:rPr>
              <w:t>08时30分</w:t>
            </w:r>
          </w:p>
        </w:tc>
      </w:tr>
      <w:tr w14:paraId="7E62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noWrap w:val="0"/>
            <w:vAlign w:val="center"/>
          </w:tcPr>
          <w:p w14:paraId="56DF78F9">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w:t>
            </w:r>
          </w:p>
        </w:tc>
        <w:tc>
          <w:tcPr>
            <w:tcW w:w="2211" w:type="dxa"/>
            <w:noWrap w:val="0"/>
            <w:vAlign w:val="center"/>
          </w:tcPr>
          <w:p w14:paraId="3110E3BB">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磋商时间和地点</w:t>
            </w:r>
          </w:p>
        </w:tc>
        <w:tc>
          <w:tcPr>
            <w:tcW w:w="6424" w:type="dxa"/>
            <w:noWrap w:val="0"/>
            <w:vAlign w:val="center"/>
          </w:tcPr>
          <w:p w14:paraId="77D1E892">
            <w:pPr>
              <w:keepNext w:val="0"/>
              <w:keepLines w:val="0"/>
              <w:pageBreakBefore w:val="0"/>
              <w:suppressLineNumbers w:val="0"/>
              <w:kinsoku/>
              <w:wordWrap w:val="0"/>
              <w:overflowPunct/>
              <w:autoSpaceDE w:val="0"/>
              <w:autoSpaceDN w:val="0"/>
              <w:bidi w:val="0"/>
              <w:adjustRightInd w:val="0"/>
              <w:spacing w:before="0" w:beforeAutospacing="0" w:after="0" w:afterAutospacing="0" w:line="3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磋商</w:t>
            </w:r>
            <w:r>
              <w:rPr>
                <w:rFonts w:hint="eastAsia" w:ascii="宋体" w:hAnsi="宋体" w:eastAsia="宋体" w:cs="宋体"/>
                <w:color w:val="auto"/>
                <w:kern w:val="0"/>
                <w:sz w:val="21"/>
                <w:szCs w:val="21"/>
                <w:highlight w:val="none"/>
              </w:rPr>
              <w:t>时间：同</w:t>
            </w:r>
            <w:r>
              <w:rPr>
                <w:rFonts w:hint="eastAsia" w:ascii="宋体" w:hAnsi="宋体" w:eastAsia="宋体" w:cs="宋体"/>
                <w:color w:val="auto"/>
                <w:sz w:val="21"/>
                <w:szCs w:val="21"/>
                <w:highlight w:val="none"/>
              </w:rPr>
              <w:t>响应文件提交</w:t>
            </w:r>
            <w:r>
              <w:rPr>
                <w:rFonts w:hint="eastAsia" w:ascii="宋体" w:hAnsi="宋体" w:eastAsia="宋体" w:cs="宋体"/>
                <w:color w:val="auto"/>
                <w:kern w:val="0"/>
                <w:sz w:val="21"/>
                <w:szCs w:val="21"/>
                <w:highlight w:val="none"/>
              </w:rPr>
              <w:t>截止时间</w:t>
            </w:r>
          </w:p>
          <w:p w14:paraId="03758E01">
            <w:pPr>
              <w:keepNext w:val="0"/>
              <w:keepLines w:val="0"/>
              <w:pageBreakBefore w:val="0"/>
              <w:suppressLineNumbers w:val="0"/>
              <w:kinsoku/>
              <w:wordWrap w:val="0"/>
              <w:overflowPunct/>
              <w:bidi w:val="0"/>
              <w:spacing w:before="0" w:beforeAutospacing="0" w:after="0" w:afterAutospacing="0" w:line="34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磋商</w:t>
            </w:r>
            <w:r>
              <w:rPr>
                <w:rFonts w:hint="eastAsia" w:ascii="宋体" w:hAnsi="宋体" w:eastAsia="宋体" w:cs="宋体"/>
                <w:color w:val="auto"/>
                <w:kern w:val="0"/>
                <w:sz w:val="21"/>
                <w:szCs w:val="21"/>
                <w:highlight w:val="none"/>
              </w:rPr>
              <w:t>地点：</w:t>
            </w:r>
            <w:r>
              <w:rPr>
                <w:rFonts w:hint="eastAsia" w:ascii="宋体" w:hAnsi="宋体" w:eastAsia="宋体" w:cs="宋体"/>
                <w:color w:val="auto"/>
                <w:kern w:val="0"/>
                <w:sz w:val="21"/>
                <w:szCs w:val="21"/>
                <w:highlight w:val="none"/>
                <w:lang w:eastAsia="zh-CN"/>
              </w:rPr>
              <w:t>固始县公共资源交易中心六楼不见面</w:t>
            </w:r>
            <w:r>
              <w:rPr>
                <w:rFonts w:hint="eastAsia" w:ascii="宋体" w:hAnsi="宋体" w:cs="宋体"/>
                <w:color w:val="auto"/>
                <w:kern w:val="0"/>
                <w:sz w:val="21"/>
                <w:szCs w:val="21"/>
                <w:highlight w:val="none"/>
                <w:lang w:eastAsia="zh-CN"/>
              </w:rPr>
              <w:t>第二开标室</w:t>
            </w:r>
          </w:p>
        </w:tc>
      </w:tr>
      <w:tr w14:paraId="3D60A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916" w:type="dxa"/>
            <w:noWrap w:val="0"/>
            <w:vAlign w:val="center"/>
          </w:tcPr>
          <w:p w14:paraId="5E6AEFA8">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w:t>
            </w:r>
          </w:p>
        </w:tc>
        <w:tc>
          <w:tcPr>
            <w:tcW w:w="2211" w:type="dxa"/>
            <w:noWrap w:val="0"/>
            <w:vAlign w:val="center"/>
          </w:tcPr>
          <w:p w14:paraId="592FF9A0">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磋商小组</w:t>
            </w:r>
            <w:r>
              <w:rPr>
                <w:rFonts w:hint="eastAsia" w:ascii="宋体" w:hAnsi="宋体" w:eastAsia="宋体" w:cs="宋体"/>
                <w:color w:val="auto"/>
                <w:kern w:val="0"/>
                <w:sz w:val="21"/>
                <w:szCs w:val="21"/>
                <w:highlight w:val="none"/>
              </w:rPr>
              <w:t>的组建</w:t>
            </w:r>
          </w:p>
        </w:tc>
        <w:tc>
          <w:tcPr>
            <w:tcW w:w="6424" w:type="dxa"/>
            <w:noWrap w:val="0"/>
            <w:vAlign w:val="center"/>
          </w:tcPr>
          <w:p w14:paraId="6CC4C8C1">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磋商小组构成：</w:t>
            </w:r>
            <w:r>
              <w:rPr>
                <w:rFonts w:hint="eastAsia" w:ascii="宋体" w:hAnsi="宋体" w:eastAsia="宋体" w:cs="宋体"/>
                <w:color w:val="auto"/>
                <w:kern w:val="0"/>
                <w:sz w:val="21"/>
                <w:szCs w:val="21"/>
                <w:highlight w:val="none"/>
                <w:u w:val="single"/>
              </w:rPr>
              <w:t xml:space="preserve"> 3 </w:t>
            </w:r>
            <w:r>
              <w:rPr>
                <w:rFonts w:hint="eastAsia" w:ascii="宋体" w:hAnsi="宋体" w:eastAsia="宋体" w:cs="宋体"/>
                <w:color w:val="auto"/>
                <w:kern w:val="0"/>
                <w:sz w:val="21"/>
                <w:szCs w:val="21"/>
                <w:highlight w:val="none"/>
              </w:rPr>
              <w:t>人，其中业主评委</w:t>
            </w:r>
            <w:r>
              <w:rPr>
                <w:rFonts w:hint="eastAsia" w:ascii="宋体" w:hAnsi="宋体" w:eastAsia="宋体" w:cs="宋体"/>
                <w:color w:val="auto"/>
                <w:kern w:val="0"/>
                <w:sz w:val="21"/>
                <w:szCs w:val="21"/>
                <w:highlight w:val="none"/>
                <w:u w:val="single"/>
              </w:rPr>
              <w:t xml:space="preserve"> 1 </w:t>
            </w:r>
            <w:r>
              <w:rPr>
                <w:rFonts w:hint="eastAsia" w:ascii="宋体" w:hAnsi="宋体" w:eastAsia="宋体" w:cs="宋体"/>
                <w:color w:val="auto"/>
                <w:kern w:val="0"/>
                <w:sz w:val="21"/>
                <w:szCs w:val="21"/>
                <w:highlight w:val="none"/>
              </w:rPr>
              <w:t>人，技术、经济类专家</w:t>
            </w:r>
            <w:r>
              <w:rPr>
                <w:rFonts w:hint="eastAsia" w:ascii="宋体" w:hAnsi="宋体" w:eastAsia="宋体" w:cs="宋体"/>
                <w:color w:val="auto"/>
                <w:kern w:val="0"/>
                <w:sz w:val="21"/>
                <w:szCs w:val="21"/>
                <w:highlight w:val="none"/>
                <w:u w:val="single"/>
              </w:rPr>
              <w:t xml:space="preserve"> 2 </w:t>
            </w:r>
            <w:r>
              <w:rPr>
                <w:rFonts w:hint="eastAsia" w:ascii="宋体" w:hAnsi="宋体" w:eastAsia="宋体" w:cs="宋体"/>
                <w:color w:val="auto"/>
                <w:kern w:val="0"/>
                <w:sz w:val="21"/>
                <w:szCs w:val="21"/>
                <w:highlight w:val="none"/>
              </w:rPr>
              <w:t>人；</w:t>
            </w:r>
          </w:p>
          <w:p w14:paraId="3C97C5ED">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专家确定方式：磋商前从</w:t>
            </w:r>
            <w:r>
              <w:rPr>
                <w:rFonts w:hint="eastAsia" w:ascii="宋体" w:hAnsi="宋体" w:cs="宋体"/>
                <w:color w:val="auto"/>
                <w:kern w:val="0"/>
                <w:sz w:val="21"/>
                <w:szCs w:val="21"/>
                <w:highlight w:val="none"/>
                <w:lang w:val="en-US" w:eastAsia="zh-CN"/>
              </w:rPr>
              <w:t>信阳市</w:t>
            </w:r>
            <w:r>
              <w:rPr>
                <w:rFonts w:hint="eastAsia" w:ascii="宋体" w:hAnsi="宋体" w:eastAsia="宋体" w:cs="宋体"/>
                <w:color w:val="auto"/>
                <w:kern w:val="0"/>
                <w:sz w:val="21"/>
                <w:szCs w:val="21"/>
                <w:highlight w:val="none"/>
              </w:rPr>
              <w:t>政府采购专家库中随机抽取。</w:t>
            </w:r>
          </w:p>
        </w:tc>
      </w:tr>
      <w:tr w14:paraId="0510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6" w:type="dxa"/>
            <w:noWrap w:val="0"/>
            <w:vAlign w:val="center"/>
          </w:tcPr>
          <w:p w14:paraId="10C3F3A2">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w:t>
            </w:r>
          </w:p>
        </w:tc>
        <w:tc>
          <w:tcPr>
            <w:tcW w:w="2211" w:type="dxa"/>
            <w:noWrap w:val="0"/>
            <w:vAlign w:val="center"/>
          </w:tcPr>
          <w:p w14:paraId="4AC40FF7">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是否授权</w:t>
            </w:r>
            <w:r>
              <w:rPr>
                <w:rFonts w:hint="eastAsia" w:ascii="宋体" w:hAnsi="宋体" w:eastAsia="宋体" w:cs="宋体"/>
                <w:color w:val="auto"/>
                <w:kern w:val="0"/>
                <w:sz w:val="21"/>
                <w:szCs w:val="21"/>
                <w:highlight w:val="none"/>
                <w:lang w:eastAsia="zh-CN"/>
              </w:rPr>
              <w:t>磋商小组</w:t>
            </w:r>
            <w:r>
              <w:rPr>
                <w:rFonts w:hint="eastAsia" w:ascii="宋体" w:hAnsi="宋体" w:eastAsia="宋体" w:cs="宋体"/>
                <w:color w:val="auto"/>
                <w:kern w:val="0"/>
                <w:sz w:val="21"/>
                <w:szCs w:val="21"/>
                <w:highlight w:val="none"/>
              </w:rPr>
              <w:t>确定中标人</w:t>
            </w:r>
          </w:p>
        </w:tc>
        <w:tc>
          <w:tcPr>
            <w:tcW w:w="6424" w:type="dxa"/>
            <w:noWrap w:val="0"/>
            <w:vAlign w:val="center"/>
          </w:tcPr>
          <w:p w14:paraId="15CE971C">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否，推荐3名中标候选人。</w:t>
            </w:r>
          </w:p>
        </w:tc>
      </w:tr>
      <w:tr w14:paraId="6EC8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noWrap w:val="0"/>
            <w:vAlign w:val="center"/>
          </w:tcPr>
          <w:p w14:paraId="121D2794">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w:t>
            </w:r>
          </w:p>
        </w:tc>
        <w:tc>
          <w:tcPr>
            <w:tcW w:w="2211" w:type="dxa"/>
            <w:noWrap w:val="0"/>
            <w:vAlign w:val="center"/>
          </w:tcPr>
          <w:p w14:paraId="0A485FD8">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履约保证金</w:t>
            </w:r>
          </w:p>
        </w:tc>
        <w:tc>
          <w:tcPr>
            <w:tcW w:w="6424" w:type="dxa"/>
            <w:noWrap w:val="0"/>
            <w:vAlign w:val="center"/>
          </w:tcPr>
          <w:p w14:paraId="2F50AACC">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3157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noWrap w:val="0"/>
            <w:vAlign w:val="center"/>
          </w:tcPr>
          <w:p w14:paraId="0803B3EF">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7.4</w:t>
            </w:r>
          </w:p>
        </w:tc>
        <w:tc>
          <w:tcPr>
            <w:tcW w:w="2211" w:type="dxa"/>
            <w:noWrap w:val="0"/>
            <w:vAlign w:val="center"/>
          </w:tcPr>
          <w:p w14:paraId="08C2CCFB">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本项目所属行业</w:t>
            </w:r>
          </w:p>
        </w:tc>
        <w:tc>
          <w:tcPr>
            <w:tcW w:w="6424" w:type="dxa"/>
            <w:noWrap w:val="0"/>
            <w:vAlign w:val="center"/>
          </w:tcPr>
          <w:p w14:paraId="4FC45BCB">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工业</w:t>
            </w:r>
          </w:p>
        </w:tc>
      </w:tr>
      <w:tr w14:paraId="7DDF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551" w:type="dxa"/>
            <w:gridSpan w:val="3"/>
            <w:noWrap w:val="0"/>
            <w:vAlign w:val="center"/>
          </w:tcPr>
          <w:p w14:paraId="4F95BA97">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r>
      <w:tr w14:paraId="26EB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127" w:type="dxa"/>
            <w:gridSpan w:val="2"/>
            <w:noWrap w:val="0"/>
            <w:vAlign w:val="center"/>
          </w:tcPr>
          <w:p w14:paraId="2A97331A">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解释权</w:t>
            </w:r>
          </w:p>
        </w:tc>
        <w:tc>
          <w:tcPr>
            <w:tcW w:w="6424" w:type="dxa"/>
            <w:noWrap w:val="0"/>
            <w:vAlign w:val="center"/>
          </w:tcPr>
          <w:p w14:paraId="7F087158">
            <w:pPr>
              <w:keepNext w:val="0"/>
              <w:keepLines w:val="0"/>
              <w:pageBreakBefore w:val="0"/>
              <w:suppressLineNumbers w:val="0"/>
              <w:kinsoku/>
              <w:wordWrap w:val="0"/>
              <w:overflowPunct/>
              <w:bidi w:val="0"/>
              <w:adjustRightInd w:val="0"/>
              <w:spacing w:before="0" w:beforeAutospacing="0" w:after="0" w:afterAutospacing="0" w:line="340" w:lineRule="exact"/>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239B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127" w:type="dxa"/>
            <w:gridSpan w:val="2"/>
            <w:noWrap w:val="0"/>
            <w:vAlign w:val="center"/>
          </w:tcPr>
          <w:p w14:paraId="7C12D382">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标书雷同性分析</w:t>
            </w:r>
          </w:p>
        </w:tc>
        <w:tc>
          <w:tcPr>
            <w:tcW w:w="6424" w:type="dxa"/>
            <w:noWrap w:val="0"/>
            <w:vAlign w:val="center"/>
          </w:tcPr>
          <w:p w14:paraId="62204F10">
            <w:pPr>
              <w:keepNext w:val="0"/>
              <w:keepLines w:val="0"/>
              <w:pageBreakBefore w:val="0"/>
              <w:suppressLineNumbers w:val="0"/>
              <w:kinsoku/>
              <w:wordWrap w:val="0"/>
              <w:overflowPunct/>
              <w:bidi w:val="0"/>
              <w:adjustRightInd w:val="0"/>
              <w:spacing w:before="0" w:beforeAutospacing="0" w:after="0" w:afterAutospacing="0" w:line="340" w:lineRule="exact"/>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文件制作机器码、文件创建标识码有相同的按废标处理。</w:t>
            </w:r>
          </w:p>
        </w:tc>
      </w:tr>
      <w:tr w14:paraId="3C13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127" w:type="dxa"/>
            <w:gridSpan w:val="2"/>
            <w:noWrap w:val="0"/>
            <w:vAlign w:val="center"/>
          </w:tcPr>
          <w:p w14:paraId="53294101">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代理服务费</w:t>
            </w:r>
          </w:p>
        </w:tc>
        <w:tc>
          <w:tcPr>
            <w:tcW w:w="6424" w:type="dxa"/>
            <w:noWrap w:val="0"/>
            <w:vAlign w:val="center"/>
          </w:tcPr>
          <w:p w14:paraId="4A5E714D">
            <w:pPr>
              <w:keepNext w:val="0"/>
              <w:keepLines w:val="0"/>
              <w:pageBreakBefore w:val="0"/>
              <w:suppressLineNumbers w:val="0"/>
              <w:kinsoku/>
              <w:wordWrap w:val="0"/>
              <w:overflowPunct/>
              <w:bidi w:val="0"/>
              <w:adjustRightInd w:val="0"/>
              <w:spacing w:before="0" w:beforeAutospacing="0" w:after="0" w:afterAutospacing="0" w:line="340" w:lineRule="exact"/>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招标代理服务费按照 《河南省招标代理服务收费指导意见》豫招协【2023】002号文件规定由中标人支付。在领取中标通知书前向招标代理机构支付。</w:t>
            </w:r>
          </w:p>
        </w:tc>
      </w:tr>
      <w:tr w14:paraId="7BE5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127" w:type="dxa"/>
            <w:gridSpan w:val="2"/>
            <w:noWrap w:val="0"/>
            <w:vAlign w:val="center"/>
          </w:tcPr>
          <w:p w14:paraId="12C4C6FA">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highlight w:val="none"/>
                <w:lang w:val="en-US" w:eastAsia="zh-CN"/>
              </w:rPr>
            </w:pPr>
            <w:bookmarkStart w:id="9" w:name="_Toc16296"/>
            <w:bookmarkStart w:id="10" w:name="_Toc27364"/>
            <w:bookmarkStart w:id="11" w:name="_Toc195921851"/>
            <w:bookmarkStart w:id="12" w:name="_Toc3568"/>
            <w:r>
              <w:rPr>
                <w:rFonts w:hint="eastAsia" w:ascii="宋体" w:hAnsi="宋体" w:eastAsia="宋体" w:cs="宋体"/>
                <w:color w:val="auto"/>
                <w:kern w:val="0"/>
                <w:sz w:val="21"/>
                <w:szCs w:val="21"/>
                <w:highlight w:val="none"/>
              </w:rPr>
              <w:t>质疑（异议）、投诉</w:t>
            </w:r>
          </w:p>
        </w:tc>
        <w:tc>
          <w:tcPr>
            <w:tcW w:w="6424" w:type="dxa"/>
            <w:noWrap w:val="0"/>
            <w:vAlign w:val="center"/>
          </w:tcPr>
          <w:p w14:paraId="6C345ADC">
            <w:pPr>
              <w:keepNext w:val="0"/>
              <w:keepLines w:val="0"/>
              <w:pageBreakBefore w:val="0"/>
              <w:suppressLineNumbers w:val="0"/>
              <w:kinsoku/>
              <w:wordWrap w:val="0"/>
              <w:overflowPunct/>
              <w:bidi w:val="0"/>
              <w:adjustRightInd w:val="0"/>
              <w:spacing w:before="0" w:beforeAutospacing="0" w:after="0" w:afterAutospacing="0" w:line="340" w:lineRule="exact"/>
              <w:ind w:left="0" w:right="0" w:firstLine="42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和其他利害关系人认为本次招标活动违反法律、法规和规章规定的，可以自知道或者应当知道之日起10日内；供应商对采购文件、采购过程、中标或者成交结果的有质疑（异议），可以在知道或者应知其权益受到损害之日起7个工作日内；在固始县公共资源交易平台上网上质疑（异议）、投诉通道一次性提出（在线上质疑（异议）、投诉的同时，供应商也可向招标人或招标代理机构提供书面申请）。</w:t>
            </w:r>
          </w:p>
          <w:p w14:paraId="1863A5A7">
            <w:pPr>
              <w:keepNext w:val="0"/>
              <w:keepLines w:val="0"/>
              <w:pageBreakBefore w:val="0"/>
              <w:suppressLineNumbers w:val="0"/>
              <w:kinsoku/>
              <w:wordWrap w:val="0"/>
              <w:overflowPunct/>
              <w:bidi w:val="0"/>
              <w:adjustRightInd w:val="0"/>
              <w:spacing w:before="0" w:beforeAutospacing="0" w:after="0" w:afterAutospacing="0" w:line="340" w:lineRule="exact"/>
              <w:ind w:left="0" w:right="0" w:firstLine="42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操作流程详见</w:t>
            </w:r>
          </w:p>
          <w:p w14:paraId="1373E7F8">
            <w:pPr>
              <w:keepNext w:val="0"/>
              <w:keepLines w:val="0"/>
              <w:pageBreakBefore w:val="0"/>
              <w:suppressLineNumbers w:val="0"/>
              <w:kinsoku/>
              <w:wordWrap w:val="0"/>
              <w:overflowPunct/>
              <w:bidi w:val="0"/>
              <w:adjustRightInd w:val="0"/>
              <w:spacing w:before="0" w:beforeAutospacing="0" w:after="0" w:afterAutospacing="0" w:line="340" w:lineRule="exact"/>
              <w:ind w:left="0" w:right="0" w:firstLine="42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“质疑流程http://gushi.xyggzyjy.cn/xzjd/001001/20230424/24338233-8372-48ba-9519-a74188f109aa.html”</w:t>
            </w:r>
          </w:p>
          <w:p w14:paraId="1208403E">
            <w:pPr>
              <w:keepNext w:val="0"/>
              <w:keepLines w:val="0"/>
              <w:pageBreakBefore w:val="0"/>
              <w:suppressLineNumbers w:val="0"/>
              <w:kinsoku/>
              <w:wordWrap w:val="0"/>
              <w:overflowPunct/>
              <w:bidi w:val="0"/>
              <w:adjustRightInd w:val="0"/>
              <w:spacing w:before="0" w:beforeAutospacing="0" w:after="0" w:afterAutospacing="0" w:line="340" w:lineRule="exact"/>
              <w:ind w:left="0" w:right="0" w:firstLine="42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“投诉流程http://gushi.xyggzyjy.cn/xzjd/001001/20230421/d6715f40-071e-4cb1-acf3-26d64cf67d8a.html”</w:t>
            </w:r>
          </w:p>
        </w:tc>
      </w:tr>
    </w:tbl>
    <w:p w14:paraId="6C6D1908">
      <w:pPr>
        <w:pageBreakBefore w:val="0"/>
        <w:kinsoku/>
        <w:wordWrap w:val="0"/>
        <w:overflowPunct/>
        <w:bidi w:val="0"/>
        <w:spacing w:line="360" w:lineRule="auto"/>
        <w:ind w:firstLine="422" w:firstLineChars="200"/>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1.总则</w:t>
      </w:r>
      <w:bookmarkEnd w:id="9"/>
      <w:bookmarkEnd w:id="10"/>
      <w:bookmarkStart w:id="13" w:name="_Toc29023"/>
      <w:bookmarkStart w:id="14" w:name="_Toc274409866"/>
      <w:bookmarkStart w:id="15" w:name="_Toc15709"/>
      <w:bookmarkStart w:id="16" w:name="_Toc318450675"/>
      <w:bookmarkStart w:id="17" w:name="_Toc1172"/>
      <w:bookmarkStart w:id="18" w:name="_Toc658"/>
      <w:bookmarkStart w:id="19" w:name="_Toc31404"/>
      <w:bookmarkStart w:id="20" w:name="_Toc466298092"/>
      <w:bookmarkStart w:id="21" w:name="_Toc10273"/>
      <w:bookmarkStart w:id="22" w:name="_Toc20827"/>
      <w:bookmarkStart w:id="23" w:name="_Toc490667828"/>
      <w:bookmarkStart w:id="24" w:name="_Toc9136"/>
      <w:bookmarkStart w:id="25" w:name="_Toc455867769"/>
      <w:bookmarkStart w:id="26" w:name="_Toc281380952"/>
      <w:bookmarkStart w:id="27" w:name="_Toc6747"/>
      <w:bookmarkStart w:id="28" w:name="_Toc455080109"/>
      <w:bookmarkStart w:id="29" w:name="_Toc21266"/>
      <w:bookmarkStart w:id="30" w:name="_Toc21458"/>
      <w:bookmarkStart w:id="31" w:name="_Toc144974499"/>
      <w:bookmarkStart w:id="32" w:name="_Toc152042307"/>
      <w:bookmarkStart w:id="33" w:name="_Toc152045531"/>
    </w:p>
    <w:p w14:paraId="38A9DA0A">
      <w:pPr>
        <w:pageBreakBefore w:val="0"/>
        <w:kinsoku/>
        <w:wordWrap w:val="0"/>
        <w:overflowPunct/>
        <w:bidi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 适用范围</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7031073D">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根据《中华人民共和国政府采购法》等有关法律、法规和规章的规定，编制本项目磋商文件。</w:t>
      </w:r>
      <w:bookmarkStart w:id="34" w:name="_Toc455867770"/>
      <w:bookmarkStart w:id="35" w:name="_Toc466298093"/>
      <w:bookmarkStart w:id="36" w:name="_Toc3336"/>
      <w:bookmarkStart w:id="37" w:name="_Toc24852"/>
      <w:bookmarkStart w:id="38" w:name="_Toc32619"/>
      <w:bookmarkStart w:id="39" w:name="_Toc10269"/>
      <w:bookmarkStart w:id="40" w:name="_Toc281405468"/>
      <w:bookmarkStart w:id="41" w:name="_Toc7237"/>
      <w:bookmarkStart w:id="42" w:name="_Toc274409867"/>
      <w:bookmarkStart w:id="43" w:name="_Toc490667829"/>
      <w:bookmarkStart w:id="44" w:name="_Toc25773"/>
      <w:bookmarkStart w:id="45" w:name="_Toc10556"/>
      <w:bookmarkStart w:id="46" w:name="_Toc2929"/>
      <w:bookmarkStart w:id="47" w:name="_Toc31929"/>
      <w:bookmarkStart w:id="48" w:name="_Toc710"/>
      <w:bookmarkStart w:id="49" w:name="_Toc30891"/>
      <w:bookmarkStart w:id="50" w:name="_Toc318450676"/>
      <w:bookmarkStart w:id="51" w:name="_Toc455080110"/>
    </w:p>
    <w:p w14:paraId="28C5D36B">
      <w:pPr>
        <w:pageBreakBefore w:val="0"/>
        <w:kinsoku/>
        <w:wordWrap w:val="0"/>
        <w:overflowPunct/>
        <w:bidi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 招标项目说明</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383791F4">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本项目采购人：见供应商须知前附表。</w:t>
      </w:r>
    </w:p>
    <w:p w14:paraId="639BC5BE">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本项目采购代理机构：见供应商须知前附表。</w:t>
      </w:r>
    </w:p>
    <w:p w14:paraId="5E600B7A">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 本项目名称：见供应商须知前附表。</w:t>
      </w:r>
    </w:p>
    <w:p w14:paraId="346194F0">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 本项目采购方式：见供应商须知前附表。</w:t>
      </w:r>
    </w:p>
    <w:p w14:paraId="27701C36">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1.2.5 本项目预算价（最高限价）：见供应商须知前附表。</w:t>
      </w:r>
      <w:bookmarkStart w:id="52" w:name="_Toc274409868"/>
      <w:bookmarkStart w:id="53" w:name="_Toc318450677"/>
      <w:bookmarkStart w:id="54" w:name="_Toc18960"/>
      <w:bookmarkStart w:id="55" w:name="_Toc455867771"/>
      <w:bookmarkStart w:id="56" w:name="_Toc2415"/>
      <w:bookmarkStart w:id="57" w:name="_Toc281405469"/>
      <w:bookmarkStart w:id="58" w:name="_Toc22979"/>
      <w:bookmarkStart w:id="59" w:name="_Toc16931"/>
      <w:bookmarkStart w:id="60" w:name="_Toc4563"/>
      <w:bookmarkStart w:id="61" w:name="_Toc490667830"/>
      <w:bookmarkStart w:id="62" w:name="_Toc4122"/>
      <w:bookmarkStart w:id="63" w:name="_Toc17146"/>
      <w:bookmarkStart w:id="64" w:name="_Toc466298094"/>
      <w:bookmarkStart w:id="65" w:name="_Toc3477"/>
      <w:bookmarkStart w:id="66" w:name="_Toc17016"/>
      <w:bookmarkStart w:id="67" w:name="_Toc455080111"/>
      <w:bookmarkStart w:id="68" w:name="_Toc1373"/>
      <w:bookmarkStart w:id="69" w:name="_Toc4952"/>
    </w:p>
    <w:p w14:paraId="418585B4">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 定义及解释</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B934D1B">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采购人：依法进行政府采购的国家机关、事业单位、团体组织。</w:t>
      </w:r>
    </w:p>
    <w:p w14:paraId="6C1C6204">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 采购代理机构：取得政府采购招标代理资质，受采购人委托组织招标活动的社会中介组织。</w:t>
      </w:r>
    </w:p>
    <w:p w14:paraId="5B7EFE47">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服务：系指根据本磋商文件规定供应商须承担的服务以及其他类似的义务等。</w:t>
      </w:r>
    </w:p>
    <w:p w14:paraId="68BA59E6">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 供应商：供应商是响应磋商文件、参加磋商竞争的中华人民共和国境内的法人、其它组织。</w:t>
      </w:r>
    </w:p>
    <w:p w14:paraId="745F9A66">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1.3.5 响应文件：指供应商根据竞争性磋商文件提交的所有文件。</w:t>
      </w:r>
    </w:p>
    <w:p w14:paraId="62432263">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1.3.6 磋商小组：依据《中华人民共和国政府采购法》及有关法律、法规的规定依法组建的专门负责本次评标工作的临时机构。</w:t>
      </w:r>
    </w:p>
    <w:p w14:paraId="4880E5A5">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1.3.7 偏离：响应文件的响应相对于竞争性磋商文件要求的偏差，该偏差优于竞争性磋商文件要求的为正偏离；劣于的，为负偏离。</w:t>
      </w:r>
    </w:p>
    <w:p w14:paraId="69D597D7">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1.3.8 “日期”或“天”：指日历天。</w:t>
      </w:r>
    </w:p>
    <w:p w14:paraId="26B71EFF">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1.3.9 合同：指依据本次服务采购招标结果签订的协议或合约文件。</w:t>
      </w:r>
    </w:p>
    <w:p w14:paraId="5B2096BD">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1.3.10 竞争性磋商文件中的标题或题名仅起引导作用，而不应视为对竞争性磋商文件内容的理解和解释。</w:t>
      </w:r>
      <w:bookmarkEnd w:id="31"/>
      <w:bookmarkEnd w:id="32"/>
      <w:bookmarkEnd w:id="33"/>
      <w:bookmarkStart w:id="70" w:name="_Toc32236"/>
      <w:bookmarkStart w:id="71" w:name="_Toc27407"/>
      <w:bookmarkStart w:id="72" w:name="_Toc455867772"/>
      <w:bookmarkStart w:id="73" w:name="_Toc455080112"/>
      <w:bookmarkStart w:id="74" w:name="_Toc152042308"/>
      <w:bookmarkStart w:id="75" w:name="_Toc144974500"/>
      <w:bookmarkStart w:id="76" w:name="_Toc17908"/>
      <w:bookmarkStart w:id="77" w:name="_Toc17808"/>
      <w:bookmarkStart w:id="78" w:name="_Toc318450678"/>
      <w:bookmarkStart w:id="79" w:name="_Toc10894"/>
      <w:bookmarkStart w:id="80" w:name="_Toc490667831"/>
      <w:bookmarkStart w:id="81" w:name="_Toc26189"/>
      <w:bookmarkStart w:id="82" w:name="_Toc14043"/>
      <w:bookmarkStart w:id="83" w:name="_Toc466298095"/>
      <w:bookmarkStart w:id="84" w:name="_Toc152045532"/>
      <w:bookmarkStart w:id="85" w:name="_Toc19363"/>
      <w:bookmarkStart w:id="86" w:name="_Toc21766"/>
      <w:bookmarkStart w:id="87" w:name="_Toc16470"/>
      <w:bookmarkStart w:id="88" w:name="_Toc12752"/>
    </w:p>
    <w:p w14:paraId="568F4F6A">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1.4 采购内容、</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Pr>
          <w:rFonts w:hint="eastAsia" w:ascii="宋体" w:hAnsi="宋体" w:eastAsia="宋体" w:cs="宋体"/>
          <w:b/>
          <w:color w:val="auto"/>
          <w:szCs w:val="21"/>
          <w:highlight w:val="none"/>
        </w:rPr>
        <w:t>合同履行期限、质量要求</w:t>
      </w:r>
    </w:p>
    <w:p w14:paraId="0DA28F61">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本次采购内容：见供应商须知前附表。</w:t>
      </w:r>
    </w:p>
    <w:p w14:paraId="5097E6B5">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本项目的合同履行期限：见供应商须知前附表。</w:t>
      </w:r>
    </w:p>
    <w:p w14:paraId="3AC257F4">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 本项目的质量要求：见供应商须知前附表。</w:t>
      </w:r>
      <w:bookmarkStart w:id="89" w:name="_Toc318450679"/>
      <w:bookmarkStart w:id="90" w:name="_Toc152045534"/>
      <w:bookmarkStart w:id="91" w:name="_Toc152042310"/>
      <w:bookmarkStart w:id="92" w:name="_Toc144974502"/>
      <w:bookmarkStart w:id="93" w:name="_Toc32156"/>
      <w:bookmarkStart w:id="94" w:name="_Toc18689"/>
      <w:bookmarkStart w:id="95" w:name="_Toc7209"/>
      <w:bookmarkStart w:id="96" w:name="_Toc455080113"/>
      <w:bookmarkStart w:id="97" w:name="_Toc22643"/>
      <w:bookmarkStart w:id="98" w:name="_Toc11063"/>
      <w:bookmarkStart w:id="99" w:name="_Toc4301"/>
      <w:bookmarkStart w:id="100" w:name="_Toc1602"/>
      <w:bookmarkStart w:id="101" w:name="_Toc490667832"/>
      <w:bookmarkStart w:id="102" w:name="_Toc10081"/>
      <w:bookmarkStart w:id="103" w:name="_Toc455867773"/>
      <w:bookmarkStart w:id="104" w:name="_Toc5019"/>
      <w:bookmarkStart w:id="105" w:name="_Toc18004"/>
      <w:bookmarkStart w:id="106" w:name="_Toc4711"/>
      <w:bookmarkStart w:id="107" w:name="_Toc466298096"/>
    </w:p>
    <w:p w14:paraId="099D1279">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1.5 </w:t>
      </w:r>
      <w:bookmarkEnd w:id="89"/>
      <w:bookmarkEnd w:id="90"/>
      <w:bookmarkEnd w:id="91"/>
      <w:bookmarkEnd w:id="92"/>
      <w:r>
        <w:rPr>
          <w:rFonts w:hint="eastAsia" w:ascii="宋体" w:hAnsi="宋体" w:eastAsia="宋体" w:cs="宋体"/>
          <w:b/>
          <w:color w:val="auto"/>
          <w:szCs w:val="21"/>
          <w:highlight w:val="none"/>
        </w:rPr>
        <w:t>供应商资质条件和能力</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8C16C7E">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 供应商资质及能力要求：见供应商须知前附表。</w:t>
      </w:r>
    </w:p>
    <w:p w14:paraId="11621ACB">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 是否接受联合体：见供应商须知前附表。</w:t>
      </w:r>
      <w:bookmarkStart w:id="108" w:name="_Toc31497"/>
      <w:bookmarkStart w:id="109" w:name="_Toc32446"/>
      <w:bookmarkStart w:id="110" w:name="_Toc31854"/>
      <w:bookmarkStart w:id="111" w:name="_Toc16889"/>
      <w:bookmarkStart w:id="112" w:name="_Toc466298097"/>
      <w:bookmarkStart w:id="113" w:name="_Toc144974503"/>
      <w:bookmarkStart w:id="114" w:name="_Toc651"/>
      <w:bookmarkStart w:id="115" w:name="_Toc455867774"/>
      <w:bookmarkStart w:id="116" w:name="_Toc28135"/>
      <w:bookmarkStart w:id="117" w:name="_Toc981"/>
      <w:bookmarkStart w:id="118" w:name="_Toc152042311"/>
      <w:bookmarkStart w:id="119" w:name="_Toc9505"/>
      <w:bookmarkStart w:id="120" w:name="_Toc5162"/>
      <w:bookmarkStart w:id="121" w:name="_Toc318450680"/>
      <w:bookmarkStart w:id="122" w:name="_Toc490667833"/>
      <w:bookmarkStart w:id="123" w:name="_Toc455080114"/>
      <w:bookmarkStart w:id="124" w:name="_Toc11905"/>
      <w:bookmarkStart w:id="125" w:name="_Toc12403"/>
      <w:bookmarkStart w:id="126" w:name="_Toc152045535"/>
    </w:p>
    <w:p w14:paraId="566BD558">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1.6 费用承担</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0E0565B8">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供应商准备和参加磋商活动发生的费用自理，不论磋商的结果如何，采购人和采购代理机构在任何情况下均无义务和责任承担这些费用。</w:t>
      </w:r>
      <w:bookmarkStart w:id="127" w:name="_Toc22800"/>
      <w:bookmarkStart w:id="128" w:name="_Toc2622"/>
      <w:bookmarkStart w:id="129" w:name="_Toc455080115"/>
      <w:bookmarkStart w:id="130" w:name="_Toc24601"/>
      <w:bookmarkStart w:id="131" w:name="_Toc5402"/>
      <w:bookmarkStart w:id="132" w:name="_Toc455867775"/>
      <w:bookmarkStart w:id="133" w:name="_Toc32053"/>
      <w:bookmarkStart w:id="134" w:name="_Toc152045536"/>
      <w:bookmarkStart w:id="135" w:name="_Toc6014"/>
      <w:bookmarkStart w:id="136" w:name="_Toc22136"/>
      <w:bookmarkStart w:id="137" w:name="_Toc8598"/>
      <w:bookmarkStart w:id="138" w:name="_Toc152042312"/>
      <w:bookmarkStart w:id="139" w:name="_Toc20145"/>
      <w:bookmarkStart w:id="140" w:name="_Toc144974504"/>
      <w:bookmarkStart w:id="141" w:name="_Toc466298098"/>
      <w:bookmarkStart w:id="142" w:name="_Toc1879"/>
      <w:bookmarkStart w:id="143" w:name="_Toc318450681"/>
      <w:bookmarkStart w:id="144" w:name="_Toc8055"/>
      <w:bookmarkStart w:id="145" w:name="_Toc490667834"/>
    </w:p>
    <w:p w14:paraId="67097931">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 保密</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36A82B94">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参与磋商活动的各方应对竞争性磋商文件和响应文件中的商业和技术等秘密保密，违者应对由此造成的后果承担法律责任。</w:t>
      </w:r>
      <w:bookmarkStart w:id="146" w:name="_Toc144974505"/>
      <w:bookmarkStart w:id="147" w:name="_Toc14775"/>
      <w:bookmarkStart w:id="148" w:name="_Toc152045537"/>
      <w:bookmarkStart w:id="149" w:name="_Toc466298099"/>
      <w:bookmarkStart w:id="150" w:name="_Toc455867776"/>
      <w:bookmarkStart w:id="151" w:name="_Toc318450682"/>
      <w:bookmarkStart w:id="152" w:name="_Toc13976"/>
      <w:bookmarkStart w:id="153" w:name="_Toc152042313"/>
      <w:bookmarkStart w:id="154" w:name="_Toc3628"/>
      <w:bookmarkStart w:id="155" w:name="_Toc22226"/>
      <w:bookmarkStart w:id="156" w:name="_Toc21089"/>
      <w:bookmarkStart w:id="157" w:name="_Toc455080116"/>
      <w:bookmarkStart w:id="158" w:name="_Toc30583"/>
      <w:bookmarkStart w:id="159" w:name="_Toc7031"/>
      <w:bookmarkStart w:id="160" w:name="_Toc490667835"/>
      <w:bookmarkStart w:id="161" w:name="_Toc15673"/>
      <w:bookmarkStart w:id="162" w:name="_Toc25517"/>
      <w:bookmarkStart w:id="163" w:name="_Toc30747"/>
      <w:bookmarkStart w:id="164" w:name="_Toc6615"/>
    </w:p>
    <w:p w14:paraId="004CF2F5">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 语言</w:t>
      </w:r>
      <w:bookmarkEnd w:id="146"/>
      <w:r>
        <w:rPr>
          <w:rFonts w:hint="eastAsia" w:ascii="宋体" w:hAnsi="宋体" w:eastAsia="宋体" w:cs="宋体"/>
          <w:b/>
          <w:color w:val="auto"/>
          <w:szCs w:val="21"/>
          <w:highlight w:val="none"/>
        </w:rPr>
        <w:t>文字</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080DC7B1">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除专用术语外，与磋商有关的语言均使用中文。必要时专用术语应附有中文注释，对不同文字文本响应文件的解释发生异议的，以中文文本为准。</w:t>
      </w:r>
      <w:bookmarkStart w:id="165" w:name="_Toc22378"/>
      <w:bookmarkStart w:id="166" w:name="_Toc4501"/>
      <w:bookmarkStart w:id="167" w:name="_Toc455867777"/>
      <w:bookmarkStart w:id="168" w:name="_Toc18357"/>
      <w:bookmarkStart w:id="169" w:name="_Toc466298100"/>
      <w:bookmarkStart w:id="170" w:name="_Toc144974506"/>
      <w:bookmarkStart w:id="171" w:name="_Toc152045538"/>
      <w:bookmarkStart w:id="172" w:name="_Toc490667836"/>
      <w:bookmarkStart w:id="173" w:name="_Toc2702"/>
      <w:bookmarkStart w:id="174" w:name="_Toc21543"/>
      <w:bookmarkStart w:id="175" w:name="_Toc14934"/>
      <w:bookmarkStart w:id="176" w:name="_Toc9446"/>
      <w:bookmarkStart w:id="177" w:name="_Toc32507"/>
      <w:bookmarkStart w:id="178" w:name="_Toc455080117"/>
      <w:bookmarkStart w:id="179" w:name="_Toc318450683"/>
      <w:bookmarkStart w:id="180" w:name="_Toc152042314"/>
      <w:bookmarkStart w:id="181" w:name="_Toc4237"/>
      <w:bookmarkStart w:id="182" w:name="_Toc24337"/>
      <w:bookmarkStart w:id="183" w:name="_Toc22415"/>
    </w:p>
    <w:p w14:paraId="57E40743">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 计量单位</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2D0DDB36">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所有计量均采用中华人民共和国法定计量单位。</w:t>
      </w:r>
      <w:bookmarkStart w:id="184" w:name="_Toc144974508"/>
      <w:bookmarkStart w:id="185" w:name="_Toc19685"/>
      <w:bookmarkStart w:id="186" w:name="_Toc455080118"/>
      <w:bookmarkStart w:id="187" w:name="_Toc27570"/>
      <w:bookmarkStart w:id="188" w:name="_Toc29845"/>
      <w:bookmarkStart w:id="189" w:name="_Toc18589"/>
      <w:bookmarkStart w:id="190" w:name="_Toc152042316"/>
      <w:bookmarkStart w:id="191" w:name="_Toc490667837"/>
      <w:bookmarkStart w:id="192" w:name="_Toc31195"/>
      <w:bookmarkStart w:id="193" w:name="_Toc455867778"/>
      <w:bookmarkStart w:id="194" w:name="_Toc12027"/>
      <w:bookmarkStart w:id="195" w:name="_Toc2508"/>
      <w:bookmarkStart w:id="196" w:name="_Toc13675"/>
      <w:bookmarkStart w:id="197" w:name="_Toc338"/>
      <w:bookmarkStart w:id="198" w:name="_Toc284"/>
      <w:bookmarkStart w:id="199" w:name="_Toc152045540"/>
      <w:bookmarkStart w:id="200" w:name="_Toc466298101"/>
      <w:bookmarkStart w:id="201" w:name="_Toc318450684"/>
      <w:bookmarkStart w:id="202" w:name="_Toc32253"/>
    </w:p>
    <w:p w14:paraId="4F6BF7F4">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1.10 </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rFonts w:hint="eastAsia" w:ascii="宋体" w:hAnsi="宋体" w:eastAsia="宋体" w:cs="宋体"/>
          <w:b/>
          <w:color w:val="auto"/>
          <w:szCs w:val="21"/>
          <w:highlight w:val="none"/>
        </w:rPr>
        <w:t>现场踏勘</w:t>
      </w:r>
      <w:bookmarkEnd w:id="202"/>
      <w:bookmarkStart w:id="203" w:name="_Toc23678"/>
      <w:bookmarkStart w:id="204" w:name="_Toc455080119"/>
      <w:bookmarkStart w:id="205" w:name="_Toc3853"/>
      <w:bookmarkStart w:id="206" w:name="_Toc144974509"/>
      <w:bookmarkStart w:id="207" w:name="_Toc25208"/>
      <w:bookmarkStart w:id="208" w:name="_Toc31725"/>
      <w:bookmarkStart w:id="209" w:name="_Toc24262"/>
      <w:bookmarkStart w:id="210" w:name="_Toc28719"/>
      <w:bookmarkStart w:id="211" w:name="_Toc318450685"/>
      <w:bookmarkStart w:id="212" w:name="_Toc152042317"/>
      <w:bookmarkStart w:id="213" w:name="_Toc32757"/>
      <w:bookmarkStart w:id="214" w:name="_Toc9182"/>
      <w:bookmarkStart w:id="215" w:name="_Toc466298102"/>
      <w:bookmarkStart w:id="216" w:name="_Toc490667838"/>
      <w:bookmarkStart w:id="217" w:name="_Toc23635"/>
      <w:bookmarkStart w:id="218" w:name="_Toc152045541"/>
      <w:bookmarkStart w:id="219" w:name="_Toc455867779"/>
      <w:bookmarkStart w:id="220" w:name="_Toc11744"/>
    </w:p>
    <w:p w14:paraId="6FD546ED">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不组织。</w:t>
      </w:r>
    </w:p>
    <w:p w14:paraId="35CA917B">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1.11 分包</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6A63BDF5">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是否允许分包：见供应商须知前附表。</w:t>
      </w:r>
      <w:bookmarkStart w:id="221" w:name="_Toc152045542"/>
      <w:bookmarkStart w:id="222" w:name="_Toc455080120"/>
      <w:bookmarkStart w:id="223" w:name="_Toc144974510"/>
      <w:bookmarkStart w:id="224" w:name="_Toc152042318"/>
    </w:p>
    <w:bookmarkEnd w:id="221"/>
    <w:bookmarkEnd w:id="222"/>
    <w:bookmarkEnd w:id="223"/>
    <w:bookmarkEnd w:id="224"/>
    <w:p w14:paraId="5A70AD10">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bookmarkStart w:id="225" w:name="_Toc24635"/>
      <w:bookmarkStart w:id="226" w:name="_Toc2792"/>
      <w:r>
        <w:rPr>
          <w:rFonts w:hint="eastAsia" w:ascii="宋体" w:hAnsi="宋体" w:eastAsia="宋体" w:cs="宋体"/>
          <w:b/>
          <w:color w:val="auto"/>
          <w:szCs w:val="21"/>
          <w:highlight w:val="none"/>
        </w:rPr>
        <w:t>2.竞争性磋商文件</w:t>
      </w:r>
      <w:bookmarkEnd w:id="225"/>
      <w:bookmarkEnd w:id="226"/>
      <w:bookmarkStart w:id="227" w:name="_Toc144974511"/>
      <w:bookmarkStart w:id="228" w:name="_Toc490667840"/>
      <w:bookmarkStart w:id="229" w:name="_Toc32711"/>
      <w:bookmarkStart w:id="230" w:name="_Toc466298104"/>
      <w:bookmarkStart w:id="231" w:name="_Toc11567"/>
      <w:bookmarkStart w:id="232" w:name="_Toc9780"/>
      <w:bookmarkStart w:id="233" w:name="_Toc1008"/>
      <w:bookmarkStart w:id="234" w:name="_Toc455080121"/>
      <w:bookmarkStart w:id="235" w:name="_Toc3982"/>
      <w:bookmarkStart w:id="236" w:name="_Toc7999"/>
      <w:bookmarkStart w:id="237" w:name="_Toc23649"/>
      <w:bookmarkStart w:id="238" w:name="_Toc12640"/>
      <w:bookmarkStart w:id="239" w:name="_Toc25982"/>
      <w:bookmarkStart w:id="240" w:name="_Toc318450687"/>
      <w:bookmarkStart w:id="241" w:name="_Toc11599"/>
      <w:bookmarkStart w:id="242" w:name="_Toc455867781"/>
      <w:bookmarkStart w:id="243" w:name="_Toc152042319"/>
      <w:bookmarkStart w:id="244" w:name="_Toc12004"/>
      <w:bookmarkStart w:id="245" w:name="_Toc152045543"/>
    </w:p>
    <w:p w14:paraId="28BC3A6D">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 竞争性磋商文件的组成</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41B72697">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本竞争性磋商文件包括：</w:t>
      </w:r>
    </w:p>
    <w:p w14:paraId="140EA9ED">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14:paraId="71773E10">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14:paraId="6DEB8692">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（3）评审办法（综合评分法）；</w:t>
      </w:r>
    </w:p>
    <w:p w14:paraId="4AC37501">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（4）河南省政府采购合同（参考文本）；</w:t>
      </w:r>
    </w:p>
    <w:p w14:paraId="64EC5EED">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（5）采购要求；</w:t>
      </w:r>
    </w:p>
    <w:p w14:paraId="7A55EAE4">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（6）竞争性磋商响应文件格式。</w:t>
      </w:r>
    </w:p>
    <w:p w14:paraId="09CFDA92">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根据本章第2.2款和第2.3款对竞争性磋商文件所作的澄清、修改，构成竞争性磋商文件的组成部分。</w:t>
      </w:r>
      <w:bookmarkStart w:id="246" w:name="_Toc15658"/>
      <w:bookmarkStart w:id="247" w:name="_Toc6508"/>
      <w:bookmarkStart w:id="248" w:name="_Toc144974514"/>
      <w:bookmarkStart w:id="249" w:name="_Toc152045546"/>
      <w:bookmarkStart w:id="250" w:name="_Toc152042322"/>
      <w:bookmarkStart w:id="251" w:name="_Toc455080124"/>
    </w:p>
    <w:p w14:paraId="1D427958">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 竞争性磋商文件的澄清</w:t>
      </w:r>
      <w:bookmarkEnd w:id="246"/>
      <w:bookmarkEnd w:id="247"/>
    </w:p>
    <w:p w14:paraId="29C1E565">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 供应商应仔细阅读和检查竞争性磋商文件的全部内容。如发现缺页或附件不全，应及时向采购人提出，以便补齐。如有疑问，应在供应商须知前附表规定的时间前以书面形式（包括信函、电报、传真等可以有形表现所载内容的形式，下同），要求采购人对竞争性磋商文件予以澄清。</w:t>
      </w:r>
    </w:p>
    <w:p w14:paraId="4CA12BAE">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 竞争性磋商文件的澄清将在供应商须知前附表规定的响应文件递交截止时间5天前在</w:t>
      </w:r>
      <w:r>
        <w:rPr>
          <w:rFonts w:hint="eastAsia" w:ascii="宋体" w:hAnsi="宋体" w:eastAsia="宋体" w:cs="宋体"/>
          <w:color w:val="auto"/>
          <w:szCs w:val="21"/>
          <w:highlight w:val="none"/>
          <w:lang w:eastAsia="zh-CN"/>
        </w:rPr>
        <w:t>固始县</w:t>
      </w:r>
      <w:r>
        <w:rPr>
          <w:rFonts w:hint="eastAsia" w:ascii="宋体" w:hAnsi="宋体" w:eastAsia="宋体" w:cs="宋体"/>
          <w:color w:val="auto"/>
          <w:szCs w:val="21"/>
          <w:highlight w:val="none"/>
        </w:rPr>
        <w:t>公共资源交易系统“变更公告”或“答疑文件”将澄清内容予以发布，但不指明澄清问题的来源。如果澄清的内容可能影响响应文件编制且发出的时间距响应文件递交截止时间不足5天，相应延长投标截止时间。</w:t>
      </w:r>
    </w:p>
    <w:p w14:paraId="527D33E5">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 供应商应在响应文件递交截止时间前及时查看澄清内容，因供应商未及时查看而造成的后果自负。</w:t>
      </w:r>
      <w:bookmarkStart w:id="252" w:name="_Toc9923"/>
      <w:bookmarkStart w:id="253" w:name="_Toc8263"/>
    </w:p>
    <w:p w14:paraId="32FAD33F">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 竞争性磋商文件的修改</w:t>
      </w:r>
      <w:bookmarkEnd w:id="252"/>
      <w:bookmarkEnd w:id="253"/>
    </w:p>
    <w:p w14:paraId="19B1FC47">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 在响应文件递交截止时间5天前，采购人可以修改竞争性磋商文件。如有修改，应在</w:t>
      </w:r>
      <w:r>
        <w:rPr>
          <w:rFonts w:hint="eastAsia" w:ascii="宋体" w:hAnsi="宋体" w:eastAsia="宋体" w:cs="宋体"/>
          <w:color w:val="auto"/>
          <w:szCs w:val="21"/>
          <w:highlight w:val="none"/>
          <w:lang w:eastAsia="zh-CN"/>
        </w:rPr>
        <w:t>固始县</w:t>
      </w:r>
      <w:r>
        <w:rPr>
          <w:rFonts w:hint="eastAsia" w:ascii="宋体" w:hAnsi="宋体" w:eastAsia="宋体" w:cs="宋体"/>
          <w:color w:val="auto"/>
          <w:szCs w:val="21"/>
          <w:highlight w:val="none"/>
        </w:rPr>
        <w:t>公共资源交易系统“变更公告”或“答疑文件”将修改内容予以发布。如果修改的内容可能影响响应文件编制且发出的时间距响应文件递交截止时间不足5天，相应延长响应文件递交截止时间。</w:t>
      </w:r>
    </w:p>
    <w:p w14:paraId="026F80B9">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 当竞争性磋商文件的澄清、修改、补充等在同一内容的表述上不一致时，以最后在</w:t>
      </w:r>
      <w:r>
        <w:rPr>
          <w:rFonts w:hint="eastAsia" w:ascii="宋体" w:hAnsi="宋体" w:eastAsia="宋体" w:cs="宋体"/>
          <w:color w:val="auto"/>
          <w:szCs w:val="21"/>
          <w:highlight w:val="none"/>
          <w:lang w:eastAsia="zh-CN"/>
        </w:rPr>
        <w:t>固始县</w:t>
      </w:r>
      <w:r>
        <w:rPr>
          <w:rFonts w:hint="eastAsia" w:ascii="宋体" w:hAnsi="宋体" w:eastAsia="宋体" w:cs="宋体"/>
          <w:color w:val="auto"/>
          <w:szCs w:val="21"/>
          <w:highlight w:val="none"/>
        </w:rPr>
        <w:t>公共资源交易系统发出的文件为准。</w:t>
      </w:r>
    </w:p>
    <w:p w14:paraId="5789B861">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2.3.3 供应商应在响应文件递交截止时间前及时查看修改内容，因供应商未及时查看而造成的后果自负。</w:t>
      </w:r>
    </w:p>
    <w:p w14:paraId="32EB999B">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bookmarkStart w:id="254" w:name="_Toc20484"/>
      <w:bookmarkStart w:id="255" w:name="_Toc4666"/>
      <w:bookmarkStart w:id="256" w:name="_Toc26311"/>
      <w:r>
        <w:rPr>
          <w:rFonts w:hint="eastAsia" w:ascii="宋体" w:hAnsi="宋体" w:eastAsia="宋体" w:cs="宋体"/>
          <w:b/>
          <w:color w:val="auto"/>
          <w:szCs w:val="21"/>
          <w:highlight w:val="none"/>
        </w:rPr>
        <w:t xml:space="preserve">3. </w:t>
      </w:r>
      <w:bookmarkEnd w:id="248"/>
      <w:bookmarkEnd w:id="249"/>
      <w:bookmarkEnd w:id="250"/>
      <w:r>
        <w:rPr>
          <w:rFonts w:hint="eastAsia" w:ascii="宋体" w:hAnsi="宋体" w:eastAsia="宋体" w:cs="宋体"/>
          <w:b/>
          <w:color w:val="auto"/>
          <w:szCs w:val="21"/>
          <w:highlight w:val="none"/>
        </w:rPr>
        <w:t>响应文件</w:t>
      </w:r>
      <w:bookmarkEnd w:id="251"/>
      <w:bookmarkEnd w:id="254"/>
      <w:bookmarkEnd w:id="255"/>
      <w:bookmarkEnd w:id="256"/>
      <w:bookmarkStart w:id="257" w:name="_Toc9273"/>
      <w:bookmarkStart w:id="258" w:name="_Toc10096"/>
      <w:bookmarkStart w:id="259" w:name="_Toc1102"/>
      <w:bookmarkStart w:id="260" w:name="_Toc490667844"/>
      <w:bookmarkStart w:id="261" w:name="_Toc318450691"/>
      <w:bookmarkStart w:id="262" w:name="_Toc144974515"/>
      <w:bookmarkStart w:id="263" w:name="_Toc15810"/>
      <w:bookmarkStart w:id="264" w:name="_Toc152042323"/>
      <w:bookmarkStart w:id="265" w:name="_Toc27373"/>
      <w:bookmarkStart w:id="266" w:name="_Toc16198"/>
      <w:bookmarkStart w:id="267" w:name="_Toc152045547"/>
      <w:bookmarkStart w:id="268" w:name="_Toc24440"/>
    </w:p>
    <w:p w14:paraId="0CFB5CA1">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3.1 响应文件的组成</w:t>
      </w:r>
      <w:bookmarkEnd w:id="257"/>
      <w:bookmarkEnd w:id="258"/>
      <w:bookmarkEnd w:id="259"/>
      <w:bookmarkEnd w:id="260"/>
      <w:bookmarkEnd w:id="261"/>
      <w:bookmarkEnd w:id="262"/>
      <w:bookmarkEnd w:id="263"/>
      <w:bookmarkEnd w:id="264"/>
      <w:bookmarkEnd w:id="265"/>
      <w:bookmarkEnd w:id="266"/>
      <w:bookmarkEnd w:id="267"/>
      <w:bookmarkEnd w:id="268"/>
    </w:p>
    <w:p w14:paraId="0DC40214">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bookmarkStart w:id="269" w:name="_Toc899"/>
      <w:bookmarkStart w:id="270" w:name="_Toc279156232"/>
      <w:bookmarkStart w:id="271" w:name="_Toc144974516"/>
      <w:bookmarkStart w:id="272" w:name="_Toc152042324"/>
      <w:bookmarkStart w:id="273" w:name="_Toc26291"/>
      <w:bookmarkStart w:id="274" w:name="_Toc152045548"/>
      <w:bookmarkStart w:id="275" w:name="_Toc318450692"/>
      <w:r>
        <w:rPr>
          <w:rFonts w:hint="eastAsia" w:ascii="宋体" w:hAnsi="宋体" w:eastAsia="宋体" w:cs="宋体"/>
          <w:color w:val="auto"/>
          <w:szCs w:val="21"/>
          <w:highlight w:val="none"/>
        </w:rPr>
        <w:t>响应文件应包括下列内容：</w:t>
      </w:r>
    </w:p>
    <w:p w14:paraId="68DFDDE8">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bookmarkStart w:id="276" w:name="_Toc4592"/>
      <w:r>
        <w:rPr>
          <w:rFonts w:hint="eastAsia" w:ascii="宋体" w:hAnsi="宋体" w:eastAsia="宋体" w:cs="宋体"/>
          <w:color w:val="auto"/>
          <w:szCs w:val="21"/>
          <w:highlight w:val="none"/>
        </w:rPr>
        <w:t>（1）响应函及响应函附录</w:t>
      </w:r>
    </w:p>
    <w:p w14:paraId="57B8610A">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（2）法定代表人（单位负责人）身份证明（适用于无委托代理人的情况）</w:t>
      </w:r>
    </w:p>
    <w:p w14:paraId="5621BF81">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）授权委托书（适用于有委托代理人的情况）</w:t>
      </w:r>
    </w:p>
    <w:p w14:paraId="4E28F8E2">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分项报价表</w:t>
      </w:r>
    </w:p>
    <w:p w14:paraId="66704F75">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综合部分</w:t>
      </w:r>
    </w:p>
    <w:p w14:paraId="13ADD73A">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技术部分</w:t>
      </w:r>
    </w:p>
    <w:p w14:paraId="47879B18">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（6）资格证明材料</w:t>
      </w:r>
    </w:p>
    <w:p w14:paraId="2121FD65">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）中小企业声明函</w:t>
      </w:r>
    </w:p>
    <w:p w14:paraId="75A4AF4F">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）残疾人福利性单位声明函(如有)</w:t>
      </w:r>
    </w:p>
    <w:p w14:paraId="0B0028E0">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）监狱企业证明文件（如有）</w:t>
      </w:r>
    </w:p>
    <w:p w14:paraId="4BCEE0AC">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）反商业贿赂承诺书</w:t>
      </w:r>
    </w:p>
    <w:p w14:paraId="772CD5F2">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）其他材料</w:t>
      </w:r>
    </w:p>
    <w:p w14:paraId="448195EB">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 磋商报价</w:t>
      </w:r>
      <w:bookmarkEnd w:id="269"/>
      <w:bookmarkEnd w:id="270"/>
      <w:bookmarkEnd w:id="271"/>
      <w:bookmarkEnd w:id="272"/>
      <w:bookmarkEnd w:id="273"/>
      <w:bookmarkEnd w:id="274"/>
      <w:bookmarkEnd w:id="275"/>
      <w:bookmarkEnd w:id="276"/>
    </w:p>
    <w:p w14:paraId="1B1A1B88">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bookmarkStart w:id="277" w:name="_Toc12402"/>
      <w:bookmarkStart w:id="278" w:name="_Toc6105"/>
      <w:bookmarkStart w:id="279" w:name="_Toc3624"/>
      <w:bookmarkStart w:id="280" w:name="_Toc7910"/>
      <w:bookmarkStart w:id="281" w:name="_Toc318450693"/>
      <w:bookmarkStart w:id="282" w:name="_Toc11968"/>
      <w:bookmarkStart w:id="283" w:name="_Toc152042325"/>
      <w:bookmarkStart w:id="284" w:name="_Toc466298109"/>
      <w:bookmarkStart w:id="285" w:name="_Toc455867786"/>
      <w:bookmarkStart w:id="286" w:name="_Toc455080126"/>
      <w:bookmarkStart w:id="287" w:name="_Toc144974517"/>
      <w:bookmarkStart w:id="288" w:name="_Toc29133"/>
      <w:bookmarkStart w:id="289" w:name="_Toc7105"/>
      <w:bookmarkStart w:id="290" w:name="_Toc21600"/>
      <w:bookmarkStart w:id="291" w:name="_Toc490667846"/>
      <w:bookmarkStart w:id="292" w:name="_Toc25387"/>
      <w:bookmarkStart w:id="293" w:name="_Toc152045549"/>
      <w:bookmarkStart w:id="294" w:name="_Toc21680"/>
      <w:bookmarkStart w:id="295" w:name="_Toc2425"/>
      <w:r>
        <w:rPr>
          <w:rFonts w:hint="eastAsia" w:ascii="宋体" w:hAnsi="宋体" w:eastAsia="宋体" w:cs="宋体"/>
          <w:color w:val="auto"/>
          <w:szCs w:val="21"/>
          <w:highlight w:val="none"/>
        </w:rPr>
        <w:t xml:space="preserve">3.2.1 </w:t>
      </w:r>
      <w:bookmarkEnd w:id="277"/>
      <w:r>
        <w:rPr>
          <w:rFonts w:hint="eastAsia" w:ascii="宋体" w:hAnsi="宋体" w:eastAsia="宋体" w:cs="宋体"/>
          <w:color w:val="auto"/>
          <w:szCs w:val="21"/>
          <w:highlight w:val="none"/>
        </w:rPr>
        <w:t>本项目的磋商报价应按照磋商文件、补充通知、答疑纪要、现场情况、承包范围，并充分考虑</w:t>
      </w:r>
      <w:r>
        <w:rPr>
          <w:rFonts w:hint="eastAsia" w:ascii="宋体" w:hAnsi="宋体" w:cs="宋体"/>
          <w:color w:val="auto"/>
          <w:szCs w:val="21"/>
          <w:highlight w:val="none"/>
          <w:lang w:val="en-US" w:eastAsia="zh-CN"/>
        </w:rPr>
        <w:t>供货</w:t>
      </w:r>
      <w:r>
        <w:rPr>
          <w:rFonts w:hint="eastAsia" w:ascii="宋体" w:hAnsi="宋体" w:eastAsia="宋体" w:cs="宋体"/>
          <w:color w:val="auto"/>
          <w:szCs w:val="21"/>
          <w:highlight w:val="none"/>
        </w:rPr>
        <w:t>期间各类风险和国家政策性调整等风险系数，由各响应人根据自身情况，在合理范围内，自主考虑、优惠报价，但不得低于企业成本，分二次报价：第一次报价必须按照磋商文件的报价格式填报，第二次报价在磋商中填报，第二次报价（不得高于一次报价）即为最终报价。</w:t>
      </w:r>
    </w:p>
    <w:p w14:paraId="4075AC33">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 供应商应充分了解该项目的总体情况以及影响磋商报价的其它要素，考虑</w:t>
      </w:r>
      <w:r>
        <w:rPr>
          <w:rFonts w:hint="eastAsia" w:ascii="宋体" w:hAnsi="宋体" w:cs="宋体"/>
          <w:color w:val="auto"/>
          <w:szCs w:val="21"/>
          <w:highlight w:val="none"/>
          <w:lang w:val="en-US" w:eastAsia="zh-CN"/>
        </w:rPr>
        <w:t>供货</w:t>
      </w:r>
      <w:r>
        <w:rPr>
          <w:rFonts w:hint="eastAsia" w:ascii="宋体" w:hAnsi="宋体" w:eastAsia="宋体" w:cs="宋体"/>
          <w:color w:val="auto"/>
          <w:szCs w:val="21"/>
          <w:highlight w:val="none"/>
        </w:rPr>
        <w:t>期间的价格风险因素，成交价在合同实施期内不得调整，同时也不因市场价格变动而调整。</w:t>
      </w:r>
    </w:p>
    <w:p w14:paraId="78DC8F17">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 响应报价表中的大写金额和小写金额不一致的，以大写金额为准。</w:t>
      </w:r>
    </w:p>
    <w:p w14:paraId="212A0095">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 供应商的报价明显低于其他通过符合性审查供应商的报价，有可能影响</w:t>
      </w:r>
      <w:r>
        <w:rPr>
          <w:rFonts w:hint="eastAsia" w:ascii="宋体" w:hAnsi="宋体" w:cs="宋体"/>
          <w:color w:val="auto"/>
          <w:szCs w:val="21"/>
          <w:highlight w:val="none"/>
          <w:lang w:val="en-US" w:eastAsia="zh-CN"/>
        </w:rPr>
        <w:t>货物</w:t>
      </w:r>
      <w:r>
        <w:rPr>
          <w:rFonts w:hint="eastAsia" w:ascii="宋体" w:hAnsi="宋体" w:eastAsia="宋体" w:cs="宋体"/>
          <w:color w:val="auto"/>
          <w:szCs w:val="21"/>
          <w:highlight w:val="none"/>
        </w:rPr>
        <w:t>质量或者不能诚信履约的，磋商委员会应当要求其在磋商现场（或电子交易系统）合理的时间内提供书面说明（或电子澄清说明文件），必要时提交相关证明材料；供应商不能证明其报价合理性的，磋商委员会应当将其作为无效投标处理。</w:t>
      </w:r>
    </w:p>
    <w:p w14:paraId="1B9DFB62">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注：磋商价格为含税价，供应商应充分了解该项目的总体情况以及影响磋商报价的其它要素，考虑供货期间的价格风险因素，成交价在合同实施期内不得调整，同时也不因市场价格变动而调整。</w:t>
      </w:r>
    </w:p>
    <w:p w14:paraId="4BD82E94">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bookmarkStart w:id="296" w:name="_Toc31126"/>
      <w:r>
        <w:rPr>
          <w:rFonts w:hint="eastAsia" w:ascii="宋体" w:hAnsi="宋体" w:eastAsia="宋体" w:cs="宋体"/>
          <w:b/>
          <w:color w:val="auto"/>
          <w:szCs w:val="21"/>
          <w:highlight w:val="none"/>
        </w:rPr>
        <w:t>3.3 磋商有效期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35052704">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 在供应商须知前附表规定的磋商有效期内，供应商不得要求撤销或修改其响应文件。</w:t>
      </w:r>
    </w:p>
    <w:p w14:paraId="208AEDD7">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 出现特殊情况需要延长磋商有效期的，采购人以书面形式通知所有供应商延长磋商有效期。供应商同意延长的，但不得要求或被允许修改或撤销其响应文件；供应商拒绝延长的，其响应文件失效。</w:t>
      </w:r>
    </w:p>
    <w:p w14:paraId="4920F6D7">
      <w:pPr>
        <w:pageBreakBefore w:val="0"/>
        <w:kinsoku/>
        <w:wordWrap w:val="0"/>
        <w:overflowPunct/>
        <w:bidi w:val="0"/>
        <w:spacing w:line="360" w:lineRule="auto"/>
        <w:ind w:firstLine="422" w:firstLineChars="200"/>
        <w:rPr>
          <w:rFonts w:hint="eastAsia" w:ascii="宋体" w:hAnsi="宋体" w:eastAsia="宋体" w:cs="宋体"/>
          <w:color w:val="auto"/>
          <w:szCs w:val="21"/>
          <w:highlight w:val="none"/>
        </w:rPr>
      </w:pPr>
      <w:bookmarkStart w:id="297" w:name="_Toc455080127"/>
      <w:bookmarkStart w:id="298" w:name="_Toc144974518"/>
      <w:bookmarkStart w:id="299" w:name="_Toc455867787"/>
      <w:bookmarkStart w:id="300" w:name="_Toc7618"/>
      <w:bookmarkStart w:id="301" w:name="_Toc22634"/>
      <w:bookmarkStart w:id="302" w:name="_Toc2505"/>
      <w:bookmarkStart w:id="303" w:name="_Toc7973"/>
      <w:bookmarkStart w:id="304" w:name="_Toc7057"/>
      <w:bookmarkStart w:id="305" w:name="_Toc318450694"/>
      <w:bookmarkStart w:id="306" w:name="_Toc490667847"/>
      <w:bookmarkStart w:id="307" w:name="_Toc152045550"/>
      <w:bookmarkStart w:id="308" w:name="_Toc30697"/>
      <w:bookmarkStart w:id="309" w:name="_Toc4165"/>
      <w:bookmarkStart w:id="310" w:name="_Toc8406"/>
      <w:bookmarkStart w:id="311" w:name="_Toc152042326"/>
      <w:bookmarkStart w:id="312" w:name="_Toc10370"/>
      <w:bookmarkStart w:id="313" w:name="_Toc466298110"/>
      <w:bookmarkStart w:id="314" w:name="_Toc1907"/>
      <w:bookmarkStart w:id="315" w:name="_Toc13921"/>
      <w:r>
        <w:rPr>
          <w:rFonts w:hint="eastAsia" w:ascii="宋体" w:hAnsi="宋体" w:eastAsia="宋体" w:cs="宋体"/>
          <w:b/>
          <w:color w:val="auto"/>
          <w:szCs w:val="21"/>
          <w:highlight w:val="none"/>
        </w:rPr>
        <w:t>3.4 磋商保证金</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Start w:id="316" w:name="_Toc318450695"/>
      <w:bookmarkStart w:id="317" w:name="_Toc152042328"/>
      <w:bookmarkStart w:id="318" w:name="_Toc144974520"/>
      <w:bookmarkStart w:id="319" w:name="_Toc152045552"/>
    </w:p>
    <w:p w14:paraId="6F6BC362">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bookmarkEnd w:id="314"/>
      <w:bookmarkEnd w:id="315"/>
    </w:p>
    <w:p w14:paraId="69C48756">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lang w:eastAsia="zh-CN"/>
        </w:rPr>
      </w:pPr>
      <w:bookmarkStart w:id="320" w:name="_Toc455080128"/>
      <w:bookmarkStart w:id="321" w:name="_Toc20328"/>
      <w:bookmarkStart w:id="322" w:name="_Toc490667848"/>
      <w:bookmarkStart w:id="323" w:name="_Toc13680"/>
      <w:bookmarkStart w:id="324" w:name="_Toc455867788"/>
      <w:bookmarkStart w:id="325" w:name="_Toc22384"/>
      <w:bookmarkStart w:id="326" w:name="_Toc27579"/>
      <w:bookmarkStart w:id="327" w:name="_Toc17153"/>
      <w:bookmarkStart w:id="328" w:name="_Toc22527"/>
      <w:bookmarkStart w:id="329" w:name="_Toc16747"/>
      <w:bookmarkStart w:id="330" w:name="_Toc11077"/>
      <w:bookmarkStart w:id="331" w:name="_Toc466298111"/>
      <w:bookmarkStart w:id="332" w:name="_Toc27678"/>
      <w:bookmarkStart w:id="333" w:name="_Toc15547"/>
      <w:r>
        <w:rPr>
          <w:rFonts w:hint="eastAsia" w:ascii="宋体" w:hAnsi="宋体" w:eastAsia="宋体" w:cs="宋体"/>
          <w:b/>
          <w:color w:val="auto"/>
          <w:szCs w:val="21"/>
          <w:highlight w:val="none"/>
        </w:rPr>
        <w:t xml:space="preserve">3.5 </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Pr>
          <w:rFonts w:hint="eastAsia" w:ascii="宋体" w:hAnsi="宋体" w:cs="宋体"/>
          <w:b/>
          <w:color w:val="auto"/>
          <w:szCs w:val="21"/>
          <w:highlight w:val="none"/>
          <w:lang w:eastAsia="zh-CN"/>
        </w:rPr>
        <w:t>资格证明材料</w:t>
      </w:r>
    </w:p>
    <w:p w14:paraId="7A26611B">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bookmarkStart w:id="334" w:name="_Toc15687"/>
      <w:bookmarkStart w:id="335" w:name="_Toc4586"/>
      <w:bookmarkStart w:id="336" w:name="_Toc26258"/>
      <w:bookmarkStart w:id="337" w:name="_Toc455080129"/>
      <w:bookmarkStart w:id="338" w:name="_Toc30442"/>
      <w:bookmarkStart w:id="339" w:name="_Toc19724"/>
      <w:bookmarkStart w:id="340" w:name="_Toc152042329"/>
      <w:bookmarkStart w:id="341" w:name="_Toc144974521"/>
      <w:bookmarkStart w:id="342" w:name="_Toc152045553"/>
      <w:bookmarkStart w:id="343" w:name="_Toc9015"/>
      <w:bookmarkStart w:id="344" w:name="_Toc466298112"/>
      <w:bookmarkStart w:id="345" w:name="_Toc318450696"/>
      <w:bookmarkStart w:id="346" w:name="_Toc3286"/>
      <w:bookmarkStart w:id="347" w:name="_Toc455867789"/>
      <w:bookmarkStart w:id="348" w:name="_Toc11694"/>
      <w:bookmarkStart w:id="349" w:name="_Toc18915"/>
      <w:bookmarkStart w:id="350" w:name="_Toc490667849"/>
      <w:bookmarkStart w:id="351" w:name="_Toc5132"/>
      <w:bookmarkStart w:id="352" w:name="_Toc1228"/>
      <w:r>
        <w:rPr>
          <w:rFonts w:hint="eastAsia" w:ascii="宋体" w:hAnsi="宋体" w:eastAsia="宋体" w:cs="宋体"/>
          <w:color w:val="auto"/>
          <w:szCs w:val="21"/>
          <w:highlight w:val="none"/>
        </w:rPr>
        <w:t>按照第二章供应商须知表“供应商须知前附表”1.5.1要求，提供其他相关材料。</w:t>
      </w:r>
      <w:bookmarkEnd w:id="334"/>
      <w:bookmarkEnd w:id="335"/>
    </w:p>
    <w:p w14:paraId="445277AA">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bookmarkStart w:id="353" w:name="_Toc24859"/>
      <w:bookmarkStart w:id="354" w:name="_Toc3708"/>
      <w:r>
        <w:rPr>
          <w:rFonts w:hint="eastAsia" w:ascii="宋体" w:hAnsi="宋体" w:eastAsia="宋体" w:cs="宋体"/>
          <w:b/>
          <w:color w:val="auto"/>
          <w:szCs w:val="21"/>
          <w:highlight w:val="none"/>
        </w:rPr>
        <w:t>3.6 备选方案</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14BC744B">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除供应商须知前附表另有规定外，供应商不得递交备选磋商方案。</w:t>
      </w:r>
    </w:p>
    <w:p w14:paraId="5C70492B">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bookmarkStart w:id="355" w:name="_Toc28656"/>
      <w:bookmarkStart w:id="356" w:name="_Toc6323"/>
      <w:bookmarkStart w:id="357" w:name="_Toc152042330"/>
      <w:bookmarkStart w:id="358" w:name="_Toc12541"/>
      <w:bookmarkStart w:id="359" w:name="_Toc455867790"/>
      <w:bookmarkStart w:id="360" w:name="_Toc455080130"/>
      <w:bookmarkStart w:id="361" w:name="_Toc17697"/>
      <w:bookmarkStart w:id="362" w:name="_Toc152045554"/>
      <w:bookmarkStart w:id="363" w:name="_Toc25620"/>
      <w:bookmarkStart w:id="364" w:name="_Toc318450697"/>
      <w:bookmarkStart w:id="365" w:name="_Toc144974522"/>
      <w:bookmarkStart w:id="366" w:name="_Toc5516"/>
      <w:bookmarkStart w:id="367" w:name="_Toc18912"/>
      <w:bookmarkStart w:id="368" w:name="_Toc490667850"/>
      <w:bookmarkStart w:id="369" w:name="_Toc17982"/>
      <w:bookmarkStart w:id="370" w:name="_Toc7966"/>
      <w:bookmarkStart w:id="371" w:name="_Toc12275"/>
      <w:bookmarkStart w:id="372" w:name="_Toc7626"/>
      <w:bookmarkStart w:id="373" w:name="_Toc466298113"/>
      <w:r>
        <w:rPr>
          <w:rFonts w:hint="eastAsia" w:ascii="宋体" w:hAnsi="宋体" w:eastAsia="宋体" w:cs="宋体"/>
          <w:b/>
          <w:color w:val="auto"/>
          <w:szCs w:val="21"/>
          <w:highlight w:val="none"/>
        </w:rPr>
        <w:t>3.7 响应文件的编制</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Start w:id="374" w:name="_Toc144974523"/>
      <w:bookmarkStart w:id="375" w:name="_Toc152042331"/>
      <w:bookmarkStart w:id="376" w:name="_Toc455080131"/>
      <w:bookmarkStart w:id="377" w:name="_Toc152045555"/>
    </w:p>
    <w:p w14:paraId="53CFAD59">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 响应文件应按第六章“竞争性磋商响应文件格式”进行编写，如有必要，可以增加附页，作为响应文件的组成部分。其中，响应函附录在满足竞争性磋商文件实质性要求的基础上，可以提出比竞争性磋商文件要求更有利于采购人的承诺。</w:t>
      </w:r>
    </w:p>
    <w:p w14:paraId="3D3A9170">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 响应文件应当对竞争性磋商文件有关采购内容、合同履行期限、质量要求作出响应。</w:t>
      </w:r>
    </w:p>
    <w:p w14:paraId="323512D8">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 响应文件应使用</w:t>
      </w:r>
      <w:r>
        <w:rPr>
          <w:rFonts w:hint="eastAsia" w:ascii="宋体" w:hAnsi="宋体" w:eastAsia="宋体" w:cs="宋体"/>
          <w:color w:val="auto"/>
          <w:szCs w:val="21"/>
          <w:highlight w:val="none"/>
          <w:lang w:eastAsia="zh-CN"/>
        </w:rPr>
        <w:t>固始县</w:t>
      </w:r>
      <w:r>
        <w:rPr>
          <w:rFonts w:hint="eastAsia" w:ascii="宋体" w:hAnsi="宋体" w:eastAsia="宋体" w:cs="宋体"/>
          <w:color w:val="auto"/>
          <w:szCs w:val="21"/>
          <w:highlight w:val="none"/>
        </w:rPr>
        <w:t>公共资源交易系统响应文件制作专用工具软件编制，竞争性磋商响应文件格式为“*</w:t>
      </w:r>
      <w:r>
        <w:rPr>
          <w:rFonts w:hint="eastAsia" w:ascii="宋体" w:hAnsi="宋体" w:eastAsia="宋体" w:cs="宋体"/>
          <w:color w:val="auto"/>
          <w:szCs w:val="21"/>
          <w:highlight w:val="none"/>
          <w:lang w:eastAsia="zh-CN"/>
        </w:rPr>
        <w:t>*.gstf</w:t>
      </w:r>
      <w:r>
        <w:rPr>
          <w:rFonts w:hint="eastAsia" w:ascii="宋体" w:hAnsi="宋体" w:eastAsia="宋体" w:cs="宋体"/>
          <w:color w:val="auto"/>
          <w:szCs w:val="21"/>
          <w:highlight w:val="none"/>
        </w:rPr>
        <w:t>”。电子响应文件签字或盖章的具体要求见供应商须知前附表。供应商须在响应文件递交截止时间前制作并提交。</w:t>
      </w:r>
    </w:p>
    <w:p w14:paraId="047FBE50">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3.7.4 响应文件份数见供应商须知前附表。</w:t>
      </w:r>
    </w:p>
    <w:p w14:paraId="2785EAA1">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bookmarkStart w:id="378" w:name="_Toc10732"/>
      <w:bookmarkStart w:id="379" w:name="_Toc28805"/>
      <w:bookmarkStart w:id="380" w:name="_Toc19433"/>
      <w:r>
        <w:rPr>
          <w:rFonts w:hint="eastAsia" w:ascii="宋体" w:hAnsi="宋体" w:eastAsia="宋体" w:cs="宋体"/>
          <w:b/>
          <w:color w:val="auto"/>
          <w:szCs w:val="21"/>
          <w:highlight w:val="none"/>
        </w:rPr>
        <w:t xml:space="preserve">4. </w:t>
      </w:r>
      <w:bookmarkEnd w:id="374"/>
      <w:bookmarkEnd w:id="375"/>
      <w:bookmarkEnd w:id="376"/>
      <w:bookmarkEnd w:id="377"/>
      <w:r>
        <w:rPr>
          <w:rFonts w:hint="eastAsia" w:ascii="宋体" w:hAnsi="宋体" w:eastAsia="宋体" w:cs="宋体"/>
          <w:b/>
          <w:color w:val="auto"/>
          <w:szCs w:val="21"/>
          <w:highlight w:val="none"/>
        </w:rPr>
        <w:t>磋商</w:t>
      </w:r>
      <w:bookmarkEnd w:id="378"/>
      <w:bookmarkEnd w:id="379"/>
      <w:bookmarkEnd w:id="380"/>
      <w:bookmarkStart w:id="381" w:name="_Toc455080132"/>
      <w:bookmarkStart w:id="382" w:name="_Toc490667852"/>
      <w:bookmarkStart w:id="383" w:name="_Toc22961"/>
      <w:bookmarkStart w:id="384" w:name="_Toc152042332"/>
      <w:bookmarkStart w:id="385" w:name="_Toc26550"/>
      <w:bookmarkStart w:id="386" w:name="_Toc11243"/>
      <w:bookmarkStart w:id="387" w:name="_Toc144974524"/>
      <w:bookmarkStart w:id="388" w:name="_Toc152045556"/>
      <w:bookmarkStart w:id="389" w:name="_Toc455867792"/>
      <w:bookmarkStart w:id="390" w:name="_Toc26583"/>
      <w:bookmarkStart w:id="391" w:name="_Toc16344"/>
      <w:bookmarkStart w:id="392" w:name="_Toc16962"/>
      <w:bookmarkStart w:id="393" w:name="_Toc16783"/>
      <w:bookmarkStart w:id="394" w:name="_Toc466298115"/>
      <w:bookmarkStart w:id="395" w:name="_Toc18820"/>
      <w:bookmarkStart w:id="396" w:name="_Toc318450699"/>
      <w:bookmarkStart w:id="397" w:name="_Toc31492"/>
      <w:bookmarkStart w:id="398" w:name="_Toc21145"/>
      <w:bookmarkStart w:id="399" w:name="_Toc19950"/>
    </w:p>
    <w:p w14:paraId="2CD185FB">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 响应文件的</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hint="eastAsia" w:ascii="宋体" w:hAnsi="宋体" w:eastAsia="宋体" w:cs="宋体"/>
          <w:b/>
          <w:color w:val="auto"/>
          <w:szCs w:val="21"/>
          <w:highlight w:val="none"/>
        </w:rPr>
        <w:t>上传</w:t>
      </w:r>
      <w:bookmarkEnd w:id="398"/>
      <w:bookmarkEnd w:id="399"/>
    </w:p>
    <w:p w14:paraId="6930F0DB">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 网上上传的电子响应文件应使用供应商数字证书认证并加密。</w:t>
      </w:r>
    </w:p>
    <w:p w14:paraId="2E644349">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bookmarkStart w:id="400" w:name="_Toc466298116"/>
      <w:bookmarkStart w:id="401" w:name="_Toc455080133"/>
      <w:bookmarkStart w:id="402" w:name="_Toc28272"/>
      <w:bookmarkStart w:id="403" w:name="_Toc152042333"/>
      <w:bookmarkStart w:id="404" w:name="_Toc7663"/>
      <w:bookmarkStart w:id="405" w:name="_Toc462"/>
      <w:bookmarkStart w:id="406" w:name="_Toc4767"/>
      <w:bookmarkStart w:id="407" w:name="_Toc8754"/>
      <w:bookmarkStart w:id="408" w:name="_Toc20259"/>
      <w:bookmarkStart w:id="409" w:name="_Toc490667853"/>
      <w:bookmarkStart w:id="410" w:name="_Toc16832"/>
      <w:bookmarkStart w:id="411" w:name="_Toc152045557"/>
      <w:bookmarkStart w:id="412" w:name="_Toc21072"/>
      <w:bookmarkStart w:id="413" w:name="_Toc5518"/>
      <w:bookmarkStart w:id="414" w:name="_Toc455867793"/>
      <w:bookmarkStart w:id="415" w:name="_Toc318450700"/>
      <w:bookmarkStart w:id="416" w:name="_Toc27132"/>
      <w:bookmarkStart w:id="417" w:name="_Toc144974525"/>
      <w:bookmarkStart w:id="418" w:name="_Toc21897"/>
      <w:r>
        <w:rPr>
          <w:rFonts w:hint="eastAsia" w:ascii="宋体" w:hAnsi="宋体" w:eastAsia="宋体" w:cs="宋体"/>
          <w:b/>
          <w:color w:val="auto"/>
          <w:szCs w:val="21"/>
          <w:highlight w:val="none"/>
        </w:rPr>
        <w:t>4.2 响应文件的递交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283A5117">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bookmarkStart w:id="419" w:name="_Toc152042334"/>
      <w:bookmarkStart w:id="420" w:name="_Toc26684"/>
      <w:bookmarkStart w:id="421" w:name="_Toc11817"/>
      <w:bookmarkStart w:id="422" w:name="_Toc19951"/>
      <w:bookmarkStart w:id="423" w:name="_Toc144974526"/>
      <w:bookmarkStart w:id="424" w:name="_Toc20281"/>
      <w:bookmarkStart w:id="425" w:name="_Toc17161"/>
      <w:bookmarkStart w:id="426" w:name="_Toc466298117"/>
      <w:bookmarkStart w:id="427" w:name="_Toc5102"/>
      <w:bookmarkStart w:id="428" w:name="_Toc152045558"/>
      <w:bookmarkStart w:id="429" w:name="_Toc318450701"/>
      <w:bookmarkStart w:id="430" w:name="_Toc455080134"/>
      <w:bookmarkStart w:id="431" w:name="_Toc30860"/>
      <w:bookmarkStart w:id="432" w:name="_Toc455867794"/>
      <w:bookmarkStart w:id="433" w:name="_Toc21890"/>
      <w:bookmarkStart w:id="434" w:name="_Toc2952"/>
      <w:bookmarkStart w:id="435" w:name="_Toc490667854"/>
      <w:r>
        <w:rPr>
          <w:rFonts w:hint="eastAsia" w:ascii="宋体" w:hAnsi="宋体" w:eastAsia="宋体" w:cs="宋体"/>
          <w:color w:val="auto"/>
          <w:szCs w:val="21"/>
          <w:highlight w:val="none"/>
        </w:rPr>
        <w:t>4.2.1 电子响应文件的递交</w:t>
      </w:r>
    </w:p>
    <w:p w14:paraId="0BD62843">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各供应商应在响应文件提交截止时间前上传加密的电子响应文件（*</w:t>
      </w:r>
      <w:r>
        <w:rPr>
          <w:rFonts w:hint="eastAsia" w:ascii="宋体" w:hAnsi="宋体" w:eastAsia="宋体" w:cs="宋体"/>
          <w:color w:val="auto"/>
          <w:szCs w:val="21"/>
          <w:highlight w:val="none"/>
          <w:lang w:eastAsia="zh-CN"/>
        </w:rPr>
        <w:t>*.gstf</w:t>
      </w:r>
      <w:r>
        <w:rPr>
          <w:rFonts w:hint="eastAsia" w:ascii="宋体" w:hAnsi="宋体" w:eastAsia="宋体" w:cs="宋体"/>
          <w:color w:val="auto"/>
          <w:szCs w:val="21"/>
          <w:highlight w:val="none"/>
        </w:rPr>
        <w:t>）到会员系统的指定位置。上传的电子响应文件应使用供应商CA数字证书认证并加密。上传时必须得到交易系统“上传成功”的确认回复后方为上传成功。请供应商在上传前务必认真检查上传响应文件是否完整、正确。</w:t>
      </w:r>
      <w:bookmarkStart w:id="436" w:name="_Toc1790"/>
      <w:bookmarkStart w:id="437" w:name="_Toc30434"/>
    </w:p>
    <w:p w14:paraId="299E2374">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4.2.2 </w:t>
      </w:r>
      <w:r>
        <w:rPr>
          <w:rFonts w:hint="eastAsia" w:ascii="宋体" w:hAnsi="宋体" w:eastAsia="宋体" w:cs="宋体"/>
          <w:b/>
          <w:bCs/>
          <w:color w:val="auto"/>
          <w:szCs w:val="21"/>
          <w:highlight w:val="none"/>
        </w:rPr>
        <w:t xml:space="preserve">投标人因固始县电子招投标交易平台问题无法上传电子投标文件时，请在工作时间与交易中心联系新点软件技术人员联系电话：15738255537，交易中心信息科：4096606。 </w:t>
      </w:r>
    </w:p>
    <w:p w14:paraId="02421F62">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4.3 响应文件的修改与撤回</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60F2B599">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bookmarkStart w:id="438" w:name="_Toc152045559"/>
      <w:bookmarkStart w:id="439" w:name="_Toc152042335"/>
      <w:bookmarkStart w:id="440" w:name="_Toc144974527"/>
      <w:bookmarkStart w:id="441" w:name="_Toc455080135"/>
      <w:r>
        <w:rPr>
          <w:rFonts w:hint="eastAsia" w:ascii="宋体" w:hAnsi="宋体" w:eastAsia="宋体" w:cs="宋体"/>
          <w:color w:val="auto"/>
          <w:szCs w:val="21"/>
          <w:highlight w:val="none"/>
        </w:rPr>
        <w:t>4.3.1 在第一章“竞争性磋商公告”规定的响应文件提交截止时间前，供应商可以多次修改或撤回已递交的响应文件，最终响应文件以响应文件提交截止时间前完成上传至</w:t>
      </w:r>
      <w:r>
        <w:rPr>
          <w:rFonts w:hint="eastAsia" w:ascii="宋体" w:hAnsi="宋体" w:cs="宋体"/>
          <w:color w:val="auto"/>
          <w:szCs w:val="21"/>
          <w:highlight w:val="none"/>
          <w:lang w:eastAsia="zh-CN"/>
        </w:rPr>
        <w:t>固始县公共资源交易网</w:t>
      </w:r>
      <w:r>
        <w:rPr>
          <w:rFonts w:hint="eastAsia" w:ascii="宋体" w:hAnsi="宋体" w:eastAsia="宋体" w:cs="宋体"/>
          <w:color w:val="auto"/>
          <w:szCs w:val="21"/>
          <w:highlight w:val="none"/>
        </w:rPr>
        <w:t>交易系统最后一份响应文件为准。</w:t>
      </w:r>
    </w:p>
    <w:p w14:paraId="37C62750">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4.3.2 修改的响应文件应按照本章第3.7条、第4.2条规定进行编制和递交。</w:t>
      </w:r>
    </w:p>
    <w:bookmarkEnd w:id="438"/>
    <w:bookmarkEnd w:id="439"/>
    <w:bookmarkEnd w:id="440"/>
    <w:p w14:paraId="3830BD64">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bookmarkStart w:id="442" w:name="_Toc31291"/>
      <w:bookmarkStart w:id="443" w:name="_Toc14969"/>
      <w:bookmarkStart w:id="444" w:name="_Toc5719"/>
      <w:r>
        <w:rPr>
          <w:rFonts w:hint="eastAsia" w:ascii="宋体" w:hAnsi="宋体" w:eastAsia="宋体" w:cs="宋体"/>
          <w:b/>
          <w:color w:val="auto"/>
          <w:szCs w:val="21"/>
          <w:highlight w:val="none"/>
        </w:rPr>
        <w:t>5. 磋商开始</w:t>
      </w:r>
      <w:bookmarkEnd w:id="441"/>
      <w:bookmarkEnd w:id="442"/>
      <w:bookmarkEnd w:id="443"/>
      <w:bookmarkEnd w:id="444"/>
      <w:bookmarkStart w:id="445" w:name="_Toc6763"/>
      <w:bookmarkStart w:id="446" w:name="_Toc318450703"/>
      <w:bookmarkStart w:id="447" w:name="_Toc490667856"/>
      <w:bookmarkStart w:id="448" w:name="_Toc25533"/>
      <w:bookmarkStart w:id="449" w:name="_Toc26426"/>
      <w:bookmarkStart w:id="450" w:name="_Toc152045560"/>
      <w:bookmarkStart w:id="451" w:name="_Toc25809"/>
      <w:bookmarkStart w:id="452" w:name="_Toc9969"/>
      <w:bookmarkStart w:id="453" w:name="_Toc20660"/>
      <w:bookmarkStart w:id="454" w:name="_Toc20333"/>
      <w:bookmarkStart w:id="455" w:name="_Toc144974528"/>
      <w:bookmarkStart w:id="456" w:name="_Toc152042336"/>
      <w:bookmarkStart w:id="457" w:name="_Toc455080136"/>
      <w:bookmarkStart w:id="458" w:name="_Toc455867796"/>
      <w:bookmarkStart w:id="459" w:name="_Toc14"/>
      <w:bookmarkStart w:id="460" w:name="_Toc16040"/>
      <w:bookmarkStart w:id="461" w:name="_Toc466298119"/>
    </w:p>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14:paraId="242C984D">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bookmarkStart w:id="462" w:name="_Toc19037"/>
      <w:bookmarkStart w:id="463" w:name="_Toc17491"/>
      <w:bookmarkStart w:id="464" w:name="_Toc144974529"/>
      <w:bookmarkStart w:id="465" w:name="_Toc747"/>
      <w:bookmarkStart w:id="466" w:name="_Toc490667857"/>
      <w:bookmarkStart w:id="467" w:name="_Toc152042337"/>
      <w:bookmarkStart w:id="468" w:name="_Toc455080137"/>
      <w:bookmarkStart w:id="469" w:name="_Toc30792"/>
      <w:bookmarkStart w:id="470" w:name="_Toc318450704"/>
      <w:bookmarkStart w:id="471" w:name="_Toc30074"/>
      <w:bookmarkStart w:id="472" w:name="_Toc3865"/>
      <w:bookmarkStart w:id="473" w:name="_Toc30965"/>
      <w:bookmarkStart w:id="474" w:name="_Toc18582"/>
      <w:bookmarkStart w:id="475" w:name="_Toc25911"/>
      <w:bookmarkStart w:id="476" w:name="_Toc152045561"/>
      <w:bookmarkStart w:id="477" w:name="_Toc9328"/>
      <w:bookmarkStart w:id="478" w:name="_Toc11148"/>
      <w:bookmarkStart w:id="479" w:name="_Toc466298120"/>
      <w:bookmarkStart w:id="480" w:name="_Toc455867797"/>
      <w:r>
        <w:rPr>
          <w:rFonts w:hint="eastAsia" w:ascii="宋体" w:hAnsi="宋体" w:eastAsia="宋体" w:cs="宋体"/>
          <w:b/>
          <w:color w:val="auto"/>
          <w:szCs w:val="21"/>
          <w:highlight w:val="none"/>
        </w:rPr>
        <w:t>5.1 磋商时间和地点</w:t>
      </w:r>
      <w:bookmarkEnd w:id="462"/>
    </w:p>
    <w:p w14:paraId="6839FDCE">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 采购人在本章规定的投标截止时间（开标时间）和供应商须知前附表规定的地点开标。</w:t>
      </w:r>
    </w:p>
    <w:p w14:paraId="7CAF82F2">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5.1.2 本项目采用“不见面开标”交易方式，不见面开标大厅网址为</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color w:val="auto"/>
          <w:szCs w:val="21"/>
          <w:highlight w:val="none"/>
        </w:rPr>
        <w:fldChar w:fldCharType="separate"/>
      </w:r>
      <w:r>
        <w:rPr>
          <w:rFonts w:hint="eastAsia" w:ascii="宋体" w:hAnsi="宋体" w:cs="宋体"/>
          <w:color w:val="auto"/>
          <w:szCs w:val="21"/>
          <w:highlight w:val="none"/>
          <w:lang w:eastAsia="zh-CN"/>
        </w:rPr>
        <w:t>https://ggzyjy.xinyang.gov.cn/BidOpening/bidhall/xinyang/login.html</w:t>
      </w:r>
      <w:r>
        <w:rPr>
          <w:rFonts w:hint="eastAsia" w:ascii="宋体" w:hAnsi="宋体" w:eastAsia="宋体" w:cs="宋体"/>
          <w:color w:val="auto"/>
          <w:szCs w:val="21"/>
          <w:highlight w:val="none"/>
        </w:rPr>
        <w:t>，供应商无需寄送和递交非加密的电子响应文件，无需到现场参加开标会议，无需到达现场提交原件资料。</w:t>
      </w:r>
      <w:r>
        <w:rPr>
          <w:rFonts w:hint="eastAsia" w:ascii="宋体" w:hAnsi="宋体" w:eastAsia="宋体" w:cs="宋体"/>
          <w:color w:val="auto"/>
          <w:szCs w:val="21"/>
          <w:highlight w:val="none"/>
        </w:rPr>
        <w:fldChar w:fldCharType="end"/>
      </w:r>
    </w:p>
    <w:p w14:paraId="52CEB958">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供应商应当在响应文件提交截止时间前，使用供应商CA数字证书登录不见面开标大厅，在线签到并准时参加开标活动，并在规定时间内完成响应文件解密、答疑澄清等。</w:t>
      </w:r>
    </w:p>
    <w:p w14:paraId="55C9D75A">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06E64139">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不见面开标服务的具体事宜，请查阅</w:t>
      </w:r>
      <w:r>
        <w:rPr>
          <w:rFonts w:hint="eastAsia" w:ascii="宋体" w:hAnsi="宋体" w:eastAsia="宋体" w:cs="宋体"/>
          <w:color w:val="auto"/>
          <w:szCs w:val="21"/>
          <w:highlight w:val="none"/>
          <w:lang w:eastAsia="zh-CN"/>
        </w:rPr>
        <w:t>固始县</w:t>
      </w:r>
      <w:r>
        <w:rPr>
          <w:rFonts w:hint="eastAsia" w:ascii="宋体" w:hAnsi="宋体" w:eastAsia="宋体" w:cs="宋体"/>
          <w:color w:val="auto"/>
          <w:szCs w:val="21"/>
          <w:highlight w:val="none"/>
        </w:rPr>
        <w:t>公共资源交易中心网站首页—下载中心—</w:t>
      </w:r>
      <w:r>
        <w:rPr>
          <w:rFonts w:hint="eastAsia" w:ascii="宋体" w:hAnsi="宋体" w:eastAsia="宋体" w:cs="宋体"/>
          <w:color w:val="auto"/>
          <w:szCs w:val="21"/>
          <w:highlight w:val="none"/>
          <w:lang w:eastAsia="zh-CN"/>
        </w:rPr>
        <w:t>固始县</w:t>
      </w:r>
      <w:r>
        <w:rPr>
          <w:rFonts w:hint="eastAsia" w:ascii="宋体" w:hAnsi="宋体" w:eastAsia="宋体" w:cs="宋体"/>
          <w:color w:val="auto"/>
          <w:szCs w:val="21"/>
          <w:highlight w:val="none"/>
        </w:rPr>
        <w:t>不见面开标大厅系统操作手册。</w:t>
      </w:r>
    </w:p>
    <w:p w14:paraId="5245B264">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开标过程中，供应商如有异议，须在开标结束前通过系统提出，否则视同认可开标记录。开标结束后，对开标记录的任何异议不再接受。</w:t>
      </w:r>
    </w:p>
    <w:p w14:paraId="6A674DC8">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bookmarkStart w:id="481" w:name="_Toc6880"/>
      <w:r>
        <w:rPr>
          <w:rFonts w:hint="eastAsia" w:ascii="宋体" w:hAnsi="宋体" w:eastAsia="宋体" w:cs="宋体"/>
          <w:b/>
          <w:color w:val="auto"/>
          <w:szCs w:val="21"/>
          <w:highlight w:val="none"/>
        </w:rPr>
        <w:t>5.2 磋商程序</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Start w:id="482" w:name="_Toc14413"/>
      <w:bookmarkStart w:id="483" w:name="_Toc30403"/>
    </w:p>
    <w:p w14:paraId="4C5C83B8">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5.2.1 磋商小组对竞争性磋商文件进行熟悉确认。</w:t>
      </w:r>
      <w:bookmarkEnd w:id="482"/>
      <w:bookmarkEnd w:id="483"/>
    </w:p>
    <w:p w14:paraId="039C48EA">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bookmarkStart w:id="484" w:name="_Toc144974530"/>
      <w:bookmarkStart w:id="485" w:name="_Toc152045562"/>
      <w:bookmarkStart w:id="486" w:name="_Toc152042338"/>
      <w:r>
        <w:rPr>
          <w:rFonts w:hint="eastAsia" w:ascii="宋体" w:hAnsi="宋体" w:eastAsia="宋体" w:cs="宋体"/>
          <w:color w:val="auto"/>
          <w:szCs w:val="21"/>
          <w:highlight w:val="none"/>
        </w:rPr>
        <w:t>5.2.2 磋商小组推选组长，讨论、通过磋商工作流程和磋商要点。</w:t>
      </w:r>
    </w:p>
    <w:p w14:paraId="7327B186">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5.2.3 资格评审审查：采购人依据竞争性磋商文件规定，对供应商进行审查，以确定磋商供应商是否具备参与磋商的资格。</w:t>
      </w:r>
    </w:p>
    <w:p w14:paraId="01BD5D22">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5.2.4 符合性评审审查：磋商开始后，磋商小组依据竞争性磋商文件规定，对通过资格评审的供应商进行审查，以确定磋商供应商是否具备参与磋商的资格。</w:t>
      </w:r>
    </w:p>
    <w:p w14:paraId="547EEEE4">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5.2.5 磋商小组对通过资格性和符合性审查的响应文件进行评估，确定与各竞标人磋商的具体内容。</w:t>
      </w:r>
    </w:p>
    <w:p w14:paraId="625702DF">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5.2.6 磋商过程中，磋商小组可以根据磋商情况实质性变动招标需求中的技术、</w:t>
      </w:r>
      <w:r>
        <w:rPr>
          <w:rFonts w:hint="eastAsia" w:ascii="宋体" w:hAnsi="宋体" w:eastAsia="宋体" w:cs="宋体"/>
          <w:color w:val="auto"/>
          <w:szCs w:val="21"/>
          <w:highlight w:val="none"/>
          <w:lang w:eastAsia="zh-CN"/>
        </w:rPr>
        <w:t>质量要求</w:t>
      </w:r>
      <w:r>
        <w:rPr>
          <w:rFonts w:hint="eastAsia" w:ascii="宋体" w:hAnsi="宋体" w:eastAsia="宋体" w:cs="宋体"/>
          <w:color w:val="auto"/>
          <w:szCs w:val="21"/>
          <w:highlight w:val="none"/>
        </w:rPr>
        <w:t>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w:t>
      </w:r>
      <w:r>
        <w:rPr>
          <w:rFonts w:hint="eastAsia" w:ascii="宋体" w:hAnsi="宋体" w:eastAsia="宋体" w:cs="宋体"/>
          <w:color w:val="auto"/>
          <w:szCs w:val="21"/>
          <w:highlight w:val="none"/>
          <w:lang w:eastAsia="zh-CN"/>
        </w:rPr>
        <w:t>质量要求</w:t>
      </w:r>
      <w:r>
        <w:rPr>
          <w:rFonts w:hint="eastAsia" w:ascii="宋体" w:hAnsi="宋体" w:eastAsia="宋体" w:cs="宋体"/>
          <w:color w:val="auto"/>
          <w:szCs w:val="21"/>
          <w:highlight w:val="none"/>
        </w:rPr>
        <w:t>以及合同草案条款，则供应商的最后报价不得高于首次报价，否则按废标处理。</w:t>
      </w:r>
    </w:p>
    <w:p w14:paraId="54E3200F">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5.2.7 磋商小组对符合招标需求的供应商进行两轮报价；供应商只有通过资格评审及符合性评审后方可进入下一轮报价，在规定的时间内同时提交报价，最终报价不得超过响应文件中报价。</w:t>
      </w:r>
    </w:p>
    <w:p w14:paraId="6DC12B52">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5.2.8 经磋商确定最终招标需求，由磋商小组采用综合评分法对通过初步评审的供应商的响应文件进行综合评分。</w:t>
      </w:r>
    </w:p>
    <w:p w14:paraId="1F7D9C86">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bookmarkStart w:id="487" w:name="_Toc455080138"/>
      <w:bookmarkStart w:id="488" w:name="_Toc16609"/>
      <w:bookmarkStart w:id="489" w:name="_Toc32276"/>
      <w:bookmarkStart w:id="490" w:name="_Toc14039"/>
      <w:r>
        <w:rPr>
          <w:rFonts w:hint="eastAsia" w:ascii="宋体" w:hAnsi="宋体" w:eastAsia="宋体" w:cs="宋体"/>
          <w:b/>
          <w:color w:val="auto"/>
          <w:szCs w:val="21"/>
          <w:highlight w:val="none"/>
        </w:rPr>
        <w:t xml:space="preserve">6. </w:t>
      </w:r>
      <w:bookmarkEnd w:id="484"/>
      <w:bookmarkEnd w:id="485"/>
      <w:bookmarkEnd w:id="486"/>
      <w:r>
        <w:rPr>
          <w:rFonts w:hint="eastAsia" w:ascii="宋体" w:hAnsi="宋体" w:eastAsia="宋体" w:cs="宋体"/>
          <w:b/>
          <w:color w:val="auto"/>
          <w:szCs w:val="21"/>
          <w:highlight w:val="none"/>
        </w:rPr>
        <w:t>磋商</w:t>
      </w:r>
      <w:bookmarkEnd w:id="487"/>
      <w:r>
        <w:rPr>
          <w:rFonts w:hint="eastAsia" w:ascii="宋体" w:hAnsi="宋体" w:eastAsia="宋体" w:cs="宋体"/>
          <w:b/>
          <w:color w:val="auto"/>
          <w:szCs w:val="21"/>
          <w:highlight w:val="none"/>
        </w:rPr>
        <w:t>小组</w:t>
      </w:r>
      <w:bookmarkEnd w:id="488"/>
      <w:bookmarkEnd w:id="489"/>
      <w:bookmarkEnd w:id="490"/>
    </w:p>
    <w:p w14:paraId="1525B103">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bookmarkStart w:id="491" w:name="_Toc144974531"/>
      <w:bookmarkStart w:id="492" w:name="_Toc152045563"/>
      <w:bookmarkStart w:id="493" w:name="_Toc318450706"/>
      <w:bookmarkStart w:id="494" w:name="_Toc26098"/>
      <w:bookmarkStart w:id="495" w:name="_Toc152042339"/>
      <w:bookmarkStart w:id="496" w:name="_Toc22250"/>
      <w:bookmarkStart w:id="497" w:name="_Toc9808"/>
      <w:bookmarkStart w:id="498" w:name="_Toc455867799"/>
      <w:bookmarkStart w:id="499" w:name="_Toc8725"/>
      <w:bookmarkStart w:id="500" w:name="_Toc1546"/>
      <w:bookmarkStart w:id="501" w:name="_Toc466298122"/>
      <w:bookmarkStart w:id="502" w:name="_Toc455080139"/>
      <w:bookmarkStart w:id="503" w:name="_Toc8157"/>
      <w:bookmarkStart w:id="504" w:name="_Toc490667859"/>
      <w:bookmarkStart w:id="505" w:name="_Toc18985"/>
      <w:bookmarkStart w:id="506" w:name="_Toc13978"/>
      <w:bookmarkStart w:id="507" w:name="_Toc1574"/>
      <w:bookmarkStart w:id="508" w:name="_Toc23138"/>
      <w:bookmarkStart w:id="509" w:name="_Toc12742"/>
      <w:r>
        <w:rPr>
          <w:rFonts w:hint="eastAsia" w:ascii="宋体" w:hAnsi="宋体" w:eastAsia="宋体" w:cs="宋体"/>
          <w:b/>
          <w:color w:val="auto"/>
          <w:szCs w:val="21"/>
          <w:highlight w:val="none"/>
        </w:rPr>
        <w:t>6.1</w:t>
      </w:r>
      <w:bookmarkEnd w:id="491"/>
      <w:bookmarkEnd w:id="492"/>
      <w:bookmarkEnd w:id="493"/>
      <w:bookmarkEnd w:id="494"/>
      <w:bookmarkEnd w:id="495"/>
      <w:bookmarkEnd w:id="496"/>
      <w:bookmarkEnd w:id="497"/>
      <w:r>
        <w:rPr>
          <w:rFonts w:hint="eastAsia" w:ascii="宋体" w:hAnsi="宋体" w:eastAsia="宋体" w:cs="宋体"/>
          <w:b/>
          <w:color w:val="auto"/>
          <w:szCs w:val="21"/>
          <w:highlight w:val="none"/>
        </w:rPr>
        <w:t xml:space="preserve"> 磋商小组</w:t>
      </w:r>
      <w:bookmarkEnd w:id="498"/>
      <w:bookmarkEnd w:id="499"/>
      <w:bookmarkEnd w:id="500"/>
      <w:bookmarkEnd w:id="501"/>
      <w:bookmarkEnd w:id="502"/>
      <w:bookmarkEnd w:id="503"/>
      <w:bookmarkEnd w:id="504"/>
      <w:bookmarkEnd w:id="505"/>
      <w:bookmarkEnd w:id="506"/>
      <w:bookmarkEnd w:id="507"/>
      <w:bookmarkEnd w:id="508"/>
      <w:bookmarkEnd w:id="509"/>
    </w:p>
    <w:p w14:paraId="0A90C00F">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磋商由采购人依法组建的磋商小组负责。磋商小组由采购人代表以及有关技术、经济等方面的专家组成。磋商小组成员人数以及技术、经济等方面专家的确定方式见供应商须知前附表。</w:t>
      </w:r>
      <w:bookmarkStart w:id="510" w:name="_Toc152045564"/>
      <w:bookmarkStart w:id="511" w:name="_Toc7286"/>
      <w:bookmarkStart w:id="512" w:name="_Toc13368"/>
      <w:bookmarkStart w:id="513" w:name="_Toc25721"/>
      <w:bookmarkStart w:id="514" w:name="_Toc466298123"/>
      <w:bookmarkStart w:id="515" w:name="_Toc318450707"/>
      <w:bookmarkStart w:id="516" w:name="_Toc455867800"/>
      <w:bookmarkStart w:id="517" w:name="_Toc8240"/>
      <w:bookmarkStart w:id="518" w:name="_Toc490667860"/>
      <w:bookmarkStart w:id="519" w:name="_Toc22143"/>
      <w:bookmarkStart w:id="520" w:name="_Toc4435"/>
      <w:bookmarkStart w:id="521" w:name="_Toc21102"/>
      <w:bookmarkStart w:id="522" w:name="_Toc10765"/>
      <w:bookmarkStart w:id="523" w:name="_Toc455080140"/>
      <w:bookmarkStart w:id="524" w:name="_Toc144974532"/>
      <w:bookmarkStart w:id="525" w:name="_Toc8248"/>
      <w:bookmarkStart w:id="526" w:name="_Toc152042340"/>
      <w:bookmarkStart w:id="527" w:name="_Toc9532"/>
      <w:bookmarkStart w:id="528" w:name="_Toc27035"/>
    </w:p>
    <w:p w14:paraId="7D127140">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6.2 磋商原则</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298A16E7">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磋商活动遵循公平、公正、科学和择优的原则。</w:t>
      </w:r>
      <w:bookmarkStart w:id="529" w:name="_Toc152042341"/>
      <w:bookmarkStart w:id="530" w:name="_Toc8705"/>
      <w:bookmarkStart w:id="531" w:name="_Toc15595"/>
      <w:bookmarkStart w:id="532" w:name="_Toc152045565"/>
      <w:bookmarkStart w:id="533" w:name="_Toc318450708"/>
      <w:bookmarkStart w:id="534" w:name="_Toc144974533"/>
      <w:bookmarkStart w:id="535" w:name="_Toc16725"/>
      <w:bookmarkStart w:id="536" w:name="_Toc7890"/>
      <w:bookmarkStart w:id="537" w:name="_Toc490667861"/>
      <w:bookmarkStart w:id="538" w:name="_Toc28734"/>
      <w:bookmarkStart w:id="539" w:name="_Toc466298124"/>
      <w:bookmarkStart w:id="540" w:name="_Toc24526"/>
      <w:bookmarkStart w:id="541" w:name="_Toc24358"/>
      <w:bookmarkStart w:id="542" w:name="_Toc20062"/>
      <w:bookmarkStart w:id="543" w:name="_Toc18756"/>
      <w:bookmarkStart w:id="544" w:name="_Toc455080141"/>
      <w:bookmarkStart w:id="545" w:name="_Toc27036"/>
      <w:bookmarkStart w:id="546" w:name="_Toc3606"/>
      <w:bookmarkStart w:id="547" w:name="_Toc455867801"/>
    </w:p>
    <w:p w14:paraId="64DF61A2">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6.3 </w:t>
      </w:r>
      <w:bookmarkEnd w:id="529"/>
      <w:bookmarkEnd w:id="530"/>
      <w:bookmarkEnd w:id="531"/>
      <w:bookmarkEnd w:id="532"/>
      <w:bookmarkEnd w:id="533"/>
      <w:bookmarkEnd w:id="534"/>
      <w:bookmarkEnd w:id="535"/>
      <w:r>
        <w:rPr>
          <w:rFonts w:hint="eastAsia" w:ascii="宋体" w:hAnsi="宋体" w:eastAsia="宋体" w:cs="宋体"/>
          <w:b/>
          <w:color w:val="auto"/>
          <w:szCs w:val="21"/>
          <w:highlight w:val="none"/>
        </w:rPr>
        <w:t>磋商</w:t>
      </w:r>
      <w:bookmarkEnd w:id="536"/>
      <w:bookmarkEnd w:id="537"/>
      <w:bookmarkEnd w:id="538"/>
      <w:bookmarkEnd w:id="539"/>
      <w:bookmarkEnd w:id="540"/>
      <w:bookmarkEnd w:id="541"/>
      <w:bookmarkEnd w:id="542"/>
      <w:bookmarkEnd w:id="543"/>
      <w:bookmarkEnd w:id="544"/>
      <w:bookmarkEnd w:id="545"/>
      <w:bookmarkEnd w:id="546"/>
      <w:bookmarkEnd w:id="547"/>
    </w:p>
    <w:p w14:paraId="68C3EB90">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磋商小组按照第三章“评审办法”规定的方法、评审因素、标准和程序对响应文件进行评审。第三章“评审办法”没有规定的方法、评审因素和标准，不作为评标依据。</w:t>
      </w:r>
      <w:bookmarkStart w:id="548" w:name="_Toc152042342"/>
      <w:bookmarkStart w:id="549" w:name="_Toc144974534"/>
      <w:bookmarkStart w:id="550" w:name="_Toc455080142"/>
      <w:bookmarkStart w:id="551" w:name="_Toc9522"/>
      <w:bookmarkStart w:id="552" w:name="_Toc5971"/>
      <w:bookmarkStart w:id="553" w:name="_Toc6334"/>
      <w:bookmarkStart w:id="554" w:name="_Toc152045566"/>
    </w:p>
    <w:p w14:paraId="296B0C8D">
      <w:pPr>
        <w:pageBreakBefore w:val="0"/>
        <w:kinsoku/>
        <w:wordWrap w:val="0"/>
        <w:overflowPunct/>
        <w:autoSpaceDE w:val="0"/>
        <w:autoSpaceDN w:val="0"/>
        <w:bidi w:val="0"/>
        <w:spacing w:line="360" w:lineRule="auto"/>
        <w:ind w:firstLine="420"/>
        <w:rPr>
          <w:rFonts w:hint="eastAsia" w:ascii="宋体" w:hAnsi="宋体" w:cs="宋体"/>
          <w:snapToGrid w:val="0"/>
          <w:color w:val="auto"/>
          <w:kern w:val="0"/>
          <w:highlight w:val="none"/>
        </w:rPr>
      </w:pPr>
      <w:r>
        <w:rPr>
          <w:rFonts w:hint="eastAsia" w:ascii="宋体" w:hAnsi="宋体" w:cs="宋体"/>
          <w:snapToGrid w:val="0"/>
          <w:color w:val="auto"/>
          <w:kern w:val="0"/>
          <w:highlight w:val="none"/>
        </w:rPr>
        <w:t>（1）【供应商操作】及时登陆至&lt;</w:t>
      </w:r>
      <w:r>
        <w:rPr>
          <w:rFonts w:hint="eastAsia" w:ascii="宋体" w:hAnsi="宋体" w:cs="宋体"/>
          <w:snapToGrid w:val="0"/>
          <w:color w:val="auto"/>
          <w:kern w:val="0"/>
          <w:highlight w:val="none"/>
          <w:lang w:eastAsia="zh-CN"/>
        </w:rPr>
        <w:t>固始县公共资源交易系统</w:t>
      </w:r>
      <w:r>
        <w:rPr>
          <w:rFonts w:hint="eastAsia" w:ascii="宋体" w:hAnsi="宋体" w:cs="宋体"/>
          <w:snapToGrid w:val="0"/>
          <w:color w:val="auto"/>
          <w:kern w:val="0"/>
          <w:highlight w:val="none"/>
        </w:rPr>
        <w:t>&gt;，打开“报价参与”菜单。选择需要参与报价的标段。</w:t>
      </w:r>
    </w:p>
    <w:p w14:paraId="3D33BAF9">
      <w:pPr>
        <w:pageBreakBefore w:val="0"/>
        <w:kinsoku/>
        <w:wordWrap w:val="0"/>
        <w:overflowPunct/>
        <w:bidi w:val="0"/>
        <w:ind w:firstLine="420"/>
        <w:rPr>
          <w:rFonts w:hint="eastAsia" w:ascii="宋体" w:hAnsi="宋体" w:cs="宋体"/>
          <w:snapToGrid w:val="0"/>
          <w:color w:val="auto"/>
          <w:kern w:val="0"/>
          <w:highlight w:val="none"/>
        </w:rPr>
      </w:pPr>
    </w:p>
    <w:p w14:paraId="2F864537">
      <w:pPr>
        <w:pageBreakBefore w:val="0"/>
        <w:numPr>
          <w:ilvl w:val="0"/>
          <w:numId w:val="4"/>
        </w:numPr>
        <w:kinsoku/>
        <w:wordWrap w:val="0"/>
        <w:overflowPunct/>
        <w:autoSpaceDE w:val="0"/>
        <w:autoSpaceDN w:val="0"/>
        <w:bidi w:val="0"/>
        <w:spacing w:line="360" w:lineRule="auto"/>
        <w:ind w:firstLine="420"/>
        <w:rPr>
          <w:rFonts w:hint="eastAsia" w:ascii="宋体" w:hAnsi="宋体" w:cs="宋体"/>
          <w:snapToGrid w:val="0"/>
          <w:color w:val="auto"/>
          <w:kern w:val="0"/>
          <w:highlight w:val="none"/>
        </w:rPr>
      </w:pPr>
      <w:r>
        <w:rPr>
          <w:rFonts w:hint="eastAsia" w:ascii="宋体" w:hAnsi="宋体" w:cs="宋体"/>
          <w:snapToGrid w:val="0"/>
          <w:color w:val="auto"/>
          <w:kern w:val="0"/>
          <w:highlight w:val="none"/>
        </w:rPr>
        <w:t>【供应商操作】及时关注“二次报价剩余时间”如果显示状态为“未开始”，表示评委组长还未开始二次报价。如果已经显示倒计时（默认20分钟），则需要在倒计结束时间前完成二次报价，否则视为放弃本次报价机会！！！</w:t>
      </w:r>
    </w:p>
    <w:p w14:paraId="2AC877E4">
      <w:pPr>
        <w:pageBreakBefore w:val="0"/>
        <w:kinsoku/>
        <w:wordWrap w:val="0"/>
        <w:overflowPunct/>
        <w:autoSpaceDE w:val="0"/>
        <w:autoSpaceDN w:val="0"/>
        <w:bidi w:val="0"/>
        <w:spacing w:line="360" w:lineRule="auto"/>
        <w:ind w:firstLine="420"/>
        <w:rPr>
          <w:rFonts w:hint="eastAsia" w:ascii="宋体" w:hAnsi="宋体" w:cs="宋体"/>
          <w:snapToGrid w:val="0"/>
          <w:color w:val="auto"/>
          <w:kern w:val="0"/>
          <w:highlight w:val="none"/>
        </w:rPr>
      </w:pPr>
      <w:r>
        <w:rPr>
          <w:rFonts w:hint="eastAsia" w:ascii="宋体" w:hAnsi="宋体" w:cs="宋体"/>
          <w:snapToGrid w:val="0"/>
          <w:color w:val="auto"/>
          <w:kern w:val="0"/>
          <w:highlight w:val="none"/>
        </w:rPr>
        <w:t>（3）【供应商操作】</w:t>
      </w:r>
      <w:r>
        <w:rPr>
          <w:rFonts w:hint="eastAsia" w:ascii="宋体" w:hAnsi="宋体" w:cs="宋体"/>
          <w:snapToGrid w:val="0"/>
          <w:color w:val="auto"/>
          <w:kern w:val="0"/>
          <w:highlight w:val="none"/>
        </w:rPr>
        <w:fldChar w:fldCharType="begin"/>
      </w:r>
      <w:r>
        <w:rPr>
          <w:rFonts w:hint="eastAsia" w:ascii="宋体" w:hAnsi="宋体" w:cs="宋体"/>
          <w:snapToGrid w:val="0"/>
          <w:color w:val="auto"/>
          <w:kern w:val="0"/>
          <w:highlight w:val="none"/>
        </w:rPr>
        <w:instrText xml:space="preserve"> = 1 \* GB3 \* MERGEFORMAT </w:instrText>
      </w:r>
      <w:r>
        <w:rPr>
          <w:rFonts w:hint="eastAsia" w:ascii="宋体" w:hAnsi="宋体" w:cs="宋体"/>
          <w:snapToGrid w:val="0"/>
          <w:color w:val="auto"/>
          <w:kern w:val="0"/>
          <w:highlight w:val="none"/>
        </w:rPr>
        <w:fldChar w:fldCharType="separate"/>
      </w:r>
      <w:r>
        <w:rPr>
          <w:rFonts w:hint="eastAsia" w:ascii="宋体" w:hAnsi="宋体" w:cs="宋体"/>
          <w:snapToGrid w:val="0"/>
          <w:color w:val="auto"/>
          <w:kern w:val="0"/>
          <w:highlight w:val="none"/>
        </w:rPr>
        <w:t>①</w:t>
      </w:r>
      <w:r>
        <w:rPr>
          <w:rFonts w:hint="eastAsia" w:ascii="宋体" w:hAnsi="宋体" w:cs="宋体"/>
          <w:snapToGrid w:val="0"/>
          <w:color w:val="auto"/>
          <w:kern w:val="0"/>
          <w:highlight w:val="none"/>
        </w:rPr>
        <w:fldChar w:fldCharType="end"/>
      </w:r>
      <w:r>
        <w:rPr>
          <w:rFonts w:hint="eastAsia" w:ascii="宋体" w:hAnsi="宋体" w:cs="宋体"/>
          <w:snapToGrid w:val="0"/>
          <w:color w:val="auto"/>
          <w:kern w:val="0"/>
          <w:highlight w:val="none"/>
        </w:rPr>
        <w:t>点击“新增报价”输入报价金额（报价必须和《开标一览表》报价单位一致，可以指总价、单价或费率）；</w:t>
      </w:r>
      <w:r>
        <w:rPr>
          <w:rFonts w:hint="eastAsia" w:ascii="宋体" w:hAnsi="宋体" w:cs="宋体"/>
          <w:snapToGrid w:val="0"/>
          <w:color w:val="auto"/>
          <w:kern w:val="0"/>
          <w:highlight w:val="none"/>
        </w:rPr>
        <w:fldChar w:fldCharType="begin"/>
      </w:r>
      <w:r>
        <w:rPr>
          <w:rFonts w:hint="eastAsia" w:ascii="宋体" w:hAnsi="宋体" w:cs="宋体"/>
          <w:snapToGrid w:val="0"/>
          <w:color w:val="auto"/>
          <w:kern w:val="0"/>
          <w:highlight w:val="none"/>
        </w:rPr>
        <w:instrText xml:space="preserve"> = 2 \* GB3 \* MERGEFORMAT </w:instrText>
      </w:r>
      <w:r>
        <w:rPr>
          <w:rFonts w:hint="eastAsia" w:ascii="宋体" w:hAnsi="宋体" w:cs="宋体"/>
          <w:snapToGrid w:val="0"/>
          <w:color w:val="auto"/>
          <w:kern w:val="0"/>
          <w:highlight w:val="none"/>
        </w:rPr>
        <w:fldChar w:fldCharType="separate"/>
      </w:r>
      <w:r>
        <w:rPr>
          <w:rFonts w:hint="eastAsia" w:ascii="宋体" w:hAnsi="宋体" w:cs="宋体"/>
          <w:snapToGrid w:val="0"/>
          <w:color w:val="auto"/>
          <w:kern w:val="0"/>
          <w:highlight w:val="none"/>
        </w:rPr>
        <w:t>②</w:t>
      </w:r>
      <w:r>
        <w:rPr>
          <w:rFonts w:hint="eastAsia" w:ascii="宋体" w:hAnsi="宋体" w:cs="宋体"/>
          <w:snapToGrid w:val="0"/>
          <w:color w:val="auto"/>
          <w:kern w:val="0"/>
          <w:highlight w:val="none"/>
        </w:rPr>
        <w:fldChar w:fldCharType="end"/>
      </w:r>
      <w:r>
        <w:rPr>
          <w:rFonts w:hint="eastAsia" w:ascii="宋体" w:hAnsi="宋体" w:cs="宋体"/>
          <w:snapToGrid w:val="0"/>
          <w:color w:val="auto"/>
          <w:kern w:val="0"/>
          <w:highlight w:val="none"/>
        </w:rPr>
        <w:t>点击“保存报价”；</w:t>
      </w:r>
      <w:r>
        <w:rPr>
          <w:rFonts w:hint="eastAsia" w:ascii="宋体" w:hAnsi="宋体" w:cs="宋体"/>
          <w:snapToGrid w:val="0"/>
          <w:color w:val="auto"/>
          <w:kern w:val="0"/>
          <w:highlight w:val="none"/>
        </w:rPr>
        <w:fldChar w:fldCharType="begin"/>
      </w:r>
      <w:r>
        <w:rPr>
          <w:rFonts w:hint="eastAsia" w:ascii="宋体" w:hAnsi="宋体" w:cs="宋体"/>
          <w:snapToGrid w:val="0"/>
          <w:color w:val="auto"/>
          <w:kern w:val="0"/>
          <w:highlight w:val="none"/>
        </w:rPr>
        <w:instrText xml:space="preserve"> = 3 \* GB3 \* MERGEFORMAT </w:instrText>
      </w:r>
      <w:r>
        <w:rPr>
          <w:rFonts w:hint="eastAsia" w:ascii="宋体" w:hAnsi="宋体" w:cs="宋体"/>
          <w:snapToGrid w:val="0"/>
          <w:color w:val="auto"/>
          <w:kern w:val="0"/>
          <w:highlight w:val="none"/>
        </w:rPr>
        <w:fldChar w:fldCharType="separate"/>
      </w:r>
      <w:r>
        <w:rPr>
          <w:rFonts w:hint="eastAsia" w:ascii="宋体" w:hAnsi="宋体" w:cs="宋体"/>
          <w:snapToGrid w:val="0"/>
          <w:color w:val="auto"/>
          <w:kern w:val="0"/>
          <w:highlight w:val="none"/>
        </w:rPr>
        <w:t>③</w:t>
      </w:r>
      <w:r>
        <w:rPr>
          <w:rFonts w:hint="eastAsia" w:ascii="宋体" w:hAnsi="宋体" w:cs="宋体"/>
          <w:snapToGrid w:val="0"/>
          <w:color w:val="auto"/>
          <w:kern w:val="0"/>
          <w:highlight w:val="none"/>
        </w:rPr>
        <w:fldChar w:fldCharType="end"/>
      </w:r>
      <w:r>
        <w:rPr>
          <w:rFonts w:hint="eastAsia" w:ascii="宋体" w:hAnsi="宋体" w:cs="宋体"/>
          <w:snapToGrid w:val="0"/>
          <w:color w:val="auto"/>
          <w:kern w:val="0"/>
          <w:highlight w:val="none"/>
        </w:rPr>
        <w:t>进行电子签章；</w:t>
      </w:r>
      <w:r>
        <w:rPr>
          <w:rFonts w:hint="eastAsia" w:ascii="宋体" w:hAnsi="宋体" w:cs="宋体"/>
          <w:snapToGrid w:val="0"/>
          <w:color w:val="auto"/>
          <w:kern w:val="0"/>
          <w:highlight w:val="none"/>
        </w:rPr>
        <w:fldChar w:fldCharType="begin"/>
      </w:r>
      <w:r>
        <w:rPr>
          <w:rFonts w:hint="eastAsia" w:ascii="宋体" w:hAnsi="宋体" w:cs="宋体"/>
          <w:snapToGrid w:val="0"/>
          <w:color w:val="auto"/>
          <w:kern w:val="0"/>
          <w:highlight w:val="none"/>
        </w:rPr>
        <w:instrText xml:space="preserve"> = 4 \* GB3 \* MERGEFORMAT </w:instrText>
      </w:r>
      <w:r>
        <w:rPr>
          <w:rFonts w:hint="eastAsia" w:ascii="宋体" w:hAnsi="宋体" w:cs="宋体"/>
          <w:snapToGrid w:val="0"/>
          <w:color w:val="auto"/>
          <w:kern w:val="0"/>
          <w:highlight w:val="none"/>
        </w:rPr>
        <w:fldChar w:fldCharType="separate"/>
      </w:r>
      <w:r>
        <w:rPr>
          <w:rFonts w:hint="eastAsia" w:ascii="宋体" w:hAnsi="宋体" w:cs="宋体"/>
          <w:snapToGrid w:val="0"/>
          <w:color w:val="auto"/>
          <w:kern w:val="0"/>
          <w:highlight w:val="none"/>
        </w:rPr>
        <w:t>④</w:t>
      </w:r>
      <w:r>
        <w:rPr>
          <w:rFonts w:hint="eastAsia" w:ascii="宋体" w:hAnsi="宋体" w:cs="宋体"/>
          <w:snapToGrid w:val="0"/>
          <w:color w:val="auto"/>
          <w:kern w:val="0"/>
          <w:highlight w:val="none"/>
        </w:rPr>
        <w:fldChar w:fldCharType="end"/>
      </w:r>
      <w:r>
        <w:rPr>
          <w:rFonts w:hint="eastAsia" w:ascii="宋体" w:hAnsi="宋体" w:cs="宋体"/>
          <w:snapToGrid w:val="0"/>
          <w:color w:val="auto"/>
          <w:kern w:val="0"/>
          <w:highlight w:val="none"/>
        </w:rPr>
        <w:t>点击“提交报价”（</w:t>
      </w:r>
      <w:r>
        <w:rPr>
          <w:rFonts w:hint="eastAsia" w:ascii="宋体" w:hAnsi="宋体" w:cs="宋体"/>
          <w:b/>
          <w:bCs/>
          <w:snapToGrid w:val="0"/>
          <w:color w:val="auto"/>
          <w:kern w:val="0"/>
          <w:highlight w:val="none"/>
        </w:rPr>
        <w:t>每次修改报价必须点击保存报价按钮再签章，提交前务必确认报价和签章表报价一致！！！</w:t>
      </w:r>
      <w:r>
        <w:rPr>
          <w:rFonts w:hint="eastAsia" w:ascii="宋体" w:hAnsi="宋体" w:cs="宋体"/>
          <w:snapToGrid w:val="0"/>
          <w:color w:val="auto"/>
          <w:kern w:val="0"/>
          <w:highlight w:val="none"/>
        </w:rPr>
        <w:t>）。</w:t>
      </w:r>
    </w:p>
    <w:p w14:paraId="6CEE6FEE">
      <w:pPr>
        <w:pageBreakBefore w:val="0"/>
        <w:numPr>
          <w:ilvl w:val="0"/>
          <w:numId w:val="5"/>
        </w:numPr>
        <w:kinsoku/>
        <w:wordWrap w:val="0"/>
        <w:overflowPunct/>
        <w:autoSpaceDE w:val="0"/>
        <w:autoSpaceDN w:val="0"/>
        <w:bidi w:val="0"/>
        <w:spacing w:line="360" w:lineRule="auto"/>
        <w:ind w:firstLine="420"/>
        <w:rPr>
          <w:rFonts w:hint="eastAsia" w:ascii="宋体" w:hAnsi="宋体" w:cs="宋体"/>
          <w:snapToGrid w:val="0"/>
          <w:color w:val="auto"/>
          <w:kern w:val="0"/>
          <w:highlight w:val="none"/>
        </w:rPr>
      </w:pPr>
      <w:r>
        <w:rPr>
          <w:rFonts w:hint="eastAsia" w:ascii="宋体" w:hAnsi="宋体" w:cs="宋体"/>
          <w:snapToGrid w:val="0"/>
          <w:color w:val="auto"/>
          <w:kern w:val="0"/>
          <w:highlight w:val="none"/>
        </w:rPr>
        <w:t>【供应商操作】报价的机会只有一次，提交后将不能修改，完成后检查“第2轮次”的报价是否显示已签章，已提交，则表示二次报价完成。</w:t>
      </w:r>
    </w:p>
    <w:p w14:paraId="0789161F">
      <w:pPr>
        <w:pageBreakBefore w:val="0"/>
        <w:kinsoku/>
        <w:wordWrap w:val="0"/>
        <w:overflowPunct/>
        <w:bidi w:val="0"/>
        <w:adjustRightInd w:val="0"/>
        <w:snapToGrid w:val="0"/>
        <w:spacing w:line="36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经磋商确定最终招标需求，由磋商小组采用综合评分法对通过初步评审的供应商的响应文件进行综合评分。</w:t>
      </w:r>
    </w:p>
    <w:p w14:paraId="07948BAE">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 合同授予</w:t>
      </w:r>
      <w:bookmarkEnd w:id="548"/>
      <w:bookmarkEnd w:id="549"/>
      <w:bookmarkEnd w:id="550"/>
      <w:bookmarkEnd w:id="551"/>
      <w:bookmarkEnd w:id="552"/>
      <w:bookmarkEnd w:id="553"/>
      <w:bookmarkEnd w:id="554"/>
    </w:p>
    <w:p w14:paraId="3078199F">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bookmarkStart w:id="555" w:name="_Toc11409"/>
      <w:bookmarkStart w:id="556" w:name="_Toc455867803"/>
      <w:bookmarkStart w:id="557" w:name="_Toc144974535"/>
      <w:bookmarkStart w:id="558" w:name="_Toc7358"/>
      <w:bookmarkStart w:id="559" w:name="_Toc29686"/>
      <w:bookmarkStart w:id="560" w:name="_Toc28919"/>
      <w:bookmarkStart w:id="561" w:name="_Toc455080143"/>
      <w:bookmarkStart w:id="562" w:name="_Toc25316"/>
      <w:bookmarkStart w:id="563" w:name="_Toc17660"/>
      <w:bookmarkStart w:id="564" w:name="_Toc20777"/>
      <w:bookmarkStart w:id="565" w:name="_Toc490667863"/>
      <w:bookmarkStart w:id="566" w:name="_Toc29664"/>
      <w:bookmarkStart w:id="567" w:name="_Toc14528"/>
      <w:bookmarkStart w:id="568" w:name="_Toc22461"/>
      <w:bookmarkStart w:id="569" w:name="_Toc152042343"/>
      <w:bookmarkStart w:id="570" w:name="_Toc318450710"/>
      <w:bookmarkStart w:id="571" w:name="_Toc466298126"/>
      <w:bookmarkStart w:id="572" w:name="_Toc32135"/>
      <w:bookmarkStart w:id="573" w:name="_Toc152045567"/>
      <w:r>
        <w:rPr>
          <w:rFonts w:hint="eastAsia" w:ascii="宋体" w:hAnsi="宋体" w:eastAsia="宋体" w:cs="宋体"/>
          <w:b/>
          <w:color w:val="auto"/>
          <w:szCs w:val="21"/>
          <w:highlight w:val="none"/>
        </w:rPr>
        <w:t>7.1 定标方式</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78EF1F92">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bookmarkStart w:id="574" w:name="_Toc152042344"/>
      <w:bookmarkStart w:id="575" w:name="_Toc144974536"/>
      <w:bookmarkStart w:id="576" w:name="_Toc7066"/>
      <w:bookmarkStart w:id="577" w:name="_Toc318450711"/>
      <w:bookmarkStart w:id="578" w:name="_Toc152045568"/>
      <w:bookmarkStart w:id="579" w:name="_Toc28254"/>
      <w:bookmarkStart w:id="580" w:name="_Toc10868"/>
      <w:r>
        <w:rPr>
          <w:rFonts w:hint="eastAsia" w:ascii="宋体" w:hAnsi="宋体" w:eastAsia="宋体" w:cs="宋体"/>
          <w:color w:val="auto"/>
          <w:szCs w:val="21"/>
          <w:highlight w:val="none"/>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58E3EEDF">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bookmarkStart w:id="581" w:name="_Toc490667864"/>
      <w:bookmarkStart w:id="582" w:name="_Toc15825"/>
      <w:bookmarkStart w:id="583" w:name="_Toc9897"/>
      <w:bookmarkStart w:id="584" w:name="_Toc455867804"/>
      <w:bookmarkStart w:id="585" w:name="_Toc455080144"/>
      <w:bookmarkStart w:id="586" w:name="_Toc466298127"/>
      <w:bookmarkStart w:id="587" w:name="_Toc9775"/>
      <w:bookmarkStart w:id="588" w:name="_Toc1484"/>
      <w:bookmarkStart w:id="589" w:name="_Toc5668"/>
      <w:bookmarkStart w:id="590" w:name="_Toc5428"/>
      <w:bookmarkStart w:id="591" w:name="_Toc28177"/>
      <w:bookmarkStart w:id="592" w:name="_Toc16163"/>
      <w:r>
        <w:rPr>
          <w:rFonts w:hint="eastAsia" w:ascii="宋体" w:hAnsi="宋体" w:eastAsia="宋体" w:cs="宋体"/>
          <w:b/>
          <w:color w:val="auto"/>
          <w:szCs w:val="21"/>
          <w:highlight w:val="none"/>
        </w:rPr>
        <w:t>7.2 成交通知</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688EA7AB">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在本章第3.3.1款规定的磋商有效期内，采购人以书面形式向成交人发出成交通知书，同时将成交结果通知未成交的供应商。</w:t>
      </w:r>
    </w:p>
    <w:p w14:paraId="7D261C14">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bookmarkStart w:id="593" w:name="_Toc22732"/>
      <w:r>
        <w:rPr>
          <w:rFonts w:hint="eastAsia" w:ascii="宋体" w:hAnsi="宋体" w:eastAsia="宋体" w:cs="宋体"/>
          <w:b/>
          <w:color w:val="auto"/>
          <w:szCs w:val="21"/>
          <w:highlight w:val="none"/>
        </w:rPr>
        <w:t>7.3 履约保证金</w:t>
      </w:r>
      <w:bookmarkEnd w:id="593"/>
    </w:p>
    <w:p w14:paraId="65502CF3">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bookmarkStart w:id="594" w:name="_Toc21617"/>
      <w:bookmarkStart w:id="595" w:name="_Toc152045570"/>
      <w:bookmarkStart w:id="596" w:name="_Toc26655"/>
      <w:bookmarkStart w:id="597" w:name="_Toc455080145"/>
      <w:bookmarkStart w:id="598" w:name="_Toc21271"/>
      <w:bookmarkStart w:id="599" w:name="_Toc490667865"/>
      <w:bookmarkStart w:id="600" w:name="_Toc15458"/>
      <w:bookmarkStart w:id="601" w:name="_Toc26915"/>
      <w:bookmarkStart w:id="602" w:name="_Toc8886"/>
      <w:bookmarkStart w:id="603" w:name="_Toc12663"/>
      <w:bookmarkStart w:id="604" w:name="_Toc10082"/>
      <w:bookmarkStart w:id="605" w:name="_Toc466298128"/>
      <w:bookmarkStart w:id="606" w:name="_Toc144974538"/>
      <w:bookmarkStart w:id="607" w:name="_Toc152042346"/>
      <w:bookmarkStart w:id="608" w:name="_Toc455867805"/>
      <w:bookmarkStart w:id="609" w:name="_Toc26760"/>
      <w:bookmarkStart w:id="610" w:name="_Toc13147"/>
      <w:bookmarkStart w:id="611" w:name="_Toc24026"/>
      <w:bookmarkStart w:id="612" w:name="_Toc318450712"/>
      <w:r>
        <w:rPr>
          <w:rFonts w:hint="eastAsia" w:ascii="宋体" w:hAnsi="宋体" w:eastAsia="宋体" w:cs="宋体"/>
          <w:color w:val="auto"/>
          <w:szCs w:val="21"/>
          <w:highlight w:val="none"/>
        </w:rPr>
        <w:t>免收履约保证金</w:t>
      </w:r>
      <w:bookmarkEnd w:id="594"/>
    </w:p>
    <w:p w14:paraId="7A0A8A49">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bookmarkStart w:id="613" w:name="_Toc25032"/>
      <w:r>
        <w:rPr>
          <w:rFonts w:hint="eastAsia" w:ascii="宋体" w:hAnsi="宋体" w:eastAsia="宋体" w:cs="宋体"/>
          <w:b/>
          <w:color w:val="auto"/>
          <w:szCs w:val="21"/>
          <w:highlight w:val="none"/>
        </w:rPr>
        <w:t>7.4 签订合同</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136C9513">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7.4.1 采购人和成交人应当自成交通知书发出之日起2-7天内，根据竞争性磋商文件和成交人的响应文件订立书面合同。成交人无正当理由拒签合同的，采购人取消其成交资格，其磋商保证金不予退还；给采购人造成的损失超过磋商保证金数额的，成交人还应当对超过部分予以赔偿。</w:t>
      </w:r>
    </w:p>
    <w:p w14:paraId="076EFC2E">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7.4.2 发出成交通知书后，采购人无正当理由拒签合同的，采购人向成交人退还磋商保证金；给成交人造成损失的，还应当赔偿损失。</w:t>
      </w:r>
      <w:bookmarkStart w:id="614" w:name="_Toc144974542"/>
      <w:bookmarkStart w:id="615" w:name="_Toc152045574"/>
      <w:bookmarkStart w:id="616" w:name="_Toc152042350"/>
    </w:p>
    <w:p w14:paraId="7E39FFB5">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bookmarkStart w:id="617" w:name="_Toc455080146"/>
      <w:bookmarkStart w:id="618" w:name="_Toc20121"/>
      <w:bookmarkStart w:id="619" w:name="_Toc24956"/>
      <w:bookmarkStart w:id="620" w:name="_Toc16866"/>
      <w:r>
        <w:rPr>
          <w:rFonts w:hint="eastAsia" w:ascii="宋体" w:hAnsi="宋体" w:eastAsia="宋体" w:cs="宋体"/>
          <w:b/>
          <w:color w:val="auto"/>
          <w:szCs w:val="21"/>
          <w:highlight w:val="none"/>
        </w:rPr>
        <w:t>8. 重新招标</w:t>
      </w:r>
      <w:bookmarkEnd w:id="617"/>
      <w:bookmarkEnd w:id="618"/>
      <w:bookmarkEnd w:id="619"/>
      <w:bookmarkEnd w:id="620"/>
    </w:p>
    <w:p w14:paraId="48FCFE68">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bookmarkStart w:id="621" w:name="_Toc16556"/>
      <w:bookmarkStart w:id="622" w:name="_Toc21278"/>
      <w:r>
        <w:rPr>
          <w:rFonts w:hint="eastAsia" w:ascii="宋体" w:hAnsi="宋体" w:eastAsia="宋体" w:cs="宋体"/>
          <w:b/>
          <w:color w:val="auto"/>
          <w:szCs w:val="21"/>
          <w:highlight w:val="none"/>
        </w:rPr>
        <w:t>8.1 重新招标</w:t>
      </w:r>
      <w:bookmarkEnd w:id="621"/>
      <w:bookmarkEnd w:id="622"/>
    </w:p>
    <w:p w14:paraId="609503AF">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bookmarkStart w:id="623" w:name="_Toc9985"/>
      <w:r>
        <w:rPr>
          <w:rFonts w:hint="eastAsia" w:ascii="宋体" w:hAnsi="宋体" w:eastAsia="宋体" w:cs="宋体"/>
          <w:color w:val="auto"/>
          <w:szCs w:val="21"/>
          <w:highlight w:val="none"/>
        </w:rPr>
        <w:t>有下列情形之一的，采购人将重新招标：</w:t>
      </w:r>
      <w:bookmarkEnd w:id="623"/>
    </w:p>
    <w:p w14:paraId="0FDA1CBA">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bookmarkStart w:id="624" w:name="_Toc25063"/>
      <w:r>
        <w:rPr>
          <w:rFonts w:hint="eastAsia" w:ascii="宋体" w:hAnsi="宋体" w:eastAsia="宋体" w:cs="宋体"/>
          <w:color w:val="auto"/>
          <w:szCs w:val="21"/>
          <w:highlight w:val="none"/>
        </w:rPr>
        <w:t>（1）提交响应文件截止时间止，供应商少于3个的；</w:t>
      </w:r>
      <w:bookmarkEnd w:id="624"/>
    </w:p>
    <w:p w14:paraId="4511EFB8">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bookmarkStart w:id="625" w:name="_Toc17911"/>
      <w:r>
        <w:rPr>
          <w:rFonts w:hint="eastAsia" w:ascii="宋体" w:hAnsi="宋体" w:eastAsia="宋体" w:cs="宋体"/>
          <w:color w:val="auto"/>
          <w:szCs w:val="21"/>
          <w:highlight w:val="none"/>
        </w:rPr>
        <w:t>（2）经磋商小组评审后否决所有响应文件的。</w:t>
      </w:r>
      <w:bookmarkEnd w:id="625"/>
    </w:p>
    <w:p w14:paraId="72356DE6">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bookmarkStart w:id="626" w:name="_Toc9996"/>
      <w:bookmarkStart w:id="627" w:name="_Toc27506"/>
      <w:bookmarkStart w:id="628" w:name="_Toc455080147"/>
      <w:bookmarkStart w:id="629" w:name="_Toc8213"/>
      <w:r>
        <w:rPr>
          <w:rFonts w:hint="eastAsia" w:ascii="宋体" w:hAnsi="宋体" w:eastAsia="宋体" w:cs="宋体"/>
          <w:b/>
          <w:color w:val="auto"/>
          <w:szCs w:val="21"/>
          <w:highlight w:val="none"/>
        </w:rPr>
        <w:t>9. 纪律和监督</w:t>
      </w:r>
      <w:bookmarkEnd w:id="614"/>
      <w:bookmarkEnd w:id="615"/>
      <w:bookmarkEnd w:id="616"/>
      <w:bookmarkEnd w:id="626"/>
      <w:bookmarkEnd w:id="627"/>
      <w:bookmarkEnd w:id="628"/>
      <w:bookmarkEnd w:id="629"/>
    </w:p>
    <w:p w14:paraId="68D81657">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bookmarkStart w:id="630" w:name="_Toc269"/>
      <w:bookmarkStart w:id="631" w:name="_Toc697"/>
      <w:bookmarkStart w:id="632" w:name="_Toc144974543"/>
      <w:bookmarkStart w:id="633" w:name="_Toc455080148"/>
      <w:bookmarkStart w:id="634" w:name="_Toc1282"/>
      <w:bookmarkStart w:id="635" w:name="_Toc20009"/>
      <w:bookmarkStart w:id="636" w:name="_Toc318450714"/>
      <w:bookmarkStart w:id="637" w:name="_Toc455867808"/>
      <w:bookmarkStart w:id="638" w:name="_Toc152042351"/>
      <w:bookmarkStart w:id="639" w:name="_Toc13970"/>
      <w:bookmarkStart w:id="640" w:name="_Toc14155"/>
      <w:bookmarkStart w:id="641" w:name="_Toc15592"/>
      <w:bookmarkStart w:id="642" w:name="_Toc490667868"/>
      <w:bookmarkStart w:id="643" w:name="_Toc12992"/>
      <w:bookmarkStart w:id="644" w:name="_Toc152045575"/>
      <w:bookmarkStart w:id="645" w:name="_Toc19159"/>
      <w:bookmarkStart w:id="646" w:name="_Toc15769"/>
      <w:bookmarkStart w:id="647" w:name="_Toc27836"/>
      <w:bookmarkStart w:id="648" w:name="_Toc466298131"/>
      <w:r>
        <w:rPr>
          <w:rFonts w:hint="eastAsia" w:ascii="宋体" w:hAnsi="宋体" w:eastAsia="宋体" w:cs="宋体"/>
          <w:b/>
          <w:color w:val="auto"/>
          <w:szCs w:val="21"/>
          <w:highlight w:val="none"/>
        </w:rPr>
        <w:t>9.1 对采购人的纪律要求</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4428E95C">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采购人不得泄漏磋商活动中应当保密的情况和资料，不得与供应商串通损害国家利益、社会公共利益或者他人合法权益。</w:t>
      </w:r>
    </w:p>
    <w:p w14:paraId="36BB1576">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bookmarkStart w:id="649" w:name="_Toc1743"/>
      <w:bookmarkStart w:id="650" w:name="_Toc20261"/>
      <w:bookmarkStart w:id="651" w:name="_Toc455080149"/>
      <w:bookmarkStart w:id="652" w:name="_Toc21646"/>
      <w:bookmarkStart w:id="653" w:name="_Toc18604"/>
      <w:bookmarkStart w:id="654" w:name="_Toc3662"/>
      <w:bookmarkStart w:id="655" w:name="_Toc27698"/>
      <w:bookmarkStart w:id="656" w:name="_Toc490667869"/>
      <w:bookmarkStart w:id="657" w:name="_Toc7572"/>
      <w:bookmarkStart w:id="658" w:name="_Toc144974544"/>
      <w:bookmarkStart w:id="659" w:name="_Toc152045576"/>
      <w:bookmarkStart w:id="660" w:name="_Toc18204"/>
      <w:bookmarkStart w:id="661" w:name="_Toc19167"/>
      <w:bookmarkStart w:id="662" w:name="_Toc318450715"/>
      <w:bookmarkStart w:id="663" w:name="_Toc3089"/>
      <w:bookmarkStart w:id="664" w:name="_Toc455867809"/>
      <w:bookmarkStart w:id="665" w:name="_Toc17040"/>
      <w:bookmarkStart w:id="666" w:name="_Toc466298132"/>
      <w:bookmarkStart w:id="667" w:name="_Toc152042352"/>
      <w:r>
        <w:rPr>
          <w:rFonts w:hint="eastAsia" w:ascii="宋体" w:hAnsi="宋体" w:eastAsia="宋体" w:cs="宋体"/>
          <w:b/>
          <w:color w:val="auto"/>
          <w:szCs w:val="21"/>
          <w:highlight w:val="none"/>
        </w:rPr>
        <w:t>9.2 对供应商的纪律要求</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404FACB6">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供应商不得相互串通或者与采购人串通，不得向采购人或者谈判小组行贿谋取成交，不得以他人名义或者以其他方式弄虚作假骗取成交；供应商不得以任何方式干扰、影响评审工作。</w:t>
      </w:r>
    </w:p>
    <w:p w14:paraId="71D7477F">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bookmarkStart w:id="668" w:name="_Toc152045577"/>
      <w:bookmarkStart w:id="669" w:name="_Toc11909"/>
      <w:bookmarkStart w:id="670" w:name="_Toc152042353"/>
      <w:bookmarkStart w:id="671" w:name="_Toc32320"/>
      <w:bookmarkStart w:id="672" w:name="_Toc30153"/>
      <w:bookmarkStart w:id="673" w:name="_Toc25241"/>
      <w:bookmarkStart w:id="674" w:name="_Toc12177"/>
      <w:bookmarkStart w:id="675" w:name="_Toc490667870"/>
      <w:bookmarkStart w:id="676" w:name="_Toc7107"/>
      <w:bookmarkStart w:id="677" w:name="_Toc144974545"/>
      <w:bookmarkStart w:id="678" w:name="_Toc25211"/>
      <w:bookmarkStart w:id="679" w:name="_Toc455080150"/>
      <w:bookmarkStart w:id="680" w:name="_Toc7439"/>
      <w:bookmarkStart w:id="681" w:name="_Toc28813"/>
      <w:bookmarkStart w:id="682" w:name="_Toc318450716"/>
      <w:bookmarkStart w:id="683" w:name="_Toc31001"/>
      <w:bookmarkStart w:id="684" w:name="_Toc466298133"/>
      <w:bookmarkStart w:id="685" w:name="_Toc19965"/>
      <w:bookmarkStart w:id="686" w:name="_Toc455867810"/>
      <w:r>
        <w:rPr>
          <w:rFonts w:hint="eastAsia" w:ascii="宋体" w:hAnsi="宋体" w:eastAsia="宋体" w:cs="宋体"/>
          <w:b/>
          <w:color w:val="auto"/>
          <w:szCs w:val="21"/>
          <w:highlight w:val="none"/>
        </w:rPr>
        <w:t>9.3 对磋商小组成员的纪律要求</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65CABCDC">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7F85DF27">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bookmarkStart w:id="687" w:name="_Toc455867811"/>
      <w:bookmarkStart w:id="688" w:name="_Toc26462"/>
      <w:bookmarkStart w:id="689" w:name="_Toc7368"/>
      <w:bookmarkStart w:id="690" w:name="_Toc11405"/>
      <w:bookmarkStart w:id="691" w:name="_Toc27559"/>
      <w:bookmarkStart w:id="692" w:name="_Toc455080151"/>
      <w:bookmarkStart w:id="693" w:name="_Toc20546"/>
      <w:bookmarkStart w:id="694" w:name="_Toc19485"/>
      <w:bookmarkStart w:id="695" w:name="_Toc318450717"/>
      <w:bookmarkStart w:id="696" w:name="_Toc1295"/>
      <w:bookmarkStart w:id="697" w:name="_Toc152042354"/>
      <w:bookmarkStart w:id="698" w:name="_Toc23717"/>
      <w:bookmarkStart w:id="699" w:name="_Toc9063"/>
      <w:bookmarkStart w:id="700" w:name="_Toc235"/>
      <w:bookmarkStart w:id="701" w:name="_Toc152045578"/>
      <w:bookmarkStart w:id="702" w:name="_Toc24"/>
      <w:bookmarkStart w:id="703" w:name="_Toc490667871"/>
      <w:bookmarkStart w:id="704" w:name="_Toc466298134"/>
      <w:bookmarkStart w:id="705" w:name="_Toc144974546"/>
      <w:r>
        <w:rPr>
          <w:rFonts w:hint="eastAsia" w:ascii="宋体" w:hAnsi="宋体" w:eastAsia="宋体" w:cs="宋体"/>
          <w:b/>
          <w:color w:val="auto"/>
          <w:szCs w:val="21"/>
          <w:highlight w:val="none"/>
        </w:rPr>
        <w:t>9.4 对与评标活动有关的工作人员的纪律要求</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0031AB5F">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bookmarkStart w:id="706" w:name="_Toc152042355"/>
      <w:r>
        <w:rPr>
          <w:rFonts w:hint="eastAsia" w:ascii="宋体" w:hAnsi="宋体" w:eastAsia="宋体" w:cs="宋体"/>
          <w:color w:val="auto"/>
          <w:szCs w:val="21"/>
          <w:highlight w:val="none"/>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706"/>
    </w:p>
    <w:p w14:paraId="1765B411">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bookmarkStart w:id="707" w:name="_Toc31010"/>
      <w:bookmarkStart w:id="708" w:name="_Toc32675"/>
      <w:bookmarkStart w:id="709" w:name="_Toc1820"/>
      <w:bookmarkStart w:id="710" w:name="_Toc3303"/>
      <w:bookmarkStart w:id="711" w:name="_Toc490667872"/>
      <w:bookmarkStart w:id="712" w:name="_Toc152042356"/>
      <w:bookmarkStart w:id="713" w:name="_Toc455867812"/>
      <w:bookmarkStart w:id="714" w:name="_Toc152045579"/>
      <w:bookmarkStart w:id="715" w:name="_Toc5504"/>
      <w:bookmarkStart w:id="716" w:name="_Toc318450718"/>
      <w:bookmarkStart w:id="717" w:name="_Toc25751"/>
      <w:bookmarkStart w:id="718" w:name="_Toc8074"/>
      <w:bookmarkStart w:id="719" w:name="_Toc17735"/>
      <w:bookmarkStart w:id="720" w:name="_Toc6199"/>
      <w:bookmarkStart w:id="721" w:name="_Toc3617"/>
      <w:bookmarkStart w:id="722" w:name="_Toc27420"/>
      <w:bookmarkStart w:id="723" w:name="_Toc466298135"/>
      <w:bookmarkStart w:id="724" w:name="_Toc455080152"/>
      <w:r>
        <w:rPr>
          <w:rFonts w:hint="eastAsia" w:ascii="宋体" w:hAnsi="宋体" w:eastAsia="宋体" w:cs="宋体"/>
          <w:b/>
          <w:color w:val="auto"/>
          <w:szCs w:val="21"/>
          <w:highlight w:val="none"/>
        </w:rPr>
        <w:t>9.5 投诉</w:t>
      </w:r>
      <w:bookmarkEnd w:id="705"/>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4ED27518">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供应商和其他利害关系人认为本次磋商活动违反法律、法规和规章规定的，有权向有关行政监督部门投诉。</w:t>
      </w:r>
    </w:p>
    <w:p w14:paraId="59CAF548">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bookmarkStart w:id="725" w:name="_Toc18280"/>
      <w:bookmarkStart w:id="726" w:name="_Toc144974547"/>
      <w:bookmarkStart w:id="727" w:name="_Toc152042357"/>
      <w:bookmarkStart w:id="728" w:name="_Toc152045580"/>
      <w:bookmarkStart w:id="729" w:name="_Toc24942"/>
      <w:bookmarkStart w:id="730" w:name="_Toc14221"/>
      <w:bookmarkStart w:id="731" w:name="_Toc455080153"/>
      <w:r>
        <w:rPr>
          <w:rFonts w:hint="eastAsia" w:ascii="宋体" w:hAnsi="宋体" w:eastAsia="宋体" w:cs="宋体"/>
          <w:b/>
          <w:color w:val="auto"/>
          <w:szCs w:val="21"/>
          <w:highlight w:val="none"/>
        </w:rPr>
        <w:t>10. 需要补充的其他内容</w:t>
      </w:r>
      <w:bookmarkEnd w:id="725"/>
      <w:bookmarkEnd w:id="726"/>
      <w:bookmarkEnd w:id="727"/>
      <w:bookmarkEnd w:id="728"/>
      <w:bookmarkEnd w:id="729"/>
      <w:bookmarkEnd w:id="730"/>
      <w:bookmarkEnd w:id="731"/>
    </w:p>
    <w:p w14:paraId="7D3F9331">
      <w:pPr>
        <w:pageBreakBefore w:val="0"/>
        <w:kinsoku/>
        <w:wordWrap w:val="0"/>
        <w:overflowPunct/>
        <w:autoSpaceDE w:val="0"/>
        <w:autoSpaceDN w:val="0"/>
        <w:bidi w:val="0"/>
        <w:adjustRightInd w:val="0"/>
        <w:snapToGrid w:val="0"/>
        <w:spacing w:after="120" w:afterLines="50"/>
        <w:jc w:val="center"/>
        <w:outlineLvl w:val="0"/>
        <w:rPr>
          <w:rFonts w:hint="eastAsia" w:ascii="宋体" w:hAnsi="宋体" w:eastAsia="宋体" w:cs="宋体"/>
          <w:b/>
          <w:bCs/>
          <w:color w:val="auto"/>
          <w:kern w:val="44"/>
          <w:sz w:val="44"/>
          <w:szCs w:val="44"/>
          <w:highlight w:val="none"/>
        </w:rPr>
      </w:pPr>
      <w:r>
        <w:rPr>
          <w:rFonts w:hint="eastAsia" w:ascii="宋体" w:hAnsi="宋体" w:eastAsia="宋体" w:cs="宋体"/>
          <w:color w:val="auto"/>
          <w:highlight w:val="none"/>
        </w:rPr>
        <w:br w:type="page"/>
      </w:r>
      <w:bookmarkStart w:id="732" w:name="_Toc16648"/>
      <w:r>
        <w:rPr>
          <w:rFonts w:hint="eastAsia" w:ascii="宋体" w:hAnsi="宋体" w:eastAsia="宋体" w:cs="宋体"/>
          <w:b/>
          <w:bCs/>
          <w:color w:val="auto"/>
          <w:kern w:val="44"/>
          <w:sz w:val="44"/>
          <w:szCs w:val="44"/>
          <w:highlight w:val="none"/>
        </w:rPr>
        <w:t>第三章 评标办法</w:t>
      </w:r>
      <w:bookmarkEnd w:id="11"/>
      <w:bookmarkEnd w:id="12"/>
      <w:r>
        <w:rPr>
          <w:rFonts w:hint="eastAsia" w:ascii="宋体" w:hAnsi="宋体" w:eastAsia="宋体" w:cs="宋体"/>
          <w:b/>
          <w:bCs/>
          <w:color w:val="auto"/>
          <w:kern w:val="44"/>
          <w:sz w:val="44"/>
          <w:szCs w:val="44"/>
          <w:highlight w:val="none"/>
        </w:rPr>
        <w:t>（综合评分法）</w:t>
      </w:r>
      <w:bookmarkEnd w:id="732"/>
      <w:bookmarkStart w:id="733" w:name="_Toc27806"/>
      <w:bookmarkStart w:id="734" w:name="_Toc455867816"/>
      <w:bookmarkStart w:id="735" w:name="_Toc152045599"/>
      <w:bookmarkStart w:id="736" w:name="_Toc455080156"/>
      <w:bookmarkStart w:id="737" w:name="_Toc144974566"/>
      <w:bookmarkStart w:id="738" w:name="_Toc318450721"/>
      <w:bookmarkStart w:id="739" w:name="_Toc922"/>
      <w:bookmarkStart w:id="740" w:name="_Toc466298139"/>
      <w:bookmarkStart w:id="741" w:name="_Toc152042376"/>
      <w:bookmarkStart w:id="742" w:name="_Toc281405527"/>
      <w:bookmarkStart w:id="743" w:name="_Toc482"/>
      <w:bookmarkStart w:id="744" w:name="_Toc28069"/>
    </w:p>
    <w:p w14:paraId="6099B63E">
      <w:pPr>
        <w:pageBreakBefore w:val="0"/>
        <w:kinsoku/>
        <w:wordWrap w:val="0"/>
        <w:overflowPunct/>
        <w:autoSpaceDE w:val="0"/>
        <w:autoSpaceDN w:val="0"/>
        <w:bidi w:val="0"/>
        <w:adjustRightInd w:val="0"/>
        <w:snapToGrid w:val="0"/>
        <w:spacing w:after="120" w:afterLines="50"/>
        <w:jc w:val="center"/>
        <w:outlineLvl w:val="0"/>
        <w:rPr>
          <w:rFonts w:hint="eastAsia" w:ascii="宋体" w:hAnsi="宋体" w:eastAsia="宋体" w:cs="宋体"/>
          <w:b/>
          <w:color w:val="auto"/>
          <w:kern w:val="0"/>
          <w:sz w:val="32"/>
          <w:szCs w:val="32"/>
          <w:highlight w:val="none"/>
        </w:rPr>
      </w:pPr>
      <w:bookmarkStart w:id="745" w:name="_Toc2901"/>
      <w:r>
        <w:rPr>
          <w:rFonts w:hint="eastAsia" w:ascii="宋体" w:hAnsi="宋体" w:eastAsia="宋体" w:cs="宋体"/>
          <w:color w:val="auto"/>
          <w:sz w:val="24"/>
          <w:highlight w:val="none"/>
        </w:rPr>
        <w:t>评审办法前附表</w:t>
      </w:r>
      <w:bookmarkEnd w:id="733"/>
      <w:bookmarkEnd w:id="734"/>
      <w:bookmarkEnd w:id="735"/>
      <w:bookmarkEnd w:id="736"/>
      <w:bookmarkEnd w:id="737"/>
      <w:bookmarkEnd w:id="738"/>
      <w:bookmarkEnd w:id="739"/>
      <w:bookmarkEnd w:id="740"/>
      <w:bookmarkEnd w:id="741"/>
      <w:bookmarkEnd w:id="742"/>
      <w:bookmarkEnd w:id="743"/>
      <w:bookmarkEnd w:id="744"/>
      <w:bookmarkEnd w:id="745"/>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3"/>
        <w:gridCol w:w="637"/>
        <w:gridCol w:w="2424"/>
        <w:gridCol w:w="5244"/>
      </w:tblGrid>
      <w:tr w14:paraId="60AC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tblHeader/>
          <w:jc w:val="center"/>
        </w:trPr>
        <w:tc>
          <w:tcPr>
            <w:tcW w:w="1620" w:type="dxa"/>
            <w:gridSpan w:val="2"/>
            <w:noWrap w:val="0"/>
            <w:vAlign w:val="center"/>
          </w:tcPr>
          <w:p w14:paraId="2081FFF7">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2424" w:type="dxa"/>
            <w:noWrap w:val="0"/>
            <w:vAlign w:val="center"/>
          </w:tcPr>
          <w:p w14:paraId="07230DCA">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评审因素</w:t>
            </w:r>
          </w:p>
        </w:tc>
        <w:tc>
          <w:tcPr>
            <w:tcW w:w="5244" w:type="dxa"/>
            <w:noWrap w:val="0"/>
            <w:vAlign w:val="center"/>
          </w:tcPr>
          <w:p w14:paraId="5348FE48">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评审标准</w:t>
            </w:r>
          </w:p>
        </w:tc>
      </w:tr>
      <w:tr w14:paraId="0D7E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9" w:hRule="atLeast"/>
          <w:jc w:val="center"/>
        </w:trPr>
        <w:tc>
          <w:tcPr>
            <w:tcW w:w="983" w:type="dxa"/>
            <w:vMerge w:val="restart"/>
            <w:noWrap w:val="0"/>
            <w:vAlign w:val="center"/>
          </w:tcPr>
          <w:p w14:paraId="5A92E11E">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p>
        </w:tc>
        <w:tc>
          <w:tcPr>
            <w:tcW w:w="637" w:type="dxa"/>
            <w:vMerge w:val="restart"/>
            <w:noWrap w:val="0"/>
            <w:vAlign w:val="center"/>
          </w:tcPr>
          <w:p w14:paraId="6228D4E1">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资格评审标准</w:t>
            </w:r>
          </w:p>
        </w:tc>
        <w:tc>
          <w:tcPr>
            <w:tcW w:w="2424" w:type="dxa"/>
            <w:noWrap w:val="0"/>
            <w:vAlign w:val="center"/>
          </w:tcPr>
          <w:p w14:paraId="5CF489DE">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符合《中华人民共和国政府采购法》第22条规定</w:t>
            </w:r>
          </w:p>
        </w:tc>
        <w:tc>
          <w:tcPr>
            <w:tcW w:w="5244" w:type="dxa"/>
            <w:noWrap w:val="0"/>
            <w:vAlign w:val="center"/>
          </w:tcPr>
          <w:p w14:paraId="03C84ED3">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符合第二章“供应商须知”第1.</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.1项规定</w:t>
            </w:r>
          </w:p>
        </w:tc>
      </w:tr>
      <w:tr w14:paraId="0BFA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79D3D5B3">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highlight w:val="none"/>
              </w:rPr>
            </w:pPr>
          </w:p>
        </w:tc>
        <w:tc>
          <w:tcPr>
            <w:tcW w:w="637" w:type="dxa"/>
            <w:vMerge w:val="continue"/>
            <w:noWrap w:val="0"/>
            <w:vAlign w:val="center"/>
          </w:tcPr>
          <w:p w14:paraId="3A9237C9">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highlight w:val="none"/>
              </w:rPr>
            </w:pPr>
          </w:p>
        </w:tc>
        <w:tc>
          <w:tcPr>
            <w:tcW w:w="2424" w:type="dxa"/>
            <w:noWrap w:val="0"/>
            <w:vAlign w:val="center"/>
          </w:tcPr>
          <w:p w14:paraId="59E7696D">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落实政府采购政策需满足的资格要求</w:t>
            </w:r>
          </w:p>
        </w:tc>
        <w:tc>
          <w:tcPr>
            <w:tcW w:w="5244" w:type="dxa"/>
            <w:noWrap w:val="0"/>
            <w:vAlign w:val="center"/>
          </w:tcPr>
          <w:p w14:paraId="314F335E">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符合第二章“供应商须知”第1.</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.1项规定</w:t>
            </w:r>
          </w:p>
        </w:tc>
      </w:tr>
      <w:tr w14:paraId="552B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357FE9F8">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highlight w:val="none"/>
              </w:rPr>
            </w:pPr>
          </w:p>
        </w:tc>
        <w:tc>
          <w:tcPr>
            <w:tcW w:w="637" w:type="dxa"/>
            <w:vMerge w:val="continue"/>
            <w:noWrap w:val="0"/>
            <w:vAlign w:val="center"/>
          </w:tcPr>
          <w:p w14:paraId="59A1FD8F">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highlight w:val="none"/>
              </w:rPr>
            </w:pPr>
          </w:p>
        </w:tc>
        <w:tc>
          <w:tcPr>
            <w:tcW w:w="2424" w:type="dxa"/>
            <w:noWrap w:val="0"/>
            <w:vAlign w:val="center"/>
          </w:tcPr>
          <w:p w14:paraId="74A4EBFE">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特定要求</w:t>
            </w:r>
          </w:p>
        </w:tc>
        <w:tc>
          <w:tcPr>
            <w:tcW w:w="5244" w:type="dxa"/>
            <w:noWrap w:val="0"/>
            <w:vAlign w:val="center"/>
          </w:tcPr>
          <w:p w14:paraId="2F255163">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符合第二章“供应商须知”第1.</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.1项规定</w:t>
            </w:r>
          </w:p>
        </w:tc>
      </w:tr>
      <w:tr w14:paraId="440E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5537ED3B">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highlight w:val="none"/>
              </w:rPr>
            </w:pPr>
          </w:p>
        </w:tc>
        <w:tc>
          <w:tcPr>
            <w:tcW w:w="637" w:type="dxa"/>
            <w:vMerge w:val="continue"/>
            <w:noWrap w:val="0"/>
            <w:vAlign w:val="center"/>
          </w:tcPr>
          <w:p w14:paraId="5D7D6849">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highlight w:val="none"/>
              </w:rPr>
            </w:pPr>
          </w:p>
        </w:tc>
        <w:tc>
          <w:tcPr>
            <w:tcW w:w="7668" w:type="dxa"/>
            <w:gridSpan w:val="2"/>
            <w:noWrap w:val="0"/>
            <w:vAlign w:val="center"/>
          </w:tcPr>
          <w:p w14:paraId="7D0869B5">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注：响应文件中附相关证件影印件，资料不全或不合格者视为未通过资格审查</w:t>
            </w:r>
          </w:p>
        </w:tc>
      </w:tr>
      <w:tr w14:paraId="10B1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restart"/>
            <w:noWrap w:val="0"/>
            <w:vAlign w:val="center"/>
          </w:tcPr>
          <w:p w14:paraId="2718D9AE">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2.1.2</w:t>
            </w:r>
          </w:p>
        </w:tc>
        <w:tc>
          <w:tcPr>
            <w:tcW w:w="637" w:type="dxa"/>
            <w:vMerge w:val="restart"/>
            <w:noWrap w:val="0"/>
            <w:vAlign w:val="center"/>
          </w:tcPr>
          <w:p w14:paraId="25935DF8">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符合性评审标准</w:t>
            </w:r>
          </w:p>
        </w:tc>
        <w:tc>
          <w:tcPr>
            <w:tcW w:w="2424" w:type="dxa"/>
            <w:noWrap w:val="0"/>
            <w:vAlign w:val="center"/>
          </w:tcPr>
          <w:p w14:paraId="7671020C">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供应商名称</w:t>
            </w:r>
          </w:p>
        </w:tc>
        <w:tc>
          <w:tcPr>
            <w:tcW w:w="5244" w:type="dxa"/>
            <w:noWrap w:val="0"/>
            <w:vAlign w:val="center"/>
          </w:tcPr>
          <w:p w14:paraId="1A54DC5B">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与营业执照一致</w:t>
            </w:r>
          </w:p>
        </w:tc>
      </w:tr>
      <w:tr w14:paraId="67AF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79D36B7C">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rPr>
            </w:pPr>
          </w:p>
        </w:tc>
        <w:tc>
          <w:tcPr>
            <w:tcW w:w="637" w:type="dxa"/>
            <w:vMerge w:val="continue"/>
            <w:noWrap w:val="0"/>
            <w:vAlign w:val="center"/>
          </w:tcPr>
          <w:p w14:paraId="4C1E5EBD">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rPr>
            </w:pPr>
          </w:p>
        </w:tc>
        <w:tc>
          <w:tcPr>
            <w:tcW w:w="2424" w:type="dxa"/>
            <w:noWrap w:val="0"/>
            <w:vAlign w:val="center"/>
          </w:tcPr>
          <w:p w14:paraId="4E4AEDBD">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响应文件签字盖章</w:t>
            </w:r>
          </w:p>
        </w:tc>
        <w:tc>
          <w:tcPr>
            <w:tcW w:w="5244" w:type="dxa"/>
            <w:noWrap w:val="0"/>
            <w:vAlign w:val="center"/>
          </w:tcPr>
          <w:p w14:paraId="55D99C49">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符合第二章“供应商须知”第3.</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项规定</w:t>
            </w:r>
          </w:p>
        </w:tc>
      </w:tr>
      <w:tr w14:paraId="6C1E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50E82839">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rPr>
            </w:pPr>
          </w:p>
        </w:tc>
        <w:tc>
          <w:tcPr>
            <w:tcW w:w="637" w:type="dxa"/>
            <w:vMerge w:val="continue"/>
            <w:noWrap w:val="0"/>
            <w:vAlign w:val="center"/>
          </w:tcPr>
          <w:p w14:paraId="0A924F2B">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rPr>
            </w:pPr>
          </w:p>
        </w:tc>
        <w:tc>
          <w:tcPr>
            <w:tcW w:w="2424" w:type="dxa"/>
            <w:noWrap w:val="0"/>
            <w:vAlign w:val="center"/>
          </w:tcPr>
          <w:p w14:paraId="793ACCED">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响应文件格式</w:t>
            </w:r>
          </w:p>
        </w:tc>
        <w:tc>
          <w:tcPr>
            <w:tcW w:w="5244" w:type="dxa"/>
            <w:noWrap w:val="0"/>
            <w:vAlign w:val="center"/>
          </w:tcPr>
          <w:p w14:paraId="3D46D689">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符合第六章“响应文件格式”的要求</w:t>
            </w:r>
          </w:p>
        </w:tc>
      </w:tr>
      <w:tr w14:paraId="64AE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613AAAD6">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rPr>
            </w:pPr>
          </w:p>
        </w:tc>
        <w:tc>
          <w:tcPr>
            <w:tcW w:w="637" w:type="dxa"/>
            <w:vMerge w:val="continue"/>
            <w:noWrap w:val="0"/>
            <w:vAlign w:val="center"/>
          </w:tcPr>
          <w:p w14:paraId="253090D5">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rPr>
            </w:pPr>
          </w:p>
        </w:tc>
        <w:tc>
          <w:tcPr>
            <w:tcW w:w="2424" w:type="dxa"/>
            <w:noWrap w:val="0"/>
            <w:vAlign w:val="center"/>
          </w:tcPr>
          <w:p w14:paraId="588F2CEA">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磋商报价</w:t>
            </w:r>
          </w:p>
        </w:tc>
        <w:tc>
          <w:tcPr>
            <w:tcW w:w="5244" w:type="dxa"/>
            <w:noWrap w:val="0"/>
            <w:vAlign w:val="center"/>
          </w:tcPr>
          <w:p w14:paraId="4E8E3E06">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报价不超过预算价（最高限价）</w:t>
            </w:r>
          </w:p>
        </w:tc>
      </w:tr>
      <w:tr w14:paraId="0AFE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1EA1910A">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rPr>
            </w:pPr>
          </w:p>
        </w:tc>
        <w:tc>
          <w:tcPr>
            <w:tcW w:w="637" w:type="dxa"/>
            <w:vMerge w:val="continue"/>
            <w:noWrap w:val="0"/>
            <w:vAlign w:val="center"/>
          </w:tcPr>
          <w:p w14:paraId="68BFCED9">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rPr>
            </w:pPr>
          </w:p>
        </w:tc>
        <w:tc>
          <w:tcPr>
            <w:tcW w:w="2424" w:type="dxa"/>
            <w:noWrap w:val="0"/>
            <w:vAlign w:val="center"/>
          </w:tcPr>
          <w:p w14:paraId="1F827977">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质量要求</w:t>
            </w:r>
          </w:p>
        </w:tc>
        <w:tc>
          <w:tcPr>
            <w:tcW w:w="5244" w:type="dxa"/>
            <w:noWrap w:val="0"/>
            <w:vAlign w:val="center"/>
          </w:tcPr>
          <w:p w14:paraId="068CA583">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符合第二章“供应商须知”第1.</w:t>
            </w:r>
            <w:r>
              <w:rPr>
                <w:rFonts w:hint="eastAsia" w:ascii="宋体" w:hAnsi="宋体" w:eastAsia="宋体" w:cs="宋体"/>
                <w:color w:val="auto"/>
                <w:kern w:val="0"/>
                <w:szCs w:val="21"/>
                <w:highlight w:val="none"/>
                <w:lang w:val="en-US" w:eastAsia="zh-CN"/>
              </w:rPr>
              <w:t>4.2</w:t>
            </w:r>
            <w:r>
              <w:rPr>
                <w:rFonts w:hint="eastAsia" w:ascii="宋体" w:hAnsi="宋体" w:eastAsia="宋体" w:cs="宋体"/>
                <w:color w:val="auto"/>
                <w:kern w:val="0"/>
                <w:szCs w:val="21"/>
                <w:highlight w:val="none"/>
              </w:rPr>
              <w:t>项规定</w:t>
            </w:r>
          </w:p>
        </w:tc>
      </w:tr>
      <w:tr w14:paraId="24FD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1C7046D4">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rPr>
            </w:pPr>
          </w:p>
        </w:tc>
        <w:tc>
          <w:tcPr>
            <w:tcW w:w="637" w:type="dxa"/>
            <w:vMerge w:val="continue"/>
            <w:noWrap w:val="0"/>
            <w:vAlign w:val="center"/>
          </w:tcPr>
          <w:p w14:paraId="75179EFB">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rPr>
            </w:pPr>
          </w:p>
        </w:tc>
        <w:tc>
          <w:tcPr>
            <w:tcW w:w="2424" w:type="dxa"/>
            <w:noWrap w:val="0"/>
            <w:vAlign w:val="center"/>
          </w:tcPr>
          <w:p w14:paraId="3A8C7CDC">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供货期</w:t>
            </w:r>
          </w:p>
        </w:tc>
        <w:tc>
          <w:tcPr>
            <w:tcW w:w="5244" w:type="dxa"/>
            <w:noWrap w:val="0"/>
            <w:vAlign w:val="center"/>
          </w:tcPr>
          <w:p w14:paraId="2A9023AC">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符合第二章“供应商须知”第1.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.3项规定</w:t>
            </w:r>
          </w:p>
        </w:tc>
      </w:tr>
      <w:tr w14:paraId="1250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83" w:type="dxa"/>
            <w:vMerge w:val="continue"/>
            <w:noWrap w:val="0"/>
            <w:vAlign w:val="center"/>
          </w:tcPr>
          <w:p w14:paraId="4EB95FF8">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rPr>
            </w:pPr>
          </w:p>
        </w:tc>
        <w:tc>
          <w:tcPr>
            <w:tcW w:w="637" w:type="dxa"/>
            <w:vMerge w:val="continue"/>
            <w:noWrap w:val="0"/>
            <w:vAlign w:val="center"/>
          </w:tcPr>
          <w:p w14:paraId="76BF1B61">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rPr>
            </w:pPr>
          </w:p>
        </w:tc>
        <w:tc>
          <w:tcPr>
            <w:tcW w:w="2424" w:type="dxa"/>
            <w:noWrap w:val="0"/>
            <w:vAlign w:val="center"/>
          </w:tcPr>
          <w:p w14:paraId="34AC6B57">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磋商有效期</w:t>
            </w:r>
          </w:p>
        </w:tc>
        <w:tc>
          <w:tcPr>
            <w:tcW w:w="5244" w:type="dxa"/>
            <w:noWrap w:val="0"/>
            <w:vAlign w:val="center"/>
          </w:tcPr>
          <w:p w14:paraId="631CA6F7">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符合第二章“供应商须知”第3.</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.1项规定</w:t>
            </w:r>
          </w:p>
        </w:tc>
      </w:tr>
    </w:tbl>
    <w:p w14:paraId="1A63980F">
      <w:pPr>
        <w:rPr>
          <w:rFonts w:hint="eastAsia" w:ascii="宋体" w:hAnsi="宋体" w:eastAsia="宋体" w:cs="宋体"/>
          <w:color w:val="auto"/>
          <w:highlight w:val="none"/>
        </w:rPr>
      </w:pPr>
    </w:p>
    <w:p w14:paraId="504AFA7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04AA073A">
      <w:pPr>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lang w:val="en-US" w:eastAsia="zh-CN"/>
        </w:rPr>
        <w:t>详细评审附表</w:t>
      </w:r>
    </w:p>
    <w:tbl>
      <w:tblPr>
        <w:tblStyle w:val="5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112"/>
        <w:gridCol w:w="1121"/>
        <w:gridCol w:w="6205"/>
      </w:tblGrid>
      <w:tr w14:paraId="3F14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052" w:type="pct"/>
            <w:gridSpan w:val="2"/>
            <w:tcBorders>
              <w:top w:val="single" w:color="auto" w:sz="4" w:space="0"/>
              <w:left w:val="single" w:color="auto" w:sz="4" w:space="0"/>
              <w:bottom w:val="single" w:color="auto" w:sz="4" w:space="0"/>
              <w:right w:val="single" w:color="auto" w:sz="4" w:space="0"/>
            </w:tcBorders>
            <w:noWrap w:val="0"/>
            <w:vAlign w:val="center"/>
          </w:tcPr>
          <w:p w14:paraId="5A925B1C">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2.2.1</w:t>
            </w:r>
          </w:p>
        </w:tc>
        <w:tc>
          <w:tcPr>
            <w:tcW w:w="604" w:type="pct"/>
            <w:tcBorders>
              <w:top w:val="single" w:color="auto" w:sz="4" w:space="0"/>
              <w:left w:val="single" w:color="auto" w:sz="4" w:space="0"/>
              <w:bottom w:val="single" w:color="auto" w:sz="4" w:space="0"/>
              <w:right w:val="single" w:color="auto" w:sz="4" w:space="0"/>
            </w:tcBorders>
            <w:noWrap w:val="0"/>
            <w:vAlign w:val="center"/>
          </w:tcPr>
          <w:p w14:paraId="6E9F0349">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分值构成</w:t>
            </w:r>
          </w:p>
          <w:p w14:paraId="34A3D098">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(总分100分)</w:t>
            </w:r>
          </w:p>
        </w:tc>
        <w:tc>
          <w:tcPr>
            <w:tcW w:w="3343" w:type="pct"/>
            <w:tcBorders>
              <w:top w:val="single" w:color="auto" w:sz="4" w:space="0"/>
              <w:left w:val="single" w:color="auto" w:sz="4" w:space="0"/>
              <w:bottom w:val="single" w:color="auto" w:sz="4" w:space="0"/>
              <w:right w:val="single" w:color="auto" w:sz="4" w:space="0"/>
            </w:tcBorders>
            <w:noWrap w:val="0"/>
            <w:vAlign w:val="center"/>
          </w:tcPr>
          <w:p w14:paraId="4B6F281E">
            <w:pPr>
              <w:keepNext w:val="0"/>
              <w:keepLines w:val="0"/>
              <w:suppressLineNumbers w:val="0"/>
              <w:autoSpaceDE w:val="0"/>
              <w:autoSpaceDN w:val="0"/>
              <w:adjustRightInd w:val="0"/>
              <w:spacing w:before="0" w:beforeAutospacing="0" w:after="0" w:afterAutospacing="0" w:line="400" w:lineRule="exact"/>
              <w:ind w:left="38" w:leftChars="18" w:right="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商务部分</w:t>
            </w:r>
            <w:r>
              <w:rPr>
                <w:rFonts w:hint="eastAsia" w:ascii="宋体" w:hAnsi="宋体" w:eastAsia="宋体" w:cs="宋体"/>
                <w:b/>
                <w:bCs/>
                <w:color w:val="auto"/>
                <w:kern w:val="0"/>
                <w:sz w:val="21"/>
                <w:szCs w:val="21"/>
                <w:highlight w:val="none"/>
              </w:rPr>
              <w:t>：</w:t>
            </w:r>
            <w:r>
              <w:rPr>
                <w:rFonts w:hint="eastAsia" w:ascii="宋体" w:hAnsi="宋体" w:cs="宋体"/>
                <w:b/>
                <w:bCs/>
                <w:color w:val="auto"/>
                <w:kern w:val="0"/>
                <w:sz w:val="21"/>
                <w:szCs w:val="21"/>
                <w:highlight w:val="none"/>
                <w:lang w:val="en-US" w:eastAsia="zh-CN"/>
              </w:rPr>
              <w:t>30</w:t>
            </w:r>
            <w:r>
              <w:rPr>
                <w:rFonts w:hint="eastAsia" w:ascii="宋体" w:hAnsi="宋体" w:eastAsia="宋体" w:cs="宋体"/>
                <w:b/>
                <w:bCs/>
                <w:color w:val="auto"/>
                <w:kern w:val="0"/>
                <w:sz w:val="21"/>
                <w:szCs w:val="21"/>
                <w:highlight w:val="none"/>
              </w:rPr>
              <w:t>分</w:t>
            </w:r>
          </w:p>
          <w:p w14:paraId="70A0E7B7">
            <w:pPr>
              <w:keepNext w:val="0"/>
              <w:keepLines w:val="0"/>
              <w:suppressLineNumbers w:val="0"/>
              <w:autoSpaceDE w:val="0"/>
              <w:autoSpaceDN w:val="0"/>
              <w:adjustRightInd w:val="0"/>
              <w:spacing w:before="0" w:beforeAutospacing="0" w:after="0" w:afterAutospacing="0" w:line="400" w:lineRule="exact"/>
              <w:ind w:left="38" w:leftChars="18" w:right="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技术部分：</w:t>
            </w:r>
            <w:r>
              <w:rPr>
                <w:rFonts w:hint="eastAsia" w:ascii="宋体" w:hAnsi="宋体" w:cs="宋体"/>
                <w:b/>
                <w:color w:val="auto"/>
                <w:sz w:val="21"/>
                <w:szCs w:val="21"/>
                <w:highlight w:val="none"/>
                <w:lang w:val="en-US" w:eastAsia="zh-CN"/>
              </w:rPr>
              <w:t>38</w:t>
            </w:r>
            <w:r>
              <w:rPr>
                <w:rFonts w:hint="eastAsia" w:ascii="宋体" w:hAnsi="宋体" w:eastAsia="宋体" w:cs="宋体"/>
                <w:b/>
                <w:color w:val="auto"/>
                <w:sz w:val="21"/>
                <w:szCs w:val="21"/>
                <w:highlight w:val="none"/>
              </w:rPr>
              <w:t>分</w:t>
            </w:r>
          </w:p>
          <w:p w14:paraId="75CDE366">
            <w:pPr>
              <w:keepNext w:val="0"/>
              <w:keepLines w:val="0"/>
              <w:suppressLineNumbers w:val="0"/>
              <w:autoSpaceDE w:val="0"/>
              <w:autoSpaceDN w:val="0"/>
              <w:adjustRightInd w:val="0"/>
              <w:spacing w:before="0" w:beforeAutospacing="0" w:after="0" w:afterAutospacing="0" w:line="400" w:lineRule="exact"/>
              <w:ind w:left="38" w:leftChars="18" w:right="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综合</w:t>
            </w:r>
            <w:r>
              <w:rPr>
                <w:rFonts w:hint="eastAsia" w:ascii="宋体" w:hAnsi="宋体" w:eastAsia="宋体" w:cs="宋体"/>
                <w:b/>
                <w:color w:val="auto"/>
                <w:sz w:val="21"/>
                <w:szCs w:val="21"/>
                <w:highlight w:val="none"/>
              </w:rPr>
              <w:t>部分：</w:t>
            </w:r>
            <w:r>
              <w:rPr>
                <w:rFonts w:hint="eastAsia" w:ascii="宋体" w:hAnsi="宋体" w:cs="宋体"/>
                <w:b/>
                <w:color w:val="auto"/>
                <w:sz w:val="21"/>
                <w:szCs w:val="21"/>
                <w:highlight w:val="none"/>
                <w:lang w:val="en-US" w:eastAsia="zh-CN"/>
              </w:rPr>
              <w:t>27</w:t>
            </w:r>
            <w:r>
              <w:rPr>
                <w:rFonts w:hint="eastAsia" w:ascii="宋体" w:hAnsi="宋体" w:eastAsia="宋体" w:cs="宋体"/>
                <w:b/>
                <w:color w:val="auto"/>
                <w:sz w:val="21"/>
                <w:szCs w:val="21"/>
                <w:highlight w:val="none"/>
              </w:rPr>
              <w:t>分</w:t>
            </w:r>
          </w:p>
        </w:tc>
      </w:tr>
      <w:tr w14:paraId="5AD8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52" w:type="pct"/>
            <w:gridSpan w:val="2"/>
            <w:tcBorders>
              <w:top w:val="single" w:color="auto" w:sz="4" w:space="0"/>
              <w:left w:val="single" w:color="auto" w:sz="4" w:space="0"/>
              <w:bottom w:val="single" w:color="auto" w:sz="4" w:space="0"/>
              <w:right w:val="single" w:color="auto" w:sz="4" w:space="0"/>
            </w:tcBorders>
            <w:noWrap w:val="0"/>
            <w:vAlign w:val="center"/>
          </w:tcPr>
          <w:p w14:paraId="16109AC9">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604" w:type="pct"/>
            <w:tcBorders>
              <w:top w:val="single" w:color="auto" w:sz="4" w:space="0"/>
              <w:left w:val="single" w:color="auto" w:sz="4" w:space="0"/>
              <w:bottom w:val="single" w:color="auto" w:sz="4" w:space="0"/>
              <w:right w:val="single" w:color="auto" w:sz="4" w:space="0"/>
            </w:tcBorders>
            <w:noWrap w:val="0"/>
            <w:vAlign w:val="center"/>
          </w:tcPr>
          <w:p w14:paraId="43C137B6">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评分因素</w:t>
            </w:r>
          </w:p>
        </w:tc>
        <w:tc>
          <w:tcPr>
            <w:tcW w:w="3343" w:type="pct"/>
            <w:tcBorders>
              <w:top w:val="single" w:color="auto" w:sz="4" w:space="0"/>
              <w:left w:val="single" w:color="auto" w:sz="4" w:space="0"/>
              <w:bottom w:val="single" w:color="auto" w:sz="4" w:space="0"/>
              <w:right w:val="single" w:color="auto" w:sz="4" w:space="0"/>
            </w:tcBorders>
            <w:noWrap w:val="0"/>
            <w:vAlign w:val="center"/>
          </w:tcPr>
          <w:p w14:paraId="5A536809">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评分标准</w:t>
            </w:r>
          </w:p>
        </w:tc>
      </w:tr>
      <w:tr w14:paraId="5CF0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453" w:type="pct"/>
            <w:tcBorders>
              <w:top w:val="single" w:color="auto" w:sz="4" w:space="0"/>
              <w:left w:val="single" w:color="auto" w:sz="4" w:space="0"/>
              <w:bottom w:val="single" w:color="auto" w:sz="4" w:space="0"/>
              <w:right w:val="single" w:color="auto" w:sz="4" w:space="0"/>
            </w:tcBorders>
            <w:noWrap w:val="0"/>
            <w:vAlign w:val="center"/>
          </w:tcPr>
          <w:p w14:paraId="1D3E5F4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2.2.2（1）</w:t>
            </w:r>
          </w:p>
        </w:tc>
        <w:tc>
          <w:tcPr>
            <w:tcW w:w="599" w:type="pct"/>
            <w:tcBorders>
              <w:top w:val="single" w:color="auto" w:sz="4" w:space="0"/>
              <w:left w:val="single" w:color="auto" w:sz="4" w:space="0"/>
              <w:bottom w:val="single" w:color="auto" w:sz="4" w:space="0"/>
              <w:right w:val="single" w:color="auto" w:sz="4" w:space="0"/>
            </w:tcBorders>
            <w:noWrap w:val="0"/>
            <w:vAlign w:val="center"/>
          </w:tcPr>
          <w:p w14:paraId="1A24DD9B">
            <w:pPr>
              <w:keepNext w:val="0"/>
              <w:keepLines w:val="0"/>
              <w:widowControl/>
              <w:suppressLineNumbers w:val="0"/>
              <w:spacing w:before="0" w:beforeAutospacing="0" w:after="0" w:afterAutospacing="0"/>
              <w:ind w:left="0" w:right="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商务部分</w:t>
            </w:r>
          </w:p>
          <w:p w14:paraId="21582CAB">
            <w:pPr>
              <w:keepNext w:val="0"/>
              <w:keepLines w:val="0"/>
              <w:widowControl/>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30</w:t>
            </w:r>
            <w:r>
              <w:rPr>
                <w:rFonts w:hint="eastAsia" w:ascii="宋体" w:hAnsi="宋体" w:eastAsia="宋体" w:cs="宋体"/>
                <w:b/>
                <w:color w:val="auto"/>
                <w:sz w:val="21"/>
                <w:szCs w:val="21"/>
                <w:highlight w:val="none"/>
              </w:rPr>
              <w:t>分）</w:t>
            </w:r>
          </w:p>
        </w:tc>
        <w:tc>
          <w:tcPr>
            <w:tcW w:w="604" w:type="pct"/>
            <w:tcBorders>
              <w:top w:val="single" w:color="auto" w:sz="4" w:space="0"/>
              <w:left w:val="single" w:color="auto" w:sz="4" w:space="0"/>
              <w:bottom w:val="single" w:color="auto" w:sz="4" w:space="0"/>
              <w:right w:val="single" w:color="auto" w:sz="4" w:space="0"/>
            </w:tcBorders>
            <w:noWrap w:val="0"/>
            <w:vAlign w:val="center"/>
          </w:tcPr>
          <w:p w14:paraId="0D85588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报价评分标准</w:t>
            </w:r>
          </w:p>
        </w:tc>
        <w:tc>
          <w:tcPr>
            <w:tcW w:w="3343" w:type="pct"/>
            <w:tcBorders>
              <w:top w:val="single" w:color="auto" w:sz="4" w:space="0"/>
              <w:left w:val="single" w:color="auto" w:sz="4" w:space="0"/>
              <w:bottom w:val="single" w:color="auto" w:sz="4" w:space="0"/>
              <w:right w:val="single" w:color="auto" w:sz="4" w:space="0"/>
            </w:tcBorders>
            <w:noWrap w:val="0"/>
            <w:vAlign w:val="center"/>
          </w:tcPr>
          <w:p w14:paraId="2CFB549A">
            <w:pPr>
              <w:keepNext w:val="0"/>
              <w:keepLines w:val="0"/>
              <w:suppressLineNumbers w:val="0"/>
              <w:spacing w:before="0" w:beforeAutospacing="0" w:after="0" w:afterAutospacing="0" w:line="320" w:lineRule="exact"/>
              <w:ind w:left="0" w:right="0"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价格分统一采用低价优先法计算，即满足招标文件要求且价格最低的</w:t>
            </w:r>
            <w:r>
              <w:rPr>
                <w:rFonts w:hint="eastAsia" w:ascii="宋体" w:hAnsi="宋体" w:eastAsia="宋体" w:cs="宋体"/>
                <w:color w:val="auto"/>
                <w:kern w:val="0"/>
                <w:sz w:val="21"/>
                <w:szCs w:val="21"/>
              </w:rPr>
              <w:t>评审报价</w:t>
            </w:r>
            <w:r>
              <w:rPr>
                <w:rFonts w:hint="eastAsia" w:ascii="宋体" w:hAnsi="宋体" w:eastAsia="宋体" w:cs="宋体"/>
                <w:color w:val="auto"/>
                <w:kern w:val="0"/>
                <w:sz w:val="21"/>
                <w:szCs w:val="21"/>
                <w:highlight w:val="none"/>
                <w:lang w:eastAsia="zh-CN"/>
              </w:rPr>
              <w:t>为评标基准价，其价格分为满分</w:t>
            </w:r>
            <w:r>
              <w:rPr>
                <w:rFonts w:hint="eastAsia" w:ascii="宋体" w:hAnsi="宋体" w:cs="宋体"/>
                <w:color w:val="auto"/>
                <w:kern w:val="0"/>
                <w:sz w:val="21"/>
                <w:szCs w:val="21"/>
                <w:highlight w:val="none"/>
                <w:lang w:eastAsia="zh-CN"/>
              </w:rPr>
              <w:t>30</w:t>
            </w:r>
            <w:r>
              <w:rPr>
                <w:rFonts w:hint="eastAsia" w:ascii="宋体" w:hAnsi="宋体" w:eastAsia="宋体" w:cs="宋体"/>
                <w:color w:val="auto"/>
                <w:kern w:val="0"/>
                <w:sz w:val="21"/>
                <w:szCs w:val="21"/>
                <w:highlight w:val="none"/>
                <w:lang w:eastAsia="zh-CN"/>
              </w:rPr>
              <w:t>分。其他供应商的价格分统一按照下列公式计算：</w:t>
            </w:r>
          </w:p>
          <w:p w14:paraId="1B010C4F">
            <w:pPr>
              <w:keepNext w:val="0"/>
              <w:keepLines w:val="0"/>
              <w:suppressLineNumbers w:val="0"/>
              <w:spacing w:before="0" w:beforeAutospacing="0" w:after="0" w:afterAutospacing="0" w:line="320" w:lineRule="exact"/>
              <w:ind w:left="0" w:right="0"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报价得分=(评标基准价/</w:t>
            </w:r>
            <w:r>
              <w:rPr>
                <w:rFonts w:hint="eastAsia" w:ascii="宋体" w:hAnsi="宋体" w:eastAsia="宋体" w:cs="宋体"/>
                <w:color w:val="auto"/>
                <w:kern w:val="0"/>
                <w:sz w:val="21"/>
                <w:szCs w:val="21"/>
              </w:rPr>
              <w:t>评审报价</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eastAsia="zh-CN"/>
              </w:rPr>
              <w:t>30</w:t>
            </w:r>
            <w:r>
              <w:rPr>
                <w:rFonts w:hint="eastAsia" w:ascii="宋体" w:hAnsi="宋体" w:eastAsia="宋体" w:cs="宋体"/>
                <w:color w:val="auto"/>
                <w:kern w:val="0"/>
                <w:sz w:val="21"/>
                <w:szCs w:val="21"/>
                <w:highlight w:val="none"/>
                <w:lang w:eastAsia="zh-CN"/>
              </w:rPr>
              <w:t>。</w:t>
            </w:r>
          </w:p>
          <w:p w14:paraId="764773D1">
            <w:pPr>
              <w:keepNext w:val="0"/>
              <w:keepLines w:val="0"/>
              <w:suppressLineNumbers w:val="0"/>
              <w:spacing w:before="0" w:beforeAutospacing="0" w:after="0" w:afterAutospacing="0" w:line="320" w:lineRule="exact"/>
              <w:ind w:left="0" w:right="0"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最终得分计算保留小数点两位。</w:t>
            </w:r>
          </w:p>
          <w:p w14:paraId="7AE0C253">
            <w:pPr>
              <w:keepNext w:val="0"/>
              <w:keepLines w:val="0"/>
              <w:suppressLineNumbers w:val="0"/>
              <w:spacing w:before="0" w:beforeAutospacing="0" w:after="0" w:afterAutospacing="0" w:line="320" w:lineRule="exact"/>
              <w:ind w:left="0" w:right="0"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注：价格扣除：供应商所提供的货物为小型和微型企业制造、提供的，则给予该产品报价</w:t>
            </w: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lang w:eastAsia="zh-CN"/>
              </w:rPr>
              <w:t>0%</w:t>
            </w:r>
            <w:r>
              <w:rPr>
                <w:rFonts w:hint="eastAsia" w:ascii="宋体" w:hAnsi="宋体" w:eastAsia="宋体" w:cs="宋体"/>
                <w:color w:val="auto"/>
                <w:kern w:val="0"/>
                <w:sz w:val="21"/>
                <w:szCs w:val="21"/>
              </w:rPr>
              <w:t>的比例扣除，用扣除后的价格参与评审。参加投标的小微企业，应当按照《关于进一步加大政府采购支持中小企业力度的通知》（财库〔2022〕19号）的规定提供《中小企业声明函》（中小企业划型标准详见《关于印发中小企业划型标准规定的通知》工信部联企业〔2011〕300号）。供应商所投产品为大型和中型企业制造的不适用本款规定。</w:t>
            </w:r>
          </w:p>
          <w:p w14:paraId="376B4A4B">
            <w:pPr>
              <w:keepNext w:val="0"/>
              <w:keepLines w:val="0"/>
              <w:suppressLineNumbers w:val="0"/>
              <w:spacing w:before="0" w:beforeAutospacing="0" w:after="0" w:afterAutospacing="0" w:line="320" w:lineRule="exact"/>
              <w:ind w:left="0" w:right="0"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财政部司法部《关于政府采购支持监狱企业发展有关问题的通知》（财库〔2014〕68号）和财政部民政部中国残疾人联合会《关于促进残疾人就业政府采购政策的通知》（财库〔2017〕141号）规定，本项目对监狱企业、残疾人福利性企业作为供应商所提供的本企业生产的产品的价格给予</w:t>
            </w: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lang w:eastAsia="zh-CN"/>
              </w:rPr>
              <w:t>0%</w:t>
            </w:r>
            <w:r>
              <w:rPr>
                <w:rFonts w:hint="eastAsia" w:ascii="宋体" w:hAnsi="宋体" w:eastAsia="宋体" w:cs="宋体"/>
                <w:color w:val="auto"/>
                <w:kern w:val="0"/>
                <w:sz w:val="21"/>
                <w:szCs w:val="21"/>
              </w:rPr>
              <w:t>的扣除。</w:t>
            </w:r>
          </w:p>
          <w:p w14:paraId="469CCD2B">
            <w:pPr>
              <w:keepNext w:val="0"/>
              <w:keepLines w:val="0"/>
              <w:suppressLineNumbers w:val="0"/>
              <w:spacing w:before="0" w:beforeAutospacing="0" w:after="0" w:afterAutospacing="0" w:line="320" w:lineRule="exact"/>
              <w:ind w:left="0" w:right="0"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评审报价=投标报价-所投小微（监狱、残疾人福利性）企业产品报价合计×</w:t>
            </w: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lang w:eastAsia="zh-CN"/>
              </w:rPr>
              <w:t>0%。</w:t>
            </w:r>
            <w:r>
              <w:rPr>
                <w:rFonts w:hint="eastAsia" w:ascii="宋体" w:hAnsi="宋体" w:cs="宋体"/>
                <w:color w:val="auto"/>
                <w:kern w:val="0"/>
                <w:sz w:val="21"/>
                <w:szCs w:val="21"/>
                <w:lang w:val="en-US" w:eastAsia="zh-CN"/>
              </w:rPr>
              <w:t>经计算，评审报价最低的作为评标基准价</w:t>
            </w:r>
          </w:p>
          <w:p w14:paraId="7F7A979D">
            <w:pPr>
              <w:keepNext w:val="0"/>
              <w:keepLines w:val="0"/>
              <w:suppressLineNumbers w:val="0"/>
              <w:spacing w:before="0" w:beforeAutospacing="0" w:after="0" w:afterAutospacing="0" w:line="320" w:lineRule="exact"/>
              <w:ind w:left="0" w:right="0"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rPr>
              <w:t>同一供应商（包括联合体），小微企业、监狱、残疾人福利性企业同一产品价格扣除优惠只享受一次，不得重复享受。</w:t>
            </w:r>
            <w:r>
              <w:rPr>
                <w:rFonts w:hint="eastAsia" w:ascii="宋体" w:hAnsi="宋体" w:eastAsia="宋体" w:cs="宋体"/>
                <w:color w:val="auto"/>
                <w:kern w:val="0"/>
                <w:sz w:val="21"/>
                <w:szCs w:val="21"/>
                <w:highlight w:val="none"/>
                <w:lang w:eastAsia="zh-CN"/>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14:paraId="2A13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restart"/>
            <w:tcBorders>
              <w:top w:val="single" w:color="auto" w:sz="4" w:space="0"/>
              <w:left w:val="single" w:color="auto" w:sz="4" w:space="0"/>
              <w:right w:val="single" w:color="auto" w:sz="4" w:space="0"/>
            </w:tcBorders>
            <w:noWrap w:val="0"/>
            <w:vAlign w:val="center"/>
          </w:tcPr>
          <w:p w14:paraId="45A5498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2.2.2（2）</w:t>
            </w:r>
          </w:p>
        </w:tc>
        <w:tc>
          <w:tcPr>
            <w:tcW w:w="599" w:type="pct"/>
            <w:vMerge w:val="restart"/>
            <w:tcBorders>
              <w:top w:val="single" w:color="auto" w:sz="4" w:space="0"/>
              <w:left w:val="single" w:color="auto" w:sz="4" w:space="0"/>
              <w:right w:val="single" w:color="auto" w:sz="4" w:space="0"/>
            </w:tcBorders>
            <w:noWrap w:val="0"/>
            <w:vAlign w:val="center"/>
          </w:tcPr>
          <w:p w14:paraId="0BC0E446">
            <w:pPr>
              <w:keepNext w:val="0"/>
              <w:keepLines w:val="0"/>
              <w:widowControl/>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技术部分（</w:t>
            </w:r>
            <w:r>
              <w:rPr>
                <w:rFonts w:hint="eastAsia" w:ascii="宋体" w:hAnsi="宋体" w:cs="宋体"/>
                <w:b/>
                <w:color w:val="auto"/>
                <w:sz w:val="21"/>
                <w:szCs w:val="21"/>
                <w:highlight w:val="none"/>
                <w:lang w:val="en-US" w:eastAsia="zh-CN"/>
              </w:rPr>
              <w:t>43</w:t>
            </w:r>
            <w:r>
              <w:rPr>
                <w:rFonts w:hint="eastAsia" w:ascii="宋体" w:hAnsi="宋体" w:eastAsia="宋体" w:cs="宋体"/>
                <w:b/>
                <w:color w:val="auto"/>
                <w:sz w:val="21"/>
                <w:szCs w:val="21"/>
                <w:highlight w:val="none"/>
              </w:rPr>
              <w:t>分）</w:t>
            </w:r>
          </w:p>
        </w:tc>
        <w:tc>
          <w:tcPr>
            <w:tcW w:w="604" w:type="pct"/>
            <w:vMerge w:val="restart"/>
            <w:tcBorders>
              <w:top w:val="single" w:color="auto" w:sz="4" w:space="0"/>
              <w:left w:val="single" w:color="auto" w:sz="4" w:space="0"/>
              <w:right w:val="single" w:color="auto" w:sz="4" w:space="0"/>
            </w:tcBorders>
            <w:noWrap w:val="0"/>
            <w:vAlign w:val="center"/>
          </w:tcPr>
          <w:p w14:paraId="52840DB3">
            <w:pPr>
              <w:keepNext w:val="0"/>
              <w:keepLines w:val="0"/>
              <w:widowControl/>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w:t>
            </w:r>
            <w:r>
              <w:rPr>
                <w:rFonts w:hint="eastAsia" w:ascii="宋体" w:hAnsi="宋体" w:cs="宋体"/>
                <w:b/>
                <w:color w:val="auto"/>
                <w:sz w:val="21"/>
                <w:szCs w:val="21"/>
                <w:highlight w:val="none"/>
                <w:lang w:val="en-US" w:eastAsia="zh-CN"/>
              </w:rPr>
              <w:t>指标</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25</w:t>
            </w:r>
            <w:r>
              <w:rPr>
                <w:rFonts w:hint="eastAsia" w:ascii="宋体" w:hAnsi="宋体" w:eastAsia="宋体" w:cs="宋体"/>
                <w:b/>
                <w:color w:val="auto"/>
                <w:sz w:val="21"/>
                <w:szCs w:val="21"/>
                <w:highlight w:val="none"/>
              </w:rPr>
              <w:t>分）</w:t>
            </w:r>
          </w:p>
        </w:tc>
        <w:tc>
          <w:tcPr>
            <w:tcW w:w="3343" w:type="pct"/>
            <w:tcBorders>
              <w:top w:val="single" w:color="auto" w:sz="4" w:space="0"/>
              <w:left w:val="single" w:color="auto" w:sz="4" w:space="0"/>
              <w:bottom w:val="single" w:color="auto" w:sz="4" w:space="0"/>
              <w:right w:val="single" w:color="auto" w:sz="4" w:space="0"/>
            </w:tcBorders>
            <w:noWrap w:val="0"/>
            <w:vAlign w:val="top"/>
          </w:tcPr>
          <w:p w14:paraId="5FA227FB">
            <w:pPr>
              <w:keepNext w:val="0"/>
              <w:keepLines w:val="0"/>
              <w:suppressLineNumbers w:val="0"/>
              <w:spacing w:before="0" w:beforeAutospacing="0" w:after="0" w:afterAutospacing="0" w:line="320" w:lineRule="exact"/>
              <w:ind w:left="0" w:right="0"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供应商提供的产品技术</w:t>
            </w:r>
            <w:r>
              <w:rPr>
                <w:rFonts w:hint="eastAsia" w:ascii="宋体" w:hAnsi="宋体" w:cs="宋体"/>
                <w:color w:val="auto"/>
                <w:kern w:val="0"/>
                <w:sz w:val="21"/>
                <w:szCs w:val="21"/>
                <w:highlight w:val="none"/>
                <w:lang w:val="en-US" w:eastAsia="zh-CN"/>
              </w:rPr>
              <w:t>指标</w:t>
            </w:r>
            <w:r>
              <w:rPr>
                <w:rFonts w:hint="eastAsia" w:ascii="宋体" w:hAnsi="宋体" w:eastAsia="宋体" w:cs="宋体"/>
                <w:color w:val="auto"/>
                <w:kern w:val="0"/>
                <w:sz w:val="21"/>
                <w:szCs w:val="21"/>
                <w:highlight w:val="none"/>
                <w:lang w:val="en-US" w:eastAsia="zh-CN"/>
              </w:rPr>
              <w:t>符合招标文件</w:t>
            </w:r>
            <w:r>
              <w:rPr>
                <w:rFonts w:hint="eastAsia" w:ascii="宋体" w:hAnsi="宋体" w:cs="宋体"/>
                <w:color w:val="auto"/>
                <w:kern w:val="0"/>
                <w:sz w:val="21"/>
                <w:szCs w:val="21"/>
                <w:highlight w:val="none"/>
                <w:lang w:val="en-US" w:eastAsia="zh-CN"/>
              </w:rPr>
              <w:t>第五章采购需求中的</w:t>
            </w:r>
            <w:r>
              <w:rPr>
                <w:rFonts w:hint="eastAsia"/>
                <w:lang w:val="en-US" w:eastAsia="zh-CN"/>
              </w:rPr>
              <w:t>技术参数要求</w:t>
            </w:r>
            <w:r>
              <w:rPr>
                <w:rFonts w:hint="eastAsia" w:ascii="宋体" w:hAnsi="宋体" w:eastAsia="宋体" w:cs="宋体"/>
                <w:color w:val="auto"/>
                <w:kern w:val="0"/>
                <w:sz w:val="21"/>
                <w:szCs w:val="21"/>
                <w:highlight w:val="none"/>
                <w:lang w:val="en-US" w:eastAsia="zh-CN"/>
              </w:rPr>
              <w:t>，全部满足得基础分</w:t>
            </w:r>
            <w:r>
              <w:rPr>
                <w:rFonts w:hint="eastAsia" w:ascii="宋体" w:hAnsi="宋体" w:cs="宋体"/>
                <w:color w:val="auto"/>
                <w:kern w:val="0"/>
                <w:sz w:val="21"/>
                <w:szCs w:val="21"/>
                <w:highlight w:val="none"/>
                <w:lang w:val="en-US" w:eastAsia="zh-CN"/>
              </w:rPr>
              <w:t>25</w:t>
            </w:r>
            <w:r>
              <w:rPr>
                <w:rFonts w:hint="eastAsia" w:ascii="宋体" w:hAnsi="宋体" w:eastAsia="宋体" w:cs="宋体"/>
                <w:color w:val="auto"/>
                <w:kern w:val="0"/>
                <w:sz w:val="21"/>
                <w:szCs w:val="21"/>
                <w:highlight w:val="none"/>
                <w:lang w:val="en-US" w:eastAsia="zh-CN"/>
              </w:rPr>
              <w:t>分</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技术</w:t>
            </w:r>
            <w:r>
              <w:rPr>
                <w:rFonts w:hint="eastAsia" w:ascii="宋体" w:hAnsi="宋体" w:cs="宋体"/>
                <w:color w:val="auto"/>
                <w:kern w:val="0"/>
                <w:sz w:val="21"/>
                <w:szCs w:val="21"/>
                <w:highlight w:val="none"/>
                <w:lang w:val="en-US" w:eastAsia="zh-CN"/>
              </w:rPr>
              <w:t>指标</w:t>
            </w:r>
            <w:r>
              <w:rPr>
                <w:rFonts w:hint="eastAsia" w:ascii="宋体" w:hAnsi="宋体" w:eastAsia="宋体" w:cs="宋体"/>
                <w:color w:val="auto"/>
                <w:kern w:val="0"/>
                <w:sz w:val="21"/>
                <w:szCs w:val="21"/>
                <w:highlight w:val="none"/>
                <w:lang w:val="en-US" w:eastAsia="zh-CN"/>
              </w:rPr>
              <w:t>有一项负偏离的</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val="en-US" w:eastAsia="zh-CN"/>
              </w:rPr>
              <w:t>分；正偏离不加分。</w:t>
            </w:r>
          </w:p>
        </w:tc>
      </w:tr>
      <w:tr w14:paraId="28B5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left w:val="single" w:color="auto" w:sz="4" w:space="0"/>
              <w:right w:val="single" w:color="auto" w:sz="4" w:space="0"/>
            </w:tcBorders>
            <w:noWrap w:val="0"/>
            <w:vAlign w:val="center"/>
          </w:tcPr>
          <w:p w14:paraId="2D37D37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p>
        </w:tc>
        <w:tc>
          <w:tcPr>
            <w:tcW w:w="599" w:type="pct"/>
            <w:vMerge w:val="continue"/>
            <w:tcBorders>
              <w:left w:val="single" w:color="auto" w:sz="4" w:space="0"/>
              <w:right w:val="single" w:color="auto" w:sz="4" w:space="0"/>
            </w:tcBorders>
            <w:noWrap w:val="0"/>
            <w:vAlign w:val="center"/>
          </w:tcPr>
          <w:p w14:paraId="79485E3C">
            <w:pPr>
              <w:keepNext w:val="0"/>
              <w:keepLines w:val="0"/>
              <w:widowControl/>
              <w:suppressLineNumbers w:val="0"/>
              <w:spacing w:before="0" w:beforeAutospacing="0" w:after="0" w:afterAutospacing="0"/>
              <w:ind w:left="0" w:right="0"/>
              <w:jc w:val="left"/>
              <w:rPr>
                <w:rFonts w:hint="eastAsia" w:ascii="宋体" w:hAnsi="宋体" w:eastAsia="宋体" w:cs="宋体"/>
                <w:b/>
                <w:color w:val="auto"/>
                <w:sz w:val="21"/>
                <w:szCs w:val="21"/>
                <w:highlight w:val="none"/>
              </w:rPr>
            </w:pPr>
          </w:p>
        </w:tc>
        <w:tc>
          <w:tcPr>
            <w:tcW w:w="604" w:type="pct"/>
            <w:tcBorders>
              <w:left w:val="single" w:color="auto" w:sz="4" w:space="0"/>
              <w:right w:val="single" w:color="auto" w:sz="4" w:space="0"/>
            </w:tcBorders>
            <w:noWrap w:val="0"/>
            <w:vAlign w:val="center"/>
          </w:tcPr>
          <w:p w14:paraId="1E99984C">
            <w:pPr>
              <w:keepNext w:val="0"/>
              <w:keepLines w:val="0"/>
              <w:widowControl/>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项目实施方案</w:t>
            </w:r>
          </w:p>
          <w:p w14:paraId="72F51836">
            <w:pPr>
              <w:keepNext w:val="0"/>
              <w:keepLines w:val="0"/>
              <w:widowControl/>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18</w:t>
            </w:r>
            <w:r>
              <w:rPr>
                <w:rFonts w:hint="eastAsia" w:ascii="宋体" w:hAnsi="宋体" w:eastAsia="宋体" w:cs="宋体"/>
                <w:b/>
                <w:color w:val="auto"/>
                <w:sz w:val="21"/>
                <w:szCs w:val="21"/>
                <w:highlight w:val="none"/>
              </w:rPr>
              <w:t>分）</w:t>
            </w:r>
          </w:p>
        </w:tc>
        <w:tc>
          <w:tcPr>
            <w:tcW w:w="3343" w:type="pct"/>
            <w:tcBorders>
              <w:top w:val="single" w:color="auto" w:sz="4" w:space="0"/>
              <w:left w:val="single" w:color="auto" w:sz="4" w:space="0"/>
              <w:right w:val="single" w:color="auto" w:sz="4" w:space="0"/>
            </w:tcBorders>
            <w:noWrap w:val="0"/>
            <w:vAlign w:val="top"/>
          </w:tcPr>
          <w:p w14:paraId="24BDCD9F">
            <w:pPr>
              <w:keepNext w:val="0"/>
              <w:keepLines w:val="0"/>
              <w:suppressLineNumbers w:val="0"/>
              <w:spacing w:before="0" w:beforeAutospacing="0" w:after="0" w:afterAutospacing="0" w:line="320" w:lineRule="exact"/>
              <w:ind w:left="0" w:right="0"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1、产品按期供货保障及配送方案。</w:t>
            </w:r>
          </w:p>
          <w:p w14:paraId="6ACA9DDF">
            <w:pPr>
              <w:keepNext w:val="0"/>
              <w:keepLines w:val="0"/>
              <w:suppressLineNumbers w:val="0"/>
              <w:spacing w:before="0" w:beforeAutospacing="0" w:after="0" w:afterAutospacing="0" w:line="320" w:lineRule="exact"/>
              <w:ind w:left="0" w:right="0"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2、产品使用技术及培训措施。</w:t>
            </w:r>
          </w:p>
          <w:p w14:paraId="70E9E763">
            <w:pPr>
              <w:keepNext w:val="0"/>
              <w:keepLines w:val="0"/>
              <w:suppressLineNumbers w:val="0"/>
              <w:spacing w:before="0" w:beforeAutospacing="0" w:after="0" w:afterAutospacing="0" w:line="320" w:lineRule="exact"/>
              <w:ind w:left="0" w:right="0"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3、产品质量控制的主要技术措施。</w:t>
            </w:r>
          </w:p>
          <w:p w14:paraId="68CE9EA2">
            <w:pPr>
              <w:keepNext w:val="0"/>
              <w:keepLines w:val="0"/>
              <w:suppressLineNumbers w:val="0"/>
              <w:spacing w:before="0" w:beforeAutospacing="0" w:after="0" w:afterAutospacing="0" w:line="320" w:lineRule="exact"/>
              <w:ind w:left="0" w:right="0"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4、产品因质量问题造成不良影响，拟采取的措施。</w:t>
            </w:r>
          </w:p>
          <w:p w14:paraId="7B5CCA93">
            <w:pPr>
              <w:keepNext w:val="0"/>
              <w:keepLines w:val="0"/>
              <w:suppressLineNumbers w:val="0"/>
              <w:spacing w:before="0" w:beforeAutospacing="0" w:after="0" w:afterAutospacing="0" w:line="320" w:lineRule="exact"/>
              <w:ind w:left="0" w:right="0"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5、产品服务方案中的安全保障措施。</w:t>
            </w:r>
          </w:p>
          <w:p w14:paraId="2D30DA7C">
            <w:pPr>
              <w:keepNext w:val="0"/>
              <w:keepLines w:val="0"/>
              <w:suppressLineNumbers w:val="0"/>
              <w:spacing w:before="0" w:beforeAutospacing="0" w:after="0" w:afterAutospacing="0" w:line="320" w:lineRule="exact"/>
              <w:ind w:left="0" w:right="0"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6、项目实施难点及关键过程。</w:t>
            </w:r>
          </w:p>
          <w:p w14:paraId="35C6D61E">
            <w:pPr>
              <w:keepNext w:val="0"/>
              <w:keepLines w:val="0"/>
              <w:suppressLineNumbers w:val="0"/>
              <w:spacing w:before="0" w:beforeAutospacing="0" w:after="0" w:afterAutospacing="0" w:line="320" w:lineRule="exact"/>
              <w:ind w:left="0" w:right="0"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以上共6项，每项按照以下标准进行打分，共计</w:t>
            </w:r>
            <w:r>
              <w:rPr>
                <w:rFonts w:hint="eastAsia" w:ascii="宋体" w:hAnsi="宋体" w:cs="宋体"/>
                <w:color w:val="auto"/>
                <w:kern w:val="0"/>
                <w:sz w:val="21"/>
                <w:szCs w:val="21"/>
                <w:highlight w:val="none"/>
                <w:lang w:val="en-US" w:eastAsia="zh-CN"/>
              </w:rPr>
              <w:t>18</w:t>
            </w:r>
            <w:r>
              <w:rPr>
                <w:rFonts w:hint="eastAsia" w:ascii="宋体" w:hAnsi="宋体" w:eastAsia="宋体" w:cs="宋体"/>
                <w:color w:val="auto"/>
                <w:kern w:val="0"/>
                <w:sz w:val="21"/>
                <w:szCs w:val="21"/>
                <w:highlight w:val="none"/>
                <w:lang w:val="en-US" w:eastAsia="zh-CN"/>
              </w:rPr>
              <w:t>分。</w:t>
            </w:r>
          </w:p>
          <w:p w14:paraId="293B1637">
            <w:pPr>
              <w:keepNext w:val="0"/>
              <w:keepLines w:val="0"/>
              <w:suppressLineNumbers w:val="0"/>
              <w:spacing w:before="0" w:beforeAutospacing="0" w:after="0" w:afterAutospacing="0" w:line="320" w:lineRule="exact"/>
              <w:ind w:left="0" w:right="0"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①投标人提供的上述内容在科学性、合理性、本项目针对性、完善程度非常全面准确的，得</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分；</w:t>
            </w:r>
          </w:p>
          <w:p w14:paraId="526CE067">
            <w:pPr>
              <w:keepNext w:val="0"/>
              <w:keepLines w:val="0"/>
              <w:suppressLineNumbers w:val="0"/>
              <w:spacing w:before="0" w:beforeAutospacing="0" w:after="0" w:afterAutospacing="0" w:line="320" w:lineRule="exact"/>
              <w:ind w:left="0" w:right="0"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②投标人提供的上述内容在科学性、合理性、本项目针对性、完善程度比较全面的，得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p>
          <w:p w14:paraId="170BBEB4">
            <w:pPr>
              <w:keepNext w:val="0"/>
              <w:keepLines w:val="0"/>
              <w:suppressLineNumbers w:val="0"/>
              <w:spacing w:before="0" w:beforeAutospacing="0" w:after="0" w:afterAutospacing="0" w:line="320" w:lineRule="exact"/>
              <w:ind w:left="0" w:right="0"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③投标人提供的上述内容在科学性、合理性、本项目针对性、完善程度上一般，得1分。</w:t>
            </w:r>
          </w:p>
          <w:p w14:paraId="7C1F988B">
            <w:pPr>
              <w:keepNext w:val="0"/>
              <w:keepLines w:val="0"/>
              <w:suppressLineNumbers w:val="0"/>
              <w:spacing w:before="0" w:beforeAutospacing="0" w:after="0" w:afterAutospacing="0" w:line="320" w:lineRule="exact"/>
              <w:ind w:left="0" w:right="0" w:firstLine="420" w:firstLineChars="200"/>
              <w:rPr>
                <w:rFonts w:hint="default"/>
                <w:color w:val="auto"/>
                <w:highlight w:val="none"/>
                <w:lang w:val="en-US" w:eastAsia="zh-CN"/>
              </w:rPr>
            </w:pPr>
            <w:r>
              <w:rPr>
                <w:rFonts w:hint="eastAsia" w:ascii="宋体" w:hAnsi="宋体" w:eastAsia="宋体" w:cs="宋体"/>
                <w:color w:val="auto"/>
                <w:kern w:val="0"/>
                <w:sz w:val="21"/>
                <w:szCs w:val="21"/>
                <w:highlight w:val="none"/>
                <w:lang w:val="en-US" w:eastAsia="zh-CN"/>
              </w:rPr>
              <w:t>④投标人</w:t>
            </w:r>
            <w:r>
              <w:rPr>
                <w:rFonts w:hint="eastAsia"/>
                <w:color w:val="auto"/>
                <w:highlight w:val="none"/>
                <w:lang w:val="en-US" w:eastAsia="zh-CN"/>
              </w:rPr>
              <w:t>提供的</w:t>
            </w:r>
            <w:r>
              <w:rPr>
                <w:rFonts w:hint="eastAsia" w:ascii="宋体" w:hAnsi="宋体" w:eastAsia="宋体" w:cs="宋体"/>
                <w:color w:val="auto"/>
                <w:kern w:val="0"/>
                <w:sz w:val="21"/>
                <w:szCs w:val="21"/>
                <w:highlight w:val="none"/>
                <w:lang w:val="en-US" w:eastAsia="zh-CN"/>
              </w:rPr>
              <w:t>上述内容</w:t>
            </w:r>
            <w:r>
              <w:rPr>
                <w:rFonts w:hint="eastAsia"/>
                <w:color w:val="auto"/>
                <w:highlight w:val="none"/>
                <w:lang w:val="en-US" w:eastAsia="zh-CN"/>
              </w:rPr>
              <w:t>不完整的,</w:t>
            </w:r>
            <w:r>
              <w:rPr>
                <w:rFonts w:hint="eastAsia" w:ascii="宋体" w:hAnsi="宋体" w:eastAsia="宋体" w:cs="宋体"/>
                <w:color w:val="auto"/>
                <w:kern w:val="0"/>
                <w:sz w:val="21"/>
                <w:szCs w:val="21"/>
                <w:highlight w:val="none"/>
                <w:lang w:val="en-US" w:eastAsia="zh-CN"/>
              </w:rPr>
              <w:t>得0</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分</w:t>
            </w:r>
          </w:p>
          <w:p w14:paraId="51EDD468">
            <w:pPr>
              <w:keepNext w:val="0"/>
              <w:keepLines w:val="0"/>
              <w:suppressLineNumbers w:val="0"/>
              <w:spacing w:before="0" w:beforeAutospacing="0" w:after="0" w:afterAutospacing="0" w:line="320" w:lineRule="exact"/>
              <w:ind w:left="0" w:right="0" w:firstLine="420" w:firstLineChars="200"/>
              <w:rPr>
                <w:rFonts w:hint="eastAsia" w:ascii="宋体" w:hAnsi="宋体" w:eastAsia="宋体" w:cs="宋体"/>
                <w:color w:val="auto"/>
                <w:kern w:val="0"/>
                <w:sz w:val="21"/>
                <w:szCs w:val="21"/>
                <w:highlight w:val="none"/>
                <w:lang w:val="en-US" w:eastAsia="zh-CN"/>
              </w:rPr>
            </w:pPr>
            <w:r>
              <w:rPr>
                <w:rFonts w:hint="eastAsia" w:ascii="微软雅黑" w:hAnsi="微软雅黑" w:eastAsia="微软雅黑" w:cs="微软雅黑"/>
                <w:color w:val="auto"/>
                <w:kern w:val="0"/>
                <w:sz w:val="21"/>
                <w:szCs w:val="21"/>
                <w:highlight w:val="none"/>
                <w:lang w:val="en-US" w:eastAsia="zh-CN"/>
              </w:rPr>
              <w:t>⑤</w:t>
            </w:r>
            <w:r>
              <w:rPr>
                <w:rFonts w:hint="eastAsia" w:ascii="宋体" w:hAnsi="宋体" w:eastAsia="宋体" w:cs="宋体"/>
                <w:color w:val="auto"/>
                <w:kern w:val="0"/>
                <w:sz w:val="21"/>
                <w:szCs w:val="21"/>
                <w:highlight w:val="none"/>
                <w:lang w:val="en-US" w:eastAsia="zh-CN"/>
              </w:rPr>
              <w:t>投标人没有提供上述内容，得0分。</w:t>
            </w:r>
          </w:p>
        </w:tc>
      </w:tr>
      <w:tr w14:paraId="02FB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453" w:type="pct"/>
            <w:vMerge w:val="restart"/>
            <w:tcBorders>
              <w:top w:val="single" w:color="auto" w:sz="4" w:space="0"/>
              <w:left w:val="single" w:color="auto" w:sz="4" w:space="0"/>
              <w:right w:val="single" w:color="auto" w:sz="4" w:space="0"/>
            </w:tcBorders>
            <w:noWrap w:val="0"/>
            <w:vAlign w:val="center"/>
          </w:tcPr>
          <w:p w14:paraId="1085B73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2.2.2（3）</w:t>
            </w:r>
          </w:p>
        </w:tc>
        <w:tc>
          <w:tcPr>
            <w:tcW w:w="599" w:type="pct"/>
            <w:vMerge w:val="restart"/>
            <w:tcBorders>
              <w:top w:val="single" w:color="auto" w:sz="4" w:space="0"/>
              <w:left w:val="single" w:color="auto" w:sz="4" w:space="0"/>
              <w:right w:val="single" w:color="auto" w:sz="4" w:space="0"/>
            </w:tcBorders>
            <w:noWrap w:val="0"/>
            <w:vAlign w:val="center"/>
          </w:tcPr>
          <w:p w14:paraId="73C5A397">
            <w:pPr>
              <w:keepNext w:val="0"/>
              <w:keepLines w:val="0"/>
              <w:widowControl/>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综合部分</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27</w:t>
            </w:r>
            <w:r>
              <w:rPr>
                <w:rFonts w:hint="eastAsia" w:ascii="宋体" w:hAnsi="宋体" w:eastAsia="宋体" w:cs="宋体"/>
                <w:b/>
                <w:color w:val="auto"/>
                <w:sz w:val="21"/>
                <w:szCs w:val="21"/>
                <w:highlight w:val="none"/>
              </w:rPr>
              <w:t>分）</w:t>
            </w:r>
          </w:p>
          <w:p w14:paraId="6F4CBFCC">
            <w:pPr>
              <w:keepNext w:val="0"/>
              <w:keepLines w:val="0"/>
              <w:widowControl/>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p>
        </w:tc>
        <w:tc>
          <w:tcPr>
            <w:tcW w:w="604" w:type="pct"/>
            <w:tcBorders>
              <w:top w:val="single" w:color="auto" w:sz="4" w:space="0"/>
              <w:left w:val="single" w:color="auto" w:sz="4" w:space="0"/>
              <w:bottom w:val="single" w:color="auto" w:sz="4" w:space="0"/>
              <w:right w:val="single" w:color="auto" w:sz="4" w:space="0"/>
            </w:tcBorders>
            <w:noWrap w:val="0"/>
            <w:vAlign w:val="center"/>
          </w:tcPr>
          <w:p w14:paraId="3D72E4A2">
            <w:pPr>
              <w:keepNext w:val="0"/>
              <w:keepLines w:val="0"/>
              <w:widowControl/>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企业业绩</w:t>
            </w:r>
          </w:p>
          <w:p w14:paraId="45B3158A">
            <w:pPr>
              <w:keepNext w:val="0"/>
              <w:keepLines w:val="0"/>
              <w:widowControl/>
              <w:suppressLineNumbers w:val="0"/>
              <w:spacing w:before="0" w:beforeAutospacing="0" w:after="0" w:afterAutospacing="0"/>
              <w:ind w:left="0" w:right="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w:t>
            </w:r>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rPr>
              <w:t>分）</w:t>
            </w:r>
          </w:p>
        </w:tc>
        <w:tc>
          <w:tcPr>
            <w:tcW w:w="3343" w:type="pct"/>
            <w:tcBorders>
              <w:top w:val="single" w:color="auto" w:sz="4" w:space="0"/>
              <w:left w:val="single" w:color="auto" w:sz="4" w:space="0"/>
              <w:bottom w:val="single" w:color="auto" w:sz="4" w:space="0"/>
              <w:right w:val="single" w:color="auto" w:sz="4" w:space="0"/>
            </w:tcBorders>
            <w:noWrap w:val="0"/>
            <w:vAlign w:val="center"/>
          </w:tcPr>
          <w:p w14:paraId="7C6B682C">
            <w:pPr>
              <w:keepNext w:val="0"/>
              <w:keepLines w:val="0"/>
              <w:suppressLineNumbers w:val="0"/>
              <w:spacing w:before="0" w:beforeAutospacing="0" w:after="0" w:afterAutospacing="0" w:line="320" w:lineRule="exact"/>
              <w:ind w:left="0" w:leftChars="0" w:right="0" w:rightChars="0"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投标人自</w:t>
            </w:r>
            <w:r>
              <w:rPr>
                <w:rFonts w:hint="eastAsia" w:ascii="宋体" w:hAnsi="宋体" w:cs="宋体"/>
                <w:color w:val="auto"/>
                <w:kern w:val="0"/>
                <w:sz w:val="21"/>
                <w:szCs w:val="21"/>
                <w:highlight w:val="none"/>
                <w:lang w:val="en-US" w:eastAsia="zh-CN"/>
              </w:rPr>
              <w:t>2021年1月</w:t>
            </w:r>
            <w:r>
              <w:rPr>
                <w:rFonts w:hint="eastAsia" w:ascii="宋体" w:hAnsi="宋体" w:eastAsia="宋体" w:cs="宋体"/>
                <w:color w:val="auto"/>
                <w:kern w:val="0"/>
                <w:sz w:val="21"/>
                <w:szCs w:val="21"/>
                <w:highlight w:val="none"/>
                <w:lang w:val="en-US" w:eastAsia="zh-CN"/>
              </w:rPr>
              <w:t>1日以来承接过类似项目业绩，每提供一份类似业绩合同得</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分，最多得</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val="en-US" w:eastAsia="zh-CN"/>
              </w:rPr>
              <w:t>分。（提供合同</w:t>
            </w:r>
            <w:r>
              <w:rPr>
                <w:rFonts w:hint="eastAsia" w:ascii="宋体" w:hAnsi="宋体" w:cs="宋体"/>
                <w:color w:val="auto"/>
                <w:kern w:val="0"/>
                <w:sz w:val="21"/>
                <w:szCs w:val="21"/>
                <w:highlight w:val="none"/>
                <w:lang w:val="en-US" w:eastAsia="zh-CN"/>
              </w:rPr>
              <w:t>等证明材料，时间已签订时间为准</w:t>
            </w:r>
            <w:r>
              <w:rPr>
                <w:rFonts w:hint="eastAsia" w:ascii="宋体" w:hAnsi="宋体" w:eastAsia="宋体" w:cs="宋体"/>
                <w:color w:val="auto"/>
                <w:kern w:val="0"/>
                <w:sz w:val="21"/>
                <w:szCs w:val="21"/>
                <w:highlight w:val="none"/>
                <w:lang w:val="en-US" w:eastAsia="zh-CN"/>
              </w:rPr>
              <w:t>）</w:t>
            </w:r>
          </w:p>
        </w:tc>
      </w:tr>
      <w:tr w14:paraId="77BF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453" w:type="pct"/>
            <w:vMerge w:val="continue"/>
            <w:tcBorders>
              <w:left w:val="single" w:color="auto" w:sz="4" w:space="0"/>
              <w:right w:val="single" w:color="auto" w:sz="4" w:space="0"/>
            </w:tcBorders>
            <w:noWrap w:val="0"/>
            <w:vAlign w:val="center"/>
          </w:tcPr>
          <w:p w14:paraId="43845A4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599" w:type="pct"/>
            <w:vMerge w:val="continue"/>
            <w:tcBorders>
              <w:left w:val="single" w:color="auto" w:sz="4" w:space="0"/>
              <w:right w:val="single" w:color="auto" w:sz="4" w:space="0"/>
            </w:tcBorders>
            <w:noWrap w:val="0"/>
            <w:vAlign w:val="center"/>
          </w:tcPr>
          <w:p w14:paraId="3AB5025F">
            <w:pPr>
              <w:keepNext w:val="0"/>
              <w:keepLines w:val="0"/>
              <w:widowControl/>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p>
        </w:tc>
        <w:tc>
          <w:tcPr>
            <w:tcW w:w="604" w:type="pct"/>
            <w:tcBorders>
              <w:top w:val="single" w:color="auto" w:sz="4" w:space="0"/>
              <w:left w:val="single" w:color="auto" w:sz="4" w:space="0"/>
              <w:bottom w:val="single" w:color="auto" w:sz="4" w:space="0"/>
              <w:right w:val="single" w:color="auto" w:sz="4" w:space="0"/>
            </w:tcBorders>
            <w:noWrap w:val="0"/>
            <w:vAlign w:val="center"/>
          </w:tcPr>
          <w:p w14:paraId="40BD0A49">
            <w:pPr>
              <w:keepNext w:val="0"/>
              <w:keepLines w:val="0"/>
              <w:widowControl/>
              <w:suppressLineNumbers w:val="0"/>
              <w:spacing w:before="0" w:beforeAutospacing="0" w:after="0" w:afterAutospacing="0"/>
              <w:ind w:left="0" w:right="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人员配备</w:t>
            </w:r>
          </w:p>
          <w:p w14:paraId="38B48BBE">
            <w:pPr>
              <w:keepNext w:val="0"/>
              <w:keepLines w:val="0"/>
              <w:widowControl/>
              <w:suppressLineNumbers w:val="0"/>
              <w:spacing w:before="0" w:beforeAutospacing="0" w:after="0" w:afterAutospacing="0"/>
              <w:ind w:left="0" w:right="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6</w:t>
            </w:r>
            <w:r>
              <w:rPr>
                <w:rFonts w:hint="eastAsia" w:ascii="宋体" w:hAnsi="宋体" w:eastAsia="宋体" w:cs="宋体"/>
                <w:b/>
                <w:color w:val="auto"/>
                <w:sz w:val="21"/>
                <w:szCs w:val="21"/>
                <w:highlight w:val="none"/>
              </w:rPr>
              <w:t>分）</w:t>
            </w:r>
          </w:p>
        </w:tc>
        <w:tc>
          <w:tcPr>
            <w:tcW w:w="3343" w:type="pct"/>
            <w:tcBorders>
              <w:top w:val="single" w:color="auto" w:sz="4" w:space="0"/>
              <w:left w:val="single" w:color="auto" w:sz="4" w:space="0"/>
              <w:bottom w:val="single" w:color="auto" w:sz="4" w:space="0"/>
              <w:right w:val="single" w:color="auto" w:sz="4" w:space="0"/>
            </w:tcBorders>
            <w:noWrap w:val="0"/>
            <w:vAlign w:val="center"/>
          </w:tcPr>
          <w:p w14:paraId="7A366A0D">
            <w:pPr>
              <w:keepNext w:val="0"/>
              <w:keepLines w:val="0"/>
              <w:suppressLineNumbers w:val="0"/>
              <w:spacing w:before="0" w:beforeAutospacing="0" w:after="0" w:afterAutospacing="0" w:line="320" w:lineRule="exact"/>
              <w:ind w:left="0" w:leftChars="0" w:right="0" w:rightChars="0" w:firstLine="420" w:firstLineChars="20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拟派技术指导人员中，中级及以上技术职称提供</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人得</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分，最多得</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分。</w:t>
            </w:r>
            <w:r>
              <w:rPr>
                <w:rFonts w:hint="eastAsia" w:ascii="宋体" w:hAnsi="宋体" w:cs="宋体"/>
                <w:color w:val="auto"/>
                <w:kern w:val="0"/>
                <w:sz w:val="21"/>
                <w:szCs w:val="21"/>
                <w:highlight w:val="none"/>
                <w:lang w:val="en-US" w:eastAsia="zh-CN"/>
              </w:rPr>
              <w:t>提供</w:t>
            </w:r>
            <w:r>
              <w:rPr>
                <w:rFonts w:hint="eastAsia" w:ascii="宋体" w:hAnsi="宋体" w:eastAsia="宋体" w:cs="宋体"/>
                <w:color w:val="auto"/>
                <w:kern w:val="0"/>
                <w:sz w:val="21"/>
                <w:szCs w:val="21"/>
                <w:highlight w:val="none"/>
                <w:lang w:val="en-US" w:eastAsia="zh-CN"/>
              </w:rPr>
              <w:t>证书扫描件</w:t>
            </w:r>
            <w:r>
              <w:rPr>
                <w:rFonts w:hint="eastAsia" w:ascii="宋体" w:hAnsi="宋体" w:cs="宋体"/>
                <w:color w:val="auto"/>
                <w:kern w:val="0"/>
                <w:sz w:val="21"/>
                <w:szCs w:val="21"/>
                <w:highlight w:val="none"/>
                <w:lang w:val="en-US" w:eastAsia="zh-CN"/>
              </w:rPr>
              <w:t>。</w:t>
            </w:r>
          </w:p>
        </w:tc>
      </w:tr>
      <w:tr w14:paraId="40E5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53" w:type="pct"/>
            <w:vMerge w:val="continue"/>
            <w:tcBorders>
              <w:left w:val="single" w:color="auto" w:sz="4" w:space="0"/>
              <w:right w:val="single" w:color="auto" w:sz="4" w:space="0"/>
            </w:tcBorders>
            <w:noWrap w:val="0"/>
            <w:vAlign w:val="center"/>
          </w:tcPr>
          <w:p w14:paraId="5DC6D24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599" w:type="pct"/>
            <w:vMerge w:val="continue"/>
            <w:tcBorders>
              <w:left w:val="single" w:color="auto" w:sz="4" w:space="0"/>
              <w:right w:val="single" w:color="auto" w:sz="4" w:space="0"/>
            </w:tcBorders>
            <w:noWrap w:val="0"/>
            <w:vAlign w:val="center"/>
          </w:tcPr>
          <w:p w14:paraId="2003874F">
            <w:pPr>
              <w:keepNext w:val="0"/>
              <w:keepLines w:val="0"/>
              <w:widowControl/>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p>
        </w:tc>
        <w:tc>
          <w:tcPr>
            <w:tcW w:w="604" w:type="pct"/>
            <w:tcBorders>
              <w:top w:val="single" w:color="auto" w:sz="4" w:space="0"/>
              <w:left w:val="single" w:color="auto" w:sz="4" w:space="0"/>
              <w:bottom w:val="single" w:color="auto" w:sz="4" w:space="0"/>
              <w:right w:val="single" w:color="auto" w:sz="4" w:space="0"/>
            </w:tcBorders>
            <w:noWrap w:val="0"/>
            <w:vAlign w:val="center"/>
          </w:tcPr>
          <w:p w14:paraId="767626F9">
            <w:pPr>
              <w:keepNext w:val="0"/>
              <w:keepLines w:val="0"/>
              <w:widowControl/>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售后服务方案</w:t>
            </w:r>
          </w:p>
          <w:p w14:paraId="48591DDA">
            <w:pPr>
              <w:keepNext w:val="0"/>
              <w:keepLines w:val="0"/>
              <w:widowControl/>
              <w:suppressLineNumbers w:val="0"/>
              <w:spacing w:before="0" w:beforeAutospacing="0" w:after="0" w:afterAutospacing="0"/>
              <w:ind w:left="0" w:right="0"/>
              <w:jc w:val="center"/>
              <w:rPr>
                <w:rFonts w:hint="eastAsia" w:ascii="宋体" w:hAnsi="宋体" w:eastAsia="宋体" w:cs="宋体"/>
                <w:b/>
                <w:color w:val="auto"/>
                <w:sz w:val="21"/>
                <w:szCs w:val="21"/>
                <w:highlight w:val="none"/>
                <w:lang w:val="en-US" w:eastAsia="en-US"/>
              </w:rPr>
            </w:pP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分）</w:t>
            </w:r>
          </w:p>
        </w:tc>
        <w:tc>
          <w:tcPr>
            <w:tcW w:w="3343" w:type="pct"/>
            <w:tcBorders>
              <w:top w:val="single" w:color="auto" w:sz="4" w:space="0"/>
              <w:left w:val="single" w:color="auto" w:sz="4" w:space="0"/>
              <w:bottom w:val="single" w:color="auto" w:sz="4" w:space="0"/>
              <w:right w:val="single" w:color="auto" w:sz="4" w:space="0"/>
            </w:tcBorders>
            <w:noWrap w:val="0"/>
            <w:vAlign w:val="top"/>
          </w:tcPr>
          <w:p w14:paraId="6F00F3A3">
            <w:pPr>
              <w:keepNext w:val="0"/>
              <w:keepLines w:val="0"/>
              <w:suppressLineNumbers w:val="0"/>
              <w:spacing w:before="0" w:beforeAutospacing="0" w:after="0" w:afterAutospacing="0" w:line="320" w:lineRule="exact"/>
              <w:ind w:left="0" w:leftChars="0" w:right="0" w:rightChars="0"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有完善的售后服务队伍、培训计划、培训内容、培训方案，售后服务方案详细，根据提供内容计划的详细程度打分，售后服务方案编制较完整、合理、可行得</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分，售后服务方案编制较完整、较合理可行，得3分；编制不够完整、不够合理，可行性一般，得2分；编制不完整、不合理，可行性差，得1分。无此项内容不得分。</w:t>
            </w:r>
          </w:p>
        </w:tc>
      </w:tr>
      <w:tr w14:paraId="3A2F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453" w:type="pct"/>
            <w:vMerge w:val="continue"/>
            <w:tcBorders>
              <w:left w:val="single" w:color="auto" w:sz="4" w:space="0"/>
              <w:right w:val="single" w:color="auto" w:sz="4" w:space="0"/>
            </w:tcBorders>
            <w:noWrap w:val="0"/>
            <w:vAlign w:val="center"/>
          </w:tcPr>
          <w:p w14:paraId="60242EF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p>
        </w:tc>
        <w:tc>
          <w:tcPr>
            <w:tcW w:w="599" w:type="pct"/>
            <w:vMerge w:val="continue"/>
            <w:tcBorders>
              <w:left w:val="single" w:color="auto" w:sz="4" w:space="0"/>
              <w:right w:val="single" w:color="auto" w:sz="4" w:space="0"/>
            </w:tcBorders>
            <w:noWrap w:val="0"/>
            <w:vAlign w:val="center"/>
          </w:tcPr>
          <w:p w14:paraId="29CBB38E">
            <w:pPr>
              <w:keepNext w:val="0"/>
              <w:keepLines w:val="0"/>
              <w:widowControl/>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p>
        </w:tc>
        <w:tc>
          <w:tcPr>
            <w:tcW w:w="604" w:type="pct"/>
            <w:tcBorders>
              <w:top w:val="single" w:color="auto" w:sz="4" w:space="0"/>
              <w:left w:val="single" w:color="auto" w:sz="4" w:space="0"/>
              <w:right w:val="single" w:color="auto" w:sz="4" w:space="0"/>
            </w:tcBorders>
            <w:noWrap w:val="0"/>
            <w:vAlign w:val="center"/>
          </w:tcPr>
          <w:p w14:paraId="37F379A2">
            <w:pPr>
              <w:keepNext w:val="0"/>
              <w:keepLines w:val="0"/>
              <w:widowControl/>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质量保证措施</w:t>
            </w:r>
          </w:p>
          <w:p w14:paraId="54723142">
            <w:pPr>
              <w:keepNext w:val="0"/>
              <w:keepLines w:val="0"/>
              <w:widowControl/>
              <w:suppressLineNumbers w:val="0"/>
              <w:spacing w:before="0" w:beforeAutospacing="0" w:after="0" w:afterAutospacing="0"/>
              <w:ind w:left="0" w:right="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分）</w:t>
            </w:r>
          </w:p>
        </w:tc>
        <w:tc>
          <w:tcPr>
            <w:tcW w:w="3343" w:type="pct"/>
            <w:tcBorders>
              <w:top w:val="single" w:color="auto" w:sz="4" w:space="0"/>
              <w:left w:val="single" w:color="auto" w:sz="4" w:space="0"/>
              <w:bottom w:val="single" w:color="auto" w:sz="4" w:space="0"/>
              <w:right w:val="single" w:color="auto" w:sz="4" w:space="0"/>
            </w:tcBorders>
            <w:noWrap w:val="0"/>
            <w:vAlign w:val="top"/>
          </w:tcPr>
          <w:p w14:paraId="07CB6F40">
            <w:pPr>
              <w:keepNext w:val="0"/>
              <w:keepLines w:val="0"/>
              <w:suppressLineNumbers w:val="0"/>
              <w:spacing w:before="0" w:beforeAutospacing="0" w:after="0" w:afterAutospacing="0" w:line="320" w:lineRule="exact"/>
              <w:ind w:left="0" w:leftChars="0" w:right="0" w:rightChars="0"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评标委员会根据产品的质量、运输、货物的储存方法等方面进行评审，进行综合评审；措施科学性、合理性、本项目针对性、完善程度非常全面准确的，得</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分；措施科学性、合理性、本项目针对性、完善程度比较全面的，得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分；措施科学性、合理性、本项目针对性、完善程度上一般，得1分；无此项内容不得分。</w:t>
            </w:r>
          </w:p>
        </w:tc>
      </w:tr>
    </w:tbl>
    <w:p w14:paraId="3E02D869">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bookmarkStart w:id="746" w:name="_Toc18239"/>
      <w:bookmarkStart w:id="747" w:name="_Toc19375"/>
      <w:bookmarkStart w:id="748" w:name="_Toc12267"/>
    </w:p>
    <w:p w14:paraId="086D0B15">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评审方法</w:t>
      </w:r>
      <w:bookmarkEnd w:id="746"/>
      <w:bookmarkEnd w:id="747"/>
    </w:p>
    <w:p w14:paraId="5D2BDC90">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本次评审采用综合评分法。磋商小组对满足竞争性磋商文件实质性要求的响应文件，按照本章规定的评分标准进行打分，并按得分由高到低顺序推荐成交候选人，综合评分相等时，以报价得分高的优先；报价得分相等的，由采购人自行确定。</w:t>
      </w:r>
      <w:bookmarkStart w:id="749" w:name="_Toc6612"/>
      <w:bookmarkStart w:id="750" w:name="_Toc466298140"/>
      <w:bookmarkStart w:id="751" w:name="_Toc281405529"/>
      <w:bookmarkStart w:id="752" w:name="_Toc318450723"/>
      <w:bookmarkStart w:id="753" w:name="_Toc455867817"/>
      <w:bookmarkStart w:id="754" w:name="_Toc29362"/>
      <w:bookmarkStart w:id="755" w:name="_Toc144974568"/>
      <w:bookmarkStart w:id="756" w:name="_Toc26131"/>
      <w:bookmarkStart w:id="757" w:name="_Toc455080157"/>
      <w:bookmarkStart w:id="758" w:name="_Toc490667876"/>
      <w:bookmarkStart w:id="759" w:name="_Toc152042378"/>
      <w:bookmarkStart w:id="760" w:name="_Toc24936"/>
      <w:bookmarkStart w:id="761" w:name="_Toc20837"/>
      <w:bookmarkStart w:id="762" w:name="_Toc152045601"/>
    </w:p>
    <w:p w14:paraId="0D02B2B7">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 磋商小组初步评审后有效投标不足3个的，磋商小组应予废标。</w:t>
      </w:r>
    </w:p>
    <w:p w14:paraId="33F67E25">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bookmarkStart w:id="763" w:name="_Toc15287"/>
      <w:bookmarkStart w:id="764" w:name="_Toc14678"/>
      <w:r>
        <w:rPr>
          <w:rFonts w:hint="eastAsia" w:ascii="宋体" w:hAnsi="宋体" w:eastAsia="宋体" w:cs="宋体"/>
          <w:color w:val="auto"/>
          <w:szCs w:val="21"/>
          <w:highlight w:val="none"/>
        </w:rPr>
        <w:t>2. 评审标准</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Start w:id="765" w:name="_Toc24558"/>
      <w:bookmarkStart w:id="766" w:name="_Toc2867"/>
      <w:bookmarkStart w:id="767" w:name="_Toc466298141"/>
      <w:bookmarkStart w:id="768" w:name="_Toc455080158"/>
      <w:bookmarkStart w:id="769" w:name="_Toc144974569"/>
      <w:bookmarkStart w:id="770" w:name="_Toc152042379"/>
      <w:bookmarkStart w:id="771" w:name="_Toc152045602"/>
      <w:bookmarkStart w:id="772" w:name="_Toc455867818"/>
      <w:bookmarkStart w:id="773" w:name="_Toc19934"/>
      <w:bookmarkStart w:id="774" w:name="_Toc281405530"/>
      <w:bookmarkStart w:id="775" w:name="_Toc15813"/>
      <w:bookmarkStart w:id="776" w:name="_Toc490667877"/>
      <w:bookmarkStart w:id="777" w:name="_Toc11223"/>
      <w:bookmarkStart w:id="778" w:name="_Toc318450724"/>
      <w:bookmarkStart w:id="779" w:name="_Toc31037"/>
      <w:bookmarkStart w:id="780" w:name="_Toc25637"/>
      <w:bookmarkStart w:id="781" w:name="_Toc21120"/>
      <w:bookmarkStart w:id="782" w:name="_Toc6711"/>
    </w:p>
    <w:p w14:paraId="544E87B5">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bookmarkStart w:id="783" w:name="_Toc26567"/>
      <w:r>
        <w:rPr>
          <w:rFonts w:hint="eastAsia" w:ascii="宋体" w:hAnsi="宋体" w:eastAsia="宋体" w:cs="宋体"/>
          <w:color w:val="auto"/>
          <w:szCs w:val="21"/>
          <w:highlight w:val="none"/>
        </w:rPr>
        <w:t>2.1 初步评审标准</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41D15D42">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 资格检查评审标准：见评审办法前附表。</w:t>
      </w:r>
    </w:p>
    <w:p w14:paraId="0C4D0740">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 符合性检查评审标准：见评审办法前附表。</w:t>
      </w:r>
    </w:p>
    <w:p w14:paraId="42538320">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bookmarkStart w:id="784" w:name="_Toc25492"/>
      <w:bookmarkStart w:id="785" w:name="_Toc26179"/>
      <w:bookmarkStart w:id="786" w:name="_Toc11061"/>
      <w:bookmarkStart w:id="787" w:name="_Toc12013"/>
      <w:bookmarkStart w:id="788" w:name="_Toc490667878"/>
      <w:bookmarkStart w:id="789" w:name="_Toc28765"/>
      <w:bookmarkStart w:id="790" w:name="_Toc22439"/>
      <w:bookmarkStart w:id="791" w:name="_Toc21970"/>
      <w:bookmarkStart w:id="792" w:name="_Toc30189"/>
      <w:bookmarkStart w:id="793" w:name="_Toc24825"/>
      <w:bookmarkStart w:id="794" w:name="_Toc144974570"/>
      <w:bookmarkStart w:id="795" w:name="_Toc281405531"/>
      <w:bookmarkStart w:id="796" w:name="_Toc455867819"/>
      <w:bookmarkStart w:id="797" w:name="_Toc455080159"/>
      <w:bookmarkStart w:id="798" w:name="_Toc466298142"/>
      <w:bookmarkStart w:id="799" w:name="_Toc7284"/>
      <w:bookmarkStart w:id="800" w:name="_Toc318450725"/>
      <w:bookmarkStart w:id="801" w:name="_Toc152045603"/>
      <w:bookmarkStart w:id="802" w:name="_Toc152042380"/>
      <w:r>
        <w:rPr>
          <w:rFonts w:hint="eastAsia" w:ascii="宋体" w:hAnsi="宋体" w:eastAsia="宋体" w:cs="宋体"/>
          <w:color w:val="auto"/>
          <w:szCs w:val="21"/>
          <w:highlight w:val="none"/>
        </w:rPr>
        <w:t>2.2 分值构成与评分标准</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14:paraId="1911AA9B">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（1）商务标：见评审办法前附表；</w:t>
      </w:r>
    </w:p>
    <w:p w14:paraId="5B83C1CA">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（2）技术标：见评审办法前附表；</w:t>
      </w:r>
    </w:p>
    <w:p w14:paraId="113331AC">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（3）综合标：见评审办法前附表。</w:t>
      </w:r>
    </w:p>
    <w:p w14:paraId="0AC2D258">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bookmarkStart w:id="803" w:name="_Toc32314"/>
      <w:bookmarkStart w:id="804" w:name="_Toc318450726"/>
      <w:bookmarkStart w:id="805" w:name="_Toc281405532"/>
      <w:bookmarkStart w:id="806" w:name="_Toc490667879"/>
      <w:bookmarkStart w:id="807" w:name="_Toc16479"/>
      <w:bookmarkStart w:id="808" w:name="_Toc17308"/>
      <w:bookmarkStart w:id="809" w:name="_Toc27018"/>
      <w:bookmarkStart w:id="810" w:name="_Toc455867820"/>
      <w:bookmarkStart w:id="811" w:name="_Toc18127"/>
      <w:bookmarkStart w:id="812" w:name="_Toc29882"/>
      <w:bookmarkStart w:id="813" w:name="_Toc455080160"/>
      <w:bookmarkStart w:id="814" w:name="_Toc29297"/>
      <w:bookmarkStart w:id="815" w:name="_Toc466298143"/>
      <w:r>
        <w:rPr>
          <w:rFonts w:hint="eastAsia" w:ascii="宋体" w:hAnsi="宋体" w:eastAsia="宋体" w:cs="宋体"/>
          <w:color w:val="auto"/>
          <w:szCs w:val="21"/>
          <w:highlight w:val="none"/>
        </w:rPr>
        <w:t>3. 评审程序</w:t>
      </w:r>
      <w:bookmarkEnd w:id="803"/>
      <w:bookmarkEnd w:id="804"/>
      <w:bookmarkEnd w:id="805"/>
      <w:bookmarkEnd w:id="806"/>
      <w:bookmarkEnd w:id="807"/>
      <w:bookmarkEnd w:id="808"/>
      <w:bookmarkEnd w:id="809"/>
      <w:bookmarkEnd w:id="810"/>
      <w:bookmarkEnd w:id="811"/>
      <w:bookmarkEnd w:id="812"/>
      <w:bookmarkEnd w:id="813"/>
      <w:bookmarkEnd w:id="814"/>
      <w:bookmarkEnd w:id="815"/>
    </w:p>
    <w:p w14:paraId="00EA3B7E">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bookmarkStart w:id="816" w:name="_Toc2410"/>
      <w:bookmarkStart w:id="817" w:name="_Toc29614"/>
      <w:bookmarkStart w:id="818" w:name="_Toc318450727"/>
      <w:bookmarkStart w:id="819" w:name="_Toc29092"/>
      <w:bookmarkStart w:id="820" w:name="_Toc455080161"/>
      <w:bookmarkStart w:id="821" w:name="_Toc466298144"/>
      <w:bookmarkStart w:id="822" w:name="_Toc7272"/>
      <w:bookmarkStart w:id="823" w:name="_Toc281405533"/>
      <w:bookmarkStart w:id="824" w:name="_Toc32763"/>
      <w:bookmarkStart w:id="825" w:name="_Toc455867821"/>
      <w:bookmarkStart w:id="826" w:name="_Toc16892"/>
      <w:bookmarkStart w:id="827" w:name="_Toc5427"/>
      <w:bookmarkStart w:id="828" w:name="_Toc18886"/>
      <w:bookmarkStart w:id="829" w:name="_Toc490667880"/>
      <w:bookmarkStart w:id="830" w:name="_Toc30986"/>
      <w:bookmarkStart w:id="831" w:name="_Toc9433"/>
      <w:bookmarkStart w:id="832" w:name="_Toc14633"/>
      <w:r>
        <w:rPr>
          <w:rFonts w:hint="eastAsia" w:ascii="宋体" w:hAnsi="宋体" w:eastAsia="宋体" w:cs="宋体"/>
          <w:color w:val="auto"/>
          <w:szCs w:val="21"/>
          <w:highlight w:val="none"/>
        </w:rPr>
        <w:t>3.1 初步评审</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4CD6D2AE">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bookmarkStart w:id="833" w:name="_Toc26049"/>
      <w:bookmarkStart w:id="834" w:name="_Toc22101"/>
      <w:bookmarkStart w:id="835" w:name="_Toc455867822"/>
      <w:bookmarkStart w:id="836" w:name="_Toc10692"/>
      <w:bookmarkStart w:id="837" w:name="_Toc281405534"/>
      <w:bookmarkStart w:id="838" w:name="_Toc455080162"/>
      <w:bookmarkStart w:id="839" w:name="_Toc16964"/>
      <w:bookmarkStart w:id="840" w:name="_Toc490667881"/>
      <w:bookmarkStart w:id="841" w:name="_Toc12406"/>
      <w:bookmarkStart w:id="842" w:name="_Toc7121"/>
      <w:bookmarkStart w:id="843" w:name="_Toc26280"/>
      <w:bookmarkStart w:id="844" w:name="_Toc21032"/>
      <w:bookmarkStart w:id="845" w:name="_Toc21570"/>
      <w:bookmarkStart w:id="846" w:name="_Toc318450728"/>
      <w:bookmarkStart w:id="847" w:name="_Toc466298145"/>
      <w:bookmarkStart w:id="848" w:name="_Toc13386"/>
      <w:r>
        <w:rPr>
          <w:rFonts w:hint="eastAsia" w:ascii="宋体" w:hAnsi="宋体" w:eastAsia="宋体" w:cs="宋体"/>
          <w:color w:val="auto"/>
          <w:szCs w:val="21"/>
          <w:highlight w:val="none"/>
        </w:rPr>
        <w:t>3.1.1 只有通过资格审查的供应商才能进入符合性评审。磋商小组依据2.1.2规定的内容和标准对响应文件进行符合性审查。有一项不符合评审标准的，其相应文件做无效处理，不得进入详细评审。</w:t>
      </w:r>
    </w:p>
    <w:p w14:paraId="402A9D05">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 供应商有以下情形之一的，其响应文件作无效处理：</w:t>
      </w:r>
    </w:p>
    <w:p w14:paraId="0A101F15">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（1）串通或弄虚作假或有其他违法行为的；</w:t>
      </w:r>
    </w:p>
    <w:p w14:paraId="205EBED3">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（2）不按磋商小组要求澄清、说明或补正的；</w:t>
      </w:r>
    </w:p>
    <w:p w14:paraId="557A1306">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（3）未按规定格式填写、内容不全或关键字迹模糊、无法辨认的；</w:t>
      </w:r>
    </w:p>
    <w:p w14:paraId="5EC367D9">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（4）响应文件附有采购人不能接受的条件；</w:t>
      </w:r>
    </w:p>
    <w:p w14:paraId="4C8D0D8F">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（5）不符合竞争性磋商文件规定的其他实质性要求。</w:t>
      </w:r>
    </w:p>
    <w:p w14:paraId="23446422">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bookmarkStart w:id="849" w:name="_Toc32028"/>
      <w:r>
        <w:rPr>
          <w:rFonts w:hint="eastAsia" w:ascii="宋体" w:hAnsi="宋体" w:eastAsia="宋体" w:cs="宋体"/>
          <w:color w:val="auto"/>
          <w:szCs w:val="21"/>
          <w:highlight w:val="none"/>
        </w:rPr>
        <w:t>3.2 详细评审</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7128B48B">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 磋商小组按本章第2.2款规定的量化因素和分值进行打分，并计算出综合评分得分。</w:t>
      </w:r>
    </w:p>
    <w:p w14:paraId="733F15D5">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 评分分值计算保留小数点后两位，小数点后第三位“四舍五入”。</w:t>
      </w:r>
    </w:p>
    <w:p w14:paraId="70E8AD68">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 供应商的最终得分以全部小组成员打分的算术平均值为准，作为该供应商的最终得分。</w:t>
      </w:r>
    </w:p>
    <w:p w14:paraId="12E32E78">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 在磋商过程中，凡遇到竞争性磋商文件中无界定或界定不清、前后不一致使磋商小组意见有分歧且又难以协商一致的问题，均由磋商小组予以表决，获半数以上同意的即为通过，未获半数同意的即为否决。</w:t>
      </w:r>
    </w:p>
    <w:p w14:paraId="41F501A3">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bookmarkStart w:id="850" w:name="_Toc12374"/>
      <w:bookmarkStart w:id="851" w:name="_Toc281405535"/>
      <w:bookmarkStart w:id="852" w:name="_Toc28633"/>
      <w:bookmarkStart w:id="853" w:name="_Toc318450729"/>
      <w:bookmarkStart w:id="854" w:name="_Toc490667882"/>
      <w:bookmarkStart w:id="855" w:name="_Toc24862"/>
      <w:bookmarkStart w:id="856" w:name="_Toc8813"/>
      <w:bookmarkStart w:id="857" w:name="_Toc22084"/>
      <w:bookmarkStart w:id="858" w:name="_Toc331"/>
      <w:bookmarkStart w:id="859" w:name="_Toc12603"/>
      <w:bookmarkStart w:id="860" w:name="_Toc455867823"/>
      <w:bookmarkStart w:id="861" w:name="_Toc455080163"/>
      <w:bookmarkStart w:id="862" w:name="_Toc2657"/>
      <w:bookmarkStart w:id="863" w:name="_Toc466298146"/>
      <w:bookmarkStart w:id="864" w:name="_Toc8342"/>
      <w:bookmarkStart w:id="865" w:name="_Toc10153"/>
      <w:bookmarkStart w:id="866" w:name="_Toc11958"/>
      <w:r>
        <w:rPr>
          <w:rFonts w:hint="eastAsia" w:ascii="宋体" w:hAnsi="宋体" w:eastAsia="宋体" w:cs="宋体"/>
          <w:color w:val="auto"/>
          <w:szCs w:val="21"/>
          <w:highlight w:val="none"/>
        </w:rPr>
        <w:t>3.3 响应文件的澄清和补正</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14:paraId="2CD5D056">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 在磋商过程中，磋商小组可以书面形式要求供应商对所提交的响应文件中不明确的内容进行书面澄清或说明，或者对细微偏离进行补正。磋商小组不接受供应商主动提出的澄清、说明或补正。</w:t>
      </w:r>
    </w:p>
    <w:p w14:paraId="758A7BF1">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 澄清、说明和补正不得超出响应文件的范围或者改变响应文件的实质性内容（算术性错误修正的除外）。供应商的书面澄清、说明和补正属于响应文件的组成部分。</w:t>
      </w:r>
    </w:p>
    <w:p w14:paraId="2316DCA8">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 磋商小组对供应商提交的澄清、说明或补正有疑问的，可以要求供应商进一步澄清、说明或补正，直至满足磋商小组的要求。</w:t>
      </w:r>
    </w:p>
    <w:p w14:paraId="16E5118E">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bookmarkStart w:id="867" w:name="_Toc490667883"/>
      <w:bookmarkStart w:id="868" w:name="_Toc19938"/>
      <w:bookmarkStart w:id="869" w:name="_Toc281405536"/>
      <w:bookmarkStart w:id="870" w:name="_Toc26894"/>
      <w:bookmarkStart w:id="871" w:name="_Toc455080164"/>
      <w:bookmarkStart w:id="872" w:name="_Toc22986"/>
      <w:bookmarkStart w:id="873" w:name="_Toc14789"/>
      <w:bookmarkStart w:id="874" w:name="_Toc19453"/>
      <w:bookmarkStart w:id="875" w:name="_Toc22682"/>
      <w:bookmarkStart w:id="876" w:name="_Toc5903"/>
      <w:bookmarkStart w:id="877" w:name="_Toc30053"/>
      <w:bookmarkStart w:id="878" w:name="_Toc1857"/>
      <w:bookmarkStart w:id="879" w:name="_Toc455867824"/>
      <w:bookmarkStart w:id="880" w:name="_Toc318450730"/>
      <w:bookmarkStart w:id="881" w:name="_Toc32183"/>
      <w:bookmarkStart w:id="882" w:name="_Toc466298147"/>
      <w:bookmarkStart w:id="883" w:name="_Toc22049"/>
      <w:r>
        <w:rPr>
          <w:rFonts w:hint="eastAsia" w:ascii="宋体" w:hAnsi="宋体" w:eastAsia="宋体" w:cs="宋体"/>
          <w:color w:val="auto"/>
          <w:szCs w:val="21"/>
          <w:highlight w:val="none"/>
        </w:rPr>
        <w:t>3.4 评审结果</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14:paraId="50E74E9E">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除第二章“供应商须知”前附表授权直接确定成交人外，磋商小组按照得分由高到低的顺序推荐成交候选人。</w:t>
      </w:r>
    </w:p>
    <w:p w14:paraId="1F96C2E3">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磋商小组完成评审后，应当向采购人提交书面评审报告。</w:t>
      </w:r>
    </w:p>
    <w:p w14:paraId="291A4830">
      <w:pPr>
        <w:pageBreakBefore w:val="0"/>
        <w:kinsoku/>
        <w:wordWrap w:val="0"/>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3.4.3评标结果在发布招标公告的同一媒介上公示。</w:t>
      </w:r>
      <w:bookmarkStart w:id="884" w:name="_Toc30580"/>
    </w:p>
    <w:p w14:paraId="08B7F33E">
      <w:pPr>
        <w:pStyle w:val="3"/>
        <w:pageBreakBefore w:val="0"/>
        <w:kinsoku/>
        <w:wordWrap w:val="0"/>
        <w:overflowPunct/>
        <w:bidi w:val="0"/>
        <w:rPr>
          <w:rFonts w:hint="eastAsia" w:ascii="宋体" w:hAnsi="宋体" w:eastAsia="宋体" w:cs="宋体"/>
          <w:color w:val="auto"/>
          <w:highlight w:val="none"/>
        </w:rPr>
      </w:pPr>
      <w:bookmarkStart w:id="885" w:name="_Toc14521"/>
      <w:bookmarkStart w:id="886" w:name="_Toc16109"/>
      <w:bookmarkStart w:id="887" w:name="_Toc25046"/>
      <w:bookmarkStart w:id="888" w:name="_Toc11613"/>
      <w:bookmarkStart w:id="889" w:name="_Toc18565"/>
      <w:r>
        <w:rPr>
          <w:rFonts w:hint="eastAsia" w:ascii="宋体" w:hAnsi="宋体" w:eastAsia="宋体" w:cs="宋体"/>
          <w:color w:val="auto"/>
          <w:highlight w:val="none"/>
        </w:rPr>
        <w:br w:type="page"/>
      </w:r>
      <w:r>
        <w:rPr>
          <w:rFonts w:hint="eastAsia" w:ascii="宋体" w:hAnsi="宋体" w:eastAsia="宋体" w:cs="宋体"/>
          <w:color w:val="auto"/>
          <w:sz w:val="28"/>
          <w:szCs w:val="28"/>
          <w:highlight w:val="none"/>
        </w:rPr>
        <w:t>附件：废标条件</w:t>
      </w:r>
      <w:bookmarkEnd w:id="884"/>
      <w:bookmarkEnd w:id="885"/>
      <w:bookmarkEnd w:id="886"/>
      <w:bookmarkEnd w:id="887"/>
      <w:bookmarkEnd w:id="888"/>
      <w:bookmarkEnd w:id="889"/>
    </w:p>
    <w:p w14:paraId="21DA712F">
      <w:pPr>
        <w:pageBreakBefore w:val="0"/>
        <w:kinsoku/>
        <w:wordWrap w:val="0"/>
        <w:overflowPunct/>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14:paraId="24D3CA0E">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1.未通过第三章评标办法资格评审、符合性评审的；</w:t>
      </w:r>
    </w:p>
    <w:p w14:paraId="7476B6B3">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2.不按磋商小组要求澄清、说明或补正的；</w:t>
      </w:r>
    </w:p>
    <w:p w14:paraId="43357E0D">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3.磋商报价有算术性错误，供应商不接受修正价格的；</w:t>
      </w:r>
    </w:p>
    <w:p w14:paraId="2620A644">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4.以他人的名义投标、以行贿手段谋取中标或者以其他弄虚作假方式投标的；</w:t>
      </w:r>
    </w:p>
    <w:p w14:paraId="5AEC8322">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5.属于串（围）标行为的；</w:t>
      </w:r>
    </w:p>
    <w:p w14:paraId="1B3B3AAA">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6.评标委员会认定供应商以低于成本报价竞标的；</w:t>
      </w:r>
    </w:p>
    <w:p w14:paraId="425BCD0D">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7.明显不符合技术规格、技术标准的要求；</w:t>
      </w:r>
    </w:p>
    <w:p w14:paraId="0026CE59">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8.文件制作机器码、文件创建标识码有相同的；</w:t>
      </w:r>
    </w:p>
    <w:p w14:paraId="0F500998">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9.不符合竞争性磋商文件规定的其他实质性要求及相关法律、法规或规章规定可以废标的其他情形；</w:t>
      </w:r>
    </w:p>
    <w:p w14:paraId="1A020B0A">
      <w:pPr>
        <w:pageBreakBefore w:val="0"/>
        <w:tabs>
          <w:tab w:val="left" w:pos="709"/>
        </w:tabs>
        <w:kinsoku/>
        <w:wordWrap w:val="0"/>
        <w:overflowPunct/>
        <w:autoSpaceDE w:val="0"/>
        <w:autoSpaceDN w:val="0"/>
        <w:bidi w:val="0"/>
        <w:adjustRightInd w:val="0"/>
        <w:snapToGrid w:val="0"/>
        <w:spacing w:after="120" w:afterLines="5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bookmarkEnd w:id="748"/>
      <w:bookmarkStart w:id="890" w:name="_Toc26853"/>
      <w:bookmarkStart w:id="891" w:name="_Toc2311"/>
    </w:p>
    <w:p w14:paraId="5D4F02D0">
      <w:pPr>
        <w:pageBreakBefore w:val="0"/>
        <w:kinsoku/>
        <w:wordWrap w:val="0"/>
        <w:overflowPunct/>
        <w:autoSpaceDE w:val="0"/>
        <w:autoSpaceDN w:val="0"/>
        <w:bidi w:val="0"/>
        <w:adjustRightInd w:val="0"/>
        <w:snapToGrid w:val="0"/>
        <w:spacing w:after="120" w:afterLines="50"/>
        <w:jc w:val="center"/>
        <w:outlineLvl w:val="0"/>
        <w:rPr>
          <w:rFonts w:hint="eastAsia" w:ascii="宋体" w:hAnsi="宋体" w:eastAsia="宋体" w:cs="宋体"/>
          <w:b/>
          <w:bCs/>
          <w:color w:val="auto"/>
          <w:kern w:val="44"/>
          <w:sz w:val="44"/>
          <w:szCs w:val="44"/>
          <w:highlight w:val="none"/>
        </w:rPr>
      </w:pPr>
      <w:bookmarkStart w:id="892" w:name="_Toc19439"/>
      <w:r>
        <w:rPr>
          <w:rFonts w:hint="eastAsia" w:ascii="宋体" w:hAnsi="宋体" w:eastAsia="宋体" w:cs="宋体"/>
          <w:b/>
          <w:bCs/>
          <w:color w:val="auto"/>
          <w:kern w:val="44"/>
          <w:sz w:val="44"/>
          <w:szCs w:val="44"/>
          <w:highlight w:val="none"/>
          <w:lang w:eastAsia="zh-CN"/>
        </w:rPr>
        <w:t>第四章</w:t>
      </w:r>
      <w:r>
        <w:rPr>
          <w:rFonts w:hint="eastAsia" w:ascii="宋体" w:hAnsi="宋体" w:eastAsia="宋体" w:cs="宋体"/>
          <w:b/>
          <w:bCs/>
          <w:color w:val="auto"/>
          <w:kern w:val="44"/>
          <w:sz w:val="44"/>
          <w:szCs w:val="44"/>
          <w:highlight w:val="none"/>
          <w:lang w:val="en-US" w:eastAsia="zh-CN"/>
        </w:rPr>
        <w:t xml:space="preserve"> </w:t>
      </w:r>
      <w:r>
        <w:rPr>
          <w:rFonts w:hint="eastAsia" w:ascii="宋体" w:hAnsi="宋体" w:eastAsia="宋体" w:cs="宋体"/>
          <w:b/>
          <w:bCs/>
          <w:color w:val="auto"/>
          <w:kern w:val="44"/>
          <w:sz w:val="44"/>
          <w:szCs w:val="44"/>
          <w:highlight w:val="none"/>
        </w:rPr>
        <w:t>河南省政府采购合同（参考文本）</w:t>
      </w:r>
      <w:bookmarkEnd w:id="890"/>
      <w:bookmarkEnd w:id="891"/>
      <w:bookmarkEnd w:id="892"/>
      <w:bookmarkStart w:id="893" w:name="_Toc486587369"/>
    </w:p>
    <w:p w14:paraId="54953D36">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p>
    <w:p w14:paraId="5836C4CE">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采购人（招标人）：                                      （以下简称甲方）</w:t>
      </w:r>
    </w:p>
    <w:p w14:paraId="3316287E">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投标人（供应商）：                                      （以下简称乙方）</w:t>
      </w:r>
    </w:p>
    <w:p w14:paraId="24AB7AEC">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经甲乙双方充分协商，特订立本合同，以便共同遵守。</w:t>
      </w:r>
    </w:p>
    <w:p w14:paraId="27B3FDEE">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一、合同标底：</w:t>
      </w:r>
    </w:p>
    <w:p w14:paraId="5B57609E">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根据招标文件及其补充文件、中标方的投标文件及其澄清文件和甲方政府采购项目明细表等确定（清单附后，甲乙双方须在清单上盖章）。</w:t>
      </w:r>
    </w:p>
    <w:p w14:paraId="5F58E098">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二、合同价格：</w:t>
      </w:r>
    </w:p>
    <w:p w14:paraId="2F7763EF">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三、交货时间及地点：</w:t>
      </w:r>
    </w:p>
    <w:p w14:paraId="0A1CBBC5">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1、乙方在采购合同签订后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日历天内全部交付并安装调试完毕（具体日期由签订合同之日起计算）；</w:t>
      </w:r>
    </w:p>
    <w:p w14:paraId="190B3F57">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2、乙方自定运输方式，自付费用将中标货物合同标的送达甲方指定地点。</w:t>
      </w:r>
    </w:p>
    <w:p w14:paraId="4B1DBDA8">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四、技术规格：</w:t>
      </w:r>
    </w:p>
    <w:p w14:paraId="3478A3A9">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1、乙方提供的产品的技术规格有国家标准的应符合现行国家标准，无国家标准的应符合部颁标准或行业标准，并满足标的清单中的规定。</w:t>
      </w:r>
    </w:p>
    <w:p w14:paraId="6D511201">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2、乙方保证提供的产品是全新的正品品牌货物，必须满足投标文件承诺的所有服务。</w:t>
      </w:r>
    </w:p>
    <w:p w14:paraId="4AFBB1A2">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五、附件、配件：</w:t>
      </w:r>
    </w:p>
    <w:p w14:paraId="41087DED">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按产品所附使用说明书及清单执行；包括厂家在促销等特别期间承诺提供的附件。</w:t>
      </w:r>
    </w:p>
    <w:p w14:paraId="70061048">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六、售后服务：</w:t>
      </w:r>
    </w:p>
    <w:p w14:paraId="0136C9C7">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1、产品质量：在质保期内，甲方正常使用乙方所供产品而出现质量问题时，乙方按“质量保证承诺书”负责；对产品出现的故障乙方应免费上门服务。</w:t>
      </w:r>
    </w:p>
    <w:p w14:paraId="288DF8A6">
      <w:pPr>
        <w:wordWrap w:val="0"/>
        <w:autoSpaceDE w:val="0"/>
        <w:autoSpaceDN w:val="0"/>
        <w:adjustRightIn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2、产品使用：甲方在使用乙方所供产品中出现问题需乙方指导解决时，乙方应及时给予解决。</w:t>
      </w:r>
    </w:p>
    <w:p w14:paraId="61997F43">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七、验收及异议：</w:t>
      </w:r>
    </w:p>
    <w:p w14:paraId="7833D4DB">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1、甲方验收，并根据实际验收情况向乙方签发验收报告；</w:t>
      </w:r>
    </w:p>
    <w:p w14:paraId="582A411D">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甲方在验收中，如果发现有与合同规定不符的，应在3天内向乙方提出书面异议，不签发验收报告；并同时将该书面异议送达有关部门；甲方未按规定期限提出书面异议并且签发验收报告的，视为甲方放弃自己的权利。乙方在接到甲方书面异议后，应在3天内予以纠正，并对纠正情况以书面形式告知有关部门，否则视为无效。</w:t>
      </w:r>
    </w:p>
    <w:p w14:paraId="2F5A489F">
      <w:pPr>
        <w:wordWrap w:val="0"/>
        <w:autoSpaceDE w:val="0"/>
        <w:autoSpaceDN w:val="0"/>
        <w:adjustRightInd w:val="0"/>
        <w:spacing w:line="400" w:lineRule="exact"/>
        <w:ind w:firstLine="42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八、付款方式：（不得设置履约保证金）</w:t>
      </w:r>
    </w:p>
    <w:p w14:paraId="2B2274D9">
      <w:pPr>
        <w:pStyle w:val="50"/>
        <w:wordWrap w:val="0"/>
        <w:spacing w:after="0"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1.预付款：签订合同后7个工作日内支付合同总价的</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%；（建议预付比例不低于30%，对中小微企业预付比例建议不低于50%）</w:t>
      </w:r>
    </w:p>
    <w:p w14:paraId="12D39B58">
      <w:pPr>
        <w:pStyle w:val="50"/>
        <w:wordWrap w:val="0"/>
        <w:spacing w:after="0"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2.全部货物发货至安装地点15天内支付至合同总价的</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w:t>
      </w:r>
    </w:p>
    <w:p w14:paraId="6F97CFB1">
      <w:pPr>
        <w:pStyle w:val="50"/>
        <w:wordWrap w:val="0"/>
        <w:spacing w:after="0"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3.安装完成并验收合格支付至合同总价的</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；（验收合格后发布验收公告，验收公告发布时间至付款时间为7日，开票时间至付款时间为5日）</w:t>
      </w:r>
    </w:p>
    <w:p w14:paraId="3073FB2A">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九、违约责任：</w:t>
      </w:r>
    </w:p>
    <w:p w14:paraId="0612AAAE">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1、乙方不能按时交货或因不可抗力的原因不能按时交货而未在交货期限内书面或电话告知甲方的，应向甲方偿付不能交货部分货款5%的违约金；</w:t>
      </w:r>
    </w:p>
    <w:p w14:paraId="36488D82">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2、乙方所交标的品牌、型号、规格、质量等不符合合同规定，按违约处理，并赔偿合同金额总数及承担由此给甲方带来的其他损失。</w:t>
      </w:r>
    </w:p>
    <w:p w14:paraId="27526DCB">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由于不可抗力的原因不能履行合同时，应及时向对方通报不能履行或不能安全履行的理由，在取得有关权威部门的证明以后，允许延期履行、部分履行或者不履行合同，并根据情况可部分或全部免于承担违约责任。</w:t>
      </w:r>
    </w:p>
    <w:p w14:paraId="0458017F">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十一、本合同如发生纠纷，甲乙双方协商解决，协商不成时，约定由信阳市仲裁委员会仲裁。</w:t>
      </w:r>
    </w:p>
    <w:p w14:paraId="7931641D">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十二、本合同自签字之日起生效，甲乙双方均不得随意变更或解除合同。</w:t>
      </w:r>
    </w:p>
    <w:p w14:paraId="322E505E">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十三、合同如有未尽事宜，须经甲乙双方协商，作出补充约定，补充约定与本合同具有同等法律效力。</w:t>
      </w:r>
    </w:p>
    <w:p w14:paraId="3C88E701">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十四、本合同一式六份，甲方执四份、乙方执二份，具体内容以合同签订时甲、乙双方协商为准。</w:t>
      </w:r>
    </w:p>
    <w:p w14:paraId="3236417E">
      <w:pPr>
        <w:pStyle w:val="24"/>
        <w:wordWrap w:val="0"/>
        <w:spacing w:line="400" w:lineRule="exact"/>
        <w:ind w:firstLine="420"/>
        <w:rPr>
          <w:rFonts w:hint="eastAsia" w:ascii="宋体" w:hAnsi="宋体" w:eastAsia="宋体" w:cs="宋体"/>
          <w:color w:val="auto"/>
          <w:sz w:val="21"/>
          <w:szCs w:val="21"/>
          <w:highlight w:val="none"/>
        </w:rPr>
      </w:pPr>
    </w:p>
    <w:p w14:paraId="64D61146">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采购人（</w:t>
      </w:r>
      <w:r>
        <w:rPr>
          <w:rFonts w:hint="eastAsia" w:ascii="宋体" w:hAnsi="宋体" w:eastAsia="宋体" w:cs="宋体"/>
          <w:color w:val="auto"/>
          <w:kern w:val="0"/>
          <w:szCs w:val="21"/>
          <w:highlight w:val="none"/>
        </w:rPr>
        <w:t>甲方）：（公章）                          投标人（乙方）：（公章）</w:t>
      </w:r>
    </w:p>
    <w:p w14:paraId="7BDDFCB4">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法定代表人或授权代理人：（签字）                   法定代表人或授权代理人：（签字）</w:t>
      </w:r>
    </w:p>
    <w:p w14:paraId="0A34403E">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                                          地    址：</w:t>
      </w:r>
    </w:p>
    <w:p w14:paraId="44C3156E">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                                          开户银行：</w:t>
      </w:r>
    </w:p>
    <w:p w14:paraId="0460C5F1">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账    号：                                          账    号：</w:t>
      </w:r>
    </w:p>
    <w:p w14:paraId="1088E11F">
      <w:pPr>
        <w:wordWrap w:val="0"/>
        <w:autoSpaceDE w:val="0"/>
        <w:autoSpaceDN w:val="0"/>
        <w:adjustRightIn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                                          电    话：</w:t>
      </w:r>
    </w:p>
    <w:p w14:paraId="21BA6C3D">
      <w:pPr>
        <w:wordWrap w:val="0"/>
        <w:autoSpaceDE w:val="0"/>
        <w:autoSpaceDN w:val="0"/>
        <w:adjustRightIn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年   月   日                                       年  月  日</w:t>
      </w:r>
    </w:p>
    <w:p w14:paraId="69307379">
      <w:pPr>
        <w:wordWrap w:val="0"/>
        <w:spacing w:line="400" w:lineRule="exact"/>
        <w:ind w:firstLine="420"/>
        <w:jc w:val="center"/>
        <w:rPr>
          <w:rFonts w:hint="eastAsia" w:ascii="宋体" w:hAnsi="宋体" w:eastAsia="宋体" w:cs="宋体"/>
          <w:color w:val="auto"/>
          <w:szCs w:val="21"/>
          <w:highlight w:val="none"/>
          <w:u w:val="single"/>
        </w:rPr>
      </w:pPr>
    </w:p>
    <w:p w14:paraId="0AA0E6C7">
      <w:pPr>
        <w:pStyle w:val="51"/>
        <w:wordWrap w:val="0"/>
        <w:ind w:left="0" w:leftChars="0" w:firstLine="0" w:firstLineChars="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同融资注意事项：1）供应商预进行合同融资的，在签订合同时，供应商的合同账号需为合同融资银行指定的账户和账号。2）预进行合同融资的合同，采购人在合同备案时，需将备案系统中供应商默认账户和账号修改为合同融资银行指定的账户和账号，然后再提交合同备案。</w:t>
      </w:r>
    </w:p>
    <w:p w14:paraId="6DDCBC3C">
      <w:pPr>
        <w:pStyle w:val="2"/>
        <w:pageBreakBefore w:val="0"/>
        <w:kinsoku/>
        <w:wordWrap w:val="0"/>
        <w:overflowPunct/>
        <w:bidi w:val="0"/>
        <w:rPr>
          <w:rFonts w:hint="eastAsia" w:ascii="宋体" w:hAnsi="宋体" w:eastAsia="宋体" w:cs="宋体"/>
          <w:color w:val="auto"/>
          <w:highlight w:val="none"/>
        </w:rPr>
      </w:pPr>
      <w:r>
        <w:rPr>
          <w:rFonts w:hint="eastAsia" w:ascii="宋体" w:hAnsi="宋体" w:eastAsia="宋体" w:cs="宋体"/>
          <w:b/>
          <w:bCs/>
          <w:iCs/>
          <w:caps/>
          <w:color w:val="auto"/>
          <w:kern w:val="0"/>
          <w:sz w:val="24"/>
          <w:szCs w:val="36"/>
          <w:highlight w:val="none"/>
        </w:rPr>
        <w:br w:type="page"/>
      </w:r>
      <w:bookmarkEnd w:id="893"/>
      <w:bookmarkStart w:id="894" w:name="_Toc26470"/>
      <w:bookmarkStart w:id="895" w:name="_Toc27917"/>
      <w:r>
        <w:rPr>
          <w:rFonts w:hint="eastAsia" w:ascii="宋体" w:hAnsi="宋体" w:eastAsia="宋体" w:cs="宋体"/>
          <w:color w:val="auto"/>
          <w:highlight w:val="none"/>
        </w:rPr>
        <w:t>第五章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采购需求</w:t>
      </w:r>
      <w:bookmarkEnd w:id="894"/>
      <w:bookmarkEnd w:id="895"/>
      <w:bookmarkStart w:id="896" w:name="_Toc493506288"/>
      <w:bookmarkStart w:id="897" w:name="_Toc9535"/>
    </w:p>
    <w:bookmarkEnd w:id="896"/>
    <w:bookmarkEnd w:id="897"/>
    <w:tbl>
      <w:tblPr>
        <w:tblStyle w:val="52"/>
        <w:tblpPr w:leftFromText="181" w:rightFromText="181" w:vertAnchor="text" w:horzAnchor="page" w:tblpXSpec="center" w:tblpY="642"/>
        <w:tblOverlap w:val="never"/>
        <w:tblW w:w="47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6"/>
        <w:gridCol w:w="4288"/>
        <w:gridCol w:w="766"/>
        <w:gridCol w:w="853"/>
        <w:gridCol w:w="749"/>
      </w:tblGrid>
      <w:tr w14:paraId="0D57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52" w:type="pct"/>
            <w:noWrap w:val="0"/>
            <w:vAlign w:val="center"/>
          </w:tcPr>
          <w:p w14:paraId="56EBDBB4">
            <w:pPr>
              <w:keepNext w:val="0"/>
              <w:keepLines w:val="0"/>
              <w:suppressLineNumbers w:val="0"/>
              <w:spacing w:before="0" w:beforeAutospacing="0" w:after="0" w:afterAutospacing="0" w:line="360" w:lineRule="auto"/>
              <w:ind w:left="0" w:leftChars="0" w:right="0" w:firstLine="0" w:firstLineChars="0"/>
              <w:jc w:val="center"/>
              <w:rPr>
                <w:rFonts w:hint="eastAsia"/>
              </w:rPr>
            </w:pPr>
            <w:bookmarkStart w:id="898" w:name="_Toc24289"/>
            <w:r>
              <w:rPr>
                <w:rFonts w:hint="eastAsia"/>
                <w:lang w:val="en-US" w:eastAsia="zh-CN"/>
              </w:rPr>
              <w:t>包</w:t>
            </w:r>
            <w:r>
              <w:rPr>
                <w:rFonts w:hint="eastAsia"/>
              </w:rPr>
              <w:t>号</w:t>
            </w:r>
          </w:p>
        </w:tc>
        <w:tc>
          <w:tcPr>
            <w:tcW w:w="811" w:type="pct"/>
            <w:noWrap w:val="0"/>
            <w:vAlign w:val="center"/>
          </w:tcPr>
          <w:p w14:paraId="2F2E0F2C">
            <w:pPr>
              <w:keepNext w:val="0"/>
              <w:keepLines w:val="0"/>
              <w:suppressLineNumbers w:val="0"/>
              <w:spacing w:before="0" w:beforeAutospacing="0" w:after="0" w:afterAutospacing="0" w:line="360" w:lineRule="auto"/>
              <w:ind w:left="0" w:leftChars="0" w:right="0" w:firstLine="0" w:firstLineChars="0"/>
              <w:jc w:val="center"/>
              <w:rPr>
                <w:rFonts w:hint="default"/>
                <w:lang w:val="en-US" w:eastAsia="zh-CN"/>
              </w:rPr>
            </w:pPr>
            <w:r>
              <w:rPr>
                <w:rFonts w:hint="eastAsia"/>
                <w:lang w:val="en-US" w:eastAsia="zh-CN"/>
              </w:rPr>
              <w:t>产品名称</w:t>
            </w:r>
          </w:p>
        </w:tc>
        <w:tc>
          <w:tcPr>
            <w:tcW w:w="2406" w:type="pct"/>
            <w:noWrap w:val="0"/>
            <w:vAlign w:val="center"/>
          </w:tcPr>
          <w:p w14:paraId="086FB189">
            <w:pPr>
              <w:keepNext w:val="0"/>
              <w:keepLines w:val="0"/>
              <w:suppressLineNumbers w:val="0"/>
              <w:spacing w:before="0" w:beforeAutospacing="0" w:after="0" w:afterAutospacing="0" w:line="360" w:lineRule="auto"/>
              <w:ind w:left="0" w:leftChars="0" w:right="0" w:firstLine="0" w:firstLineChars="0"/>
              <w:jc w:val="center"/>
              <w:rPr>
                <w:rFonts w:hint="eastAsia"/>
                <w:lang w:val="en-US" w:eastAsia="zh-CN"/>
              </w:rPr>
            </w:pPr>
            <w:r>
              <w:rPr>
                <w:rFonts w:hint="eastAsia"/>
                <w:lang w:val="en-US" w:eastAsia="zh-CN"/>
              </w:rPr>
              <w:t>技术参数要求</w:t>
            </w:r>
          </w:p>
        </w:tc>
        <w:tc>
          <w:tcPr>
            <w:tcW w:w="429" w:type="pct"/>
            <w:noWrap w:val="0"/>
            <w:vAlign w:val="center"/>
          </w:tcPr>
          <w:p w14:paraId="776D8E20">
            <w:pPr>
              <w:keepNext w:val="0"/>
              <w:keepLines w:val="0"/>
              <w:suppressLineNumbers w:val="0"/>
              <w:spacing w:before="0" w:beforeAutospacing="0" w:after="0" w:afterAutospacing="0" w:line="360" w:lineRule="auto"/>
              <w:ind w:left="0" w:leftChars="0" w:right="0" w:firstLine="0" w:firstLineChars="0"/>
              <w:jc w:val="center"/>
              <w:rPr>
                <w:rFonts w:hint="default"/>
                <w:lang w:val="en-US" w:eastAsia="zh-CN"/>
              </w:rPr>
            </w:pPr>
            <w:r>
              <w:rPr>
                <w:rFonts w:hint="eastAsia"/>
                <w:lang w:val="en-US" w:eastAsia="zh-CN"/>
              </w:rPr>
              <w:t>单位</w:t>
            </w:r>
          </w:p>
        </w:tc>
        <w:tc>
          <w:tcPr>
            <w:tcW w:w="478" w:type="pct"/>
            <w:noWrap w:val="0"/>
            <w:vAlign w:val="center"/>
          </w:tcPr>
          <w:p w14:paraId="6C316917">
            <w:pPr>
              <w:keepNext w:val="0"/>
              <w:keepLines w:val="0"/>
              <w:suppressLineNumbers w:val="0"/>
              <w:spacing w:before="0" w:beforeAutospacing="0" w:after="0" w:afterAutospacing="0" w:line="360" w:lineRule="auto"/>
              <w:ind w:left="0" w:leftChars="0" w:right="0" w:firstLine="0" w:firstLineChars="0"/>
              <w:jc w:val="center"/>
              <w:rPr>
                <w:rFonts w:hint="default"/>
                <w:lang w:val="en-US" w:eastAsia="zh-CN"/>
              </w:rPr>
            </w:pPr>
            <w:r>
              <w:rPr>
                <w:rFonts w:hint="eastAsia"/>
                <w:lang w:val="en-US" w:eastAsia="zh-CN"/>
              </w:rPr>
              <w:t>数量</w:t>
            </w:r>
          </w:p>
        </w:tc>
        <w:tc>
          <w:tcPr>
            <w:tcW w:w="420" w:type="pct"/>
            <w:noWrap w:val="0"/>
            <w:vAlign w:val="center"/>
          </w:tcPr>
          <w:p w14:paraId="2F35CB48">
            <w:pPr>
              <w:keepNext w:val="0"/>
              <w:keepLines w:val="0"/>
              <w:suppressLineNumbers w:val="0"/>
              <w:spacing w:before="0" w:beforeAutospacing="0" w:after="0" w:afterAutospacing="0" w:line="360" w:lineRule="auto"/>
              <w:ind w:left="0" w:leftChars="0" w:right="0" w:firstLine="0" w:firstLineChars="0"/>
              <w:jc w:val="center"/>
              <w:rPr>
                <w:rFonts w:hint="default"/>
                <w:lang w:val="en-US" w:eastAsia="zh-CN"/>
              </w:rPr>
            </w:pPr>
            <w:r>
              <w:rPr>
                <w:rFonts w:hint="eastAsia"/>
                <w:lang w:val="en-US" w:eastAsia="zh-CN"/>
              </w:rPr>
              <w:t>备注</w:t>
            </w:r>
          </w:p>
        </w:tc>
      </w:tr>
      <w:tr w14:paraId="011A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46BA3CF3">
            <w:pPr>
              <w:keepNext w:val="0"/>
              <w:keepLines w:val="0"/>
              <w:suppressLineNumbers w:val="0"/>
              <w:spacing w:before="0" w:beforeAutospacing="0" w:after="0" w:afterAutospacing="0" w:line="360" w:lineRule="auto"/>
              <w:ind w:left="0" w:leftChars="0" w:right="0" w:firstLine="0" w:firstLineChars="0"/>
              <w:jc w:val="center"/>
              <w:rPr>
                <w:rFonts w:hint="default" w:eastAsia="宋体"/>
                <w:lang w:val="en-US" w:eastAsia="zh-CN"/>
              </w:rPr>
            </w:pPr>
            <w:r>
              <w:rPr>
                <w:rFonts w:hint="eastAsia"/>
                <w:lang w:val="en-US" w:eastAsia="zh-CN"/>
              </w:rPr>
              <w:t>1包</w:t>
            </w:r>
          </w:p>
        </w:tc>
        <w:tc>
          <w:tcPr>
            <w:tcW w:w="811" w:type="pct"/>
            <w:noWrap w:val="0"/>
            <w:vAlign w:val="center"/>
          </w:tcPr>
          <w:p w14:paraId="0D40D59C">
            <w:pPr>
              <w:keepNext w:val="0"/>
              <w:keepLines w:val="0"/>
              <w:suppressLineNumbers w:val="0"/>
              <w:spacing w:before="0" w:beforeAutospacing="0" w:after="0" w:afterAutospacing="0" w:line="360" w:lineRule="auto"/>
              <w:ind w:left="0" w:leftChars="0" w:right="0" w:firstLine="0" w:firstLineChars="0"/>
              <w:jc w:val="center"/>
              <w:rPr>
                <w:rFonts w:hint="eastAsia"/>
                <w:lang w:val="en-US" w:eastAsia="zh-CN"/>
              </w:rPr>
            </w:pPr>
            <w:r>
              <w:rPr>
                <w:rFonts w:hint="eastAsia" w:ascii="宋体" w:hAnsi="宋体" w:eastAsia="宋体" w:cs="宋体"/>
                <w:b/>
                <w:bCs/>
                <w:color w:val="auto"/>
                <w:sz w:val="21"/>
                <w:szCs w:val="21"/>
                <w:highlight w:val="none"/>
                <w:lang w:val="en-US" w:eastAsia="zh-CN"/>
              </w:rPr>
              <w:t>频振式太阳能杀虫灯</w:t>
            </w:r>
          </w:p>
        </w:tc>
        <w:tc>
          <w:tcPr>
            <w:tcW w:w="2406" w:type="pct"/>
            <w:noWrap w:val="0"/>
            <w:vAlign w:val="center"/>
          </w:tcPr>
          <w:p w14:paraId="4562A8E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1、采用频振诱控技术，符合GB/T24689.2-2017植物保护机械频振式杀虫灯国家标准；</w:t>
            </w:r>
          </w:p>
          <w:p w14:paraId="25C9BA29">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2、工作电压：DC12V  整灯功率：≤35W、启动时间：≤5S；</w:t>
            </w:r>
          </w:p>
          <w:p w14:paraId="73B5A3FB">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3、诱集光源波长：350-590nm（主波长365nm，可根据标靶害虫使用不同波长的黑光或LED灯管）；</w:t>
            </w:r>
          </w:p>
          <w:p w14:paraId="0EAC510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4、诱虫光源：3面T8E27 LED专用诱虫灯管、2U或者3U专用诱虫灯管、15W黑光灯可选；</w:t>
            </w:r>
          </w:p>
          <w:p w14:paraId="577B510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5、触杀方式：横网、竖网和撞击屏杀虫方式可选，具有安全保护措施；</w:t>
            </w:r>
          </w:p>
          <w:p w14:paraId="62C821B5">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6、电网材质、工艺：电网采用直径2mm，网线采用内外双网交叉方型竖直连接，中间无接头，网间距可根据不同标靶害虫进行调整（正常为10MM）；</w:t>
            </w:r>
          </w:p>
          <w:p w14:paraId="0D80FFFC">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7、高压电网电压、绝缘电阻：≥4500v（可分档控制电网电压），≥2.5MΩ；</w:t>
            </w:r>
          </w:p>
          <w:p w14:paraId="7D2FA1E4">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8、绝缘柱：应有可靠的耐腐蚀，耐高压性能，高压电网连续拉弧30min，绝缘柱应无碳化现象；</w:t>
            </w:r>
          </w:p>
          <w:p w14:paraId="33ED0172">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9、接虫装置：采用可定制个性化文字及图案的接虫袋或接虫桶，设计有活虫防逃逸及积虫防损机系统，有效的收集虫体及保护设备因积虫过多而损坏；</w:t>
            </w:r>
          </w:p>
          <w:p w14:paraId="066A3A01">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10、天敌逃生孔：接虫装置具有天敌逃生孔，能最大限度避免对天敌的杀伤；</w:t>
            </w:r>
          </w:p>
          <w:p w14:paraId="4D77717B">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11、智能控制系统：具有光控、时控、雨控、温控、倾控功能和工作状态显示功能。</w:t>
            </w:r>
          </w:p>
          <w:p w14:paraId="23564B1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12、蓄电池：12V24Ah储控一体锂电池，电池安装方式采用内藏式；</w:t>
            </w:r>
          </w:p>
          <w:p w14:paraId="34EE1623">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13、太阳能板：功率≥40WP；</w:t>
            </w:r>
          </w:p>
          <w:p w14:paraId="73BFAC4B">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14、主体灯杆：全不锈钢材质，灯杆高度≥2.5米，直径≥60mm；</w:t>
            </w:r>
          </w:p>
          <w:p w14:paraId="50611A3A">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15、可按需求增设物联网功能：可以进行手动开关操作，也可以无线遥控智能开关、批量开关、定位、故障排查等功能；</w:t>
            </w:r>
          </w:p>
          <w:p w14:paraId="479EA1F0">
            <w:pPr>
              <w:keepNext w:val="0"/>
              <w:keepLines w:val="0"/>
              <w:suppressLineNumbers w:val="0"/>
              <w:spacing w:before="0" w:beforeAutospacing="0" w:after="0" w:afterAutospacing="0" w:line="360" w:lineRule="auto"/>
              <w:ind w:left="0" w:leftChars="0" w:right="0" w:firstLine="420" w:firstLineChars="200"/>
              <w:jc w:val="left"/>
              <w:rPr>
                <w:rFonts w:hint="eastAsia"/>
                <w:lang w:val="en-US" w:eastAsia="zh-CN"/>
              </w:rPr>
            </w:pPr>
            <w:r>
              <w:rPr>
                <w:rFonts w:hint="eastAsia" w:ascii="宋体" w:hAnsi="宋体" w:eastAsia="宋体" w:cs="宋体"/>
                <w:b w:val="0"/>
                <w:bCs w:val="0"/>
                <w:color w:val="auto"/>
                <w:sz w:val="21"/>
                <w:szCs w:val="21"/>
                <w:highlight w:val="none"/>
                <w:lang w:val="en-US" w:eastAsia="zh-CN"/>
              </w:rPr>
              <w:t>16、包含安装预埋件、运输、安装、检修等售后服务及五年质保期。</w:t>
            </w:r>
          </w:p>
        </w:tc>
        <w:tc>
          <w:tcPr>
            <w:tcW w:w="429" w:type="pct"/>
            <w:noWrap w:val="0"/>
            <w:vAlign w:val="center"/>
          </w:tcPr>
          <w:p w14:paraId="0A0A48E8">
            <w:pPr>
              <w:keepNext w:val="0"/>
              <w:keepLines w:val="0"/>
              <w:suppressLineNumbers w:val="0"/>
              <w:spacing w:before="0" w:beforeAutospacing="0" w:after="0" w:afterAutospacing="0" w:line="360" w:lineRule="auto"/>
              <w:ind w:left="0" w:leftChars="0" w:right="0" w:firstLine="0" w:firstLineChars="0"/>
              <w:jc w:val="center"/>
              <w:rPr>
                <w:rFonts w:hint="default"/>
                <w:lang w:val="en-US" w:eastAsia="zh-CN"/>
              </w:rPr>
            </w:pPr>
            <w:r>
              <w:rPr>
                <w:rFonts w:hint="eastAsia"/>
                <w:lang w:val="en-US" w:eastAsia="zh-CN"/>
              </w:rPr>
              <w:t>台</w:t>
            </w:r>
          </w:p>
        </w:tc>
        <w:tc>
          <w:tcPr>
            <w:tcW w:w="478" w:type="pct"/>
            <w:noWrap w:val="0"/>
            <w:vAlign w:val="center"/>
          </w:tcPr>
          <w:p w14:paraId="2BEA61AF">
            <w:pPr>
              <w:keepNext w:val="0"/>
              <w:keepLines w:val="0"/>
              <w:suppressLineNumbers w:val="0"/>
              <w:spacing w:before="0" w:beforeAutospacing="0" w:after="0" w:afterAutospacing="0" w:line="360" w:lineRule="auto"/>
              <w:ind w:left="0" w:leftChars="0" w:right="0" w:firstLine="0" w:firstLineChars="0"/>
              <w:jc w:val="center"/>
              <w:rPr>
                <w:rFonts w:hint="eastAsia"/>
                <w:lang w:val="en-US" w:eastAsia="zh-CN"/>
              </w:rPr>
            </w:pPr>
            <w:r>
              <w:rPr>
                <w:rFonts w:hint="eastAsia" w:ascii="宋体" w:hAnsi="宋体" w:eastAsia="宋体" w:cs="宋体"/>
                <w:b/>
                <w:bCs/>
                <w:color w:val="auto"/>
                <w:sz w:val="21"/>
                <w:szCs w:val="21"/>
                <w:highlight w:val="none"/>
                <w:lang w:val="en-US" w:eastAsia="zh-CN"/>
              </w:rPr>
              <w:t>150</w:t>
            </w:r>
          </w:p>
        </w:tc>
        <w:tc>
          <w:tcPr>
            <w:tcW w:w="420" w:type="pct"/>
            <w:noWrap w:val="0"/>
            <w:vAlign w:val="center"/>
          </w:tcPr>
          <w:p w14:paraId="3C8DDA83">
            <w:pPr>
              <w:keepNext w:val="0"/>
              <w:keepLines w:val="0"/>
              <w:suppressLineNumbers w:val="0"/>
              <w:spacing w:before="0" w:beforeAutospacing="0" w:after="0" w:afterAutospacing="0" w:line="360" w:lineRule="auto"/>
              <w:ind w:left="0" w:leftChars="0" w:right="0" w:firstLine="0" w:firstLineChars="0"/>
              <w:jc w:val="center"/>
              <w:rPr>
                <w:rFonts w:hint="eastAsia"/>
                <w:lang w:val="en-US" w:eastAsia="zh-CN"/>
              </w:rPr>
            </w:pPr>
          </w:p>
        </w:tc>
      </w:tr>
      <w:tr w14:paraId="4455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573795A8">
            <w:pPr>
              <w:keepNext w:val="0"/>
              <w:keepLines w:val="0"/>
              <w:suppressLineNumbers w:val="0"/>
              <w:spacing w:before="0" w:beforeAutospacing="0" w:after="0" w:afterAutospacing="0" w:line="360" w:lineRule="auto"/>
              <w:ind w:left="0" w:leftChars="0" w:right="0" w:firstLine="0" w:firstLineChars="0"/>
              <w:jc w:val="center"/>
              <w:rPr>
                <w:rFonts w:hint="default" w:eastAsia="宋体"/>
                <w:lang w:val="en-US" w:eastAsia="zh-CN"/>
              </w:rPr>
            </w:pPr>
            <w:r>
              <w:rPr>
                <w:rFonts w:hint="eastAsia"/>
                <w:lang w:val="en-US" w:eastAsia="zh-CN"/>
              </w:rPr>
              <w:t>2包</w:t>
            </w:r>
          </w:p>
        </w:tc>
        <w:tc>
          <w:tcPr>
            <w:tcW w:w="811" w:type="pct"/>
            <w:noWrap w:val="0"/>
            <w:vAlign w:val="center"/>
          </w:tcPr>
          <w:p w14:paraId="665AF119">
            <w:pPr>
              <w:keepNext w:val="0"/>
              <w:keepLines w:val="0"/>
              <w:suppressLineNumbers w:val="0"/>
              <w:spacing w:before="0" w:beforeAutospacing="0" w:after="0" w:afterAutospacing="0" w:line="360" w:lineRule="auto"/>
              <w:ind w:left="0" w:leftChars="0" w:right="0" w:firstLine="0" w:firstLineChars="0"/>
              <w:jc w:val="center"/>
              <w:rPr>
                <w:rFonts w:hint="eastAsia"/>
                <w:lang w:val="en-US" w:eastAsia="zh-CN"/>
              </w:rPr>
            </w:pPr>
            <w:r>
              <w:rPr>
                <w:rFonts w:hint="eastAsia" w:ascii="宋体" w:hAnsi="宋体" w:eastAsia="宋体" w:cs="宋体"/>
                <w:b/>
                <w:bCs/>
                <w:color w:val="auto"/>
                <w:sz w:val="21"/>
                <w:szCs w:val="21"/>
                <w:highlight w:val="none"/>
                <w:lang w:val="en-US" w:eastAsia="zh-CN"/>
              </w:rPr>
              <w:t>35% 唑醚.戊唑醇悬浮剂</w:t>
            </w:r>
          </w:p>
        </w:tc>
        <w:tc>
          <w:tcPr>
            <w:tcW w:w="2406" w:type="pct"/>
            <w:noWrap w:val="0"/>
            <w:vAlign w:val="center"/>
          </w:tcPr>
          <w:p w14:paraId="05295DE3">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1、剂型：悬浮剂；</w:t>
            </w:r>
          </w:p>
          <w:p w14:paraId="450D580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2、含量：35%（吡唑醚菌酯7%，戊唑醇28%）；</w:t>
            </w:r>
          </w:p>
          <w:p w14:paraId="39B30078">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3、规格：100克/瓶。</w:t>
            </w:r>
          </w:p>
        </w:tc>
        <w:tc>
          <w:tcPr>
            <w:tcW w:w="429" w:type="pct"/>
            <w:noWrap w:val="0"/>
            <w:vAlign w:val="center"/>
          </w:tcPr>
          <w:p w14:paraId="361F2ADC">
            <w:pPr>
              <w:keepNext w:val="0"/>
              <w:keepLines w:val="0"/>
              <w:suppressLineNumbers w:val="0"/>
              <w:spacing w:before="0" w:beforeAutospacing="0" w:after="0" w:afterAutospacing="0" w:line="360" w:lineRule="auto"/>
              <w:ind w:left="0" w:leftChars="0" w:right="0" w:firstLine="0" w:firstLineChars="0"/>
              <w:jc w:val="center"/>
              <w:rPr>
                <w:rFonts w:hint="default"/>
                <w:lang w:val="en-US" w:eastAsia="zh-CN"/>
              </w:rPr>
            </w:pPr>
            <w:r>
              <w:rPr>
                <w:rFonts w:hint="eastAsia"/>
                <w:lang w:val="en-US" w:eastAsia="zh-CN"/>
              </w:rPr>
              <w:t>千克</w:t>
            </w:r>
          </w:p>
        </w:tc>
        <w:tc>
          <w:tcPr>
            <w:tcW w:w="478" w:type="pct"/>
            <w:noWrap w:val="0"/>
            <w:vAlign w:val="center"/>
          </w:tcPr>
          <w:p w14:paraId="0BD0B8B5">
            <w:pPr>
              <w:keepNext w:val="0"/>
              <w:keepLines w:val="0"/>
              <w:suppressLineNumbers w:val="0"/>
              <w:spacing w:before="0" w:beforeAutospacing="0" w:after="0" w:afterAutospacing="0" w:line="360" w:lineRule="auto"/>
              <w:ind w:left="0" w:leftChars="0" w:right="0" w:firstLine="0" w:firstLineChars="0"/>
              <w:jc w:val="center"/>
              <w:rPr>
                <w:rFonts w:hint="eastAsia"/>
                <w:lang w:val="en-US" w:eastAsia="zh-CN"/>
              </w:rPr>
            </w:pPr>
            <w:r>
              <w:rPr>
                <w:rFonts w:hint="eastAsia" w:ascii="宋体" w:hAnsi="宋体" w:eastAsia="宋体" w:cs="宋体"/>
                <w:b/>
                <w:bCs/>
                <w:color w:val="auto"/>
                <w:sz w:val="21"/>
                <w:szCs w:val="21"/>
                <w:highlight w:val="none"/>
                <w:lang w:val="en-US" w:eastAsia="zh-CN"/>
              </w:rPr>
              <w:t>1700</w:t>
            </w:r>
          </w:p>
        </w:tc>
        <w:tc>
          <w:tcPr>
            <w:tcW w:w="420" w:type="pct"/>
            <w:noWrap w:val="0"/>
            <w:vAlign w:val="center"/>
          </w:tcPr>
          <w:p w14:paraId="54F2B6D8">
            <w:pPr>
              <w:keepNext w:val="0"/>
              <w:keepLines w:val="0"/>
              <w:suppressLineNumbers w:val="0"/>
              <w:spacing w:before="0" w:beforeAutospacing="0" w:after="0" w:afterAutospacing="0" w:line="360" w:lineRule="auto"/>
              <w:ind w:left="0" w:leftChars="0" w:right="0" w:firstLine="0" w:firstLineChars="0"/>
              <w:jc w:val="center"/>
              <w:rPr>
                <w:rFonts w:hint="eastAsia"/>
                <w:lang w:val="en-US" w:eastAsia="zh-CN"/>
              </w:rPr>
            </w:pPr>
          </w:p>
        </w:tc>
      </w:tr>
      <w:tr w14:paraId="333E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1D8CE0D4">
            <w:pPr>
              <w:keepNext w:val="0"/>
              <w:keepLines w:val="0"/>
              <w:suppressLineNumbers w:val="0"/>
              <w:spacing w:before="0" w:beforeAutospacing="0" w:after="0" w:afterAutospacing="0" w:line="360" w:lineRule="auto"/>
              <w:ind w:left="0" w:leftChars="0" w:right="0" w:firstLine="0" w:firstLineChars="0"/>
              <w:jc w:val="center"/>
              <w:rPr>
                <w:rFonts w:hint="default" w:eastAsia="宋体"/>
                <w:lang w:val="en-US" w:eastAsia="zh-CN"/>
              </w:rPr>
            </w:pPr>
            <w:r>
              <w:rPr>
                <w:rFonts w:hint="eastAsia"/>
                <w:lang w:val="en-US" w:eastAsia="zh-CN"/>
              </w:rPr>
              <w:t>3包</w:t>
            </w:r>
          </w:p>
        </w:tc>
        <w:tc>
          <w:tcPr>
            <w:tcW w:w="811" w:type="pct"/>
            <w:noWrap w:val="0"/>
            <w:vAlign w:val="center"/>
          </w:tcPr>
          <w:p w14:paraId="19ECE5CF">
            <w:pPr>
              <w:keepNext w:val="0"/>
              <w:keepLines w:val="0"/>
              <w:suppressLineNumbers w:val="0"/>
              <w:spacing w:before="0" w:beforeAutospacing="0" w:after="0" w:afterAutospacing="0" w:line="360" w:lineRule="auto"/>
              <w:ind w:left="0" w:leftChars="0" w:right="0" w:firstLine="0" w:firstLineChars="0"/>
              <w:jc w:val="center"/>
              <w:rPr>
                <w:rFonts w:hint="eastAsia"/>
                <w:lang w:val="en-US" w:eastAsia="zh-CN"/>
              </w:rPr>
            </w:pPr>
            <w:r>
              <w:rPr>
                <w:rFonts w:hint="eastAsia" w:ascii="宋体" w:hAnsi="宋体" w:eastAsia="宋体" w:cs="宋体"/>
                <w:b/>
                <w:bCs/>
                <w:color w:val="auto"/>
                <w:sz w:val="21"/>
                <w:szCs w:val="21"/>
                <w:highlight w:val="none"/>
                <w:lang w:val="en-US" w:eastAsia="zh-CN"/>
              </w:rPr>
              <w:t>14%甲维.茚虫威悬浮剂</w:t>
            </w:r>
          </w:p>
        </w:tc>
        <w:tc>
          <w:tcPr>
            <w:tcW w:w="2406" w:type="pct"/>
            <w:noWrap w:val="0"/>
            <w:vAlign w:val="center"/>
          </w:tcPr>
          <w:p w14:paraId="6CE63175">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1、剂型：悬浮剂；</w:t>
            </w:r>
          </w:p>
          <w:p w14:paraId="1D21CD6B">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2、含量：14%（甲氨基阿维菌素苯甲酸盐3%，茚虫威11%）；</w:t>
            </w:r>
          </w:p>
          <w:p w14:paraId="235CD60C">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3、规格：100克/瓶。</w:t>
            </w:r>
            <w:r>
              <w:rPr>
                <w:rFonts w:hint="eastAsia" w:ascii="宋体" w:hAnsi="宋体" w:eastAsia="宋体" w:cs="宋体"/>
                <w:b w:val="0"/>
                <w:bCs w:val="0"/>
                <w:color w:val="auto"/>
                <w:sz w:val="21"/>
                <w:szCs w:val="21"/>
                <w:highlight w:val="none"/>
                <w:lang w:val="en-US" w:eastAsia="zh-CN"/>
              </w:rPr>
              <w:tab/>
            </w:r>
          </w:p>
        </w:tc>
        <w:tc>
          <w:tcPr>
            <w:tcW w:w="429" w:type="pct"/>
            <w:noWrap w:val="0"/>
            <w:vAlign w:val="center"/>
          </w:tcPr>
          <w:p w14:paraId="528DEAE9">
            <w:pPr>
              <w:keepNext w:val="0"/>
              <w:keepLines w:val="0"/>
              <w:suppressLineNumbers w:val="0"/>
              <w:spacing w:before="0" w:beforeAutospacing="0" w:after="0" w:afterAutospacing="0" w:line="360" w:lineRule="auto"/>
              <w:ind w:left="0" w:leftChars="0" w:right="0" w:firstLine="0" w:firstLineChars="0"/>
              <w:jc w:val="center"/>
              <w:rPr>
                <w:rFonts w:hint="default"/>
                <w:lang w:val="en-US" w:eastAsia="zh-CN"/>
              </w:rPr>
            </w:pPr>
            <w:r>
              <w:rPr>
                <w:rFonts w:hint="eastAsia"/>
                <w:lang w:val="en-US" w:eastAsia="zh-CN"/>
              </w:rPr>
              <w:t>千克</w:t>
            </w:r>
          </w:p>
        </w:tc>
        <w:tc>
          <w:tcPr>
            <w:tcW w:w="478" w:type="pct"/>
            <w:noWrap w:val="0"/>
            <w:vAlign w:val="center"/>
          </w:tcPr>
          <w:p w14:paraId="342A2FC9">
            <w:pPr>
              <w:keepNext w:val="0"/>
              <w:keepLines w:val="0"/>
              <w:suppressLineNumbers w:val="0"/>
              <w:spacing w:before="0" w:beforeAutospacing="0" w:after="0" w:afterAutospacing="0" w:line="360" w:lineRule="auto"/>
              <w:ind w:left="0" w:leftChars="0" w:right="0" w:firstLine="0" w:firstLineChars="0"/>
              <w:jc w:val="center"/>
              <w:rPr>
                <w:rFonts w:hint="eastAsia"/>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00</w:t>
            </w:r>
          </w:p>
        </w:tc>
        <w:tc>
          <w:tcPr>
            <w:tcW w:w="420" w:type="pct"/>
            <w:noWrap w:val="0"/>
            <w:vAlign w:val="center"/>
          </w:tcPr>
          <w:p w14:paraId="027320ED">
            <w:pPr>
              <w:keepNext w:val="0"/>
              <w:keepLines w:val="0"/>
              <w:suppressLineNumbers w:val="0"/>
              <w:spacing w:before="0" w:beforeAutospacing="0" w:after="0" w:afterAutospacing="0" w:line="360" w:lineRule="auto"/>
              <w:ind w:left="0" w:leftChars="0" w:right="0" w:firstLine="0" w:firstLineChars="0"/>
              <w:jc w:val="center"/>
              <w:rPr>
                <w:rFonts w:hint="eastAsia"/>
                <w:lang w:val="en-US" w:eastAsia="zh-CN"/>
              </w:rPr>
            </w:pPr>
          </w:p>
        </w:tc>
      </w:tr>
      <w:tr w14:paraId="1223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3CBFE81A">
            <w:pPr>
              <w:keepNext w:val="0"/>
              <w:keepLines w:val="0"/>
              <w:suppressLineNumbers w:val="0"/>
              <w:spacing w:before="0" w:beforeAutospacing="0" w:after="0" w:afterAutospacing="0" w:line="360" w:lineRule="auto"/>
              <w:ind w:left="0" w:leftChars="0" w:right="0" w:firstLine="0" w:firstLineChars="0"/>
              <w:jc w:val="center"/>
              <w:rPr>
                <w:rFonts w:hint="default" w:eastAsia="宋体"/>
                <w:lang w:val="en-US" w:eastAsia="zh-CN"/>
              </w:rPr>
            </w:pPr>
            <w:r>
              <w:rPr>
                <w:rFonts w:hint="eastAsia"/>
                <w:lang w:val="en-US" w:eastAsia="zh-CN"/>
              </w:rPr>
              <w:t>4包</w:t>
            </w:r>
          </w:p>
        </w:tc>
        <w:tc>
          <w:tcPr>
            <w:tcW w:w="811" w:type="pct"/>
            <w:noWrap w:val="0"/>
            <w:vAlign w:val="center"/>
          </w:tcPr>
          <w:p w14:paraId="1B5A0CFE">
            <w:pPr>
              <w:keepNext w:val="0"/>
              <w:keepLines w:val="0"/>
              <w:suppressLineNumbers w:val="0"/>
              <w:spacing w:before="0" w:beforeAutospacing="0" w:after="0" w:afterAutospacing="0" w:line="360" w:lineRule="auto"/>
              <w:ind w:left="0" w:leftChars="0" w:right="0" w:firstLine="0" w:firstLineChars="0"/>
              <w:jc w:val="center"/>
              <w:rPr>
                <w:rFonts w:hint="eastAsia"/>
                <w:lang w:val="en-US" w:eastAsia="zh-CN"/>
              </w:rPr>
            </w:pPr>
            <w:r>
              <w:rPr>
                <w:rFonts w:hint="eastAsia" w:ascii="宋体" w:hAnsi="宋体" w:eastAsia="宋体" w:cs="宋体"/>
                <w:b/>
                <w:bCs/>
                <w:color w:val="auto"/>
                <w:sz w:val="21"/>
                <w:szCs w:val="21"/>
                <w:highlight w:val="none"/>
                <w:lang w:val="en-US" w:eastAsia="zh-CN"/>
              </w:rPr>
              <w:t>20%噻呋.己唑醇悬浮剂</w:t>
            </w:r>
          </w:p>
        </w:tc>
        <w:tc>
          <w:tcPr>
            <w:tcW w:w="2406" w:type="pct"/>
            <w:noWrap w:val="0"/>
            <w:vAlign w:val="center"/>
          </w:tcPr>
          <w:p w14:paraId="03C140E0">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1、剂型：悬浮剂；</w:t>
            </w:r>
          </w:p>
          <w:p w14:paraId="43B9229D">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2、含量：20%（噻呋酰胺15%，己唑醇5%）；</w:t>
            </w:r>
          </w:p>
          <w:p w14:paraId="3A580F85">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3、规格：200克/瓶。</w:t>
            </w:r>
          </w:p>
        </w:tc>
        <w:tc>
          <w:tcPr>
            <w:tcW w:w="429" w:type="pct"/>
            <w:noWrap w:val="0"/>
            <w:vAlign w:val="center"/>
          </w:tcPr>
          <w:p w14:paraId="3967C6DB">
            <w:pPr>
              <w:keepNext w:val="0"/>
              <w:keepLines w:val="0"/>
              <w:suppressLineNumbers w:val="0"/>
              <w:spacing w:before="0" w:beforeAutospacing="0" w:after="0" w:afterAutospacing="0" w:line="360" w:lineRule="auto"/>
              <w:ind w:left="0" w:leftChars="0" w:right="0" w:firstLine="0" w:firstLineChars="0"/>
              <w:jc w:val="center"/>
              <w:rPr>
                <w:rFonts w:hint="eastAsia"/>
                <w:lang w:val="en-US" w:eastAsia="zh-CN"/>
              </w:rPr>
            </w:pPr>
            <w:r>
              <w:rPr>
                <w:rFonts w:hint="eastAsia"/>
                <w:lang w:val="en-US" w:eastAsia="zh-CN"/>
              </w:rPr>
              <w:t>千克</w:t>
            </w:r>
          </w:p>
        </w:tc>
        <w:tc>
          <w:tcPr>
            <w:tcW w:w="478" w:type="pct"/>
            <w:noWrap w:val="0"/>
            <w:vAlign w:val="center"/>
          </w:tcPr>
          <w:p w14:paraId="2716084C">
            <w:pPr>
              <w:keepNext w:val="0"/>
              <w:keepLines w:val="0"/>
              <w:suppressLineNumbers w:val="0"/>
              <w:spacing w:before="0" w:beforeAutospacing="0" w:after="0" w:afterAutospacing="0" w:line="360" w:lineRule="auto"/>
              <w:ind w:left="0" w:leftChars="0" w:right="0" w:firstLine="0" w:firstLineChars="0"/>
              <w:jc w:val="center"/>
              <w:rPr>
                <w:rFonts w:hint="eastAsia"/>
                <w:lang w:val="en-US" w:eastAsia="zh-CN"/>
              </w:rPr>
            </w:pPr>
            <w:r>
              <w:rPr>
                <w:rFonts w:hint="eastAsia" w:ascii="宋体" w:hAnsi="宋体" w:eastAsia="宋体" w:cs="宋体"/>
                <w:b/>
                <w:bCs/>
                <w:color w:val="auto"/>
                <w:sz w:val="21"/>
                <w:szCs w:val="21"/>
                <w:highlight w:val="none"/>
                <w:lang w:val="en-US" w:eastAsia="zh-CN"/>
              </w:rPr>
              <w:t>2270</w:t>
            </w:r>
          </w:p>
        </w:tc>
        <w:tc>
          <w:tcPr>
            <w:tcW w:w="420" w:type="pct"/>
            <w:noWrap w:val="0"/>
            <w:vAlign w:val="center"/>
          </w:tcPr>
          <w:p w14:paraId="53ADFB1D">
            <w:pPr>
              <w:keepNext w:val="0"/>
              <w:keepLines w:val="0"/>
              <w:suppressLineNumbers w:val="0"/>
              <w:spacing w:before="0" w:beforeAutospacing="0" w:after="0" w:afterAutospacing="0" w:line="360" w:lineRule="auto"/>
              <w:ind w:left="0" w:leftChars="0" w:right="0" w:firstLine="0" w:firstLineChars="0"/>
              <w:jc w:val="center"/>
              <w:rPr>
                <w:rFonts w:hint="eastAsia"/>
                <w:lang w:val="en-US" w:eastAsia="zh-CN"/>
              </w:rPr>
            </w:pPr>
          </w:p>
        </w:tc>
      </w:tr>
    </w:tbl>
    <w:p w14:paraId="3BB6A131">
      <w:pPr>
        <w:rPr>
          <w:rFonts w:hint="eastAsia" w:ascii="宋体" w:hAnsi="宋体" w:eastAsia="宋体" w:cs="宋体"/>
          <w:b/>
          <w:bCs/>
          <w:color w:val="auto"/>
          <w:sz w:val="21"/>
          <w:szCs w:val="21"/>
          <w:highlight w:val="none"/>
          <w:lang w:val="en-US" w:eastAsia="zh-CN"/>
        </w:rPr>
      </w:pPr>
    </w:p>
    <w:p w14:paraId="6B3DB36D">
      <w:pPr>
        <w:rPr>
          <w:rFonts w:hint="eastAsia" w:ascii="宋体" w:hAnsi="宋体" w:eastAsia="宋体" w:cs="宋体"/>
          <w:b/>
          <w:bCs/>
          <w:color w:val="auto"/>
          <w:kern w:val="44"/>
          <w:sz w:val="44"/>
          <w:szCs w:val="44"/>
          <w:highlight w:val="none"/>
          <w:lang w:val="en-US" w:eastAsia="zh-CN" w:bidi="ar-SA"/>
        </w:rPr>
      </w:pPr>
      <w:bookmarkStart w:id="899" w:name="_Toc23712"/>
      <w:r>
        <w:rPr>
          <w:rFonts w:hint="eastAsia" w:ascii="宋体" w:hAnsi="宋体" w:eastAsia="宋体" w:cs="宋体"/>
          <w:b/>
          <w:bCs/>
          <w:color w:val="auto"/>
          <w:kern w:val="44"/>
          <w:sz w:val="44"/>
          <w:szCs w:val="44"/>
          <w:highlight w:val="none"/>
          <w:lang w:val="en-US" w:eastAsia="zh-CN" w:bidi="ar-SA"/>
        </w:rPr>
        <w:br w:type="page"/>
      </w:r>
    </w:p>
    <w:p w14:paraId="73C86E66">
      <w:pPr>
        <w:spacing w:line="360" w:lineRule="auto"/>
        <w:ind w:left="0" w:leftChars="0" w:firstLine="0" w:firstLineChars="0"/>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第六章 响应文件格式</w:t>
      </w:r>
      <w:bookmarkEnd w:id="898"/>
      <w:bookmarkEnd w:id="899"/>
    </w:p>
    <w:p w14:paraId="79C752F5">
      <w:pPr>
        <w:pageBreakBefore w:val="0"/>
        <w:kinsoku/>
        <w:wordWrap w:val="0"/>
        <w:overflowPunct/>
        <w:bidi w:val="0"/>
        <w:snapToGrid w:val="0"/>
        <w:spacing w:after="120" w:afterLines="50"/>
        <w:rPr>
          <w:rFonts w:hint="eastAsia" w:ascii="宋体" w:hAnsi="宋体" w:eastAsia="宋体" w:cs="宋体"/>
          <w:color w:val="auto"/>
          <w:highlight w:val="none"/>
        </w:rPr>
      </w:pPr>
    </w:p>
    <w:p w14:paraId="4196D1A3">
      <w:pPr>
        <w:pageBreakBefore w:val="0"/>
        <w:kinsoku/>
        <w:wordWrap w:val="0"/>
        <w:overflowPunct/>
        <w:bidi w:val="0"/>
        <w:snapToGrid w:val="0"/>
        <w:spacing w:line="420" w:lineRule="exact"/>
        <w:ind w:firstLine="1446" w:firstLineChars="450"/>
        <w:rPr>
          <w:rFonts w:hint="eastAsia" w:ascii="宋体" w:hAnsi="宋体" w:eastAsia="宋体" w:cs="宋体"/>
          <w:b/>
          <w:bCs/>
          <w:color w:val="auto"/>
          <w:sz w:val="32"/>
          <w:szCs w:val="32"/>
          <w:highlight w:val="none"/>
          <w:u w:val="single"/>
        </w:rPr>
      </w:pPr>
      <w:bookmarkStart w:id="900" w:name="_A1_投标书"/>
      <w:bookmarkEnd w:id="900"/>
      <w:bookmarkStart w:id="901" w:name="_Toc410631173"/>
      <w:bookmarkStart w:id="902" w:name="_Toc181038076"/>
      <w:bookmarkStart w:id="903" w:name="_Toc192127127"/>
      <w:bookmarkStart w:id="904" w:name="_Toc176663528"/>
      <w:bookmarkStart w:id="905" w:name="_Toc414445764"/>
      <w:bookmarkStart w:id="906" w:name="_Toc192127128"/>
      <w:bookmarkStart w:id="907" w:name="_Toc162669084"/>
      <w:bookmarkStart w:id="908" w:name="_Toc128455956"/>
      <w:bookmarkStart w:id="909" w:name="_Toc416103814"/>
      <w:bookmarkStart w:id="910" w:name="_Toc23340"/>
      <w:bookmarkStart w:id="911" w:name="_Toc372807484"/>
      <w:bookmarkStart w:id="912" w:name="_Toc179091096"/>
    </w:p>
    <w:p w14:paraId="230C9C82">
      <w:pPr>
        <w:pageBreakBefore w:val="0"/>
        <w:kinsoku/>
        <w:wordWrap w:val="0"/>
        <w:overflowPunct/>
        <w:bidi w:val="0"/>
        <w:snapToGrid w:val="0"/>
        <w:spacing w:line="420" w:lineRule="exact"/>
        <w:ind w:firstLine="1446" w:firstLineChars="450"/>
        <w:rPr>
          <w:rFonts w:hint="eastAsia" w:ascii="宋体" w:hAnsi="宋体" w:eastAsia="宋体" w:cs="宋体"/>
          <w:b/>
          <w:bCs/>
          <w:color w:val="auto"/>
          <w:sz w:val="32"/>
          <w:szCs w:val="32"/>
          <w:highlight w:val="none"/>
          <w:u w:val="single"/>
        </w:rPr>
      </w:pPr>
    </w:p>
    <w:p w14:paraId="177F858A">
      <w:pPr>
        <w:pageBreakBefore w:val="0"/>
        <w:kinsoku/>
        <w:wordWrap w:val="0"/>
        <w:overflowPunct/>
        <w:bidi w:val="0"/>
        <w:snapToGrid w:val="0"/>
        <w:spacing w:line="420" w:lineRule="exact"/>
        <w:ind w:firstLine="1446" w:firstLineChars="450"/>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u w:val="single"/>
        </w:rPr>
        <w:t xml:space="preserve">                 </w:t>
      </w:r>
      <w:bookmarkStart w:id="913" w:name="_Toc22805_WPSOffice_Level1"/>
      <w:bookmarkStart w:id="914" w:name="_Toc6392"/>
      <w:bookmarkStart w:id="915" w:name="_Toc13474"/>
      <w:bookmarkStart w:id="916" w:name="_Toc8245_WPSOffice_Level1"/>
      <w:bookmarkStart w:id="917" w:name="_Toc16795_WPSOffice_Level1"/>
      <w:bookmarkStart w:id="918" w:name="_Toc25632"/>
      <w:bookmarkStart w:id="919" w:name="_Toc4484"/>
      <w:bookmarkStart w:id="920" w:name="_Toc3967_WPSOffice_Level1"/>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包名称</w:t>
      </w:r>
      <w:r>
        <w:rPr>
          <w:rFonts w:hint="eastAsia" w:ascii="宋体" w:hAnsi="宋体" w:eastAsia="宋体" w:cs="宋体"/>
          <w:b/>
          <w:bCs/>
          <w:color w:val="auto"/>
          <w:sz w:val="32"/>
          <w:szCs w:val="32"/>
          <w:highlight w:val="none"/>
        </w:rPr>
        <w:t>）</w:t>
      </w:r>
      <w:bookmarkEnd w:id="913"/>
      <w:bookmarkEnd w:id="914"/>
      <w:bookmarkEnd w:id="915"/>
      <w:bookmarkEnd w:id="916"/>
      <w:bookmarkEnd w:id="917"/>
      <w:bookmarkEnd w:id="918"/>
      <w:bookmarkEnd w:id="919"/>
      <w:bookmarkEnd w:id="920"/>
      <w:r>
        <w:rPr>
          <w:rFonts w:hint="eastAsia" w:ascii="宋体" w:hAnsi="宋体" w:eastAsia="宋体" w:cs="宋体"/>
          <w:b/>
          <w:bCs/>
          <w:color w:val="auto"/>
          <w:sz w:val="32"/>
          <w:szCs w:val="32"/>
          <w:highlight w:val="none"/>
        </w:rPr>
        <w:t>竞争性磋商</w:t>
      </w:r>
    </w:p>
    <w:p w14:paraId="6B3500F6">
      <w:pPr>
        <w:pageBreakBefore w:val="0"/>
        <w:kinsoku/>
        <w:wordWrap w:val="0"/>
        <w:overflowPunct/>
        <w:bidi w:val="0"/>
        <w:spacing w:line="1000" w:lineRule="exact"/>
        <w:jc w:val="center"/>
        <w:rPr>
          <w:rFonts w:hint="eastAsia" w:ascii="宋体" w:hAnsi="宋体" w:eastAsia="宋体" w:cs="宋体"/>
          <w:b/>
          <w:bCs/>
          <w:color w:val="auto"/>
          <w:sz w:val="84"/>
          <w:szCs w:val="84"/>
          <w:highlight w:val="none"/>
        </w:rPr>
      </w:pPr>
    </w:p>
    <w:p w14:paraId="3DB4C75F">
      <w:pPr>
        <w:pageBreakBefore w:val="0"/>
        <w:kinsoku/>
        <w:wordWrap w:val="0"/>
        <w:overflowPunct/>
        <w:bidi w:val="0"/>
        <w:spacing w:line="1000" w:lineRule="exact"/>
        <w:jc w:val="center"/>
        <w:rPr>
          <w:rFonts w:hint="eastAsia" w:ascii="宋体" w:hAnsi="宋体" w:eastAsia="宋体" w:cs="宋体"/>
          <w:color w:val="auto"/>
          <w:sz w:val="52"/>
          <w:szCs w:val="52"/>
          <w:highlight w:val="none"/>
        </w:rPr>
      </w:pPr>
      <w:r>
        <w:rPr>
          <w:rFonts w:hint="eastAsia" w:ascii="宋体" w:hAnsi="宋体" w:eastAsia="宋体" w:cs="宋体"/>
          <w:b/>
          <w:bCs/>
          <w:color w:val="auto"/>
          <w:sz w:val="84"/>
          <w:szCs w:val="84"/>
          <w:highlight w:val="none"/>
        </w:rPr>
        <w:t>响 应 文 件</w:t>
      </w:r>
    </w:p>
    <w:p w14:paraId="18C0564B">
      <w:pPr>
        <w:pageBreakBefore w:val="0"/>
        <w:kinsoku/>
        <w:wordWrap w:val="0"/>
        <w:overflowPunct/>
        <w:bidi w:val="0"/>
        <w:spacing w:before="240" w:beforeLines="100"/>
        <w:ind w:firstLine="3840" w:firstLineChars="1200"/>
        <w:rPr>
          <w:rFonts w:hint="eastAsia" w:ascii="宋体" w:hAnsi="宋体" w:eastAsia="宋体" w:cs="宋体"/>
          <w:color w:val="auto"/>
          <w:sz w:val="32"/>
          <w:szCs w:val="32"/>
          <w:highlight w:val="none"/>
        </w:rPr>
      </w:pPr>
    </w:p>
    <w:p w14:paraId="2D32A710">
      <w:pPr>
        <w:pageBreakBefore w:val="0"/>
        <w:kinsoku/>
        <w:wordWrap w:val="0"/>
        <w:overflowPunct/>
        <w:bidi w:val="0"/>
        <w:spacing w:before="240" w:beforeLines="100"/>
        <w:ind w:left="0" w:leftChars="0" w:firstLine="3360" w:firstLineChars="105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包号：</w:t>
      </w:r>
    </w:p>
    <w:p w14:paraId="34645CF9">
      <w:pPr>
        <w:pageBreakBefore w:val="0"/>
        <w:kinsoku/>
        <w:wordWrap w:val="0"/>
        <w:overflowPunct/>
        <w:bidi w:val="0"/>
        <w:jc w:val="center"/>
        <w:rPr>
          <w:rFonts w:hint="eastAsia" w:ascii="宋体" w:hAnsi="宋体" w:eastAsia="宋体" w:cs="宋体"/>
          <w:color w:val="auto"/>
          <w:sz w:val="32"/>
          <w:szCs w:val="32"/>
          <w:highlight w:val="none"/>
        </w:rPr>
      </w:pPr>
    </w:p>
    <w:p w14:paraId="111A5843">
      <w:pPr>
        <w:pageBreakBefore w:val="0"/>
        <w:kinsoku/>
        <w:wordWrap w:val="0"/>
        <w:overflowPunct/>
        <w:bidi w:val="0"/>
        <w:jc w:val="center"/>
        <w:rPr>
          <w:rFonts w:hint="eastAsia" w:ascii="宋体" w:hAnsi="宋体" w:eastAsia="宋体" w:cs="宋体"/>
          <w:color w:val="auto"/>
          <w:sz w:val="32"/>
          <w:szCs w:val="32"/>
          <w:highlight w:val="none"/>
        </w:rPr>
      </w:pPr>
    </w:p>
    <w:p w14:paraId="65D72D23">
      <w:pPr>
        <w:pageBreakBefore w:val="0"/>
        <w:kinsoku/>
        <w:wordWrap w:val="0"/>
        <w:overflowPunct/>
        <w:bidi w:val="0"/>
        <w:jc w:val="center"/>
        <w:rPr>
          <w:rFonts w:hint="eastAsia" w:ascii="宋体" w:hAnsi="宋体" w:eastAsia="宋体" w:cs="宋体"/>
          <w:color w:val="auto"/>
          <w:sz w:val="32"/>
          <w:szCs w:val="32"/>
          <w:highlight w:val="none"/>
        </w:rPr>
      </w:pPr>
    </w:p>
    <w:p w14:paraId="6573EB2A">
      <w:pPr>
        <w:pageBreakBefore w:val="0"/>
        <w:kinsoku/>
        <w:wordWrap w:val="0"/>
        <w:overflowPunct/>
        <w:bidi w:val="0"/>
        <w:jc w:val="center"/>
        <w:rPr>
          <w:rFonts w:hint="eastAsia" w:ascii="宋体" w:hAnsi="宋体" w:eastAsia="宋体" w:cs="宋体"/>
          <w:color w:val="auto"/>
          <w:sz w:val="32"/>
          <w:szCs w:val="32"/>
          <w:highlight w:val="none"/>
        </w:rPr>
      </w:pPr>
    </w:p>
    <w:p w14:paraId="31A6CFC7">
      <w:pPr>
        <w:pageBreakBefore w:val="0"/>
        <w:kinsoku/>
        <w:wordWrap w:val="0"/>
        <w:overflowPunct/>
        <w:bidi w:val="0"/>
        <w:jc w:val="center"/>
        <w:rPr>
          <w:rFonts w:hint="eastAsia" w:ascii="宋体" w:hAnsi="宋体" w:eastAsia="宋体" w:cs="宋体"/>
          <w:color w:val="auto"/>
          <w:sz w:val="32"/>
          <w:szCs w:val="32"/>
          <w:highlight w:val="none"/>
        </w:rPr>
      </w:pPr>
    </w:p>
    <w:p w14:paraId="334B5C63">
      <w:pPr>
        <w:pageBreakBefore w:val="0"/>
        <w:kinsoku/>
        <w:wordWrap w:val="0"/>
        <w:overflowPunct/>
        <w:bidi w:val="0"/>
        <w:jc w:val="center"/>
        <w:rPr>
          <w:rFonts w:hint="eastAsia" w:ascii="宋体" w:hAnsi="宋体" w:eastAsia="宋体" w:cs="宋体"/>
          <w:color w:val="auto"/>
          <w:sz w:val="32"/>
          <w:szCs w:val="32"/>
          <w:highlight w:val="none"/>
        </w:rPr>
      </w:pPr>
    </w:p>
    <w:p w14:paraId="2C7B625E">
      <w:pPr>
        <w:pageBreakBefore w:val="0"/>
        <w:kinsoku/>
        <w:wordWrap w:val="0"/>
        <w:overflowPunct/>
        <w:bidi w:val="0"/>
        <w:jc w:val="center"/>
        <w:rPr>
          <w:rFonts w:hint="eastAsia" w:ascii="宋体" w:hAnsi="宋体" w:eastAsia="宋体" w:cs="宋体"/>
          <w:color w:val="auto"/>
          <w:sz w:val="32"/>
          <w:szCs w:val="32"/>
          <w:highlight w:val="none"/>
        </w:rPr>
      </w:pPr>
    </w:p>
    <w:p w14:paraId="2241A1B8">
      <w:pPr>
        <w:pageBreakBefore w:val="0"/>
        <w:kinsoku/>
        <w:wordWrap w:val="0"/>
        <w:overflowPunct/>
        <w:bidi w:val="0"/>
        <w:jc w:val="center"/>
        <w:rPr>
          <w:rFonts w:hint="eastAsia" w:ascii="宋体" w:hAnsi="宋体" w:eastAsia="宋体" w:cs="宋体"/>
          <w:color w:val="auto"/>
          <w:sz w:val="32"/>
          <w:szCs w:val="32"/>
          <w:highlight w:val="none"/>
        </w:rPr>
      </w:pPr>
    </w:p>
    <w:p w14:paraId="0F379D80">
      <w:pPr>
        <w:pageBreakBefore w:val="0"/>
        <w:kinsoku/>
        <w:wordWrap w:val="0"/>
        <w:overflowPunct/>
        <w:bidi w:val="0"/>
        <w:rPr>
          <w:rFonts w:hint="eastAsia" w:ascii="宋体" w:hAnsi="宋体" w:eastAsia="宋体" w:cs="宋体"/>
          <w:color w:val="auto"/>
          <w:sz w:val="32"/>
          <w:szCs w:val="32"/>
          <w:highlight w:val="none"/>
        </w:rPr>
      </w:pPr>
    </w:p>
    <w:p w14:paraId="41723E24">
      <w:pPr>
        <w:pageBreakBefore w:val="0"/>
        <w:kinsoku/>
        <w:wordWrap w:val="0"/>
        <w:overflowPunct/>
        <w:bidi w:val="0"/>
        <w:jc w:val="center"/>
        <w:rPr>
          <w:rFonts w:hint="eastAsia" w:ascii="宋体" w:hAnsi="宋体" w:eastAsia="宋体" w:cs="宋体"/>
          <w:color w:val="auto"/>
          <w:sz w:val="32"/>
          <w:szCs w:val="32"/>
          <w:highlight w:val="none"/>
        </w:rPr>
      </w:pPr>
    </w:p>
    <w:p w14:paraId="520F4C3B">
      <w:pPr>
        <w:pageBreakBefore w:val="0"/>
        <w:kinsoku/>
        <w:wordWrap w:val="0"/>
        <w:overflowPunct/>
        <w:bidi w:val="0"/>
        <w:spacing w:line="360" w:lineRule="auto"/>
        <w:jc w:val="center"/>
        <w:rPr>
          <w:rFonts w:hint="eastAsia" w:ascii="宋体" w:hAnsi="宋体" w:eastAsia="宋体" w:cs="宋体"/>
          <w:color w:val="auto"/>
          <w:sz w:val="32"/>
          <w:szCs w:val="32"/>
          <w:highlight w:val="none"/>
        </w:rPr>
      </w:pPr>
    </w:p>
    <w:p w14:paraId="6CBE0746">
      <w:pPr>
        <w:pageBreakBefore w:val="0"/>
        <w:kinsoku/>
        <w:wordWrap w:val="0"/>
        <w:overflowPunct/>
        <w:bidi w:val="0"/>
        <w:spacing w:line="420" w:lineRule="exact"/>
        <w:jc w:val="center"/>
        <w:rPr>
          <w:rFonts w:hint="eastAsia" w:ascii="宋体" w:hAnsi="宋体" w:eastAsia="宋体" w:cs="宋体"/>
          <w:b/>
          <w:bCs/>
          <w:color w:val="auto"/>
          <w:sz w:val="28"/>
          <w:szCs w:val="28"/>
          <w:highlight w:val="none"/>
        </w:rPr>
      </w:pPr>
      <w:bookmarkStart w:id="921" w:name="_Toc7391"/>
      <w:bookmarkStart w:id="922" w:name="_Toc7378"/>
      <w:bookmarkStart w:id="923" w:name="_Toc22812_WPSOffice_Level1"/>
      <w:bookmarkStart w:id="924" w:name="_Toc18652_WPSOffice_Level1"/>
      <w:bookmarkStart w:id="925" w:name="_Toc14463_WPSOffice_Level1"/>
      <w:bookmarkStart w:id="926" w:name="_Toc14451_WPSOffice_Level1"/>
      <w:bookmarkStart w:id="927" w:name="_Toc16044"/>
      <w:r>
        <w:rPr>
          <w:rFonts w:hint="eastAsia" w:ascii="宋体" w:hAnsi="宋体" w:eastAsia="宋体" w:cs="宋体"/>
          <w:b/>
          <w:bCs/>
          <w:color w:val="auto"/>
          <w:sz w:val="28"/>
          <w:szCs w:val="28"/>
          <w:highlight w:val="none"/>
        </w:rPr>
        <w:t>供应商：</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（单位电子签章）</w:t>
      </w:r>
      <w:bookmarkEnd w:id="921"/>
      <w:bookmarkEnd w:id="922"/>
      <w:bookmarkEnd w:id="923"/>
      <w:bookmarkEnd w:id="924"/>
      <w:bookmarkEnd w:id="925"/>
      <w:bookmarkEnd w:id="926"/>
      <w:bookmarkEnd w:id="927"/>
    </w:p>
    <w:p w14:paraId="75BB3DA6">
      <w:pPr>
        <w:pageBreakBefore w:val="0"/>
        <w:kinsoku/>
        <w:wordWrap w:val="0"/>
        <w:overflowPunct/>
        <w:bidi w:val="0"/>
        <w:spacing w:line="4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法定代表人或其委托代理人</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（电子签名或盖章）</w:t>
      </w:r>
    </w:p>
    <w:p w14:paraId="75FEF306">
      <w:pPr>
        <w:pageBreakBefore w:val="0"/>
        <w:kinsoku/>
        <w:wordWrap w:val="0"/>
        <w:overflowPunct/>
        <w:bidi w:val="0"/>
        <w:spacing w:line="360" w:lineRule="auto"/>
        <w:ind w:firstLine="1687" w:firstLineChars="600"/>
        <w:jc w:val="left"/>
        <w:rPr>
          <w:rFonts w:hint="eastAsia" w:ascii="宋体" w:hAnsi="宋体" w:eastAsia="宋体" w:cs="宋体"/>
          <w:color w:val="auto"/>
          <w:sz w:val="28"/>
          <w:szCs w:val="28"/>
          <w:highlight w:val="none"/>
        </w:rPr>
        <w:sectPr>
          <w:pgSz w:w="11906" w:h="16838"/>
          <w:pgMar w:top="1418" w:right="1418" w:bottom="1418" w:left="1418" w:header="851" w:footer="850" w:gutter="0"/>
          <w:cols w:space="720" w:num="1"/>
          <w:docGrid w:linePitch="312" w:charSpace="0"/>
        </w:sectPr>
      </w:pPr>
      <w:bookmarkStart w:id="928" w:name="_Toc3607_WPSOffice_Level1"/>
      <w:bookmarkStart w:id="929" w:name="_Toc27351_WPSOffice_Level1"/>
      <w:bookmarkStart w:id="930" w:name="_Toc12941"/>
      <w:bookmarkStart w:id="931" w:name="_Toc31848_WPSOffice_Level1"/>
      <w:bookmarkStart w:id="932" w:name="_Toc20450"/>
      <w:bookmarkStart w:id="933" w:name="_Toc16649"/>
      <w:bookmarkStart w:id="934" w:name="_Toc31395"/>
      <w:bookmarkStart w:id="935" w:name="_Toc21015_WPSOffice_Level1"/>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日</w:t>
      </w:r>
      <w:bookmarkEnd w:id="928"/>
      <w:bookmarkEnd w:id="929"/>
      <w:bookmarkEnd w:id="930"/>
      <w:bookmarkEnd w:id="931"/>
      <w:bookmarkEnd w:id="932"/>
      <w:bookmarkEnd w:id="933"/>
      <w:bookmarkEnd w:id="934"/>
      <w:bookmarkEnd w:id="935"/>
    </w:p>
    <w:p w14:paraId="6D2ABBAC">
      <w:pPr>
        <w:pageBreakBefore w:val="0"/>
        <w:kinsoku/>
        <w:wordWrap w:val="0"/>
        <w:overflowPunct/>
        <w:bidi w:val="0"/>
        <w:spacing w:line="4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14:paraId="7635F10E">
      <w:pPr>
        <w:pageBreakBefore w:val="0"/>
        <w:kinsoku/>
        <w:wordWrap w:val="0"/>
        <w:overflowPunct/>
        <w:bidi w:val="0"/>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一、响应函及响应函附录</w:t>
      </w:r>
    </w:p>
    <w:p w14:paraId="7CECAA01">
      <w:pPr>
        <w:pageBreakBefore w:val="0"/>
        <w:kinsoku/>
        <w:wordWrap w:val="0"/>
        <w:overflowPunct/>
        <w:bidi w:val="0"/>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二、法定代表人（单位负责人）身份证明</w:t>
      </w:r>
    </w:p>
    <w:p w14:paraId="038B8D53">
      <w:pPr>
        <w:pageBreakBefore w:val="0"/>
        <w:kinsoku/>
        <w:wordWrap w:val="0"/>
        <w:overflowPunct/>
        <w:bidi w:val="0"/>
        <w:spacing w:line="4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三、分项报价表</w:t>
      </w:r>
    </w:p>
    <w:p w14:paraId="54094B78">
      <w:pPr>
        <w:pageBreakBefore w:val="0"/>
        <w:kinsoku/>
        <w:wordWrap w:val="0"/>
        <w:overflowPunct/>
        <w:bidi w:val="0"/>
        <w:spacing w:line="4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四、</w:t>
      </w:r>
      <w:r>
        <w:rPr>
          <w:rFonts w:hint="eastAsia" w:ascii="宋体" w:hAnsi="宋体" w:eastAsia="宋体" w:cs="宋体"/>
          <w:color w:val="auto"/>
          <w:szCs w:val="21"/>
          <w:highlight w:val="none"/>
          <w:lang w:eastAsia="zh-CN"/>
        </w:rPr>
        <w:t>综合部分</w:t>
      </w:r>
    </w:p>
    <w:p w14:paraId="1FB34124">
      <w:pPr>
        <w:pageBreakBefore w:val="0"/>
        <w:kinsoku/>
        <w:wordWrap w:val="0"/>
        <w:overflowPunct/>
        <w:bidi w:val="0"/>
        <w:spacing w:line="4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五、</w:t>
      </w:r>
      <w:r>
        <w:rPr>
          <w:rFonts w:hint="eastAsia" w:ascii="宋体" w:hAnsi="宋体" w:eastAsia="宋体" w:cs="宋体"/>
          <w:color w:val="auto"/>
          <w:szCs w:val="21"/>
          <w:highlight w:val="none"/>
          <w:lang w:eastAsia="zh-CN"/>
        </w:rPr>
        <w:t>技术部分</w:t>
      </w:r>
    </w:p>
    <w:p w14:paraId="203112B6">
      <w:pPr>
        <w:pageBreakBefore w:val="0"/>
        <w:kinsoku/>
        <w:wordWrap w:val="0"/>
        <w:overflowPunct/>
        <w:bidi w:val="0"/>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六、资格证明材料</w:t>
      </w:r>
      <w:bookmarkStart w:id="983" w:name="_GoBack"/>
      <w:bookmarkEnd w:id="983"/>
    </w:p>
    <w:p w14:paraId="7E558E4C">
      <w:pPr>
        <w:pageBreakBefore w:val="0"/>
        <w:kinsoku/>
        <w:wordWrap w:val="0"/>
        <w:overflowPunct/>
        <w:bidi w:val="0"/>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七、中小企业声明函</w:t>
      </w:r>
    </w:p>
    <w:p w14:paraId="5ED0D1A4">
      <w:pPr>
        <w:pageBreakBefore w:val="0"/>
        <w:kinsoku/>
        <w:wordWrap w:val="0"/>
        <w:overflowPunct/>
        <w:bidi w:val="0"/>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、残疾人福利性单位声明函(如有)</w:t>
      </w:r>
    </w:p>
    <w:p w14:paraId="4424B21F">
      <w:pPr>
        <w:pageBreakBefore w:val="0"/>
        <w:kinsoku/>
        <w:wordWrap w:val="0"/>
        <w:overflowPunct/>
        <w:bidi w:val="0"/>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、监狱企业证明文件（如有）</w:t>
      </w:r>
    </w:p>
    <w:p w14:paraId="71D76C0E">
      <w:pPr>
        <w:pageBreakBefore w:val="0"/>
        <w:kinsoku/>
        <w:wordWrap w:val="0"/>
        <w:overflowPunct/>
        <w:bidi w:val="0"/>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十、反商业贿赂承诺书</w:t>
      </w:r>
    </w:p>
    <w:p w14:paraId="6F3ED75A">
      <w:pPr>
        <w:pageBreakBefore w:val="0"/>
        <w:kinsoku/>
        <w:wordWrap w:val="0"/>
        <w:overflowPunct/>
        <w:bidi w:val="0"/>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、其他材料</w:t>
      </w:r>
    </w:p>
    <w:p w14:paraId="48DE8FD5">
      <w:pPr>
        <w:pageBreakBefore w:val="0"/>
        <w:kinsoku/>
        <w:wordWrap w:val="0"/>
        <w:overflowPunct/>
        <w:bidi w:val="0"/>
        <w:spacing w:line="420" w:lineRule="exact"/>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rPr>
        <w:br w:type="page"/>
      </w:r>
      <w:bookmarkEnd w:id="901"/>
      <w:bookmarkEnd w:id="902"/>
      <w:bookmarkEnd w:id="903"/>
      <w:bookmarkEnd w:id="904"/>
      <w:bookmarkEnd w:id="905"/>
      <w:bookmarkEnd w:id="906"/>
      <w:bookmarkEnd w:id="907"/>
      <w:bookmarkEnd w:id="908"/>
      <w:bookmarkEnd w:id="909"/>
      <w:bookmarkEnd w:id="910"/>
      <w:bookmarkEnd w:id="911"/>
      <w:bookmarkEnd w:id="912"/>
      <w:bookmarkStart w:id="936" w:name="_Toc11511"/>
      <w:bookmarkStart w:id="937" w:name="_Toc3645"/>
      <w:bookmarkStart w:id="938" w:name="_Toc19981"/>
      <w:bookmarkStart w:id="939" w:name="_Toc192127131"/>
      <w:bookmarkStart w:id="940" w:name="_Toc195922057"/>
      <w:r>
        <w:rPr>
          <w:rFonts w:hint="eastAsia" w:ascii="宋体" w:hAnsi="宋体" w:eastAsia="宋体" w:cs="宋体"/>
          <w:b/>
          <w:bCs/>
          <w:color w:val="auto"/>
          <w:sz w:val="28"/>
          <w:szCs w:val="28"/>
          <w:highlight w:val="none"/>
        </w:rPr>
        <w:t>一、响应函及响应函附录</w:t>
      </w:r>
      <w:bookmarkEnd w:id="936"/>
      <w:bookmarkEnd w:id="937"/>
    </w:p>
    <w:p w14:paraId="42149437">
      <w:pPr>
        <w:pageBreakBefore w:val="0"/>
        <w:kinsoku/>
        <w:wordWrap w:val="0"/>
        <w:overflowPunct/>
        <w:bidi w:val="0"/>
        <w:spacing w:line="420" w:lineRule="exact"/>
        <w:jc w:val="center"/>
        <w:outlineLvl w:val="2"/>
        <w:rPr>
          <w:rFonts w:hint="eastAsia" w:ascii="宋体" w:hAnsi="宋体" w:eastAsia="宋体" w:cs="宋体"/>
          <w:b/>
          <w:color w:val="auto"/>
          <w:sz w:val="28"/>
          <w:szCs w:val="28"/>
          <w:highlight w:val="none"/>
        </w:rPr>
      </w:pPr>
      <w:bookmarkStart w:id="941" w:name="_Toc24700"/>
      <w:r>
        <w:rPr>
          <w:rFonts w:hint="eastAsia" w:ascii="宋体" w:hAnsi="宋体" w:eastAsia="宋体" w:cs="宋体"/>
          <w:b/>
          <w:color w:val="auto"/>
          <w:sz w:val="28"/>
          <w:szCs w:val="28"/>
          <w:highlight w:val="none"/>
        </w:rPr>
        <w:t>（一）响应函</w:t>
      </w:r>
      <w:bookmarkEnd w:id="941"/>
    </w:p>
    <w:p w14:paraId="0E8B1F51">
      <w:pPr>
        <w:pStyle w:val="28"/>
        <w:pageBreakBefore w:val="0"/>
        <w:kinsoku/>
        <w:wordWrap w:val="0"/>
        <w:overflowPunct/>
        <w:bidi w:val="0"/>
        <w:spacing w:line="420" w:lineRule="exact"/>
        <w:ind w:left="98" w:leftChars="0" w:hanging="98" w:hangingChars="47"/>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（采购人）</w:t>
      </w:r>
    </w:p>
    <w:p w14:paraId="121D4597">
      <w:pPr>
        <w:pStyle w:val="28"/>
        <w:pageBreakBefore w:val="0"/>
        <w:kinsoku/>
        <w:wordWrap w:val="0"/>
        <w:overflowPunct/>
        <w:bidi w:val="0"/>
        <w:spacing w:line="42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1．根据已收到的</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包名称</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的竞争性磋商文件，遵照《中华人民共和国政府采购法》等有关规定，经考察和认真研究本项目竞争性磋商文件及其它有关文件后，愿以人民币（大写）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）的磋商报价作为第一次磋商报价，按合同约定实施和完成本项目，并承担其任何质量缺陷等问题所造成的任何损失。</w:t>
      </w:r>
    </w:p>
    <w:p w14:paraId="3A4215AD">
      <w:pPr>
        <w:pStyle w:val="28"/>
        <w:pageBreakBefore w:val="0"/>
        <w:kinsoku/>
        <w:wordWrap w:val="0"/>
        <w:overflowPunct/>
        <w:bidi w:val="0"/>
        <w:spacing w:line="420" w:lineRule="exact"/>
        <w:ind w:left="1"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2．我方已详细检查全部竞争性磋商文件包括澄清文件、补充通知（如有的话）及有关附件，并完全理解我方必须放弃提出含糊不清或误解的权力，愿按照竞争性磋商文件中的条款和要求按最后一次的报价</w:t>
      </w:r>
      <w:r>
        <w:rPr>
          <w:rFonts w:hint="eastAsia" w:ascii="宋体" w:hAnsi="宋体" w:eastAsia="宋体" w:cs="宋体"/>
          <w:color w:val="auto"/>
          <w:szCs w:val="21"/>
          <w:highlight w:val="none"/>
          <w:lang w:eastAsia="zh-CN"/>
        </w:rPr>
        <w:t>作为最后</w:t>
      </w:r>
      <w:r>
        <w:rPr>
          <w:rFonts w:hint="eastAsia" w:ascii="宋体" w:hAnsi="宋体" w:eastAsia="宋体" w:cs="宋体"/>
          <w:color w:val="auto"/>
          <w:szCs w:val="21"/>
          <w:highlight w:val="none"/>
        </w:rPr>
        <w:t>报价。</w:t>
      </w:r>
    </w:p>
    <w:p w14:paraId="4F687047">
      <w:pPr>
        <w:pStyle w:val="28"/>
        <w:pageBreakBefore w:val="0"/>
        <w:kinsoku/>
        <w:wordWrap w:val="0"/>
        <w:overflowPunct/>
        <w:bidi w:val="0"/>
        <w:spacing w:line="420" w:lineRule="exact"/>
        <w:ind w:left="1"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3．我方在此承诺，我方若能成交，保证在服务期限内，全面履行竞争性磋商文件中规定的职责和义务。</w:t>
      </w:r>
    </w:p>
    <w:p w14:paraId="278C5A6B">
      <w:pPr>
        <w:pStyle w:val="28"/>
        <w:pageBreakBefore w:val="0"/>
        <w:kinsoku/>
        <w:wordWrap w:val="0"/>
        <w:overflowPunct/>
        <w:bidi w:val="0"/>
        <w:spacing w:line="420" w:lineRule="exact"/>
        <w:ind w:left="1"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4．如果我方成交，我方保证按合同条款中规定的内容执行；我方保证质量</w:t>
      </w:r>
      <w:r>
        <w:rPr>
          <w:rFonts w:hint="eastAsia" w:ascii="宋体" w:hAnsi="宋体" w:eastAsia="宋体" w:cs="宋体"/>
          <w:color w:val="auto"/>
          <w:szCs w:val="21"/>
          <w:highlight w:val="none"/>
          <w:lang w:eastAsia="zh-CN"/>
        </w:rPr>
        <w:t>达到</w:t>
      </w:r>
      <w:r>
        <w:rPr>
          <w:rFonts w:hint="eastAsia" w:ascii="宋体" w:hAnsi="宋体" w:cs="宋体"/>
          <w:b w:val="0"/>
          <w:bCs w:val="0"/>
          <w:color w:val="auto"/>
          <w:szCs w:val="21"/>
          <w:highlight w:val="none"/>
          <w:u w:val="single"/>
          <w:lang w:val="en-US" w:eastAsia="zh-CN"/>
        </w:rPr>
        <w:t>合格</w:t>
      </w:r>
      <w:r>
        <w:rPr>
          <w:rFonts w:hint="eastAsia" w:ascii="宋体" w:hAnsi="宋体" w:eastAsia="宋体" w:cs="宋体"/>
          <w:color w:val="auto"/>
          <w:szCs w:val="21"/>
          <w:highlight w:val="none"/>
        </w:rPr>
        <w:t>，并按竞争性磋商文件和有关规定提交一切资料。</w:t>
      </w:r>
    </w:p>
    <w:p w14:paraId="23B7B3A3">
      <w:pPr>
        <w:pStyle w:val="28"/>
        <w:pageBreakBefore w:val="0"/>
        <w:kinsoku/>
        <w:wordWrap w:val="0"/>
        <w:overflowPunct/>
        <w:bidi w:val="0"/>
        <w:spacing w:line="420" w:lineRule="exact"/>
        <w:ind w:left="1"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5．我方同意从响应文件递交截止日期起</w:t>
      </w:r>
      <w:r>
        <w:rPr>
          <w:rFonts w:hint="eastAsia" w:ascii="宋体" w:hAnsi="宋体" w:eastAsia="宋体" w:cs="宋体"/>
          <w:color w:val="auto"/>
          <w:szCs w:val="21"/>
          <w:highlight w:val="none"/>
          <w:u w:val="single"/>
        </w:rPr>
        <w:t xml:space="preserve"> 60 </w:t>
      </w:r>
      <w:r>
        <w:rPr>
          <w:rFonts w:hint="eastAsia" w:ascii="宋体" w:hAnsi="宋体" w:eastAsia="宋体" w:cs="宋体"/>
          <w:color w:val="auto"/>
          <w:szCs w:val="21"/>
          <w:highlight w:val="none"/>
        </w:rPr>
        <w:t>日历天内保持响应文件有效，在此有效期内，我方将严格遵守响应文件的承诺，本响应文件对我方具有约束力，并可随时被接受成交。</w:t>
      </w:r>
    </w:p>
    <w:p w14:paraId="6D47A61E">
      <w:pPr>
        <w:pStyle w:val="28"/>
        <w:pageBreakBefore w:val="0"/>
        <w:kinsoku/>
        <w:wordWrap w:val="0"/>
        <w:overflowPunct/>
        <w:bidi w:val="0"/>
        <w:spacing w:line="420" w:lineRule="exact"/>
        <w:ind w:left="1"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6．除响应文件所提交的资料外，我方同意随时接受贵方的检查、询问，并根据磋商需要补充贵方要求提交的资料。</w:t>
      </w:r>
    </w:p>
    <w:p w14:paraId="780AA61E">
      <w:pPr>
        <w:pStyle w:val="28"/>
        <w:pageBreakBefore w:val="0"/>
        <w:kinsoku/>
        <w:wordWrap w:val="0"/>
        <w:overflowPunct/>
        <w:bidi w:val="0"/>
        <w:spacing w:line="420" w:lineRule="exact"/>
        <w:ind w:left="1"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7．如果我方成交后，我方没有任何正当理由而拒签合同，同时我方愿意补偿该项工作因我方延误所造成的经济损失。</w:t>
      </w:r>
    </w:p>
    <w:p w14:paraId="5DA4BDB8">
      <w:pPr>
        <w:pStyle w:val="28"/>
        <w:pageBreakBefore w:val="0"/>
        <w:kinsoku/>
        <w:wordWrap w:val="0"/>
        <w:overflowPunct/>
        <w:bidi w:val="0"/>
        <w:spacing w:line="420" w:lineRule="exact"/>
        <w:ind w:left="1"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8．我方愿接受合同条款中规定的合同价款计算和调整方式。</w:t>
      </w:r>
    </w:p>
    <w:p w14:paraId="02810190">
      <w:pPr>
        <w:pStyle w:val="28"/>
        <w:pageBreakBefore w:val="0"/>
        <w:kinsoku/>
        <w:wordWrap w:val="0"/>
        <w:overflowPunct/>
        <w:bidi w:val="0"/>
        <w:spacing w:line="420" w:lineRule="exact"/>
        <w:ind w:left="1"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9．除非另外达成协议并生效，贵方的成交通知书和本响应文件将成为约束我方的合同文件组成部分。</w:t>
      </w:r>
    </w:p>
    <w:p w14:paraId="023EA020">
      <w:pPr>
        <w:pStyle w:val="28"/>
        <w:pageBreakBefore w:val="0"/>
        <w:kinsoku/>
        <w:wordWrap w:val="0"/>
        <w:overflowPunct/>
        <w:bidi w:val="0"/>
        <w:spacing w:line="420" w:lineRule="exact"/>
        <w:ind w:left="0" w:leftChars="0" w:firstLine="0" w:firstLineChars="0"/>
        <w:rPr>
          <w:rFonts w:hint="eastAsia" w:ascii="宋体" w:hAnsi="宋体" w:eastAsia="宋体" w:cs="宋体"/>
          <w:color w:val="auto"/>
          <w:szCs w:val="21"/>
          <w:highlight w:val="none"/>
        </w:rPr>
      </w:pPr>
    </w:p>
    <w:p w14:paraId="576D0519">
      <w:pPr>
        <w:pStyle w:val="28"/>
        <w:pageBreakBefore w:val="0"/>
        <w:kinsoku/>
        <w:wordWrap w:val="0"/>
        <w:overflowPunct/>
        <w:bidi w:val="0"/>
        <w:spacing w:line="420" w:lineRule="exact"/>
        <w:ind w:left="0" w:leftChars="0" w:firstLine="0" w:firstLineChars="0"/>
        <w:rPr>
          <w:rFonts w:hint="eastAsia" w:ascii="宋体" w:hAnsi="宋体" w:eastAsia="宋体" w:cs="宋体"/>
          <w:color w:val="auto"/>
          <w:szCs w:val="21"/>
          <w:highlight w:val="none"/>
        </w:rPr>
      </w:pPr>
    </w:p>
    <w:p w14:paraId="12D85D0F">
      <w:pPr>
        <w:pStyle w:val="28"/>
        <w:pageBreakBefore w:val="0"/>
        <w:kinsoku/>
        <w:wordWrap w:val="0"/>
        <w:overflowPunct/>
        <w:bidi w:val="0"/>
        <w:spacing w:line="420" w:lineRule="exact"/>
        <w:ind w:left="1"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（单位电子签章）</w:t>
      </w:r>
    </w:p>
    <w:p w14:paraId="27B5F1BA">
      <w:pPr>
        <w:pStyle w:val="28"/>
        <w:pageBreakBefore w:val="0"/>
        <w:kinsoku/>
        <w:wordWrap w:val="0"/>
        <w:overflowPunct/>
        <w:bidi w:val="0"/>
        <w:spacing w:line="420" w:lineRule="exact"/>
        <w:ind w:left="1"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（电子签名或盖章）</w:t>
      </w:r>
    </w:p>
    <w:p w14:paraId="44A9D707">
      <w:pPr>
        <w:pStyle w:val="28"/>
        <w:pageBreakBefore w:val="0"/>
        <w:kinsoku/>
        <w:wordWrap w:val="0"/>
        <w:overflowPunct/>
        <w:bidi w:val="0"/>
        <w:spacing w:line="420" w:lineRule="exact"/>
        <w:ind w:left="1" w:leftChars="0"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9A632A9">
      <w:pPr>
        <w:pageBreakBefore w:val="0"/>
        <w:kinsoku/>
        <w:wordWrap w:val="0"/>
        <w:overflowPunct/>
        <w:autoSpaceDE w:val="0"/>
        <w:autoSpaceDN w:val="0"/>
        <w:bidi w:val="0"/>
        <w:adjustRightInd w:val="0"/>
        <w:snapToGrid w:val="0"/>
        <w:spacing w:line="360" w:lineRule="auto"/>
        <w:ind w:firstLine="3780" w:firstLineChars="1800"/>
        <w:jc w:val="left"/>
        <w:rPr>
          <w:rFonts w:hint="eastAsia" w:ascii="宋体" w:hAnsi="宋体" w:eastAsia="宋体" w:cs="宋体"/>
          <w:color w:val="auto"/>
          <w:kern w:val="0"/>
          <w:szCs w:val="21"/>
          <w:highlight w:val="none"/>
        </w:rPr>
        <w:sectPr>
          <w:footerReference r:id="rId13" w:type="default"/>
          <w:pgSz w:w="11906" w:h="16838"/>
          <w:pgMar w:top="1418" w:right="1418" w:bottom="1418" w:left="1418" w:header="851" w:footer="850" w:gutter="0"/>
          <w:cols w:space="720" w:num="1"/>
          <w:docGrid w:linePitch="312" w:charSpace="0"/>
        </w:sectPr>
      </w:pPr>
    </w:p>
    <w:bookmarkEnd w:id="938"/>
    <w:p w14:paraId="032581E7">
      <w:pPr>
        <w:pageBreakBefore w:val="0"/>
        <w:kinsoku/>
        <w:wordWrap w:val="0"/>
        <w:overflowPunct/>
        <w:bidi w:val="0"/>
        <w:spacing w:line="420" w:lineRule="exact"/>
        <w:jc w:val="center"/>
        <w:outlineLvl w:val="2"/>
        <w:rPr>
          <w:rFonts w:hint="eastAsia" w:ascii="宋体" w:hAnsi="宋体" w:eastAsia="宋体" w:cs="宋体"/>
          <w:b/>
          <w:bCs/>
          <w:color w:val="auto"/>
          <w:sz w:val="28"/>
          <w:szCs w:val="28"/>
          <w:highlight w:val="none"/>
        </w:rPr>
      </w:pPr>
      <w:bookmarkStart w:id="942" w:name="_Toc8862"/>
      <w:bookmarkStart w:id="943" w:name="_Toc11398"/>
      <w:bookmarkStart w:id="944" w:name="_Toc28667"/>
      <w:r>
        <w:rPr>
          <w:rFonts w:hint="eastAsia" w:ascii="宋体" w:hAnsi="宋体" w:eastAsia="宋体" w:cs="宋体"/>
          <w:b/>
          <w:bCs/>
          <w:color w:val="auto"/>
          <w:sz w:val="28"/>
          <w:szCs w:val="28"/>
          <w:highlight w:val="none"/>
        </w:rPr>
        <w:t>（二）响应函附录</w:t>
      </w:r>
      <w:bookmarkEnd w:id="942"/>
      <w:bookmarkEnd w:id="943"/>
    </w:p>
    <w:tbl>
      <w:tblPr>
        <w:tblStyle w:val="52"/>
        <w:tblpPr w:leftFromText="180" w:rightFromText="180" w:vertAnchor="text" w:horzAnchor="page" w:tblpXSpec="center" w:tblpY="568"/>
        <w:tblOverlap w:val="never"/>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7"/>
        <w:gridCol w:w="6778"/>
      </w:tblGrid>
      <w:tr w14:paraId="0861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7" w:type="dxa"/>
            <w:tcBorders>
              <w:top w:val="single" w:color="auto" w:sz="4" w:space="0"/>
              <w:left w:val="single" w:color="auto" w:sz="4" w:space="0"/>
              <w:bottom w:val="single" w:color="auto" w:sz="4" w:space="0"/>
              <w:right w:val="single" w:color="auto" w:sz="4" w:space="0"/>
            </w:tcBorders>
            <w:noWrap w:val="0"/>
            <w:vAlign w:val="center"/>
          </w:tcPr>
          <w:p w14:paraId="43EFCB93">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包名称</w:t>
            </w:r>
          </w:p>
        </w:tc>
        <w:tc>
          <w:tcPr>
            <w:tcW w:w="6778" w:type="dxa"/>
            <w:tcBorders>
              <w:top w:val="single" w:color="auto" w:sz="4" w:space="0"/>
              <w:left w:val="single" w:color="auto" w:sz="4" w:space="0"/>
              <w:bottom w:val="single" w:color="auto" w:sz="4" w:space="0"/>
              <w:right w:val="single" w:color="auto" w:sz="4" w:space="0"/>
            </w:tcBorders>
            <w:noWrap w:val="0"/>
            <w:vAlign w:val="center"/>
          </w:tcPr>
          <w:p w14:paraId="21E96D86">
            <w:pPr>
              <w:keepNext w:val="0"/>
              <w:keepLines w:val="0"/>
              <w:pageBreakBefore w:val="0"/>
              <w:suppressLineNumbers w:val="0"/>
              <w:kinsoku/>
              <w:wordWrap w:val="0"/>
              <w:overflowPunct/>
              <w:bidi w:val="0"/>
              <w:spacing w:before="0" w:beforeAutospacing="0" w:after="0" w:afterAutospacing="0"/>
              <w:ind w:left="0" w:right="0"/>
              <w:rPr>
                <w:rFonts w:hint="eastAsia" w:ascii="宋体" w:hAnsi="宋体" w:eastAsia="宋体" w:cs="宋体"/>
                <w:color w:val="auto"/>
                <w:szCs w:val="21"/>
                <w:highlight w:val="none"/>
              </w:rPr>
            </w:pPr>
          </w:p>
        </w:tc>
      </w:tr>
      <w:tr w14:paraId="60B0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7" w:type="dxa"/>
            <w:tcBorders>
              <w:top w:val="single" w:color="auto" w:sz="4" w:space="0"/>
              <w:left w:val="single" w:color="auto" w:sz="4" w:space="0"/>
              <w:bottom w:val="single" w:color="auto" w:sz="4" w:space="0"/>
              <w:right w:val="single" w:color="auto" w:sz="4" w:space="0"/>
            </w:tcBorders>
            <w:noWrap w:val="0"/>
            <w:vAlign w:val="center"/>
          </w:tcPr>
          <w:p w14:paraId="75451B31">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6778" w:type="dxa"/>
            <w:tcBorders>
              <w:top w:val="single" w:color="auto" w:sz="4" w:space="0"/>
              <w:left w:val="single" w:color="auto" w:sz="4" w:space="0"/>
              <w:bottom w:val="single" w:color="auto" w:sz="4" w:space="0"/>
              <w:right w:val="single" w:color="auto" w:sz="4" w:space="0"/>
            </w:tcBorders>
            <w:noWrap w:val="0"/>
            <w:vAlign w:val="center"/>
          </w:tcPr>
          <w:p w14:paraId="53687D10">
            <w:pPr>
              <w:keepNext w:val="0"/>
              <w:keepLines w:val="0"/>
              <w:pageBreakBefore w:val="0"/>
              <w:suppressLineNumbers w:val="0"/>
              <w:kinsoku/>
              <w:wordWrap w:val="0"/>
              <w:overflowPunct/>
              <w:bidi w:val="0"/>
              <w:spacing w:before="0" w:beforeAutospacing="0" w:after="0" w:afterAutospacing="0"/>
              <w:ind w:left="0" w:right="0"/>
              <w:rPr>
                <w:rFonts w:hint="eastAsia" w:ascii="宋体" w:hAnsi="宋体" w:eastAsia="宋体" w:cs="宋体"/>
                <w:color w:val="auto"/>
                <w:szCs w:val="21"/>
                <w:highlight w:val="none"/>
              </w:rPr>
            </w:pPr>
          </w:p>
        </w:tc>
      </w:tr>
      <w:tr w14:paraId="5556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2527" w:type="dxa"/>
            <w:vMerge w:val="restart"/>
            <w:tcBorders>
              <w:top w:val="single" w:color="auto" w:sz="4" w:space="0"/>
              <w:left w:val="single" w:color="auto" w:sz="4" w:space="0"/>
              <w:right w:val="single" w:color="auto" w:sz="4" w:space="0"/>
            </w:tcBorders>
            <w:noWrap w:val="0"/>
            <w:vAlign w:val="center"/>
          </w:tcPr>
          <w:p w14:paraId="62C0A74D">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磋商报价（元）</w:t>
            </w:r>
          </w:p>
        </w:tc>
        <w:tc>
          <w:tcPr>
            <w:tcW w:w="6778" w:type="dxa"/>
            <w:tcBorders>
              <w:top w:val="single" w:color="auto" w:sz="4" w:space="0"/>
              <w:left w:val="single" w:color="auto" w:sz="4" w:space="0"/>
              <w:bottom w:val="single" w:color="auto" w:sz="4" w:space="0"/>
              <w:right w:val="single" w:color="auto" w:sz="4" w:space="0"/>
            </w:tcBorders>
            <w:noWrap w:val="0"/>
            <w:vAlign w:val="center"/>
          </w:tcPr>
          <w:p w14:paraId="43CA711A">
            <w:pPr>
              <w:keepNext w:val="0"/>
              <w:keepLines w:val="0"/>
              <w:pageBreakBefore w:val="0"/>
              <w:suppressLineNumbers w:val="0"/>
              <w:kinsoku/>
              <w:wordWrap w:val="0"/>
              <w:overflowPunct/>
              <w:topLinePunct w:val="0"/>
              <w:bidi w:val="0"/>
              <w:spacing w:before="0" w:beforeAutospacing="0" w:after="0" w:afterAutospacing="0" w:line="400" w:lineRule="exact"/>
              <w:ind w:left="0" w:leftChars="0" w:right="0" w:firstLine="0" w:firstLineChars="0"/>
              <w:jc w:val="both"/>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大写：</w:t>
            </w:r>
            <w:r>
              <w:rPr>
                <w:rFonts w:hint="eastAsia" w:ascii="宋体" w:hAnsi="宋体" w:eastAsia="宋体" w:cs="宋体"/>
                <w:color w:val="auto"/>
                <w:szCs w:val="21"/>
                <w:highlight w:val="none"/>
                <w:u w:val="single"/>
                <w:lang w:val="en-US" w:eastAsia="zh-CN"/>
              </w:rPr>
              <w:t xml:space="preserve">           </w:t>
            </w:r>
          </w:p>
          <w:p w14:paraId="0B8ED967">
            <w:pPr>
              <w:keepNext w:val="0"/>
              <w:keepLines w:val="0"/>
              <w:pageBreakBefore w:val="0"/>
              <w:suppressLineNumbers w:val="0"/>
              <w:kinsoku/>
              <w:wordWrap w:val="0"/>
              <w:overflowPunct/>
              <w:topLinePunct w:val="0"/>
              <w:bidi w:val="0"/>
              <w:spacing w:before="0" w:beforeAutospacing="0" w:after="0" w:afterAutospacing="0" w:line="400" w:lineRule="exact"/>
              <w:ind w:left="0" w:leftChars="0" w:right="0" w:firstLine="0" w:firstLineChars="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小写：</w:t>
            </w:r>
            <w:r>
              <w:rPr>
                <w:rFonts w:hint="eastAsia" w:ascii="宋体" w:hAnsi="宋体" w:eastAsia="宋体" w:cs="宋体"/>
                <w:color w:val="auto"/>
                <w:szCs w:val="21"/>
                <w:highlight w:val="none"/>
                <w:u w:val="single"/>
                <w:lang w:val="en-US" w:eastAsia="zh-CN"/>
              </w:rPr>
              <w:t xml:space="preserve">           </w:t>
            </w:r>
          </w:p>
        </w:tc>
      </w:tr>
      <w:tr w14:paraId="2A88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7" w:type="dxa"/>
            <w:vMerge w:val="continue"/>
            <w:tcBorders>
              <w:left w:val="single" w:color="auto" w:sz="4" w:space="0"/>
              <w:bottom w:val="single" w:color="auto" w:sz="4" w:space="0"/>
              <w:right w:val="single" w:color="auto" w:sz="4" w:space="0"/>
            </w:tcBorders>
            <w:noWrap w:val="0"/>
            <w:vAlign w:val="center"/>
          </w:tcPr>
          <w:p w14:paraId="7D6DE8C0">
            <w:pPr>
              <w:keepNext w:val="0"/>
              <w:keepLines w:val="0"/>
              <w:pageBreakBefore w:val="0"/>
              <w:suppressLineNumbers w:val="0"/>
              <w:kinsoku/>
              <w:wordWrap w:val="0"/>
              <w:overflowPunct/>
              <w:bidi w:val="0"/>
              <w:spacing w:before="0" w:beforeAutospacing="0" w:after="0" w:afterAutospacing="0"/>
              <w:ind w:left="0" w:right="0" w:firstLine="480"/>
              <w:jc w:val="center"/>
              <w:rPr>
                <w:rFonts w:hint="eastAsia" w:ascii="宋体" w:hAnsi="宋体" w:eastAsia="宋体" w:cs="宋体"/>
                <w:color w:val="auto"/>
                <w:szCs w:val="21"/>
                <w:highlight w:val="none"/>
              </w:rPr>
            </w:pPr>
          </w:p>
        </w:tc>
        <w:tc>
          <w:tcPr>
            <w:tcW w:w="6778" w:type="dxa"/>
            <w:tcBorders>
              <w:top w:val="single" w:color="auto" w:sz="4" w:space="0"/>
              <w:left w:val="single" w:color="auto" w:sz="4" w:space="0"/>
              <w:bottom w:val="single" w:color="auto" w:sz="4" w:space="0"/>
              <w:right w:val="single" w:color="auto" w:sz="4" w:space="0"/>
            </w:tcBorders>
            <w:noWrap w:val="0"/>
            <w:vAlign w:val="center"/>
          </w:tcPr>
          <w:p w14:paraId="01421F93">
            <w:pPr>
              <w:keepNext w:val="0"/>
              <w:keepLines w:val="0"/>
              <w:pageBreakBefore w:val="0"/>
              <w:suppressLineNumbers w:val="0"/>
              <w:kinsoku/>
              <w:wordWrap w:val="0"/>
              <w:overflowPunct/>
              <w:topLinePunct w:val="0"/>
              <w:bidi w:val="0"/>
              <w:spacing w:before="0" w:beforeAutospacing="0" w:after="0" w:afterAutospacing="0" w:line="400" w:lineRule="exact"/>
              <w:ind w:left="0" w:leftChars="0" w:right="0" w:firstLine="0" w:firstLineChars="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提示：</w:t>
            </w:r>
            <w:r>
              <w:rPr>
                <w:rFonts w:hint="eastAsia" w:ascii="宋体" w:hAnsi="宋体" w:eastAsia="宋体" w:cs="宋体"/>
                <w:b/>
                <w:bCs/>
                <w:snapToGrid w:val="0"/>
                <w:color w:val="auto"/>
                <w:kern w:val="0"/>
                <w:szCs w:val="21"/>
                <w:highlight w:val="none"/>
              </w:rPr>
              <w:t>供应商应在此填列第一次报价，但以供应商最后一次的磋商报价为成交价</w:t>
            </w:r>
          </w:p>
        </w:tc>
      </w:tr>
      <w:tr w14:paraId="4105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7" w:type="dxa"/>
            <w:tcBorders>
              <w:top w:val="single" w:color="auto" w:sz="4" w:space="0"/>
              <w:left w:val="single" w:color="auto" w:sz="4" w:space="0"/>
              <w:bottom w:val="single" w:color="auto" w:sz="4" w:space="0"/>
              <w:right w:val="single" w:color="auto" w:sz="4" w:space="0"/>
            </w:tcBorders>
            <w:noWrap w:val="0"/>
            <w:vAlign w:val="center"/>
          </w:tcPr>
          <w:p w14:paraId="3F2070BE">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供货期</w:t>
            </w:r>
          </w:p>
        </w:tc>
        <w:tc>
          <w:tcPr>
            <w:tcW w:w="6778" w:type="dxa"/>
            <w:tcBorders>
              <w:top w:val="single" w:color="auto" w:sz="4" w:space="0"/>
              <w:left w:val="single" w:color="auto" w:sz="4" w:space="0"/>
              <w:bottom w:val="single" w:color="auto" w:sz="4" w:space="0"/>
              <w:right w:val="single" w:color="auto" w:sz="4" w:space="0"/>
            </w:tcBorders>
            <w:noWrap w:val="0"/>
            <w:vAlign w:val="center"/>
          </w:tcPr>
          <w:p w14:paraId="506BADFE">
            <w:pPr>
              <w:keepNext w:val="0"/>
              <w:keepLines w:val="0"/>
              <w:pageBreakBefore w:val="0"/>
              <w:suppressLineNumbers w:val="0"/>
              <w:kinsoku/>
              <w:wordWrap w:val="0"/>
              <w:overflowPunct/>
              <w:bidi w:val="0"/>
              <w:spacing w:before="0" w:beforeAutospacing="0" w:after="0" w:afterAutospacing="0"/>
              <w:ind w:left="0" w:right="0"/>
              <w:rPr>
                <w:rFonts w:hint="eastAsia" w:ascii="宋体" w:hAnsi="宋体" w:eastAsia="宋体" w:cs="宋体"/>
                <w:color w:val="auto"/>
                <w:szCs w:val="21"/>
                <w:highlight w:val="none"/>
              </w:rPr>
            </w:pPr>
          </w:p>
        </w:tc>
      </w:tr>
      <w:tr w14:paraId="7B2C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7" w:type="dxa"/>
            <w:tcBorders>
              <w:top w:val="single" w:color="auto" w:sz="4" w:space="0"/>
              <w:left w:val="single" w:color="auto" w:sz="4" w:space="0"/>
              <w:bottom w:val="single" w:color="auto" w:sz="4" w:space="0"/>
              <w:right w:val="single" w:color="auto" w:sz="4" w:space="0"/>
            </w:tcBorders>
            <w:noWrap w:val="0"/>
            <w:vAlign w:val="center"/>
          </w:tcPr>
          <w:p w14:paraId="6CB8E4D8">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质量要求</w:t>
            </w:r>
          </w:p>
        </w:tc>
        <w:tc>
          <w:tcPr>
            <w:tcW w:w="6778" w:type="dxa"/>
            <w:tcBorders>
              <w:top w:val="single" w:color="auto" w:sz="4" w:space="0"/>
              <w:left w:val="single" w:color="auto" w:sz="4" w:space="0"/>
              <w:bottom w:val="single" w:color="auto" w:sz="4" w:space="0"/>
              <w:right w:val="single" w:color="auto" w:sz="4" w:space="0"/>
            </w:tcBorders>
            <w:noWrap w:val="0"/>
            <w:vAlign w:val="center"/>
          </w:tcPr>
          <w:p w14:paraId="0E34FE81">
            <w:pPr>
              <w:keepNext w:val="0"/>
              <w:keepLines w:val="0"/>
              <w:pageBreakBefore w:val="0"/>
              <w:suppressLineNumbers w:val="0"/>
              <w:kinsoku/>
              <w:wordWrap w:val="0"/>
              <w:overflowPunct/>
              <w:bidi w:val="0"/>
              <w:spacing w:before="0" w:beforeAutospacing="0" w:after="0" w:afterAutospacing="0"/>
              <w:ind w:left="0" w:right="0"/>
              <w:rPr>
                <w:rFonts w:hint="eastAsia" w:ascii="宋体" w:hAnsi="宋体" w:eastAsia="宋体" w:cs="宋体"/>
                <w:color w:val="auto"/>
                <w:szCs w:val="21"/>
                <w:highlight w:val="none"/>
              </w:rPr>
            </w:pPr>
          </w:p>
        </w:tc>
      </w:tr>
      <w:tr w14:paraId="1097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7" w:type="dxa"/>
            <w:tcBorders>
              <w:top w:val="single" w:color="auto" w:sz="4" w:space="0"/>
              <w:left w:val="single" w:color="auto" w:sz="4" w:space="0"/>
              <w:bottom w:val="single" w:color="auto" w:sz="4" w:space="0"/>
              <w:right w:val="single" w:color="auto" w:sz="4" w:space="0"/>
            </w:tcBorders>
            <w:noWrap w:val="0"/>
            <w:vAlign w:val="center"/>
          </w:tcPr>
          <w:p w14:paraId="54A21277">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磋商有效期</w:t>
            </w:r>
          </w:p>
        </w:tc>
        <w:tc>
          <w:tcPr>
            <w:tcW w:w="6778" w:type="dxa"/>
            <w:tcBorders>
              <w:top w:val="single" w:color="auto" w:sz="4" w:space="0"/>
              <w:left w:val="single" w:color="auto" w:sz="4" w:space="0"/>
              <w:bottom w:val="single" w:color="auto" w:sz="4" w:space="0"/>
              <w:right w:val="single" w:color="auto" w:sz="4" w:space="0"/>
            </w:tcBorders>
            <w:noWrap w:val="0"/>
            <w:vAlign w:val="center"/>
          </w:tcPr>
          <w:p w14:paraId="73E279DC">
            <w:pPr>
              <w:keepNext w:val="0"/>
              <w:keepLines w:val="0"/>
              <w:pageBreakBefore w:val="0"/>
              <w:suppressLineNumbers w:val="0"/>
              <w:kinsoku/>
              <w:wordWrap w:val="0"/>
              <w:overflowPunct/>
              <w:bidi w:val="0"/>
              <w:spacing w:before="0" w:beforeAutospacing="0" w:after="0" w:afterAutospacing="0"/>
              <w:ind w:left="0" w:right="0"/>
              <w:rPr>
                <w:rFonts w:hint="eastAsia" w:ascii="宋体" w:hAnsi="宋体" w:eastAsia="宋体" w:cs="宋体"/>
                <w:color w:val="auto"/>
                <w:szCs w:val="21"/>
                <w:highlight w:val="none"/>
              </w:rPr>
            </w:pPr>
          </w:p>
        </w:tc>
      </w:tr>
      <w:tr w14:paraId="05E6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7" w:type="dxa"/>
            <w:tcBorders>
              <w:top w:val="single" w:color="auto" w:sz="4" w:space="0"/>
              <w:left w:val="single" w:color="auto" w:sz="4" w:space="0"/>
              <w:bottom w:val="single" w:color="auto" w:sz="4" w:space="0"/>
              <w:right w:val="single" w:color="auto" w:sz="4" w:space="0"/>
            </w:tcBorders>
            <w:noWrap w:val="0"/>
            <w:vAlign w:val="center"/>
          </w:tcPr>
          <w:p w14:paraId="4EF0E13A">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6778" w:type="dxa"/>
            <w:tcBorders>
              <w:top w:val="single" w:color="auto" w:sz="4" w:space="0"/>
              <w:left w:val="single" w:color="auto" w:sz="4" w:space="0"/>
              <w:bottom w:val="single" w:color="auto" w:sz="4" w:space="0"/>
              <w:right w:val="single" w:color="auto" w:sz="4" w:space="0"/>
            </w:tcBorders>
            <w:noWrap w:val="0"/>
            <w:vAlign w:val="center"/>
          </w:tcPr>
          <w:p w14:paraId="1CA66584">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highlight w:val="none"/>
                <w:lang w:val="ru-RU"/>
              </w:rPr>
            </w:pPr>
          </w:p>
        </w:tc>
      </w:tr>
    </w:tbl>
    <w:p w14:paraId="5C7DAED8">
      <w:pPr>
        <w:pageBreakBefore w:val="0"/>
        <w:kinsoku/>
        <w:wordWrap w:val="0"/>
        <w:overflowPunct/>
        <w:bidi w:val="0"/>
        <w:spacing w:line="420" w:lineRule="exact"/>
        <w:rPr>
          <w:rFonts w:hint="eastAsia" w:ascii="宋体" w:hAnsi="宋体" w:eastAsia="宋体" w:cs="宋体"/>
          <w:color w:val="auto"/>
          <w:sz w:val="24"/>
          <w:highlight w:val="none"/>
        </w:rPr>
      </w:pPr>
    </w:p>
    <w:p w14:paraId="504B3B87">
      <w:pPr>
        <w:pageBreakBefore w:val="0"/>
        <w:kinsoku/>
        <w:wordWrap w:val="0"/>
        <w:overflowPunct/>
        <w:bidi w:val="0"/>
        <w:spacing w:line="420" w:lineRule="exact"/>
        <w:rPr>
          <w:rFonts w:hint="eastAsia" w:ascii="宋体" w:hAnsi="宋体" w:eastAsia="宋体" w:cs="宋体"/>
          <w:color w:val="auto"/>
          <w:sz w:val="24"/>
          <w:highlight w:val="none"/>
        </w:rPr>
      </w:pPr>
    </w:p>
    <w:p w14:paraId="6089716E">
      <w:pPr>
        <w:pageBreakBefore w:val="0"/>
        <w:kinsoku/>
        <w:wordWrap w:val="0"/>
        <w:overflowPunct/>
        <w:bidi w:val="0"/>
        <w:spacing w:line="420" w:lineRule="exact"/>
        <w:rPr>
          <w:rFonts w:hint="eastAsia" w:ascii="宋体" w:hAnsi="宋体" w:eastAsia="宋体" w:cs="宋体"/>
          <w:color w:val="auto"/>
          <w:sz w:val="24"/>
          <w:highlight w:val="none"/>
        </w:rPr>
      </w:pPr>
    </w:p>
    <w:p w14:paraId="382AE0BB">
      <w:pPr>
        <w:pageBreakBefore w:val="0"/>
        <w:kinsoku/>
        <w:wordWrap w:val="0"/>
        <w:overflowPunct/>
        <w:bidi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供应商法定代表人或其授权委托人(电子签名或盖章)</w:t>
      </w:r>
      <w:r>
        <w:rPr>
          <w:rFonts w:hint="eastAsia" w:ascii="宋体" w:hAnsi="宋体" w:eastAsia="宋体" w:cs="宋体"/>
          <w:color w:val="auto"/>
          <w:szCs w:val="21"/>
          <w:highlight w:val="none"/>
          <w:u w:val="single"/>
        </w:rPr>
        <w:t xml:space="preserve">                  </w:t>
      </w:r>
    </w:p>
    <w:p w14:paraId="330B6AA5">
      <w:pPr>
        <w:pageBreakBefore w:val="0"/>
        <w:kinsoku/>
        <w:wordWrap w:val="0"/>
        <w:overflowPunct/>
        <w:bidi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供应商(单位电子签章)：</w:t>
      </w:r>
      <w:r>
        <w:rPr>
          <w:rFonts w:hint="eastAsia" w:ascii="宋体" w:hAnsi="宋体" w:eastAsia="宋体" w:cs="宋体"/>
          <w:color w:val="auto"/>
          <w:szCs w:val="21"/>
          <w:highlight w:val="none"/>
          <w:u w:val="single"/>
        </w:rPr>
        <w:t xml:space="preserve">                  </w:t>
      </w:r>
    </w:p>
    <w:p w14:paraId="6B67BAE8">
      <w:pPr>
        <w:pageBreakBefore w:val="0"/>
        <w:kinsoku/>
        <w:wordWrap w:val="0"/>
        <w:overflowPunct/>
        <w:bidi w:val="0"/>
        <w:spacing w:line="420" w:lineRule="exac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BF80A79">
      <w:pPr>
        <w:pageBreakBefore w:val="0"/>
        <w:kinsoku/>
        <w:wordWrap w:val="0"/>
        <w:overflowPunct/>
        <w:bidi w:val="0"/>
        <w:ind w:firstLine="42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672EA80">
      <w:pPr>
        <w:pStyle w:val="380"/>
        <w:pageBreakBefore w:val="0"/>
        <w:kinsoku/>
        <w:wordWrap w:val="0"/>
        <w:overflowPunct/>
        <w:bidi w:val="0"/>
        <w:ind w:firstLine="0" w:firstLineChars="0"/>
        <w:rPr>
          <w:rFonts w:hint="eastAsia" w:ascii="宋体" w:hAnsi="宋体" w:eastAsia="宋体" w:cs="宋体"/>
          <w:b/>
          <w:color w:val="auto"/>
          <w:szCs w:val="28"/>
          <w:highlight w:val="none"/>
        </w:rPr>
      </w:pPr>
      <w:bookmarkStart w:id="945" w:name="_Toc2481"/>
      <w:bookmarkStart w:id="946" w:name="_Toc918"/>
      <w:bookmarkStart w:id="947" w:name="_Toc31033"/>
      <w:bookmarkStart w:id="948" w:name="_Toc466298161"/>
      <w:bookmarkStart w:id="949" w:name="_Toc8120"/>
      <w:r>
        <w:rPr>
          <w:rFonts w:hint="eastAsia" w:ascii="宋体" w:hAnsi="宋体" w:eastAsia="宋体" w:cs="宋体"/>
          <w:b/>
          <w:color w:val="auto"/>
          <w:szCs w:val="28"/>
          <w:highlight w:val="none"/>
        </w:rPr>
        <w:t>二、</w:t>
      </w:r>
      <w:bookmarkEnd w:id="945"/>
      <w:bookmarkEnd w:id="946"/>
      <w:bookmarkEnd w:id="947"/>
      <w:bookmarkEnd w:id="948"/>
      <w:r>
        <w:rPr>
          <w:rFonts w:hint="eastAsia" w:ascii="宋体" w:hAnsi="宋体" w:eastAsia="宋体" w:cs="宋体"/>
          <w:b/>
          <w:color w:val="auto"/>
          <w:szCs w:val="28"/>
          <w:highlight w:val="none"/>
        </w:rPr>
        <w:t>法定代表人（单位负责人）身份证明</w:t>
      </w:r>
      <w:bookmarkEnd w:id="949"/>
    </w:p>
    <w:p w14:paraId="6854A15F">
      <w:pPr>
        <w:pageBreakBefore w:val="0"/>
        <w:kinsoku/>
        <w:wordWrap w:val="0"/>
        <w:overflowPunct/>
        <w:bidi w:val="0"/>
        <w:spacing w:line="440" w:lineRule="exact"/>
        <w:ind w:firstLine="420"/>
        <w:jc w:val="center"/>
        <w:rPr>
          <w:rFonts w:hint="eastAsia" w:ascii="宋体" w:hAnsi="宋体" w:eastAsia="宋体" w:cs="宋体"/>
          <w:color w:val="auto"/>
          <w:szCs w:val="21"/>
          <w:highlight w:val="none"/>
        </w:rPr>
      </w:pPr>
    </w:p>
    <w:p w14:paraId="64171774">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642834C">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5932C9AB">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77302363">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w:t>
      </w:r>
    </w:p>
    <w:p w14:paraId="08ADA8B8">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p>
    <w:p w14:paraId="2D73B329">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46414036">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（供应商名称）的法定代表人。</w:t>
      </w:r>
    </w:p>
    <w:p w14:paraId="17825913">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460D086D">
      <w:pPr>
        <w:pageBreakBefore w:val="0"/>
        <w:kinsoku/>
        <w:wordWrap w:val="0"/>
        <w:overflowPunct/>
        <w:bidi w:val="0"/>
        <w:spacing w:line="420" w:lineRule="exact"/>
        <w:ind w:firstLine="480"/>
        <w:rPr>
          <w:rFonts w:hint="eastAsia" w:ascii="宋体" w:hAnsi="宋体" w:eastAsia="宋体" w:cs="宋体"/>
          <w:color w:val="auto"/>
          <w:szCs w:val="21"/>
          <w:highlight w:val="none"/>
        </w:rPr>
      </w:pPr>
    </w:p>
    <w:p w14:paraId="4413D916">
      <w:pPr>
        <w:pageBreakBefore w:val="0"/>
        <w:kinsoku/>
        <w:wordWrap w:val="0"/>
        <w:overflowPunct/>
        <w:bidi w:val="0"/>
        <w:spacing w:line="420" w:lineRule="exact"/>
        <w:ind w:firstLine="480"/>
        <w:rPr>
          <w:rFonts w:hint="eastAsia" w:ascii="宋体" w:hAnsi="宋体" w:eastAsia="宋体" w:cs="宋体"/>
          <w:color w:val="auto"/>
          <w:szCs w:val="21"/>
          <w:highlight w:val="none"/>
        </w:rPr>
      </w:pPr>
    </w:p>
    <w:p w14:paraId="7E73E5B9">
      <w:pPr>
        <w:pageBreakBefore w:val="0"/>
        <w:kinsoku/>
        <w:wordWrap w:val="0"/>
        <w:overflowPunct/>
        <w:bidi w:val="0"/>
        <w:spacing w:line="420" w:lineRule="exact"/>
        <w:ind w:firstLine="48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（单位电子签章）</w:t>
      </w:r>
    </w:p>
    <w:p w14:paraId="68BAAE2F">
      <w:pPr>
        <w:pageBreakBefore w:val="0"/>
        <w:kinsoku/>
        <w:wordWrap w:val="0"/>
        <w:overflowPunct/>
        <w:bidi w:val="0"/>
        <w:spacing w:line="420" w:lineRule="exact"/>
        <w:ind w:firstLine="48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D9A1517">
      <w:pPr>
        <w:pageBreakBefore w:val="0"/>
        <w:kinsoku/>
        <w:wordWrap w:val="0"/>
        <w:overflowPunct/>
        <w:bidi w:val="0"/>
        <w:spacing w:line="440" w:lineRule="exact"/>
        <w:rPr>
          <w:rFonts w:hint="eastAsia" w:ascii="宋体" w:hAnsi="宋体" w:eastAsia="宋体" w:cs="宋体"/>
          <w:color w:val="auto"/>
          <w:szCs w:val="21"/>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0E7A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jc w:val="center"/>
        </w:trPr>
        <w:tc>
          <w:tcPr>
            <w:tcW w:w="9638" w:type="dxa"/>
            <w:noWrap w:val="0"/>
            <w:vAlign w:val="center"/>
          </w:tcPr>
          <w:p w14:paraId="66F85E84">
            <w:pPr>
              <w:keepNext w:val="0"/>
              <w:keepLines w:val="0"/>
              <w:pageBreakBefore w:val="0"/>
              <w:suppressLineNumbers w:val="0"/>
              <w:kinsoku/>
              <w:wordWrap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法定代表人身份证扫描件</w:t>
            </w:r>
          </w:p>
          <w:p w14:paraId="5CAE77E2">
            <w:pPr>
              <w:keepNext w:val="0"/>
              <w:keepLines w:val="0"/>
              <w:pageBreakBefore w:val="0"/>
              <w:suppressLineNumbers w:val="0"/>
              <w:kinsoku/>
              <w:wordWrap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rPr>
            </w:pPr>
          </w:p>
        </w:tc>
      </w:tr>
    </w:tbl>
    <w:p w14:paraId="0D0DE697">
      <w:pPr>
        <w:pageBreakBefore w:val="0"/>
        <w:kinsoku/>
        <w:wordWrap w:val="0"/>
        <w:overflowPunct/>
        <w:bidi w:val="0"/>
        <w:ind w:firstLine="42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448330D">
      <w:pPr>
        <w:pStyle w:val="3"/>
        <w:pageBreakBefore w:val="0"/>
        <w:numPr>
          <w:ilvl w:val="1"/>
          <w:numId w:val="0"/>
        </w:numPr>
        <w:kinsoku/>
        <w:wordWrap w:val="0"/>
        <w:overflowPunct/>
        <w:bidi w:val="0"/>
        <w:spacing w:line="420" w:lineRule="exact"/>
        <w:jc w:val="center"/>
        <w:rPr>
          <w:rFonts w:hint="eastAsia" w:ascii="宋体" w:hAnsi="宋体" w:eastAsia="宋体" w:cs="宋体"/>
          <w:color w:val="auto"/>
          <w:szCs w:val="24"/>
          <w:highlight w:val="none"/>
        </w:rPr>
      </w:pPr>
      <w:bookmarkStart w:id="950" w:name="_Toc10913"/>
      <w:r>
        <w:rPr>
          <w:rFonts w:hint="eastAsia" w:ascii="宋体" w:hAnsi="宋体" w:eastAsia="宋体" w:cs="宋体"/>
          <w:color w:val="auto"/>
          <w:sz w:val="28"/>
          <w:szCs w:val="28"/>
          <w:highlight w:val="none"/>
        </w:rPr>
        <w:t>授权委托书</w:t>
      </w:r>
      <w:bookmarkEnd w:id="950"/>
    </w:p>
    <w:p w14:paraId="37961185">
      <w:pPr>
        <w:pageBreakBefore w:val="0"/>
        <w:kinsoku/>
        <w:wordWrap w:val="0"/>
        <w:overflowPunct/>
        <w:topLine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（姓名）为我方代理人。代理人根据授权，以我方名义签署、澄清、说明、补正、递交、撤回、修改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包名称</w:t>
      </w:r>
      <w:r>
        <w:rPr>
          <w:rFonts w:hint="eastAsia" w:ascii="宋体" w:hAnsi="宋体" w:eastAsia="宋体" w:cs="宋体"/>
          <w:color w:val="auto"/>
          <w:szCs w:val="21"/>
          <w:highlight w:val="none"/>
        </w:rPr>
        <w:t>）响应文件、签订合同和处理有关事宜，其法律后果由我方承担。</w:t>
      </w:r>
    </w:p>
    <w:p w14:paraId="0468513C">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7D6C2C0">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14:paraId="5E9B9DC1">
      <w:pPr>
        <w:pageBreakBefore w:val="0"/>
        <w:kinsoku/>
        <w:wordWrap w:val="0"/>
        <w:overflowPunct/>
        <w:bidi w:val="0"/>
        <w:spacing w:line="420" w:lineRule="exact"/>
        <w:ind w:firstLine="480"/>
        <w:rPr>
          <w:rFonts w:hint="eastAsia" w:ascii="宋体" w:hAnsi="宋体" w:eastAsia="宋体" w:cs="宋体"/>
          <w:color w:val="auto"/>
          <w:szCs w:val="21"/>
          <w:highlight w:val="none"/>
        </w:rPr>
      </w:pPr>
    </w:p>
    <w:p w14:paraId="43084B38">
      <w:pPr>
        <w:pageBreakBefore w:val="0"/>
        <w:kinsoku/>
        <w:wordWrap w:val="0"/>
        <w:overflowPunct/>
        <w:bidi w:val="0"/>
        <w:spacing w:line="420" w:lineRule="exact"/>
        <w:rPr>
          <w:rFonts w:hint="eastAsia" w:ascii="宋体" w:hAnsi="宋体" w:eastAsia="宋体" w:cs="宋体"/>
          <w:color w:val="auto"/>
          <w:szCs w:val="21"/>
          <w:highlight w:val="none"/>
        </w:rPr>
      </w:pPr>
    </w:p>
    <w:p w14:paraId="6FAB00CC">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（单位电子签章）</w:t>
      </w:r>
    </w:p>
    <w:p w14:paraId="24CABA0C">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（电子签名或盖章）</w:t>
      </w:r>
    </w:p>
    <w:p w14:paraId="1D3C0070">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14:paraId="117F0A5E">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w:t>
      </w:r>
      <w:r>
        <w:rPr>
          <w:rFonts w:hint="eastAsia" w:ascii="宋体" w:hAnsi="宋体" w:cs="宋体"/>
          <w:color w:val="auto"/>
          <w:szCs w:val="21"/>
          <w:highlight w:val="none"/>
          <w:lang w:val="en-US" w:eastAsia="zh-CN"/>
        </w:rPr>
        <w:t>字</w:t>
      </w:r>
      <w:r>
        <w:rPr>
          <w:rFonts w:hint="eastAsia" w:ascii="宋体" w:hAnsi="宋体" w:eastAsia="宋体" w:cs="宋体"/>
          <w:color w:val="auto"/>
          <w:szCs w:val="21"/>
          <w:highlight w:val="none"/>
        </w:rPr>
        <w:t>或盖章）</w:t>
      </w:r>
    </w:p>
    <w:p w14:paraId="77A92CB9">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14:paraId="08607080">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190EE20">
      <w:pPr>
        <w:pStyle w:val="23"/>
        <w:pageBreakBefore w:val="0"/>
        <w:kinsoku/>
        <w:wordWrap w:val="0"/>
        <w:overflowPunct/>
        <w:bidi w:val="0"/>
        <w:rPr>
          <w:rFonts w:hint="eastAsia" w:ascii="宋体" w:hAnsi="宋体" w:eastAsia="宋体" w:cs="宋体"/>
          <w:color w:val="auto"/>
          <w:szCs w:val="21"/>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4CEB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5" w:hRule="atLeast"/>
          <w:jc w:val="center"/>
        </w:trPr>
        <w:tc>
          <w:tcPr>
            <w:tcW w:w="9638" w:type="dxa"/>
            <w:noWrap w:val="0"/>
            <w:vAlign w:val="center"/>
          </w:tcPr>
          <w:p w14:paraId="02C5E91F">
            <w:pPr>
              <w:keepNext w:val="0"/>
              <w:keepLines w:val="0"/>
              <w:pageBreakBefore w:val="0"/>
              <w:suppressLineNumbers w:val="0"/>
              <w:kinsoku/>
              <w:wordWrap w:val="0"/>
              <w:overflowPunct/>
              <w:bidi w:val="0"/>
              <w:spacing w:before="0" w:beforeAutospacing="0" w:after="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委托代理人身份证扫描件</w:t>
            </w:r>
          </w:p>
          <w:p w14:paraId="22C2DF08">
            <w:pPr>
              <w:keepNext w:val="0"/>
              <w:keepLines w:val="0"/>
              <w:pageBreakBefore w:val="0"/>
              <w:suppressLineNumbers w:val="0"/>
              <w:kinsoku/>
              <w:wordWrap w:val="0"/>
              <w:overflowPunct/>
              <w:bidi w:val="0"/>
              <w:spacing w:before="0" w:beforeAutospacing="0" w:after="0" w:afterAutospacing="0" w:line="440" w:lineRule="exact"/>
              <w:ind w:left="0" w:right="0" w:firstLine="480"/>
              <w:jc w:val="center"/>
              <w:rPr>
                <w:rFonts w:hint="eastAsia" w:ascii="宋体" w:hAnsi="宋体" w:eastAsia="宋体" w:cs="宋体"/>
                <w:color w:val="auto"/>
                <w:szCs w:val="21"/>
                <w:highlight w:val="none"/>
              </w:rPr>
            </w:pPr>
          </w:p>
        </w:tc>
      </w:tr>
    </w:tbl>
    <w:p w14:paraId="1B9A94FF">
      <w:pPr>
        <w:pageBreakBefore w:val="0"/>
        <w:kinsoku/>
        <w:wordWrap w:val="0"/>
        <w:overflowPunct/>
        <w:bidi w:val="0"/>
        <w:spacing w:line="360" w:lineRule="auto"/>
        <w:outlineLvl w:val="1"/>
        <w:rPr>
          <w:rFonts w:hint="eastAsia" w:ascii="宋体" w:hAnsi="宋体" w:eastAsia="宋体" w:cs="宋体"/>
          <w:b/>
          <w:color w:val="auto"/>
          <w:szCs w:val="21"/>
          <w:highlight w:val="none"/>
        </w:rPr>
      </w:pPr>
    </w:p>
    <w:p w14:paraId="4A77891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92C0205">
      <w:pPr>
        <w:pStyle w:val="3"/>
        <w:pageBreakBefore w:val="0"/>
        <w:kinsoku/>
        <w:wordWrap w:val="0"/>
        <w:overflowPunct/>
        <w:topLinePunct w:val="0"/>
        <w:bidi w:val="0"/>
        <w:spacing w:before="60" w:after="60" w:line="400" w:lineRule="exact"/>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三、分项报价表</w:t>
      </w:r>
    </w:p>
    <w:p w14:paraId="19A7A4BD">
      <w:pPr>
        <w:pageBreakBefore w:val="0"/>
        <w:numPr>
          <w:ilvl w:val="0"/>
          <w:numId w:val="6"/>
        </w:numPr>
        <w:kinsoku/>
        <w:wordWrap w:val="0"/>
        <w:overflowPunct/>
        <w:topLinePunct w:val="0"/>
        <w:bidi w:val="0"/>
        <w:spacing w:line="360" w:lineRule="exact"/>
        <w:ind w:left="0" w:leftChars="0" w:firstLine="0" w:firstLineChars="0"/>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货物分项报价一览表</w:t>
      </w:r>
    </w:p>
    <w:p w14:paraId="2E4A7081">
      <w:pPr>
        <w:pStyle w:val="24"/>
        <w:pageBreakBefore w:val="0"/>
        <w:kinsoku/>
        <w:wordWrap w:val="0"/>
        <w:overflowPunct/>
        <w:topLinePunct w:val="0"/>
        <w:bidi w:val="0"/>
        <w:rPr>
          <w:rFonts w:hint="eastAsia" w:ascii="宋体" w:hAnsi="宋体" w:eastAsia="宋体" w:cs="宋体"/>
          <w:color w:val="auto"/>
          <w:highlight w:val="none"/>
        </w:rPr>
      </w:pPr>
    </w:p>
    <w:p w14:paraId="6F45C9BC">
      <w:pPr>
        <w:pageBreakBefore w:val="0"/>
        <w:kinsoku/>
        <w:wordWrap w:val="0"/>
        <w:overflowPunct/>
        <w:topLinePunct w:val="0"/>
        <w:bidi w:val="0"/>
        <w:spacing w:line="312" w:lineRule="auto"/>
        <w:ind w:firstLine="562"/>
        <w:jc w:val="center"/>
        <w:rPr>
          <w:rFonts w:hint="eastAsia" w:ascii="宋体" w:hAnsi="宋体" w:eastAsia="宋体" w:cs="宋体"/>
          <w:b/>
          <w:color w:val="auto"/>
          <w:szCs w:val="21"/>
          <w:highlight w:val="none"/>
        </w:rPr>
      </w:pP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Cs w:val="21"/>
          <w:highlight w:val="none"/>
        </w:rPr>
        <w:t>单位：元</w:t>
      </w:r>
    </w:p>
    <w:tbl>
      <w:tblPr>
        <w:tblStyle w:val="5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042"/>
        <w:gridCol w:w="1160"/>
        <w:gridCol w:w="900"/>
        <w:gridCol w:w="977"/>
        <w:gridCol w:w="977"/>
        <w:gridCol w:w="821"/>
        <w:gridCol w:w="813"/>
        <w:gridCol w:w="977"/>
        <w:gridCol w:w="865"/>
      </w:tblGrid>
      <w:tr w14:paraId="5B44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403" w:type="pct"/>
            <w:vAlign w:val="center"/>
          </w:tcPr>
          <w:p w14:paraId="5775256F">
            <w:pPr>
              <w:keepNext w:val="0"/>
              <w:keepLines w:val="0"/>
              <w:pageBreakBefore w:val="0"/>
              <w:suppressLineNumbers w:val="0"/>
              <w:kinsoku/>
              <w:wordWrap w:val="0"/>
              <w:overflowPunct/>
              <w:topLinePunct w:val="0"/>
              <w:bidi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561" w:type="pct"/>
            <w:vAlign w:val="center"/>
          </w:tcPr>
          <w:p w14:paraId="79E3451D">
            <w:pPr>
              <w:keepNext w:val="0"/>
              <w:keepLines w:val="0"/>
              <w:pageBreakBefore w:val="0"/>
              <w:suppressLineNumbers w:val="0"/>
              <w:kinsoku/>
              <w:wordWrap w:val="0"/>
              <w:overflowPunct/>
              <w:topLinePunct w:val="0"/>
              <w:bidi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625" w:type="pct"/>
            <w:vAlign w:val="center"/>
          </w:tcPr>
          <w:p w14:paraId="6F336055">
            <w:pPr>
              <w:keepNext w:val="0"/>
              <w:keepLines w:val="0"/>
              <w:pageBreakBefore w:val="0"/>
              <w:suppressLineNumbers w:val="0"/>
              <w:kinsoku/>
              <w:wordWrap w:val="0"/>
              <w:overflowPunct/>
              <w:topLinePunct w:val="0"/>
              <w:bidi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485" w:type="pct"/>
            <w:vAlign w:val="center"/>
          </w:tcPr>
          <w:p w14:paraId="4CBF2032">
            <w:pPr>
              <w:keepNext w:val="0"/>
              <w:keepLines w:val="0"/>
              <w:pageBreakBefore w:val="0"/>
              <w:suppressLineNumbers w:val="0"/>
              <w:kinsoku/>
              <w:wordWrap w:val="0"/>
              <w:overflowPunct/>
              <w:topLinePunct w:val="0"/>
              <w:bidi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制造商</w:t>
            </w:r>
          </w:p>
        </w:tc>
        <w:tc>
          <w:tcPr>
            <w:tcW w:w="526" w:type="pct"/>
            <w:vAlign w:val="center"/>
          </w:tcPr>
          <w:p w14:paraId="4C21F221">
            <w:pPr>
              <w:keepNext w:val="0"/>
              <w:keepLines w:val="0"/>
              <w:pageBreakBefore w:val="0"/>
              <w:suppressLineNumbers w:val="0"/>
              <w:kinsoku/>
              <w:wordWrap w:val="0"/>
              <w:overflowPunct/>
              <w:topLinePunct w:val="0"/>
              <w:bidi w:val="0"/>
              <w:spacing w:before="0" w:beforeAutospacing="0" w:after="0" w:afterAutospacing="0"/>
              <w:ind w:left="0" w:right="0" w:firstLine="0" w:firstLineChars="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品牌</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p>
        </w:tc>
        <w:tc>
          <w:tcPr>
            <w:tcW w:w="526" w:type="pct"/>
            <w:vAlign w:val="center"/>
          </w:tcPr>
          <w:p w14:paraId="653900E2">
            <w:pPr>
              <w:keepNext w:val="0"/>
              <w:keepLines w:val="0"/>
              <w:pageBreakBefore w:val="0"/>
              <w:suppressLineNumbers w:val="0"/>
              <w:kinsoku/>
              <w:wordWrap w:val="0"/>
              <w:overflowPunct/>
              <w:topLinePunct w:val="0"/>
              <w:bidi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38" w:type="pct"/>
            <w:vAlign w:val="center"/>
          </w:tcPr>
          <w:p w14:paraId="46330ED9">
            <w:pPr>
              <w:keepNext w:val="0"/>
              <w:keepLines w:val="0"/>
              <w:pageBreakBefore w:val="0"/>
              <w:suppressLineNumbers w:val="0"/>
              <w:kinsoku/>
              <w:wordWrap w:val="0"/>
              <w:overflowPunct/>
              <w:topLinePunct w:val="0"/>
              <w:bidi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438" w:type="pct"/>
            <w:vAlign w:val="center"/>
          </w:tcPr>
          <w:p w14:paraId="6EB97338">
            <w:pPr>
              <w:keepNext w:val="0"/>
              <w:keepLines w:val="0"/>
              <w:pageBreakBefore w:val="0"/>
              <w:suppressLineNumbers w:val="0"/>
              <w:kinsoku/>
              <w:wordWrap w:val="0"/>
              <w:overflowPunct/>
              <w:topLinePunct w:val="0"/>
              <w:bidi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526" w:type="pct"/>
            <w:vAlign w:val="center"/>
          </w:tcPr>
          <w:p w14:paraId="409F5813">
            <w:pPr>
              <w:keepNext w:val="0"/>
              <w:keepLines w:val="0"/>
              <w:pageBreakBefore w:val="0"/>
              <w:suppressLineNumbers w:val="0"/>
              <w:kinsoku/>
              <w:wordWrap w:val="0"/>
              <w:overflowPunct/>
              <w:topLinePunct w:val="0"/>
              <w:bidi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466" w:type="pct"/>
            <w:vAlign w:val="center"/>
          </w:tcPr>
          <w:p w14:paraId="4727E9D9">
            <w:pPr>
              <w:keepNext w:val="0"/>
              <w:keepLines w:val="0"/>
              <w:pageBreakBefore w:val="0"/>
              <w:suppressLineNumbers w:val="0"/>
              <w:kinsoku/>
              <w:wordWrap w:val="0"/>
              <w:overflowPunct/>
              <w:topLinePunct w:val="0"/>
              <w:bidi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EA7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403" w:type="pct"/>
            <w:vAlign w:val="center"/>
          </w:tcPr>
          <w:p w14:paraId="57CFCB73">
            <w:pPr>
              <w:keepNext w:val="0"/>
              <w:keepLines w:val="0"/>
              <w:pageBreakBefore w:val="0"/>
              <w:suppressLineNumbers w:val="0"/>
              <w:kinsoku/>
              <w:wordWrap w:val="0"/>
              <w:overflowPunct/>
              <w:topLinePunct w:val="0"/>
              <w:bidi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61" w:type="pct"/>
            <w:vAlign w:val="center"/>
          </w:tcPr>
          <w:p w14:paraId="2333D30F">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625" w:type="pct"/>
            <w:vAlign w:val="center"/>
          </w:tcPr>
          <w:p w14:paraId="17958CE8">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485" w:type="pct"/>
            <w:vAlign w:val="center"/>
          </w:tcPr>
          <w:p w14:paraId="2EA67B3B">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526" w:type="pct"/>
            <w:vAlign w:val="center"/>
          </w:tcPr>
          <w:p w14:paraId="3CB9DE97">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526" w:type="pct"/>
            <w:vAlign w:val="center"/>
          </w:tcPr>
          <w:p w14:paraId="5F778AAF">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438" w:type="pct"/>
            <w:vAlign w:val="center"/>
          </w:tcPr>
          <w:p w14:paraId="52C07024">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438" w:type="pct"/>
            <w:vAlign w:val="center"/>
          </w:tcPr>
          <w:p w14:paraId="24D9BA20">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526" w:type="pct"/>
            <w:vAlign w:val="center"/>
          </w:tcPr>
          <w:p w14:paraId="1F92A62D">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466" w:type="pct"/>
            <w:vAlign w:val="center"/>
          </w:tcPr>
          <w:p w14:paraId="34CCD74B">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r>
      <w:tr w14:paraId="3895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03" w:type="pct"/>
            <w:vAlign w:val="center"/>
          </w:tcPr>
          <w:p w14:paraId="373E2CF2">
            <w:pPr>
              <w:keepNext w:val="0"/>
              <w:keepLines w:val="0"/>
              <w:pageBreakBefore w:val="0"/>
              <w:suppressLineNumbers w:val="0"/>
              <w:kinsoku/>
              <w:wordWrap w:val="0"/>
              <w:overflowPunct/>
              <w:topLinePunct w:val="0"/>
              <w:bidi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561" w:type="pct"/>
            <w:vAlign w:val="center"/>
          </w:tcPr>
          <w:p w14:paraId="5EFB375C">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625" w:type="pct"/>
            <w:vAlign w:val="center"/>
          </w:tcPr>
          <w:p w14:paraId="57D70441">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485" w:type="pct"/>
            <w:vAlign w:val="center"/>
          </w:tcPr>
          <w:p w14:paraId="272743EC">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526" w:type="pct"/>
            <w:vAlign w:val="center"/>
          </w:tcPr>
          <w:p w14:paraId="31C5A4D7">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526" w:type="pct"/>
            <w:vAlign w:val="center"/>
          </w:tcPr>
          <w:p w14:paraId="2584365F">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438" w:type="pct"/>
            <w:vAlign w:val="center"/>
          </w:tcPr>
          <w:p w14:paraId="18EE1999">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438" w:type="pct"/>
            <w:vAlign w:val="center"/>
          </w:tcPr>
          <w:p w14:paraId="3BC8CE22">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526" w:type="pct"/>
            <w:vAlign w:val="center"/>
          </w:tcPr>
          <w:p w14:paraId="46049E60">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466" w:type="pct"/>
            <w:vAlign w:val="center"/>
          </w:tcPr>
          <w:p w14:paraId="13E84CE4">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r>
      <w:tr w14:paraId="09D7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403" w:type="pct"/>
            <w:vAlign w:val="center"/>
          </w:tcPr>
          <w:p w14:paraId="58525409">
            <w:pPr>
              <w:keepNext w:val="0"/>
              <w:keepLines w:val="0"/>
              <w:pageBreakBefore w:val="0"/>
              <w:suppressLineNumbers w:val="0"/>
              <w:kinsoku/>
              <w:wordWrap w:val="0"/>
              <w:overflowPunct/>
              <w:topLinePunct w:val="0"/>
              <w:bidi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561" w:type="pct"/>
            <w:vAlign w:val="center"/>
          </w:tcPr>
          <w:p w14:paraId="7D81A3D1">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625" w:type="pct"/>
            <w:vAlign w:val="center"/>
          </w:tcPr>
          <w:p w14:paraId="6E3BC4BA">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485" w:type="pct"/>
            <w:vAlign w:val="center"/>
          </w:tcPr>
          <w:p w14:paraId="10E6D069">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526" w:type="pct"/>
            <w:vAlign w:val="center"/>
          </w:tcPr>
          <w:p w14:paraId="1AD57DDF">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526" w:type="pct"/>
            <w:vAlign w:val="center"/>
          </w:tcPr>
          <w:p w14:paraId="614EF0BF">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438" w:type="pct"/>
            <w:vAlign w:val="center"/>
          </w:tcPr>
          <w:p w14:paraId="58BC6638">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438" w:type="pct"/>
            <w:vAlign w:val="center"/>
          </w:tcPr>
          <w:p w14:paraId="3AF27238">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526" w:type="pct"/>
            <w:vAlign w:val="center"/>
          </w:tcPr>
          <w:p w14:paraId="649A64E8">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466" w:type="pct"/>
            <w:vAlign w:val="center"/>
          </w:tcPr>
          <w:p w14:paraId="624E2327">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r>
      <w:tr w14:paraId="44EC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403" w:type="pct"/>
            <w:vAlign w:val="center"/>
          </w:tcPr>
          <w:p w14:paraId="3C072984">
            <w:pPr>
              <w:keepNext w:val="0"/>
              <w:keepLines w:val="0"/>
              <w:pageBreakBefore w:val="0"/>
              <w:suppressLineNumbers w:val="0"/>
              <w:kinsoku/>
              <w:wordWrap w:val="0"/>
              <w:overflowPunct/>
              <w:topLinePunct w:val="0"/>
              <w:bidi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561" w:type="pct"/>
            <w:vAlign w:val="center"/>
          </w:tcPr>
          <w:p w14:paraId="36745EB3">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625" w:type="pct"/>
            <w:vAlign w:val="center"/>
          </w:tcPr>
          <w:p w14:paraId="2AFF7CCF">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485" w:type="pct"/>
            <w:vAlign w:val="center"/>
          </w:tcPr>
          <w:p w14:paraId="26FE6A6D">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526" w:type="pct"/>
            <w:vAlign w:val="center"/>
          </w:tcPr>
          <w:p w14:paraId="78899266">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526" w:type="pct"/>
            <w:vAlign w:val="center"/>
          </w:tcPr>
          <w:p w14:paraId="71676FD7">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438" w:type="pct"/>
            <w:vAlign w:val="center"/>
          </w:tcPr>
          <w:p w14:paraId="33F3B8D5">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438" w:type="pct"/>
            <w:vAlign w:val="center"/>
          </w:tcPr>
          <w:p w14:paraId="2C4E8222">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526" w:type="pct"/>
            <w:vAlign w:val="center"/>
          </w:tcPr>
          <w:p w14:paraId="0EACFB74">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466" w:type="pct"/>
            <w:vAlign w:val="center"/>
          </w:tcPr>
          <w:p w14:paraId="177BEEB0">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r>
      <w:tr w14:paraId="1569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03" w:type="pct"/>
            <w:vAlign w:val="center"/>
          </w:tcPr>
          <w:p w14:paraId="66E90691">
            <w:pPr>
              <w:keepNext w:val="0"/>
              <w:keepLines w:val="0"/>
              <w:pageBreakBefore w:val="0"/>
              <w:suppressLineNumbers w:val="0"/>
              <w:kinsoku/>
              <w:wordWrap w:val="0"/>
              <w:overflowPunct/>
              <w:topLinePunct w:val="0"/>
              <w:bidi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561" w:type="pct"/>
            <w:vAlign w:val="center"/>
          </w:tcPr>
          <w:p w14:paraId="22B13286">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625" w:type="pct"/>
            <w:vAlign w:val="center"/>
          </w:tcPr>
          <w:p w14:paraId="2B105353">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485" w:type="pct"/>
            <w:vAlign w:val="center"/>
          </w:tcPr>
          <w:p w14:paraId="4DD533C9">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526" w:type="pct"/>
            <w:vAlign w:val="center"/>
          </w:tcPr>
          <w:p w14:paraId="03113253">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526" w:type="pct"/>
            <w:vAlign w:val="center"/>
          </w:tcPr>
          <w:p w14:paraId="5491E24E">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438" w:type="pct"/>
            <w:vAlign w:val="center"/>
          </w:tcPr>
          <w:p w14:paraId="078CBA78">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438" w:type="pct"/>
            <w:vAlign w:val="center"/>
          </w:tcPr>
          <w:p w14:paraId="0B5400F5">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526" w:type="pct"/>
            <w:vAlign w:val="center"/>
          </w:tcPr>
          <w:p w14:paraId="47062F3B">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466" w:type="pct"/>
            <w:vAlign w:val="center"/>
          </w:tcPr>
          <w:p w14:paraId="5FE71ADE">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r>
      <w:tr w14:paraId="5CAB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403" w:type="pct"/>
            <w:vAlign w:val="center"/>
          </w:tcPr>
          <w:p w14:paraId="2471452E">
            <w:pPr>
              <w:keepNext w:val="0"/>
              <w:keepLines w:val="0"/>
              <w:pageBreakBefore w:val="0"/>
              <w:suppressLineNumbers w:val="0"/>
              <w:kinsoku/>
              <w:wordWrap w:val="0"/>
              <w:overflowPunct/>
              <w:topLinePunct w:val="0"/>
              <w:bidi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561" w:type="pct"/>
          </w:tcPr>
          <w:p w14:paraId="2913024F">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625" w:type="pct"/>
          </w:tcPr>
          <w:p w14:paraId="1AF1E75B">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485" w:type="pct"/>
          </w:tcPr>
          <w:p w14:paraId="28C5D869">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526" w:type="pct"/>
          </w:tcPr>
          <w:p w14:paraId="73CF0027">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526" w:type="pct"/>
          </w:tcPr>
          <w:p w14:paraId="1BF66C66">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438" w:type="pct"/>
          </w:tcPr>
          <w:p w14:paraId="2467EC7F">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438" w:type="pct"/>
          </w:tcPr>
          <w:p w14:paraId="6CE2F89A">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526" w:type="pct"/>
          </w:tcPr>
          <w:p w14:paraId="0A521F3E">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466" w:type="pct"/>
          </w:tcPr>
          <w:p w14:paraId="76A77153">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r>
      <w:tr w14:paraId="6571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568" w:type="pct"/>
            <w:gridSpan w:val="7"/>
            <w:vAlign w:val="center"/>
          </w:tcPr>
          <w:p w14:paraId="37E944C1">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    计</w:t>
            </w:r>
          </w:p>
        </w:tc>
        <w:tc>
          <w:tcPr>
            <w:tcW w:w="438" w:type="pct"/>
          </w:tcPr>
          <w:p w14:paraId="1D943AE6">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526" w:type="pct"/>
          </w:tcPr>
          <w:p w14:paraId="426115BA">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c>
          <w:tcPr>
            <w:tcW w:w="466" w:type="pct"/>
          </w:tcPr>
          <w:p w14:paraId="3B3955C1">
            <w:pPr>
              <w:keepNext w:val="0"/>
              <w:keepLines w:val="0"/>
              <w:pageBreakBefore w:val="0"/>
              <w:suppressLineNumbers w:val="0"/>
              <w:kinsoku/>
              <w:wordWrap w:val="0"/>
              <w:overflowPunct/>
              <w:topLinePunct w:val="0"/>
              <w:bidi w:val="0"/>
              <w:spacing w:before="0" w:beforeAutospacing="0" w:after="0" w:afterAutospacing="0"/>
              <w:ind w:left="0" w:right="0" w:firstLine="420"/>
              <w:jc w:val="center"/>
              <w:rPr>
                <w:rFonts w:hint="eastAsia" w:ascii="宋体" w:hAnsi="宋体" w:eastAsia="宋体" w:cs="宋体"/>
                <w:color w:val="auto"/>
                <w:szCs w:val="21"/>
                <w:highlight w:val="none"/>
              </w:rPr>
            </w:pPr>
          </w:p>
        </w:tc>
      </w:tr>
    </w:tbl>
    <w:p w14:paraId="303C632B">
      <w:pPr>
        <w:pageBreakBefore w:val="0"/>
        <w:kinsoku/>
        <w:wordWrap w:val="0"/>
        <w:overflowPunct/>
        <w:topLinePunct w:val="0"/>
        <w:bidi w:val="0"/>
        <w:spacing w:line="336"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注：该表格仅供参考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投标人可根据需要自行扩展。</w:t>
      </w:r>
    </w:p>
    <w:p w14:paraId="684AB218">
      <w:pPr>
        <w:pageBreakBefore w:val="0"/>
        <w:kinsoku/>
        <w:wordWrap w:val="0"/>
        <w:overflowPunct/>
        <w:topLinePunct w:val="0"/>
        <w:bidi w:val="0"/>
        <w:spacing w:line="312" w:lineRule="auto"/>
        <w:ind w:firstLine="480"/>
        <w:rPr>
          <w:rFonts w:hint="eastAsia" w:ascii="宋体" w:hAnsi="宋体" w:eastAsia="宋体" w:cs="宋体"/>
          <w:color w:val="auto"/>
          <w:sz w:val="24"/>
          <w:highlight w:val="none"/>
        </w:rPr>
      </w:pPr>
    </w:p>
    <w:p w14:paraId="5C7339BA">
      <w:pPr>
        <w:pageBreakBefore w:val="0"/>
        <w:kinsoku/>
        <w:wordWrap w:val="0"/>
        <w:overflowPunct/>
        <w:bidi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供应商法定代表人或其授权委托人(电子签名或盖章)</w:t>
      </w:r>
      <w:r>
        <w:rPr>
          <w:rFonts w:hint="eastAsia" w:ascii="宋体" w:hAnsi="宋体" w:eastAsia="宋体" w:cs="宋体"/>
          <w:color w:val="auto"/>
          <w:szCs w:val="21"/>
          <w:highlight w:val="none"/>
          <w:u w:val="single"/>
        </w:rPr>
        <w:t xml:space="preserve">                  </w:t>
      </w:r>
    </w:p>
    <w:p w14:paraId="45515F0E">
      <w:pPr>
        <w:pageBreakBefore w:val="0"/>
        <w:kinsoku/>
        <w:wordWrap w:val="0"/>
        <w:overflowPunct/>
        <w:bidi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供应商(单位电子签章)：</w:t>
      </w:r>
      <w:r>
        <w:rPr>
          <w:rFonts w:hint="eastAsia" w:ascii="宋体" w:hAnsi="宋体" w:eastAsia="宋体" w:cs="宋体"/>
          <w:color w:val="auto"/>
          <w:szCs w:val="21"/>
          <w:highlight w:val="none"/>
          <w:u w:val="single"/>
        </w:rPr>
        <w:t xml:space="preserve">                  </w:t>
      </w:r>
    </w:p>
    <w:p w14:paraId="2075D280">
      <w:pPr>
        <w:pageBreakBefore w:val="0"/>
        <w:kinsoku/>
        <w:wordWrap/>
        <w:overflowPunct/>
        <w:topLinePunct w:val="0"/>
        <w:bidi w:val="0"/>
        <w:spacing w:line="312" w:lineRule="auto"/>
        <w:ind w:left="0" w:leftChars="0" w:firstLine="4838" w:firstLineChars="23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2DCBBC2">
      <w:pPr>
        <w:pStyle w:val="50"/>
        <w:pageBreakBefore w:val="0"/>
        <w:kinsoku/>
        <w:wordWrap w:val="0"/>
        <w:overflowPunct/>
        <w:topLinePunct w:val="0"/>
        <w:bidi w:val="0"/>
        <w:ind w:firstLine="0" w:firstLineChars="0"/>
        <w:rPr>
          <w:rFonts w:hint="eastAsia" w:ascii="宋体" w:hAnsi="宋体" w:eastAsia="宋体" w:cs="宋体"/>
          <w:color w:val="auto"/>
          <w:highlight w:val="none"/>
        </w:rPr>
      </w:pPr>
    </w:p>
    <w:p w14:paraId="0F535481">
      <w:pPr>
        <w:pageBreakBefore w:val="0"/>
        <w:kinsoku/>
        <w:wordWrap w:val="0"/>
        <w:overflowPunct/>
        <w:topLinePunct w:val="0"/>
        <w:bidi w:val="0"/>
        <w:spacing w:line="360" w:lineRule="exact"/>
        <w:ind w:firstLine="0" w:firstLineChars="0"/>
        <w:outlineLvl w:val="1"/>
        <w:rPr>
          <w:rFonts w:hint="eastAsia" w:ascii="宋体" w:hAnsi="宋体" w:eastAsia="宋体" w:cs="宋体"/>
          <w:b/>
          <w:color w:val="auto"/>
          <w:sz w:val="24"/>
          <w:szCs w:val="24"/>
          <w:highlight w:val="none"/>
        </w:rPr>
      </w:pPr>
      <w:bookmarkStart w:id="951" w:name="_Toc29376"/>
    </w:p>
    <w:p w14:paraId="4014D539">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08A79B85">
      <w:pPr>
        <w:pageBreakBefore w:val="0"/>
        <w:numPr>
          <w:ilvl w:val="0"/>
          <w:numId w:val="6"/>
        </w:numPr>
        <w:kinsoku/>
        <w:wordWrap w:val="0"/>
        <w:overflowPunct/>
        <w:topLinePunct w:val="0"/>
        <w:bidi w:val="0"/>
        <w:spacing w:line="360" w:lineRule="exact"/>
        <w:ind w:firstLine="482"/>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小型、微型（监狱、残疾人福利性单位）企业产品明细表</w:t>
      </w:r>
      <w:bookmarkEnd w:id="951"/>
    </w:p>
    <w:p w14:paraId="15E5E367">
      <w:pPr>
        <w:pageBreakBefore w:val="0"/>
        <w:kinsoku/>
        <w:wordWrap w:val="0"/>
        <w:overflowPunct/>
        <w:topLinePunct w:val="0"/>
        <w:bidi w:val="0"/>
        <w:ind w:firstLine="0" w:firstLineChars="0"/>
        <w:rPr>
          <w:rFonts w:hint="eastAsia" w:ascii="宋体" w:hAnsi="宋体" w:eastAsia="宋体" w:cs="宋体"/>
          <w:color w:val="auto"/>
          <w:highlight w:val="none"/>
        </w:rPr>
      </w:pPr>
    </w:p>
    <w:tbl>
      <w:tblPr>
        <w:tblStyle w:val="52"/>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750"/>
        <w:gridCol w:w="1626"/>
        <w:gridCol w:w="1290"/>
        <w:gridCol w:w="1817"/>
        <w:gridCol w:w="805"/>
        <w:gridCol w:w="780"/>
        <w:gridCol w:w="756"/>
      </w:tblGrid>
      <w:tr w14:paraId="521C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539" w:type="dxa"/>
            <w:vMerge w:val="restart"/>
            <w:vAlign w:val="center"/>
          </w:tcPr>
          <w:p w14:paraId="64167947">
            <w:pPr>
              <w:pStyle w:val="344"/>
              <w:keepNext w:val="0"/>
              <w:keepLines w:val="0"/>
              <w:pageBreakBefore w:val="0"/>
              <w:suppressLineNumbers w:val="0"/>
              <w:tabs>
                <w:tab w:val="left" w:pos="1260"/>
              </w:tabs>
              <w:kinsoku/>
              <w:wordWrap w:val="0"/>
              <w:overflowPunct/>
              <w:topLinePunct w:val="0"/>
              <w:bidi w:val="0"/>
              <w:spacing w:before="156" w:beforeAutospacing="0" w:after="156" w:afterAutospacing="0" w:line="400" w:lineRule="exact"/>
              <w:ind w:left="0" w:right="0"/>
              <w:jc w:val="center"/>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中小企业扶持政策</w:t>
            </w:r>
          </w:p>
        </w:tc>
        <w:tc>
          <w:tcPr>
            <w:tcW w:w="8824" w:type="dxa"/>
            <w:gridSpan w:val="7"/>
            <w:vAlign w:val="center"/>
          </w:tcPr>
          <w:p w14:paraId="720A8D5D">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如属所列情形的，请在括号内打“√”：</w:t>
            </w:r>
          </w:p>
          <w:p w14:paraId="481F7BCF">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）小型、微型企业投标且提供本企业制造的产品。</w:t>
            </w:r>
          </w:p>
          <w:p w14:paraId="704F74C0">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）小微企业投标且提供其他小型、微型企业产品的，请填写下表内容：</w:t>
            </w:r>
          </w:p>
        </w:tc>
      </w:tr>
      <w:tr w14:paraId="28A4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539" w:type="dxa"/>
            <w:vMerge w:val="continue"/>
            <w:vAlign w:val="center"/>
          </w:tcPr>
          <w:p w14:paraId="5D430965">
            <w:pPr>
              <w:pStyle w:val="344"/>
              <w:keepNext w:val="0"/>
              <w:keepLines w:val="0"/>
              <w:pageBreakBefore w:val="0"/>
              <w:suppressLineNumbers w:val="0"/>
              <w:tabs>
                <w:tab w:val="left" w:pos="1260"/>
              </w:tabs>
              <w:kinsoku/>
              <w:wordWrap w:val="0"/>
              <w:overflowPunct/>
              <w:topLinePunct w:val="0"/>
              <w:bidi w:val="0"/>
              <w:spacing w:before="156" w:beforeAutospacing="0" w:after="156" w:afterAutospacing="0" w:line="400" w:lineRule="exact"/>
              <w:ind w:left="0" w:right="0"/>
              <w:jc w:val="center"/>
              <w:rPr>
                <w:rFonts w:hint="eastAsia" w:ascii="宋体" w:hAnsi="宋体" w:eastAsia="宋体" w:cs="宋体"/>
                <w:color w:val="auto"/>
                <w:szCs w:val="21"/>
                <w:highlight w:val="none"/>
                <w:lang w:val="en-GB"/>
              </w:rPr>
            </w:pPr>
          </w:p>
        </w:tc>
        <w:tc>
          <w:tcPr>
            <w:tcW w:w="1750" w:type="dxa"/>
            <w:vAlign w:val="center"/>
          </w:tcPr>
          <w:p w14:paraId="4A87A5C5">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货物名称</w:t>
            </w:r>
          </w:p>
        </w:tc>
        <w:tc>
          <w:tcPr>
            <w:tcW w:w="1626" w:type="dxa"/>
            <w:vAlign w:val="center"/>
          </w:tcPr>
          <w:p w14:paraId="1E274E93">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品牌</w:t>
            </w:r>
            <w:r>
              <w:rPr>
                <w:rFonts w:hint="eastAsia" w:ascii="宋体" w:hAnsi="宋体" w:eastAsia="宋体" w:cs="宋体"/>
                <w:color w:val="auto"/>
                <w:szCs w:val="21"/>
                <w:highlight w:val="none"/>
              </w:rPr>
              <w:t>/规格</w:t>
            </w:r>
            <w:r>
              <w:rPr>
                <w:rFonts w:hint="eastAsia" w:ascii="宋体" w:hAnsi="宋体" w:eastAsia="宋体" w:cs="宋体"/>
                <w:color w:val="auto"/>
                <w:szCs w:val="21"/>
                <w:highlight w:val="none"/>
                <w:lang w:val="en-GB"/>
              </w:rPr>
              <w:t>型号</w:t>
            </w:r>
          </w:p>
        </w:tc>
        <w:tc>
          <w:tcPr>
            <w:tcW w:w="1290" w:type="dxa"/>
            <w:vAlign w:val="center"/>
          </w:tcPr>
          <w:p w14:paraId="4C507FC8">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制造商</w:t>
            </w:r>
          </w:p>
        </w:tc>
        <w:tc>
          <w:tcPr>
            <w:tcW w:w="1817" w:type="dxa"/>
            <w:vAlign w:val="center"/>
          </w:tcPr>
          <w:p w14:paraId="1FF6A522">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制造商企业类型</w:t>
            </w:r>
          </w:p>
        </w:tc>
        <w:tc>
          <w:tcPr>
            <w:tcW w:w="805" w:type="dxa"/>
            <w:vAlign w:val="center"/>
          </w:tcPr>
          <w:p w14:paraId="64EC8A7A">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数量</w:t>
            </w:r>
          </w:p>
        </w:tc>
        <w:tc>
          <w:tcPr>
            <w:tcW w:w="780" w:type="dxa"/>
            <w:vAlign w:val="center"/>
          </w:tcPr>
          <w:p w14:paraId="09B430EC">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单价</w:t>
            </w:r>
          </w:p>
        </w:tc>
        <w:tc>
          <w:tcPr>
            <w:tcW w:w="756" w:type="dxa"/>
            <w:vAlign w:val="center"/>
          </w:tcPr>
          <w:p w14:paraId="768556F2">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金额</w:t>
            </w:r>
          </w:p>
        </w:tc>
      </w:tr>
      <w:tr w14:paraId="0ECC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9" w:type="dxa"/>
            <w:vMerge w:val="continue"/>
            <w:vAlign w:val="center"/>
          </w:tcPr>
          <w:p w14:paraId="6CF4744F">
            <w:pPr>
              <w:pStyle w:val="344"/>
              <w:keepNext w:val="0"/>
              <w:keepLines w:val="0"/>
              <w:pageBreakBefore w:val="0"/>
              <w:suppressLineNumbers w:val="0"/>
              <w:tabs>
                <w:tab w:val="left" w:pos="1260"/>
              </w:tabs>
              <w:kinsoku/>
              <w:wordWrap w:val="0"/>
              <w:overflowPunct/>
              <w:topLinePunct w:val="0"/>
              <w:bidi w:val="0"/>
              <w:spacing w:before="156" w:beforeAutospacing="0" w:after="156" w:afterAutospacing="0" w:line="400" w:lineRule="exact"/>
              <w:ind w:left="0" w:right="0"/>
              <w:jc w:val="center"/>
              <w:rPr>
                <w:rFonts w:hint="eastAsia" w:ascii="宋体" w:hAnsi="宋体" w:eastAsia="宋体" w:cs="宋体"/>
                <w:color w:val="auto"/>
                <w:szCs w:val="21"/>
                <w:highlight w:val="none"/>
                <w:lang w:val="en-GB"/>
              </w:rPr>
            </w:pPr>
          </w:p>
        </w:tc>
        <w:tc>
          <w:tcPr>
            <w:tcW w:w="1750" w:type="dxa"/>
            <w:vAlign w:val="center"/>
          </w:tcPr>
          <w:p w14:paraId="2C1EDAE6">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p>
        </w:tc>
        <w:tc>
          <w:tcPr>
            <w:tcW w:w="1626" w:type="dxa"/>
            <w:vAlign w:val="center"/>
          </w:tcPr>
          <w:p w14:paraId="61153C0F">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p>
        </w:tc>
        <w:tc>
          <w:tcPr>
            <w:tcW w:w="1290" w:type="dxa"/>
            <w:vAlign w:val="center"/>
          </w:tcPr>
          <w:p w14:paraId="2CBE5630">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p>
        </w:tc>
        <w:tc>
          <w:tcPr>
            <w:tcW w:w="1817" w:type="dxa"/>
            <w:vAlign w:val="center"/>
          </w:tcPr>
          <w:p w14:paraId="1053A83A">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p>
        </w:tc>
        <w:tc>
          <w:tcPr>
            <w:tcW w:w="805" w:type="dxa"/>
            <w:vAlign w:val="center"/>
          </w:tcPr>
          <w:p w14:paraId="17DBE3FD">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p>
        </w:tc>
        <w:tc>
          <w:tcPr>
            <w:tcW w:w="780" w:type="dxa"/>
            <w:vAlign w:val="center"/>
          </w:tcPr>
          <w:p w14:paraId="05DB70D5">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p>
        </w:tc>
        <w:tc>
          <w:tcPr>
            <w:tcW w:w="756" w:type="dxa"/>
            <w:vAlign w:val="center"/>
          </w:tcPr>
          <w:p w14:paraId="68C36006">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p>
        </w:tc>
      </w:tr>
      <w:tr w14:paraId="7F24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9" w:type="dxa"/>
            <w:vMerge w:val="continue"/>
            <w:vAlign w:val="center"/>
          </w:tcPr>
          <w:p w14:paraId="672505A4">
            <w:pPr>
              <w:pStyle w:val="344"/>
              <w:keepNext w:val="0"/>
              <w:keepLines w:val="0"/>
              <w:pageBreakBefore w:val="0"/>
              <w:suppressLineNumbers w:val="0"/>
              <w:tabs>
                <w:tab w:val="left" w:pos="1260"/>
              </w:tabs>
              <w:kinsoku/>
              <w:wordWrap w:val="0"/>
              <w:overflowPunct/>
              <w:topLinePunct w:val="0"/>
              <w:bidi w:val="0"/>
              <w:spacing w:before="156" w:beforeAutospacing="0" w:after="156" w:afterAutospacing="0" w:line="400" w:lineRule="exact"/>
              <w:ind w:left="0" w:right="0"/>
              <w:jc w:val="center"/>
              <w:rPr>
                <w:rFonts w:hint="eastAsia" w:ascii="宋体" w:hAnsi="宋体" w:eastAsia="宋体" w:cs="宋体"/>
                <w:color w:val="auto"/>
                <w:szCs w:val="21"/>
                <w:highlight w:val="none"/>
                <w:lang w:val="en-GB"/>
              </w:rPr>
            </w:pPr>
          </w:p>
        </w:tc>
        <w:tc>
          <w:tcPr>
            <w:tcW w:w="1750" w:type="dxa"/>
            <w:vAlign w:val="center"/>
          </w:tcPr>
          <w:p w14:paraId="22F18AF2">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p>
        </w:tc>
        <w:tc>
          <w:tcPr>
            <w:tcW w:w="1626" w:type="dxa"/>
            <w:vAlign w:val="center"/>
          </w:tcPr>
          <w:p w14:paraId="083D90B5">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p>
        </w:tc>
        <w:tc>
          <w:tcPr>
            <w:tcW w:w="1290" w:type="dxa"/>
            <w:vAlign w:val="center"/>
          </w:tcPr>
          <w:p w14:paraId="26466776">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p>
        </w:tc>
        <w:tc>
          <w:tcPr>
            <w:tcW w:w="1817" w:type="dxa"/>
            <w:vAlign w:val="center"/>
          </w:tcPr>
          <w:p w14:paraId="13FD38BB">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p>
        </w:tc>
        <w:tc>
          <w:tcPr>
            <w:tcW w:w="805" w:type="dxa"/>
            <w:vAlign w:val="center"/>
          </w:tcPr>
          <w:p w14:paraId="5ECF07D0">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p>
        </w:tc>
        <w:tc>
          <w:tcPr>
            <w:tcW w:w="780" w:type="dxa"/>
            <w:vAlign w:val="center"/>
          </w:tcPr>
          <w:p w14:paraId="2F2C3A1A">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p>
        </w:tc>
        <w:tc>
          <w:tcPr>
            <w:tcW w:w="756" w:type="dxa"/>
            <w:vAlign w:val="center"/>
          </w:tcPr>
          <w:p w14:paraId="169ABBEC">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p>
        </w:tc>
      </w:tr>
      <w:tr w14:paraId="449A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9" w:type="dxa"/>
            <w:vMerge w:val="continue"/>
            <w:vAlign w:val="center"/>
          </w:tcPr>
          <w:p w14:paraId="167B49BE">
            <w:pPr>
              <w:pStyle w:val="344"/>
              <w:keepNext w:val="0"/>
              <w:keepLines w:val="0"/>
              <w:pageBreakBefore w:val="0"/>
              <w:suppressLineNumbers w:val="0"/>
              <w:tabs>
                <w:tab w:val="left" w:pos="1260"/>
              </w:tabs>
              <w:kinsoku/>
              <w:wordWrap w:val="0"/>
              <w:overflowPunct/>
              <w:topLinePunct w:val="0"/>
              <w:bidi w:val="0"/>
              <w:spacing w:before="156" w:beforeAutospacing="0" w:after="156" w:afterAutospacing="0" w:line="400" w:lineRule="exact"/>
              <w:ind w:left="0" w:right="0"/>
              <w:jc w:val="center"/>
              <w:rPr>
                <w:rFonts w:hint="eastAsia" w:ascii="宋体" w:hAnsi="宋体" w:eastAsia="宋体" w:cs="宋体"/>
                <w:color w:val="auto"/>
                <w:szCs w:val="21"/>
                <w:highlight w:val="none"/>
                <w:lang w:val="en-GB"/>
              </w:rPr>
            </w:pPr>
          </w:p>
        </w:tc>
        <w:tc>
          <w:tcPr>
            <w:tcW w:w="1750" w:type="dxa"/>
            <w:vAlign w:val="center"/>
          </w:tcPr>
          <w:p w14:paraId="1FEB7C5B">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p>
        </w:tc>
        <w:tc>
          <w:tcPr>
            <w:tcW w:w="1626" w:type="dxa"/>
            <w:vAlign w:val="center"/>
          </w:tcPr>
          <w:p w14:paraId="1754F91B">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p>
        </w:tc>
        <w:tc>
          <w:tcPr>
            <w:tcW w:w="1290" w:type="dxa"/>
            <w:vAlign w:val="center"/>
          </w:tcPr>
          <w:p w14:paraId="38925F58">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p>
        </w:tc>
        <w:tc>
          <w:tcPr>
            <w:tcW w:w="1817" w:type="dxa"/>
            <w:vAlign w:val="center"/>
          </w:tcPr>
          <w:p w14:paraId="41EF8FA9">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p>
        </w:tc>
        <w:tc>
          <w:tcPr>
            <w:tcW w:w="805" w:type="dxa"/>
            <w:vAlign w:val="center"/>
          </w:tcPr>
          <w:p w14:paraId="4F4C0DD9">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p>
        </w:tc>
        <w:tc>
          <w:tcPr>
            <w:tcW w:w="780" w:type="dxa"/>
            <w:vAlign w:val="center"/>
          </w:tcPr>
          <w:p w14:paraId="07A49265">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p>
        </w:tc>
        <w:tc>
          <w:tcPr>
            <w:tcW w:w="756" w:type="dxa"/>
            <w:vAlign w:val="center"/>
          </w:tcPr>
          <w:p w14:paraId="31544D13">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p>
        </w:tc>
      </w:tr>
      <w:tr w14:paraId="47E2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9" w:type="dxa"/>
            <w:vMerge w:val="continue"/>
            <w:vAlign w:val="center"/>
          </w:tcPr>
          <w:p w14:paraId="5E43E579">
            <w:pPr>
              <w:pStyle w:val="344"/>
              <w:keepNext w:val="0"/>
              <w:keepLines w:val="0"/>
              <w:pageBreakBefore w:val="0"/>
              <w:suppressLineNumbers w:val="0"/>
              <w:tabs>
                <w:tab w:val="left" w:pos="1260"/>
              </w:tabs>
              <w:kinsoku/>
              <w:wordWrap w:val="0"/>
              <w:overflowPunct/>
              <w:topLinePunct w:val="0"/>
              <w:bidi w:val="0"/>
              <w:spacing w:before="156" w:beforeAutospacing="0" w:after="156" w:afterAutospacing="0" w:line="400" w:lineRule="exact"/>
              <w:ind w:left="0" w:right="0"/>
              <w:jc w:val="center"/>
              <w:rPr>
                <w:rFonts w:hint="eastAsia" w:ascii="宋体" w:hAnsi="宋体" w:eastAsia="宋体" w:cs="宋体"/>
                <w:color w:val="auto"/>
                <w:szCs w:val="21"/>
                <w:highlight w:val="none"/>
                <w:lang w:val="en-GB"/>
              </w:rPr>
            </w:pPr>
          </w:p>
        </w:tc>
        <w:tc>
          <w:tcPr>
            <w:tcW w:w="1750" w:type="dxa"/>
            <w:vAlign w:val="center"/>
          </w:tcPr>
          <w:p w14:paraId="29869955">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p>
        </w:tc>
        <w:tc>
          <w:tcPr>
            <w:tcW w:w="1626" w:type="dxa"/>
            <w:vAlign w:val="center"/>
          </w:tcPr>
          <w:p w14:paraId="2895AAFC">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p>
        </w:tc>
        <w:tc>
          <w:tcPr>
            <w:tcW w:w="1290" w:type="dxa"/>
            <w:vAlign w:val="center"/>
          </w:tcPr>
          <w:p w14:paraId="61CA56F8">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p>
        </w:tc>
        <w:tc>
          <w:tcPr>
            <w:tcW w:w="1817" w:type="dxa"/>
            <w:vAlign w:val="center"/>
          </w:tcPr>
          <w:p w14:paraId="5AD9B443">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p>
        </w:tc>
        <w:tc>
          <w:tcPr>
            <w:tcW w:w="805" w:type="dxa"/>
            <w:vAlign w:val="center"/>
          </w:tcPr>
          <w:p w14:paraId="400F4618">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p>
        </w:tc>
        <w:tc>
          <w:tcPr>
            <w:tcW w:w="780" w:type="dxa"/>
            <w:vAlign w:val="center"/>
          </w:tcPr>
          <w:p w14:paraId="769992FD">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p>
        </w:tc>
        <w:tc>
          <w:tcPr>
            <w:tcW w:w="756" w:type="dxa"/>
            <w:vAlign w:val="center"/>
          </w:tcPr>
          <w:p w14:paraId="22278AB3">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p>
        </w:tc>
      </w:tr>
      <w:tr w14:paraId="455E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39" w:type="dxa"/>
            <w:vMerge w:val="continue"/>
            <w:vAlign w:val="center"/>
          </w:tcPr>
          <w:p w14:paraId="0157E57C">
            <w:pPr>
              <w:pStyle w:val="344"/>
              <w:keepNext w:val="0"/>
              <w:keepLines w:val="0"/>
              <w:pageBreakBefore w:val="0"/>
              <w:suppressLineNumbers w:val="0"/>
              <w:tabs>
                <w:tab w:val="left" w:pos="1260"/>
              </w:tabs>
              <w:kinsoku/>
              <w:wordWrap w:val="0"/>
              <w:overflowPunct/>
              <w:topLinePunct w:val="0"/>
              <w:bidi w:val="0"/>
              <w:spacing w:before="156" w:beforeAutospacing="0" w:after="156" w:afterAutospacing="0" w:line="400" w:lineRule="exact"/>
              <w:ind w:left="0" w:right="0"/>
              <w:jc w:val="center"/>
              <w:rPr>
                <w:rFonts w:hint="eastAsia" w:ascii="宋体" w:hAnsi="宋体" w:eastAsia="宋体" w:cs="宋体"/>
                <w:color w:val="auto"/>
                <w:szCs w:val="21"/>
                <w:highlight w:val="none"/>
                <w:lang w:val="en-GB"/>
              </w:rPr>
            </w:pPr>
          </w:p>
        </w:tc>
        <w:tc>
          <w:tcPr>
            <w:tcW w:w="8068" w:type="dxa"/>
            <w:gridSpan w:val="6"/>
            <w:vAlign w:val="center"/>
          </w:tcPr>
          <w:p w14:paraId="224E134C">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rPr>
              <w:t>小型、微型企业产品</w:t>
            </w:r>
            <w:r>
              <w:rPr>
                <w:rFonts w:hint="eastAsia" w:ascii="宋体" w:hAnsi="宋体" w:eastAsia="宋体" w:cs="宋体"/>
                <w:color w:val="auto"/>
                <w:szCs w:val="21"/>
                <w:highlight w:val="none"/>
                <w:lang w:val="en-GB"/>
              </w:rPr>
              <w:t>合计</w:t>
            </w:r>
          </w:p>
        </w:tc>
        <w:tc>
          <w:tcPr>
            <w:tcW w:w="756" w:type="dxa"/>
            <w:vAlign w:val="center"/>
          </w:tcPr>
          <w:p w14:paraId="74CB6574">
            <w:pPr>
              <w:pStyle w:val="344"/>
              <w:keepNext w:val="0"/>
              <w:keepLines w:val="0"/>
              <w:pageBreakBefore w:val="0"/>
              <w:suppressLineNumbers w:val="0"/>
              <w:tabs>
                <w:tab w:val="left" w:pos="1260"/>
              </w:tabs>
              <w:kinsoku/>
              <w:wordWrap w:val="0"/>
              <w:overflowPunct/>
              <w:topLinePunct w:val="0"/>
              <w:bidi w:val="0"/>
              <w:spacing w:before="40" w:beforeAutospacing="0" w:after="40" w:afterAutospacing="0" w:line="400" w:lineRule="exact"/>
              <w:ind w:left="0" w:right="0"/>
              <w:jc w:val="center"/>
              <w:rPr>
                <w:rFonts w:hint="eastAsia" w:ascii="宋体" w:hAnsi="宋体" w:eastAsia="宋体" w:cs="宋体"/>
                <w:color w:val="auto"/>
                <w:szCs w:val="21"/>
                <w:highlight w:val="none"/>
                <w:lang w:val="en-GB"/>
              </w:rPr>
            </w:pPr>
          </w:p>
        </w:tc>
      </w:tr>
    </w:tbl>
    <w:p w14:paraId="1C1E4235">
      <w:pPr>
        <w:pageBreakBefore w:val="0"/>
        <w:kinsoku/>
        <w:wordWrap w:val="0"/>
        <w:overflowPunct/>
        <w:topLinePunct w:val="0"/>
        <w:bidi w:val="0"/>
        <w:spacing w:line="40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填报要求：</w:t>
      </w:r>
    </w:p>
    <w:p w14:paraId="67AFA852">
      <w:pPr>
        <w:pageBreakBefore w:val="0"/>
        <w:kinsoku/>
        <w:wordWrap w:val="0"/>
        <w:overflowPunct/>
        <w:topLinePunct w:val="0"/>
        <w:bidi w:val="0"/>
        <w:spacing w:line="40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本表的货物名称、规格型号和注册商标、金额应与《货物分项报价一览表》一致。</w:t>
      </w:r>
    </w:p>
    <w:p w14:paraId="294B0572">
      <w:pPr>
        <w:pageBreakBefore w:val="0"/>
        <w:kinsoku/>
        <w:wordWrap w:val="0"/>
        <w:overflowPunct/>
        <w:topLinePunct w:val="0"/>
        <w:bidi w:val="0"/>
        <w:spacing w:line="40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制造商为小型或微型企业时才需要填“制造商企业类型”栏，填写内容为“小型”或“微型”。（监狱企业、残疾人福利企业视同小微企业）</w:t>
      </w:r>
    </w:p>
    <w:p w14:paraId="1434BCDC">
      <w:pPr>
        <w:pageBreakBefore w:val="0"/>
        <w:kinsoku/>
        <w:wordWrap w:val="0"/>
        <w:overflowPunct/>
        <w:topLinePunct w:val="0"/>
        <w:bidi w:val="0"/>
        <w:spacing w:line="40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请投标人正确填写本表，所填内容将作为评审的依据。其内容或数据应与对应的证明资料相符。</w:t>
      </w:r>
    </w:p>
    <w:p w14:paraId="4A70E53C">
      <w:pPr>
        <w:pageBreakBefore w:val="0"/>
        <w:kinsoku/>
        <w:wordWrap w:val="0"/>
        <w:overflowPunct/>
        <w:topLinePunct w:val="0"/>
        <w:bidi w:val="0"/>
        <w:spacing w:line="40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4.如产品较多时，投标人可自行增加表格。没有相关产品可不填此表。</w:t>
      </w:r>
    </w:p>
    <w:p w14:paraId="6798D76C">
      <w:pPr>
        <w:pStyle w:val="15"/>
        <w:pageBreakBefore w:val="0"/>
        <w:kinsoku/>
        <w:wordWrap w:val="0"/>
        <w:overflowPunct/>
        <w:topLinePunct w:val="0"/>
        <w:bidi w:val="0"/>
        <w:spacing w:line="360" w:lineRule="auto"/>
        <w:rPr>
          <w:rFonts w:hint="eastAsia" w:ascii="宋体" w:hAnsi="宋体" w:eastAsia="宋体" w:cs="宋体"/>
          <w:color w:val="auto"/>
          <w:szCs w:val="21"/>
          <w:highlight w:val="none"/>
        </w:rPr>
      </w:pPr>
    </w:p>
    <w:p w14:paraId="0286B0D3">
      <w:pPr>
        <w:pStyle w:val="15"/>
        <w:pageBreakBefore w:val="0"/>
        <w:kinsoku/>
        <w:wordWrap w:val="0"/>
        <w:overflowPunct/>
        <w:topLinePunct w:val="0"/>
        <w:bidi w:val="0"/>
        <w:spacing w:line="360" w:lineRule="auto"/>
        <w:rPr>
          <w:rFonts w:hint="eastAsia" w:ascii="宋体" w:hAnsi="宋体" w:eastAsia="宋体" w:cs="宋体"/>
          <w:color w:val="auto"/>
          <w:szCs w:val="21"/>
          <w:highlight w:val="none"/>
        </w:rPr>
      </w:pPr>
    </w:p>
    <w:p w14:paraId="37AD04D2">
      <w:pPr>
        <w:pageBreakBefore w:val="0"/>
        <w:kinsoku/>
        <w:wordWrap w:val="0"/>
        <w:overflowPunct/>
        <w:bidi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供应商法定代表人或其授权委托人(电子签名或盖章)</w:t>
      </w:r>
      <w:r>
        <w:rPr>
          <w:rFonts w:hint="eastAsia" w:ascii="宋体" w:hAnsi="宋体" w:eastAsia="宋体" w:cs="宋体"/>
          <w:color w:val="auto"/>
          <w:szCs w:val="21"/>
          <w:highlight w:val="none"/>
          <w:u w:val="single"/>
        </w:rPr>
        <w:t xml:space="preserve">                  </w:t>
      </w:r>
    </w:p>
    <w:p w14:paraId="00946ED9">
      <w:pPr>
        <w:pageBreakBefore w:val="0"/>
        <w:kinsoku/>
        <w:wordWrap w:val="0"/>
        <w:overflowPunct/>
        <w:bidi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供应商(单位电子签章)：</w:t>
      </w:r>
      <w:r>
        <w:rPr>
          <w:rFonts w:hint="eastAsia" w:ascii="宋体" w:hAnsi="宋体" w:eastAsia="宋体" w:cs="宋体"/>
          <w:color w:val="auto"/>
          <w:szCs w:val="21"/>
          <w:highlight w:val="none"/>
          <w:u w:val="single"/>
        </w:rPr>
        <w:t xml:space="preserve">                  </w:t>
      </w:r>
    </w:p>
    <w:p w14:paraId="24B5B761">
      <w:pPr>
        <w:pStyle w:val="51"/>
        <w:pageBreakBefore w:val="0"/>
        <w:kinsoku/>
        <w:wordWrap w:val="0"/>
        <w:overflowPunct/>
        <w:bidi w:val="0"/>
        <w:ind w:firstLine="480"/>
        <w:rPr>
          <w:rFonts w:hint="eastAsia" w:ascii="宋体" w:hAnsi="宋体" w:eastAsia="宋体" w:cs="宋体"/>
          <w:color w:val="auto"/>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highlight w:val="none"/>
        </w:rPr>
        <w:br w:type="page"/>
      </w:r>
    </w:p>
    <w:bookmarkEnd w:id="939"/>
    <w:bookmarkEnd w:id="940"/>
    <w:bookmarkEnd w:id="944"/>
    <w:p w14:paraId="7785FC5B">
      <w:pPr>
        <w:pageBreakBefore w:val="0"/>
        <w:kinsoku/>
        <w:wordWrap w:val="0"/>
        <w:overflowPunct/>
        <w:bidi w:val="0"/>
        <w:spacing w:line="420" w:lineRule="exact"/>
        <w:jc w:val="center"/>
        <w:outlineLvl w:val="1"/>
        <w:rPr>
          <w:rFonts w:hint="eastAsia" w:ascii="宋体" w:hAnsi="宋体" w:eastAsia="宋体" w:cs="宋体"/>
          <w:b/>
          <w:bCs/>
          <w:color w:val="auto"/>
          <w:sz w:val="28"/>
          <w:szCs w:val="28"/>
          <w:highlight w:val="none"/>
          <w:lang w:eastAsia="zh-CN"/>
        </w:rPr>
      </w:pPr>
      <w:bookmarkStart w:id="952" w:name="_Toc19918"/>
      <w:bookmarkStart w:id="953" w:name="_Toc28834"/>
      <w:r>
        <w:rPr>
          <w:rFonts w:hint="eastAsia" w:ascii="宋体" w:hAnsi="宋体" w:eastAsia="宋体" w:cs="宋体"/>
          <w:b/>
          <w:bCs/>
          <w:color w:val="auto"/>
          <w:sz w:val="28"/>
          <w:szCs w:val="28"/>
          <w:highlight w:val="none"/>
        </w:rPr>
        <w:t>四、</w:t>
      </w:r>
      <w:bookmarkEnd w:id="952"/>
      <w:bookmarkEnd w:id="953"/>
      <w:r>
        <w:rPr>
          <w:rFonts w:hint="eastAsia" w:ascii="宋体" w:hAnsi="宋体" w:eastAsia="宋体" w:cs="宋体"/>
          <w:b/>
          <w:bCs/>
          <w:color w:val="auto"/>
          <w:sz w:val="28"/>
          <w:szCs w:val="28"/>
          <w:highlight w:val="none"/>
          <w:lang w:eastAsia="zh-CN"/>
        </w:rPr>
        <w:t>综合部分</w:t>
      </w:r>
    </w:p>
    <w:p w14:paraId="24FC6465">
      <w:pPr>
        <w:pageBreakBefore w:val="0"/>
        <w:kinsoku/>
        <w:wordWrap w:val="0"/>
        <w:overflowPunct/>
        <w:bidi w:val="0"/>
        <w:spacing w:line="420" w:lineRule="exact"/>
        <w:jc w:val="center"/>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（内容及格式由供应商自拟）</w:t>
      </w:r>
    </w:p>
    <w:p w14:paraId="54F12C4D">
      <w:pPr>
        <w:pageBreakBefore w:val="0"/>
        <w:kinsoku/>
        <w:wordWrap w:val="0"/>
        <w:overflowPunct/>
        <w:bidi w:val="0"/>
        <w:ind w:firstLine="42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833617B">
      <w:pPr>
        <w:pageBreakBefore w:val="0"/>
        <w:kinsoku/>
        <w:wordWrap w:val="0"/>
        <w:overflowPunct/>
        <w:bidi w:val="0"/>
        <w:spacing w:line="420" w:lineRule="exact"/>
        <w:jc w:val="center"/>
        <w:outlineLvl w:val="1"/>
        <w:rPr>
          <w:rFonts w:hint="eastAsia" w:ascii="宋体" w:hAnsi="宋体" w:eastAsia="宋体" w:cs="宋体"/>
          <w:color w:val="auto"/>
          <w:highlight w:val="none"/>
          <w:lang w:eastAsia="zh-CN"/>
        </w:rPr>
      </w:pPr>
      <w:bookmarkStart w:id="954" w:name="_Toc21182"/>
      <w:bookmarkStart w:id="955" w:name="_Toc2441"/>
      <w:r>
        <w:rPr>
          <w:rFonts w:hint="eastAsia" w:ascii="宋体" w:hAnsi="宋体" w:eastAsia="宋体" w:cs="宋体"/>
          <w:b/>
          <w:bCs/>
          <w:color w:val="auto"/>
          <w:sz w:val="28"/>
          <w:szCs w:val="28"/>
          <w:highlight w:val="none"/>
        </w:rPr>
        <w:t>五、</w:t>
      </w:r>
      <w:bookmarkEnd w:id="954"/>
      <w:bookmarkEnd w:id="955"/>
      <w:r>
        <w:rPr>
          <w:rFonts w:hint="eastAsia" w:ascii="宋体" w:hAnsi="宋体" w:eastAsia="宋体" w:cs="宋体"/>
          <w:b/>
          <w:bCs/>
          <w:color w:val="auto"/>
          <w:sz w:val="28"/>
          <w:szCs w:val="28"/>
          <w:highlight w:val="none"/>
          <w:lang w:eastAsia="zh-CN"/>
        </w:rPr>
        <w:t>技术部分</w:t>
      </w:r>
    </w:p>
    <w:p w14:paraId="000B4212">
      <w:pPr>
        <w:pageBreakBefore w:val="0"/>
        <w:kinsoku/>
        <w:wordWrap w:val="0"/>
        <w:overflowPunct/>
        <w:bidi w:val="0"/>
        <w:spacing w:line="420" w:lineRule="exact"/>
        <w:jc w:val="center"/>
        <w:outlineLvl w:val="1"/>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eastAsia="zh-CN"/>
        </w:rPr>
        <w:t>（</w:t>
      </w:r>
      <w:r>
        <w:rPr>
          <w:rFonts w:hint="eastAsia" w:ascii="宋体" w:hAnsi="宋体" w:eastAsia="宋体" w:cs="宋体"/>
          <w:color w:val="auto"/>
          <w:sz w:val="22"/>
          <w:szCs w:val="28"/>
          <w:highlight w:val="none"/>
          <w:lang w:val="en-US" w:eastAsia="zh-CN"/>
        </w:rPr>
        <w:t>格式自拟）</w:t>
      </w:r>
    </w:p>
    <w:p w14:paraId="16D42F4A">
      <w:pPr>
        <w:pStyle w:val="50"/>
        <w:pageBreakBefore w:val="0"/>
        <w:kinsoku/>
        <w:wordWrap w:val="0"/>
        <w:overflowPunct/>
        <w:topLinePunct w:val="0"/>
        <w:bidi w:val="0"/>
        <w:ind w:left="0" w:leftChars="0" w:firstLine="0" w:firstLineChars="0"/>
        <w:jc w:val="center"/>
        <w:rPr>
          <w:rFonts w:hint="eastAsia" w:ascii="宋体" w:hAnsi="宋体" w:eastAsia="宋体" w:cs="宋体"/>
          <w:b/>
          <w:color w:val="auto"/>
          <w:sz w:val="28"/>
          <w:szCs w:val="28"/>
          <w:highlight w:val="none"/>
          <w:lang w:eastAsia="zh-CN"/>
        </w:rPr>
      </w:pPr>
    </w:p>
    <w:p w14:paraId="503C14FE">
      <w:pPr>
        <w:pageBreakBefore w:val="0"/>
        <w:tabs>
          <w:tab w:val="left" w:pos="926"/>
          <w:tab w:val="left" w:pos="4335"/>
          <w:tab w:val="left" w:pos="7227"/>
        </w:tabs>
        <w:kinsoku/>
        <w:wordWrap w:val="0"/>
        <w:overflowPunct/>
        <w:topLinePunct w:val="0"/>
        <w:bidi w:val="0"/>
        <w:spacing w:line="400" w:lineRule="exact"/>
        <w:ind w:firstLine="420"/>
        <w:jc w:val="lef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包名称</w:t>
      </w:r>
      <w:r>
        <w:rPr>
          <w:rFonts w:hint="eastAsia" w:ascii="宋体" w:hAnsi="宋体" w:eastAsia="宋体" w:cs="宋体"/>
          <w:color w:val="auto"/>
          <w:szCs w:val="21"/>
          <w:highlight w:val="none"/>
        </w:rPr>
        <w:t xml:space="preserve"> ：                                              </w:t>
      </w:r>
    </w:p>
    <w:p w14:paraId="3EE0BE2D">
      <w:pPr>
        <w:pageBreakBefore w:val="0"/>
        <w:tabs>
          <w:tab w:val="left" w:pos="926"/>
          <w:tab w:val="left" w:pos="4335"/>
          <w:tab w:val="left" w:pos="6390"/>
        </w:tabs>
        <w:kinsoku/>
        <w:wordWrap w:val="0"/>
        <w:overflowPunct/>
        <w:topLinePunct w:val="0"/>
        <w:bidi w:val="0"/>
        <w:spacing w:line="400" w:lineRule="exact"/>
        <w:ind w:firstLine="420"/>
        <w:jc w:val="lef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包号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p>
    <w:tbl>
      <w:tblPr>
        <w:tblStyle w:val="52"/>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673"/>
        <w:gridCol w:w="1715"/>
        <w:gridCol w:w="1525"/>
        <w:gridCol w:w="1762"/>
        <w:gridCol w:w="1349"/>
      </w:tblGrid>
      <w:tr w14:paraId="444C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13" w:type="dxa"/>
            <w:vMerge w:val="restart"/>
            <w:vAlign w:val="center"/>
          </w:tcPr>
          <w:p w14:paraId="11CC4D32">
            <w:pPr>
              <w:keepNext w:val="0"/>
              <w:keepLines w:val="0"/>
              <w:pageBreakBefore w:val="0"/>
              <w:suppressLineNumbers w:val="0"/>
              <w:kinsoku/>
              <w:wordWrap w:val="0"/>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73" w:type="dxa"/>
            <w:vMerge w:val="restart"/>
            <w:vAlign w:val="center"/>
          </w:tcPr>
          <w:p w14:paraId="79ADFE4E">
            <w:pPr>
              <w:keepNext w:val="0"/>
              <w:keepLines w:val="0"/>
              <w:pageBreakBefore w:val="0"/>
              <w:suppressLineNumbers w:val="0"/>
              <w:kinsoku/>
              <w:wordWrap w:val="0"/>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3240" w:type="dxa"/>
            <w:gridSpan w:val="2"/>
            <w:vAlign w:val="center"/>
          </w:tcPr>
          <w:p w14:paraId="61BD7784">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技术参数及要求</w:t>
            </w:r>
          </w:p>
        </w:tc>
        <w:tc>
          <w:tcPr>
            <w:tcW w:w="1762" w:type="dxa"/>
            <w:vMerge w:val="restart"/>
            <w:vAlign w:val="center"/>
          </w:tcPr>
          <w:p w14:paraId="7CCA2418">
            <w:pPr>
              <w:keepNext w:val="0"/>
              <w:keepLines w:val="0"/>
              <w:pageBreakBefore w:val="0"/>
              <w:suppressLineNumbers w:val="0"/>
              <w:kinsoku/>
              <w:wordWrap w:val="0"/>
              <w:overflowPunct/>
              <w:topLinePunct w:val="0"/>
              <w:bidi w:val="0"/>
              <w:spacing w:before="0" w:beforeAutospacing="0" w:after="0" w:afterAutospacing="0" w:line="312" w:lineRule="auto"/>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对招标文件偏差</w:t>
            </w:r>
          </w:p>
        </w:tc>
        <w:tc>
          <w:tcPr>
            <w:tcW w:w="1349" w:type="dxa"/>
            <w:vMerge w:val="restart"/>
            <w:vAlign w:val="center"/>
          </w:tcPr>
          <w:p w14:paraId="5DACB835">
            <w:pPr>
              <w:keepNext w:val="0"/>
              <w:keepLines w:val="0"/>
              <w:pageBreakBefore w:val="0"/>
              <w:suppressLineNumbers w:val="0"/>
              <w:kinsoku/>
              <w:wordWrap w:val="0"/>
              <w:overflowPunct/>
              <w:topLinePunct w:val="0"/>
              <w:bidi w:val="0"/>
              <w:spacing w:before="0" w:beforeAutospacing="0" w:after="0" w:afterAutospacing="0" w:line="312" w:lineRule="auto"/>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偏差说明</w:t>
            </w:r>
          </w:p>
        </w:tc>
      </w:tr>
      <w:tr w14:paraId="0B8D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13" w:type="dxa"/>
            <w:vMerge w:val="continue"/>
            <w:vAlign w:val="center"/>
          </w:tcPr>
          <w:p w14:paraId="272B28A7">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c>
          <w:tcPr>
            <w:tcW w:w="1673" w:type="dxa"/>
            <w:vMerge w:val="continue"/>
            <w:vAlign w:val="center"/>
          </w:tcPr>
          <w:p w14:paraId="7EA69A20">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c>
          <w:tcPr>
            <w:tcW w:w="1715" w:type="dxa"/>
            <w:vAlign w:val="center"/>
          </w:tcPr>
          <w:p w14:paraId="7E4AC7D7">
            <w:pPr>
              <w:keepNext w:val="0"/>
              <w:keepLines w:val="0"/>
              <w:pageBreakBefore w:val="0"/>
              <w:suppressLineNumbers w:val="0"/>
              <w:kinsoku/>
              <w:wordWrap w:val="0"/>
              <w:overflowPunct/>
              <w:topLinePunct w:val="0"/>
              <w:bidi w:val="0"/>
              <w:spacing w:before="0" w:beforeAutospacing="0" w:after="0" w:afterAutospacing="0" w:line="312" w:lineRule="auto"/>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招标技术要求</w:t>
            </w:r>
          </w:p>
        </w:tc>
        <w:tc>
          <w:tcPr>
            <w:tcW w:w="1525" w:type="dxa"/>
            <w:vAlign w:val="center"/>
          </w:tcPr>
          <w:p w14:paraId="52089DD4">
            <w:pPr>
              <w:keepNext w:val="0"/>
              <w:keepLines w:val="0"/>
              <w:pageBreakBefore w:val="0"/>
              <w:suppressLineNumbers w:val="0"/>
              <w:kinsoku/>
              <w:wordWrap w:val="0"/>
              <w:overflowPunct/>
              <w:topLinePunct w:val="0"/>
              <w:bidi w:val="0"/>
              <w:spacing w:before="0" w:beforeAutospacing="0" w:after="0" w:afterAutospacing="0" w:line="312" w:lineRule="auto"/>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投标技术指标</w:t>
            </w:r>
          </w:p>
        </w:tc>
        <w:tc>
          <w:tcPr>
            <w:tcW w:w="1762" w:type="dxa"/>
            <w:vMerge w:val="continue"/>
            <w:vAlign w:val="center"/>
          </w:tcPr>
          <w:p w14:paraId="1A272C62">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c>
          <w:tcPr>
            <w:tcW w:w="1349" w:type="dxa"/>
            <w:vMerge w:val="continue"/>
            <w:vAlign w:val="center"/>
          </w:tcPr>
          <w:p w14:paraId="788C1FFB">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r>
      <w:tr w14:paraId="756E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13" w:type="dxa"/>
            <w:vAlign w:val="center"/>
          </w:tcPr>
          <w:p w14:paraId="6DBB91FC">
            <w:pPr>
              <w:keepNext w:val="0"/>
              <w:keepLines w:val="0"/>
              <w:pageBreakBefore w:val="0"/>
              <w:suppressLineNumbers w:val="0"/>
              <w:kinsoku/>
              <w:wordWrap w:val="0"/>
              <w:overflowPunct/>
              <w:topLinePunct w:val="0"/>
              <w:bidi w:val="0"/>
              <w:spacing w:before="0" w:beforeAutospacing="0" w:after="0" w:afterAutospacing="0" w:line="312" w:lineRule="auto"/>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73" w:type="dxa"/>
            <w:vAlign w:val="center"/>
          </w:tcPr>
          <w:p w14:paraId="26A912ED">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c>
          <w:tcPr>
            <w:tcW w:w="1715" w:type="dxa"/>
            <w:vAlign w:val="center"/>
          </w:tcPr>
          <w:p w14:paraId="20C9EFF6">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c>
          <w:tcPr>
            <w:tcW w:w="1525" w:type="dxa"/>
            <w:vAlign w:val="center"/>
          </w:tcPr>
          <w:p w14:paraId="36CDE809">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c>
          <w:tcPr>
            <w:tcW w:w="1762" w:type="dxa"/>
            <w:vAlign w:val="center"/>
          </w:tcPr>
          <w:p w14:paraId="065E735F">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c>
          <w:tcPr>
            <w:tcW w:w="1349" w:type="dxa"/>
            <w:vAlign w:val="center"/>
          </w:tcPr>
          <w:p w14:paraId="02C6A12E">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r>
      <w:tr w14:paraId="1632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13" w:type="dxa"/>
            <w:vAlign w:val="center"/>
          </w:tcPr>
          <w:p w14:paraId="45A792A4">
            <w:pPr>
              <w:keepNext w:val="0"/>
              <w:keepLines w:val="0"/>
              <w:pageBreakBefore w:val="0"/>
              <w:suppressLineNumbers w:val="0"/>
              <w:kinsoku/>
              <w:wordWrap w:val="0"/>
              <w:overflowPunct/>
              <w:topLinePunct w:val="0"/>
              <w:bidi w:val="0"/>
              <w:spacing w:before="0" w:beforeAutospacing="0" w:after="0" w:afterAutospacing="0" w:line="312" w:lineRule="auto"/>
              <w:ind w:left="0" w:right="0" w:firstLine="0" w:firstLineChars="0"/>
              <w:jc w:val="center"/>
              <w:rPr>
                <w:rFonts w:hint="eastAsia" w:ascii="宋体" w:hAnsi="宋体" w:eastAsia="宋体" w:cs="宋体"/>
                <w:color w:val="auto"/>
                <w:szCs w:val="21"/>
                <w:highlight w:val="none"/>
              </w:rPr>
            </w:pPr>
          </w:p>
        </w:tc>
        <w:tc>
          <w:tcPr>
            <w:tcW w:w="1673" w:type="dxa"/>
            <w:vAlign w:val="center"/>
          </w:tcPr>
          <w:p w14:paraId="66FD1C1A">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c>
          <w:tcPr>
            <w:tcW w:w="1715" w:type="dxa"/>
            <w:vAlign w:val="center"/>
          </w:tcPr>
          <w:p w14:paraId="7299F132">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c>
          <w:tcPr>
            <w:tcW w:w="1525" w:type="dxa"/>
            <w:vAlign w:val="center"/>
          </w:tcPr>
          <w:p w14:paraId="5EE7911C">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c>
          <w:tcPr>
            <w:tcW w:w="1762" w:type="dxa"/>
            <w:vAlign w:val="center"/>
          </w:tcPr>
          <w:p w14:paraId="72AFB11D">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c>
          <w:tcPr>
            <w:tcW w:w="1349" w:type="dxa"/>
            <w:vAlign w:val="center"/>
          </w:tcPr>
          <w:p w14:paraId="0D0D7608">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r>
      <w:tr w14:paraId="4607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13" w:type="dxa"/>
            <w:vAlign w:val="center"/>
          </w:tcPr>
          <w:p w14:paraId="4CA5709F">
            <w:pPr>
              <w:keepNext w:val="0"/>
              <w:keepLines w:val="0"/>
              <w:pageBreakBefore w:val="0"/>
              <w:suppressLineNumbers w:val="0"/>
              <w:kinsoku/>
              <w:wordWrap w:val="0"/>
              <w:overflowPunct/>
              <w:topLinePunct w:val="0"/>
              <w:bidi w:val="0"/>
              <w:spacing w:before="0" w:beforeAutospacing="0" w:after="0" w:afterAutospacing="0" w:line="312" w:lineRule="auto"/>
              <w:ind w:left="0" w:right="0" w:firstLine="0" w:firstLineChars="0"/>
              <w:jc w:val="center"/>
              <w:rPr>
                <w:rFonts w:hint="eastAsia" w:ascii="宋体" w:hAnsi="宋体" w:eastAsia="宋体" w:cs="宋体"/>
                <w:color w:val="auto"/>
                <w:szCs w:val="21"/>
                <w:highlight w:val="none"/>
              </w:rPr>
            </w:pPr>
          </w:p>
        </w:tc>
        <w:tc>
          <w:tcPr>
            <w:tcW w:w="1673" w:type="dxa"/>
            <w:vAlign w:val="center"/>
          </w:tcPr>
          <w:p w14:paraId="3173D36A">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c>
          <w:tcPr>
            <w:tcW w:w="1715" w:type="dxa"/>
            <w:vAlign w:val="center"/>
          </w:tcPr>
          <w:p w14:paraId="0F9C69A1">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c>
          <w:tcPr>
            <w:tcW w:w="1525" w:type="dxa"/>
            <w:vAlign w:val="center"/>
          </w:tcPr>
          <w:p w14:paraId="2BD0084D">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c>
          <w:tcPr>
            <w:tcW w:w="1762" w:type="dxa"/>
            <w:vAlign w:val="center"/>
          </w:tcPr>
          <w:p w14:paraId="71E4C1E5">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c>
          <w:tcPr>
            <w:tcW w:w="1349" w:type="dxa"/>
            <w:vAlign w:val="center"/>
          </w:tcPr>
          <w:p w14:paraId="4BABD75C">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r>
      <w:tr w14:paraId="6A33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13" w:type="dxa"/>
            <w:vAlign w:val="center"/>
          </w:tcPr>
          <w:p w14:paraId="1BB7F502">
            <w:pPr>
              <w:keepNext w:val="0"/>
              <w:keepLines w:val="0"/>
              <w:pageBreakBefore w:val="0"/>
              <w:suppressLineNumbers w:val="0"/>
              <w:kinsoku/>
              <w:wordWrap w:val="0"/>
              <w:overflowPunct/>
              <w:topLinePunct w:val="0"/>
              <w:bidi w:val="0"/>
              <w:spacing w:before="0" w:beforeAutospacing="0" w:after="0" w:afterAutospacing="0" w:line="312" w:lineRule="auto"/>
              <w:ind w:left="0" w:right="0" w:firstLine="0" w:firstLineChars="0"/>
              <w:jc w:val="center"/>
              <w:rPr>
                <w:rFonts w:hint="eastAsia" w:ascii="宋体" w:hAnsi="宋体" w:eastAsia="宋体" w:cs="宋体"/>
                <w:color w:val="auto"/>
                <w:szCs w:val="21"/>
                <w:highlight w:val="none"/>
              </w:rPr>
            </w:pPr>
          </w:p>
        </w:tc>
        <w:tc>
          <w:tcPr>
            <w:tcW w:w="1673" w:type="dxa"/>
            <w:vAlign w:val="center"/>
          </w:tcPr>
          <w:p w14:paraId="0A6547F0">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c>
          <w:tcPr>
            <w:tcW w:w="1715" w:type="dxa"/>
            <w:vAlign w:val="center"/>
          </w:tcPr>
          <w:p w14:paraId="3C9D972B">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c>
          <w:tcPr>
            <w:tcW w:w="1525" w:type="dxa"/>
            <w:vAlign w:val="center"/>
          </w:tcPr>
          <w:p w14:paraId="634C8761">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c>
          <w:tcPr>
            <w:tcW w:w="1762" w:type="dxa"/>
            <w:vAlign w:val="center"/>
          </w:tcPr>
          <w:p w14:paraId="376AE7BA">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c>
          <w:tcPr>
            <w:tcW w:w="1349" w:type="dxa"/>
            <w:vAlign w:val="center"/>
          </w:tcPr>
          <w:p w14:paraId="19D3A550">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r>
      <w:tr w14:paraId="23BC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13" w:type="dxa"/>
            <w:vAlign w:val="center"/>
          </w:tcPr>
          <w:p w14:paraId="2EF01434">
            <w:pPr>
              <w:keepNext w:val="0"/>
              <w:keepLines w:val="0"/>
              <w:pageBreakBefore w:val="0"/>
              <w:suppressLineNumbers w:val="0"/>
              <w:kinsoku/>
              <w:wordWrap w:val="0"/>
              <w:overflowPunct/>
              <w:topLinePunct w:val="0"/>
              <w:bidi w:val="0"/>
              <w:spacing w:before="0" w:beforeAutospacing="0" w:after="0" w:afterAutospacing="0" w:line="312" w:lineRule="auto"/>
              <w:ind w:left="0" w:right="0" w:firstLine="0" w:firstLineChars="0"/>
              <w:jc w:val="center"/>
              <w:rPr>
                <w:rFonts w:hint="eastAsia" w:ascii="宋体" w:hAnsi="宋体" w:eastAsia="宋体" w:cs="宋体"/>
                <w:color w:val="auto"/>
                <w:szCs w:val="21"/>
                <w:highlight w:val="none"/>
              </w:rPr>
            </w:pPr>
          </w:p>
        </w:tc>
        <w:tc>
          <w:tcPr>
            <w:tcW w:w="1673" w:type="dxa"/>
            <w:vAlign w:val="center"/>
          </w:tcPr>
          <w:p w14:paraId="0C5829EE">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c>
          <w:tcPr>
            <w:tcW w:w="1715" w:type="dxa"/>
            <w:vAlign w:val="center"/>
          </w:tcPr>
          <w:p w14:paraId="31126A75">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c>
          <w:tcPr>
            <w:tcW w:w="1525" w:type="dxa"/>
            <w:vAlign w:val="center"/>
          </w:tcPr>
          <w:p w14:paraId="4740F814">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c>
          <w:tcPr>
            <w:tcW w:w="1762" w:type="dxa"/>
            <w:vAlign w:val="center"/>
          </w:tcPr>
          <w:p w14:paraId="1CB407E8">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c>
          <w:tcPr>
            <w:tcW w:w="1349" w:type="dxa"/>
            <w:vAlign w:val="center"/>
          </w:tcPr>
          <w:p w14:paraId="4515143D">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r>
      <w:tr w14:paraId="4512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13" w:type="dxa"/>
            <w:vAlign w:val="center"/>
          </w:tcPr>
          <w:p w14:paraId="14CD1E61">
            <w:pPr>
              <w:keepNext w:val="0"/>
              <w:keepLines w:val="0"/>
              <w:pageBreakBefore w:val="0"/>
              <w:suppressLineNumbers w:val="0"/>
              <w:kinsoku/>
              <w:wordWrap w:val="0"/>
              <w:overflowPunct/>
              <w:topLinePunct w:val="0"/>
              <w:bidi w:val="0"/>
              <w:spacing w:before="0" w:beforeAutospacing="0" w:after="0" w:afterAutospacing="0" w:line="312" w:lineRule="auto"/>
              <w:ind w:left="0" w:right="0" w:firstLine="0" w:firstLineChars="0"/>
              <w:jc w:val="center"/>
              <w:rPr>
                <w:rFonts w:hint="eastAsia" w:ascii="宋体" w:hAnsi="宋体" w:eastAsia="宋体" w:cs="宋体"/>
                <w:color w:val="auto"/>
                <w:szCs w:val="21"/>
                <w:highlight w:val="none"/>
              </w:rPr>
            </w:pPr>
          </w:p>
        </w:tc>
        <w:tc>
          <w:tcPr>
            <w:tcW w:w="1673" w:type="dxa"/>
            <w:vAlign w:val="center"/>
          </w:tcPr>
          <w:p w14:paraId="04CB6720">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c>
          <w:tcPr>
            <w:tcW w:w="1715" w:type="dxa"/>
            <w:vAlign w:val="center"/>
          </w:tcPr>
          <w:p w14:paraId="430F4BA3">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c>
          <w:tcPr>
            <w:tcW w:w="1525" w:type="dxa"/>
            <w:vAlign w:val="center"/>
          </w:tcPr>
          <w:p w14:paraId="5F0B5B4D">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c>
          <w:tcPr>
            <w:tcW w:w="1762" w:type="dxa"/>
            <w:vAlign w:val="center"/>
          </w:tcPr>
          <w:p w14:paraId="3B48B81B">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c>
          <w:tcPr>
            <w:tcW w:w="1349" w:type="dxa"/>
            <w:vAlign w:val="center"/>
          </w:tcPr>
          <w:p w14:paraId="72FE2C14">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szCs w:val="21"/>
                <w:highlight w:val="none"/>
              </w:rPr>
            </w:pPr>
          </w:p>
        </w:tc>
      </w:tr>
      <w:tr w14:paraId="65DD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913" w:type="dxa"/>
            <w:vAlign w:val="center"/>
          </w:tcPr>
          <w:p w14:paraId="115646FE">
            <w:pPr>
              <w:keepNext w:val="0"/>
              <w:keepLines w:val="0"/>
              <w:pageBreakBefore w:val="0"/>
              <w:suppressLineNumbers w:val="0"/>
              <w:kinsoku/>
              <w:wordWrap w:val="0"/>
              <w:overflowPunct/>
              <w:topLinePunct w:val="0"/>
              <w:bidi w:val="0"/>
              <w:spacing w:before="0" w:beforeAutospacing="0" w:after="0" w:afterAutospacing="0" w:line="312" w:lineRule="auto"/>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73" w:type="dxa"/>
            <w:vAlign w:val="center"/>
          </w:tcPr>
          <w:p w14:paraId="02FCF369">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highlight w:val="none"/>
              </w:rPr>
            </w:pPr>
          </w:p>
        </w:tc>
        <w:tc>
          <w:tcPr>
            <w:tcW w:w="1715" w:type="dxa"/>
            <w:vAlign w:val="center"/>
          </w:tcPr>
          <w:p w14:paraId="1421FB36">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highlight w:val="none"/>
              </w:rPr>
            </w:pPr>
          </w:p>
        </w:tc>
        <w:tc>
          <w:tcPr>
            <w:tcW w:w="1525" w:type="dxa"/>
            <w:vAlign w:val="center"/>
          </w:tcPr>
          <w:p w14:paraId="27A6C6ED">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highlight w:val="none"/>
              </w:rPr>
            </w:pPr>
          </w:p>
        </w:tc>
        <w:tc>
          <w:tcPr>
            <w:tcW w:w="1762" w:type="dxa"/>
            <w:vAlign w:val="center"/>
          </w:tcPr>
          <w:p w14:paraId="3A3A5957">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highlight w:val="none"/>
              </w:rPr>
            </w:pPr>
          </w:p>
        </w:tc>
        <w:tc>
          <w:tcPr>
            <w:tcW w:w="1349" w:type="dxa"/>
            <w:vAlign w:val="center"/>
          </w:tcPr>
          <w:p w14:paraId="4CD6AC75">
            <w:pPr>
              <w:keepNext w:val="0"/>
              <w:keepLines w:val="0"/>
              <w:pageBreakBefore w:val="0"/>
              <w:suppressLineNumbers w:val="0"/>
              <w:kinsoku/>
              <w:wordWrap w:val="0"/>
              <w:overflowPunct/>
              <w:topLinePunct w:val="0"/>
              <w:bidi w:val="0"/>
              <w:spacing w:before="0" w:beforeAutospacing="0" w:after="0" w:afterAutospacing="0" w:line="312" w:lineRule="auto"/>
              <w:ind w:left="0" w:right="0" w:firstLine="420"/>
              <w:jc w:val="center"/>
              <w:rPr>
                <w:rFonts w:hint="eastAsia" w:ascii="宋体" w:hAnsi="宋体" w:eastAsia="宋体" w:cs="宋体"/>
                <w:color w:val="auto"/>
                <w:highlight w:val="none"/>
              </w:rPr>
            </w:pPr>
          </w:p>
        </w:tc>
      </w:tr>
    </w:tbl>
    <w:p w14:paraId="3DD0CAD3">
      <w:pPr>
        <w:pageBreakBefore w:val="0"/>
        <w:kinsoku/>
        <w:wordWrap w:val="0"/>
        <w:overflowPunct/>
        <w:topLinePunct w:val="0"/>
        <w:bidi w:val="0"/>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A28ADD8">
      <w:pPr>
        <w:pageBreakBefore w:val="0"/>
        <w:kinsoku/>
        <w:wordWrap w:val="0"/>
        <w:overflowPunct/>
        <w:topLinePunct w:val="0"/>
        <w:bidi w:val="0"/>
        <w:spacing w:line="400" w:lineRule="exact"/>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注：投标人应按招标文件</w:t>
      </w:r>
      <w:r>
        <w:rPr>
          <w:rFonts w:hint="eastAsia" w:ascii="宋体" w:hAnsi="宋体" w:cs="宋体"/>
          <w:color w:val="auto"/>
          <w:szCs w:val="21"/>
          <w:highlight w:val="none"/>
          <w:lang w:val="en-US" w:eastAsia="zh-CN"/>
        </w:rPr>
        <w:t>第五章采购需求</w:t>
      </w:r>
      <w:r>
        <w:rPr>
          <w:rFonts w:hint="eastAsia" w:ascii="宋体" w:hAnsi="宋体" w:eastAsia="宋体" w:cs="宋体"/>
          <w:color w:val="auto"/>
          <w:szCs w:val="21"/>
          <w:highlight w:val="none"/>
        </w:rPr>
        <w:t>中的</w:t>
      </w:r>
      <w:r>
        <w:rPr>
          <w:rFonts w:hint="eastAsia"/>
          <w:lang w:val="en-US" w:eastAsia="zh-CN"/>
        </w:rPr>
        <w:t>技术参数要求</w:t>
      </w:r>
      <w:r>
        <w:rPr>
          <w:rFonts w:hint="eastAsia" w:ascii="宋体" w:hAnsi="宋体" w:eastAsia="宋体" w:cs="宋体"/>
          <w:color w:val="auto"/>
          <w:szCs w:val="21"/>
          <w:highlight w:val="none"/>
        </w:rPr>
        <w:t>，根据投报产品进行相应响应，投标人必须根据所投产品的实际情况如实填写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偏差情况填写“负偏差”或“正偏差”或“无偏差”</w:t>
      </w:r>
      <w:r>
        <w:rPr>
          <w:rFonts w:hint="eastAsia" w:ascii="宋体" w:hAnsi="宋体" w:cs="宋体"/>
          <w:color w:val="auto"/>
          <w:szCs w:val="21"/>
          <w:highlight w:val="none"/>
          <w:lang w:eastAsia="zh-CN"/>
        </w:rPr>
        <w:t>。</w:t>
      </w:r>
    </w:p>
    <w:p w14:paraId="5B30690A">
      <w:pPr>
        <w:pStyle w:val="23"/>
        <w:rPr>
          <w:rFonts w:hint="default"/>
          <w:color w:val="auto"/>
          <w:highlight w:val="none"/>
          <w:lang w:val="en-US" w:eastAsia="zh-CN"/>
        </w:rPr>
      </w:pPr>
      <w:r>
        <w:rPr>
          <w:rFonts w:hint="eastAsia" w:ascii="宋体" w:hAnsi="宋体" w:cs="宋体"/>
          <w:color w:val="auto"/>
          <w:szCs w:val="21"/>
          <w:highlight w:val="none"/>
          <w:lang w:val="en-US" w:eastAsia="zh-CN"/>
        </w:rPr>
        <w:t xml:space="preserve">  </w:t>
      </w:r>
    </w:p>
    <w:p w14:paraId="757576CE">
      <w:pPr>
        <w:pageBreakBefore w:val="0"/>
        <w:kinsoku/>
        <w:wordWrap w:val="0"/>
        <w:overflowPunct/>
        <w:bidi w:val="0"/>
        <w:spacing w:line="420" w:lineRule="exact"/>
        <w:rPr>
          <w:rFonts w:hint="eastAsia" w:ascii="宋体" w:hAnsi="宋体" w:eastAsia="宋体" w:cs="宋体"/>
          <w:color w:val="auto"/>
          <w:szCs w:val="21"/>
          <w:highlight w:val="none"/>
        </w:rPr>
      </w:pPr>
    </w:p>
    <w:p w14:paraId="56CB5B45">
      <w:pPr>
        <w:pageBreakBefore w:val="0"/>
        <w:kinsoku/>
        <w:wordWrap w:val="0"/>
        <w:overflowPunct/>
        <w:bidi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供应商法定代表人或其授权委托人(电子签名或盖章)</w:t>
      </w:r>
      <w:r>
        <w:rPr>
          <w:rFonts w:hint="eastAsia" w:ascii="宋体" w:hAnsi="宋体" w:eastAsia="宋体" w:cs="宋体"/>
          <w:color w:val="auto"/>
          <w:szCs w:val="21"/>
          <w:highlight w:val="none"/>
          <w:u w:val="single"/>
        </w:rPr>
        <w:t xml:space="preserve">                  </w:t>
      </w:r>
    </w:p>
    <w:p w14:paraId="701F4455">
      <w:pPr>
        <w:pageBreakBefore w:val="0"/>
        <w:kinsoku/>
        <w:wordWrap w:val="0"/>
        <w:overflowPunct/>
        <w:bidi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供应商(单位电子签章)：</w:t>
      </w:r>
      <w:r>
        <w:rPr>
          <w:rFonts w:hint="eastAsia" w:ascii="宋体" w:hAnsi="宋体" w:eastAsia="宋体" w:cs="宋体"/>
          <w:color w:val="auto"/>
          <w:szCs w:val="21"/>
          <w:highlight w:val="none"/>
          <w:u w:val="single"/>
        </w:rPr>
        <w:t xml:space="preserve">                  </w:t>
      </w:r>
    </w:p>
    <w:p w14:paraId="6CDBFBA9">
      <w:pPr>
        <w:pageBreakBefore w:val="0"/>
        <w:kinsoku/>
        <w:wordWrap w:val="0"/>
        <w:overflowPunct/>
        <w:topLinePunct w:val="0"/>
        <w:bidi w:val="0"/>
        <w:spacing w:line="400" w:lineRule="exact"/>
        <w:ind w:firstLine="4095" w:firstLineChars="195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EE774DD">
      <w:pPr>
        <w:pageBreakBefore w:val="0"/>
        <w:kinsoku/>
        <w:wordWrap w:val="0"/>
        <w:overflowPunct/>
        <w:bidi w:val="0"/>
        <w:spacing w:line="420" w:lineRule="exact"/>
        <w:jc w:val="center"/>
        <w:outlineLvl w:val="1"/>
        <w:rPr>
          <w:rFonts w:hint="eastAsia" w:ascii="宋体" w:hAnsi="宋体" w:eastAsia="宋体" w:cs="宋体"/>
          <w:b/>
          <w:bCs/>
          <w:color w:val="auto"/>
          <w:sz w:val="28"/>
          <w:szCs w:val="28"/>
          <w:highlight w:val="none"/>
        </w:rPr>
      </w:pPr>
      <w:r>
        <w:rPr>
          <w:rFonts w:hint="eastAsia" w:ascii="宋体" w:hAnsi="宋体" w:eastAsia="宋体" w:cs="宋体"/>
          <w:color w:val="auto"/>
          <w:highlight w:val="none"/>
        </w:rPr>
        <w:br w:type="page"/>
      </w:r>
      <w:bookmarkStart w:id="956" w:name="_Toc2557"/>
      <w:bookmarkStart w:id="957" w:name="_Toc20896"/>
      <w:bookmarkStart w:id="958" w:name="_Toc11835"/>
      <w:bookmarkStart w:id="959" w:name="_Toc410631178"/>
      <w:bookmarkStart w:id="960" w:name="_Toc414445769"/>
      <w:bookmarkStart w:id="961" w:name="_Toc416103819"/>
      <w:bookmarkStart w:id="962" w:name="_Toc143577473"/>
      <w:bookmarkStart w:id="963" w:name="_Toc468781351"/>
      <w:r>
        <w:rPr>
          <w:rFonts w:hint="eastAsia" w:ascii="宋体" w:hAnsi="宋体" w:eastAsia="宋体" w:cs="宋体"/>
          <w:b/>
          <w:bCs/>
          <w:color w:val="auto"/>
          <w:sz w:val="28"/>
          <w:szCs w:val="28"/>
          <w:highlight w:val="none"/>
        </w:rPr>
        <w:t>六、资格证明材料</w:t>
      </w:r>
      <w:bookmarkEnd w:id="956"/>
      <w:bookmarkEnd w:id="957"/>
      <w:bookmarkEnd w:id="958"/>
    </w:p>
    <w:p w14:paraId="2CDE5800">
      <w:pPr>
        <w:pageBreakBefore w:val="0"/>
        <w:kinsoku/>
        <w:wordWrap w:val="0"/>
        <w:overflowPunct/>
        <w:bidi w:val="0"/>
        <w:spacing w:line="420" w:lineRule="exact"/>
        <w:jc w:val="center"/>
        <w:rPr>
          <w:rFonts w:hint="eastAsia" w:ascii="宋体" w:hAnsi="宋体" w:eastAsia="宋体" w:cs="宋体"/>
          <w:b/>
          <w:bCs/>
          <w:color w:val="auto"/>
          <w:sz w:val="28"/>
          <w:szCs w:val="28"/>
          <w:highlight w:val="none"/>
        </w:rPr>
      </w:pPr>
      <w:bookmarkStart w:id="964" w:name="_Toc9513"/>
      <w:bookmarkStart w:id="965" w:name="_Toc456185719"/>
      <w:r>
        <w:rPr>
          <w:rFonts w:hint="eastAsia" w:ascii="宋体" w:hAnsi="宋体" w:eastAsia="宋体" w:cs="宋体"/>
          <w:b/>
          <w:bCs/>
          <w:color w:val="auto"/>
          <w:sz w:val="28"/>
          <w:szCs w:val="28"/>
          <w:highlight w:val="none"/>
        </w:rPr>
        <w:t>供应商基本情况表</w:t>
      </w:r>
      <w:bookmarkEnd w:id="964"/>
      <w:bookmarkEnd w:id="965"/>
    </w:p>
    <w:p w14:paraId="56E29B93">
      <w:pPr>
        <w:pStyle w:val="24"/>
        <w:rPr>
          <w:rFonts w:hint="eastAsia" w:ascii="宋体" w:hAnsi="宋体" w:eastAsia="宋体" w:cs="宋体"/>
          <w:color w:val="auto"/>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884"/>
        <w:gridCol w:w="1007"/>
        <w:gridCol w:w="1260"/>
        <w:gridCol w:w="195"/>
        <w:gridCol w:w="1230"/>
        <w:gridCol w:w="255"/>
        <w:gridCol w:w="699"/>
        <w:gridCol w:w="1403"/>
      </w:tblGrid>
      <w:tr w14:paraId="27F1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noWrap/>
            <w:vAlign w:val="center"/>
          </w:tcPr>
          <w:p w14:paraId="65EFFC94">
            <w:pPr>
              <w:keepNext w:val="0"/>
              <w:keepLines w:val="0"/>
              <w:pageBreakBefore w:val="0"/>
              <w:suppressLineNumbers w:val="0"/>
              <w:kinsoku/>
              <w:wordWrap w:val="0"/>
              <w:overflowPunct/>
              <w:bidi w:val="0"/>
              <w:spacing w:before="0" w:beforeAutospacing="0" w:after="0" w:afterAutospacing="0"/>
              <w:ind w:left="0" w:right="0" w:firstLine="0" w:firstLineChars="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供应商名称</w:t>
            </w:r>
          </w:p>
        </w:tc>
        <w:tc>
          <w:tcPr>
            <w:tcW w:w="6933" w:type="dxa"/>
            <w:gridSpan w:val="8"/>
            <w:noWrap/>
            <w:vAlign w:val="center"/>
          </w:tcPr>
          <w:p w14:paraId="65B49112">
            <w:pPr>
              <w:keepNext w:val="0"/>
              <w:keepLines w:val="0"/>
              <w:pageBreakBefore w:val="0"/>
              <w:suppressLineNumbers w:val="0"/>
              <w:kinsoku/>
              <w:wordWrap w:val="0"/>
              <w:overflowPunct/>
              <w:bidi w:val="0"/>
              <w:spacing w:before="0" w:beforeAutospacing="0" w:after="0" w:afterAutospacing="0"/>
              <w:ind w:left="0" w:right="0" w:firstLine="420"/>
              <w:jc w:val="center"/>
              <w:rPr>
                <w:rFonts w:hint="eastAsia" w:ascii="宋体" w:hAnsi="宋体" w:eastAsia="宋体" w:cs="宋体"/>
                <w:snapToGrid w:val="0"/>
                <w:color w:val="auto"/>
                <w:kern w:val="0"/>
                <w:szCs w:val="21"/>
                <w:highlight w:val="none"/>
              </w:rPr>
            </w:pPr>
          </w:p>
        </w:tc>
      </w:tr>
      <w:tr w14:paraId="668C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noWrap/>
            <w:vAlign w:val="center"/>
          </w:tcPr>
          <w:p w14:paraId="1D672B53">
            <w:pPr>
              <w:keepNext w:val="0"/>
              <w:keepLines w:val="0"/>
              <w:pageBreakBefore w:val="0"/>
              <w:suppressLineNumbers w:val="0"/>
              <w:kinsoku/>
              <w:wordWrap w:val="0"/>
              <w:overflowPunct/>
              <w:bidi w:val="0"/>
              <w:spacing w:before="0" w:beforeAutospacing="0" w:after="0" w:afterAutospacing="0"/>
              <w:ind w:left="0" w:right="0" w:firstLine="0" w:firstLineChars="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注册地址</w:t>
            </w:r>
          </w:p>
        </w:tc>
        <w:tc>
          <w:tcPr>
            <w:tcW w:w="3346" w:type="dxa"/>
            <w:gridSpan w:val="4"/>
            <w:noWrap/>
            <w:vAlign w:val="center"/>
          </w:tcPr>
          <w:p w14:paraId="461591ED">
            <w:pPr>
              <w:keepNext w:val="0"/>
              <w:keepLines w:val="0"/>
              <w:pageBreakBefore w:val="0"/>
              <w:suppressLineNumbers w:val="0"/>
              <w:kinsoku/>
              <w:wordWrap w:val="0"/>
              <w:overflowPunct/>
              <w:bidi w:val="0"/>
              <w:spacing w:before="0" w:beforeAutospacing="0" w:after="0" w:afterAutospacing="0"/>
              <w:ind w:left="0" w:right="0" w:firstLine="420"/>
              <w:jc w:val="center"/>
              <w:rPr>
                <w:rFonts w:hint="eastAsia" w:ascii="宋体" w:hAnsi="宋体" w:eastAsia="宋体" w:cs="宋体"/>
                <w:snapToGrid w:val="0"/>
                <w:color w:val="auto"/>
                <w:kern w:val="0"/>
                <w:szCs w:val="21"/>
                <w:highlight w:val="none"/>
              </w:rPr>
            </w:pPr>
          </w:p>
        </w:tc>
        <w:tc>
          <w:tcPr>
            <w:tcW w:w="1230" w:type="dxa"/>
            <w:noWrap/>
            <w:vAlign w:val="center"/>
          </w:tcPr>
          <w:p w14:paraId="4D90A0C4">
            <w:pPr>
              <w:keepNext w:val="0"/>
              <w:keepLines w:val="0"/>
              <w:pageBreakBefore w:val="0"/>
              <w:suppressLineNumbers w:val="0"/>
              <w:kinsoku/>
              <w:wordWrap w:val="0"/>
              <w:overflowPunct/>
              <w:bidi w:val="0"/>
              <w:spacing w:before="0" w:beforeAutospacing="0" w:after="0" w:afterAutospacing="0"/>
              <w:ind w:left="0" w:right="0" w:firstLine="0" w:firstLineChars="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邮政编码</w:t>
            </w:r>
          </w:p>
        </w:tc>
        <w:tc>
          <w:tcPr>
            <w:tcW w:w="2357" w:type="dxa"/>
            <w:gridSpan w:val="3"/>
            <w:noWrap/>
            <w:vAlign w:val="center"/>
          </w:tcPr>
          <w:p w14:paraId="05848C24">
            <w:pPr>
              <w:keepNext w:val="0"/>
              <w:keepLines w:val="0"/>
              <w:pageBreakBefore w:val="0"/>
              <w:suppressLineNumbers w:val="0"/>
              <w:kinsoku/>
              <w:wordWrap w:val="0"/>
              <w:overflowPunct/>
              <w:bidi w:val="0"/>
              <w:spacing w:before="0" w:beforeAutospacing="0" w:after="0" w:afterAutospacing="0"/>
              <w:ind w:left="0" w:right="0" w:firstLine="420"/>
              <w:jc w:val="center"/>
              <w:rPr>
                <w:rFonts w:hint="eastAsia" w:ascii="宋体" w:hAnsi="宋体" w:eastAsia="宋体" w:cs="宋体"/>
                <w:snapToGrid w:val="0"/>
                <w:color w:val="auto"/>
                <w:kern w:val="0"/>
                <w:szCs w:val="21"/>
                <w:highlight w:val="none"/>
              </w:rPr>
            </w:pPr>
          </w:p>
        </w:tc>
      </w:tr>
      <w:tr w14:paraId="31CC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vMerge w:val="restart"/>
            <w:noWrap/>
            <w:vAlign w:val="center"/>
          </w:tcPr>
          <w:p w14:paraId="32DD57F6">
            <w:pPr>
              <w:keepNext w:val="0"/>
              <w:keepLines w:val="0"/>
              <w:pageBreakBefore w:val="0"/>
              <w:suppressLineNumbers w:val="0"/>
              <w:kinsoku/>
              <w:wordWrap w:val="0"/>
              <w:overflowPunct/>
              <w:bidi w:val="0"/>
              <w:spacing w:before="0" w:beforeAutospacing="0" w:after="0" w:afterAutospacing="0"/>
              <w:ind w:left="0" w:right="0" w:firstLine="0" w:firstLineChars="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联系方式</w:t>
            </w:r>
          </w:p>
        </w:tc>
        <w:tc>
          <w:tcPr>
            <w:tcW w:w="884" w:type="dxa"/>
            <w:noWrap/>
            <w:vAlign w:val="center"/>
          </w:tcPr>
          <w:p w14:paraId="1F1483DF">
            <w:pPr>
              <w:keepNext w:val="0"/>
              <w:keepLines w:val="0"/>
              <w:pageBreakBefore w:val="0"/>
              <w:suppressLineNumbers w:val="0"/>
              <w:kinsoku/>
              <w:wordWrap w:val="0"/>
              <w:overflowPunct/>
              <w:bidi w:val="0"/>
              <w:spacing w:before="0" w:beforeAutospacing="0" w:after="0" w:afterAutospacing="0"/>
              <w:ind w:left="0" w:right="0" w:firstLine="0" w:firstLineChars="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联系人</w:t>
            </w:r>
          </w:p>
        </w:tc>
        <w:tc>
          <w:tcPr>
            <w:tcW w:w="2462" w:type="dxa"/>
            <w:gridSpan w:val="3"/>
            <w:noWrap/>
            <w:vAlign w:val="center"/>
          </w:tcPr>
          <w:p w14:paraId="5FAFAA5A">
            <w:pPr>
              <w:keepNext w:val="0"/>
              <w:keepLines w:val="0"/>
              <w:pageBreakBefore w:val="0"/>
              <w:suppressLineNumbers w:val="0"/>
              <w:kinsoku/>
              <w:wordWrap w:val="0"/>
              <w:overflowPunct/>
              <w:bidi w:val="0"/>
              <w:spacing w:before="0" w:beforeAutospacing="0" w:after="0" w:afterAutospacing="0"/>
              <w:ind w:left="0" w:right="0" w:firstLine="420"/>
              <w:jc w:val="center"/>
              <w:rPr>
                <w:rFonts w:hint="eastAsia" w:ascii="宋体" w:hAnsi="宋体" w:eastAsia="宋体" w:cs="宋体"/>
                <w:snapToGrid w:val="0"/>
                <w:color w:val="auto"/>
                <w:kern w:val="0"/>
                <w:szCs w:val="21"/>
                <w:highlight w:val="none"/>
              </w:rPr>
            </w:pPr>
          </w:p>
        </w:tc>
        <w:tc>
          <w:tcPr>
            <w:tcW w:w="1230" w:type="dxa"/>
            <w:noWrap/>
            <w:vAlign w:val="center"/>
          </w:tcPr>
          <w:p w14:paraId="331D1C13">
            <w:pPr>
              <w:keepNext w:val="0"/>
              <w:keepLines w:val="0"/>
              <w:pageBreakBefore w:val="0"/>
              <w:suppressLineNumbers w:val="0"/>
              <w:kinsoku/>
              <w:wordWrap w:val="0"/>
              <w:overflowPunct/>
              <w:bidi w:val="0"/>
              <w:spacing w:before="0" w:beforeAutospacing="0" w:after="0" w:afterAutospacing="0"/>
              <w:ind w:left="0" w:right="0" w:firstLine="0" w:firstLineChars="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电  话</w:t>
            </w:r>
          </w:p>
        </w:tc>
        <w:tc>
          <w:tcPr>
            <w:tcW w:w="2357" w:type="dxa"/>
            <w:gridSpan w:val="3"/>
            <w:noWrap/>
            <w:vAlign w:val="center"/>
          </w:tcPr>
          <w:p w14:paraId="455FC269">
            <w:pPr>
              <w:keepNext w:val="0"/>
              <w:keepLines w:val="0"/>
              <w:pageBreakBefore w:val="0"/>
              <w:suppressLineNumbers w:val="0"/>
              <w:kinsoku/>
              <w:wordWrap w:val="0"/>
              <w:overflowPunct/>
              <w:bidi w:val="0"/>
              <w:spacing w:before="0" w:beforeAutospacing="0" w:after="0" w:afterAutospacing="0"/>
              <w:ind w:left="0" w:right="0" w:firstLine="420"/>
              <w:jc w:val="center"/>
              <w:rPr>
                <w:rFonts w:hint="eastAsia" w:ascii="宋体" w:hAnsi="宋体" w:eastAsia="宋体" w:cs="宋体"/>
                <w:snapToGrid w:val="0"/>
                <w:color w:val="auto"/>
                <w:kern w:val="0"/>
                <w:szCs w:val="21"/>
                <w:highlight w:val="none"/>
              </w:rPr>
            </w:pPr>
          </w:p>
        </w:tc>
      </w:tr>
      <w:tr w14:paraId="0104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vMerge w:val="continue"/>
            <w:noWrap/>
            <w:vAlign w:val="center"/>
          </w:tcPr>
          <w:p w14:paraId="622214BB">
            <w:pPr>
              <w:keepNext w:val="0"/>
              <w:keepLines w:val="0"/>
              <w:pageBreakBefore w:val="0"/>
              <w:suppressLineNumbers w:val="0"/>
              <w:kinsoku/>
              <w:wordWrap w:val="0"/>
              <w:overflowPunct/>
              <w:bidi w:val="0"/>
              <w:spacing w:before="0" w:beforeAutospacing="0" w:after="0" w:afterAutospacing="0"/>
              <w:ind w:left="0" w:right="0" w:firstLine="420"/>
              <w:jc w:val="center"/>
              <w:rPr>
                <w:rFonts w:hint="eastAsia" w:ascii="宋体" w:hAnsi="宋体" w:eastAsia="宋体" w:cs="宋体"/>
                <w:snapToGrid w:val="0"/>
                <w:color w:val="auto"/>
                <w:kern w:val="0"/>
                <w:szCs w:val="21"/>
                <w:highlight w:val="none"/>
              </w:rPr>
            </w:pPr>
          </w:p>
        </w:tc>
        <w:tc>
          <w:tcPr>
            <w:tcW w:w="884" w:type="dxa"/>
            <w:noWrap/>
            <w:vAlign w:val="center"/>
          </w:tcPr>
          <w:p w14:paraId="35F76905">
            <w:pPr>
              <w:keepNext w:val="0"/>
              <w:keepLines w:val="0"/>
              <w:pageBreakBefore w:val="0"/>
              <w:suppressLineNumbers w:val="0"/>
              <w:kinsoku/>
              <w:wordWrap w:val="0"/>
              <w:overflowPunct/>
              <w:bidi w:val="0"/>
              <w:spacing w:before="0" w:beforeAutospacing="0" w:after="0" w:afterAutospacing="0"/>
              <w:ind w:left="0" w:right="0" w:firstLine="0" w:firstLineChars="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传  真</w:t>
            </w:r>
          </w:p>
        </w:tc>
        <w:tc>
          <w:tcPr>
            <w:tcW w:w="2462" w:type="dxa"/>
            <w:gridSpan w:val="3"/>
            <w:noWrap/>
            <w:vAlign w:val="center"/>
          </w:tcPr>
          <w:p w14:paraId="099FC50B">
            <w:pPr>
              <w:keepNext w:val="0"/>
              <w:keepLines w:val="0"/>
              <w:pageBreakBefore w:val="0"/>
              <w:suppressLineNumbers w:val="0"/>
              <w:kinsoku/>
              <w:wordWrap w:val="0"/>
              <w:overflowPunct/>
              <w:bidi w:val="0"/>
              <w:spacing w:before="0" w:beforeAutospacing="0" w:after="0" w:afterAutospacing="0"/>
              <w:ind w:left="0" w:right="0" w:firstLine="420"/>
              <w:jc w:val="center"/>
              <w:rPr>
                <w:rFonts w:hint="eastAsia" w:ascii="宋体" w:hAnsi="宋体" w:eastAsia="宋体" w:cs="宋体"/>
                <w:snapToGrid w:val="0"/>
                <w:color w:val="auto"/>
                <w:kern w:val="0"/>
                <w:szCs w:val="21"/>
                <w:highlight w:val="none"/>
              </w:rPr>
            </w:pPr>
          </w:p>
        </w:tc>
        <w:tc>
          <w:tcPr>
            <w:tcW w:w="1230" w:type="dxa"/>
            <w:noWrap/>
            <w:vAlign w:val="center"/>
          </w:tcPr>
          <w:p w14:paraId="17837A55">
            <w:pPr>
              <w:keepNext w:val="0"/>
              <w:keepLines w:val="0"/>
              <w:pageBreakBefore w:val="0"/>
              <w:suppressLineNumbers w:val="0"/>
              <w:kinsoku/>
              <w:wordWrap w:val="0"/>
              <w:overflowPunct/>
              <w:bidi w:val="0"/>
              <w:spacing w:before="0" w:beforeAutospacing="0" w:after="0" w:afterAutospacing="0"/>
              <w:ind w:left="0" w:right="0" w:firstLine="0" w:firstLineChars="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网  址</w:t>
            </w:r>
          </w:p>
        </w:tc>
        <w:tc>
          <w:tcPr>
            <w:tcW w:w="2357" w:type="dxa"/>
            <w:gridSpan w:val="3"/>
            <w:noWrap/>
            <w:vAlign w:val="center"/>
          </w:tcPr>
          <w:p w14:paraId="2D980313">
            <w:pPr>
              <w:keepNext w:val="0"/>
              <w:keepLines w:val="0"/>
              <w:pageBreakBefore w:val="0"/>
              <w:suppressLineNumbers w:val="0"/>
              <w:kinsoku/>
              <w:wordWrap w:val="0"/>
              <w:overflowPunct/>
              <w:bidi w:val="0"/>
              <w:spacing w:before="0" w:beforeAutospacing="0" w:after="0" w:afterAutospacing="0"/>
              <w:ind w:left="0" w:right="0" w:firstLine="420"/>
              <w:jc w:val="center"/>
              <w:rPr>
                <w:rFonts w:hint="eastAsia" w:ascii="宋体" w:hAnsi="宋体" w:eastAsia="宋体" w:cs="宋体"/>
                <w:snapToGrid w:val="0"/>
                <w:color w:val="auto"/>
                <w:kern w:val="0"/>
                <w:szCs w:val="21"/>
                <w:highlight w:val="none"/>
              </w:rPr>
            </w:pPr>
          </w:p>
        </w:tc>
      </w:tr>
      <w:tr w14:paraId="1F74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noWrap/>
            <w:vAlign w:val="center"/>
          </w:tcPr>
          <w:p w14:paraId="2A915870">
            <w:pPr>
              <w:keepNext w:val="0"/>
              <w:keepLines w:val="0"/>
              <w:pageBreakBefore w:val="0"/>
              <w:suppressLineNumbers w:val="0"/>
              <w:kinsoku/>
              <w:wordWrap w:val="0"/>
              <w:overflowPunct/>
              <w:bidi w:val="0"/>
              <w:spacing w:before="0" w:beforeAutospacing="0" w:after="0" w:afterAutospacing="0"/>
              <w:ind w:left="0" w:right="0" w:firstLine="0" w:firstLineChars="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组织结构</w:t>
            </w:r>
          </w:p>
        </w:tc>
        <w:tc>
          <w:tcPr>
            <w:tcW w:w="6933" w:type="dxa"/>
            <w:gridSpan w:val="8"/>
            <w:noWrap/>
            <w:vAlign w:val="center"/>
          </w:tcPr>
          <w:p w14:paraId="74E7EBCC">
            <w:pPr>
              <w:keepNext w:val="0"/>
              <w:keepLines w:val="0"/>
              <w:pageBreakBefore w:val="0"/>
              <w:suppressLineNumbers w:val="0"/>
              <w:kinsoku/>
              <w:wordWrap w:val="0"/>
              <w:overflowPunct/>
              <w:bidi w:val="0"/>
              <w:spacing w:before="0" w:beforeAutospacing="0" w:after="0" w:afterAutospacing="0"/>
              <w:ind w:left="0" w:right="0" w:firstLine="420"/>
              <w:jc w:val="center"/>
              <w:rPr>
                <w:rFonts w:hint="eastAsia" w:ascii="宋体" w:hAnsi="宋体" w:eastAsia="宋体" w:cs="宋体"/>
                <w:snapToGrid w:val="0"/>
                <w:color w:val="auto"/>
                <w:kern w:val="0"/>
                <w:szCs w:val="21"/>
                <w:highlight w:val="none"/>
              </w:rPr>
            </w:pPr>
          </w:p>
        </w:tc>
      </w:tr>
      <w:tr w14:paraId="12D2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noWrap/>
            <w:vAlign w:val="center"/>
          </w:tcPr>
          <w:p w14:paraId="3A8A4429">
            <w:pPr>
              <w:keepNext w:val="0"/>
              <w:keepLines w:val="0"/>
              <w:pageBreakBefore w:val="0"/>
              <w:suppressLineNumbers w:val="0"/>
              <w:kinsoku/>
              <w:wordWrap w:val="0"/>
              <w:overflowPunct/>
              <w:bidi w:val="0"/>
              <w:spacing w:before="0" w:beforeAutospacing="0" w:after="0" w:afterAutospacing="0"/>
              <w:ind w:left="0" w:right="0" w:firstLine="0" w:firstLineChars="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w:t>
            </w:r>
          </w:p>
        </w:tc>
        <w:tc>
          <w:tcPr>
            <w:tcW w:w="884" w:type="dxa"/>
            <w:noWrap/>
            <w:vAlign w:val="center"/>
          </w:tcPr>
          <w:p w14:paraId="203A4415">
            <w:pPr>
              <w:keepNext w:val="0"/>
              <w:keepLines w:val="0"/>
              <w:pageBreakBefore w:val="0"/>
              <w:suppressLineNumbers w:val="0"/>
              <w:kinsoku/>
              <w:wordWrap w:val="0"/>
              <w:overflowPunct/>
              <w:bidi w:val="0"/>
              <w:spacing w:before="0" w:beforeAutospacing="0" w:after="0" w:afterAutospacing="0"/>
              <w:ind w:left="0" w:right="0" w:firstLine="0" w:firstLineChars="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姓名</w:t>
            </w:r>
          </w:p>
        </w:tc>
        <w:tc>
          <w:tcPr>
            <w:tcW w:w="1007" w:type="dxa"/>
            <w:noWrap/>
            <w:vAlign w:val="center"/>
          </w:tcPr>
          <w:p w14:paraId="28B17CA5">
            <w:pPr>
              <w:keepNext w:val="0"/>
              <w:keepLines w:val="0"/>
              <w:pageBreakBefore w:val="0"/>
              <w:suppressLineNumbers w:val="0"/>
              <w:kinsoku/>
              <w:wordWrap w:val="0"/>
              <w:overflowPunct/>
              <w:bidi w:val="0"/>
              <w:spacing w:before="0" w:beforeAutospacing="0" w:after="0" w:afterAutospacing="0"/>
              <w:ind w:left="0" w:right="0" w:firstLine="420"/>
              <w:jc w:val="center"/>
              <w:rPr>
                <w:rFonts w:hint="eastAsia" w:ascii="宋体" w:hAnsi="宋体" w:eastAsia="宋体" w:cs="宋体"/>
                <w:snapToGrid w:val="0"/>
                <w:color w:val="auto"/>
                <w:kern w:val="0"/>
                <w:szCs w:val="21"/>
                <w:highlight w:val="none"/>
              </w:rPr>
            </w:pPr>
          </w:p>
        </w:tc>
        <w:tc>
          <w:tcPr>
            <w:tcW w:w="1260" w:type="dxa"/>
            <w:noWrap/>
            <w:vAlign w:val="center"/>
          </w:tcPr>
          <w:p w14:paraId="2DD2D9CA">
            <w:pPr>
              <w:keepNext w:val="0"/>
              <w:keepLines w:val="0"/>
              <w:pageBreakBefore w:val="0"/>
              <w:suppressLineNumbers w:val="0"/>
              <w:kinsoku/>
              <w:wordWrap w:val="0"/>
              <w:overflowPunct/>
              <w:bidi w:val="0"/>
              <w:spacing w:before="0" w:beforeAutospacing="0" w:after="0" w:afterAutospacing="0"/>
              <w:ind w:left="0" w:right="0" w:firstLine="0" w:firstLineChars="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技术职称</w:t>
            </w:r>
          </w:p>
        </w:tc>
        <w:tc>
          <w:tcPr>
            <w:tcW w:w="1680" w:type="dxa"/>
            <w:gridSpan w:val="3"/>
            <w:noWrap/>
            <w:vAlign w:val="center"/>
          </w:tcPr>
          <w:p w14:paraId="6A5C2907">
            <w:pPr>
              <w:keepNext w:val="0"/>
              <w:keepLines w:val="0"/>
              <w:pageBreakBefore w:val="0"/>
              <w:suppressLineNumbers w:val="0"/>
              <w:kinsoku/>
              <w:wordWrap w:val="0"/>
              <w:overflowPunct/>
              <w:bidi w:val="0"/>
              <w:spacing w:before="0" w:beforeAutospacing="0" w:after="0" w:afterAutospacing="0"/>
              <w:ind w:left="0" w:right="0" w:firstLine="420"/>
              <w:jc w:val="center"/>
              <w:rPr>
                <w:rFonts w:hint="eastAsia" w:ascii="宋体" w:hAnsi="宋体" w:eastAsia="宋体" w:cs="宋体"/>
                <w:snapToGrid w:val="0"/>
                <w:color w:val="auto"/>
                <w:kern w:val="0"/>
                <w:szCs w:val="21"/>
                <w:highlight w:val="none"/>
              </w:rPr>
            </w:pPr>
          </w:p>
        </w:tc>
        <w:tc>
          <w:tcPr>
            <w:tcW w:w="699" w:type="dxa"/>
            <w:noWrap/>
            <w:vAlign w:val="center"/>
          </w:tcPr>
          <w:p w14:paraId="6EF3E486">
            <w:pPr>
              <w:keepNext w:val="0"/>
              <w:keepLines w:val="0"/>
              <w:pageBreakBefore w:val="0"/>
              <w:suppressLineNumbers w:val="0"/>
              <w:kinsoku/>
              <w:wordWrap w:val="0"/>
              <w:overflowPunct/>
              <w:bidi w:val="0"/>
              <w:spacing w:before="0" w:beforeAutospacing="0" w:after="0" w:afterAutospacing="0"/>
              <w:ind w:left="0" w:right="0" w:firstLine="0" w:firstLineChars="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电话</w:t>
            </w:r>
          </w:p>
        </w:tc>
        <w:tc>
          <w:tcPr>
            <w:tcW w:w="1403" w:type="dxa"/>
            <w:noWrap/>
            <w:vAlign w:val="center"/>
          </w:tcPr>
          <w:p w14:paraId="26EC26DF">
            <w:pPr>
              <w:keepNext w:val="0"/>
              <w:keepLines w:val="0"/>
              <w:pageBreakBefore w:val="0"/>
              <w:suppressLineNumbers w:val="0"/>
              <w:kinsoku/>
              <w:wordWrap w:val="0"/>
              <w:overflowPunct/>
              <w:bidi w:val="0"/>
              <w:spacing w:before="0" w:beforeAutospacing="0" w:after="0" w:afterAutospacing="0"/>
              <w:ind w:left="0" w:right="0" w:firstLine="420"/>
              <w:jc w:val="center"/>
              <w:rPr>
                <w:rFonts w:hint="eastAsia" w:ascii="宋体" w:hAnsi="宋体" w:eastAsia="宋体" w:cs="宋体"/>
                <w:snapToGrid w:val="0"/>
                <w:color w:val="auto"/>
                <w:kern w:val="0"/>
                <w:szCs w:val="21"/>
                <w:highlight w:val="none"/>
              </w:rPr>
            </w:pPr>
          </w:p>
        </w:tc>
      </w:tr>
      <w:tr w14:paraId="14BB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noWrap/>
            <w:vAlign w:val="center"/>
          </w:tcPr>
          <w:p w14:paraId="527B6F24">
            <w:pPr>
              <w:keepNext w:val="0"/>
              <w:keepLines w:val="0"/>
              <w:pageBreakBefore w:val="0"/>
              <w:suppressLineNumbers w:val="0"/>
              <w:kinsoku/>
              <w:wordWrap w:val="0"/>
              <w:overflowPunct/>
              <w:bidi w:val="0"/>
              <w:spacing w:before="0" w:beforeAutospacing="0" w:after="0" w:afterAutospacing="0"/>
              <w:ind w:left="0" w:right="0" w:firstLine="0" w:firstLineChars="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成立时间</w:t>
            </w:r>
          </w:p>
        </w:tc>
        <w:tc>
          <w:tcPr>
            <w:tcW w:w="1891" w:type="dxa"/>
            <w:gridSpan w:val="2"/>
            <w:noWrap/>
            <w:vAlign w:val="center"/>
          </w:tcPr>
          <w:p w14:paraId="4A502B11">
            <w:pPr>
              <w:keepNext w:val="0"/>
              <w:keepLines w:val="0"/>
              <w:pageBreakBefore w:val="0"/>
              <w:suppressLineNumbers w:val="0"/>
              <w:kinsoku/>
              <w:wordWrap w:val="0"/>
              <w:overflowPunct/>
              <w:bidi w:val="0"/>
              <w:spacing w:before="0" w:beforeAutospacing="0" w:after="0" w:afterAutospacing="0"/>
              <w:ind w:left="0" w:right="0" w:firstLine="420"/>
              <w:jc w:val="center"/>
              <w:rPr>
                <w:rFonts w:hint="eastAsia" w:ascii="宋体" w:hAnsi="宋体" w:eastAsia="宋体" w:cs="宋体"/>
                <w:snapToGrid w:val="0"/>
                <w:color w:val="auto"/>
                <w:kern w:val="0"/>
                <w:szCs w:val="21"/>
                <w:highlight w:val="none"/>
              </w:rPr>
            </w:pPr>
          </w:p>
        </w:tc>
        <w:tc>
          <w:tcPr>
            <w:tcW w:w="5042" w:type="dxa"/>
            <w:gridSpan w:val="6"/>
            <w:noWrap/>
            <w:vAlign w:val="center"/>
          </w:tcPr>
          <w:p w14:paraId="368199D2">
            <w:pPr>
              <w:keepNext w:val="0"/>
              <w:keepLines w:val="0"/>
              <w:pageBreakBefore w:val="0"/>
              <w:suppressLineNumbers w:val="0"/>
              <w:kinsoku/>
              <w:wordWrap w:val="0"/>
              <w:overflowPunct/>
              <w:bidi w:val="0"/>
              <w:spacing w:before="0" w:beforeAutospacing="0" w:after="0" w:afterAutospacing="0"/>
              <w:ind w:left="0" w:right="0" w:firstLine="42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员工总人数：</w:t>
            </w:r>
          </w:p>
        </w:tc>
      </w:tr>
      <w:tr w14:paraId="258D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jc w:val="center"/>
        </w:trPr>
        <w:tc>
          <w:tcPr>
            <w:tcW w:w="1466" w:type="dxa"/>
            <w:noWrap/>
            <w:vAlign w:val="center"/>
          </w:tcPr>
          <w:p w14:paraId="591B5392">
            <w:pPr>
              <w:keepNext w:val="0"/>
              <w:keepLines w:val="0"/>
              <w:pageBreakBefore w:val="0"/>
              <w:suppressLineNumbers w:val="0"/>
              <w:kinsoku/>
              <w:wordWrap w:val="0"/>
              <w:overflowPunct/>
              <w:bidi w:val="0"/>
              <w:spacing w:before="0" w:beforeAutospacing="0" w:after="0" w:afterAutospacing="0"/>
              <w:ind w:left="0" w:right="0" w:firstLine="0" w:firstLineChars="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经营范围</w:t>
            </w:r>
          </w:p>
        </w:tc>
        <w:tc>
          <w:tcPr>
            <w:tcW w:w="6933" w:type="dxa"/>
            <w:gridSpan w:val="8"/>
            <w:noWrap/>
            <w:vAlign w:val="center"/>
          </w:tcPr>
          <w:p w14:paraId="1FB08187">
            <w:pPr>
              <w:keepNext w:val="0"/>
              <w:keepLines w:val="0"/>
              <w:pageBreakBefore w:val="0"/>
              <w:suppressLineNumbers w:val="0"/>
              <w:kinsoku/>
              <w:wordWrap w:val="0"/>
              <w:overflowPunct/>
              <w:bidi w:val="0"/>
              <w:spacing w:before="0" w:beforeAutospacing="0" w:after="0" w:afterAutospacing="0"/>
              <w:ind w:left="0" w:right="0" w:firstLine="420"/>
              <w:jc w:val="center"/>
              <w:rPr>
                <w:rFonts w:hint="eastAsia" w:ascii="宋体" w:hAnsi="宋体" w:eastAsia="宋体" w:cs="宋体"/>
                <w:snapToGrid w:val="0"/>
                <w:color w:val="auto"/>
                <w:kern w:val="0"/>
                <w:szCs w:val="21"/>
                <w:highlight w:val="none"/>
              </w:rPr>
            </w:pPr>
          </w:p>
        </w:tc>
      </w:tr>
      <w:tr w14:paraId="0C4DD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466" w:type="dxa"/>
            <w:noWrap/>
            <w:vAlign w:val="center"/>
          </w:tcPr>
          <w:p w14:paraId="49DC674D">
            <w:pPr>
              <w:keepNext w:val="0"/>
              <w:keepLines w:val="0"/>
              <w:pageBreakBefore w:val="0"/>
              <w:suppressLineNumbers w:val="0"/>
              <w:kinsoku/>
              <w:wordWrap w:val="0"/>
              <w:overflowPunct/>
              <w:bidi w:val="0"/>
              <w:spacing w:before="0" w:beforeAutospacing="0" w:after="0" w:afterAutospacing="0"/>
              <w:ind w:left="0" w:right="0" w:firstLine="0" w:firstLineChars="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备 注</w:t>
            </w:r>
          </w:p>
        </w:tc>
        <w:tc>
          <w:tcPr>
            <w:tcW w:w="6933" w:type="dxa"/>
            <w:gridSpan w:val="8"/>
            <w:noWrap/>
            <w:vAlign w:val="center"/>
          </w:tcPr>
          <w:p w14:paraId="061E0965">
            <w:pPr>
              <w:keepNext w:val="0"/>
              <w:keepLines w:val="0"/>
              <w:pageBreakBefore w:val="0"/>
              <w:suppressLineNumbers w:val="0"/>
              <w:kinsoku/>
              <w:wordWrap w:val="0"/>
              <w:overflowPunct/>
              <w:bidi w:val="0"/>
              <w:spacing w:before="0" w:beforeAutospacing="0" w:after="0" w:afterAutospacing="0"/>
              <w:ind w:left="0" w:right="0" w:firstLine="420"/>
              <w:jc w:val="center"/>
              <w:rPr>
                <w:rFonts w:hint="eastAsia" w:ascii="宋体" w:hAnsi="宋体" w:eastAsia="宋体" w:cs="宋体"/>
                <w:snapToGrid w:val="0"/>
                <w:color w:val="auto"/>
                <w:kern w:val="0"/>
                <w:szCs w:val="21"/>
                <w:highlight w:val="none"/>
              </w:rPr>
            </w:pPr>
          </w:p>
        </w:tc>
      </w:tr>
    </w:tbl>
    <w:p w14:paraId="3AF96804">
      <w:pPr>
        <w:pageBreakBefore w:val="0"/>
        <w:kinsoku/>
        <w:wordWrap w:val="0"/>
        <w:overflowPunct/>
        <w:bidi w:val="0"/>
        <w:spacing w:line="420" w:lineRule="exact"/>
        <w:rPr>
          <w:rFonts w:hint="eastAsia" w:ascii="宋体" w:hAnsi="宋体" w:eastAsia="宋体" w:cs="宋体"/>
          <w:color w:val="auto"/>
          <w:szCs w:val="21"/>
          <w:highlight w:val="none"/>
        </w:rPr>
      </w:pPr>
    </w:p>
    <w:p w14:paraId="5D75CE59">
      <w:pPr>
        <w:pageBreakBefore w:val="0"/>
        <w:kinsoku/>
        <w:wordWrap w:val="0"/>
        <w:overflowPunct/>
        <w:bidi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注：1.根据供应商须知前附表第1.5.1项的要求在本表后附供应商证明材料。</w:t>
      </w:r>
    </w:p>
    <w:p w14:paraId="2BF8F053">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2.本项目的特定资格要求（如有）：需提供相应的证明材料。</w:t>
      </w:r>
    </w:p>
    <w:bookmarkEnd w:id="959"/>
    <w:bookmarkEnd w:id="960"/>
    <w:bookmarkEnd w:id="961"/>
    <w:p w14:paraId="330D8DDA">
      <w:pPr>
        <w:pageBreakBefore w:val="0"/>
        <w:widowControl/>
        <w:kinsoku/>
        <w:wordWrap w:val="0"/>
        <w:overflowPunct/>
        <w:bidi w:val="0"/>
        <w:spacing w:line="400" w:lineRule="exact"/>
        <w:ind w:firstLine="0" w:firstLineChars="0"/>
        <w:jc w:val="center"/>
        <w:rPr>
          <w:rFonts w:hint="eastAsia" w:ascii="宋体" w:hAnsi="宋体" w:eastAsia="宋体" w:cs="宋体"/>
          <w:snapToGrid w:val="0"/>
          <w:color w:val="auto"/>
          <w:kern w:val="0"/>
          <w:szCs w:val="21"/>
          <w:highlight w:val="none"/>
        </w:rPr>
      </w:pPr>
      <w:bookmarkStart w:id="966" w:name="_Toc18442"/>
      <w:bookmarkStart w:id="967" w:name="_Toc15604"/>
      <w:bookmarkStart w:id="968" w:name="_Toc24549"/>
      <w:r>
        <w:rPr>
          <w:rFonts w:hint="eastAsia" w:ascii="宋体" w:hAnsi="宋体" w:eastAsia="宋体" w:cs="宋体"/>
          <w:color w:val="auto"/>
          <w:szCs w:val="21"/>
          <w:highlight w:val="none"/>
        </w:rPr>
        <w:br w:type="page"/>
      </w:r>
      <w:bookmarkEnd w:id="962"/>
      <w:bookmarkEnd w:id="963"/>
      <w:bookmarkEnd w:id="966"/>
      <w:bookmarkEnd w:id="967"/>
      <w:bookmarkEnd w:id="968"/>
      <w:r>
        <w:rPr>
          <w:rFonts w:hint="eastAsia" w:ascii="宋体" w:hAnsi="宋体" w:eastAsia="宋体" w:cs="宋体"/>
          <w:b/>
          <w:bCs/>
          <w:snapToGrid w:val="0"/>
          <w:color w:val="auto"/>
          <w:kern w:val="0"/>
          <w:szCs w:val="21"/>
          <w:highlight w:val="none"/>
          <w:lang w:eastAsia="zh-CN"/>
        </w:rPr>
        <w:t>固始县</w:t>
      </w:r>
      <w:r>
        <w:rPr>
          <w:rFonts w:hint="eastAsia" w:ascii="宋体" w:hAnsi="宋体" w:eastAsia="宋体" w:cs="宋体"/>
          <w:b/>
          <w:bCs/>
          <w:snapToGrid w:val="0"/>
          <w:color w:val="auto"/>
          <w:kern w:val="0"/>
          <w:szCs w:val="21"/>
          <w:highlight w:val="none"/>
        </w:rPr>
        <w:t>政府采购供应商信用承诺函</w:t>
      </w:r>
    </w:p>
    <w:p w14:paraId="5DE8C71B">
      <w:pPr>
        <w:pageBreakBefore w:val="0"/>
        <w:widowControl/>
        <w:kinsoku/>
        <w:wordWrap w:val="0"/>
        <w:overflowPunct/>
        <w:bidi w:val="0"/>
        <w:spacing w:line="400" w:lineRule="exact"/>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致</w:t>
      </w:r>
      <w:r>
        <w:rPr>
          <w:rFonts w:hint="eastAsia" w:ascii="宋体" w:hAnsi="宋体" w:eastAsia="宋体" w:cs="宋体"/>
          <w:snapToGrid w:val="0"/>
          <w:color w:val="auto"/>
          <w:kern w:val="0"/>
          <w:szCs w:val="21"/>
          <w:highlight w:val="none"/>
          <w:u w:val="single"/>
        </w:rPr>
        <w:t xml:space="preserve">（采购人或采购代理机构）：         </w:t>
      </w:r>
      <w:r>
        <w:rPr>
          <w:rFonts w:hint="eastAsia" w:ascii="宋体" w:hAnsi="宋体" w:eastAsia="宋体" w:cs="宋体"/>
          <w:snapToGrid w:val="0"/>
          <w:color w:val="auto"/>
          <w:kern w:val="0"/>
          <w:szCs w:val="21"/>
          <w:highlight w:val="none"/>
        </w:rPr>
        <w:t xml:space="preserve">      </w:t>
      </w:r>
    </w:p>
    <w:p w14:paraId="79783C69">
      <w:pPr>
        <w:pageBreakBefore w:val="0"/>
        <w:widowControl/>
        <w:kinsoku/>
        <w:wordWrap w:val="0"/>
        <w:overflowPunct/>
        <w:bidi w:val="0"/>
        <w:spacing w:line="400" w:lineRule="exact"/>
        <w:ind w:firstLine="420"/>
        <w:jc w:val="left"/>
        <w:rPr>
          <w:rFonts w:hint="eastAsia" w:ascii="宋体" w:hAnsi="宋体" w:eastAsia="宋体" w:cs="宋体"/>
          <w:snapToGrid w:val="0"/>
          <w:color w:val="auto"/>
          <w:kern w:val="0"/>
          <w:szCs w:val="21"/>
          <w:highlight w:val="none"/>
          <w:u w:val="single"/>
          <w:lang w:val="en-US" w:eastAsia="zh-CN"/>
        </w:rPr>
      </w:pPr>
      <w:r>
        <w:rPr>
          <w:rFonts w:hint="eastAsia" w:ascii="宋体" w:hAnsi="宋体" w:eastAsia="宋体" w:cs="宋体"/>
          <w:snapToGrid w:val="0"/>
          <w:color w:val="auto"/>
          <w:kern w:val="0"/>
          <w:szCs w:val="21"/>
          <w:highlight w:val="none"/>
        </w:rPr>
        <w:t>单位名称（自然人姓名）</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p>
    <w:p w14:paraId="4CB96CF4">
      <w:pPr>
        <w:pageBreakBefore w:val="0"/>
        <w:widowControl/>
        <w:kinsoku/>
        <w:wordWrap w:val="0"/>
        <w:overflowPunct/>
        <w:bidi w:val="0"/>
        <w:spacing w:line="400" w:lineRule="exact"/>
        <w:ind w:firstLine="420"/>
        <w:jc w:val="left"/>
        <w:rPr>
          <w:rFonts w:hint="eastAsia" w:ascii="宋体" w:hAnsi="宋体" w:eastAsia="宋体" w:cs="宋体"/>
          <w:snapToGrid w:val="0"/>
          <w:color w:val="auto"/>
          <w:kern w:val="0"/>
          <w:szCs w:val="21"/>
          <w:highlight w:val="none"/>
          <w:u w:val="single"/>
          <w:lang w:val="en-US" w:eastAsia="zh-CN"/>
        </w:rPr>
      </w:pPr>
      <w:r>
        <w:rPr>
          <w:rFonts w:hint="eastAsia" w:ascii="宋体" w:hAnsi="宋体" w:eastAsia="宋体" w:cs="宋体"/>
          <w:snapToGrid w:val="0"/>
          <w:color w:val="auto"/>
          <w:kern w:val="0"/>
          <w:szCs w:val="21"/>
          <w:highlight w:val="none"/>
        </w:rPr>
        <w:t>统一社会信用代码（身份证号码）</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p>
    <w:p w14:paraId="38BAFB55">
      <w:pPr>
        <w:pageBreakBefore w:val="0"/>
        <w:widowControl/>
        <w:kinsoku/>
        <w:wordWrap w:val="0"/>
        <w:overflowPunct/>
        <w:bidi w:val="0"/>
        <w:spacing w:line="400" w:lineRule="exact"/>
        <w:ind w:firstLine="420"/>
        <w:jc w:val="left"/>
        <w:rPr>
          <w:rFonts w:hint="eastAsia" w:ascii="宋体" w:hAnsi="宋体" w:eastAsia="宋体" w:cs="宋体"/>
          <w:snapToGrid w:val="0"/>
          <w:color w:val="auto"/>
          <w:kern w:val="0"/>
          <w:szCs w:val="21"/>
          <w:highlight w:val="none"/>
          <w:u w:val="single"/>
          <w:lang w:val="en-US" w:eastAsia="zh-CN"/>
        </w:rPr>
      </w:pPr>
      <w:r>
        <w:rPr>
          <w:rFonts w:hint="eastAsia" w:ascii="宋体" w:hAnsi="宋体" w:eastAsia="宋体" w:cs="宋体"/>
          <w:snapToGrid w:val="0"/>
          <w:color w:val="auto"/>
          <w:kern w:val="0"/>
          <w:szCs w:val="21"/>
          <w:highlight w:val="none"/>
        </w:rPr>
        <w:t>法定代表人（负责人）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p>
    <w:p w14:paraId="4593BF70">
      <w:pPr>
        <w:pageBreakBefore w:val="0"/>
        <w:widowControl/>
        <w:kinsoku/>
        <w:wordWrap w:val="0"/>
        <w:overflowPunct/>
        <w:bidi w:val="0"/>
        <w:spacing w:line="400" w:lineRule="exact"/>
        <w:ind w:firstLine="420"/>
        <w:jc w:val="left"/>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联系地址和电话</w:t>
      </w:r>
      <w:r>
        <w:rPr>
          <w:rFonts w:hint="eastAsia" w:ascii="宋体" w:hAnsi="宋体" w:eastAsia="宋体" w:cs="宋体"/>
          <w:snapToGrid w:val="0"/>
          <w:color w:val="auto"/>
          <w:kern w:val="0"/>
          <w:szCs w:val="21"/>
          <w:highlight w:val="none"/>
          <w:u w:val="single"/>
        </w:rPr>
        <w:t xml:space="preserve">：              </w:t>
      </w:r>
    </w:p>
    <w:p w14:paraId="5778C6A9">
      <w:pPr>
        <w:pageBreakBefore w:val="0"/>
        <w:widowControl/>
        <w:kinsoku/>
        <w:wordWrap w:val="0"/>
        <w:overflowPunct/>
        <w:bidi w:val="0"/>
        <w:spacing w:line="40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为维护公平、公正、公开的政府采购市场秩序，树立诚实守信的政府采购供应商形象，我单位（本人）自愿作出以下承诺：</w:t>
      </w:r>
    </w:p>
    <w:p w14:paraId="20539EA1">
      <w:pPr>
        <w:pageBreakBefore w:val="0"/>
        <w:widowControl/>
        <w:numPr>
          <w:ilvl w:val="0"/>
          <w:numId w:val="7"/>
        </w:numPr>
        <w:kinsoku/>
        <w:wordWrap w:val="0"/>
        <w:overflowPunct/>
        <w:bidi w:val="0"/>
        <w:spacing w:line="40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71D008A">
      <w:pPr>
        <w:pageBreakBefore w:val="0"/>
        <w:widowControl/>
        <w:numPr>
          <w:ilvl w:val="0"/>
          <w:numId w:val="8"/>
        </w:numPr>
        <w:kinsoku/>
        <w:wordWrap w:val="0"/>
        <w:overflowPunct/>
        <w:bidi w:val="0"/>
        <w:spacing w:line="400" w:lineRule="exact"/>
        <w:ind w:left="0" w:firstLineChars="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具有独立承担民事责任的能力；</w:t>
      </w:r>
    </w:p>
    <w:p w14:paraId="27173B2F">
      <w:pPr>
        <w:pageBreakBefore w:val="0"/>
        <w:widowControl/>
        <w:numPr>
          <w:ilvl w:val="0"/>
          <w:numId w:val="8"/>
        </w:numPr>
        <w:kinsoku/>
        <w:wordWrap w:val="0"/>
        <w:overflowPunct/>
        <w:bidi w:val="0"/>
        <w:spacing w:line="400" w:lineRule="exact"/>
        <w:ind w:left="0" w:firstLineChars="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具有良好的商业信誉和健全的财务会计制度； </w:t>
      </w:r>
    </w:p>
    <w:p w14:paraId="6C6EBA83">
      <w:pPr>
        <w:pageBreakBefore w:val="0"/>
        <w:widowControl/>
        <w:numPr>
          <w:ilvl w:val="0"/>
          <w:numId w:val="8"/>
        </w:numPr>
        <w:kinsoku/>
        <w:wordWrap w:val="0"/>
        <w:overflowPunct/>
        <w:bidi w:val="0"/>
        <w:spacing w:line="400" w:lineRule="exact"/>
        <w:ind w:left="0" w:firstLineChars="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具有履行合同所必需的设备和专业技术能力；</w:t>
      </w:r>
    </w:p>
    <w:p w14:paraId="16F2098F">
      <w:pPr>
        <w:pageBreakBefore w:val="0"/>
        <w:widowControl/>
        <w:numPr>
          <w:ilvl w:val="0"/>
          <w:numId w:val="8"/>
        </w:numPr>
        <w:kinsoku/>
        <w:wordWrap w:val="0"/>
        <w:overflowPunct/>
        <w:bidi w:val="0"/>
        <w:spacing w:line="400" w:lineRule="exact"/>
        <w:ind w:left="0" w:firstLineChars="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有依法缴纳税收和社会保障资金的良好记录； </w:t>
      </w:r>
    </w:p>
    <w:p w14:paraId="57079B15">
      <w:pPr>
        <w:pageBreakBefore w:val="0"/>
        <w:widowControl/>
        <w:numPr>
          <w:ilvl w:val="0"/>
          <w:numId w:val="8"/>
        </w:numPr>
        <w:kinsoku/>
        <w:wordWrap w:val="0"/>
        <w:overflowPunct/>
        <w:bidi w:val="0"/>
        <w:spacing w:line="400" w:lineRule="exact"/>
        <w:ind w:left="0" w:firstLineChars="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参加政府采购活动前三年内，在经营活动中没有重大违法记录； </w:t>
      </w:r>
    </w:p>
    <w:p w14:paraId="1584EF23">
      <w:pPr>
        <w:pageBreakBefore w:val="0"/>
        <w:widowControl/>
        <w:numPr>
          <w:ilvl w:val="0"/>
          <w:numId w:val="8"/>
        </w:numPr>
        <w:kinsoku/>
        <w:wordWrap w:val="0"/>
        <w:overflowPunct/>
        <w:bidi w:val="0"/>
        <w:spacing w:line="400" w:lineRule="exact"/>
        <w:ind w:left="0" w:firstLineChars="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未被列入经营异常名录或者严重违法失信名单、失信被执行人、重大税收违法案件当事人名单、政府采购严重违法失信行为记录名单；</w:t>
      </w:r>
    </w:p>
    <w:p w14:paraId="5F22AB01">
      <w:pPr>
        <w:pageBreakBefore w:val="0"/>
        <w:widowControl/>
        <w:numPr>
          <w:ilvl w:val="0"/>
          <w:numId w:val="8"/>
        </w:numPr>
        <w:kinsoku/>
        <w:wordWrap w:val="0"/>
        <w:overflowPunct/>
        <w:bidi w:val="0"/>
        <w:spacing w:line="400" w:lineRule="exact"/>
        <w:ind w:left="0" w:firstLineChars="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未被相关监管部门作出行政处罚且尚在处罚有效期内； </w:t>
      </w:r>
    </w:p>
    <w:p w14:paraId="6E36B36D">
      <w:pPr>
        <w:pageBreakBefore w:val="0"/>
        <w:widowControl/>
        <w:numPr>
          <w:ilvl w:val="0"/>
          <w:numId w:val="8"/>
        </w:numPr>
        <w:kinsoku/>
        <w:wordWrap w:val="0"/>
        <w:overflowPunct/>
        <w:bidi w:val="0"/>
        <w:spacing w:line="400" w:lineRule="exact"/>
        <w:ind w:left="0" w:firstLineChars="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未曾做出虚假采购承诺； </w:t>
      </w:r>
    </w:p>
    <w:p w14:paraId="0B8D19C7">
      <w:pPr>
        <w:pageBreakBefore w:val="0"/>
        <w:widowControl/>
        <w:kinsoku/>
        <w:wordWrap w:val="0"/>
        <w:overflowPunct/>
        <w:bidi w:val="0"/>
        <w:spacing w:line="400" w:lineRule="exact"/>
        <w:ind w:firstLine="0" w:firstLineChars="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（九）符合法律、行政法规规定的其他条件。</w:t>
      </w:r>
    </w:p>
    <w:p w14:paraId="7819D144">
      <w:pPr>
        <w:pageBreakBefore w:val="0"/>
        <w:widowControl/>
        <w:numPr>
          <w:ilvl w:val="0"/>
          <w:numId w:val="7"/>
        </w:numPr>
        <w:kinsoku/>
        <w:wordWrap w:val="0"/>
        <w:overflowPunct/>
        <w:bidi w:val="0"/>
        <w:spacing w:line="40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3AFDB014">
      <w:pPr>
        <w:pageBreakBefore w:val="0"/>
        <w:widowControl/>
        <w:kinsoku/>
        <w:wordWrap w:val="0"/>
        <w:overflowPunct/>
        <w:bidi w:val="0"/>
        <w:spacing w:line="40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供应商（单位电子签章）：</w:t>
      </w:r>
    </w:p>
    <w:p w14:paraId="6263E6A0">
      <w:pPr>
        <w:pageBreakBefore w:val="0"/>
        <w:widowControl/>
        <w:kinsoku/>
        <w:wordWrap w:val="0"/>
        <w:overflowPunct/>
        <w:bidi w:val="0"/>
        <w:spacing w:line="40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法定代表人、负责人、本人或授权代表（电子签名或盖章）：</w:t>
      </w:r>
    </w:p>
    <w:p w14:paraId="674992E7">
      <w:pPr>
        <w:pageBreakBefore w:val="0"/>
        <w:widowControl/>
        <w:kinsoku/>
        <w:wordWrap w:val="0"/>
        <w:overflowPunct/>
        <w:bidi w:val="0"/>
        <w:spacing w:line="40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日期：  年  月  日</w:t>
      </w:r>
    </w:p>
    <w:p w14:paraId="673D32B6">
      <w:pPr>
        <w:pageBreakBefore w:val="0"/>
        <w:widowControl/>
        <w:kinsoku/>
        <w:wordWrap w:val="0"/>
        <w:overflowPunct/>
        <w:bidi w:val="0"/>
        <w:spacing w:line="400" w:lineRule="exact"/>
        <w:ind w:firstLine="210" w:firstLineChars="1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注：1、供应商须在响应文件中按此模板提供承诺函，未提供视为未实质性响应招标文件要求，按无效投标处理。</w:t>
      </w:r>
    </w:p>
    <w:p w14:paraId="69D363A4">
      <w:pPr>
        <w:pageBreakBefore w:val="0"/>
        <w:widowControl/>
        <w:kinsoku/>
        <w:wordWrap w:val="0"/>
        <w:overflowPunct/>
        <w:bidi w:val="0"/>
        <w:spacing w:line="400" w:lineRule="exact"/>
        <w:ind w:firstLine="735" w:firstLineChars="35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2、供应商的法定代表人或者授权代表的签字或盖章应真实、有效，如由授权代表签字或盖章的，应提供“法定代表人授权书”。</w:t>
      </w:r>
    </w:p>
    <w:p w14:paraId="1801A70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5853683D">
      <w:pPr>
        <w:pStyle w:val="24"/>
        <w:rPr>
          <w:rFonts w:hint="eastAsia"/>
          <w:color w:val="auto"/>
          <w:highlight w:val="none"/>
        </w:rPr>
      </w:pPr>
    </w:p>
    <w:p w14:paraId="3BD3FCA5">
      <w:pPr>
        <w:jc w:val="center"/>
        <w:rPr>
          <w:rFonts w:hint="eastAsia" w:ascii="宋体" w:hAnsi="宋体" w:eastAsia="宋体" w:cs="宋体"/>
          <w:b/>
          <w:bCs/>
          <w:color w:val="auto"/>
          <w:sz w:val="24"/>
          <w:szCs w:val="32"/>
          <w:highlight w:val="none"/>
          <w:lang w:val="en-US" w:eastAsia="zh-CN"/>
        </w:rPr>
      </w:pPr>
      <w:bookmarkStart w:id="969" w:name="_Toc19333"/>
      <w:bookmarkStart w:id="970" w:name="_Toc19083"/>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w:t>
      </w:r>
      <w:bookmarkEnd w:id="969"/>
      <w:bookmarkEnd w:id="970"/>
      <w:bookmarkStart w:id="971" w:name="_Toc7700"/>
      <w:bookmarkStart w:id="972" w:name="_Toc26741"/>
      <w:r>
        <w:rPr>
          <w:rFonts w:hint="eastAsia" w:ascii="宋体" w:hAnsi="宋体" w:eastAsia="宋体" w:cs="宋体"/>
          <w:b/>
          <w:bCs/>
          <w:color w:val="auto"/>
          <w:sz w:val="28"/>
          <w:szCs w:val="28"/>
          <w:highlight w:val="none"/>
        </w:rPr>
        <w:t>中小企业声明函</w:t>
      </w:r>
      <w:bookmarkEnd w:id="971"/>
      <w:bookmarkEnd w:id="972"/>
      <w:r>
        <w:rPr>
          <w:rFonts w:hint="eastAsia" w:ascii="宋体" w:hAnsi="宋体" w:eastAsia="宋体" w:cs="宋体"/>
          <w:b/>
          <w:bCs/>
          <w:color w:val="auto"/>
          <w:sz w:val="24"/>
          <w:szCs w:val="32"/>
          <w:highlight w:val="none"/>
          <w:lang w:val="en-US" w:eastAsia="zh-CN"/>
        </w:rPr>
        <w:t>（货物）</w:t>
      </w:r>
    </w:p>
    <w:p w14:paraId="73ECE8C8">
      <w:pPr>
        <w:pageBreakBefore w:val="0"/>
        <w:kinsoku/>
        <w:wordWrap w:val="0"/>
        <w:overflowPunct/>
        <w:bidi w:val="0"/>
        <w:spacing w:line="420" w:lineRule="exact"/>
        <w:jc w:val="center"/>
        <w:rPr>
          <w:rFonts w:hint="eastAsia" w:ascii="宋体" w:hAnsi="宋体" w:eastAsia="宋体" w:cs="宋体"/>
          <w:color w:val="auto"/>
          <w:sz w:val="24"/>
          <w:highlight w:val="none"/>
        </w:rPr>
      </w:pPr>
    </w:p>
    <w:p w14:paraId="38C807E8">
      <w:pPr>
        <w:pStyle w:val="23"/>
        <w:pageBreakBefore w:val="0"/>
        <w:kinsoku/>
        <w:wordWrap w:val="0"/>
        <w:overflowPunct/>
        <w:bidi w:val="0"/>
        <w:spacing w:after="0" w:line="360" w:lineRule="auto"/>
        <w:ind w:firstLine="64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本公司（联合体）郑重声明，根据《政府采购促进中小企业发展管理办法》（财库﹝2020﹞46 号）的规定，本公司（联合体）参加</w:t>
      </w:r>
      <w:r>
        <w:rPr>
          <w:rFonts w:hint="eastAsia" w:ascii="宋体" w:hAnsi="宋体" w:eastAsia="宋体" w:cs="宋体"/>
          <w:color w:val="auto"/>
          <w:kern w:val="2"/>
          <w:sz w:val="21"/>
          <w:szCs w:val="21"/>
          <w:highlight w:val="none"/>
          <w:u w:val="single"/>
        </w:rPr>
        <w:t>（单位名称）</w:t>
      </w:r>
      <w:r>
        <w:rPr>
          <w:rFonts w:hint="eastAsia" w:ascii="宋体" w:hAnsi="宋体" w:eastAsia="宋体" w:cs="宋体"/>
          <w:color w:val="auto"/>
          <w:kern w:val="2"/>
          <w:sz w:val="21"/>
          <w:szCs w:val="21"/>
          <w:highlight w:val="none"/>
        </w:rPr>
        <w:t>的</w:t>
      </w:r>
      <w:r>
        <w:rPr>
          <w:rFonts w:hint="eastAsia" w:ascii="宋体" w:hAnsi="宋体" w:eastAsia="宋体" w:cs="宋体"/>
          <w:color w:val="auto"/>
          <w:kern w:val="2"/>
          <w:sz w:val="21"/>
          <w:szCs w:val="21"/>
          <w:highlight w:val="none"/>
          <w:u w:val="single"/>
        </w:rPr>
        <w:t>（</w:t>
      </w:r>
      <w:r>
        <w:rPr>
          <w:rFonts w:hint="eastAsia" w:ascii="宋体" w:hAnsi="宋体" w:cs="宋体"/>
          <w:color w:val="auto"/>
          <w:kern w:val="2"/>
          <w:sz w:val="21"/>
          <w:szCs w:val="21"/>
          <w:highlight w:val="none"/>
          <w:u w:val="single"/>
          <w:lang w:eastAsia="zh-CN"/>
        </w:rPr>
        <w:t>包名称</w:t>
      </w:r>
      <w:r>
        <w:rPr>
          <w:rFonts w:hint="eastAsia" w:ascii="宋体" w:hAnsi="宋体" w:eastAsia="宋体" w:cs="宋体"/>
          <w:color w:val="auto"/>
          <w:kern w:val="2"/>
          <w:sz w:val="21"/>
          <w:szCs w:val="21"/>
          <w:highlight w:val="none"/>
          <w:u w:val="single"/>
        </w:rPr>
        <w:t>）</w:t>
      </w:r>
      <w:r>
        <w:rPr>
          <w:rFonts w:hint="eastAsia" w:ascii="宋体" w:hAnsi="宋体" w:eastAsia="宋体" w:cs="宋体"/>
          <w:color w:val="auto"/>
          <w:kern w:val="2"/>
          <w:sz w:val="21"/>
          <w:szCs w:val="21"/>
          <w:highlight w:val="none"/>
        </w:rPr>
        <w:t>采购活动，提供的货物全部由符合政策要求的中小企业制造。相关企业（含联合体中的中小企业、签订分包意向协议的中小企业） 的具体情况如下：</w:t>
      </w:r>
    </w:p>
    <w:p w14:paraId="51AC6FFD">
      <w:pPr>
        <w:pStyle w:val="276"/>
        <w:pageBreakBefore w:val="0"/>
        <w:tabs>
          <w:tab w:val="left" w:pos="1183"/>
          <w:tab w:val="left" w:pos="1484"/>
          <w:tab w:val="left" w:pos="4662"/>
          <w:tab w:val="left" w:pos="6903"/>
        </w:tabs>
        <w:kinsoku/>
        <w:wordWrap w:val="0"/>
        <w:overflowPunct/>
        <w:bidi w:val="0"/>
        <w:spacing w:line="360" w:lineRule="auto"/>
        <w:ind w:left="220" w:leftChars="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（标的名称）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（采购文件中明确的所属行业）行业</w:t>
      </w:r>
      <w:r>
        <w:rPr>
          <w:rFonts w:hint="eastAsia" w:ascii="宋体" w:hAnsi="宋体" w:eastAsia="宋体" w:cs="宋体"/>
          <w:color w:val="auto"/>
          <w:szCs w:val="21"/>
          <w:highlight w:val="none"/>
        </w:rPr>
        <w:t>；制造商为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万元，属于</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rPr>
        <w:t>（中型企业、小型企业、微型企业）</w:t>
      </w:r>
      <w:r>
        <w:rPr>
          <w:rFonts w:hint="eastAsia" w:ascii="宋体" w:hAnsi="宋体" w:eastAsia="宋体" w:cs="宋体"/>
          <w:color w:val="auto"/>
          <w:szCs w:val="21"/>
          <w:highlight w:val="none"/>
        </w:rPr>
        <w:t>；</w:t>
      </w:r>
    </w:p>
    <w:p w14:paraId="6C25E28E">
      <w:pPr>
        <w:pStyle w:val="276"/>
        <w:pageBreakBefore w:val="0"/>
        <w:tabs>
          <w:tab w:val="left" w:pos="1183"/>
          <w:tab w:val="left" w:pos="1484"/>
          <w:tab w:val="left" w:pos="4662"/>
          <w:tab w:val="left" w:pos="6903"/>
        </w:tabs>
        <w:kinsoku/>
        <w:wordWrap w:val="0"/>
        <w:overflowPunct/>
        <w:bidi w:val="0"/>
        <w:spacing w:line="360" w:lineRule="auto"/>
        <w:ind w:left="220" w:leftChars="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（标的名称）</w:t>
      </w:r>
      <w:r>
        <w:rPr>
          <w:rFonts w:hint="eastAsia" w:ascii="宋体" w:hAnsi="宋体" w:eastAsia="宋体" w:cs="宋体"/>
          <w:color w:val="auto"/>
          <w:szCs w:val="21"/>
          <w:highlight w:val="none"/>
        </w:rPr>
        <w:t xml:space="preserve"> ，属于</w:t>
      </w:r>
      <w:r>
        <w:rPr>
          <w:rFonts w:hint="eastAsia" w:ascii="宋体" w:hAnsi="宋体" w:eastAsia="宋体" w:cs="宋体"/>
          <w:color w:val="auto"/>
          <w:szCs w:val="21"/>
          <w:highlight w:val="none"/>
          <w:u w:val="single"/>
        </w:rPr>
        <w:t>（采购文件中明确的所属行业）行业</w:t>
      </w:r>
      <w:r>
        <w:rPr>
          <w:rFonts w:hint="eastAsia" w:ascii="宋体" w:hAnsi="宋体" w:eastAsia="宋体" w:cs="宋体"/>
          <w:color w:val="auto"/>
          <w:szCs w:val="21"/>
          <w:highlight w:val="none"/>
        </w:rPr>
        <w:t>；制造商为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万元，资产总额为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rPr>
        <w:t>（中型企业、小型企业、微型企业）</w:t>
      </w:r>
      <w:r>
        <w:rPr>
          <w:rFonts w:hint="eastAsia" w:ascii="宋体" w:hAnsi="宋体" w:eastAsia="宋体" w:cs="宋体"/>
          <w:color w:val="auto"/>
          <w:szCs w:val="21"/>
          <w:highlight w:val="none"/>
        </w:rPr>
        <w:t>；</w:t>
      </w:r>
    </w:p>
    <w:p w14:paraId="2A9D9FDE">
      <w:pPr>
        <w:pStyle w:val="23"/>
        <w:pageBreakBefore w:val="0"/>
        <w:kinsoku/>
        <w:wordWrap w:val="0"/>
        <w:overflowPunct/>
        <w:bidi w:val="0"/>
        <w:spacing w:after="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p w14:paraId="6C4B7251">
      <w:pPr>
        <w:pStyle w:val="23"/>
        <w:pageBreakBefore w:val="0"/>
        <w:kinsoku/>
        <w:wordWrap w:val="0"/>
        <w:overflowPunct/>
        <w:bidi w:val="0"/>
        <w:spacing w:after="0" w:line="360" w:lineRule="auto"/>
        <w:ind w:firstLine="64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以上企业，不属于大企业的分支机构，不存在控股股东为大企业的情形，也不存在与大企业的负责人为同一人的情形。</w:t>
      </w:r>
    </w:p>
    <w:p w14:paraId="221A2B3B">
      <w:pPr>
        <w:pStyle w:val="23"/>
        <w:pageBreakBefore w:val="0"/>
        <w:kinsoku/>
        <w:wordWrap w:val="0"/>
        <w:overflowPunct/>
        <w:bidi w:val="0"/>
        <w:spacing w:after="0" w:line="360" w:lineRule="auto"/>
        <w:ind w:firstLine="64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本企业对上述声明内容的真实性负责。如有虚假，将依法承担相应责任。</w:t>
      </w:r>
    </w:p>
    <w:p w14:paraId="69BE05B4">
      <w:pPr>
        <w:pStyle w:val="23"/>
        <w:pageBreakBefore w:val="0"/>
        <w:kinsoku/>
        <w:wordWrap w:val="0"/>
        <w:overflowPunct/>
        <w:bidi w:val="0"/>
        <w:spacing w:after="0" w:line="360" w:lineRule="auto"/>
        <w:ind w:firstLine="2940" w:firstLineChars="1400"/>
        <w:rPr>
          <w:rFonts w:hint="eastAsia" w:ascii="宋体" w:hAnsi="宋体" w:eastAsia="宋体" w:cs="宋体"/>
          <w:color w:val="auto"/>
          <w:kern w:val="2"/>
          <w:sz w:val="21"/>
          <w:szCs w:val="21"/>
          <w:highlight w:val="none"/>
        </w:rPr>
      </w:pPr>
    </w:p>
    <w:p w14:paraId="1FD55714">
      <w:pPr>
        <w:pStyle w:val="23"/>
        <w:pageBreakBefore w:val="0"/>
        <w:kinsoku/>
        <w:wordWrap w:val="0"/>
        <w:overflowPunct/>
        <w:bidi w:val="0"/>
        <w:spacing w:after="0" w:line="360" w:lineRule="auto"/>
        <w:ind w:firstLine="2940" w:firstLineChars="1400"/>
        <w:rPr>
          <w:rFonts w:hint="eastAsia" w:ascii="宋体" w:hAnsi="宋体" w:eastAsia="宋体" w:cs="宋体"/>
          <w:color w:val="auto"/>
          <w:kern w:val="2"/>
          <w:sz w:val="21"/>
          <w:szCs w:val="21"/>
          <w:highlight w:val="none"/>
        </w:rPr>
      </w:pPr>
    </w:p>
    <w:p w14:paraId="69C1F740">
      <w:pPr>
        <w:pStyle w:val="23"/>
        <w:pageBreakBefore w:val="0"/>
        <w:kinsoku/>
        <w:wordWrap w:val="0"/>
        <w:overflowPunct/>
        <w:bidi w:val="0"/>
        <w:spacing w:after="0" w:line="360" w:lineRule="auto"/>
        <w:ind w:firstLine="2940" w:firstLineChars="14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企业名称（盖章）：</w:t>
      </w:r>
    </w:p>
    <w:p w14:paraId="13A4E237">
      <w:pPr>
        <w:pStyle w:val="23"/>
        <w:pageBreakBefore w:val="0"/>
        <w:kinsoku/>
        <w:wordWrap w:val="0"/>
        <w:overflowPunct/>
        <w:bidi w:val="0"/>
        <w:spacing w:after="0" w:line="360" w:lineRule="auto"/>
        <w:ind w:firstLine="2940" w:firstLineChars="14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日期：</w:t>
      </w:r>
    </w:p>
    <w:p w14:paraId="1979AB0F">
      <w:pPr>
        <w:pStyle w:val="46"/>
        <w:pageBreakBefore w:val="0"/>
        <w:kinsoku/>
        <w:wordWrap w:val="0"/>
        <w:overflowPunct/>
        <w:bidi w:val="0"/>
        <w:rPr>
          <w:rFonts w:hint="eastAsia" w:ascii="宋体" w:hAnsi="宋体" w:eastAsia="宋体" w:cs="宋体"/>
          <w:color w:val="auto"/>
          <w:highlight w:val="none"/>
        </w:rPr>
      </w:pPr>
    </w:p>
    <w:p w14:paraId="39FB4599">
      <w:pPr>
        <w:pStyle w:val="23"/>
        <w:pageBreakBefore w:val="0"/>
        <w:kinsoku/>
        <w:wordWrap w:val="0"/>
        <w:overflowPunct/>
        <w:bidi w:val="0"/>
        <w:spacing w:after="0" w:line="360" w:lineRule="auto"/>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注：1.从业人员、营业收入、资产总额填报上一年度数据，无上一年度数据的新成立企业可不填报。</w:t>
      </w:r>
    </w:p>
    <w:p w14:paraId="37B76159">
      <w:pPr>
        <w:pStyle w:val="74"/>
        <w:pageBreakBefore w:val="0"/>
        <w:kinsoku/>
        <w:wordWrap w:val="0"/>
        <w:overflowPunct/>
        <w:bidi w:val="0"/>
        <w:spacing w:before="0" w:beforeAutospacing="0" w:after="0" w:afterAutospacing="0" w:line="360" w:lineRule="auto"/>
        <w:rPr>
          <w:rFonts w:hint="eastAsia"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rPr>
        <w:t>2.</w:t>
      </w:r>
      <w:r>
        <w:rPr>
          <w:rFonts w:hint="eastAsia" w:cs="宋体"/>
          <w:b/>
          <w:bCs/>
          <w:color w:val="auto"/>
          <w:kern w:val="2"/>
          <w:sz w:val="21"/>
          <w:szCs w:val="21"/>
          <w:highlight w:val="none"/>
          <w:lang w:val="en-US" w:eastAsia="zh-CN"/>
        </w:rPr>
        <w:t>本项目非专门面向中小企业采购，供应商需按要求如实</w:t>
      </w:r>
      <w:r>
        <w:rPr>
          <w:rFonts w:hint="eastAsia" w:ascii="宋体" w:hAnsi="宋体" w:eastAsia="宋体" w:cs="宋体"/>
          <w:b/>
          <w:bCs/>
          <w:color w:val="auto"/>
          <w:kern w:val="2"/>
          <w:sz w:val="21"/>
          <w:szCs w:val="21"/>
          <w:highlight w:val="none"/>
        </w:rPr>
        <w:t>填写</w:t>
      </w:r>
      <w:r>
        <w:rPr>
          <w:rFonts w:hint="eastAsia" w:ascii="宋体" w:hAnsi="宋体" w:eastAsia="宋体" w:cs="宋体"/>
          <w:b/>
          <w:bCs/>
          <w:color w:val="auto"/>
          <w:kern w:val="2"/>
          <w:sz w:val="21"/>
          <w:szCs w:val="21"/>
          <w:highlight w:val="none"/>
          <w:lang w:val="en-US" w:eastAsia="zh-CN"/>
        </w:rPr>
        <w:t>此</w:t>
      </w:r>
      <w:r>
        <w:rPr>
          <w:rFonts w:hint="eastAsia" w:ascii="宋体" w:hAnsi="宋体" w:eastAsia="宋体" w:cs="宋体"/>
          <w:b/>
          <w:bCs/>
          <w:color w:val="auto"/>
          <w:kern w:val="2"/>
          <w:sz w:val="21"/>
          <w:szCs w:val="21"/>
          <w:highlight w:val="none"/>
        </w:rPr>
        <w:t>表</w:t>
      </w:r>
      <w:r>
        <w:rPr>
          <w:rFonts w:hint="eastAsia" w:ascii="宋体" w:hAnsi="宋体" w:eastAsia="宋体" w:cs="宋体"/>
          <w:b/>
          <w:bCs/>
          <w:color w:val="auto"/>
          <w:kern w:val="2"/>
          <w:sz w:val="21"/>
          <w:szCs w:val="21"/>
          <w:highlight w:val="none"/>
          <w:lang w:eastAsia="zh-CN"/>
        </w:rPr>
        <w:t>。</w:t>
      </w:r>
    </w:p>
    <w:p w14:paraId="0ECBC2F0">
      <w:pPr>
        <w:rPr>
          <w:rFonts w:hint="eastAsia"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br w:type="page"/>
      </w:r>
    </w:p>
    <w:p w14:paraId="556B5503">
      <w:pPr>
        <w:pageBreakBefore w:val="0"/>
        <w:kinsoku/>
        <w:wordWrap w:val="0"/>
        <w:overflowPunct/>
        <w:bidi w:val="0"/>
        <w:ind w:left="0" w:leftChars="0" w:firstLine="0" w:firstLineChars="0"/>
        <w:jc w:val="center"/>
        <w:rPr>
          <w:rFonts w:hint="eastAsia" w:ascii="宋体" w:hAnsi="宋体" w:eastAsia="宋体" w:cs="宋体"/>
          <w:b/>
          <w:bCs/>
          <w:color w:val="auto"/>
          <w:sz w:val="28"/>
          <w:szCs w:val="28"/>
          <w:highlight w:val="none"/>
        </w:rPr>
      </w:pPr>
      <w:r>
        <w:rPr>
          <w:rFonts w:hint="eastAsia" w:ascii="宋体" w:hAnsi="宋体" w:eastAsia="宋体" w:cs="宋体"/>
          <w:color w:val="auto"/>
          <w:highlight w:val="none"/>
        </w:rPr>
        <w:drawing>
          <wp:inline distT="0" distB="0" distL="114300" distR="114300">
            <wp:extent cx="6010275" cy="7877175"/>
            <wp:effectExtent l="0" t="0" r="9525" b="9525"/>
            <wp:docPr id="2" name="图片 5" descr="小微企业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小微企业01"/>
                    <pic:cNvPicPr>
                      <a:picLocks noChangeAspect="1"/>
                    </pic:cNvPicPr>
                  </pic:nvPicPr>
                  <pic:blipFill>
                    <a:blip r:embed="rId17"/>
                    <a:stretch>
                      <a:fillRect/>
                    </a:stretch>
                  </pic:blipFill>
                  <pic:spPr>
                    <a:xfrm>
                      <a:off x="0" y="0"/>
                      <a:ext cx="6010275" cy="7877175"/>
                    </a:xfrm>
                    <a:prstGeom prst="rect">
                      <a:avLst/>
                    </a:prstGeom>
                    <a:noFill/>
                    <a:ln>
                      <a:noFill/>
                    </a:ln>
                  </pic:spPr>
                </pic:pic>
              </a:graphicData>
            </a:graphic>
          </wp:inline>
        </w:drawing>
      </w:r>
      <w:r>
        <w:rPr>
          <w:rFonts w:hint="eastAsia" w:ascii="宋体" w:hAnsi="宋体" w:eastAsia="宋体" w:cs="宋体"/>
          <w:b/>
          <w:bCs/>
          <w:color w:val="auto"/>
          <w:sz w:val="28"/>
          <w:szCs w:val="28"/>
          <w:highlight w:val="none"/>
        </w:rPr>
        <w:br w:type="page"/>
      </w:r>
    </w:p>
    <w:p w14:paraId="785CC78F">
      <w:pPr>
        <w:pageBreakBefore w:val="0"/>
        <w:kinsoku/>
        <w:wordWrap w:val="0"/>
        <w:overflowPunct/>
        <w:bidi w:val="0"/>
        <w:jc w:val="center"/>
        <w:outlineLvl w:val="1"/>
        <w:rPr>
          <w:rFonts w:hint="eastAsia" w:ascii="宋体" w:hAnsi="宋体" w:eastAsia="宋体" w:cs="宋体"/>
          <w:color w:val="auto"/>
          <w:highlight w:val="none"/>
        </w:rPr>
      </w:pPr>
      <w:r>
        <w:rPr>
          <w:rFonts w:hint="eastAsia" w:ascii="宋体" w:hAnsi="宋体" w:eastAsia="宋体" w:cs="宋体"/>
          <w:color w:val="auto"/>
          <w:highlight w:val="none"/>
        </w:rPr>
        <w:drawing>
          <wp:inline distT="0" distB="0" distL="114300" distR="114300">
            <wp:extent cx="5972175" cy="7829550"/>
            <wp:effectExtent l="0" t="0" r="9525" b="0"/>
            <wp:docPr id="3" name="图片 7" descr="小微企业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小微企业02"/>
                    <pic:cNvPicPr>
                      <a:picLocks noChangeAspect="1"/>
                    </pic:cNvPicPr>
                  </pic:nvPicPr>
                  <pic:blipFill>
                    <a:blip r:embed="rId18"/>
                    <a:stretch>
                      <a:fillRect/>
                    </a:stretch>
                  </pic:blipFill>
                  <pic:spPr>
                    <a:xfrm>
                      <a:off x="0" y="0"/>
                      <a:ext cx="5972175" cy="7829550"/>
                    </a:xfrm>
                    <a:prstGeom prst="rect">
                      <a:avLst/>
                    </a:prstGeom>
                    <a:noFill/>
                    <a:ln>
                      <a:noFill/>
                    </a:ln>
                  </pic:spPr>
                </pic:pic>
              </a:graphicData>
            </a:graphic>
          </wp:inline>
        </w:drawing>
      </w:r>
      <w:bookmarkStart w:id="973" w:name="_Toc9073"/>
      <w:bookmarkStart w:id="974" w:name="_Toc19860"/>
    </w:p>
    <w:p w14:paraId="77350F0F">
      <w:pPr>
        <w:pageBreakBefore w:val="0"/>
        <w:kinsoku/>
        <w:wordWrap w:val="0"/>
        <w:overflowPunct/>
        <w:bidi w:val="0"/>
        <w:jc w:val="center"/>
        <w:outlineLvl w:val="1"/>
        <w:rPr>
          <w:rFonts w:hint="eastAsia" w:ascii="宋体" w:hAnsi="宋体" w:eastAsia="宋体" w:cs="宋体"/>
          <w:color w:val="auto"/>
          <w:highlight w:val="none"/>
        </w:rPr>
      </w:pPr>
    </w:p>
    <w:p w14:paraId="60A85FAA">
      <w:pPr>
        <w:pageBreakBefore w:val="0"/>
        <w:kinsoku/>
        <w:wordWrap w:val="0"/>
        <w:overflowPunct/>
        <w:bidi w:val="0"/>
        <w:jc w:val="center"/>
        <w:outlineLvl w:val="1"/>
        <w:rPr>
          <w:rFonts w:hint="eastAsia" w:ascii="宋体" w:hAnsi="宋体" w:eastAsia="宋体" w:cs="宋体"/>
          <w:color w:val="auto"/>
          <w:highlight w:val="none"/>
        </w:rPr>
      </w:pPr>
    </w:p>
    <w:p w14:paraId="7FF73EC4">
      <w:pPr>
        <w:pageBreakBefore w:val="0"/>
        <w:kinsoku/>
        <w:wordWrap w:val="0"/>
        <w:overflowPunct/>
        <w:bidi w:val="0"/>
        <w:jc w:val="center"/>
        <w:outlineLvl w:val="1"/>
        <w:rPr>
          <w:rFonts w:hint="eastAsia" w:ascii="宋体" w:hAnsi="宋体" w:eastAsia="宋体" w:cs="宋体"/>
          <w:color w:val="auto"/>
          <w:highlight w:val="none"/>
        </w:rPr>
      </w:pPr>
    </w:p>
    <w:p w14:paraId="015F1458">
      <w:pPr>
        <w:pageBreakBefore w:val="0"/>
        <w:kinsoku/>
        <w:wordWrap w:val="0"/>
        <w:overflowPunct/>
        <w:bidi w:val="0"/>
        <w:jc w:val="center"/>
        <w:outlineLvl w:val="1"/>
        <w:rPr>
          <w:rFonts w:hint="eastAsia" w:ascii="宋体" w:hAnsi="宋体" w:eastAsia="宋体" w:cs="宋体"/>
          <w:color w:val="auto"/>
          <w:highlight w:val="none"/>
        </w:rPr>
      </w:pPr>
    </w:p>
    <w:p w14:paraId="5F55D7F4">
      <w:pPr>
        <w:pageBreakBefore w:val="0"/>
        <w:kinsoku/>
        <w:wordWrap w:val="0"/>
        <w:overflowPunct/>
        <w:bidi w:val="0"/>
        <w:jc w:val="center"/>
        <w:outlineLvl w:val="1"/>
        <w:rPr>
          <w:rFonts w:hint="eastAsia" w:ascii="宋体" w:hAnsi="宋体" w:eastAsia="宋体" w:cs="宋体"/>
          <w:color w:val="auto"/>
          <w:highlight w:val="none"/>
        </w:rPr>
      </w:pPr>
    </w:p>
    <w:p w14:paraId="38AF03E3">
      <w:pPr>
        <w:pageBreakBefore w:val="0"/>
        <w:kinsoku/>
        <w:wordWrap w:val="0"/>
        <w:overflowPunct/>
        <w:bidi w:val="0"/>
        <w:jc w:val="center"/>
        <w:outlineLvl w:val="1"/>
        <w:rPr>
          <w:rFonts w:hint="eastAsia" w:ascii="宋体" w:hAnsi="宋体" w:eastAsia="宋体" w:cs="宋体"/>
          <w:color w:val="auto"/>
          <w:highlight w:val="none"/>
        </w:rPr>
      </w:pP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、残疾人福利性单位声明函（如有）</w:t>
      </w:r>
      <w:bookmarkEnd w:id="973"/>
      <w:bookmarkEnd w:id="974"/>
    </w:p>
    <w:p w14:paraId="4049813D">
      <w:pPr>
        <w:pStyle w:val="50"/>
        <w:pageBreakBefore w:val="0"/>
        <w:kinsoku/>
        <w:wordWrap w:val="0"/>
        <w:overflowPunct/>
        <w:bidi w:val="0"/>
        <w:spacing w:line="420" w:lineRule="exact"/>
        <w:ind w:firstLine="0" w:firstLineChars="0"/>
        <w:rPr>
          <w:rFonts w:hint="eastAsia" w:ascii="宋体" w:hAnsi="宋体" w:eastAsia="宋体" w:cs="宋体"/>
          <w:color w:val="auto"/>
          <w:sz w:val="24"/>
          <w:highlight w:val="none"/>
        </w:rPr>
      </w:pPr>
    </w:p>
    <w:p w14:paraId="0B2E8E01">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1CD22A76">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0F022309">
      <w:pPr>
        <w:pageBreakBefore w:val="0"/>
        <w:kinsoku/>
        <w:wordWrap w:val="0"/>
        <w:overflowPunct/>
        <w:bidi w:val="0"/>
        <w:spacing w:line="420" w:lineRule="exact"/>
        <w:ind w:firstLine="480"/>
        <w:rPr>
          <w:rFonts w:hint="eastAsia" w:ascii="宋体" w:hAnsi="宋体" w:eastAsia="宋体" w:cs="宋体"/>
          <w:color w:val="auto"/>
          <w:szCs w:val="21"/>
          <w:highlight w:val="none"/>
        </w:rPr>
      </w:pPr>
    </w:p>
    <w:p w14:paraId="593CC8AD">
      <w:pPr>
        <w:pageBreakBefore w:val="0"/>
        <w:tabs>
          <w:tab w:val="left" w:pos="4860"/>
        </w:tabs>
        <w:kinsoku/>
        <w:wordWrap w:val="0"/>
        <w:overflowPunct/>
        <w:bidi w:val="0"/>
        <w:spacing w:line="420" w:lineRule="exact"/>
        <w:ind w:right="1560"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单位名称（盖章）：</w:t>
      </w:r>
    </w:p>
    <w:p w14:paraId="61534F7A">
      <w:pPr>
        <w:pageBreakBefore w:val="0"/>
        <w:tabs>
          <w:tab w:val="left" w:pos="4860"/>
        </w:tabs>
        <w:kinsoku/>
        <w:wordWrap w:val="0"/>
        <w:overflowPunct/>
        <w:bidi w:val="0"/>
        <w:spacing w:line="420" w:lineRule="exact"/>
        <w:ind w:right="1560"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41DD7A75">
      <w:pPr>
        <w:pageBreakBefore w:val="0"/>
        <w:widowControl/>
        <w:kinsoku/>
        <w:wordWrap w:val="0"/>
        <w:overflowPunct/>
        <w:bidi w:val="0"/>
        <w:spacing w:line="420" w:lineRule="exact"/>
        <w:ind w:firstLine="480"/>
        <w:rPr>
          <w:rFonts w:hint="eastAsia" w:ascii="宋体" w:hAnsi="宋体" w:eastAsia="宋体" w:cs="宋体"/>
          <w:color w:val="auto"/>
          <w:szCs w:val="21"/>
          <w:highlight w:val="none"/>
        </w:rPr>
      </w:pPr>
    </w:p>
    <w:p w14:paraId="111FC47C">
      <w:pPr>
        <w:pageBreakBefore w:val="0"/>
        <w:widowControl/>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（提醒：如果供应商不是残疾人福利性单位，则不需要提供《残疾人福利性单位声明函》。否则，因此导致虚假投标的后果由供应商自行承担。）</w:t>
      </w:r>
    </w:p>
    <w:p w14:paraId="77AD3443">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《财政部民政部中国残疾人联合会关于促进残疾人就业政府采购政策的通知》财库（2017〔141〕号）的规定：</w:t>
      </w:r>
    </w:p>
    <w:p w14:paraId="1B71E05E">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1.享受政府采购支持政策的残疾人福利性单位应当同时满足以下条件：</w:t>
      </w:r>
    </w:p>
    <w:p w14:paraId="51B7865C">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（1）安置的残疾人占本单位在职职工人数的比例不低于25%（含25%），并且安置的残疾人人数不少于10人（含10人）；</w:t>
      </w:r>
    </w:p>
    <w:p w14:paraId="4B6BA3BF">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（2）依法与安置的每位残疾人签订了一年以上（含一年）的劳动合同或服务协议；</w:t>
      </w:r>
    </w:p>
    <w:p w14:paraId="0A4DF7C2">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（3）为安置的每位残疾人按月足额缴纳了基本养老保险、基本医疗保险、失业保险、工伤保险和生育保险等社会保险费；</w:t>
      </w:r>
    </w:p>
    <w:p w14:paraId="6007A44C">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（4）通过银行等金融机构向安置的每位残疾人，按月支付了不低于单位所在区县适用的经省级人民政府批准的月最低工资标准的工资；</w:t>
      </w:r>
    </w:p>
    <w:p w14:paraId="29582F64">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（5）提供本单位制造的货物、承担的工程或者服务（以下简称产品），或者提供其他残疾人福利性单位制造的货物（不包括使用非残疾人福利性单位注册商标的货物）。</w:t>
      </w:r>
    </w:p>
    <w:p w14:paraId="12D55EF1">
      <w:pPr>
        <w:pageBreakBefore w:val="0"/>
        <w:kinsoku/>
        <w:wordWrap w:val="0"/>
        <w:overflowPunct/>
        <w:autoSpaceDE w:val="0"/>
        <w:autoSpaceDN w:val="0"/>
        <w:bidi w:val="0"/>
        <w:adjustRightInd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2.成交人为残疾人福利性单位的，采购人或者其委托的采购代理机构应当随成交、成交结果同时公告其《残疾人福利性单位声明函》，接受社会监督，一旦发现弄虚作假提供虚假信息的，承担相应的法律责任。</w:t>
      </w:r>
    </w:p>
    <w:p w14:paraId="3DC1BF88">
      <w:pPr>
        <w:pageBreakBefore w:val="0"/>
        <w:kinsoku/>
        <w:wordWrap w:val="0"/>
        <w:overflowPunct/>
        <w:bidi w:val="0"/>
        <w:spacing w:line="420" w:lineRule="exact"/>
        <w:ind w:firstLine="420"/>
        <w:jc w:val="center"/>
        <w:rPr>
          <w:rFonts w:hint="eastAsia" w:ascii="宋体" w:hAnsi="宋体" w:eastAsia="宋体" w:cs="宋体"/>
          <w:color w:val="auto"/>
          <w:sz w:val="24"/>
          <w:highlight w:val="none"/>
        </w:rPr>
      </w:pPr>
      <w:r>
        <w:rPr>
          <w:rFonts w:hint="eastAsia" w:ascii="宋体" w:hAnsi="宋体" w:eastAsia="宋体" w:cs="宋体"/>
          <w:color w:val="auto"/>
          <w:highlight w:val="none"/>
        </w:rPr>
        <w:br w:type="page"/>
      </w:r>
      <w:bookmarkStart w:id="975" w:name="_Toc2835"/>
      <w:bookmarkStart w:id="976" w:name="_Toc17455"/>
      <w:r>
        <w:rPr>
          <w:rFonts w:hint="eastAsia" w:ascii="宋体" w:hAnsi="宋体" w:eastAsia="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rPr>
        <w:t>、监狱企业证明文件（如有）</w:t>
      </w:r>
      <w:bookmarkEnd w:id="975"/>
      <w:bookmarkEnd w:id="976"/>
    </w:p>
    <w:p w14:paraId="56527861">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的价格扣除，但必须提供由省级以上监狱管理局、戒毒管理局（含新疆生产建设兵团）出具的属于监狱企业的证明文件，否则评审时不予价格扣除优惠。</w:t>
      </w:r>
    </w:p>
    <w:p w14:paraId="2EC84197">
      <w:pPr>
        <w:pageBreakBefore w:val="0"/>
        <w:kinsoku/>
        <w:wordWrap w:val="0"/>
        <w:overflowPunct/>
        <w:bidi w:val="0"/>
        <w:spacing w:line="420" w:lineRule="exact"/>
        <w:rPr>
          <w:rFonts w:hint="eastAsia" w:ascii="宋体" w:hAnsi="宋体" w:eastAsia="宋体" w:cs="宋体"/>
          <w:color w:val="auto"/>
          <w:szCs w:val="21"/>
          <w:highlight w:val="none"/>
        </w:rPr>
      </w:pPr>
    </w:p>
    <w:p w14:paraId="1DF013A8">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注：在响应文件中附扫描件。</w:t>
      </w:r>
    </w:p>
    <w:p w14:paraId="17DA8506">
      <w:pPr>
        <w:pageBreakBefore w:val="0"/>
        <w:kinsoku/>
        <w:wordWrap w:val="0"/>
        <w:overflowPunct/>
        <w:bidi w:val="0"/>
        <w:spacing w:line="420" w:lineRule="exact"/>
        <w:jc w:val="center"/>
        <w:rPr>
          <w:rFonts w:hint="eastAsia" w:ascii="宋体" w:hAnsi="宋体" w:eastAsia="宋体" w:cs="宋体"/>
          <w:b/>
          <w:bCs/>
          <w:color w:val="auto"/>
          <w:sz w:val="28"/>
          <w:szCs w:val="28"/>
          <w:highlight w:val="none"/>
        </w:rPr>
      </w:pPr>
      <w:r>
        <w:rPr>
          <w:rFonts w:hint="eastAsia" w:ascii="宋体" w:hAnsi="宋体" w:eastAsia="宋体" w:cs="宋体"/>
          <w:color w:val="auto"/>
          <w:highlight w:val="none"/>
        </w:rPr>
        <w:br w:type="page"/>
      </w:r>
      <w:bookmarkStart w:id="977" w:name="_Toc20398"/>
      <w:bookmarkStart w:id="978" w:name="_Toc6055"/>
      <w:r>
        <w:rPr>
          <w:rFonts w:hint="eastAsia" w:ascii="宋体" w:hAnsi="宋体" w:eastAsia="宋体" w:cs="宋体"/>
          <w:b/>
          <w:bCs/>
          <w:color w:val="auto"/>
          <w:sz w:val="28"/>
          <w:szCs w:val="28"/>
          <w:highlight w:val="none"/>
        </w:rPr>
        <w:t>十、反商业贿赂承诺书</w:t>
      </w:r>
      <w:bookmarkEnd w:id="977"/>
      <w:bookmarkEnd w:id="978"/>
    </w:p>
    <w:p w14:paraId="20834BDF">
      <w:pPr>
        <w:pageBreakBefore w:val="0"/>
        <w:kinsoku/>
        <w:wordWrap w:val="0"/>
        <w:overflowPunct/>
        <w:autoSpaceDE w:val="0"/>
        <w:autoSpaceDN w:val="0"/>
        <w:bidi w:val="0"/>
        <w:adjustRightInd w:val="0"/>
        <w:spacing w:line="420" w:lineRule="exact"/>
        <w:ind w:firstLine="630" w:firstLineChars="3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我方承诺：</w:t>
      </w:r>
    </w:p>
    <w:p w14:paraId="7AEB21D3">
      <w:pPr>
        <w:pageBreakBefore w:val="0"/>
        <w:kinsoku/>
        <w:wordWrap w:val="0"/>
        <w:overflowPunct/>
        <w:autoSpaceDE w:val="0"/>
        <w:autoSpaceDN w:val="0"/>
        <w:bidi w:val="0"/>
        <w:adjustRightInd w:val="0"/>
        <w:spacing w:line="420" w:lineRule="exact"/>
        <w:ind w:firstLine="630" w:firstLineChars="3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zh-CN"/>
        </w:rPr>
        <w:t>（</w:t>
      </w:r>
      <w:r>
        <w:rPr>
          <w:rFonts w:hint="eastAsia" w:ascii="宋体" w:hAnsi="宋体" w:cs="宋体"/>
          <w:color w:val="auto"/>
          <w:szCs w:val="21"/>
          <w:highlight w:val="none"/>
          <w:u w:val="single"/>
          <w:lang w:val="en-US" w:eastAsia="zh-CN"/>
        </w:rPr>
        <w:t>项目名称</w:t>
      </w:r>
      <w:r>
        <w:rPr>
          <w:rFonts w:hint="eastAsia" w:ascii="宋体" w:hAnsi="宋体" w:eastAsia="宋体" w:cs="宋体"/>
          <w:color w:val="auto"/>
          <w:szCs w:val="21"/>
          <w:highlight w:val="none"/>
          <w:u w:val="single"/>
          <w:lang w:val="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zh-CN"/>
        </w:rPr>
        <w:t>（采购编号：  ）</w:t>
      </w:r>
      <w:r>
        <w:rPr>
          <w:rFonts w:hint="eastAsia" w:ascii="宋体" w:hAnsi="宋体" w:eastAsia="宋体" w:cs="宋体"/>
          <w:color w:val="auto"/>
          <w:szCs w:val="21"/>
          <w:highlight w:val="none"/>
          <w:lang w:val="zh-CN"/>
        </w:rPr>
        <w:t>投标活动中，我方保证做到：</w:t>
      </w:r>
    </w:p>
    <w:p w14:paraId="60001474">
      <w:pPr>
        <w:pageBreakBefore w:val="0"/>
        <w:kinsoku/>
        <w:wordWrap w:val="0"/>
        <w:overflowPunct/>
        <w:autoSpaceDE w:val="0"/>
        <w:autoSpaceDN w:val="0"/>
        <w:bidi w:val="0"/>
        <w:adjustRightInd w:val="0"/>
        <w:spacing w:line="420" w:lineRule="exact"/>
        <w:ind w:firstLine="630" w:firstLineChars="3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一、公平竞争参加本次公开采购活动。</w:t>
      </w:r>
    </w:p>
    <w:p w14:paraId="5C9DACE1">
      <w:pPr>
        <w:pageBreakBefore w:val="0"/>
        <w:kinsoku/>
        <w:wordWrap w:val="0"/>
        <w:overflowPunct/>
        <w:autoSpaceDE w:val="0"/>
        <w:autoSpaceDN w:val="0"/>
        <w:bidi w:val="0"/>
        <w:adjustRightInd w:val="0"/>
        <w:spacing w:line="420" w:lineRule="exact"/>
        <w:ind w:firstLine="630" w:firstLineChars="3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3D44F38">
      <w:pPr>
        <w:pageBreakBefore w:val="0"/>
        <w:kinsoku/>
        <w:wordWrap w:val="0"/>
        <w:overflowPunct/>
        <w:autoSpaceDE w:val="0"/>
        <w:autoSpaceDN w:val="0"/>
        <w:bidi w:val="0"/>
        <w:adjustRightInd w:val="0"/>
        <w:spacing w:line="420" w:lineRule="exact"/>
        <w:ind w:firstLine="630" w:firstLineChars="3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三、若出现上述行为，我方及参与投标的工作人员愿意接受按照国家法律法规等有关规定给予的处罚。</w:t>
      </w:r>
    </w:p>
    <w:p w14:paraId="276CF079">
      <w:pPr>
        <w:pageBreakBefore w:val="0"/>
        <w:kinsoku/>
        <w:wordWrap w:val="0"/>
        <w:overflowPunct/>
        <w:bidi w:val="0"/>
        <w:spacing w:line="420" w:lineRule="exact"/>
        <w:rPr>
          <w:rFonts w:hint="eastAsia" w:ascii="宋体" w:hAnsi="宋体" w:eastAsia="宋体" w:cs="宋体"/>
          <w:color w:val="auto"/>
          <w:szCs w:val="21"/>
          <w:highlight w:val="none"/>
        </w:rPr>
      </w:pPr>
    </w:p>
    <w:p w14:paraId="7C179EF2">
      <w:pPr>
        <w:pageBreakBefore w:val="0"/>
        <w:kinsoku/>
        <w:wordWrap w:val="0"/>
        <w:overflowPunct/>
        <w:bidi w:val="0"/>
        <w:spacing w:line="420" w:lineRule="exact"/>
        <w:rPr>
          <w:rFonts w:hint="eastAsia" w:ascii="宋体" w:hAnsi="宋体" w:eastAsia="宋体" w:cs="宋体"/>
          <w:color w:val="auto"/>
          <w:szCs w:val="21"/>
          <w:highlight w:val="none"/>
        </w:rPr>
      </w:pPr>
    </w:p>
    <w:p w14:paraId="7E4B8986">
      <w:pPr>
        <w:pageBreakBefore w:val="0"/>
        <w:kinsoku/>
        <w:wordWrap w:val="0"/>
        <w:overflowPunct/>
        <w:bidi w:val="0"/>
        <w:spacing w:line="420" w:lineRule="exact"/>
        <w:rPr>
          <w:rFonts w:hint="eastAsia" w:ascii="宋体" w:hAnsi="宋体" w:eastAsia="宋体" w:cs="宋体"/>
          <w:color w:val="auto"/>
          <w:szCs w:val="21"/>
          <w:highlight w:val="none"/>
        </w:rPr>
      </w:pPr>
    </w:p>
    <w:p w14:paraId="7DA0FDB7">
      <w:pPr>
        <w:pageBreakBefore w:val="0"/>
        <w:kinsoku/>
        <w:wordWrap w:val="0"/>
        <w:overflowPunct/>
        <w:bidi w:val="0"/>
        <w:spacing w:line="420" w:lineRule="exact"/>
        <w:rPr>
          <w:rFonts w:hint="eastAsia" w:ascii="宋体" w:hAnsi="宋体" w:eastAsia="宋体" w:cs="宋体"/>
          <w:color w:val="auto"/>
          <w:szCs w:val="21"/>
          <w:highlight w:val="none"/>
        </w:rPr>
      </w:pPr>
    </w:p>
    <w:p w14:paraId="5BCC9606">
      <w:pPr>
        <w:pageBreakBefore w:val="0"/>
        <w:kinsoku/>
        <w:wordWrap w:val="0"/>
        <w:overflowPunct/>
        <w:bidi w:val="0"/>
        <w:spacing w:line="420" w:lineRule="exact"/>
        <w:rPr>
          <w:rFonts w:hint="eastAsia" w:ascii="宋体" w:hAnsi="宋体" w:eastAsia="宋体" w:cs="宋体"/>
          <w:color w:val="auto"/>
          <w:szCs w:val="21"/>
          <w:highlight w:val="none"/>
        </w:rPr>
      </w:pPr>
    </w:p>
    <w:p w14:paraId="368A4DBC">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供应商（单位电子签章）：</w:t>
      </w:r>
    </w:p>
    <w:p w14:paraId="44416354">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法定代表人或授权代表（电子签名或盖章）：</w:t>
      </w:r>
    </w:p>
    <w:p w14:paraId="339FDE1B">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2BAF044">
      <w:pPr>
        <w:pageBreakBefore w:val="0"/>
        <w:widowControl/>
        <w:kinsoku/>
        <w:wordWrap w:val="0"/>
        <w:overflowPunct/>
        <w:bidi w:val="0"/>
        <w:spacing w:line="360" w:lineRule="auto"/>
        <w:ind w:firstLine="420" w:firstLineChars="200"/>
        <w:jc w:val="left"/>
        <w:rPr>
          <w:rFonts w:hint="eastAsia" w:ascii="宋体" w:hAnsi="宋体" w:eastAsia="宋体" w:cs="宋体"/>
          <w:color w:val="auto"/>
          <w:kern w:val="0"/>
          <w:szCs w:val="21"/>
          <w:highlight w:val="none"/>
        </w:rPr>
      </w:pPr>
    </w:p>
    <w:p w14:paraId="24ACD801">
      <w:pPr>
        <w:pageBreakBefore w:val="0"/>
        <w:kinsoku/>
        <w:wordWrap w:val="0"/>
        <w:overflowPunct/>
        <w:bidi w:val="0"/>
        <w:spacing w:line="420" w:lineRule="exact"/>
        <w:jc w:val="center"/>
        <w:outlineLvl w:val="1"/>
        <w:rPr>
          <w:rFonts w:hint="eastAsia" w:ascii="宋体" w:hAnsi="宋体" w:eastAsia="宋体" w:cs="宋体"/>
          <w:b/>
          <w:bCs/>
          <w:color w:val="auto"/>
          <w:sz w:val="28"/>
          <w:szCs w:val="28"/>
          <w:highlight w:val="none"/>
        </w:rPr>
      </w:pPr>
      <w:bookmarkStart w:id="979" w:name="_Toc32643"/>
      <w:bookmarkStart w:id="980" w:name="_Toc25493"/>
      <w:r>
        <w:rPr>
          <w:rFonts w:hint="eastAsia" w:ascii="宋体" w:hAnsi="宋体" w:eastAsia="宋体" w:cs="宋体"/>
          <w:b/>
          <w:bCs/>
          <w:iCs/>
          <w:caps/>
          <w:color w:val="auto"/>
          <w:kern w:val="0"/>
          <w:sz w:val="36"/>
          <w:szCs w:val="21"/>
          <w:highlight w:val="none"/>
        </w:rPr>
        <w:br w:type="page"/>
      </w:r>
      <w:r>
        <w:rPr>
          <w:rFonts w:hint="eastAsia" w:ascii="宋体" w:hAnsi="宋体" w:eastAsia="宋体" w:cs="宋体"/>
          <w:b/>
          <w:bCs/>
          <w:color w:val="auto"/>
          <w:sz w:val="28"/>
          <w:szCs w:val="28"/>
          <w:highlight w:val="none"/>
        </w:rPr>
        <w:t>十</w:t>
      </w:r>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、其他材料</w:t>
      </w:r>
      <w:bookmarkEnd w:id="979"/>
      <w:bookmarkEnd w:id="980"/>
    </w:p>
    <w:p w14:paraId="5001ED4A">
      <w:pPr>
        <w:pageBreakBefore w:val="0"/>
        <w:kinsoku/>
        <w:wordWrap w:val="0"/>
        <w:overflowPunct/>
        <w:bidi w:val="0"/>
        <w:spacing w:line="420" w:lineRule="exact"/>
        <w:jc w:val="center"/>
        <w:rPr>
          <w:rFonts w:hint="eastAsia" w:ascii="宋体" w:hAnsi="宋体" w:eastAsia="宋体" w:cs="宋体"/>
          <w:b/>
          <w:color w:val="auto"/>
          <w:sz w:val="28"/>
          <w:szCs w:val="28"/>
          <w:highlight w:val="none"/>
        </w:rPr>
      </w:pPr>
      <w:bookmarkStart w:id="981" w:name="_Toc12738"/>
    </w:p>
    <w:p w14:paraId="4937F0C1">
      <w:pPr>
        <w:pageBreakBefore w:val="0"/>
        <w:kinsoku/>
        <w:wordWrap w:val="0"/>
        <w:overflowPunct/>
        <w:bidi w:val="0"/>
        <w:spacing w:line="420" w:lineRule="exact"/>
        <w:jc w:val="center"/>
        <w:rPr>
          <w:rFonts w:hint="eastAsia" w:ascii="宋体" w:hAnsi="宋体" w:eastAsia="宋体" w:cs="宋体"/>
          <w:color w:val="auto"/>
          <w:spacing w:val="8"/>
          <w:szCs w:val="21"/>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采购代理服务费承诺函</w:t>
      </w:r>
      <w:bookmarkEnd w:id="981"/>
    </w:p>
    <w:p w14:paraId="4183E9C7">
      <w:pPr>
        <w:pageBreakBefore w:val="0"/>
        <w:kinsoku/>
        <w:wordWrap w:val="0"/>
        <w:overflowPunct/>
        <w:bidi w:val="0"/>
        <w:spacing w:line="420" w:lineRule="exact"/>
        <w:ind w:firstLine="480"/>
        <w:rPr>
          <w:rFonts w:hint="eastAsia" w:ascii="宋体" w:hAnsi="宋体" w:eastAsia="宋体" w:cs="宋体"/>
          <w:color w:val="auto"/>
          <w:szCs w:val="21"/>
          <w:highlight w:val="none"/>
        </w:rPr>
      </w:pPr>
      <w:bookmarkStart w:id="982" w:name="_Toc25790"/>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（采购人及采购代理机构）</w:t>
      </w:r>
      <w:r>
        <w:rPr>
          <w:rFonts w:hint="eastAsia" w:ascii="宋体" w:hAnsi="宋体" w:eastAsia="宋体" w:cs="宋体"/>
          <w:color w:val="auto"/>
          <w:szCs w:val="21"/>
          <w:highlight w:val="none"/>
        </w:rPr>
        <w:t>：</w:t>
      </w:r>
    </w:p>
    <w:p w14:paraId="64F83AB7">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我们在贵公司组织的（</w:t>
      </w:r>
      <w:r>
        <w:rPr>
          <w:rFonts w:hint="eastAsia" w:ascii="宋体" w:hAnsi="宋体" w:cs="宋体"/>
          <w:color w:val="auto"/>
          <w:szCs w:val="21"/>
          <w:highlight w:val="none"/>
          <w:lang w:val="en-US" w:eastAsia="zh-CN"/>
        </w:rPr>
        <w:t>包名称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shd w:val="clear" w:color="auto" w:fill="FFFFFF"/>
        </w:rPr>
        <w:t>包号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采购中若获中标（成交），我们保证在中标（成交）结果公告发布后5个工作日内，按竞争性磋商文件的规定，以支票、银行转账、汇票或现金，向贵公司一次性支付采购代理服务费用。否则，由此产生的一切法律后果和责任由我公司承担。我公司声明放弃对此提出任何异议和追索的权利。</w:t>
      </w:r>
    </w:p>
    <w:p w14:paraId="6455D159">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40DB6CB6">
      <w:pPr>
        <w:pageBreakBefore w:val="0"/>
        <w:kinsoku/>
        <w:wordWrap w:val="0"/>
        <w:overflowPunct/>
        <w:bidi w:val="0"/>
        <w:spacing w:line="420" w:lineRule="exact"/>
        <w:ind w:firstLine="480"/>
        <w:rPr>
          <w:rFonts w:hint="eastAsia" w:ascii="宋体" w:hAnsi="宋体" w:eastAsia="宋体" w:cs="宋体"/>
          <w:color w:val="auto"/>
          <w:szCs w:val="21"/>
          <w:highlight w:val="none"/>
        </w:rPr>
      </w:pPr>
    </w:p>
    <w:p w14:paraId="55136F67">
      <w:pPr>
        <w:pageBreakBefore w:val="0"/>
        <w:kinsoku/>
        <w:wordWrap w:val="0"/>
        <w:overflowPunct/>
        <w:bidi w:val="0"/>
        <w:spacing w:line="420" w:lineRule="exact"/>
        <w:ind w:firstLine="480"/>
        <w:rPr>
          <w:rFonts w:hint="eastAsia" w:ascii="宋体" w:hAnsi="宋体" w:eastAsia="宋体" w:cs="宋体"/>
          <w:color w:val="auto"/>
          <w:szCs w:val="21"/>
          <w:highlight w:val="none"/>
        </w:rPr>
      </w:pPr>
    </w:p>
    <w:p w14:paraId="4E2CE00D">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（单位电子签章）</w:t>
      </w:r>
    </w:p>
    <w:p w14:paraId="6357CB12">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（电子签名或盖章）</w:t>
      </w:r>
    </w:p>
    <w:p w14:paraId="15151602">
      <w:pPr>
        <w:pageBreakBefore w:val="0"/>
        <w:kinsoku/>
        <w:wordWrap w:val="0"/>
        <w:overflowPunct/>
        <w:bidi w:val="0"/>
        <w:spacing w:line="42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14:paraId="6858C90C">
      <w:pPr>
        <w:pageBreakBefore w:val="0"/>
        <w:kinsoku/>
        <w:wordWrap w:val="0"/>
        <w:overflowPunct/>
        <w:bidi w:val="0"/>
        <w:spacing w:line="420" w:lineRule="exact"/>
        <w:jc w:val="center"/>
        <w:outlineLvl w:val="2"/>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br w:type="page"/>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2）</w:t>
      </w:r>
      <w:r>
        <w:rPr>
          <w:rFonts w:hint="eastAsia" w:ascii="宋体" w:hAnsi="宋体" w:eastAsia="宋体" w:cs="宋体"/>
          <w:b/>
          <w:bCs/>
          <w:color w:val="auto"/>
          <w:sz w:val="28"/>
          <w:szCs w:val="28"/>
          <w:highlight w:val="none"/>
        </w:rPr>
        <w:t>供应商认为需要的其他资料</w:t>
      </w:r>
      <w:bookmarkEnd w:id="982"/>
    </w:p>
    <w:p w14:paraId="3CC22649">
      <w:pPr>
        <w:pStyle w:val="24"/>
        <w:pageBreakBefore w:val="0"/>
        <w:kinsoku/>
        <w:wordWrap w:val="0"/>
        <w:overflowPunct/>
        <w:topLinePunct w:val="0"/>
        <w:bidi w:val="0"/>
        <w:jc w:val="center"/>
        <w:rPr>
          <w:rFonts w:hint="eastAsia" w:ascii="宋体" w:hAnsi="宋体" w:eastAsia="宋体" w:cs="宋体"/>
          <w:b/>
          <w:bCs/>
          <w:color w:val="auto"/>
          <w:highlight w:val="none"/>
        </w:rPr>
      </w:pPr>
      <w:r>
        <w:rPr>
          <w:rFonts w:hint="eastAsia" w:ascii="宋体" w:hAnsi="宋体" w:eastAsia="宋体" w:cs="宋体"/>
          <w:b/>
          <w:bCs/>
          <w:iCs/>
          <w:caps/>
          <w:color w:val="auto"/>
          <w:kern w:val="0"/>
          <w:sz w:val="36"/>
          <w:szCs w:val="36"/>
          <w:highlight w:val="none"/>
        </w:rPr>
        <w:br w:type="page"/>
      </w:r>
      <w:r>
        <w:rPr>
          <w:rFonts w:hint="eastAsia" w:ascii="宋体" w:hAnsi="宋体" w:eastAsia="宋体" w:cs="宋体"/>
          <w:b/>
          <w:color w:val="auto"/>
          <w:sz w:val="36"/>
          <w:szCs w:val="36"/>
          <w:highlight w:val="none"/>
        </w:rPr>
        <w:t>河南省政府采购合同融资政策告知函</w:t>
      </w:r>
    </w:p>
    <w:p w14:paraId="56E5FA65">
      <w:pPr>
        <w:pStyle w:val="23"/>
        <w:keepNext w:val="0"/>
        <w:keepLines w:val="0"/>
        <w:pageBreakBefore w:val="0"/>
        <w:widowControl w:val="0"/>
        <w:kinsoku/>
        <w:wordWrap w:val="0"/>
        <w:overflowPunct/>
        <w:topLinePunct w:val="0"/>
        <w:autoSpaceDE/>
        <w:autoSpaceDN/>
        <w:bidi w:val="0"/>
        <w:adjustRightInd/>
        <w:snapToGrid/>
        <w:spacing w:after="0" w:line="242" w:lineRule="auto"/>
        <w:ind w:left="0" w:right="0"/>
        <w:textAlignment w:val="auto"/>
        <w:rPr>
          <w:rFonts w:hint="eastAsia" w:ascii="宋体" w:hAnsi="宋体" w:eastAsia="宋体" w:cs="宋体"/>
          <w:color w:val="auto"/>
          <w:sz w:val="21"/>
          <w:highlight w:val="none"/>
        </w:rPr>
      </w:pPr>
    </w:p>
    <w:p w14:paraId="45E63D00">
      <w:pPr>
        <w:pStyle w:val="483"/>
        <w:pageBreakBefore w:val="0"/>
        <w:kinsoku/>
        <w:wordWrap w:val="0"/>
        <w:overflowPunct/>
        <w:topLinePunct w:val="0"/>
        <w:bidi w:val="0"/>
        <w:spacing w:line="607" w:lineRule="exact"/>
        <w:ind w:left="0" w:leftChars="0" w:firstLine="0"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各供应商：</w:t>
      </w:r>
    </w:p>
    <w:p w14:paraId="2D5A940D">
      <w:pPr>
        <w:pStyle w:val="483"/>
        <w:pageBreakBefore w:val="0"/>
        <w:kinsoku/>
        <w:wordWrap w:val="0"/>
        <w:overflowPunct/>
        <w:topLinePunct w:val="0"/>
        <w:bidi w:val="0"/>
        <w:spacing w:line="607" w:lineRule="exact"/>
        <w:ind w:left="0" w:leftChars="0"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欢迎贵公司参与河南省政府采购活动！</w:t>
      </w:r>
    </w:p>
    <w:p w14:paraId="1F8CBA96">
      <w:pPr>
        <w:pStyle w:val="483"/>
        <w:pageBreakBefore w:val="0"/>
        <w:kinsoku/>
        <w:wordWrap w:val="0"/>
        <w:overflowPunct/>
        <w:topLinePunct w:val="0"/>
        <w:bidi w:val="0"/>
        <w:spacing w:line="607" w:lineRule="exact"/>
        <w:ind w:firstLine="6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636EA05">
      <w:pPr>
        <w:pStyle w:val="483"/>
        <w:pageBreakBefore w:val="0"/>
        <w:kinsoku/>
        <w:wordWrap w:val="0"/>
        <w:overflowPunct/>
        <w:topLinePunct w:val="0"/>
        <w:bidi w:val="0"/>
        <w:spacing w:after="580" w:line="607" w:lineRule="exact"/>
        <w:ind w:firstLine="6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贷款渠道和提供贷款的金融机构，可在河南省政府采购网</w:t>
      </w:r>
      <w:r>
        <w:rPr>
          <w:rFonts w:hint="eastAsia" w:ascii="宋体" w:hAnsi="宋体" w:eastAsia="宋体" w:cs="宋体"/>
          <w:color w:val="auto"/>
          <w:sz w:val="28"/>
          <w:szCs w:val="28"/>
          <w:highlight w:val="none"/>
          <w:lang w:val="zh-CN" w:eastAsia="zh-CN" w:bidi="zh-CN"/>
        </w:rPr>
        <w:t>“河南</w:t>
      </w:r>
      <w:r>
        <w:rPr>
          <w:rFonts w:hint="eastAsia" w:ascii="宋体" w:hAnsi="宋体" w:eastAsia="宋体" w:cs="宋体"/>
          <w:color w:val="auto"/>
          <w:sz w:val="28"/>
          <w:szCs w:val="28"/>
          <w:highlight w:val="none"/>
        </w:rPr>
        <w:t>省政府采购合同融资平台</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查询联系。</w:t>
      </w:r>
    </w:p>
    <w:p w14:paraId="4EDD9428">
      <w:pPr>
        <w:pStyle w:val="483"/>
        <w:pageBreakBefore w:val="0"/>
        <w:kinsoku/>
        <w:wordWrap w:val="0"/>
        <w:overflowPunct/>
        <w:topLinePunct w:val="0"/>
        <w:bidi w:val="0"/>
        <w:spacing w:after="580" w:line="607" w:lineRule="exact"/>
        <w:ind w:firstLine="620"/>
        <w:jc w:val="left"/>
        <w:rPr>
          <w:rFonts w:hint="eastAsia" w:ascii="宋体" w:hAnsi="宋体" w:eastAsia="宋体" w:cs="宋体"/>
          <w:color w:val="auto"/>
          <w:highlight w:val="none"/>
        </w:rPr>
      </w:pPr>
      <w:r>
        <w:rPr>
          <w:rFonts w:hint="eastAsia" w:ascii="宋体" w:hAnsi="宋体" w:eastAsia="宋体" w:cs="宋体"/>
          <w:color w:val="auto"/>
          <w:highlight w:val="none"/>
        </w:rPr>
        <w:t>我县合作融资平台为</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中原银行固始支行，联系人：吴宵 联系方式：13526070966</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2、中国农业银行固始县支行，联系人：姚玉烛 联系方式：18037601233。</w:t>
      </w:r>
    </w:p>
    <w:p w14:paraId="0C0DFE49">
      <w:pPr>
        <w:pageBreakBefore w:val="0"/>
        <w:kinsoku/>
        <w:wordWrap w:val="0"/>
        <w:overflowPunct/>
        <w:bidi w:val="0"/>
        <w:spacing w:line="420" w:lineRule="exact"/>
        <w:ind w:firstLine="480"/>
        <w:rPr>
          <w:rFonts w:hint="eastAsia" w:ascii="宋体" w:hAnsi="宋体" w:eastAsia="宋体" w:cs="宋体"/>
          <w:color w:val="auto"/>
          <w:szCs w:val="21"/>
          <w:highlight w:val="none"/>
        </w:rPr>
      </w:pPr>
    </w:p>
    <w:p w14:paraId="6629C44B">
      <w:pPr>
        <w:pageBreakBefore w:val="0"/>
        <w:kinsoku/>
        <w:wordWrap w:val="0"/>
        <w:overflowPunct/>
        <w:bidi w:val="0"/>
        <w:rPr>
          <w:rFonts w:hint="eastAsia" w:ascii="宋体" w:hAnsi="宋体" w:eastAsia="宋体" w:cs="宋体"/>
          <w:color w:val="auto"/>
          <w:highlight w:val="none"/>
        </w:rPr>
      </w:pPr>
    </w:p>
    <w:p w14:paraId="75201100">
      <w:pPr>
        <w:pageBreakBefore w:val="0"/>
        <w:kinsoku/>
        <w:wordWrap w:val="0"/>
        <w:overflowPunct/>
        <w:bidi w:val="0"/>
        <w:rPr>
          <w:rFonts w:hint="eastAsia" w:ascii="宋体" w:hAnsi="宋体" w:eastAsia="宋体" w:cs="宋体"/>
          <w:color w:val="auto"/>
          <w:highlight w:val="none"/>
        </w:rPr>
      </w:pPr>
    </w:p>
    <w:sectPr>
      <w:footerReference r:id="rId14" w:type="default"/>
      <w:pgSz w:w="11906" w:h="16838"/>
      <w:pgMar w:top="1418" w:right="1418" w:bottom="1418" w:left="1418" w:header="851"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Century">
    <w:panose1 w:val="02040604050505020304"/>
    <w:charset w:val="00"/>
    <w:family w:val="roman"/>
    <w:pitch w:val="default"/>
    <w:sig w:usb0="00000287" w:usb1="00000000" w:usb2="00000000" w:usb3="00000000" w:csb0="2000009F" w:csb1="DFD70000"/>
  </w:font>
  <w:font w:name="PMingLiU">
    <w:altName w:val="PMingLiU-ExtB"/>
    <w:panose1 w:val="02020500000000000000"/>
    <w:charset w:val="88"/>
    <w:family w:val="auto"/>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Arial Unicode MS">
    <w:altName w:val="宋体"/>
    <w:panose1 w:val="020B0604020202020204"/>
    <w:charset w:val="86"/>
    <w:family w:val="swiss"/>
    <w:pitch w:val="default"/>
    <w:sig w:usb0="00000000" w:usb1="00000000" w:usb2="0000003F" w:usb3="00000000" w:csb0="603F01FF" w:csb1="FFFF0000"/>
  </w:font>
  <w:font w:name="Univers">
    <w:altName w:val="Arial"/>
    <w:panose1 w:val="00000000000000000000"/>
    <w:charset w:val="00"/>
    <w:family w:val="auto"/>
    <w:pitch w:val="default"/>
    <w:sig w:usb0="00000000" w:usb1="00000000" w:usb2="00000000" w:usb3="00000000" w:csb0="00000093" w:csb1="00000000"/>
  </w:font>
  <w:font w:name="Adobe 宋体 Std L">
    <w:altName w:val="宋体"/>
    <w:panose1 w:val="020203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87AF1">
    <w:pPr>
      <w:pStyle w:val="3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A3AD1">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947C1">
    <w:pPr>
      <w:pStyle w:val="3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D7E84">
    <w:pPr>
      <w:pStyle w:val="3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7A9831">
                          <w:pPr>
                            <w:pStyle w:val="38"/>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Q6KUMgBAACZ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EOilDIAQAAmQMAAA4AAAAAAAAAAQAgAAAAHgEAAGRycy9lMm9Eb2Mu&#10;eG1sUEsFBgAAAAAGAAYAWQEAAFgFAAAAAA==&#10;">
              <v:fill on="f" focussize="0,0"/>
              <v:stroke on="f"/>
              <v:imagedata o:title=""/>
              <o:lock v:ext="edit" aspectratio="f"/>
              <v:textbox inset="0mm,0mm,0mm,0mm" style="mso-fit-shape-to-text:t;">
                <w:txbxContent>
                  <w:p w14:paraId="0B7A9831">
                    <w:pPr>
                      <w:pStyle w:val="3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83653">
    <w:pPr>
      <w:pStyle w:val="38"/>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890BA3">
                          <w:pPr>
                            <w:pStyle w:val="38"/>
                            <w:ind w:firstLine="360"/>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MP09sBAADAAwAADgAAAGRycy9lMm9Eb2MueG1srVPNjtMwEL4j8Q6W&#10;7zTZHlAVNV0tVIuQECAtPIDrOI0l/8kzbVIeAN6AExfuPFefg7GTdJflsoe9JPPnb+b7PF5fD9aw&#10;o4qgvav51aLkTDnpG+32Nf/65fbVijNA4RphvFM1Pyng15uXL9Z9qNTSd940KjICcVD1oeYdYqiK&#10;AmSnrICFD8pRsvXRCiQ37osmip7QrSmWZfm66H1sQvRSAVB0Oyb5hBifAujbVku19fJglcMRNSoj&#10;kChBpwPwTZ62bZXET20LCpmpOTHF/KUmZO/St9isRbWPInRaTiOIp4zwiJMV2lHTC9RWoGCHqP+D&#10;slpGD77FhfS2GIlkRYjFVflIm7tOBJW5kNQQLqLD88HKj8fPkemGNoEzJyxd+Pnnj/OvP+ff39kq&#10;ydMHqKjqLlAdDm/8kEqnOFAwsR7aaNOf+DDKk7ini7hqQCbTodVytSopJSk3O4RT3B8PEfCd8pYl&#10;o+aRbi+LKo4fAMfSuSR1c/5WG0NxURn3T4Awx4jKKzCdTkzGiZOFw26YaOx8cyJ29Cioa+fjN856&#10;WomaO3oBnJn3jhRP2zMbcTZ2syGcpIM1R85G8y3mLUtjQbg5IM2aKaTWYz+inhy62CzCtIRpcx76&#10;uer+4W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Caow/T2wEAAMADAAAOAAAAAAAAAAEA&#10;IAAAAB4BAABkcnMvZTJvRG9jLnhtbFBLBQYAAAAABgAGAFkBAABrBQAAAAA=&#10;">
              <v:fill on="f" focussize="0,0"/>
              <v:stroke on="f"/>
              <v:imagedata o:title=""/>
              <o:lock v:ext="edit" aspectratio="f"/>
              <v:textbox inset="0mm,0mm,0mm,0mm" style="mso-fit-shape-to-text:t;">
                <w:txbxContent>
                  <w:p w14:paraId="59890BA3">
                    <w:pPr>
                      <w:pStyle w:val="38"/>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33436">
    <w:pPr>
      <w:pStyle w:val="3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141BAF">
                          <w:pPr>
                            <w:pStyle w:val="38"/>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bUc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4ptRyQEAAJkDAAAOAAAAAAAAAAEAIAAAAB4BAABkcnMvZTJvRG9j&#10;LnhtbFBLBQYAAAAABgAGAFkBAABZBQAAAAA=&#10;">
              <v:fill on="f" focussize="0,0"/>
              <v:stroke on="f"/>
              <v:imagedata o:title=""/>
              <o:lock v:ext="edit" aspectratio="f"/>
              <v:textbox inset="0mm,0mm,0mm,0mm" style="mso-fit-shape-to-text:t;">
                <w:txbxContent>
                  <w:p w14:paraId="18141BAF">
                    <w:pPr>
                      <w:pStyle w:val="3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97656">
    <w:pPr>
      <w:pStyle w:val="38"/>
      <w:ind w:firstLine="90" w:firstLineChars="5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AE0E7">
                          <w:pPr>
                            <w:pStyle w:val="38"/>
                          </w:pPr>
                          <w:r>
                            <w:fldChar w:fldCharType="begin"/>
                          </w:r>
                          <w:r>
                            <w:instrText xml:space="preserve"> PAGE  \* MERGEFORMAT </w:instrText>
                          </w:r>
                          <w:r>
                            <w:fldChar w:fldCharType="separate"/>
                          </w:r>
                          <w:r>
                            <w:t>55</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PkP8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xw+Q/yQEAAJkDAAAOAAAAAAAAAAEAIAAAAB4BAABkcnMvZTJvRG9j&#10;LnhtbFBLBQYAAAAABgAGAFkBAABZBQAAAAA=&#10;">
              <v:fill on="f" focussize="0,0"/>
              <v:stroke on="f"/>
              <v:imagedata o:title=""/>
              <o:lock v:ext="edit" aspectratio="f"/>
              <v:textbox inset="0mm,0mm,0mm,0mm" style="mso-fit-shape-to-text:t;">
                <w:txbxContent>
                  <w:p w14:paraId="37CAE0E7">
                    <w:pPr>
                      <w:pStyle w:val="3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C4D8E">
    <w:pPr>
      <w:pStyle w:val="3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81149">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22E01">
    <w:pPr>
      <w:pStyle w:val="3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66A81">
    <w:pP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C05C6">
    <w:pPr>
      <w:pStyle w:val="39"/>
      <w:pBdr>
        <w:bottom w:val="none" w:color="auto" w:sz="0" w:space="1"/>
      </w:pBdr>
      <w:bidi w:val="0"/>
      <w:jc w:val="right"/>
      <w:rPr>
        <w:rFonts w:hint="eastAsia" w:ascii="宋体" w:hAnsi="宋体" w:eastAsia="宋体" w:cs="宋体"/>
        <w:i/>
        <w:iCs/>
        <w:color w:val="0000FF"/>
        <w:sz w:val="18"/>
        <w:szCs w:val="18"/>
        <w:lang w:val="en-US" w:eastAsia="zh-CN"/>
      </w:rPr>
    </w:pPr>
    <w:r>
      <w:rPr>
        <w:rFonts w:hint="eastAsia" w:ascii="宋体" w:hAnsi="宋体"/>
        <w:i/>
        <w:iCs/>
        <w:color w:val="0000FF"/>
        <w:sz w:val="18"/>
        <w:szCs w:val="18"/>
        <w:lang w:val="en-US" w:eastAsia="zh-CN"/>
      </w:rPr>
      <w:t xml:space="preserve"> </w:t>
    </w:r>
    <w:r>
      <w:rPr>
        <w:rFonts w:hint="eastAsia" w:ascii="宋体" w:hAnsi="宋体" w:eastAsia="宋体" w:cs="宋体"/>
        <w:i/>
        <w:iCs/>
        <w:color w:val="0000FF"/>
        <w:sz w:val="18"/>
        <w:szCs w:val="18"/>
        <w:lang w:val="en-US" w:eastAsia="zh-CN"/>
      </w:rPr>
      <w:t xml:space="preserve"> </w:t>
    </w:r>
  </w:p>
  <w:p w14:paraId="1A6005DA">
    <w:pPr>
      <w:pStyle w:val="39"/>
      <w:pBdr>
        <w:bottom w:val="none" w:color="auto" w:sz="0" w:space="1"/>
      </w:pBdr>
      <w:bidi w:val="0"/>
      <w:jc w:val="right"/>
      <w:rPr>
        <w:rFonts w:hint="eastAsia" w:ascii="黑体" w:eastAsia="黑体"/>
        <w:color w:val="0000FF"/>
        <w:sz w:val="20"/>
      </w:rPr>
    </w:pPr>
    <w:r>
      <w:rPr>
        <w:rFonts w:hint="eastAsia" w:ascii="宋体" w:hAnsi="宋体"/>
        <w:sz w:val="15"/>
        <w:szCs w:val="15"/>
      </w:rPr>
      <w:t xml:space="preserve">                                     </w:t>
    </w:r>
    <w:r>
      <w:rPr>
        <w:rFonts w:hint="eastAsia" w:ascii="宋体" w:hAnsi="宋体"/>
        <w:i/>
        <w:iCs/>
        <w:color w:val="0000FF"/>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F3C7A"/>
    <w:multiLevelType w:val="singleLevel"/>
    <w:tmpl w:val="98EF3C7A"/>
    <w:lvl w:ilvl="0" w:tentative="0">
      <w:start w:val="2"/>
      <w:numFmt w:val="chineseCounting"/>
      <w:suff w:val="space"/>
      <w:lvlText w:val="第%1章"/>
      <w:lvlJc w:val="left"/>
      <w:rPr>
        <w:rFonts w:hint="eastAsia"/>
      </w:rPr>
    </w:lvl>
  </w:abstractNum>
  <w:abstractNum w:abstractNumId="1">
    <w:nsid w:val="A72FFAB2"/>
    <w:multiLevelType w:val="singleLevel"/>
    <w:tmpl w:val="A72FFAB2"/>
    <w:lvl w:ilvl="0" w:tentative="0">
      <w:start w:val="1"/>
      <w:numFmt w:val="chineseCounting"/>
      <w:suff w:val="nothing"/>
      <w:lvlText w:val="（%1）"/>
      <w:lvlJc w:val="left"/>
      <w:rPr>
        <w:rFonts w:hint="eastAsia"/>
      </w:rPr>
    </w:lvl>
  </w:abstractNum>
  <w:abstractNum w:abstractNumId="2">
    <w:nsid w:val="B3B71A56"/>
    <w:multiLevelType w:val="singleLevel"/>
    <w:tmpl w:val="B3B71A56"/>
    <w:lvl w:ilvl="0" w:tentative="0">
      <w:start w:val="1"/>
      <w:numFmt w:val="decimal"/>
      <w:suff w:val="nothing"/>
      <w:lvlText w:val="%1、"/>
      <w:lvlJc w:val="left"/>
    </w:lvl>
  </w:abstractNum>
  <w:abstractNum w:abstractNumId="3">
    <w:nsid w:val="B5E08322"/>
    <w:multiLevelType w:val="singleLevel"/>
    <w:tmpl w:val="B5E08322"/>
    <w:lvl w:ilvl="0" w:tentative="0">
      <w:start w:val="1"/>
      <w:numFmt w:val="chineseCounting"/>
      <w:suff w:val="nothing"/>
      <w:lvlText w:val="%1、"/>
      <w:lvlJc w:val="left"/>
      <w:rPr>
        <w:rFonts w:hint="eastAsia"/>
      </w:rPr>
    </w:lvl>
  </w:abstractNum>
  <w:abstractNum w:abstractNumId="4">
    <w:nsid w:val="B92A6A95"/>
    <w:multiLevelType w:val="singleLevel"/>
    <w:tmpl w:val="B92A6A95"/>
    <w:lvl w:ilvl="0" w:tentative="0">
      <w:start w:val="4"/>
      <w:numFmt w:val="decimal"/>
      <w:suff w:val="nothing"/>
      <w:lvlText w:val="（%1）"/>
      <w:lvlJc w:val="left"/>
    </w:lvl>
  </w:abstractNum>
  <w:abstractNum w:abstractNumId="5">
    <w:nsid w:val="120E037A"/>
    <w:multiLevelType w:val="singleLevel"/>
    <w:tmpl w:val="120E037A"/>
    <w:lvl w:ilvl="0" w:tentative="0">
      <w:start w:val="2"/>
      <w:numFmt w:val="decimal"/>
      <w:suff w:val="nothing"/>
      <w:lvlText w:val="（%1）"/>
      <w:lvlJc w:val="left"/>
    </w:lvl>
  </w:abstractNum>
  <w:abstractNum w:abstractNumId="6">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7">
    <w:nsid w:val="711A7290"/>
    <w:multiLevelType w:val="singleLevel"/>
    <w:tmpl w:val="711A7290"/>
    <w:lvl w:ilvl="0" w:tentative="0">
      <w:start w:val="9"/>
      <w:numFmt w:val="chineseCounting"/>
      <w:suff w:val="nothing"/>
      <w:lvlText w:val="%1、"/>
      <w:lvlJc w:val="left"/>
      <w:rPr>
        <w:rFonts w:hint="eastAsia"/>
      </w:rPr>
    </w:lvl>
  </w:abstractNum>
  <w:num w:numId="1">
    <w:abstractNumId w:val="7"/>
  </w:num>
  <w:num w:numId="2">
    <w:abstractNumId w:val="0"/>
  </w:num>
  <w:num w:numId="3">
    <w:abstractNumId w:val="2"/>
  </w:num>
  <w:num w:numId="4">
    <w:abstractNumId w:val="5"/>
  </w:num>
  <w:num w:numId="5">
    <w:abstractNumId w:val="4"/>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MGQwMDMyYmU2NDdiN2YwMDZkZWY0ZTc2MjI2YmMifQ=="/>
  </w:docVars>
  <w:rsids>
    <w:rsidRoot w:val="00F253E1"/>
    <w:rsid w:val="00000FCB"/>
    <w:rsid w:val="00001C88"/>
    <w:rsid w:val="00001CD3"/>
    <w:rsid w:val="00002712"/>
    <w:rsid w:val="000028EB"/>
    <w:rsid w:val="00003539"/>
    <w:rsid w:val="000056AE"/>
    <w:rsid w:val="00005888"/>
    <w:rsid w:val="000058FB"/>
    <w:rsid w:val="00006D3E"/>
    <w:rsid w:val="00006DCA"/>
    <w:rsid w:val="000075D5"/>
    <w:rsid w:val="00007E45"/>
    <w:rsid w:val="00010500"/>
    <w:rsid w:val="00011100"/>
    <w:rsid w:val="00011EF2"/>
    <w:rsid w:val="00012999"/>
    <w:rsid w:val="000129C7"/>
    <w:rsid w:val="0001394F"/>
    <w:rsid w:val="00014447"/>
    <w:rsid w:val="000159D0"/>
    <w:rsid w:val="00015BE5"/>
    <w:rsid w:val="000160A4"/>
    <w:rsid w:val="00016512"/>
    <w:rsid w:val="0001747F"/>
    <w:rsid w:val="000200A1"/>
    <w:rsid w:val="00020348"/>
    <w:rsid w:val="000205ED"/>
    <w:rsid w:val="000208B8"/>
    <w:rsid w:val="00021627"/>
    <w:rsid w:val="00021E64"/>
    <w:rsid w:val="00022E41"/>
    <w:rsid w:val="0002445D"/>
    <w:rsid w:val="000252A7"/>
    <w:rsid w:val="00026C93"/>
    <w:rsid w:val="00026F71"/>
    <w:rsid w:val="00026FB9"/>
    <w:rsid w:val="00027754"/>
    <w:rsid w:val="0003024A"/>
    <w:rsid w:val="0003073A"/>
    <w:rsid w:val="00030853"/>
    <w:rsid w:val="00030B5C"/>
    <w:rsid w:val="0003268C"/>
    <w:rsid w:val="000328C8"/>
    <w:rsid w:val="00032EC9"/>
    <w:rsid w:val="0003317E"/>
    <w:rsid w:val="0003570B"/>
    <w:rsid w:val="000363A8"/>
    <w:rsid w:val="000401DE"/>
    <w:rsid w:val="0004025D"/>
    <w:rsid w:val="000411C5"/>
    <w:rsid w:val="00042A38"/>
    <w:rsid w:val="00042D21"/>
    <w:rsid w:val="0004338A"/>
    <w:rsid w:val="00043B9F"/>
    <w:rsid w:val="00044162"/>
    <w:rsid w:val="00044463"/>
    <w:rsid w:val="00044580"/>
    <w:rsid w:val="00044929"/>
    <w:rsid w:val="000457FF"/>
    <w:rsid w:val="000463B5"/>
    <w:rsid w:val="0004674D"/>
    <w:rsid w:val="00047983"/>
    <w:rsid w:val="000504DA"/>
    <w:rsid w:val="00051888"/>
    <w:rsid w:val="00053590"/>
    <w:rsid w:val="00053912"/>
    <w:rsid w:val="00053E11"/>
    <w:rsid w:val="00054503"/>
    <w:rsid w:val="00054B64"/>
    <w:rsid w:val="00054C2B"/>
    <w:rsid w:val="0005507A"/>
    <w:rsid w:val="0005578B"/>
    <w:rsid w:val="000566A6"/>
    <w:rsid w:val="00056E3B"/>
    <w:rsid w:val="000578F1"/>
    <w:rsid w:val="00060780"/>
    <w:rsid w:val="000624D2"/>
    <w:rsid w:val="0006266F"/>
    <w:rsid w:val="00062AC0"/>
    <w:rsid w:val="00065340"/>
    <w:rsid w:val="000655A2"/>
    <w:rsid w:val="000661AA"/>
    <w:rsid w:val="000665F6"/>
    <w:rsid w:val="00070975"/>
    <w:rsid w:val="0007157B"/>
    <w:rsid w:val="00071D92"/>
    <w:rsid w:val="0007207F"/>
    <w:rsid w:val="00072084"/>
    <w:rsid w:val="000768DD"/>
    <w:rsid w:val="00076AD8"/>
    <w:rsid w:val="00080011"/>
    <w:rsid w:val="00080F56"/>
    <w:rsid w:val="00080F5B"/>
    <w:rsid w:val="000823DA"/>
    <w:rsid w:val="000826A2"/>
    <w:rsid w:val="000828A5"/>
    <w:rsid w:val="00084584"/>
    <w:rsid w:val="000845AC"/>
    <w:rsid w:val="000856F7"/>
    <w:rsid w:val="00085B34"/>
    <w:rsid w:val="00085F44"/>
    <w:rsid w:val="000872AB"/>
    <w:rsid w:val="00090B29"/>
    <w:rsid w:val="000910CD"/>
    <w:rsid w:val="000917A5"/>
    <w:rsid w:val="00091F86"/>
    <w:rsid w:val="00091FD5"/>
    <w:rsid w:val="00092B94"/>
    <w:rsid w:val="00092D6C"/>
    <w:rsid w:val="00092ED2"/>
    <w:rsid w:val="000938CE"/>
    <w:rsid w:val="0009416D"/>
    <w:rsid w:val="0009528D"/>
    <w:rsid w:val="000952EA"/>
    <w:rsid w:val="00095651"/>
    <w:rsid w:val="00095A5F"/>
    <w:rsid w:val="00095E27"/>
    <w:rsid w:val="000973DE"/>
    <w:rsid w:val="000977F1"/>
    <w:rsid w:val="00097BF3"/>
    <w:rsid w:val="00097F21"/>
    <w:rsid w:val="000A0A79"/>
    <w:rsid w:val="000A0C8D"/>
    <w:rsid w:val="000A1087"/>
    <w:rsid w:val="000A1BB6"/>
    <w:rsid w:val="000A2BDD"/>
    <w:rsid w:val="000A2C45"/>
    <w:rsid w:val="000A32F6"/>
    <w:rsid w:val="000A4900"/>
    <w:rsid w:val="000A4C97"/>
    <w:rsid w:val="000A4DF4"/>
    <w:rsid w:val="000A52B1"/>
    <w:rsid w:val="000A6502"/>
    <w:rsid w:val="000A6667"/>
    <w:rsid w:val="000A6A43"/>
    <w:rsid w:val="000B0F4A"/>
    <w:rsid w:val="000B1371"/>
    <w:rsid w:val="000B5CD9"/>
    <w:rsid w:val="000B64DE"/>
    <w:rsid w:val="000B7494"/>
    <w:rsid w:val="000B79D5"/>
    <w:rsid w:val="000C1AE5"/>
    <w:rsid w:val="000C2718"/>
    <w:rsid w:val="000C33CC"/>
    <w:rsid w:val="000C37C0"/>
    <w:rsid w:val="000C3DC8"/>
    <w:rsid w:val="000C4004"/>
    <w:rsid w:val="000C5B69"/>
    <w:rsid w:val="000C615C"/>
    <w:rsid w:val="000C687D"/>
    <w:rsid w:val="000C6D3F"/>
    <w:rsid w:val="000C7FBE"/>
    <w:rsid w:val="000D01D0"/>
    <w:rsid w:val="000D0FE4"/>
    <w:rsid w:val="000D447A"/>
    <w:rsid w:val="000D5082"/>
    <w:rsid w:val="000D5A26"/>
    <w:rsid w:val="000D709A"/>
    <w:rsid w:val="000D79D1"/>
    <w:rsid w:val="000D7C23"/>
    <w:rsid w:val="000E06E6"/>
    <w:rsid w:val="000E150C"/>
    <w:rsid w:val="000E33E7"/>
    <w:rsid w:val="000E4238"/>
    <w:rsid w:val="000E44C0"/>
    <w:rsid w:val="000E47B3"/>
    <w:rsid w:val="000E483E"/>
    <w:rsid w:val="000E4AB9"/>
    <w:rsid w:val="000E4D06"/>
    <w:rsid w:val="000E5786"/>
    <w:rsid w:val="000E5B2A"/>
    <w:rsid w:val="000E6320"/>
    <w:rsid w:val="000E643C"/>
    <w:rsid w:val="000F063D"/>
    <w:rsid w:val="000F2196"/>
    <w:rsid w:val="000F2F01"/>
    <w:rsid w:val="000F3029"/>
    <w:rsid w:val="000F31CE"/>
    <w:rsid w:val="000F392C"/>
    <w:rsid w:val="000F3BBF"/>
    <w:rsid w:val="000F515A"/>
    <w:rsid w:val="000F524B"/>
    <w:rsid w:val="000F5894"/>
    <w:rsid w:val="000F5AEB"/>
    <w:rsid w:val="000F5E9F"/>
    <w:rsid w:val="000F70E9"/>
    <w:rsid w:val="000F712D"/>
    <w:rsid w:val="00101285"/>
    <w:rsid w:val="001023C3"/>
    <w:rsid w:val="00102659"/>
    <w:rsid w:val="00102986"/>
    <w:rsid w:val="001031F3"/>
    <w:rsid w:val="001035CB"/>
    <w:rsid w:val="00103FE0"/>
    <w:rsid w:val="001043B7"/>
    <w:rsid w:val="0010517F"/>
    <w:rsid w:val="00105515"/>
    <w:rsid w:val="001055EE"/>
    <w:rsid w:val="001056A2"/>
    <w:rsid w:val="00106340"/>
    <w:rsid w:val="00106DC5"/>
    <w:rsid w:val="00107616"/>
    <w:rsid w:val="00107DBD"/>
    <w:rsid w:val="00111BC9"/>
    <w:rsid w:val="0011302F"/>
    <w:rsid w:val="001152BF"/>
    <w:rsid w:val="0011639D"/>
    <w:rsid w:val="00116A44"/>
    <w:rsid w:val="00116C83"/>
    <w:rsid w:val="001200BB"/>
    <w:rsid w:val="00121463"/>
    <w:rsid w:val="001217EA"/>
    <w:rsid w:val="00122ED3"/>
    <w:rsid w:val="0012336E"/>
    <w:rsid w:val="00124524"/>
    <w:rsid w:val="00124CC1"/>
    <w:rsid w:val="001273FE"/>
    <w:rsid w:val="00127C33"/>
    <w:rsid w:val="00131C34"/>
    <w:rsid w:val="00132C42"/>
    <w:rsid w:val="001330E1"/>
    <w:rsid w:val="00133281"/>
    <w:rsid w:val="00133F3B"/>
    <w:rsid w:val="00133F3F"/>
    <w:rsid w:val="00134E1B"/>
    <w:rsid w:val="0013698A"/>
    <w:rsid w:val="001377A1"/>
    <w:rsid w:val="00140284"/>
    <w:rsid w:val="001407ED"/>
    <w:rsid w:val="0014160E"/>
    <w:rsid w:val="00142F09"/>
    <w:rsid w:val="00143060"/>
    <w:rsid w:val="0014385E"/>
    <w:rsid w:val="001439BA"/>
    <w:rsid w:val="001441FA"/>
    <w:rsid w:val="0014461D"/>
    <w:rsid w:val="0014498D"/>
    <w:rsid w:val="00144F78"/>
    <w:rsid w:val="001451B3"/>
    <w:rsid w:val="001451C9"/>
    <w:rsid w:val="001452CA"/>
    <w:rsid w:val="00145D75"/>
    <w:rsid w:val="0014675B"/>
    <w:rsid w:val="00146F34"/>
    <w:rsid w:val="00147AD2"/>
    <w:rsid w:val="0015384D"/>
    <w:rsid w:val="00154813"/>
    <w:rsid w:val="00154A53"/>
    <w:rsid w:val="00154DBD"/>
    <w:rsid w:val="00154F24"/>
    <w:rsid w:val="00156248"/>
    <w:rsid w:val="00156611"/>
    <w:rsid w:val="00156A32"/>
    <w:rsid w:val="0015766A"/>
    <w:rsid w:val="0016010F"/>
    <w:rsid w:val="00160C0B"/>
    <w:rsid w:val="00160C6C"/>
    <w:rsid w:val="001611A9"/>
    <w:rsid w:val="001616F5"/>
    <w:rsid w:val="001617FA"/>
    <w:rsid w:val="00161AA6"/>
    <w:rsid w:val="00162EEF"/>
    <w:rsid w:val="00163227"/>
    <w:rsid w:val="001633B6"/>
    <w:rsid w:val="00164D88"/>
    <w:rsid w:val="00164E6F"/>
    <w:rsid w:val="0016596C"/>
    <w:rsid w:val="00165CA4"/>
    <w:rsid w:val="0016652C"/>
    <w:rsid w:val="001678AA"/>
    <w:rsid w:val="00167C55"/>
    <w:rsid w:val="00167EC2"/>
    <w:rsid w:val="00170789"/>
    <w:rsid w:val="00170DD0"/>
    <w:rsid w:val="00170F8D"/>
    <w:rsid w:val="00171612"/>
    <w:rsid w:val="0017219C"/>
    <w:rsid w:val="00172607"/>
    <w:rsid w:val="00173384"/>
    <w:rsid w:val="00173B89"/>
    <w:rsid w:val="00174EB5"/>
    <w:rsid w:val="001751D9"/>
    <w:rsid w:val="00176170"/>
    <w:rsid w:val="00176B27"/>
    <w:rsid w:val="001773EB"/>
    <w:rsid w:val="001778BA"/>
    <w:rsid w:val="00177B3E"/>
    <w:rsid w:val="00180A43"/>
    <w:rsid w:val="00183ACA"/>
    <w:rsid w:val="00184892"/>
    <w:rsid w:val="00184DEE"/>
    <w:rsid w:val="00185080"/>
    <w:rsid w:val="00185941"/>
    <w:rsid w:val="00185BAB"/>
    <w:rsid w:val="001867D6"/>
    <w:rsid w:val="001868D7"/>
    <w:rsid w:val="00186A44"/>
    <w:rsid w:val="00187485"/>
    <w:rsid w:val="00190143"/>
    <w:rsid w:val="00190236"/>
    <w:rsid w:val="001915CB"/>
    <w:rsid w:val="00191A61"/>
    <w:rsid w:val="00192246"/>
    <w:rsid w:val="00196B7C"/>
    <w:rsid w:val="00196D64"/>
    <w:rsid w:val="001977CE"/>
    <w:rsid w:val="001A024C"/>
    <w:rsid w:val="001A10DC"/>
    <w:rsid w:val="001A1840"/>
    <w:rsid w:val="001A1D3D"/>
    <w:rsid w:val="001A2D3A"/>
    <w:rsid w:val="001A3C39"/>
    <w:rsid w:val="001A4F89"/>
    <w:rsid w:val="001A673A"/>
    <w:rsid w:val="001A76E9"/>
    <w:rsid w:val="001B228C"/>
    <w:rsid w:val="001B322D"/>
    <w:rsid w:val="001B3335"/>
    <w:rsid w:val="001B3ABB"/>
    <w:rsid w:val="001B3B93"/>
    <w:rsid w:val="001B4A67"/>
    <w:rsid w:val="001B4B0E"/>
    <w:rsid w:val="001B4EA3"/>
    <w:rsid w:val="001B575A"/>
    <w:rsid w:val="001B57B3"/>
    <w:rsid w:val="001B5D90"/>
    <w:rsid w:val="001C006E"/>
    <w:rsid w:val="001C008E"/>
    <w:rsid w:val="001C03DF"/>
    <w:rsid w:val="001C1008"/>
    <w:rsid w:val="001C1F02"/>
    <w:rsid w:val="001C40E9"/>
    <w:rsid w:val="001C4A0A"/>
    <w:rsid w:val="001C75FB"/>
    <w:rsid w:val="001D013D"/>
    <w:rsid w:val="001D129B"/>
    <w:rsid w:val="001D1DBB"/>
    <w:rsid w:val="001D2512"/>
    <w:rsid w:val="001D2812"/>
    <w:rsid w:val="001D2BF1"/>
    <w:rsid w:val="001D32C3"/>
    <w:rsid w:val="001D3527"/>
    <w:rsid w:val="001D66AD"/>
    <w:rsid w:val="001D6F3B"/>
    <w:rsid w:val="001D756B"/>
    <w:rsid w:val="001E24BF"/>
    <w:rsid w:val="001E2BEE"/>
    <w:rsid w:val="001E30C1"/>
    <w:rsid w:val="001E59E3"/>
    <w:rsid w:val="001E6567"/>
    <w:rsid w:val="001E6E9D"/>
    <w:rsid w:val="001E72C4"/>
    <w:rsid w:val="001E77CF"/>
    <w:rsid w:val="001F070D"/>
    <w:rsid w:val="001F09F5"/>
    <w:rsid w:val="001F113B"/>
    <w:rsid w:val="001F127A"/>
    <w:rsid w:val="001F2BAB"/>
    <w:rsid w:val="001F36AD"/>
    <w:rsid w:val="001F3AC0"/>
    <w:rsid w:val="001F3EB4"/>
    <w:rsid w:val="001F4095"/>
    <w:rsid w:val="001F52D4"/>
    <w:rsid w:val="001F5684"/>
    <w:rsid w:val="001F58C7"/>
    <w:rsid w:val="001F5C5A"/>
    <w:rsid w:val="001F68E8"/>
    <w:rsid w:val="001F6AD0"/>
    <w:rsid w:val="001F7FA5"/>
    <w:rsid w:val="0020019C"/>
    <w:rsid w:val="0020040A"/>
    <w:rsid w:val="00200477"/>
    <w:rsid w:val="00200839"/>
    <w:rsid w:val="00200919"/>
    <w:rsid w:val="00200E51"/>
    <w:rsid w:val="00202A5B"/>
    <w:rsid w:val="00202A7C"/>
    <w:rsid w:val="00203CD5"/>
    <w:rsid w:val="00206485"/>
    <w:rsid w:val="00207DE5"/>
    <w:rsid w:val="0021021A"/>
    <w:rsid w:val="00211C56"/>
    <w:rsid w:val="00213653"/>
    <w:rsid w:val="0021383C"/>
    <w:rsid w:val="002149FD"/>
    <w:rsid w:val="00215092"/>
    <w:rsid w:val="00215690"/>
    <w:rsid w:val="002173D0"/>
    <w:rsid w:val="002178B1"/>
    <w:rsid w:val="002225DC"/>
    <w:rsid w:val="00222EBB"/>
    <w:rsid w:val="0022312F"/>
    <w:rsid w:val="002235CA"/>
    <w:rsid w:val="00224951"/>
    <w:rsid w:val="0022496F"/>
    <w:rsid w:val="00226545"/>
    <w:rsid w:val="002268BD"/>
    <w:rsid w:val="002268D7"/>
    <w:rsid w:val="00227030"/>
    <w:rsid w:val="002275F9"/>
    <w:rsid w:val="00227CD7"/>
    <w:rsid w:val="002307CA"/>
    <w:rsid w:val="00231AB9"/>
    <w:rsid w:val="00231CAE"/>
    <w:rsid w:val="00231F4F"/>
    <w:rsid w:val="00232C03"/>
    <w:rsid w:val="002332F2"/>
    <w:rsid w:val="0023355D"/>
    <w:rsid w:val="00233F81"/>
    <w:rsid w:val="002356C5"/>
    <w:rsid w:val="00235913"/>
    <w:rsid w:val="00235C78"/>
    <w:rsid w:val="002371B9"/>
    <w:rsid w:val="002374C8"/>
    <w:rsid w:val="0024027A"/>
    <w:rsid w:val="00240DB9"/>
    <w:rsid w:val="0024166E"/>
    <w:rsid w:val="002417A8"/>
    <w:rsid w:val="00242853"/>
    <w:rsid w:val="00243C5A"/>
    <w:rsid w:val="00244223"/>
    <w:rsid w:val="0024441A"/>
    <w:rsid w:val="00244513"/>
    <w:rsid w:val="00244E0B"/>
    <w:rsid w:val="00244E52"/>
    <w:rsid w:val="0024507A"/>
    <w:rsid w:val="00246FEC"/>
    <w:rsid w:val="00247693"/>
    <w:rsid w:val="0025029E"/>
    <w:rsid w:val="002517F8"/>
    <w:rsid w:val="00251ECF"/>
    <w:rsid w:val="00253137"/>
    <w:rsid w:val="0025390D"/>
    <w:rsid w:val="00255086"/>
    <w:rsid w:val="00255615"/>
    <w:rsid w:val="0025625F"/>
    <w:rsid w:val="00256F90"/>
    <w:rsid w:val="0025756A"/>
    <w:rsid w:val="00257AA3"/>
    <w:rsid w:val="00263518"/>
    <w:rsid w:val="0026408E"/>
    <w:rsid w:val="0026415F"/>
    <w:rsid w:val="00264555"/>
    <w:rsid w:val="002645A3"/>
    <w:rsid w:val="00264D48"/>
    <w:rsid w:val="002657D6"/>
    <w:rsid w:val="00265845"/>
    <w:rsid w:val="00266312"/>
    <w:rsid w:val="00267DC1"/>
    <w:rsid w:val="00272A25"/>
    <w:rsid w:val="00272B37"/>
    <w:rsid w:val="00273582"/>
    <w:rsid w:val="00274A8A"/>
    <w:rsid w:val="002825DD"/>
    <w:rsid w:val="00282C84"/>
    <w:rsid w:val="002838A0"/>
    <w:rsid w:val="00283A4B"/>
    <w:rsid w:val="002849DC"/>
    <w:rsid w:val="00284B83"/>
    <w:rsid w:val="00284D23"/>
    <w:rsid w:val="002866C9"/>
    <w:rsid w:val="00287BA2"/>
    <w:rsid w:val="00287FD4"/>
    <w:rsid w:val="00292279"/>
    <w:rsid w:val="00293F2A"/>
    <w:rsid w:val="00294003"/>
    <w:rsid w:val="002945E5"/>
    <w:rsid w:val="002960ED"/>
    <w:rsid w:val="00296736"/>
    <w:rsid w:val="002972C3"/>
    <w:rsid w:val="0029749C"/>
    <w:rsid w:val="00297535"/>
    <w:rsid w:val="00297FA1"/>
    <w:rsid w:val="002A003F"/>
    <w:rsid w:val="002A0C86"/>
    <w:rsid w:val="002A1FF3"/>
    <w:rsid w:val="002A49ED"/>
    <w:rsid w:val="002A4CA6"/>
    <w:rsid w:val="002A5921"/>
    <w:rsid w:val="002A62E6"/>
    <w:rsid w:val="002A79B1"/>
    <w:rsid w:val="002B00BE"/>
    <w:rsid w:val="002B0957"/>
    <w:rsid w:val="002B25C4"/>
    <w:rsid w:val="002B3D95"/>
    <w:rsid w:val="002B5C9F"/>
    <w:rsid w:val="002B7868"/>
    <w:rsid w:val="002B7F80"/>
    <w:rsid w:val="002C0679"/>
    <w:rsid w:val="002C19AA"/>
    <w:rsid w:val="002C34CA"/>
    <w:rsid w:val="002C3730"/>
    <w:rsid w:val="002C4612"/>
    <w:rsid w:val="002C4B06"/>
    <w:rsid w:val="002C5B17"/>
    <w:rsid w:val="002C6251"/>
    <w:rsid w:val="002C7FE0"/>
    <w:rsid w:val="002D3D8A"/>
    <w:rsid w:val="002D4475"/>
    <w:rsid w:val="002D466A"/>
    <w:rsid w:val="002D5045"/>
    <w:rsid w:val="002D524F"/>
    <w:rsid w:val="002D5656"/>
    <w:rsid w:val="002E1288"/>
    <w:rsid w:val="002E13CD"/>
    <w:rsid w:val="002E1674"/>
    <w:rsid w:val="002E1E86"/>
    <w:rsid w:val="002E337B"/>
    <w:rsid w:val="002E486E"/>
    <w:rsid w:val="002E4C10"/>
    <w:rsid w:val="002E52A9"/>
    <w:rsid w:val="002E66E1"/>
    <w:rsid w:val="002E69F4"/>
    <w:rsid w:val="002E6C23"/>
    <w:rsid w:val="002E74DD"/>
    <w:rsid w:val="002E7595"/>
    <w:rsid w:val="002E75BF"/>
    <w:rsid w:val="002E76E3"/>
    <w:rsid w:val="002E7BE6"/>
    <w:rsid w:val="002E7ED5"/>
    <w:rsid w:val="002F100D"/>
    <w:rsid w:val="002F15A4"/>
    <w:rsid w:val="002F1D2E"/>
    <w:rsid w:val="002F2E1E"/>
    <w:rsid w:val="002F3134"/>
    <w:rsid w:val="002F360C"/>
    <w:rsid w:val="002F461B"/>
    <w:rsid w:val="002F498A"/>
    <w:rsid w:val="002F527D"/>
    <w:rsid w:val="002F5379"/>
    <w:rsid w:val="002F5F88"/>
    <w:rsid w:val="002F7111"/>
    <w:rsid w:val="00301065"/>
    <w:rsid w:val="00302122"/>
    <w:rsid w:val="00304217"/>
    <w:rsid w:val="00305B80"/>
    <w:rsid w:val="00306120"/>
    <w:rsid w:val="00306631"/>
    <w:rsid w:val="0030694B"/>
    <w:rsid w:val="003072DE"/>
    <w:rsid w:val="00307A48"/>
    <w:rsid w:val="003110CA"/>
    <w:rsid w:val="00313952"/>
    <w:rsid w:val="00317F5F"/>
    <w:rsid w:val="00320945"/>
    <w:rsid w:val="00320A47"/>
    <w:rsid w:val="003212A5"/>
    <w:rsid w:val="0032155C"/>
    <w:rsid w:val="003216A9"/>
    <w:rsid w:val="003218A8"/>
    <w:rsid w:val="00322DB9"/>
    <w:rsid w:val="003239BF"/>
    <w:rsid w:val="00323A73"/>
    <w:rsid w:val="00324B08"/>
    <w:rsid w:val="00324BA0"/>
    <w:rsid w:val="003253AE"/>
    <w:rsid w:val="00325EAF"/>
    <w:rsid w:val="003269E2"/>
    <w:rsid w:val="00326FDC"/>
    <w:rsid w:val="003310F5"/>
    <w:rsid w:val="003311B2"/>
    <w:rsid w:val="003316B2"/>
    <w:rsid w:val="0033188D"/>
    <w:rsid w:val="0033261D"/>
    <w:rsid w:val="00332B3E"/>
    <w:rsid w:val="00333353"/>
    <w:rsid w:val="00333723"/>
    <w:rsid w:val="00334426"/>
    <w:rsid w:val="0033584E"/>
    <w:rsid w:val="00335BDB"/>
    <w:rsid w:val="003365AD"/>
    <w:rsid w:val="00337C49"/>
    <w:rsid w:val="00337D2B"/>
    <w:rsid w:val="00341028"/>
    <w:rsid w:val="00341804"/>
    <w:rsid w:val="00341CAB"/>
    <w:rsid w:val="00344232"/>
    <w:rsid w:val="00344ECA"/>
    <w:rsid w:val="00344F76"/>
    <w:rsid w:val="00345AAB"/>
    <w:rsid w:val="0034604D"/>
    <w:rsid w:val="003464C6"/>
    <w:rsid w:val="00347194"/>
    <w:rsid w:val="00347EDC"/>
    <w:rsid w:val="00351A98"/>
    <w:rsid w:val="00351AA9"/>
    <w:rsid w:val="00352576"/>
    <w:rsid w:val="00355463"/>
    <w:rsid w:val="0035548C"/>
    <w:rsid w:val="0035673A"/>
    <w:rsid w:val="0035702B"/>
    <w:rsid w:val="003574EA"/>
    <w:rsid w:val="00360C2C"/>
    <w:rsid w:val="003614A4"/>
    <w:rsid w:val="00361605"/>
    <w:rsid w:val="00363F69"/>
    <w:rsid w:val="003643AB"/>
    <w:rsid w:val="00364923"/>
    <w:rsid w:val="00364B1D"/>
    <w:rsid w:val="003651DF"/>
    <w:rsid w:val="003656B8"/>
    <w:rsid w:val="0036653C"/>
    <w:rsid w:val="00366D76"/>
    <w:rsid w:val="0036738E"/>
    <w:rsid w:val="00371083"/>
    <w:rsid w:val="00371805"/>
    <w:rsid w:val="003719F5"/>
    <w:rsid w:val="00371E7D"/>
    <w:rsid w:val="00372298"/>
    <w:rsid w:val="0037631D"/>
    <w:rsid w:val="003770FF"/>
    <w:rsid w:val="00377E48"/>
    <w:rsid w:val="00380084"/>
    <w:rsid w:val="003801A3"/>
    <w:rsid w:val="00380AB4"/>
    <w:rsid w:val="00381A6F"/>
    <w:rsid w:val="00382142"/>
    <w:rsid w:val="003827AD"/>
    <w:rsid w:val="00382CD8"/>
    <w:rsid w:val="00383AF7"/>
    <w:rsid w:val="003845F0"/>
    <w:rsid w:val="0038471F"/>
    <w:rsid w:val="00384BD0"/>
    <w:rsid w:val="00384DE4"/>
    <w:rsid w:val="003858B1"/>
    <w:rsid w:val="00385952"/>
    <w:rsid w:val="0038632A"/>
    <w:rsid w:val="00387F74"/>
    <w:rsid w:val="00390A55"/>
    <w:rsid w:val="0039179D"/>
    <w:rsid w:val="003917F0"/>
    <w:rsid w:val="00391C56"/>
    <w:rsid w:val="00392082"/>
    <w:rsid w:val="00392BAC"/>
    <w:rsid w:val="00392CA3"/>
    <w:rsid w:val="00394184"/>
    <w:rsid w:val="00394665"/>
    <w:rsid w:val="0039584F"/>
    <w:rsid w:val="00396C68"/>
    <w:rsid w:val="003972AB"/>
    <w:rsid w:val="003A1004"/>
    <w:rsid w:val="003A1EFE"/>
    <w:rsid w:val="003A24ED"/>
    <w:rsid w:val="003A2BFE"/>
    <w:rsid w:val="003A4265"/>
    <w:rsid w:val="003A4C14"/>
    <w:rsid w:val="003A4FD3"/>
    <w:rsid w:val="003A68A1"/>
    <w:rsid w:val="003A7AA7"/>
    <w:rsid w:val="003A7E65"/>
    <w:rsid w:val="003B0573"/>
    <w:rsid w:val="003B0641"/>
    <w:rsid w:val="003B10D1"/>
    <w:rsid w:val="003B1725"/>
    <w:rsid w:val="003B29B2"/>
    <w:rsid w:val="003B3131"/>
    <w:rsid w:val="003B38CA"/>
    <w:rsid w:val="003B3CF2"/>
    <w:rsid w:val="003B3D0B"/>
    <w:rsid w:val="003B6F19"/>
    <w:rsid w:val="003B7406"/>
    <w:rsid w:val="003B795A"/>
    <w:rsid w:val="003C0F9E"/>
    <w:rsid w:val="003C12DB"/>
    <w:rsid w:val="003C1E38"/>
    <w:rsid w:val="003C2802"/>
    <w:rsid w:val="003C28D8"/>
    <w:rsid w:val="003C2BCE"/>
    <w:rsid w:val="003C37B4"/>
    <w:rsid w:val="003C4E57"/>
    <w:rsid w:val="003C5364"/>
    <w:rsid w:val="003C54C8"/>
    <w:rsid w:val="003C65A3"/>
    <w:rsid w:val="003C782E"/>
    <w:rsid w:val="003D0409"/>
    <w:rsid w:val="003D11EE"/>
    <w:rsid w:val="003D1AF2"/>
    <w:rsid w:val="003D1FFE"/>
    <w:rsid w:val="003D2A59"/>
    <w:rsid w:val="003D2B44"/>
    <w:rsid w:val="003D4295"/>
    <w:rsid w:val="003D4854"/>
    <w:rsid w:val="003D4A95"/>
    <w:rsid w:val="003D50FE"/>
    <w:rsid w:val="003D5C11"/>
    <w:rsid w:val="003D66BD"/>
    <w:rsid w:val="003D6E75"/>
    <w:rsid w:val="003E0225"/>
    <w:rsid w:val="003E0996"/>
    <w:rsid w:val="003E0D5D"/>
    <w:rsid w:val="003E28D5"/>
    <w:rsid w:val="003E31A2"/>
    <w:rsid w:val="003E3846"/>
    <w:rsid w:val="003E408B"/>
    <w:rsid w:val="003E41BA"/>
    <w:rsid w:val="003E42BA"/>
    <w:rsid w:val="003E5ED0"/>
    <w:rsid w:val="003E71C9"/>
    <w:rsid w:val="003E740E"/>
    <w:rsid w:val="003E7967"/>
    <w:rsid w:val="003E7E64"/>
    <w:rsid w:val="003F284A"/>
    <w:rsid w:val="003F33A0"/>
    <w:rsid w:val="003F3B34"/>
    <w:rsid w:val="003F493B"/>
    <w:rsid w:val="003F6583"/>
    <w:rsid w:val="003F672F"/>
    <w:rsid w:val="003F69DC"/>
    <w:rsid w:val="003F6A0B"/>
    <w:rsid w:val="003F7009"/>
    <w:rsid w:val="003F761C"/>
    <w:rsid w:val="003F77AC"/>
    <w:rsid w:val="003F7DEA"/>
    <w:rsid w:val="00401842"/>
    <w:rsid w:val="0040213B"/>
    <w:rsid w:val="00402F84"/>
    <w:rsid w:val="00403099"/>
    <w:rsid w:val="00403408"/>
    <w:rsid w:val="004043E5"/>
    <w:rsid w:val="004045AB"/>
    <w:rsid w:val="00405703"/>
    <w:rsid w:val="004061FB"/>
    <w:rsid w:val="0040650A"/>
    <w:rsid w:val="00407D60"/>
    <w:rsid w:val="004115BD"/>
    <w:rsid w:val="0041185C"/>
    <w:rsid w:val="00412EC9"/>
    <w:rsid w:val="00414105"/>
    <w:rsid w:val="00414E09"/>
    <w:rsid w:val="00414FA4"/>
    <w:rsid w:val="00415AFF"/>
    <w:rsid w:val="00415D08"/>
    <w:rsid w:val="00415D3A"/>
    <w:rsid w:val="00420F9B"/>
    <w:rsid w:val="00421032"/>
    <w:rsid w:val="00422820"/>
    <w:rsid w:val="0042302B"/>
    <w:rsid w:val="0042468B"/>
    <w:rsid w:val="00425BAB"/>
    <w:rsid w:val="00426ADD"/>
    <w:rsid w:val="004276B1"/>
    <w:rsid w:val="00427B50"/>
    <w:rsid w:val="004309AC"/>
    <w:rsid w:val="004325C0"/>
    <w:rsid w:val="004340F4"/>
    <w:rsid w:val="00435993"/>
    <w:rsid w:val="00435DE8"/>
    <w:rsid w:val="00436990"/>
    <w:rsid w:val="00440973"/>
    <w:rsid w:val="00442615"/>
    <w:rsid w:val="00442F76"/>
    <w:rsid w:val="00443782"/>
    <w:rsid w:val="00444305"/>
    <w:rsid w:val="00445B30"/>
    <w:rsid w:val="004461AE"/>
    <w:rsid w:val="00446A84"/>
    <w:rsid w:val="004500E7"/>
    <w:rsid w:val="004504B4"/>
    <w:rsid w:val="004508C1"/>
    <w:rsid w:val="00450F3A"/>
    <w:rsid w:val="00452750"/>
    <w:rsid w:val="004533F2"/>
    <w:rsid w:val="00455A2F"/>
    <w:rsid w:val="00463B54"/>
    <w:rsid w:val="00464547"/>
    <w:rsid w:val="004652C2"/>
    <w:rsid w:val="004653AA"/>
    <w:rsid w:val="0046668A"/>
    <w:rsid w:val="004675CD"/>
    <w:rsid w:val="00467884"/>
    <w:rsid w:val="0047091E"/>
    <w:rsid w:val="00472924"/>
    <w:rsid w:val="00473523"/>
    <w:rsid w:val="00473D36"/>
    <w:rsid w:val="00473F26"/>
    <w:rsid w:val="00475B8A"/>
    <w:rsid w:val="0047617F"/>
    <w:rsid w:val="0047635D"/>
    <w:rsid w:val="004764DC"/>
    <w:rsid w:val="00476A68"/>
    <w:rsid w:val="00476C2E"/>
    <w:rsid w:val="00477055"/>
    <w:rsid w:val="00480787"/>
    <w:rsid w:val="00480CBE"/>
    <w:rsid w:val="004810B8"/>
    <w:rsid w:val="004811E4"/>
    <w:rsid w:val="00481B16"/>
    <w:rsid w:val="00481FF1"/>
    <w:rsid w:val="00482A30"/>
    <w:rsid w:val="00483DE4"/>
    <w:rsid w:val="00484A84"/>
    <w:rsid w:val="004850CB"/>
    <w:rsid w:val="00485499"/>
    <w:rsid w:val="00485938"/>
    <w:rsid w:val="00485D46"/>
    <w:rsid w:val="00486B83"/>
    <w:rsid w:val="0049019C"/>
    <w:rsid w:val="00490B66"/>
    <w:rsid w:val="00490CBD"/>
    <w:rsid w:val="00491281"/>
    <w:rsid w:val="00491916"/>
    <w:rsid w:val="00492362"/>
    <w:rsid w:val="00492F49"/>
    <w:rsid w:val="004930C2"/>
    <w:rsid w:val="00493C90"/>
    <w:rsid w:val="00494F99"/>
    <w:rsid w:val="004A017B"/>
    <w:rsid w:val="004A09BD"/>
    <w:rsid w:val="004A131B"/>
    <w:rsid w:val="004A16AC"/>
    <w:rsid w:val="004A1875"/>
    <w:rsid w:val="004A218F"/>
    <w:rsid w:val="004A2BF9"/>
    <w:rsid w:val="004A36E5"/>
    <w:rsid w:val="004A40C7"/>
    <w:rsid w:val="004A5167"/>
    <w:rsid w:val="004A522D"/>
    <w:rsid w:val="004A625D"/>
    <w:rsid w:val="004B16F0"/>
    <w:rsid w:val="004B1752"/>
    <w:rsid w:val="004B186F"/>
    <w:rsid w:val="004B45C6"/>
    <w:rsid w:val="004B45D2"/>
    <w:rsid w:val="004B5EB0"/>
    <w:rsid w:val="004B71D3"/>
    <w:rsid w:val="004B79D0"/>
    <w:rsid w:val="004C0426"/>
    <w:rsid w:val="004C095A"/>
    <w:rsid w:val="004C09BF"/>
    <w:rsid w:val="004C0EE1"/>
    <w:rsid w:val="004C1857"/>
    <w:rsid w:val="004C191A"/>
    <w:rsid w:val="004C215F"/>
    <w:rsid w:val="004C2270"/>
    <w:rsid w:val="004C2686"/>
    <w:rsid w:val="004C2E93"/>
    <w:rsid w:val="004C420F"/>
    <w:rsid w:val="004C7D31"/>
    <w:rsid w:val="004C7DB4"/>
    <w:rsid w:val="004D02A3"/>
    <w:rsid w:val="004D04DD"/>
    <w:rsid w:val="004D12B7"/>
    <w:rsid w:val="004D18D5"/>
    <w:rsid w:val="004D1A35"/>
    <w:rsid w:val="004D2993"/>
    <w:rsid w:val="004D2F10"/>
    <w:rsid w:val="004D41D2"/>
    <w:rsid w:val="004D44F5"/>
    <w:rsid w:val="004D51F0"/>
    <w:rsid w:val="004D575C"/>
    <w:rsid w:val="004D6D1E"/>
    <w:rsid w:val="004E1A0A"/>
    <w:rsid w:val="004E1C94"/>
    <w:rsid w:val="004E1EAC"/>
    <w:rsid w:val="004E30B3"/>
    <w:rsid w:val="004E40F4"/>
    <w:rsid w:val="004E5B64"/>
    <w:rsid w:val="004E6C74"/>
    <w:rsid w:val="004E7396"/>
    <w:rsid w:val="004F0476"/>
    <w:rsid w:val="004F0D64"/>
    <w:rsid w:val="004F104B"/>
    <w:rsid w:val="004F1A8E"/>
    <w:rsid w:val="004F2333"/>
    <w:rsid w:val="004F3119"/>
    <w:rsid w:val="004F3121"/>
    <w:rsid w:val="004F544C"/>
    <w:rsid w:val="004F5BEF"/>
    <w:rsid w:val="004F6389"/>
    <w:rsid w:val="00501E75"/>
    <w:rsid w:val="005020E1"/>
    <w:rsid w:val="00502787"/>
    <w:rsid w:val="00502D4A"/>
    <w:rsid w:val="00503FAF"/>
    <w:rsid w:val="00504F51"/>
    <w:rsid w:val="0050596A"/>
    <w:rsid w:val="00505A7B"/>
    <w:rsid w:val="00506114"/>
    <w:rsid w:val="00506FEF"/>
    <w:rsid w:val="0050786B"/>
    <w:rsid w:val="005078AE"/>
    <w:rsid w:val="00507EA4"/>
    <w:rsid w:val="005103DE"/>
    <w:rsid w:val="005118A7"/>
    <w:rsid w:val="00511C6E"/>
    <w:rsid w:val="005122DE"/>
    <w:rsid w:val="0051339D"/>
    <w:rsid w:val="00514588"/>
    <w:rsid w:val="005156B9"/>
    <w:rsid w:val="00516BDC"/>
    <w:rsid w:val="00520F92"/>
    <w:rsid w:val="0052393D"/>
    <w:rsid w:val="00525AA9"/>
    <w:rsid w:val="00525D84"/>
    <w:rsid w:val="0052662F"/>
    <w:rsid w:val="0052754C"/>
    <w:rsid w:val="00527685"/>
    <w:rsid w:val="00527A1D"/>
    <w:rsid w:val="00530BB8"/>
    <w:rsid w:val="00532053"/>
    <w:rsid w:val="00532697"/>
    <w:rsid w:val="005326B0"/>
    <w:rsid w:val="00533234"/>
    <w:rsid w:val="00533B02"/>
    <w:rsid w:val="0053408F"/>
    <w:rsid w:val="00534237"/>
    <w:rsid w:val="00534332"/>
    <w:rsid w:val="00535290"/>
    <w:rsid w:val="00537C2A"/>
    <w:rsid w:val="00541DFE"/>
    <w:rsid w:val="00542135"/>
    <w:rsid w:val="005422D2"/>
    <w:rsid w:val="00546A93"/>
    <w:rsid w:val="0054734C"/>
    <w:rsid w:val="0054777D"/>
    <w:rsid w:val="00547CE9"/>
    <w:rsid w:val="005502C5"/>
    <w:rsid w:val="00550833"/>
    <w:rsid w:val="00550F94"/>
    <w:rsid w:val="0055147D"/>
    <w:rsid w:val="00552032"/>
    <w:rsid w:val="0055514E"/>
    <w:rsid w:val="0055554B"/>
    <w:rsid w:val="0055666A"/>
    <w:rsid w:val="00556992"/>
    <w:rsid w:val="00556A04"/>
    <w:rsid w:val="00557C31"/>
    <w:rsid w:val="0056079D"/>
    <w:rsid w:val="00561FC9"/>
    <w:rsid w:val="00562038"/>
    <w:rsid w:val="00564C04"/>
    <w:rsid w:val="0056629A"/>
    <w:rsid w:val="005663E5"/>
    <w:rsid w:val="00566F44"/>
    <w:rsid w:val="00566F58"/>
    <w:rsid w:val="00567154"/>
    <w:rsid w:val="00567F9D"/>
    <w:rsid w:val="00570BFA"/>
    <w:rsid w:val="00571925"/>
    <w:rsid w:val="00572168"/>
    <w:rsid w:val="00572844"/>
    <w:rsid w:val="0057295B"/>
    <w:rsid w:val="00572A6B"/>
    <w:rsid w:val="005734A6"/>
    <w:rsid w:val="0057375B"/>
    <w:rsid w:val="00573DE0"/>
    <w:rsid w:val="0057439E"/>
    <w:rsid w:val="00575775"/>
    <w:rsid w:val="005758C7"/>
    <w:rsid w:val="005770DB"/>
    <w:rsid w:val="00577B51"/>
    <w:rsid w:val="00581857"/>
    <w:rsid w:val="005827CE"/>
    <w:rsid w:val="00582BE1"/>
    <w:rsid w:val="00583541"/>
    <w:rsid w:val="005835D4"/>
    <w:rsid w:val="005836BE"/>
    <w:rsid w:val="00583AF3"/>
    <w:rsid w:val="00583E20"/>
    <w:rsid w:val="00585066"/>
    <w:rsid w:val="00586551"/>
    <w:rsid w:val="00586E8F"/>
    <w:rsid w:val="00587511"/>
    <w:rsid w:val="00587A6D"/>
    <w:rsid w:val="00590596"/>
    <w:rsid w:val="00590D4A"/>
    <w:rsid w:val="005912C8"/>
    <w:rsid w:val="005923E4"/>
    <w:rsid w:val="00592750"/>
    <w:rsid w:val="00592FBE"/>
    <w:rsid w:val="005953E1"/>
    <w:rsid w:val="00595C06"/>
    <w:rsid w:val="00595C67"/>
    <w:rsid w:val="00596151"/>
    <w:rsid w:val="005968E3"/>
    <w:rsid w:val="0059697B"/>
    <w:rsid w:val="005A0635"/>
    <w:rsid w:val="005A1E73"/>
    <w:rsid w:val="005A21E3"/>
    <w:rsid w:val="005A299E"/>
    <w:rsid w:val="005A2B5C"/>
    <w:rsid w:val="005A42D6"/>
    <w:rsid w:val="005A6550"/>
    <w:rsid w:val="005A659E"/>
    <w:rsid w:val="005A761F"/>
    <w:rsid w:val="005A77BE"/>
    <w:rsid w:val="005B0F77"/>
    <w:rsid w:val="005B107D"/>
    <w:rsid w:val="005B10F4"/>
    <w:rsid w:val="005B1A52"/>
    <w:rsid w:val="005B1E4D"/>
    <w:rsid w:val="005B362E"/>
    <w:rsid w:val="005B38E9"/>
    <w:rsid w:val="005B445C"/>
    <w:rsid w:val="005B4AD7"/>
    <w:rsid w:val="005B4F01"/>
    <w:rsid w:val="005B5EEB"/>
    <w:rsid w:val="005B6709"/>
    <w:rsid w:val="005B6E97"/>
    <w:rsid w:val="005B70FC"/>
    <w:rsid w:val="005B7759"/>
    <w:rsid w:val="005C122B"/>
    <w:rsid w:val="005C1893"/>
    <w:rsid w:val="005C5B0F"/>
    <w:rsid w:val="005C5F99"/>
    <w:rsid w:val="005C6735"/>
    <w:rsid w:val="005D0276"/>
    <w:rsid w:val="005D1166"/>
    <w:rsid w:val="005D187C"/>
    <w:rsid w:val="005D3882"/>
    <w:rsid w:val="005D5196"/>
    <w:rsid w:val="005D5815"/>
    <w:rsid w:val="005D58F9"/>
    <w:rsid w:val="005D627C"/>
    <w:rsid w:val="005D670E"/>
    <w:rsid w:val="005D775B"/>
    <w:rsid w:val="005E0019"/>
    <w:rsid w:val="005E025C"/>
    <w:rsid w:val="005E13E8"/>
    <w:rsid w:val="005E2920"/>
    <w:rsid w:val="005E32CB"/>
    <w:rsid w:val="005E39BE"/>
    <w:rsid w:val="005E3A0A"/>
    <w:rsid w:val="005E48D1"/>
    <w:rsid w:val="005E4C07"/>
    <w:rsid w:val="005E5CD7"/>
    <w:rsid w:val="005E6453"/>
    <w:rsid w:val="005E6B2C"/>
    <w:rsid w:val="005E746D"/>
    <w:rsid w:val="005E7986"/>
    <w:rsid w:val="005E7C85"/>
    <w:rsid w:val="005F002C"/>
    <w:rsid w:val="005F0DCA"/>
    <w:rsid w:val="005F148D"/>
    <w:rsid w:val="005F1895"/>
    <w:rsid w:val="005F22FF"/>
    <w:rsid w:val="005F233C"/>
    <w:rsid w:val="005F2798"/>
    <w:rsid w:val="005F2824"/>
    <w:rsid w:val="005F2BFF"/>
    <w:rsid w:val="005F46CA"/>
    <w:rsid w:val="005F4E50"/>
    <w:rsid w:val="005F688B"/>
    <w:rsid w:val="005F753E"/>
    <w:rsid w:val="005F7D17"/>
    <w:rsid w:val="00600598"/>
    <w:rsid w:val="006027E9"/>
    <w:rsid w:val="006040D4"/>
    <w:rsid w:val="00604645"/>
    <w:rsid w:val="0060493C"/>
    <w:rsid w:val="006052D6"/>
    <w:rsid w:val="00605BFC"/>
    <w:rsid w:val="00605E9D"/>
    <w:rsid w:val="006109D4"/>
    <w:rsid w:val="006118C9"/>
    <w:rsid w:val="00612111"/>
    <w:rsid w:val="00612355"/>
    <w:rsid w:val="00612B80"/>
    <w:rsid w:val="00612E44"/>
    <w:rsid w:val="0061445C"/>
    <w:rsid w:val="00614522"/>
    <w:rsid w:val="00614D12"/>
    <w:rsid w:val="0061592B"/>
    <w:rsid w:val="0061641C"/>
    <w:rsid w:val="006167C5"/>
    <w:rsid w:val="00616E2A"/>
    <w:rsid w:val="00617510"/>
    <w:rsid w:val="00617F3E"/>
    <w:rsid w:val="00620246"/>
    <w:rsid w:val="00621014"/>
    <w:rsid w:val="00622540"/>
    <w:rsid w:val="00622786"/>
    <w:rsid w:val="00622BF9"/>
    <w:rsid w:val="006233FF"/>
    <w:rsid w:val="00623D97"/>
    <w:rsid w:val="00625E5A"/>
    <w:rsid w:val="00626B4D"/>
    <w:rsid w:val="00626E3C"/>
    <w:rsid w:val="00630247"/>
    <w:rsid w:val="00631000"/>
    <w:rsid w:val="00634576"/>
    <w:rsid w:val="0063472E"/>
    <w:rsid w:val="0063676E"/>
    <w:rsid w:val="00636B58"/>
    <w:rsid w:val="00636CA3"/>
    <w:rsid w:val="006401B1"/>
    <w:rsid w:val="00640AFD"/>
    <w:rsid w:val="00642CFE"/>
    <w:rsid w:val="00642E53"/>
    <w:rsid w:val="00645589"/>
    <w:rsid w:val="00645C1A"/>
    <w:rsid w:val="006503CB"/>
    <w:rsid w:val="006504BB"/>
    <w:rsid w:val="00650607"/>
    <w:rsid w:val="00650A9B"/>
    <w:rsid w:val="006526C3"/>
    <w:rsid w:val="00654561"/>
    <w:rsid w:val="0065470B"/>
    <w:rsid w:val="00654BA1"/>
    <w:rsid w:val="00654E67"/>
    <w:rsid w:val="006557A7"/>
    <w:rsid w:val="00655DDC"/>
    <w:rsid w:val="006570CF"/>
    <w:rsid w:val="00660414"/>
    <w:rsid w:val="00661869"/>
    <w:rsid w:val="00661F58"/>
    <w:rsid w:val="00663B3C"/>
    <w:rsid w:val="00664CFA"/>
    <w:rsid w:val="00666403"/>
    <w:rsid w:val="00670264"/>
    <w:rsid w:val="0067029F"/>
    <w:rsid w:val="00671308"/>
    <w:rsid w:val="0067284D"/>
    <w:rsid w:val="00673340"/>
    <w:rsid w:val="006733F0"/>
    <w:rsid w:val="006739DC"/>
    <w:rsid w:val="00673D97"/>
    <w:rsid w:val="006740EB"/>
    <w:rsid w:val="00674C9A"/>
    <w:rsid w:val="00674E0A"/>
    <w:rsid w:val="00675F4D"/>
    <w:rsid w:val="00676768"/>
    <w:rsid w:val="00676D70"/>
    <w:rsid w:val="00677042"/>
    <w:rsid w:val="0067727B"/>
    <w:rsid w:val="006803A1"/>
    <w:rsid w:val="00681026"/>
    <w:rsid w:val="006818BE"/>
    <w:rsid w:val="00681B6B"/>
    <w:rsid w:val="00681B71"/>
    <w:rsid w:val="00681CE6"/>
    <w:rsid w:val="006824C2"/>
    <w:rsid w:val="00683756"/>
    <w:rsid w:val="00685E25"/>
    <w:rsid w:val="00686065"/>
    <w:rsid w:val="0068651E"/>
    <w:rsid w:val="006867FC"/>
    <w:rsid w:val="00687493"/>
    <w:rsid w:val="006877EC"/>
    <w:rsid w:val="00690A9A"/>
    <w:rsid w:val="00691650"/>
    <w:rsid w:val="0069200E"/>
    <w:rsid w:val="00693061"/>
    <w:rsid w:val="00693D9D"/>
    <w:rsid w:val="00694CA3"/>
    <w:rsid w:val="00694F40"/>
    <w:rsid w:val="006952F5"/>
    <w:rsid w:val="006954F4"/>
    <w:rsid w:val="006956FE"/>
    <w:rsid w:val="00696093"/>
    <w:rsid w:val="00697259"/>
    <w:rsid w:val="006A1457"/>
    <w:rsid w:val="006A2223"/>
    <w:rsid w:val="006A32E2"/>
    <w:rsid w:val="006A37A7"/>
    <w:rsid w:val="006A384E"/>
    <w:rsid w:val="006A4BC9"/>
    <w:rsid w:val="006A52D6"/>
    <w:rsid w:val="006A65C1"/>
    <w:rsid w:val="006A70CA"/>
    <w:rsid w:val="006B2CC4"/>
    <w:rsid w:val="006B32D7"/>
    <w:rsid w:val="006B364E"/>
    <w:rsid w:val="006B3CF7"/>
    <w:rsid w:val="006B474F"/>
    <w:rsid w:val="006B47DF"/>
    <w:rsid w:val="006B4B3A"/>
    <w:rsid w:val="006B4CF7"/>
    <w:rsid w:val="006B4FE1"/>
    <w:rsid w:val="006B5E11"/>
    <w:rsid w:val="006B65E8"/>
    <w:rsid w:val="006B68F9"/>
    <w:rsid w:val="006C0D0D"/>
    <w:rsid w:val="006C0D42"/>
    <w:rsid w:val="006C2739"/>
    <w:rsid w:val="006C413A"/>
    <w:rsid w:val="006C4E06"/>
    <w:rsid w:val="006C5736"/>
    <w:rsid w:val="006C57B2"/>
    <w:rsid w:val="006C7559"/>
    <w:rsid w:val="006C7BC6"/>
    <w:rsid w:val="006D0FF8"/>
    <w:rsid w:val="006D17B2"/>
    <w:rsid w:val="006D1CC5"/>
    <w:rsid w:val="006D1E96"/>
    <w:rsid w:val="006D32DD"/>
    <w:rsid w:val="006D4C93"/>
    <w:rsid w:val="006D56F9"/>
    <w:rsid w:val="006D6461"/>
    <w:rsid w:val="006E08B7"/>
    <w:rsid w:val="006E0CAC"/>
    <w:rsid w:val="006E2783"/>
    <w:rsid w:val="006E480A"/>
    <w:rsid w:val="006E5151"/>
    <w:rsid w:val="006E5D26"/>
    <w:rsid w:val="006E7B33"/>
    <w:rsid w:val="006F02ED"/>
    <w:rsid w:val="006F07C4"/>
    <w:rsid w:val="006F1D3A"/>
    <w:rsid w:val="006F48E8"/>
    <w:rsid w:val="006F5907"/>
    <w:rsid w:val="006F754C"/>
    <w:rsid w:val="006F77AA"/>
    <w:rsid w:val="007005BC"/>
    <w:rsid w:val="00701EFD"/>
    <w:rsid w:val="00702356"/>
    <w:rsid w:val="00702A4C"/>
    <w:rsid w:val="00702D25"/>
    <w:rsid w:val="007039EB"/>
    <w:rsid w:val="00704336"/>
    <w:rsid w:val="0070486F"/>
    <w:rsid w:val="0070569D"/>
    <w:rsid w:val="0070609E"/>
    <w:rsid w:val="00706CBB"/>
    <w:rsid w:val="0070714A"/>
    <w:rsid w:val="007072D2"/>
    <w:rsid w:val="00710F87"/>
    <w:rsid w:val="007118DC"/>
    <w:rsid w:val="007127C2"/>
    <w:rsid w:val="007138C0"/>
    <w:rsid w:val="00713989"/>
    <w:rsid w:val="00716053"/>
    <w:rsid w:val="0072108A"/>
    <w:rsid w:val="00721178"/>
    <w:rsid w:val="00721F32"/>
    <w:rsid w:val="007226E6"/>
    <w:rsid w:val="0072294B"/>
    <w:rsid w:val="0072471F"/>
    <w:rsid w:val="00725B7F"/>
    <w:rsid w:val="00725F09"/>
    <w:rsid w:val="0073121B"/>
    <w:rsid w:val="00732689"/>
    <w:rsid w:val="007342F5"/>
    <w:rsid w:val="00734A0C"/>
    <w:rsid w:val="007354E1"/>
    <w:rsid w:val="00735A53"/>
    <w:rsid w:val="007361CC"/>
    <w:rsid w:val="00736A9C"/>
    <w:rsid w:val="007371C3"/>
    <w:rsid w:val="00740C94"/>
    <w:rsid w:val="00741C75"/>
    <w:rsid w:val="00744A7B"/>
    <w:rsid w:val="007506AD"/>
    <w:rsid w:val="007513C2"/>
    <w:rsid w:val="00751CDC"/>
    <w:rsid w:val="007534F9"/>
    <w:rsid w:val="00754579"/>
    <w:rsid w:val="00754A20"/>
    <w:rsid w:val="00760479"/>
    <w:rsid w:val="0076207A"/>
    <w:rsid w:val="00762DF3"/>
    <w:rsid w:val="0076317F"/>
    <w:rsid w:val="007631A5"/>
    <w:rsid w:val="00763C50"/>
    <w:rsid w:val="00765887"/>
    <w:rsid w:val="007659F7"/>
    <w:rsid w:val="00767A6E"/>
    <w:rsid w:val="00767F4F"/>
    <w:rsid w:val="00770989"/>
    <w:rsid w:val="00770D87"/>
    <w:rsid w:val="0077134A"/>
    <w:rsid w:val="00771866"/>
    <w:rsid w:val="00771CEE"/>
    <w:rsid w:val="00772816"/>
    <w:rsid w:val="00772F89"/>
    <w:rsid w:val="007734FA"/>
    <w:rsid w:val="00773AE9"/>
    <w:rsid w:val="0077414E"/>
    <w:rsid w:val="0077420E"/>
    <w:rsid w:val="00774716"/>
    <w:rsid w:val="00775CE7"/>
    <w:rsid w:val="00777FC2"/>
    <w:rsid w:val="00780405"/>
    <w:rsid w:val="00782400"/>
    <w:rsid w:val="00782B23"/>
    <w:rsid w:val="00784753"/>
    <w:rsid w:val="00785E22"/>
    <w:rsid w:val="0078698F"/>
    <w:rsid w:val="00786C1A"/>
    <w:rsid w:val="007916CF"/>
    <w:rsid w:val="00793220"/>
    <w:rsid w:val="007936CA"/>
    <w:rsid w:val="0079400A"/>
    <w:rsid w:val="007956E1"/>
    <w:rsid w:val="0079657E"/>
    <w:rsid w:val="00796EED"/>
    <w:rsid w:val="00797269"/>
    <w:rsid w:val="00797762"/>
    <w:rsid w:val="007A0121"/>
    <w:rsid w:val="007A089F"/>
    <w:rsid w:val="007A0B8A"/>
    <w:rsid w:val="007A113D"/>
    <w:rsid w:val="007A28E4"/>
    <w:rsid w:val="007A2AA1"/>
    <w:rsid w:val="007A2E6B"/>
    <w:rsid w:val="007A32C9"/>
    <w:rsid w:val="007A3682"/>
    <w:rsid w:val="007A3AF0"/>
    <w:rsid w:val="007A48B5"/>
    <w:rsid w:val="007A5DF0"/>
    <w:rsid w:val="007A61C1"/>
    <w:rsid w:val="007A6935"/>
    <w:rsid w:val="007A71B8"/>
    <w:rsid w:val="007B0B3C"/>
    <w:rsid w:val="007B0D94"/>
    <w:rsid w:val="007B1993"/>
    <w:rsid w:val="007B3779"/>
    <w:rsid w:val="007B3801"/>
    <w:rsid w:val="007B3D2F"/>
    <w:rsid w:val="007B6B4B"/>
    <w:rsid w:val="007B6FF1"/>
    <w:rsid w:val="007B748A"/>
    <w:rsid w:val="007C006F"/>
    <w:rsid w:val="007C0899"/>
    <w:rsid w:val="007C0BE4"/>
    <w:rsid w:val="007C18FF"/>
    <w:rsid w:val="007C1E11"/>
    <w:rsid w:val="007C3AA4"/>
    <w:rsid w:val="007C3F00"/>
    <w:rsid w:val="007C594D"/>
    <w:rsid w:val="007C729D"/>
    <w:rsid w:val="007D0259"/>
    <w:rsid w:val="007D1062"/>
    <w:rsid w:val="007D280D"/>
    <w:rsid w:val="007D2F11"/>
    <w:rsid w:val="007D4101"/>
    <w:rsid w:val="007D5E72"/>
    <w:rsid w:val="007D61B8"/>
    <w:rsid w:val="007D6207"/>
    <w:rsid w:val="007D6EAB"/>
    <w:rsid w:val="007D7330"/>
    <w:rsid w:val="007D74CF"/>
    <w:rsid w:val="007E0CC4"/>
    <w:rsid w:val="007E2F46"/>
    <w:rsid w:val="007E3122"/>
    <w:rsid w:val="007E44B8"/>
    <w:rsid w:val="007E4CF2"/>
    <w:rsid w:val="007E4E76"/>
    <w:rsid w:val="007E549A"/>
    <w:rsid w:val="007E6653"/>
    <w:rsid w:val="007F0F26"/>
    <w:rsid w:val="007F144E"/>
    <w:rsid w:val="007F25B5"/>
    <w:rsid w:val="007F2B39"/>
    <w:rsid w:val="007F34DE"/>
    <w:rsid w:val="007F3711"/>
    <w:rsid w:val="007F3DC3"/>
    <w:rsid w:val="007F4235"/>
    <w:rsid w:val="007F4F69"/>
    <w:rsid w:val="007F5994"/>
    <w:rsid w:val="007F5FD9"/>
    <w:rsid w:val="007F684E"/>
    <w:rsid w:val="007F6C99"/>
    <w:rsid w:val="007F782B"/>
    <w:rsid w:val="007F7ABA"/>
    <w:rsid w:val="00800F06"/>
    <w:rsid w:val="00801EF5"/>
    <w:rsid w:val="00802350"/>
    <w:rsid w:val="00803BAD"/>
    <w:rsid w:val="00804F3E"/>
    <w:rsid w:val="008056DF"/>
    <w:rsid w:val="00805F86"/>
    <w:rsid w:val="00806606"/>
    <w:rsid w:val="00806850"/>
    <w:rsid w:val="008069B1"/>
    <w:rsid w:val="0080767E"/>
    <w:rsid w:val="00807A49"/>
    <w:rsid w:val="00807AE5"/>
    <w:rsid w:val="00810199"/>
    <w:rsid w:val="00811B86"/>
    <w:rsid w:val="00812D37"/>
    <w:rsid w:val="0081332B"/>
    <w:rsid w:val="00813578"/>
    <w:rsid w:val="0081398C"/>
    <w:rsid w:val="008142A3"/>
    <w:rsid w:val="00815289"/>
    <w:rsid w:val="008166F9"/>
    <w:rsid w:val="0081770F"/>
    <w:rsid w:val="00817B55"/>
    <w:rsid w:val="00817C61"/>
    <w:rsid w:val="008205AF"/>
    <w:rsid w:val="00820C8B"/>
    <w:rsid w:val="0082169E"/>
    <w:rsid w:val="00821D61"/>
    <w:rsid w:val="00822004"/>
    <w:rsid w:val="00822781"/>
    <w:rsid w:val="00822E47"/>
    <w:rsid w:val="00822E8C"/>
    <w:rsid w:val="00824500"/>
    <w:rsid w:val="008257AD"/>
    <w:rsid w:val="00825DC6"/>
    <w:rsid w:val="008271B5"/>
    <w:rsid w:val="008271D3"/>
    <w:rsid w:val="00827256"/>
    <w:rsid w:val="00827555"/>
    <w:rsid w:val="00827608"/>
    <w:rsid w:val="00830411"/>
    <w:rsid w:val="00830D42"/>
    <w:rsid w:val="00833A52"/>
    <w:rsid w:val="0083436B"/>
    <w:rsid w:val="0083712E"/>
    <w:rsid w:val="0084096B"/>
    <w:rsid w:val="00840B60"/>
    <w:rsid w:val="00840D41"/>
    <w:rsid w:val="008414C8"/>
    <w:rsid w:val="00841501"/>
    <w:rsid w:val="0084303E"/>
    <w:rsid w:val="008448A3"/>
    <w:rsid w:val="00845B53"/>
    <w:rsid w:val="008463AD"/>
    <w:rsid w:val="00846626"/>
    <w:rsid w:val="008506E5"/>
    <w:rsid w:val="00851920"/>
    <w:rsid w:val="008520DF"/>
    <w:rsid w:val="00853EB9"/>
    <w:rsid w:val="00854F5A"/>
    <w:rsid w:val="00855F7F"/>
    <w:rsid w:val="0085725B"/>
    <w:rsid w:val="008609B5"/>
    <w:rsid w:val="00860AB1"/>
    <w:rsid w:val="00860B6D"/>
    <w:rsid w:val="0086152E"/>
    <w:rsid w:val="00863886"/>
    <w:rsid w:val="00863A83"/>
    <w:rsid w:val="00863BDF"/>
    <w:rsid w:val="008652D5"/>
    <w:rsid w:val="008664CA"/>
    <w:rsid w:val="00866C0B"/>
    <w:rsid w:val="00867464"/>
    <w:rsid w:val="008675C2"/>
    <w:rsid w:val="0087015A"/>
    <w:rsid w:val="00870A5C"/>
    <w:rsid w:val="008716D5"/>
    <w:rsid w:val="00871A8C"/>
    <w:rsid w:val="00871B67"/>
    <w:rsid w:val="008738F3"/>
    <w:rsid w:val="008742A3"/>
    <w:rsid w:val="00874C61"/>
    <w:rsid w:val="00875095"/>
    <w:rsid w:val="0087550E"/>
    <w:rsid w:val="00875812"/>
    <w:rsid w:val="00875AEB"/>
    <w:rsid w:val="00876CE0"/>
    <w:rsid w:val="00881060"/>
    <w:rsid w:val="00881136"/>
    <w:rsid w:val="00881C90"/>
    <w:rsid w:val="008822F8"/>
    <w:rsid w:val="0088334D"/>
    <w:rsid w:val="0088413C"/>
    <w:rsid w:val="00884162"/>
    <w:rsid w:val="00884DCE"/>
    <w:rsid w:val="008853EC"/>
    <w:rsid w:val="00885599"/>
    <w:rsid w:val="008876D3"/>
    <w:rsid w:val="008877F1"/>
    <w:rsid w:val="00887DA1"/>
    <w:rsid w:val="00887EB2"/>
    <w:rsid w:val="008907E0"/>
    <w:rsid w:val="00890908"/>
    <w:rsid w:val="00892B72"/>
    <w:rsid w:val="008930B7"/>
    <w:rsid w:val="00893A03"/>
    <w:rsid w:val="00893BAA"/>
    <w:rsid w:val="00893EFD"/>
    <w:rsid w:val="008948FA"/>
    <w:rsid w:val="0089622D"/>
    <w:rsid w:val="00896F4D"/>
    <w:rsid w:val="00897290"/>
    <w:rsid w:val="008974E9"/>
    <w:rsid w:val="008A00B2"/>
    <w:rsid w:val="008A07C3"/>
    <w:rsid w:val="008A17F5"/>
    <w:rsid w:val="008A22B2"/>
    <w:rsid w:val="008A2B7B"/>
    <w:rsid w:val="008A2CB4"/>
    <w:rsid w:val="008A3B62"/>
    <w:rsid w:val="008A4CD1"/>
    <w:rsid w:val="008A5778"/>
    <w:rsid w:val="008A5F06"/>
    <w:rsid w:val="008A62CE"/>
    <w:rsid w:val="008A662D"/>
    <w:rsid w:val="008A7088"/>
    <w:rsid w:val="008A719C"/>
    <w:rsid w:val="008B0CAA"/>
    <w:rsid w:val="008B0F78"/>
    <w:rsid w:val="008B14A1"/>
    <w:rsid w:val="008B1838"/>
    <w:rsid w:val="008B2A6A"/>
    <w:rsid w:val="008B2F58"/>
    <w:rsid w:val="008B3189"/>
    <w:rsid w:val="008B3A13"/>
    <w:rsid w:val="008B4D04"/>
    <w:rsid w:val="008B5067"/>
    <w:rsid w:val="008B5113"/>
    <w:rsid w:val="008B65FE"/>
    <w:rsid w:val="008B6CCD"/>
    <w:rsid w:val="008B6DD0"/>
    <w:rsid w:val="008B7B2D"/>
    <w:rsid w:val="008B7D87"/>
    <w:rsid w:val="008C0DBF"/>
    <w:rsid w:val="008C1BB2"/>
    <w:rsid w:val="008C2FBB"/>
    <w:rsid w:val="008C3C71"/>
    <w:rsid w:val="008C4BF7"/>
    <w:rsid w:val="008C5F2A"/>
    <w:rsid w:val="008C7AFC"/>
    <w:rsid w:val="008C7C3B"/>
    <w:rsid w:val="008C7D91"/>
    <w:rsid w:val="008D11E2"/>
    <w:rsid w:val="008D3817"/>
    <w:rsid w:val="008D3DCE"/>
    <w:rsid w:val="008D49AD"/>
    <w:rsid w:val="008D57B6"/>
    <w:rsid w:val="008D598A"/>
    <w:rsid w:val="008D7751"/>
    <w:rsid w:val="008D7D5B"/>
    <w:rsid w:val="008E04A3"/>
    <w:rsid w:val="008E0C52"/>
    <w:rsid w:val="008E11D3"/>
    <w:rsid w:val="008E4996"/>
    <w:rsid w:val="008E5165"/>
    <w:rsid w:val="008E5528"/>
    <w:rsid w:val="008E57F3"/>
    <w:rsid w:val="008E5900"/>
    <w:rsid w:val="008E60DD"/>
    <w:rsid w:val="008E72F4"/>
    <w:rsid w:val="008E7AF6"/>
    <w:rsid w:val="008E7F0D"/>
    <w:rsid w:val="008F02A1"/>
    <w:rsid w:val="008F0813"/>
    <w:rsid w:val="008F2FE9"/>
    <w:rsid w:val="008F31F9"/>
    <w:rsid w:val="008F3C5C"/>
    <w:rsid w:val="008F4712"/>
    <w:rsid w:val="008F522E"/>
    <w:rsid w:val="008F5493"/>
    <w:rsid w:val="008F5EBD"/>
    <w:rsid w:val="008F5FE6"/>
    <w:rsid w:val="008F6EA7"/>
    <w:rsid w:val="008F6FF4"/>
    <w:rsid w:val="008F72F0"/>
    <w:rsid w:val="0090028F"/>
    <w:rsid w:val="00900833"/>
    <w:rsid w:val="009009DC"/>
    <w:rsid w:val="0090179C"/>
    <w:rsid w:val="00901FC1"/>
    <w:rsid w:val="00902A7B"/>
    <w:rsid w:val="00904F11"/>
    <w:rsid w:val="00905AAA"/>
    <w:rsid w:val="0090619B"/>
    <w:rsid w:val="00906B25"/>
    <w:rsid w:val="00907192"/>
    <w:rsid w:val="00910871"/>
    <w:rsid w:val="0091143B"/>
    <w:rsid w:val="0091173D"/>
    <w:rsid w:val="00911E63"/>
    <w:rsid w:val="009126E8"/>
    <w:rsid w:val="00912B7A"/>
    <w:rsid w:val="00914354"/>
    <w:rsid w:val="009158D0"/>
    <w:rsid w:val="00915F5D"/>
    <w:rsid w:val="009160ED"/>
    <w:rsid w:val="009220E3"/>
    <w:rsid w:val="0092313E"/>
    <w:rsid w:val="00924586"/>
    <w:rsid w:val="009245B3"/>
    <w:rsid w:val="0092484D"/>
    <w:rsid w:val="009253B9"/>
    <w:rsid w:val="00926F1A"/>
    <w:rsid w:val="00927196"/>
    <w:rsid w:val="00931A4B"/>
    <w:rsid w:val="00934540"/>
    <w:rsid w:val="00935905"/>
    <w:rsid w:val="00936446"/>
    <w:rsid w:val="0093695F"/>
    <w:rsid w:val="00936A8A"/>
    <w:rsid w:val="0094001B"/>
    <w:rsid w:val="0094023F"/>
    <w:rsid w:val="0094084C"/>
    <w:rsid w:val="00941E9C"/>
    <w:rsid w:val="00944942"/>
    <w:rsid w:val="00945D8B"/>
    <w:rsid w:val="00945E42"/>
    <w:rsid w:val="00946642"/>
    <w:rsid w:val="00946847"/>
    <w:rsid w:val="00946AE4"/>
    <w:rsid w:val="00946FC7"/>
    <w:rsid w:val="00951449"/>
    <w:rsid w:val="00951B1E"/>
    <w:rsid w:val="00952B52"/>
    <w:rsid w:val="00953EEA"/>
    <w:rsid w:val="00954445"/>
    <w:rsid w:val="0095586B"/>
    <w:rsid w:val="00955B35"/>
    <w:rsid w:val="00956675"/>
    <w:rsid w:val="00960732"/>
    <w:rsid w:val="00960EAD"/>
    <w:rsid w:val="009610D8"/>
    <w:rsid w:val="009613CE"/>
    <w:rsid w:val="0096202D"/>
    <w:rsid w:val="00962F2A"/>
    <w:rsid w:val="00963E18"/>
    <w:rsid w:val="00964C04"/>
    <w:rsid w:val="00965929"/>
    <w:rsid w:val="00966208"/>
    <w:rsid w:val="00966614"/>
    <w:rsid w:val="0096764A"/>
    <w:rsid w:val="00967AB9"/>
    <w:rsid w:val="0097116B"/>
    <w:rsid w:val="00971C7D"/>
    <w:rsid w:val="00971F55"/>
    <w:rsid w:val="0097233A"/>
    <w:rsid w:val="00974B3E"/>
    <w:rsid w:val="00975343"/>
    <w:rsid w:val="00975684"/>
    <w:rsid w:val="00975DED"/>
    <w:rsid w:val="009769F0"/>
    <w:rsid w:val="00976D25"/>
    <w:rsid w:val="00976EB2"/>
    <w:rsid w:val="00977126"/>
    <w:rsid w:val="009774BF"/>
    <w:rsid w:val="009815B7"/>
    <w:rsid w:val="009826D5"/>
    <w:rsid w:val="009829DD"/>
    <w:rsid w:val="00984BFF"/>
    <w:rsid w:val="00985320"/>
    <w:rsid w:val="00986064"/>
    <w:rsid w:val="0098712B"/>
    <w:rsid w:val="00990483"/>
    <w:rsid w:val="009907F3"/>
    <w:rsid w:val="00990C9A"/>
    <w:rsid w:val="0099177A"/>
    <w:rsid w:val="00991E70"/>
    <w:rsid w:val="009921B7"/>
    <w:rsid w:val="00992425"/>
    <w:rsid w:val="009928DB"/>
    <w:rsid w:val="00993AFE"/>
    <w:rsid w:val="00993F19"/>
    <w:rsid w:val="0099440A"/>
    <w:rsid w:val="00994509"/>
    <w:rsid w:val="0099484E"/>
    <w:rsid w:val="00994F6C"/>
    <w:rsid w:val="009960E8"/>
    <w:rsid w:val="009A261D"/>
    <w:rsid w:val="009A2941"/>
    <w:rsid w:val="009A2BE6"/>
    <w:rsid w:val="009A3B83"/>
    <w:rsid w:val="009A4BCD"/>
    <w:rsid w:val="009A5169"/>
    <w:rsid w:val="009A58A3"/>
    <w:rsid w:val="009A6C61"/>
    <w:rsid w:val="009B1695"/>
    <w:rsid w:val="009B3167"/>
    <w:rsid w:val="009B3367"/>
    <w:rsid w:val="009B3801"/>
    <w:rsid w:val="009B3BFA"/>
    <w:rsid w:val="009B3DEF"/>
    <w:rsid w:val="009B4638"/>
    <w:rsid w:val="009B540E"/>
    <w:rsid w:val="009C1683"/>
    <w:rsid w:val="009C2059"/>
    <w:rsid w:val="009C27DE"/>
    <w:rsid w:val="009C286B"/>
    <w:rsid w:val="009C4E33"/>
    <w:rsid w:val="009C4E85"/>
    <w:rsid w:val="009C52A1"/>
    <w:rsid w:val="009C56E7"/>
    <w:rsid w:val="009C56F5"/>
    <w:rsid w:val="009C5AF9"/>
    <w:rsid w:val="009C6350"/>
    <w:rsid w:val="009C6CAA"/>
    <w:rsid w:val="009C720A"/>
    <w:rsid w:val="009D03F9"/>
    <w:rsid w:val="009D21A4"/>
    <w:rsid w:val="009D3652"/>
    <w:rsid w:val="009D4E44"/>
    <w:rsid w:val="009D4E6E"/>
    <w:rsid w:val="009D5FEE"/>
    <w:rsid w:val="009D6704"/>
    <w:rsid w:val="009D6B18"/>
    <w:rsid w:val="009D7D19"/>
    <w:rsid w:val="009E0865"/>
    <w:rsid w:val="009E143C"/>
    <w:rsid w:val="009E1B17"/>
    <w:rsid w:val="009E23DE"/>
    <w:rsid w:val="009E4305"/>
    <w:rsid w:val="009E5078"/>
    <w:rsid w:val="009E51FC"/>
    <w:rsid w:val="009E6674"/>
    <w:rsid w:val="009E6AF8"/>
    <w:rsid w:val="009E7AD9"/>
    <w:rsid w:val="009F01EF"/>
    <w:rsid w:val="009F148F"/>
    <w:rsid w:val="009F21CB"/>
    <w:rsid w:val="009F248E"/>
    <w:rsid w:val="009F2A5A"/>
    <w:rsid w:val="009F3511"/>
    <w:rsid w:val="009F3DD4"/>
    <w:rsid w:val="009F4BCF"/>
    <w:rsid w:val="009F5195"/>
    <w:rsid w:val="009F7362"/>
    <w:rsid w:val="009F73E3"/>
    <w:rsid w:val="00A000F5"/>
    <w:rsid w:val="00A00267"/>
    <w:rsid w:val="00A00670"/>
    <w:rsid w:val="00A00994"/>
    <w:rsid w:val="00A00D18"/>
    <w:rsid w:val="00A0107C"/>
    <w:rsid w:val="00A023D0"/>
    <w:rsid w:val="00A024E9"/>
    <w:rsid w:val="00A04CD5"/>
    <w:rsid w:val="00A058D8"/>
    <w:rsid w:val="00A0608A"/>
    <w:rsid w:val="00A11892"/>
    <w:rsid w:val="00A120C7"/>
    <w:rsid w:val="00A12423"/>
    <w:rsid w:val="00A12BD3"/>
    <w:rsid w:val="00A13D03"/>
    <w:rsid w:val="00A14811"/>
    <w:rsid w:val="00A14E13"/>
    <w:rsid w:val="00A17137"/>
    <w:rsid w:val="00A172A3"/>
    <w:rsid w:val="00A2109F"/>
    <w:rsid w:val="00A21876"/>
    <w:rsid w:val="00A219BE"/>
    <w:rsid w:val="00A22791"/>
    <w:rsid w:val="00A22A3B"/>
    <w:rsid w:val="00A22D12"/>
    <w:rsid w:val="00A2388D"/>
    <w:rsid w:val="00A23F4F"/>
    <w:rsid w:val="00A24545"/>
    <w:rsid w:val="00A249DF"/>
    <w:rsid w:val="00A24A8A"/>
    <w:rsid w:val="00A25487"/>
    <w:rsid w:val="00A25BBF"/>
    <w:rsid w:val="00A2679E"/>
    <w:rsid w:val="00A272B6"/>
    <w:rsid w:val="00A278F9"/>
    <w:rsid w:val="00A302E5"/>
    <w:rsid w:val="00A31A92"/>
    <w:rsid w:val="00A32E75"/>
    <w:rsid w:val="00A33BD5"/>
    <w:rsid w:val="00A349B5"/>
    <w:rsid w:val="00A360AA"/>
    <w:rsid w:val="00A36502"/>
    <w:rsid w:val="00A3678F"/>
    <w:rsid w:val="00A377C3"/>
    <w:rsid w:val="00A40AD7"/>
    <w:rsid w:val="00A421C6"/>
    <w:rsid w:val="00A42B99"/>
    <w:rsid w:val="00A42C33"/>
    <w:rsid w:val="00A44228"/>
    <w:rsid w:val="00A44312"/>
    <w:rsid w:val="00A447CE"/>
    <w:rsid w:val="00A4576E"/>
    <w:rsid w:val="00A50672"/>
    <w:rsid w:val="00A51065"/>
    <w:rsid w:val="00A5110F"/>
    <w:rsid w:val="00A5286D"/>
    <w:rsid w:val="00A5288B"/>
    <w:rsid w:val="00A52A82"/>
    <w:rsid w:val="00A52EA7"/>
    <w:rsid w:val="00A52EB1"/>
    <w:rsid w:val="00A53C45"/>
    <w:rsid w:val="00A542E0"/>
    <w:rsid w:val="00A545C4"/>
    <w:rsid w:val="00A55172"/>
    <w:rsid w:val="00A5571A"/>
    <w:rsid w:val="00A56459"/>
    <w:rsid w:val="00A60D5B"/>
    <w:rsid w:val="00A61E5C"/>
    <w:rsid w:val="00A634AA"/>
    <w:rsid w:val="00A63778"/>
    <w:rsid w:val="00A6413A"/>
    <w:rsid w:val="00A64B0D"/>
    <w:rsid w:val="00A64FA9"/>
    <w:rsid w:val="00A650BD"/>
    <w:rsid w:val="00A66526"/>
    <w:rsid w:val="00A6675C"/>
    <w:rsid w:val="00A70DB0"/>
    <w:rsid w:val="00A71405"/>
    <w:rsid w:val="00A74D8D"/>
    <w:rsid w:val="00A77375"/>
    <w:rsid w:val="00A80922"/>
    <w:rsid w:val="00A81780"/>
    <w:rsid w:val="00A82243"/>
    <w:rsid w:val="00A832EA"/>
    <w:rsid w:val="00A83CD9"/>
    <w:rsid w:val="00A842FD"/>
    <w:rsid w:val="00A84CB4"/>
    <w:rsid w:val="00A850E2"/>
    <w:rsid w:val="00A87853"/>
    <w:rsid w:val="00A87D71"/>
    <w:rsid w:val="00A87F06"/>
    <w:rsid w:val="00A91995"/>
    <w:rsid w:val="00A91E19"/>
    <w:rsid w:val="00A93101"/>
    <w:rsid w:val="00A93631"/>
    <w:rsid w:val="00A936DB"/>
    <w:rsid w:val="00A9408C"/>
    <w:rsid w:val="00A95545"/>
    <w:rsid w:val="00A9676C"/>
    <w:rsid w:val="00A96E83"/>
    <w:rsid w:val="00A970C5"/>
    <w:rsid w:val="00A973B7"/>
    <w:rsid w:val="00A97470"/>
    <w:rsid w:val="00A97A31"/>
    <w:rsid w:val="00AA0631"/>
    <w:rsid w:val="00AA0A61"/>
    <w:rsid w:val="00AA10D6"/>
    <w:rsid w:val="00AA20CA"/>
    <w:rsid w:val="00AA238B"/>
    <w:rsid w:val="00AA326C"/>
    <w:rsid w:val="00AA43D6"/>
    <w:rsid w:val="00AA59FE"/>
    <w:rsid w:val="00AA5D6C"/>
    <w:rsid w:val="00AA6AD8"/>
    <w:rsid w:val="00AA7197"/>
    <w:rsid w:val="00AA746A"/>
    <w:rsid w:val="00AB025D"/>
    <w:rsid w:val="00AB04E9"/>
    <w:rsid w:val="00AB14F8"/>
    <w:rsid w:val="00AB1724"/>
    <w:rsid w:val="00AB2309"/>
    <w:rsid w:val="00AB3143"/>
    <w:rsid w:val="00AB33D1"/>
    <w:rsid w:val="00AB3CB0"/>
    <w:rsid w:val="00AB4A86"/>
    <w:rsid w:val="00AB4BE6"/>
    <w:rsid w:val="00AB53B2"/>
    <w:rsid w:val="00AB646B"/>
    <w:rsid w:val="00AB665A"/>
    <w:rsid w:val="00AB6D5A"/>
    <w:rsid w:val="00AC04D9"/>
    <w:rsid w:val="00AC1004"/>
    <w:rsid w:val="00AC1AC5"/>
    <w:rsid w:val="00AC1DA9"/>
    <w:rsid w:val="00AC1EBE"/>
    <w:rsid w:val="00AC2412"/>
    <w:rsid w:val="00AC2BA8"/>
    <w:rsid w:val="00AC42EC"/>
    <w:rsid w:val="00AC4971"/>
    <w:rsid w:val="00AC5CBF"/>
    <w:rsid w:val="00AD02E9"/>
    <w:rsid w:val="00AD0677"/>
    <w:rsid w:val="00AD08CB"/>
    <w:rsid w:val="00AD167D"/>
    <w:rsid w:val="00AD1B66"/>
    <w:rsid w:val="00AD2333"/>
    <w:rsid w:val="00AD2EF5"/>
    <w:rsid w:val="00AD4EAF"/>
    <w:rsid w:val="00AD589F"/>
    <w:rsid w:val="00AD61DE"/>
    <w:rsid w:val="00AD7719"/>
    <w:rsid w:val="00AE05F0"/>
    <w:rsid w:val="00AE0B58"/>
    <w:rsid w:val="00AE3302"/>
    <w:rsid w:val="00AE3686"/>
    <w:rsid w:val="00AE3689"/>
    <w:rsid w:val="00AE3C7E"/>
    <w:rsid w:val="00AE54D7"/>
    <w:rsid w:val="00AE59D7"/>
    <w:rsid w:val="00AE7983"/>
    <w:rsid w:val="00AF0F14"/>
    <w:rsid w:val="00AF0F75"/>
    <w:rsid w:val="00AF1362"/>
    <w:rsid w:val="00AF17FD"/>
    <w:rsid w:val="00AF2951"/>
    <w:rsid w:val="00AF29BD"/>
    <w:rsid w:val="00AF41D2"/>
    <w:rsid w:val="00AF4B9F"/>
    <w:rsid w:val="00AF4BC9"/>
    <w:rsid w:val="00AF580B"/>
    <w:rsid w:val="00AF680E"/>
    <w:rsid w:val="00AF770D"/>
    <w:rsid w:val="00AF7B0F"/>
    <w:rsid w:val="00AF7F15"/>
    <w:rsid w:val="00B0128A"/>
    <w:rsid w:val="00B015C9"/>
    <w:rsid w:val="00B03F0A"/>
    <w:rsid w:val="00B055BF"/>
    <w:rsid w:val="00B06140"/>
    <w:rsid w:val="00B062A9"/>
    <w:rsid w:val="00B06E53"/>
    <w:rsid w:val="00B070E9"/>
    <w:rsid w:val="00B108C1"/>
    <w:rsid w:val="00B11017"/>
    <w:rsid w:val="00B112C1"/>
    <w:rsid w:val="00B11FFD"/>
    <w:rsid w:val="00B12629"/>
    <w:rsid w:val="00B13F36"/>
    <w:rsid w:val="00B1486C"/>
    <w:rsid w:val="00B15352"/>
    <w:rsid w:val="00B154E1"/>
    <w:rsid w:val="00B2005B"/>
    <w:rsid w:val="00B2135D"/>
    <w:rsid w:val="00B227B0"/>
    <w:rsid w:val="00B227CF"/>
    <w:rsid w:val="00B22E5A"/>
    <w:rsid w:val="00B2323E"/>
    <w:rsid w:val="00B23322"/>
    <w:rsid w:val="00B23515"/>
    <w:rsid w:val="00B24FE8"/>
    <w:rsid w:val="00B2555D"/>
    <w:rsid w:val="00B25E66"/>
    <w:rsid w:val="00B26B4D"/>
    <w:rsid w:val="00B270CB"/>
    <w:rsid w:val="00B31443"/>
    <w:rsid w:val="00B33A39"/>
    <w:rsid w:val="00B33C3F"/>
    <w:rsid w:val="00B36424"/>
    <w:rsid w:val="00B36A74"/>
    <w:rsid w:val="00B3734F"/>
    <w:rsid w:val="00B37984"/>
    <w:rsid w:val="00B40B85"/>
    <w:rsid w:val="00B418E6"/>
    <w:rsid w:val="00B44312"/>
    <w:rsid w:val="00B443B8"/>
    <w:rsid w:val="00B502C3"/>
    <w:rsid w:val="00B51E5B"/>
    <w:rsid w:val="00B5200D"/>
    <w:rsid w:val="00B5283F"/>
    <w:rsid w:val="00B54DD8"/>
    <w:rsid w:val="00B554DD"/>
    <w:rsid w:val="00B577DF"/>
    <w:rsid w:val="00B6063F"/>
    <w:rsid w:val="00B61028"/>
    <w:rsid w:val="00B61191"/>
    <w:rsid w:val="00B6157D"/>
    <w:rsid w:val="00B62B55"/>
    <w:rsid w:val="00B640B0"/>
    <w:rsid w:val="00B64A8F"/>
    <w:rsid w:val="00B66096"/>
    <w:rsid w:val="00B66695"/>
    <w:rsid w:val="00B66DB1"/>
    <w:rsid w:val="00B70220"/>
    <w:rsid w:val="00B71349"/>
    <w:rsid w:val="00B71BAC"/>
    <w:rsid w:val="00B73CE1"/>
    <w:rsid w:val="00B740BC"/>
    <w:rsid w:val="00B74322"/>
    <w:rsid w:val="00B74377"/>
    <w:rsid w:val="00B74437"/>
    <w:rsid w:val="00B753C1"/>
    <w:rsid w:val="00B76AA8"/>
    <w:rsid w:val="00B77402"/>
    <w:rsid w:val="00B77FA7"/>
    <w:rsid w:val="00B805E0"/>
    <w:rsid w:val="00B81380"/>
    <w:rsid w:val="00B82F5E"/>
    <w:rsid w:val="00B85B6F"/>
    <w:rsid w:val="00B86AC0"/>
    <w:rsid w:val="00B87185"/>
    <w:rsid w:val="00B900E1"/>
    <w:rsid w:val="00B90C90"/>
    <w:rsid w:val="00B9176B"/>
    <w:rsid w:val="00B91BFB"/>
    <w:rsid w:val="00B92A30"/>
    <w:rsid w:val="00B932C7"/>
    <w:rsid w:val="00B93F62"/>
    <w:rsid w:val="00B941C7"/>
    <w:rsid w:val="00B95875"/>
    <w:rsid w:val="00B95A5B"/>
    <w:rsid w:val="00B95CDF"/>
    <w:rsid w:val="00B97679"/>
    <w:rsid w:val="00BA0E3E"/>
    <w:rsid w:val="00BA0EA2"/>
    <w:rsid w:val="00BA160B"/>
    <w:rsid w:val="00BA1B06"/>
    <w:rsid w:val="00BA1ED6"/>
    <w:rsid w:val="00BA31AD"/>
    <w:rsid w:val="00BA45F6"/>
    <w:rsid w:val="00BA64AF"/>
    <w:rsid w:val="00BA74D5"/>
    <w:rsid w:val="00BB03B6"/>
    <w:rsid w:val="00BB0A5E"/>
    <w:rsid w:val="00BB0C2C"/>
    <w:rsid w:val="00BB27C9"/>
    <w:rsid w:val="00BB33CA"/>
    <w:rsid w:val="00BB3B28"/>
    <w:rsid w:val="00BB63AE"/>
    <w:rsid w:val="00BB68AD"/>
    <w:rsid w:val="00BB7575"/>
    <w:rsid w:val="00BB7D56"/>
    <w:rsid w:val="00BB7F50"/>
    <w:rsid w:val="00BC013A"/>
    <w:rsid w:val="00BC0DE4"/>
    <w:rsid w:val="00BC4D62"/>
    <w:rsid w:val="00BC55E4"/>
    <w:rsid w:val="00BC6343"/>
    <w:rsid w:val="00BC6402"/>
    <w:rsid w:val="00BC7311"/>
    <w:rsid w:val="00BD0F2C"/>
    <w:rsid w:val="00BD19C5"/>
    <w:rsid w:val="00BD22F3"/>
    <w:rsid w:val="00BD23A3"/>
    <w:rsid w:val="00BD23D3"/>
    <w:rsid w:val="00BD2451"/>
    <w:rsid w:val="00BD24DF"/>
    <w:rsid w:val="00BD48FF"/>
    <w:rsid w:val="00BD4E11"/>
    <w:rsid w:val="00BD5131"/>
    <w:rsid w:val="00BD52BF"/>
    <w:rsid w:val="00BD5E51"/>
    <w:rsid w:val="00BD62D2"/>
    <w:rsid w:val="00BD6DF3"/>
    <w:rsid w:val="00BD7CCC"/>
    <w:rsid w:val="00BE0843"/>
    <w:rsid w:val="00BE0965"/>
    <w:rsid w:val="00BE0DD7"/>
    <w:rsid w:val="00BE0FA2"/>
    <w:rsid w:val="00BE1EC6"/>
    <w:rsid w:val="00BE2452"/>
    <w:rsid w:val="00BE2E47"/>
    <w:rsid w:val="00BE3E1D"/>
    <w:rsid w:val="00BE55AD"/>
    <w:rsid w:val="00BE5BC1"/>
    <w:rsid w:val="00BE6DCA"/>
    <w:rsid w:val="00BE7922"/>
    <w:rsid w:val="00BF07C3"/>
    <w:rsid w:val="00BF1C91"/>
    <w:rsid w:val="00BF2666"/>
    <w:rsid w:val="00BF3B06"/>
    <w:rsid w:val="00BF44CD"/>
    <w:rsid w:val="00BF4B74"/>
    <w:rsid w:val="00BF532B"/>
    <w:rsid w:val="00C02BE6"/>
    <w:rsid w:val="00C05175"/>
    <w:rsid w:val="00C06430"/>
    <w:rsid w:val="00C069B4"/>
    <w:rsid w:val="00C06B11"/>
    <w:rsid w:val="00C105B7"/>
    <w:rsid w:val="00C10D3B"/>
    <w:rsid w:val="00C1197E"/>
    <w:rsid w:val="00C144D1"/>
    <w:rsid w:val="00C20605"/>
    <w:rsid w:val="00C20942"/>
    <w:rsid w:val="00C20D37"/>
    <w:rsid w:val="00C22423"/>
    <w:rsid w:val="00C23ACA"/>
    <w:rsid w:val="00C24461"/>
    <w:rsid w:val="00C2457A"/>
    <w:rsid w:val="00C26CA5"/>
    <w:rsid w:val="00C274F9"/>
    <w:rsid w:val="00C27C6C"/>
    <w:rsid w:val="00C3097D"/>
    <w:rsid w:val="00C30BAD"/>
    <w:rsid w:val="00C30EBF"/>
    <w:rsid w:val="00C32784"/>
    <w:rsid w:val="00C32ACB"/>
    <w:rsid w:val="00C32F88"/>
    <w:rsid w:val="00C338D6"/>
    <w:rsid w:val="00C33C46"/>
    <w:rsid w:val="00C34DFA"/>
    <w:rsid w:val="00C3536E"/>
    <w:rsid w:val="00C35DC1"/>
    <w:rsid w:val="00C37F0D"/>
    <w:rsid w:val="00C42A80"/>
    <w:rsid w:val="00C43C94"/>
    <w:rsid w:val="00C44E19"/>
    <w:rsid w:val="00C454B7"/>
    <w:rsid w:val="00C46856"/>
    <w:rsid w:val="00C46DA5"/>
    <w:rsid w:val="00C476D8"/>
    <w:rsid w:val="00C47B9F"/>
    <w:rsid w:val="00C52965"/>
    <w:rsid w:val="00C53E2A"/>
    <w:rsid w:val="00C5471F"/>
    <w:rsid w:val="00C548FE"/>
    <w:rsid w:val="00C55C63"/>
    <w:rsid w:val="00C569B4"/>
    <w:rsid w:val="00C56C04"/>
    <w:rsid w:val="00C56DAE"/>
    <w:rsid w:val="00C56F21"/>
    <w:rsid w:val="00C623C2"/>
    <w:rsid w:val="00C63026"/>
    <w:rsid w:val="00C63875"/>
    <w:rsid w:val="00C63B28"/>
    <w:rsid w:val="00C63FB0"/>
    <w:rsid w:val="00C677D0"/>
    <w:rsid w:val="00C6799C"/>
    <w:rsid w:val="00C70B2A"/>
    <w:rsid w:val="00C71AEC"/>
    <w:rsid w:val="00C72BB9"/>
    <w:rsid w:val="00C72CEF"/>
    <w:rsid w:val="00C73475"/>
    <w:rsid w:val="00C74066"/>
    <w:rsid w:val="00C75225"/>
    <w:rsid w:val="00C754A3"/>
    <w:rsid w:val="00C75A95"/>
    <w:rsid w:val="00C762C3"/>
    <w:rsid w:val="00C767BB"/>
    <w:rsid w:val="00C77763"/>
    <w:rsid w:val="00C80D06"/>
    <w:rsid w:val="00C80E7B"/>
    <w:rsid w:val="00C82163"/>
    <w:rsid w:val="00C83384"/>
    <w:rsid w:val="00C835B0"/>
    <w:rsid w:val="00C85106"/>
    <w:rsid w:val="00C85DB5"/>
    <w:rsid w:val="00C86BA8"/>
    <w:rsid w:val="00C87119"/>
    <w:rsid w:val="00C8796E"/>
    <w:rsid w:val="00C90826"/>
    <w:rsid w:val="00C90E22"/>
    <w:rsid w:val="00C92400"/>
    <w:rsid w:val="00C924D3"/>
    <w:rsid w:val="00C926BD"/>
    <w:rsid w:val="00C92CE8"/>
    <w:rsid w:val="00C93735"/>
    <w:rsid w:val="00C93A64"/>
    <w:rsid w:val="00C93AA3"/>
    <w:rsid w:val="00C94148"/>
    <w:rsid w:val="00C95CDC"/>
    <w:rsid w:val="00C960E3"/>
    <w:rsid w:val="00C96E15"/>
    <w:rsid w:val="00C97A07"/>
    <w:rsid w:val="00CA1170"/>
    <w:rsid w:val="00CA21D6"/>
    <w:rsid w:val="00CA28A7"/>
    <w:rsid w:val="00CA2E21"/>
    <w:rsid w:val="00CA2EB4"/>
    <w:rsid w:val="00CA40EC"/>
    <w:rsid w:val="00CA4B31"/>
    <w:rsid w:val="00CA57BC"/>
    <w:rsid w:val="00CB021A"/>
    <w:rsid w:val="00CB1EC0"/>
    <w:rsid w:val="00CB2CD9"/>
    <w:rsid w:val="00CB2F82"/>
    <w:rsid w:val="00CB3937"/>
    <w:rsid w:val="00CB3A14"/>
    <w:rsid w:val="00CB3E85"/>
    <w:rsid w:val="00CB5044"/>
    <w:rsid w:val="00CB53F4"/>
    <w:rsid w:val="00CB6392"/>
    <w:rsid w:val="00CB79F5"/>
    <w:rsid w:val="00CB7D72"/>
    <w:rsid w:val="00CC026F"/>
    <w:rsid w:val="00CC0A6F"/>
    <w:rsid w:val="00CC0F2E"/>
    <w:rsid w:val="00CC3239"/>
    <w:rsid w:val="00CC3CB1"/>
    <w:rsid w:val="00CC416D"/>
    <w:rsid w:val="00CC4529"/>
    <w:rsid w:val="00CC4D12"/>
    <w:rsid w:val="00CC5D38"/>
    <w:rsid w:val="00CC60FF"/>
    <w:rsid w:val="00CC6D57"/>
    <w:rsid w:val="00CC7335"/>
    <w:rsid w:val="00CC74DD"/>
    <w:rsid w:val="00CC7963"/>
    <w:rsid w:val="00CC7BC9"/>
    <w:rsid w:val="00CD1E55"/>
    <w:rsid w:val="00CD21F3"/>
    <w:rsid w:val="00CD540D"/>
    <w:rsid w:val="00CD5C62"/>
    <w:rsid w:val="00CD5CDF"/>
    <w:rsid w:val="00CD6FD1"/>
    <w:rsid w:val="00CD718F"/>
    <w:rsid w:val="00CE0041"/>
    <w:rsid w:val="00CE1DEE"/>
    <w:rsid w:val="00CE2146"/>
    <w:rsid w:val="00CE445F"/>
    <w:rsid w:val="00CE52E5"/>
    <w:rsid w:val="00CE5794"/>
    <w:rsid w:val="00CE6ACC"/>
    <w:rsid w:val="00CE6C1A"/>
    <w:rsid w:val="00CE7D71"/>
    <w:rsid w:val="00CF2321"/>
    <w:rsid w:val="00CF33D7"/>
    <w:rsid w:val="00CF3423"/>
    <w:rsid w:val="00CF3981"/>
    <w:rsid w:val="00CF4071"/>
    <w:rsid w:val="00CF4373"/>
    <w:rsid w:val="00CF62B6"/>
    <w:rsid w:val="00CF65D9"/>
    <w:rsid w:val="00CF66B3"/>
    <w:rsid w:val="00D02CE5"/>
    <w:rsid w:val="00D032A6"/>
    <w:rsid w:val="00D03D29"/>
    <w:rsid w:val="00D05EC1"/>
    <w:rsid w:val="00D10629"/>
    <w:rsid w:val="00D107CD"/>
    <w:rsid w:val="00D12BA7"/>
    <w:rsid w:val="00D13682"/>
    <w:rsid w:val="00D14337"/>
    <w:rsid w:val="00D144EB"/>
    <w:rsid w:val="00D14B3E"/>
    <w:rsid w:val="00D14F47"/>
    <w:rsid w:val="00D15E38"/>
    <w:rsid w:val="00D1641C"/>
    <w:rsid w:val="00D209C2"/>
    <w:rsid w:val="00D2113E"/>
    <w:rsid w:val="00D221C6"/>
    <w:rsid w:val="00D224B9"/>
    <w:rsid w:val="00D238DE"/>
    <w:rsid w:val="00D24052"/>
    <w:rsid w:val="00D258F9"/>
    <w:rsid w:val="00D26018"/>
    <w:rsid w:val="00D261CA"/>
    <w:rsid w:val="00D26719"/>
    <w:rsid w:val="00D30797"/>
    <w:rsid w:val="00D3097E"/>
    <w:rsid w:val="00D30CF1"/>
    <w:rsid w:val="00D35301"/>
    <w:rsid w:val="00D35855"/>
    <w:rsid w:val="00D3680A"/>
    <w:rsid w:val="00D36D28"/>
    <w:rsid w:val="00D378D6"/>
    <w:rsid w:val="00D4083F"/>
    <w:rsid w:val="00D4272B"/>
    <w:rsid w:val="00D428DF"/>
    <w:rsid w:val="00D435A9"/>
    <w:rsid w:val="00D44520"/>
    <w:rsid w:val="00D44899"/>
    <w:rsid w:val="00D4558D"/>
    <w:rsid w:val="00D45CB6"/>
    <w:rsid w:val="00D47C75"/>
    <w:rsid w:val="00D47D71"/>
    <w:rsid w:val="00D51634"/>
    <w:rsid w:val="00D517D7"/>
    <w:rsid w:val="00D52C64"/>
    <w:rsid w:val="00D52DE8"/>
    <w:rsid w:val="00D5303E"/>
    <w:rsid w:val="00D53B41"/>
    <w:rsid w:val="00D53B56"/>
    <w:rsid w:val="00D53DB4"/>
    <w:rsid w:val="00D53E95"/>
    <w:rsid w:val="00D54624"/>
    <w:rsid w:val="00D54701"/>
    <w:rsid w:val="00D55403"/>
    <w:rsid w:val="00D556B6"/>
    <w:rsid w:val="00D56569"/>
    <w:rsid w:val="00D578A5"/>
    <w:rsid w:val="00D603A1"/>
    <w:rsid w:val="00D60EB5"/>
    <w:rsid w:val="00D616F8"/>
    <w:rsid w:val="00D61CDC"/>
    <w:rsid w:val="00D62041"/>
    <w:rsid w:val="00D62977"/>
    <w:rsid w:val="00D63335"/>
    <w:rsid w:val="00D63466"/>
    <w:rsid w:val="00D6357B"/>
    <w:rsid w:val="00D63E40"/>
    <w:rsid w:val="00D6458B"/>
    <w:rsid w:val="00D67003"/>
    <w:rsid w:val="00D67604"/>
    <w:rsid w:val="00D67F00"/>
    <w:rsid w:val="00D70830"/>
    <w:rsid w:val="00D708A6"/>
    <w:rsid w:val="00D70909"/>
    <w:rsid w:val="00D710F3"/>
    <w:rsid w:val="00D714BE"/>
    <w:rsid w:val="00D725C7"/>
    <w:rsid w:val="00D7291B"/>
    <w:rsid w:val="00D72BE3"/>
    <w:rsid w:val="00D732B3"/>
    <w:rsid w:val="00D750B7"/>
    <w:rsid w:val="00D751CA"/>
    <w:rsid w:val="00D761AB"/>
    <w:rsid w:val="00D7751E"/>
    <w:rsid w:val="00D77BFD"/>
    <w:rsid w:val="00D80741"/>
    <w:rsid w:val="00D81214"/>
    <w:rsid w:val="00D81EC9"/>
    <w:rsid w:val="00D81EF0"/>
    <w:rsid w:val="00D82687"/>
    <w:rsid w:val="00D82D65"/>
    <w:rsid w:val="00D83760"/>
    <w:rsid w:val="00D83A06"/>
    <w:rsid w:val="00D841C5"/>
    <w:rsid w:val="00D8581C"/>
    <w:rsid w:val="00D85EE6"/>
    <w:rsid w:val="00D85F4F"/>
    <w:rsid w:val="00D866EC"/>
    <w:rsid w:val="00D867EF"/>
    <w:rsid w:val="00D86B84"/>
    <w:rsid w:val="00D871BF"/>
    <w:rsid w:val="00D90AEE"/>
    <w:rsid w:val="00D90F5F"/>
    <w:rsid w:val="00D91474"/>
    <w:rsid w:val="00D91E8C"/>
    <w:rsid w:val="00D9298A"/>
    <w:rsid w:val="00D96E7E"/>
    <w:rsid w:val="00D96F76"/>
    <w:rsid w:val="00D97223"/>
    <w:rsid w:val="00D972DD"/>
    <w:rsid w:val="00D97CBC"/>
    <w:rsid w:val="00DA02D5"/>
    <w:rsid w:val="00DA15FB"/>
    <w:rsid w:val="00DA1A5B"/>
    <w:rsid w:val="00DA22E2"/>
    <w:rsid w:val="00DA440C"/>
    <w:rsid w:val="00DA4791"/>
    <w:rsid w:val="00DA5EB4"/>
    <w:rsid w:val="00DA62CE"/>
    <w:rsid w:val="00DA69D9"/>
    <w:rsid w:val="00DA6D26"/>
    <w:rsid w:val="00DA706D"/>
    <w:rsid w:val="00DA72F0"/>
    <w:rsid w:val="00DB0764"/>
    <w:rsid w:val="00DB07E5"/>
    <w:rsid w:val="00DB0953"/>
    <w:rsid w:val="00DB26DD"/>
    <w:rsid w:val="00DB444F"/>
    <w:rsid w:val="00DB4FAF"/>
    <w:rsid w:val="00DB515D"/>
    <w:rsid w:val="00DB51FB"/>
    <w:rsid w:val="00DB52BC"/>
    <w:rsid w:val="00DB547A"/>
    <w:rsid w:val="00DB69BF"/>
    <w:rsid w:val="00DB6A11"/>
    <w:rsid w:val="00DB6C77"/>
    <w:rsid w:val="00DB7840"/>
    <w:rsid w:val="00DB7F07"/>
    <w:rsid w:val="00DC02D2"/>
    <w:rsid w:val="00DC06EF"/>
    <w:rsid w:val="00DC1068"/>
    <w:rsid w:val="00DC10A0"/>
    <w:rsid w:val="00DC12E2"/>
    <w:rsid w:val="00DC166E"/>
    <w:rsid w:val="00DC1B84"/>
    <w:rsid w:val="00DC2939"/>
    <w:rsid w:val="00DC29D6"/>
    <w:rsid w:val="00DC2D44"/>
    <w:rsid w:val="00DC3B7C"/>
    <w:rsid w:val="00DC44CA"/>
    <w:rsid w:val="00DC4750"/>
    <w:rsid w:val="00DC4B4E"/>
    <w:rsid w:val="00DC4D7A"/>
    <w:rsid w:val="00DC4E89"/>
    <w:rsid w:val="00DC6802"/>
    <w:rsid w:val="00DC687E"/>
    <w:rsid w:val="00DC7410"/>
    <w:rsid w:val="00DC788F"/>
    <w:rsid w:val="00DC7F94"/>
    <w:rsid w:val="00DD031A"/>
    <w:rsid w:val="00DD0EBA"/>
    <w:rsid w:val="00DD124B"/>
    <w:rsid w:val="00DD1438"/>
    <w:rsid w:val="00DD1C67"/>
    <w:rsid w:val="00DD2EA6"/>
    <w:rsid w:val="00DD4058"/>
    <w:rsid w:val="00DD495E"/>
    <w:rsid w:val="00DD4C8A"/>
    <w:rsid w:val="00DD4D41"/>
    <w:rsid w:val="00DD53EE"/>
    <w:rsid w:val="00DD5623"/>
    <w:rsid w:val="00DD5BDF"/>
    <w:rsid w:val="00DD6974"/>
    <w:rsid w:val="00DD6AF7"/>
    <w:rsid w:val="00DD7AC7"/>
    <w:rsid w:val="00DE1A37"/>
    <w:rsid w:val="00DE1E33"/>
    <w:rsid w:val="00DE27E1"/>
    <w:rsid w:val="00DE35A1"/>
    <w:rsid w:val="00DE3681"/>
    <w:rsid w:val="00DE41B3"/>
    <w:rsid w:val="00DE7F39"/>
    <w:rsid w:val="00DF033F"/>
    <w:rsid w:val="00DF082B"/>
    <w:rsid w:val="00DF1627"/>
    <w:rsid w:val="00DF1B06"/>
    <w:rsid w:val="00DF4E62"/>
    <w:rsid w:val="00DF5052"/>
    <w:rsid w:val="00DF69CE"/>
    <w:rsid w:val="00E0009D"/>
    <w:rsid w:val="00E0056E"/>
    <w:rsid w:val="00E009F4"/>
    <w:rsid w:val="00E02001"/>
    <w:rsid w:val="00E026CF"/>
    <w:rsid w:val="00E02818"/>
    <w:rsid w:val="00E050ED"/>
    <w:rsid w:val="00E05FAA"/>
    <w:rsid w:val="00E064CF"/>
    <w:rsid w:val="00E06770"/>
    <w:rsid w:val="00E06DEB"/>
    <w:rsid w:val="00E06F3E"/>
    <w:rsid w:val="00E07029"/>
    <w:rsid w:val="00E10F43"/>
    <w:rsid w:val="00E116BD"/>
    <w:rsid w:val="00E11DD0"/>
    <w:rsid w:val="00E121FB"/>
    <w:rsid w:val="00E12201"/>
    <w:rsid w:val="00E124DF"/>
    <w:rsid w:val="00E12E77"/>
    <w:rsid w:val="00E14946"/>
    <w:rsid w:val="00E14D84"/>
    <w:rsid w:val="00E15481"/>
    <w:rsid w:val="00E15BB2"/>
    <w:rsid w:val="00E15C42"/>
    <w:rsid w:val="00E16AE4"/>
    <w:rsid w:val="00E20A45"/>
    <w:rsid w:val="00E20A7B"/>
    <w:rsid w:val="00E22C22"/>
    <w:rsid w:val="00E22F39"/>
    <w:rsid w:val="00E243BB"/>
    <w:rsid w:val="00E25206"/>
    <w:rsid w:val="00E25BAE"/>
    <w:rsid w:val="00E25C53"/>
    <w:rsid w:val="00E26283"/>
    <w:rsid w:val="00E27AC7"/>
    <w:rsid w:val="00E27DC8"/>
    <w:rsid w:val="00E30AA9"/>
    <w:rsid w:val="00E30CDB"/>
    <w:rsid w:val="00E32365"/>
    <w:rsid w:val="00E371AA"/>
    <w:rsid w:val="00E37E7D"/>
    <w:rsid w:val="00E40447"/>
    <w:rsid w:val="00E406A2"/>
    <w:rsid w:val="00E4107D"/>
    <w:rsid w:val="00E415FD"/>
    <w:rsid w:val="00E43E77"/>
    <w:rsid w:val="00E4401E"/>
    <w:rsid w:val="00E44D0B"/>
    <w:rsid w:val="00E450B2"/>
    <w:rsid w:val="00E45A02"/>
    <w:rsid w:val="00E45D6A"/>
    <w:rsid w:val="00E46796"/>
    <w:rsid w:val="00E46B46"/>
    <w:rsid w:val="00E46D7F"/>
    <w:rsid w:val="00E5097C"/>
    <w:rsid w:val="00E50B13"/>
    <w:rsid w:val="00E50CAE"/>
    <w:rsid w:val="00E50D15"/>
    <w:rsid w:val="00E5105F"/>
    <w:rsid w:val="00E52DAC"/>
    <w:rsid w:val="00E53C77"/>
    <w:rsid w:val="00E542FE"/>
    <w:rsid w:val="00E554C0"/>
    <w:rsid w:val="00E56CFF"/>
    <w:rsid w:val="00E56D19"/>
    <w:rsid w:val="00E57B49"/>
    <w:rsid w:val="00E57FDD"/>
    <w:rsid w:val="00E60E71"/>
    <w:rsid w:val="00E61493"/>
    <w:rsid w:val="00E62365"/>
    <w:rsid w:val="00E6367C"/>
    <w:rsid w:val="00E63A1E"/>
    <w:rsid w:val="00E65552"/>
    <w:rsid w:val="00E66CDC"/>
    <w:rsid w:val="00E67D1E"/>
    <w:rsid w:val="00E67DE3"/>
    <w:rsid w:val="00E71481"/>
    <w:rsid w:val="00E72139"/>
    <w:rsid w:val="00E726C0"/>
    <w:rsid w:val="00E73214"/>
    <w:rsid w:val="00E74385"/>
    <w:rsid w:val="00E746BA"/>
    <w:rsid w:val="00E74C3C"/>
    <w:rsid w:val="00E75929"/>
    <w:rsid w:val="00E75C1B"/>
    <w:rsid w:val="00E774F8"/>
    <w:rsid w:val="00E779DE"/>
    <w:rsid w:val="00E80336"/>
    <w:rsid w:val="00E80CA2"/>
    <w:rsid w:val="00E81101"/>
    <w:rsid w:val="00E8165A"/>
    <w:rsid w:val="00E82772"/>
    <w:rsid w:val="00E82823"/>
    <w:rsid w:val="00E8284D"/>
    <w:rsid w:val="00E82F8F"/>
    <w:rsid w:val="00E83B10"/>
    <w:rsid w:val="00E85791"/>
    <w:rsid w:val="00E86048"/>
    <w:rsid w:val="00E86221"/>
    <w:rsid w:val="00E86836"/>
    <w:rsid w:val="00E9086B"/>
    <w:rsid w:val="00E90D38"/>
    <w:rsid w:val="00E91533"/>
    <w:rsid w:val="00E91601"/>
    <w:rsid w:val="00E917E2"/>
    <w:rsid w:val="00E919A7"/>
    <w:rsid w:val="00E94190"/>
    <w:rsid w:val="00E94C4C"/>
    <w:rsid w:val="00E955E6"/>
    <w:rsid w:val="00E96C90"/>
    <w:rsid w:val="00EA0603"/>
    <w:rsid w:val="00EA1269"/>
    <w:rsid w:val="00EA1BC1"/>
    <w:rsid w:val="00EA434A"/>
    <w:rsid w:val="00EA51D8"/>
    <w:rsid w:val="00EA5D37"/>
    <w:rsid w:val="00EA5D4E"/>
    <w:rsid w:val="00EA5FD3"/>
    <w:rsid w:val="00EA66CF"/>
    <w:rsid w:val="00EB008A"/>
    <w:rsid w:val="00EB0144"/>
    <w:rsid w:val="00EB07C8"/>
    <w:rsid w:val="00EB0CF8"/>
    <w:rsid w:val="00EB154A"/>
    <w:rsid w:val="00EB1EB9"/>
    <w:rsid w:val="00EB21AE"/>
    <w:rsid w:val="00EB3396"/>
    <w:rsid w:val="00EB3D98"/>
    <w:rsid w:val="00EB4534"/>
    <w:rsid w:val="00EB4A04"/>
    <w:rsid w:val="00EB5635"/>
    <w:rsid w:val="00EB7205"/>
    <w:rsid w:val="00EB78DB"/>
    <w:rsid w:val="00EB7F87"/>
    <w:rsid w:val="00EC0F4D"/>
    <w:rsid w:val="00EC1563"/>
    <w:rsid w:val="00EC342A"/>
    <w:rsid w:val="00EC4EDD"/>
    <w:rsid w:val="00EC5D12"/>
    <w:rsid w:val="00EC6496"/>
    <w:rsid w:val="00ED052D"/>
    <w:rsid w:val="00ED1A67"/>
    <w:rsid w:val="00ED1EF4"/>
    <w:rsid w:val="00ED21D9"/>
    <w:rsid w:val="00ED2320"/>
    <w:rsid w:val="00ED235F"/>
    <w:rsid w:val="00ED3F99"/>
    <w:rsid w:val="00ED431B"/>
    <w:rsid w:val="00ED4AAF"/>
    <w:rsid w:val="00ED509A"/>
    <w:rsid w:val="00ED5A82"/>
    <w:rsid w:val="00ED5ACD"/>
    <w:rsid w:val="00ED6800"/>
    <w:rsid w:val="00ED68E2"/>
    <w:rsid w:val="00ED697C"/>
    <w:rsid w:val="00ED725B"/>
    <w:rsid w:val="00ED72FF"/>
    <w:rsid w:val="00EE00DC"/>
    <w:rsid w:val="00EE0756"/>
    <w:rsid w:val="00EE075C"/>
    <w:rsid w:val="00EE0A18"/>
    <w:rsid w:val="00EE18BD"/>
    <w:rsid w:val="00EE548A"/>
    <w:rsid w:val="00EE5CA1"/>
    <w:rsid w:val="00EE60EF"/>
    <w:rsid w:val="00EE6342"/>
    <w:rsid w:val="00EE7B15"/>
    <w:rsid w:val="00EF2E97"/>
    <w:rsid w:val="00EF317B"/>
    <w:rsid w:val="00EF376B"/>
    <w:rsid w:val="00EF4231"/>
    <w:rsid w:val="00EF51A6"/>
    <w:rsid w:val="00EF6F55"/>
    <w:rsid w:val="00EF7CD8"/>
    <w:rsid w:val="00F00214"/>
    <w:rsid w:val="00F00276"/>
    <w:rsid w:val="00F00BA7"/>
    <w:rsid w:val="00F00BB8"/>
    <w:rsid w:val="00F01DD9"/>
    <w:rsid w:val="00F02900"/>
    <w:rsid w:val="00F03932"/>
    <w:rsid w:val="00F03C2A"/>
    <w:rsid w:val="00F0472A"/>
    <w:rsid w:val="00F05D70"/>
    <w:rsid w:val="00F06EFE"/>
    <w:rsid w:val="00F0730B"/>
    <w:rsid w:val="00F07891"/>
    <w:rsid w:val="00F07920"/>
    <w:rsid w:val="00F10408"/>
    <w:rsid w:val="00F10868"/>
    <w:rsid w:val="00F10E04"/>
    <w:rsid w:val="00F11A8A"/>
    <w:rsid w:val="00F135C6"/>
    <w:rsid w:val="00F137CB"/>
    <w:rsid w:val="00F14F42"/>
    <w:rsid w:val="00F15C54"/>
    <w:rsid w:val="00F16A1E"/>
    <w:rsid w:val="00F16AAE"/>
    <w:rsid w:val="00F16C5D"/>
    <w:rsid w:val="00F16FF7"/>
    <w:rsid w:val="00F17033"/>
    <w:rsid w:val="00F17E0F"/>
    <w:rsid w:val="00F212C0"/>
    <w:rsid w:val="00F23011"/>
    <w:rsid w:val="00F23EE9"/>
    <w:rsid w:val="00F2459D"/>
    <w:rsid w:val="00F24F6C"/>
    <w:rsid w:val="00F253E1"/>
    <w:rsid w:val="00F25622"/>
    <w:rsid w:val="00F269EF"/>
    <w:rsid w:val="00F30632"/>
    <w:rsid w:val="00F316B6"/>
    <w:rsid w:val="00F31E69"/>
    <w:rsid w:val="00F31F20"/>
    <w:rsid w:val="00F32F43"/>
    <w:rsid w:val="00F34D53"/>
    <w:rsid w:val="00F34EDD"/>
    <w:rsid w:val="00F359C6"/>
    <w:rsid w:val="00F35D9E"/>
    <w:rsid w:val="00F35DB9"/>
    <w:rsid w:val="00F36229"/>
    <w:rsid w:val="00F40442"/>
    <w:rsid w:val="00F40471"/>
    <w:rsid w:val="00F42231"/>
    <w:rsid w:val="00F42FF5"/>
    <w:rsid w:val="00F43CB4"/>
    <w:rsid w:val="00F44DE5"/>
    <w:rsid w:val="00F468FD"/>
    <w:rsid w:val="00F478E3"/>
    <w:rsid w:val="00F506FB"/>
    <w:rsid w:val="00F519AA"/>
    <w:rsid w:val="00F51A1F"/>
    <w:rsid w:val="00F5209A"/>
    <w:rsid w:val="00F52D53"/>
    <w:rsid w:val="00F53CDF"/>
    <w:rsid w:val="00F5415B"/>
    <w:rsid w:val="00F54F27"/>
    <w:rsid w:val="00F5571C"/>
    <w:rsid w:val="00F55B8D"/>
    <w:rsid w:val="00F57062"/>
    <w:rsid w:val="00F57771"/>
    <w:rsid w:val="00F60EE5"/>
    <w:rsid w:val="00F611C1"/>
    <w:rsid w:val="00F61C3A"/>
    <w:rsid w:val="00F644FB"/>
    <w:rsid w:val="00F64AD1"/>
    <w:rsid w:val="00F64EB4"/>
    <w:rsid w:val="00F65259"/>
    <w:rsid w:val="00F65541"/>
    <w:rsid w:val="00F6591B"/>
    <w:rsid w:val="00F65A3F"/>
    <w:rsid w:val="00F66F5D"/>
    <w:rsid w:val="00F6732D"/>
    <w:rsid w:val="00F70184"/>
    <w:rsid w:val="00F7098D"/>
    <w:rsid w:val="00F70B2C"/>
    <w:rsid w:val="00F70C1F"/>
    <w:rsid w:val="00F70FB6"/>
    <w:rsid w:val="00F71947"/>
    <w:rsid w:val="00F721A5"/>
    <w:rsid w:val="00F72706"/>
    <w:rsid w:val="00F72EFC"/>
    <w:rsid w:val="00F73C47"/>
    <w:rsid w:val="00F74FAD"/>
    <w:rsid w:val="00F75647"/>
    <w:rsid w:val="00F75677"/>
    <w:rsid w:val="00F758D6"/>
    <w:rsid w:val="00F75912"/>
    <w:rsid w:val="00F75D9B"/>
    <w:rsid w:val="00F763CE"/>
    <w:rsid w:val="00F77840"/>
    <w:rsid w:val="00F80972"/>
    <w:rsid w:val="00F815D1"/>
    <w:rsid w:val="00F8164B"/>
    <w:rsid w:val="00F81683"/>
    <w:rsid w:val="00F8251A"/>
    <w:rsid w:val="00F8260D"/>
    <w:rsid w:val="00F83BB6"/>
    <w:rsid w:val="00F8435D"/>
    <w:rsid w:val="00F8548A"/>
    <w:rsid w:val="00F85875"/>
    <w:rsid w:val="00F87F8D"/>
    <w:rsid w:val="00F90A6C"/>
    <w:rsid w:val="00F916C1"/>
    <w:rsid w:val="00F91BEE"/>
    <w:rsid w:val="00F91FB1"/>
    <w:rsid w:val="00F92D1E"/>
    <w:rsid w:val="00F93149"/>
    <w:rsid w:val="00F94892"/>
    <w:rsid w:val="00F94FCD"/>
    <w:rsid w:val="00F973D1"/>
    <w:rsid w:val="00F975F0"/>
    <w:rsid w:val="00FA1969"/>
    <w:rsid w:val="00FA2098"/>
    <w:rsid w:val="00FA20C2"/>
    <w:rsid w:val="00FA2F57"/>
    <w:rsid w:val="00FA40E8"/>
    <w:rsid w:val="00FA44E3"/>
    <w:rsid w:val="00FA5B48"/>
    <w:rsid w:val="00FA6DEB"/>
    <w:rsid w:val="00FA7A7B"/>
    <w:rsid w:val="00FA7F7C"/>
    <w:rsid w:val="00FB08C5"/>
    <w:rsid w:val="00FB09A6"/>
    <w:rsid w:val="00FB14E7"/>
    <w:rsid w:val="00FB17D7"/>
    <w:rsid w:val="00FB3E18"/>
    <w:rsid w:val="00FB5DCA"/>
    <w:rsid w:val="00FB6423"/>
    <w:rsid w:val="00FC0986"/>
    <w:rsid w:val="00FC204D"/>
    <w:rsid w:val="00FC2D76"/>
    <w:rsid w:val="00FC3C1E"/>
    <w:rsid w:val="00FC4A96"/>
    <w:rsid w:val="00FC4DB7"/>
    <w:rsid w:val="00FC73A9"/>
    <w:rsid w:val="00FC774E"/>
    <w:rsid w:val="00FD0277"/>
    <w:rsid w:val="00FD0636"/>
    <w:rsid w:val="00FD0714"/>
    <w:rsid w:val="00FD0CA8"/>
    <w:rsid w:val="00FD1125"/>
    <w:rsid w:val="00FD3B6A"/>
    <w:rsid w:val="00FD5BE6"/>
    <w:rsid w:val="00FD6C46"/>
    <w:rsid w:val="00FE2710"/>
    <w:rsid w:val="00FE45C9"/>
    <w:rsid w:val="00FE4BF6"/>
    <w:rsid w:val="00FE5344"/>
    <w:rsid w:val="00FE5B0D"/>
    <w:rsid w:val="00FE5C5E"/>
    <w:rsid w:val="00FE5F01"/>
    <w:rsid w:val="00FE616E"/>
    <w:rsid w:val="00FF1561"/>
    <w:rsid w:val="00FF295F"/>
    <w:rsid w:val="00FF320E"/>
    <w:rsid w:val="00FF3D4F"/>
    <w:rsid w:val="00FF4897"/>
    <w:rsid w:val="00FF58A0"/>
    <w:rsid w:val="00FF6229"/>
    <w:rsid w:val="00FF6B29"/>
    <w:rsid w:val="01226A52"/>
    <w:rsid w:val="015D74A7"/>
    <w:rsid w:val="01917B1A"/>
    <w:rsid w:val="022C6982"/>
    <w:rsid w:val="02E14993"/>
    <w:rsid w:val="02EC0E79"/>
    <w:rsid w:val="032D1844"/>
    <w:rsid w:val="032F515E"/>
    <w:rsid w:val="0349217F"/>
    <w:rsid w:val="03E05C76"/>
    <w:rsid w:val="03F9394A"/>
    <w:rsid w:val="03FA4C38"/>
    <w:rsid w:val="047057B8"/>
    <w:rsid w:val="04CF6A19"/>
    <w:rsid w:val="04F16077"/>
    <w:rsid w:val="05037C5F"/>
    <w:rsid w:val="05485F66"/>
    <w:rsid w:val="059C5559"/>
    <w:rsid w:val="05F3305E"/>
    <w:rsid w:val="06EE5D38"/>
    <w:rsid w:val="06FF0DC4"/>
    <w:rsid w:val="070729B8"/>
    <w:rsid w:val="071A63D1"/>
    <w:rsid w:val="072F2DC0"/>
    <w:rsid w:val="077A4A49"/>
    <w:rsid w:val="077C7A64"/>
    <w:rsid w:val="07C10590"/>
    <w:rsid w:val="08005312"/>
    <w:rsid w:val="08380E1D"/>
    <w:rsid w:val="083F292D"/>
    <w:rsid w:val="084D75EE"/>
    <w:rsid w:val="08583964"/>
    <w:rsid w:val="08BB4E14"/>
    <w:rsid w:val="08D81C1B"/>
    <w:rsid w:val="08F50484"/>
    <w:rsid w:val="096369A0"/>
    <w:rsid w:val="09E87633"/>
    <w:rsid w:val="0A020CC0"/>
    <w:rsid w:val="0AAD7241"/>
    <w:rsid w:val="0BBC2B25"/>
    <w:rsid w:val="0BFF75EA"/>
    <w:rsid w:val="0C400913"/>
    <w:rsid w:val="0CCE1F45"/>
    <w:rsid w:val="0D0D6A51"/>
    <w:rsid w:val="0DCF4839"/>
    <w:rsid w:val="0DDC549C"/>
    <w:rsid w:val="0E3B2399"/>
    <w:rsid w:val="0E431840"/>
    <w:rsid w:val="0ECC5CA1"/>
    <w:rsid w:val="0EFA2408"/>
    <w:rsid w:val="0F122CCC"/>
    <w:rsid w:val="107412F0"/>
    <w:rsid w:val="10A83678"/>
    <w:rsid w:val="110E7E7D"/>
    <w:rsid w:val="112C23BA"/>
    <w:rsid w:val="118931E8"/>
    <w:rsid w:val="11932953"/>
    <w:rsid w:val="12416B0D"/>
    <w:rsid w:val="1259447E"/>
    <w:rsid w:val="12613C54"/>
    <w:rsid w:val="130B2047"/>
    <w:rsid w:val="132D04F5"/>
    <w:rsid w:val="133F12C4"/>
    <w:rsid w:val="13A1610A"/>
    <w:rsid w:val="13AC4ED0"/>
    <w:rsid w:val="13CF5EB8"/>
    <w:rsid w:val="13E93A34"/>
    <w:rsid w:val="14440113"/>
    <w:rsid w:val="144E2788"/>
    <w:rsid w:val="146834FE"/>
    <w:rsid w:val="14965A3A"/>
    <w:rsid w:val="149F4DAA"/>
    <w:rsid w:val="154B722F"/>
    <w:rsid w:val="15B64A89"/>
    <w:rsid w:val="15E8422B"/>
    <w:rsid w:val="15ED11EE"/>
    <w:rsid w:val="16541D8D"/>
    <w:rsid w:val="16602195"/>
    <w:rsid w:val="16735834"/>
    <w:rsid w:val="1788408B"/>
    <w:rsid w:val="17FF4CF1"/>
    <w:rsid w:val="180F07EA"/>
    <w:rsid w:val="182E143F"/>
    <w:rsid w:val="184A6672"/>
    <w:rsid w:val="188624F1"/>
    <w:rsid w:val="18A46E1B"/>
    <w:rsid w:val="19116FA1"/>
    <w:rsid w:val="196547FC"/>
    <w:rsid w:val="19E21C9C"/>
    <w:rsid w:val="1A440A74"/>
    <w:rsid w:val="1A4D5A24"/>
    <w:rsid w:val="1A692698"/>
    <w:rsid w:val="1B2F06B2"/>
    <w:rsid w:val="1B935F98"/>
    <w:rsid w:val="1BAB6920"/>
    <w:rsid w:val="1BDE0EDE"/>
    <w:rsid w:val="1BDF46F6"/>
    <w:rsid w:val="1C3217C2"/>
    <w:rsid w:val="1CC01C8A"/>
    <w:rsid w:val="1D230EF7"/>
    <w:rsid w:val="1D2D6F3D"/>
    <w:rsid w:val="1D813BCE"/>
    <w:rsid w:val="1D951E7B"/>
    <w:rsid w:val="1D9660B0"/>
    <w:rsid w:val="1DA90A2F"/>
    <w:rsid w:val="1DC51436"/>
    <w:rsid w:val="1DF17952"/>
    <w:rsid w:val="1E067C30"/>
    <w:rsid w:val="1E5A3207"/>
    <w:rsid w:val="1ECA3B9F"/>
    <w:rsid w:val="1F047CBC"/>
    <w:rsid w:val="1F374545"/>
    <w:rsid w:val="1FBA5176"/>
    <w:rsid w:val="1FE77859"/>
    <w:rsid w:val="1FFF51C2"/>
    <w:rsid w:val="20796DDF"/>
    <w:rsid w:val="2164183D"/>
    <w:rsid w:val="2200500C"/>
    <w:rsid w:val="22160FE9"/>
    <w:rsid w:val="22437F3A"/>
    <w:rsid w:val="22CD67F0"/>
    <w:rsid w:val="23051F2B"/>
    <w:rsid w:val="242953A1"/>
    <w:rsid w:val="24302528"/>
    <w:rsid w:val="24464BDB"/>
    <w:rsid w:val="24850E12"/>
    <w:rsid w:val="24AE4129"/>
    <w:rsid w:val="25A4045A"/>
    <w:rsid w:val="25F807A6"/>
    <w:rsid w:val="263952BC"/>
    <w:rsid w:val="2656156A"/>
    <w:rsid w:val="27702CEA"/>
    <w:rsid w:val="27E601D4"/>
    <w:rsid w:val="285340D0"/>
    <w:rsid w:val="286F1155"/>
    <w:rsid w:val="28D9666D"/>
    <w:rsid w:val="29954C89"/>
    <w:rsid w:val="29B855DE"/>
    <w:rsid w:val="29C47220"/>
    <w:rsid w:val="29CC61D1"/>
    <w:rsid w:val="2A4E7AC9"/>
    <w:rsid w:val="2A64640A"/>
    <w:rsid w:val="2A8B7E3A"/>
    <w:rsid w:val="2AC140C0"/>
    <w:rsid w:val="2B0A0D5F"/>
    <w:rsid w:val="2B764F60"/>
    <w:rsid w:val="2B964353"/>
    <w:rsid w:val="2C3167C0"/>
    <w:rsid w:val="2C6170A5"/>
    <w:rsid w:val="2CE13D42"/>
    <w:rsid w:val="2D1E240B"/>
    <w:rsid w:val="2D832085"/>
    <w:rsid w:val="2D9B2143"/>
    <w:rsid w:val="2DFB3B2B"/>
    <w:rsid w:val="2E820938"/>
    <w:rsid w:val="2EC456C9"/>
    <w:rsid w:val="2F6107D2"/>
    <w:rsid w:val="302812DF"/>
    <w:rsid w:val="305F7D9F"/>
    <w:rsid w:val="30967D99"/>
    <w:rsid w:val="30A841CD"/>
    <w:rsid w:val="311B38ED"/>
    <w:rsid w:val="31FC3509"/>
    <w:rsid w:val="323521B0"/>
    <w:rsid w:val="32480BF5"/>
    <w:rsid w:val="324C39D2"/>
    <w:rsid w:val="32547DCF"/>
    <w:rsid w:val="32CC7242"/>
    <w:rsid w:val="343926B5"/>
    <w:rsid w:val="34771336"/>
    <w:rsid w:val="34F36D08"/>
    <w:rsid w:val="35700359"/>
    <w:rsid w:val="35A5088F"/>
    <w:rsid w:val="35F93710"/>
    <w:rsid w:val="35FD7E84"/>
    <w:rsid w:val="36161F1F"/>
    <w:rsid w:val="366E6BD7"/>
    <w:rsid w:val="366F0610"/>
    <w:rsid w:val="367D6CAB"/>
    <w:rsid w:val="36962041"/>
    <w:rsid w:val="36B00357"/>
    <w:rsid w:val="373158C6"/>
    <w:rsid w:val="37382EFA"/>
    <w:rsid w:val="37C17290"/>
    <w:rsid w:val="37D95D86"/>
    <w:rsid w:val="38300436"/>
    <w:rsid w:val="386D6DD1"/>
    <w:rsid w:val="387F4D72"/>
    <w:rsid w:val="38CF183A"/>
    <w:rsid w:val="390F1A9A"/>
    <w:rsid w:val="39311BAD"/>
    <w:rsid w:val="398A31B2"/>
    <w:rsid w:val="39D46D7C"/>
    <w:rsid w:val="3A086AC9"/>
    <w:rsid w:val="3ADF516D"/>
    <w:rsid w:val="3AFC3A05"/>
    <w:rsid w:val="3CA67D65"/>
    <w:rsid w:val="3CBB6575"/>
    <w:rsid w:val="3D383228"/>
    <w:rsid w:val="3D62170A"/>
    <w:rsid w:val="3DDB3CF0"/>
    <w:rsid w:val="3DFA1107"/>
    <w:rsid w:val="3E0D0AC4"/>
    <w:rsid w:val="3E463B65"/>
    <w:rsid w:val="3E636548"/>
    <w:rsid w:val="3EE677FB"/>
    <w:rsid w:val="3EFA2289"/>
    <w:rsid w:val="3F363AA2"/>
    <w:rsid w:val="3F7647BE"/>
    <w:rsid w:val="3FEC0F24"/>
    <w:rsid w:val="3FFD0837"/>
    <w:rsid w:val="4024246B"/>
    <w:rsid w:val="40646D0C"/>
    <w:rsid w:val="40771A00"/>
    <w:rsid w:val="407E4430"/>
    <w:rsid w:val="40FB4811"/>
    <w:rsid w:val="41384420"/>
    <w:rsid w:val="4139520E"/>
    <w:rsid w:val="41712C10"/>
    <w:rsid w:val="420B31B9"/>
    <w:rsid w:val="425960B7"/>
    <w:rsid w:val="429B4937"/>
    <w:rsid w:val="42AD6748"/>
    <w:rsid w:val="42AF1CC4"/>
    <w:rsid w:val="42B0448A"/>
    <w:rsid w:val="43064574"/>
    <w:rsid w:val="4324748E"/>
    <w:rsid w:val="434846C3"/>
    <w:rsid w:val="436A4639"/>
    <w:rsid w:val="43742D7F"/>
    <w:rsid w:val="43BB6C43"/>
    <w:rsid w:val="44305883"/>
    <w:rsid w:val="44474CBF"/>
    <w:rsid w:val="44946BAD"/>
    <w:rsid w:val="44A10960"/>
    <w:rsid w:val="44A136A1"/>
    <w:rsid w:val="45015430"/>
    <w:rsid w:val="45903E27"/>
    <w:rsid w:val="45D16BF2"/>
    <w:rsid w:val="45D264C6"/>
    <w:rsid w:val="45D925E8"/>
    <w:rsid w:val="461046E0"/>
    <w:rsid w:val="465E20B5"/>
    <w:rsid w:val="46FB44DD"/>
    <w:rsid w:val="470E18C4"/>
    <w:rsid w:val="4769627B"/>
    <w:rsid w:val="47A25BB7"/>
    <w:rsid w:val="485565B0"/>
    <w:rsid w:val="485A15E8"/>
    <w:rsid w:val="49117305"/>
    <w:rsid w:val="491C0E0E"/>
    <w:rsid w:val="49221512"/>
    <w:rsid w:val="49BD080D"/>
    <w:rsid w:val="49C003AA"/>
    <w:rsid w:val="49CF674B"/>
    <w:rsid w:val="4A03446C"/>
    <w:rsid w:val="4A7855D5"/>
    <w:rsid w:val="4AAB7B07"/>
    <w:rsid w:val="4AE63B19"/>
    <w:rsid w:val="4AE97C50"/>
    <w:rsid w:val="4B8B6D84"/>
    <w:rsid w:val="4BB02434"/>
    <w:rsid w:val="4BBA5C24"/>
    <w:rsid w:val="4BEA4569"/>
    <w:rsid w:val="4C386633"/>
    <w:rsid w:val="4C687F75"/>
    <w:rsid w:val="4D9C654A"/>
    <w:rsid w:val="4DAB40A0"/>
    <w:rsid w:val="4E34533B"/>
    <w:rsid w:val="4E5C1003"/>
    <w:rsid w:val="4E854A1D"/>
    <w:rsid w:val="4EB25691"/>
    <w:rsid w:val="4ED72330"/>
    <w:rsid w:val="4F4A3571"/>
    <w:rsid w:val="4FDD1AD8"/>
    <w:rsid w:val="5055041F"/>
    <w:rsid w:val="505C02B1"/>
    <w:rsid w:val="51025EB1"/>
    <w:rsid w:val="51777A1C"/>
    <w:rsid w:val="51AA1B5C"/>
    <w:rsid w:val="51AA511B"/>
    <w:rsid w:val="520E1CCF"/>
    <w:rsid w:val="52495D62"/>
    <w:rsid w:val="525C2520"/>
    <w:rsid w:val="528B4F09"/>
    <w:rsid w:val="52FB55E4"/>
    <w:rsid w:val="5327235A"/>
    <w:rsid w:val="536E5BF5"/>
    <w:rsid w:val="53F65A8A"/>
    <w:rsid w:val="53FD5BDB"/>
    <w:rsid w:val="54927B08"/>
    <w:rsid w:val="54FE1956"/>
    <w:rsid w:val="5588548D"/>
    <w:rsid w:val="55CC02DF"/>
    <w:rsid w:val="55F10BEA"/>
    <w:rsid w:val="56211A07"/>
    <w:rsid w:val="564822F4"/>
    <w:rsid w:val="574B7E2C"/>
    <w:rsid w:val="57590F5F"/>
    <w:rsid w:val="576B77EF"/>
    <w:rsid w:val="57A001D2"/>
    <w:rsid w:val="58D11441"/>
    <w:rsid w:val="58E32A6C"/>
    <w:rsid w:val="58F652A7"/>
    <w:rsid w:val="593D0573"/>
    <w:rsid w:val="59C277BF"/>
    <w:rsid w:val="59E73A41"/>
    <w:rsid w:val="5A1524A8"/>
    <w:rsid w:val="5A5C3D11"/>
    <w:rsid w:val="5A640B7E"/>
    <w:rsid w:val="5A97086B"/>
    <w:rsid w:val="5AEA6079"/>
    <w:rsid w:val="5B0B1E06"/>
    <w:rsid w:val="5B7D4734"/>
    <w:rsid w:val="5BD73A6B"/>
    <w:rsid w:val="5C381321"/>
    <w:rsid w:val="5C523826"/>
    <w:rsid w:val="5C9E402C"/>
    <w:rsid w:val="5D641054"/>
    <w:rsid w:val="5D844AE2"/>
    <w:rsid w:val="5D95077A"/>
    <w:rsid w:val="5DD042A4"/>
    <w:rsid w:val="5E05534C"/>
    <w:rsid w:val="5E575F98"/>
    <w:rsid w:val="5E7340B5"/>
    <w:rsid w:val="5ECF689E"/>
    <w:rsid w:val="5F49114F"/>
    <w:rsid w:val="5F4D54F9"/>
    <w:rsid w:val="5F952F3D"/>
    <w:rsid w:val="5FBB0234"/>
    <w:rsid w:val="60681AA9"/>
    <w:rsid w:val="60A84F4F"/>
    <w:rsid w:val="60C03693"/>
    <w:rsid w:val="61500DC6"/>
    <w:rsid w:val="61C904A7"/>
    <w:rsid w:val="61FA530C"/>
    <w:rsid w:val="62950475"/>
    <w:rsid w:val="62C54F90"/>
    <w:rsid w:val="62FC6C1E"/>
    <w:rsid w:val="62FC777E"/>
    <w:rsid w:val="6311334E"/>
    <w:rsid w:val="63273E9D"/>
    <w:rsid w:val="633155E7"/>
    <w:rsid w:val="633B34A5"/>
    <w:rsid w:val="636B5241"/>
    <w:rsid w:val="63791C11"/>
    <w:rsid w:val="63EB6B53"/>
    <w:rsid w:val="63EE0517"/>
    <w:rsid w:val="64252AEB"/>
    <w:rsid w:val="647917CB"/>
    <w:rsid w:val="661E50E3"/>
    <w:rsid w:val="665147AF"/>
    <w:rsid w:val="66BB6DD6"/>
    <w:rsid w:val="66DC6D4D"/>
    <w:rsid w:val="66F85A89"/>
    <w:rsid w:val="6712451C"/>
    <w:rsid w:val="67317098"/>
    <w:rsid w:val="673A0F5D"/>
    <w:rsid w:val="67713939"/>
    <w:rsid w:val="67766731"/>
    <w:rsid w:val="67777EDC"/>
    <w:rsid w:val="67954634"/>
    <w:rsid w:val="67D065D6"/>
    <w:rsid w:val="67DD1352"/>
    <w:rsid w:val="68A96F77"/>
    <w:rsid w:val="68C55F71"/>
    <w:rsid w:val="68FB264A"/>
    <w:rsid w:val="692E4942"/>
    <w:rsid w:val="69354A1B"/>
    <w:rsid w:val="69493948"/>
    <w:rsid w:val="69BF54BD"/>
    <w:rsid w:val="6A292C42"/>
    <w:rsid w:val="6A38073E"/>
    <w:rsid w:val="6A5E5EC5"/>
    <w:rsid w:val="6A753740"/>
    <w:rsid w:val="6A7E3477"/>
    <w:rsid w:val="6AB06526"/>
    <w:rsid w:val="6B6235CB"/>
    <w:rsid w:val="6B6D2669"/>
    <w:rsid w:val="6B8F0831"/>
    <w:rsid w:val="6B9D16B4"/>
    <w:rsid w:val="6BAC07F9"/>
    <w:rsid w:val="6BD858FE"/>
    <w:rsid w:val="6C125ACF"/>
    <w:rsid w:val="6C1D22E3"/>
    <w:rsid w:val="6C4F6548"/>
    <w:rsid w:val="6DB47FE2"/>
    <w:rsid w:val="6DF0691A"/>
    <w:rsid w:val="6E097F2E"/>
    <w:rsid w:val="6E1D2124"/>
    <w:rsid w:val="6F112DC6"/>
    <w:rsid w:val="6F6D4987"/>
    <w:rsid w:val="6F8D7302"/>
    <w:rsid w:val="6FD51E2E"/>
    <w:rsid w:val="6FE32EFA"/>
    <w:rsid w:val="70640355"/>
    <w:rsid w:val="706C2C8A"/>
    <w:rsid w:val="70716758"/>
    <w:rsid w:val="70787882"/>
    <w:rsid w:val="70F938A5"/>
    <w:rsid w:val="71351220"/>
    <w:rsid w:val="713B033C"/>
    <w:rsid w:val="717B5AE0"/>
    <w:rsid w:val="7186170F"/>
    <w:rsid w:val="71AA1F21"/>
    <w:rsid w:val="71CC1D17"/>
    <w:rsid w:val="731C34F7"/>
    <w:rsid w:val="73426189"/>
    <w:rsid w:val="735D134C"/>
    <w:rsid w:val="73601405"/>
    <w:rsid w:val="737226B2"/>
    <w:rsid w:val="73EA06EE"/>
    <w:rsid w:val="74292DFA"/>
    <w:rsid w:val="749A3101"/>
    <w:rsid w:val="74B62C7F"/>
    <w:rsid w:val="74D168BD"/>
    <w:rsid w:val="74D46FD7"/>
    <w:rsid w:val="74D62E63"/>
    <w:rsid w:val="74EF3025"/>
    <w:rsid w:val="750161E9"/>
    <w:rsid w:val="751002ED"/>
    <w:rsid w:val="7516332D"/>
    <w:rsid w:val="75BA294F"/>
    <w:rsid w:val="76271B70"/>
    <w:rsid w:val="762D1373"/>
    <w:rsid w:val="763540AC"/>
    <w:rsid w:val="765B7C8E"/>
    <w:rsid w:val="76991174"/>
    <w:rsid w:val="776E0C15"/>
    <w:rsid w:val="777131E5"/>
    <w:rsid w:val="77A64FF8"/>
    <w:rsid w:val="77E87FBF"/>
    <w:rsid w:val="78571C40"/>
    <w:rsid w:val="78801C2E"/>
    <w:rsid w:val="78C41512"/>
    <w:rsid w:val="791E3A6E"/>
    <w:rsid w:val="79694470"/>
    <w:rsid w:val="79D0629D"/>
    <w:rsid w:val="7A0B0B7A"/>
    <w:rsid w:val="7A3B3DFE"/>
    <w:rsid w:val="7AD718AD"/>
    <w:rsid w:val="7B702515"/>
    <w:rsid w:val="7B941E3B"/>
    <w:rsid w:val="7C0948B9"/>
    <w:rsid w:val="7C6F4493"/>
    <w:rsid w:val="7C762DBD"/>
    <w:rsid w:val="7CA218DD"/>
    <w:rsid w:val="7CD13148"/>
    <w:rsid w:val="7CE22975"/>
    <w:rsid w:val="7CE32B26"/>
    <w:rsid w:val="7D40198C"/>
    <w:rsid w:val="7D45652E"/>
    <w:rsid w:val="7DC85A72"/>
    <w:rsid w:val="7DD23A08"/>
    <w:rsid w:val="7DDA57A9"/>
    <w:rsid w:val="7E290F20"/>
    <w:rsid w:val="7E4034E2"/>
    <w:rsid w:val="7F973411"/>
    <w:rsid w:val="7FBD3767"/>
    <w:rsid w:val="7FE52F6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1"/>
    <w:qFormat/>
    <w:uiPriority w:val="0"/>
    <w:pPr>
      <w:keepNext/>
      <w:keepLines/>
      <w:tabs>
        <w:tab w:val="left" w:pos="1440"/>
      </w:tabs>
      <w:spacing w:line="240" w:lineRule="auto"/>
      <w:ind w:left="0" w:firstLine="0"/>
      <w:jc w:val="center"/>
      <w:outlineLvl w:val="0"/>
    </w:pPr>
    <w:rPr>
      <w:rFonts w:ascii="Times New Roman" w:hAnsi="Times New Roman" w:eastAsia="宋体"/>
      <w:b/>
      <w:bCs/>
      <w:kern w:val="44"/>
      <w:sz w:val="44"/>
      <w:szCs w:val="44"/>
    </w:rPr>
  </w:style>
  <w:style w:type="paragraph" w:styleId="3">
    <w:name w:val="heading 2"/>
    <w:basedOn w:val="1"/>
    <w:next w:val="1"/>
    <w:link w:val="80"/>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82"/>
    <w:qFormat/>
    <w:uiPriority w:val="0"/>
    <w:pPr>
      <w:keepNext/>
      <w:keepLines/>
      <w:spacing w:before="260" w:after="260" w:line="416" w:lineRule="auto"/>
      <w:outlineLvl w:val="2"/>
    </w:pPr>
    <w:rPr>
      <w:b/>
      <w:bCs/>
      <w:sz w:val="32"/>
      <w:szCs w:val="32"/>
    </w:rPr>
  </w:style>
  <w:style w:type="paragraph" w:styleId="5">
    <w:name w:val="heading 4"/>
    <w:basedOn w:val="1"/>
    <w:next w:val="1"/>
    <w:link w:val="83"/>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84"/>
    <w:qFormat/>
    <w:uiPriority w:val="0"/>
    <w:pPr>
      <w:keepNext/>
      <w:keepLines/>
      <w:tabs>
        <w:tab w:val="left" w:pos="1008"/>
      </w:tabs>
      <w:spacing w:before="280" w:after="290" w:line="372" w:lineRule="auto"/>
      <w:ind w:left="1008" w:hanging="1008"/>
      <w:outlineLvl w:val="4"/>
    </w:pPr>
    <w:rPr>
      <w:b/>
      <w:bCs/>
      <w:sz w:val="28"/>
      <w:szCs w:val="28"/>
    </w:rPr>
  </w:style>
  <w:style w:type="paragraph" w:styleId="7">
    <w:name w:val="heading 6"/>
    <w:basedOn w:val="1"/>
    <w:next w:val="1"/>
    <w:link w:val="85"/>
    <w:qFormat/>
    <w:uiPriority w:val="0"/>
    <w:pPr>
      <w:keepNext/>
      <w:keepLines/>
      <w:tabs>
        <w:tab w:val="left" w:pos="1152"/>
      </w:tabs>
      <w:spacing w:before="240" w:after="64" w:line="317" w:lineRule="auto"/>
      <w:ind w:left="1152" w:hanging="1152"/>
      <w:outlineLvl w:val="5"/>
    </w:pPr>
    <w:rPr>
      <w:rFonts w:ascii="Arial" w:hAnsi="Arial" w:eastAsia="黑体"/>
      <w:b/>
      <w:sz w:val="24"/>
      <w:szCs w:val="20"/>
    </w:rPr>
  </w:style>
  <w:style w:type="paragraph" w:styleId="8">
    <w:name w:val="heading 7"/>
    <w:basedOn w:val="1"/>
    <w:next w:val="1"/>
    <w:link w:val="86"/>
    <w:qFormat/>
    <w:uiPriority w:val="0"/>
    <w:pPr>
      <w:keepNext/>
      <w:keepLines/>
      <w:tabs>
        <w:tab w:val="left" w:pos="1296"/>
      </w:tabs>
      <w:spacing w:before="240" w:after="64" w:line="317" w:lineRule="auto"/>
      <w:ind w:left="1296" w:hanging="1296"/>
      <w:outlineLvl w:val="6"/>
    </w:pPr>
    <w:rPr>
      <w:b/>
      <w:sz w:val="24"/>
      <w:szCs w:val="20"/>
    </w:rPr>
  </w:style>
  <w:style w:type="paragraph" w:styleId="9">
    <w:name w:val="heading 8"/>
    <w:basedOn w:val="1"/>
    <w:next w:val="1"/>
    <w:link w:val="87"/>
    <w:qFormat/>
    <w:uiPriority w:val="0"/>
    <w:pPr>
      <w:keepNext/>
      <w:keepLines/>
      <w:tabs>
        <w:tab w:val="left" w:pos="1440"/>
      </w:tabs>
      <w:spacing w:before="240" w:after="64" w:line="317" w:lineRule="auto"/>
      <w:ind w:left="1440" w:hanging="1440"/>
      <w:outlineLvl w:val="7"/>
    </w:pPr>
    <w:rPr>
      <w:rFonts w:ascii="Arial" w:hAnsi="Arial" w:eastAsia="黑体"/>
      <w:sz w:val="24"/>
      <w:szCs w:val="20"/>
    </w:rPr>
  </w:style>
  <w:style w:type="paragraph" w:styleId="10">
    <w:name w:val="heading 9"/>
    <w:basedOn w:val="1"/>
    <w:next w:val="1"/>
    <w:link w:val="88"/>
    <w:qFormat/>
    <w:uiPriority w:val="0"/>
    <w:pPr>
      <w:keepNext/>
      <w:keepLines/>
      <w:tabs>
        <w:tab w:val="left" w:pos="1584"/>
      </w:tabs>
      <w:spacing w:before="240" w:after="64" w:line="317" w:lineRule="auto"/>
      <w:ind w:left="1584" w:hanging="1584"/>
      <w:outlineLvl w:val="8"/>
    </w:pPr>
    <w:rPr>
      <w:rFonts w:ascii="Arial" w:hAnsi="Arial" w:eastAsia="黑体"/>
      <w:szCs w:val="20"/>
    </w:rPr>
  </w:style>
  <w:style w:type="character" w:default="1" w:styleId="54">
    <w:name w:val="Default Paragraph Font"/>
    <w:unhideWhenUsed/>
    <w:qFormat/>
    <w:uiPriority w:val="1"/>
  </w:style>
  <w:style w:type="table" w:default="1" w:styleId="52">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List Bullet 4"/>
    <w:basedOn w:val="1"/>
    <w:qFormat/>
    <w:uiPriority w:val="0"/>
    <w:pPr>
      <w:tabs>
        <w:tab w:val="left" w:pos="1620"/>
      </w:tabs>
      <w:spacing w:line="360" w:lineRule="auto"/>
      <w:ind w:left="1620" w:hanging="360"/>
      <w:jc w:val="left"/>
    </w:pPr>
    <w:rPr>
      <w:rFonts w:ascii="宋体" w:hAnsi="宋体"/>
      <w:color w:val="7030A0"/>
      <w:sz w:val="24"/>
      <w:szCs w:val="20"/>
    </w:rPr>
  </w:style>
  <w:style w:type="paragraph" w:styleId="13">
    <w:name w:val="index 8"/>
    <w:basedOn w:val="1"/>
    <w:next w:val="1"/>
    <w:unhideWhenUsed/>
    <w:qFormat/>
    <w:uiPriority w:val="99"/>
    <w:pPr>
      <w:ind w:left="1400" w:leftChars="1400"/>
    </w:pPr>
  </w:style>
  <w:style w:type="paragraph" w:styleId="14">
    <w:name w:val="List Number"/>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15">
    <w:name w:val="Normal Indent"/>
    <w:basedOn w:val="1"/>
    <w:link w:val="89"/>
    <w:qFormat/>
    <w:uiPriority w:val="0"/>
    <w:pPr>
      <w:autoSpaceDE w:val="0"/>
      <w:autoSpaceDN w:val="0"/>
      <w:adjustRightInd w:val="0"/>
      <w:ind w:firstLine="420"/>
      <w:jc w:val="left"/>
    </w:pPr>
    <w:rPr>
      <w:rFonts w:ascii="宋体"/>
      <w:kern w:val="0"/>
      <w:sz w:val="24"/>
      <w:szCs w:val="20"/>
    </w:rPr>
  </w:style>
  <w:style w:type="paragraph" w:styleId="16">
    <w:name w:val="caption"/>
    <w:basedOn w:val="1"/>
    <w:next w:val="1"/>
    <w:link w:val="90"/>
    <w:qFormat/>
    <w:uiPriority w:val="0"/>
    <w:pPr>
      <w:ind w:firstLine="6290" w:firstLineChars="2282"/>
    </w:pPr>
    <w:rPr>
      <w:b/>
      <w:bCs/>
      <w:color w:val="000080"/>
      <w:sz w:val="28"/>
    </w:rPr>
  </w:style>
  <w:style w:type="paragraph" w:styleId="17">
    <w:name w:val="List Bullet"/>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18">
    <w:name w:val="Document Map"/>
    <w:basedOn w:val="1"/>
    <w:link w:val="91"/>
    <w:unhideWhenUsed/>
    <w:qFormat/>
    <w:uiPriority w:val="99"/>
    <w:rPr>
      <w:rFonts w:ascii="宋体"/>
      <w:sz w:val="18"/>
      <w:szCs w:val="18"/>
    </w:rPr>
  </w:style>
  <w:style w:type="paragraph" w:styleId="19">
    <w:name w:val="annotation text"/>
    <w:basedOn w:val="1"/>
    <w:link w:val="92"/>
    <w:qFormat/>
    <w:uiPriority w:val="99"/>
    <w:pPr>
      <w:jc w:val="left"/>
    </w:pPr>
    <w:rPr>
      <w:kern w:val="0"/>
      <w:sz w:val="20"/>
    </w:rPr>
  </w:style>
  <w:style w:type="paragraph" w:styleId="20">
    <w:name w:val="Salutation"/>
    <w:basedOn w:val="1"/>
    <w:next w:val="1"/>
    <w:link w:val="93"/>
    <w:qFormat/>
    <w:uiPriority w:val="0"/>
    <w:rPr>
      <w:rFonts w:ascii="宋体" w:hAnsi="宋体"/>
      <w:sz w:val="24"/>
      <w:szCs w:val="20"/>
    </w:rPr>
  </w:style>
  <w:style w:type="paragraph" w:styleId="21">
    <w:name w:val="Body Text 3"/>
    <w:basedOn w:val="1"/>
    <w:link w:val="94"/>
    <w:qFormat/>
    <w:uiPriority w:val="0"/>
    <w:pPr>
      <w:spacing w:line="600" w:lineRule="exact"/>
      <w:ind w:firstLine="200" w:firstLineChars="200"/>
    </w:pPr>
    <w:rPr>
      <w:rFonts w:ascii="Calibri"/>
      <w:kern w:val="0"/>
      <w:sz w:val="24"/>
      <w:szCs w:val="20"/>
    </w:rPr>
  </w:style>
  <w:style w:type="paragraph" w:styleId="22">
    <w:name w:val="List Bullet 3"/>
    <w:basedOn w:val="1"/>
    <w:qFormat/>
    <w:uiPriority w:val="0"/>
    <w:pPr>
      <w:tabs>
        <w:tab w:val="left" w:pos="775"/>
      </w:tabs>
      <w:spacing w:line="360" w:lineRule="auto"/>
      <w:ind w:left="775" w:hanging="360"/>
    </w:pPr>
    <w:rPr>
      <w:kern w:val="0"/>
    </w:rPr>
  </w:style>
  <w:style w:type="paragraph" w:styleId="23">
    <w:name w:val="Body Text"/>
    <w:basedOn w:val="1"/>
    <w:next w:val="24"/>
    <w:link w:val="95"/>
    <w:qFormat/>
    <w:uiPriority w:val="0"/>
    <w:pPr>
      <w:spacing w:line="360" w:lineRule="auto"/>
    </w:pPr>
  </w:style>
  <w:style w:type="paragraph" w:customStyle="1" w:styleId="24">
    <w:name w:val="Default"/>
    <w:basedOn w:val="25"/>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25">
    <w:name w:val="Plain Text"/>
    <w:basedOn w:val="1"/>
    <w:next w:val="23"/>
    <w:link w:val="97"/>
    <w:qFormat/>
    <w:uiPriority w:val="0"/>
    <w:rPr>
      <w:rFonts w:ascii="宋体" w:hAnsi="Courier New"/>
      <w:szCs w:val="20"/>
    </w:rPr>
  </w:style>
  <w:style w:type="paragraph" w:styleId="26">
    <w:name w:val="Body Text Indent"/>
    <w:basedOn w:val="1"/>
    <w:next w:val="27"/>
    <w:qFormat/>
    <w:uiPriority w:val="0"/>
    <w:pPr>
      <w:widowControl/>
      <w:ind w:left="360"/>
      <w:jc w:val="left"/>
    </w:pPr>
    <w:rPr>
      <w:kern w:val="0"/>
      <w:sz w:val="28"/>
      <w:szCs w:val="20"/>
    </w:rPr>
  </w:style>
  <w:style w:type="paragraph" w:styleId="27">
    <w:name w:val="envelope return"/>
    <w:basedOn w:val="1"/>
    <w:qFormat/>
    <w:uiPriority w:val="0"/>
    <w:pPr>
      <w:snapToGrid w:val="0"/>
    </w:pPr>
    <w:rPr>
      <w:rFonts w:ascii="Arial" w:hAnsi="Arial"/>
    </w:rPr>
  </w:style>
  <w:style w:type="paragraph" w:styleId="28">
    <w:name w:val="List 2"/>
    <w:basedOn w:val="1"/>
    <w:qFormat/>
    <w:uiPriority w:val="0"/>
    <w:pPr>
      <w:ind w:left="100" w:leftChars="200" w:hanging="200" w:hangingChars="200"/>
    </w:pPr>
    <w:rPr>
      <w:szCs w:val="24"/>
    </w:rPr>
  </w:style>
  <w:style w:type="paragraph" w:styleId="29">
    <w:name w:val="List Bullet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30">
    <w:name w:val="toc 5"/>
    <w:basedOn w:val="1"/>
    <w:next w:val="1"/>
    <w:qFormat/>
    <w:uiPriority w:val="0"/>
    <w:pPr>
      <w:ind w:left="840"/>
      <w:jc w:val="left"/>
    </w:pPr>
    <w:rPr>
      <w:sz w:val="18"/>
      <w:szCs w:val="18"/>
    </w:rPr>
  </w:style>
  <w:style w:type="paragraph" w:styleId="31">
    <w:name w:val="toc 3"/>
    <w:basedOn w:val="1"/>
    <w:next w:val="1"/>
    <w:qFormat/>
    <w:uiPriority w:val="39"/>
    <w:pPr>
      <w:tabs>
        <w:tab w:val="left" w:pos="400"/>
        <w:tab w:val="left" w:pos="576"/>
        <w:tab w:val="right" w:leader="dot" w:pos="8778"/>
      </w:tabs>
      <w:ind w:left="10"/>
      <w:jc w:val="center"/>
    </w:pPr>
    <w:rPr>
      <w:rFonts w:ascii="宋体" w:hAnsi="宋体"/>
      <w:b/>
      <w:iCs/>
      <w:sz w:val="24"/>
    </w:rPr>
  </w:style>
  <w:style w:type="paragraph" w:styleId="32">
    <w:name w:val="List Bullet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33">
    <w:name w:val="toc 8"/>
    <w:basedOn w:val="1"/>
    <w:next w:val="1"/>
    <w:qFormat/>
    <w:uiPriority w:val="0"/>
    <w:pPr>
      <w:ind w:left="1470"/>
      <w:jc w:val="left"/>
    </w:pPr>
    <w:rPr>
      <w:sz w:val="18"/>
      <w:szCs w:val="18"/>
    </w:rPr>
  </w:style>
  <w:style w:type="paragraph" w:styleId="34">
    <w:name w:val="Date"/>
    <w:basedOn w:val="1"/>
    <w:next w:val="1"/>
    <w:link w:val="98"/>
    <w:unhideWhenUsed/>
    <w:qFormat/>
    <w:uiPriority w:val="99"/>
    <w:pPr>
      <w:ind w:left="100" w:leftChars="2500"/>
    </w:pPr>
  </w:style>
  <w:style w:type="paragraph" w:styleId="35">
    <w:name w:val="Body Text Indent 2"/>
    <w:basedOn w:val="1"/>
    <w:qFormat/>
    <w:uiPriority w:val="0"/>
    <w:pPr>
      <w:ind w:firstLine="480" w:firstLineChars="200"/>
    </w:pPr>
    <w:rPr>
      <w:rFonts w:ascii="仿宋_GB2312" w:eastAsia="仿宋_GB2312"/>
      <w:sz w:val="24"/>
    </w:rPr>
  </w:style>
  <w:style w:type="paragraph" w:styleId="36">
    <w:name w:val="endnote text"/>
    <w:basedOn w:val="1"/>
    <w:link w:val="99"/>
    <w:qFormat/>
    <w:uiPriority w:val="0"/>
    <w:pPr>
      <w:snapToGrid w:val="0"/>
      <w:spacing w:line="500" w:lineRule="exact"/>
      <w:jc w:val="left"/>
    </w:pPr>
    <w:rPr>
      <w:kern w:val="0"/>
    </w:rPr>
  </w:style>
  <w:style w:type="paragraph" w:styleId="37">
    <w:name w:val="Balloon Text"/>
    <w:basedOn w:val="1"/>
    <w:link w:val="100"/>
    <w:unhideWhenUsed/>
    <w:qFormat/>
    <w:uiPriority w:val="99"/>
    <w:rPr>
      <w:sz w:val="18"/>
      <w:szCs w:val="18"/>
    </w:rPr>
  </w:style>
  <w:style w:type="paragraph" w:styleId="38">
    <w:name w:val="footer"/>
    <w:basedOn w:val="1"/>
    <w:next w:val="39"/>
    <w:link w:val="101"/>
    <w:qFormat/>
    <w:uiPriority w:val="99"/>
    <w:pPr>
      <w:tabs>
        <w:tab w:val="center" w:pos="4153"/>
        <w:tab w:val="right" w:pos="8306"/>
      </w:tabs>
      <w:snapToGrid w:val="0"/>
      <w:jc w:val="left"/>
    </w:pPr>
    <w:rPr>
      <w:sz w:val="18"/>
      <w:szCs w:val="18"/>
    </w:rPr>
  </w:style>
  <w:style w:type="paragraph" w:styleId="39">
    <w:name w:val="header"/>
    <w:basedOn w:val="1"/>
    <w:next w:val="40"/>
    <w:link w:val="102"/>
    <w:qFormat/>
    <w:uiPriority w:val="99"/>
    <w:pPr>
      <w:pBdr>
        <w:bottom w:val="single" w:color="auto" w:sz="6" w:space="1"/>
      </w:pBdr>
      <w:tabs>
        <w:tab w:val="center" w:pos="4153"/>
        <w:tab w:val="right" w:pos="8306"/>
      </w:tabs>
      <w:snapToGrid w:val="0"/>
      <w:jc w:val="center"/>
    </w:pPr>
    <w:rPr>
      <w:sz w:val="18"/>
      <w:szCs w:val="18"/>
    </w:rPr>
  </w:style>
  <w:style w:type="paragraph" w:styleId="40">
    <w:name w:val="toc 2"/>
    <w:basedOn w:val="1"/>
    <w:next w:val="1"/>
    <w:qFormat/>
    <w:uiPriority w:val="39"/>
    <w:pPr>
      <w:tabs>
        <w:tab w:val="right" w:leader="dot" w:pos="8778"/>
      </w:tabs>
      <w:ind w:left="23" w:leftChars="9" w:hanging="4" w:hangingChars="2"/>
      <w:jc w:val="left"/>
    </w:pPr>
    <w:rPr>
      <w:smallCaps/>
      <w:sz w:val="20"/>
      <w:szCs w:val="20"/>
    </w:rPr>
  </w:style>
  <w:style w:type="paragraph" w:styleId="41">
    <w:name w:val="toc 1"/>
    <w:basedOn w:val="1"/>
    <w:next w:val="1"/>
    <w:qFormat/>
    <w:uiPriority w:val="39"/>
    <w:pPr>
      <w:tabs>
        <w:tab w:val="right" w:leader="dot" w:pos="8778"/>
      </w:tabs>
      <w:snapToGrid w:val="0"/>
      <w:spacing w:line="360" w:lineRule="auto"/>
      <w:jc w:val="center"/>
    </w:pPr>
    <w:rPr>
      <w:rFonts w:ascii="Times New Roman" w:hAnsi="Times New Roman" w:eastAsia="宋体"/>
      <w:b/>
      <w:bCs/>
      <w:iCs/>
      <w:caps/>
      <w:kern w:val="0"/>
      <w:sz w:val="21"/>
      <w:szCs w:val="36"/>
    </w:rPr>
  </w:style>
  <w:style w:type="paragraph" w:styleId="42">
    <w:name w:val="toc 4"/>
    <w:basedOn w:val="1"/>
    <w:next w:val="1"/>
    <w:qFormat/>
    <w:uiPriority w:val="0"/>
    <w:pPr>
      <w:ind w:left="630"/>
      <w:jc w:val="left"/>
    </w:pPr>
    <w:rPr>
      <w:sz w:val="18"/>
      <w:szCs w:val="18"/>
    </w:rPr>
  </w:style>
  <w:style w:type="paragraph" w:styleId="43">
    <w:name w:val="footnote text"/>
    <w:basedOn w:val="1"/>
    <w:link w:val="103"/>
    <w:qFormat/>
    <w:uiPriority w:val="0"/>
    <w:pPr>
      <w:adjustRightInd w:val="0"/>
      <w:spacing w:line="312" w:lineRule="atLeast"/>
      <w:jc w:val="left"/>
      <w:textAlignment w:val="baseline"/>
    </w:pPr>
    <w:rPr>
      <w:kern w:val="0"/>
      <w:sz w:val="18"/>
      <w:szCs w:val="20"/>
    </w:rPr>
  </w:style>
  <w:style w:type="paragraph" w:styleId="44">
    <w:name w:val="toc 6"/>
    <w:basedOn w:val="1"/>
    <w:next w:val="1"/>
    <w:qFormat/>
    <w:uiPriority w:val="0"/>
    <w:pPr>
      <w:ind w:left="1050"/>
      <w:jc w:val="left"/>
    </w:pPr>
    <w:rPr>
      <w:sz w:val="18"/>
      <w:szCs w:val="18"/>
    </w:rPr>
  </w:style>
  <w:style w:type="paragraph" w:styleId="45">
    <w:name w:val="toc 9"/>
    <w:basedOn w:val="1"/>
    <w:next w:val="1"/>
    <w:qFormat/>
    <w:uiPriority w:val="0"/>
    <w:pPr>
      <w:ind w:left="1680"/>
      <w:jc w:val="left"/>
    </w:pPr>
    <w:rPr>
      <w:sz w:val="18"/>
      <w:szCs w:val="18"/>
    </w:rPr>
  </w:style>
  <w:style w:type="paragraph" w:styleId="46">
    <w:name w:val="Body Text 2"/>
    <w:basedOn w:val="1"/>
    <w:next w:val="1"/>
    <w:qFormat/>
    <w:uiPriority w:val="0"/>
    <w:pPr>
      <w:jc w:val="center"/>
      <w:outlineLvl w:val="0"/>
    </w:pPr>
    <w:rPr>
      <w:rFonts w:ascii="楷体_GB2312" w:eastAsia="仿宋_GB2312"/>
      <w:kern w:val="2"/>
      <w:sz w:val="30"/>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Title"/>
    <w:basedOn w:val="1"/>
    <w:link w:val="104"/>
    <w:qFormat/>
    <w:uiPriority w:val="0"/>
    <w:pPr>
      <w:widowControl/>
      <w:spacing w:before="240" w:after="60"/>
      <w:jc w:val="center"/>
      <w:outlineLvl w:val="0"/>
    </w:pPr>
    <w:rPr>
      <w:rFonts w:ascii="Arial" w:hAnsi="Arial" w:eastAsia="楷体_GB2312"/>
      <w:b/>
      <w:kern w:val="0"/>
      <w:sz w:val="32"/>
      <w:szCs w:val="20"/>
    </w:rPr>
  </w:style>
  <w:style w:type="paragraph" w:styleId="49">
    <w:name w:val="annotation subject"/>
    <w:basedOn w:val="19"/>
    <w:next w:val="19"/>
    <w:link w:val="105"/>
    <w:unhideWhenUsed/>
    <w:qFormat/>
    <w:uiPriority w:val="99"/>
    <w:rPr>
      <w:b/>
      <w:bCs/>
      <w:kern w:val="2"/>
      <w:sz w:val="21"/>
    </w:rPr>
  </w:style>
  <w:style w:type="paragraph" w:styleId="50">
    <w:name w:val="Body Text First Indent"/>
    <w:basedOn w:val="23"/>
    <w:link w:val="96"/>
    <w:unhideWhenUsed/>
    <w:qFormat/>
    <w:uiPriority w:val="99"/>
    <w:pPr>
      <w:spacing w:after="120" w:line="240" w:lineRule="auto"/>
      <w:ind w:firstLine="420" w:firstLineChars="100"/>
    </w:pPr>
  </w:style>
  <w:style w:type="paragraph" w:styleId="51">
    <w:name w:val="Body Text First Indent 2"/>
    <w:basedOn w:val="26"/>
    <w:next w:val="1"/>
    <w:unhideWhenUsed/>
    <w:qFormat/>
    <w:uiPriority w:val="0"/>
    <w:pPr>
      <w:tabs>
        <w:tab w:val="left" w:pos="945"/>
        <w:tab w:val="left" w:pos="1155"/>
      </w:tabs>
      <w:spacing w:after="120" w:afterLines="0"/>
      <w:ind w:left="420" w:leftChars="200" w:firstLine="420" w:firstLineChars="200"/>
    </w:pPr>
    <w:rPr>
      <w:rFonts w:hint="eastAsia" w:ascii="Times New Roman"/>
      <w:sz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endnote reference"/>
    <w:qFormat/>
    <w:uiPriority w:val="0"/>
    <w:rPr>
      <w:vertAlign w:val="superscript"/>
    </w:rPr>
  </w:style>
  <w:style w:type="character" w:styleId="57">
    <w:name w:val="page number"/>
    <w:basedOn w:val="54"/>
    <w:qFormat/>
    <w:uiPriority w:val="0"/>
  </w:style>
  <w:style w:type="character" w:styleId="58">
    <w:name w:val="FollowedHyperlink"/>
    <w:qFormat/>
    <w:uiPriority w:val="0"/>
    <w:rPr>
      <w:color w:val="000000"/>
      <w:sz w:val="14"/>
      <w:szCs w:val="14"/>
      <w:u w:val="none"/>
    </w:rPr>
  </w:style>
  <w:style w:type="character" w:styleId="59">
    <w:name w:val="Emphasis"/>
    <w:basedOn w:val="54"/>
    <w:qFormat/>
    <w:uiPriority w:val="20"/>
  </w:style>
  <w:style w:type="character" w:styleId="60">
    <w:name w:val="HTML Definition"/>
    <w:unhideWhenUsed/>
    <w:qFormat/>
    <w:uiPriority w:val="99"/>
  </w:style>
  <w:style w:type="character" w:styleId="61">
    <w:name w:val="HTML Typewriter"/>
    <w:unhideWhenUsed/>
    <w:qFormat/>
    <w:uiPriority w:val="99"/>
    <w:rPr>
      <w:rFonts w:hint="default" w:ascii="monospace" w:hAnsi="monospace" w:eastAsia="monospace" w:cs="monospace"/>
      <w:sz w:val="20"/>
    </w:rPr>
  </w:style>
  <w:style w:type="character" w:styleId="62">
    <w:name w:val="HTML Acronym"/>
    <w:basedOn w:val="54"/>
    <w:unhideWhenUsed/>
    <w:qFormat/>
    <w:uiPriority w:val="99"/>
  </w:style>
  <w:style w:type="character" w:styleId="63">
    <w:name w:val="HTML Variable"/>
    <w:unhideWhenUsed/>
    <w:qFormat/>
    <w:uiPriority w:val="99"/>
  </w:style>
  <w:style w:type="character" w:styleId="64">
    <w:name w:val="Hyperlink"/>
    <w:qFormat/>
    <w:uiPriority w:val="99"/>
    <w:rPr>
      <w:color w:val="000000"/>
      <w:sz w:val="14"/>
      <w:szCs w:val="14"/>
      <w:u w:val="none"/>
    </w:rPr>
  </w:style>
  <w:style w:type="character" w:styleId="65">
    <w:name w:val="HTML Code"/>
    <w:unhideWhenUsed/>
    <w:qFormat/>
    <w:uiPriority w:val="99"/>
    <w:rPr>
      <w:rFonts w:ascii="monospace" w:hAnsi="monospace" w:eastAsia="monospace" w:cs="monospace"/>
      <w:sz w:val="20"/>
    </w:rPr>
  </w:style>
  <w:style w:type="character" w:styleId="66">
    <w:name w:val="annotation reference"/>
    <w:unhideWhenUsed/>
    <w:qFormat/>
    <w:uiPriority w:val="99"/>
    <w:rPr>
      <w:sz w:val="21"/>
      <w:szCs w:val="21"/>
    </w:rPr>
  </w:style>
  <w:style w:type="character" w:styleId="67">
    <w:name w:val="HTML Cite"/>
    <w:unhideWhenUsed/>
    <w:qFormat/>
    <w:uiPriority w:val="99"/>
  </w:style>
  <w:style w:type="character" w:styleId="68">
    <w:name w:val="footnote reference"/>
    <w:qFormat/>
    <w:uiPriority w:val="0"/>
    <w:rPr>
      <w:vertAlign w:val="superscript"/>
    </w:rPr>
  </w:style>
  <w:style w:type="character" w:styleId="69">
    <w:name w:val="HTML Keyboard"/>
    <w:unhideWhenUsed/>
    <w:qFormat/>
    <w:uiPriority w:val="99"/>
    <w:rPr>
      <w:rFonts w:hint="default" w:ascii="monospace" w:hAnsi="monospace" w:eastAsia="monospace" w:cs="monospace"/>
      <w:sz w:val="20"/>
    </w:rPr>
  </w:style>
  <w:style w:type="character" w:styleId="70">
    <w:name w:val="HTML Sample"/>
    <w:unhideWhenUsed/>
    <w:qFormat/>
    <w:uiPriority w:val="99"/>
    <w:rPr>
      <w:rFonts w:hint="default" w:ascii="monospace" w:hAnsi="monospace" w:eastAsia="monospace" w:cs="monospace"/>
    </w:rPr>
  </w:style>
  <w:style w:type="paragraph" w:customStyle="1" w:styleId="71">
    <w:name w:val="TOC 标题1"/>
    <w:basedOn w:val="2"/>
    <w:next w:val="1"/>
    <w:qFormat/>
    <w:uiPriority w:val="0"/>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72">
    <w:name w:val="表格文字"/>
    <w:basedOn w:val="73"/>
    <w:qFormat/>
    <w:uiPriority w:val="0"/>
  </w:style>
  <w:style w:type="paragraph" w:customStyle="1" w:styleId="73">
    <w:name w:val="表格文字图表文字"/>
    <w:basedOn w:val="1"/>
    <w:link w:val="122"/>
    <w:qFormat/>
    <w:uiPriority w:val="0"/>
    <w:pPr>
      <w:snapToGrid w:val="0"/>
      <w:ind w:firstLine="200" w:firstLineChars="200"/>
      <w:jc w:val="center"/>
    </w:pPr>
    <w:rPr>
      <w:color w:val="7030A0"/>
      <w:szCs w:val="20"/>
    </w:rPr>
  </w:style>
  <w:style w:type="paragraph" w:customStyle="1" w:styleId="74">
    <w:name w:val="style4"/>
    <w:basedOn w:val="75"/>
    <w:next w:val="77"/>
    <w:qFormat/>
    <w:uiPriority w:val="0"/>
    <w:pPr>
      <w:widowControl/>
      <w:tabs>
        <w:tab w:val="left" w:pos="720"/>
        <w:tab w:val="right" w:pos="1191"/>
      </w:tabs>
      <w:spacing w:before="100" w:beforeLines="0" w:beforeAutospacing="1" w:after="100" w:afterLines="0" w:afterAutospacing="1"/>
      <w:jc w:val="left"/>
    </w:pPr>
    <w:rPr>
      <w:rFonts w:ascii="宋体" w:hAnsi="宋体" w:eastAsia="宋体" w:cs="宋体"/>
      <w:kern w:val="0"/>
      <w:sz w:val="18"/>
      <w:szCs w:val="18"/>
    </w:rPr>
  </w:style>
  <w:style w:type="paragraph" w:customStyle="1" w:styleId="75">
    <w:name w:val="正文1"/>
    <w:basedOn w:val="1"/>
    <w:next w:val="76"/>
    <w:link w:val="138"/>
    <w:qFormat/>
    <w:uiPriority w:val="0"/>
    <w:pPr>
      <w:tabs>
        <w:tab w:val="left" w:pos="720"/>
        <w:tab w:val="right" w:pos="1191"/>
      </w:tabs>
      <w:spacing w:line="360" w:lineRule="auto"/>
      <w:ind w:left="720" w:hanging="360"/>
    </w:pPr>
    <w:rPr>
      <w:rFonts w:ascii="宋体" w:hAnsi="宋体"/>
      <w:kern w:val="10"/>
    </w:rPr>
  </w:style>
  <w:style w:type="paragraph" w:customStyle="1" w:styleId="76">
    <w:name w:val="正文文本1"/>
    <w:next w:val="74"/>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77">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Normal"/>
    <w:next w:val="50"/>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79">
    <w:name w:val="样式 正文首行缩进 2 + Arial"/>
    <w:basedOn w:val="1"/>
    <w:next w:val="1"/>
    <w:qFormat/>
    <w:uiPriority w:val="0"/>
    <w:pPr>
      <w:spacing w:after="120" w:line="320" w:lineRule="atLeast"/>
    </w:pPr>
    <w:rPr>
      <w:rFonts w:ascii="Arial" w:hAnsi="Arial"/>
      <w:kern w:val="0"/>
    </w:rPr>
  </w:style>
  <w:style w:type="character" w:customStyle="1" w:styleId="80">
    <w:name w:val="标题 2 Char"/>
    <w:link w:val="3"/>
    <w:semiHidden/>
    <w:qFormat/>
    <w:uiPriority w:val="0"/>
    <w:rPr>
      <w:rFonts w:ascii="Arial" w:hAnsi="Arial" w:eastAsia="黑体"/>
      <w:b/>
      <w:bCs/>
      <w:kern w:val="2"/>
      <w:sz w:val="32"/>
      <w:szCs w:val="32"/>
    </w:rPr>
  </w:style>
  <w:style w:type="character" w:customStyle="1" w:styleId="81">
    <w:name w:val="标题 1 Char"/>
    <w:link w:val="2"/>
    <w:semiHidden/>
    <w:qFormat/>
    <w:uiPriority w:val="0"/>
    <w:rPr>
      <w:rFonts w:ascii="Times New Roman" w:hAnsi="Times New Roman" w:eastAsia="宋体"/>
      <w:b/>
      <w:bCs/>
      <w:kern w:val="44"/>
      <w:sz w:val="44"/>
      <w:szCs w:val="44"/>
    </w:rPr>
  </w:style>
  <w:style w:type="character" w:customStyle="1" w:styleId="82">
    <w:name w:val="标题 3 Char"/>
    <w:link w:val="4"/>
    <w:semiHidden/>
    <w:qFormat/>
    <w:uiPriority w:val="0"/>
    <w:rPr>
      <w:rFonts w:ascii="Times New Roman" w:hAnsi="Times New Roman"/>
      <w:b/>
      <w:bCs/>
      <w:kern w:val="2"/>
      <w:sz w:val="32"/>
      <w:szCs w:val="32"/>
    </w:rPr>
  </w:style>
  <w:style w:type="character" w:customStyle="1" w:styleId="83">
    <w:name w:val="标题 4 Char"/>
    <w:link w:val="5"/>
    <w:semiHidden/>
    <w:qFormat/>
    <w:uiPriority w:val="0"/>
    <w:rPr>
      <w:rFonts w:ascii="Cambria" w:hAnsi="Cambria" w:eastAsia="宋体" w:cs="Times New Roman"/>
      <w:b/>
      <w:bCs/>
      <w:kern w:val="2"/>
      <w:sz w:val="28"/>
      <w:szCs w:val="28"/>
    </w:rPr>
  </w:style>
  <w:style w:type="character" w:customStyle="1" w:styleId="84">
    <w:name w:val="标题 5 Char"/>
    <w:link w:val="6"/>
    <w:semiHidden/>
    <w:qFormat/>
    <w:uiPriority w:val="0"/>
    <w:rPr>
      <w:rFonts w:ascii="Times New Roman" w:hAnsi="Times New Roman"/>
      <w:b/>
      <w:bCs/>
      <w:kern w:val="2"/>
      <w:sz w:val="28"/>
      <w:szCs w:val="28"/>
    </w:rPr>
  </w:style>
  <w:style w:type="character" w:customStyle="1" w:styleId="85">
    <w:name w:val="标题 6 Char"/>
    <w:link w:val="7"/>
    <w:semiHidden/>
    <w:qFormat/>
    <w:uiPriority w:val="0"/>
    <w:rPr>
      <w:rFonts w:ascii="Arial" w:hAnsi="Arial" w:eastAsia="黑体"/>
      <w:b/>
      <w:kern w:val="2"/>
      <w:sz w:val="24"/>
    </w:rPr>
  </w:style>
  <w:style w:type="character" w:customStyle="1" w:styleId="86">
    <w:name w:val="标题 7 Char"/>
    <w:link w:val="8"/>
    <w:semiHidden/>
    <w:qFormat/>
    <w:uiPriority w:val="0"/>
    <w:rPr>
      <w:rFonts w:ascii="Times New Roman" w:hAnsi="Times New Roman"/>
      <w:b/>
      <w:kern w:val="2"/>
      <w:sz w:val="24"/>
    </w:rPr>
  </w:style>
  <w:style w:type="character" w:customStyle="1" w:styleId="87">
    <w:name w:val="标题 8 Char"/>
    <w:link w:val="9"/>
    <w:semiHidden/>
    <w:qFormat/>
    <w:uiPriority w:val="0"/>
    <w:rPr>
      <w:rFonts w:ascii="Arial" w:hAnsi="Arial" w:eastAsia="黑体"/>
      <w:kern w:val="2"/>
      <w:sz w:val="24"/>
    </w:rPr>
  </w:style>
  <w:style w:type="character" w:customStyle="1" w:styleId="88">
    <w:name w:val="标题 9 Char"/>
    <w:link w:val="10"/>
    <w:semiHidden/>
    <w:qFormat/>
    <w:uiPriority w:val="0"/>
    <w:rPr>
      <w:rFonts w:ascii="Arial" w:hAnsi="Arial" w:eastAsia="黑体"/>
      <w:kern w:val="2"/>
      <w:sz w:val="21"/>
    </w:rPr>
  </w:style>
  <w:style w:type="character" w:customStyle="1" w:styleId="89">
    <w:name w:val="正文缩进 Char1"/>
    <w:link w:val="15"/>
    <w:qFormat/>
    <w:uiPriority w:val="0"/>
    <w:rPr>
      <w:rFonts w:ascii="宋体"/>
      <w:sz w:val="24"/>
    </w:rPr>
  </w:style>
  <w:style w:type="character" w:customStyle="1" w:styleId="90">
    <w:name w:val="题注 Char"/>
    <w:link w:val="16"/>
    <w:semiHidden/>
    <w:qFormat/>
    <w:uiPriority w:val="0"/>
    <w:rPr>
      <w:rFonts w:ascii="Times New Roman" w:hAnsi="Times New Roman"/>
      <w:b/>
      <w:bCs/>
      <w:color w:val="000080"/>
      <w:kern w:val="2"/>
      <w:sz w:val="28"/>
      <w:szCs w:val="24"/>
    </w:rPr>
  </w:style>
  <w:style w:type="character" w:customStyle="1" w:styleId="91">
    <w:name w:val="文档结构图 Char1"/>
    <w:link w:val="18"/>
    <w:semiHidden/>
    <w:qFormat/>
    <w:uiPriority w:val="99"/>
    <w:rPr>
      <w:rFonts w:ascii="宋体"/>
      <w:kern w:val="2"/>
      <w:sz w:val="18"/>
      <w:szCs w:val="18"/>
    </w:rPr>
  </w:style>
  <w:style w:type="character" w:customStyle="1" w:styleId="92">
    <w:name w:val="批注文字 Char"/>
    <w:link w:val="19"/>
    <w:qFormat/>
    <w:uiPriority w:val="99"/>
    <w:rPr>
      <w:rFonts w:ascii="Times New Roman" w:hAnsi="Times New Roman" w:eastAsia="宋体" w:cs="Times New Roman"/>
      <w:szCs w:val="24"/>
    </w:rPr>
  </w:style>
  <w:style w:type="character" w:customStyle="1" w:styleId="93">
    <w:name w:val="称呼 Char1"/>
    <w:link w:val="20"/>
    <w:qFormat/>
    <w:uiPriority w:val="0"/>
    <w:rPr>
      <w:rFonts w:ascii="宋体" w:hAnsi="宋体"/>
      <w:kern w:val="2"/>
      <w:sz w:val="24"/>
    </w:rPr>
  </w:style>
  <w:style w:type="character" w:customStyle="1" w:styleId="94">
    <w:name w:val="正文文本 3 Char1"/>
    <w:link w:val="21"/>
    <w:qFormat/>
    <w:uiPriority w:val="0"/>
    <w:rPr>
      <w:rFonts w:ascii="Calibri"/>
      <w:sz w:val="24"/>
    </w:rPr>
  </w:style>
  <w:style w:type="character" w:customStyle="1" w:styleId="95">
    <w:name w:val="正文文本 Char"/>
    <w:link w:val="23"/>
    <w:qFormat/>
    <w:uiPriority w:val="0"/>
    <w:rPr>
      <w:rFonts w:ascii="Times New Roman" w:hAnsi="Times New Roman"/>
      <w:kern w:val="2"/>
      <w:sz w:val="21"/>
      <w:szCs w:val="24"/>
    </w:rPr>
  </w:style>
  <w:style w:type="character" w:customStyle="1" w:styleId="96">
    <w:name w:val="正文首行缩进 Char1"/>
    <w:link w:val="50"/>
    <w:semiHidden/>
    <w:qFormat/>
    <w:uiPriority w:val="99"/>
  </w:style>
  <w:style w:type="character" w:customStyle="1" w:styleId="97">
    <w:name w:val="纯文本 Char1"/>
    <w:link w:val="25"/>
    <w:qFormat/>
    <w:uiPriority w:val="0"/>
    <w:rPr>
      <w:rFonts w:ascii="宋体" w:hAnsi="Courier New"/>
      <w:kern w:val="2"/>
      <w:sz w:val="21"/>
    </w:rPr>
  </w:style>
  <w:style w:type="character" w:customStyle="1" w:styleId="98">
    <w:name w:val="日期 Char2"/>
    <w:link w:val="34"/>
    <w:semiHidden/>
    <w:qFormat/>
    <w:uiPriority w:val="99"/>
    <w:rPr>
      <w:kern w:val="2"/>
      <w:sz w:val="21"/>
      <w:szCs w:val="24"/>
    </w:rPr>
  </w:style>
  <w:style w:type="character" w:customStyle="1" w:styleId="99">
    <w:name w:val="尾注文本 Char"/>
    <w:link w:val="36"/>
    <w:semiHidden/>
    <w:qFormat/>
    <w:uiPriority w:val="0"/>
    <w:rPr>
      <w:rFonts w:ascii="Times New Roman" w:hAnsi="Times New Roman"/>
      <w:sz w:val="21"/>
      <w:szCs w:val="24"/>
    </w:rPr>
  </w:style>
  <w:style w:type="character" w:customStyle="1" w:styleId="100">
    <w:name w:val="批注框文本 Char"/>
    <w:link w:val="37"/>
    <w:semiHidden/>
    <w:qFormat/>
    <w:uiPriority w:val="99"/>
    <w:rPr>
      <w:kern w:val="2"/>
      <w:sz w:val="18"/>
      <w:szCs w:val="18"/>
    </w:rPr>
  </w:style>
  <w:style w:type="character" w:customStyle="1" w:styleId="101">
    <w:name w:val="页脚 Char1"/>
    <w:link w:val="38"/>
    <w:qFormat/>
    <w:uiPriority w:val="99"/>
    <w:rPr>
      <w:rFonts w:ascii="Times New Roman" w:hAnsi="Times New Roman"/>
      <w:kern w:val="2"/>
      <w:sz w:val="18"/>
      <w:szCs w:val="18"/>
    </w:rPr>
  </w:style>
  <w:style w:type="character" w:customStyle="1" w:styleId="102">
    <w:name w:val="页眉 Char"/>
    <w:link w:val="39"/>
    <w:qFormat/>
    <w:uiPriority w:val="99"/>
    <w:rPr>
      <w:rFonts w:ascii="Times New Roman" w:hAnsi="Times New Roman"/>
      <w:kern w:val="2"/>
      <w:sz w:val="18"/>
      <w:szCs w:val="18"/>
    </w:rPr>
  </w:style>
  <w:style w:type="character" w:customStyle="1" w:styleId="103">
    <w:name w:val="脚注文本 Char"/>
    <w:link w:val="43"/>
    <w:semiHidden/>
    <w:qFormat/>
    <w:uiPriority w:val="0"/>
    <w:rPr>
      <w:rFonts w:ascii="Times New Roman" w:hAnsi="Times New Roman"/>
      <w:sz w:val="18"/>
    </w:rPr>
  </w:style>
  <w:style w:type="character" w:customStyle="1" w:styleId="104">
    <w:name w:val="标题 Char"/>
    <w:link w:val="48"/>
    <w:semiHidden/>
    <w:qFormat/>
    <w:uiPriority w:val="0"/>
    <w:rPr>
      <w:rFonts w:ascii="Arial" w:hAnsi="Arial" w:eastAsia="楷体_GB2312"/>
      <w:b/>
      <w:sz w:val="32"/>
    </w:rPr>
  </w:style>
  <w:style w:type="character" w:customStyle="1" w:styleId="105">
    <w:name w:val="批注主题 Char1"/>
    <w:link w:val="49"/>
    <w:semiHidden/>
    <w:qFormat/>
    <w:uiPriority w:val="99"/>
    <w:rPr>
      <w:rFonts w:ascii="Times New Roman" w:hAnsi="Times New Roman" w:eastAsia="宋体" w:cs="Times New Roman"/>
      <w:b/>
      <w:bCs/>
      <w:kern w:val="2"/>
      <w:sz w:val="21"/>
      <w:szCs w:val="24"/>
    </w:rPr>
  </w:style>
  <w:style w:type="paragraph" w:customStyle="1" w:styleId="106">
    <w:name w:val="样式1"/>
    <w:basedOn w:val="39"/>
    <w:next w:val="1"/>
    <w:qFormat/>
    <w:uiPriority w:val="0"/>
    <w:pPr>
      <w:jc w:val="left"/>
    </w:pPr>
  </w:style>
  <w:style w:type="paragraph" w:customStyle="1" w:styleId="107">
    <w:name w:val="样式2"/>
    <w:basedOn w:val="1"/>
    <w:qFormat/>
    <w:uiPriority w:val="0"/>
    <w:pPr>
      <w:adjustRightInd w:val="0"/>
      <w:spacing w:before="120" w:after="120" w:line="312" w:lineRule="atLeast"/>
      <w:jc w:val="center"/>
      <w:textAlignment w:val="baseline"/>
    </w:pPr>
    <w:rPr>
      <w:kern w:val="0"/>
      <w:sz w:val="24"/>
      <w:szCs w:val="20"/>
    </w:rPr>
  </w:style>
  <w:style w:type="character" w:customStyle="1" w:styleId="108">
    <w:name w:val="selected"/>
    <w:qFormat/>
    <w:uiPriority w:val="0"/>
    <w:rPr>
      <w:shd w:val="clear" w:color="auto" w:fill="B00006"/>
    </w:rPr>
  </w:style>
  <w:style w:type="character" w:customStyle="1" w:styleId="109">
    <w:name w:val="表格文字 BJ8 Char Char"/>
    <w:link w:val="110"/>
    <w:semiHidden/>
    <w:qFormat/>
    <w:uiPriority w:val="0"/>
    <w:rPr>
      <w:rFonts w:ascii="Times New Roman" w:hAnsi="Times New Roman"/>
      <w:kern w:val="2"/>
      <w:sz w:val="21"/>
      <w:szCs w:val="21"/>
    </w:rPr>
  </w:style>
  <w:style w:type="paragraph" w:customStyle="1" w:styleId="110">
    <w:name w:val="表格文字 BJ8"/>
    <w:basedOn w:val="1"/>
    <w:link w:val="109"/>
    <w:qFormat/>
    <w:uiPriority w:val="0"/>
    <w:pPr>
      <w:adjustRightInd w:val="0"/>
      <w:snapToGrid w:val="0"/>
      <w:spacing w:line="400" w:lineRule="exact"/>
      <w:ind w:firstLine="200" w:firstLineChars="200"/>
      <w:jc w:val="center"/>
    </w:pPr>
    <w:rPr>
      <w:szCs w:val="21"/>
    </w:rPr>
  </w:style>
  <w:style w:type="character" w:customStyle="1" w:styleId="111">
    <w:name w:val="font01"/>
    <w:qFormat/>
    <w:uiPriority w:val="0"/>
    <w:rPr>
      <w:rFonts w:hint="eastAsia" w:ascii="宋体" w:hAnsi="宋体" w:eastAsia="宋体" w:cs="宋体"/>
      <w:color w:val="000000"/>
      <w:sz w:val="22"/>
      <w:szCs w:val="22"/>
      <w:u w:val="none"/>
    </w:rPr>
  </w:style>
  <w:style w:type="character" w:customStyle="1" w:styleId="112">
    <w:name w:val="gpa"/>
    <w:qFormat/>
    <w:uiPriority w:val="0"/>
    <w:rPr>
      <w:rFonts w:ascii="Arial" w:hAnsi="Arial" w:cs="Arial"/>
      <w:sz w:val="12"/>
      <w:szCs w:val="12"/>
    </w:rPr>
  </w:style>
  <w:style w:type="character" w:customStyle="1" w:styleId="113">
    <w:name w:val="font31"/>
    <w:qFormat/>
    <w:uiPriority w:val="0"/>
    <w:rPr>
      <w:rFonts w:hint="eastAsia" w:ascii="宋体" w:hAnsi="宋体" w:eastAsia="宋体" w:cs="宋体"/>
      <w:color w:val="000000"/>
      <w:sz w:val="21"/>
      <w:szCs w:val="21"/>
      <w:u w:val="none"/>
    </w:rPr>
  </w:style>
  <w:style w:type="character" w:customStyle="1" w:styleId="114">
    <w:name w:val="正文文本缩进 2 Char"/>
    <w:link w:val="115"/>
    <w:semiHidden/>
    <w:qFormat/>
    <w:uiPriority w:val="0"/>
    <w:rPr>
      <w:rFonts w:ascii="Times New Roman" w:hAnsi="Times New Roman"/>
      <w:kern w:val="2"/>
      <w:sz w:val="21"/>
    </w:rPr>
  </w:style>
  <w:style w:type="paragraph" w:customStyle="1" w:styleId="115">
    <w:name w:val="正文文本缩进 21"/>
    <w:basedOn w:val="1"/>
    <w:link w:val="114"/>
    <w:qFormat/>
    <w:uiPriority w:val="0"/>
    <w:pPr>
      <w:spacing w:after="120" w:line="480" w:lineRule="auto"/>
      <w:ind w:left="420" w:leftChars="200"/>
    </w:pPr>
    <w:rPr>
      <w:szCs w:val="20"/>
    </w:rPr>
  </w:style>
  <w:style w:type="character" w:customStyle="1" w:styleId="116">
    <w:name w:val="正文段落格式 Char Char Char"/>
    <w:link w:val="117"/>
    <w:semiHidden/>
    <w:qFormat/>
    <w:uiPriority w:val="0"/>
    <w:rPr>
      <w:rFonts w:ascii="Times New Roman" w:hAnsi="Times New Roman"/>
      <w:color w:val="7030A0"/>
      <w:kern w:val="2"/>
      <w:sz w:val="24"/>
    </w:rPr>
  </w:style>
  <w:style w:type="paragraph" w:customStyle="1" w:styleId="117">
    <w:name w:val="正文段落格式"/>
    <w:basedOn w:val="118"/>
    <w:link w:val="116"/>
    <w:qFormat/>
    <w:uiPriority w:val="0"/>
    <w:pPr>
      <w:spacing w:afterLines="50" w:line="336" w:lineRule="auto"/>
    </w:pPr>
  </w:style>
  <w:style w:type="paragraph" w:customStyle="1" w:styleId="118">
    <w:name w:val="样式 首行缩进:  2 字符"/>
    <w:basedOn w:val="1"/>
    <w:link w:val="119"/>
    <w:qFormat/>
    <w:uiPriority w:val="0"/>
    <w:pPr>
      <w:spacing w:line="480" w:lineRule="exact"/>
      <w:ind w:firstLine="480" w:firstLineChars="200"/>
      <w:jc w:val="left"/>
    </w:pPr>
    <w:rPr>
      <w:color w:val="7030A0"/>
      <w:sz w:val="24"/>
      <w:szCs w:val="20"/>
    </w:rPr>
  </w:style>
  <w:style w:type="character" w:customStyle="1" w:styleId="119">
    <w:name w:val="样式 首行缩进:  2 字符 Char1"/>
    <w:link w:val="118"/>
    <w:semiHidden/>
    <w:qFormat/>
    <w:uiPriority w:val="0"/>
    <w:rPr>
      <w:rFonts w:ascii="Times New Roman" w:hAnsi="Times New Roman"/>
      <w:color w:val="7030A0"/>
      <w:kern w:val="2"/>
      <w:sz w:val="24"/>
    </w:rPr>
  </w:style>
  <w:style w:type="character" w:customStyle="1" w:styleId="120">
    <w:name w:val="(1) Char Char"/>
    <w:link w:val="121"/>
    <w:semiHidden/>
    <w:qFormat/>
    <w:uiPriority w:val="0"/>
    <w:rPr>
      <w:rFonts w:ascii="宋体" w:hAnsi="宋体"/>
      <w:kern w:val="2"/>
      <w:sz w:val="24"/>
      <w:szCs w:val="24"/>
    </w:rPr>
  </w:style>
  <w:style w:type="paragraph" w:customStyle="1" w:styleId="121">
    <w:name w:val="(1)"/>
    <w:basedOn w:val="1"/>
    <w:next w:val="1"/>
    <w:link w:val="120"/>
    <w:qFormat/>
    <w:uiPriority w:val="0"/>
    <w:pPr>
      <w:tabs>
        <w:tab w:val="left" w:pos="813"/>
      </w:tabs>
      <w:spacing w:line="360" w:lineRule="auto"/>
      <w:ind w:left="813" w:hanging="567"/>
    </w:pPr>
    <w:rPr>
      <w:rFonts w:ascii="宋体" w:hAnsi="宋体"/>
      <w:sz w:val="24"/>
    </w:rPr>
  </w:style>
  <w:style w:type="character" w:customStyle="1" w:styleId="122">
    <w:name w:val="表格文字图表文字 Char Char Char"/>
    <w:link w:val="73"/>
    <w:semiHidden/>
    <w:qFormat/>
    <w:uiPriority w:val="0"/>
    <w:rPr>
      <w:rFonts w:ascii="Times New Roman" w:hAnsi="Times New Roman"/>
      <w:color w:val="7030A0"/>
      <w:kern w:val="2"/>
      <w:sz w:val="21"/>
    </w:rPr>
  </w:style>
  <w:style w:type="character" w:customStyle="1" w:styleId="123">
    <w:name w:val="信息标题 Char"/>
    <w:link w:val="124"/>
    <w:semiHidden/>
    <w:qFormat/>
    <w:uiPriority w:val="0"/>
    <w:rPr>
      <w:rFonts w:ascii="Arial" w:hAnsi="Arial" w:cs="Arial"/>
      <w:color w:val="7030A0"/>
      <w:kern w:val="2"/>
      <w:sz w:val="24"/>
      <w:szCs w:val="24"/>
      <w:shd w:val="pct20" w:color="auto" w:fill="auto"/>
    </w:rPr>
  </w:style>
  <w:style w:type="paragraph" w:customStyle="1" w:styleId="124">
    <w:name w:val="信息标题1"/>
    <w:basedOn w:val="1"/>
    <w:link w:val="12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olor w:val="7030A0"/>
      <w:sz w:val="24"/>
      <w:shd w:val="pct20" w:color="auto" w:fill="auto"/>
    </w:rPr>
  </w:style>
  <w:style w:type="character" w:customStyle="1" w:styleId="125">
    <w:name w:val="称呼 Char"/>
    <w:link w:val="126"/>
    <w:semiHidden/>
    <w:qFormat/>
    <w:uiPriority w:val="0"/>
    <w:rPr>
      <w:rFonts w:ascii="Times New Roman" w:hAnsi="Times New Roman"/>
      <w:kern w:val="2"/>
      <w:sz w:val="24"/>
    </w:rPr>
  </w:style>
  <w:style w:type="paragraph" w:customStyle="1" w:styleId="126">
    <w:name w:val="称呼1"/>
    <w:basedOn w:val="1"/>
    <w:next w:val="1"/>
    <w:link w:val="125"/>
    <w:qFormat/>
    <w:uiPriority w:val="0"/>
    <w:rPr>
      <w:sz w:val="24"/>
      <w:szCs w:val="20"/>
    </w:rPr>
  </w:style>
  <w:style w:type="character" w:customStyle="1" w:styleId="127">
    <w:name w:val="占位符文本1"/>
    <w:qFormat/>
    <w:uiPriority w:val="0"/>
    <w:rPr>
      <w:color w:val="808080"/>
    </w:rPr>
  </w:style>
  <w:style w:type="character" w:customStyle="1" w:styleId="128">
    <w:name w:val="样式 楷体_GB2312 二号 加粗 Char"/>
    <w:qFormat/>
    <w:uiPriority w:val="0"/>
    <w:rPr>
      <w:rFonts w:ascii="楷体_GB2312" w:hAnsi="Arial" w:eastAsia="楷体_GB2312" w:cs="Arial"/>
      <w:b/>
      <w:kern w:val="2"/>
      <w:sz w:val="44"/>
      <w:szCs w:val="24"/>
      <w:lang w:val="en-US" w:eastAsia="zh-CN" w:bidi="ar-SA"/>
    </w:rPr>
  </w:style>
  <w:style w:type="character" w:customStyle="1" w:styleId="129">
    <w:name w:val="页脚 Char"/>
    <w:qFormat/>
    <w:uiPriority w:val="0"/>
    <w:rPr>
      <w:rFonts w:ascii="Times New Roman" w:hAnsi="Times New Roman"/>
      <w:kern w:val="2"/>
      <w:sz w:val="18"/>
      <w:szCs w:val="18"/>
    </w:rPr>
  </w:style>
  <w:style w:type="character" w:customStyle="1" w:styleId="130">
    <w:name w:val="displayarti"/>
    <w:qFormat/>
    <w:uiPriority w:val="0"/>
    <w:rPr>
      <w:color w:val="FFFFFF"/>
      <w:shd w:val="clear" w:color="auto" w:fill="A00000"/>
    </w:rPr>
  </w:style>
  <w:style w:type="character" w:customStyle="1" w:styleId="131">
    <w:name w:val="标题 5 Char1"/>
    <w:semiHidden/>
    <w:qFormat/>
    <w:uiPriority w:val="0"/>
    <w:rPr>
      <w:rFonts w:ascii="Times New Roman" w:hAnsi="Times New Roman"/>
      <w:b/>
      <w:kern w:val="2"/>
      <w:sz w:val="28"/>
    </w:rPr>
  </w:style>
  <w:style w:type="character" w:customStyle="1" w:styleId="132">
    <w:name w:val="正文 BJ8 Char Char"/>
    <w:link w:val="133"/>
    <w:semiHidden/>
    <w:qFormat/>
    <w:uiPriority w:val="0"/>
    <w:rPr>
      <w:rFonts w:ascii="Times New Roman" w:hAnsi="Times New Roman"/>
      <w:color w:val="7030A0"/>
      <w:kern w:val="2"/>
      <w:sz w:val="24"/>
      <w:szCs w:val="24"/>
    </w:rPr>
  </w:style>
  <w:style w:type="paragraph" w:customStyle="1" w:styleId="133">
    <w:name w:val="正文 BJ8"/>
    <w:basedOn w:val="1"/>
    <w:link w:val="132"/>
    <w:qFormat/>
    <w:uiPriority w:val="0"/>
    <w:pPr>
      <w:adjustRightInd w:val="0"/>
      <w:snapToGrid w:val="0"/>
      <w:spacing w:line="360" w:lineRule="auto"/>
      <w:ind w:firstLine="200" w:firstLineChars="200"/>
      <w:jc w:val="left"/>
    </w:pPr>
    <w:rPr>
      <w:color w:val="7030A0"/>
      <w:sz w:val="24"/>
    </w:rPr>
  </w:style>
  <w:style w:type="character" w:customStyle="1" w:styleId="134">
    <w:name w:val="Char Char8"/>
    <w:qFormat/>
    <w:uiPriority w:val="0"/>
    <w:rPr>
      <w:rFonts w:eastAsia="宋体"/>
      <w:kern w:val="2"/>
      <w:sz w:val="21"/>
      <w:lang w:val="en-US" w:eastAsia="zh-CN" w:bidi="ar-SA"/>
    </w:rPr>
  </w:style>
  <w:style w:type="character" w:customStyle="1" w:styleId="135">
    <w:name w:val="四级标题格式 Char Char"/>
    <w:link w:val="136"/>
    <w:semiHidden/>
    <w:qFormat/>
    <w:uiPriority w:val="0"/>
    <w:rPr>
      <w:rFonts w:ascii="Times New Roman" w:hAnsi="Times New Roman" w:eastAsia="黑体"/>
      <w:bCs/>
      <w:kern w:val="2"/>
      <w:sz w:val="28"/>
      <w:szCs w:val="28"/>
    </w:rPr>
  </w:style>
  <w:style w:type="paragraph" w:customStyle="1" w:styleId="136">
    <w:name w:val="四级标题格式"/>
    <w:basedOn w:val="5"/>
    <w:link w:val="135"/>
    <w:qFormat/>
    <w:uiPriority w:val="0"/>
    <w:pPr>
      <w:spacing w:before="0" w:afterLines="100" w:line="240" w:lineRule="auto"/>
      <w:jc w:val="left"/>
    </w:pPr>
    <w:rPr>
      <w:rFonts w:ascii="Times New Roman" w:hAnsi="Times New Roman" w:eastAsia="黑体"/>
      <w:b w:val="0"/>
    </w:rPr>
  </w:style>
  <w:style w:type="character" w:customStyle="1" w:styleId="137">
    <w:name w:val="b Char"/>
    <w:qFormat/>
    <w:uiPriority w:val="0"/>
    <w:rPr>
      <w:rFonts w:eastAsia="宋体"/>
      <w:b/>
      <w:bCs/>
      <w:kern w:val="2"/>
      <w:sz w:val="28"/>
      <w:szCs w:val="28"/>
      <w:lang w:val="en-US" w:eastAsia="zh-CN" w:bidi="ar-SA"/>
    </w:rPr>
  </w:style>
  <w:style w:type="character" w:customStyle="1" w:styleId="138">
    <w:name w:val="正文1 Char Char"/>
    <w:link w:val="75"/>
    <w:semiHidden/>
    <w:qFormat/>
    <w:uiPriority w:val="0"/>
    <w:rPr>
      <w:rFonts w:ascii="宋体" w:hAnsi="宋体"/>
      <w:kern w:val="10"/>
      <w:sz w:val="21"/>
      <w:szCs w:val="24"/>
    </w:rPr>
  </w:style>
  <w:style w:type="character" w:customStyle="1" w:styleId="139">
    <w:name w:val="普通文字 Char Char"/>
    <w:qFormat/>
    <w:uiPriority w:val="0"/>
    <w:rPr>
      <w:rFonts w:ascii="宋体" w:hAnsi="Courier New" w:eastAsia="宋体"/>
      <w:kern w:val="2"/>
      <w:sz w:val="21"/>
      <w:lang w:val="en-US" w:eastAsia="zh-CN" w:bidi="ar-SA"/>
    </w:rPr>
  </w:style>
  <w:style w:type="character" w:customStyle="1" w:styleId="140">
    <w:name w:val="正文首行缩进 Char"/>
    <w:link w:val="141"/>
    <w:semiHidden/>
    <w:qFormat/>
    <w:uiPriority w:val="0"/>
    <w:rPr>
      <w:rFonts w:ascii="Times New Roman" w:hAnsi="Times New Roman"/>
      <w:color w:val="7030A0"/>
      <w:kern w:val="2"/>
      <w:sz w:val="21"/>
      <w:szCs w:val="24"/>
    </w:rPr>
  </w:style>
  <w:style w:type="paragraph" w:customStyle="1" w:styleId="141">
    <w:name w:val="正文首行缩进1"/>
    <w:basedOn w:val="1"/>
    <w:link w:val="140"/>
    <w:qFormat/>
    <w:uiPriority w:val="0"/>
    <w:pPr>
      <w:tabs>
        <w:tab w:val="left" w:pos="360"/>
      </w:tabs>
      <w:spacing w:line="220" w:lineRule="exact"/>
      <w:ind w:left="360" w:hanging="360" w:firstLineChars="200"/>
      <w:jc w:val="left"/>
    </w:pPr>
    <w:rPr>
      <w:color w:val="7030A0"/>
    </w:rPr>
  </w:style>
  <w:style w:type="character" w:customStyle="1" w:styleId="142">
    <w:name w:val="纯文本 Char Char"/>
    <w:qFormat/>
    <w:uiPriority w:val="0"/>
    <w:rPr>
      <w:rFonts w:ascii="宋体" w:hAnsi="Courier New" w:eastAsia="宋体" w:cs="Century"/>
      <w:kern w:val="2"/>
      <w:sz w:val="21"/>
      <w:szCs w:val="21"/>
      <w:lang w:val="en-US" w:eastAsia="zh-CN" w:bidi="ar-SA"/>
    </w:rPr>
  </w:style>
  <w:style w:type="character" w:customStyle="1" w:styleId="143">
    <w:name w:val="图表标题 BJ8 Char Char"/>
    <w:link w:val="144"/>
    <w:semiHidden/>
    <w:qFormat/>
    <w:uiPriority w:val="0"/>
    <w:rPr>
      <w:rFonts w:ascii="Times New Roman" w:hAnsi="Times New Roman" w:eastAsia="黑体"/>
      <w:kern w:val="2"/>
      <w:sz w:val="24"/>
    </w:rPr>
  </w:style>
  <w:style w:type="paragraph" w:customStyle="1" w:styleId="144">
    <w:name w:val="图表标题 BJ8"/>
    <w:basedOn w:val="1"/>
    <w:link w:val="143"/>
    <w:qFormat/>
    <w:uiPriority w:val="0"/>
    <w:pPr>
      <w:adjustRightInd w:val="0"/>
      <w:snapToGrid w:val="0"/>
      <w:ind w:firstLine="200" w:firstLineChars="200"/>
      <w:jc w:val="center"/>
    </w:pPr>
    <w:rPr>
      <w:rFonts w:eastAsia="黑体"/>
      <w:sz w:val="24"/>
      <w:szCs w:val="20"/>
    </w:rPr>
  </w:style>
  <w:style w:type="character" w:customStyle="1" w:styleId="145">
    <w:name w:val="列表框1 Char Char"/>
    <w:qFormat/>
    <w:uiPriority w:val="0"/>
    <w:rPr>
      <w:rFonts w:ascii="Arial" w:hAnsi="Arial" w:eastAsia="楷体_GB2312" w:cs="Arial"/>
      <w:spacing w:val="10"/>
      <w:sz w:val="21"/>
      <w:lang w:val="en-US" w:eastAsia="zh-CN" w:bidi="ar-SA"/>
    </w:rPr>
  </w:style>
  <w:style w:type="character" w:customStyle="1" w:styleId="146">
    <w:name w:val="font41"/>
    <w:qFormat/>
    <w:uiPriority w:val="0"/>
    <w:rPr>
      <w:rFonts w:hint="eastAsia" w:ascii="宋体" w:hAnsi="宋体" w:eastAsia="宋体" w:cs="宋体"/>
      <w:color w:val="000000"/>
      <w:sz w:val="22"/>
      <w:szCs w:val="22"/>
      <w:u w:val="none"/>
    </w:rPr>
  </w:style>
  <w:style w:type="character" w:customStyle="1" w:styleId="147">
    <w:name w:val="正文首行缩进 2 Char"/>
    <w:link w:val="148"/>
    <w:semiHidden/>
    <w:qFormat/>
    <w:uiPriority w:val="0"/>
    <w:rPr>
      <w:rFonts w:ascii="宋体" w:hAnsi="宋体"/>
      <w:kern w:val="2"/>
      <w:sz w:val="21"/>
      <w:szCs w:val="24"/>
    </w:rPr>
  </w:style>
  <w:style w:type="paragraph" w:customStyle="1" w:styleId="148">
    <w:name w:val="正文首行缩进 21"/>
    <w:basedOn w:val="149"/>
    <w:link w:val="147"/>
    <w:qFormat/>
    <w:uiPriority w:val="0"/>
    <w:pPr>
      <w:spacing w:after="120" w:line="240" w:lineRule="auto"/>
      <w:ind w:left="420" w:leftChars="200" w:firstLine="200" w:firstLineChars="200"/>
      <w:jc w:val="left"/>
    </w:pPr>
    <w:rPr>
      <w:rFonts w:hAnsi="宋体"/>
      <w:szCs w:val="24"/>
    </w:rPr>
  </w:style>
  <w:style w:type="paragraph" w:customStyle="1" w:styleId="149">
    <w:name w:val="正文文本缩进1"/>
    <w:basedOn w:val="1"/>
    <w:link w:val="150"/>
    <w:qFormat/>
    <w:uiPriority w:val="0"/>
    <w:pPr>
      <w:spacing w:line="360" w:lineRule="auto"/>
    </w:pPr>
    <w:rPr>
      <w:rFonts w:ascii="宋体"/>
      <w:szCs w:val="20"/>
    </w:rPr>
  </w:style>
  <w:style w:type="character" w:customStyle="1" w:styleId="150">
    <w:name w:val="正文文本缩进 Char1"/>
    <w:link w:val="149"/>
    <w:semiHidden/>
    <w:qFormat/>
    <w:uiPriority w:val="0"/>
    <w:rPr>
      <w:rFonts w:ascii="宋体" w:hAnsi="Times New Roman"/>
      <w:kern w:val="2"/>
      <w:sz w:val="21"/>
    </w:rPr>
  </w:style>
  <w:style w:type="character" w:customStyle="1" w:styleId="151">
    <w:name w:val="正文文本缩进 3 Char"/>
    <w:link w:val="152"/>
    <w:semiHidden/>
    <w:qFormat/>
    <w:uiPriority w:val="0"/>
    <w:rPr>
      <w:rFonts w:ascii="Times New Roman" w:hAnsi="Times New Roman"/>
      <w:kern w:val="2"/>
      <w:sz w:val="21"/>
    </w:rPr>
  </w:style>
  <w:style w:type="paragraph" w:customStyle="1" w:styleId="152">
    <w:name w:val="正文文本缩进 31"/>
    <w:basedOn w:val="1"/>
    <w:link w:val="151"/>
    <w:qFormat/>
    <w:uiPriority w:val="0"/>
    <w:pPr>
      <w:ind w:left="1260" w:leftChars="600"/>
    </w:pPr>
    <w:rPr>
      <w:szCs w:val="20"/>
    </w:rPr>
  </w:style>
  <w:style w:type="character" w:customStyle="1" w:styleId="153">
    <w:name w:val="日期 Char"/>
    <w:link w:val="154"/>
    <w:semiHidden/>
    <w:qFormat/>
    <w:uiPriority w:val="0"/>
    <w:rPr>
      <w:rFonts w:eastAsia="楷体_GB2312"/>
      <w:kern w:val="2"/>
      <w:sz w:val="30"/>
    </w:rPr>
  </w:style>
  <w:style w:type="paragraph" w:customStyle="1" w:styleId="154">
    <w:name w:val="日期1"/>
    <w:basedOn w:val="1"/>
    <w:next w:val="1"/>
    <w:link w:val="153"/>
    <w:qFormat/>
    <w:uiPriority w:val="0"/>
    <w:pPr>
      <w:autoSpaceDE w:val="0"/>
      <w:autoSpaceDN w:val="0"/>
      <w:adjustRightInd w:val="0"/>
      <w:textAlignment w:val="baseline"/>
    </w:pPr>
    <w:rPr>
      <w:rFonts w:eastAsia="楷体_GB2312"/>
      <w:sz w:val="30"/>
      <w:szCs w:val="20"/>
    </w:rPr>
  </w:style>
  <w:style w:type="character" w:customStyle="1" w:styleId="155">
    <w:name w:val="正文文本 3 Char"/>
    <w:link w:val="156"/>
    <w:semiHidden/>
    <w:qFormat/>
    <w:uiPriority w:val="0"/>
    <w:rPr>
      <w:rFonts w:ascii="Times New Roman" w:hAnsi="Times New Roman"/>
      <w:kern w:val="2"/>
      <w:sz w:val="16"/>
      <w:szCs w:val="16"/>
    </w:rPr>
  </w:style>
  <w:style w:type="paragraph" w:customStyle="1" w:styleId="156">
    <w:name w:val="正文文本 31"/>
    <w:basedOn w:val="1"/>
    <w:link w:val="155"/>
    <w:qFormat/>
    <w:uiPriority w:val="0"/>
    <w:pPr>
      <w:spacing w:after="120"/>
    </w:pPr>
    <w:rPr>
      <w:sz w:val="16"/>
      <w:szCs w:val="16"/>
    </w:rPr>
  </w:style>
  <w:style w:type="character" w:customStyle="1" w:styleId="157">
    <w:name w:val="正文缩进 Char"/>
    <w:link w:val="158"/>
    <w:semiHidden/>
    <w:qFormat/>
    <w:uiPriority w:val="0"/>
    <w:rPr>
      <w:rFonts w:ascii="宋体" w:hAnsi="Times New Roman"/>
      <w:sz w:val="24"/>
    </w:rPr>
  </w:style>
  <w:style w:type="paragraph" w:customStyle="1" w:styleId="158">
    <w:name w:val="正文缩进1"/>
    <w:basedOn w:val="1"/>
    <w:link w:val="157"/>
    <w:qFormat/>
    <w:uiPriority w:val="0"/>
    <w:pPr>
      <w:autoSpaceDE w:val="0"/>
      <w:autoSpaceDN w:val="0"/>
      <w:adjustRightInd w:val="0"/>
      <w:spacing w:line="360" w:lineRule="atLeast"/>
      <w:ind w:firstLine="420"/>
      <w:textAlignment w:val="baseline"/>
    </w:pPr>
    <w:rPr>
      <w:rFonts w:ascii="宋体"/>
      <w:kern w:val="0"/>
      <w:sz w:val="24"/>
      <w:szCs w:val="20"/>
    </w:rPr>
  </w:style>
  <w:style w:type="character" w:customStyle="1" w:styleId="159">
    <w:name w:val="表图名称 Char Char"/>
    <w:link w:val="160"/>
    <w:qFormat/>
    <w:uiPriority w:val="0"/>
    <w:rPr>
      <w:rFonts w:ascii="黑体" w:hAnsi="宋体" w:eastAsia="黑体"/>
      <w:kern w:val="2"/>
      <w:sz w:val="24"/>
      <w:szCs w:val="24"/>
      <w:lang w:val="en-US" w:eastAsia="zh-CN" w:bidi="ar-SA"/>
    </w:rPr>
  </w:style>
  <w:style w:type="paragraph" w:customStyle="1" w:styleId="160">
    <w:name w:val="表图名称"/>
    <w:link w:val="159"/>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character" w:customStyle="1" w:styleId="161">
    <w:name w:val="样式 标题 31.1条标题1.1.1二级节名h3Heading 3 - oldheading 3H3H31H3... Char Char Char"/>
    <w:link w:val="162"/>
    <w:semiHidden/>
    <w:qFormat/>
    <w:uiPriority w:val="0"/>
    <w:rPr>
      <w:rFonts w:ascii="宋体" w:hAnsi="宋体" w:eastAsia="黑体"/>
      <w:kern w:val="2"/>
      <w:sz w:val="24"/>
      <w:szCs w:val="21"/>
    </w:rPr>
  </w:style>
  <w:style w:type="paragraph" w:customStyle="1" w:styleId="162">
    <w:name w:val="样式 标题 31.1条标题1.1.1二级节名h3Heading 3 - oldheading 3H3H31H3..."/>
    <w:basedOn w:val="4"/>
    <w:link w:val="161"/>
    <w:qFormat/>
    <w:uiPriority w:val="0"/>
    <w:pPr>
      <w:spacing w:before="240" w:after="120" w:line="480" w:lineRule="exact"/>
      <w:jc w:val="left"/>
    </w:pPr>
    <w:rPr>
      <w:rFonts w:ascii="宋体" w:hAnsi="宋体" w:eastAsia="黑体"/>
      <w:b w:val="0"/>
      <w:bCs w:val="0"/>
      <w:sz w:val="24"/>
      <w:szCs w:val="21"/>
    </w:rPr>
  </w:style>
  <w:style w:type="character" w:customStyle="1" w:styleId="163">
    <w:name w:val="无编号正文 Char Char"/>
    <w:link w:val="164"/>
    <w:semiHidden/>
    <w:qFormat/>
    <w:uiPriority w:val="0"/>
    <w:rPr>
      <w:rFonts w:ascii="宋体" w:hAnsi="宋体"/>
      <w:sz w:val="24"/>
      <w:szCs w:val="24"/>
    </w:rPr>
  </w:style>
  <w:style w:type="paragraph" w:customStyle="1" w:styleId="164">
    <w:name w:val="无编号正文"/>
    <w:basedOn w:val="23"/>
    <w:next w:val="1"/>
    <w:link w:val="163"/>
    <w:qFormat/>
    <w:uiPriority w:val="0"/>
    <w:pPr>
      <w:ind w:left="200" w:leftChars="200" w:firstLine="200" w:firstLineChars="200"/>
    </w:pPr>
    <w:rPr>
      <w:rFonts w:ascii="宋体" w:hAnsi="宋体"/>
      <w:kern w:val="0"/>
      <w:sz w:val="24"/>
    </w:rPr>
  </w:style>
  <w:style w:type="character" w:customStyle="1" w:styleId="165">
    <w:name w:val="样式 Char Char"/>
    <w:link w:val="166"/>
    <w:qFormat/>
    <w:uiPriority w:val="0"/>
    <w:rPr>
      <w:rFonts w:ascii="宋体" w:hAnsi="宋体" w:cs="宋体"/>
      <w:sz w:val="24"/>
      <w:szCs w:val="24"/>
      <w:lang w:val="en-US" w:eastAsia="zh-CN" w:bidi="ar-SA"/>
    </w:rPr>
  </w:style>
  <w:style w:type="paragraph" w:customStyle="1" w:styleId="166">
    <w:name w:val="样式"/>
    <w:link w:val="165"/>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67">
    <w:name w:val="标题3 Char Char"/>
    <w:link w:val="168"/>
    <w:semiHidden/>
    <w:qFormat/>
    <w:uiPriority w:val="0"/>
    <w:rPr>
      <w:rFonts w:ascii="宋体" w:hAnsi="宋体"/>
      <w:b/>
      <w:bCs/>
      <w:color w:val="92D050"/>
      <w:kern w:val="44"/>
      <w:sz w:val="24"/>
      <w:szCs w:val="21"/>
    </w:rPr>
  </w:style>
  <w:style w:type="paragraph" w:customStyle="1" w:styleId="168">
    <w:name w:val="标题3"/>
    <w:basedOn w:val="4"/>
    <w:link w:val="167"/>
    <w:qFormat/>
    <w:uiPriority w:val="0"/>
    <w:pPr>
      <w:tabs>
        <w:tab w:val="left" w:pos="360"/>
        <w:tab w:val="left" w:pos="840"/>
        <w:tab w:val="left" w:pos="2160"/>
      </w:tabs>
      <w:adjustRightInd w:val="0"/>
      <w:spacing w:before="0" w:after="0" w:line="360" w:lineRule="auto"/>
      <w:textAlignment w:val="baseline"/>
    </w:pPr>
    <w:rPr>
      <w:rFonts w:ascii="宋体" w:hAnsi="宋体"/>
      <w:color w:val="92D050"/>
      <w:kern w:val="44"/>
      <w:sz w:val="24"/>
      <w:szCs w:val="21"/>
    </w:rPr>
  </w:style>
  <w:style w:type="character" w:customStyle="1" w:styleId="169">
    <w:name w:val="正文文本 Char1"/>
    <w:qFormat/>
    <w:uiPriority w:val="0"/>
    <w:rPr>
      <w:rFonts w:ascii="Times New Roman" w:hAnsi="Times New Roman"/>
      <w:kern w:val="2"/>
      <w:sz w:val="24"/>
    </w:rPr>
  </w:style>
  <w:style w:type="character" w:customStyle="1" w:styleId="170">
    <w:name w:val="1.1 Char Char"/>
    <w:qFormat/>
    <w:uiPriority w:val="0"/>
    <w:rPr>
      <w:rFonts w:ascii="宋体" w:eastAsia="宋体"/>
      <w:b/>
      <w:bCs/>
      <w:kern w:val="2"/>
      <w:sz w:val="24"/>
      <w:szCs w:val="32"/>
      <w:lang w:val="en-US" w:eastAsia="zh-CN" w:bidi="ar-SA"/>
    </w:rPr>
  </w:style>
  <w:style w:type="character" w:customStyle="1" w:styleId="171">
    <w:name w:val="正文缩进 Char Char"/>
    <w:link w:val="172"/>
    <w:semiHidden/>
    <w:qFormat/>
    <w:uiPriority w:val="0"/>
    <w:rPr>
      <w:kern w:val="2"/>
      <w:sz w:val="21"/>
      <w:szCs w:val="24"/>
    </w:rPr>
  </w:style>
  <w:style w:type="paragraph" w:customStyle="1" w:styleId="172">
    <w:name w:val="正文缩进11"/>
    <w:basedOn w:val="1"/>
    <w:link w:val="171"/>
    <w:qFormat/>
    <w:uiPriority w:val="0"/>
    <w:pPr>
      <w:spacing w:line="360" w:lineRule="auto"/>
      <w:ind w:firstLine="420"/>
    </w:pPr>
  </w:style>
  <w:style w:type="character" w:customStyle="1" w:styleId="173">
    <w:name w:val="正文－zlb Char Char"/>
    <w:link w:val="174"/>
    <w:semiHidden/>
    <w:qFormat/>
    <w:uiPriority w:val="0"/>
    <w:rPr>
      <w:rFonts w:ascii="宋体" w:cs="宋体"/>
      <w:kern w:val="2"/>
      <w:sz w:val="24"/>
      <w:szCs w:val="24"/>
    </w:rPr>
  </w:style>
  <w:style w:type="paragraph" w:customStyle="1" w:styleId="174">
    <w:name w:val="正文－zlb"/>
    <w:basedOn w:val="1"/>
    <w:link w:val="173"/>
    <w:qFormat/>
    <w:uiPriority w:val="0"/>
    <w:pPr>
      <w:adjustRightInd w:val="0"/>
      <w:snapToGrid w:val="0"/>
      <w:spacing w:line="360" w:lineRule="auto"/>
      <w:ind w:firstLine="420"/>
    </w:pPr>
    <w:rPr>
      <w:rFonts w:ascii="宋体"/>
      <w:sz w:val="24"/>
    </w:rPr>
  </w:style>
  <w:style w:type="character" w:customStyle="1" w:styleId="175">
    <w:name w:val="Char Char111"/>
    <w:qFormat/>
    <w:uiPriority w:val="0"/>
    <w:rPr>
      <w:rFonts w:eastAsia="宋体"/>
      <w:b/>
      <w:bCs/>
      <w:kern w:val="2"/>
      <w:sz w:val="24"/>
      <w:szCs w:val="24"/>
      <w:lang w:val="en-US" w:eastAsia="zh-CN" w:bidi="ar-SA"/>
    </w:rPr>
  </w:style>
  <w:style w:type="character" w:customStyle="1" w:styleId="176">
    <w:name w:val="正文 BJ15 Char Char"/>
    <w:link w:val="177"/>
    <w:semiHidden/>
    <w:qFormat/>
    <w:uiPriority w:val="0"/>
    <w:rPr>
      <w:rFonts w:ascii="Times New Roman" w:hAnsi="Times New Roman"/>
      <w:kern w:val="2"/>
      <w:sz w:val="24"/>
      <w:szCs w:val="24"/>
    </w:rPr>
  </w:style>
  <w:style w:type="paragraph" w:customStyle="1" w:styleId="177">
    <w:name w:val="正文 BJ15"/>
    <w:basedOn w:val="1"/>
    <w:link w:val="176"/>
    <w:qFormat/>
    <w:uiPriority w:val="0"/>
    <w:pPr>
      <w:adjustRightInd w:val="0"/>
      <w:snapToGrid w:val="0"/>
      <w:spacing w:line="360" w:lineRule="auto"/>
      <w:ind w:firstLine="200" w:firstLineChars="200"/>
      <w:jc w:val="left"/>
    </w:pPr>
    <w:rPr>
      <w:sz w:val="24"/>
    </w:rPr>
  </w:style>
  <w:style w:type="character" w:customStyle="1" w:styleId="178">
    <w:name w:val="font21"/>
    <w:qFormat/>
    <w:uiPriority w:val="0"/>
    <w:rPr>
      <w:rFonts w:hint="eastAsia" w:ascii="宋体" w:hAnsi="宋体" w:eastAsia="宋体" w:cs="宋体"/>
      <w:color w:val="000000"/>
      <w:sz w:val="22"/>
      <w:szCs w:val="22"/>
      <w:u w:val="none"/>
    </w:rPr>
  </w:style>
  <w:style w:type="character" w:customStyle="1" w:styleId="179">
    <w:name w:val="样式 标题 31.1条标题1.1.1二级节名h3Heading 3 - oldheading 3H3H31H3... Char Char"/>
    <w:qFormat/>
    <w:uiPriority w:val="0"/>
    <w:rPr>
      <w:rFonts w:ascii="宋体" w:hAnsi="宋体" w:eastAsia="黑体"/>
      <w:kern w:val="2"/>
      <w:sz w:val="24"/>
      <w:szCs w:val="21"/>
    </w:rPr>
  </w:style>
  <w:style w:type="character" w:customStyle="1" w:styleId="180">
    <w:name w:val="正文文本缩进 Char"/>
    <w:semiHidden/>
    <w:qFormat/>
    <w:uiPriority w:val="0"/>
    <w:rPr>
      <w:rFonts w:ascii="Times New Roman" w:hAnsi="Times New Roman"/>
      <w:kern w:val="2"/>
      <w:sz w:val="21"/>
      <w:szCs w:val="24"/>
    </w:rPr>
  </w:style>
  <w:style w:type="character" w:customStyle="1" w:styleId="181">
    <w:name w:val="页码1"/>
    <w:qFormat/>
    <w:uiPriority w:val="0"/>
  </w:style>
  <w:style w:type="character" w:customStyle="1" w:styleId="182">
    <w:name w:val="sub-dash Char"/>
    <w:qFormat/>
    <w:uiPriority w:val="0"/>
    <w:rPr>
      <w:rFonts w:ascii="Arial" w:hAnsi="Arial" w:eastAsia="黑体"/>
      <w:b/>
      <w:bCs/>
      <w:kern w:val="2"/>
      <w:sz w:val="24"/>
      <w:szCs w:val="24"/>
      <w:lang w:val="en-US" w:eastAsia="zh-CN" w:bidi="ar-SA"/>
    </w:rPr>
  </w:style>
  <w:style w:type="character" w:customStyle="1" w:styleId="183">
    <w:name w:val="Char Char2"/>
    <w:qFormat/>
    <w:uiPriority w:val="0"/>
    <w:rPr>
      <w:rFonts w:eastAsia="仿宋_GB2312"/>
      <w:kern w:val="2"/>
      <w:sz w:val="28"/>
      <w:lang w:val="en-US" w:eastAsia="zh-CN" w:bidi="ar-SA"/>
    </w:rPr>
  </w:style>
  <w:style w:type="character" w:customStyle="1" w:styleId="184">
    <w:name w:val="宏文本 Char"/>
    <w:link w:val="185"/>
    <w:qFormat/>
    <w:uiPriority w:val="0"/>
    <w:rPr>
      <w:rFonts w:ascii="Courier New" w:hAnsi="Courier New" w:cs="Courier New"/>
      <w:kern w:val="2"/>
      <w:sz w:val="24"/>
      <w:szCs w:val="24"/>
      <w:lang w:val="en-US" w:eastAsia="zh-CN" w:bidi="ar-SA"/>
    </w:rPr>
  </w:style>
  <w:style w:type="paragraph" w:customStyle="1" w:styleId="185">
    <w:name w:val="宏文本1"/>
    <w:link w:val="184"/>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86">
    <w:name w:val="正文－wjnew Char Char"/>
    <w:link w:val="187"/>
    <w:semiHidden/>
    <w:qFormat/>
    <w:uiPriority w:val="0"/>
    <w:rPr>
      <w:rFonts w:ascii="宋体" w:cs="宋体"/>
      <w:kern w:val="2"/>
      <w:sz w:val="21"/>
      <w:szCs w:val="21"/>
    </w:rPr>
  </w:style>
  <w:style w:type="paragraph" w:customStyle="1" w:styleId="187">
    <w:name w:val="正文－wjnew"/>
    <w:basedOn w:val="1"/>
    <w:link w:val="186"/>
    <w:qFormat/>
    <w:uiPriority w:val="0"/>
    <w:pPr>
      <w:adjustRightInd w:val="0"/>
      <w:snapToGrid w:val="0"/>
      <w:spacing w:line="360" w:lineRule="auto"/>
      <w:ind w:firstLine="420"/>
    </w:pPr>
    <w:rPr>
      <w:rFonts w:ascii="宋体"/>
      <w:szCs w:val="21"/>
    </w:rPr>
  </w:style>
  <w:style w:type="character" w:customStyle="1" w:styleId="188">
    <w:name w:val="应答文本 Char Char"/>
    <w:qFormat/>
    <w:uiPriority w:val="0"/>
    <w:rPr>
      <w:rFonts w:ascii="Arial" w:hAnsi="Arial" w:eastAsia="楷体_GB2312" w:cs="宋体"/>
      <w:spacing w:val="10"/>
      <w:sz w:val="21"/>
      <w:lang w:val="en-US" w:eastAsia="zh-CN" w:bidi="ar-SA"/>
    </w:rPr>
  </w:style>
  <w:style w:type="character" w:customStyle="1" w:styleId="189">
    <w:name w:val="正文 QD3 Char Char"/>
    <w:link w:val="190"/>
    <w:semiHidden/>
    <w:qFormat/>
    <w:uiPriority w:val="0"/>
    <w:rPr>
      <w:rFonts w:ascii="Times New Roman" w:hAnsi="Times New Roman"/>
      <w:kern w:val="2"/>
      <w:sz w:val="24"/>
      <w:szCs w:val="24"/>
    </w:rPr>
  </w:style>
  <w:style w:type="paragraph" w:customStyle="1" w:styleId="190">
    <w:name w:val="正文 QD3"/>
    <w:basedOn w:val="1"/>
    <w:link w:val="189"/>
    <w:qFormat/>
    <w:uiPriority w:val="0"/>
    <w:pPr>
      <w:adjustRightInd w:val="0"/>
      <w:snapToGrid w:val="0"/>
      <w:spacing w:line="360" w:lineRule="auto"/>
      <w:ind w:firstLine="200" w:firstLineChars="200"/>
      <w:jc w:val="left"/>
    </w:pPr>
    <w:rPr>
      <w:sz w:val="24"/>
    </w:rPr>
  </w:style>
  <w:style w:type="character" w:customStyle="1" w:styleId="191">
    <w:name w:val="样式 二号 红色 边框:: (单实线 自动设置  0.5 磅 行宽)"/>
    <w:qFormat/>
    <w:uiPriority w:val="0"/>
    <w:rPr>
      <w:rFonts w:eastAsia="宋体"/>
      <w:color w:val="0000FF"/>
      <w:sz w:val="44"/>
      <w:bdr w:val="single" w:color="0000FF" w:sz="4" w:space="0"/>
    </w:rPr>
  </w:style>
  <w:style w:type="character" w:customStyle="1" w:styleId="192">
    <w:name w:val="文档结构图 Char"/>
    <w:link w:val="193"/>
    <w:semiHidden/>
    <w:qFormat/>
    <w:uiPriority w:val="0"/>
    <w:rPr>
      <w:rFonts w:ascii="宋体" w:hAnsi="Times New Roman" w:eastAsia="宋体" w:cs="Times New Roman"/>
      <w:sz w:val="18"/>
      <w:szCs w:val="18"/>
    </w:rPr>
  </w:style>
  <w:style w:type="paragraph" w:customStyle="1" w:styleId="193">
    <w:name w:val="文档结构图1"/>
    <w:basedOn w:val="1"/>
    <w:link w:val="192"/>
    <w:qFormat/>
    <w:uiPriority w:val="0"/>
    <w:rPr>
      <w:rFonts w:ascii="宋体"/>
      <w:kern w:val="0"/>
      <w:sz w:val="18"/>
      <w:szCs w:val="18"/>
    </w:rPr>
  </w:style>
  <w:style w:type="character" w:customStyle="1" w:styleId="194">
    <w:name w:val="樣式 標題 3 + (中文) MS Gothic 10.5 點 Char Char Char Char Char Char Char Char"/>
    <w:qFormat/>
    <w:uiPriority w:val="0"/>
    <w:rPr>
      <w:rFonts w:hAnsi="PMingLiU" w:eastAsia="MS Gothic"/>
      <w:snapToGrid/>
      <w:kern w:val="2"/>
      <w:sz w:val="24"/>
      <w:lang w:eastAsia="zh-TW"/>
    </w:rPr>
  </w:style>
  <w:style w:type="character" w:customStyle="1" w:styleId="195">
    <w:name w:val="Char Char11"/>
    <w:qFormat/>
    <w:uiPriority w:val="0"/>
    <w:rPr>
      <w:rFonts w:eastAsia="宋体"/>
      <w:b/>
      <w:bCs/>
      <w:kern w:val="2"/>
      <w:sz w:val="24"/>
      <w:szCs w:val="24"/>
      <w:lang w:val="en-US" w:eastAsia="zh-CN" w:bidi="ar-SA"/>
    </w:rPr>
  </w:style>
  <w:style w:type="character" w:customStyle="1" w:styleId="196">
    <w:name w:val="正文（首行缩进两字） Char"/>
    <w:qFormat/>
    <w:uiPriority w:val="0"/>
    <w:rPr>
      <w:rFonts w:eastAsia="宋体"/>
      <w:sz w:val="32"/>
      <w:lang w:val="en-US" w:eastAsia="zh-CN" w:bidi="ar-SA"/>
    </w:rPr>
  </w:style>
  <w:style w:type="character" w:customStyle="1" w:styleId="197">
    <w:name w:val="书籍标题1"/>
    <w:qFormat/>
    <w:uiPriority w:val="0"/>
    <w:rPr>
      <w:b/>
      <w:bCs/>
      <w:smallCaps/>
      <w:spacing w:val="5"/>
    </w:rPr>
  </w:style>
  <w:style w:type="character" w:customStyle="1" w:styleId="198">
    <w:name w:val="HTML 预设格式 Char"/>
    <w:link w:val="199"/>
    <w:semiHidden/>
    <w:qFormat/>
    <w:uiPriority w:val="0"/>
    <w:rPr>
      <w:rFonts w:ascii="Arial" w:hAnsi="Arial"/>
      <w:sz w:val="21"/>
      <w:szCs w:val="21"/>
    </w:rPr>
  </w:style>
  <w:style w:type="paragraph" w:customStyle="1" w:styleId="199">
    <w:name w:val="HTML 预设格式1"/>
    <w:basedOn w:val="1"/>
    <w:link w:val="1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kern w:val="0"/>
      <w:szCs w:val="21"/>
    </w:rPr>
  </w:style>
  <w:style w:type="character" w:customStyle="1" w:styleId="200">
    <w:name w:val="五级标题格式 Char Char"/>
    <w:link w:val="201"/>
    <w:semiHidden/>
    <w:qFormat/>
    <w:uiPriority w:val="0"/>
    <w:rPr>
      <w:rFonts w:ascii="Times New Roman" w:hAnsi="Times New Roman"/>
      <w:b/>
      <w:bCs/>
      <w:kern w:val="2"/>
      <w:sz w:val="24"/>
      <w:szCs w:val="28"/>
    </w:rPr>
  </w:style>
  <w:style w:type="paragraph" w:customStyle="1" w:styleId="201">
    <w:name w:val="五级标题格式"/>
    <w:basedOn w:val="6"/>
    <w:link w:val="200"/>
    <w:qFormat/>
    <w:uiPriority w:val="0"/>
    <w:pPr>
      <w:tabs>
        <w:tab w:val="clear" w:pos="1008"/>
      </w:tabs>
      <w:spacing w:before="0" w:afterLines="50" w:line="240" w:lineRule="auto"/>
      <w:ind w:left="0" w:firstLine="0"/>
      <w:jc w:val="left"/>
    </w:pPr>
    <w:rPr>
      <w:sz w:val="24"/>
    </w:rPr>
  </w:style>
  <w:style w:type="character" w:customStyle="1" w:styleId="202">
    <w:name w:val="2 headline Char Char"/>
    <w:qFormat/>
    <w:uiPriority w:val="0"/>
    <w:rPr>
      <w:rFonts w:eastAsia="黑体"/>
      <w:bCs/>
      <w:kern w:val="2"/>
      <w:sz w:val="28"/>
      <w:szCs w:val="28"/>
      <w:lang w:val="en-US" w:eastAsia="zh-CN" w:bidi="ar-SA"/>
    </w:rPr>
  </w:style>
  <w:style w:type="character" w:customStyle="1" w:styleId="203">
    <w:name w:val="正文文本 2 Char"/>
    <w:link w:val="204"/>
    <w:semiHidden/>
    <w:qFormat/>
    <w:uiPriority w:val="0"/>
    <w:rPr>
      <w:rFonts w:ascii="Times New Roman" w:hAnsi="Times New Roman"/>
      <w:kern w:val="2"/>
      <w:sz w:val="21"/>
    </w:rPr>
  </w:style>
  <w:style w:type="paragraph" w:customStyle="1" w:styleId="204">
    <w:name w:val="正文文本 21"/>
    <w:basedOn w:val="1"/>
    <w:link w:val="203"/>
    <w:qFormat/>
    <w:uiPriority w:val="0"/>
    <w:pPr>
      <w:spacing w:after="120" w:line="480" w:lineRule="auto"/>
    </w:pPr>
    <w:rPr>
      <w:szCs w:val="20"/>
    </w:rPr>
  </w:style>
  <w:style w:type="character" w:customStyle="1" w:styleId="205">
    <w:name w:val="纯文本 Char"/>
    <w:link w:val="206"/>
    <w:qFormat/>
    <w:uiPriority w:val="99"/>
    <w:rPr>
      <w:rFonts w:ascii="宋体" w:hAnsi="Courier New" w:cs="Courier New"/>
      <w:kern w:val="2"/>
      <w:sz w:val="21"/>
      <w:szCs w:val="21"/>
    </w:rPr>
  </w:style>
  <w:style w:type="paragraph" w:customStyle="1" w:styleId="206">
    <w:name w:val="纯文本1"/>
    <w:basedOn w:val="1"/>
    <w:link w:val="205"/>
    <w:qFormat/>
    <w:uiPriority w:val="99"/>
    <w:rPr>
      <w:rFonts w:ascii="宋体" w:hAnsi="Courier New"/>
      <w:szCs w:val="21"/>
    </w:rPr>
  </w:style>
  <w:style w:type="character" w:customStyle="1" w:styleId="207">
    <w:name w:val="样式 标题 2标题 1.1head:2#2 headlinehheadlineS&amp;R2ERMH2Head 2 +... Char Char"/>
    <w:qFormat/>
    <w:uiPriority w:val="0"/>
    <w:rPr>
      <w:rFonts w:ascii="Arial" w:hAnsi="Arial" w:eastAsia="宋体"/>
      <w:b/>
      <w:bCs/>
      <w:sz w:val="24"/>
      <w:lang w:val="en-US" w:eastAsia="zh-CN" w:bidi="ar-SA"/>
    </w:rPr>
  </w:style>
  <w:style w:type="character" w:customStyle="1" w:styleId="208">
    <w:name w:val="表格文字图表文字 Char Char"/>
    <w:qFormat/>
    <w:uiPriority w:val="0"/>
    <w:rPr>
      <w:color w:val="7030A0"/>
      <w:kern w:val="2"/>
      <w:sz w:val="21"/>
    </w:rPr>
  </w:style>
  <w:style w:type="character" w:customStyle="1" w:styleId="209">
    <w:name w:val="font71"/>
    <w:qFormat/>
    <w:uiPriority w:val="0"/>
    <w:rPr>
      <w:rFonts w:hint="default" w:ascii="Times New Roman" w:hAnsi="Times New Roman" w:cs="Times New Roman"/>
      <w:color w:val="000000"/>
      <w:sz w:val="22"/>
      <w:szCs w:val="22"/>
      <w:u w:val="none"/>
    </w:rPr>
  </w:style>
  <w:style w:type="character" w:customStyle="1" w:styleId="210">
    <w:name w:val="HTML 打字机1"/>
    <w:qFormat/>
    <w:uiPriority w:val="0"/>
    <w:rPr>
      <w:rFonts w:ascii="黑体" w:hAnsi="Courier New" w:eastAsia="黑体" w:cs="Courier New"/>
      <w:sz w:val="20"/>
      <w:szCs w:val="20"/>
    </w:rPr>
  </w:style>
  <w:style w:type="character" w:customStyle="1" w:styleId="211">
    <w:name w:val="批注框文本 Char Char Char Char"/>
    <w:link w:val="212"/>
    <w:semiHidden/>
    <w:qFormat/>
    <w:uiPriority w:val="0"/>
    <w:rPr>
      <w:rFonts w:ascii="Times New Roman" w:hAnsi="Times New Roman" w:eastAsia="宋体" w:cs="Times New Roman"/>
      <w:sz w:val="18"/>
      <w:szCs w:val="18"/>
    </w:rPr>
  </w:style>
  <w:style w:type="paragraph" w:customStyle="1" w:styleId="212">
    <w:name w:val="批注框文本 Char Char"/>
    <w:basedOn w:val="1"/>
    <w:link w:val="211"/>
    <w:qFormat/>
    <w:uiPriority w:val="0"/>
    <w:rPr>
      <w:kern w:val="0"/>
      <w:sz w:val="18"/>
      <w:szCs w:val="18"/>
    </w:rPr>
  </w:style>
  <w:style w:type="character" w:customStyle="1" w:styleId="213">
    <w:name w:val="标题 4 Char1"/>
    <w:qFormat/>
    <w:uiPriority w:val="0"/>
    <w:rPr>
      <w:rFonts w:ascii="宋体" w:hAnsi="宋体"/>
      <w:b/>
      <w:bCs/>
      <w:kern w:val="2"/>
      <w:sz w:val="21"/>
    </w:rPr>
  </w:style>
  <w:style w:type="character" w:customStyle="1" w:styleId="214">
    <w:name w:val="列表框2 Char Char"/>
    <w:link w:val="215"/>
    <w:semiHidden/>
    <w:qFormat/>
    <w:uiPriority w:val="0"/>
    <w:rPr>
      <w:color w:val="7030A0"/>
      <w:spacing w:val="10"/>
      <w:sz w:val="24"/>
      <w:szCs w:val="24"/>
    </w:rPr>
  </w:style>
  <w:style w:type="paragraph" w:customStyle="1" w:styleId="215">
    <w:name w:val="列表框2"/>
    <w:basedOn w:val="1"/>
    <w:link w:val="214"/>
    <w:qFormat/>
    <w:uiPriority w:val="0"/>
    <w:pPr>
      <w:tabs>
        <w:tab w:val="left" w:pos="360"/>
        <w:tab w:val="left" w:pos="1628"/>
        <w:tab w:val="left" w:pos="2086"/>
      </w:tabs>
      <w:adjustRightInd w:val="0"/>
      <w:snapToGrid w:val="0"/>
      <w:ind w:left="1748" w:right="210" w:rightChars="100" w:hanging="434" w:firstLineChars="200"/>
      <w:jc w:val="left"/>
    </w:pPr>
    <w:rPr>
      <w:color w:val="7030A0"/>
      <w:spacing w:val="10"/>
      <w:kern w:val="0"/>
      <w:sz w:val="24"/>
    </w:rPr>
  </w:style>
  <w:style w:type="character" w:customStyle="1" w:styleId="216">
    <w:name w:val="批注文字 Char1"/>
    <w:qFormat/>
    <w:uiPriority w:val="0"/>
    <w:rPr>
      <w:kern w:val="2"/>
      <w:sz w:val="24"/>
      <w:szCs w:val="24"/>
    </w:rPr>
  </w:style>
  <w:style w:type="character" w:customStyle="1" w:styleId="217">
    <w:name w:val="日期 Char1"/>
    <w:qFormat/>
    <w:uiPriority w:val="0"/>
    <w:rPr>
      <w:rFonts w:ascii="Times New Roman" w:hAnsi="Times New Roman"/>
      <w:kern w:val="2"/>
      <w:sz w:val="21"/>
      <w:szCs w:val="24"/>
    </w:rPr>
  </w:style>
  <w:style w:type="character" w:customStyle="1" w:styleId="218">
    <w:name w:val="标题2 Char Char"/>
    <w:link w:val="219"/>
    <w:semiHidden/>
    <w:qFormat/>
    <w:uiPriority w:val="0"/>
    <w:rPr>
      <w:rFonts w:ascii="宋体" w:hAnsi="Times New Roman"/>
      <w:b/>
      <w:color w:val="92D050"/>
      <w:kern w:val="44"/>
      <w:sz w:val="30"/>
    </w:rPr>
  </w:style>
  <w:style w:type="paragraph" w:customStyle="1" w:styleId="219">
    <w:name w:val="标题2"/>
    <w:basedOn w:val="2"/>
    <w:link w:val="218"/>
    <w:qFormat/>
    <w:uiPriority w:val="0"/>
    <w:pPr>
      <w:spacing w:before="0" w:after="0" w:line="312" w:lineRule="auto"/>
      <w:ind w:left="0" w:firstLine="0"/>
      <w:jc w:val="center"/>
    </w:pPr>
    <w:rPr>
      <w:rFonts w:ascii="宋体"/>
      <w:bCs w:val="0"/>
      <w:color w:val="92D050"/>
      <w:sz w:val="30"/>
      <w:szCs w:val="20"/>
    </w:rPr>
  </w:style>
  <w:style w:type="character" w:customStyle="1" w:styleId="220">
    <w:name w:val="批注引用1"/>
    <w:qFormat/>
    <w:uiPriority w:val="0"/>
    <w:rPr>
      <w:sz w:val="21"/>
      <w:szCs w:val="21"/>
    </w:rPr>
  </w:style>
  <w:style w:type="character" w:customStyle="1" w:styleId="221">
    <w:name w:val="样式 宋体 行距: 固定值 24 磅 Char Char"/>
    <w:link w:val="222"/>
    <w:semiHidden/>
    <w:qFormat/>
    <w:uiPriority w:val="0"/>
    <w:rPr>
      <w:rFonts w:ascii="宋体" w:cs="宋体"/>
      <w:color w:val="7030A0"/>
      <w:kern w:val="2"/>
      <w:sz w:val="28"/>
    </w:rPr>
  </w:style>
  <w:style w:type="paragraph" w:customStyle="1" w:styleId="222">
    <w:name w:val="样式 宋体 行距: 固定值 24 磅"/>
    <w:basedOn w:val="1"/>
    <w:link w:val="221"/>
    <w:qFormat/>
    <w:uiPriority w:val="0"/>
    <w:pPr>
      <w:spacing w:line="480" w:lineRule="exact"/>
      <w:ind w:firstLine="585" w:firstLineChars="200"/>
      <w:jc w:val="left"/>
    </w:pPr>
    <w:rPr>
      <w:rFonts w:ascii="宋体"/>
      <w:color w:val="7030A0"/>
      <w:sz w:val="28"/>
      <w:szCs w:val="20"/>
    </w:rPr>
  </w:style>
  <w:style w:type="character" w:customStyle="1" w:styleId="223">
    <w:name w:val="批注主题 Char"/>
    <w:link w:val="224"/>
    <w:semiHidden/>
    <w:qFormat/>
    <w:uiPriority w:val="0"/>
    <w:rPr>
      <w:rFonts w:ascii="Times New Roman" w:hAnsi="Times New Roman" w:eastAsia="宋体" w:cs="Times New Roman"/>
      <w:b/>
      <w:bCs/>
      <w:kern w:val="2"/>
      <w:sz w:val="21"/>
      <w:szCs w:val="24"/>
    </w:rPr>
  </w:style>
  <w:style w:type="paragraph" w:customStyle="1" w:styleId="224">
    <w:name w:val="批注主题1"/>
    <w:basedOn w:val="19"/>
    <w:next w:val="19"/>
    <w:link w:val="223"/>
    <w:qFormat/>
    <w:uiPriority w:val="0"/>
    <w:rPr>
      <w:b/>
      <w:bCs/>
      <w:kern w:val="2"/>
      <w:sz w:val="21"/>
    </w:rPr>
  </w:style>
  <w:style w:type="character" w:customStyle="1" w:styleId="225">
    <w:name w:val="正文段落格式 Char Char"/>
    <w:qFormat/>
    <w:uiPriority w:val="0"/>
    <w:rPr>
      <w:rFonts w:cs="宋体"/>
      <w:color w:val="7030A0"/>
      <w:kern w:val="2"/>
      <w:sz w:val="24"/>
    </w:rPr>
  </w:style>
  <w:style w:type="character" w:customStyle="1" w:styleId="226">
    <w:name w:val="dash6b63_6587__char1"/>
    <w:qFormat/>
    <w:uiPriority w:val="0"/>
    <w:rPr>
      <w:rFonts w:hint="default" w:ascii="Calibri" w:hAnsi="Calibri" w:cs="Calibri"/>
      <w:sz w:val="20"/>
      <w:szCs w:val="20"/>
    </w:rPr>
  </w:style>
  <w:style w:type="paragraph" w:customStyle="1" w:styleId="227">
    <w:name w:val="_Style 1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1."/>
    <w:basedOn w:val="1"/>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229">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30">
    <w:name w:val="级别3"/>
    <w:basedOn w:val="231"/>
    <w:qFormat/>
    <w:uiPriority w:val="0"/>
    <w:pPr>
      <w:tabs>
        <w:tab w:val="left" w:pos="0"/>
      </w:tabs>
      <w:ind w:firstLine="425"/>
      <w:outlineLvl w:val="2"/>
    </w:pPr>
    <w:rPr>
      <w:b w:val="0"/>
    </w:rPr>
  </w:style>
  <w:style w:type="paragraph" w:customStyle="1" w:styleId="231">
    <w:name w:val="级别2"/>
    <w:basedOn w:val="2"/>
    <w:qFormat/>
    <w:uiPriority w:val="0"/>
    <w:pPr>
      <w:tabs>
        <w:tab w:val="left" w:pos="0"/>
        <w:tab w:val="clear" w:pos="1440"/>
      </w:tabs>
      <w:adjustRightInd w:val="0"/>
      <w:snapToGrid w:val="0"/>
      <w:spacing w:before="0" w:after="0" w:line="360" w:lineRule="auto"/>
      <w:ind w:left="0" w:firstLine="0"/>
      <w:outlineLvl w:val="1"/>
    </w:pPr>
    <w:rPr>
      <w:rFonts w:ascii="宋体" w:hAnsi="宋体"/>
      <w:bCs w:val="0"/>
      <w:sz w:val="24"/>
      <w:szCs w:val="24"/>
    </w:rPr>
  </w:style>
  <w:style w:type="paragraph" w:customStyle="1" w:styleId="232">
    <w:name w:val="Char1 Char Char1 Char Char Char Char Char Char"/>
    <w:basedOn w:val="1"/>
    <w:qFormat/>
    <w:uiPriority w:val="0"/>
  </w:style>
  <w:style w:type="paragraph" w:customStyle="1" w:styleId="233">
    <w:name w:val="Report Level 4"/>
    <w:basedOn w:val="234"/>
    <w:next w:val="236"/>
    <w:qFormat/>
    <w:uiPriority w:val="0"/>
    <w:pPr>
      <w:tabs>
        <w:tab w:val="left" w:pos="720"/>
        <w:tab w:val="left" w:pos="1080"/>
        <w:tab w:val="left" w:pos="1889"/>
        <w:tab w:val="left" w:pos="2309"/>
      </w:tabs>
      <w:ind w:left="720" w:hanging="720"/>
      <w:outlineLvl w:val="3"/>
    </w:pPr>
    <w:rPr>
      <w:rFonts w:ascii="Times New Roman" w:hAnsi="Times New Roman"/>
    </w:rPr>
  </w:style>
  <w:style w:type="paragraph" w:customStyle="1" w:styleId="234">
    <w:name w:val="Report Level 3"/>
    <w:basedOn w:val="235"/>
    <w:next w:val="236"/>
    <w:qFormat/>
    <w:uiPriority w:val="0"/>
    <w:pPr>
      <w:tabs>
        <w:tab w:val="left" w:pos="1080"/>
        <w:tab w:val="left" w:pos="1889"/>
      </w:tabs>
      <w:spacing w:before="120"/>
      <w:ind w:left="1889" w:hanging="420"/>
      <w:outlineLvl w:val="2"/>
    </w:pPr>
    <w:rPr>
      <w:caps w:val="0"/>
      <w:sz w:val="20"/>
    </w:rPr>
  </w:style>
  <w:style w:type="paragraph" w:customStyle="1" w:styleId="235">
    <w:name w:val="Report Level 1"/>
    <w:basedOn w:val="1"/>
    <w:next w:val="236"/>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rPr>
  </w:style>
  <w:style w:type="paragraph" w:customStyle="1" w:styleId="236">
    <w:name w:val="Report Text"/>
    <w:basedOn w:val="1"/>
    <w:qFormat/>
    <w:uiPriority w:val="0"/>
    <w:pPr>
      <w:widowControl/>
      <w:spacing w:after="138"/>
      <w:ind w:left="1080" w:firstLine="200" w:firstLineChars="200"/>
      <w:jc w:val="left"/>
    </w:pPr>
    <w:rPr>
      <w:color w:val="7030A0"/>
      <w:kern w:val="0"/>
      <w:sz w:val="22"/>
      <w:szCs w:val="20"/>
      <w:lang w:eastAsia="en-US"/>
    </w:rPr>
  </w:style>
  <w:style w:type="paragraph" w:customStyle="1" w:styleId="237">
    <w:name w:val="样式 样式 样式 宋体 小四 左侧:  1.85 厘米 段前: 11.15 磅 段后: 11.15 磅 + 图案: 清除 (白色..."/>
    <w:basedOn w:val="238"/>
    <w:qFormat/>
    <w:uiPriority w:val="0"/>
    <w:pPr>
      <w:spacing w:beforeLines="50" w:afterLines="50"/>
      <w:ind w:left="318"/>
    </w:pPr>
    <w:rPr>
      <w:szCs w:val="20"/>
    </w:rPr>
  </w:style>
  <w:style w:type="paragraph" w:customStyle="1" w:styleId="238">
    <w:name w:val="样式 样式 宋体 小四 左侧:  1.85 厘米 段前: 11.15 磅 段后: 11.15 磅 + 图案: 清除 (白色)"/>
    <w:basedOn w:val="1"/>
    <w:qFormat/>
    <w:uiPriority w:val="0"/>
    <w:pPr>
      <w:snapToGrid w:val="0"/>
      <w:ind w:left="1049" w:firstLine="200" w:firstLineChars="200"/>
      <w:jc w:val="left"/>
    </w:pPr>
    <w:rPr>
      <w:color w:val="7030A0"/>
      <w:sz w:val="24"/>
      <w:shd w:val="clear" w:color="auto" w:fill="FFFFFF"/>
    </w:rPr>
  </w:style>
  <w:style w:type="paragraph" w:customStyle="1" w:styleId="239">
    <w:name w:val="Table Paragraph"/>
    <w:basedOn w:val="1"/>
    <w:qFormat/>
    <w:uiPriority w:val="1"/>
    <w:pPr>
      <w:autoSpaceDE w:val="0"/>
      <w:autoSpaceDN w:val="0"/>
      <w:adjustRightInd w:val="0"/>
      <w:jc w:val="left"/>
    </w:pPr>
    <w:rPr>
      <w:kern w:val="0"/>
      <w:sz w:val="24"/>
    </w:rPr>
  </w:style>
  <w:style w:type="paragraph" w:customStyle="1" w:styleId="240">
    <w:name w:val="青岛正文"/>
    <w:basedOn w:val="1"/>
    <w:qFormat/>
    <w:uiPriority w:val="0"/>
    <w:pPr>
      <w:spacing w:line="360" w:lineRule="auto"/>
    </w:pPr>
    <w:rPr>
      <w:sz w:val="28"/>
    </w:rPr>
  </w:style>
  <w:style w:type="paragraph" w:customStyle="1" w:styleId="241">
    <w:name w:val="小标4"/>
    <w:basedOn w:val="1"/>
    <w:next w:val="1"/>
    <w:qFormat/>
    <w:uiPriority w:val="0"/>
    <w:pPr>
      <w:tabs>
        <w:tab w:val="left" w:pos="900"/>
      </w:tabs>
      <w:spacing w:line="400" w:lineRule="exact"/>
      <w:ind w:left="900" w:firstLine="200" w:firstLineChars="200"/>
      <w:jc w:val="left"/>
    </w:pPr>
    <w:rPr>
      <w:rFonts w:ascii="宋体"/>
      <w:color w:val="7030A0"/>
      <w:sz w:val="24"/>
    </w:rPr>
  </w:style>
  <w:style w:type="paragraph" w:customStyle="1" w:styleId="242">
    <w:name w:val="样式 目录 1 + 左侧:  3 字符"/>
    <w:basedOn w:val="41"/>
    <w:qFormat/>
    <w:uiPriority w:val="0"/>
    <w:pPr>
      <w:tabs>
        <w:tab w:val="left" w:pos="425"/>
        <w:tab w:val="left" w:pos="1680"/>
        <w:tab w:val="right" w:leader="dot" w:pos="8495"/>
        <w:tab w:val="right" w:pos="9060"/>
        <w:tab w:val="clear" w:pos="8778"/>
      </w:tabs>
      <w:snapToGrid/>
      <w:spacing w:line="240" w:lineRule="auto"/>
      <w:ind w:left="425" w:hanging="425"/>
    </w:pPr>
    <w:rPr>
      <w:bCs w:val="0"/>
      <w:iCs w:val="0"/>
      <w:caps w:val="0"/>
      <w:color w:val="7030A0"/>
      <w:kern w:val="2"/>
      <w:sz w:val="21"/>
      <w:szCs w:val="20"/>
    </w:rPr>
  </w:style>
  <w:style w:type="paragraph" w:customStyle="1" w:styleId="243">
    <w:name w:val="列表1"/>
    <w:basedOn w:val="1"/>
    <w:qFormat/>
    <w:uiPriority w:val="0"/>
    <w:pPr>
      <w:ind w:left="200" w:hanging="200" w:hangingChars="200"/>
    </w:pPr>
    <w:rPr>
      <w:szCs w:val="20"/>
    </w:rPr>
  </w:style>
  <w:style w:type="paragraph" w:customStyle="1" w:styleId="244">
    <w:name w:val="xl46"/>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45">
    <w:name w:val="二级条标题"/>
    <w:basedOn w:val="246"/>
    <w:next w:val="1"/>
    <w:qFormat/>
    <w:uiPriority w:val="0"/>
    <w:pPr>
      <w:tabs>
        <w:tab w:val="left" w:pos="425"/>
        <w:tab w:val="left" w:pos="525"/>
      </w:tabs>
      <w:ind w:firstLine="0" w:firstLineChars="0"/>
      <w:outlineLvl w:val="3"/>
    </w:pPr>
  </w:style>
  <w:style w:type="paragraph" w:customStyle="1" w:styleId="246">
    <w:name w:val="一级条标题"/>
    <w:basedOn w:val="1"/>
    <w:next w:val="1"/>
    <w:qFormat/>
    <w:uiPriority w:val="0"/>
    <w:pPr>
      <w:widowControl/>
      <w:tabs>
        <w:tab w:val="left" w:pos="425"/>
        <w:tab w:val="left" w:pos="525"/>
      </w:tabs>
      <w:ind w:left="425" w:hanging="425" w:firstLineChars="200"/>
      <w:jc w:val="left"/>
      <w:outlineLvl w:val="2"/>
    </w:pPr>
    <w:rPr>
      <w:rFonts w:ascii="黑体" w:eastAsia="黑体"/>
      <w:color w:val="7030A0"/>
      <w:kern w:val="0"/>
      <w:szCs w:val="20"/>
    </w:rPr>
  </w:style>
  <w:style w:type="paragraph" w:customStyle="1" w:styleId="247">
    <w:name w:val="xl28"/>
    <w:basedOn w:val="1"/>
    <w:qFormat/>
    <w:uiPriority w:val="0"/>
    <w:pPr>
      <w:widowControl/>
      <w:spacing w:before="100" w:beforeAutospacing="1" w:after="100" w:afterAutospacing="1"/>
      <w:jc w:val="center"/>
    </w:pPr>
    <w:rPr>
      <w:kern w:val="0"/>
      <w:sz w:val="24"/>
    </w:rPr>
  </w:style>
  <w:style w:type="paragraph" w:customStyle="1" w:styleId="248">
    <w:name w:val="xl53"/>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49">
    <w:name w:val="xl32"/>
    <w:basedOn w:val="1"/>
    <w:qFormat/>
    <w:uiPriority w:val="0"/>
    <w:pPr>
      <w:widowControl/>
      <w:spacing w:before="100" w:beforeAutospacing="1" w:after="100" w:afterAutospacing="1"/>
      <w:jc w:val="center"/>
    </w:pPr>
    <w:rPr>
      <w:b/>
      <w:bCs/>
      <w:kern w:val="0"/>
      <w:sz w:val="24"/>
      <w:u w:val="single"/>
    </w:rPr>
  </w:style>
  <w:style w:type="paragraph" w:customStyle="1" w:styleId="250">
    <w:name w:val="列表编号 41"/>
    <w:basedOn w:val="1"/>
    <w:qFormat/>
    <w:uiPriority w:val="0"/>
    <w:pPr>
      <w:tabs>
        <w:tab w:val="left" w:pos="1620"/>
      </w:tabs>
      <w:spacing w:line="360" w:lineRule="auto"/>
      <w:ind w:left="1620" w:hanging="360"/>
    </w:pPr>
    <w:rPr>
      <w:rFonts w:ascii="宋体" w:hAnsi="宋体"/>
      <w:sz w:val="24"/>
      <w:szCs w:val="20"/>
    </w:rPr>
  </w:style>
  <w:style w:type="paragraph" w:customStyle="1" w:styleId="251">
    <w:name w:val="Footer First"/>
    <w:basedOn w:val="3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252">
    <w:name w:val="正文C"/>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253">
    <w:name w:val="索引 91"/>
    <w:basedOn w:val="1"/>
    <w:next w:val="1"/>
    <w:qFormat/>
    <w:uiPriority w:val="0"/>
    <w:pPr>
      <w:spacing w:line="480" w:lineRule="exact"/>
      <w:ind w:left="1600" w:leftChars="1600" w:firstLine="200" w:firstLineChars="200"/>
      <w:jc w:val="left"/>
    </w:pPr>
    <w:rPr>
      <w:color w:val="7030A0"/>
      <w:sz w:val="24"/>
    </w:rPr>
  </w:style>
  <w:style w:type="paragraph" w:customStyle="1" w:styleId="254">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5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56">
    <w:name w:val="四级条标题"/>
    <w:basedOn w:val="257"/>
    <w:next w:val="1"/>
    <w:qFormat/>
    <w:uiPriority w:val="0"/>
    <w:pPr>
      <w:tabs>
        <w:tab w:val="left" w:pos="425"/>
        <w:tab w:val="left" w:pos="525"/>
      </w:tabs>
      <w:outlineLvl w:val="5"/>
    </w:pPr>
  </w:style>
  <w:style w:type="paragraph" w:customStyle="1" w:styleId="257">
    <w:name w:val="三级条标题"/>
    <w:basedOn w:val="245"/>
    <w:next w:val="1"/>
    <w:qFormat/>
    <w:uiPriority w:val="0"/>
    <w:pPr>
      <w:outlineLvl w:val="4"/>
    </w:pPr>
  </w:style>
  <w:style w:type="paragraph" w:customStyle="1" w:styleId="2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259">
    <w:name w:val="样式 宋体 行距: 1.5 倍行距"/>
    <w:basedOn w:val="1"/>
    <w:qFormat/>
    <w:uiPriority w:val="0"/>
    <w:pPr>
      <w:ind w:firstLine="200" w:firstLineChars="200"/>
      <w:jc w:val="left"/>
    </w:pPr>
    <w:rPr>
      <w:rFonts w:ascii="宋体" w:hAnsi="宋体"/>
      <w:color w:val="7030A0"/>
      <w:szCs w:val="20"/>
    </w:rPr>
  </w:style>
  <w:style w:type="paragraph" w:customStyle="1" w:styleId="260">
    <w:name w:val="[基本段落]"/>
    <w:basedOn w:val="1"/>
    <w:qFormat/>
    <w:uiPriority w:val="99"/>
    <w:pPr>
      <w:autoSpaceDE w:val="0"/>
      <w:autoSpaceDN w:val="0"/>
      <w:adjustRightInd w:val="0"/>
      <w:spacing w:line="288" w:lineRule="auto"/>
      <w:textAlignment w:val="center"/>
    </w:pPr>
    <w:rPr>
      <w:rFonts w:ascii="Adobe 宋体 Std L" w:hAnsi="Calibri" w:eastAsia="Adobe 宋体 Std L" w:cs="Adobe 宋体 Std L"/>
      <w:color w:val="000000"/>
      <w:kern w:val="0"/>
      <w:sz w:val="24"/>
      <w:lang w:val="zh-CN"/>
    </w:rPr>
  </w:style>
  <w:style w:type="paragraph" w:customStyle="1" w:styleId="261">
    <w:name w:val="样式4"/>
    <w:basedOn w:val="1"/>
    <w:next w:val="3"/>
    <w:qFormat/>
    <w:uiPriority w:val="0"/>
    <w:pPr>
      <w:tabs>
        <w:tab w:val="left" w:pos="360"/>
      </w:tabs>
      <w:spacing w:line="360" w:lineRule="auto"/>
      <w:ind w:left="360" w:hanging="360"/>
    </w:pPr>
    <w:rPr>
      <w:rFonts w:ascii="宋体" w:hAnsi="宋体"/>
      <w:b/>
      <w:sz w:val="28"/>
      <w:szCs w:val="20"/>
    </w:rPr>
  </w:style>
  <w:style w:type="paragraph" w:customStyle="1" w:styleId="262">
    <w:name w:val="正文点缩进"/>
    <w:basedOn w:val="1"/>
    <w:qFormat/>
    <w:uiPriority w:val="0"/>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263">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264">
    <w:name w:val="三级标题格式"/>
    <w:basedOn w:val="4"/>
    <w:qFormat/>
    <w:uiPriority w:val="0"/>
    <w:pPr>
      <w:spacing w:before="0" w:afterLines="100" w:line="240" w:lineRule="auto"/>
      <w:jc w:val="left"/>
    </w:pPr>
    <w:rPr>
      <w:rFonts w:eastAsia="黑体"/>
      <w:b w:val="0"/>
      <w:sz w:val="28"/>
      <w:szCs w:val="28"/>
    </w:rPr>
  </w:style>
  <w:style w:type="paragraph" w:customStyle="1" w:styleId="265">
    <w:name w:val="表格文字格式"/>
    <w:basedOn w:val="1"/>
    <w:qFormat/>
    <w:uiPriority w:val="0"/>
    <w:pPr>
      <w:snapToGrid w:val="0"/>
      <w:jc w:val="center"/>
    </w:pPr>
    <w:rPr>
      <w:rFonts w:cs="宋体"/>
      <w:szCs w:val="20"/>
    </w:rPr>
  </w:style>
  <w:style w:type="paragraph" w:customStyle="1" w:styleId="266">
    <w:name w:val="样式 标题 3列表编号33 bulletb23 bullet1b1213 bullet2b2223 bul...2"/>
    <w:basedOn w:val="1"/>
    <w:qFormat/>
    <w:uiPriority w:val="0"/>
    <w:pPr>
      <w:ind w:left="1320" w:hanging="420" w:firstLineChars="200"/>
      <w:jc w:val="left"/>
    </w:pPr>
    <w:rPr>
      <w:color w:val="7030A0"/>
    </w:rPr>
  </w:style>
  <w:style w:type="paragraph" w:customStyle="1" w:styleId="267">
    <w:name w:val="纯文本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268">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69">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270">
    <w:name w:val="样式 标题 5 + 右侧:  -0.18 字符"/>
    <w:basedOn w:val="1"/>
    <w:qFormat/>
    <w:uiPriority w:val="0"/>
    <w:pPr>
      <w:tabs>
        <w:tab w:val="left" w:pos="1008"/>
      </w:tabs>
      <w:ind w:left="1134" w:hanging="1134"/>
    </w:pPr>
  </w:style>
  <w:style w:type="paragraph" w:customStyle="1" w:styleId="271">
    <w:name w:val="xl39"/>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272">
    <w:name w:val="列表接续1"/>
    <w:basedOn w:val="1"/>
    <w:qFormat/>
    <w:uiPriority w:val="0"/>
    <w:pPr>
      <w:widowControl/>
      <w:spacing w:after="120"/>
      <w:ind w:left="420"/>
      <w:jc w:val="left"/>
    </w:pPr>
    <w:rPr>
      <w:rFonts w:ascii="宋体"/>
      <w:kern w:val="0"/>
      <w:sz w:val="22"/>
      <w:szCs w:val="20"/>
    </w:rPr>
  </w:style>
  <w:style w:type="paragraph" w:customStyle="1" w:styleId="273">
    <w:name w:val="Char Char Char Char1"/>
    <w:basedOn w:val="1"/>
    <w:qFormat/>
    <w:uiPriority w:val="0"/>
    <w:pPr>
      <w:ind w:firstLine="200" w:firstLineChars="200"/>
      <w:jc w:val="left"/>
    </w:pPr>
    <w:rPr>
      <w:rFonts w:ascii="仿宋_GB2312" w:eastAsia="仿宋_GB2312"/>
      <w:b/>
      <w:color w:val="7030A0"/>
      <w:sz w:val="32"/>
      <w:szCs w:val="32"/>
    </w:rPr>
  </w:style>
  <w:style w:type="paragraph" w:customStyle="1" w:styleId="274">
    <w:name w:val="正文样式"/>
    <w:basedOn w:val="1"/>
    <w:qFormat/>
    <w:uiPriority w:val="99"/>
    <w:pPr>
      <w:ind w:firstLine="480" w:firstLineChars="200"/>
    </w:pPr>
    <w:rPr>
      <w:rFonts w:ascii="Times New Roman" w:hAnsi="Times New Roman"/>
      <w:sz w:val="30"/>
      <w:lang w:val="zh-CN"/>
    </w:rPr>
  </w:style>
  <w:style w:type="paragraph" w:customStyle="1" w:styleId="275">
    <w:name w:val="Body"/>
    <w:basedOn w:val="1"/>
    <w:qFormat/>
    <w:uiPriority w:val="0"/>
    <w:pPr>
      <w:widowControl/>
      <w:tabs>
        <w:tab w:val="left" w:pos="1620"/>
      </w:tabs>
      <w:spacing w:before="80" w:after="80" w:line="288" w:lineRule="auto"/>
    </w:pPr>
    <w:rPr>
      <w:kern w:val="0"/>
      <w:szCs w:val="20"/>
      <w:lang w:eastAsia="en-US"/>
    </w:rPr>
  </w:style>
  <w:style w:type="paragraph" w:styleId="276">
    <w:name w:val="List Paragraph"/>
    <w:basedOn w:val="1"/>
    <w:qFormat/>
    <w:uiPriority w:val="34"/>
    <w:pPr>
      <w:ind w:left="720"/>
      <w:contextualSpacing/>
    </w:pPr>
  </w:style>
  <w:style w:type="paragraph" w:customStyle="1" w:styleId="277">
    <w:name w:val="xl55"/>
    <w:basedOn w:val="1"/>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78">
    <w:name w:val="註解方塊文字"/>
    <w:basedOn w:val="1"/>
    <w:qFormat/>
    <w:uiPriority w:val="0"/>
    <w:pPr>
      <w:widowControl/>
      <w:jc w:val="left"/>
    </w:pPr>
    <w:rPr>
      <w:rFonts w:ascii="Arial" w:hAnsi="Arial" w:eastAsia="PMingLiU"/>
      <w:kern w:val="0"/>
      <w:sz w:val="18"/>
      <w:szCs w:val="18"/>
    </w:rPr>
  </w:style>
  <w:style w:type="paragraph" w:customStyle="1" w:styleId="279">
    <w:name w:val="xl52"/>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80">
    <w:name w:val="xl45"/>
    <w:basedOn w:val="1"/>
    <w:qFormat/>
    <w:uiPriority w:val="0"/>
    <w:pPr>
      <w:widowControl/>
      <w:pBdr>
        <w:bottom w:val="single" w:color="auto" w:sz="4" w:space="0"/>
        <w:right w:val="single" w:color="auto" w:sz="4" w:space="0"/>
      </w:pBdr>
      <w:spacing w:before="100" w:after="100"/>
      <w:ind w:firstLine="200" w:firstLineChars="200"/>
      <w:jc w:val="center"/>
      <w:textAlignment w:val="center"/>
    </w:pPr>
    <w:rPr>
      <w:rFonts w:eastAsia="Arial Unicode MS"/>
      <w:color w:val="7030A0"/>
      <w:kern w:val="0"/>
      <w:sz w:val="22"/>
      <w:szCs w:val="20"/>
    </w:rPr>
  </w:style>
  <w:style w:type="paragraph" w:customStyle="1" w:styleId="28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82">
    <w:name w:val="标题四"/>
    <w:basedOn w:val="283"/>
    <w:qFormat/>
    <w:uiPriority w:val="0"/>
    <w:pPr>
      <w:tabs>
        <w:tab w:val="left" w:pos="0"/>
      </w:tabs>
      <w:spacing w:line="360" w:lineRule="auto"/>
      <w:ind w:left="0"/>
    </w:pPr>
    <w:rPr>
      <w:rFonts w:ascii="Tahoma" w:hAnsi="Tahoma"/>
      <w:sz w:val="24"/>
      <w:szCs w:val="24"/>
    </w:rPr>
  </w:style>
  <w:style w:type="paragraph" w:customStyle="1" w:styleId="283">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284">
    <w:name w:val="Char Char Char Char11"/>
    <w:basedOn w:val="1"/>
    <w:qFormat/>
    <w:uiPriority w:val="0"/>
    <w:pPr>
      <w:ind w:firstLine="200" w:firstLineChars="200"/>
      <w:jc w:val="left"/>
    </w:pPr>
    <w:rPr>
      <w:rFonts w:ascii="仿宋_GB2312" w:eastAsia="仿宋_GB2312"/>
      <w:b/>
      <w:color w:val="7030A0"/>
      <w:sz w:val="32"/>
      <w:szCs w:val="32"/>
    </w:rPr>
  </w:style>
  <w:style w:type="paragraph" w:customStyle="1" w:styleId="285">
    <w:name w:val="列出段落2"/>
    <w:basedOn w:val="1"/>
    <w:qFormat/>
    <w:uiPriority w:val="99"/>
    <w:pPr>
      <w:ind w:firstLine="420" w:firstLineChars="200"/>
    </w:pPr>
  </w:style>
  <w:style w:type="paragraph" w:customStyle="1" w:styleId="286">
    <w:name w:val="样式 标题 2标题 1.1编号标题2head:2#2 headlinehheadlineS&amp;R2ERMH2He..."/>
    <w:basedOn w:val="3"/>
    <w:qFormat/>
    <w:uiPriority w:val="0"/>
    <w:pPr>
      <w:spacing w:before="120" w:after="120" w:line="500" w:lineRule="exact"/>
      <w:jc w:val="left"/>
    </w:pPr>
    <w:rPr>
      <w:rFonts w:cs="宋体"/>
      <w:color w:val="C00000"/>
      <w:kern w:val="44"/>
      <w:sz w:val="28"/>
      <w:szCs w:val="20"/>
    </w:rPr>
  </w:style>
  <w:style w:type="paragraph" w:customStyle="1" w:styleId="287">
    <w:name w:val="xl41"/>
    <w:basedOn w:val="1"/>
    <w:qFormat/>
    <w:uiPriority w:val="0"/>
    <w:pPr>
      <w:widowControl/>
      <w:spacing w:before="100" w:beforeAutospacing="1" w:after="100" w:afterAutospacing="1"/>
      <w:ind w:firstLine="200" w:firstLineChars="200"/>
      <w:jc w:val="center"/>
      <w:textAlignment w:val="center"/>
    </w:pPr>
    <w:rPr>
      <w:rFonts w:ascii="宋体" w:hAnsi="宋体"/>
      <w:color w:val="7030A0"/>
      <w:kern w:val="0"/>
      <w:szCs w:val="21"/>
    </w:rPr>
  </w:style>
  <w:style w:type="paragraph" w:customStyle="1" w:styleId="288">
    <w:name w:val="章节标题 BJ8"/>
    <w:basedOn w:val="133"/>
    <w:next w:val="133"/>
    <w:qFormat/>
    <w:uiPriority w:val="0"/>
    <w:pPr>
      <w:ind w:firstLine="0" w:firstLineChars="0"/>
      <w:jc w:val="center"/>
    </w:pPr>
    <w:rPr>
      <w:rFonts w:eastAsia="黑体"/>
      <w:b/>
      <w:sz w:val="44"/>
      <w:szCs w:val="84"/>
    </w:rPr>
  </w:style>
  <w:style w:type="paragraph" w:customStyle="1" w:styleId="289">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90">
    <w:name w:val="列出段落1"/>
    <w:basedOn w:val="1"/>
    <w:qFormat/>
    <w:uiPriority w:val="34"/>
    <w:pPr>
      <w:ind w:firstLine="420" w:firstLineChars="200"/>
    </w:pPr>
    <w:rPr>
      <w:szCs w:val="20"/>
    </w:rPr>
  </w:style>
  <w:style w:type="paragraph" w:customStyle="1" w:styleId="291">
    <w:name w:val="_Style 2"/>
    <w:basedOn w:val="1"/>
    <w:qFormat/>
    <w:uiPriority w:val="0"/>
    <w:pPr>
      <w:ind w:firstLine="420" w:firstLineChars="200"/>
    </w:pPr>
    <w:rPr>
      <w:rFonts w:ascii="Calibri" w:hAnsi="Calibri"/>
      <w:szCs w:val="22"/>
    </w:rPr>
  </w:style>
  <w:style w:type="paragraph" w:customStyle="1" w:styleId="292">
    <w:name w:val="样式 列表框 Char Char Char Char Char + 段后: 0.5 行"/>
    <w:basedOn w:val="293"/>
    <w:qFormat/>
    <w:uiPriority w:val="0"/>
    <w:pPr>
      <w:tabs>
        <w:tab w:val="left" w:pos="420"/>
      </w:tabs>
      <w:spacing w:after="156"/>
    </w:pPr>
    <w:rPr>
      <w:szCs w:val="20"/>
    </w:rPr>
  </w:style>
  <w:style w:type="paragraph" w:customStyle="1" w:styleId="293">
    <w:name w:val="正常文本 Char Char Char Char Char Char Char Char Char Char Char Char Char Char"/>
    <w:basedOn w:val="1"/>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294">
    <w:name w:val="*"/>
    <w:basedOn w:val="1"/>
    <w:qFormat/>
    <w:uiPriority w:val="0"/>
    <w:pPr>
      <w:spacing w:line="360" w:lineRule="auto"/>
    </w:pPr>
    <w:rPr>
      <w:rFonts w:ascii="宋体" w:hAnsi="宋体"/>
      <w:kern w:val="0"/>
      <w:sz w:val="24"/>
    </w:rPr>
  </w:style>
  <w:style w:type="paragraph" w:customStyle="1" w:styleId="295">
    <w:name w:val="样式 样式 列表框 Char Char Char Char Char + 段后: 0.5 行 + 左侧:  6 字符 首行缩进..."/>
    <w:basedOn w:val="292"/>
    <w:qFormat/>
    <w:uiPriority w:val="0"/>
    <w:pPr>
      <w:tabs>
        <w:tab w:val="left" w:pos="2297"/>
      </w:tabs>
      <w:ind w:left="2297" w:leftChars="0" w:hanging="420" w:firstLineChars="0"/>
    </w:pPr>
  </w:style>
  <w:style w:type="paragraph" w:customStyle="1" w:styleId="296">
    <w:name w:val="附图 BJ15"/>
    <w:basedOn w:val="1"/>
    <w:qFormat/>
    <w:uiPriority w:val="0"/>
    <w:pPr>
      <w:adjustRightInd w:val="0"/>
      <w:snapToGrid w:val="0"/>
      <w:ind w:firstLine="200" w:firstLineChars="200"/>
      <w:jc w:val="center"/>
    </w:pPr>
    <w:rPr>
      <w:rFonts w:hAnsi="Arial"/>
      <w:color w:val="7030A0"/>
      <w:kern w:val="0"/>
    </w:rPr>
  </w:style>
  <w:style w:type="paragraph" w:customStyle="1" w:styleId="29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98">
    <w:name w:val="Numbered List"/>
    <w:basedOn w:val="3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299">
    <w:name w:val="表格标题"/>
    <w:basedOn w:val="6"/>
    <w:qFormat/>
    <w:uiPriority w:val="0"/>
    <w:pPr>
      <w:tabs>
        <w:tab w:val="clear" w:pos="1008"/>
      </w:tabs>
      <w:spacing w:before="0" w:after="0" w:line="240" w:lineRule="auto"/>
      <w:ind w:left="0" w:firstLine="0"/>
      <w:jc w:val="center"/>
      <w:outlineLvl w:val="8"/>
    </w:pPr>
    <w:rPr>
      <w:b w:val="0"/>
      <w:sz w:val="21"/>
      <w:lang w:val="zh-CN"/>
    </w:rPr>
  </w:style>
  <w:style w:type="paragraph" w:customStyle="1" w:styleId="300">
    <w:name w:val="索引 51"/>
    <w:basedOn w:val="1"/>
    <w:next w:val="1"/>
    <w:qFormat/>
    <w:uiPriority w:val="0"/>
    <w:pPr>
      <w:spacing w:line="480" w:lineRule="exact"/>
      <w:ind w:left="800" w:leftChars="800" w:firstLine="200" w:firstLineChars="200"/>
      <w:jc w:val="left"/>
    </w:pPr>
    <w:rPr>
      <w:color w:val="7030A0"/>
      <w:sz w:val="24"/>
    </w:rPr>
  </w:style>
  <w:style w:type="paragraph" w:customStyle="1" w:styleId="301">
    <w:name w:val="List Paragraph1"/>
    <w:basedOn w:val="1"/>
    <w:next w:val="1"/>
    <w:qFormat/>
    <w:uiPriority w:val="0"/>
    <w:pPr>
      <w:ind w:firstLine="420" w:firstLineChars="200"/>
    </w:pPr>
    <w:rPr>
      <w:rFonts w:ascii="Calibri" w:hAnsi="Calibri"/>
      <w:szCs w:val="22"/>
    </w:rPr>
  </w:style>
  <w:style w:type="paragraph" w:customStyle="1" w:styleId="302">
    <w:name w:val="招标文件》"/>
    <w:basedOn w:val="303"/>
    <w:qFormat/>
    <w:uiPriority w:val="0"/>
    <w:pPr>
      <w:tabs>
        <w:tab w:val="left" w:pos="560"/>
      </w:tabs>
      <w:ind w:left="200" w:firstLine="0" w:firstLineChars="0"/>
    </w:pPr>
  </w:style>
  <w:style w:type="paragraph" w:customStyle="1" w:styleId="303">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304">
    <w:name w:val="图1"/>
    <w:basedOn w:val="1"/>
    <w:next w:val="1"/>
    <w:qFormat/>
    <w:uiPriority w:val="0"/>
    <w:pPr>
      <w:tabs>
        <w:tab w:val="left" w:pos="1440"/>
      </w:tabs>
      <w:spacing w:beforeLines="50" w:afterLines="100" w:line="360" w:lineRule="auto"/>
      <w:ind w:left="1105" w:hanging="748"/>
      <w:jc w:val="center"/>
    </w:pPr>
    <w:rPr>
      <w:kern w:val="0"/>
    </w:rPr>
  </w:style>
  <w:style w:type="paragraph" w:customStyle="1" w:styleId="305">
    <w:name w:val="普通(网站)1"/>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306">
    <w:name w:val="样式 标题 1标题 1 1编号标题1标题1 + 宋体 加粗"/>
    <w:basedOn w:val="2"/>
    <w:qFormat/>
    <w:uiPriority w:val="0"/>
    <w:pPr>
      <w:tabs>
        <w:tab w:val="left" w:pos="2340"/>
        <w:tab w:val="clear" w:pos="1440"/>
      </w:tabs>
      <w:spacing w:before="240" w:afterLines="50" w:line="360" w:lineRule="exact"/>
      <w:ind w:left="1304" w:hanging="1304"/>
      <w:jc w:val="left"/>
    </w:pPr>
    <w:rPr>
      <w:rFonts w:ascii="宋体" w:hAnsi="宋体" w:cs="Arial"/>
      <w:sz w:val="28"/>
      <w:szCs w:val="28"/>
    </w:rPr>
  </w:style>
  <w:style w:type="paragraph" w:customStyle="1" w:styleId="307">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08">
    <w:name w:val="标题1"/>
    <w:basedOn w:val="2"/>
    <w:qFormat/>
    <w:uiPriority w:val="0"/>
    <w:pPr>
      <w:tabs>
        <w:tab w:val="left" w:pos="450"/>
        <w:tab w:val="left" w:pos="709"/>
        <w:tab w:val="left" w:pos="907"/>
        <w:tab w:val="clear" w:pos="1440"/>
      </w:tabs>
      <w:adjustRightInd w:val="0"/>
      <w:spacing w:before="120" w:after="0" w:line="360" w:lineRule="auto"/>
      <w:ind w:left="450" w:hanging="450"/>
      <w:textAlignment w:val="baseline"/>
    </w:pPr>
    <w:rPr>
      <w:rFonts w:ascii="宋体" w:hAnsi="宋体"/>
      <w:bCs w:val="0"/>
      <w:sz w:val="28"/>
      <w:szCs w:val="20"/>
    </w:rPr>
  </w:style>
  <w:style w:type="paragraph" w:customStyle="1" w:styleId="309">
    <w:name w:val="应答文本"/>
    <w:basedOn w:val="1"/>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310">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311">
    <w:name w:val="xl48"/>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12">
    <w:name w:val="顺序编号-zlb"/>
    <w:basedOn w:val="313"/>
    <w:qFormat/>
    <w:uiPriority w:val="0"/>
    <w:pPr>
      <w:tabs>
        <w:tab w:val="left" w:pos="0"/>
      </w:tabs>
      <w:ind w:firstLine="425"/>
      <w:outlineLvl w:val="8"/>
    </w:pPr>
  </w:style>
  <w:style w:type="paragraph" w:customStyle="1" w:styleId="313">
    <w:name w:val="级别4"/>
    <w:basedOn w:val="231"/>
    <w:qFormat/>
    <w:uiPriority w:val="0"/>
    <w:pPr>
      <w:outlineLvl w:val="3"/>
    </w:pPr>
    <w:rPr>
      <w:b w:val="0"/>
      <w:kern w:val="0"/>
    </w:rPr>
  </w:style>
  <w:style w:type="paragraph" w:customStyle="1" w:styleId="314">
    <w:name w:val="二级标题格式"/>
    <w:basedOn w:val="3"/>
    <w:qFormat/>
    <w:uiPriority w:val="0"/>
    <w:pPr>
      <w:spacing w:before="0" w:afterLines="100" w:line="240" w:lineRule="auto"/>
      <w:jc w:val="left"/>
    </w:pPr>
    <w:rPr>
      <w:rFonts w:ascii="Times New Roman" w:hAnsi="Times New Roman"/>
      <w:b w:val="0"/>
      <w:color w:val="C00000"/>
      <w:sz w:val="28"/>
      <w:szCs w:val="28"/>
    </w:rPr>
  </w:style>
  <w:style w:type="paragraph" w:customStyle="1" w:styleId="315">
    <w:name w:val="llp2"/>
    <w:basedOn w:val="1"/>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316">
    <w:name w:val="样式 宋体 小四 左 图案: 清除 (白色) 行距: 1.5 倍行距"/>
    <w:basedOn w:val="1"/>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317">
    <w:name w:val="样式 样式 首行缩进:  2 字符 + 首行缩进:  2 字符"/>
    <w:basedOn w:val="1"/>
    <w:qFormat/>
    <w:uiPriority w:val="0"/>
    <w:pPr>
      <w:spacing w:line="360" w:lineRule="auto"/>
      <w:ind w:firstLine="200" w:firstLineChars="200"/>
      <w:jc w:val="left"/>
    </w:pPr>
    <w:rPr>
      <w:rFonts w:cs="宋体"/>
      <w:color w:val="7030A0"/>
      <w:szCs w:val="20"/>
    </w:rPr>
  </w:style>
  <w:style w:type="paragraph" w:customStyle="1" w:styleId="31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19">
    <w:name w:val="专用"/>
    <w:basedOn w:val="1"/>
    <w:qFormat/>
    <w:uiPriority w:val="0"/>
    <w:pPr>
      <w:spacing w:afterLines="100"/>
      <w:ind w:left="838" w:hanging="838" w:hangingChars="262"/>
    </w:pPr>
    <w:rPr>
      <w:rFonts w:ascii="宋体"/>
      <w:b/>
      <w:color w:val="000000"/>
      <w:sz w:val="32"/>
      <w:szCs w:val="20"/>
    </w:rPr>
  </w:style>
  <w:style w:type="paragraph" w:customStyle="1" w:styleId="320">
    <w:name w:val="Char1 Char Char Char"/>
    <w:basedOn w:val="1"/>
    <w:qFormat/>
    <w:uiPriority w:val="0"/>
  </w:style>
  <w:style w:type="paragraph" w:customStyle="1" w:styleId="32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22">
    <w:name w:val="xl72"/>
    <w:basedOn w:val="1"/>
    <w:next w:val="34"/>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23">
    <w:name w:val="标准"/>
    <w:basedOn w:val="1"/>
    <w:qFormat/>
    <w:uiPriority w:val="0"/>
    <w:pPr>
      <w:adjustRightInd w:val="0"/>
      <w:spacing w:line="312" w:lineRule="atLeast"/>
      <w:jc w:val="center"/>
      <w:textAlignment w:val="baseline"/>
    </w:pPr>
    <w:rPr>
      <w:kern w:val="24"/>
      <w:sz w:val="24"/>
    </w:rPr>
  </w:style>
  <w:style w:type="paragraph" w:customStyle="1" w:styleId="32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325">
    <w:name w:val="样式 列表框 Char Char Char Char Char + 右侧:  -0.05 字符 段后: 0.5 行"/>
    <w:basedOn w:val="326"/>
    <w:qFormat/>
    <w:uiPriority w:val="0"/>
    <w:pPr>
      <w:tabs>
        <w:tab w:val="left" w:pos="375"/>
        <w:tab w:val="left" w:pos="450"/>
        <w:tab w:val="left" w:pos="874"/>
      </w:tabs>
      <w:ind w:left="0" w:firstLine="0"/>
    </w:pPr>
    <w:rPr>
      <w:szCs w:val="20"/>
    </w:rPr>
  </w:style>
  <w:style w:type="paragraph" w:customStyle="1" w:styleId="326">
    <w:name w:val="列表框 Char Char Char Char Char"/>
    <w:basedOn w:val="293"/>
    <w:next w:val="293"/>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327">
    <w:name w:val="表格正文"/>
    <w:basedOn w:val="1"/>
    <w:next w:val="1"/>
    <w:qFormat/>
    <w:uiPriority w:val="0"/>
    <w:pPr>
      <w:adjustRightInd w:val="0"/>
      <w:snapToGrid w:val="0"/>
      <w:jc w:val="center"/>
    </w:pPr>
    <w:rPr>
      <w:color w:val="548DD4"/>
    </w:rPr>
  </w:style>
  <w:style w:type="paragraph" w:customStyle="1" w:styleId="328">
    <w:name w:val="xl59"/>
    <w:basedOn w:val="1"/>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29">
    <w:name w:val="样式 标题2 1.1 + 段前: 0 磅 段后: 0 磅"/>
    <w:basedOn w:val="1"/>
    <w:qFormat/>
    <w:uiPriority w:val="0"/>
    <w:pPr>
      <w:keepNext/>
      <w:tabs>
        <w:tab w:val="left" w:pos="567"/>
      </w:tabs>
      <w:spacing w:line="480" w:lineRule="atLeast"/>
      <w:ind w:left="567" w:hanging="567" w:firstLineChars="200"/>
      <w:jc w:val="left"/>
      <w:outlineLvl w:val="1"/>
    </w:pPr>
    <w:rPr>
      <w:color w:val="7030A0"/>
      <w:sz w:val="28"/>
      <w:szCs w:val="20"/>
    </w:rPr>
  </w:style>
  <w:style w:type="paragraph" w:customStyle="1" w:styleId="330">
    <w:name w:val="列表编号 31"/>
    <w:basedOn w:val="1"/>
    <w:qFormat/>
    <w:uiPriority w:val="0"/>
    <w:pPr>
      <w:tabs>
        <w:tab w:val="left" w:pos="1200"/>
      </w:tabs>
      <w:spacing w:line="360" w:lineRule="auto"/>
      <w:ind w:left="1200" w:hanging="360"/>
      <w:jc w:val="left"/>
    </w:pPr>
    <w:rPr>
      <w:rFonts w:ascii="宋体" w:hAnsi="宋体"/>
      <w:color w:val="7030A0"/>
      <w:sz w:val="24"/>
      <w:szCs w:val="20"/>
    </w:rPr>
  </w:style>
  <w:style w:type="paragraph" w:customStyle="1" w:styleId="331">
    <w:name w:val="重点"/>
    <w:basedOn w:val="1"/>
    <w:qFormat/>
    <w:uiPriority w:val="0"/>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332">
    <w:name w:val="五级"/>
    <w:basedOn w:val="3"/>
    <w:qFormat/>
    <w:uiPriority w:val="0"/>
    <w:pPr>
      <w:tabs>
        <w:tab w:val="left" w:pos="851"/>
      </w:tabs>
      <w:spacing w:before="0" w:after="0" w:line="360" w:lineRule="auto"/>
      <w:ind w:left="851" w:hanging="851"/>
      <w:jc w:val="left"/>
    </w:pPr>
    <w:rPr>
      <w:rFonts w:ascii="宋体" w:hAnsi="宋体" w:eastAsia="宋体"/>
      <w:b w:val="0"/>
      <w:color w:val="C00000"/>
      <w:sz w:val="24"/>
    </w:rPr>
  </w:style>
  <w:style w:type="paragraph" w:customStyle="1" w:styleId="333">
    <w:name w:val="样式 左侧:  2 字符 段前: 0.5 行"/>
    <w:basedOn w:val="1"/>
    <w:qFormat/>
    <w:uiPriority w:val="0"/>
    <w:pPr>
      <w:spacing w:beforeLines="50"/>
      <w:ind w:firstLine="200" w:firstLineChars="200"/>
    </w:pPr>
    <w:rPr>
      <w:rFonts w:ascii="宋体" w:cs="宋体"/>
      <w:sz w:val="24"/>
      <w:szCs w:val="20"/>
    </w:rPr>
  </w:style>
  <w:style w:type="paragraph" w:customStyle="1" w:styleId="334">
    <w:name w:val="xl56"/>
    <w:basedOn w:val="1"/>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35">
    <w:name w:val="Char Char Char Char Char"/>
    <w:basedOn w:val="1"/>
    <w:qFormat/>
    <w:uiPriority w:val="0"/>
    <w:pPr>
      <w:ind w:firstLine="200" w:firstLineChars="200"/>
      <w:jc w:val="left"/>
    </w:pPr>
    <w:rPr>
      <w:rFonts w:ascii="Tahoma" w:hAnsi="Tahoma"/>
      <w:color w:val="7030A0"/>
      <w:sz w:val="24"/>
      <w:szCs w:val="20"/>
    </w:rPr>
  </w:style>
  <w:style w:type="paragraph" w:customStyle="1" w:styleId="336">
    <w:name w:val="默认段落字体 Para Char Char Char Char"/>
    <w:basedOn w:val="1"/>
    <w:qFormat/>
    <w:uiPriority w:val="0"/>
    <w:rPr>
      <w:szCs w:val="20"/>
    </w:rPr>
  </w:style>
  <w:style w:type="paragraph" w:customStyle="1" w:styleId="337">
    <w:name w:val="StandardOhneEinzug"/>
    <w:basedOn w:val="1"/>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rPr>
  </w:style>
  <w:style w:type="paragraph" w:customStyle="1" w:styleId="338">
    <w:name w:val="索引 11"/>
    <w:basedOn w:val="1"/>
    <w:next w:val="1"/>
    <w:qFormat/>
    <w:uiPriority w:val="0"/>
    <w:pPr>
      <w:spacing w:line="360" w:lineRule="auto"/>
      <w:ind w:left="1149" w:leftChars="547"/>
    </w:pPr>
    <w:rPr>
      <w:szCs w:val="20"/>
    </w:rPr>
  </w:style>
  <w:style w:type="paragraph" w:customStyle="1" w:styleId="339">
    <w:name w:val="索引 31"/>
    <w:basedOn w:val="1"/>
    <w:next w:val="1"/>
    <w:qFormat/>
    <w:uiPriority w:val="0"/>
    <w:pPr>
      <w:spacing w:line="480" w:lineRule="exact"/>
      <w:ind w:left="400" w:leftChars="400" w:firstLine="200" w:firstLineChars="200"/>
      <w:jc w:val="left"/>
    </w:pPr>
    <w:rPr>
      <w:color w:val="7030A0"/>
      <w:sz w:val="24"/>
    </w:rPr>
  </w:style>
  <w:style w:type="paragraph" w:customStyle="1" w:styleId="340">
    <w:name w:val="xl40"/>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341">
    <w:name w:val="Sprechblasentext"/>
    <w:basedOn w:val="1"/>
    <w:qFormat/>
    <w:uiPriority w:val="0"/>
    <w:pPr>
      <w:spacing w:line="300" w:lineRule="atLeast"/>
      <w:ind w:firstLine="709"/>
    </w:pPr>
    <w:rPr>
      <w:rFonts w:ascii="Tahoma" w:hAnsi="Tahoma" w:cs="Tahoma"/>
      <w:sz w:val="16"/>
      <w:szCs w:val="16"/>
    </w:rPr>
  </w:style>
  <w:style w:type="paragraph" w:customStyle="1" w:styleId="342">
    <w:name w:val="font5"/>
    <w:basedOn w:val="1"/>
    <w:qFormat/>
    <w:uiPriority w:val="0"/>
    <w:pPr>
      <w:widowControl/>
      <w:spacing w:before="100" w:beforeAutospacing="1" w:after="100" w:afterAutospacing="1"/>
      <w:jc w:val="left"/>
    </w:pPr>
    <w:rPr>
      <w:b/>
      <w:bCs/>
      <w:kern w:val="0"/>
      <w:sz w:val="22"/>
      <w:szCs w:val="22"/>
    </w:rPr>
  </w:style>
  <w:style w:type="paragraph" w:customStyle="1" w:styleId="343">
    <w:name w:val="註解方塊文字2"/>
    <w:basedOn w:val="1"/>
    <w:qFormat/>
    <w:uiPriority w:val="0"/>
    <w:rPr>
      <w:rFonts w:ascii="Arial" w:hAnsi="Arial" w:eastAsia="PMingLiU"/>
      <w:color w:val="7030A0"/>
      <w:sz w:val="18"/>
      <w:szCs w:val="18"/>
    </w:rPr>
  </w:style>
  <w:style w:type="paragraph" w:customStyle="1" w:styleId="344">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索引 21"/>
    <w:basedOn w:val="1"/>
    <w:next w:val="1"/>
    <w:qFormat/>
    <w:uiPriority w:val="0"/>
    <w:pPr>
      <w:spacing w:line="480" w:lineRule="exact"/>
      <w:ind w:left="200" w:leftChars="200" w:firstLine="200" w:firstLineChars="200"/>
      <w:jc w:val="left"/>
    </w:pPr>
    <w:rPr>
      <w:color w:val="7030A0"/>
      <w:sz w:val="24"/>
    </w:rPr>
  </w:style>
  <w:style w:type="paragraph" w:customStyle="1" w:styleId="34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7">
    <w:name w:val="A-12"/>
    <w:basedOn w:val="1"/>
    <w:qFormat/>
    <w:uiPriority w:val="0"/>
    <w:pPr>
      <w:widowControl/>
      <w:ind w:firstLine="200" w:firstLineChars="200"/>
      <w:jc w:val="left"/>
    </w:pPr>
    <w:rPr>
      <w:rFonts w:ascii="Arial" w:hAnsi="Arial"/>
      <w:color w:val="7030A0"/>
      <w:kern w:val="0"/>
      <w:sz w:val="24"/>
      <w:szCs w:val="20"/>
    </w:rPr>
  </w:style>
  <w:style w:type="paragraph" w:customStyle="1" w:styleId="348">
    <w:name w:val="招标正文"/>
    <w:basedOn w:val="1"/>
    <w:qFormat/>
    <w:uiPriority w:val="0"/>
    <w:pPr>
      <w:spacing w:line="360" w:lineRule="auto"/>
      <w:ind w:firstLine="480"/>
    </w:pPr>
    <w:rPr>
      <w:rFonts w:ascii="宋体" w:hAnsi="宋体"/>
      <w:sz w:val="24"/>
      <w:szCs w:val="24"/>
    </w:rPr>
  </w:style>
  <w:style w:type="paragraph" w:customStyle="1" w:styleId="349">
    <w:name w:val="Char"/>
    <w:basedOn w:val="1"/>
    <w:qFormat/>
    <w:uiPriority w:val="0"/>
    <w:rPr>
      <w:rFonts w:ascii="仿宋_GB2312" w:eastAsia="仿宋_GB2312"/>
      <w:b/>
      <w:sz w:val="32"/>
      <w:szCs w:val="32"/>
    </w:rPr>
  </w:style>
  <w:style w:type="paragraph" w:customStyle="1" w:styleId="350">
    <w:name w:val="样式 样式 标题 3 + 段前: 1 行 段后: 0.5 行 + 段前: 1 行 段后: 0.5 行"/>
    <w:basedOn w:val="1"/>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351">
    <w:name w:val="列表 21"/>
    <w:basedOn w:val="1"/>
    <w:qFormat/>
    <w:uiPriority w:val="0"/>
    <w:pPr>
      <w:widowControl/>
      <w:ind w:left="840" w:hanging="420"/>
      <w:jc w:val="left"/>
    </w:pPr>
    <w:rPr>
      <w:rFonts w:ascii="宋体"/>
      <w:kern w:val="0"/>
      <w:sz w:val="22"/>
      <w:szCs w:val="20"/>
    </w:rPr>
  </w:style>
  <w:style w:type="paragraph" w:customStyle="1" w:styleId="352">
    <w:name w:val="xl50"/>
    <w:basedOn w:val="1"/>
    <w:qFormat/>
    <w:uiPriority w:val="0"/>
    <w:pPr>
      <w:widowControl/>
      <w:pBdr>
        <w:top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53">
    <w:name w:val="xl54"/>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54">
    <w:name w:val="纯文本11"/>
    <w:basedOn w:val="1"/>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355">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56">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57">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358">
    <w:name w:val="索引 81"/>
    <w:basedOn w:val="1"/>
    <w:next w:val="1"/>
    <w:qFormat/>
    <w:uiPriority w:val="0"/>
    <w:pPr>
      <w:spacing w:line="480" w:lineRule="exact"/>
      <w:ind w:left="1400" w:leftChars="1400" w:firstLine="200" w:firstLineChars="200"/>
      <w:jc w:val="left"/>
    </w:pPr>
    <w:rPr>
      <w:color w:val="7030A0"/>
      <w:sz w:val="24"/>
    </w:rPr>
  </w:style>
  <w:style w:type="paragraph" w:customStyle="1" w:styleId="359">
    <w:name w:val="Plain Text1"/>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60">
    <w:name w:val="通用"/>
    <w:basedOn w:val="1"/>
    <w:qFormat/>
    <w:uiPriority w:val="0"/>
    <w:pPr>
      <w:spacing w:line="360" w:lineRule="auto"/>
      <w:ind w:left="840" w:leftChars="400"/>
    </w:pPr>
    <w:rPr>
      <w:rFonts w:ascii="宋体" w:hAnsi="宋体"/>
      <w:szCs w:val="20"/>
    </w:rPr>
  </w:style>
  <w:style w:type="paragraph" w:customStyle="1" w:styleId="361">
    <w:name w:val="Report Heading"/>
    <w:basedOn w:val="1"/>
    <w:next w:val="1"/>
    <w:qFormat/>
    <w:uiPriority w:val="0"/>
    <w:pPr>
      <w:keepNext/>
      <w:widowControl/>
      <w:spacing w:before="120" w:after="138"/>
      <w:ind w:left="1080" w:firstLine="200" w:firstLineChars="200"/>
      <w:jc w:val="left"/>
    </w:pPr>
    <w:rPr>
      <w:rFonts w:ascii="Arial" w:hAnsi="Arial"/>
      <w:b/>
      <w:color w:val="7030A0"/>
      <w:kern w:val="0"/>
      <w:sz w:val="22"/>
      <w:szCs w:val="20"/>
    </w:rPr>
  </w:style>
  <w:style w:type="paragraph" w:customStyle="1" w:styleId="362">
    <w:name w:val="标题4"/>
    <w:basedOn w:val="1"/>
    <w:next w:val="1"/>
    <w:qFormat/>
    <w:uiPriority w:val="0"/>
    <w:pPr>
      <w:keepNext/>
      <w:spacing w:line="360" w:lineRule="auto"/>
      <w:ind w:firstLine="200" w:firstLineChars="200"/>
      <w:jc w:val="left"/>
      <w:outlineLvl w:val="3"/>
    </w:pPr>
    <w:rPr>
      <w:b/>
      <w:kern w:val="0"/>
      <w:sz w:val="30"/>
    </w:rPr>
  </w:style>
  <w:style w:type="paragraph" w:customStyle="1" w:styleId="363">
    <w:name w:val="合同书"/>
    <w:basedOn w:val="1"/>
    <w:qFormat/>
    <w:uiPriority w:val="0"/>
    <w:pPr>
      <w:spacing w:afterLines="100"/>
      <w:jc w:val="center"/>
    </w:pPr>
    <w:rPr>
      <w:rFonts w:hAnsi="宋体"/>
      <w:b/>
      <w:color w:val="000000"/>
      <w:sz w:val="44"/>
      <w:szCs w:val="44"/>
    </w:rPr>
  </w:style>
  <w:style w:type="paragraph" w:customStyle="1" w:styleId="364">
    <w:name w:val="xl47"/>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65">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pPr>
    <w:rPr>
      <w:rFonts w:eastAsia="Arial Unicode MS"/>
      <w:color w:val="7030A0"/>
      <w:kern w:val="0"/>
      <w:szCs w:val="20"/>
    </w:rPr>
  </w:style>
  <w:style w:type="paragraph" w:customStyle="1" w:styleId="366">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367">
    <w:name w:val="正文文本缩进 311"/>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68">
    <w:name w:val="正文文本 22"/>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369">
    <w:name w:val="招标文件1）"/>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370">
    <w:name w:val="级别5"/>
    <w:basedOn w:val="313"/>
    <w:qFormat/>
    <w:uiPriority w:val="0"/>
    <w:pPr>
      <w:outlineLvl w:val="4"/>
    </w:pPr>
  </w:style>
  <w:style w:type="paragraph" w:customStyle="1" w:styleId="37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2">
    <w:name w:val="xiao b"/>
    <w:basedOn w:val="1"/>
    <w:qFormat/>
    <w:uiPriority w:val="0"/>
    <w:pPr>
      <w:ind w:firstLine="200" w:firstLineChars="200"/>
      <w:jc w:val="center"/>
    </w:pPr>
    <w:rPr>
      <w:rFonts w:eastAsia="黑体"/>
      <w:color w:val="7030A0"/>
      <w:sz w:val="24"/>
      <w:szCs w:val="20"/>
    </w:rPr>
  </w:style>
  <w:style w:type="paragraph" w:customStyle="1" w:styleId="373">
    <w:name w:val="文档结构图2"/>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7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75">
    <w:name w:val="列表编号 51"/>
    <w:basedOn w:val="1"/>
    <w:qFormat/>
    <w:uiPriority w:val="0"/>
    <w:pPr>
      <w:tabs>
        <w:tab w:val="left" w:pos="2040"/>
      </w:tabs>
      <w:spacing w:line="360" w:lineRule="auto"/>
      <w:ind w:left="2040" w:hanging="360"/>
      <w:jc w:val="left"/>
    </w:pPr>
    <w:rPr>
      <w:rFonts w:ascii="宋体" w:hAnsi="宋体"/>
      <w:color w:val="7030A0"/>
      <w:sz w:val="24"/>
      <w:szCs w:val="20"/>
    </w:rPr>
  </w:style>
  <w:style w:type="paragraph" w:customStyle="1" w:styleId="376">
    <w:name w:val="样式 目录 1 + 首行缩进:  2 字符"/>
    <w:basedOn w:val="1"/>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377">
    <w:name w:val="样式 样式 列表框 Char Char Char Char Char + 右侧:  -0.05 字符 段后: 0.5 行 + 右..."/>
    <w:basedOn w:val="325"/>
    <w:qFormat/>
    <w:uiPriority w:val="0"/>
    <w:pPr>
      <w:tabs>
        <w:tab w:val="left" w:pos="630"/>
      </w:tabs>
    </w:pPr>
  </w:style>
  <w:style w:type="paragraph" w:customStyle="1" w:styleId="378">
    <w:name w:val="正文文本缩进 211"/>
    <w:basedOn w:val="1"/>
    <w:qFormat/>
    <w:uiPriority w:val="0"/>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379">
    <w:name w:val="xl49"/>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80">
    <w:name w:val="样式 标题 2 + Times New Roman 四号 非加粗 段前: 5 磅 段后: 0 磅 行距: 固定值 20..."/>
    <w:basedOn w:val="3"/>
    <w:qFormat/>
    <w:uiPriority w:val="0"/>
    <w:pPr>
      <w:spacing w:before="100" w:line="400" w:lineRule="exact"/>
      <w:ind w:firstLine="200" w:firstLineChars="200"/>
    </w:pPr>
    <w:rPr>
      <w:rFonts w:ascii="Times New Roman" w:hAnsi="Times New Roman" w:cs="宋体"/>
      <w:b w:val="0"/>
      <w:sz w:val="28"/>
      <w:szCs w:val="20"/>
    </w:rPr>
  </w:style>
  <w:style w:type="paragraph" w:customStyle="1" w:styleId="381">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82">
    <w:name w:val="xl51"/>
    <w:basedOn w:val="1"/>
    <w:qFormat/>
    <w:uiPriority w:val="0"/>
    <w:pPr>
      <w:widowControl/>
      <w:pBdr>
        <w:top w:val="single" w:color="auto" w:sz="4" w:space="0"/>
        <w:bottom w:val="single" w:color="auto" w:sz="4" w:space="0"/>
        <w:right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8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84">
    <w:name w:val="七级标题格式"/>
    <w:basedOn w:val="1"/>
    <w:qFormat/>
    <w:uiPriority w:val="0"/>
    <w:pPr>
      <w:spacing w:afterLines="50" w:line="336" w:lineRule="auto"/>
      <w:ind w:firstLine="200" w:firstLineChars="200"/>
      <w:jc w:val="left"/>
      <w:outlineLvl w:val="6"/>
    </w:pPr>
    <w:rPr>
      <w:color w:val="7030A0"/>
      <w:sz w:val="24"/>
    </w:rPr>
  </w:style>
  <w:style w:type="paragraph" w:customStyle="1" w:styleId="385">
    <w:name w:val="No Spacing"/>
    <w:qFormat/>
    <w:uiPriority w:val="1"/>
    <w:pPr>
      <w:widowControl w:val="0"/>
      <w:spacing w:line="400" w:lineRule="exact"/>
      <w:jc w:val="both"/>
    </w:pPr>
    <w:rPr>
      <w:rFonts w:ascii="Times New Roman" w:hAnsi="Times New Roman" w:eastAsia="宋体" w:cs="Times New Roman"/>
      <w:kern w:val="2"/>
      <w:sz w:val="24"/>
      <w:lang w:val="en-US" w:eastAsia="zh-CN" w:bidi="ar-SA"/>
    </w:rPr>
  </w:style>
  <w:style w:type="paragraph" w:customStyle="1" w:styleId="386">
    <w:name w:val="索引 61"/>
    <w:basedOn w:val="1"/>
    <w:next w:val="1"/>
    <w:qFormat/>
    <w:uiPriority w:val="0"/>
    <w:pPr>
      <w:spacing w:line="480" w:lineRule="exact"/>
      <w:ind w:left="1000" w:leftChars="1000" w:firstLine="200" w:firstLineChars="200"/>
      <w:jc w:val="left"/>
    </w:pPr>
    <w:rPr>
      <w:color w:val="7030A0"/>
      <w:sz w:val="24"/>
    </w:rPr>
  </w:style>
  <w:style w:type="paragraph" w:customStyle="1" w:styleId="387">
    <w:name w:val="样式 标题 4 + 段前: 自动"/>
    <w:basedOn w:val="5"/>
    <w:qFormat/>
    <w:uiPriority w:val="0"/>
    <w:pPr>
      <w:tabs>
        <w:tab w:val="left" w:pos="1062"/>
      </w:tabs>
      <w:spacing w:beforeLines="50" w:after="0" w:line="400" w:lineRule="exact"/>
      <w:ind w:left="1062" w:hanging="864"/>
    </w:pPr>
    <w:rPr>
      <w:rFonts w:ascii="宋体" w:hAnsi="Arial" w:cs="宋体"/>
      <w:sz w:val="24"/>
      <w:szCs w:val="24"/>
    </w:rPr>
  </w:style>
  <w:style w:type="paragraph" w:customStyle="1" w:styleId="38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89">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390">
    <w:name w:val="标书正文1"/>
    <w:basedOn w:val="1"/>
    <w:qFormat/>
    <w:uiPriority w:val="0"/>
    <w:pPr>
      <w:tabs>
        <w:tab w:val="left" w:pos="1438"/>
      </w:tabs>
      <w:spacing w:before="100" w:after="100" w:line="360" w:lineRule="auto"/>
      <w:ind w:left="1438" w:hanging="720"/>
    </w:pPr>
    <w:rPr>
      <w:rFonts w:ascii="宋体" w:hAnsi="宋体"/>
    </w:rPr>
  </w:style>
  <w:style w:type="paragraph" w:customStyle="1" w:styleId="391">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392">
    <w:name w:val="索引标题1"/>
    <w:basedOn w:val="1"/>
    <w:next w:val="338"/>
    <w:qFormat/>
    <w:uiPriority w:val="0"/>
  </w:style>
  <w:style w:type="paragraph" w:customStyle="1" w:styleId="393">
    <w:name w:val="列表框1"/>
    <w:basedOn w:val="309"/>
    <w:next w:val="309"/>
    <w:qFormat/>
    <w:uiPriority w:val="0"/>
    <w:pPr>
      <w:tabs>
        <w:tab w:val="left" w:pos="960"/>
        <w:tab w:val="left" w:pos="1314"/>
      </w:tabs>
      <w:snapToGrid w:val="0"/>
      <w:ind w:left="1328" w:leftChars="397" w:hanging="375" w:hangingChars="163"/>
    </w:pPr>
    <w:rPr>
      <w:rFonts w:cs="Arial"/>
    </w:rPr>
  </w:style>
  <w:style w:type="paragraph" w:customStyle="1" w:styleId="394">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5">
    <w:name w:val="表格"/>
    <w:basedOn w:val="1"/>
    <w:qFormat/>
    <w:uiPriority w:val="0"/>
    <w:pPr>
      <w:widowControl/>
      <w:snapToGrid w:val="0"/>
      <w:spacing w:before="60" w:after="60"/>
      <w:jc w:val="left"/>
    </w:pPr>
    <w:rPr>
      <w:rFonts w:ascii="宋体"/>
      <w:sz w:val="20"/>
      <w:szCs w:val="20"/>
    </w:rPr>
  </w:style>
  <w:style w:type="paragraph" w:customStyle="1" w:styleId="396">
    <w:name w:val="*正文"/>
    <w:basedOn w:val="1"/>
    <w:next w:val="1"/>
    <w:qFormat/>
    <w:uiPriority w:val="0"/>
    <w:pPr>
      <w:widowControl/>
      <w:ind w:firstLine="482"/>
    </w:pPr>
    <w:rPr>
      <w:rFonts w:ascii="微软雅黑" w:hAnsi="微软雅黑" w:eastAsia="微软雅黑"/>
      <w:sz w:val="21"/>
    </w:rPr>
  </w:style>
  <w:style w:type="paragraph" w:customStyle="1" w:styleId="397">
    <w:name w:val="样式 宋体 小四 首行缩进:  0.93 厘米 段前: 11.15 磅 段后: 11.15 磅1 Char"/>
    <w:basedOn w:val="1"/>
    <w:qFormat/>
    <w:uiPriority w:val="0"/>
    <w:pPr>
      <w:adjustRightInd w:val="0"/>
      <w:snapToGrid w:val="0"/>
      <w:ind w:left="200" w:leftChars="200" w:firstLine="200" w:firstLineChars="200"/>
      <w:jc w:val="left"/>
    </w:pPr>
    <w:rPr>
      <w:rFonts w:ascii="宋体"/>
      <w:color w:val="7030A0"/>
      <w:sz w:val="24"/>
      <w:szCs w:val="20"/>
    </w:rPr>
  </w:style>
  <w:style w:type="paragraph" w:customStyle="1" w:styleId="398">
    <w:name w:val="样式 左侧:  2 字符 首行缩进:  0.85 厘米"/>
    <w:basedOn w:val="1"/>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399">
    <w:name w:val="图文"/>
    <w:basedOn w:val="1"/>
    <w:qFormat/>
    <w:uiPriority w:val="0"/>
    <w:pPr>
      <w:adjustRightInd w:val="0"/>
      <w:snapToGrid w:val="0"/>
      <w:spacing w:after="50" w:line="360" w:lineRule="auto"/>
    </w:pPr>
    <w:rPr>
      <w:sz w:val="24"/>
    </w:rPr>
  </w:style>
  <w:style w:type="paragraph" w:customStyle="1" w:styleId="40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01">
    <w:name w:val="文本块1"/>
    <w:basedOn w:val="1"/>
    <w:qFormat/>
    <w:uiPriority w:val="0"/>
    <w:pPr>
      <w:tabs>
        <w:tab w:val="left" w:pos="8364"/>
      </w:tabs>
      <w:ind w:left="840" w:right="-57" w:hanging="300"/>
    </w:pPr>
    <w:rPr>
      <w:rFonts w:ascii="宋体"/>
      <w:szCs w:val="20"/>
    </w:rPr>
  </w:style>
  <w:style w:type="paragraph" w:customStyle="1" w:styleId="402">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403">
    <w:name w:val="Plain Text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404">
    <w:name w:val="Char Char Char Char Char Char Char Char"/>
    <w:basedOn w:val="1"/>
    <w:qFormat/>
    <w:uiPriority w:val="0"/>
    <w:pPr>
      <w:ind w:firstLine="200" w:firstLineChars="200"/>
      <w:jc w:val="left"/>
    </w:pPr>
    <w:rPr>
      <w:rFonts w:ascii="Tahoma" w:hAnsi="Tahoma"/>
      <w:color w:val="7030A0"/>
      <w:sz w:val="24"/>
      <w:szCs w:val="20"/>
    </w:rPr>
  </w:style>
  <w:style w:type="paragraph" w:customStyle="1" w:styleId="405">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406">
    <w:name w:val="xl60"/>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407">
    <w:name w:val="修订1"/>
    <w:qFormat/>
    <w:uiPriority w:val="0"/>
    <w:rPr>
      <w:rFonts w:ascii="Times New Roman" w:hAnsi="Times New Roman" w:eastAsia="宋体" w:cs="Times New Roman"/>
      <w:kern w:val="2"/>
      <w:sz w:val="21"/>
      <w:lang w:val="en-US" w:eastAsia="zh-CN" w:bidi="ar-SA"/>
    </w:rPr>
  </w:style>
  <w:style w:type="paragraph" w:customStyle="1" w:styleId="408">
    <w:name w:val="正文文本缩进 32"/>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409">
    <w:name w:val="小标题一"/>
    <w:basedOn w:val="1"/>
    <w:next w:val="1"/>
    <w:qFormat/>
    <w:uiPriority w:val="0"/>
    <w:pPr>
      <w:tabs>
        <w:tab w:val="left" w:pos="1080"/>
      </w:tabs>
      <w:spacing w:line="500" w:lineRule="exact"/>
      <w:ind w:left="1080" w:hanging="1080"/>
    </w:pPr>
    <w:rPr>
      <w:sz w:val="28"/>
      <w:szCs w:val="20"/>
    </w:rPr>
  </w:style>
  <w:style w:type="paragraph" w:customStyle="1" w:styleId="410">
    <w:name w:val="一"/>
    <w:basedOn w:val="2"/>
    <w:qFormat/>
    <w:uiPriority w:val="0"/>
    <w:pPr>
      <w:autoSpaceDE w:val="0"/>
      <w:autoSpaceDN w:val="0"/>
      <w:adjustRightInd w:val="0"/>
      <w:spacing w:before="0" w:after="0" w:line="360" w:lineRule="auto"/>
      <w:jc w:val="left"/>
    </w:pPr>
    <w:rPr>
      <w:rFonts w:ascii="宋体" w:hAnsi="宋体"/>
      <w:kern w:val="0"/>
      <w:sz w:val="28"/>
      <w:szCs w:val="20"/>
    </w:rPr>
  </w:style>
  <w:style w:type="paragraph" w:customStyle="1" w:styleId="411">
    <w:name w:val="批注框文本1"/>
    <w:basedOn w:val="1"/>
    <w:qFormat/>
    <w:uiPriority w:val="0"/>
    <w:rPr>
      <w:sz w:val="16"/>
      <w:szCs w:val="16"/>
    </w:rPr>
  </w:style>
  <w:style w:type="paragraph" w:customStyle="1" w:styleId="412">
    <w:name w:val="xl58"/>
    <w:basedOn w:val="1"/>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413">
    <w:name w:val="xl87"/>
    <w:basedOn w:val="1"/>
    <w:next w:val="322"/>
    <w:qFormat/>
    <w:uiPriority w:val="0"/>
    <w:pPr>
      <w:widowControl/>
      <w:shd w:val="clear" w:color="FFFFFF" w:fill="FFFFFF"/>
      <w:spacing w:before="280" w:after="280"/>
      <w:jc w:val="right"/>
    </w:pPr>
    <w:rPr>
      <w:rFonts w:ascii="宋体"/>
      <w:kern w:val="0"/>
      <w:sz w:val="24"/>
    </w:rPr>
  </w:style>
  <w:style w:type="paragraph" w:customStyle="1" w:styleId="414">
    <w:name w:val="正文文本 211"/>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41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16">
    <w:name w:val="Char Char10 Char Char Char Char"/>
    <w:basedOn w:val="1"/>
    <w:next w:val="413"/>
    <w:qFormat/>
    <w:uiPriority w:val="0"/>
    <w:rPr>
      <w:rFonts w:ascii="Calibri" w:hAnsi="Calibri"/>
      <w:kern w:val="0"/>
    </w:rPr>
  </w:style>
  <w:style w:type="paragraph" w:customStyle="1" w:styleId="417">
    <w:name w:val="样式 标题 2标题 1.1head:2#2 headlinehheadlineS&amp;R2ERMH2Head 2 +..."/>
    <w:basedOn w:val="3"/>
    <w:qFormat/>
    <w:uiPriority w:val="0"/>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418">
    <w:name w:val="xl24"/>
    <w:basedOn w:val="1"/>
    <w:qFormat/>
    <w:uiPriority w:val="0"/>
    <w:pPr>
      <w:widowControl/>
      <w:spacing w:before="100" w:beforeAutospacing="1" w:after="100" w:afterAutospacing="1"/>
      <w:jc w:val="left"/>
    </w:pPr>
    <w:rPr>
      <w:kern w:val="0"/>
      <w:sz w:val="24"/>
    </w:rPr>
  </w:style>
  <w:style w:type="paragraph" w:customStyle="1" w:styleId="419">
    <w:name w:val="Char Char Char Char"/>
    <w:basedOn w:val="193"/>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420">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421">
    <w:name w:val="五级条标题"/>
    <w:basedOn w:val="256"/>
    <w:next w:val="1"/>
    <w:qFormat/>
    <w:uiPriority w:val="0"/>
    <w:pPr>
      <w:outlineLvl w:val="6"/>
    </w:pPr>
  </w:style>
  <w:style w:type="paragraph" w:customStyle="1" w:styleId="422">
    <w:name w:val="招标文件1.1.1.1"/>
    <w:basedOn w:val="1"/>
    <w:qFormat/>
    <w:uiPriority w:val="0"/>
    <w:pPr>
      <w:spacing w:before="120" w:after="120" w:line="480" w:lineRule="exact"/>
      <w:ind w:left="200" w:firstLine="200" w:firstLineChars="200"/>
      <w:jc w:val="left"/>
      <w:outlineLvl w:val="4"/>
    </w:pPr>
    <w:rPr>
      <w:rFonts w:ascii="宋体"/>
      <w:b/>
      <w:color w:val="7030A0"/>
      <w:spacing w:val="10"/>
      <w:w w:val="95"/>
    </w:rPr>
  </w:style>
  <w:style w:type="paragraph" w:customStyle="1" w:styleId="423">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424">
    <w:name w:val="p0"/>
    <w:basedOn w:val="1"/>
    <w:next w:val="34"/>
    <w:qFormat/>
    <w:uiPriority w:val="0"/>
    <w:pPr>
      <w:widowControl/>
    </w:pPr>
    <w:rPr>
      <w:kern w:val="0"/>
      <w:szCs w:val="21"/>
    </w:rPr>
  </w:style>
  <w:style w:type="paragraph" w:customStyle="1" w:styleId="425">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426">
    <w:name w:val="样式 标题 3 + (中文) 黑体 小四 非加粗 段前: 7.8 磅 段后: 0 磅 行距: 固定值 20 磅"/>
    <w:basedOn w:val="4"/>
    <w:qFormat/>
    <w:uiPriority w:val="0"/>
    <w:pPr>
      <w:spacing w:line="400" w:lineRule="exact"/>
      <w:ind w:firstLine="200" w:firstLineChars="200"/>
    </w:pPr>
    <w:rPr>
      <w:rFonts w:eastAsia="黑体" w:cs="宋体"/>
      <w:b w:val="0"/>
      <w:szCs w:val="20"/>
    </w:rPr>
  </w:style>
  <w:style w:type="paragraph" w:customStyle="1" w:styleId="427">
    <w:name w:val="级别6"/>
    <w:basedOn w:val="370"/>
    <w:qFormat/>
    <w:uiPriority w:val="0"/>
    <w:pPr>
      <w:tabs>
        <w:tab w:val="left" w:pos="405"/>
      </w:tabs>
      <w:ind w:left="409" w:hanging="23"/>
      <w:outlineLvl w:val="5"/>
    </w:pPr>
  </w:style>
  <w:style w:type="paragraph" w:customStyle="1" w:styleId="428">
    <w:name w:val="样式 标题2 + 字距调整8 磅"/>
    <w:qFormat/>
    <w:uiPriority w:val="0"/>
    <w:rPr>
      <w:rFonts w:ascii="Times New Roman" w:hAnsi="Times New Roman" w:eastAsia="宋体" w:cs="Times New Roman"/>
      <w:kern w:val="16"/>
      <w:lang w:val="en-US" w:eastAsia="zh-CN" w:bidi="ar-SA"/>
    </w:rPr>
  </w:style>
  <w:style w:type="paragraph" w:customStyle="1" w:styleId="429">
    <w:name w:val="章节标题 QD3"/>
    <w:basedOn w:val="190"/>
    <w:next w:val="190"/>
    <w:qFormat/>
    <w:uiPriority w:val="0"/>
    <w:pPr>
      <w:ind w:firstLine="0" w:firstLineChars="0"/>
      <w:jc w:val="center"/>
    </w:pPr>
    <w:rPr>
      <w:rFonts w:eastAsia="黑体"/>
      <w:b/>
      <w:sz w:val="44"/>
      <w:szCs w:val="84"/>
    </w:rPr>
  </w:style>
  <w:style w:type="paragraph" w:customStyle="1" w:styleId="430">
    <w:name w:val="无间隔1"/>
    <w:qFormat/>
    <w:uiPriority w:val="0"/>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431">
    <w:name w:val="样式 目录 1"/>
    <w:basedOn w:val="41"/>
    <w:qFormat/>
    <w:uiPriority w:val="0"/>
    <w:pPr>
      <w:tabs>
        <w:tab w:val="left" w:pos="420"/>
        <w:tab w:val="left" w:pos="525"/>
        <w:tab w:val="left" w:pos="1680"/>
        <w:tab w:val="right" w:leader="dot" w:pos="8495"/>
        <w:tab w:val="right" w:pos="9060"/>
        <w:tab w:val="clear" w:pos="8778"/>
      </w:tabs>
      <w:snapToGrid/>
      <w:spacing w:line="240" w:lineRule="auto"/>
      <w:ind w:left="525" w:hanging="425"/>
    </w:pPr>
    <w:rPr>
      <w:bCs w:val="0"/>
      <w:iCs w:val="0"/>
      <w:caps w:val="0"/>
      <w:color w:val="7030A0"/>
      <w:kern w:val="2"/>
      <w:sz w:val="21"/>
      <w:szCs w:val="20"/>
    </w:rPr>
  </w:style>
  <w:style w:type="paragraph" w:customStyle="1" w:styleId="432">
    <w:name w:val="正文文本缩进 22"/>
    <w:basedOn w:val="1"/>
    <w:qFormat/>
    <w:uiPriority w:val="0"/>
    <w:pPr>
      <w:autoSpaceDE w:val="0"/>
      <w:autoSpaceDN w:val="0"/>
      <w:adjustRightInd w:val="0"/>
      <w:ind w:firstLine="420" w:firstLineChars="200"/>
      <w:jc w:val="left"/>
      <w:textAlignment w:val="baseline"/>
    </w:pPr>
    <w:rPr>
      <w:color w:val="7030A0"/>
      <w:szCs w:val="20"/>
    </w:rPr>
  </w:style>
  <w:style w:type="paragraph" w:customStyle="1" w:styleId="433">
    <w:name w:val="表格内文字"/>
    <w:basedOn w:val="1"/>
    <w:qFormat/>
    <w:uiPriority w:val="0"/>
    <w:pPr>
      <w:widowControl/>
      <w:tabs>
        <w:tab w:val="left" w:pos="780"/>
      </w:tabs>
      <w:spacing w:line="360" w:lineRule="auto"/>
      <w:ind w:left="768" w:hanging="360"/>
    </w:pPr>
    <w:rPr>
      <w:sz w:val="18"/>
      <w:szCs w:val="20"/>
    </w:rPr>
  </w:style>
  <w:style w:type="paragraph" w:customStyle="1" w:styleId="43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435">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436">
    <w:name w:val="图表目录1"/>
    <w:basedOn w:val="1"/>
    <w:next w:val="1"/>
    <w:qFormat/>
    <w:uiPriority w:val="0"/>
    <w:pPr>
      <w:spacing w:line="480" w:lineRule="exact"/>
      <w:ind w:left="200" w:leftChars="200" w:hanging="200" w:hangingChars="200"/>
      <w:jc w:val="left"/>
    </w:pPr>
    <w:rPr>
      <w:color w:val="7030A0"/>
      <w:sz w:val="24"/>
    </w:rPr>
  </w:style>
  <w:style w:type="paragraph" w:customStyle="1" w:styleId="437">
    <w:name w:val="xl57"/>
    <w:basedOn w:val="1"/>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438">
    <w:name w:val="文档正文"/>
    <w:basedOn w:val="1"/>
    <w:qFormat/>
    <w:uiPriority w:val="0"/>
    <w:pPr>
      <w:spacing w:line="360" w:lineRule="auto"/>
      <w:ind w:firstLine="200" w:firstLineChars="200"/>
    </w:pPr>
    <w:rPr>
      <w:rFonts w:ascii="宋体" w:hAnsi="宋体"/>
      <w:sz w:val="24"/>
    </w:rPr>
  </w:style>
  <w:style w:type="paragraph" w:customStyle="1" w:styleId="439">
    <w:name w:val="Char Char Char Char Char Char Char Char1"/>
    <w:basedOn w:val="1"/>
    <w:qFormat/>
    <w:uiPriority w:val="0"/>
    <w:pPr>
      <w:ind w:firstLine="200" w:firstLineChars="200"/>
      <w:jc w:val="left"/>
    </w:pPr>
    <w:rPr>
      <w:rFonts w:ascii="Tahoma" w:hAnsi="Tahoma"/>
      <w:color w:val="7030A0"/>
      <w:sz w:val="24"/>
      <w:szCs w:val="20"/>
    </w:rPr>
  </w:style>
  <w:style w:type="paragraph" w:customStyle="1" w:styleId="44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41">
    <w:name w:val="招标文件1"/>
    <w:basedOn w:val="1"/>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442">
    <w:name w:val="1"/>
    <w:basedOn w:val="1"/>
    <w:next w:val="204"/>
    <w:qFormat/>
    <w:uiPriority w:val="0"/>
    <w:pPr>
      <w:spacing w:after="120" w:line="480" w:lineRule="auto"/>
      <w:ind w:firstLine="200" w:firstLineChars="200"/>
      <w:jc w:val="left"/>
    </w:pPr>
    <w:rPr>
      <w:color w:val="7030A0"/>
    </w:rPr>
  </w:style>
  <w:style w:type="paragraph" w:customStyle="1" w:styleId="443">
    <w:name w:val="xl44"/>
    <w:basedOn w:val="1"/>
    <w:qFormat/>
    <w:uiPriority w:val="0"/>
    <w:pPr>
      <w:widowControl/>
      <w:pBdr>
        <w:right w:val="single" w:color="auto" w:sz="4" w:space="0"/>
      </w:pBdr>
      <w:spacing w:before="100" w:after="100"/>
      <w:ind w:firstLine="200" w:firstLineChars="200"/>
      <w:jc w:val="center"/>
    </w:pPr>
    <w:rPr>
      <w:rFonts w:ascii="宋体" w:hAnsi="宋体"/>
      <w:color w:val="7030A0"/>
      <w:kern w:val="0"/>
      <w:sz w:val="24"/>
      <w:szCs w:val="20"/>
    </w:rPr>
  </w:style>
  <w:style w:type="paragraph" w:customStyle="1" w:styleId="444">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44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46">
    <w:name w:val="样式 标题 4 + 加粗"/>
    <w:basedOn w:val="5"/>
    <w:qFormat/>
    <w:uiPriority w:val="0"/>
    <w:pPr>
      <w:spacing w:before="120" w:after="0" w:line="240" w:lineRule="auto"/>
      <w:jc w:val="left"/>
    </w:pPr>
    <w:rPr>
      <w:rFonts w:ascii="Times New Roman" w:hAnsi="Times New Roman"/>
      <w:b w:val="0"/>
      <w:color w:val="00B050"/>
      <w:sz w:val="24"/>
    </w:rPr>
  </w:style>
  <w:style w:type="paragraph" w:customStyle="1" w:styleId="447">
    <w:name w:val="Char Char Char Char Char Char1 Char Char Char Char"/>
    <w:basedOn w:val="1"/>
    <w:qFormat/>
    <w:uiPriority w:val="0"/>
    <w:rPr>
      <w:rFonts w:ascii="仿宋_GB2312" w:eastAsia="仿宋_GB2312"/>
      <w:b/>
      <w:sz w:val="32"/>
      <w:szCs w:val="32"/>
    </w:rPr>
  </w:style>
  <w:style w:type="paragraph" w:customStyle="1" w:styleId="448">
    <w:name w:val="引文目录1"/>
    <w:basedOn w:val="1"/>
    <w:next w:val="1"/>
    <w:qFormat/>
    <w:uiPriority w:val="0"/>
    <w:pPr>
      <w:spacing w:line="480" w:lineRule="exact"/>
      <w:ind w:left="420" w:leftChars="200" w:firstLine="200" w:firstLineChars="200"/>
      <w:jc w:val="left"/>
    </w:pPr>
    <w:rPr>
      <w:color w:val="7030A0"/>
      <w:sz w:val="24"/>
    </w:rPr>
  </w:style>
  <w:style w:type="paragraph" w:customStyle="1" w:styleId="449">
    <w:name w:val="Sub title 1"/>
    <w:basedOn w:val="76"/>
    <w:qFormat/>
    <w:uiPriority w:val="0"/>
    <w:pPr>
      <w:tabs>
        <w:tab w:val="left" w:pos="1304"/>
      </w:tabs>
      <w:ind w:left="1304" w:hanging="170"/>
    </w:pPr>
    <w:rPr>
      <w:color w:val="auto"/>
    </w:rPr>
  </w:style>
  <w:style w:type="paragraph" w:customStyle="1" w:styleId="450">
    <w:name w:val="投标正文"/>
    <w:basedOn w:val="1"/>
    <w:qFormat/>
    <w:uiPriority w:val="0"/>
    <w:pPr>
      <w:spacing w:line="360" w:lineRule="auto"/>
      <w:ind w:firstLine="200" w:firstLineChars="200"/>
      <w:jc w:val="left"/>
    </w:pPr>
    <w:rPr>
      <w:rFonts w:eastAsia="黑体"/>
      <w:color w:val="7030A0"/>
      <w:spacing w:val="20"/>
      <w:sz w:val="32"/>
      <w:szCs w:val="32"/>
    </w:rPr>
  </w:style>
  <w:style w:type="paragraph" w:customStyle="1" w:styleId="451">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452">
    <w:name w:val="样式3"/>
    <w:basedOn w:val="4"/>
    <w:next w:val="1"/>
    <w:qFormat/>
    <w:uiPriority w:val="0"/>
    <w:pPr>
      <w:tabs>
        <w:tab w:val="left" w:pos="709"/>
      </w:tabs>
      <w:spacing w:before="0" w:after="0" w:line="240" w:lineRule="auto"/>
      <w:ind w:left="709" w:hanging="709"/>
      <w:jc w:val="left"/>
    </w:pPr>
    <w:rPr>
      <w:rFonts w:ascii="Tahoma" w:hAnsi="Tahoma"/>
      <w:b w:val="0"/>
      <w:bCs w:val="0"/>
      <w:sz w:val="28"/>
      <w:szCs w:val="20"/>
    </w:rPr>
  </w:style>
  <w:style w:type="paragraph" w:customStyle="1" w:styleId="453">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454">
    <w:name w:val="八级正文格式"/>
    <w:basedOn w:val="117"/>
    <w:qFormat/>
    <w:uiPriority w:val="0"/>
    <w:pPr>
      <w:spacing w:after="120"/>
      <w:ind w:firstLine="0" w:firstLineChars="0"/>
    </w:pPr>
  </w:style>
  <w:style w:type="paragraph" w:customStyle="1" w:styleId="455">
    <w:name w:val="文档结构图11"/>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456">
    <w:name w:val="三点段 Char"/>
    <w:basedOn w:val="1"/>
    <w:qFormat/>
    <w:uiPriority w:val="0"/>
    <w:pPr>
      <w:spacing w:line="360" w:lineRule="auto"/>
      <w:ind w:left="1200" w:hanging="1200" w:hangingChars="500"/>
    </w:pPr>
    <w:rPr>
      <w:rFonts w:hint="eastAsia" w:ascii="宋体"/>
      <w:sz w:val="24"/>
    </w:rPr>
  </w:style>
  <w:style w:type="paragraph" w:customStyle="1" w:styleId="457">
    <w:name w:val="引文目录标题1"/>
    <w:basedOn w:val="1"/>
    <w:next w:val="1"/>
    <w:qFormat/>
    <w:uiPriority w:val="0"/>
    <w:pPr>
      <w:spacing w:before="120"/>
    </w:pPr>
    <w:rPr>
      <w:rFonts w:ascii="Arial" w:hAnsi="Arial" w:cs="Arial"/>
      <w:sz w:val="24"/>
    </w:rPr>
  </w:style>
  <w:style w:type="paragraph" w:customStyle="1" w:styleId="458">
    <w:name w:val="索引 41"/>
    <w:basedOn w:val="1"/>
    <w:next w:val="1"/>
    <w:qFormat/>
    <w:uiPriority w:val="0"/>
    <w:pPr>
      <w:spacing w:line="480" w:lineRule="exact"/>
      <w:ind w:left="600" w:leftChars="600" w:firstLine="200" w:firstLineChars="200"/>
      <w:jc w:val="left"/>
    </w:pPr>
    <w:rPr>
      <w:color w:val="7030A0"/>
      <w:sz w:val="24"/>
    </w:rPr>
  </w:style>
  <w:style w:type="paragraph" w:customStyle="1" w:styleId="459">
    <w:name w:val="1.1"/>
    <w:basedOn w:val="3"/>
    <w:qFormat/>
    <w:uiPriority w:val="0"/>
    <w:pPr>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46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461">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462">
    <w:name w:val="级别1"/>
    <w:basedOn w:val="2"/>
    <w:qFormat/>
    <w:uiPriority w:val="0"/>
    <w:pPr>
      <w:tabs>
        <w:tab w:val="left" w:pos="-1620"/>
        <w:tab w:val="clear" w:pos="1440"/>
      </w:tabs>
      <w:adjustRightInd w:val="0"/>
      <w:snapToGrid w:val="0"/>
      <w:spacing w:before="0" w:after="0" w:line="360" w:lineRule="auto"/>
      <w:ind w:left="2098" w:hanging="2098"/>
    </w:pPr>
    <w:rPr>
      <w:rFonts w:ascii="宋体" w:hAnsi="宋体"/>
      <w:bCs w:val="0"/>
      <w:sz w:val="28"/>
      <w:szCs w:val="28"/>
    </w:rPr>
  </w:style>
  <w:style w:type="paragraph" w:customStyle="1" w:styleId="463">
    <w:name w:val="列表编号 21"/>
    <w:basedOn w:val="1"/>
    <w:qFormat/>
    <w:uiPriority w:val="0"/>
    <w:pPr>
      <w:tabs>
        <w:tab w:val="left" w:pos="780"/>
      </w:tabs>
      <w:spacing w:line="360" w:lineRule="auto"/>
      <w:ind w:left="780" w:hanging="360"/>
      <w:jc w:val="left"/>
    </w:pPr>
    <w:rPr>
      <w:rFonts w:ascii="宋体" w:hAnsi="宋体"/>
      <w:color w:val="7030A0"/>
      <w:sz w:val="24"/>
      <w:szCs w:val="20"/>
    </w:rPr>
  </w:style>
  <w:style w:type="paragraph" w:customStyle="1" w:styleId="464">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465">
    <w:name w:val="六级标题格式"/>
    <w:basedOn w:val="1"/>
    <w:qFormat/>
    <w:uiPriority w:val="0"/>
    <w:pPr>
      <w:spacing w:afterLines="50" w:line="336" w:lineRule="auto"/>
      <w:ind w:firstLine="200" w:firstLineChars="200"/>
      <w:jc w:val="left"/>
      <w:outlineLvl w:val="5"/>
    </w:pPr>
    <w:rPr>
      <w:color w:val="7030A0"/>
      <w:sz w:val="24"/>
    </w:rPr>
  </w:style>
  <w:style w:type="paragraph" w:customStyle="1" w:styleId="466">
    <w:name w:val="正文3"/>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467">
    <w:name w:val="正缩2字符"/>
    <w:basedOn w:val="1"/>
    <w:qFormat/>
    <w:uiPriority w:val="0"/>
    <w:pPr>
      <w:spacing w:line="480" w:lineRule="exact"/>
      <w:ind w:firstLine="200" w:firstLineChars="200"/>
    </w:pPr>
    <w:rPr>
      <w:sz w:val="24"/>
    </w:rPr>
  </w:style>
  <w:style w:type="paragraph" w:customStyle="1" w:styleId="468">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469">
    <w:name w:val="Report Level 2"/>
    <w:basedOn w:val="235"/>
    <w:next w:val="236"/>
    <w:qFormat/>
    <w:uiPriority w:val="0"/>
    <w:pPr>
      <w:tabs>
        <w:tab w:val="left" w:pos="1500"/>
        <w:tab w:val="clear" w:pos="1080"/>
      </w:tabs>
      <w:ind w:left="1500"/>
      <w:outlineLvl w:val="1"/>
    </w:pPr>
    <w:rPr>
      <w:caps w:val="0"/>
    </w:rPr>
  </w:style>
  <w:style w:type="paragraph" w:customStyle="1" w:styleId="470">
    <w:name w:val="默认段落字体 Para Char Char Char Char Char Char Char"/>
    <w:basedOn w:val="1"/>
    <w:qFormat/>
    <w:uiPriority w:val="0"/>
    <w:pPr>
      <w:tabs>
        <w:tab w:val="left" w:pos="4665"/>
        <w:tab w:val="left" w:pos="8970"/>
      </w:tabs>
      <w:ind w:firstLine="400"/>
    </w:pPr>
    <w:rPr>
      <w:szCs w:val="20"/>
    </w:rPr>
  </w:style>
  <w:style w:type="paragraph" w:customStyle="1" w:styleId="471">
    <w:name w:val="zhengwen"/>
    <w:basedOn w:val="1"/>
    <w:qFormat/>
    <w:uiPriority w:val="0"/>
    <w:pPr>
      <w:tabs>
        <w:tab w:val="left" w:pos="1077"/>
      </w:tabs>
      <w:adjustRightInd w:val="0"/>
      <w:snapToGrid w:val="0"/>
      <w:spacing w:line="520" w:lineRule="exact"/>
      <w:ind w:left="1077" w:firstLine="200" w:firstLineChars="200"/>
      <w:jc w:val="left"/>
    </w:pPr>
    <w:rPr>
      <w:bCs/>
      <w:color w:val="7030A0"/>
      <w:sz w:val="28"/>
    </w:rPr>
  </w:style>
  <w:style w:type="paragraph" w:customStyle="1" w:styleId="472">
    <w:name w:val="正文2"/>
    <w:basedOn w:val="23"/>
    <w:qFormat/>
    <w:uiPriority w:val="0"/>
    <w:pPr>
      <w:ind w:firstLine="480" w:firstLineChars="200"/>
      <w:jc w:val="left"/>
    </w:pPr>
    <w:rPr>
      <w:rFonts w:ascii="宋体"/>
      <w:color w:val="7030A0"/>
    </w:rPr>
  </w:style>
  <w:style w:type="paragraph" w:customStyle="1" w:styleId="473">
    <w:name w:val="附图 BJ8"/>
    <w:basedOn w:val="1"/>
    <w:qFormat/>
    <w:uiPriority w:val="0"/>
    <w:pPr>
      <w:adjustRightInd w:val="0"/>
      <w:snapToGrid w:val="0"/>
      <w:ind w:firstLine="200" w:firstLineChars="200"/>
      <w:jc w:val="center"/>
    </w:pPr>
    <w:rPr>
      <w:rFonts w:hAnsi="Arial"/>
      <w:color w:val="7030A0"/>
      <w:kern w:val="0"/>
    </w:rPr>
  </w:style>
  <w:style w:type="paragraph" w:customStyle="1" w:styleId="474">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475">
    <w:name w:val="标书正文"/>
    <w:basedOn w:val="1"/>
    <w:qFormat/>
    <w:uiPriority w:val="0"/>
    <w:pPr>
      <w:spacing w:before="100" w:after="100" w:line="440" w:lineRule="atLeast"/>
      <w:ind w:left="176" w:firstLine="200" w:firstLineChars="200"/>
      <w:jc w:val="left"/>
    </w:pPr>
    <w:rPr>
      <w:rFonts w:ascii="宋体" w:hAnsi="宋体"/>
      <w:color w:val="7030A0"/>
      <w:spacing w:val="20"/>
      <w:sz w:val="24"/>
    </w:rPr>
  </w:style>
  <w:style w:type="paragraph" w:customStyle="1" w:styleId="476">
    <w:name w:val="Body text 1"/>
    <w:basedOn w:val="1"/>
    <w:qFormat/>
    <w:uiPriority w:val="0"/>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477">
    <w:name w:val="索引 71"/>
    <w:basedOn w:val="1"/>
    <w:next w:val="1"/>
    <w:qFormat/>
    <w:uiPriority w:val="0"/>
    <w:pPr>
      <w:spacing w:line="480" w:lineRule="exact"/>
      <w:ind w:left="1200" w:leftChars="1200" w:firstLine="200" w:firstLineChars="200"/>
      <w:jc w:val="left"/>
    </w:pPr>
    <w:rPr>
      <w:color w:val="7030A0"/>
      <w:sz w:val="24"/>
    </w:rPr>
  </w:style>
  <w:style w:type="paragraph" w:customStyle="1" w:styleId="478">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479">
    <w:name w:val="Char2"/>
    <w:basedOn w:val="1"/>
    <w:qFormat/>
    <w:uiPriority w:val="0"/>
    <w:pPr>
      <w:widowControl/>
      <w:spacing w:after="160" w:line="240" w:lineRule="exact"/>
      <w:ind w:firstLine="200" w:firstLineChars="200"/>
      <w:jc w:val="left"/>
    </w:pPr>
    <w:rPr>
      <w:rFonts w:ascii="Verdana" w:hAnsi="Verdana" w:eastAsia="仿宋_GB2312"/>
      <w:color w:val="7030A0"/>
      <w:kern w:val="0"/>
      <w:sz w:val="24"/>
      <w:szCs w:val="20"/>
      <w:lang w:eastAsia="en-US"/>
    </w:rPr>
  </w:style>
  <w:style w:type="paragraph" w:customStyle="1" w:styleId="480">
    <w:name w:val="样式 样式 正文（首行缩进两字） + 宋体 小四 首行缩进:  0 厘米 段前: 11.15 磅 段后: 11.15 磅 + 左...1"/>
    <w:basedOn w:val="1"/>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48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table" w:customStyle="1" w:styleId="482">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483">
    <w:name w:val="Body text|1"/>
    <w:basedOn w:val="1"/>
    <w:qFormat/>
    <w:uiPriority w:val="0"/>
    <w:pPr>
      <w:widowControl w:val="0"/>
      <w:shd w:val="clear" w:color="auto" w:fill="auto"/>
      <w:spacing w:line="456" w:lineRule="auto"/>
      <w:ind w:firstLine="400"/>
    </w:pPr>
    <w:rPr>
      <w:rFonts w:ascii="宋体" w:hAnsi="宋体" w:eastAsia="宋体" w:cs="宋体"/>
      <w:sz w:val="28"/>
      <w:szCs w:val="28"/>
      <w:u w:val="none"/>
      <w:shd w:val="clear" w:color="auto" w:fill="auto"/>
      <w:lang w:val="zh-TW" w:eastAsia="zh-TW" w:bidi="zh-TW"/>
    </w:rPr>
  </w:style>
  <w:style w:type="paragraph" w:customStyle="1" w:styleId="484">
    <w:name w:val="Heading 31"/>
    <w:basedOn w:val="1"/>
    <w:qFormat/>
    <w:uiPriority w:val="0"/>
    <w:pPr>
      <w:ind w:left="237" w:right="108"/>
      <w:outlineLvl w:val="3"/>
    </w:pPr>
    <w:rPr>
      <w:rFonts w:ascii="Times New Roman" w:hAnsi="Times New Roman" w:eastAsia="宋体" w:cs="Times New Roman"/>
      <w:sz w:val="28"/>
      <w:szCs w:val="28"/>
    </w:rPr>
  </w:style>
  <w:style w:type="paragraph" w:customStyle="1" w:styleId="485">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13015</Words>
  <Characters>14533</Characters>
  <Lines>199</Lines>
  <Paragraphs>56</Paragraphs>
  <TotalTime>26</TotalTime>
  <ScaleCrop>false</ScaleCrop>
  <LinksUpToDate>false</LinksUpToDate>
  <CharactersWithSpaces>14712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2022-10-16T12:05:00Z</dcterms:created>
  <dc:creator>wmq</dc:creator>
  <cp:lastModifiedBy>NTKO</cp:lastModifiedBy>
  <cp:lastPrinted>2024-11-04T07:21:00Z</cp:lastPrinted>
  <dcterms:modified xsi:type="dcterms:W3CDTF">2024-11-04T07:56:34Z</dcterms:modified>
  <dc:title>适用一般货物采购/非建筑设备货物采购含安装等伴随服务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09D2F9367A894F5DA0081D81FBF1A999_13</vt:lpwstr>
  </property>
</Properties>
</file>