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2F13">
      <w:pPr>
        <w:wordWrap w:val="0"/>
        <w:spacing w:line="360" w:lineRule="auto"/>
        <w:jc w:val="center"/>
        <w:rPr>
          <w:rFonts w:hint="eastAsia" w:ascii="宋体" w:hAnsi="宋体" w:eastAsia="宋体" w:cs="宋体"/>
          <w:b/>
          <w:sz w:val="56"/>
          <w:szCs w:val="144"/>
          <w:lang w:eastAsia="zh-CN"/>
        </w:rPr>
      </w:pPr>
    </w:p>
    <w:p w14:paraId="763C4CF5">
      <w:pPr>
        <w:wordWrap w:val="0"/>
        <w:spacing w:line="360" w:lineRule="auto"/>
        <w:jc w:val="center"/>
        <w:rPr>
          <w:rFonts w:hint="eastAsia" w:ascii="宋体" w:hAnsi="宋体" w:eastAsia="宋体" w:cs="宋体"/>
          <w:b/>
          <w:sz w:val="56"/>
          <w:szCs w:val="144"/>
          <w:lang w:eastAsia="zh-CN"/>
        </w:rPr>
      </w:pPr>
      <w:r>
        <w:rPr>
          <w:rFonts w:hint="eastAsia" w:ascii="宋体" w:hAnsi="宋体" w:eastAsia="宋体" w:cs="宋体"/>
          <w:b/>
          <w:sz w:val="56"/>
          <w:szCs w:val="144"/>
          <w:lang w:eastAsia="zh-CN"/>
        </w:rPr>
        <w:t>固始县公安局</w:t>
      </w:r>
    </w:p>
    <w:p w14:paraId="39ADE588">
      <w:pPr>
        <w:wordWrap w:val="0"/>
        <w:spacing w:line="360" w:lineRule="auto"/>
        <w:jc w:val="center"/>
        <w:rPr>
          <w:rFonts w:ascii="宋体" w:hAnsi="宋体" w:cs="宋体"/>
          <w:szCs w:val="21"/>
        </w:rPr>
      </w:pPr>
      <w:r>
        <w:rPr>
          <w:rFonts w:hint="eastAsia" w:ascii="宋体" w:hAnsi="宋体" w:eastAsia="宋体" w:cs="宋体"/>
          <w:b/>
          <w:sz w:val="56"/>
          <w:szCs w:val="144"/>
          <w:lang w:eastAsia="zh-CN"/>
        </w:rPr>
        <w:t>采购一台不间断电源(UPS)系统项目竞争性磋商文件</w:t>
      </w:r>
    </w:p>
    <w:p w14:paraId="01165B8C">
      <w:pPr>
        <w:wordWrap w:val="0"/>
        <w:spacing w:line="360" w:lineRule="auto"/>
        <w:jc w:val="center"/>
        <w:rPr>
          <w:rFonts w:hint="eastAsia" w:ascii="宋体" w:hAnsi="宋体" w:cs="宋体"/>
          <w:b/>
          <w:sz w:val="32"/>
          <w:szCs w:val="32"/>
        </w:rPr>
      </w:pPr>
    </w:p>
    <w:p w14:paraId="684FE9D1">
      <w:pPr>
        <w:wordWrap w:val="0"/>
        <w:spacing w:line="360" w:lineRule="auto"/>
        <w:jc w:val="center"/>
        <w:rPr>
          <w:rFonts w:hint="default" w:ascii="宋体" w:hAnsi="宋体" w:eastAsia="宋体" w:cs="宋体"/>
          <w:b/>
          <w:sz w:val="32"/>
          <w:szCs w:val="32"/>
          <w:highlight w:val="none"/>
          <w:lang w:val="en-US" w:eastAsia="zh-CN"/>
        </w:rPr>
      </w:pPr>
      <w:r>
        <w:rPr>
          <w:rFonts w:hint="eastAsia" w:ascii="宋体" w:hAnsi="宋体" w:cs="宋体"/>
          <w:b/>
          <w:sz w:val="32"/>
          <w:szCs w:val="32"/>
        </w:rPr>
        <w:t>采购编</w:t>
      </w:r>
      <w:r>
        <w:rPr>
          <w:rFonts w:hint="eastAsia" w:ascii="宋体" w:hAnsi="宋体" w:cs="宋体"/>
          <w:b/>
          <w:sz w:val="32"/>
          <w:szCs w:val="32"/>
          <w:highlight w:val="none"/>
        </w:rPr>
        <w:t>号：</w:t>
      </w:r>
      <w:r>
        <w:rPr>
          <w:rFonts w:hint="eastAsia" w:ascii="宋体" w:hAnsi="宋体" w:cs="宋体"/>
          <w:b/>
          <w:color w:val="auto"/>
          <w:sz w:val="32"/>
          <w:szCs w:val="32"/>
          <w:highlight w:val="none"/>
          <w:lang w:eastAsia="zh-CN"/>
        </w:rPr>
        <w:t>固财磋商采购-202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1</w:t>
      </w:r>
    </w:p>
    <w:p w14:paraId="2FF756A2">
      <w:pPr>
        <w:bidi w:val="0"/>
      </w:pPr>
    </w:p>
    <w:p w14:paraId="28D4B1CC">
      <w:pPr>
        <w:pStyle w:val="24"/>
        <w:ind w:left="0" w:leftChars="0" w:firstLine="0" w:firstLineChars="0"/>
        <w:jc w:val="center"/>
        <w:rPr>
          <w:rFonts w:ascii="宋体" w:hAnsi="宋体" w:cs="宋体"/>
          <w:b/>
          <w:sz w:val="30"/>
          <w:szCs w:val="30"/>
        </w:rPr>
      </w:pPr>
      <w:r>
        <w:rPr>
          <w:rFonts w:hint="eastAsia" w:ascii="宋体" w:hAnsi="宋体" w:eastAsia="宋体" w:cs="宋体"/>
          <w:color w:val="auto"/>
          <w:highlight w:val="none"/>
          <w:lang w:eastAsia="zh-CN"/>
        </w:rPr>
        <w:drawing>
          <wp:inline distT="0" distB="0" distL="114300" distR="114300">
            <wp:extent cx="2051050" cy="2051050"/>
            <wp:effectExtent l="0" t="0" r="0" b="0"/>
            <wp:docPr id="11" name="图片 11" descr="采购中心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采购中心标识"/>
                    <pic:cNvPicPr>
                      <a:picLocks noChangeAspect="1"/>
                    </pic:cNvPicPr>
                  </pic:nvPicPr>
                  <pic:blipFill>
                    <a:blip r:embed="rId19"/>
                    <a:stretch>
                      <a:fillRect/>
                    </a:stretch>
                  </pic:blipFill>
                  <pic:spPr>
                    <a:xfrm>
                      <a:off x="0" y="0"/>
                      <a:ext cx="2051050" cy="2051050"/>
                    </a:xfrm>
                    <a:prstGeom prst="rect">
                      <a:avLst/>
                    </a:prstGeom>
                  </pic:spPr>
                </pic:pic>
              </a:graphicData>
            </a:graphic>
          </wp:inline>
        </w:drawing>
      </w:r>
    </w:p>
    <w:p w14:paraId="02C26196">
      <w:pPr>
        <w:pStyle w:val="34"/>
        <w:rPr>
          <w:rFonts w:ascii="宋体" w:hAnsi="宋体" w:cs="宋体"/>
          <w:b/>
          <w:sz w:val="30"/>
          <w:szCs w:val="30"/>
        </w:rPr>
      </w:pPr>
    </w:p>
    <w:p w14:paraId="2EF462E5">
      <w:pPr>
        <w:pStyle w:val="24"/>
      </w:pPr>
    </w:p>
    <w:p w14:paraId="58634F43"/>
    <w:p w14:paraId="0F334DED"/>
    <w:p w14:paraId="4AC24024"/>
    <w:p w14:paraId="5FAB51AE">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rPr>
        <w:t xml:space="preserve">采   </w:t>
      </w:r>
      <w:r>
        <w:rPr>
          <w:rFonts w:hint="eastAsia" w:ascii="方正仿宋_GB2312" w:hAnsi="方正仿宋_GB2312" w:eastAsia="方正仿宋_GB2312" w:cs="方正仿宋_GB2312"/>
          <w:b w:val="0"/>
          <w:bCs/>
          <w:sz w:val="32"/>
          <w:szCs w:val="32"/>
          <w:lang w:val="en-US" w:eastAsia="zh-CN"/>
        </w:rPr>
        <w:t xml:space="preserve"> </w:t>
      </w:r>
      <w:r>
        <w:rPr>
          <w:rFonts w:hint="eastAsia" w:ascii="方正仿宋_GB2312" w:hAnsi="方正仿宋_GB2312" w:eastAsia="方正仿宋_GB2312" w:cs="方正仿宋_GB2312"/>
          <w:b w:val="0"/>
          <w:bCs/>
          <w:sz w:val="32"/>
          <w:szCs w:val="32"/>
        </w:rPr>
        <w:t>购   人：</w:t>
      </w:r>
      <w:r>
        <w:rPr>
          <w:rFonts w:hint="eastAsia" w:ascii="方正仿宋_GB2312" w:hAnsi="方正仿宋_GB2312" w:eastAsia="方正仿宋_GB2312" w:cs="方正仿宋_GB2312"/>
          <w:b w:val="0"/>
          <w:bCs/>
          <w:sz w:val="32"/>
          <w:szCs w:val="32"/>
          <w:lang w:eastAsia="zh-CN"/>
        </w:rPr>
        <w:t>固始县</w:t>
      </w:r>
      <w:r>
        <w:rPr>
          <w:rFonts w:hint="eastAsia" w:ascii="方正仿宋_GB2312" w:hAnsi="方正仿宋_GB2312" w:eastAsia="方正仿宋_GB2312" w:cs="方正仿宋_GB2312"/>
          <w:b w:val="0"/>
          <w:bCs/>
          <w:sz w:val="32"/>
          <w:szCs w:val="32"/>
          <w:lang w:val="en-US" w:eastAsia="zh-CN"/>
        </w:rPr>
        <w:t>公安局</w:t>
      </w:r>
    </w:p>
    <w:p w14:paraId="0BBFF2F7">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方正仿宋_GB2312" w:hAnsi="方正仿宋_GB2312" w:eastAsia="方正仿宋_GB2312" w:cs="方正仿宋_GB2312"/>
          <w:b w:val="0"/>
          <w:bCs/>
          <w:sz w:val="32"/>
          <w:szCs w:val="32"/>
          <w:lang w:val="en-US" w:eastAsia="zh-CN"/>
        </w:rPr>
      </w:pPr>
      <w:r>
        <w:rPr>
          <w:rFonts w:hint="eastAsia" w:ascii="方正仿宋_GB2312" w:hAnsi="方正仿宋_GB2312" w:eastAsia="方正仿宋_GB2312" w:cs="方正仿宋_GB2312"/>
          <w:b w:val="0"/>
          <w:bCs/>
          <w:sz w:val="32"/>
          <w:szCs w:val="32"/>
        </w:rPr>
        <w:t>采购代理机构：</w:t>
      </w:r>
      <w:r>
        <w:rPr>
          <w:rFonts w:hint="eastAsia" w:ascii="方正仿宋_GB2312" w:hAnsi="方正仿宋_GB2312" w:eastAsia="方正仿宋_GB2312" w:cs="方正仿宋_GB2312"/>
          <w:b w:val="0"/>
          <w:bCs/>
          <w:sz w:val="32"/>
          <w:szCs w:val="32"/>
          <w:lang w:val="en-US" w:eastAsia="zh-CN"/>
        </w:rPr>
        <w:t>固始县采购中心</w:t>
      </w:r>
    </w:p>
    <w:p w14:paraId="4118B745">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cs="宋体"/>
          <w:b/>
          <w:sz w:val="30"/>
          <w:szCs w:val="30"/>
          <w:highlight w:val="none"/>
        </w:rPr>
      </w:pPr>
    </w:p>
    <w:p w14:paraId="0C57A220">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center"/>
        <w:textAlignment w:val="auto"/>
        <w:rPr>
          <w:rFonts w:hint="eastAsia" w:ascii="方正仿宋_GB2312" w:hAnsi="方正仿宋_GB2312" w:eastAsia="方正仿宋_GB2312" w:cs="方正仿宋_GB2312"/>
          <w:sz w:val="22"/>
          <w:szCs w:val="28"/>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0" w:gutter="0"/>
          <w:pgNumType w:start="1"/>
          <w:cols w:space="720" w:num="1"/>
          <w:titlePg/>
          <w:docGrid w:linePitch="312" w:charSpace="0"/>
        </w:sectPr>
      </w:pPr>
      <w:r>
        <w:rPr>
          <w:rFonts w:hint="eastAsia" w:ascii="方正仿宋_GB2312" w:hAnsi="方正仿宋_GB2312" w:eastAsia="方正仿宋_GB2312" w:cs="方正仿宋_GB2312"/>
          <w:b/>
          <w:sz w:val="32"/>
          <w:szCs w:val="32"/>
          <w:highlight w:val="none"/>
        </w:rPr>
        <w:t>二〇二</w:t>
      </w:r>
      <w:r>
        <w:rPr>
          <w:rFonts w:hint="eastAsia" w:ascii="方正仿宋_GB2312" w:hAnsi="方正仿宋_GB2312" w:eastAsia="方正仿宋_GB2312" w:cs="方正仿宋_GB2312"/>
          <w:b/>
          <w:sz w:val="32"/>
          <w:szCs w:val="32"/>
          <w:highlight w:val="none"/>
          <w:lang w:val="en-US" w:eastAsia="zh-CN"/>
        </w:rPr>
        <w:t>六</w:t>
      </w:r>
      <w:r>
        <w:rPr>
          <w:rFonts w:hint="eastAsia" w:ascii="方正仿宋_GB2312" w:hAnsi="方正仿宋_GB2312" w:eastAsia="方正仿宋_GB2312" w:cs="方正仿宋_GB2312"/>
          <w:b/>
          <w:sz w:val="32"/>
          <w:szCs w:val="32"/>
          <w:highlight w:val="none"/>
        </w:rPr>
        <w:t>年</w:t>
      </w:r>
      <w:r>
        <w:rPr>
          <w:rFonts w:hint="eastAsia" w:ascii="方正仿宋_GB2312" w:hAnsi="方正仿宋_GB2312" w:eastAsia="方正仿宋_GB2312" w:cs="方正仿宋_GB2312"/>
          <w:b/>
          <w:sz w:val="32"/>
          <w:szCs w:val="32"/>
          <w:highlight w:val="none"/>
          <w:lang w:val="en-US" w:eastAsia="zh-CN"/>
        </w:rPr>
        <w:t>元</w:t>
      </w:r>
      <w:r>
        <w:rPr>
          <w:rFonts w:hint="eastAsia" w:ascii="方正仿宋_GB2312" w:hAnsi="方正仿宋_GB2312" w:eastAsia="方正仿宋_GB2312" w:cs="方正仿宋_GB2312"/>
          <w:b/>
          <w:sz w:val="32"/>
          <w:szCs w:val="32"/>
          <w:highlight w:val="none"/>
        </w:rPr>
        <w:t>月</w:t>
      </w:r>
    </w:p>
    <w:p w14:paraId="5723471A">
      <w:pPr>
        <w:pStyle w:val="40"/>
        <w:tabs>
          <w:tab w:val="right" w:leader="dot" w:pos="9412"/>
          <w:tab w:val="clear" w:pos="8778"/>
        </w:tabs>
        <w:wordWrap w:val="0"/>
        <w:rPr>
          <w:rFonts w:ascii="宋体" w:hAnsi="宋体" w:cs="宋体"/>
          <w:bCs w:val="0"/>
          <w:iCs w:val="0"/>
          <w:caps w:val="0"/>
          <w:sz w:val="28"/>
          <w:szCs w:val="48"/>
        </w:rPr>
      </w:pPr>
      <w:bookmarkStart w:id="0" w:name="_Toc247085670"/>
      <w:bookmarkStart w:id="1" w:name="_Toc246996899"/>
      <w:bookmarkStart w:id="2" w:name="_Toc246996156"/>
      <w:r>
        <w:rPr>
          <w:rFonts w:hint="eastAsia" w:ascii="宋体" w:hAnsi="宋体" w:cs="宋体"/>
          <w:bCs w:val="0"/>
          <w:iCs w:val="0"/>
          <w:caps w:val="0"/>
          <w:sz w:val="28"/>
          <w:szCs w:val="48"/>
        </w:rPr>
        <w:t>目     录</w:t>
      </w:r>
      <w:bookmarkEnd w:id="0"/>
      <w:bookmarkEnd w:id="1"/>
      <w:bookmarkEnd w:id="2"/>
    </w:p>
    <w:p w14:paraId="67D89EF9">
      <w:pPr>
        <w:pStyle w:val="40"/>
        <w:tabs>
          <w:tab w:val="right" w:leader="dot" w:pos="9412"/>
          <w:tab w:val="clear" w:pos="8778"/>
        </w:tabs>
        <w:wordWrap w:val="0"/>
        <w:rPr>
          <w:rFonts w:ascii="宋体" w:hAnsi="宋体" w:cs="宋体"/>
          <w:b w:val="0"/>
          <w:bCs w:val="0"/>
          <w:iCs w:val="0"/>
          <w:caps w:val="0"/>
          <w:sz w:val="36"/>
        </w:rPr>
      </w:pPr>
    </w:p>
    <w:p w14:paraId="0429DDBD">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rPr>
        <w:fldChar w:fldCharType="begin"/>
      </w:r>
      <w:r>
        <w:rPr>
          <w:rFonts w:ascii="宋体" w:hAnsi="宋体" w:cs="宋体"/>
        </w:rPr>
        <w:instrText xml:space="preserve">TOC \o "1-1" \h \u </w:instrText>
      </w:r>
      <w:r>
        <w:rPr>
          <w:rFonts w:ascii="宋体" w:hAnsi="宋体" w:cs="宋体"/>
        </w:rPr>
        <w:fldChar w:fldCharType="separate"/>
      </w:r>
      <w:r>
        <w:rPr>
          <w:rFonts w:ascii="宋体" w:hAnsi="宋体" w:cs="宋体"/>
          <w:sz w:val="30"/>
          <w:szCs w:val="30"/>
        </w:rPr>
        <w:fldChar w:fldCharType="begin"/>
      </w:r>
      <w:r>
        <w:rPr>
          <w:rFonts w:ascii="宋体" w:hAnsi="宋体" w:cs="宋体"/>
          <w:sz w:val="30"/>
          <w:szCs w:val="30"/>
        </w:rPr>
        <w:instrText xml:space="preserve"> HYPERLINK \l _Toc22722 </w:instrText>
      </w:r>
      <w:r>
        <w:rPr>
          <w:rFonts w:ascii="宋体" w:hAnsi="宋体" w:cs="宋体"/>
          <w:sz w:val="30"/>
          <w:szCs w:val="30"/>
        </w:rPr>
        <w:fldChar w:fldCharType="separate"/>
      </w:r>
      <w:r>
        <w:rPr>
          <w:rFonts w:hint="eastAsia" w:ascii="宋体" w:hAnsi="宋体" w:cs="宋体"/>
          <w:sz w:val="30"/>
          <w:szCs w:val="30"/>
        </w:rPr>
        <w:t>第一章 竞争性磋商公告</w:t>
      </w:r>
      <w:r>
        <w:rPr>
          <w:sz w:val="30"/>
          <w:szCs w:val="30"/>
        </w:rPr>
        <w:tab/>
      </w:r>
      <w:r>
        <w:rPr>
          <w:sz w:val="30"/>
          <w:szCs w:val="30"/>
        </w:rPr>
        <w:fldChar w:fldCharType="begin"/>
      </w:r>
      <w:r>
        <w:rPr>
          <w:sz w:val="30"/>
          <w:szCs w:val="30"/>
        </w:rPr>
        <w:instrText xml:space="preserve"> PAGEREF _Toc22722 \h </w:instrText>
      </w:r>
      <w:r>
        <w:rPr>
          <w:sz w:val="30"/>
          <w:szCs w:val="30"/>
        </w:rPr>
        <w:fldChar w:fldCharType="separate"/>
      </w:r>
      <w:r>
        <w:rPr>
          <w:sz w:val="30"/>
          <w:szCs w:val="30"/>
        </w:rPr>
        <w:t>4</w:t>
      </w:r>
      <w:r>
        <w:rPr>
          <w:sz w:val="30"/>
          <w:szCs w:val="30"/>
        </w:rPr>
        <w:fldChar w:fldCharType="end"/>
      </w:r>
      <w:r>
        <w:rPr>
          <w:rFonts w:ascii="宋体" w:hAnsi="宋体" w:cs="宋体"/>
          <w:sz w:val="30"/>
          <w:szCs w:val="30"/>
        </w:rPr>
        <w:fldChar w:fldCharType="end"/>
      </w:r>
    </w:p>
    <w:p w14:paraId="2B6B940E">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_Toc23165 </w:instrText>
      </w:r>
      <w:r>
        <w:rPr>
          <w:rFonts w:ascii="宋体" w:hAnsi="宋体" w:cs="宋体"/>
          <w:sz w:val="30"/>
          <w:szCs w:val="30"/>
        </w:rPr>
        <w:fldChar w:fldCharType="separate"/>
      </w:r>
      <w:r>
        <w:rPr>
          <w:rFonts w:hint="eastAsia" w:ascii="宋体" w:hAnsi="宋体" w:cs="宋体"/>
          <w:bCs/>
          <w:kern w:val="44"/>
          <w:sz w:val="30"/>
          <w:szCs w:val="30"/>
        </w:rPr>
        <w:t>第二章 供应商须知</w:t>
      </w:r>
      <w:r>
        <w:rPr>
          <w:sz w:val="30"/>
          <w:szCs w:val="30"/>
        </w:rPr>
        <w:tab/>
      </w:r>
      <w:r>
        <w:rPr>
          <w:sz w:val="30"/>
          <w:szCs w:val="30"/>
        </w:rPr>
        <w:fldChar w:fldCharType="begin"/>
      </w:r>
      <w:r>
        <w:rPr>
          <w:sz w:val="30"/>
          <w:szCs w:val="30"/>
        </w:rPr>
        <w:instrText xml:space="preserve"> PAGEREF _Toc23165 \h </w:instrText>
      </w:r>
      <w:r>
        <w:rPr>
          <w:sz w:val="30"/>
          <w:szCs w:val="30"/>
        </w:rPr>
        <w:fldChar w:fldCharType="separate"/>
      </w:r>
      <w:r>
        <w:rPr>
          <w:sz w:val="30"/>
          <w:szCs w:val="30"/>
        </w:rPr>
        <w:t>8</w:t>
      </w:r>
      <w:r>
        <w:rPr>
          <w:sz w:val="30"/>
          <w:szCs w:val="30"/>
        </w:rPr>
        <w:fldChar w:fldCharType="end"/>
      </w:r>
      <w:r>
        <w:rPr>
          <w:rFonts w:ascii="宋体" w:hAnsi="宋体" w:cs="宋体"/>
          <w:sz w:val="30"/>
          <w:szCs w:val="30"/>
        </w:rPr>
        <w:fldChar w:fldCharType="end"/>
      </w:r>
    </w:p>
    <w:p w14:paraId="61A9B0C9">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rFonts w:hint="eastAsia" w:eastAsia="宋体"/>
          <w:sz w:val="30"/>
          <w:szCs w:val="30"/>
          <w:lang w:val="en-US" w:eastAsia="zh-CN"/>
        </w:rPr>
      </w:pPr>
      <w:r>
        <w:rPr>
          <w:rFonts w:ascii="宋体" w:hAnsi="宋体" w:cs="宋体"/>
          <w:sz w:val="30"/>
          <w:szCs w:val="30"/>
        </w:rPr>
        <w:fldChar w:fldCharType="begin"/>
      </w:r>
      <w:r>
        <w:rPr>
          <w:rFonts w:ascii="宋体" w:hAnsi="宋体" w:cs="宋体"/>
          <w:sz w:val="30"/>
          <w:szCs w:val="30"/>
        </w:rPr>
        <w:instrText xml:space="preserve"> HYPERLINK \l _Toc22213 </w:instrText>
      </w:r>
      <w:r>
        <w:rPr>
          <w:rFonts w:ascii="宋体" w:hAnsi="宋体" w:cs="宋体"/>
          <w:sz w:val="30"/>
          <w:szCs w:val="30"/>
        </w:rPr>
        <w:fldChar w:fldCharType="separate"/>
      </w:r>
      <w:r>
        <w:rPr>
          <w:rFonts w:hint="eastAsia" w:ascii="宋体" w:hAnsi="宋体" w:cs="宋体"/>
          <w:bCs/>
          <w:kern w:val="44"/>
          <w:sz w:val="30"/>
          <w:szCs w:val="30"/>
        </w:rPr>
        <w:t>第三章 评标办法（综合评分法）</w:t>
      </w:r>
      <w:r>
        <w:rPr>
          <w:sz w:val="30"/>
          <w:szCs w:val="30"/>
        </w:rPr>
        <w:tab/>
      </w:r>
      <w:r>
        <w:rPr>
          <w:rFonts w:hint="eastAsia"/>
          <w:sz w:val="30"/>
          <w:szCs w:val="30"/>
          <w:lang w:val="en-US" w:eastAsia="zh-CN"/>
        </w:rPr>
        <w:t>2</w:t>
      </w:r>
      <w:r>
        <w:rPr>
          <w:rFonts w:ascii="宋体" w:hAnsi="宋体" w:cs="宋体"/>
          <w:sz w:val="30"/>
          <w:szCs w:val="30"/>
        </w:rPr>
        <w:fldChar w:fldCharType="end"/>
      </w:r>
      <w:r>
        <w:rPr>
          <w:rFonts w:hint="eastAsia" w:ascii="宋体" w:hAnsi="宋体" w:cs="宋体"/>
          <w:sz w:val="30"/>
          <w:szCs w:val="30"/>
          <w:lang w:val="en-US" w:eastAsia="zh-CN"/>
        </w:rPr>
        <w:t>1</w:t>
      </w:r>
    </w:p>
    <w:p w14:paraId="23E28C73">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_Toc29111 </w:instrText>
      </w:r>
      <w:r>
        <w:rPr>
          <w:rFonts w:ascii="宋体" w:hAnsi="宋体" w:cs="宋体"/>
          <w:sz w:val="30"/>
          <w:szCs w:val="30"/>
        </w:rPr>
        <w:fldChar w:fldCharType="separate"/>
      </w:r>
      <w:r>
        <w:rPr>
          <w:rFonts w:hint="eastAsia" w:ascii="宋体" w:hAnsi="宋体" w:cs="宋体"/>
          <w:sz w:val="30"/>
          <w:szCs w:val="30"/>
        </w:rPr>
        <w:t>评审办法前附表</w:t>
      </w:r>
      <w:r>
        <w:rPr>
          <w:sz w:val="30"/>
          <w:szCs w:val="30"/>
        </w:rPr>
        <w:tab/>
      </w:r>
      <w:r>
        <w:rPr>
          <w:sz w:val="30"/>
          <w:szCs w:val="30"/>
        </w:rPr>
        <w:fldChar w:fldCharType="begin"/>
      </w:r>
      <w:r>
        <w:rPr>
          <w:sz w:val="30"/>
          <w:szCs w:val="30"/>
        </w:rPr>
        <w:instrText xml:space="preserve"> PAGEREF _Toc29111 \h </w:instrText>
      </w:r>
      <w:r>
        <w:rPr>
          <w:sz w:val="30"/>
          <w:szCs w:val="30"/>
        </w:rPr>
        <w:fldChar w:fldCharType="separate"/>
      </w:r>
      <w:r>
        <w:rPr>
          <w:sz w:val="30"/>
          <w:szCs w:val="30"/>
        </w:rPr>
        <w:t>21</w:t>
      </w:r>
      <w:r>
        <w:rPr>
          <w:sz w:val="30"/>
          <w:szCs w:val="30"/>
        </w:rPr>
        <w:fldChar w:fldCharType="end"/>
      </w:r>
      <w:r>
        <w:rPr>
          <w:rFonts w:ascii="宋体" w:hAnsi="宋体" w:cs="宋体"/>
          <w:sz w:val="30"/>
          <w:szCs w:val="30"/>
        </w:rPr>
        <w:fldChar w:fldCharType="end"/>
      </w:r>
      <w:bookmarkStart w:id="995" w:name="_GoBack"/>
      <w:bookmarkEnd w:id="995"/>
    </w:p>
    <w:p w14:paraId="1B52D81A">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_Toc29937 </w:instrText>
      </w:r>
      <w:r>
        <w:rPr>
          <w:rFonts w:ascii="宋体" w:hAnsi="宋体" w:cs="宋体"/>
          <w:sz w:val="30"/>
          <w:szCs w:val="30"/>
        </w:rPr>
        <w:fldChar w:fldCharType="separate"/>
      </w:r>
      <w:r>
        <w:rPr>
          <w:rFonts w:hint="eastAsia"/>
          <w:sz w:val="30"/>
          <w:szCs w:val="30"/>
        </w:rPr>
        <w:t>附件：废标条件</w:t>
      </w:r>
      <w:r>
        <w:rPr>
          <w:sz w:val="30"/>
          <w:szCs w:val="30"/>
        </w:rPr>
        <w:tab/>
      </w:r>
      <w:r>
        <w:rPr>
          <w:sz w:val="30"/>
          <w:szCs w:val="30"/>
        </w:rPr>
        <w:fldChar w:fldCharType="begin"/>
      </w:r>
      <w:r>
        <w:rPr>
          <w:sz w:val="30"/>
          <w:szCs w:val="30"/>
        </w:rPr>
        <w:instrText xml:space="preserve"> PAGEREF _Toc29937 \h </w:instrText>
      </w:r>
      <w:r>
        <w:rPr>
          <w:sz w:val="30"/>
          <w:szCs w:val="30"/>
        </w:rPr>
        <w:fldChar w:fldCharType="separate"/>
      </w:r>
      <w:r>
        <w:rPr>
          <w:sz w:val="30"/>
          <w:szCs w:val="30"/>
        </w:rPr>
        <w:t>26</w:t>
      </w:r>
      <w:r>
        <w:rPr>
          <w:sz w:val="30"/>
          <w:szCs w:val="30"/>
        </w:rPr>
        <w:fldChar w:fldCharType="end"/>
      </w:r>
      <w:r>
        <w:rPr>
          <w:rFonts w:ascii="宋体" w:hAnsi="宋体" w:cs="宋体"/>
          <w:sz w:val="30"/>
          <w:szCs w:val="30"/>
        </w:rPr>
        <w:fldChar w:fldCharType="end"/>
      </w:r>
    </w:p>
    <w:p w14:paraId="55A3FF42">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_Toc9407 </w:instrText>
      </w:r>
      <w:r>
        <w:rPr>
          <w:rFonts w:ascii="宋体" w:hAnsi="宋体" w:cs="宋体"/>
          <w:sz w:val="30"/>
          <w:szCs w:val="30"/>
        </w:rPr>
        <w:fldChar w:fldCharType="separate"/>
      </w:r>
      <w:r>
        <w:rPr>
          <w:rFonts w:hint="eastAsia" w:ascii="宋体" w:hAnsi="宋体" w:cs="宋体"/>
          <w:bCs/>
          <w:kern w:val="44"/>
          <w:sz w:val="30"/>
          <w:szCs w:val="30"/>
        </w:rPr>
        <w:t>第四章 河南省政府采购合同（参考文本）</w:t>
      </w:r>
      <w:r>
        <w:rPr>
          <w:sz w:val="30"/>
          <w:szCs w:val="30"/>
        </w:rPr>
        <w:tab/>
      </w:r>
      <w:r>
        <w:rPr>
          <w:sz w:val="30"/>
          <w:szCs w:val="30"/>
        </w:rPr>
        <w:fldChar w:fldCharType="begin"/>
      </w:r>
      <w:r>
        <w:rPr>
          <w:sz w:val="30"/>
          <w:szCs w:val="30"/>
        </w:rPr>
        <w:instrText xml:space="preserve"> PAGEREF _Toc9407 \h </w:instrText>
      </w:r>
      <w:r>
        <w:rPr>
          <w:sz w:val="30"/>
          <w:szCs w:val="30"/>
        </w:rPr>
        <w:fldChar w:fldCharType="separate"/>
      </w:r>
      <w:r>
        <w:rPr>
          <w:sz w:val="30"/>
          <w:szCs w:val="30"/>
        </w:rPr>
        <w:t>28</w:t>
      </w:r>
      <w:r>
        <w:rPr>
          <w:sz w:val="30"/>
          <w:szCs w:val="30"/>
        </w:rPr>
        <w:fldChar w:fldCharType="end"/>
      </w:r>
      <w:r>
        <w:rPr>
          <w:rFonts w:ascii="宋体" w:hAnsi="宋体" w:cs="宋体"/>
          <w:sz w:val="30"/>
          <w:szCs w:val="30"/>
        </w:rPr>
        <w:fldChar w:fldCharType="end"/>
      </w:r>
    </w:p>
    <w:p w14:paraId="330E99CB">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rPr>
          <w:sz w:val="30"/>
          <w:szCs w:val="30"/>
        </w:rPr>
      </w:pPr>
      <w:r>
        <w:rPr>
          <w:rFonts w:ascii="宋体" w:hAnsi="宋体" w:cs="宋体"/>
          <w:sz w:val="30"/>
          <w:szCs w:val="30"/>
        </w:rPr>
        <w:fldChar w:fldCharType="begin"/>
      </w:r>
      <w:r>
        <w:rPr>
          <w:rFonts w:ascii="宋体" w:hAnsi="宋体" w:cs="宋体"/>
          <w:sz w:val="30"/>
          <w:szCs w:val="30"/>
        </w:rPr>
        <w:instrText xml:space="preserve"> HYPERLINK \l _Toc2005 </w:instrText>
      </w:r>
      <w:r>
        <w:rPr>
          <w:rFonts w:ascii="宋体" w:hAnsi="宋体" w:cs="宋体"/>
          <w:sz w:val="30"/>
          <w:szCs w:val="30"/>
        </w:rPr>
        <w:fldChar w:fldCharType="separate"/>
      </w:r>
      <w:r>
        <w:rPr>
          <w:rFonts w:hint="eastAsia" w:ascii="宋体" w:hAnsi="宋体" w:cs="宋体"/>
          <w:sz w:val="30"/>
          <w:szCs w:val="30"/>
        </w:rPr>
        <w:t>第五章 采购需求</w:t>
      </w:r>
      <w:r>
        <w:rPr>
          <w:sz w:val="30"/>
          <w:szCs w:val="30"/>
        </w:rPr>
        <w:tab/>
      </w:r>
      <w:r>
        <w:rPr>
          <w:sz w:val="30"/>
          <w:szCs w:val="30"/>
        </w:rPr>
        <w:fldChar w:fldCharType="begin"/>
      </w:r>
      <w:r>
        <w:rPr>
          <w:sz w:val="30"/>
          <w:szCs w:val="30"/>
        </w:rPr>
        <w:instrText xml:space="preserve"> PAGEREF _Toc2005 \h </w:instrText>
      </w:r>
      <w:r>
        <w:rPr>
          <w:sz w:val="30"/>
          <w:szCs w:val="30"/>
        </w:rPr>
        <w:fldChar w:fldCharType="separate"/>
      </w:r>
      <w:r>
        <w:rPr>
          <w:sz w:val="30"/>
          <w:szCs w:val="30"/>
        </w:rPr>
        <w:t>37</w:t>
      </w:r>
      <w:r>
        <w:rPr>
          <w:sz w:val="30"/>
          <w:szCs w:val="30"/>
        </w:rPr>
        <w:fldChar w:fldCharType="end"/>
      </w:r>
      <w:r>
        <w:rPr>
          <w:rFonts w:ascii="宋体" w:hAnsi="宋体" w:cs="宋体"/>
          <w:sz w:val="30"/>
          <w:szCs w:val="30"/>
        </w:rPr>
        <w:fldChar w:fldCharType="end"/>
      </w:r>
    </w:p>
    <w:p w14:paraId="5DA5AC97">
      <w:pPr>
        <w:pStyle w:val="40"/>
        <w:keepNext w:val="0"/>
        <w:keepLines w:val="0"/>
        <w:pageBreakBefore w:val="0"/>
        <w:widowControl w:val="0"/>
        <w:tabs>
          <w:tab w:val="right" w:leader="dot" w:pos="9070"/>
          <w:tab w:val="clear" w:pos="8778"/>
        </w:tabs>
        <w:kinsoku/>
        <w:wordWrap/>
        <w:overflowPunct/>
        <w:topLinePunct w:val="0"/>
        <w:autoSpaceDE/>
        <w:autoSpaceDN/>
        <w:bidi w:val="0"/>
        <w:adjustRightInd/>
        <w:snapToGrid w:val="0"/>
        <w:spacing w:line="480" w:lineRule="auto"/>
        <w:textAlignment w:val="auto"/>
      </w:pPr>
      <w:r>
        <w:rPr>
          <w:rFonts w:ascii="宋体" w:hAnsi="宋体" w:cs="宋体"/>
          <w:sz w:val="30"/>
          <w:szCs w:val="30"/>
        </w:rPr>
        <w:fldChar w:fldCharType="begin"/>
      </w:r>
      <w:r>
        <w:rPr>
          <w:rFonts w:ascii="宋体" w:hAnsi="宋体" w:cs="宋体"/>
          <w:sz w:val="30"/>
          <w:szCs w:val="30"/>
        </w:rPr>
        <w:instrText xml:space="preserve"> HYPERLINK \l _Toc27205 </w:instrText>
      </w:r>
      <w:r>
        <w:rPr>
          <w:rFonts w:ascii="宋体" w:hAnsi="宋体" w:cs="宋体"/>
          <w:sz w:val="30"/>
          <w:szCs w:val="30"/>
        </w:rPr>
        <w:fldChar w:fldCharType="separate"/>
      </w:r>
      <w:r>
        <w:rPr>
          <w:rFonts w:hint="eastAsia"/>
          <w:sz w:val="30"/>
          <w:szCs w:val="30"/>
        </w:rPr>
        <w:t>第六章 响应文件格式</w:t>
      </w:r>
      <w:r>
        <w:rPr>
          <w:sz w:val="30"/>
          <w:szCs w:val="30"/>
        </w:rPr>
        <w:tab/>
      </w:r>
      <w:r>
        <w:rPr>
          <w:sz w:val="30"/>
          <w:szCs w:val="30"/>
        </w:rPr>
        <w:fldChar w:fldCharType="begin"/>
      </w:r>
      <w:r>
        <w:rPr>
          <w:sz w:val="30"/>
          <w:szCs w:val="30"/>
        </w:rPr>
        <w:instrText xml:space="preserve"> PAGEREF _Toc27205 \h </w:instrText>
      </w:r>
      <w:r>
        <w:rPr>
          <w:sz w:val="30"/>
          <w:szCs w:val="30"/>
        </w:rPr>
        <w:fldChar w:fldCharType="separate"/>
      </w:r>
      <w:r>
        <w:rPr>
          <w:sz w:val="30"/>
          <w:szCs w:val="30"/>
        </w:rPr>
        <w:t>39</w:t>
      </w:r>
      <w:r>
        <w:rPr>
          <w:sz w:val="30"/>
          <w:szCs w:val="30"/>
        </w:rPr>
        <w:fldChar w:fldCharType="end"/>
      </w:r>
      <w:r>
        <w:rPr>
          <w:rFonts w:ascii="宋体" w:hAnsi="宋体" w:cs="宋体"/>
          <w:sz w:val="30"/>
          <w:szCs w:val="30"/>
        </w:rPr>
        <w:fldChar w:fldCharType="end"/>
      </w:r>
    </w:p>
    <w:p w14:paraId="18D44DDB">
      <w:pPr>
        <w:wordWrap w:val="0"/>
        <w:autoSpaceDE w:val="0"/>
        <w:autoSpaceDN w:val="0"/>
        <w:adjustRightInd w:val="0"/>
        <w:snapToGrid w:val="0"/>
        <w:spacing w:after="120" w:afterLines="50"/>
        <w:outlineLvl w:val="0"/>
        <w:rPr>
          <w:rFonts w:ascii="宋体" w:hAnsi="宋体" w:cs="宋体"/>
        </w:rPr>
        <w:sectPr>
          <w:headerReference r:id="rId9" w:type="default"/>
          <w:footerReference r:id="rId10" w:type="default"/>
          <w:pgSz w:w="11906" w:h="16838"/>
          <w:pgMar w:top="1418" w:right="1418" w:bottom="1418" w:left="1418" w:header="851" w:footer="850" w:gutter="0"/>
          <w:pgNumType w:start="1"/>
          <w:cols w:space="720" w:num="1"/>
          <w:docGrid w:linePitch="312" w:charSpace="0"/>
        </w:sectPr>
      </w:pPr>
      <w:r>
        <w:rPr>
          <w:rFonts w:ascii="宋体" w:hAnsi="宋体" w:cs="宋体"/>
        </w:rPr>
        <w:fldChar w:fldCharType="end"/>
      </w:r>
    </w:p>
    <w:p w14:paraId="661117A8">
      <w:pPr>
        <w:wordWrap w:val="0"/>
        <w:spacing w:line="336" w:lineRule="auto"/>
        <w:jc w:val="center"/>
        <w:rPr>
          <w:rFonts w:ascii="宋体" w:hAnsi="宋体" w:cs="宋体"/>
        </w:rPr>
      </w:pPr>
      <w:bookmarkStart w:id="3" w:name="_Toc28967"/>
      <w:bookmarkStart w:id="4" w:name="OLE_LINK1"/>
      <w:r>
        <w:rPr>
          <w:rFonts w:hint="eastAsia" w:ascii="宋体" w:hAnsi="宋体" w:cs="宋体"/>
          <w:b/>
          <w:bCs/>
          <w:sz w:val="30"/>
          <w:szCs w:val="30"/>
        </w:rPr>
        <w:t>特 别 提 示</w:t>
      </w:r>
    </w:p>
    <w:p w14:paraId="04A07AD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一、投标人（供应商）注册</w:t>
      </w:r>
    </w:p>
    <w:p w14:paraId="018711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凡有意参加本项目的投标人（供应商），请登录“固始县公共资源交易网（http://ggzyjy.xinyang.gov.cn/gushi/）”网站进行交易主体自主注册，按网站公告通知有关要求填报企业信息并上传有关原件扫描件至诚信库，不需携带原件到固始县公共资源交易中心进行审核。投标人（供应商）应对所上传材料的真实性、合法性、有效性负责，其上传的信息将全部对外公示，接受社会监督。</w:t>
      </w:r>
    </w:p>
    <w:p w14:paraId="12BC8FA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二、办理CA数字证书</w:t>
      </w:r>
    </w:p>
    <w:p w14:paraId="1DFF143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完成企业诚信库注册后，必须办理CA数字证书方可在网上办理招投标相关业务。投标人（供应商）根据《固始县公共资源交易网》左侧下载中心有关办理CA数字证书的要求，准备好CA办理所需资料，到固始县公共资源交易中心五楼CA窗口现场办理CA数字证书。</w:t>
      </w:r>
    </w:p>
    <w:p w14:paraId="631FD8B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三、招标（采购）文件获取方式</w:t>
      </w:r>
    </w:p>
    <w:p w14:paraId="74CEC96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凭CA数字证书登录会员系统后，即可按网上提示免费下载招标（采购）文件及资料（操作程序详见固始县公共资源交易中心网站下载中心栏目里投标人操作手册）。招标文件(*.XYZF格式)下载后需使用“投标文件制作工具软件”打开（该工具软件可在“固始县公共资源交易网（http://ggzyjy.xinyang.gov.cn/gushi/）”网站下载中心栏目内下载或在招标文件领取页面下载）。</w:t>
      </w:r>
    </w:p>
    <w:p w14:paraId="2224903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四、投标（响应）文件制作</w:t>
      </w:r>
    </w:p>
    <w:p w14:paraId="3896564D">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投标（响应）文件应使用固始县公共资源交易系统投标文件制作专用工具软件编制，投标（响应）文件格式为“*.XYTF”。</w:t>
      </w:r>
    </w:p>
    <w:p w14:paraId="6D6D015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投标人（供应商）须在投标（响应）文件递交截止时间前制作并提交。</w:t>
      </w:r>
    </w:p>
    <w:p w14:paraId="4BF06E4B">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五、投标（响应）文件的签字和盖章要求</w:t>
      </w:r>
    </w:p>
    <w:p w14:paraId="2F306A1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1、投标文件（响应）格式中所有要求投标人（供应商）加盖公章的地方都须加盖投标人（供应商）的 CA 印章。</w:t>
      </w:r>
    </w:p>
    <w:p w14:paraId="37E098A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2、投标文件（响应）格式中所有要求法定代表人或其委托代理人签字或盖章的地方须加盖法定代表人或其委托代理人的电子签名或个人印章。</w:t>
      </w:r>
    </w:p>
    <w:p w14:paraId="29AB7D5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六、投标文件份数</w:t>
      </w:r>
    </w:p>
    <w:p w14:paraId="50D627A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加密的电子投标（响应）文件壹份（*.XYTF 格式，在会员系统指定位置上传）。</w:t>
      </w:r>
    </w:p>
    <w:p w14:paraId="6A36497A">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七、投标（响应）文件的递交</w:t>
      </w:r>
    </w:p>
    <w:p w14:paraId="6E131E57">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1、电子投标（响应）文件的递交</w:t>
      </w:r>
    </w:p>
    <w:p w14:paraId="5B467253">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FD1C22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2、除电子投标（响应）文件外，不再接受任何纸质文件、资料原件等。</w:t>
      </w:r>
    </w:p>
    <w:p w14:paraId="4C04C008">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八、澄清与变更</w:t>
      </w:r>
    </w:p>
    <w:p w14:paraId="554AAFEF">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如有疑问，以书面形式（包括信函、电报、传真等可以有形表现所载内容的形式），要求招标人（采购人）对招标（采购）文件予以澄清。澄清或修改的内容在固始县公共资源交易系统“变更公告”或“答疑文件”菜单进行发布，投标人（供应商）应在投标（响应）文件递交截止时间前及时查看澄清或修改内容，因投标人（采购人）未及时查看而造成的后果自负。</w:t>
      </w:r>
    </w:p>
    <w:p w14:paraId="4AE2497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九、其他注意事项 </w:t>
      </w:r>
    </w:p>
    <w:p w14:paraId="3AF24520">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 xml:space="preserve">1、供应商编制投标文件时，涉及的营业执照、资质、获奖、社保、纳税等固定内容可在交易中心主体信用信息中录入。 </w:t>
      </w:r>
    </w:p>
    <w:p w14:paraId="1A7C3EEE">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p>
    <w:p w14:paraId="4A76C85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w:t>
      </w:r>
    </w:p>
    <w:p w14:paraId="3BFD5872">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4539EE3C">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十、特别提醒</w:t>
      </w:r>
    </w:p>
    <w:p w14:paraId="734E97C1">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1、投标文件中的扫描件，在确保清晰的前提下，每张最好控制在 500kb 内，生成的加密电子投标文件最好不要超过50MB。</w:t>
      </w:r>
    </w:p>
    <w:p w14:paraId="1C4E88E9">
      <w:pPr>
        <w:wordWrap w:val="0"/>
        <w:spacing w:line="360" w:lineRule="auto"/>
        <w:ind w:left="-199" w:leftChars="-95" w:firstLine="440" w:firstLineChars="200"/>
        <w:jc w:val="left"/>
        <w:rPr>
          <w:rFonts w:hint="eastAsia" w:ascii="宋体" w:hAnsi="宋体" w:cs="宋体"/>
          <w:sz w:val="22"/>
          <w:szCs w:val="22"/>
        </w:rPr>
      </w:pPr>
      <w:r>
        <w:rPr>
          <w:rFonts w:hint="eastAsia" w:ascii="宋体" w:hAnsi="宋体" w:cs="宋体"/>
          <w:sz w:val="22"/>
          <w:szCs w:val="22"/>
        </w:rPr>
        <w:t>2、各投标单位请务必在开标结束后对开标记录表签章后再离席。</w:t>
      </w:r>
    </w:p>
    <w:p w14:paraId="5EB327FD">
      <w:pPr>
        <w:pStyle w:val="73"/>
        <w:wordWrap w:val="0"/>
        <w:spacing w:before="0" w:beforeAutospacing="0" w:after="0" w:afterAutospacing="0" w:line="360" w:lineRule="auto"/>
        <w:rPr>
          <w:b/>
          <w:bCs/>
          <w:sz w:val="24"/>
          <w:szCs w:val="24"/>
        </w:rPr>
        <w:sectPr>
          <w:headerReference r:id="rId11" w:type="default"/>
          <w:pgSz w:w="11906" w:h="16838"/>
          <w:pgMar w:top="1440" w:right="1080" w:bottom="1440" w:left="1080" w:header="851" w:footer="992" w:gutter="0"/>
          <w:cols w:space="720" w:num="1"/>
          <w:docGrid w:type="lines" w:linePitch="312" w:charSpace="0"/>
        </w:sectPr>
      </w:pPr>
    </w:p>
    <w:p w14:paraId="1A749AA2">
      <w:pPr>
        <w:pStyle w:val="2"/>
        <w:wordWrap w:val="0"/>
        <w:rPr>
          <w:rFonts w:ascii="宋体" w:hAnsi="宋体" w:cs="宋体"/>
        </w:rPr>
      </w:pPr>
      <w:bookmarkStart w:id="5" w:name="_Toc2362"/>
      <w:bookmarkStart w:id="6" w:name="_Toc22722"/>
      <w:r>
        <w:rPr>
          <w:rFonts w:hint="eastAsia" w:ascii="宋体" w:hAnsi="宋体" w:cs="宋体"/>
        </w:rPr>
        <w:t xml:space="preserve">第一章 </w:t>
      </w:r>
      <w:bookmarkEnd w:id="3"/>
      <w:r>
        <w:rPr>
          <w:rFonts w:hint="eastAsia" w:ascii="宋体" w:hAnsi="宋体" w:cs="宋体"/>
        </w:rPr>
        <w:t>竞争性磋商公告</w:t>
      </w:r>
      <w:bookmarkEnd w:id="5"/>
      <w:bookmarkEnd w:id="6"/>
    </w:p>
    <w:p w14:paraId="00F52898">
      <w:pPr>
        <w:tabs>
          <w:tab w:val="left" w:pos="709"/>
        </w:tabs>
        <w:wordWrap w:val="0"/>
        <w:autoSpaceDE w:val="0"/>
        <w:autoSpaceDN w:val="0"/>
        <w:adjustRightInd w:val="0"/>
        <w:snapToGrid w:val="0"/>
        <w:spacing w:line="360" w:lineRule="auto"/>
        <w:jc w:val="center"/>
        <w:rPr>
          <w:rFonts w:ascii="宋体" w:hAnsi="宋体" w:cs="宋体"/>
          <w:b/>
          <w:sz w:val="28"/>
          <w:szCs w:val="28"/>
        </w:rPr>
      </w:pPr>
      <w:bookmarkStart w:id="7" w:name="_Toc20435"/>
      <w:r>
        <w:rPr>
          <w:rFonts w:hint="eastAsia" w:ascii="宋体" w:hAnsi="宋体" w:cs="宋体"/>
          <w:b/>
          <w:sz w:val="28"/>
          <w:szCs w:val="28"/>
          <w:lang w:eastAsia="zh-CN"/>
        </w:rPr>
        <w:t>固始县公安局采购一台不间断电源(UPS)系统项目</w:t>
      </w:r>
      <w:r>
        <w:rPr>
          <w:rFonts w:hint="eastAsia" w:ascii="宋体" w:hAnsi="宋体" w:cs="宋体"/>
          <w:b/>
          <w:sz w:val="28"/>
          <w:szCs w:val="28"/>
        </w:rPr>
        <w:t>竞争性磋商公告</w:t>
      </w:r>
    </w:p>
    <w:bookmarkEnd w:id="4"/>
    <w:p w14:paraId="207E8848">
      <w:pPr>
        <w:pBdr>
          <w:top w:val="single" w:color="auto" w:sz="4" w:space="1"/>
          <w:left w:val="single" w:color="auto" w:sz="4" w:space="4"/>
          <w:bottom w:val="single" w:color="auto" w:sz="4" w:space="1"/>
          <w:right w:val="single" w:color="auto" w:sz="4" w:space="4"/>
        </w:pBdr>
        <w:wordWrap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6199469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single"/>
          <w:shd w:val="clear" w:color="auto" w:fill="FFFFFF"/>
          <w:lang w:eastAsia="zh-CN"/>
        </w:rPr>
        <w:t>固始县公安局采购一</w:t>
      </w:r>
      <w:r>
        <w:rPr>
          <w:rFonts w:hint="eastAsia" w:asciiTheme="minorEastAsia" w:hAnsiTheme="minorEastAsia" w:eastAsiaTheme="minorEastAsia" w:cstheme="minorEastAsia"/>
          <w:sz w:val="24"/>
          <w:szCs w:val="24"/>
          <w:highlight w:val="none"/>
          <w:u w:val="single"/>
          <w:shd w:val="clear" w:color="auto" w:fill="FFFFFF"/>
          <w:lang w:eastAsia="zh-CN"/>
        </w:rPr>
        <w:t>台不间断电源(UPS)系统项目</w:t>
      </w:r>
      <w:r>
        <w:rPr>
          <w:rFonts w:hint="eastAsia" w:asciiTheme="minorEastAsia" w:hAnsiTheme="minorEastAsia" w:eastAsiaTheme="minorEastAsia" w:cstheme="minorEastAsia"/>
          <w:sz w:val="24"/>
          <w:szCs w:val="24"/>
          <w:highlight w:val="none"/>
          <w:shd w:val="clear" w:color="auto" w:fill="FFFFFF"/>
        </w:rPr>
        <w:t>招标项目的潜在投标人应在“</w:t>
      </w:r>
      <w:r>
        <w:rPr>
          <w:rFonts w:hint="eastAsia" w:asciiTheme="minorEastAsia" w:hAnsiTheme="minorEastAsia" w:eastAsiaTheme="minorEastAsia" w:cstheme="minorEastAsia"/>
          <w:sz w:val="24"/>
          <w:szCs w:val="24"/>
          <w:highlight w:val="none"/>
          <w:shd w:val="clear" w:color="auto" w:fill="FFFFFF"/>
          <w:lang w:eastAsia="zh-CN"/>
        </w:rPr>
        <w:t>《固始县公共资源交易网》</w:t>
      </w:r>
      <w:r>
        <w:rPr>
          <w:rFonts w:hint="eastAsia" w:asciiTheme="minorEastAsia" w:hAnsiTheme="minorEastAsia" w:eastAsiaTheme="minorEastAsia" w:cstheme="minorEastAsia"/>
          <w:sz w:val="24"/>
          <w:szCs w:val="24"/>
          <w:highlight w:val="none"/>
          <w:shd w:val="clear" w:color="auto" w:fill="FFFFFF"/>
        </w:rPr>
        <w:t>（</w:t>
      </w:r>
      <w:r>
        <w:rPr>
          <w:rFonts w:hint="eastAsia" w:asciiTheme="minorEastAsia" w:hAnsiTheme="minorEastAsia" w:eastAsiaTheme="minorEastAsia" w:cstheme="minorEastAsia"/>
          <w:sz w:val="24"/>
          <w:szCs w:val="24"/>
          <w:highlight w:val="none"/>
          <w:shd w:val="clear" w:color="auto" w:fill="FFFFFF"/>
          <w:lang w:eastAsia="zh-CN"/>
        </w:rPr>
        <w:t>https://ggzyjy.xinyang.gov.cn/gushi/</w:t>
      </w:r>
      <w:r>
        <w:rPr>
          <w:rFonts w:hint="eastAsia" w:asciiTheme="minorEastAsia" w:hAnsiTheme="minorEastAsia" w:eastAsiaTheme="minorEastAsia" w:cstheme="minorEastAsia"/>
          <w:sz w:val="24"/>
          <w:szCs w:val="24"/>
          <w:highlight w:val="none"/>
          <w:shd w:val="clear" w:color="auto" w:fill="FFFFFF"/>
        </w:rPr>
        <w:t>）”获取磋商文件，并于</w:t>
      </w:r>
      <w:r>
        <w:rPr>
          <w:rFonts w:hint="eastAsia" w:asciiTheme="minorEastAsia" w:hAnsiTheme="minorEastAsia" w:eastAsiaTheme="minorEastAsia" w:cstheme="minorEastAsia"/>
          <w:b/>
          <w:bCs w:val="0"/>
          <w:sz w:val="24"/>
          <w:szCs w:val="24"/>
          <w:highlight w:val="none"/>
          <w:u w:val="single"/>
          <w:shd w:val="clear" w:color="auto" w:fill="FFFFFF"/>
          <w:lang w:eastAsia="zh-CN"/>
        </w:rPr>
        <w:t>202</w:t>
      </w:r>
      <w:r>
        <w:rPr>
          <w:rFonts w:hint="eastAsia" w:asciiTheme="minorEastAsia" w:hAnsiTheme="minorEastAsia" w:eastAsiaTheme="minorEastAsia" w:cstheme="minorEastAsia"/>
          <w:b/>
          <w:bCs w:val="0"/>
          <w:sz w:val="24"/>
          <w:szCs w:val="24"/>
          <w:highlight w:val="none"/>
          <w:u w:val="single"/>
          <w:shd w:val="clear" w:color="auto" w:fill="FFFFFF"/>
          <w:lang w:val="en-US" w:eastAsia="zh-CN"/>
        </w:rPr>
        <w:t>6</w:t>
      </w:r>
      <w:r>
        <w:rPr>
          <w:rFonts w:hint="eastAsia" w:asciiTheme="minorEastAsia" w:hAnsiTheme="minorEastAsia" w:eastAsiaTheme="minorEastAsia" w:cstheme="minorEastAsia"/>
          <w:b/>
          <w:bCs w:val="0"/>
          <w:sz w:val="24"/>
          <w:szCs w:val="24"/>
          <w:highlight w:val="none"/>
          <w:u w:val="none"/>
          <w:shd w:val="clear" w:color="auto" w:fill="FFFFFF"/>
          <w:lang w:eastAsia="zh-CN"/>
        </w:rPr>
        <w:t>年</w:t>
      </w:r>
      <w:r>
        <w:rPr>
          <w:rFonts w:hint="eastAsia" w:asciiTheme="minorEastAsia" w:hAnsiTheme="minorEastAsia" w:eastAsiaTheme="minorEastAsia" w:cstheme="minorEastAsia"/>
          <w:b/>
          <w:bCs w:val="0"/>
          <w:sz w:val="24"/>
          <w:szCs w:val="24"/>
          <w:highlight w:val="none"/>
          <w:u w:val="single"/>
          <w:shd w:val="clear" w:color="auto" w:fill="FFFFFF"/>
          <w:lang w:val="en-US" w:eastAsia="zh-CN"/>
        </w:rPr>
        <w:t xml:space="preserve"> 1 </w:t>
      </w:r>
      <w:r>
        <w:rPr>
          <w:rFonts w:hint="eastAsia" w:asciiTheme="minorEastAsia" w:hAnsiTheme="minorEastAsia" w:eastAsiaTheme="minorEastAsia" w:cstheme="minorEastAsia"/>
          <w:b/>
          <w:bCs w:val="0"/>
          <w:sz w:val="24"/>
          <w:szCs w:val="24"/>
          <w:highlight w:val="none"/>
          <w:u w:val="none"/>
          <w:shd w:val="clear" w:color="auto" w:fill="FFFFFF"/>
          <w:lang w:eastAsia="zh-CN"/>
        </w:rPr>
        <w:t>月</w:t>
      </w:r>
      <w:r>
        <w:rPr>
          <w:rFonts w:hint="eastAsia" w:asciiTheme="minorEastAsia" w:hAnsiTheme="minorEastAsia" w:eastAsiaTheme="minorEastAsia" w:cstheme="minorEastAsia"/>
          <w:b/>
          <w:bCs w:val="0"/>
          <w:sz w:val="24"/>
          <w:szCs w:val="24"/>
          <w:highlight w:val="none"/>
          <w:u w:val="single"/>
          <w:shd w:val="clear" w:color="auto" w:fill="FFFFFF"/>
          <w:lang w:val="en-US" w:eastAsia="zh-CN"/>
        </w:rPr>
        <w:t xml:space="preserve"> 19 </w:t>
      </w:r>
      <w:r>
        <w:rPr>
          <w:rFonts w:hint="eastAsia" w:asciiTheme="minorEastAsia" w:hAnsiTheme="minorEastAsia" w:eastAsiaTheme="minorEastAsia" w:cstheme="minorEastAsia"/>
          <w:b/>
          <w:bCs w:val="0"/>
          <w:sz w:val="24"/>
          <w:szCs w:val="24"/>
          <w:highlight w:val="none"/>
          <w:u w:val="none"/>
          <w:shd w:val="clear" w:color="auto" w:fill="FFFFFF"/>
          <w:lang w:eastAsia="zh-CN"/>
        </w:rPr>
        <w:t>日</w:t>
      </w:r>
      <w:r>
        <w:rPr>
          <w:rFonts w:hint="eastAsia" w:asciiTheme="minorEastAsia" w:hAnsiTheme="minorEastAsia" w:eastAsiaTheme="minorEastAsia" w:cstheme="minorEastAsia"/>
          <w:b/>
          <w:bCs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sz w:val="24"/>
          <w:szCs w:val="24"/>
          <w:highlight w:val="none"/>
          <w:u w:val="single"/>
          <w:shd w:val="clear" w:color="auto" w:fill="FFFFFF"/>
        </w:rPr>
        <w:t>08</w:t>
      </w:r>
      <w:r>
        <w:rPr>
          <w:rFonts w:hint="eastAsia" w:asciiTheme="minorEastAsia" w:hAnsiTheme="minorEastAsia" w:eastAsiaTheme="minorEastAsia" w:cstheme="minorEastAsia"/>
          <w:b/>
          <w:bCs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sz w:val="24"/>
          <w:szCs w:val="24"/>
          <w:highlight w:val="none"/>
          <w:u w:val="none"/>
          <w:shd w:val="clear" w:color="auto" w:fill="FFFFFF"/>
        </w:rPr>
        <w:t>时</w:t>
      </w:r>
      <w:r>
        <w:rPr>
          <w:rFonts w:hint="eastAsia" w:asciiTheme="minorEastAsia" w:hAnsiTheme="minorEastAsia" w:eastAsiaTheme="minorEastAsia" w:cstheme="minorEastAsia"/>
          <w:b/>
          <w:bCs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sz w:val="24"/>
          <w:szCs w:val="24"/>
          <w:highlight w:val="none"/>
          <w:u w:val="single"/>
          <w:shd w:val="clear" w:color="auto" w:fill="FFFFFF"/>
        </w:rPr>
        <w:t>30</w:t>
      </w:r>
      <w:r>
        <w:rPr>
          <w:rFonts w:hint="eastAsia" w:asciiTheme="minorEastAsia" w:hAnsiTheme="minorEastAsia" w:eastAsiaTheme="minorEastAsia" w:cstheme="minorEastAsia"/>
          <w:b/>
          <w:bCs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b/>
          <w:bCs w:val="0"/>
          <w:sz w:val="24"/>
          <w:szCs w:val="24"/>
          <w:highlight w:val="none"/>
          <w:u w:val="none"/>
          <w:shd w:val="clear" w:color="auto" w:fill="FFFFFF"/>
        </w:rPr>
        <w:t>分</w:t>
      </w:r>
      <w:r>
        <w:rPr>
          <w:rFonts w:hint="eastAsia" w:asciiTheme="minorEastAsia" w:hAnsiTheme="minorEastAsia" w:eastAsiaTheme="minorEastAsia" w:cstheme="minorEastAsia"/>
          <w:sz w:val="24"/>
          <w:szCs w:val="24"/>
          <w:highlight w:val="none"/>
          <w:shd w:val="clear" w:color="auto" w:fill="FFFFFF"/>
        </w:rPr>
        <w:t>（北京时间）前递交响应文件。</w:t>
      </w:r>
    </w:p>
    <w:p w14:paraId="72DCADB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一、项目基本情况</w:t>
      </w:r>
    </w:p>
    <w:p w14:paraId="3D00E4A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1、采购编号：</w:t>
      </w:r>
      <w:r>
        <w:rPr>
          <w:rFonts w:hint="eastAsia" w:asciiTheme="minorEastAsia" w:hAnsiTheme="minorEastAsia" w:eastAsiaTheme="minorEastAsia" w:cstheme="minorEastAsia"/>
          <w:sz w:val="24"/>
          <w:szCs w:val="24"/>
          <w:highlight w:val="none"/>
          <w:lang w:eastAsia="zh-CN"/>
        </w:rPr>
        <w:t>固财磋商采购-202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p>
    <w:p w14:paraId="438DF538">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宋体" w:hAnsi="宋体" w:cs="宋体"/>
          <w:kern w:val="0"/>
          <w:sz w:val="24"/>
          <w:szCs w:val="24"/>
          <w:highlight w:val="none"/>
          <w:lang w:eastAsia="zh-CN"/>
        </w:rPr>
        <w:t>固始县公安局采购一台不间断电源(UPS)系统项目</w:t>
      </w:r>
    </w:p>
    <w:p w14:paraId="68D4ED4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3、采购方式：竞争性磋商</w:t>
      </w:r>
    </w:p>
    <w:p w14:paraId="5D4A19B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4、预算金额：469083.00元</w:t>
      </w:r>
    </w:p>
    <w:p w14:paraId="349AE33B">
      <w:pPr>
        <w:wordWrap w:val="0"/>
        <w:spacing w:line="360" w:lineRule="auto"/>
        <w:ind w:firstLine="1080" w:firstLineChars="4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最高限价：</w:t>
      </w:r>
      <w:r>
        <w:rPr>
          <w:rFonts w:hint="eastAsia" w:asciiTheme="minorEastAsia" w:hAnsiTheme="minorEastAsia" w:eastAsiaTheme="minorEastAsia" w:cstheme="minorEastAsia"/>
          <w:sz w:val="24"/>
          <w:szCs w:val="24"/>
          <w:highlight w:val="none"/>
        </w:rPr>
        <w:t>469083.00</w:t>
      </w:r>
      <w:r>
        <w:rPr>
          <w:rFonts w:hint="eastAsia" w:asciiTheme="minorEastAsia" w:hAnsiTheme="minorEastAsia" w:eastAsiaTheme="minorEastAsia" w:cstheme="minorEastAsia"/>
          <w:sz w:val="24"/>
          <w:szCs w:val="24"/>
          <w:highlight w:val="none"/>
          <w:lang w:bidi="zh-CN"/>
        </w:rPr>
        <w:t>元</w:t>
      </w:r>
    </w:p>
    <w:tbl>
      <w:tblPr>
        <w:tblStyle w:val="53"/>
        <w:tblpPr w:leftFromText="180" w:rightFromText="180" w:vertAnchor="text" w:horzAnchor="page" w:tblpXSpec="center" w:tblpY="25"/>
        <w:tblW w:w="92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2580"/>
        <w:gridCol w:w="2970"/>
        <w:gridCol w:w="1316"/>
        <w:gridCol w:w="1672"/>
      </w:tblGrid>
      <w:tr w14:paraId="14229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665" w:type="dxa"/>
            <w:tcBorders>
              <w:top w:val="single" w:color="000000" w:sz="4" w:space="0"/>
              <w:left w:val="single" w:color="000000" w:sz="4" w:space="0"/>
              <w:bottom w:val="single" w:color="000000" w:sz="4" w:space="0"/>
              <w:right w:val="single" w:color="000000" w:sz="4" w:space="0"/>
            </w:tcBorders>
            <w:vAlign w:val="center"/>
          </w:tcPr>
          <w:p w14:paraId="4DD413F6">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序号</w:t>
            </w:r>
          </w:p>
        </w:tc>
        <w:tc>
          <w:tcPr>
            <w:tcW w:w="2580" w:type="dxa"/>
            <w:tcBorders>
              <w:top w:val="single" w:color="000000" w:sz="4" w:space="0"/>
              <w:left w:val="single" w:color="000000" w:sz="4" w:space="0"/>
              <w:bottom w:val="single" w:color="000000" w:sz="4" w:space="0"/>
              <w:right w:val="single" w:color="000000" w:sz="4" w:space="0"/>
            </w:tcBorders>
            <w:vAlign w:val="center"/>
          </w:tcPr>
          <w:p w14:paraId="6E83EC9E">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包号</w:t>
            </w:r>
          </w:p>
        </w:tc>
        <w:tc>
          <w:tcPr>
            <w:tcW w:w="2970" w:type="dxa"/>
            <w:tcBorders>
              <w:top w:val="single" w:color="000000" w:sz="4" w:space="0"/>
              <w:left w:val="single" w:color="000000" w:sz="4" w:space="0"/>
              <w:bottom w:val="single" w:color="000000" w:sz="4" w:space="0"/>
              <w:right w:val="single" w:color="auto" w:sz="4" w:space="0"/>
            </w:tcBorders>
            <w:vAlign w:val="center"/>
          </w:tcPr>
          <w:p w14:paraId="368B7F05">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项目名称</w:t>
            </w:r>
          </w:p>
        </w:tc>
        <w:tc>
          <w:tcPr>
            <w:tcW w:w="1316" w:type="dxa"/>
            <w:tcBorders>
              <w:top w:val="single" w:color="000000" w:sz="4" w:space="0"/>
              <w:left w:val="single" w:color="000000" w:sz="4" w:space="0"/>
              <w:bottom w:val="single" w:color="000000" w:sz="4" w:space="0"/>
              <w:right w:val="single" w:color="auto" w:sz="4" w:space="0"/>
            </w:tcBorders>
            <w:vAlign w:val="center"/>
          </w:tcPr>
          <w:p w14:paraId="6E0C7F13">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预算金额（元）</w:t>
            </w:r>
          </w:p>
        </w:tc>
        <w:tc>
          <w:tcPr>
            <w:tcW w:w="1672" w:type="dxa"/>
            <w:tcBorders>
              <w:top w:val="single" w:color="000000" w:sz="4" w:space="0"/>
              <w:left w:val="single" w:color="auto" w:sz="4" w:space="0"/>
              <w:bottom w:val="single" w:color="000000" w:sz="4" w:space="0"/>
              <w:right w:val="single" w:color="auto" w:sz="4" w:space="0"/>
            </w:tcBorders>
            <w:vAlign w:val="center"/>
          </w:tcPr>
          <w:p w14:paraId="6D1362C0">
            <w:pPr>
              <w:wordWrap w:val="0"/>
              <w:jc w:val="center"/>
              <w:rPr>
                <w:rFonts w:hint="eastAsia" w:asciiTheme="minorEastAsia" w:hAnsiTheme="minorEastAsia" w:eastAsiaTheme="minorEastAsia" w:cstheme="minorEastAsia"/>
                <w:sz w:val="24"/>
                <w:szCs w:val="24"/>
                <w:highlight w:val="none"/>
                <w:shd w:val="clear" w:color="auto" w:fill="FFFFFF"/>
              </w:rPr>
            </w:pPr>
            <w:r>
              <w:rPr>
                <w:rFonts w:hint="eastAsia" w:asciiTheme="minorEastAsia" w:hAnsiTheme="minorEastAsia" w:eastAsiaTheme="minorEastAsia" w:cstheme="minorEastAsia"/>
                <w:sz w:val="24"/>
                <w:szCs w:val="24"/>
                <w:highlight w:val="none"/>
                <w:shd w:val="clear" w:color="auto" w:fill="FFFFFF"/>
              </w:rPr>
              <w:t>最高限价（元）</w:t>
            </w:r>
          </w:p>
        </w:tc>
      </w:tr>
      <w:tr w14:paraId="6942E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665" w:type="dxa"/>
            <w:tcBorders>
              <w:top w:val="single" w:color="000000" w:sz="4" w:space="0"/>
              <w:left w:val="single" w:color="000000" w:sz="4" w:space="0"/>
              <w:right w:val="single" w:color="000000" w:sz="4" w:space="0"/>
            </w:tcBorders>
            <w:vAlign w:val="center"/>
          </w:tcPr>
          <w:p w14:paraId="02F2739A">
            <w:pPr>
              <w:wordWrap w:val="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rPr>
              <w:t>1</w:t>
            </w:r>
          </w:p>
        </w:tc>
        <w:tc>
          <w:tcPr>
            <w:tcW w:w="2580" w:type="dxa"/>
            <w:tcBorders>
              <w:top w:val="single" w:color="000000" w:sz="4" w:space="0"/>
              <w:left w:val="single" w:color="000000" w:sz="4" w:space="0"/>
              <w:bottom w:val="single" w:color="000000" w:sz="4" w:space="0"/>
              <w:right w:val="single" w:color="000000" w:sz="4" w:space="0"/>
            </w:tcBorders>
            <w:vAlign w:val="center"/>
          </w:tcPr>
          <w:p w14:paraId="7EB68826">
            <w:pPr>
              <w:wordWrap w:val="0"/>
              <w:jc w:val="center"/>
              <w:rPr>
                <w:rFonts w:hint="eastAsia" w:asciiTheme="minorEastAsia" w:hAnsiTheme="minorEastAsia" w:eastAsiaTheme="minorEastAsia" w:cstheme="minorEastAsia"/>
                <w:sz w:val="22"/>
                <w:szCs w:val="22"/>
                <w:highlight w:val="none"/>
                <w:shd w:val="clear" w:color="auto" w:fill="FFFFFF"/>
              </w:rPr>
            </w:pPr>
            <w:r>
              <w:rPr>
                <w:rFonts w:hint="eastAsia" w:asciiTheme="minorEastAsia" w:hAnsiTheme="minorEastAsia" w:eastAsiaTheme="minorEastAsia" w:cstheme="minorEastAsia"/>
                <w:sz w:val="22"/>
                <w:szCs w:val="22"/>
                <w:highlight w:val="none"/>
                <w:shd w:val="clear" w:color="auto" w:fill="FFFFFF"/>
                <w:lang w:eastAsia="zh-CN"/>
              </w:rPr>
              <w:t>固财磋商采购-202</w:t>
            </w:r>
            <w:r>
              <w:rPr>
                <w:rFonts w:hint="eastAsia" w:asciiTheme="minorEastAsia" w:hAnsiTheme="minorEastAsia" w:eastAsiaTheme="minorEastAsia" w:cstheme="minorEastAsia"/>
                <w:sz w:val="22"/>
                <w:szCs w:val="22"/>
                <w:highlight w:val="none"/>
                <w:shd w:val="clear" w:color="auto" w:fill="FFFFFF"/>
                <w:lang w:val="en-US" w:eastAsia="zh-CN"/>
              </w:rPr>
              <w:t>6</w:t>
            </w:r>
            <w:r>
              <w:rPr>
                <w:rFonts w:hint="eastAsia" w:asciiTheme="minorEastAsia" w:hAnsiTheme="minorEastAsia" w:eastAsiaTheme="minorEastAsia" w:cstheme="minorEastAsia"/>
                <w:sz w:val="22"/>
                <w:szCs w:val="22"/>
                <w:highlight w:val="none"/>
                <w:shd w:val="clear" w:color="auto" w:fill="FFFFFF"/>
                <w:lang w:eastAsia="zh-CN"/>
              </w:rPr>
              <w:t>-</w:t>
            </w:r>
            <w:r>
              <w:rPr>
                <w:rFonts w:hint="eastAsia" w:asciiTheme="minorEastAsia" w:hAnsiTheme="minorEastAsia" w:eastAsiaTheme="minorEastAsia" w:cstheme="minorEastAsia"/>
                <w:sz w:val="22"/>
                <w:szCs w:val="22"/>
                <w:highlight w:val="none"/>
                <w:shd w:val="clear" w:color="auto" w:fill="FFFFFF"/>
                <w:lang w:val="en-US" w:eastAsia="zh-CN"/>
              </w:rPr>
              <w:t>1</w:t>
            </w:r>
            <w:r>
              <w:rPr>
                <w:rFonts w:hint="eastAsia" w:asciiTheme="minorEastAsia" w:hAnsiTheme="minorEastAsia" w:eastAsiaTheme="minorEastAsia" w:cstheme="minorEastAsia"/>
                <w:sz w:val="22"/>
                <w:szCs w:val="22"/>
                <w:highlight w:val="none"/>
                <w:shd w:val="clear" w:color="auto" w:fill="FFFFFF"/>
              </w:rPr>
              <w:t>-1</w:t>
            </w:r>
          </w:p>
        </w:tc>
        <w:tc>
          <w:tcPr>
            <w:tcW w:w="2970" w:type="dxa"/>
            <w:tcBorders>
              <w:top w:val="single" w:color="000000" w:sz="4" w:space="0"/>
              <w:left w:val="single" w:color="000000" w:sz="4" w:space="0"/>
              <w:bottom w:val="single" w:color="000000" w:sz="4" w:space="0"/>
              <w:right w:val="single" w:color="auto" w:sz="4" w:space="0"/>
            </w:tcBorders>
            <w:vAlign w:val="center"/>
          </w:tcPr>
          <w:p w14:paraId="48DEE75F">
            <w:pPr>
              <w:wordWrap w:val="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宋体" w:hAnsi="宋体" w:cs="宋体"/>
                <w:kern w:val="0"/>
                <w:sz w:val="22"/>
                <w:szCs w:val="22"/>
                <w:highlight w:val="none"/>
                <w:lang w:eastAsia="zh-CN"/>
              </w:rPr>
              <w:t>固始县公安局采购一台不间断电源(UPS)系统项目</w:t>
            </w:r>
          </w:p>
        </w:tc>
        <w:tc>
          <w:tcPr>
            <w:tcW w:w="1316" w:type="dxa"/>
            <w:tcBorders>
              <w:top w:val="single" w:color="000000" w:sz="4" w:space="0"/>
              <w:left w:val="single" w:color="000000" w:sz="4" w:space="0"/>
              <w:bottom w:val="single" w:color="000000" w:sz="4" w:space="0"/>
              <w:right w:val="single" w:color="auto" w:sz="4" w:space="0"/>
            </w:tcBorders>
            <w:vAlign w:val="center"/>
          </w:tcPr>
          <w:p w14:paraId="1DD4CBD4">
            <w:pPr>
              <w:wordWrap w:val="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Theme="minorEastAsia" w:hAnsiTheme="minorEastAsia" w:eastAsiaTheme="minorEastAsia" w:cstheme="minorEastAsia"/>
                <w:sz w:val="22"/>
                <w:szCs w:val="22"/>
                <w:highlight w:val="none"/>
              </w:rPr>
              <w:t>469083.00</w:t>
            </w:r>
          </w:p>
        </w:tc>
        <w:tc>
          <w:tcPr>
            <w:tcW w:w="1672" w:type="dxa"/>
            <w:tcBorders>
              <w:top w:val="single" w:color="000000" w:sz="4" w:space="0"/>
              <w:left w:val="single" w:color="auto" w:sz="4" w:space="0"/>
              <w:bottom w:val="single" w:color="000000" w:sz="4" w:space="0"/>
              <w:right w:val="single" w:color="auto" w:sz="4" w:space="0"/>
            </w:tcBorders>
            <w:vAlign w:val="center"/>
          </w:tcPr>
          <w:p w14:paraId="5C543083">
            <w:pPr>
              <w:wordWrap w:val="0"/>
              <w:jc w:val="center"/>
              <w:rPr>
                <w:rFonts w:hint="eastAsia" w:asciiTheme="minorEastAsia" w:hAnsiTheme="minorEastAsia" w:eastAsiaTheme="minorEastAsia" w:cstheme="minorEastAsia"/>
                <w:sz w:val="22"/>
                <w:szCs w:val="22"/>
                <w:highlight w:val="none"/>
                <w:shd w:val="clear" w:color="auto" w:fill="FFFFFF"/>
                <w:lang w:eastAsia="zh-CN"/>
              </w:rPr>
            </w:pPr>
            <w:r>
              <w:rPr>
                <w:rFonts w:hint="eastAsia" w:asciiTheme="minorEastAsia" w:hAnsiTheme="minorEastAsia" w:eastAsiaTheme="minorEastAsia" w:cstheme="minorEastAsia"/>
                <w:sz w:val="22"/>
                <w:szCs w:val="22"/>
                <w:highlight w:val="none"/>
              </w:rPr>
              <w:t>469083.00</w:t>
            </w:r>
          </w:p>
        </w:tc>
      </w:tr>
    </w:tbl>
    <w:p w14:paraId="76D3ADA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p>
    <w:p w14:paraId="46952F1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5、采购需求：</w:t>
      </w:r>
      <w:r>
        <w:rPr>
          <w:rFonts w:hint="eastAsia" w:asciiTheme="minorEastAsia" w:hAnsiTheme="minorEastAsia" w:eastAsiaTheme="minorEastAsia" w:cstheme="minorEastAsia"/>
          <w:bCs/>
          <w:sz w:val="24"/>
          <w:szCs w:val="24"/>
          <w:highlight w:val="none"/>
        </w:rPr>
        <w:t>（包括但不限于标的的名称、数量、简要技术需求或服务要求等）：</w:t>
      </w:r>
    </w:p>
    <w:p w14:paraId="3E906528">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采购内容：采购</w:t>
      </w:r>
      <w:r>
        <w:rPr>
          <w:rFonts w:hint="eastAsia" w:asciiTheme="minorEastAsia" w:hAnsiTheme="minorEastAsia" w:eastAsiaTheme="minorEastAsia" w:cstheme="minorEastAsia"/>
          <w:sz w:val="24"/>
          <w:szCs w:val="24"/>
          <w:highlight w:val="none"/>
          <w:lang w:val="en-US" w:eastAsia="zh-CN"/>
        </w:rPr>
        <w:t>60KW UPS 主机、UPS电池、电池柜、汇流箱、市电输入电缆及桥架</w:t>
      </w:r>
      <w:r>
        <w:rPr>
          <w:rFonts w:hint="eastAsia" w:ascii="宋体" w:hAnsi="宋体" w:cs="宋体"/>
          <w:kern w:val="0"/>
          <w:sz w:val="24"/>
          <w:szCs w:val="24"/>
          <w:highlight w:val="none"/>
          <w:lang w:val="en-US" w:eastAsia="zh-CN"/>
        </w:rPr>
        <w:t>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具体</w:t>
      </w:r>
      <w:r>
        <w:rPr>
          <w:rFonts w:hint="eastAsia" w:asciiTheme="minorEastAsia" w:hAnsiTheme="minorEastAsia" w:eastAsiaTheme="minorEastAsia" w:cstheme="minorEastAsia"/>
          <w:sz w:val="24"/>
          <w:szCs w:val="24"/>
          <w:highlight w:val="none"/>
        </w:rPr>
        <w:t>详见磋商文件第五章。</w:t>
      </w:r>
    </w:p>
    <w:p w14:paraId="2BAF60CB">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5.2</w:t>
      </w:r>
      <w:r>
        <w:rPr>
          <w:rFonts w:hint="eastAsia" w:asciiTheme="minorEastAsia" w:hAnsiTheme="minorEastAsia" w:eastAsiaTheme="minorEastAsia" w:cstheme="minorEastAsia"/>
          <w:sz w:val="24"/>
          <w:szCs w:val="24"/>
          <w:highlight w:val="none"/>
          <w:lang w:val="en-US" w:eastAsia="zh-CN"/>
        </w:rPr>
        <w:t xml:space="preserve"> 供货期：30日历天；</w:t>
      </w:r>
    </w:p>
    <w:p w14:paraId="1989A61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5.3 </w:t>
      </w:r>
      <w:r>
        <w:rPr>
          <w:rFonts w:hint="eastAsia" w:asciiTheme="minorEastAsia" w:hAnsiTheme="minorEastAsia" w:eastAsiaTheme="minorEastAsia" w:cstheme="minorEastAsia"/>
          <w:sz w:val="24"/>
          <w:szCs w:val="24"/>
          <w:highlight w:val="none"/>
          <w:lang w:eastAsia="zh-CN"/>
        </w:rPr>
        <w:t>质量要求</w:t>
      </w:r>
      <w:r>
        <w:rPr>
          <w:rFonts w:hint="eastAsia" w:asciiTheme="minorEastAsia" w:hAnsiTheme="minorEastAsia" w:eastAsiaTheme="minorEastAsia" w:cstheme="minorEastAsia"/>
          <w:sz w:val="24"/>
          <w:szCs w:val="24"/>
          <w:highlight w:val="none"/>
        </w:rPr>
        <w:t>：达到国家相关行业合格标准；</w:t>
      </w:r>
    </w:p>
    <w:p w14:paraId="31D1AE73">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5.4 交货地点：采购人指定地点；</w:t>
      </w:r>
    </w:p>
    <w:p w14:paraId="5BF2DC7F">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6、合同履行期限：</w:t>
      </w:r>
      <w:r>
        <w:rPr>
          <w:rFonts w:hint="eastAsia" w:asciiTheme="minorEastAsia" w:hAnsiTheme="minorEastAsia" w:eastAsiaTheme="minorEastAsia" w:cstheme="minorEastAsia"/>
          <w:sz w:val="24"/>
          <w:szCs w:val="24"/>
          <w:highlight w:val="none"/>
          <w:lang w:val="en-US" w:eastAsia="zh-CN"/>
        </w:rPr>
        <w:t>30日历天</w:t>
      </w:r>
      <w:r>
        <w:rPr>
          <w:rFonts w:hint="eastAsia" w:asciiTheme="minorEastAsia" w:hAnsiTheme="minorEastAsia" w:eastAsiaTheme="minorEastAsia" w:cstheme="minorEastAsia"/>
          <w:sz w:val="24"/>
          <w:szCs w:val="24"/>
          <w:highlight w:val="none"/>
          <w:lang w:eastAsia="zh-CN"/>
        </w:rPr>
        <w:t>；</w:t>
      </w:r>
    </w:p>
    <w:p w14:paraId="6461AAA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7、是否接受进口产品投标：否</w:t>
      </w:r>
    </w:p>
    <w:p w14:paraId="21DB8CC7">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8、是否接受联合体投标：否</w:t>
      </w:r>
    </w:p>
    <w:p w14:paraId="3FF32450">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9、是否专门面向中小企业：</w:t>
      </w:r>
      <w:r>
        <w:rPr>
          <w:rFonts w:hint="eastAsia" w:asciiTheme="minorEastAsia" w:hAnsiTheme="minorEastAsia" w:eastAsiaTheme="minorEastAsia" w:cstheme="minorEastAsia"/>
          <w:sz w:val="24"/>
          <w:szCs w:val="24"/>
          <w:highlight w:val="none"/>
          <w:lang w:val="en-US" w:eastAsia="zh-CN"/>
        </w:rPr>
        <w:t>否</w:t>
      </w:r>
    </w:p>
    <w:p w14:paraId="4078DF08">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二、申请人的资格要求：</w:t>
      </w:r>
    </w:p>
    <w:p w14:paraId="4AD7222C">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6A15715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2、落实政府采购政策满足的资格要求：本项目落实节约能源、保护环境、扶持不发达地区和少数民族地区、促进中小微企业、监狱企业及残疾人福利性单位发展等政府采购政策；</w:t>
      </w:r>
    </w:p>
    <w:p w14:paraId="659B169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3、本项目的特定资格要求 </w:t>
      </w:r>
    </w:p>
    <w:p w14:paraId="3CC76142">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无</w:t>
      </w:r>
    </w:p>
    <w:p w14:paraId="33CCD33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4、其他说明：</w:t>
      </w:r>
    </w:p>
    <w:p w14:paraId="6EB7152D">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4.1本项目适用信用承诺（详见下述要求）。</w:t>
      </w:r>
    </w:p>
    <w:p w14:paraId="5457641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551C0720">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①供应商须具有独立承担民事责任的能力，提供法人或者其他组织的营业执照等证明文件；</w:t>
      </w:r>
    </w:p>
    <w:p w14:paraId="19403497">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②供应商须具有良好的商业信誉和健全的财务会计制度（提供2023年度或2024年度经审计的财务审计报告或提供基本户的开户行开具的银行资信证明）；</w:t>
      </w:r>
    </w:p>
    <w:p w14:paraId="2E986A05">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③供应商须具有履行合同所必需的设备和专业技术能力（提供相关证明材料或承诺函）；</w:t>
      </w:r>
    </w:p>
    <w:p w14:paraId="0EAB578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4A6FF04E">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⑤供应商参加政府采购活动前三年内，在经营活动中没有重大违法记录（提供声明函）；</w:t>
      </w:r>
    </w:p>
    <w:p w14:paraId="4BC91F58">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4.2单位负责人为同一人或者存在直接控股、管理关系的不同单位，不得同时参加同一合同项下的政府采购活动（提供承诺函）；</w:t>
      </w:r>
    </w:p>
    <w:p w14:paraId="544C414B">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r>
        <w:rPr>
          <w:rFonts w:hint="eastAsia" w:ascii="宋体" w:hAnsi="宋体" w:eastAsia="宋体" w:cs="宋体"/>
          <w:sz w:val="24"/>
          <w:szCs w:val="24"/>
          <w:highlight w:val="none"/>
        </w:rPr>
        <w:t>；</w:t>
      </w:r>
    </w:p>
    <w:p w14:paraId="4A0E8AE9">
      <w:pPr>
        <w:keepNext w:val="0"/>
        <w:keepLines w:val="0"/>
        <w:pageBreakBefore w:val="0"/>
        <w:kinsoku/>
        <w:wordWrap/>
        <w:overflowPunct/>
        <w:topLinePunct w:val="0"/>
        <w:autoSpaceDE w:val="0"/>
        <w:autoSpaceDN w:val="0"/>
        <w:bidi w:val="0"/>
        <w:adjustRightInd w:val="0"/>
        <w:snapToGrid/>
        <w:spacing w:line="440" w:lineRule="exact"/>
        <w:ind w:left="0" w:righ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4.4供应商在中标（成交）后，应将上述由信用承诺函替代的证明材料提交采购人（采购代理机构）核验，经核验无误后，由采购人发出中标（成交）通知书。</w:t>
      </w:r>
    </w:p>
    <w:p w14:paraId="7D1E56F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三、获取磋商文件</w:t>
      </w:r>
    </w:p>
    <w:p w14:paraId="6505244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日（北京时间）；每天上午08:00至12:00，下午12:00至18:00（北京时间，法定节假日除外。）</w:t>
      </w:r>
    </w:p>
    <w:p w14:paraId="7AD31F3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2、地点：“</w:t>
      </w:r>
      <w:r>
        <w:rPr>
          <w:rFonts w:hint="eastAsia" w:asciiTheme="minorEastAsia" w:hAnsiTheme="minorEastAsia" w:eastAsiaTheme="minorEastAsia" w:cstheme="minorEastAsia"/>
          <w:sz w:val="24"/>
          <w:szCs w:val="24"/>
          <w:highlight w:val="none"/>
          <w:lang w:eastAsia="zh-CN"/>
        </w:rPr>
        <w:t>《固始县公共资源交易网》</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w:t>
      </w:r>
    </w:p>
    <w:p w14:paraId="2F7E4D8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3、方式：供应商</w:t>
      </w:r>
      <w:r>
        <w:rPr>
          <w:rFonts w:hint="eastAsia" w:asciiTheme="minorEastAsia" w:hAnsiTheme="minorEastAsia" w:eastAsiaTheme="minorEastAsia" w:cstheme="minorEastAsia"/>
          <w:sz w:val="24"/>
          <w:szCs w:val="24"/>
          <w:highlight w:val="none"/>
          <w:lang w:val="en-US" w:eastAsia="zh-CN"/>
        </w:rPr>
        <w:t>登录固始县公共资源交易</w:t>
      </w:r>
      <w:r>
        <w:rPr>
          <w:rFonts w:hint="eastAsia" w:asciiTheme="minorEastAsia" w:hAnsiTheme="minorEastAsia" w:eastAsiaTheme="minorEastAsia" w:cstheme="minorEastAsia"/>
          <w:sz w:val="24"/>
          <w:szCs w:val="24"/>
          <w:highlight w:val="none"/>
        </w:rPr>
        <w:t>系统后，即可按网上提示免费下载磋商文件及资料（操作程序详见固始县公共资源交易中心网站下载中心栏目里供应商操作手册）。磋商文件(*.</w:t>
      </w:r>
      <w:r>
        <w:rPr>
          <w:rFonts w:hint="eastAsia" w:asciiTheme="minorEastAsia" w:hAnsiTheme="minorEastAsia" w:eastAsiaTheme="minorEastAsia" w:cstheme="minorEastAsia"/>
          <w:sz w:val="24"/>
          <w:szCs w:val="24"/>
          <w:highlight w:val="none"/>
          <w:lang w:eastAsia="zh-CN"/>
        </w:rPr>
        <w:t>XYZF</w:t>
      </w:r>
      <w:r>
        <w:rPr>
          <w:rFonts w:hint="eastAsia" w:asciiTheme="minorEastAsia" w:hAnsiTheme="minorEastAsia" w:eastAsiaTheme="minorEastAsia" w:cstheme="minorEastAsia"/>
          <w:sz w:val="24"/>
          <w:szCs w:val="24"/>
          <w:highlight w:val="none"/>
        </w:rPr>
        <w:t>格式)下载后需使用“固始县电子投标文件制作工具软件”打开（该工具软件可在“固始县公共资源交易中心（</w:t>
      </w:r>
      <w:r>
        <w:rPr>
          <w:rFonts w:hint="eastAsia" w:asciiTheme="minorEastAsia" w:hAnsiTheme="minorEastAsia" w:eastAsiaTheme="minorEastAsia" w:cstheme="minorEastAsia"/>
          <w:sz w:val="24"/>
          <w:szCs w:val="24"/>
          <w:highlight w:val="none"/>
          <w:lang w:eastAsia="zh-CN"/>
        </w:rPr>
        <w:t>https://ggzyjy.xinyang.gov.cn/gushi/</w:t>
      </w:r>
      <w:r>
        <w:rPr>
          <w:rFonts w:hint="eastAsia" w:asciiTheme="minorEastAsia" w:hAnsiTheme="minorEastAsia" w:eastAsiaTheme="minorEastAsia" w:cstheme="minorEastAsia"/>
          <w:sz w:val="24"/>
          <w:szCs w:val="24"/>
          <w:highlight w:val="none"/>
        </w:rPr>
        <w:t>）”网站下载中心栏目内下载或在磋商文件领取页面下载）。</w:t>
      </w:r>
    </w:p>
    <w:p w14:paraId="25A3AEDA">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4、售价：0元。</w:t>
      </w:r>
    </w:p>
    <w:p w14:paraId="41CD0C2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四、提交响应文件截止时间及地点</w:t>
      </w:r>
    </w:p>
    <w:p w14:paraId="1CC7EBD9">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rPr>
        <w:t>08时30分(北京时间）。</w:t>
      </w:r>
    </w:p>
    <w:p w14:paraId="18C996CD">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2、地点：投标人必须在投标截止时间前通过固始县公共资源交易中心电子招投标系统上传电子响应文件(*.</w:t>
      </w:r>
      <w:r>
        <w:rPr>
          <w:rFonts w:hint="eastAsia" w:asciiTheme="minorEastAsia" w:hAnsiTheme="minorEastAsia" w:eastAsiaTheme="minorEastAsia" w:cstheme="minorEastAsia"/>
          <w:sz w:val="24"/>
          <w:szCs w:val="24"/>
          <w:highlight w:val="none"/>
          <w:lang w:eastAsia="zh-CN"/>
        </w:rPr>
        <w:t>XYTF</w:t>
      </w:r>
      <w:r>
        <w:rPr>
          <w:rFonts w:hint="eastAsia" w:asciiTheme="minorEastAsia" w:hAnsiTheme="minorEastAsia" w:eastAsiaTheme="minorEastAsia" w:cstheme="minorEastAsia"/>
          <w:sz w:val="24"/>
          <w:szCs w:val="24"/>
          <w:highlight w:val="none"/>
        </w:rPr>
        <w:t>格式)。上传的电子响应文件应使用投标人CA数字证书认证并加密。</w:t>
      </w:r>
    </w:p>
    <w:p w14:paraId="26503647">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五、开标时间及地点</w:t>
      </w:r>
    </w:p>
    <w:p w14:paraId="61BF6B0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1、时间：</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19</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rPr>
        <w:t>08时30分(北京时间）</w:t>
      </w:r>
    </w:p>
    <w:p w14:paraId="5C4CDF4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2、地点：固始县公共资源交易中心六楼不见面</w:t>
      </w:r>
      <w:r>
        <w:rPr>
          <w:rFonts w:hint="eastAsia" w:asciiTheme="minorEastAsia" w:hAnsiTheme="minorEastAsia" w:eastAsiaTheme="minorEastAsia" w:cstheme="minorEastAsia"/>
          <w:sz w:val="24"/>
          <w:szCs w:val="24"/>
          <w:highlight w:val="none"/>
          <w:lang w:eastAsia="zh-CN"/>
        </w:rPr>
        <w:t>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开标室</w:t>
      </w:r>
      <w:r>
        <w:rPr>
          <w:rFonts w:hint="eastAsia" w:asciiTheme="minorEastAsia" w:hAnsiTheme="minorEastAsia" w:eastAsiaTheme="minorEastAsia" w:cstheme="minorEastAsia"/>
          <w:sz w:val="24"/>
          <w:szCs w:val="24"/>
          <w:highlight w:val="none"/>
        </w:rPr>
        <w:t>。</w:t>
      </w:r>
    </w:p>
    <w:p w14:paraId="4F36FC50">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六、发布公告的媒介及招标公告期限</w:t>
      </w:r>
    </w:p>
    <w:p w14:paraId="0E54D996">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本公告在《河南省政府采购网》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《全国公共资源交易平台(河南省·固始县)》</w:t>
      </w:r>
      <w:r>
        <w:rPr>
          <w:rFonts w:hint="eastAsia" w:asciiTheme="minorEastAsia" w:hAnsiTheme="minorEastAsia" w:eastAsiaTheme="minorEastAsia" w:cstheme="minorEastAsia"/>
          <w:sz w:val="24"/>
          <w:szCs w:val="24"/>
        </w:rPr>
        <w:t>上</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rPr>
        <w:t>发布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竞争性磋商</w:t>
      </w:r>
      <w:r>
        <w:rPr>
          <w:rFonts w:hint="eastAsia" w:asciiTheme="minorEastAsia" w:hAnsiTheme="minorEastAsia" w:eastAsiaTheme="minorEastAsia" w:cstheme="minorEastAsia"/>
          <w:sz w:val="24"/>
          <w:szCs w:val="24"/>
        </w:rPr>
        <w:t>公告期限为</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个工作日。</w:t>
      </w:r>
    </w:p>
    <w:p w14:paraId="2E0219ED">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七、其他补充事宜：</w:t>
      </w:r>
    </w:p>
    <w:p w14:paraId="15A1AE44">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各投标人应在投标文件递交截止时间前上传加密的电子响应文件到系统的指定位置。上传的电子响应文件应使用投标人CA数字证书认证并加密。上传时必须得到交易系统“上传成功”的确认回复后方为上传成功。请投标人在上传前务必认真检查上传响应文件是否完整、正确。</w:t>
      </w:r>
    </w:p>
    <w:p w14:paraId="1272884B">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请供应商下载磋商文件后，及时关注系统业务菜单（“答疑澄清文件领取”、“控制价文件领取”）内该项目是否有新的答疑澄清文件或控制价文件。如有请直接下载，不再另行通知。</w:t>
      </w:r>
    </w:p>
    <w:p w14:paraId="45E015AC">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采用“不见面开标”交易方式，不见面开标大厅网址为https://ggzyjy.xinyang.gov.cn/BidOpening/bidhall/xinyang/login.html。投标人无需寄送和递交非加密的电子投标文件，无需到现场参加开标会议，无需到达现场提交原件资料。</w:t>
      </w:r>
    </w:p>
    <w:p w14:paraId="6D98F121">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、投标人应当在投标截止时间前，使用投标人CA数字证书登录不见面开标大厅，在线签到并准时参加开标活动，并在规定时间内完成投标文件解密、答疑澄清等。</w:t>
      </w:r>
    </w:p>
    <w:p w14:paraId="00A55042">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、逾期解密或者没有准时在线签到参加开标活动导致的一切后果投标人自行承担。</w:t>
      </w:r>
    </w:p>
    <w:p w14:paraId="671A92C3">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、不见面开标服务的具体事宜，请查阅固始县公共资源交易中心网站首页—下载中心—固始县不见面开标大厅系统操作手册。</w:t>
      </w:r>
    </w:p>
    <w:p w14:paraId="75F859F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特别提示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投标人在线签到时，应如实准确的填写授权委托人的联系电话，开标当天请务必保证电话畅通，否则引发的后果由投标人自行承担。</w:t>
      </w:r>
    </w:p>
    <w:p w14:paraId="0802A581">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本项目评标以电子投标文件为依据，未在投标截止时间前上传电子投标文件的投标人，视为自动放弃其投标</w:t>
      </w:r>
      <w:r>
        <w:rPr>
          <w:rFonts w:hint="eastAsia" w:asciiTheme="minorEastAsia" w:hAnsiTheme="minorEastAsia" w:eastAsiaTheme="minorEastAsia" w:cstheme="minorEastAsia"/>
          <w:sz w:val="24"/>
          <w:szCs w:val="24"/>
        </w:rPr>
        <w:t>。</w:t>
      </w:r>
    </w:p>
    <w:p w14:paraId="0220205C">
      <w:pPr>
        <w:tabs>
          <w:tab w:val="left" w:pos="709"/>
        </w:tabs>
        <w:wordWrap w:val="0"/>
        <w:autoSpaceDE w:val="0"/>
        <w:autoSpaceDN w:val="0"/>
        <w:adjustRightInd w:val="0"/>
        <w:snapToGrid w:val="0"/>
        <w:spacing w:line="360" w:lineRule="auto"/>
        <w:ind w:left="210" w:leftChars="10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八、对本次招标提出询问，请按以下方式联系</w:t>
      </w:r>
    </w:p>
    <w:p w14:paraId="05086BEF">
      <w:pPr>
        <w:autoSpaceDE w:val="0"/>
        <w:autoSpaceDN w:val="0"/>
        <w:adjustRightInd w:val="0"/>
        <w:spacing w:line="360" w:lineRule="auto"/>
        <w:ind w:left="100" w:right="-20"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采购人</w:t>
      </w:r>
      <w:r>
        <w:rPr>
          <w:rFonts w:hint="eastAsia" w:ascii="宋体" w:hAnsi="宋体" w:cs="宋体"/>
          <w:kern w:val="0"/>
          <w:sz w:val="24"/>
          <w:szCs w:val="24"/>
          <w:highlight w:val="none"/>
        </w:rPr>
        <w:t>信息</w:t>
      </w:r>
    </w:p>
    <w:p w14:paraId="22E0A230">
      <w:pPr>
        <w:autoSpaceDE w:val="0"/>
        <w:autoSpaceDN w:val="0"/>
        <w:adjustRightInd w:val="0"/>
        <w:spacing w:line="360" w:lineRule="auto"/>
        <w:ind w:left="100" w:right="-20" w:firstLine="480" w:firstLineChars="200"/>
        <w:jc w:val="left"/>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名称</w:t>
      </w:r>
      <w:r>
        <w:rPr>
          <w:rFonts w:hint="eastAsia" w:ascii="宋体" w:hAnsi="宋体" w:cs="宋体"/>
          <w:b w:val="0"/>
          <w:bCs w:val="0"/>
          <w:color w:val="000000"/>
          <w:kern w:val="0"/>
          <w:sz w:val="24"/>
          <w:szCs w:val="24"/>
          <w:highlight w:val="none"/>
        </w:rPr>
        <w:t>：固始县</w:t>
      </w:r>
      <w:r>
        <w:rPr>
          <w:rFonts w:hint="eastAsia" w:ascii="宋体" w:hAnsi="宋体" w:cs="宋体"/>
          <w:b w:val="0"/>
          <w:bCs w:val="0"/>
          <w:color w:val="000000"/>
          <w:kern w:val="0"/>
          <w:sz w:val="24"/>
          <w:szCs w:val="24"/>
          <w:highlight w:val="none"/>
          <w:lang w:val="en-US" w:eastAsia="zh-CN"/>
        </w:rPr>
        <w:t>公安局</w:t>
      </w:r>
    </w:p>
    <w:p w14:paraId="08626F2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张健</w:t>
      </w:r>
    </w:p>
    <w:p w14:paraId="566BB854">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w:t>
      </w:r>
      <w:r>
        <w:rPr>
          <w:rFonts w:hint="eastAsia" w:ascii="宋体" w:hAnsi="宋体" w:eastAsia="宋体" w:cs="宋体"/>
          <w:b w:val="0"/>
          <w:bCs w:val="0"/>
          <w:color w:val="000000"/>
          <w:kern w:val="0"/>
          <w:sz w:val="24"/>
          <w:szCs w:val="24"/>
          <w:highlight w:val="none"/>
        </w:rPr>
        <w:t>电话：</w:t>
      </w:r>
      <w:r>
        <w:rPr>
          <w:rFonts w:hint="default" w:ascii="宋体" w:hAnsi="宋体" w:eastAsia="宋体" w:cs="宋体"/>
          <w:b w:val="0"/>
          <w:bCs w:val="0"/>
          <w:color w:val="000000"/>
          <w:kern w:val="0"/>
          <w:sz w:val="24"/>
          <w:szCs w:val="24"/>
          <w:highlight w:val="none"/>
          <w:lang w:val="en-US" w:eastAsia="zh-CN"/>
        </w:rPr>
        <w:t>0376-4656032</w:t>
      </w:r>
    </w:p>
    <w:p w14:paraId="31F68A7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 xml:space="preserve">联系地址：固始县蓼城大道与成功大道交叉口  </w:t>
      </w:r>
    </w:p>
    <w:p w14:paraId="29CB6330">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2.采购代理机构信息</w:t>
      </w:r>
    </w:p>
    <w:p w14:paraId="2F757B2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名    称：</w:t>
      </w:r>
      <w:r>
        <w:rPr>
          <w:rFonts w:hint="eastAsia" w:ascii="宋体" w:hAnsi="宋体" w:cs="宋体"/>
          <w:b w:val="0"/>
          <w:bCs w:val="0"/>
          <w:color w:val="000000"/>
          <w:kern w:val="0"/>
          <w:sz w:val="24"/>
          <w:szCs w:val="24"/>
          <w:highlight w:val="none"/>
          <w:lang w:eastAsia="zh-CN"/>
        </w:rPr>
        <w:t>固始县采购中心</w:t>
      </w:r>
      <w:r>
        <w:rPr>
          <w:rFonts w:hint="eastAsia" w:ascii="宋体" w:hAnsi="宋体" w:cs="宋体"/>
          <w:b w:val="0"/>
          <w:bCs w:val="0"/>
          <w:color w:val="000000"/>
          <w:kern w:val="0"/>
          <w:sz w:val="24"/>
          <w:szCs w:val="24"/>
          <w:highlight w:val="none"/>
        </w:rPr>
        <w:t>　　　　　　　　　　　　　　　　　　　　　　　</w:t>
      </w:r>
    </w:p>
    <w:p w14:paraId="4AE37EDA">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联系人：</w:t>
      </w:r>
      <w:r>
        <w:rPr>
          <w:rFonts w:hint="eastAsia" w:ascii="宋体" w:hAnsi="宋体" w:cs="宋体"/>
          <w:b w:val="0"/>
          <w:bCs w:val="0"/>
          <w:color w:val="000000"/>
          <w:kern w:val="0"/>
          <w:sz w:val="24"/>
          <w:szCs w:val="24"/>
          <w:highlight w:val="none"/>
          <w:lang w:val="en-US" w:eastAsia="zh-CN"/>
        </w:rPr>
        <w:t>王磊</w:t>
      </w:r>
      <w:r>
        <w:rPr>
          <w:rFonts w:hint="eastAsia" w:ascii="宋体" w:hAnsi="宋体" w:cs="宋体"/>
          <w:b w:val="0"/>
          <w:bCs w:val="0"/>
          <w:color w:val="000000"/>
          <w:kern w:val="0"/>
          <w:sz w:val="24"/>
          <w:szCs w:val="24"/>
          <w:highlight w:val="none"/>
        </w:rPr>
        <w:t xml:space="preserve"> </w:t>
      </w:r>
    </w:p>
    <w:p w14:paraId="67275A24">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联系方式：1</w:t>
      </w:r>
      <w:r>
        <w:rPr>
          <w:rFonts w:hint="eastAsia" w:ascii="宋体" w:hAnsi="宋体" w:cs="宋体"/>
          <w:b w:val="0"/>
          <w:bCs w:val="0"/>
          <w:color w:val="000000"/>
          <w:kern w:val="0"/>
          <w:sz w:val="24"/>
          <w:szCs w:val="24"/>
          <w:highlight w:val="none"/>
          <w:lang w:val="en-US" w:eastAsia="zh-CN"/>
        </w:rPr>
        <w:t>3607614246</w:t>
      </w:r>
      <w:r>
        <w:rPr>
          <w:rFonts w:hint="eastAsia" w:ascii="宋体" w:hAnsi="宋体" w:cs="宋体"/>
          <w:b w:val="0"/>
          <w:bCs w:val="0"/>
          <w:color w:val="000000"/>
          <w:kern w:val="0"/>
          <w:sz w:val="24"/>
          <w:szCs w:val="24"/>
          <w:highlight w:val="none"/>
        </w:rPr>
        <w:t xml:space="preserve"> </w:t>
      </w:r>
    </w:p>
    <w:p w14:paraId="2580CAFD">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地　　址：</w:t>
      </w:r>
      <w:r>
        <w:rPr>
          <w:rFonts w:hint="eastAsia" w:ascii="宋体" w:hAnsi="宋体" w:cs="宋体"/>
          <w:b w:val="0"/>
          <w:bCs w:val="0"/>
          <w:color w:val="000000"/>
          <w:kern w:val="0"/>
          <w:sz w:val="24"/>
          <w:szCs w:val="24"/>
          <w:highlight w:val="none"/>
          <w:lang w:val="en-US" w:eastAsia="zh-CN"/>
        </w:rPr>
        <w:t>固始县财政局1801室</w:t>
      </w:r>
      <w:r>
        <w:rPr>
          <w:rFonts w:hint="eastAsia" w:ascii="宋体" w:hAnsi="宋体" w:cs="宋体"/>
          <w:b w:val="0"/>
          <w:bCs w:val="0"/>
          <w:color w:val="000000"/>
          <w:kern w:val="0"/>
          <w:sz w:val="24"/>
          <w:szCs w:val="24"/>
          <w:highlight w:val="none"/>
        </w:rPr>
        <w:t xml:space="preserve">  </w:t>
      </w:r>
    </w:p>
    <w:p w14:paraId="4B6E7C63">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rPr>
        <w:t>3.项目联系方式</w:t>
      </w:r>
    </w:p>
    <w:p w14:paraId="4D3A0341">
      <w:pPr>
        <w:autoSpaceDE w:val="0"/>
        <w:autoSpaceDN w:val="0"/>
        <w:adjustRightInd w:val="0"/>
        <w:spacing w:line="360" w:lineRule="auto"/>
        <w:ind w:left="100" w:right="-20" w:firstLine="480" w:firstLineChars="200"/>
        <w:jc w:val="left"/>
        <w:rPr>
          <w:rFonts w:hint="eastAsia" w:ascii="宋体" w:hAnsi="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项目联系人：</w:t>
      </w:r>
      <w:r>
        <w:rPr>
          <w:rFonts w:hint="eastAsia" w:ascii="宋体" w:hAnsi="宋体" w:cs="宋体"/>
          <w:b w:val="0"/>
          <w:bCs w:val="0"/>
          <w:color w:val="000000"/>
          <w:kern w:val="0"/>
          <w:sz w:val="24"/>
          <w:szCs w:val="24"/>
          <w:highlight w:val="none"/>
          <w:lang w:val="en-US" w:eastAsia="zh-CN"/>
        </w:rPr>
        <w:t>张健</w:t>
      </w:r>
    </w:p>
    <w:p w14:paraId="66C396A3">
      <w:pPr>
        <w:autoSpaceDE w:val="0"/>
        <w:autoSpaceDN w:val="0"/>
        <w:adjustRightInd w:val="0"/>
        <w:spacing w:line="360" w:lineRule="auto"/>
        <w:ind w:left="100" w:right="-20" w:firstLine="480" w:firstLineChars="200"/>
        <w:jc w:val="left"/>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rPr>
        <w:t>联系电话：0376-4656032</w:t>
      </w:r>
    </w:p>
    <w:p w14:paraId="4C18DA8E">
      <w:pPr>
        <w:tabs>
          <w:tab w:val="left" w:pos="709"/>
        </w:tabs>
        <w:wordWrap w:val="0"/>
        <w:autoSpaceDE w:val="0"/>
        <w:autoSpaceDN w:val="0"/>
        <w:adjustRightInd w:val="0"/>
        <w:snapToGrid w:val="0"/>
        <w:spacing w:line="360" w:lineRule="auto"/>
        <w:ind w:left="210" w:leftChars="10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 xml:space="preserve"> </w:t>
      </w:r>
    </w:p>
    <w:p w14:paraId="7DDAEDB0">
      <w:pPr>
        <w:numPr>
          <w:ilvl w:val="0"/>
          <w:numId w:val="1"/>
        </w:num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0"/>
          <w:sz w:val="32"/>
          <w:szCs w:val="32"/>
        </w:rPr>
        <w:br w:type="page"/>
      </w:r>
      <w:bookmarkStart w:id="8" w:name="_Toc26326"/>
      <w:r>
        <w:rPr>
          <w:rFonts w:hint="eastAsia" w:ascii="宋体" w:hAnsi="宋体" w:cs="宋体"/>
          <w:b/>
          <w:bCs/>
          <w:kern w:val="0"/>
          <w:sz w:val="32"/>
          <w:szCs w:val="32"/>
          <w:lang w:val="en-US" w:eastAsia="zh-CN"/>
        </w:rPr>
        <w:t xml:space="preserve"> </w:t>
      </w:r>
      <w:bookmarkStart w:id="9" w:name="_Toc23165"/>
      <w:r>
        <w:rPr>
          <w:rFonts w:hint="eastAsia" w:ascii="宋体" w:hAnsi="宋体" w:cs="宋体"/>
          <w:b/>
          <w:bCs/>
          <w:kern w:val="44"/>
          <w:sz w:val="44"/>
          <w:szCs w:val="44"/>
        </w:rPr>
        <w:t>供应商须知</w:t>
      </w:r>
      <w:bookmarkEnd w:id="7"/>
      <w:bookmarkEnd w:id="8"/>
      <w:bookmarkEnd w:id="9"/>
    </w:p>
    <w:p w14:paraId="35B1AFA7">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8"/>
          <w:szCs w:val="28"/>
        </w:rPr>
      </w:pPr>
      <w:bookmarkStart w:id="10" w:name="_Toc2549"/>
      <w:r>
        <w:rPr>
          <w:rFonts w:hint="eastAsia" w:asciiTheme="minorEastAsia" w:hAnsiTheme="minorEastAsia" w:eastAsiaTheme="minorEastAsia" w:cstheme="minorEastAsia"/>
          <w:b/>
          <w:kern w:val="0"/>
          <w:sz w:val="28"/>
          <w:szCs w:val="28"/>
        </w:rPr>
        <w:t>供应商须知前附表</w:t>
      </w:r>
      <w:bookmarkEnd w:id="10"/>
    </w:p>
    <w:tbl>
      <w:tblPr>
        <w:tblStyle w:val="53"/>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416"/>
        <w:gridCol w:w="6392"/>
      </w:tblGrid>
      <w:tr w14:paraId="5A0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vAlign w:val="center"/>
          </w:tcPr>
          <w:p w14:paraId="0C30FA18">
            <w:pPr>
              <w:wordWrap w:val="0"/>
              <w:autoSpaceDE w:val="0"/>
              <w:autoSpaceDN w:val="0"/>
              <w:adjustRightInd w:val="0"/>
              <w:spacing w:before="72" w:beforeLines="30" w:line="288" w:lineRule="auto"/>
              <w:ind w:left="21" w:leftChars="10" w:right="21" w:rightChars="10"/>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条款号</w:t>
            </w:r>
          </w:p>
        </w:tc>
        <w:tc>
          <w:tcPr>
            <w:tcW w:w="2416" w:type="dxa"/>
            <w:vAlign w:val="center"/>
          </w:tcPr>
          <w:p w14:paraId="19FDAECB">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条 款 名 称</w:t>
            </w:r>
          </w:p>
        </w:tc>
        <w:tc>
          <w:tcPr>
            <w:tcW w:w="6392" w:type="dxa"/>
            <w:vAlign w:val="center"/>
          </w:tcPr>
          <w:p w14:paraId="3C1B67F4">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编 列 内 容</w:t>
            </w:r>
          </w:p>
        </w:tc>
      </w:tr>
      <w:tr w14:paraId="6B3B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6478F087">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28936340">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采购人</w:t>
            </w:r>
          </w:p>
        </w:tc>
        <w:tc>
          <w:tcPr>
            <w:tcW w:w="6392" w:type="dxa"/>
            <w:vAlign w:val="center"/>
          </w:tcPr>
          <w:p w14:paraId="38396DD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称：固始县公安局</w:t>
            </w:r>
          </w:p>
          <w:p w14:paraId="3CD4B90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 系 人：张健</w:t>
            </w:r>
          </w:p>
          <w:p w14:paraId="15DB159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联系电话：0376-4656032</w:t>
            </w:r>
          </w:p>
          <w:p w14:paraId="0869DBC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联系地址：固始县蓼城大道与成功大道交叉口  　</w:t>
            </w:r>
          </w:p>
        </w:tc>
      </w:tr>
      <w:tr w14:paraId="49D6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vAlign w:val="center"/>
          </w:tcPr>
          <w:p w14:paraId="52099451">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DF95F2A">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采购代理机构</w:t>
            </w:r>
          </w:p>
        </w:tc>
        <w:tc>
          <w:tcPr>
            <w:tcW w:w="6392" w:type="dxa"/>
            <w:vAlign w:val="center"/>
          </w:tcPr>
          <w:p w14:paraId="040835E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名    称：固始县采购中心　　</w:t>
            </w:r>
          </w:p>
          <w:p w14:paraId="44CA1FE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联 系 人：王磊 </w:t>
            </w:r>
          </w:p>
          <w:p w14:paraId="7C44F53D">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联系方式：13607614246</w:t>
            </w:r>
          </w:p>
          <w:p w14:paraId="1451E6B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地　　址：固始县财政局1801室   </w:t>
            </w:r>
          </w:p>
        </w:tc>
      </w:tr>
      <w:tr w14:paraId="4752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vAlign w:val="center"/>
          </w:tcPr>
          <w:p w14:paraId="1E46C29F">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4</w:t>
            </w:r>
          </w:p>
        </w:tc>
        <w:tc>
          <w:tcPr>
            <w:tcW w:w="2416" w:type="dxa"/>
            <w:vAlign w:val="center"/>
          </w:tcPr>
          <w:p w14:paraId="7ABCC1CA">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项目名称</w:t>
            </w:r>
          </w:p>
        </w:tc>
        <w:tc>
          <w:tcPr>
            <w:tcW w:w="6392" w:type="dxa"/>
            <w:vAlign w:val="center"/>
          </w:tcPr>
          <w:p w14:paraId="1B5060D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固始县公安局采购一台不间断电源(UPS)系统项目</w:t>
            </w:r>
          </w:p>
        </w:tc>
      </w:tr>
      <w:tr w14:paraId="1950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vAlign w:val="center"/>
          </w:tcPr>
          <w:p w14:paraId="1E41322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5</w:t>
            </w:r>
          </w:p>
        </w:tc>
        <w:tc>
          <w:tcPr>
            <w:tcW w:w="2416" w:type="dxa"/>
            <w:vAlign w:val="center"/>
          </w:tcPr>
          <w:p w14:paraId="7762970F">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采购方式</w:t>
            </w:r>
          </w:p>
        </w:tc>
        <w:tc>
          <w:tcPr>
            <w:tcW w:w="6392" w:type="dxa"/>
            <w:vAlign w:val="center"/>
          </w:tcPr>
          <w:p w14:paraId="272E534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竞争性磋商</w:t>
            </w:r>
          </w:p>
        </w:tc>
      </w:tr>
      <w:tr w14:paraId="41C7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vAlign w:val="center"/>
          </w:tcPr>
          <w:p w14:paraId="7107DA05">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6</w:t>
            </w:r>
          </w:p>
        </w:tc>
        <w:tc>
          <w:tcPr>
            <w:tcW w:w="2416" w:type="dxa"/>
            <w:vAlign w:val="center"/>
          </w:tcPr>
          <w:p w14:paraId="532868CB">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预算价（</w:t>
            </w: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kern w:val="0"/>
                <w:sz w:val="24"/>
                <w:szCs w:val="24"/>
              </w:rPr>
              <w:t>）</w:t>
            </w:r>
          </w:p>
        </w:tc>
        <w:tc>
          <w:tcPr>
            <w:tcW w:w="6392" w:type="dxa"/>
            <w:vAlign w:val="center"/>
          </w:tcPr>
          <w:p w14:paraId="0A26D49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￥：469083.00元</w:t>
            </w:r>
          </w:p>
          <w:p w14:paraId="7176AF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（大写：肆拾陆万玖仟零捌拾叁元整）</w:t>
            </w:r>
          </w:p>
          <w:p w14:paraId="149E9B1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投标报价超过预算价（最高限价）按无效投标处理</w:t>
            </w:r>
          </w:p>
        </w:tc>
      </w:tr>
      <w:tr w14:paraId="4B03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6" w:type="dxa"/>
            <w:vAlign w:val="center"/>
          </w:tcPr>
          <w:p w14:paraId="15A49B8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1.2.1</w:t>
            </w:r>
          </w:p>
        </w:tc>
        <w:tc>
          <w:tcPr>
            <w:tcW w:w="2416" w:type="dxa"/>
            <w:vAlign w:val="center"/>
          </w:tcPr>
          <w:p w14:paraId="2F8B4D71">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资金来源</w:t>
            </w:r>
          </w:p>
        </w:tc>
        <w:tc>
          <w:tcPr>
            <w:tcW w:w="6392" w:type="dxa"/>
            <w:vAlign w:val="center"/>
          </w:tcPr>
          <w:p w14:paraId="4881CBD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财政资金</w:t>
            </w:r>
          </w:p>
        </w:tc>
      </w:tr>
      <w:tr w14:paraId="6308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5FA3ACB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w:t>
            </w:r>
          </w:p>
        </w:tc>
        <w:tc>
          <w:tcPr>
            <w:tcW w:w="2416" w:type="dxa"/>
            <w:vAlign w:val="center"/>
          </w:tcPr>
          <w:p w14:paraId="07A34905">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出资比例</w:t>
            </w:r>
          </w:p>
        </w:tc>
        <w:tc>
          <w:tcPr>
            <w:tcW w:w="6392" w:type="dxa"/>
            <w:vAlign w:val="center"/>
          </w:tcPr>
          <w:p w14:paraId="2A264C8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100%</w:t>
            </w:r>
          </w:p>
        </w:tc>
      </w:tr>
      <w:tr w14:paraId="4EE8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16" w:type="dxa"/>
            <w:vAlign w:val="center"/>
          </w:tcPr>
          <w:p w14:paraId="4280605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.1</w:t>
            </w:r>
          </w:p>
        </w:tc>
        <w:tc>
          <w:tcPr>
            <w:tcW w:w="2416" w:type="dxa"/>
            <w:vAlign w:val="center"/>
          </w:tcPr>
          <w:p w14:paraId="7153CDF6">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采购内容</w:t>
            </w:r>
          </w:p>
        </w:tc>
        <w:tc>
          <w:tcPr>
            <w:tcW w:w="6392" w:type="dxa"/>
            <w:vAlign w:val="center"/>
          </w:tcPr>
          <w:p w14:paraId="7E385C5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采购60KW UPS 主机、UPS电池、电池柜、汇流箱、市电输入电缆及桥架等，具体详见磋商文件第五章。</w:t>
            </w:r>
          </w:p>
        </w:tc>
      </w:tr>
      <w:tr w14:paraId="11A2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22E37822">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50627A12">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sz w:val="24"/>
                <w:szCs w:val="24"/>
                <w:highlight w:val="none"/>
                <w:lang w:eastAsia="zh-CN"/>
              </w:rPr>
              <w:t>供货期</w:t>
            </w:r>
          </w:p>
        </w:tc>
        <w:tc>
          <w:tcPr>
            <w:tcW w:w="6392" w:type="dxa"/>
            <w:vAlign w:val="center"/>
          </w:tcPr>
          <w:p w14:paraId="779E0CB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30日历天；</w:t>
            </w:r>
          </w:p>
        </w:tc>
      </w:tr>
      <w:tr w14:paraId="380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16" w:type="dxa"/>
            <w:vAlign w:val="center"/>
          </w:tcPr>
          <w:p w14:paraId="30BC2FF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15F10C0">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eastAsia="zh-CN"/>
              </w:rPr>
              <w:t>质量要求</w:t>
            </w:r>
          </w:p>
        </w:tc>
        <w:tc>
          <w:tcPr>
            <w:tcW w:w="6392" w:type="dxa"/>
            <w:vAlign w:val="center"/>
          </w:tcPr>
          <w:p w14:paraId="6DCD2596">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达到国家相关行业合格标准；</w:t>
            </w:r>
          </w:p>
        </w:tc>
      </w:tr>
      <w:tr w14:paraId="26DD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16" w:type="dxa"/>
            <w:vAlign w:val="center"/>
          </w:tcPr>
          <w:p w14:paraId="7A348E0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1.3.4</w:t>
            </w:r>
          </w:p>
        </w:tc>
        <w:tc>
          <w:tcPr>
            <w:tcW w:w="2416" w:type="dxa"/>
            <w:vAlign w:val="center"/>
          </w:tcPr>
          <w:p w14:paraId="580BCBD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tc>
        <w:tc>
          <w:tcPr>
            <w:tcW w:w="6392" w:type="dxa"/>
            <w:vAlign w:val="center"/>
          </w:tcPr>
          <w:p w14:paraId="4B1E6D1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三年；</w:t>
            </w:r>
          </w:p>
        </w:tc>
      </w:tr>
      <w:tr w14:paraId="7A14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9" w:hRule="atLeast"/>
          <w:jc w:val="center"/>
        </w:trPr>
        <w:tc>
          <w:tcPr>
            <w:tcW w:w="916" w:type="dxa"/>
            <w:tcBorders>
              <w:top w:val="single" w:color="auto" w:sz="4" w:space="0"/>
            </w:tcBorders>
            <w:vAlign w:val="center"/>
          </w:tcPr>
          <w:p w14:paraId="170D9F64">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rPr>
              <w:t>.1</w:t>
            </w:r>
          </w:p>
        </w:tc>
        <w:tc>
          <w:tcPr>
            <w:tcW w:w="2416" w:type="dxa"/>
            <w:tcBorders>
              <w:top w:val="single" w:color="auto" w:sz="4" w:space="0"/>
            </w:tcBorders>
            <w:vAlign w:val="center"/>
          </w:tcPr>
          <w:p w14:paraId="107A8DB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供应商资格要求</w:t>
            </w:r>
          </w:p>
        </w:tc>
        <w:tc>
          <w:tcPr>
            <w:tcW w:w="6392" w:type="dxa"/>
            <w:tcBorders>
              <w:top w:val="single" w:color="auto" w:sz="4" w:space="0"/>
            </w:tcBorders>
            <w:vAlign w:val="center"/>
          </w:tcPr>
          <w:p w14:paraId="093B7F5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1、满足《中华人民共和国政府采购法》第二十二条规定；</w:t>
            </w:r>
          </w:p>
          <w:p w14:paraId="5544090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2、落实政府采购政策满足的资格要求：本项目落实节约能源、保护环境、扶持不发达地区、实施本国产品标准和少数民族地区、促进中小微企业、监狱企业及残疾人福利性单位发展等政府采购政策；</w:t>
            </w:r>
          </w:p>
          <w:p w14:paraId="159D369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3、本项目的特定资格要求 </w:t>
            </w:r>
          </w:p>
          <w:p w14:paraId="20FB9AF7">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p w14:paraId="312B3B86">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4、其他说明：</w:t>
            </w:r>
          </w:p>
          <w:p w14:paraId="7DD095E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4.1本项目适用信用承诺（详见下述要求）。</w:t>
            </w:r>
          </w:p>
          <w:p w14:paraId="0B3C2DC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本项目政府采购活动中，供应商在投标（响应）时，可对照资格要求进行自主核对，确定符合资格要求，按照规定提供相关承诺函（详见投标（响应）文件“资格证明材料”附件），供应商应在资格审查环节提供满足相应条件的书面承诺书，不再需要提供以下证明材料：</w:t>
            </w:r>
          </w:p>
          <w:p w14:paraId="29C67EC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①供应商须具有独立承担民事责任的能力，提供法人或者其他组织的营业执照等证明文件；</w:t>
            </w:r>
          </w:p>
          <w:p w14:paraId="2326784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②供应商须具有良好的商业信誉和健全的财务会计制度（提供2023年度或2024年度经审计的财务审计报告或提供基本户的开户行开具的银行资信证明）；</w:t>
            </w:r>
          </w:p>
          <w:p w14:paraId="48CCA92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③供应商须具有履行合同所必需的设备和专业技术能力（提供相关证明材料或承诺函）；</w:t>
            </w:r>
          </w:p>
          <w:p w14:paraId="660C1CF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④供应商依法缴纳税收和社会保险的良好记录（提供2025年01月以来任意3个月依法缴纳税收和社会保险的证明，成立不足三个月的提供自成立日以来的依法缴纳税收和社会保险的证明，依法免税和免缴纳社会保障金的须提供依法免缴纳证明）；</w:t>
            </w:r>
          </w:p>
          <w:p w14:paraId="03BA1A48">
            <w:pPr>
              <w:wordWrap w:val="0"/>
              <w:adjustRightInd w:val="0"/>
              <w:spacing w:line="340" w:lineRule="exact"/>
              <w:ind w:left="0" w:leftChars="0" w:firstLine="0" w:firstLineChars="0"/>
              <w:jc w:val="left"/>
              <w:textAlignment w:val="baseline"/>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⑤供应商参加政府采购活动前三年内，在经营活动中没有重大违法记录（提供声明函）；</w:t>
            </w:r>
          </w:p>
          <w:p w14:paraId="709732F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4.2单位负责人为同一人或者存在直接控股、管理关系的不同单位，不得同时参加同一合同项下的政府采购活动（提供承诺函）；</w:t>
            </w:r>
          </w:p>
          <w:p w14:paraId="562FB73C">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4.3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中国政府采购网（www.ccgp.gov.cn）查询“政府采购严重违法失信行为记录名单”渠道查询自身信用记录，提供查询网页截图，查询截止时点为：从公告发布之日起至投标截止之日止；</w:t>
            </w:r>
          </w:p>
          <w:p w14:paraId="32AF86F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4.4供应商在中标（成交）后，应将上述由信用承诺函替代的证明材料提交采购人（采购代理机构）核验，经核验无误后，由采购人发出中标（成交）通知书。</w:t>
            </w:r>
          </w:p>
        </w:tc>
      </w:tr>
      <w:tr w14:paraId="50B8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097730A6">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p>
        </w:tc>
        <w:tc>
          <w:tcPr>
            <w:tcW w:w="2416" w:type="dxa"/>
            <w:tcBorders>
              <w:top w:val="single" w:color="auto" w:sz="4" w:space="0"/>
            </w:tcBorders>
            <w:vAlign w:val="center"/>
          </w:tcPr>
          <w:p w14:paraId="7AAAE2E6">
            <w:pPr>
              <w:wordWrap w:val="0"/>
              <w:spacing w:line="3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392" w:type="dxa"/>
            <w:tcBorders>
              <w:top w:val="single" w:color="auto" w:sz="4" w:space="0"/>
            </w:tcBorders>
            <w:vAlign w:val="center"/>
          </w:tcPr>
          <w:p w14:paraId="3800268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不接受</w:t>
            </w:r>
          </w:p>
        </w:tc>
      </w:tr>
      <w:tr w14:paraId="14FD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F6A97B5">
            <w:pPr>
              <w:wordWrap w:val="0"/>
              <w:adjustRightInd w:val="0"/>
              <w:spacing w:line="34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9</w:t>
            </w:r>
          </w:p>
        </w:tc>
        <w:tc>
          <w:tcPr>
            <w:tcW w:w="2416" w:type="dxa"/>
            <w:tcBorders>
              <w:top w:val="single" w:color="auto" w:sz="4" w:space="0"/>
            </w:tcBorders>
            <w:vAlign w:val="center"/>
          </w:tcPr>
          <w:p w14:paraId="1B642187">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现场踏勘</w:t>
            </w:r>
          </w:p>
        </w:tc>
        <w:tc>
          <w:tcPr>
            <w:tcW w:w="6392" w:type="dxa"/>
            <w:tcBorders>
              <w:top w:val="single" w:color="auto" w:sz="4" w:space="0"/>
            </w:tcBorders>
            <w:vAlign w:val="center"/>
          </w:tcPr>
          <w:p w14:paraId="5D52BC7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自行踏勘</w:t>
            </w:r>
          </w:p>
        </w:tc>
      </w:tr>
      <w:tr w14:paraId="2514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45DCACD3">
            <w:pPr>
              <w:wordWrap w:val="0"/>
              <w:adjustRightInd w:val="0"/>
              <w:spacing w:line="34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10</w:t>
            </w:r>
          </w:p>
        </w:tc>
        <w:tc>
          <w:tcPr>
            <w:tcW w:w="2416" w:type="dxa"/>
            <w:tcBorders>
              <w:top w:val="single" w:color="auto" w:sz="4" w:space="0"/>
            </w:tcBorders>
            <w:vAlign w:val="center"/>
          </w:tcPr>
          <w:p w14:paraId="507172A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w:t>
            </w:r>
          </w:p>
        </w:tc>
        <w:tc>
          <w:tcPr>
            <w:tcW w:w="6392" w:type="dxa"/>
            <w:tcBorders>
              <w:top w:val="single" w:color="auto" w:sz="4" w:space="0"/>
            </w:tcBorders>
            <w:vAlign w:val="center"/>
          </w:tcPr>
          <w:p w14:paraId="544B0EB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不允许分包</w:t>
            </w:r>
          </w:p>
        </w:tc>
      </w:tr>
      <w:tr w14:paraId="1170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AAC8DB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416" w:type="dxa"/>
            <w:tcBorders>
              <w:top w:val="single" w:color="auto" w:sz="4" w:space="0"/>
            </w:tcBorders>
            <w:vAlign w:val="center"/>
          </w:tcPr>
          <w:p w14:paraId="3441C9A8">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w:t>
            </w:r>
          </w:p>
          <w:p w14:paraId="3B26B244">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的其他材料</w:t>
            </w:r>
          </w:p>
        </w:tc>
        <w:tc>
          <w:tcPr>
            <w:tcW w:w="6392" w:type="dxa"/>
            <w:tcBorders>
              <w:top w:val="single" w:color="auto" w:sz="4" w:space="0"/>
            </w:tcBorders>
            <w:vAlign w:val="center"/>
          </w:tcPr>
          <w:p w14:paraId="6961EEE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除磋商文件外，采购人在磋商期间发出的澄清、修改、补充、补遗和其它有效正式函件等内容均是磋商文件的组成部分</w:t>
            </w:r>
          </w:p>
        </w:tc>
      </w:tr>
      <w:tr w14:paraId="0AF4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5F60A017">
            <w:pPr>
              <w:wordWrap w:val="0"/>
              <w:adjustRightInd w:val="0"/>
              <w:spacing w:line="340" w:lineRule="exact"/>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p>
        </w:tc>
        <w:tc>
          <w:tcPr>
            <w:tcW w:w="2416" w:type="dxa"/>
            <w:tcBorders>
              <w:top w:val="single" w:color="auto" w:sz="4" w:space="0"/>
            </w:tcBorders>
            <w:vAlign w:val="center"/>
          </w:tcPr>
          <w:p w14:paraId="5EF42DF8">
            <w:pPr>
              <w:wordWrap w:val="0"/>
              <w:spacing w:line="3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采购人澄清磋商文件的截止时间</w:t>
            </w:r>
          </w:p>
        </w:tc>
        <w:tc>
          <w:tcPr>
            <w:tcW w:w="6392" w:type="dxa"/>
            <w:tcBorders>
              <w:top w:val="single" w:color="auto" w:sz="4" w:space="0"/>
            </w:tcBorders>
            <w:vAlign w:val="center"/>
          </w:tcPr>
          <w:p w14:paraId="783EE24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递交响应文件截止之日5天前</w:t>
            </w:r>
          </w:p>
        </w:tc>
      </w:tr>
      <w:tr w14:paraId="155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300D81D5">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2416" w:type="dxa"/>
            <w:tcBorders>
              <w:top w:val="single" w:color="auto" w:sz="4" w:space="0"/>
            </w:tcBorders>
            <w:vAlign w:val="center"/>
          </w:tcPr>
          <w:p w14:paraId="755F882D">
            <w:pPr>
              <w:wordWrap w:val="0"/>
              <w:spacing w:line="3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6392" w:type="dxa"/>
            <w:tcBorders>
              <w:top w:val="single" w:color="auto" w:sz="4" w:space="0"/>
            </w:tcBorders>
            <w:vAlign w:val="center"/>
          </w:tcPr>
          <w:p w14:paraId="6F7BBAE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在收到相应澄清文件后 24 小时内</w:t>
            </w:r>
          </w:p>
        </w:tc>
      </w:tr>
      <w:tr w14:paraId="4560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16" w:type="dxa"/>
            <w:tcBorders>
              <w:top w:val="single" w:color="auto" w:sz="4" w:space="0"/>
            </w:tcBorders>
            <w:vAlign w:val="center"/>
          </w:tcPr>
          <w:p w14:paraId="28474A26">
            <w:pPr>
              <w:wordWrap w:val="0"/>
              <w:adjustRightInd w:val="0"/>
              <w:spacing w:line="340" w:lineRule="exact"/>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p>
        </w:tc>
        <w:tc>
          <w:tcPr>
            <w:tcW w:w="2416" w:type="dxa"/>
            <w:tcBorders>
              <w:top w:val="single" w:color="auto" w:sz="4" w:space="0"/>
            </w:tcBorders>
            <w:vAlign w:val="center"/>
          </w:tcPr>
          <w:p w14:paraId="2D13E8FF">
            <w:pPr>
              <w:wordWrap w:val="0"/>
              <w:spacing w:line="3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6392" w:type="dxa"/>
            <w:tcBorders>
              <w:top w:val="single" w:color="auto" w:sz="4" w:space="0"/>
            </w:tcBorders>
            <w:vAlign w:val="center"/>
          </w:tcPr>
          <w:p w14:paraId="3BA71A9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在收到相应修改文件后 24 小时内</w:t>
            </w:r>
          </w:p>
        </w:tc>
      </w:tr>
      <w:tr w14:paraId="6E24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vAlign w:val="center"/>
          </w:tcPr>
          <w:p w14:paraId="0E50107D">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2416" w:type="dxa"/>
            <w:tcBorders>
              <w:bottom w:val="single" w:color="auto" w:sz="4" w:space="0"/>
            </w:tcBorders>
            <w:vAlign w:val="center"/>
          </w:tcPr>
          <w:p w14:paraId="43CDF5F2">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pacing w:val="-6"/>
                <w:kern w:val="0"/>
                <w:sz w:val="24"/>
                <w:szCs w:val="24"/>
              </w:rPr>
            </w:pPr>
            <w:r>
              <w:rPr>
                <w:rFonts w:hint="eastAsia" w:asciiTheme="minorEastAsia" w:hAnsiTheme="minorEastAsia" w:eastAsiaTheme="minorEastAsia" w:cstheme="minorEastAsia"/>
                <w:spacing w:val="-6"/>
                <w:kern w:val="0"/>
                <w:sz w:val="24"/>
                <w:szCs w:val="24"/>
              </w:rPr>
              <w:t>构成响应文件的其他材料</w:t>
            </w:r>
          </w:p>
        </w:tc>
        <w:tc>
          <w:tcPr>
            <w:tcW w:w="6392" w:type="dxa"/>
            <w:tcBorders>
              <w:bottom w:val="single" w:color="auto" w:sz="4" w:space="0"/>
            </w:tcBorders>
            <w:vAlign w:val="center"/>
          </w:tcPr>
          <w:p w14:paraId="190ACE0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供应商认为其他所需要补充的内容</w:t>
            </w:r>
          </w:p>
        </w:tc>
      </w:tr>
      <w:tr w14:paraId="1A21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2BEA7521">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p>
        </w:tc>
        <w:tc>
          <w:tcPr>
            <w:tcW w:w="2416" w:type="dxa"/>
            <w:vAlign w:val="center"/>
          </w:tcPr>
          <w:p w14:paraId="0425E726">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磋商报价</w:t>
            </w:r>
          </w:p>
        </w:tc>
        <w:tc>
          <w:tcPr>
            <w:tcW w:w="6392" w:type="dxa"/>
            <w:vAlign w:val="center"/>
          </w:tcPr>
          <w:p w14:paraId="2EB751D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自主报价，超出最高限价的文件为无效文件</w:t>
            </w:r>
          </w:p>
        </w:tc>
      </w:tr>
      <w:tr w14:paraId="4233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71ACAB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3.3</w:t>
            </w:r>
            <w:r>
              <w:rPr>
                <w:rFonts w:hint="eastAsia" w:asciiTheme="minorEastAsia" w:hAnsiTheme="minorEastAsia" w:eastAsiaTheme="minorEastAsia" w:cstheme="minorEastAsia"/>
                <w:kern w:val="0"/>
                <w:sz w:val="24"/>
                <w:szCs w:val="24"/>
                <w:lang w:val="en-US" w:eastAsia="zh-CN"/>
              </w:rPr>
              <w:t>.1</w:t>
            </w:r>
          </w:p>
        </w:tc>
        <w:tc>
          <w:tcPr>
            <w:tcW w:w="2416" w:type="dxa"/>
            <w:vAlign w:val="center"/>
          </w:tcPr>
          <w:p w14:paraId="63839912">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磋商有效期</w:t>
            </w:r>
          </w:p>
        </w:tc>
        <w:tc>
          <w:tcPr>
            <w:tcW w:w="6392" w:type="dxa"/>
            <w:vAlign w:val="center"/>
          </w:tcPr>
          <w:p w14:paraId="0DF58A2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60日历天（从磋商截止之日算起）</w:t>
            </w:r>
          </w:p>
        </w:tc>
      </w:tr>
      <w:tr w14:paraId="407C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16" w:type="dxa"/>
            <w:vAlign w:val="center"/>
          </w:tcPr>
          <w:p w14:paraId="55F7FBC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7.3</w:t>
            </w:r>
          </w:p>
        </w:tc>
        <w:tc>
          <w:tcPr>
            <w:tcW w:w="2416" w:type="dxa"/>
            <w:vAlign w:val="center"/>
          </w:tcPr>
          <w:p w14:paraId="6B2F869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响应文件签字和盖章要求</w:t>
            </w:r>
          </w:p>
        </w:tc>
        <w:tc>
          <w:tcPr>
            <w:tcW w:w="6392" w:type="dxa"/>
            <w:vAlign w:val="center"/>
          </w:tcPr>
          <w:p w14:paraId="42EE223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1、响应文件格式中所有要求供应商加盖公章的地方都须加盖供应商的 CA 印章。</w:t>
            </w:r>
          </w:p>
          <w:p w14:paraId="4AAAAB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2、所有要求法定代表人或其委托代理人签字的地方都须法定代表人或其委托代理人加盖CA印章或签字。</w:t>
            </w:r>
          </w:p>
        </w:tc>
      </w:tr>
      <w:tr w14:paraId="7C1E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vAlign w:val="center"/>
          </w:tcPr>
          <w:p w14:paraId="48DF6DC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0"/>
                <w:sz w:val="24"/>
                <w:szCs w:val="24"/>
                <w:lang w:val="en-US" w:eastAsia="zh-CN"/>
              </w:rPr>
              <w:t>7.4</w:t>
            </w:r>
          </w:p>
        </w:tc>
        <w:tc>
          <w:tcPr>
            <w:tcW w:w="2416" w:type="dxa"/>
            <w:vAlign w:val="center"/>
          </w:tcPr>
          <w:p w14:paraId="75B0E10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响应文件份数及其他要求</w:t>
            </w:r>
          </w:p>
        </w:tc>
        <w:tc>
          <w:tcPr>
            <w:tcW w:w="6392" w:type="dxa"/>
            <w:vAlign w:val="center"/>
          </w:tcPr>
          <w:p w14:paraId="72F8462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加密的电子响应文件壹份（*.XYTF 格式，在会员系统指定位置上传）</w:t>
            </w:r>
          </w:p>
        </w:tc>
      </w:tr>
      <w:tr w14:paraId="2E94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vAlign w:val="center"/>
          </w:tcPr>
          <w:p w14:paraId="3BC6032A">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en-US" w:eastAsia="zh-CN"/>
              </w:rPr>
              <w:t>2</w:t>
            </w:r>
          </w:p>
        </w:tc>
        <w:tc>
          <w:tcPr>
            <w:tcW w:w="2416" w:type="dxa"/>
            <w:vAlign w:val="center"/>
          </w:tcPr>
          <w:p w14:paraId="3334F49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响应文件递交</w:t>
            </w:r>
          </w:p>
        </w:tc>
        <w:tc>
          <w:tcPr>
            <w:tcW w:w="6392" w:type="dxa"/>
            <w:vAlign w:val="center"/>
          </w:tcPr>
          <w:p w14:paraId="6930FC0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1、电子响应文件的递交</w:t>
            </w:r>
          </w:p>
          <w:p w14:paraId="27A455F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各供应商应在投标截止时间前上传加密的电子响应文件（**.XYTF）到会员系统的指定位置。上传时必须得到交易系统“上传成功”的确认回复后方为上传成功。请供应商在上传前务必认真检查上传响应文件是否完整、正确。</w:t>
            </w:r>
          </w:p>
          <w:p w14:paraId="72741C6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项目采用“不见面开标”交易方式，不见面开标大厅网址为https://ggzyjy.xinyang.gov.cn/BidOpening/bidhall/xinyang/login.html，供应商无需寄送和递交非加密的电子响应文件，无需到现场参加开标会议，无需到达现场提交原件资料。</w:t>
            </w:r>
          </w:p>
        </w:tc>
      </w:tr>
      <w:tr w14:paraId="621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42D91E0A">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2416" w:type="dxa"/>
            <w:vAlign w:val="center"/>
          </w:tcPr>
          <w:p w14:paraId="27213F7B">
            <w:pPr>
              <w:wordWrap w:val="0"/>
              <w:adjustRightInd w:val="0"/>
              <w:spacing w:line="340" w:lineRule="exact"/>
              <w:jc w:val="center"/>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提交响应文件截止时间</w:t>
            </w:r>
          </w:p>
        </w:tc>
        <w:tc>
          <w:tcPr>
            <w:tcW w:w="6392" w:type="dxa"/>
            <w:vAlign w:val="center"/>
          </w:tcPr>
          <w:p w14:paraId="14F0943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2026年1月19日08时30分</w:t>
            </w:r>
          </w:p>
        </w:tc>
      </w:tr>
      <w:tr w14:paraId="19DA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vAlign w:val="center"/>
          </w:tcPr>
          <w:p w14:paraId="396E3FF1">
            <w:pPr>
              <w:wordWrap w:val="0"/>
              <w:adjustRightInd w:val="0"/>
              <w:spacing w:line="340" w:lineRule="exact"/>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2</w:t>
            </w:r>
          </w:p>
        </w:tc>
        <w:tc>
          <w:tcPr>
            <w:tcW w:w="2416" w:type="dxa"/>
            <w:vAlign w:val="center"/>
          </w:tcPr>
          <w:p w14:paraId="0734A2E0">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磋商时间和地点</w:t>
            </w:r>
          </w:p>
        </w:tc>
        <w:tc>
          <w:tcPr>
            <w:tcW w:w="6392" w:type="dxa"/>
            <w:vAlign w:val="center"/>
          </w:tcPr>
          <w:p w14:paraId="48897FFC">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磋商时间：同响应文件提交截止时间</w:t>
            </w:r>
          </w:p>
          <w:p w14:paraId="4430732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磋商地点：固始县公共资源交易中心六楼不见面第二开标室</w:t>
            </w:r>
          </w:p>
        </w:tc>
      </w:tr>
      <w:tr w14:paraId="1278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vAlign w:val="center"/>
          </w:tcPr>
          <w:p w14:paraId="3AD0FEC3">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6.1</w:t>
            </w:r>
          </w:p>
        </w:tc>
        <w:tc>
          <w:tcPr>
            <w:tcW w:w="2416" w:type="dxa"/>
            <w:vAlign w:val="center"/>
          </w:tcPr>
          <w:p w14:paraId="55E1001A">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评标委员会的组建</w:t>
            </w:r>
          </w:p>
        </w:tc>
        <w:tc>
          <w:tcPr>
            <w:tcW w:w="6392" w:type="dxa"/>
            <w:vAlign w:val="center"/>
          </w:tcPr>
          <w:p w14:paraId="5A33116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磋商小组构成：3人，其中业主评委1人，技术、经济类专家2人；</w:t>
            </w:r>
          </w:p>
          <w:p w14:paraId="3BB122F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专家确定方式：磋商前从政府采购专家库中随机抽取。</w:t>
            </w:r>
          </w:p>
        </w:tc>
      </w:tr>
      <w:tr w14:paraId="670C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vAlign w:val="center"/>
          </w:tcPr>
          <w:p w14:paraId="0DAEB5EF">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7.1</w:t>
            </w:r>
          </w:p>
        </w:tc>
        <w:tc>
          <w:tcPr>
            <w:tcW w:w="2416" w:type="dxa"/>
            <w:vAlign w:val="center"/>
          </w:tcPr>
          <w:p w14:paraId="4C271C2D">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是否授权评标委员会确定中标人</w:t>
            </w:r>
          </w:p>
        </w:tc>
        <w:tc>
          <w:tcPr>
            <w:tcW w:w="6392" w:type="dxa"/>
            <w:vAlign w:val="center"/>
          </w:tcPr>
          <w:p w14:paraId="373B901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否，推荐1-3名中标候选人。</w:t>
            </w:r>
          </w:p>
        </w:tc>
      </w:tr>
      <w:tr w14:paraId="232D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71CE3BAE">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7.</w:t>
            </w:r>
            <w:r>
              <w:rPr>
                <w:rFonts w:hint="eastAsia" w:asciiTheme="minorEastAsia" w:hAnsiTheme="minorEastAsia" w:eastAsiaTheme="minorEastAsia" w:cstheme="minorEastAsia"/>
                <w:kern w:val="0"/>
                <w:sz w:val="24"/>
                <w:szCs w:val="24"/>
                <w:lang w:val="en-US" w:eastAsia="zh-CN"/>
              </w:rPr>
              <w:t>3</w:t>
            </w:r>
          </w:p>
        </w:tc>
        <w:tc>
          <w:tcPr>
            <w:tcW w:w="2416" w:type="dxa"/>
            <w:vAlign w:val="center"/>
          </w:tcPr>
          <w:p w14:paraId="441942F4">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履约保证金</w:t>
            </w:r>
          </w:p>
        </w:tc>
        <w:tc>
          <w:tcPr>
            <w:tcW w:w="6392" w:type="dxa"/>
            <w:vAlign w:val="center"/>
          </w:tcPr>
          <w:p w14:paraId="416D80E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无</w:t>
            </w:r>
          </w:p>
        </w:tc>
      </w:tr>
      <w:tr w14:paraId="1561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016D435D">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10.1</w:t>
            </w:r>
          </w:p>
        </w:tc>
        <w:tc>
          <w:tcPr>
            <w:tcW w:w="2416" w:type="dxa"/>
            <w:vAlign w:val="center"/>
          </w:tcPr>
          <w:p w14:paraId="254DB6BE">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付款方式</w:t>
            </w:r>
          </w:p>
        </w:tc>
        <w:tc>
          <w:tcPr>
            <w:tcW w:w="6392" w:type="dxa"/>
            <w:vAlign w:val="center"/>
          </w:tcPr>
          <w:p w14:paraId="3D2A27B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由采购人和中标供应商在合同中约定</w:t>
            </w:r>
          </w:p>
        </w:tc>
      </w:tr>
      <w:tr w14:paraId="7117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16" w:type="dxa"/>
            <w:vAlign w:val="center"/>
          </w:tcPr>
          <w:p w14:paraId="023A1E7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10.2</w:t>
            </w:r>
          </w:p>
        </w:tc>
        <w:tc>
          <w:tcPr>
            <w:tcW w:w="2416" w:type="dxa"/>
            <w:vAlign w:val="center"/>
          </w:tcPr>
          <w:p w14:paraId="702A4ADB">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本项目所属行业</w:t>
            </w:r>
          </w:p>
        </w:tc>
        <w:tc>
          <w:tcPr>
            <w:tcW w:w="6392" w:type="dxa"/>
            <w:vAlign w:val="center"/>
          </w:tcPr>
          <w:p w14:paraId="73CF83F9">
            <w:pPr>
              <w:wordWrap w:val="0"/>
              <w:autoSpaceDE w:val="0"/>
              <w:autoSpaceDN w:val="0"/>
              <w:adjustRightInd w:val="0"/>
              <w:spacing w:before="72" w:beforeLines="30" w:line="288" w:lineRule="auto"/>
              <w:ind w:left="21" w:leftChars="10" w:right="21" w:rightChars="1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工业</w:t>
            </w:r>
          </w:p>
        </w:tc>
      </w:tr>
      <w:tr w14:paraId="45C1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Align w:val="center"/>
          </w:tcPr>
          <w:p w14:paraId="4C7AA7E9">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10.3</w:t>
            </w:r>
          </w:p>
        </w:tc>
        <w:tc>
          <w:tcPr>
            <w:tcW w:w="2416" w:type="dxa"/>
            <w:vAlign w:val="center"/>
          </w:tcPr>
          <w:p w14:paraId="59589C35">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本项目核心产品</w:t>
            </w:r>
          </w:p>
        </w:tc>
        <w:tc>
          <w:tcPr>
            <w:tcW w:w="6392" w:type="dxa"/>
            <w:vAlign w:val="center"/>
          </w:tcPr>
          <w:p w14:paraId="42CA1CE2">
            <w:pPr>
              <w:wordWrap w:val="0"/>
              <w:autoSpaceDE w:val="0"/>
              <w:autoSpaceDN w:val="0"/>
              <w:adjustRightInd w:val="0"/>
              <w:spacing w:before="72" w:beforeLines="30" w:line="288" w:lineRule="auto"/>
              <w:ind w:left="21" w:leftChars="10" w:right="21" w:rightChars="1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 UPS电池</w:t>
            </w:r>
          </w:p>
        </w:tc>
      </w:tr>
      <w:tr w14:paraId="12ED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24" w:type="dxa"/>
            <w:gridSpan w:val="3"/>
            <w:vAlign w:val="center"/>
          </w:tcPr>
          <w:p w14:paraId="0D6E0E48">
            <w:pPr>
              <w:wordWrap w:val="0"/>
              <w:autoSpaceDE w:val="0"/>
              <w:autoSpaceDN w:val="0"/>
              <w:adjustRightInd w:val="0"/>
              <w:spacing w:before="72" w:beforeLines="30" w:line="288" w:lineRule="auto"/>
              <w:ind w:left="21" w:leftChars="10" w:right="21" w:rightChars="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w:t>
            </w:r>
          </w:p>
        </w:tc>
      </w:tr>
      <w:tr w14:paraId="7BE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09DEA4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6392" w:type="dxa"/>
            <w:vAlign w:val="center"/>
          </w:tcPr>
          <w:p w14:paraId="09FC3F8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2C9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36BEEC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质疑（异议）、投诉</w:t>
            </w:r>
          </w:p>
        </w:tc>
        <w:tc>
          <w:tcPr>
            <w:tcW w:w="6392" w:type="dxa"/>
            <w:vAlign w:val="center"/>
          </w:tcPr>
          <w:p w14:paraId="57F6AFA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和其他利害关系人认为本次招标活动违反法律、法规和规章规定的，可以自知道或者应当知道之日起10日内；供应商对采购文件、采购过程、中标或者成交结果的有质疑（异议），可以在知道或者应知其权益受到损害之日起7个工作日内；在固始县公共资源交易平台上网上质疑（异议）、投诉通道一次性提出（在线上质疑（异议）、投诉的同时，供应商也可向招标人或招标代理机构提供书面申请）。</w:t>
            </w:r>
          </w:p>
          <w:p w14:paraId="053F08A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操作流程详见</w:t>
            </w:r>
          </w:p>
          <w:p w14:paraId="287AC10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“质疑流程https://ggzyjy.xinyang.gov.cn/gushi//xzjd/001001/20230424/24338233-8372-48ba-9519-a74188f109aa.html”</w:t>
            </w:r>
          </w:p>
          <w:p w14:paraId="6A022BD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“投诉流程https://ggzyjy.xinyang.gov.cn/gushi//xzjd/001001/20230421/d6715f40-071e-4cb1-acf3-26d64cf67d8a.html”。采购人或采购代理机构不接受投标人对同一采购环节的多次质疑。</w:t>
            </w:r>
          </w:p>
        </w:tc>
      </w:tr>
      <w:tr w14:paraId="73FF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75F1B079">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标书雷同性分析</w:t>
            </w:r>
          </w:p>
        </w:tc>
        <w:tc>
          <w:tcPr>
            <w:tcW w:w="6392" w:type="dxa"/>
            <w:vAlign w:val="center"/>
          </w:tcPr>
          <w:p w14:paraId="1304D270">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文件制作机器码、文件创建标识码有相同的按废标处理。</w:t>
            </w:r>
          </w:p>
        </w:tc>
      </w:tr>
      <w:tr w14:paraId="2876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1AA21D9B">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6392" w:type="dxa"/>
            <w:vAlign w:val="center"/>
          </w:tcPr>
          <w:p w14:paraId="3AB05559">
            <w:pPr>
              <w:wordWrap w:val="0"/>
              <w:adjustRightInd w:val="0"/>
              <w:spacing w:line="340" w:lineRule="exact"/>
              <w:ind w:left="0" w:leftChars="0" w:firstLine="0" w:firstLineChars="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按照政府采购法及其条例规定，本项目由固始县政府集中采购部门免费代理。中标方不需要交纳代理服务费。</w:t>
            </w:r>
          </w:p>
        </w:tc>
      </w:tr>
      <w:tr w14:paraId="0408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332" w:type="dxa"/>
            <w:gridSpan w:val="2"/>
            <w:vAlign w:val="center"/>
          </w:tcPr>
          <w:p w14:paraId="5FDAD680">
            <w:pPr>
              <w:wordWrap w:val="0"/>
              <w:adjustRightInd w:val="0"/>
              <w:spacing w:line="340" w:lineRule="exact"/>
              <w:jc w:val="center"/>
              <w:textAlignment w:val="baseline"/>
              <w:rPr>
                <w:rFonts w:hint="eastAsia" w:asciiTheme="minorEastAsia" w:hAnsiTheme="minorEastAsia" w:eastAsiaTheme="minorEastAsia" w:cstheme="minorEastAsia"/>
                <w:sz w:val="24"/>
                <w:szCs w:val="24"/>
              </w:rPr>
            </w:pPr>
            <w:bookmarkStart w:id="11" w:name="_Toc27364"/>
            <w:bookmarkStart w:id="12" w:name="_Toc16296"/>
            <w:bookmarkStart w:id="13" w:name="_Toc3568"/>
            <w:bookmarkStart w:id="14" w:name="_Toc195921851"/>
            <w:r>
              <w:rPr>
                <w:rFonts w:hint="eastAsia" w:asciiTheme="minorEastAsia" w:hAnsiTheme="minorEastAsia" w:eastAsiaTheme="minorEastAsia" w:cstheme="minorEastAsia"/>
                <w:sz w:val="24"/>
                <w:szCs w:val="24"/>
                <w:lang w:eastAsia="zh-CN"/>
              </w:rPr>
              <w:t>相同品牌产品的处理</w:t>
            </w:r>
          </w:p>
        </w:tc>
        <w:tc>
          <w:tcPr>
            <w:tcW w:w="6392" w:type="dxa"/>
            <w:vAlign w:val="center"/>
          </w:tcPr>
          <w:p w14:paraId="046853C9">
            <w:pPr>
              <w:wordWrap w:val="0"/>
              <w:adjustRightInd w:val="0"/>
              <w:spacing w:line="340" w:lineRule="exact"/>
              <w:ind w:firstLine="420" w:firstLineChars="20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提供相同品牌产品且通过资格审查、符合性审查的不同供应商参加同一合同项目投标的，按一家供应商计算，评审后得分最高的同品牌供应商获得中标人推荐资格；评审得分相同的，确定报价较低的一个供应商获得中标人推荐资格；</w:t>
            </w:r>
          </w:p>
          <w:p w14:paraId="688189A8">
            <w:pPr>
              <w:wordWrap w:val="0"/>
              <w:adjustRightInd w:val="0"/>
              <w:spacing w:line="340" w:lineRule="exact"/>
              <w:ind w:firstLine="420" w:firstLineChars="20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2、提供相同品牌产品且通过资格审查、符合性审查的不同供应商参加同一合同项目投标的，已确定中标候选人的其他同品牌供应商不再推荐为中标候选人。</w:t>
            </w:r>
          </w:p>
          <w:p w14:paraId="135B695A">
            <w:pPr>
              <w:wordWrap w:val="0"/>
              <w:adjustRightInd w:val="0"/>
              <w:spacing w:line="340" w:lineRule="exact"/>
              <w:ind w:firstLine="420" w:firstLineChars="200"/>
              <w:jc w:val="left"/>
              <w:textAlignment w:val="baseline"/>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1"/>
                <w:szCs w:val="21"/>
                <w:highlight w:val="none"/>
                <w:lang w:val="en-US" w:eastAsia="zh-CN" w:bidi="ar-SA"/>
              </w:rPr>
              <w:t>3、非单一产品采购项目，多家供应商提供的核心产品品牌相同的，视为提供相同品牌产品。</w:t>
            </w:r>
          </w:p>
        </w:tc>
      </w:tr>
    </w:tbl>
    <w:p w14:paraId="70D2EE2D">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1.总则</w:t>
      </w:r>
      <w:bookmarkEnd w:id="11"/>
      <w:bookmarkEnd w:id="12"/>
      <w:bookmarkStart w:id="15" w:name="_Toc29023"/>
      <w:bookmarkStart w:id="16" w:name="_Toc20827"/>
      <w:bookmarkStart w:id="17" w:name="_Toc1172"/>
      <w:bookmarkStart w:id="18" w:name="_Toc31404"/>
      <w:bookmarkStart w:id="19" w:name="_Toc10273"/>
      <w:bookmarkStart w:id="20" w:name="_Toc15709"/>
      <w:bookmarkStart w:id="21" w:name="_Toc455867769"/>
      <w:bookmarkStart w:id="22" w:name="_Toc6747"/>
      <w:bookmarkStart w:id="23" w:name="_Toc21458"/>
      <w:bookmarkStart w:id="24" w:name="_Toc274409866"/>
      <w:bookmarkStart w:id="25" w:name="_Toc466298092"/>
      <w:bookmarkStart w:id="26" w:name="_Toc9136"/>
      <w:bookmarkStart w:id="27" w:name="_Toc281380952"/>
      <w:bookmarkStart w:id="28" w:name="_Toc490667828"/>
      <w:bookmarkStart w:id="29" w:name="_Toc318450675"/>
      <w:bookmarkStart w:id="30" w:name="_Toc21266"/>
      <w:bookmarkStart w:id="31" w:name="_Toc658"/>
      <w:bookmarkStart w:id="32" w:name="_Toc455080109"/>
      <w:bookmarkStart w:id="33" w:name="_Toc152042307"/>
      <w:bookmarkStart w:id="34" w:name="_Toc144974499"/>
      <w:bookmarkStart w:id="35" w:name="_Toc152045531"/>
    </w:p>
    <w:p w14:paraId="69D1398F">
      <w:pPr>
        <w:wordWrap w:val="0"/>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 xml:space="preserve">1.1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Theme="minorEastAsia" w:hAnsiTheme="minorEastAsia" w:eastAsiaTheme="minorEastAsia" w:cstheme="minorEastAsia"/>
          <w:b/>
          <w:bCs/>
          <w:sz w:val="24"/>
          <w:szCs w:val="24"/>
          <w:lang w:val="en-US" w:eastAsia="zh-CN"/>
        </w:rPr>
        <w:t>采购项目概括</w:t>
      </w:r>
    </w:p>
    <w:p w14:paraId="304A6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根据《中华人民共和国政府采购法》、《中华人民共和国政府采购法实施条例》、《政府采购竞争性磋商采购方式管理暂行办法》等有关法律、法规和规章的规定，编制本项目磋商文件。</w:t>
      </w:r>
      <w:bookmarkStart w:id="36" w:name="_Toc3336"/>
      <w:bookmarkStart w:id="37" w:name="_Toc25773"/>
      <w:bookmarkStart w:id="38" w:name="_Toc24852"/>
      <w:bookmarkStart w:id="39" w:name="_Toc32619"/>
      <w:bookmarkStart w:id="40" w:name="_Toc31929"/>
      <w:bookmarkStart w:id="41" w:name="_Toc466298093"/>
      <w:bookmarkStart w:id="42" w:name="_Toc2929"/>
      <w:bookmarkStart w:id="43" w:name="_Toc7237"/>
      <w:bookmarkStart w:id="44" w:name="_Toc10269"/>
      <w:bookmarkStart w:id="45" w:name="_Toc318450676"/>
      <w:bookmarkStart w:id="46" w:name="_Toc274409867"/>
      <w:bookmarkStart w:id="47" w:name="_Toc10556"/>
      <w:bookmarkStart w:id="48" w:name="_Toc455867770"/>
      <w:bookmarkStart w:id="49" w:name="_Toc490667829"/>
      <w:bookmarkStart w:id="50" w:name="_Toc281405468"/>
      <w:bookmarkStart w:id="51" w:name="_Toc455080110"/>
      <w:bookmarkStart w:id="52" w:name="_Toc30891"/>
      <w:bookmarkStart w:id="53" w:name="_Toc710"/>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1ACCDE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本项目采购人：见供应商须知前附表。</w:t>
      </w:r>
    </w:p>
    <w:p w14:paraId="5F2BF92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本项目采购代理机构：见供应商须知前附表。</w:t>
      </w:r>
    </w:p>
    <w:p w14:paraId="382D69C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本项目名称：见供应商须知前附表。</w:t>
      </w:r>
    </w:p>
    <w:p w14:paraId="645D014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本项目采购方式：见供应商须知前附表。</w:t>
      </w:r>
    </w:p>
    <w:p w14:paraId="71DC773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本项目预算价（最高限价）：见供应商须知前附表。</w:t>
      </w:r>
      <w:bookmarkStart w:id="54" w:name="_Toc17016"/>
      <w:bookmarkStart w:id="55" w:name="_Toc2415"/>
      <w:bookmarkStart w:id="56" w:name="_Toc16931"/>
      <w:bookmarkStart w:id="57" w:name="_Toc22979"/>
      <w:bookmarkStart w:id="58" w:name="_Toc455080111"/>
      <w:bookmarkStart w:id="59" w:name="_Toc490667830"/>
      <w:bookmarkStart w:id="60" w:name="_Toc318450677"/>
      <w:bookmarkStart w:id="61" w:name="_Toc466298094"/>
      <w:bookmarkStart w:id="62" w:name="_Toc18960"/>
      <w:bookmarkStart w:id="63" w:name="_Toc4563"/>
      <w:bookmarkStart w:id="64" w:name="_Toc4122"/>
      <w:bookmarkStart w:id="65" w:name="_Toc281405469"/>
      <w:bookmarkStart w:id="66" w:name="_Toc4952"/>
      <w:bookmarkStart w:id="67" w:name="_Toc1373"/>
      <w:bookmarkStart w:id="68" w:name="_Toc455867771"/>
      <w:bookmarkStart w:id="69" w:name="_Toc274409868"/>
      <w:bookmarkStart w:id="70" w:name="_Toc3477"/>
      <w:bookmarkStart w:id="71" w:name="_Toc17146"/>
    </w:p>
    <w:p w14:paraId="4CBD7954">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 xml:space="preserve"> 采购项目的资金来源及付款方式</w:t>
      </w:r>
    </w:p>
    <w:p w14:paraId="171E29E5">
      <w:pPr>
        <w:wordWrap w:val="0"/>
        <w:spacing w:line="360" w:lineRule="auto"/>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1.2.1资金来源：</w:t>
      </w:r>
      <w:r>
        <w:rPr>
          <w:rFonts w:hint="eastAsia" w:asciiTheme="minorEastAsia" w:hAnsiTheme="minorEastAsia" w:eastAsiaTheme="minorEastAsia" w:cstheme="minorEastAsia"/>
          <w:sz w:val="24"/>
          <w:szCs w:val="24"/>
        </w:rPr>
        <w:t>见供应商须知前附表。</w:t>
      </w:r>
    </w:p>
    <w:p w14:paraId="174ED4D2">
      <w:pPr>
        <w:pStyle w:val="23"/>
        <w:ind w:firstLine="480" w:firstLineChars="200"/>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1.2.2出资比例：</w:t>
      </w:r>
      <w:r>
        <w:rPr>
          <w:rFonts w:hint="eastAsia" w:asciiTheme="minorEastAsia" w:hAnsiTheme="minorEastAsia" w:eastAsiaTheme="minorEastAsia" w:cstheme="minorEastAsia"/>
          <w:sz w:val="24"/>
          <w:szCs w:val="24"/>
        </w:rPr>
        <w:t>见供应商须知前附表。</w:t>
      </w:r>
    </w:p>
    <w:p w14:paraId="06AC93B9">
      <w:pPr>
        <w:wordWrap w:val="0"/>
        <w:spacing w:line="360" w:lineRule="auto"/>
        <w:ind w:firstLine="480" w:firstLineChars="200"/>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1.2.3</w:t>
      </w:r>
      <w:r>
        <w:rPr>
          <w:rFonts w:hint="eastAsia" w:asciiTheme="minorEastAsia" w:hAnsiTheme="minorEastAsia" w:eastAsiaTheme="minorEastAsia" w:cstheme="minorEastAsia"/>
          <w:b w:val="0"/>
          <w:bCs/>
          <w:sz w:val="24"/>
          <w:szCs w:val="24"/>
        </w:rPr>
        <w:t>定义及解释</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E4203A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采购人：依法进行政府采购的国家机关、事业单位、团体组织。</w:t>
      </w:r>
    </w:p>
    <w:p w14:paraId="3436A46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 xml:space="preserve"> 采购代理机构：取得政府采购招标代理资质，受采购人委托组织招标活动的社会中介组织。</w:t>
      </w:r>
    </w:p>
    <w:p w14:paraId="51DE32D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服务：系指根据本磋商文件规定供应商须承担的服务以及其他类似的义务等。</w:t>
      </w:r>
    </w:p>
    <w:p w14:paraId="706342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供应商：供应商是响应磋商文件、参加磋商竞争的中华人民共和国境内的法人、其他组织。</w:t>
      </w:r>
    </w:p>
    <w:p w14:paraId="7EAE37E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响应文件：指供应商根据竞争性磋商文件提交的所有文件。</w:t>
      </w:r>
    </w:p>
    <w:p w14:paraId="46FAF1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磋商小组：依据《中华人民共和国政府采购法》及有关法律、法规的规定依法组建的专门负责本次评标工作的临时机构。</w:t>
      </w:r>
    </w:p>
    <w:p w14:paraId="2389285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偏离：响应文件的响应相对于竞争性磋商文件要求的偏差，该偏差优于竞争性磋商文件要求的为正偏离；劣于的，为负偏离。</w:t>
      </w:r>
    </w:p>
    <w:p w14:paraId="3BF2E2B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“日期”或“天”：指日历天。</w:t>
      </w:r>
    </w:p>
    <w:p w14:paraId="72B1997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 xml:space="preserve"> 合同：指依据本次服务采购招标结果签订的协议或合约文件。</w:t>
      </w:r>
    </w:p>
    <w:p w14:paraId="4C31B7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3.10</w:t>
      </w:r>
      <w:r>
        <w:rPr>
          <w:rFonts w:hint="eastAsia" w:asciiTheme="minorEastAsia" w:hAnsiTheme="minorEastAsia" w:eastAsiaTheme="minorEastAsia" w:cstheme="minorEastAsia"/>
          <w:sz w:val="24"/>
          <w:szCs w:val="24"/>
        </w:rPr>
        <w:t>竞争性磋商文件中的标题或题名仅起引导作用，而不应视为对竞争性磋商文件内容的理解和解释。</w:t>
      </w:r>
      <w:bookmarkEnd w:id="33"/>
      <w:bookmarkEnd w:id="34"/>
      <w:bookmarkEnd w:id="35"/>
      <w:bookmarkStart w:id="72" w:name="_Toc152045532"/>
      <w:bookmarkStart w:id="73" w:name="_Toc466298095"/>
      <w:bookmarkStart w:id="74" w:name="_Toc16470"/>
      <w:bookmarkStart w:id="75" w:name="_Toc27407"/>
      <w:bookmarkStart w:id="76" w:name="_Toc17808"/>
      <w:bookmarkStart w:id="77" w:name="_Toc19363"/>
      <w:bookmarkStart w:id="78" w:name="_Toc17908"/>
      <w:bookmarkStart w:id="79" w:name="_Toc152042308"/>
      <w:bookmarkStart w:id="80" w:name="_Toc10894"/>
      <w:bookmarkStart w:id="81" w:name="_Toc455080112"/>
      <w:bookmarkStart w:id="82" w:name="_Toc318450678"/>
      <w:bookmarkStart w:id="83" w:name="_Toc26189"/>
      <w:bookmarkStart w:id="84" w:name="_Toc14043"/>
      <w:bookmarkStart w:id="85" w:name="_Toc490667831"/>
      <w:bookmarkStart w:id="86" w:name="_Toc144974500"/>
      <w:bookmarkStart w:id="87" w:name="_Toc455867772"/>
      <w:bookmarkStart w:id="88" w:name="_Toc12752"/>
      <w:bookmarkStart w:id="89" w:name="_Toc32236"/>
      <w:bookmarkStart w:id="90" w:name="_Toc21766"/>
    </w:p>
    <w:p w14:paraId="055B0D3A">
      <w:pPr>
        <w:wordWrap w:val="0"/>
        <w:spacing w:line="360" w:lineRule="auto"/>
        <w:ind w:firstLine="482" w:firstLineChars="200"/>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 xml:space="preserve"> 采购内容、</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Pr>
          <w:rFonts w:hint="eastAsia" w:asciiTheme="minorEastAsia" w:hAnsiTheme="minorEastAsia" w:eastAsiaTheme="minorEastAsia" w:cstheme="minorEastAsia"/>
          <w:b/>
          <w:sz w:val="24"/>
          <w:szCs w:val="24"/>
          <w:lang w:val="en-US" w:eastAsia="zh-CN"/>
        </w:rPr>
        <w:t>供货期</w:t>
      </w:r>
      <w:r>
        <w:rPr>
          <w:rFonts w:hint="eastAsia" w:asciiTheme="minorEastAsia" w:hAnsiTheme="minorEastAsia" w:eastAsiaTheme="minorEastAsia" w:cstheme="minorEastAsia"/>
          <w:b/>
          <w:sz w:val="24"/>
          <w:szCs w:val="24"/>
        </w:rPr>
        <w:t>、质量要求</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lang w:val="en-US" w:eastAsia="zh-CN"/>
        </w:rPr>
        <w:t>质保期</w:t>
      </w:r>
    </w:p>
    <w:p w14:paraId="02C9A9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 本次采购内容：见供应商须知前附表。</w:t>
      </w:r>
    </w:p>
    <w:p w14:paraId="345EE9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本项目的</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：见供应商须知前附表。</w:t>
      </w:r>
    </w:p>
    <w:p w14:paraId="53268EC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.3 本项目的质量要求：见供应商须知前附表。</w:t>
      </w:r>
      <w:bookmarkStart w:id="91" w:name="_Toc152045534"/>
      <w:bookmarkStart w:id="92" w:name="_Toc318450679"/>
      <w:bookmarkStart w:id="93" w:name="_Toc152042310"/>
      <w:bookmarkStart w:id="94" w:name="_Toc144974502"/>
      <w:bookmarkStart w:id="95" w:name="_Toc455867773"/>
      <w:bookmarkStart w:id="96" w:name="_Toc490667832"/>
      <w:bookmarkStart w:id="97" w:name="_Toc11063"/>
      <w:bookmarkStart w:id="98" w:name="_Toc10081"/>
      <w:bookmarkStart w:id="99" w:name="_Toc455080113"/>
      <w:bookmarkStart w:id="100" w:name="_Toc466298096"/>
      <w:bookmarkStart w:id="101" w:name="_Toc18689"/>
      <w:bookmarkStart w:id="102" w:name="_Toc32156"/>
      <w:bookmarkStart w:id="103" w:name="_Toc4711"/>
      <w:bookmarkStart w:id="104" w:name="_Toc18004"/>
      <w:bookmarkStart w:id="105" w:name="_Toc5019"/>
      <w:bookmarkStart w:id="106" w:name="_Toc4301"/>
      <w:bookmarkStart w:id="107" w:name="_Toc7209"/>
      <w:bookmarkStart w:id="108" w:name="_Toc1602"/>
      <w:bookmarkStart w:id="109" w:name="_Toc22643"/>
    </w:p>
    <w:p w14:paraId="78C18A8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本项目的</w:t>
      </w:r>
      <w:r>
        <w:rPr>
          <w:rFonts w:hint="eastAsia" w:asciiTheme="minorEastAsia" w:hAnsiTheme="minorEastAsia" w:eastAsiaTheme="minorEastAsia" w:cstheme="minorEastAsia"/>
          <w:sz w:val="24"/>
          <w:szCs w:val="24"/>
          <w:lang w:val="en-US" w:eastAsia="zh-CN"/>
        </w:rPr>
        <w:t>质保期</w:t>
      </w:r>
      <w:r>
        <w:rPr>
          <w:rFonts w:hint="eastAsia" w:asciiTheme="minorEastAsia" w:hAnsiTheme="minorEastAsia" w:eastAsiaTheme="minorEastAsia" w:cstheme="minorEastAsia"/>
          <w:sz w:val="24"/>
          <w:szCs w:val="24"/>
        </w:rPr>
        <w:t>：见供应商须知前附表。</w:t>
      </w:r>
    </w:p>
    <w:p w14:paraId="2F18988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bookmarkEnd w:id="91"/>
      <w:bookmarkEnd w:id="92"/>
      <w:bookmarkEnd w:id="93"/>
      <w:bookmarkEnd w:id="94"/>
      <w:r>
        <w:rPr>
          <w:rFonts w:hint="eastAsia" w:asciiTheme="minorEastAsia" w:hAnsiTheme="minorEastAsia" w:eastAsiaTheme="minorEastAsia" w:cstheme="minorEastAsia"/>
          <w:b/>
          <w:sz w:val="24"/>
          <w:szCs w:val="24"/>
        </w:rPr>
        <w:t>供应商资质条件和能力</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07D568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供应商资质及能力要求：见供应商须知前附表。</w:t>
      </w:r>
    </w:p>
    <w:p w14:paraId="3EC02C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是否接受联合体：见供应商须知前附表。</w:t>
      </w:r>
      <w:bookmarkStart w:id="110" w:name="_Toc455080114"/>
      <w:bookmarkStart w:id="111" w:name="_Toc32446"/>
      <w:bookmarkStart w:id="112" w:name="_Toc5162"/>
      <w:bookmarkStart w:id="113" w:name="_Toc152045535"/>
      <w:bookmarkStart w:id="114" w:name="_Toc651"/>
      <w:bookmarkStart w:id="115" w:name="_Toc11905"/>
      <w:bookmarkStart w:id="116" w:name="_Toc16889"/>
      <w:bookmarkStart w:id="117" w:name="_Toc144974503"/>
      <w:bookmarkStart w:id="118" w:name="_Toc466298097"/>
      <w:bookmarkStart w:id="119" w:name="_Toc9505"/>
      <w:bookmarkStart w:id="120" w:name="_Toc12403"/>
      <w:bookmarkStart w:id="121" w:name="_Toc152042311"/>
      <w:bookmarkStart w:id="122" w:name="_Toc31497"/>
      <w:bookmarkStart w:id="123" w:name="_Toc318450680"/>
      <w:bookmarkStart w:id="124" w:name="_Toc981"/>
      <w:bookmarkStart w:id="125" w:name="_Toc28135"/>
      <w:bookmarkStart w:id="126" w:name="_Toc490667833"/>
      <w:bookmarkStart w:id="127" w:name="_Toc31854"/>
      <w:bookmarkStart w:id="128" w:name="_Toc455867774"/>
    </w:p>
    <w:p w14:paraId="408FDB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 供应商不得存在下列情形之一：</w:t>
      </w:r>
    </w:p>
    <w:p w14:paraId="3615A75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（1）与采购人存在利害关系且可能影响采购公正性；</w:t>
      </w:r>
    </w:p>
    <w:p w14:paraId="1AC5D2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（2）与本采购项目的其他供应商为同一个单位负责人；</w:t>
      </w:r>
    </w:p>
    <w:p w14:paraId="0655174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（3）与本采购项目的其他供应商存在直接控股、管理关系；</w:t>
      </w:r>
    </w:p>
    <w:p w14:paraId="6CA9AF5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（4）为本采购项目提供整体设计、规范编制或者项目管理、监理、检测等服务；</w:t>
      </w:r>
    </w:p>
    <w:p w14:paraId="296DE80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（5）为本采购项目的采购代理机构或与采购代理机构同为一个法定代表人；</w:t>
      </w:r>
    </w:p>
    <w:p w14:paraId="5F81A5A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（6）被“中国政府采购”网站（www.ccgp.gov.cn）列入政府采购严重违法失信行为记录名单；</w:t>
      </w:r>
    </w:p>
    <w:p w14:paraId="5D1EF2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（7）因违法经营受到刑事处罚或者责令停产停业、吊销许可证或者执照、较大数额罚款等行政处罚；</w:t>
      </w:r>
    </w:p>
    <w:p w14:paraId="19AD16B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（8）进入清算程序，或被宣告破产，或其他丧失履约能力的情形；</w:t>
      </w:r>
    </w:p>
    <w:p w14:paraId="3919F3C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（9）被“中国执行信息公开网”（http://zxgk.court.gov.cn）列入失信被执行人、被“国家税务总局”（http://www.chinatax.gov.cn/）列入重大税收违法失信主体的；</w:t>
      </w:r>
    </w:p>
    <w:p w14:paraId="23A2CAC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（10）在近三年内供应商有行贿犯罪行为的；</w:t>
      </w:r>
    </w:p>
    <w:p w14:paraId="3A6330C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（11）法律法规或供应商须知前附表规定的其他情形。</w:t>
      </w:r>
    </w:p>
    <w:p w14:paraId="000A471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 xml:space="preserve"> 费用承担</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6DA124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供应商准备和参加磋商活动发生的费用自理，不论磋商的结果如何，采购人和采购代理机构在任何情况下均无义务和责任承担这些费用。</w:t>
      </w:r>
      <w:bookmarkStart w:id="129" w:name="_Toc318450681"/>
      <w:bookmarkStart w:id="130" w:name="_Toc152042312"/>
      <w:bookmarkStart w:id="131" w:name="_Toc22800"/>
      <w:bookmarkStart w:id="132" w:name="_Toc5402"/>
      <w:bookmarkStart w:id="133" w:name="_Toc8055"/>
      <w:bookmarkStart w:id="134" w:name="_Toc6014"/>
      <w:bookmarkStart w:id="135" w:name="_Toc2622"/>
      <w:bookmarkStart w:id="136" w:name="_Toc8598"/>
      <w:bookmarkStart w:id="137" w:name="_Toc1879"/>
      <w:bookmarkStart w:id="138" w:name="_Toc22136"/>
      <w:bookmarkStart w:id="139" w:name="_Toc455080115"/>
      <w:bookmarkStart w:id="140" w:name="_Toc455867775"/>
      <w:bookmarkStart w:id="141" w:name="_Toc144974504"/>
      <w:bookmarkStart w:id="142" w:name="_Toc152045536"/>
      <w:bookmarkStart w:id="143" w:name="_Toc466298098"/>
      <w:bookmarkStart w:id="144" w:name="_Toc20145"/>
      <w:bookmarkStart w:id="145" w:name="_Toc32053"/>
      <w:bookmarkStart w:id="146" w:name="_Toc24601"/>
      <w:bookmarkStart w:id="147" w:name="_Toc490667834"/>
    </w:p>
    <w:p w14:paraId="2AC38EE0">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 xml:space="preserve"> 保密</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11B2493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参与磋商活动的各方应对竞争性磋商文件和响应文件中的商业和技术等秘密保密，违者应对由此造成的后果承担法律责任。</w:t>
      </w:r>
      <w:bookmarkStart w:id="148" w:name="_Toc144974505"/>
      <w:bookmarkStart w:id="149" w:name="_Toc490667835"/>
      <w:bookmarkStart w:id="150" w:name="_Toc6615"/>
      <w:bookmarkStart w:id="151" w:name="_Toc318450682"/>
      <w:bookmarkStart w:id="152" w:name="_Toc15673"/>
      <w:bookmarkStart w:id="153" w:name="_Toc3628"/>
      <w:bookmarkStart w:id="154" w:name="_Toc152042313"/>
      <w:bookmarkStart w:id="155" w:name="_Toc13976"/>
      <w:bookmarkStart w:id="156" w:name="_Toc152045537"/>
      <w:bookmarkStart w:id="157" w:name="_Toc466298099"/>
      <w:bookmarkStart w:id="158" w:name="_Toc7031"/>
      <w:bookmarkStart w:id="159" w:name="_Toc30583"/>
      <w:bookmarkStart w:id="160" w:name="_Toc30747"/>
      <w:bookmarkStart w:id="161" w:name="_Toc25517"/>
      <w:bookmarkStart w:id="162" w:name="_Toc455867776"/>
      <w:bookmarkStart w:id="163" w:name="_Toc14775"/>
      <w:bookmarkStart w:id="164" w:name="_Toc22226"/>
      <w:bookmarkStart w:id="165" w:name="_Toc455080116"/>
      <w:bookmarkStart w:id="166" w:name="_Toc21089"/>
    </w:p>
    <w:p w14:paraId="15009E6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 xml:space="preserve"> 语言</w:t>
      </w:r>
      <w:bookmarkEnd w:id="148"/>
      <w:r>
        <w:rPr>
          <w:rFonts w:hint="eastAsia" w:asciiTheme="minorEastAsia" w:hAnsiTheme="minorEastAsia" w:eastAsiaTheme="minorEastAsia" w:cstheme="minorEastAsia"/>
          <w:b/>
          <w:sz w:val="24"/>
          <w:szCs w:val="24"/>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65C4440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除专用术语外，与磋商有关的语言均使用中文。必要时专用术语应附有中文注释，对不同文字文本响应文件的解释发生异议的，以中文文本为准。</w:t>
      </w:r>
      <w:bookmarkStart w:id="167" w:name="_Toc152042314"/>
      <w:bookmarkStart w:id="168" w:name="_Toc22378"/>
      <w:bookmarkStart w:id="169" w:name="_Toc455080117"/>
      <w:bookmarkStart w:id="170" w:name="_Toc144974506"/>
      <w:bookmarkStart w:id="171" w:name="_Toc490667836"/>
      <w:bookmarkStart w:id="172" w:name="_Toc4237"/>
      <w:bookmarkStart w:id="173" w:name="_Toc24337"/>
      <w:bookmarkStart w:id="174" w:name="_Toc152045538"/>
      <w:bookmarkStart w:id="175" w:name="_Toc2702"/>
      <w:bookmarkStart w:id="176" w:name="_Toc318450683"/>
      <w:bookmarkStart w:id="177" w:name="_Toc4501"/>
      <w:bookmarkStart w:id="178" w:name="_Toc21543"/>
      <w:bookmarkStart w:id="179" w:name="_Toc32507"/>
      <w:bookmarkStart w:id="180" w:name="_Toc14934"/>
      <w:bookmarkStart w:id="181" w:name="_Toc18357"/>
      <w:bookmarkStart w:id="182" w:name="_Toc455867777"/>
      <w:bookmarkStart w:id="183" w:name="_Toc466298100"/>
      <w:bookmarkStart w:id="184" w:name="_Toc22415"/>
      <w:bookmarkStart w:id="185" w:name="_Toc9446"/>
    </w:p>
    <w:p w14:paraId="07623F7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 xml:space="preserve"> 计量单位</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FDEBCD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bookmarkStart w:id="186" w:name="_Toc29845"/>
      <w:bookmarkStart w:id="187" w:name="_Toc2508"/>
      <w:bookmarkStart w:id="188" w:name="_Toc13675"/>
      <w:bookmarkStart w:id="189" w:name="_Toc27570"/>
      <w:bookmarkStart w:id="190" w:name="_Toc144974508"/>
      <w:bookmarkStart w:id="191" w:name="_Toc455080118"/>
      <w:bookmarkStart w:id="192" w:name="_Toc284"/>
      <w:bookmarkStart w:id="193" w:name="_Toc455867778"/>
      <w:bookmarkStart w:id="194" w:name="_Toc466298101"/>
      <w:bookmarkStart w:id="195" w:name="_Toc490667837"/>
      <w:bookmarkStart w:id="196" w:name="_Toc318450684"/>
      <w:bookmarkStart w:id="197" w:name="_Toc338"/>
      <w:bookmarkStart w:id="198" w:name="_Toc152042316"/>
      <w:bookmarkStart w:id="199" w:name="_Toc31195"/>
      <w:bookmarkStart w:id="200" w:name="_Toc12027"/>
      <w:bookmarkStart w:id="201" w:name="_Toc19685"/>
      <w:bookmarkStart w:id="202" w:name="_Toc152045540"/>
      <w:bookmarkStart w:id="203" w:name="_Toc18589"/>
      <w:bookmarkStart w:id="204" w:name="_Toc32253"/>
    </w:p>
    <w:p w14:paraId="56602C38">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 xml:space="preserve"> </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hint="eastAsia" w:asciiTheme="minorEastAsia" w:hAnsiTheme="minorEastAsia" w:eastAsiaTheme="minorEastAsia" w:cstheme="minorEastAsia"/>
          <w:b/>
          <w:sz w:val="24"/>
          <w:szCs w:val="24"/>
        </w:rPr>
        <w:t>现场踏勘</w:t>
      </w:r>
      <w:bookmarkEnd w:id="204"/>
      <w:bookmarkStart w:id="205" w:name="_Toc152042317"/>
      <w:bookmarkStart w:id="206" w:name="_Toc25208"/>
      <w:bookmarkStart w:id="207" w:name="_Toc490667838"/>
      <w:bookmarkStart w:id="208" w:name="_Toc466298102"/>
      <w:bookmarkStart w:id="209" w:name="_Toc3853"/>
      <w:bookmarkStart w:id="210" w:name="_Toc318450685"/>
      <w:bookmarkStart w:id="211" w:name="_Toc32757"/>
      <w:bookmarkStart w:id="212" w:name="_Toc455080119"/>
      <w:bookmarkStart w:id="213" w:name="_Toc455867779"/>
      <w:bookmarkStart w:id="214" w:name="_Toc9182"/>
      <w:bookmarkStart w:id="215" w:name="_Toc31725"/>
      <w:bookmarkStart w:id="216" w:name="_Toc28719"/>
      <w:bookmarkStart w:id="217" w:name="_Toc24262"/>
      <w:bookmarkStart w:id="218" w:name="_Toc23635"/>
      <w:bookmarkStart w:id="219" w:name="_Toc11744"/>
      <w:bookmarkStart w:id="220" w:name="_Toc23678"/>
      <w:bookmarkStart w:id="221" w:name="_Toc144974509"/>
      <w:bookmarkStart w:id="222" w:name="_Toc152045541"/>
    </w:p>
    <w:p w14:paraId="7CCD88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w:t>
      </w:r>
    </w:p>
    <w:p w14:paraId="677EB975">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 xml:space="preserve"> 分包</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8F3B1F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是否允许分包：见供应商须知前附表。</w:t>
      </w:r>
      <w:bookmarkStart w:id="223" w:name="_Toc144974510"/>
      <w:bookmarkStart w:id="224" w:name="_Toc152045542"/>
      <w:bookmarkStart w:id="225" w:name="_Toc152042318"/>
      <w:bookmarkStart w:id="226" w:name="_Toc455080120"/>
    </w:p>
    <w:bookmarkEnd w:id="223"/>
    <w:bookmarkEnd w:id="224"/>
    <w:bookmarkEnd w:id="225"/>
    <w:bookmarkEnd w:id="226"/>
    <w:p w14:paraId="3D220A0E">
      <w:pPr>
        <w:wordWrap w:val="0"/>
        <w:spacing w:line="360" w:lineRule="auto"/>
        <w:ind w:firstLine="482" w:firstLineChars="200"/>
        <w:rPr>
          <w:rFonts w:hint="eastAsia" w:asciiTheme="minorEastAsia" w:hAnsiTheme="minorEastAsia" w:eastAsiaTheme="minorEastAsia" w:cstheme="minorEastAsia"/>
          <w:b/>
          <w:sz w:val="24"/>
          <w:szCs w:val="24"/>
        </w:rPr>
      </w:pPr>
      <w:bookmarkStart w:id="227" w:name="_Toc24635"/>
      <w:bookmarkStart w:id="228" w:name="_Toc2792"/>
      <w:r>
        <w:rPr>
          <w:rFonts w:hint="eastAsia" w:asciiTheme="minorEastAsia" w:hAnsiTheme="minorEastAsia" w:eastAsiaTheme="minorEastAsia" w:cstheme="minorEastAsia"/>
          <w:b/>
          <w:sz w:val="24"/>
          <w:szCs w:val="24"/>
        </w:rPr>
        <w:t>2.竞争性磋商文件</w:t>
      </w:r>
      <w:bookmarkEnd w:id="227"/>
      <w:bookmarkEnd w:id="228"/>
      <w:bookmarkStart w:id="229" w:name="_Toc466298104"/>
      <w:bookmarkStart w:id="230" w:name="_Toc11567"/>
      <w:bookmarkStart w:id="231" w:name="_Toc12004"/>
      <w:bookmarkStart w:id="232" w:name="_Toc455867781"/>
      <w:bookmarkStart w:id="233" w:name="_Toc318450687"/>
      <w:bookmarkStart w:id="234" w:name="_Toc11599"/>
      <w:bookmarkStart w:id="235" w:name="_Toc490667840"/>
      <w:bookmarkStart w:id="236" w:name="_Toc23649"/>
      <w:bookmarkStart w:id="237" w:name="_Toc12640"/>
      <w:bookmarkStart w:id="238" w:name="_Toc32711"/>
      <w:bookmarkStart w:id="239" w:name="_Toc152045543"/>
      <w:bookmarkStart w:id="240" w:name="_Toc1008"/>
      <w:bookmarkStart w:id="241" w:name="_Toc144974511"/>
      <w:bookmarkStart w:id="242" w:name="_Toc152042319"/>
      <w:bookmarkStart w:id="243" w:name="_Toc9780"/>
      <w:bookmarkStart w:id="244" w:name="_Toc3982"/>
      <w:bookmarkStart w:id="245" w:name="_Toc25982"/>
      <w:bookmarkStart w:id="246" w:name="_Toc455080121"/>
      <w:bookmarkStart w:id="247" w:name="_Toc7999"/>
    </w:p>
    <w:p w14:paraId="41A3987B">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 竞争性磋商文件的组成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345536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本竞争性磋商文件包括：</w:t>
      </w:r>
    </w:p>
    <w:p w14:paraId="55F3110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14:paraId="588A82A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14:paraId="6501E78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评标</w:t>
      </w:r>
      <w:r>
        <w:rPr>
          <w:rFonts w:hint="eastAsia" w:asciiTheme="minorEastAsia" w:hAnsiTheme="minorEastAsia" w:eastAsiaTheme="minorEastAsia" w:cstheme="minorEastAsia"/>
          <w:sz w:val="24"/>
          <w:szCs w:val="24"/>
        </w:rPr>
        <w:t>办法（综合评分法）；</w:t>
      </w:r>
    </w:p>
    <w:p w14:paraId="0F71B80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（4）河南省政府采购合同（参考文本）；</w:t>
      </w:r>
    </w:p>
    <w:p w14:paraId="3A9F49D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（5）采购要求；</w:t>
      </w:r>
    </w:p>
    <w:p w14:paraId="224633F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（6）竞争性磋商响应文件格式。</w:t>
      </w:r>
    </w:p>
    <w:p w14:paraId="5CDC52E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根据本章第2.2款和第2.3款对竞争性磋商文件所作的澄清、修改，构成竞争性磋商文件的组成部分。</w:t>
      </w:r>
      <w:bookmarkStart w:id="248" w:name="_Toc6508"/>
      <w:bookmarkStart w:id="249" w:name="_Toc15658"/>
      <w:bookmarkStart w:id="250" w:name="_Toc152042322"/>
      <w:bookmarkStart w:id="251" w:name="_Toc152045546"/>
      <w:bookmarkStart w:id="252" w:name="_Toc144974514"/>
      <w:bookmarkStart w:id="253" w:name="_Toc455080124"/>
    </w:p>
    <w:p w14:paraId="77B6108A">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2.2 竞争性磋商文件的澄清</w:t>
      </w:r>
      <w:bookmarkEnd w:id="248"/>
      <w:bookmarkEnd w:id="249"/>
    </w:p>
    <w:p w14:paraId="6D741DF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14:paraId="7F1C5B0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竞争性磋商文件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64F9ED4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供应商应在响应文件递交截止时间前及时查看澄清内容，因供应商未及时查看而造成的后果自负。</w:t>
      </w:r>
      <w:bookmarkStart w:id="254" w:name="_Toc8263"/>
      <w:bookmarkStart w:id="255" w:name="_Toc9923"/>
    </w:p>
    <w:p w14:paraId="070EEB3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 竞争性磋商文件的修改</w:t>
      </w:r>
      <w:bookmarkEnd w:id="254"/>
      <w:bookmarkEnd w:id="255"/>
    </w:p>
    <w:p w14:paraId="150C2A7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在响应文件递交截止时间5天前，采购人可以修改竞争性磋商文件。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01DC972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 当竞争性磋商文件的澄清、修改、补充等在同一内容的表述上不一致时，以最后在信阳市公共资源交易系统发出的文件为准。</w:t>
      </w:r>
    </w:p>
    <w:p w14:paraId="24A3F47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供应商应在响应文件递交截止时间前及时查看修改内容，因供应商未及时查看而造成的后果自负。</w:t>
      </w:r>
    </w:p>
    <w:p w14:paraId="4F7917F9">
      <w:pPr>
        <w:wordWrap w:val="0"/>
        <w:spacing w:line="360" w:lineRule="auto"/>
        <w:ind w:firstLine="482" w:firstLineChars="200"/>
        <w:rPr>
          <w:rFonts w:hint="eastAsia" w:asciiTheme="minorEastAsia" w:hAnsiTheme="minorEastAsia" w:eastAsiaTheme="minorEastAsia" w:cstheme="minorEastAsia"/>
          <w:b/>
          <w:sz w:val="24"/>
          <w:szCs w:val="24"/>
        </w:rPr>
      </w:pPr>
      <w:bookmarkStart w:id="256" w:name="_Toc26311"/>
      <w:bookmarkStart w:id="257" w:name="_Toc20484"/>
      <w:bookmarkStart w:id="258" w:name="_Toc4666"/>
      <w:r>
        <w:rPr>
          <w:rFonts w:hint="eastAsia" w:asciiTheme="minorEastAsia" w:hAnsiTheme="minorEastAsia" w:eastAsiaTheme="minorEastAsia" w:cstheme="minorEastAsia"/>
          <w:b/>
          <w:sz w:val="24"/>
          <w:szCs w:val="24"/>
        </w:rPr>
        <w:t xml:space="preserve">3. </w:t>
      </w:r>
      <w:bookmarkEnd w:id="250"/>
      <w:bookmarkEnd w:id="251"/>
      <w:bookmarkEnd w:id="252"/>
      <w:r>
        <w:rPr>
          <w:rFonts w:hint="eastAsia" w:asciiTheme="minorEastAsia" w:hAnsiTheme="minorEastAsia" w:eastAsiaTheme="minorEastAsia" w:cstheme="minorEastAsia"/>
          <w:b/>
          <w:sz w:val="24"/>
          <w:szCs w:val="24"/>
        </w:rPr>
        <w:t>响应文件</w:t>
      </w:r>
      <w:bookmarkEnd w:id="253"/>
      <w:bookmarkEnd w:id="256"/>
      <w:bookmarkEnd w:id="257"/>
      <w:bookmarkEnd w:id="258"/>
      <w:bookmarkStart w:id="259" w:name="_Toc490667844"/>
      <w:bookmarkStart w:id="260" w:name="_Toc152045547"/>
      <w:bookmarkStart w:id="261" w:name="_Toc318450691"/>
      <w:bookmarkStart w:id="262" w:name="_Toc152042323"/>
      <w:bookmarkStart w:id="263" w:name="_Toc144974515"/>
      <w:bookmarkStart w:id="264" w:name="_Toc10096"/>
      <w:bookmarkStart w:id="265" w:name="_Toc15810"/>
      <w:bookmarkStart w:id="266" w:name="_Toc27373"/>
      <w:bookmarkStart w:id="267" w:name="_Toc1102"/>
      <w:bookmarkStart w:id="268" w:name="_Toc16198"/>
      <w:bookmarkStart w:id="269" w:name="_Toc24440"/>
      <w:bookmarkStart w:id="270" w:name="_Toc9273"/>
    </w:p>
    <w:p w14:paraId="43EFF32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 响应文件的组成</w:t>
      </w:r>
      <w:bookmarkEnd w:id="259"/>
      <w:bookmarkEnd w:id="260"/>
      <w:bookmarkEnd w:id="261"/>
      <w:bookmarkEnd w:id="262"/>
      <w:bookmarkEnd w:id="263"/>
      <w:bookmarkEnd w:id="264"/>
      <w:bookmarkEnd w:id="265"/>
      <w:bookmarkEnd w:id="266"/>
      <w:bookmarkEnd w:id="267"/>
      <w:bookmarkEnd w:id="268"/>
      <w:bookmarkEnd w:id="269"/>
      <w:bookmarkEnd w:id="270"/>
    </w:p>
    <w:p w14:paraId="34ABD3D8">
      <w:pPr>
        <w:wordWrap w:val="0"/>
        <w:spacing w:line="360" w:lineRule="auto"/>
        <w:ind w:firstLine="480" w:firstLineChars="200"/>
        <w:rPr>
          <w:rFonts w:hint="eastAsia" w:asciiTheme="minorEastAsia" w:hAnsiTheme="minorEastAsia" w:eastAsiaTheme="minorEastAsia" w:cstheme="minorEastAsia"/>
          <w:sz w:val="24"/>
          <w:szCs w:val="24"/>
          <w:highlight w:val="none"/>
        </w:rPr>
      </w:pPr>
      <w:bookmarkStart w:id="271" w:name="_Toc318450692"/>
      <w:bookmarkStart w:id="272" w:name="_Toc899"/>
      <w:bookmarkStart w:id="273" w:name="_Toc152042324"/>
      <w:bookmarkStart w:id="274" w:name="_Toc26291"/>
      <w:bookmarkStart w:id="275" w:name="_Toc279156232"/>
      <w:bookmarkStart w:id="276" w:name="_Toc144974516"/>
      <w:bookmarkStart w:id="277" w:name="_Toc152045548"/>
      <w:r>
        <w:rPr>
          <w:rFonts w:hint="eastAsia" w:asciiTheme="minorEastAsia" w:hAnsiTheme="minorEastAsia" w:eastAsiaTheme="minorEastAsia" w:cstheme="minorEastAsia"/>
          <w:sz w:val="24"/>
          <w:szCs w:val="24"/>
          <w:highlight w:val="none"/>
        </w:rPr>
        <w:t>响应文件应包括下列内容：</w:t>
      </w:r>
    </w:p>
    <w:p w14:paraId="30D1CBE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bookmarkStart w:id="278" w:name="_Toc4592"/>
      <w:r>
        <w:rPr>
          <w:rFonts w:hint="eastAsia" w:asciiTheme="minorEastAsia" w:hAnsiTheme="minorEastAsia" w:eastAsiaTheme="minorEastAsia" w:cstheme="minorEastAsia"/>
          <w:b w:val="0"/>
          <w:bCs/>
          <w:sz w:val="24"/>
          <w:szCs w:val="24"/>
          <w:highlight w:val="none"/>
        </w:rPr>
        <w:t>一、响应函及响应函附录</w:t>
      </w:r>
    </w:p>
    <w:p w14:paraId="696634CB">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二、分项报价表</w:t>
      </w:r>
    </w:p>
    <w:p w14:paraId="1F9BD75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三、法定代表人（单位负责人）身份证明</w:t>
      </w:r>
    </w:p>
    <w:p w14:paraId="2A075ABC">
      <w:pPr>
        <w:wordWrap w:val="0"/>
        <w:spacing w:line="360" w:lineRule="auto"/>
        <w:ind w:firstLine="1200" w:firstLineChars="5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授权委托书</w:t>
      </w:r>
    </w:p>
    <w:p w14:paraId="443E5313">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四、商务条款偏离表</w:t>
      </w:r>
    </w:p>
    <w:p w14:paraId="66E0278D">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五、技术条款偏离表</w:t>
      </w:r>
    </w:p>
    <w:p w14:paraId="1CA31D8A">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六、资格证明材料</w:t>
      </w:r>
    </w:p>
    <w:p w14:paraId="2EB67D68">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七、技术部分</w:t>
      </w:r>
    </w:p>
    <w:p w14:paraId="1AA21FCE">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八、其他材料</w:t>
      </w:r>
    </w:p>
    <w:p w14:paraId="687D2557">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九、供应商认为应该提交的其他材料</w:t>
      </w:r>
    </w:p>
    <w:p w14:paraId="4A19D336">
      <w:pPr>
        <w:wordWrap w:val="0"/>
        <w:spacing w:line="360" w:lineRule="auto"/>
        <w:ind w:firstLine="480" w:firstLineChars="200"/>
        <w:rPr>
          <w:rFonts w:hint="eastAsia" w:asciiTheme="minorEastAsia" w:hAnsiTheme="minorEastAsia" w:eastAsiaTheme="minorEastAsia" w:cstheme="minorEastAsia"/>
          <w:b w:val="0"/>
          <w:bCs/>
          <w:sz w:val="24"/>
          <w:szCs w:val="24"/>
          <w:highlight w:val="none"/>
        </w:rPr>
      </w:pPr>
      <w:r>
        <w:rPr>
          <w:rFonts w:hint="eastAsia" w:asciiTheme="minorEastAsia" w:hAnsiTheme="minorEastAsia" w:eastAsiaTheme="minorEastAsia" w:cstheme="minorEastAsia"/>
          <w:b w:val="0"/>
          <w:bCs/>
          <w:sz w:val="24"/>
          <w:szCs w:val="24"/>
          <w:highlight w:val="none"/>
        </w:rPr>
        <w:t>十、关于政府采购政策（有则附，没有不附）</w:t>
      </w:r>
    </w:p>
    <w:p w14:paraId="641172D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 磋商报价</w:t>
      </w:r>
      <w:bookmarkEnd w:id="271"/>
      <w:bookmarkEnd w:id="272"/>
      <w:bookmarkEnd w:id="273"/>
      <w:bookmarkEnd w:id="274"/>
      <w:bookmarkEnd w:id="275"/>
      <w:bookmarkEnd w:id="276"/>
      <w:bookmarkEnd w:id="277"/>
      <w:bookmarkEnd w:id="278"/>
    </w:p>
    <w:p w14:paraId="49B48ADD">
      <w:pPr>
        <w:wordWrap w:val="0"/>
        <w:spacing w:line="360" w:lineRule="auto"/>
        <w:ind w:firstLine="480" w:firstLineChars="200"/>
        <w:rPr>
          <w:rFonts w:hint="eastAsia" w:asciiTheme="minorEastAsia" w:hAnsiTheme="minorEastAsia" w:eastAsiaTheme="minorEastAsia" w:cstheme="minorEastAsia"/>
          <w:sz w:val="24"/>
          <w:szCs w:val="24"/>
        </w:rPr>
      </w:pPr>
      <w:bookmarkStart w:id="279" w:name="_Toc12402"/>
      <w:bookmarkStart w:id="280" w:name="_Toc21600"/>
      <w:bookmarkStart w:id="281" w:name="_Toc318450693"/>
      <w:bookmarkStart w:id="282" w:name="_Toc11968"/>
      <w:bookmarkStart w:id="283" w:name="_Toc466298109"/>
      <w:bookmarkStart w:id="284" w:name="_Toc455867786"/>
      <w:bookmarkStart w:id="285" w:name="_Toc490667846"/>
      <w:bookmarkStart w:id="286" w:name="_Toc6105"/>
      <w:bookmarkStart w:id="287" w:name="_Toc3624"/>
      <w:bookmarkStart w:id="288" w:name="_Toc29133"/>
      <w:bookmarkStart w:id="289" w:name="_Toc2425"/>
      <w:bookmarkStart w:id="290" w:name="_Toc144974517"/>
      <w:bookmarkStart w:id="291" w:name="_Toc152045549"/>
      <w:bookmarkStart w:id="292" w:name="_Toc7910"/>
      <w:bookmarkStart w:id="293" w:name="_Toc152042325"/>
      <w:bookmarkStart w:id="294" w:name="_Toc7105"/>
      <w:bookmarkStart w:id="295" w:name="_Toc21680"/>
      <w:bookmarkStart w:id="296" w:name="_Toc25387"/>
      <w:bookmarkStart w:id="297" w:name="_Toc455080126"/>
      <w:r>
        <w:rPr>
          <w:rFonts w:hint="eastAsia" w:asciiTheme="minorEastAsia" w:hAnsiTheme="minorEastAsia" w:eastAsiaTheme="minorEastAsia" w:cstheme="minorEastAsia"/>
          <w:sz w:val="24"/>
          <w:szCs w:val="24"/>
        </w:rPr>
        <w:t xml:space="preserve">3.2.1 </w:t>
      </w:r>
      <w:bookmarkEnd w:id="279"/>
      <w:r>
        <w:rPr>
          <w:rFonts w:hint="eastAsia" w:asciiTheme="minorEastAsia" w:hAnsiTheme="minorEastAsia" w:eastAsiaTheme="minorEastAsia" w:cstheme="minorEastAsia"/>
          <w:sz w:val="24"/>
          <w:szCs w:val="24"/>
        </w:rPr>
        <w:t>本项目的磋商报价应按照磋商文件、补充通知、答疑纪要、现场情况、承包范围，并充分考虑服务期间各类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p>
    <w:p w14:paraId="6B5EF9E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供应商应充分了解该项目的总体情况以及影响磋商报价的其它要素，考虑服务期间的价格风险因素，成交价在合同实施期内不得调整，同时也不因市场价格变动而调整。</w:t>
      </w:r>
    </w:p>
    <w:p w14:paraId="632FF16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响应报价表中的大写金额和小写金额不一致的，以大写金额为准。</w:t>
      </w:r>
    </w:p>
    <w:p w14:paraId="268BBDF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 供应商的报价明显低于其他通过符合性审查供应商的报价，有可能影响服务质量或者不能诚信履约的，磋商委员会应当要求其在磋商现场（或电子交易系统）合理的时间内提供书面说明（或电子澄清说明文件），必要时提交相关证明材料；供应商不能证明其报价合理性的，磋商委员会应当将其作为无效投标处理。</w:t>
      </w:r>
    </w:p>
    <w:p w14:paraId="2506C28E">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注：磋商价格为含税价，供应商应充分了解该项目的总体情况以及影响磋商报价的其它要素，考虑</w:t>
      </w:r>
      <w:r>
        <w:rPr>
          <w:rFonts w:hint="eastAsia" w:asciiTheme="minorEastAsia" w:hAnsiTheme="minorEastAsia" w:eastAsiaTheme="minorEastAsia" w:cstheme="minorEastAsia"/>
          <w:b/>
          <w:sz w:val="24"/>
          <w:szCs w:val="24"/>
          <w:lang w:val="en-US" w:eastAsia="zh-CN"/>
        </w:rPr>
        <w:t>项目周期内</w:t>
      </w:r>
      <w:r>
        <w:rPr>
          <w:rFonts w:hint="eastAsia" w:asciiTheme="minorEastAsia" w:hAnsiTheme="minorEastAsia" w:eastAsiaTheme="minorEastAsia" w:cstheme="minorEastAsia"/>
          <w:b/>
          <w:sz w:val="24"/>
          <w:szCs w:val="24"/>
        </w:rPr>
        <w:t>的价格风险因素，成交价在合同实施期内不得调整，同时也不因市场价格变动而调整。</w:t>
      </w:r>
    </w:p>
    <w:p w14:paraId="664AE3EB">
      <w:pPr>
        <w:wordWrap w:val="0"/>
        <w:spacing w:line="360" w:lineRule="auto"/>
        <w:ind w:firstLine="482" w:firstLineChars="200"/>
        <w:rPr>
          <w:rFonts w:hint="eastAsia" w:asciiTheme="minorEastAsia" w:hAnsiTheme="minorEastAsia" w:eastAsiaTheme="minorEastAsia" w:cstheme="minorEastAsia"/>
          <w:b/>
          <w:sz w:val="24"/>
          <w:szCs w:val="24"/>
        </w:rPr>
      </w:pPr>
      <w:bookmarkStart w:id="298" w:name="_Toc31126"/>
      <w:r>
        <w:rPr>
          <w:rFonts w:hint="eastAsia" w:asciiTheme="minorEastAsia" w:hAnsiTheme="minorEastAsia" w:eastAsiaTheme="minorEastAsia" w:cstheme="minorEastAsia"/>
          <w:b/>
          <w:sz w:val="24"/>
          <w:szCs w:val="24"/>
        </w:rPr>
        <w:t>3.3 磋商有效期</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893FBB4">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在供应商须知前附表规定的磋商有效期内，供应商不得要求撤销或修改其响应文件。</w:t>
      </w:r>
    </w:p>
    <w:p w14:paraId="1B77F1C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出现特殊情况需要延长磋商有效期的，采购人以书面形式通知所有供应商延长磋商有效期。供应商同意延长的，但不得要求或被允许修改或撤销其响应文件；供应商拒绝延长的，其响应文件失效。</w:t>
      </w:r>
    </w:p>
    <w:p w14:paraId="2213BA68">
      <w:pPr>
        <w:wordWrap w:val="0"/>
        <w:spacing w:line="360" w:lineRule="auto"/>
        <w:ind w:firstLine="482" w:firstLineChars="200"/>
        <w:rPr>
          <w:rFonts w:hint="eastAsia" w:asciiTheme="minorEastAsia" w:hAnsiTheme="minorEastAsia" w:eastAsiaTheme="minorEastAsia" w:cstheme="minorEastAsia"/>
          <w:sz w:val="24"/>
          <w:szCs w:val="24"/>
        </w:rPr>
      </w:pPr>
      <w:bookmarkStart w:id="299" w:name="_Toc7057"/>
      <w:bookmarkStart w:id="300" w:name="_Toc4165"/>
      <w:bookmarkStart w:id="301" w:name="_Toc2505"/>
      <w:bookmarkStart w:id="302" w:name="_Toc144974518"/>
      <w:bookmarkStart w:id="303" w:name="_Toc466298110"/>
      <w:bookmarkStart w:id="304" w:name="_Toc152042326"/>
      <w:bookmarkStart w:id="305" w:name="_Toc152045550"/>
      <w:bookmarkStart w:id="306" w:name="_Toc490667847"/>
      <w:bookmarkStart w:id="307" w:name="_Toc7973"/>
      <w:bookmarkStart w:id="308" w:name="_Toc455080127"/>
      <w:bookmarkStart w:id="309" w:name="_Toc455867787"/>
      <w:bookmarkStart w:id="310" w:name="_Toc318450694"/>
      <w:bookmarkStart w:id="311" w:name="_Toc7618"/>
      <w:bookmarkStart w:id="312" w:name="_Toc8406"/>
      <w:bookmarkStart w:id="313" w:name="_Toc22634"/>
      <w:bookmarkStart w:id="314" w:name="_Toc30697"/>
      <w:bookmarkStart w:id="315" w:name="_Toc10370"/>
      <w:bookmarkStart w:id="316" w:name="_Toc1907"/>
      <w:bookmarkStart w:id="317" w:name="_Toc13921"/>
      <w:r>
        <w:rPr>
          <w:rFonts w:hint="eastAsia" w:asciiTheme="minorEastAsia" w:hAnsiTheme="minorEastAsia" w:eastAsiaTheme="minorEastAsia" w:cstheme="minorEastAsia"/>
          <w:b/>
          <w:sz w:val="24"/>
          <w:szCs w:val="24"/>
        </w:rPr>
        <w:t>3.4 磋商保证金</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Start w:id="318" w:name="_Toc152045552"/>
      <w:bookmarkStart w:id="319" w:name="_Toc152042328"/>
      <w:bookmarkStart w:id="320" w:name="_Toc144974520"/>
      <w:bookmarkStart w:id="321" w:name="_Toc318450695"/>
    </w:p>
    <w:p w14:paraId="4189B18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bookmarkEnd w:id="316"/>
      <w:bookmarkEnd w:id="317"/>
    </w:p>
    <w:p w14:paraId="41AD7B95">
      <w:pPr>
        <w:wordWrap w:val="0"/>
        <w:spacing w:line="360" w:lineRule="auto"/>
        <w:ind w:firstLine="482" w:firstLineChars="200"/>
        <w:rPr>
          <w:rFonts w:hint="eastAsia" w:asciiTheme="minorEastAsia" w:hAnsiTheme="minorEastAsia" w:eastAsiaTheme="minorEastAsia" w:cstheme="minorEastAsia"/>
          <w:b/>
          <w:sz w:val="24"/>
          <w:szCs w:val="24"/>
        </w:rPr>
      </w:pPr>
      <w:bookmarkStart w:id="322" w:name="_Toc27678"/>
      <w:bookmarkStart w:id="323" w:name="_Toc13680"/>
      <w:bookmarkStart w:id="324" w:name="_Toc22384"/>
      <w:bookmarkStart w:id="325" w:name="_Toc20328"/>
      <w:bookmarkStart w:id="326" w:name="_Toc466298111"/>
      <w:bookmarkStart w:id="327" w:name="_Toc490667848"/>
      <w:bookmarkStart w:id="328" w:name="_Toc455080128"/>
      <w:bookmarkStart w:id="329" w:name="_Toc27579"/>
      <w:bookmarkStart w:id="330" w:name="_Toc11077"/>
      <w:bookmarkStart w:id="331" w:name="_Toc455867788"/>
      <w:bookmarkStart w:id="332" w:name="_Toc16747"/>
      <w:bookmarkStart w:id="333" w:name="_Toc15547"/>
      <w:bookmarkStart w:id="334" w:name="_Toc22527"/>
      <w:bookmarkStart w:id="335" w:name="_Toc17153"/>
      <w:r>
        <w:rPr>
          <w:rFonts w:hint="eastAsia" w:asciiTheme="minorEastAsia" w:hAnsiTheme="minorEastAsia" w:eastAsiaTheme="minorEastAsia" w:cstheme="minorEastAsia"/>
          <w:b/>
          <w:sz w:val="24"/>
          <w:szCs w:val="24"/>
        </w:rPr>
        <w:t>3.5 资格审查资料</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5DD2CE2C">
      <w:pPr>
        <w:wordWrap w:val="0"/>
        <w:spacing w:line="360" w:lineRule="auto"/>
        <w:ind w:firstLine="480" w:firstLineChars="200"/>
        <w:rPr>
          <w:rFonts w:hint="eastAsia" w:asciiTheme="minorEastAsia" w:hAnsiTheme="minorEastAsia" w:eastAsiaTheme="minorEastAsia" w:cstheme="minorEastAsia"/>
          <w:sz w:val="24"/>
          <w:szCs w:val="24"/>
        </w:rPr>
      </w:pPr>
      <w:bookmarkStart w:id="336" w:name="_Toc4586"/>
      <w:bookmarkStart w:id="337" w:name="_Toc15687"/>
      <w:bookmarkStart w:id="338" w:name="_Toc455867789"/>
      <w:bookmarkStart w:id="339" w:name="_Toc5132"/>
      <w:bookmarkStart w:id="340" w:name="_Toc3286"/>
      <w:bookmarkStart w:id="341" w:name="_Toc18915"/>
      <w:bookmarkStart w:id="342" w:name="_Toc1228"/>
      <w:bookmarkStart w:id="343" w:name="_Toc152042329"/>
      <w:bookmarkStart w:id="344" w:name="_Toc466298112"/>
      <w:bookmarkStart w:id="345" w:name="_Toc490667849"/>
      <w:bookmarkStart w:id="346" w:name="_Toc455080129"/>
      <w:bookmarkStart w:id="347" w:name="_Toc30442"/>
      <w:bookmarkStart w:id="348" w:name="_Toc26258"/>
      <w:bookmarkStart w:id="349" w:name="_Toc19724"/>
      <w:bookmarkStart w:id="350" w:name="_Toc9015"/>
      <w:bookmarkStart w:id="351" w:name="_Toc144974521"/>
      <w:bookmarkStart w:id="352" w:name="_Toc11694"/>
      <w:bookmarkStart w:id="353" w:name="_Toc152045553"/>
      <w:bookmarkStart w:id="354" w:name="_Toc318450696"/>
      <w:r>
        <w:rPr>
          <w:rFonts w:hint="eastAsia" w:asciiTheme="minorEastAsia" w:hAnsiTheme="minorEastAsia" w:eastAsiaTheme="minorEastAsia" w:cstheme="minorEastAsia"/>
          <w:sz w:val="24"/>
          <w:szCs w:val="24"/>
        </w:rPr>
        <w:t>按照第二章供应商须知表“供应商须知前附表”1.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.1要求，提供其他相关材料。</w:t>
      </w:r>
      <w:bookmarkEnd w:id="336"/>
      <w:bookmarkEnd w:id="337"/>
    </w:p>
    <w:p w14:paraId="26CA284A">
      <w:pPr>
        <w:wordWrap w:val="0"/>
        <w:spacing w:line="360" w:lineRule="auto"/>
        <w:ind w:firstLine="482" w:firstLineChars="200"/>
        <w:rPr>
          <w:rFonts w:hint="eastAsia" w:asciiTheme="minorEastAsia" w:hAnsiTheme="minorEastAsia" w:eastAsiaTheme="minorEastAsia" w:cstheme="minorEastAsia"/>
          <w:b/>
          <w:sz w:val="24"/>
          <w:szCs w:val="24"/>
        </w:rPr>
      </w:pPr>
      <w:bookmarkStart w:id="355" w:name="_Toc3708"/>
      <w:bookmarkStart w:id="356" w:name="_Toc24859"/>
      <w:r>
        <w:rPr>
          <w:rFonts w:hint="eastAsia" w:asciiTheme="minorEastAsia" w:hAnsiTheme="minorEastAsia" w:eastAsiaTheme="minorEastAsia" w:cstheme="minorEastAsia"/>
          <w:b/>
          <w:sz w:val="24"/>
          <w:szCs w:val="24"/>
        </w:rPr>
        <w:t>3.6 备选方案</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39F88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除供应商须知前附表另有规定外，供应商不得递交备选磋商方案。</w:t>
      </w:r>
    </w:p>
    <w:p w14:paraId="6CB60312">
      <w:pPr>
        <w:wordWrap w:val="0"/>
        <w:spacing w:line="360" w:lineRule="auto"/>
        <w:ind w:firstLine="482" w:firstLineChars="200"/>
        <w:rPr>
          <w:rFonts w:hint="eastAsia" w:asciiTheme="minorEastAsia" w:hAnsiTheme="minorEastAsia" w:eastAsiaTheme="minorEastAsia" w:cstheme="minorEastAsia"/>
          <w:b/>
          <w:sz w:val="24"/>
          <w:szCs w:val="24"/>
        </w:rPr>
      </w:pPr>
      <w:bookmarkStart w:id="357" w:name="_Toc152045554"/>
      <w:bookmarkStart w:id="358" w:name="_Toc152042330"/>
      <w:bookmarkStart w:id="359" w:name="_Toc318450697"/>
      <w:bookmarkStart w:id="360" w:name="_Toc18912"/>
      <w:bookmarkStart w:id="361" w:name="_Toc6323"/>
      <w:bookmarkStart w:id="362" w:name="_Toc28656"/>
      <w:bookmarkStart w:id="363" w:name="_Toc17982"/>
      <w:bookmarkStart w:id="364" w:name="_Toc12275"/>
      <w:bookmarkStart w:id="365" w:name="_Toc17697"/>
      <w:bookmarkStart w:id="366" w:name="_Toc144974522"/>
      <w:bookmarkStart w:id="367" w:name="_Toc455867790"/>
      <w:bookmarkStart w:id="368" w:name="_Toc7966"/>
      <w:bookmarkStart w:id="369" w:name="_Toc25620"/>
      <w:bookmarkStart w:id="370" w:name="_Toc490667850"/>
      <w:bookmarkStart w:id="371" w:name="_Toc7626"/>
      <w:bookmarkStart w:id="372" w:name="_Toc466298113"/>
      <w:bookmarkStart w:id="373" w:name="_Toc455080130"/>
      <w:bookmarkStart w:id="374" w:name="_Toc5516"/>
      <w:bookmarkStart w:id="375" w:name="_Toc12541"/>
      <w:r>
        <w:rPr>
          <w:rFonts w:hint="eastAsia" w:asciiTheme="minorEastAsia" w:hAnsiTheme="minorEastAsia" w:eastAsiaTheme="minorEastAsia" w:cstheme="minorEastAsia"/>
          <w:b/>
          <w:sz w:val="24"/>
          <w:szCs w:val="24"/>
        </w:rPr>
        <w:t>3.7 响应文件的编制</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Start w:id="376" w:name="_Toc144974523"/>
      <w:bookmarkStart w:id="377" w:name="_Toc152042331"/>
      <w:bookmarkStart w:id="378" w:name="_Toc455080131"/>
      <w:bookmarkStart w:id="379" w:name="_Toc152045555"/>
    </w:p>
    <w:p w14:paraId="101BC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3.7.1 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14:paraId="76D8037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响应文件应当对竞争性磋商文件有关采购内容、</w:t>
      </w:r>
      <w:r>
        <w:rPr>
          <w:rFonts w:hint="eastAsia" w:asciiTheme="minorEastAsia" w:hAnsiTheme="minorEastAsia" w:eastAsiaTheme="minorEastAsia" w:cstheme="minorEastAsia"/>
          <w:sz w:val="24"/>
          <w:szCs w:val="24"/>
          <w:lang w:val="en-US" w:eastAsia="zh-CN"/>
        </w:rPr>
        <w:t>供货期</w:t>
      </w:r>
      <w:r>
        <w:rPr>
          <w:rFonts w:hint="eastAsia" w:asciiTheme="minorEastAsia" w:hAnsiTheme="minorEastAsia" w:eastAsiaTheme="minorEastAsia" w:cstheme="minorEastAsia"/>
          <w:sz w:val="24"/>
          <w:szCs w:val="24"/>
        </w:rPr>
        <w:t>、质量要求作出响应。</w:t>
      </w:r>
    </w:p>
    <w:p w14:paraId="13386AB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 响应文件应使用信阳市公共资源交易系统响应文件制作专用工具软件编制，竞争性磋商响应文件格式为“**.</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”。电子响应文件签字或盖章的具体要求见供应商须知前附表。供应商须在响应文件递交截止时间前制作并提交。</w:t>
      </w:r>
    </w:p>
    <w:p w14:paraId="56E3B5E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3.7.4 响应文件份数见供应商须知前附表。</w:t>
      </w:r>
    </w:p>
    <w:p w14:paraId="777BD29C">
      <w:pPr>
        <w:wordWrap w:val="0"/>
        <w:spacing w:line="360" w:lineRule="auto"/>
        <w:ind w:firstLine="482" w:firstLineChars="200"/>
        <w:rPr>
          <w:rFonts w:hint="eastAsia" w:asciiTheme="minorEastAsia" w:hAnsiTheme="minorEastAsia" w:eastAsiaTheme="minorEastAsia" w:cstheme="minorEastAsia"/>
          <w:b/>
          <w:sz w:val="24"/>
          <w:szCs w:val="24"/>
        </w:rPr>
      </w:pPr>
      <w:bookmarkStart w:id="380" w:name="_Toc28805"/>
      <w:bookmarkStart w:id="381" w:name="_Toc19433"/>
      <w:bookmarkStart w:id="382" w:name="_Toc10732"/>
      <w:r>
        <w:rPr>
          <w:rFonts w:hint="eastAsia" w:asciiTheme="minorEastAsia" w:hAnsiTheme="minorEastAsia" w:eastAsiaTheme="minorEastAsia" w:cstheme="minorEastAsia"/>
          <w:b/>
          <w:sz w:val="24"/>
          <w:szCs w:val="24"/>
        </w:rPr>
        <w:t xml:space="preserve">4. </w:t>
      </w:r>
      <w:bookmarkEnd w:id="376"/>
      <w:bookmarkEnd w:id="377"/>
      <w:bookmarkEnd w:id="378"/>
      <w:bookmarkEnd w:id="379"/>
      <w:r>
        <w:rPr>
          <w:rFonts w:hint="eastAsia" w:asciiTheme="minorEastAsia" w:hAnsiTheme="minorEastAsia" w:eastAsiaTheme="minorEastAsia" w:cstheme="minorEastAsia"/>
          <w:b/>
          <w:sz w:val="24"/>
          <w:szCs w:val="24"/>
        </w:rPr>
        <w:t>磋商</w:t>
      </w:r>
      <w:bookmarkEnd w:id="380"/>
      <w:bookmarkEnd w:id="381"/>
      <w:bookmarkEnd w:id="382"/>
      <w:bookmarkStart w:id="383" w:name="_Toc22961"/>
      <w:bookmarkStart w:id="384" w:name="_Toc11243"/>
      <w:bookmarkStart w:id="385" w:name="_Toc144974524"/>
      <w:bookmarkStart w:id="386" w:name="_Toc16962"/>
      <w:bookmarkStart w:id="387" w:name="_Toc26550"/>
      <w:bookmarkStart w:id="388" w:name="_Toc455867792"/>
      <w:bookmarkStart w:id="389" w:name="_Toc152045556"/>
      <w:bookmarkStart w:id="390" w:name="_Toc16344"/>
      <w:bookmarkStart w:id="391" w:name="_Toc152042332"/>
      <w:bookmarkStart w:id="392" w:name="_Toc16783"/>
      <w:bookmarkStart w:id="393" w:name="_Toc490667852"/>
      <w:bookmarkStart w:id="394" w:name="_Toc318450699"/>
      <w:bookmarkStart w:id="395" w:name="_Toc455080132"/>
      <w:bookmarkStart w:id="396" w:name="_Toc18820"/>
      <w:bookmarkStart w:id="397" w:name="_Toc466298115"/>
      <w:bookmarkStart w:id="398" w:name="_Toc26583"/>
      <w:bookmarkStart w:id="399" w:name="_Toc31492"/>
      <w:bookmarkStart w:id="400" w:name="_Toc21145"/>
      <w:bookmarkStart w:id="401" w:name="_Toc19950"/>
    </w:p>
    <w:p w14:paraId="726FB5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4.1 响应文件的</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Theme="minorEastAsia" w:hAnsiTheme="minorEastAsia" w:eastAsiaTheme="minorEastAsia" w:cstheme="minorEastAsia"/>
          <w:b/>
          <w:sz w:val="24"/>
          <w:szCs w:val="24"/>
        </w:rPr>
        <w:t>上传</w:t>
      </w:r>
      <w:bookmarkEnd w:id="400"/>
      <w:bookmarkEnd w:id="401"/>
    </w:p>
    <w:p w14:paraId="3D60536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 网上上传的电子响应文件应使用供应商数字证书认证并加密。</w:t>
      </w:r>
    </w:p>
    <w:p w14:paraId="3B2F8F04">
      <w:pPr>
        <w:wordWrap w:val="0"/>
        <w:spacing w:line="360" w:lineRule="auto"/>
        <w:ind w:firstLine="482" w:firstLineChars="200"/>
        <w:rPr>
          <w:rFonts w:hint="eastAsia" w:asciiTheme="minorEastAsia" w:hAnsiTheme="minorEastAsia" w:eastAsiaTheme="minorEastAsia" w:cstheme="minorEastAsia"/>
          <w:b/>
          <w:sz w:val="24"/>
          <w:szCs w:val="24"/>
        </w:rPr>
      </w:pPr>
      <w:bookmarkStart w:id="402" w:name="_Toc4767"/>
      <w:bookmarkStart w:id="403" w:name="_Toc455867793"/>
      <w:bookmarkStart w:id="404" w:name="_Toc5518"/>
      <w:bookmarkStart w:id="405" w:name="_Toc466298116"/>
      <w:bookmarkStart w:id="406" w:name="_Toc144974525"/>
      <w:bookmarkStart w:id="407" w:name="_Toc152045557"/>
      <w:bookmarkStart w:id="408" w:name="_Toc20259"/>
      <w:bookmarkStart w:id="409" w:name="_Toc462"/>
      <w:bookmarkStart w:id="410" w:name="_Toc21897"/>
      <w:bookmarkStart w:id="411" w:name="_Toc16832"/>
      <w:bookmarkStart w:id="412" w:name="_Toc318450700"/>
      <w:bookmarkStart w:id="413" w:name="_Toc21072"/>
      <w:bookmarkStart w:id="414" w:name="_Toc27132"/>
      <w:bookmarkStart w:id="415" w:name="_Toc490667853"/>
      <w:bookmarkStart w:id="416" w:name="_Toc8754"/>
      <w:bookmarkStart w:id="417" w:name="_Toc455080133"/>
      <w:bookmarkStart w:id="418" w:name="_Toc7663"/>
      <w:bookmarkStart w:id="419" w:name="_Toc152042333"/>
      <w:bookmarkStart w:id="420" w:name="_Toc28272"/>
      <w:r>
        <w:rPr>
          <w:rFonts w:hint="eastAsia" w:asciiTheme="minorEastAsia" w:hAnsiTheme="minorEastAsia" w:eastAsiaTheme="minorEastAsia" w:cstheme="minorEastAsia"/>
          <w:b/>
          <w:sz w:val="24"/>
          <w:szCs w:val="24"/>
        </w:rPr>
        <w:t>4.2 响应文件的递交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B7CFA5A">
      <w:pPr>
        <w:wordWrap w:val="0"/>
        <w:spacing w:line="360" w:lineRule="auto"/>
        <w:ind w:firstLine="480" w:firstLineChars="200"/>
        <w:rPr>
          <w:rFonts w:hint="eastAsia" w:asciiTheme="minorEastAsia" w:hAnsiTheme="minorEastAsia" w:eastAsiaTheme="minorEastAsia" w:cstheme="minorEastAsia"/>
          <w:sz w:val="24"/>
          <w:szCs w:val="24"/>
        </w:rPr>
      </w:pPr>
      <w:bookmarkStart w:id="421" w:name="_Toc11817"/>
      <w:bookmarkStart w:id="422" w:name="_Toc152045558"/>
      <w:bookmarkStart w:id="423" w:name="_Toc2952"/>
      <w:bookmarkStart w:id="424" w:name="_Toc30860"/>
      <w:bookmarkStart w:id="425" w:name="_Toc455867794"/>
      <w:bookmarkStart w:id="426" w:name="_Toc21890"/>
      <w:bookmarkStart w:id="427" w:name="_Toc5102"/>
      <w:bookmarkStart w:id="428" w:name="_Toc466298117"/>
      <w:bookmarkStart w:id="429" w:name="_Toc144974526"/>
      <w:bookmarkStart w:id="430" w:name="_Toc19951"/>
      <w:bookmarkStart w:id="431" w:name="_Toc26684"/>
      <w:bookmarkStart w:id="432" w:name="_Toc490667854"/>
      <w:bookmarkStart w:id="433" w:name="_Toc152042334"/>
      <w:bookmarkStart w:id="434" w:name="_Toc17161"/>
      <w:bookmarkStart w:id="435" w:name="_Toc20281"/>
      <w:bookmarkStart w:id="436" w:name="_Toc318450701"/>
      <w:bookmarkStart w:id="437" w:name="_Toc455080134"/>
      <w:r>
        <w:rPr>
          <w:rFonts w:hint="eastAsia" w:asciiTheme="minorEastAsia" w:hAnsiTheme="minorEastAsia" w:eastAsiaTheme="minorEastAsia" w:cstheme="minorEastAsia"/>
          <w:sz w:val="24"/>
          <w:szCs w:val="24"/>
        </w:rPr>
        <w:t>4.2.1 电子响应文件的递交</w:t>
      </w:r>
    </w:p>
    <w:p w14:paraId="2CCB1B3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各供应商应在响应文件提交截止时间前上传加密的电子响应文件（**.</w:t>
      </w:r>
      <w:r>
        <w:rPr>
          <w:rFonts w:hint="eastAsia" w:asciiTheme="minorEastAsia" w:hAnsiTheme="minorEastAsia" w:eastAsiaTheme="minorEastAsia" w:cstheme="minorEastAsia"/>
          <w:sz w:val="24"/>
          <w:szCs w:val="24"/>
          <w:lang w:eastAsia="zh-CN"/>
        </w:rPr>
        <w:t>XYTF</w:t>
      </w:r>
      <w:r>
        <w:rPr>
          <w:rFonts w:hint="eastAsia" w:asciiTheme="minorEastAsia" w:hAnsiTheme="minorEastAsia" w:eastAsiaTheme="minorEastAsia" w:cstheme="minorEastAsia"/>
          <w:sz w:val="24"/>
          <w:szCs w:val="24"/>
        </w:rPr>
        <w:t>）到会员系统的指定位置。上传的电子响应文件应使用供应商CA数字证书认证并加密。上传时必须得到交易系统“上传成功”的确认回复后方为上传成功。请供应商在上传前务必认真检查上传响应文件是否完整、正确。</w:t>
      </w:r>
      <w:bookmarkStart w:id="438" w:name="_Toc1790"/>
      <w:bookmarkStart w:id="439" w:name="_Toc30434"/>
    </w:p>
    <w:p w14:paraId="60E07CD2">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逾期上传的投标文件，招标人不予受理。</w:t>
      </w:r>
    </w:p>
    <w:p w14:paraId="1E07C242">
      <w:pPr>
        <w:wordWrap w:val="0"/>
        <w:spacing w:line="360" w:lineRule="auto"/>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4.2.3</w:t>
      </w:r>
      <w:r>
        <w:rPr>
          <w:rFonts w:hint="eastAsia" w:asciiTheme="minorEastAsia" w:hAnsiTheme="minorEastAsia" w:eastAsiaTheme="minorEastAsia" w:cstheme="minorEastAsia"/>
          <w:b/>
          <w:bCs/>
          <w:sz w:val="24"/>
          <w:szCs w:val="24"/>
        </w:rPr>
        <w:t>投标人因电子招投标交易平台问题无法上传电子投标文件时，请及时与固始县公共资源交易中心联系，新点软件技术人员联系电话：1</w:t>
      </w:r>
      <w:r>
        <w:rPr>
          <w:rFonts w:hint="eastAsia" w:asciiTheme="minorEastAsia" w:hAnsiTheme="minorEastAsia" w:eastAsiaTheme="minorEastAsia" w:cstheme="minorEastAsia"/>
          <w:b/>
          <w:bCs/>
          <w:sz w:val="24"/>
          <w:szCs w:val="24"/>
          <w:lang w:val="en-US" w:eastAsia="zh-CN"/>
        </w:rPr>
        <w:t>8537677109</w:t>
      </w:r>
      <w:r>
        <w:rPr>
          <w:rFonts w:hint="eastAsia" w:asciiTheme="minorEastAsia" w:hAnsiTheme="minorEastAsia" w:eastAsiaTheme="minorEastAsia" w:cstheme="minorEastAsia"/>
          <w:b/>
          <w:bCs/>
          <w:sz w:val="24"/>
          <w:szCs w:val="24"/>
        </w:rPr>
        <w:t>，交易中心信息科：4096606。</w:t>
      </w:r>
    </w:p>
    <w:p w14:paraId="06E633D3">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4.3 响应文件的修改与撤回</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2FF30A2D">
      <w:pPr>
        <w:wordWrap w:val="0"/>
        <w:spacing w:line="360" w:lineRule="auto"/>
        <w:ind w:firstLine="480" w:firstLineChars="200"/>
        <w:rPr>
          <w:rFonts w:hint="eastAsia" w:asciiTheme="minorEastAsia" w:hAnsiTheme="minorEastAsia" w:eastAsiaTheme="minorEastAsia" w:cstheme="minorEastAsia"/>
          <w:sz w:val="24"/>
          <w:szCs w:val="24"/>
        </w:rPr>
      </w:pPr>
      <w:bookmarkStart w:id="440" w:name="_Toc144974527"/>
      <w:bookmarkStart w:id="441" w:name="_Toc152042335"/>
      <w:bookmarkStart w:id="442" w:name="_Toc152045559"/>
      <w:bookmarkStart w:id="443" w:name="_Toc455080135"/>
      <w:r>
        <w:rPr>
          <w:rFonts w:hint="eastAsia" w:asciiTheme="minorEastAsia" w:hAnsiTheme="minorEastAsia" w:eastAsiaTheme="minorEastAsia" w:cstheme="minorEastAsia"/>
          <w:sz w:val="24"/>
          <w:szCs w:val="24"/>
        </w:rPr>
        <w:t>4.3.1 在第一章“竞争性磋商公告”规定的响应文件提交截止时间前，供应商可以多次修改或撤回已递交的响应文件，最终响应文件以响应文件提交截止时间前完成上传至信阳市公共资源交易中心交易系统最后一份响应文件为准。</w:t>
      </w:r>
    </w:p>
    <w:p w14:paraId="587BCE8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修改的响应文件应按照本章第3.7条、第4.2条规定进行编制和递交。</w:t>
      </w:r>
    </w:p>
    <w:bookmarkEnd w:id="440"/>
    <w:bookmarkEnd w:id="441"/>
    <w:bookmarkEnd w:id="442"/>
    <w:p w14:paraId="4B6F32AA">
      <w:pPr>
        <w:wordWrap w:val="0"/>
        <w:spacing w:line="360" w:lineRule="auto"/>
        <w:ind w:firstLine="482" w:firstLineChars="200"/>
        <w:rPr>
          <w:rFonts w:hint="eastAsia" w:asciiTheme="minorEastAsia" w:hAnsiTheme="minorEastAsia" w:eastAsiaTheme="minorEastAsia" w:cstheme="minorEastAsia"/>
          <w:b/>
          <w:sz w:val="24"/>
          <w:szCs w:val="24"/>
        </w:rPr>
      </w:pPr>
      <w:bookmarkStart w:id="444" w:name="_Toc14969"/>
      <w:bookmarkStart w:id="445" w:name="_Toc31291"/>
      <w:bookmarkStart w:id="446" w:name="_Toc5719"/>
      <w:r>
        <w:rPr>
          <w:rFonts w:hint="eastAsia" w:asciiTheme="minorEastAsia" w:hAnsiTheme="minorEastAsia" w:eastAsiaTheme="minorEastAsia" w:cstheme="minorEastAsia"/>
          <w:b/>
          <w:sz w:val="24"/>
          <w:szCs w:val="24"/>
        </w:rPr>
        <w:t>5. 磋商开始</w:t>
      </w:r>
      <w:bookmarkEnd w:id="443"/>
      <w:bookmarkEnd w:id="444"/>
      <w:bookmarkEnd w:id="445"/>
      <w:bookmarkEnd w:id="446"/>
      <w:bookmarkStart w:id="447" w:name="_Toc455867796"/>
      <w:bookmarkStart w:id="448" w:name="_Toc152042336"/>
      <w:bookmarkStart w:id="449" w:name="_Toc466298119"/>
      <w:bookmarkStart w:id="450" w:name="_Toc25809"/>
      <w:bookmarkStart w:id="451" w:name="_Toc16040"/>
      <w:bookmarkStart w:id="452" w:name="_Toc152045560"/>
      <w:bookmarkStart w:id="453" w:name="_Toc14"/>
      <w:bookmarkStart w:id="454" w:name="_Toc6763"/>
      <w:bookmarkStart w:id="455" w:name="_Toc318450703"/>
      <w:bookmarkStart w:id="456" w:name="_Toc20333"/>
      <w:bookmarkStart w:id="457" w:name="_Toc455080136"/>
      <w:bookmarkStart w:id="458" w:name="_Toc25533"/>
      <w:bookmarkStart w:id="459" w:name="_Toc26426"/>
      <w:bookmarkStart w:id="460" w:name="_Toc20660"/>
      <w:bookmarkStart w:id="461" w:name="_Toc9969"/>
      <w:bookmarkStart w:id="462" w:name="_Toc490667856"/>
      <w:bookmarkStart w:id="463" w:name="_Toc144974528"/>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14:paraId="4C00CEF5">
      <w:pPr>
        <w:wordWrap w:val="0"/>
        <w:spacing w:line="360" w:lineRule="auto"/>
        <w:ind w:firstLine="482" w:firstLineChars="200"/>
        <w:rPr>
          <w:rFonts w:hint="eastAsia" w:asciiTheme="minorEastAsia" w:hAnsiTheme="minorEastAsia" w:eastAsiaTheme="minorEastAsia" w:cstheme="minorEastAsia"/>
          <w:b/>
          <w:sz w:val="24"/>
          <w:szCs w:val="24"/>
        </w:rPr>
      </w:pPr>
      <w:bookmarkStart w:id="464" w:name="_Toc19037"/>
      <w:bookmarkStart w:id="465" w:name="_Toc25911"/>
      <w:bookmarkStart w:id="466" w:name="_Toc9328"/>
      <w:bookmarkStart w:id="467" w:name="_Toc17491"/>
      <w:bookmarkStart w:id="468" w:name="_Toc11148"/>
      <w:bookmarkStart w:id="469" w:name="_Toc152045561"/>
      <w:bookmarkStart w:id="470" w:name="_Toc466298120"/>
      <w:bookmarkStart w:id="471" w:name="_Toc30792"/>
      <w:bookmarkStart w:id="472" w:name="_Toc3865"/>
      <w:bookmarkStart w:id="473" w:name="_Toc18582"/>
      <w:bookmarkStart w:id="474" w:name="_Toc152042337"/>
      <w:bookmarkStart w:id="475" w:name="_Toc318450704"/>
      <w:bookmarkStart w:id="476" w:name="_Toc490667857"/>
      <w:bookmarkStart w:id="477" w:name="_Toc455867797"/>
      <w:bookmarkStart w:id="478" w:name="_Toc30965"/>
      <w:bookmarkStart w:id="479" w:name="_Toc144974529"/>
      <w:bookmarkStart w:id="480" w:name="_Toc455080137"/>
      <w:bookmarkStart w:id="481" w:name="_Toc747"/>
      <w:bookmarkStart w:id="482" w:name="_Toc30074"/>
      <w:r>
        <w:rPr>
          <w:rFonts w:hint="eastAsia" w:asciiTheme="minorEastAsia" w:hAnsiTheme="minorEastAsia" w:eastAsiaTheme="minorEastAsia" w:cstheme="minorEastAsia"/>
          <w:b/>
          <w:sz w:val="24"/>
          <w:szCs w:val="24"/>
        </w:rPr>
        <w:t>5.1 磋商时间和地点</w:t>
      </w:r>
      <w:bookmarkEnd w:id="464"/>
    </w:p>
    <w:p w14:paraId="61B9A41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采购人在本章规定的投标截止时间（开标时间）和供应商须知前附表规定的地点开标。</w:t>
      </w:r>
    </w:p>
    <w:p w14:paraId="193FD23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 本项目采用“不见面开标”交易方式，不见面开标大厅网址为</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https://ggzyjy.xinyang.gov.cn/BidOpening/bidhall/xinyang/login.html，供应商无需寄送和递交非加密的电子响应文件，无需到现场参加开标会议，无需到达现场提交原件资料。</w:t>
      </w:r>
      <w:r>
        <w:rPr>
          <w:rFonts w:hint="eastAsia" w:asciiTheme="minorEastAsia" w:hAnsiTheme="minorEastAsia" w:eastAsiaTheme="minorEastAsia" w:cstheme="minorEastAsia"/>
          <w:sz w:val="24"/>
          <w:szCs w:val="24"/>
        </w:rPr>
        <w:fldChar w:fldCharType="end"/>
      </w:r>
    </w:p>
    <w:p w14:paraId="17255C77">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供应商应当在响应文件提交截止时间前，使用供应商CA数字证书登录不见面开标大厅，在线签到并准时参加开标活动，并在规定时间内完成响应文件解密、答疑澄清等。</w:t>
      </w:r>
    </w:p>
    <w:p w14:paraId="1961BC7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381C10F3">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不见面开标服务的具体事宜，请查阅信阳市公共资源交易中心网站首页—下载中心—信阳市不见面开标大厅系统操作手册。</w:t>
      </w:r>
    </w:p>
    <w:p w14:paraId="314A562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开标过程中，供应商如有异议，须在开标结束前通过系统提出，否则视同认可开标记录。开标结束后，对开标记录的任何异议不再接受。</w:t>
      </w:r>
    </w:p>
    <w:p w14:paraId="0BEDC11B">
      <w:pPr>
        <w:wordWrap w:val="0"/>
        <w:spacing w:line="360" w:lineRule="auto"/>
        <w:ind w:firstLine="482" w:firstLineChars="200"/>
        <w:rPr>
          <w:rFonts w:hint="eastAsia" w:asciiTheme="minorEastAsia" w:hAnsiTheme="minorEastAsia" w:eastAsiaTheme="minorEastAsia" w:cstheme="minorEastAsia"/>
          <w:b/>
          <w:sz w:val="24"/>
          <w:szCs w:val="24"/>
        </w:rPr>
      </w:pPr>
      <w:bookmarkStart w:id="483" w:name="_Toc6880"/>
      <w:r>
        <w:rPr>
          <w:rFonts w:hint="eastAsia" w:asciiTheme="minorEastAsia" w:hAnsiTheme="minorEastAsia" w:eastAsiaTheme="minorEastAsia" w:cstheme="minorEastAsia"/>
          <w:b/>
          <w:sz w:val="24"/>
          <w:szCs w:val="24"/>
        </w:rPr>
        <w:t>5.2 磋商程序</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Start w:id="484" w:name="_Toc14413"/>
      <w:bookmarkStart w:id="485" w:name="_Toc30403"/>
    </w:p>
    <w:p w14:paraId="50642E48">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 磋商小组对竞争性磋商文件进行熟悉确认。</w:t>
      </w:r>
      <w:bookmarkEnd w:id="484"/>
      <w:bookmarkEnd w:id="485"/>
    </w:p>
    <w:p w14:paraId="5B2CBDDB">
      <w:pPr>
        <w:wordWrap w:val="0"/>
        <w:spacing w:line="360" w:lineRule="auto"/>
        <w:ind w:firstLine="480" w:firstLineChars="200"/>
        <w:rPr>
          <w:rFonts w:hint="eastAsia" w:asciiTheme="minorEastAsia" w:hAnsiTheme="minorEastAsia" w:eastAsiaTheme="minorEastAsia" w:cstheme="minorEastAsia"/>
          <w:sz w:val="24"/>
          <w:szCs w:val="24"/>
        </w:rPr>
      </w:pPr>
      <w:bookmarkStart w:id="486" w:name="_Toc152042338"/>
      <w:bookmarkStart w:id="487" w:name="_Toc144974530"/>
      <w:bookmarkStart w:id="488" w:name="_Toc152045562"/>
      <w:r>
        <w:rPr>
          <w:rFonts w:hint="eastAsia" w:asciiTheme="minorEastAsia" w:hAnsiTheme="minorEastAsia" w:eastAsiaTheme="minorEastAsia" w:cstheme="minorEastAsia"/>
          <w:sz w:val="24"/>
          <w:szCs w:val="24"/>
        </w:rPr>
        <w:t>5.2.2 磋商小组推选组长，讨论、通过磋商工作流程和磋商要点。</w:t>
      </w:r>
    </w:p>
    <w:p w14:paraId="2724AF5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 资格评审审查：采购人依据竞争性磋商文件规定，对供应商进行审查，以确定磋商供应商是否具备参与磋商的资格。</w:t>
      </w:r>
    </w:p>
    <w:p w14:paraId="1D57880E">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 符合性评审审查：磋商开始后，磋商小组依据竞争性磋商文件规定，对通过资格评审的供应商进行审查，以确定磋商供应商是否具备参与磋商的资格。</w:t>
      </w:r>
    </w:p>
    <w:p w14:paraId="5FD713EB">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 磋商小组对通过资格性和符合性审查的响应文件进行评估，确定与各竞标人磋商的具体内容。</w:t>
      </w:r>
    </w:p>
    <w:p w14:paraId="05CEECB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5.2.6 磋商过程中，磋商小组可以根据磋商情况实质性变动招标需求中的技术、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w:t>
      </w:r>
      <w:r>
        <w:rPr>
          <w:rFonts w:hint="eastAsia" w:asciiTheme="minorEastAsia" w:hAnsiTheme="minorEastAsia" w:eastAsiaTheme="minorEastAsia" w:cstheme="minorEastAsia"/>
          <w:sz w:val="24"/>
          <w:szCs w:val="24"/>
          <w:lang w:eastAsia="zh-CN"/>
        </w:rPr>
        <w:t>质量要求</w:t>
      </w:r>
      <w:r>
        <w:rPr>
          <w:rFonts w:hint="eastAsia" w:asciiTheme="minorEastAsia" w:hAnsiTheme="minorEastAsia" w:eastAsiaTheme="minorEastAsia" w:cstheme="minorEastAsia"/>
          <w:sz w:val="24"/>
          <w:szCs w:val="24"/>
        </w:rPr>
        <w:t>以及合同草案条款，则供应商的最后报价不得高于首次报价，否则按无效报价处理。</w:t>
      </w:r>
    </w:p>
    <w:p w14:paraId="7A4E7E9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 磋商小组对符合招标需求的供应商进行两轮报价；供应商只有通过资格评审及符合性评审后方可进入下一轮报价，在规定的时间内同时提交报价，最终报价不得超过响应文件中报价。</w:t>
      </w:r>
    </w:p>
    <w:p w14:paraId="322072AA">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 经磋商确定最终招标需求，由磋商小组采用综合评分法对通过初步评审的供应商的响应文件进行综合评分。</w:t>
      </w:r>
    </w:p>
    <w:p w14:paraId="7E4FA014">
      <w:pPr>
        <w:wordWrap w:val="0"/>
        <w:spacing w:line="360" w:lineRule="auto"/>
        <w:ind w:firstLine="482" w:firstLineChars="200"/>
        <w:rPr>
          <w:rFonts w:hint="eastAsia" w:asciiTheme="minorEastAsia" w:hAnsiTheme="minorEastAsia" w:eastAsiaTheme="minorEastAsia" w:cstheme="minorEastAsia"/>
          <w:b/>
          <w:sz w:val="24"/>
          <w:szCs w:val="24"/>
        </w:rPr>
      </w:pPr>
      <w:bookmarkStart w:id="489" w:name="_Toc455080138"/>
      <w:bookmarkStart w:id="490" w:name="_Toc14039"/>
      <w:bookmarkStart w:id="491" w:name="_Toc32276"/>
      <w:bookmarkStart w:id="492" w:name="_Toc16609"/>
      <w:r>
        <w:rPr>
          <w:rFonts w:hint="eastAsia" w:asciiTheme="minorEastAsia" w:hAnsiTheme="minorEastAsia" w:eastAsiaTheme="minorEastAsia" w:cstheme="minorEastAsia"/>
          <w:b/>
          <w:sz w:val="24"/>
          <w:szCs w:val="24"/>
        </w:rPr>
        <w:t xml:space="preserve">6. </w:t>
      </w:r>
      <w:bookmarkEnd w:id="486"/>
      <w:bookmarkEnd w:id="487"/>
      <w:bookmarkEnd w:id="488"/>
      <w:r>
        <w:rPr>
          <w:rFonts w:hint="eastAsia" w:asciiTheme="minorEastAsia" w:hAnsiTheme="minorEastAsia" w:eastAsiaTheme="minorEastAsia" w:cstheme="minorEastAsia"/>
          <w:b/>
          <w:sz w:val="24"/>
          <w:szCs w:val="24"/>
        </w:rPr>
        <w:t>磋商</w:t>
      </w:r>
      <w:bookmarkEnd w:id="489"/>
      <w:r>
        <w:rPr>
          <w:rFonts w:hint="eastAsia" w:asciiTheme="minorEastAsia" w:hAnsiTheme="minorEastAsia" w:eastAsiaTheme="minorEastAsia" w:cstheme="minorEastAsia"/>
          <w:b/>
          <w:sz w:val="24"/>
          <w:szCs w:val="24"/>
        </w:rPr>
        <w:t>小组</w:t>
      </w:r>
      <w:bookmarkEnd w:id="490"/>
      <w:bookmarkEnd w:id="491"/>
      <w:bookmarkEnd w:id="492"/>
    </w:p>
    <w:p w14:paraId="5112D715">
      <w:pPr>
        <w:wordWrap w:val="0"/>
        <w:spacing w:line="360" w:lineRule="auto"/>
        <w:ind w:firstLine="482" w:firstLineChars="200"/>
        <w:rPr>
          <w:rFonts w:hint="eastAsia" w:asciiTheme="minorEastAsia" w:hAnsiTheme="minorEastAsia" w:eastAsiaTheme="minorEastAsia" w:cstheme="minorEastAsia"/>
          <w:b/>
          <w:sz w:val="24"/>
          <w:szCs w:val="24"/>
        </w:rPr>
      </w:pPr>
      <w:bookmarkStart w:id="493" w:name="_Toc318450706"/>
      <w:bookmarkStart w:id="494" w:name="_Toc152042339"/>
      <w:bookmarkStart w:id="495" w:name="_Toc9808"/>
      <w:bookmarkStart w:id="496" w:name="_Toc26098"/>
      <w:bookmarkStart w:id="497" w:name="_Toc144974531"/>
      <w:bookmarkStart w:id="498" w:name="_Toc152045563"/>
      <w:bookmarkStart w:id="499" w:name="_Toc22250"/>
      <w:bookmarkStart w:id="500" w:name="_Toc8725"/>
      <w:bookmarkStart w:id="501" w:name="_Toc18985"/>
      <w:bookmarkStart w:id="502" w:name="_Toc13978"/>
      <w:bookmarkStart w:id="503" w:name="_Toc466298122"/>
      <w:bookmarkStart w:id="504" w:name="_Toc8157"/>
      <w:bookmarkStart w:id="505" w:name="_Toc12742"/>
      <w:bookmarkStart w:id="506" w:name="_Toc1574"/>
      <w:bookmarkStart w:id="507" w:name="_Toc455080139"/>
      <w:bookmarkStart w:id="508" w:name="_Toc23138"/>
      <w:bookmarkStart w:id="509" w:name="_Toc1546"/>
      <w:bookmarkStart w:id="510" w:name="_Toc455867799"/>
      <w:bookmarkStart w:id="511" w:name="_Toc490667859"/>
      <w:r>
        <w:rPr>
          <w:rFonts w:hint="eastAsia" w:asciiTheme="minorEastAsia" w:hAnsiTheme="minorEastAsia" w:eastAsiaTheme="minorEastAsia" w:cstheme="minorEastAsia"/>
          <w:b/>
          <w:sz w:val="24"/>
          <w:szCs w:val="24"/>
        </w:rPr>
        <w:t>6.1</w:t>
      </w:r>
      <w:bookmarkEnd w:id="493"/>
      <w:bookmarkEnd w:id="494"/>
      <w:bookmarkEnd w:id="495"/>
      <w:bookmarkEnd w:id="496"/>
      <w:bookmarkEnd w:id="497"/>
      <w:bookmarkEnd w:id="498"/>
      <w:bookmarkEnd w:id="499"/>
      <w:r>
        <w:rPr>
          <w:rFonts w:hint="eastAsia" w:asciiTheme="minorEastAsia" w:hAnsiTheme="minorEastAsia" w:eastAsiaTheme="minorEastAsia" w:cstheme="minorEastAsia"/>
          <w:b/>
          <w:sz w:val="24"/>
          <w:szCs w:val="24"/>
        </w:rPr>
        <w:t xml:space="preserve"> 磋商小组</w:t>
      </w:r>
      <w:bookmarkEnd w:id="500"/>
      <w:bookmarkEnd w:id="501"/>
      <w:bookmarkEnd w:id="502"/>
      <w:bookmarkEnd w:id="503"/>
      <w:bookmarkEnd w:id="504"/>
      <w:bookmarkEnd w:id="505"/>
      <w:bookmarkEnd w:id="506"/>
      <w:bookmarkEnd w:id="507"/>
      <w:bookmarkEnd w:id="508"/>
      <w:bookmarkEnd w:id="509"/>
      <w:bookmarkEnd w:id="510"/>
      <w:bookmarkEnd w:id="511"/>
    </w:p>
    <w:p w14:paraId="53829646">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磋商由采购人依法组建的磋商小组负责。磋商小组由采购人代表以及有关技术、经济等方面的专家组成。磋商小组成员人数以及技术、经济等方面专家的确定方式见供应商须知前附表。</w:t>
      </w:r>
      <w:bookmarkStart w:id="512" w:name="_Toc4435"/>
      <w:bookmarkStart w:id="513" w:name="_Toc318450707"/>
      <w:bookmarkStart w:id="514" w:name="_Toc21102"/>
      <w:bookmarkStart w:id="515" w:name="_Toc152045564"/>
      <w:bookmarkStart w:id="516" w:name="_Toc455867800"/>
      <w:bookmarkStart w:id="517" w:name="_Toc152042340"/>
      <w:bookmarkStart w:id="518" w:name="_Toc7286"/>
      <w:bookmarkStart w:id="519" w:name="_Toc466298123"/>
      <w:bookmarkStart w:id="520" w:name="_Toc8248"/>
      <w:bookmarkStart w:id="521" w:name="_Toc10765"/>
      <w:bookmarkStart w:id="522" w:name="_Toc27035"/>
      <w:bookmarkStart w:id="523" w:name="_Toc22143"/>
      <w:bookmarkStart w:id="524" w:name="_Toc13368"/>
      <w:bookmarkStart w:id="525" w:name="_Toc9532"/>
      <w:bookmarkStart w:id="526" w:name="_Toc25721"/>
      <w:bookmarkStart w:id="527" w:name="_Toc455080140"/>
      <w:bookmarkStart w:id="528" w:name="_Toc490667860"/>
      <w:bookmarkStart w:id="529" w:name="_Toc8240"/>
      <w:bookmarkStart w:id="530" w:name="_Toc144974532"/>
    </w:p>
    <w:p w14:paraId="79887F97">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 磋商原则</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3A02C89">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磋商活动遵循公平、公正、科学和择优的原则。</w:t>
      </w:r>
      <w:bookmarkStart w:id="531" w:name="_Toc318450708"/>
      <w:bookmarkStart w:id="532" w:name="_Toc16725"/>
      <w:bookmarkStart w:id="533" w:name="_Toc8705"/>
      <w:bookmarkStart w:id="534" w:name="_Toc152042341"/>
      <w:bookmarkStart w:id="535" w:name="_Toc144974533"/>
      <w:bookmarkStart w:id="536" w:name="_Toc152045565"/>
      <w:bookmarkStart w:id="537" w:name="_Toc15595"/>
      <w:bookmarkStart w:id="538" w:name="_Toc490667861"/>
      <w:bookmarkStart w:id="539" w:name="_Toc24358"/>
      <w:bookmarkStart w:id="540" w:name="_Toc7890"/>
      <w:bookmarkStart w:id="541" w:name="_Toc466298124"/>
      <w:bookmarkStart w:id="542" w:name="_Toc20062"/>
      <w:bookmarkStart w:id="543" w:name="_Toc18756"/>
      <w:bookmarkStart w:id="544" w:name="_Toc28734"/>
      <w:bookmarkStart w:id="545" w:name="_Toc3606"/>
      <w:bookmarkStart w:id="546" w:name="_Toc27036"/>
      <w:bookmarkStart w:id="547" w:name="_Toc455080141"/>
      <w:bookmarkStart w:id="548" w:name="_Toc24526"/>
      <w:bookmarkStart w:id="549" w:name="_Toc455867801"/>
    </w:p>
    <w:p w14:paraId="4CEEE99C">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6.3 </w:t>
      </w:r>
      <w:bookmarkEnd w:id="531"/>
      <w:bookmarkEnd w:id="532"/>
      <w:bookmarkEnd w:id="533"/>
      <w:bookmarkEnd w:id="534"/>
      <w:bookmarkEnd w:id="535"/>
      <w:bookmarkEnd w:id="536"/>
      <w:bookmarkEnd w:id="537"/>
      <w:r>
        <w:rPr>
          <w:rFonts w:hint="eastAsia" w:asciiTheme="minorEastAsia" w:hAnsiTheme="minorEastAsia" w:eastAsiaTheme="minorEastAsia" w:cstheme="minorEastAsia"/>
          <w:b/>
          <w:sz w:val="24"/>
          <w:szCs w:val="24"/>
        </w:rPr>
        <w:t>磋商</w:t>
      </w:r>
      <w:bookmarkEnd w:id="538"/>
      <w:bookmarkEnd w:id="539"/>
      <w:bookmarkEnd w:id="540"/>
      <w:bookmarkEnd w:id="541"/>
      <w:bookmarkEnd w:id="542"/>
      <w:bookmarkEnd w:id="543"/>
      <w:bookmarkEnd w:id="544"/>
      <w:bookmarkEnd w:id="545"/>
      <w:bookmarkEnd w:id="546"/>
      <w:bookmarkEnd w:id="547"/>
      <w:bookmarkEnd w:id="548"/>
      <w:bookmarkEnd w:id="549"/>
    </w:p>
    <w:p w14:paraId="1849DCED">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磋商小组按照第三章“评审办法”规定的方法、评审因素、标准和程序对响应文件进行评审。第三章“评审办法”没有规定的方法、评审因素和标准，不作为评标依据。</w:t>
      </w:r>
      <w:bookmarkStart w:id="550" w:name="_Toc152045566"/>
      <w:bookmarkStart w:id="551" w:name="_Toc152042342"/>
      <w:bookmarkStart w:id="552" w:name="_Toc455080142"/>
      <w:bookmarkStart w:id="553" w:name="_Toc144974534"/>
      <w:bookmarkStart w:id="554" w:name="_Toc6334"/>
      <w:bookmarkStart w:id="555" w:name="_Toc9522"/>
      <w:bookmarkStart w:id="556" w:name="_Toc5971"/>
    </w:p>
    <w:p w14:paraId="4FF7491F">
      <w:pPr>
        <w:wordWrap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 合同授予</w:t>
      </w:r>
      <w:bookmarkEnd w:id="550"/>
      <w:bookmarkEnd w:id="551"/>
      <w:bookmarkEnd w:id="552"/>
      <w:bookmarkEnd w:id="553"/>
      <w:bookmarkEnd w:id="554"/>
      <w:bookmarkEnd w:id="555"/>
      <w:bookmarkEnd w:id="556"/>
    </w:p>
    <w:p w14:paraId="3402C8EE">
      <w:pPr>
        <w:wordWrap w:val="0"/>
        <w:spacing w:line="360" w:lineRule="auto"/>
        <w:ind w:firstLine="482" w:firstLineChars="200"/>
        <w:rPr>
          <w:rFonts w:hint="eastAsia" w:asciiTheme="minorEastAsia" w:hAnsiTheme="minorEastAsia" w:eastAsiaTheme="minorEastAsia" w:cstheme="minorEastAsia"/>
          <w:b/>
          <w:sz w:val="24"/>
          <w:szCs w:val="24"/>
        </w:rPr>
      </w:pPr>
      <w:bookmarkStart w:id="557" w:name="_Toc29686"/>
      <w:bookmarkStart w:id="558" w:name="_Toc32135"/>
      <w:bookmarkStart w:id="559" w:name="_Toc318450710"/>
      <w:bookmarkStart w:id="560" w:name="_Toc152045567"/>
      <w:bookmarkStart w:id="561" w:name="_Toc11409"/>
      <w:bookmarkStart w:id="562" w:name="_Toc29664"/>
      <w:bookmarkStart w:id="563" w:name="_Toc7358"/>
      <w:bookmarkStart w:id="564" w:name="_Toc144974535"/>
      <w:bookmarkStart w:id="565" w:name="_Toc28919"/>
      <w:bookmarkStart w:id="566" w:name="_Toc25316"/>
      <w:bookmarkStart w:id="567" w:name="_Toc466298126"/>
      <w:bookmarkStart w:id="568" w:name="_Toc152042343"/>
      <w:bookmarkStart w:id="569" w:name="_Toc20777"/>
      <w:bookmarkStart w:id="570" w:name="_Toc455867803"/>
      <w:bookmarkStart w:id="571" w:name="_Toc22461"/>
      <w:bookmarkStart w:id="572" w:name="_Toc17660"/>
      <w:bookmarkStart w:id="573" w:name="_Toc490667863"/>
      <w:bookmarkStart w:id="574" w:name="_Toc14528"/>
      <w:bookmarkStart w:id="575" w:name="_Toc455080143"/>
      <w:r>
        <w:rPr>
          <w:rFonts w:hint="eastAsia" w:asciiTheme="minorEastAsia" w:hAnsiTheme="minorEastAsia" w:eastAsiaTheme="minorEastAsia" w:cstheme="minorEastAsia"/>
          <w:b/>
          <w:sz w:val="24"/>
          <w:szCs w:val="24"/>
        </w:rPr>
        <w:t>7.1 定标方式</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2D334A23">
      <w:pPr>
        <w:wordWrap w:val="0"/>
        <w:spacing w:line="360" w:lineRule="auto"/>
        <w:ind w:firstLine="480" w:firstLineChars="200"/>
        <w:rPr>
          <w:rFonts w:hint="eastAsia" w:asciiTheme="minorEastAsia" w:hAnsiTheme="minorEastAsia" w:eastAsiaTheme="minorEastAsia" w:cstheme="minorEastAsia"/>
          <w:sz w:val="24"/>
          <w:szCs w:val="24"/>
        </w:rPr>
      </w:pPr>
      <w:bookmarkStart w:id="576" w:name="_Toc28254"/>
      <w:bookmarkStart w:id="577" w:name="_Toc152042344"/>
      <w:bookmarkStart w:id="578" w:name="_Toc318450711"/>
      <w:bookmarkStart w:id="579" w:name="_Toc7066"/>
      <w:bookmarkStart w:id="580" w:name="_Toc10868"/>
      <w:bookmarkStart w:id="581" w:name="_Toc152045568"/>
      <w:bookmarkStart w:id="582" w:name="_Toc144974536"/>
      <w:r>
        <w:rPr>
          <w:rFonts w:hint="eastAsia" w:asciiTheme="minorEastAsia" w:hAnsiTheme="minorEastAsia" w:eastAsiaTheme="minorEastAsia" w:cstheme="minorEastAsia"/>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792F7A57">
      <w:pPr>
        <w:wordWrap w:val="0"/>
        <w:spacing w:line="360" w:lineRule="auto"/>
        <w:ind w:firstLine="482" w:firstLineChars="200"/>
        <w:rPr>
          <w:rFonts w:hint="eastAsia" w:asciiTheme="minorEastAsia" w:hAnsiTheme="minorEastAsia" w:eastAsiaTheme="minorEastAsia" w:cstheme="minorEastAsia"/>
          <w:b/>
          <w:sz w:val="24"/>
          <w:szCs w:val="24"/>
        </w:rPr>
      </w:pPr>
      <w:bookmarkStart w:id="583" w:name="_Toc490667864"/>
      <w:bookmarkStart w:id="584" w:name="_Toc455080144"/>
      <w:bookmarkStart w:id="585" w:name="_Toc28177"/>
      <w:bookmarkStart w:id="586" w:name="_Toc16163"/>
      <w:bookmarkStart w:id="587" w:name="_Toc5428"/>
      <w:bookmarkStart w:id="588" w:name="_Toc9775"/>
      <w:bookmarkStart w:id="589" w:name="_Toc455867804"/>
      <w:bookmarkStart w:id="590" w:name="_Toc466298127"/>
      <w:bookmarkStart w:id="591" w:name="_Toc1484"/>
      <w:bookmarkStart w:id="592" w:name="_Toc15825"/>
      <w:bookmarkStart w:id="593" w:name="_Toc5668"/>
      <w:bookmarkStart w:id="594" w:name="_Toc9897"/>
      <w:r>
        <w:rPr>
          <w:rFonts w:hint="eastAsia" w:asciiTheme="minorEastAsia" w:hAnsiTheme="minorEastAsia" w:eastAsiaTheme="minorEastAsia" w:cstheme="minorEastAsia"/>
          <w:b/>
          <w:sz w:val="24"/>
          <w:szCs w:val="24"/>
        </w:rPr>
        <w:t>7.2 成交通知</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0ED4EE9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在本章第3.3.1款规定的磋商有效期内，采购人以书面形式向成交人发出成交通知书，同时将成交结果通知未成交的供应商。</w:t>
      </w:r>
    </w:p>
    <w:p w14:paraId="24F82B62">
      <w:pPr>
        <w:wordWrap w:val="0"/>
        <w:spacing w:line="360" w:lineRule="auto"/>
        <w:ind w:firstLine="482" w:firstLineChars="200"/>
        <w:rPr>
          <w:rFonts w:hint="eastAsia" w:asciiTheme="minorEastAsia" w:hAnsiTheme="minorEastAsia" w:eastAsiaTheme="minorEastAsia" w:cstheme="minorEastAsia"/>
          <w:b/>
          <w:sz w:val="24"/>
          <w:szCs w:val="24"/>
        </w:rPr>
      </w:pPr>
      <w:bookmarkStart w:id="595" w:name="_Toc22732"/>
      <w:r>
        <w:rPr>
          <w:rFonts w:hint="eastAsia" w:asciiTheme="minorEastAsia" w:hAnsiTheme="minorEastAsia" w:eastAsiaTheme="minorEastAsia" w:cstheme="minorEastAsia"/>
          <w:b/>
          <w:sz w:val="24"/>
          <w:szCs w:val="24"/>
        </w:rPr>
        <w:t>7.3 履约保证金</w:t>
      </w:r>
      <w:bookmarkEnd w:id="595"/>
    </w:p>
    <w:p w14:paraId="0CEBC6B1">
      <w:pPr>
        <w:wordWrap w:val="0"/>
        <w:spacing w:line="360" w:lineRule="auto"/>
        <w:ind w:firstLine="480" w:firstLineChars="200"/>
        <w:rPr>
          <w:rFonts w:hint="eastAsia" w:asciiTheme="minorEastAsia" w:hAnsiTheme="minorEastAsia" w:eastAsiaTheme="minorEastAsia" w:cstheme="minorEastAsia"/>
          <w:sz w:val="24"/>
          <w:szCs w:val="24"/>
        </w:rPr>
      </w:pPr>
      <w:bookmarkStart w:id="596" w:name="_Toc21617"/>
      <w:bookmarkStart w:id="597" w:name="_Toc15458"/>
      <w:bookmarkStart w:id="598" w:name="_Toc21271"/>
      <w:bookmarkStart w:id="599" w:name="_Toc26655"/>
      <w:bookmarkStart w:id="600" w:name="_Toc455080145"/>
      <w:bookmarkStart w:id="601" w:name="_Toc26760"/>
      <w:bookmarkStart w:id="602" w:name="_Toc24026"/>
      <w:bookmarkStart w:id="603" w:name="_Toc152042346"/>
      <w:bookmarkStart w:id="604" w:name="_Toc318450712"/>
      <w:bookmarkStart w:id="605" w:name="_Toc144974538"/>
      <w:bookmarkStart w:id="606" w:name="_Toc13147"/>
      <w:bookmarkStart w:id="607" w:name="_Toc8886"/>
      <w:bookmarkStart w:id="608" w:name="_Toc152045570"/>
      <w:bookmarkStart w:id="609" w:name="_Toc490667865"/>
      <w:bookmarkStart w:id="610" w:name="_Toc26915"/>
      <w:bookmarkStart w:id="611" w:name="_Toc466298128"/>
      <w:bookmarkStart w:id="612" w:name="_Toc455867805"/>
      <w:bookmarkStart w:id="613" w:name="_Toc12663"/>
      <w:bookmarkStart w:id="614" w:name="_Toc10082"/>
      <w:r>
        <w:rPr>
          <w:rFonts w:hint="eastAsia" w:asciiTheme="minorEastAsia" w:hAnsiTheme="minorEastAsia" w:eastAsiaTheme="minorEastAsia" w:cstheme="minorEastAsia"/>
          <w:sz w:val="24"/>
          <w:szCs w:val="24"/>
        </w:rPr>
        <w:t>免收履约保证金</w:t>
      </w:r>
      <w:bookmarkEnd w:id="596"/>
    </w:p>
    <w:p w14:paraId="2ED46351">
      <w:pPr>
        <w:wordWrap w:val="0"/>
        <w:spacing w:line="360" w:lineRule="auto"/>
        <w:ind w:firstLine="482" w:firstLineChars="200"/>
        <w:rPr>
          <w:rFonts w:hint="eastAsia" w:asciiTheme="minorEastAsia" w:hAnsiTheme="minorEastAsia" w:eastAsiaTheme="minorEastAsia" w:cstheme="minorEastAsia"/>
          <w:b/>
          <w:sz w:val="24"/>
          <w:szCs w:val="24"/>
        </w:rPr>
      </w:pPr>
      <w:bookmarkStart w:id="615" w:name="_Toc25032"/>
      <w:r>
        <w:rPr>
          <w:rFonts w:hint="eastAsia" w:asciiTheme="minorEastAsia" w:hAnsiTheme="minorEastAsia" w:eastAsiaTheme="minorEastAsia" w:cstheme="minorEastAsia"/>
          <w:b/>
          <w:sz w:val="24"/>
          <w:szCs w:val="24"/>
        </w:rPr>
        <w:t>7.4 签订合同</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2840180">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7.4.1 采购人和成交人应当自成交通知书发出之日起2-7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7925871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7.4.2 发出成交通知书后，采购人无正当理由拒签合同的，采购人向成交人退还磋商保证金；给成交人造成损失的，还应当赔偿损失。</w:t>
      </w:r>
      <w:bookmarkStart w:id="616" w:name="_Toc152042350"/>
      <w:bookmarkStart w:id="617" w:name="_Toc152045574"/>
      <w:bookmarkStart w:id="618" w:name="_Toc144974542"/>
    </w:p>
    <w:p w14:paraId="665FFF5E">
      <w:pPr>
        <w:wordWrap w:val="0"/>
        <w:spacing w:line="360" w:lineRule="auto"/>
        <w:ind w:firstLine="482" w:firstLineChars="200"/>
        <w:rPr>
          <w:rFonts w:hint="eastAsia" w:asciiTheme="minorEastAsia" w:hAnsiTheme="minorEastAsia" w:eastAsiaTheme="minorEastAsia" w:cstheme="minorEastAsia"/>
          <w:b/>
          <w:sz w:val="24"/>
          <w:szCs w:val="24"/>
        </w:rPr>
      </w:pPr>
      <w:bookmarkStart w:id="619" w:name="_Toc16866"/>
      <w:bookmarkStart w:id="620" w:name="_Toc455080146"/>
      <w:bookmarkStart w:id="621" w:name="_Toc24956"/>
      <w:bookmarkStart w:id="622" w:name="_Toc20121"/>
      <w:r>
        <w:rPr>
          <w:rFonts w:hint="eastAsia" w:asciiTheme="minorEastAsia" w:hAnsiTheme="minorEastAsia" w:eastAsiaTheme="minorEastAsia" w:cstheme="minorEastAsia"/>
          <w:b/>
          <w:sz w:val="24"/>
          <w:szCs w:val="24"/>
        </w:rPr>
        <w:t>8. 重新招标</w:t>
      </w:r>
      <w:bookmarkEnd w:id="619"/>
      <w:bookmarkEnd w:id="620"/>
      <w:bookmarkEnd w:id="621"/>
      <w:bookmarkEnd w:id="622"/>
    </w:p>
    <w:p w14:paraId="70B789BF">
      <w:pPr>
        <w:wordWrap w:val="0"/>
        <w:spacing w:line="360" w:lineRule="auto"/>
        <w:ind w:firstLine="482" w:firstLineChars="200"/>
        <w:rPr>
          <w:rFonts w:hint="eastAsia" w:asciiTheme="minorEastAsia" w:hAnsiTheme="minorEastAsia" w:eastAsiaTheme="minorEastAsia" w:cstheme="minorEastAsia"/>
          <w:b/>
          <w:sz w:val="24"/>
          <w:szCs w:val="24"/>
        </w:rPr>
      </w:pPr>
      <w:bookmarkStart w:id="623" w:name="_Toc16556"/>
      <w:bookmarkStart w:id="624" w:name="_Toc21278"/>
      <w:r>
        <w:rPr>
          <w:rFonts w:hint="eastAsia" w:asciiTheme="minorEastAsia" w:hAnsiTheme="minorEastAsia" w:eastAsiaTheme="minorEastAsia" w:cstheme="minorEastAsia"/>
          <w:b/>
          <w:sz w:val="24"/>
          <w:szCs w:val="24"/>
        </w:rPr>
        <w:t>8.1 重新招标</w:t>
      </w:r>
      <w:bookmarkEnd w:id="623"/>
      <w:bookmarkEnd w:id="624"/>
    </w:p>
    <w:p w14:paraId="7BCFCF54">
      <w:pPr>
        <w:wordWrap w:val="0"/>
        <w:spacing w:line="360" w:lineRule="auto"/>
        <w:ind w:firstLine="480" w:firstLineChars="200"/>
        <w:rPr>
          <w:rFonts w:hint="eastAsia" w:asciiTheme="minorEastAsia" w:hAnsiTheme="minorEastAsia" w:eastAsiaTheme="minorEastAsia" w:cstheme="minorEastAsia"/>
          <w:sz w:val="24"/>
          <w:szCs w:val="24"/>
        </w:rPr>
      </w:pPr>
      <w:bookmarkStart w:id="625" w:name="_Toc9985"/>
      <w:r>
        <w:rPr>
          <w:rFonts w:hint="eastAsia" w:asciiTheme="minorEastAsia" w:hAnsiTheme="minorEastAsia" w:eastAsiaTheme="minorEastAsia" w:cstheme="minorEastAsia"/>
          <w:sz w:val="24"/>
          <w:szCs w:val="24"/>
        </w:rPr>
        <w:t>有下列情形之一的，采购人将重新招标：</w:t>
      </w:r>
      <w:bookmarkEnd w:id="625"/>
    </w:p>
    <w:p w14:paraId="59ED9CCA">
      <w:pPr>
        <w:wordWrap w:val="0"/>
        <w:spacing w:line="360" w:lineRule="auto"/>
        <w:ind w:firstLine="480" w:firstLineChars="200"/>
        <w:rPr>
          <w:rFonts w:hint="eastAsia" w:asciiTheme="minorEastAsia" w:hAnsiTheme="minorEastAsia" w:eastAsiaTheme="minorEastAsia" w:cstheme="minorEastAsia"/>
          <w:sz w:val="24"/>
          <w:szCs w:val="24"/>
        </w:rPr>
      </w:pPr>
      <w:bookmarkStart w:id="626" w:name="_Toc25063"/>
      <w:r>
        <w:rPr>
          <w:rFonts w:hint="eastAsia" w:asciiTheme="minorEastAsia" w:hAnsiTheme="minorEastAsia" w:eastAsiaTheme="minorEastAsia" w:cstheme="minorEastAsia"/>
          <w:sz w:val="24"/>
          <w:szCs w:val="24"/>
        </w:rPr>
        <w:t>（1）提交响应文件截止时间止，供应商少于3个的；</w:t>
      </w:r>
      <w:bookmarkEnd w:id="626"/>
    </w:p>
    <w:p w14:paraId="475A0ECD">
      <w:pPr>
        <w:wordWrap w:val="0"/>
        <w:spacing w:line="360" w:lineRule="auto"/>
        <w:ind w:firstLine="480" w:firstLineChars="200"/>
        <w:rPr>
          <w:rFonts w:hint="eastAsia" w:asciiTheme="minorEastAsia" w:hAnsiTheme="minorEastAsia" w:eastAsiaTheme="minorEastAsia" w:cstheme="minorEastAsia"/>
          <w:sz w:val="24"/>
          <w:szCs w:val="24"/>
        </w:rPr>
      </w:pPr>
      <w:bookmarkStart w:id="627" w:name="_Toc17911"/>
      <w:r>
        <w:rPr>
          <w:rFonts w:hint="eastAsia" w:asciiTheme="minorEastAsia" w:hAnsiTheme="minorEastAsia" w:eastAsiaTheme="minorEastAsia" w:cstheme="minorEastAsia"/>
          <w:sz w:val="24"/>
          <w:szCs w:val="24"/>
        </w:rPr>
        <w:t>（2）经磋商小组评审后否决所有响应文件的。</w:t>
      </w:r>
      <w:bookmarkEnd w:id="627"/>
    </w:p>
    <w:p w14:paraId="7FD6277A">
      <w:pPr>
        <w:wordWrap w:val="0"/>
        <w:spacing w:line="360" w:lineRule="auto"/>
        <w:ind w:firstLine="482" w:firstLineChars="200"/>
        <w:rPr>
          <w:rFonts w:hint="eastAsia" w:asciiTheme="minorEastAsia" w:hAnsiTheme="minorEastAsia" w:eastAsiaTheme="minorEastAsia" w:cstheme="minorEastAsia"/>
          <w:b/>
          <w:sz w:val="24"/>
          <w:szCs w:val="24"/>
        </w:rPr>
      </w:pPr>
      <w:bookmarkStart w:id="628" w:name="_Toc455080147"/>
      <w:bookmarkStart w:id="629" w:name="_Toc9996"/>
      <w:bookmarkStart w:id="630" w:name="_Toc27506"/>
      <w:bookmarkStart w:id="631" w:name="_Toc8213"/>
      <w:r>
        <w:rPr>
          <w:rFonts w:hint="eastAsia" w:asciiTheme="minorEastAsia" w:hAnsiTheme="minorEastAsia" w:eastAsiaTheme="minorEastAsia" w:cstheme="minorEastAsia"/>
          <w:b/>
          <w:sz w:val="24"/>
          <w:szCs w:val="24"/>
        </w:rPr>
        <w:t>9. 纪律和监督</w:t>
      </w:r>
      <w:bookmarkEnd w:id="616"/>
      <w:bookmarkEnd w:id="617"/>
      <w:bookmarkEnd w:id="618"/>
      <w:bookmarkEnd w:id="628"/>
      <w:bookmarkEnd w:id="629"/>
      <w:bookmarkEnd w:id="630"/>
      <w:bookmarkEnd w:id="631"/>
    </w:p>
    <w:p w14:paraId="79EA37C0">
      <w:pPr>
        <w:wordWrap w:val="0"/>
        <w:spacing w:line="360" w:lineRule="auto"/>
        <w:ind w:firstLine="482" w:firstLineChars="200"/>
        <w:rPr>
          <w:rFonts w:hint="eastAsia" w:asciiTheme="minorEastAsia" w:hAnsiTheme="minorEastAsia" w:eastAsiaTheme="minorEastAsia" w:cstheme="minorEastAsia"/>
          <w:b/>
          <w:sz w:val="24"/>
          <w:szCs w:val="24"/>
        </w:rPr>
      </w:pPr>
      <w:bookmarkStart w:id="632" w:name="_Toc20009"/>
      <w:bookmarkStart w:id="633" w:name="_Toc15769"/>
      <w:bookmarkStart w:id="634" w:name="_Toc466298131"/>
      <w:bookmarkStart w:id="635" w:name="_Toc152042351"/>
      <w:bookmarkStart w:id="636" w:name="_Toc490667868"/>
      <w:bookmarkStart w:id="637" w:name="_Toc13970"/>
      <w:bookmarkStart w:id="638" w:name="_Toc152045575"/>
      <w:bookmarkStart w:id="639" w:name="_Toc14155"/>
      <w:bookmarkStart w:id="640" w:name="_Toc455867808"/>
      <w:bookmarkStart w:id="641" w:name="_Toc318450714"/>
      <w:bookmarkStart w:id="642" w:name="_Toc19159"/>
      <w:bookmarkStart w:id="643" w:name="_Toc15592"/>
      <w:bookmarkStart w:id="644" w:name="_Toc697"/>
      <w:bookmarkStart w:id="645" w:name="_Toc27836"/>
      <w:bookmarkStart w:id="646" w:name="_Toc455080148"/>
      <w:bookmarkStart w:id="647" w:name="_Toc12992"/>
      <w:bookmarkStart w:id="648" w:name="_Toc144974543"/>
      <w:bookmarkStart w:id="649" w:name="_Toc1282"/>
      <w:bookmarkStart w:id="650" w:name="_Toc269"/>
      <w:r>
        <w:rPr>
          <w:rFonts w:hint="eastAsia" w:asciiTheme="minorEastAsia" w:hAnsiTheme="minorEastAsia" w:eastAsiaTheme="minorEastAsia" w:cstheme="minorEastAsia"/>
          <w:b/>
          <w:sz w:val="24"/>
          <w:szCs w:val="24"/>
        </w:rPr>
        <w:t>9.1 对采购人的纪律要求</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5B8B80E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采购人不得泄露磋商活动中应当保密的情况和资料，不得与供应商串通损害国家利益、社会公共利益或者他人合法权益。</w:t>
      </w:r>
    </w:p>
    <w:p w14:paraId="08CE98AC">
      <w:pPr>
        <w:wordWrap w:val="0"/>
        <w:spacing w:line="360" w:lineRule="auto"/>
        <w:ind w:firstLine="482" w:firstLineChars="200"/>
        <w:rPr>
          <w:rFonts w:hint="eastAsia" w:asciiTheme="minorEastAsia" w:hAnsiTheme="minorEastAsia" w:eastAsiaTheme="minorEastAsia" w:cstheme="minorEastAsia"/>
          <w:b/>
          <w:sz w:val="24"/>
          <w:szCs w:val="24"/>
        </w:rPr>
      </w:pPr>
      <w:bookmarkStart w:id="651" w:name="_Toc18604"/>
      <w:bookmarkStart w:id="652" w:name="_Toc3089"/>
      <w:bookmarkStart w:id="653" w:name="_Toc318450715"/>
      <w:bookmarkStart w:id="654" w:name="_Toc490667869"/>
      <w:bookmarkStart w:id="655" w:name="_Toc20261"/>
      <w:bookmarkStart w:id="656" w:name="_Toc27698"/>
      <w:bookmarkStart w:id="657" w:name="_Toc466298132"/>
      <w:bookmarkStart w:id="658" w:name="_Toc18204"/>
      <w:bookmarkStart w:id="659" w:name="_Toc3662"/>
      <w:bookmarkStart w:id="660" w:name="_Toc152042352"/>
      <w:bookmarkStart w:id="661" w:name="_Toc152045576"/>
      <w:bookmarkStart w:id="662" w:name="_Toc455080149"/>
      <w:bookmarkStart w:id="663" w:name="_Toc455867809"/>
      <w:bookmarkStart w:id="664" w:name="_Toc21646"/>
      <w:bookmarkStart w:id="665" w:name="_Toc144974544"/>
      <w:bookmarkStart w:id="666" w:name="_Toc7572"/>
      <w:bookmarkStart w:id="667" w:name="_Toc19167"/>
      <w:bookmarkStart w:id="668" w:name="_Toc17040"/>
      <w:bookmarkStart w:id="669" w:name="_Toc1743"/>
      <w:r>
        <w:rPr>
          <w:rFonts w:hint="eastAsia" w:asciiTheme="minorEastAsia" w:hAnsiTheme="minorEastAsia" w:eastAsiaTheme="minorEastAsia" w:cstheme="minorEastAsia"/>
          <w:b/>
          <w:sz w:val="24"/>
          <w:szCs w:val="24"/>
        </w:rPr>
        <w:t>9.2 对供应商的纪律要求</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20C567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供应商不得相互串通或者与采购人串通，不得向采购人或者谈判小组行贿谋取成交，不得以他人名义或者以其他方式弄虚作假骗取成交；供应商不得以任何方式干扰、影响评审工作。</w:t>
      </w:r>
    </w:p>
    <w:p w14:paraId="7416CA92">
      <w:pPr>
        <w:wordWrap w:val="0"/>
        <w:spacing w:line="360" w:lineRule="auto"/>
        <w:ind w:firstLine="482" w:firstLineChars="200"/>
        <w:rPr>
          <w:rFonts w:hint="eastAsia" w:asciiTheme="minorEastAsia" w:hAnsiTheme="minorEastAsia" w:eastAsiaTheme="minorEastAsia" w:cstheme="minorEastAsia"/>
          <w:b/>
          <w:sz w:val="24"/>
          <w:szCs w:val="24"/>
        </w:rPr>
      </w:pPr>
      <w:bookmarkStart w:id="670" w:name="_Toc28813"/>
      <w:bookmarkStart w:id="671" w:name="_Toc152045577"/>
      <w:bookmarkStart w:id="672" w:name="_Toc11909"/>
      <w:bookmarkStart w:id="673" w:name="_Toc466298133"/>
      <w:bookmarkStart w:id="674" w:name="_Toc31001"/>
      <w:bookmarkStart w:id="675" w:name="_Toc32320"/>
      <w:bookmarkStart w:id="676" w:name="_Toc318450716"/>
      <w:bookmarkStart w:id="677" w:name="_Toc7107"/>
      <w:bookmarkStart w:id="678" w:name="_Toc19965"/>
      <w:bookmarkStart w:id="679" w:name="_Toc7439"/>
      <w:bookmarkStart w:id="680" w:name="_Toc152042353"/>
      <w:bookmarkStart w:id="681" w:name="_Toc455867810"/>
      <w:bookmarkStart w:id="682" w:name="_Toc455080150"/>
      <w:bookmarkStart w:id="683" w:name="_Toc25241"/>
      <w:bookmarkStart w:id="684" w:name="_Toc144974545"/>
      <w:bookmarkStart w:id="685" w:name="_Toc30153"/>
      <w:bookmarkStart w:id="686" w:name="_Toc25211"/>
      <w:bookmarkStart w:id="687" w:name="_Toc12177"/>
      <w:bookmarkStart w:id="688" w:name="_Toc490667870"/>
      <w:r>
        <w:rPr>
          <w:rFonts w:hint="eastAsia" w:asciiTheme="minorEastAsia" w:hAnsiTheme="minorEastAsia" w:eastAsiaTheme="minorEastAsia" w:cstheme="minorEastAsia"/>
          <w:b/>
          <w:sz w:val="24"/>
          <w:szCs w:val="24"/>
        </w:rPr>
        <w:t>9.3 对磋商小组成员的纪律要求</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36353D2F">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露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0B4238DB">
      <w:pPr>
        <w:wordWrap w:val="0"/>
        <w:spacing w:line="360" w:lineRule="auto"/>
        <w:ind w:firstLine="482" w:firstLineChars="200"/>
        <w:rPr>
          <w:rFonts w:hint="eastAsia" w:asciiTheme="minorEastAsia" w:hAnsiTheme="minorEastAsia" w:eastAsiaTheme="minorEastAsia" w:cstheme="minorEastAsia"/>
          <w:b/>
          <w:sz w:val="24"/>
          <w:szCs w:val="24"/>
        </w:rPr>
      </w:pPr>
      <w:bookmarkStart w:id="689" w:name="_Toc23717"/>
      <w:bookmarkStart w:id="690" w:name="_Toc11405"/>
      <w:bookmarkStart w:id="691" w:name="_Toc9063"/>
      <w:bookmarkStart w:id="692" w:name="_Toc152042354"/>
      <w:bookmarkStart w:id="693" w:name="_Toc24"/>
      <w:bookmarkStart w:id="694" w:name="_Toc7368"/>
      <w:bookmarkStart w:id="695" w:name="_Toc27559"/>
      <w:bookmarkStart w:id="696" w:name="_Toc26462"/>
      <w:bookmarkStart w:id="697" w:name="_Toc19485"/>
      <w:bookmarkStart w:id="698" w:name="_Toc20546"/>
      <w:bookmarkStart w:id="699" w:name="_Toc455867811"/>
      <w:bookmarkStart w:id="700" w:name="_Toc455080151"/>
      <w:bookmarkStart w:id="701" w:name="_Toc235"/>
      <w:bookmarkStart w:id="702" w:name="_Toc466298134"/>
      <w:bookmarkStart w:id="703" w:name="_Toc318450717"/>
      <w:bookmarkStart w:id="704" w:name="_Toc152045578"/>
      <w:bookmarkStart w:id="705" w:name="_Toc1295"/>
      <w:bookmarkStart w:id="706" w:name="_Toc490667871"/>
      <w:bookmarkStart w:id="707" w:name="_Toc144974546"/>
      <w:r>
        <w:rPr>
          <w:rFonts w:hint="eastAsia" w:asciiTheme="minorEastAsia" w:hAnsiTheme="minorEastAsia" w:eastAsiaTheme="minorEastAsia" w:cstheme="minorEastAsia"/>
          <w:b/>
          <w:sz w:val="24"/>
          <w:szCs w:val="24"/>
        </w:rPr>
        <w:t>9.4 对与评标活动有关的工作人员的纪律要求</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541BBDAA">
      <w:pPr>
        <w:wordWrap w:val="0"/>
        <w:spacing w:line="360" w:lineRule="auto"/>
        <w:ind w:firstLine="480" w:firstLineChars="200"/>
        <w:rPr>
          <w:rFonts w:hint="eastAsia" w:asciiTheme="minorEastAsia" w:hAnsiTheme="minorEastAsia" w:eastAsiaTheme="minorEastAsia" w:cstheme="minorEastAsia"/>
          <w:sz w:val="24"/>
          <w:szCs w:val="24"/>
        </w:rPr>
      </w:pPr>
      <w:bookmarkStart w:id="708" w:name="_Toc152042355"/>
      <w:r>
        <w:rPr>
          <w:rFonts w:hint="eastAsia" w:asciiTheme="minorEastAsia" w:hAnsiTheme="minorEastAsia" w:eastAsiaTheme="minorEastAsia" w:cstheme="minorEastAsia"/>
          <w:sz w:val="24"/>
          <w:szCs w:val="24"/>
        </w:rPr>
        <w:t>与评标活动有关的工作人员不得收受他人的财物或者其他好处，不得向他人透露对响应文件的评审和比较、成交候选人的推荐情况以及评标有关的其他情况。在评标活动中，与评标活动有关的工作人员不得擅离职守，影响评标程序正常进行。</w:t>
      </w:r>
      <w:bookmarkEnd w:id="708"/>
    </w:p>
    <w:p w14:paraId="219BDD2D">
      <w:pPr>
        <w:wordWrap w:val="0"/>
        <w:spacing w:line="360" w:lineRule="auto"/>
        <w:ind w:firstLine="482" w:firstLineChars="200"/>
        <w:rPr>
          <w:rFonts w:hint="eastAsia" w:asciiTheme="minorEastAsia" w:hAnsiTheme="minorEastAsia" w:eastAsiaTheme="minorEastAsia" w:cstheme="minorEastAsia"/>
          <w:b/>
          <w:sz w:val="24"/>
          <w:szCs w:val="24"/>
        </w:rPr>
      </w:pPr>
      <w:bookmarkStart w:id="709" w:name="_Toc152042356"/>
      <w:bookmarkStart w:id="710" w:name="_Toc152045579"/>
      <w:bookmarkStart w:id="711" w:name="_Toc1820"/>
      <w:bookmarkStart w:id="712" w:name="_Toc318450718"/>
      <w:bookmarkStart w:id="713" w:name="_Toc31010"/>
      <w:bookmarkStart w:id="714" w:name="_Toc32675"/>
      <w:bookmarkStart w:id="715" w:name="_Toc17735"/>
      <w:bookmarkStart w:id="716" w:name="_Toc466298135"/>
      <w:bookmarkStart w:id="717" w:name="_Toc3617"/>
      <w:bookmarkStart w:id="718" w:name="_Toc490667872"/>
      <w:bookmarkStart w:id="719" w:name="_Toc5504"/>
      <w:bookmarkStart w:id="720" w:name="_Toc25751"/>
      <w:bookmarkStart w:id="721" w:name="_Toc8074"/>
      <w:bookmarkStart w:id="722" w:name="_Toc455867812"/>
      <w:bookmarkStart w:id="723" w:name="_Toc27420"/>
      <w:bookmarkStart w:id="724" w:name="_Toc3303"/>
      <w:bookmarkStart w:id="725" w:name="_Toc6199"/>
      <w:bookmarkStart w:id="726" w:name="_Toc455080152"/>
      <w:r>
        <w:rPr>
          <w:rFonts w:hint="eastAsia" w:asciiTheme="minorEastAsia" w:hAnsiTheme="minorEastAsia" w:eastAsiaTheme="minorEastAsia" w:cstheme="minorEastAsia"/>
          <w:b/>
          <w:sz w:val="24"/>
          <w:szCs w:val="24"/>
        </w:rPr>
        <w:t>9.5 投诉</w:t>
      </w:r>
      <w:bookmarkEnd w:id="707"/>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7EE1FF2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供应商和其他利害关系人认为本次磋商活动违反法律、法规和规章规定的，有权向有关行政监督部门投诉。</w:t>
      </w:r>
    </w:p>
    <w:p w14:paraId="211BC261">
      <w:pPr>
        <w:wordWrap w:val="0"/>
        <w:spacing w:line="360" w:lineRule="auto"/>
        <w:ind w:firstLine="482" w:firstLineChars="200"/>
        <w:rPr>
          <w:rFonts w:hint="eastAsia"/>
        </w:rPr>
      </w:pPr>
      <w:bookmarkStart w:id="727" w:name="_Toc14221"/>
      <w:bookmarkStart w:id="728" w:name="_Toc144974547"/>
      <w:bookmarkStart w:id="729" w:name="_Toc152042357"/>
      <w:bookmarkStart w:id="730" w:name="_Toc152045580"/>
      <w:bookmarkStart w:id="731" w:name="_Toc24942"/>
      <w:bookmarkStart w:id="732" w:name="_Toc455080153"/>
      <w:bookmarkStart w:id="733" w:name="_Toc18280"/>
      <w:r>
        <w:rPr>
          <w:rFonts w:hint="eastAsia" w:asciiTheme="minorEastAsia" w:hAnsiTheme="minorEastAsia" w:eastAsiaTheme="minorEastAsia" w:cstheme="minorEastAsia"/>
          <w:b/>
          <w:sz w:val="24"/>
          <w:szCs w:val="24"/>
        </w:rPr>
        <w:t>10. 需要补充的其他内容</w:t>
      </w:r>
      <w:bookmarkEnd w:id="727"/>
      <w:bookmarkEnd w:id="728"/>
      <w:bookmarkEnd w:id="729"/>
      <w:bookmarkEnd w:id="730"/>
      <w:bookmarkEnd w:id="731"/>
      <w:bookmarkEnd w:id="732"/>
      <w:bookmarkEnd w:id="733"/>
      <w:bookmarkStart w:id="734" w:name="_Toc22213"/>
      <w:bookmarkStart w:id="735" w:name="_Toc16648"/>
    </w:p>
    <w:p w14:paraId="23270F32">
      <w:pPr>
        <w:wordWrap w:val="0"/>
        <w:spacing w:line="360" w:lineRule="auto"/>
        <w:ind w:firstLine="480" w:firstLineChars="200"/>
        <w:rPr>
          <w:rFonts w:hint="eastAsia" w:asciiTheme="minorEastAsia" w:hAnsiTheme="minorEastAsia" w:eastAsiaTheme="minorEastAsia" w:cstheme="minorEastAsia"/>
          <w:sz w:val="24"/>
          <w:szCs w:val="24"/>
        </w:rPr>
      </w:pPr>
      <w:bookmarkStart w:id="736" w:name="_Toc29331"/>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 采购人不承诺最低价中标，而且采购人没有义务解释说明未中标原因。</w:t>
      </w:r>
      <w:bookmarkEnd w:id="736"/>
    </w:p>
    <w:p w14:paraId="2E54CD65">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 其他未尽事宜，按国家有关法律、法规执行。</w:t>
      </w:r>
    </w:p>
    <w:p w14:paraId="23F65821">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 本</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文件解释权归</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固始县</w:t>
      </w:r>
      <w:r>
        <w:rPr>
          <w:rFonts w:hint="eastAsia" w:asciiTheme="minorEastAsia" w:hAnsiTheme="minorEastAsia" w:eastAsiaTheme="minorEastAsia" w:cstheme="minorEastAsia"/>
          <w:sz w:val="24"/>
          <w:szCs w:val="24"/>
          <w:lang w:val="en-US" w:eastAsia="zh-CN"/>
        </w:rPr>
        <w:t>公安</w:t>
      </w:r>
      <w:r>
        <w:rPr>
          <w:rFonts w:hint="eastAsia" w:asciiTheme="minorEastAsia" w:hAnsiTheme="minorEastAsia" w:eastAsiaTheme="minorEastAsia" w:cstheme="minorEastAsia"/>
          <w:sz w:val="24"/>
          <w:szCs w:val="24"/>
        </w:rPr>
        <w:t>局。</w:t>
      </w:r>
    </w:p>
    <w:p w14:paraId="109E61DC">
      <w:pPr>
        <w:wordWrap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 监督单位：固始县财政局政府采购监督科。</w:t>
      </w:r>
    </w:p>
    <w:p w14:paraId="728BBC96">
      <w:pPr>
        <w:rPr>
          <w:rFonts w:hint="eastAsia" w:ascii="宋体" w:hAnsi="宋体" w:cs="宋体"/>
          <w:b/>
          <w:bCs/>
          <w:kern w:val="44"/>
          <w:sz w:val="44"/>
          <w:szCs w:val="44"/>
        </w:rPr>
      </w:pPr>
    </w:p>
    <w:p w14:paraId="1130A682">
      <w:pPr>
        <w:rPr>
          <w:rFonts w:hint="eastAsia" w:ascii="宋体" w:hAnsi="宋体" w:cs="宋体"/>
          <w:b/>
          <w:bCs/>
          <w:kern w:val="44"/>
          <w:sz w:val="44"/>
          <w:szCs w:val="44"/>
        </w:rPr>
      </w:pPr>
    </w:p>
    <w:p w14:paraId="4D041AE2">
      <w:pPr>
        <w:rPr>
          <w:rFonts w:hint="eastAsia" w:ascii="宋体" w:hAnsi="宋体" w:cs="宋体"/>
          <w:b/>
          <w:bCs/>
          <w:kern w:val="44"/>
          <w:sz w:val="44"/>
          <w:szCs w:val="44"/>
        </w:rPr>
      </w:pPr>
    </w:p>
    <w:p w14:paraId="649F7CE4">
      <w:pPr>
        <w:rPr>
          <w:rFonts w:hint="eastAsia" w:ascii="宋体" w:hAnsi="宋体" w:cs="宋体"/>
          <w:b/>
          <w:bCs/>
          <w:kern w:val="44"/>
          <w:sz w:val="44"/>
          <w:szCs w:val="44"/>
        </w:rPr>
      </w:pPr>
    </w:p>
    <w:p w14:paraId="34A2F5C8">
      <w:pPr>
        <w:rPr>
          <w:rFonts w:hint="eastAsia" w:ascii="宋体" w:hAnsi="宋体" w:cs="宋体"/>
          <w:b/>
          <w:bCs/>
          <w:kern w:val="44"/>
          <w:sz w:val="44"/>
          <w:szCs w:val="44"/>
        </w:rPr>
      </w:pPr>
    </w:p>
    <w:p w14:paraId="1D8B69C0">
      <w:pPr>
        <w:rPr>
          <w:rFonts w:hint="eastAsia" w:ascii="宋体" w:hAnsi="宋体" w:cs="宋体"/>
          <w:b/>
          <w:bCs/>
          <w:kern w:val="44"/>
          <w:sz w:val="44"/>
          <w:szCs w:val="44"/>
        </w:rPr>
      </w:pPr>
    </w:p>
    <w:p w14:paraId="11A51C48">
      <w:pPr>
        <w:rPr>
          <w:rFonts w:hint="eastAsia" w:ascii="宋体" w:hAnsi="宋体" w:cs="宋体"/>
          <w:b/>
          <w:bCs/>
          <w:kern w:val="44"/>
          <w:sz w:val="44"/>
          <w:szCs w:val="44"/>
        </w:rPr>
      </w:pPr>
    </w:p>
    <w:p w14:paraId="122CC75E">
      <w:pPr>
        <w:rPr>
          <w:rFonts w:hint="eastAsia" w:ascii="宋体" w:hAnsi="宋体" w:cs="宋体"/>
          <w:b/>
          <w:bCs/>
          <w:kern w:val="44"/>
          <w:sz w:val="44"/>
          <w:szCs w:val="44"/>
        </w:rPr>
      </w:pPr>
    </w:p>
    <w:p w14:paraId="14127596">
      <w:pPr>
        <w:rPr>
          <w:rFonts w:hint="eastAsia" w:ascii="宋体" w:hAnsi="宋体" w:cs="宋体"/>
          <w:b/>
          <w:bCs/>
          <w:kern w:val="44"/>
          <w:sz w:val="44"/>
          <w:szCs w:val="44"/>
        </w:rPr>
      </w:pPr>
    </w:p>
    <w:p w14:paraId="2C4157A6">
      <w:pPr>
        <w:rPr>
          <w:rFonts w:hint="eastAsia" w:ascii="宋体" w:hAnsi="宋体" w:cs="宋体"/>
          <w:b/>
          <w:bCs/>
          <w:kern w:val="44"/>
          <w:sz w:val="44"/>
          <w:szCs w:val="44"/>
        </w:rPr>
      </w:pPr>
    </w:p>
    <w:p w14:paraId="19D54E75">
      <w:p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44"/>
          <w:sz w:val="44"/>
          <w:szCs w:val="44"/>
        </w:rPr>
        <w:t>第三章 评标办法</w:t>
      </w:r>
      <w:bookmarkEnd w:id="13"/>
      <w:bookmarkEnd w:id="14"/>
      <w:r>
        <w:rPr>
          <w:rFonts w:hint="eastAsia" w:ascii="宋体" w:hAnsi="宋体" w:cs="宋体"/>
          <w:b/>
          <w:bCs/>
          <w:kern w:val="44"/>
          <w:sz w:val="44"/>
          <w:szCs w:val="44"/>
        </w:rPr>
        <w:t>（综合评分法）</w:t>
      </w:r>
      <w:bookmarkEnd w:id="734"/>
      <w:bookmarkEnd w:id="735"/>
      <w:bookmarkStart w:id="737" w:name="_Toc152042376"/>
      <w:bookmarkStart w:id="738" w:name="_Toc152045599"/>
      <w:bookmarkStart w:id="739" w:name="_Toc482"/>
      <w:bookmarkStart w:id="740" w:name="_Toc455080156"/>
      <w:bookmarkStart w:id="741" w:name="_Toc466298139"/>
      <w:bookmarkStart w:id="742" w:name="_Toc318450721"/>
      <w:bookmarkStart w:id="743" w:name="_Toc28069"/>
      <w:bookmarkStart w:id="744" w:name="_Toc144974566"/>
      <w:bookmarkStart w:id="745" w:name="_Toc27806"/>
      <w:bookmarkStart w:id="746" w:name="_Toc922"/>
      <w:bookmarkStart w:id="747" w:name="_Toc455867816"/>
      <w:bookmarkStart w:id="748" w:name="_Toc281405527"/>
    </w:p>
    <w:p w14:paraId="2882824A">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b/>
          <w:bCs/>
          <w:kern w:val="0"/>
          <w:sz w:val="28"/>
          <w:szCs w:val="28"/>
        </w:rPr>
      </w:pPr>
      <w:bookmarkStart w:id="749" w:name="_Toc2901"/>
      <w:bookmarkStart w:id="750" w:name="_Toc29111"/>
      <w:r>
        <w:rPr>
          <w:rFonts w:hint="eastAsia" w:asciiTheme="minorEastAsia" w:hAnsiTheme="minorEastAsia" w:eastAsiaTheme="minorEastAsia" w:cstheme="minorEastAsia"/>
          <w:b/>
          <w:bCs/>
          <w:kern w:val="0"/>
          <w:sz w:val="28"/>
          <w:szCs w:val="28"/>
        </w:rPr>
        <w:t>评审办法前附表</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3"/>
        <w:gridCol w:w="637"/>
        <w:gridCol w:w="2424"/>
        <w:gridCol w:w="5244"/>
      </w:tblGrid>
      <w:tr w14:paraId="7ADC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tblHeader/>
          <w:jc w:val="center"/>
        </w:trPr>
        <w:tc>
          <w:tcPr>
            <w:tcW w:w="1620" w:type="dxa"/>
            <w:gridSpan w:val="2"/>
            <w:vAlign w:val="center"/>
          </w:tcPr>
          <w:p w14:paraId="34C87803">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条款号</w:t>
            </w:r>
          </w:p>
        </w:tc>
        <w:tc>
          <w:tcPr>
            <w:tcW w:w="2424" w:type="dxa"/>
            <w:vAlign w:val="center"/>
          </w:tcPr>
          <w:p w14:paraId="1DE477D2">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评审因素</w:t>
            </w:r>
          </w:p>
        </w:tc>
        <w:tc>
          <w:tcPr>
            <w:tcW w:w="5244" w:type="dxa"/>
            <w:vAlign w:val="center"/>
          </w:tcPr>
          <w:p w14:paraId="127419BB">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评审标准</w:t>
            </w:r>
          </w:p>
        </w:tc>
      </w:tr>
      <w:tr w14:paraId="3B6E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atLeast"/>
          <w:jc w:val="center"/>
        </w:trPr>
        <w:tc>
          <w:tcPr>
            <w:tcW w:w="983" w:type="dxa"/>
            <w:vMerge w:val="restart"/>
            <w:vAlign w:val="center"/>
          </w:tcPr>
          <w:p w14:paraId="3E5B3B74">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2.1.1</w:t>
            </w:r>
          </w:p>
        </w:tc>
        <w:tc>
          <w:tcPr>
            <w:tcW w:w="637" w:type="dxa"/>
            <w:vMerge w:val="restart"/>
            <w:vAlign w:val="center"/>
          </w:tcPr>
          <w:p w14:paraId="3C9B0BD4">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资格评审标准</w:t>
            </w:r>
          </w:p>
        </w:tc>
        <w:tc>
          <w:tcPr>
            <w:tcW w:w="2424" w:type="dxa"/>
            <w:vAlign w:val="center"/>
          </w:tcPr>
          <w:p w14:paraId="0FB0FB0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符合《中华人民共和国政府采购法》第22条规定</w:t>
            </w:r>
          </w:p>
        </w:tc>
        <w:tc>
          <w:tcPr>
            <w:tcW w:w="5244" w:type="dxa"/>
            <w:vAlign w:val="center"/>
          </w:tcPr>
          <w:p w14:paraId="1DBC38AF">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符合第二章“供应商须知前附表”第1.4.1项规定</w:t>
            </w:r>
          </w:p>
        </w:tc>
      </w:tr>
      <w:tr w14:paraId="56CF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vAlign w:val="center"/>
          </w:tcPr>
          <w:p w14:paraId="31EA18CF">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09E39A30">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2424" w:type="dxa"/>
            <w:vAlign w:val="center"/>
          </w:tcPr>
          <w:p w14:paraId="549C5C77">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落实政府采购政策需满足的资格要求</w:t>
            </w:r>
          </w:p>
        </w:tc>
        <w:tc>
          <w:tcPr>
            <w:tcW w:w="5244" w:type="dxa"/>
            <w:vAlign w:val="center"/>
          </w:tcPr>
          <w:p w14:paraId="5346BE9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符合第二章“供应商须知前附表”第1.4.1项规定</w:t>
            </w:r>
          </w:p>
        </w:tc>
      </w:tr>
      <w:tr w14:paraId="501B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vAlign w:val="center"/>
          </w:tcPr>
          <w:p w14:paraId="40A2186C">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3DF7F030">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2424" w:type="dxa"/>
            <w:vAlign w:val="center"/>
          </w:tcPr>
          <w:p w14:paraId="26D9572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特定资格要求</w:t>
            </w:r>
          </w:p>
        </w:tc>
        <w:tc>
          <w:tcPr>
            <w:tcW w:w="5244" w:type="dxa"/>
            <w:vAlign w:val="center"/>
          </w:tcPr>
          <w:p w14:paraId="57D39E51">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符合第二章“供应商须知前附表”第1.4.1项规定</w:t>
            </w:r>
          </w:p>
        </w:tc>
      </w:tr>
      <w:tr w14:paraId="23B7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vAlign w:val="center"/>
          </w:tcPr>
          <w:p w14:paraId="29DB3899">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1103A74A">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2424" w:type="dxa"/>
            <w:vAlign w:val="center"/>
          </w:tcPr>
          <w:p w14:paraId="5B982E8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其他要求</w:t>
            </w:r>
          </w:p>
        </w:tc>
        <w:tc>
          <w:tcPr>
            <w:tcW w:w="5244" w:type="dxa"/>
            <w:vAlign w:val="center"/>
          </w:tcPr>
          <w:p w14:paraId="673DAB0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符合第二章“供应商须知前附表”第1.4.1项规定</w:t>
            </w:r>
          </w:p>
        </w:tc>
      </w:tr>
      <w:tr w14:paraId="229D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continue"/>
            <w:vAlign w:val="center"/>
          </w:tcPr>
          <w:p w14:paraId="2DF177C3">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041F8978">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p>
        </w:tc>
        <w:tc>
          <w:tcPr>
            <w:tcW w:w="7668" w:type="dxa"/>
            <w:gridSpan w:val="2"/>
            <w:vAlign w:val="center"/>
          </w:tcPr>
          <w:p w14:paraId="3CC9B095">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注：响应文件中附相关</w:t>
            </w:r>
            <w:r>
              <w:rPr>
                <w:rFonts w:hint="eastAsia" w:asciiTheme="minorEastAsia" w:hAnsiTheme="minorEastAsia" w:eastAsiaTheme="minorEastAsia" w:cstheme="minorEastAsia"/>
                <w:kern w:val="0"/>
                <w:sz w:val="24"/>
                <w:szCs w:val="24"/>
                <w:lang w:val="en-US" w:eastAsia="zh-CN"/>
              </w:rPr>
              <w:t>证明材料复印件或扫描件</w:t>
            </w:r>
            <w:r>
              <w:rPr>
                <w:rFonts w:hint="eastAsia" w:asciiTheme="minorEastAsia" w:hAnsiTheme="minorEastAsia" w:eastAsiaTheme="minorEastAsia" w:cstheme="minorEastAsia"/>
                <w:kern w:val="0"/>
                <w:sz w:val="24"/>
                <w:szCs w:val="24"/>
              </w:rPr>
              <w:t>，资料不全或不合格者视为未通过资格审查</w:t>
            </w:r>
          </w:p>
        </w:tc>
      </w:tr>
      <w:tr w14:paraId="7587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983" w:type="dxa"/>
            <w:vMerge w:val="restart"/>
            <w:vAlign w:val="center"/>
          </w:tcPr>
          <w:p w14:paraId="0AD3AA08">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2.1.2</w:t>
            </w:r>
          </w:p>
        </w:tc>
        <w:tc>
          <w:tcPr>
            <w:tcW w:w="637" w:type="dxa"/>
            <w:vMerge w:val="restart"/>
            <w:vAlign w:val="center"/>
          </w:tcPr>
          <w:p w14:paraId="12CD6E47">
            <w:pPr>
              <w:wordWrap w:val="0"/>
              <w:spacing w:before="72" w:beforeLines="30" w:line="288" w:lineRule="auto"/>
              <w:ind w:left="42" w:leftChars="20" w:right="42" w:rightChars="20"/>
              <w:jc w:val="center"/>
              <w:textAlignment w:val="top"/>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符合性评审标准</w:t>
            </w:r>
          </w:p>
        </w:tc>
        <w:tc>
          <w:tcPr>
            <w:tcW w:w="2424" w:type="dxa"/>
            <w:vAlign w:val="center"/>
          </w:tcPr>
          <w:p w14:paraId="737BA9B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是否存在严重失信主体</w:t>
            </w:r>
          </w:p>
        </w:tc>
        <w:tc>
          <w:tcPr>
            <w:tcW w:w="5244" w:type="dxa"/>
            <w:vAlign w:val="center"/>
          </w:tcPr>
          <w:p w14:paraId="3F88F3B4">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根据《关于在政府采购活动中查询及使用信用记录有关问题的通知》财库[2016]125号文件和豫财购【2016】15号文件的规定，供应商应提供“信用中国”网站（www.creditchina.gov.cn）查询“失信被执行人”、“重大税收违法失信主体”；中国政府采购网（www.ccgp.gov.cn）查询“政府采购严重违法失信行为记录名单”渠道查询自身信用记录，提供查询网页截图，查询截止时点为：从公告发布之日起至投标截止之日止；</w:t>
            </w:r>
          </w:p>
        </w:tc>
      </w:tr>
      <w:tr w14:paraId="4CB2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983" w:type="dxa"/>
            <w:vMerge w:val="continue"/>
            <w:vAlign w:val="center"/>
          </w:tcPr>
          <w:p w14:paraId="678AB95D">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56AA3933">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shd w:val="clear" w:color="auto" w:fill="auto"/>
            <w:vAlign w:val="center"/>
          </w:tcPr>
          <w:p w14:paraId="20B5285D">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供应商名称</w:t>
            </w:r>
          </w:p>
        </w:tc>
        <w:tc>
          <w:tcPr>
            <w:tcW w:w="5244" w:type="dxa"/>
            <w:shd w:val="clear" w:color="auto" w:fill="auto"/>
            <w:vAlign w:val="center"/>
          </w:tcPr>
          <w:p w14:paraId="5F86142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与营业执照等证明文件一致</w:t>
            </w:r>
          </w:p>
        </w:tc>
      </w:tr>
      <w:tr w14:paraId="2A00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983" w:type="dxa"/>
            <w:vMerge w:val="continue"/>
            <w:vAlign w:val="center"/>
          </w:tcPr>
          <w:p w14:paraId="42E98FFC">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505ACD71">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7340A5A5">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响应文件签字盖章</w:t>
            </w:r>
          </w:p>
        </w:tc>
        <w:tc>
          <w:tcPr>
            <w:tcW w:w="5244" w:type="dxa"/>
            <w:vAlign w:val="center"/>
          </w:tcPr>
          <w:p w14:paraId="7133E4D0">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符合第二章“供应商须知前附表”第3.7.3项规定</w:t>
            </w:r>
          </w:p>
        </w:tc>
      </w:tr>
      <w:tr w14:paraId="418A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83" w:type="dxa"/>
            <w:vMerge w:val="continue"/>
            <w:vAlign w:val="center"/>
          </w:tcPr>
          <w:p w14:paraId="44142DAB">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3B6EC7F1">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25583BC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响应文件格式</w:t>
            </w:r>
          </w:p>
        </w:tc>
        <w:tc>
          <w:tcPr>
            <w:tcW w:w="5244" w:type="dxa"/>
            <w:vAlign w:val="center"/>
          </w:tcPr>
          <w:p w14:paraId="758C1EB8">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符合第六章“响应文件格式”的要求</w:t>
            </w:r>
          </w:p>
        </w:tc>
      </w:tr>
      <w:tr w14:paraId="4168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83" w:type="dxa"/>
            <w:vMerge w:val="continue"/>
            <w:vAlign w:val="center"/>
          </w:tcPr>
          <w:p w14:paraId="36D39200">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48655D76">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799D184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磋商报价</w:t>
            </w:r>
          </w:p>
        </w:tc>
        <w:tc>
          <w:tcPr>
            <w:tcW w:w="5244" w:type="dxa"/>
            <w:vAlign w:val="center"/>
          </w:tcPr>
          <w:p w14:paraId="5F6B926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报价不超过预算价（最高限价）</w:t>
            </w:r>
          </w:p>
        </w:tc>
      </w:tr>
      <w:tr w14:paraId="149E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983" w:type="dxa"/>
            <w:vMerge w:val="continue"/>
            <w:vAlign w:val="center"/>
          </w:tcPr>
          <w:p w14:paraId="16137CD1">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478E640F">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15B11C56">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供货期</w:t>
            </w:r>
          </w:p>
        </w:tc>
        <w:tc>
          <w:tcPr>
            <w:tcW w:w="5244" w:type="dxa"/>
            <w:vAlign w:val="center"/>
          </w:tcPr>
          <w:p w14:paraId="5968F1D3">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符合第二章“供应商须知前附表”第1.3.2项规定</w:t>
            </w:r>
          </w:p>
        </w:tc>
      </w:tr>
      <w:tr w14:paraId="76DC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983" w:type="dxa"/>
            <w:vMerge w:val="continue"/>
            <w:vAlign w:val="center"/>
          </w:tcPr>
          <w:p w14:paraId="049CA2E6">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1286A690">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26F7019B">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质量要求</w:t>
            </w:r>
          </w:p>
        </w:tc>
        <w:tc>
          <w:tcPr>
            <w:tcW w:w="5244" w:type="dxa"/>
            <w:vAlign w:val="center"/>
          </w:tcPr>
          <w:p w14:paraId="230A19FC">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符合第二章“供应商须知前附表”第1.3.3项规定</w:t>
            </w:r>
          </w:p>
        </w:tc>
      </w:tr>
      <w:tr w14:paraId="692C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983" w:type="dxa"/>
            <w:vMerge w:val="continue"/>
            <w:vAlign w:val="center"/>
          </w:tcPr>
          <w:p w14:paraId="0EC231EE">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2C97BDC0">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301DE549">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质保期</w:t>
            </w:r>
          </w:p>
        </w:tc>
        <w:tc>
          <w:tcPr>
            <w:tcW w:w="5244" w:type="dxa"/>
            <w:vAlign w:val="center"/>
          </w:tcPr>
          <w:p w14:paraId="688E013A">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符合第二章“供应商须知前附表”第1.3.4项规定</w:t>
            </w:r>
          </w:p>
        </w:tc>
      </w:tr>
      <w:tr w14:paraId="32EF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983" w:type="dxa"/>
            <w:vMerge w:val="continue"/>
            <w:vAlign w:val="center"/>
          </w:tcPr>
          <w:p w14:paraId="6B8B3DC3">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637" w:type="dxa"/>
            <w:vMerge w:val="continue"/>
            <w:vAlign w:val="center"/>
          </w:tcPr>
          <w:p w14:paraId="5EC77E96">
            <w:pPr>
              <w:wordWrap w:val="0"/>
              <w:spacing w:before="72" w:beforeLines="30" w:line="288" w:lineRule="auto"/>
              <w:ind w:left="42" w:leftChars="20" w:right="42" w:rightChars="20"/>
              <w:textAlignment w:val="top"/>
              <w:rPr>
                <w:rFonts w:hint="eastAsia" w:asciiTheme="minorEastAsia" w:hAnsiTheme="minorEastAsia" w:eastAsiaTheme="minorEastAsia" w:cstheme="minorEastAsia"/>
                <w:kern w:val="0"/>
                <w:sz w:val="24"/>
                <w:szCs w:val="24"/>
              </w:rPr>
            </w:pPr>
          </w:p>
        </w:tc>
        <w:tc>
          <w:tcPr>
            <w:tcW w:w="2424" w:type="dxa"/>
            <w:vAlign w:val="center"/>
          </w:tcPr>
          <w:p w14:paraId="6C8282A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磋商有效期</w:t>
            </w:r>
          </w:p>
        </w:tc>
        <w:tc>
          <w:tcPr>
            <w:tcW w:w="5244" w:type="dxa"/>
            <w:vAlign w:val="center"/>
          </w:tcPr>
          <w:p w14:paraId="444AFE7E">
            <w:pPr>
              <w:wordWrap w:val="0"/>
              <w:adjustRightInd w:val="0"/>
              <w:spacing w:line="340" w:lineRule="exact"/>
              <w:ind w:left="0" w:leftChars="0" w:firstLine="0" w:firstLineChars="0"/>
              <w:jc w:val="left"/>
              <w:textAlignment w:val="baseline"/>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符合第二章“供应商须知前附表”第3.3.1项规定</w:t>
            </w:r>
          </w:p>
        </w:tc>
      </w:tr>
    </w:tbl>
    <w:p w14:paraId="5669E03E">
      <w:pPr>
        <w:pStyle w:val="24"/>
        <w:wordWrap w:val="0"/>
        <w:rPr>
          <w:color w:val="auto"/>
        </w:rPr>
        <w:sectPr>
          <w:pgSz w:w="11906" w:h="16838"/>
          <w:pgMar w:top="1418" w:right="1247" w:bottom="1418" w:left="1247" w:header="851" w:footer="850" w:gutter="0"/>
          <w:cols w:space="720" w:num="1"/>
          <w:docGrid w:linePitch="312" w:charSpace="0"/>
        </w:sectPr>
      </w:pPr>
    </w:p>
    <w:tbl>
      <w:tblPr>
        <w:tblStyle w:val="53"/>
        <w:tblW w:w="10888" w:type="dxa"/>
        <w:jc w:val="center"/>
        <w:tblLayout w:type="fixed"/>
        <w:tblCellMar>
          <w:top w:w="15" w:type="dxa"/>
          <w:left w:w="15" w:type="dxa"/>
          <w:bottom w:w="15" w:type="dxa"/>
          <w:right w:w="15" w:type="dxa"/>
        </w:tblCellMar>
      </w:tblPr>
      <w:tblGrid>
        <w:gridCol w:w="1000"/>
        <w:gridCol w:w="1280"/>
        <w:gridCol w:w="7999"/>
        <w:gridCol w:w="609"/>
      </w:tblGrid>
      <w:tr w14:paraId="33B6D2A1">
        <w:tblPrEx>
          <w:tblCellMar>
            <w:top w:w="15" w:type="dxa"/>
            <w:left w:w="15" w:type="dxa"/>
            <w:bottom w:w="15" w:type="dxa"/>
            <w:right w:w="15" w:type="dxa"/>
          </w:tblCellMar>
        </w:tblPrEx>
        <w:trPr>
          <w:trHeight w:val="796"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top"/>
          </w:tcPr>
          <w:p w14:paraId="054F3177">
            <w:pPr>
              <w:widowControl/>
              <w:spacing w:line="360" w:lineRule="auto"/>
              <w:jc w:val="center"/>
              <w:textAlignment w:val="top"/>
              <w:rPr>
                <w:rFonts w:hint="eastAsia" w:hAnsi="宋体" w:cs="宋体"/>
                <w:b/>
                <w:sz w:val="24"/>
                <w:szCs w:val="24"/>
              </w:rPr>
            </w:pPr>
            <w:bookmarkStart w:id="751" w:name="_Toc19375"/>
            <w:bookmarkStart w:id="752" w:name="_Toc18239"/>
            <w:bookmarkStart w:id="753" w:name="_Toc12267"/>
            <w:r>
              <w:rPr>
                <w:rFonts w:hint="eastAsia" w:hAnsi="宋体" w:cs="宋体"/>
                <w:b/>
                <w:sz w:val="24"/>
                <w:szCs w:val="24"/>
              </w:rPr>
              <w:t>评分</w:t>
            </w:r>
          </w:p>
          <w:p w14:paraId="7BB5DCC1">
            <w:pPr>
              <w:widowControl/>
              <w:spacing w:line="360" w:lineRule="auto"/>
              <w:jc w:val="center"/>
              <w:textAlignment w:val="top"/>
              <w:rPr>
                <w:rFonts w:hint="eastAsia" w:hAnsi="宋体" w:cs="宋体"/>
                <w:b/>
                <w:sz w:val="24"/>
                <w:szCs w:val="24"/>
              </w:rPr>
            </w:pPr>
            <w:r>
              <w:rPr>
                <w:rFonts w:hint="eastAsia" w:hAnsi="宋体" w:cs="宋体"/>
                <w:b/>
                <w:sz w:val="24"/>
                <w:szCs w:val="24"/>
              </w:rPr>
              <w:t>因素</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7FEEF3B3">
            <w:pPr>
              <w:widowControl/>
              <w:spacing w:line="360" w:lineRule="auto"/>
              <w:ind w:left="29" w:leftChars="14" w:right="126" w:rightChars="60"/>
              <w:jc w:val="center"/>
              <w:textAlignment w:val="center"/>
              <w:rPr>
                <w:rFonts w:hint="eastAsia" w:hAnsi="宋体" w:cs="宋体"/>
                <w:b/>
                <w:sz w:val="24"/>
                <w:szCs w:val="24"/>
              </w:rPr>
            </w:pPr>
            <w:r>
              <w:rPr>
                <w:rFonts w:hint="eastAsia" w:hAnsi="宋体" w:cs="宋体"/>
                <w:b/>
                <w:sz w:val="24"/>
                <w:szCs w:val="24"/>
              </w:rPr>
              <w:t>评分</w:t>
            </w:r>
          </w:p>
          <w:p w14:paraId="1CBD7B18">
            <w:pPr>
              <w:widowControl/>
              <w:spacing w:line="360" w:lineRule="auto"/>
              <w:ind w:left="29" w:leftChars="14" w:right="126" w:rightChars="60"/>
              <w:jc w:val="center"/>
              <w:textAlignment w:val="center"/>
              <w:rPr>
                <w:rFonts w:hint="eastAsia" w:hAnsi="宋体" w:cs="宋体"/>
                <w:b/>
                <w:sz w:val="24"/>
                <w:szCs w:val="24"/>
              </w:rPr>
            </w:pPr>
            <w:r>
              <w:rPr>
                <w:rFonts w:hint="eastAsia" w:hAnsi="宋体" w:cs="宋体"/>
                <w:b/>
                <w:sz w:val="24"/>
                <w:szCs w:val="24"/>
              </w:rPr>
              <w:t>内容</w:t>
            </w:r>
          </w:p>
        </w:tc>
        <w:tc>
          <w:tcPr>
            <w:tcW w:w="7999" w:type="dxa"/>
            <w:tcBorders>
              <w:top w:val="single" w:color="000000" w:sz="4" w:space="0"/>
              <w:left w:val="single" w:color="000000" w:sz="4" w:space="0"/>
              <w:bottom w:val="single" w:color="000000" w:sz="4" w:space="0"/>
              <w:right w:val="single" w:color="000000" w:sz="4" w:space="0"/>
            </w:tcBorders>
            <w:noWrap w:val="0"/>
            <w:vAlign w:val="center"/>
          </w:tcPr>
          <w:p w14:paraId="2C359503">
            <w:pPr>
              <w:widowControl/>
              <w:spacing w:line="360" w:lineRule="auto"/>
              <w:jc w:val="center"/>
              <w:textAlignment w:val="center"/>
              <w:rPr>
                <w:rFonts w:hint="eastAsia" w:hAnsi="宋体" w:cs="宋体"/>
                <w:b/>
                <w:sz w:val="24"/>
                <w:szCs w:val="24"/>
              </w:rPr>
            </w:pPr>
            <w:r>
              <w:rPr>
                <w:rFonts w:hint="eastAsia" w:hAnsi="宋体" w:cs="宋体"/>
                <w:b/>
                <w:sz w:val="24"/>
                <w:szCs w:val="24"/>
              </w:rPr>
              <w:t>评分标准</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4E276C8">
            <w:pPr>
              <w:widowControl/>
              <w:spacing w:line="360" w:lineRule="auto"/>
              <w:jc w:val="center"/>
              <w:textAlignment w:val="center"/>
              <w:rPr>
                <w:rFonts w:hint="eastAsia" w:hAnsi="宋体" w:cs="宋体"/>
                <w:b/>
                <w:sz w:val="24"/>
                <w:szCs w:val="24"/>
              </w:rPr>
            </w:pPr>
            <w:r>
              <w:rPr>
                <w:rFonts w:hint="eastAsia" w:hAnsi="宋体" w:cs="宋体"/>
                <w:b/>
                <w:sz w:val="24"/>
                <w:szCs w:val="24"/>
              </w:rPr>
              <w:t>分值</w:t>
            </w:r>
          </w:p>
        </w:tc>
      </w:tr>
      <w:tr w14:paraId="4915EF4E">
        <w:tblPrEx>
          <w:tblCellMar>
            <w:top w:w="15" w:type="dxa"/>
            <w:left w:w="15" w:type="dxa"/>
            <w:bottom w:w="15" w:type="dxa"/>
            <w:right w:w="15" w:type="dxa"/>
          </w:tblCellMar>
        </w:tblPrEx>
        <w:trPr>
          <w:trHeight w:val="765" w:hRule="atLeast"/>
          <w:jc w:val="center"/>
        </w:trPr>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4AD4B66">
            <w:pPr>
              <w:widowControl/>
              <w:spacing w:line="288" w:lineRule="auto"/>
              <w:jc w:val="center"/>
              <w:textAlignment w:val="center"/>
              <w:rPr>
                <w:rFonts w:hint="eastAsia" w:hAnsi="宋体" w:cs="宋体"/>
                <w:sz w:val="24"/>
                <w:szCs w:val="24"/>
              </w:rPr>
            </w:pPr>
            <w:r>
              <w:rPr>
                <w:rFonts w:hint="eastAsia" w:hAnsi="宋体" w:cs="宋体"/>
                <w:sz w:val="24"/>
                <w:szCs w:val="24"/>
              </w:rPr>
              <w:t>报价</w:t>
            </w:r>
          </w:p>
          <w:p w14:paraId="1F69F5F6">
            <w:pPr>
              <w:widowControl/>
              <w:spacing w:line="288" w:lineRule="auto"/>
              <w:jc w:val="center"/>
              <w:textAlignment w:val="center"/>
              <w:rPr>
                <w:rFonts w:hint="eastAsia" w:hAnsi="宋体" w:cs="宋体"/>
                <w:sz w:val="24"/>
                <w:szCs w:val="24"/>
              </w:rPr>
            </w:pPr>
            <w:r>
              <w:rPr>
                <w:rFonts w:hint="eastAsia" w:hAnsi="宋体" w:cs="宋体"/>
                <w:sz w:val="24"/>
                <w:szCs w:val="24"/>
              </w:rPr>
              <w:t>（30分）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5EABC262">
            <w:pPr>
              <w:widowControl/>
              <w:spacing w:line="288" w:lineRule="auto"/>
              <w:ind w:left="29" w:leftChars="14" w:right="126" w:rightChars="60"/>
              <w:jc w:val="center"/>
              <w:textAlignment w:val="center"/>
              <w:rPr>
                <w:rFonts w:hint="eastAsia" w:hAnsi="宋体" w:cs="宋体"/>
                <w:sz w:val="24"/>
                <w:szCs w:val="24"/>
              </w:rPr>
            </w:pPr>
            <w:r>
              <w:rPr>
                <w:rFonts w:hint="eastAsia" w:hAnsi="宋体" w:cs="宋体"/>
                <w:sz w:val="24"/>
                <w:szCs w:val="24"/>
              </w:rPr>
              <w:t>投标报价</w:t>
            </w:r>
          </w:p>
        </w:tc>
        <w:tc>
          <w:tcPr>
            <w:tcW w:w="7999" w:type="dxa"/>
            <w:tcBorders>
              <w:top w:val="single" w:color="000000" w:sz="4" w:space="0"/>
              <w:left w:val="single" w:color="000000" w:sz="4" w:space="0"/>
              <w:bottom w:val="single" w:color="000000" w:sz="4" w:space="0"/>
              <w:right w:val="single" w:color="000000" w:sz="4" w:space="0"/>
            </w:tcBorders>
            <w:noWrap w:val="0"/>
            <w:vAlign w:val="center"/>
          </w:tcPr>
          <w:p w14:paraId="23060C4D">
            <w:pPr>
              <w:autoSpaceDE w:val="0"/>
              <w:autoSpaceDN w:val="0"/>
              <w:adjustRightInd w:val="0"/>
              <w:snapToGrid w:val="0"/>
              <w:spacing w:line="340" w:lineRule="exact"/>
              <w:ind w:firstLine="480" w:firstLineChars="200"/>
              <w:jc w:val="left"/>
              <w:rPr>
                <w:rFonts w:hint="eastAsia" w:ascii="宋体" w:hAnsi="宋体" w:eastAsia="宋体" w:cs="宋体"/>
                <w:color w:val="auto"/>
                <w:highlight w:val="none"/>
                <w:lang w:val="en-US" w:eastAsia="zh-CN"/>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lang w:val="en-US" w:eastAsia="zh-CN"/>
              </w:rPr>
              <w:t>价格扣除：</w:t>
            </w:r>
            <w:r>
              <w:rPr>
                <w:rFonts w:hint="eastAsia" w:ascii="宋体" w:hAnsi="宋体" w:eastAsia="宋体" w:cs="宋体"/>
                <w:kern w:val="0"/>
                <w:sz w:val="24"/>
                <w:szCs w:val="24"/>
                <w:highlight w:val="none"/>
                <w:lang w:val="en-US" w:eastAsia="zh-CN"/>
              </w:rPr>
              <w:t>①</w:t>
            </w:r>
            <w:r>
              <w:rPr>
                <w:rFonts w:hint="eastAsia" w:ascii="宋体" w:hAnsi="宋体" w:eastAsia="宋体" w:cs="宋体"/>
                <w:color w:val="auto"/>
                <w:highlight w:val="none"/>
                <w:lang w:val="en-US" w:eastAsia="zh-CN"/>
              </w:rPr>
              <w:t>投标人的货物全部由符合政策要求的小微企业承接，则给予该投标人的报价20%的扣除，用扣除后的价格参与评审。参加投标的中小微企业，应当按照《政府采购促进中小企业发展管理办法》（财库﹝2020﹞46号）的规定提供《中小微企业声明函》（中小企业划型标准符合国家最新信管规定）。投标人所提供的货物为大型和中型企业的不适用本款规定。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货物的价格给予20%的扣除。</w:t>
            </w:r>
            <w:r>
              <w:rPr>
                <w:rFonts w:hint="eastAsia" w:ascii="宋体" w:hAnsi="宋体" w:eastAsia="宋体" w:cs="宋体"/>
                <w:color w:val="auto"/>
                <w:highlight w:val="none"/>
                <w:lang w:eastAsia="zh-CN"/>
              </w:rPr>
              <w:t>②</w:t>
            </w:r>
            <w:r>
              <w:rPr>
                <w:rFonts w:hint="eastAsia" w:ascii="宋体" w:hAnsi="宋体" w:eastAsia="宋体" w:cs="宋体"/>
                <w:color w:val="auto"/>
                <w:highlight w:val="none"/>
                <w:lang w:eastAsia="zh-CN"/>
              </w:rPr>
              <w:t>投标人所投设备属于本国产品</w:t>
            </w:r>
            <w:r>
              <w:rPr>
                <w:rFonts w:hint="eastAsia" w:ascii="宋体" w:hAnsi="宋体" w:eastAsia="宋体" w:cs="宋体"/>
                <w:color w:val="auto"/>
                <w:highlight w:val="none"/>
                <w:lang w:val="en-US" w:eastAsia="zh-CN"/>
              </w:rPr>
              <w:t>参与竞争，同时出具</w:t>
            </w:r>
            <w:r>
              <w:rPr>
                <w:rFonts w:hint="eastAsia" w:ascii="宋体" w:hAnsi="宋体" w:eastAsia="宋体" w:cs="宋体"/>
                <w:color w:val="auto"/>
                <w:highlight w:val="none"/>
                <w:lang w:eastAsia="zh-CN"/>
              </w:rPr>
              <w:t>《关于符合本国产品标准的声明函》</w:t>
            </w:r>
            <w:r>
              <w:rPr>
                <w:rFonts w:hint="eastAsia" w:ascii="宋体" w:hAnsi="宋体" w:eastAsia="宋体" w:cs="宋体"/>
                <w:color w:val="auto"/>
                <w:highlight w:val="none"/>
                <w:lang w:val="en-US" w:eastAsia="zh-CN"/>
              </w:rPr>
              <w:t>时</w:t>
            </w:r>
            <w:r>
              <w:rPr>
                <w:rFonts w:hint="eastAsia" w:ascii="宋体" w:hAnsi="宋体" w:eastAsia="宋体" w:cs="宋体"/>
                <w:color w:val="auto"/>
                <w:highlight w:val="none"/>
                <w:lang w:eastAsia="zh-CN"/>
              </w:rPr>
              <w:t>，该产品视为本国产品，依法对本国产品给予价格评审优惠，对本国产品的报价给予20%的价格扣除，用扣除后的价格参与评审。</w:t>
            </w:r>
          </w:p>
          <w:p w14:paraId="553DE55A">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2、价格分统一采用低价优先法计算，即满足招标文件要求且投标价格最低的投标报价为评标基准价，其价格分为满分30分。其他供应商的价格分统一按照下列公式计算：</w:t>
            </w:r>
          </w:p>
          <w:p w14:paraId="615CB8B1">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投标报价得分=(评标基准价/投标报价)×30。</w:t>
            </w:r>
          </w:p>
          <w:p w14:paraId="5DF0EB9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最终得分计算保留小数点两位。</w:t>
            </w:r>
          </w:p>
          <w:p w14:paraId="59190698">
            <w:pPr>
              <w:autoSpaceDE w:val="0"/>
              <w:autoSpaceDN w:val="0"/>
              <w:adjustRightInd w:val="0"/>
              <w:snapToGrid w:val="0"/>
              <w:spacing w:line="340" w:lineRule="exact"/>
              <w:ind w:firstLine="420" w:firstLineChars="200"/>
              <w:jc w:val="left"/>
              <w:rPr>
                <w:rFonts w:hint="eastAsia" w:hAnsi="宋体" w:cs="宋体"/>
                <w:sz w:val="24"/>
                <w:szCs w:val="24"/>
                <w:lang w:eastAsia="zh-CN"/>
              </w:rPr>
            </w:pPr>
            <w:r>
              <w:rPr>
                <w:rFonts w:hint="eastAsia" w:ascii="宋体" w:hAnsi="宋体" w:eastAsia="宋体" w:cs="宋体"/>
                <w:color w:val="auto"/>
                <w:highlight w:val="none"/>
                <w:lang w:val="en-US"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hAnsi="宋体" w:cs="宋体"/>
                <w:sz w:val="24"/>
                <w:szCs w:val="24"/>
              </w:rPr>
              <w:t>。</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B11A8BA">
            <w:pPr>
              <w:widowControl/>
              <w:spacing w:line="288" w:lineRule="auto"/>
              <w:jc w:val="center"/>
              <w:textAlignment w:val="center"/>
              <w:rPr>
                <w:rFonts w:hint="eastAsia" w:hAnsi="宋体" w:cs="宋体"/>
                <w:sz w:val="24"/>
                <w:szCs w:val="24"/>
              </w:rPr>
            </w:pPr>
            <w:r>
              <w:rPr>
                <w:rFonts w:hint="eastAsia" w:hAnsi="宋体" w:cs="宋体"/>
                <w:sz w:val="24"/>
                <w:szCs w:val="24"/>
              </w:rPr>
              <w:t>30分</w:t>
            </w:r>
          </w:p>
        </w:tc>
      </w:tr>
      <w:tr w14:paraId="0EF07E58">
        <w:tblPrEx>
          <w:tblCellMar>
            <w:top w:w="15" w:type="dxa"/>
            <w:left w:w="15" w:type="dxa"/>
            <w:bottom w:w="15" w:type="dxa"/>
            <w:right w:w="15" w:type="dxa"/>
          </w:tblCellMar>
        </w:tblPrEx>
        <w:trPr>
          <w:trHeight w:val="439" w:hRule="atLeast"/>
          <w:jc w:val="center"/>
        </w:trPr>
        <w:tc>
          <w:tcPr>
            <w:tcW w:w="1000" w:type="dxa"/>
            <w:vMerge w:val="restart"/>
            <w:tcBorders>
              <w:top w:val="single" w:color="auto" w:sz="4" w:space="0"/>
              <w:left w:val="single" w:color="auto" w:sz="4" w:space="0"/>
              <w:right w:val="single" w:color="auto" w:sz="4" w:space="0"/>
            </w:tcBorders>
            <w:noWrap w:val="0"/>
            <w:vAlign w:val="center"/>
          </w:tcPr>
          <w:p w14:paraId="7FE5F001">
            <w:pPr>
              <w:spacing w:line="288" w:lineRule="auto"/>
              <w:ind w:left="122" w:leftChars="58" w:right="80" w:rightChars="38"/>
              <w:jc w:val="center"/>
              <w:textAlignment w:val="center"/>
              <w:rPr>
                <w:rFonts w:hint="eastAsia" w:hAnsi="宋体" w:cs="宋体"/>
                <w:sz w:val="24"/>
                <w:szCs w:val="24"/>
              </w:rPr>
            </w:pPr>
            <w:r>
              <w:rPr>
                <w:rFonts w:hint="eastAsia" w:hAnsi="宋体" w:cs="宋体"/>
                <w:sz w:val="24"/>
                <w:szCs w:val="24"/>
              </w:rPr>
              <w:t>技术</w:t>
            </w:r>
          </w:p>
          <w:p w14:paraId="498B7915">
            <w:pPr>
              <w:spacing w:line="288" w:lineRule="auto"/>
              <w:ind w:left="122" w:leftChars="58" w:right="80" w:rightChars="38"/>
              <w:jc w:val="center"/>
              <w:textAlignment w:val="center"/>
              <w:rPr>
                <w:rFonts w:hint="eastAsia" w:hAnsi="宋体" w:cs="宋体"/>
                <w:sz w:val="24"/>
                <w:szCs w:val="24"/>
              </w:rPr>
            </w:pPr>
            <w:r>
              <w:rPr>
                <w:rFonts w:hint="eastAsia" w:hAnsi="宋体" w:cs="宋体"/>
                <w:sz w:val="24"/>
                <w:szCs w:val="24"/>
              </w:rPr>
              <w:t>部分</w:t>
            </w:r>
            <w:r>
              <w:rPr>
                <w:rFonts w:hint="eastAsia" w:hAnsi="宋体" w:cs="宋体"/>
                <w:sz w:val="21"/>
                <w:szCs w:val="21"/>
              </w:rPr>
              <w:t>（</w:t>
            </w:r>
            <w:r>
              <w:rPr>
                <w:rFonts w:hint="eastAsia" w:hAnsi="宋体" w:cs="宋体"/>
                <w:sz w:val="21"/>
                <w:szCs w:val="21"/>
                <w:lang w:val="en-US" w:eastAsia="zh-CN"/>
              </w:rPr>
              <w:t>46</w:t>
            </w:r>
            <w:r>
              <w:rPr>
                <w:rFonts w:hint="eastAsia" w:hAnsi="宋体" w:cs="宋体"/>
                <w:sz w:val="21"/>
                <w:szCs w:val="21"/>
              </w:rPr>
              <w:t>分）</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B84267F">
            <w:pPr>
              <w:spacing w:line="360" w:lineRule="auto"/>
              <w:rPr>
                <w:rFonts w:hint="eastAsia" w:hAnsi="宋体" w:cs="宋体"/>
                <w:sz w:val="24"/>
                <w:szCs w:val="24"/>
                <w:highlight w:val="none"/>
              </w:rPr>
            </w:pPr>
            <w:r>
              <w:rPr>
                <w:rFonts w:hint="eastAsia" w:hAnsi="宋体" w:cs="宋体"/>
                <w:sz w:val="24"/>
                <w:szCs w:val="24"/>
                <w:highlight w:val="none"/>
              </w:rPr>
              <w:t>技术指标</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4314F37D">
            <w:pPr>
              <w:autoSpaceDE w:val="0"/>
              <w:autoSpaceDN w:val="0"/>
              <w:adjustRightInd w:val="0"/>
              <w:snapToGrid w:val="0"/>
              <w:spacing w:line="340" w:lineRule="exact"/>
              <w:ind w:firstLine="420" w:firstLineChars="200"/>
              <w:jc w:val="left"/>
              <w:rPr>
                <w:rFonts w:hint="eastAsia" w:hAnsi="宋体" w:cs="宋体"/>
                <w:sz w:val="24"/>
                <w:szCs w:val="24"/>
                <w:highlight w:val="none"/>
              </w:rPr>
            </w:pPr>
            <w:r>
              <w:rPr>
                <w:rFonts w:hint="eastAsia" w:ascii="宋体" w:hAnsi="宋体" w:eastAsia="宋体" w:cs="宋体"/>
                <w:color w:val="auto"/>
                <w:highlight w:val="none"/>
                <w:lang w:eastAsia="zh-CN"/>
              </w:rPr>
              <w:t>投标货物技术参数完全满足招标文件技术要求，得基本分</w:t>
            </w: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eastAsia="zh-CN"/>
              </w:rPr>
              <w:t>分；每项负偏离扣</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分，扣完为止。（</w:t>
            </w:r>
            <w:r>
              <w:rPr>
                <w:rFonts w:hint="eastAsia" w:ascii="宋体" w:hAnsi="宋体" w:eastAsia="宋体" w:cs="宋体"/>
                <w:b/>
                <w:bCs/>
                <w:color w:val="auto"/>
                <w:highlight w:val="none"/>
                <w:lang w:eastAsia="zh-CN"/>
              </w:rPr>
              <w:t>合同签定前及履行过程中发现参数有虚假者，取消其资格，并追究相应的法律责任和经济赔偿</w:t>
            </w:r>
            <w:r>
              <w:rPr>
                <w:rFonts w:hint="eastAsia" w:ascii="宋体" w:hAnsi="宋体" w:eastAsia="宋体" w:cs="宋体"/>
                <w:color w:val="auto"/>
                <w:highlight w:val="none"/>
                <w:lang w:eastAsia="zh-CN"/>
              </w:rPr>
              <w:t>）</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366FC22">
            <w:pPr>
              <w:autoSpaceDE w:val="0"/>
              <w:autoSpaceDN w:val="0"/>
              <w:adjustRightInd w:val="0"/>
              <w:snapToGrid w:val="0"/>
              <w:spacing w:line="340" w:lineRule="exact"/>
              <w:jc w:val="center"/>
              <w:rPr>
                <w:rFonts w:hint="eastAsia" w:hAnsi="宋体" w:cs="宋体"/>
                <w:sz w:val="24"/>
                <w:szCs w:val="24"/>
                <w:highlight w:val="none"/>
              </w:rPr>
            </w:pPr>
            <w:r>
              <w:rPr>
                <w:rFonts w:hint="eastAsia" w:hAnsi="宋体" w:cs="宋体"/>
                <w:sz w:val="24"/>
                <w:szCs w:val="24"/>
                <w:highlight w:val="none"/>
                <w:lang w:val="en-US" w:eastAsia="zh-CN"/>
              </w:rPr>
              <w:t>16</w:t>
            </w:r>
            <w:r>
              <w:rPr>
                <w:rFonts w:hint="eastAsia" w:hAnsi="宋体" w:cs="宋体"/>
                <w:sz w:val="24"/>
                <w:szCs w:val="24"/>
                <w:highlight w:val="none"/>
              </w:rPr>
              <w:t>分</w:t>
            </w:r>
          </w:p>
        </w:tc>
      </w:tr>
      <w:tr w14:paraId="6E2EB9D5">
        <w:tblPrEx>
          <w:tblCellMar>
            <w:top w:w="15" w:type="dxa"/>
            <w:left w:w="15" w:type="dxa"/>
            <w:bottom w:w="15" w:type="dxa"/>
            <w:right w:w="15" w:type="dxa"/>
          </w:tblCellMar>
        </w:tblPrEx>
        <w:trPr>
          <w:trHeight w:val="507" w:hRule="atLeast"/>
          <w:jc w:val="center"/>
        </w:trPr>
        <w:tc>
          <w:tcPr>
            <w:tcW w:w="1000" w:type="dxa"/>
            <w:vMerge w:val="continue"/>
            <w:tcBorders>
              <w:left w:val="single" w:color="auto" w:sz="4" w:space="0"/>
              <w:right w:val="single" w:color="auto" w:sz="4" w:space="0"/>
            </w:tcBorders>
            <w:noWrap w:val="0"/>
            <w:vAlign w:val="center"/>
          </w:tcPr>
          <w:p w14:paraId="4A574227">
            <w:pPr>
              <w:rPr>
                <w:rFonts w:hint="eastAsia" w:hAnsi="宋体" w:cs="宋体"/>
                <w:sz w:val="24"/>
                <w:szCs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D4CD99B">
            <w:pPr>
              <w:jc w:val="center"/>
              <w:rPr>
                <w:rFonts w:hint="eastAsia" w:hAnsi="宋体" w:cs="宋体"/>
                <w:sz w:val="24"/>
                <w:szCs w:val="24"/>
                <w:highlight w:val="none"/>
              </w:rPr>
            </w:pPr>
            <w:r>
              <w:rPr>
                <w:rFonts w:hint="eastAsia" w:hAnsi="宋体" w:cs="宋体"/>
                <w:sz w:val="24"/>
                <w:szCs w:val="24"/>
                <w:highlight w:val="none"/>
              </w:rPr>
              <w:t>供货方案</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4C2FB54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根据供应商提供的货物配送方案的合理性、 对货物的交货保证（到货率保证）及措施的详细方案，综合对比所有供应商的方案进行对比打分：</w:t>
            </w:r>
          </w:p>
          <w:p w14:paraId="4786F57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①供应商配送、交货方案程序合理、措施得当的得6分；</w:t>
            </w:r>
          </w:p>
          <w:p w14:paraId="5573460D">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②供应商配送、交货方案内容不太完善，合理性一般的得4分；</w:t>
            </w:r>
          </w:p>
          <w:p w14:paraId="54BC4EA3">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③供应商配送、交货方案合理性和可行性差的得2分；</w:t>
            </w:r>
          </w:p>
          <w:p w14:paraId="384AC460">
            <w:pPr>
              <w:autoSpaceDE w:val="0"/>
              <w:autoSpaceDN w:val="0"/>
              <w:adjustRightInd w:val="0"/>
              <w:snapToGrid w:val="0"/>
              <w:spacing w:line="340" w:lineRule="exact"/>
              <w:ind w:firstLine="420" w:firstLineChars="200"/>
              <w:jc w:val="left"/>
              <w:rPr>
                <w:rFonts w:hint="eastAsia" w:hAnsi="宋体" w:cs="宋体"/>
                <w:sz w:val="24"/>
                <w:szCs w:val="24"/>
                <w:highlight w:val="none"/>
              </w:rPr>
            </w:pPr>
            <w:r>
              <w:rPr>
                <w:rFonts w:hint="eastAsia" w:ascii="宋体" w:hAnsi="宋体" w:eastAsia="宋体" w:cs="宋体"/>
                <w:color w:val="auto"/>
                <w:highlight w:val="none"/>
                <w:lang w:val="en-US" w:eastAsia="zh-CN"/>
              </w:rPr>
              <w:t>④不提供不得分</w:t>
            </w:r>
            <w:r>
              <w:rPr>
                <w:rFonts w:hint="eastAsia" w:hAnsi="宋体" w:cs="宋体"/>
                <w:sz w:val="24"/>
                <w:szCs w:val="24"/>
                <w:highlight w:val="none"/>
                <w:lang w:val="en-US" w:eastAsia="zh-CN"/>
              </w:rPr>
              <w:t>。</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3562D6B7">
            <w:pPr>
              <w:jc w:val="center"/>
              <w:rPr>
                <w:rFonts w:hint="eastAsia" w:hAnsi="宋体" w:cs="宋体"/>
                <w:sz w:val="24"/>
                <w:szCs w:val="24"/>
                <w:highlight w:val="none"/>
              </w:rPr>
            </w:pPr>
            <w:r>
              <w:rPr>
                <w:rFonts w:hint="eastAsia" w:hAnsi="宋体" w:cs="宋体"/>
                <w:sz w:val="24"/>
                <w:szCs w:val="24"/>
                <w:highlight w:val="none"/>
                <w:lang w:val="en-US" w:eastAsia="zh-CN"/>
              </w:rPr>
              <w:t>6</w:t>
            </w:r>
            <w:r>
              <w:rPr>
                <w:rFonts w:hint="eastAsia" w:hAnsi="宋体" w:cs="宋体"/>
                <w:sz w:val="24"/>
                <w:szCs w:val="24"/>
                <w:highlight w:val="none"/>
              </w:rPr>
              <w:t>分</w:t>
            </w:r>
          </w:p>
        </w:tc>
      </w:tr>
      <w:tr w14:paraId="1681C668">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right w:val="single" w:color="auto" w:sz="4" w:space="0"/>
            </w:tcBorders>
            <w:noWrap w:val="0"/>
            <w:vAlign w:val="center"/>
          </w:tcPr>
          <w:p w14:paraId="5552A392">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EA068F">
            <w:pPr>
              <w:jc w:val="center"/>
              <w:rPr>
                <w:rFonts w:hint="eastAsia" w:ascii="Times New Roman" w:hAnsi="宋体" w:eastAsia="宋体" w:cs="宋体"/>
                <w:kern w:val="2"/>
                <w:sz w:val="24"/>
                <w:szCs w:val="24"/>
                <w:highlight w:val="none"/>
                <w:lang w:val="en-US" w:eastAsia="zh-CN" w:bidi="ar-SA"/>
              </w:rPr>
            </w:pPr>
            <w:r>
              <w:rPr>
                <w:rFonts w:hint="eastAsia" w:hAnsi="宋体" w:cs="宋体"/>
                <w:sz w:val="24"/>
                <w:szCs w:val="24"/>
                <w:highlight w:val="none"/>
              </w:rPr>
              <w:t>进度控制</w:t>
            </w:r>
            <w:r>
              <w:rPr>
                <w:rFonts w:hint="eastAsia" w:hAnsi="宋体" w:cs="宋体"/>
                <w:sz w:val="24"/>
                <w:szCs w:val="24"/>
                <w:highlight w:val="none"/>
                <w:lang w:val="en-US" w:eastAsia="zh-CN"/>
              </w:rPr>
              <w:t>措施</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3D3317">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进度控制主要体现在供货前准备和供货中进度控制及供货安装后控制三个方面进行打分：</w:t>
            </w:r>
          </w:p>
          <w:p w14:paraId="0C7FC0E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①供货前有风险分析和供货计划，供货中在人力设备调配和工作程序衔接等方面措施具体明确，供货后资料归档齐全规范，总体安排布置详细合理的得6分；</w:t>
            </w:r>
          </w:p>
          <w:p w14:paraId="28287D98">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②进度控制在供货前、供货中、供货安装后有所体现，但部分环节安排不够具体详实，力量配备不够充分合理，项目实施中可能存在进度延误隐患的得4分；</w:t>
            </w:r>
          </w:p>
          <w:p w14:paraId="08B71D3F">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③进度控制总体表述笼统，缺乏可行性或有明显缺陷的得2分；</w:t>
            </w:r>
          </w:p>
          <w:p w14:paraId="00304D4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④不提供不得分。</w:t>
            </w: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79947E">
            <w:pPr>
              <w:jc w:val="center"/>
              <w:rPr>
                <w:rFonts w:hint="eastAsia" w:ascii="Times New Roman" w:hAnsi="宋体" w:eastAsia="宋体" w:cs="宋体"/>
                <w:kern w:val="2"/>
                <w:sz w:val="24"/>
                <w:szCs w:val="24"/>
                <w:highlight w:val="none"/>
                <w:lang w:val="en-US" w:eastAsia="zh-CN" w:bidi="ar-SA"/>
              </w:rPr>
            </w:pPr>
            <w:r>
              <w:rPr>
                <w:rFonts w:hint="eastAsia" w:hAnsi="宋体" w:cs="宋体"/>
                <w:sz w:val="24"/>
                <w:szCs w:val="24"/>
                <w:highlight w:val="none"/>
                <w:lang w:val="en-US" w:eastAsia="zh-CN"/>
              </w:rPr>
              <w:t>6</w:t>
            </w:r>
            <w:r>
              <w:rPr>
                <w:rFonts w:hint="eastAsia" w:hAnsi="宋体" w:cs="宋体"/>
                <w:sz w:val="24"/>
                <w:szCs w:val="24"/>
                <w:highlight w:val="none"/>
              </w:rPr>
              <w:t>分</w:t>
            </w:r>
          </w:p>
        </w:tc>
      </w:tr>
      <w:tr w14:paraId="0CBD7127">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right w:val="single" w:color="auto" w:sz="4" w:space="0"/>
            </w:tcBorders>
            <w:noWrap w:val="0"/>
            <w:vAlign w:val="center"/>
          </w:tcPr>
          <w:p w14:paraId="6C0948B7">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1992BFF">
            <w:pPr>
              <w:jc w:val="center"/>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质量保证措施</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23EEBFD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根据供应商提供的质量保证措施（包含但不限于项目质量保证体系、风险控制体系及应急措施等），综合对比所有供应商的方案进行对比打分：</w:t>
            </w:r>
          </w:p>
          <w:p w14:paraId="30E9EAE2">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①措施全面的、实施性强的得6分。</w:t>
            </w:r>
          </w:p>
          <w:p w14:paraId="4D5DBF2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②措施基本可行合理的得4分。</w:t>
            </w:r>
          </w:p>
          <w:p w14:paraId="71B0EAE7">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③措施合理性和可行性差的得2分；</w:t>
            </w:r>
          </w:p>
          <w:p w14:paraId="798FABF6">
            <w:pPr>
              <w:autoSpaceDE w:val="0"/>
              <w:autoSpaceDN w:val="0"/>
              <w:adjustRightInd w:val="0"/>
              <w:snapToGrid w:val="0"/>
              <w:spacing w:line="340" w:lineRule="exact"/>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④不提供不得分。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1B9CACD2">
            <w:pPr>
              <w:jc w:val="center"/>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6分</w:t>
            </w:r>
          </w:p>
        </w:tc>
      </w:tr>
      <w:tr w14:paraId="2CE615B8">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right w:val="single" w:color="auto" w:sz="4" w:space="0"/>
            </w:tcBorders>
            <w:noWrap w:val="0"/>
            <w:vAlign w:val="center"/>
          </w:tcPr>
          <w:p w14:paraId="7789874B">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0B9FB5E">
            <w:pPr>
              <w:jc w:val="center"/>
              <w:rPr>
                <w:rFonts w:hAnsi="宋体" w:cs="宋体"/>
                <w:sz w:val="24"/>
                <w:szCs w:val="24"/>
              </w:rPr>
            </w:pPr>
            <w:r>
              <w:rPr>
                <w:rFonts w:hint="eastAsia" w:hAnsi="宋体" w:cs="宋体"/>
                <w:sz w:val="24"/>
                <w:szCs w:val="24"/>
              </w:rPr>
              <w:t>培训方案</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2C41533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评委根据供应商提供的培训方案，包括培训计划、培训方式、培训内容及培训结果等进行综合评分进行评分：</w:t>
            </w:r>
          </w:p>
          <w:p w14:paraId="05DBCBF5">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①供应商培训方案完善详尽，可行性高，完全满足采购需求的得6分；</w:t>
            </w:r>
          </w:p>
          <w:p w14:paraId="246F1D51">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②供应商培训方案基本完整、可行性较好，基本满足采购需求的得4分；</w:t>
            </w:r>
          </w:p>
          <w:p w14:paraId="6F62F5F1">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③供应商培训方案不完整、可行性差，少数满足采购需求的得2分；</w:t>
            </w:r>
          </w:p>
          <w:p w14:paraId="65F09EC0">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④不提供不得分。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606D6BB">
            <w:pPr>
              <w:jc w:val="center"/>
              <w:rPr>
                <w:rFonts w:hAnsi="宋体" w:cs="宋体"/>
                <w:sz w:val="24"/>
                <w:szCs w:val="24"/>
              </w:rPr>
            </w:pPr>
            <w:r>
              <w:rPr>
                <w:rFonts w:hint="eastAsia" w:hAnsi="宋体" w:cs="宋体"/>
                <w:sz w:val="24"/>
                <w:szCs w:val="24"/>
                <w:lang w:val="en-US" w:eastAsia="zh-CN"/>
              </w:rPr>
              <w:t>6</w:t>
            </w:r>
            <w:r>
              <w:rPr>
                <w:rFonts w:hint="eastAsia" w:hAnsi="宋体" w:cs="宋体"/>
                <w:sz w:val="24"/>
                <w:szCs w:val="24"/>
              </w:rPr>
              <w:t>分</w:t>
            </w:r>
          </w:p>
        </w:tc>
      </w:tr>
      <w:tr w14:paraId="03A42060">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bottom w:val="single" w:color="auto" w:sz="4" w:space="0"/>
              <w:right w:val="single" w:color="auto" w:sz="4" w:space="0"/>
            </w:tcBorders>
            <w:noWrap w:val="0"/>
            <w:vAlign w:val="center"/>
          </w:tcPr>
          <w:p w14:paraId="161FC2CD">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5C480D">
            <w:pPr>
              <w:jc w:val="center"/>
              <w:rPr>
                <w:rFonts w:hint="eastAsia" w:ascii="Times New Roman" w:hAnsi="宋体" w:eastAsia="宋体" w:cs="宋体"/>
                <w:kern w:val="2"/>
                <w:sz w:val="24"/>
                <w:szCs w:val="24"/>
                <w:lang w:val="en-US" w:eastAsia="zh-CN" w:bidi="ar-SA"/>
              </w:rPr>
            </w:pPr>
            <w:r>
              <w:rPr>
                <w:rFonts w:hint="eastAsia" w:ascii="Times New Roman" w:hAnsi="宋体" w:cs="宋体"/>
                <w:sz w:val="24"/>
                <w:szCs w:val="24"/>
                <w:highlight w:val="none"/>
                <w:lang w:eastAsia="zh-CN"/>
              </w:rPr>
              <w:t>应急处理方案及安全保障措施</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E7BE1">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根据供应商提供的特殊紧急情况的应急处理方案及安全保障措施的科学性、合理性、可行性等进行综合对比评分：</w:t>
            </w:r>
          </w:p>
          <w:p w14:paraId="4F591F6A">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①方案及措施详细、可行性强，能切实贴合使用方的需求得 6分；</w:t>
            </w:r>
          </w:p>
          <w:p w14:paraId="02E6A172">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②方案及措施较为详细、可行性一般的得4分；</w:t>
            </w:r>
          </w:p>
          <w:p w14:paraId="1AE4F3C3">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③方案及措施不够详细，可操作性不强的得2分；</w:t>
            </w:r>
          </w:p>
          <w:p w14:paraId="522B9572">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④不提供不得分。</w:t>
            </w: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CF3330">
            <w:pPr>
              <w:autoSpaceDE w:val="0"/>
              <w:autoSpaceDN w:val="0"/>
              <w:adjustRightInd w:val="0"/>
              <w:snapToGrid w:val="0"/>
              <w:spacing w:line="340" w:lineRule="exact"/>
              <w:jc w:val="center"/>
              <w:rPr>
                <w:rFonts w:hint="eastAsia" w:ascii="Times New Roman" w:hAnsi="宋体" w:eastAsia="宋体" w:cs="宋体"/>
                <w:kern w:val="2"/>
                <w:sz w:val="24"/>
                <w:szCs w:val="24"/>
                <w:lang w:val="en-US" w:eastAsia="zh-CN" w:bidi="ar-SA"/>
              </w:rPr>
            </w:pPr>
            <w:r>
              <w:rPr>
                <w:rFonts w:hint="eastAsia" w:hAnsi="宋体" w:cs="宋体"/>
                <w:sz w:val="24"/>
                <w:szCs w:val="24"/>
                <w:lang w:val="en-US" w:eastAsia="zh-CN"/>
              </w:rPr>
              <w:t>6</w:t>
            </w:r>
            <w:r>
              <w:rPr>
                <w:rFonts w:hint="eastAsia" w:hAnsi="宋体" w:cs="宋体"/>
                <w:sz w:val="24"/>
                <w:szCs w:val="24"/>
              </w:rPr>
              <w:t>分</w:t>
            </w:r>
          </w:p>
        </w:tc>
      </w:tr>
      <w:tr w14:paraId="4262848A">
        <w:tblPrEx>
          <w:tblCellMar>
            <w:top w:w="15" w:type="dxa"/>
            <w:left w:w="15" w:type="dxa"/>
            <w:bottom w:w="15" w:type="dxa"/>
            <w:right w:w="15" w:type="dxa"/>
          </w:tblCellMar>
        </w:tblPrEx>
        <w:trPr>
          <w:cantSplit/>
          <w:trHeight w:val="661" w:hRule="atLeast"/>
          <w:jc w:val="center"/>
        </w:trPr>
        <w:tc>
          <w:tcPr>
            <w:tcW w:w="1000" w:type="dxa"/>
            <w:vMerge w:val="restart"/>
            <w:tcBorders>
              <w:top w:val="single" w:color="auto" w:sz="4" w:space="0"/>
              <w:left w:val="single" w:color="auto" w:sz="4" w:space="0"/>
              <w:right w:val="single" w:color="auto" w:sz="4" w:space="0"/>
            </w:tcBorders>
            <w:noWrap w:val="0"/>
            <w:vAlign w:val="center"/>
          </w:tcPr>
          <w:p w14:paraId="0A5FC341">
            <w:pPr>
              <w:widowControl/>
              <w:spacing w:line="288" w:lineRule="auto"/>
              <w:textAlignment w:val="center"/>
              <w:rPr>
                <w:rFonts w:hint="eastAsia" w:cs="宋体"/>
                <w:sz w:val="24"/>
                <w:szCs w:val="24"/>
              </w:rPr>
            </w:pPr>
          </w:p>
          <w:p w14:paraId="2FC4D9E9">
            <w:pPr>
              <w:widowControl/>
              <w:spacing w:line="288" w:lineRule="auto"/>
              <w:textAlignment w:val="center"/>
              <w:rPr>
                <w:rFonts w:hint="eastAsia" w:hAnsi="宋体" w:cs="宋体"/>
                <w:sz w:val="24"/>
                <w:szCs w:val="24"/>
              </w:rPr>
            </w:pPr>
            <w:r>
              <w:rPr>
                <w:rFonts w:hint="eastAsia" w:hAnsi="宋体" w:cs="宋体"/>
                <w:sz w:val="24"/>
                <w:szCs w:val="24"/>
                <w:lang w:val="en-US" w:eastAsia="zh-CN"/>
              </w:rPr>
              <w:t>其他部分</w:t>
            </w:r>
            <w:r>
              <w:rPr>
                <w:rFonts w:hint="eastAsia" w:hAnsi="宋体" w:cs="宋体"/>
                <w:sz w:val="24"/>
                <w:szCs w:val="24"/>
              </w:rPr>
              <w:t>（</w:t>
            </w:r>
            <w:r>
              <w:rPr>
                <w:rFonts w:hint="eastAsia" w:hAnsi="宋体" w:cs="宋体"/>
                <w:sz w:val="24"/>
                <w:szCs w:val="24"/>
                <w:lang w:val="en-US" w:eastAsia="zh-CN"/>
              </w:rPr>
              <w:t>24</w:t>
            </w:r>
            <w:r>
              <w:rPr>
                <w:rFonts w:hint="eastAsia" w:hAnsi="宋体" w:cs="宋体"/>
                <w:sz w:val="24"/>
                <w:szCs w:val="24"/>
              </w:rPr>
              <w:t>分）</w:t>
            </w:r>
          </w:p>
        </w:tc>
        <w:tc>
          <w:tcPr>
            <w:tcW w:w="1280" w:type="dxa"/>
            <w:tcBorders>
              <w:top w:val="single" w:color="auto" w:sz="4" w:space="0"/>
              <w:left w:val="single" w:color="auto" w:sz="4" w:space="0"/>
              <w:right w:val="single" w:color="auto" w:sz="4" w:space="0"/>
            </w:tcBorders>
            <w:shd w:val="clear" w:color="auto" w:fill="auto"/>
            <w:noWrap w:val="0"/>
            <w:vAlign w:val="center"/>
          </w:tcPr>
          <w:p w14:paraId="4CEEB5A8">
            <w:pPr>
              <w:spacing w:line="340" w:lineRule="exact"/>
              <w:ind w:right="105" w:rightChars="50"/>
              <w:jc w:val="center"/>
              <w:rPr>
                <w:rFonts w:hint="eastAsia" w:hAnsi="宋体" w:cs="宋体"/>
                <w:sz w:val="24"/>
                <w:szCs w:val="24"/>
              </w:rPr>
            </w:pPr>
          </w:p>
          <w:p w14:paraId="6AABA3B4">
            <w:pPr>
              <w:spacing w:line="340" w:lineRule="exact"/>
              <w:ind w:right="105" w:rightChars="50"/>
              <w:jc w:val="center"/>
              <w:rPr>
                <w:rFonts w:hint="eastAsia" w:ascii="Times New Roman" w:hAnsi="宋体" w:eastAsia="宋体" w:cs="宋体"/>
                <w:kern w:val="2"/>
                <w:sz w:val="24"/>
                <w:szCs w:val="24"/>
                <w:lang w:val="en-US" w:eastAsia="zh-CN" w:bidi="ar-SA"/>
              </w:rPr>
            </w:pPr>
            <w:r>
              <w:rPr>
                <w:rFonts w:hint="eastAsia" w:hAnsi="宋体" w:cs="宋体"/>
                <w:sz w:val="24"/>
                <w:szCs w:val="24"/>
              </w:rPr>
              <w:t>企业</w:t>
            </w:r>
            <w:r>
              <w:rPr>
                <w:rFonts w:hint="eastAsia" w:hAnsi="宋体" w:cs="宋体"/>
                <w:sz w:val="24"/>
                <w:szCs w:val="24"/>
                <w:lang w:val="en-US" w:eastAsia="zh-CN"/>
              </w:rPr>
              <w:t>实力</w:t>
            </w:r>
          </w:p>
        </w:tc>
        <w:tc>
          <w:tcPr>
            <w:tcW w:w="79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62FE6">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2022年01月01日以来供应商承接过不间断电源采购项目业绩的，每提供一份得4分，本项最高得8分。（</w:t>
            </w:r>
            <w:r>
              <w:rPr>
                <w:rFonts w:hint="eastAsia" w:ascii="宋体" w:hAnsi="宋体" w:eastAsia="宋体" w:cs="宋体"/>
                <w:b/>
                <w:bCs/>
                <w:color w:val="auto"/>
                <w:highlight w:val="none"/>
                <w:lang w:val="en-US" w:eastAsia="zh-CN"/>
              </w:rPr>
              <w:t>业绩时间以合同签订时间为准，响应文件中附合同或中标通知书的复印件或扫描件，不提供不得分</w:t>
            </w:r>
            <w:r>
              <w:rPr>
                <w:rFonts w:hint="eastAsia" w:ascii="宋体" w:hAnsi="宋体" w:eastAsia="宋体" w:cs="宋体"/>
                <w:color w:val="auto"/>
                <w:highlight w:val="none"/>
                <w:lang w:val="en-US" w:eastAsia="zh-CN"/>
              </w:rPr>
              <w:t xml:space="preserve">） </w:t>
            </w:r>
          </w:p>
        </w:tc>
        <w:tc>
          <w:tcPr>
            <w:tcW w:w="60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7EB59F">
            <w:pPr>
              <w:widowControl/>
              <w:spacing w:line="288" w:lineRule="auto"/>
              <w:jc w:val="center"/>
              <w:textAlignment w:val="center"/>
              <w:rPr>
                <w:rFonts w:hint="eastAsia" w:ascii="Times New Roman" w:hAnsi="宋体" w:eastAsia="宋体" w:cs="宋体"/>
                <w:kern w:val="2"/>
                <w:sz w:val="24"/>
                <w:szCs w:val="24"/>
                <w:lang w:val="en-US" w:eastAsia="zh-CN" w:bidi="ar-SA"/>
              </w:rPr>
            </w:pPr>
            <w:r>
              <w:rPr>
                <w:rFonts w:hint="eastAsia" w:hAnsi="宋体" w:cs="宋体"/>
                <w:sz w:val="24"/>
                <w:szCs w:val="24"/>
                <w:lang w:val="en-US" w:eastAsia="zh-CN"/>
              </w:rPr>
              <w:t>8</w:t>
            </w:r>
            <w:r>
              <w:rPr>
                <w:rFonts w:hint="eastAsia" w:hAnsi="宋体" w:cs="宋体"/>
                <w:sz w:val="24"/>
                <w:szCs w:val="24"/>
              </w:rPr>
              <w:t>分</w:t>
            </w:r>
          </w:p>
        </w:tc>
      </w:tr>
      <w:tr w14:paraId="5912640A">
        <w:tblPrEx>
          <w:tblCellMar>
            <w:top w:w="15" w:type="dxa"/>
            <w:left w:w="15" w:type="dxa"/>
            <w:bottom w:w="15" w:type="dxa"/>
            <w:right w:w="15" w:type="dxa"/>
          </w:tblCellMar>
        </w:tblPrEx>
        <w:trPr>
          <w:cantSplit/>
          <w:trHeight w:val="503" w:hRule="atLeast"/>
          <w:jc w:val="center"/>
        </w:trPr>
        <w:tc>
          <w:tcPr>
            <w:tcW w:w="1000" w:type="dxa"/>
            <w:vMerge w:val="continue"/>
            <w:tcBorders>
              <w:left w:val="single" w:color="auto" w:sz="4" w:space="0"/>
              <w:right w:val="single" w:color="auto" w:sz="4" w:space="0"/>
            </w:tcBorders>
            <w:noWrap w:val="0"/>
            <w:vAlign w:val="center"/>
          </w:tcPr>
          <w:p w14:paraId="20861A91">
            <w:pPr>
              <w:widowControl/>
              <w:spacing w:line="288" w:lineRule="auto"/>
              <w:textAlignment w:val="center"/>
              <w:rPr>
                <w:rFonts w:hint="eastAsia" w:hAnsi="宋体" w:cs="宋体"/>
                <w:sz w:val="24"/>
                <w:szCs w:val="24"/>
              </w:rPr>
            </w:pPr>
          </w:p>
        </w:tc>
        <w:tc>
          <w:tcPr>
            <w:tcW w:w="1280" w:type="dxa"/>
            <w:tcBorders>
              <w:top w:val="single" w:color="auto" w:sz="4" w:space="0"/>
              <w:left w:val="single" w:color="auto" w:sz="4" w:space="0"/>
              <w:right w:val="single" w:color="auto" w:sz="4" w:space="0"/>
            </w:tcBorders>
            <w:noWrap w:val="0"/>
            <w:vAlign w:val="center"/>
          </w:tcPr>
          <w:p w14:paraId="5B3EE1C8">
            <w:pPr>
              <w:jc w:val="center"/>
              <w:rPr>
                <w:rFonts w:hint="eastAsia" w:hAnsi="宋体" w:eastAsia="宋体" w:cs="宋体"/>
                <w:sz w:val="24"/>
                <w:szCs w:val="24"/>
                <w:lang w:eastAsia="zh-CN"/>
              </w:rPr>
            </w:pPr>
            <w:r>
              <w:rPr>
                <w:rFonts w:hint="eastAsia" w:hAnsi="宋体" w:cs="宋体"/>
                <w:sz w:val="24"/>
                <w:szCs w:val="24"/>
              </w:rPr>
              <w:t>售后服务方案</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08BF5344">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根据供应商针对本项目提供详细、合理的售后服务计划、</w:t>
            </w:r>
            <w:r>
              <w:rPr>
                <w:rFonts w:hint="eastAsia" w:ascii="宋体" w:hAnsi="宋体" w:eastAsia="宋体" w:cs="宋体"/>
                <w:color w:val="auto"/>
                <w:highlight w:val="none"/>
                <w:lang w:val="zh-CN" w:eastAsia="zh-CN"/>
              </w:rPr>
              <w:t>售后服务承诺、</w:t>
            </w:r>
            <w:r>
              <w:rPr>
                <w:rFonts w:hint="eastAsia" w:ascii="宋体" w:hAnsi="宋体" w:eastAsia="宋体" w:cs="宋体"/>
                <w:color w:val="auto"/>
                <w:highlight w:val="none"/>
                <w:lang w:val="en-US" w:eastAsia="zh-CN"/>
              </w:rPr>
              <w:t>售后服务机构及配备专业售后服务技术人员情况（包括售后服务内容、电话响应、解决问题时间，并详细提供常见性问题提供解决方案、质保期内外产品调试退货的方案及措施）：</w:t>
            </w:r>
          </w:p>
          <w:p w14:paraId="2BB1F34D">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①描述详细、完善、合理、可行的得6分；</w:t>
            </w:r>
          </w:p>
          <w:p w14:paraId="4C545D1A">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②较完善、合理、可行的得4分；</w:t>
            </w:r>
          </w:p>
          <w:p w14:paraId="4E460F69">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③描述不全面、不详细、不合理、不可行的得2分；</w:t>
            </w:r>
          </w:p>
          <w:p w14:paraId="3B33ADBC">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④不提供不得分。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6DFEA50B">
            <w:pPr>
              <w:autoSpaceDE w:val="0"/>
              <w:autoSpaceDN w:val="0"/>
              <w:adjustRightInd w:val="0"/>
              <w:snapToGrid w:val="0"/>
              <w:spacing w:line="340" w:lineRule="exact"/>
              <w:jc w:val="center"/>
              <w:rPr>
                <w:rFonts w:hint="eastAsia" w:hAnsi="宋体" w:cs="宋体"/>
                <w:sz w:val="24"/>
                <w:szCs w:val="24"/>
              </w:rPr>
            </w:pPr>
            <w:r>
              <w:rPr>
                <w:rFonts w:hint="eastAsia" w:hAnsi="宋体" w:cs="宋体"/>
                <w:sz w:val="24"/>
                <w:szCs w:val="24"/>
                <w:lang w:val="en-US" w:eastAsia="zh-CN"/>
              </w:rPr>
              <w:t>6</w:t>
            </w:r>
            <w:r>
              <w:rPr>
                <w:rFonts w:hint="eastAsia" w:hAnsi="宋体" w:cs="宋体"/>
                <w:sz w:val="24"/>
                <w:szCs w:val="24"/>
              </w:rPr>
              <w:t>分</w:t>
            </w:r>
          </w:p>
        </w:tc>
      </w:tr>
      <w:tr w14:paraId="62508015">
        <w:tblPrEx>
          <w:tblCellMar>
            <w:top w:w="15" w:type="dxa"/>
            <w:left w:w="15" w:type="dxa"/>
            <w:bottom w:w="15" w:type="dxa"/>
            <w:right w:w="15" w:type="dxa"/>
          </w:tblCellMar>
        </w:tblPrEx>
        <w:trPr>
          <w:trHeight w:val="90" w:hRule="atLeast"/>
          <w:jc w:val="center"/>
        </w:trPr>
        <w:tc>
          <w:tcPr>
            <w:tcW w:w="1000" w:type="dxa"/>
            <w:vMerge w:val="continue"/>
            <w:tcBorders>
              <w:left w:val="single" w:color="auto" w:sz="4" w:space="0"/>
              <w:right w:val="single" w:color="auto" w:sz="4" w:space="0"/>
            </w:tcBorders>
            <w:noWrap w:val="0"/>
            <w:vAlign w:val="center"/>
          </w:tcPr>
          <w:p w14:paraId="691C670C">
            <w:pPr>
              <w:widowControl/>
              <w:spacing w:line="288" w:lineRule="auto"/>
              <w:textAlignment w:val="cente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9B673A7">
            <w:pPr>
              <w:spacing w:line="340" w:lineRule="exact"/>
              <w:ind w:right="105" w:rightChars="50"/>
              <w:jc w:val="center"/>
              <w:rPr>
                <w:rFonts w:hAnsi="宋体" w:cs="宋体"/>
                <w:sz w:val="24"/>
                <w:szCs w:val="24"/>
                <w:highlight w:val="none"/>
              </w:rPr>
            </w:pPr>
            <w:r>
              <w:rPr>
                <w:rFonts w:hint="eastAsia" w:hAnsi="宋体" w:cs="宋体"/>
                <w:sz w:val="24"/>
                <w:szCs w:val="24"/>
                <w:highlight w:val="none"/>
              </w:rPr>
              <w:t>优惠承诺</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08FAF8F9">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根据供应商提出的对采购人有利的优惠条件及承诺情况，进行综合比较后打分，针对项目需求合理、经济、可行的得6分，合理可行性一般的得4分，可行性较差的的2分，不提供不得分。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3F9CE0C7">
            <w:pPr>
              <w:adjustRightInd w:val="0"/>
              <w:snapToGrid w:val="0"/>
              <w:spacing w:line="288" w:lineRule="auto"/>
              <w:jc w:val="center"/>
              <w:rPr>
                <w:rFonts w:hAnsi="宋体" w:cs="宋体"/>
                <w:sz w:val="24"/>
                <w:szCs w:val="24"/>
                <w:highlight w:val="none"/>
              </w:rPr>
            </w:pPr>
            <w:r>
              <w:rPr>
                <w:rFonts w:hint="eastAsia" w:hAnsi="宋体" w:cs="宋体"/>
                <w:sz w:val="24"/>
                <w:szCs w:val="24"/>
                <w:highlight w:val="none"/>
                <w:lang w:val="en-US" w:eastAsia="zh-CN"/>
              </w:rPr>
              <w:t>6</w:t>
            </w:r>
            <w:r>
              <w:rPr>
                <w:rFonts w:hint="eastAsia" w:hAnsi="宋体" w:cs="宋体"/>
                <w:sz w:val="24"/>
                <w:szCs w:val="24"/>
                <w:highlight w:val="none"/>
              </w:rPr>
              <w:t>分</w:t>
            </w:r>
          </w:p>
        </w:tc>
      </w:tr>
      <w:tr w14:paraId="1A25C94F">
        <w:tblPrEx>
          <w:tblCellMar>
            <w:top w:w="15" w:type="dxa"/>
            <w:left w:w="15" w:type="dxa"/>
            <w:bottom w:w="15" w:type="dxa"/>
            <w:right w:w="15" w:type="dxa"/>
          </w:tblCellMar>
        </w:tblPrEx>
        <w:trPr>
          <w:trHeight w:val="661" w:hRule="atLeast"/>
          <w:jc w:val="center"/>
        </w:trPr>
        <w:tc>
          <w:tcPr>
            <w:tcW w:w="1000" w:type="dxa"/>
            <w:vMerge w:val="continue"/>
            <w:tcBorders>
              <w:left w:val="single" w:color="auto" w:sz="4" w:space="0"/>
              <w:bottom w:val="single" w:color="auto" w:sz="4" w:space="0"/>
              <w:right w:val="single" w:color="auto" w:sz="4" w:space="0"/>
            </w:tcBorders>
            <w:noWrap w:val="0"/>
            <w:vAlign w:val="center"/>
          </w:tcPr>
          <w:p w14:paraId="107ADC7B">
            <w:pPr>
              <w:rPr>
                <w:rFonts w:hint="eastAsia" w:hAnsi="宋体" w:cs="宋体"/>
                <w:sz w:val="24"/>
                <w:szCs w:val="24"/>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048EDF5">
            <w:pPr>
              <w:spacing w:line="340" w:lineRule="exact"/>
              <w:ind w:right="105" w:rightChars="50"/>
              <w:jc w:val="center"/>
              <w:rPr>
                <w:rFonts w:hint="eastAsia" w:hAnsi="宋体" w:cs="宋体"/>
                <w:sz w:val="24"/>
                <w:szCs w:val="24"/>
                <w:highlight w:val="none"/>
              </w:rPr>
            </w:pPr>
            <w:r>
              <w:rPr>
                <w:rFonts w:hint="eastAsia" w:hAnsi="宋体" w:cs="宋体"/>
                <w:sz w:val="24"/>
                <w:szCs w:val="24"/>
                <w:highlight w:val="none"/>
              </w:rPr>
              <w:t>综合性能 评价</w:t>
            </w:r>
          </w:p>
        </w:tc>
        <w:tc>
          <w:tcPr>
            <w:tcW w:w="7999" w:type="dxa"/>
            <w:tcBorders>
              <w:top w:val="single" w:color="auto" w:sz="4" w:space="0"/>
              <w:left w:val="single" w:color="auto" w:sz="4" w:space="0"/>
              <w:bottom w:val="single" w:color="auto" w:sz="4" w:space="0"/>
              <w:right w:val="single" w:color="auto" w:sz="4" w:space="0"/>
            </w:tcBorders>
            <w:noWrap w:val="0"/>
            <w:vAlign w:val="center"/>
          </w:tcPr>
          <w:p w14:paraId="598E3043">
            <w:pPr>
              <w:autoSpaceDE w:val="0"/>
              <w:autoSpaceDN w:val="0"/>
              <w:adjustRightInd w:val="0"/>
              <w:snapToGrid w:val="0"/>
              <w:spacing w:line="340" w:lineRule="exact"/>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对供应商提供设备的综合性能，方案的制定、标书的规范情况进行综合评价，完善、合理、可行性较好的得4分；一般得 2分；较差得1分。</w:t>
            </w:r>
          </w:p>
        </w:tc>
        <w:tc>
          <w:tcPr>
            <w:tcW w:w="609" w:type="dxa"/>
            <w:tcBorders>
              <w:top w:val="single" w:color="auto" w:sz="4" w:space="0"/>
              <w:left w:val="single" w:color="auto" w:sz="4" w:space="0"/>
              <w:bottom w:val="single" w:color="auto" w:sz="4" w:space="0"/>
              <w:right w:val="single" w:color="auto" w:sz="4" w:space="0"/>
            </w:tcBorders>
            <w:noWrap w:val="0"/>
            <w:vAlign w:val="center"/>
          </w:tcPr>
          <w:p w14:paraId="268E8D97">
            <w:pPr>
              <w:adjustRightInd w:val="0"/>
              <w:snapToGrid w:val="0"/>
              <w:spacing w:line="288" w:lineRule="auto"/>
              <w:jc w:val="center"/>
              <w:rPr>
                <w:rFonts w:hint="eastAsia" w:hAnsi="宋体" w:cs="宋体"/>
                <w:sz w:val="24"/>
                <w:szCs w:val="24"/>
                <w:highlight w:val="none"/>
              </w:rPr>
            </w:pPr>
            <w:r>
              <w:rPr>
                <w:rFonts w:hint="eastAsia" w:hAnsi="宋体" w:cs="宋体"/>
                <w:sz w:val="24"/>
                <w:szCs w:val="24"/>
                <w:highlight w:val="none"/>
                <w:lang w:val="en-US" w:eastAsia="zh-CN"/>
              </w:rPr>
              <w:t>4</w:t>
            </w:r>
            <w:r>
              <w:rPr>
                <w:rFonts w:hint="eastAsia" w:hAnsi="宋体" w:cs="宋体"/>
                <w:sz w:val="24"/>
                <w:szCs w:val="24"/>
                <w:highlight w:val="none"/>
              </w:rPr>
              <w:t>分</w:t>
            </w:r>
          </w:p>
        </w:tc>
      </w:tr>
      <w:tr w14:paraId="11E82B6A">
        <w:tblPrEx>
          <w:tblCellMar>
            <w:top w:w="15" w:type="dxa"/>
            <w:left w:w="15" w:type="dxa"/>
            <w:bottom w:w="15" w:type="dxa"/>
            <w:right w:w="15" w:type="dxa"/>
          </w:tblCellMar>
        </w:tblPrEx>
        <w:trPr>
          <w:trHeight w:val="661" w:hRule="atLeast"/>
          <w:jc w:val="center"/>
        </w:trPr>
        <w:tc>
          <w:tcPr>
            <w:tcW w:w="10888" w:type="dxa"/>
            <w:gridSpan w:val="4"/>
            <w:tcBorders>
              <w:left w:val="single" w:color="auto" w:sz="4" w:space="0"/>
              <w:bottom w:val="single" w:color="auto" w:sz="4" w:space="0"/>
              <w:right w:val="single" w:color="auto" w:sz="4" w:space="0"/>
            </w:tcBorders>
            <w:noWrap w:val="0"/>
            <w:vAlign w:val="center"/>
          </w:tcPr>
          <w:p w14:paraId="398611D3">
            <w:pPr>
              <w:widowControl/>
              <w:spacing w:line="288" w:lineRule="auto"/>
              <w:ind w:firstLine="480" w:firstLineChars="200"/>
              <w:jc w:val="left"/>
              <w:textAlignment w:val="center"/>
              <w:rPr>
                <w:rFonts w:hint="eastAsia" w:cs="宋体"/>
                <w:sz w:val="24"/>
                <w:szCs w:val="24"/>
              </w:rPr>
            </w:pPr>
            <w:r>
              <w:rPr>
                <w:rFonts w:hint="eastAsia" w:cs="宋体"/>
                <w:sz w:val="24"/>
                <w:szCs w:val="24"/>
              </w:rPr>
              <w:t>供应商在招投标活动中提供的相关资料和证件等应真实、有效，中标后业主有对中标候选人进行调查的权利，如发现弄虚作假、有违法违规现象，一经查实，将取消中标资格并报经建设行政主管部门给予不良行为记录等处理。</w:t>
            </w:r>
          </w:p>
        </w:tc>
      </w:tr>
    </w:tbl>
    <w:p w14:paraId="449247E0">
      <w:pPr>
        <w:wordWrap w:val="0"/>
        <w:spacing w:line="360" w:lineRule="auto"/>
        <w:ind w:firstLine="480" w:firstLineChars="200"/>
        <w:rPr>
          <w:rFonts w:hint="eastAsia" w:ascii="宋体" w:hAnsi="宋体" w:cs="宋体"/>
          <w:sz w:val="24"/>
          <w:szCs w:val="24"/>
          <w:lang w:val="en-US" w:eastAsia="zh-CN"/>
        </w:rPr>
      </w:pPr>
    </w:p>
    <w:p w14:paraId="32348163">
      <w:pPr>
        <w:wordWrap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评审方法</w:t>
      </w:r>
      <w:bookmarkEnd w:id="751"/>
      <w:bookmarkEnd w:id="752"/>
    </w:p>
    <w:p w14:paraId="5D969F2C">
      <w:pPr>
        <w:wordWrap w:val="0"/>
        <w:spacing w:line="360" w:lineRule="auto"/>
        <w:ind w:firstLine="480" w:firstLineChars="200"/>
        <w:rPr>
          <w:rFonts w:ascii="宋体" w:hAnsi="宋体" w:cs="宋体"/>
          <w:sz w:val="24"/>
          <w:szCs w:val="24"/>
        </w:rPr>
      </w:pPr>
      <w:r>
        <w:rPr>
          <w:rFonts w:hint="eastAsia" w:ascii="宋体" w:hAnsi="宋体" w:cs="宋体"/>
          <w:sz w:val="24"/>
          <w:szCs w:val="24"/>
        </w:rPr>
        <w:t>本次评审采用综合评分法。磋商小组对满足竞争性磋商文件实质性要求的响应文件，按照本章规定的评分标准进行打分，并按得分由高到低顺序推荐成交候选人，综合评分相等时，以报价得分高的优先；报价得分相等的，以技术得分高的优先，技术得分也相等的，采取随机抽取方式确定中标候选人排序。</w:t>
      </w:r>
      <w:bookmarkStart w:id="754" w:name="_Toc152045601"/>
      <w:bookmarkStart w:id="755" w:name="_Toc6612"/>
      <w:bookmarkStart w:id="756" w:name="_Toc20837"/>
      <w:bookmarkStart w:id="757" w:name="_Toc455080157"/>
      <w:bookmarkStart w:id="758" w:name="_Toc318450723"/>
      <w:bookmarkStart w:id="759" w:name="_Toc281405529"/>
      <w:bookmarkStart w:id="760" w:name="_Toc144974568"/>
      <w:bookmarkStart w:id="761" w:name="_Toc24936"/>
      <w:bookmarkStart w:id="762" w:name="_Toc455867817"/>
      <w:bookmarkStart w:id="763" w:name="_Toc29362"/>
      <w:bookmarkStart w:id="764" w:name="_Toc152042378"/>
      <w:bookmarkStart w:id="765" w:name="_Toc26131"/>
      <w:bookmarkStart w:id="766" w:name="_Toc490667876"/>
      <w:bookmarkStart w:id="767" w:name="_Toc466298140"/>
    </w:p>
    <w:p w14:paraId="05C3142D">
      <w:pPr>
        <w:wordWrap w:val="0"/>
        <w:spacing w:line="360" w:lineRule="auto"/>
        <w:ind w:firstLine="480" w:firstLineChars="200"/>
        <w:rPr>
          <w:rFonts w:ascii="宋体" w:hAnsi="宋体" w:cs="宋体"/>
          <w:sz w:val="24"/>
          <w:szCs w:val="24"/>
        </w:rPr>
      </w:pPr>
      <w:bookmarkStart w:id="768" w:name="_Toc15287"/>
      <w:bookmarkStart w:id="769" w:name="_Toc14678"/>
      <w:r>
        <w:rPr>
          <w:rFonts w:hint="eastAsia" w:ascii="宋体" w:hAnsi="宋体" w:cs="宋体"/>
          <w:sz w:val="24"/>
          <w:szCs w:val="24"/>
        </w:rPr>
        <w:t>2. 评审标准</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Start w:id="770" w:name="_Toc19934"/>
      <w:bookmarkStart w:id="771" w:name="_Toc11223"/>
      <w:bookmarkStart w:id="772" w:name="_Toc31037"/>
      <w:bookmarkStart w:id="773" w:name="_Toc490667877"/>
      <w:bookmarkStart w:id="774" w:name="_Toc144974569"/>
      <w:bookmarkStart w:id="775" w:name="_Toc281405530"/>
      <w:bookmarkStart w:id="776" w:name="_Toc152042379"/>
      <w:bookmarkStart w:id="777" w:name="_Toc152045602"/>
      <w:bookmarkStart w:id="778" w:name="_Toc455080158"/>
      <w:bookmarkStart w:id="779" w:name="_Toc318450724"/>
      <w:bookmarkStart w:id="780" w:name="_Toc21120"/>
      <w:bookmarkStart w:id="781" w:name="_Toc2867"/>
      <w:bookmarkStart w:id="782" w:name="_Toc24558"/>
      <w:bookmarkStart w:id="783" w:name="_Toc15813"/>
      <w:bookmarkStart w:id="784" w:name="_Toc25637"/>
      <w:bookmarkStart w:id="785" w:name="_Toc466298141"/>
      <w:bookmarkStart w:id="786" w:name="_Toc455867818"/>
      <w:bookmarkStart w:id="787" w:name="_Toc6711"/>
    </w:p>
    <w:p w14:paraId="2D747DD7">
      <w:pPr>
        <w:wordWrap w:val="0"/>
        <w:spacing w:line="360" w:lineRule="auto"/>
        <w:ind w:firstLine="480" w:firstLineChars="200"/>
        <w:rPr>
          <w:rFonts w:ascii="宋体" w:hAnsi="宋体" w:cs="宋体"/>
          <w:sz w:val="24"/>
          <w:szCs w:val="24"/>
        </w:rPr>
      </w:pPr>
      <w:bookmarkStart w:id="788" w:name="_Toc26567"/>
      <w:r>
        <w:rPr>
          <w:rFonts w:hint="eastAsia" w:ascii="宋体" w:hAnsi="宋体" w:cs="宋体"/>
          <w:sz w:val="24"/>
          <w:szCs w:val="24"/>
        </w:rPr>
        <w:t>2.1 初步评审标准</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72FF6233">
      <w:pPr>
        <w:wordWrap w:val="0"/>
        <w:spacing w:line="360" w:lineRule="auto"/>
        <w:ind w:firstLine="480" w:firstLineChars="200"/>
        <w:rPr>
          <w:rFonts w:ascii="宋体" w:hAnsi="宋体" w:cs="宋体"/>
          <w:sz w:val="24"/>
          <w:szCs w:val="24"/>
        </w:rPr>
      </w:pPr>
      <w:r>
        <w:rPr>
          <w:rFonts w:hint="eastAsia" w:ascii="宋体" w:hAnsi="宋体" w:cs="宋体"/>
          <w:sz w:val="24"/>
          <w:szCs w:val="24"/>
        </w:rPr>
        <w:t>2.1.1 资格检查评审标准：见评审办法前附表。</w:t>
      </w:r>
    </w:p>
    <w:p w14:paraId="77108B71">
      <w:pPr>
        <w:wordWrap w:val="0"/>
        <w:spacing w:line="360" w:lineRule="auto"/>
        <w:ind w:firstLine="480" w:firstLineChars="200"/>
        <w:rPr>
          <w:rFonts w:ascii="宋体" w:hAnsi="宋体" w:cs="宋体"/>
          <w:sz w:val="24"/>
          <w:szCs w:val="24"/>
        </w:rPr>
      </w:pPr>
      <w:r>
        <w:rPr>
          <w:rFonts w:hint="eastAsia" w:ascii="宋体" w:hAnsi="宋体" w:cs="宋体"/>
          <w:sz w:val="24"/>
          <w:szCs w:val="24"/>
        </w:rPr>
        <w:t>2.1.2 符合性检查评审标准：见评审办法前附表。</w:t>
      </w:r>
    </w:p>
    <w:p w14:paraId="1E24991F">
      <w:pPr>
        <w:wordWrap w:val="0"/>
        <w:spacing w:line="360" w:lineRule="auto"/>
        <w:ind w:firstLine="480" w:firstLineChars="200"/>
        <w:rPr>
          <w:rFonts w:ascii="宋体" w:hAnsi="宋体" w:cs="宋体"/>
          <w:sz w:val="24"/>
          <w:szCs w:val="24"/>
        </w:rPr>
      </w:pPr>
      <w:bookmarkStart w:id="789" w:name="_Toc152042380"/>
      <w:bookmarkStart w:id="790" w:name="_Toc281405531"/>
      <w:bookmarkStart w:id="791" w:name="_Toc7284"/>
      <w:bookmarkStart w:id="792" w:name="_Toc21970"/>
      <w:bookmarkStart w:id="793" w:name="_Toc152045603"/>
      <w:bookmarkStart w:id="794" w:name="_Toc22439"/>
      <w:bookmarkStart w:id="795" w:name="_Toc30189"/>
      <w:bookmarkStart w:id="796" w:name="_Toc455867819"/>
      <w:bookmarkStart w:id="797" w:name="_Toc318450725"/>
      <w:bookmarkStart w:id="798" w:name="_Toc25492"/>
      <w:bookmarkStart w:id="799" w:name="_Toc490667878"/>
      <w:bookmarkStart w:id="800" w:name="_Toc24825"/>
      <w:bookmarkStart w:id="801" w:name="_Toc26179"/>
      <w:bookmarkStart w:id="802" w:name="_Toc144974570"/>
      <w:bookmarkStart w:id="803" w:name="_Toc455080159"/>
      <w:bookmarkStart w:id="804" w:name="_Toc12013"/>
      <w:bookmarkStart w:id="805" w:name="_Toc28765"/>
      <w:bookmarkStart w:id="806" w:name="_Toc11061"/>
      <w:bookmarkStart w:id="807" w:name="_Toc466298142"/>
      <w:r>
        <w:rPr>
          <w:rFonts w:hint="eastAsia" w:ascii="宋体" w:hAnsi="宋体" w:cs="宋体"/>
          <w:sz w:val="24"/>
          <w:szCs w:val="24"/>
        </w:rPr>
        <w:t>2.2 分值构成与评分标准</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0A749119">
      <w:pPr>
        <w:wordWrap w:val="0"/>
        <w:spacing w:line="360" w:lineRule="auto"/>
        <w:ind w:firstLine="480" w:firstLineChars="200"/>
        <w:rPr>
          <w:rFonts w:ascii="宋体" w:hAnsi="宋体" w:cs="宋体"/>
          <w:sz w:val="24"/>
          <w:szCs w:val="24"/>
        </w:rPr>
      </w:pPr>
      <w:r>
        <w:rPr>
          <w:rFonts w:hint="eastAsia" w:ascii="宋体" w:hAnsi="宋体" w:cs="宋体"/>
          <w:sz w:val="24"/>
          <w:szCs w:val="24"/>
        </w:rPr>
        <w:t>（1）商务标：见评审办法前附表；</w:t>
      </w:r>
    </w:p>
    <w:p w14:paraId="21B138A3">
      <w:pPr>
        <w:wordWrap w:val="0"/>
        <w:spacing w:line="360" w:lineRule="auto"/>
        <w:ind w:firstLine="480" w:firstLineChars="200"/>
        <w:rPr>
          <w:rFonts w:ascii="宋体" w:hAnsi="宋体" w:cs="宋体"/>
          <w:sz w:val="24"/>
          <w:szCs w:val="24"/>
        </w:rPr>
      </w:pPr>
      <w:r>
        <w:rPr>
          <w:rFonts w:hint="eastAsia" w:ascii="宋体" w:hAnsi="宋体" w:cs="宋体"/>
          <w:sz w:val="24"/>
          <w:szCs w:val="24"/>
        </w:rPr>
        <w:t>（2）技术标：见评审办法前附表；</w:t>
      </w:r>
    </w:p>
    <w:p w14:paraId="24FC8F3F">
      <w:pPr>
        <w:wordWrap w:val="0"/>
        <w:spacing w:line="360" w:lineRule="auto"/>
        <w:ind w:firstLine="480" w:firstLineChars="200"/>
        <w:rPr>
          <w:rFonts w:ascii="宋体" w:hAnsi="宋体" w:cs="宋体"/>
          <w:sz w:val="24"/>
          <w:szCs w:val="24"/>
        </w:rPr>
      </w:pPr>
      <w:r>
        <w:rPr>
          <w:rFonts w:hint="eastAsia" w:ascii="宋体" w:hAnsi="宋体" w:cs="宋体"/>
          <w:sz w:val="24"/>
          <w:szCs w:val="24"/>
        </w:rPr>
        <w:t>（3）综合标：见评审办法前附表。</w:t>
      </w:r>
    </w:p>
    <w:p w14:paraId="20032B5F">
      <w:pPr>
        <w:wordWrap w:val="0"/>
        <w:spacing w:line="360" w:lineRule="auto"/>
        <w:ind w:firstLine="480" w:firstLineChars="200"/>
        <w:rPr>
          <w:rFonts w:ascii="宋体" w:hAnsi="宋体" w:cs="宋体"/>
          <w:sz w:val="24"/>
          <w:szCs w:val="24"/>
        </w:rPr>
      </w:pPr>
      <w:bookmarkStart w:id="808" w:name="_Toc29297"/>
      <w:bookmarkStart w:id="809" w:name="_Toc29882"/>
      <w:bookmarkStart w:id="810" w:name="_Toc18127"/>
      <w:bookmarkStart w:id="811" w:name="_Toc466298143"/>
      <w:bookmarkStart w:id="812" w:name="_Toc281405532"/>
      <w:bookmarkStart w:id="813" w:name="_Toc490667879"/>
      <w:bookmarkStart w:id="814" w:name="_Toc16479"/>
      <w:bookmarkStart w:id="815" w:name="_Toc455867820"/>
      <w:bookmarkStart w:id="816" w:name="_Toc27018"/>
      <w:bookmarkStart w:id="817" w:name="_Toc17308"/>
      <w:bookmarkStart w:id="818" w:name="_Toc455080160"/>
      <w:bookmarkStart w:id="819" w:name="_Toc318450726"/>
      <w:bookmarkStart w:id="820" w:name="_Toc32314"/>
      <w:r>
        <w:rPr>
          <w:rFonts w:hint="eastAsia" w:ascii="宋体" w:hAnsi="宋体" w:cs="宋体"/>
          <w:sz w:val="24"/>
          <w:szCs w:val="24"/>
        </w:rPr>
        <w:t>3. 评审程序</w:t>
      </w:r>
      <w:bookmarkEnd w:id="808"/>
      <w:bookmarkEnd w:id="809"/>
      <w:bookmarkEnd w:id="810"/>
      <w:bookmarkEnd w:id="811"/>
      <w:bookmarkEnd w:id="812"/>
      <w:bookmarkEnd w:id="813"/>
      <w:bookmarkEnd w:id="814"/>
      <w:bookmarkEnd w:id="815"/>
      <w:bookmarkEnd w:id="816"/>
      <w:bookmarkEnd w:id="817"/>
      <w:bookmarkEnd w:id="818"/>
      <w:bookmarkEnd w:id="819"/>
      <w:bookmarkEnd w:id="820"/>
    </w:p>
    <w:p w14:paraId="48EFE30C">
      <w:pPr>
        <w:wordWrap w:val="0"/>
        <w:spacing w:line="360" w:lineRule="auto"/>
        <w:ind w:firstLine="480" w:firstLineChars="200"/>
        <w:rPr>
          <w:rFonts w:ascii="宋体" w:hAnsi="宋体" w:cs="宋体"/>
          <w:sz w:val="24"/>
          <w:szCs w:val="24"/>
        </w:rPr>
      </w:pPr>
      <w:bookmarkStart w:id="821" w:name="_Toc14633"/>
      <w:bookmarkStart w:id="822" w:name="_Toc29092"/>
      <w:bookmarkStart w:id="823" w:name="_Toc318450727"/>
      <w:bookmarkStart w:id="824" w:name="_Toc466298144"/>
      <w:bookmarkStart w:id="825" w:name="_Toc7272"/>
      <w:bookmarkStart w:id="826" w:name="_Toc455867821"/>
      <w:bookmarkStart w:id="827" w:name="_Toc32763"/>
      <w:bookmarkStart w:id="828" w:name="_Toc490667880"/>
      <w:bookmarkStart w:id="829" w:name="_Toc18886"/>
      <w:bookmarkStart w:id="830" w:name="_Toc455080161"/>
      <w:bookmarkStart w:id="831" w:name="_Toc30986"/>
      <w:bookmarkStart w:id="832" w:name="_Toc9433"/>
      <w:bookmarkStart w:id="833" w:name="_Toc29614"/>
      <w:bookmarkStart w:id="834" w:name="_Toc281405533"/>
      <w:bookmarkStart w:id="835" w:name="_Toc2410"/>
      <w:bookmarkStart w:id="836" w:name="_Toc16892"/>
      <w:bookmarkStart w:id="837" w:name="_Toc5427"/>
      <w:r>
        <w:rPr>
          <w:rFonts w:hint="eastAsia" w:ascii="宋体" w:hAnsi="宋体" w:cs="宋体"/>
          <w:sz w:val="24"/>
          <w:szCs w:val="24"/>
        </w:rPr>
        <w:t>3.1 初步评审</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2CFE13C3">
      <w:pPr>
        <w:wordWrap w:val="0"/>
        <w:spacing w:line="360" w:lineRule="auto"/>
        <w:ind w:firstLine="480" w:firstLineChars="200"/>
        <w:rPr>
          <w:rFonts w:ascii="宋体" w:hAnsi="宋体" w:cs="宋体"/>
          <w:sz w:val="24"/>
          <w:szCs w:val="24"/>
        </w:rPr>
      </w:pPr>
      <w:bookmarkStart w:id="838" w:name="_Toc21032"/>
      <w:bookmarkStart w:id="839" w:name="_Toc21570"/>
      <w:bookmarkStart w:id="840" w:name="_Toc466298145"/>
      <w:bookmarkStart w:id="841" w:name="_Toc318450728"/>
      <w:bookmarkStart w:id="842" w:name="_Toc22101"/>
      <w:bookmarkStart w:id="843" w:name="_Toc13386"/>
      <w:bookmarkStart w:id="844" w:name="_Toc26280"/>
      <w:bookmarkStart w:id="845" w:name="_Toc16964"/>
      <w:bookmarkStart w:id="846" w:name="_Toc7121"/>
      <w:bookmarkStart w:id="847" w:name="_Toc26049"/>
      <w:bookmarkStart w:id="848" w:name="_Toc10692"/>
      <w:bookmarkStart w:id="849" w:name="_Toc12406"/>
      <w:bookmarkStart w:id="850" w:name="_Toc490667881"/>
      <w:bookmarkStart w:id="851" w:name="_Toc455080162"/>
      <w:bookmarkStart w:id="852" w:name="_Toc455867822"/>
      <w:bookmarkStart w:id="853" w:name="_Toc281405534"/>
      <w:r>
        <w:rPr>
          <w:rFonts w:hint="eastAsia" w:ascii="宋体" w:hAnsi="宋体" w:cs="宋体"/>
          <w:sz w:val="24"/>
          <w:szCs w:val="24"/>
        </w:rPr>
        <w:t>3.1.1 只有通过资格审查的供应商才能进入符合性评审。磋商小组依据2.1.2规定的内容和标准对响应文件进行符合性审查。有一项不符合评审标准的，其相应文件做无效处理，不得进入详细评审。</w:t>
      </w:r>
    </w:p>
    <w:p w14:paraId="3F3EBC65">
      <w:pPr>
        <w:wordWrap w:val="0"/>
        <w:spacing w:line="360" w:lineRule="auto"/>
        <w:ind w:firstLine="480" w:firstLineChars="200"/>
        <w:rPr>
          <w:rFonts w:ascii="宋体" w:hAnsi="宋体" w:cs="宋体"/>
          <w:sz w:val="24"/>
          <w:szCs w:val="24"/>
        </w:rPr>
      </w:pPr>
      <w:r>
        <w:rPr>
          <w:rFonts w:hint="eastAsia" w:ascii="宋体" w:hAnsi="宋体" w:cs="宋体"/>
          <w:sz w:val="24"/>
          <w:szCs w:val="24"/>
        </w:rPr>
        <w:t>3.1.2 供应商有以下情形之一的，其响应文件作无效处理：</w:t>
      </w:r>
    </w:p>
    <w:p w14:paraId="24FCC51C">
      <w:pPr>
        <w:wordWrap w:val="0"/>
        <w:spacing w:line="360" w:lineRule="auto"/>
        <w:ind w:firstLine="480" w:firstLineChars="200"/>
        <w:rPr>
          <w:rFonts w:ascii="宋体" w:hAnsi="宋体" w:cs="宋体"/>
          <w:sz w:val="24"/>
          <w:szCs w:val="24"/>
        </w:rPr>
      </w:pPr>
      <w:r>
        <w:rPr>
          <w:rFonts w:hint="eastAsia" w:ascii="宋体" w:hAnsi="宋体" w:cs="宋体"/>
          <w:sz w:val="24"/>
          <w:szCs w:val="24"/>
        </w:rPr>
        <w:t>（1）串通或弄虚作假或有其他违法行为的；</w:t>
      </w:r>
    </w:p>
    <w:p w14:paraId="350CEA38">
      <w:pPr>
        <w:wordWrap w:val="0"/>
        <w:spacing w:line="360" w:lineRule="auto"/>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64A8A5A6">
      <w:pPr>
        <w:wordWrap w:val="0"/>
        <w:spacing w:line="360" w:lineRule="auto"/>
        <w:ind w:firstLine="480" w:firstLineChars="200"/>
        <w:rPr>
          <w:rFonts w:ascii="宋体" w:hAnsi="宋体" w:cs="宋体"/>
          <w:sz w:val="24"/>
          <w:szCs w:val="24"/>
        </w:rPr>
      </w:pPr>
      <w:r>
        <w:rPr>
          <w:rFonts w:hint="eastAsia" w:ascii="宋体" w:hAnsi="宋体" w:cs="宋体"/>
          <w:sz w:val="24"/>
          <w:szCs w:val="24"/>
        </w:rPr>
        <w:t>（3）未按规定格式填写、内容不全或关键字迹模糊、无法辨认的；</w:t>
      </w:r>
    </w:p>
    <w:p w14:paraId="426928FE">
      <w:pPr>
        <w:wordWrap w:val="0"/>
        <w:spacing w:line="360" w:lineRule="auto"/>
        <w:ind w:firstLine="480" w:firstLineChars="200"/>
        <w:rPr>
          <w:rFonts w:ascii="宋体" w:hAnsi="宋体" w:cs="宋体"/>
          <w:sz w:val="24"/>
          <w:szCs w:val="24"/>
        </w:rPr>
      </w:pPr>
      <w:r>
        <w:rPr>
          <w:rFonts w:hint="eastAsia" w:ascii="宋体" w:hAnsi="宋体" w:cs="宋体"/>
          <w:sz w:val="24"/>
          <w:szCs w:val="24"/>
        </w:rPr>
        <w:t>（4）响应文件附有采购人不能接受的条件；</w:t>
      </w:r>
    </w:p>
    <w:p w14:paraId="227856F1">
      <w:pPr>
        <w:wordWrap w:val="0"/>
        <w:spacing w:line="360" w:lineRule="auto"/>
        <w:ind w:firstLine="480" w:firstLineChars="200"/>
        <w:rPr>
          <w:rFonts w:ascii="宋体" w:hAnsi="宋体" w:cs="宋体"/>
          <w:sz w:val="24"/>
          <w:szCs w:val="24"/>
        </w:rPr>
      </w:pPr>
      <w:r>
        <w:rPr>
          <w:rFonts w:hint="eastAsia" w:ascii="宋体" w:hAnsi="宋体" w:cs="宋体"/>
          <w:sz w:val="24"/>
          <w:szCs w:val="24"/>
        </w:rPr>
        <w:t>（5）不符合竞争性磋商文件规定的其他实质性要求。</w:t>
      </w:r>
    </w:p>
    <w:p w14:paraId="52FF62B4">
      <w:pPr>
        <w:wordWrap w:val="0"/>
        <w:spacing w:line="360" w:lineRule="auto"/>
        <w:ind w:firstLine="480" w:firstLineChars="200"/>
        <w:rPr>
          <w:rFonts w:ascii="宋体" w:hAnsi="宋体" w:cs="宋体"/>
          <w:sz w:val="24"/>
          <w:szCs w:val="24"/>
        </w:rPr>
      </w:pPr>
      <w:bookmarkStart w:id="854" w:name="_Toc32028"/>
      <w:r>
        <w:rPr>
          <w:rFonts w:hint="eastAsia" w:ascii="宋体" w:hAnsi="宋体" w:cs="宋体"/>
          <w:sz w:val="24"/>
          <w:szCs w:val="24"/>
        </w:rPr>
        <w:t>3.2 详细评审</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278BDD35">
      <w:pPr>
        <w:wordWrap w:val="0"/>
        <w:spacing w:line="360" w:lineRule="auto"/>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磋商小组按本章第2.2款规定的量化因素和分值进行打分，并计算出综合评分得分。</w:t>
      </w:r>
    </w:p>
    <w:p w14:paraId="5BDE5109">
      <w:pPr>
        <w:wordWrap w:val="0"/>
        <w:spacing w:line="360" w:lineRule="auto"/>
        <w:ind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14:paraId="05D1B549">
      <w:pPr>
        <w:wordWrap w:val="0"/>
        <w:spacing w:line="360" w:lineRule="auto"/>
        <w:ind w:firstLine="480" w:firstLineChars="200"/>
        <w:rPr>
          <w:rFonts w:ascii="宋体" w:hAnsi="宋体" w:cs="宋体"/>
          <w:sz w:val="24"/>
          <w:szCs w:val="24"/>
        </w:rPr>
      </w:pPr>
      <w:r>
        <w:rPr>
          <w:rFonts w:hint="eastAsia" w:ascii="宋体" w:hAnsi="宋体" w:cs="宋体"/>
          <w:sz w:val="24"/>
          <w:szCs w:val="24"/>
        </w:rPr>
        <w:t>3.2.3 供应商的最终得分以全部小组成员打分的算术平均值为准，作为该供应商的最终得分。</w:t>
      </w:r>
    </w:p>
    <w:p w14:paraId="1D95037B">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3.2.4 在磋商过程中，凡遇到竞争性磋商文件中无界定或界定不清、前后不一致使磋商小组意见有分歧且又难以协商一致的问题，均由磋商小组予以表决，获半数以上同意的即为通过，未获半数同意的即为否决。</w:t>
      </w:r>
    </w:p>
    <w:p w14:paraId="7CD9BCAA">
      <w:pPr>
        <w:autoSpaceDE w:val="0"/>
        <w:autoSpaceDN w:val="0"/>
        <w:adjustRightInd w:val="0"/>
        <w:spacing w:line="336" w:lineRule="auto"/>
        <w:ind w:firstLine="482" w:firstLineChars="200"/>
        <w:jc w:val="left"/>
        <w:rPr>
          <w:rFonts w:hint="eastAsia" w:ascii="宋体" w:hAnsi="宋体" w:cs="宋体"/>
          <w:b/>
          <w:bCs/>
          <w:spacing w:val="1"/>
          <w:kern w:val="0"/>
          <w:sz w:val="24"/>
          <w:szCs w:val="24"/>
        </w:rPr>
      </w:pPr>
      <w:r>
        <w:rPr>
          <w:rFonts w:hint="eastAsia" w:ascii="宋体" w:hAnsi="宋体" w:eastAsia="宋体" w:cs="宋体"/>
          <w:b/>
          <w:bCs/>
          <w:color w:val="auto"/>
          <w:sz w:val="24"/>
          <w:szCs w:val="24"/>
          <w:lang w:val="en-US" w:eastAsia="zh-CN"/>
        </w:rPr>
        <w:t>3.2.5</w:t>
      </w:r>
      <w:r>
        <w:rPr>
          <w:rFonts w:hint="eastAsia" w:ascii="宋体" w:hAnsi="宋体" w:cs="宋体"/>
          <w:b/>
          <w:bCs/>
          <w:color w:val="auto"/>
          <w:sz w:val="24"/>
          <w:szCs w:val="24"/>
          <w:lang w:val="en-US" w:eastAsia="zh-CN"/>
        </w:rPr>
        <w:t xml:space="preserve"> </w:t>
      </w:r>
      <w:r>
        <w:rPr>
          <w:rFonts w:hint="eastAsia" w:ascii="宋体" w:hAnsi="宋体" w:cs="宋体"/>
          <w:b/>
          <w:bCs/>
          <w:spacing w:val="1"/>
          <w:kern w:val="0"/>
          <w:sz w:val="24"/>
          <w:szCs w:val="24"/>
        </w:rPr>
        <w:t>关于小微企业、监狱企业、残疾人福利性单位产品</w:t>
      </w:r>
      <w:r>
        <w:rPr>
          <w:rFonts w:hint="eastAsia" w:ascii="宋体" w:hAnsi="宋体" w:cs="宋体"/>
          <w:b/>
          <w:bCs/>
          <w:spacing w:val="1"/>
          <w:kern w:val="0"/>
          <w:sz w:val="24"/>
          <w:szCs w:val="24"/>
          <w:lang w:val="en-US" w:eastAsia="zh-CN"/>
        </w:rPr>
        <w:t>及本国产品</w:t>
      </w:r>
      <w:r>
        <w:rPr>
          <w:rFonts w:hint="eastAsia" w:ascii="宋体" w:hAnsi="宋体" w:cs="宋体"/>
          <w:b/>
          <w:bCs/>
          <w:spacing w:val="1"/>
          <w:kern w:val="0"/>
          <w:sz w:val="24"/>
          <w:szCs w:val="24"/>
        </w:rPr>
        <w:t>价格扣除</w:t>
      </w:r>
    </w:p>
    <w:p w14:paraId="57375C2F">
      <w:pPr>
        <w:wordWrap w:val="0"/>
        <w:spacing w:line="360" w:lineRule="auto"/>
        <w:ind w:firstLine="480" w:firstLineChars="200"/>
        <w:rPr>
          <w:rFonts w:hint="eastAsia" w:asciiTheme="minorEastAsia" w:hAnsiTheme="minorEastAsia" w:eastAsiaTheme="minorEastAsia" w:cstheme="minorEastAsia"/>
          <w:sz w:val="24"/>
          <w:szCs w:val="24"/>
          <w:lang w:eastAsia="zh-CN"/>
        </w:rPr>
      </w:pPr>
    </w:p>
    <w:p w14:paraId="6B064338">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 、小型微型企业认定及评标价格评审</w:t>
      </w:r>
    </w:p>
    <w:tbl>
      <w:tblPr>
        <w:tblStyle w:val="482"/>
        <w:tblW w:w="9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5"/>
        <w:gridCol w:w="1469"/>
        <w:gridCol w:w="1397"/>
        <w:gridCol w:w="2131"/>
        <w:gridCol w:w="2326"/>
      </w:tblGrid>
      <w:tr w14:paraId="7CF6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995" w:type="dxa"/>
            <w:tcBorders>
              <w:top w:val="single" w:color="000000" w:sz="2" w:space="0"/>
              <w:bottom w:val="single" w:color="000000" w:sz="2" w:space="0"/>
            </w:tcBorders>
            <w:vAlign w:val="center"/>
          </w:tcPr>
          <w:p w14:paraId="273F4E9C">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w:t>
            </w:r>
          </w:p>
        </w:tc>
        <w:tc>
          <w:tcPr>
            <w:tcW w:w="1469" w:type="dxa"/>
            <w:tcBorders>
              <w:top w:val="single" w:color="000000" w:sz="2" w:space="0"/>
              <w:bottom w:val="single" w:color="000000" w:sz="2" w:space="0"/>
            </w:tcBorders>
            <w:vAlign w:val="center"/>
          </w:tcPr>
          <w:p w14:paraId="0CA13A6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大型企业</w:t>
            </w:r>
          </w:p>
        </w:tc>
        <w:tc>
          <w:tcPr>
            <w:tcW w:w="1397" w:type="dxa"/>
            <w:tcBorders>
              <w:top w:val="single" w:color="000000" w:sz="2" w:space="0"/>
              <w:bottom w:val="single" w:color="000000" w:sz="2" w:space="0"/>
            </w:tcBorders>
            <w:vAlign w:val="center"/>
          </w:tcPr>
          <w:p w14:paraId="68CBB7E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中型企业</w:t>
            </w:r>
          </w:p>
        </w:tc>
        <w:tc>
          <w:tcPr>
            <w:tcW w:w="2131" w:type="dxa"/>
            <w:tcBorders>
              <w:top w:val="single" w:color="000000" w:sz="2" w:space="0"/>
              <w:bottom w:val="single" w:color="000000" w:sz="2" w:space="0"/>
            </w:tcBorders>
            <w:vAlign w:val="center"/>
          </w:tcPr>
          <w:p w14:paraId="03D588A3">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小型企业</w:t>
            </w:r>
          </w:p>
        </w:tc>
        <w:tc>
          <w:tcPr>
            <w:tcW w:w="2326" w:type="dxa"/>
            <w:tcBorders>
              <w:top w:val="single" w:color="000000" w:sz="2" w:space="0"/>
              <w:bottom w:val="single" w:color="000000" w:sz="2" w:space="0"/>
            </w:tcBorders>
            <w:vAlign w:val="center"/>
          </w:tcPr>
          <w:p w14:paraId="3023C123">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微型企业</w:t>
            </w:r>
          </w:p>
        </w:tc>
      </w:tr>
      <w:tr w14:paraId="3296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995" w:type="dxa"/>
            <w:tcBorders>
              <w:top w:val="single" w:color="000000" w:sz="2" w:space="0"/>
              <w:bottom w:val="single" w:color="000000" w:sz="2" w:space="0"/>
            </w:tcBorders>
            <w:vAlign w:val="center"/>
          </w:tcPr>
          <w:p w14:paraId="0213AE34">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投标价格=</w:t>
            </w:r>
          </w:p>
        </w:tc>
        <w:tc>
          <w:tcPr>
            <w:tcW w:w="1469" w:type="dxa"/>
            <w:tcBorders>
              <w:top w:val="single" w:color="000000" w:sz="2" w:space="0"/>
              <w:bottom w:val="single" w:color="000000" w:sz="2" w:space="0"/>
            </w:tcBorders>
            <w:vAlign w:val="center"/>
          </w:tcPr>
          <w:p w14:paraId="7E2C436D">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1397" w:type="dxa"/>
            <w:tcBorders>
              <w:top w:val="single" w:color="000000" w:sz="2" w:space="0"/>
              <w:bottom w:val="single" w:color="000000" w:sz="2" w:space="0"/>
            </w:tcBorders>
            <w:vAlign w:val="center"/>
          </w:tcPr>
          <w:p w14:paraId="606985B8">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131" w:type="dxa"/>
            <w:tcBorders>
              <w:top w:val="single" w:color="000000" w:sz="2" w:space="0"/>
              <w:bottom w:val="single" w:color="000000" w:sz="2" w:space="0"/>
            </w:tcBorders>
            <w:vAlign w:val="center"/>
          </w:tcPr>
          <w:p w14:paraId="489B5B77">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2326" w:type="dxa"/>
            <w:tcBorders>
              <w:top w:val="single" w:color="000000" w:sz="2" w:space="0"/>
              <w:bottom w:val="single" w:color="000000" w:sz="2" w:space="0"/>
            </w:tcBorders>
            <w:vAlign w:val="center"/>
          </w:tcPr>
          <w:p w14:paraId="2DE65952">
            <w:pPr>
              <w:keepNext w:val="0"/>
              <w:keepLines w:val="0"/>
              <w:pageBreakBefore w:val="0"/>
              <w:widowControl/>
              <w:kinsoku/>
              <w:wordWrap w:val="0"/>
              <w:overflowPunct w:val="0"/>
              <w:topLinePunct/>
              <w:autoSpaceDE w:val="0"/>
              <w:autoSpaceDN w:val="0"/>
              <w:bidi w:val="0"/>
              <w:adjustRightInd w:val="0"/>
              <w:snapToGri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r>
    </w:tbl>
    <w:p w14:paraId="22094014">
      <w:pPr>
        <w:spacing w:line="360" w:lineRule="auto"/>
        <w:ind w:firstLine="420"/>
        <w:rPr>
          <w:rFonts w:hint="eastAsia" w:asciiTheme="minorEastAsia" w:hAnsiTheme="minorEastAsia" w:eastAsiaTheme="minorEastAsia" w:cstheme="minorEastAsia"/>
          <w:sz w:val="24"/>
          <w:szCs w:val="24"/>
          <w:lang w:val="en-US" w:eastAsia="zh-CN"/>
        </w:rPr>
      </w:pPr>
    </w:p>
    <w:p w14:paraId="6C204506">
      <w:pPr>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 xml:space="preserve"> 根据《政府采购促进中小企业发展管理办法》(财库[2020]46号) 、财政部《关于进一步加大政府采购支持中小企业力度的通知》（财库〔2022〕19号）的规定</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lang w:eastAsia="zh-CN"/>
        </w:rPr>
        <w:t>《工业和信息化部、国家统计局、国家发展和改革委员会、财政部关于印发中小企业划型标准规定的通知》(工信部联企业[2011]300 号)文件</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，对小型和微型企业的价格给予</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%的扣除，用扣除后的价格参与评审。</w:t>
      </w:r>
    </w:p>
    <w:p w14:paraId="22998091">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 、根据财政部、司法部联合印发《关于政府采购支持监狱企业发展有关问题的通知》(财库[201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]68 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 出具的属于监狱企业的证明文件，否则评审时不予价格扣除优惠。</w:t>
      </w:r>
    </w:p>
    <w:p w14:paraId="15412BF7">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 、根据财库([2017]141 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 (见响应文件格式),并对声明的真实性负责。</w:t>
      </w:r>
    </w:p>
    <w:p w14:paraId="0548718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 xml:space="preserve"> 根据(财政部国家环保总局联合印发《关于环境标志产品政府采购实施的意见》的通知) （财库[20</w:t>
      </w:r>
      <w:r>
        <w:rPr>
          <w:rFonts w:hint="eastAsia" w:asciiTheme="minorEastAsia" w:hAnsiTheme="minorEastAsia" w:eastAsiaTheme="minorEastAsia" w:cstheme="minorEastAsia"/>
          <w:sz w:val="24"/>
          <w:szCs w:val="24"/>
          <w:lang w:val="en-US" w:eastAsia="zh-CN"/>
        </w:rPr>
        <w:t>06</w:t>
      </w:r>
      <w:r>
        <w:rPr>
          <w:rFonts w:hint="eastAsia" w:asciiTheme="minorEastAsia" w:hAnsiTheme="minorEastAsia" w:eastAsiaTheme="minorEastAsia" w:cstheme="minorEastAsia"/>
          <w:sz w:val="24"/>
          <w:szCs w:val="24"/>
          <w:lang w:eastAsia="zh-CN"/>
        </w:rPr>
        <w:t>]90号）文件的有关要求，投标人本次投标活动中， 如果所投设备属于最新发布“环境标志产品政府采购清单”中的品目时，在性能、技术、服务等指标同等条件下，将优先采购清单中的产品。</w:t>
      </w:r>
    </w:p>
    <w:p w14:paraId="7E2DE0FF">
      <w:pPr>
        <w:wordWrap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 xml:space="preserve"> 根据(财政部国家发展改革委关于印发《节能产品政府采购实施意见》的通知) （财库[20</w:t>
      </w:r>
      <w:r>
        <w:rPr>
          <w:rFonts w:hint="eastAsia" w:asciiTheme="minorEastAsia" w:hAnsiTheme="minorEastAsia" w:eastAsiaTheme="minorEastAsia" w:cstheme="minorEastAsia"/>
          <w:sz w:val="24"/>
          <w:szCs w:val="24"/>
          <w:lang w:val="en-US" w:eastAsia="zh-CN"/>
        </w:rPr>
        <w:t>04</w:t>
      </w:r>
      <w:r>
        <w:rPr>
          <w:rFonts w:hint="eastAsia" w:asciiTheme="minorEastAsia" w:hAnsiTheme="minorEastAsia" w:eastAsiaTheme="minorEastAsia" w:cstheme="minorEastAsia"/>
          <w:sz w:val="24"/>
          <w:szCs w:val="24"/>
          <w:lang w:eastAsia="zh-CN"/>
        </w:rPr>
        <w:t>]185号）文件的有关要求，投标人本次投标活动中， 如果所投设备属于最新发布“节能产品政府采购清单”中的品目时，在性能、技术、服务等指标同等条件下，将优先采购清单中的产品。</w:t>
      </w:r>
    </w:p>
    <w:p w14:paraId="4462CEDF">
      <w:pPr>
        <w:wordWrap w:val="0"/>
        <w:spacing w:line="360" w:lineRule="auto"/>
        <w:ind w:firstLine="480" w:firstLineChars="200"/>
        <w:rPr>
          <w:rFonts w:hint="eastAsia" w:ascii="宋体" w:hAnsi="宋体" w:cs="宋体"/>
          <w:b/>
          <w:bCs/>
          <w:spacing w:val="1"/>
          <w:kern w:val="0"/>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 xml:space="preserve"> 根据《国务院办公厅关于在政府采购中实施本国产品标准及相关政策的通知》（国办发〔2025〕34号）文件的有关</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lang w:eastAsia="zh-CN"/>
        </w:rPr>
        <w:t>，投标人本次投标活动中所投设备属于本国产品</w:t>
      </w:r>
      <w:r>
        <w:rPr>
          <w:rFonts w:hint="eastAsia" w:asciiTheme="minorEastAsia" w:hAnsiTheme="minorEastAsia" w:eastAsiaTheme="minorEastAsia" w:cstheme="minorEastAsia"/>
          <w:sz w:val="24"/>
          <w:szCs w:val="24"/>
          <w:lang w:val="en-US" w:eastAsia="zh-CN"/>
        </w:rPr>
        <w:t>参与竞争，同时供应商出具</w:t>
      </w:r>
      <w:r>
        <w:rPr>
          <w:rFonts w:hint="eastAsia" w:asciiTheme="minorEastAsia" w:hAnsiTheme="minorEastAsia" w:eastAsiaTheme="minorEastAsia" w:cstheme="minorEastAsia"/>
          <w:sz w:val="24"/>
          <w:szCs w:val="24"/>
          <w:lang w:eastAsia="zh-CN"/>
        </w:rPr>
        <w:t>《关于符合本国产品标准的声明函》</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lang w:eastAsia="zh-CN"/>
        </w:rPr>
        <w:t>，该产品视为本国产品，依法对本国产品给予价格评审优惠，对本国产品的报价给予20%的价格扣除，用扣除后的价格参与评审。</w:t>
      </w:r>
      <w:r>
        <w:rPr>
          <w:rFonts w:hint="eastAsia" w:ascii="宋体" w:hAnsi="宋体" w:cs="宋体"/>
          <w:b/>
          <w:bCs/>
          <w:spacing w:val="1"/>
          <w:kern w:val="0"/>
          <w:sz w:val="24"/>
          <w:szCs w:val="24"/>
        </w:rPr>
        <w:t>3.</w:t>
      </w:r>
      <w:r>
        <w:rPr>
          <w:rFonts w:hint="eastAsia" w:ascii="宋体" w:hAnsi="宋体" w:cs="宋体"/>
          <w:b/>
          <w:bCs/>
          <w:spacing w:val="1"/>
          <w:kern w:val="0"/>
          <w:sz w:val="24"/>
          <w:szCs w:val="24"/>
          <w:lang w:val="en-US" w:eastAsia="zh-CN"/>
        </w:rPr>
        <w:t xml:space="preserve">  3.2.6</w:t>
      </w:r>
      <w:r>
        <w:rPr>
          <w:rFonts w:hint="eastAsia" w:ascii="宋体" w:hAnsi="宋体" w:cs="宋体"/>
          <w:b/>
          <w:bCs/>
          <w:spacing w:val="1"/>
          <w:kern w:val="0"/>
          <w:sz w:val="24"/>
          <w:szCs w:val="24"/>
        </w:rPr>
        <w:t xml:space="preserve"> 相同品牌产品投标的规定</w:t>
      </w:r>
    </w:p>
    <w:p w14:paraId="5440A315">
      <w:pPr>
        <w:autoSpaceDE w:val="0"/>
        <w:autoSpaceDN w:val="0"/>
        <w:adjustRightInd w:val="0"/>
        <w:spacing w:line="360" w:lineRule="auto"/>
        <w:ind w:firstLine="484" w:firstLineChars="200"/>
        <w:jc w:val="left"/>
        <w:rPr>
          <w:rFonts w:hint="eastAsia" w:ascii="宋体" w:hAnsi="宋体" w:cs="宋体"/>
          <w:spacing w:val="1"/>
          <w:kern w:val="0"/>
          <w:sz w:val="24"/>
          <w:szCs w:val="24"/>
        </w:rPr>
      </w:pPr>
      <w:r>
        <w:rPr>
          <w:rFonts w:hint="eastAsia" w:ascii="宋体" w:hAnsi="宋体" w:cs="宋体"/>
          <w:spacing w:val="1"/>
          <w:kern w:val="0"/>
          <w:sz w:val="24"/>
          <w:szCs w:val="24"/>
          <w:lang w:val="en-US" w:eastAsia="zh-CN"/>
        </w:rPr>
        <w:t>1、</w:t>
      </w:r>
      <w:r>
        <w:rPr>
          <w:rFonts w:hint="eastAsia" w:ascii="宋体" w:hAnsi="宋体" w:eastAsia="宋体" w:cs="宋体"/>
          <w:spacing w:val="1"/>
          <w:kern w:val="0"/>
          <w:sz w:val="24"/>
          <w:szCs w:val="24"/>
        </w:rPr>
        <w:t>采用最</w:t>
      </w:r>
      <w:r>
        <w:rPr>
          <w:rFonts w:hint="eastAsia" w:ascii="宋体" w:hAnsi="宋体" w:cs="宋体"/>
          <w:spacing w:val="1"/>
          <w:kern w:val="0"/>
          <w:sz w:val="24"/>
          <w:szCs w:val="24"/>
        </w:rPr>
        <w:t>低评标价法的采购项目，提供相同品牌产品的不同投标人参加同一合同项下投标的，以其中通过资格审查、符合性审查且报价最低的参加评标；报价相同的，由招标人或者招标人委托评标委员会按照招标文件规定的方式确定一个参加评标的投标人，招标文件未规定的采取随机抽取方式确定，其他投标无效。</w:t>
      </w:r>
    </w:p>
    <w:p w14:paraId="2A37DBD8">
      <w:pPr>
        <w:autoSpaceDE w:val="0"/>
        <w:autoSpaceDN w:val="0"/>
        <w:adjustRightInd w:val="0"/>
        <w:spacing w:line="360" w:lineRule="auto"/>
        <w:ind w:firstLine="484" w:firstLineChars="200"/>
        <w:jc w:val="left"/>
        <w:rPr>
          <w:rFonts w:hint="eastAsia" w:ascii="宋体" w:hAnsi="宋体" w:eastAsia="宋体" w:cs="宋体"/>
          <w:b/>
          <w:bCs/>
          <w:color w:val="auto"/>
          <w:sz w:val="24"/>
          <w:szCs w:val="24"/>
        </w:rPr>
      </w:pPr>
      <w:r>
        <w:rPr>
          <w:rFonts w:hint="eastAsia" w:ascii="宋体" w:hAnsi="宋体" w:cs="宋体"/>
          <w:spacing w:val="1"/>
          <w:kern w:val="0"/>
          <w:sz w:val="24"/>
          <w:szCs w:val="24"/>
          <w:lang w:val="en-US" w:eastAsia="zh-CN"/>
        </w:rPr>
        <w:t xml:space="preserve">2、 </w:t>
      </w:r>
      <w:r>
        <w:rPr>
          <w:rFonts w:hint="eastAsia" w:ascii="宋体" w:hAnsi="宋体" w:cs="宋体"/>
          <w:spacing w:val="1"/>
          <w:kern w:val="0"/>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招标人或者招标人委托评标委员会按照招标文件规定的方式确定一个投标人获得中标人推荐资格，招标文件未规定的采取随机抽取方式确定，其他同品牌投标人不作为中标候选人。</w:t>
      </w:r>
    </w:p>
    <w:p w14:paraId="33239F60">
      <w:pPr>
        <w:wordWrap w:val="0"/>
        <w:spacing w:line="360" w:lineRule="auto"/>
        <w:ind w:firstLine="480" w:firstLineChars="200"/>
        <w:rPr>
          <w:rFonts w:ascii="宋体" w:hAnsi="宋体" w:cs="宋体"/>
          <w:sz w:val="24"/>
          <w:szCs w:val="24"/>
        </w:rPr>
      </w:pPr>
      <w:bookmarkStart w:id="855" w:name="_Toc2657"/>
      <w:bookmarkStart w:id="856" w:name="_Toc281405535"/>
      <w:bookmarkStart w:id="857" w:name="_Toc8342"/>
      <w:bookmarkStart w:id="858" w:name="_Toc28633"/>
      <w:bookmarkStart w:id="859" w:name="_Toc455080163"/>
      <w:bookmarkStart w:id="860" w:name="_Toc12374"/>
      <w:bookmarkStart w:id="861" w:name="_Toc11958"/>
      <w:bookmarkStart w:id="862" w:name="_Toc490667882"/>
      <w:bookmarkStart w:id="863" w:name="_Toc318450729"/>
      <w:bookmarkStart w:id="864" w:name="_Toc22084"/>
      <w:bookmarkStart w:id="865" w:name="_Toc12603"/>
      <w:bookmarkStart w:id="866" w:name="_Toc24862"/>
      <w:bookmarkStart w:id="867" w:name="_Toc331"/>
      <w:bookmarkStart w:id="868" w:name="_Toc8813"/>
      <w:bookmarkStart w:id="869" w:name="_Toc455867823"/>
      <w:bookmarkStart w:id="870" w:name="_Toc466298146"/>
      <w:bookmarkStart w:id="871" w:name="_Toc10153"/>
      <w:r>
        <w:rPr>
          <w:rFonts w:hint="eastAsia" w:ascii="宋体" w:hAnsi="宋体" w:cs="宋体"/>
          <w:sz w:val="24"/>
          <w:szCs w:val="24"/>
          <w:lang w:val="en-US" w:eastAsia="zh-CN"/>
        </w:rPr>
        <w:t>3、</w:t>
      </w:r>
      <w:r>
        <w:rPr>
          <w:rFonts w:hint="eastAsia" w:ascii="宋体" w:hAnsi="宋体" w:cs="宋体"/>
          <w:sz w:val="24"/>
          <w:szCs w:val="24"/>
        </w:rPr>
        <w:t>响应文件的澄清和补正</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494E25B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在磋商过程中，磋商小组可以书面形式要求供应商对所提交的响应文件中不明确的内容进行书面澄清或说明，或者对细微偏离进行补正。磋商小组不接受供应商主动提出的澄清、说明或补正。</w:t>
      </w:r>
    </w:p>
    <w:p w14:paraId="4243446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澄清、说明和补正不得超出响应文件的范围或者改变响应文件的实质性内容（算术性错误修正的除外）。供应商的书面澄清、说明和补正属于响应文件的组成部分。</w:t>
      </w:r>
    </w:p>
    <w:p w14:paraId="073683E9">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 xml:space="preserve"> 磋商小组对供应商提交的澄清、说明或补正有疑问的，可以要求供应商进一步澄清、说明或补正，直至满足磋商小组的要求。</w:t>
      </w:r>
    </w:p>
    <w:p w14:paraId="13843EAA">
      <w:pPr>
        <w:wordWrap w:val="0"/>
        <w:spacing w:line="360" w:lineRule="auto"/>
        <w:ind w:firstLine="480" w:firstLineChars="200"/>
        <w:rPr>
          <w:rFonts w:ascii="宋体" w:hAnsi="宋体" w:cs="宋体"/>
          <w:sz w:val="24"/>
          <w:szCs w:val="24"/>
        </w:rPr>
      </w:pPr>
      <w:bookmarkStart w:id="872" w:name="_Toc455080164"/>
      <w:bookmarkStart w:id="873" w:name="_Toc466298147"/>
      <w:bookmarkStart w:id="874" w:name="_Toc1857"/>
      <w:bookmarkStart w:id="875" w:name="_Toc490667883"/>
      <w:bookmarkStart w:id="876" w:name="_Toc318450730"/>
      <w:bookmarkStart w:id="877" w:name="_Toc30053"/>
      <w:bookmarkStart w:id="878" w:name="_Toc14789"/>
      <w:bookmarkStart w:id="879" w:name="_Toc26894"/>
      <w:bookmarkStart w:id="880" w:name="_Toc281405536"/>
      <w:bookmarkStart w:id="881" w:name="_Toc22049"/>
      <w:bookmarkStart w:id="882" w:name="_Toc19938"/>
      <w:bookmarkStart w:id="883" w:name="_Toc455867824"/>
      <w:bookmarkStart w:id="884" w:name="_Toc22986"/>
      <w:bookmarkStart w:id="885" w:name="_Toc22682"/>
      <w:bookmarkStart w:id="886" w:name="_Toc5903"/>
      <w:bookmarkStart w:id="887" w:name="_Toc32183"/>
      <w:bookmarkStart w:id="888" w:name="_Toc19453"/>
      <w:r>
        <w:rPr>
          <w:rFonts w:hint="eastAsia" w:ascii="宋体" w:hAnsi="宋体" w:cs="宋体"/>
          <w:sz w:val="24"/>
          <w:szCs w:val="24"/>
          <w:lang w:val="en-US" w:eastAsia="zh-CN"/>
        </w:rPr>
        <w:t>4、</w:t>
      </w:r>
      <w:r>
        <w:rPr>
          <w:rFonts w:hint="eastAsia" w:ascii="宋体" w:hAnsi="宋体" w:cs="宋体"/>
          <w:sz w:val="24"/>
          <w:szCs w:val="24"/>
        </w:rPr>
        <w:t xml:space="preserve"> 评审结果</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p>
    <w:p w14:paraId="3DD049C8">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①</w:t>
      </w:r>
      <w:r>
        <w:rPr>
          <w:rFonts w:hint="eastAsia" w:ascii="宋体" w:hAnsi="宋体" w:cs="宋体"/>
          <w:sz w:val="24"/>
          <w:szCs w:val="24"/>
        </w:rPr>
        <w:t xml:space="preserve"> 除第二章“供应商须知”前附表授权直接确定成交人外，磋商小组按照得分由高到低的顺序推荐成交候选人。</w:t>
      </w:r>
    </w:p>
    <w:p w14:paraId="6D85693E">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②</w:t>
      </w:r>
      <w:r>
        <w:rPr>
          <w:rFonts w:hint="eastAsia" w:ascii="宋体" w:hAnsi="宋体" w:cs="宋体"/>
          <w:sz w:val="24"/>
          <w:szCs w:val="24"/>
        </w:rPr>
        <w:t xml:space="preserve"> 磋商小组完成评审后，应当向采购人提交书面评审报告。</w:t>
      </w:r>
    </w:p>
    <w:p w14:paraId="5BDFD7E5">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rPr>
        <w:t>③</w:t>
      </w:r>
      <w:r>
        <w:rPr>
          <w:rFonts w:hint="eastAsia" w:ascii="宋体" w:hAnsi="宋体" w:cs="宋体"/>
          <w:sz w:val="24"/>
          <w:szCs w:val="24"/>
        </w:rPr>
        <w:t>评标结果在发布招标公告的同一媒介上公示。</w:t>
      </w:r>
      <w:bookmarkStart w:id="889" w:name="_Toc30580"/>
    </w:p>
    <w:p w14:paraId="40976505">
      <w:pPr>
        <w:wordWrap w:val="0"/>
        <w:spacing w:line="360" w:lineRule="auto"/>
        <w:ind w:firstLine="482" w:firstLineChars="200"/>
        <w:rPr>
          <w:rFonts w:hint="eastAsia" w:ascii="宋体" w:hAnsi="宋体" w:cs="宋体"/>
          <w:b/>
          <w:sz w:val="24"/>
          <w:szCs w:val="24"/>
        </w:rPr>
      </w:pPr>
      <w:bookmarkStart w:id="890" w:name="_Toc18565"/>
      <w:bookmarkStart w:id="891" w:name="_Toc29937"/>
      <w:bookmarkStart w:id="892" w:name="_Toc11613"/>
      <w:bookmarkStart w:id="893" w:name="_Toc25046"/>
      <w:bookmarkStart w:id="894" w:name="_Toc14521"/>
      <w:bookmarkStart w:id="895" w:name="_Toc16109"/>
      <w:r>
        <w:rPr>
          <w:rFonts w:hint="eastAsia" w:ascii="宋体" w:hAnsi="宋体" w:cs="宋体"/>
          <w:b/>
          <w:sz w:val="24"/>
          <w:szCs w:val="24"/>
        </w:rPr>
        <w:t>附件：废标条件</w:t>
      </w:r>
      <w:bookmarkEnd w:id="889"/>
      <w:bookmarkEnd w:id="890"/>
      <w:bookmarkEnd w:id="891"/>
      <w:bookmarkEnd w:id="892"/>
      <w:bookmarkEnd w:id="893"/>
      <w:bookmarkEnd w:id="894"/>
      <w:bookmarkEnd w:id="895"/>
    </w:p>
    <w:p w14:paraId="1C138B5C">
      <w:pPr>
        <w:wordWrap w:val="0"/>
        <w:spacing w:line="360" w:lineRule="auto"/>
        <w:ind w:firstLine="482" w:firstLineChars="200"/>
        <w:rPr>
          <w:rFonts w:ascii="宋体" w:hAnsi="宋体" w:cs="宋体"/>
          <w:b/>
          <w:sz w:val="24"/>
          <w:szCs w:val="24"/>
        </w:rPr>
      </w:pPr>
      <w:r>
        <w:rPr>
          <w:rFonts w:hint="eastAsia" w:ascii="宋体" w:hAnsi="宋体" w:cs="宋体"/>
          <w:b/>
          <w:sz w:val="24"/>
          <w:szCs w:val="24"/>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14:paraId="20129F2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1.未通过第三章评标办法资格评审、符合性评审的；</w:t>
      </w:r>
    </w:p>
    <w:p w14:paraId="13BA08A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2.不按磋商小组要求澄清、说明或补正的；</w:t>
      </w:r>
    </w:p>
    <w:p w14:paraId="6CA8C6D8">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3.磋商报价有算术性错误，供应商不接受修正价格的；</w:t>
      </w:r>
    </w:p>
    <w:p w14:paraId="0144080D">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4.以他人的名义投标、以行贿手段谋取中标或者以其他弄虚作假方式投标的；</w:t>
      </w:r>
    </w:p>
    <w:p w14:paraId="748A3221">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5.属于串（围）标行为的；</w:t>
      </w:r>
    </w:p>
    <w:p w14:paraId="52E83AD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6</w:t>
      </w:r>
      <w:r>
        <w:rPr>
          <w:rFonts w:hint="eastAsia" w:ascii="宋体" w:hAnsi="宋体" w:cs="宋体"/>
          <w:b/>
          <w:sz w:val="24"/>
          <w:szCs w:val="24"/>
        </w:rPr>
        <w:t>.明显不符合技术规范、技术标准的要求；</w:t>
      </w:r>
    </w:p>
    <w:p w14:paraId="17D284B4">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rPr>
        <w:t>.文件制作机器码、文件创建标识码有相同的；</w:t>
      </w:r>
    </w:p>
    <w:p w14:paraId="11FCEB12">
      <w:pPr>
        <w:tabs>
          <w:tab w:val="left" w:pos="709"/>
        </w:tabs>
        <w:wordWrap w:val="0"/>
        <w:autoSpaceDE w:val="0"/>
        <w:autoSpaceDN w:val="0"/>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lang w:val="en-US" w:eastAsia="zh-CN"/>
        </w:rPr>
        <w:t>8</w:t>
      </w:r>
      <w:r>
        <w:rPr>
          <w:rFonts w:hint="eastAsia" w:ascii="宋体" w:hAnsi="宋体" w:cs="宋体"/>
          <w:b/>
          <w:sz w:val="24"/>
          <w:szCs w:val="24"/>
        </w:rPr>
        <w:t>.不符合竞争性磋商文件规定的其他实质性要求及相关法律、法规或规章规定可以废标的其他情形；</w:t>
      </w:r>
    </w:p>
    <w:bookmarkEnd w:id="753"/>
    <w:p w14:paraId="75CB1A16">
      <w:pPr>
        <w:rPr>
          <w:rFonts w:hint="eastAsia" w:ascii="宋体" w:hAnsi="宋体" w:cs="宋体"/>
          <w:b/>
          <w:bCs/>
          <w:kern w:val="44"/>
          <w:sz w:val="44"/>
          <w:szCs w:val="44"/>
        </w:rPr>
      </w:pPr>
      <w:bookmarkStart w:id="896" w:name="_Toc19439"/>
      <w:bookmarkStart w:id="897" w:name="_Toc26853"/>
      <w:bookmarkStart w:id="898" w:name="_Toc9407"/>
      <w:bookmarkStart w:id="899" w:name="_Toc2311"/>
      <w:r>
        <w:rPr>
          <w:rFonts w:hint="eastAsia" w:ascii="宋体" w:hAnsi="宋体" w:cs="宋体"/>
          <w:b/>
          <w:bCs/>
          <w:kern w:val="44"/>
          <w:sz w:val="44"/>
          <w:szCs w:val="44"/>
        </w:rPr>
        <w:br w:type="page"/>
      </w:r>
    </w:p>
    <w:p w14:paraId="3AF45B9C">
      <w:pPr>
        <w:wordWrap w:val="0"/>
        <w:autoSpaceDE w:val="0"/>
        <w:autoSpaceDN w:val="0"/>
        <w:adjustRightInd w:val="0"/>
        <w:snapToGrid w:val="0"/>
        <w:spacing w:after="120" w:afterLines="50"/>
        <w:jc w:val="center"/>
        <w:outlineLvl w:val="0"/>
        <w:rPr>
          <w:rFonts w:ascii="宋体" w:hAnsi="宋体" w:cs="宋体"/>
          <w:b/>
          <w:bCs/>
          <w:kern w:val="44"/>
          <w:sz w:val="44"/>
          <w:szCs w:val="44"/>
        </w:rPr>
      </w:pPr>
      <w:r>
        <w:rPr>
          <w:rFonts w:hint="eastAsia" w:ascii="宋体" w:hAnsi="宋体" w:cs="宋体"/>
          <w:b/>
          <w:bCs/>
          <w:kern w:val="44"/>
          <w:sz w:val="44"/>
          <w:szCs w:val="44"/>
        </w:rPr>
        <w:t>第四章 河南省政府采购合同（参考文本）</w:t>
      </w:r>
      <w:bookmarkEnd w:id="896"/>
      <w:bookmarkEnd w:id="897"/>
      <w:bookmarkEnd w:id="898"/>
      <w:bookmarkEnd w:id="899"/>
      <w:bookmarkStart w:id="900" w:name="_Toc486587369"/>
    </w:p>
    <w:p w14:paraId="712AB68E">
      <w:pPr>
        <w:bidi w:val="0"/>
      </w:pPr>
    </w:p>
    <w:p w14:paraId="142FBD31">
      <w:pPr>
        <w:bidi w:val="0"/>
      </w:pPr>
    </w:p>
    <w:p w14:paraId="6F75E62B">
      <w:pPr>
        <w:spacing w:before="104" w:line="221" w:lineRule="auto"/>
        <w:rPr>
          <w:rFonts w:ascii="黑体" w:hAnsi="黑体" w:eastAsia="黑体" w:cs="黑体"/>
          <w:sz w:val="32"/>
          <w:szCs w:val="32"/>
        </w:rPr>
      </w:pPr>
      <w:r>
        <w:rPr>
          <w:rFonts w:ascii="黑体" w:hAnsi="黑体" w:eastAsia="黑体" w:cs="黑体"/>
          <w:sz w:val="32"/>
          <w:szCs w:val="32"/>
        </w:rPr>
        <w:t>附件</w:t>
      </w:r>
      <w:r>
        <w:rPr>
          <w:rFonts w:ascii="黑体" w:hAnsi="黑体" w:eastAsia="黑体" w:cs="黑体"/>
          <w:spacing w:val="-1"/>
          <w:sz w:val="32"/>
          <w:szCs w:val="32"/>
        </w:rPr>
        <w:t xml:space="preserve"> </w:t>
      </w:r>
      <w:r>
        <w:rPr>
          <w:rFonts w:ascii="黑体" w:hAnsi="黑体" w:eastAsia="黑体" w:cs="黑体"/>
          <w:sz w:val="32"/>
          <w:szCs w:val="32"/>
        </w:rPr>
        <w:t>1-1</w:t>
      </w:r>
      <w:r>
        <w:rPr>
          <w:rFonts w:ascii="黑体" w:hAnsi="黑体" w:eastAsia="黑体" w:cs="黑体"/>
          <w:spacing w:val="-104"/>
          <w:sz w:val="32"/>
          <w:szCs w:val="32"/>
        </w:rPr>
        <w:t>：</w:t>
      </w:r>
      <w:r>
        <w:rPr>
          <w:rFonts w:ascii="黑体" w:hAnsi="黑体" w:eastAsia="黑体" w:cs="黑体"/>
          <w:sz w:val="32"/>
          <w:szCs w:val="32"/>
        </w:rPr>
        <w:t>货物类</w:t>
      </w:r>
    </w:p>
    <w:p w14:paraId="6478EDF3">
      <w:pPr>
        <w:spacing w:line="244" w:lineRule="auto"/>
        <w:rPr>
          <w:rFonts w:ascii="Arial"/>
          <w:sz w:val="21"/>
        </w:rPr>
      </w:pPr>
    </w:p>
    <w:p w14:paraId="0B485EA0">
      <w:pPr>
        <w:spacing w:line="244" w:lineRule="auto"/>
        <w:rPr>
          <w:rFonts w:ascii="Arial"/>
          <w:sz w:val="21"/>
        </w:rPr>
      </w:pPr>
    </w:p>
    <w:p w14:paraId="46F8E6B0">
      <w:pPr>
        <w:spacing w:line="244" w:lineRule="auto"/>
        <w:rPr>
          <w:rFonts w:ascii="Arial"/>
          <w:sz w:val="21"/>
        </w:rPr>
      </w:pPr>
    </w:p>
    <w:p w14:paraId="2051AAAE">
      <w:pPr>
        <w:spacing w:line="245" w:lineRule="auto"/>
        <w:rPr>
          <w:rFonts w:ascii="Arial"/>
          <w:sz w:val="21"/>
        </w:rPr>
      </w:pPr>
    </w:p>
    <w:p w14:paraId="5B51F87A">
      <w:pPr>
        <w:spacing w:before="234" w:line="220" w:lineRule="auto"/>
        <w:ind w:firstLine="2079"/>
        <w:rPr>
          <w:rFonts w:ascii="宋体" w:hAnsi="宋体" w:eastAsia="宋体" w:cs="宋体"/>
          <w:sz w:val="72"/>
          <w:szCs w:val="72"/>
        </w:rPr>
      </w:pPr>
      <w:r>
        <w:rPr>
          <w:rFonts w:ascii="宋体" w:hAnsi="宋体" w:eastAsia="宋体" w:cs="宋体"/>
          <w:spacing w:val="-2"/>
          <w:sz w:val="72"/>
          <w:szCs w:val="72"/>
        </w:rPr>
        <w:t>政府采购合同</w:t>
      </w:r>
    </w:p>
    <w:p w14:paraId="59234215">
      <w:pPr>
        <w:spacing w:line="249" w:lineRule="auto"/>
        <w:rPr>
          <w:rFonts w:ascii="Arial"/>
          <w:sz w:val="21"/>
        </w:rPr>
      </w:pPr>
    </w:p>
    <w:p w14:paraId="24FBF2B3">
      <w:pPr>
        <w:spacing w:line="249" w:lineRule="auto"/>
        <w:rPr>
          <w:rFonts w:ascii="Arial"/>
          <w:sz w:val="21"/>
        </w:rPr>
      </w:pPr>
    </w:p>
    <w:p w14:paraId="1F141A89">
      <w:pPr>
        <w:spacing w:line="250" w:lineRule="auto"/>
        <w:rPr>
          <w:rFonts w:ascii="Arial"/>
          <w:sz w:val="21"/>
        </w:rPr>
      </w:pPr>
    </w:p>
    <w:p w14:paraId="4ADF22D1">
      <w:pPr>
        <w:spacing w:line="250" w:lineRule="auto"/>
        <w:rPr>
          <w:rFonts w:ascii="Arial"/>
          <w:sz w:val="21"/>
        </w:rPr>
      </w:pPr>
    </w:p>
    <w:p w14:paraId="56D38BB0">
      <w:pPr>
        <w:spacing w:line="250" w:lineRule="auto"/>
        <w:rPr>
          <w:rFonts w:ascii="Arial"/>
          <w:sz w:val="21"/>
        </w:rPr>
      </w:pPr>
    </w:p>
    <w:p w14:paraId="0CB7BF47">
      <w:pPr>
        <w:spacing w:line="250" w:lineRule="auto"/>
        <w:rPr>
          <w:rFonts w:ascii="Arial"/>
          <w:sz w:val="21"/>
        </w:rPr>
      </w:pPr>
    </w:p>
    <w:p w14:paraId="48919000">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项目名称：</w:t>
      </w:r>
      <w:r>
        <w:rPr>
          <w:rFonts w:hint="eastAsia" w:ascii="宋体" w:hAnsi="宋体" w:eastAsia="宋体" w:cs="宋体"/>
          <w:spacing w:val="-5"/>
          <w:sz w:val="32"/>
          <w:szCs w:val="32"/>
          <w:u w:val="single" w:color="auto"/>
        </w:rPr>
        <w:t xml:space="preserve">                                   </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5A5FD4A7">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招标采购文件编号</w:t>
      </w:r>
      <w:r>
        <w:rPr>
          <w:rFonts w:hint="eastAsia" w:ascii="宋体" w:hAnsi="宋体" w:eastAsia="宋体" w:cs="宋体"/>
          <w:spacing w:val="-11"/>
          <w:sz w:val="32"/>
          <w:szCs w:val="32"/>
        </w:rPr>
        <w:t>：</w:t>
      </w:r>
      <w:r>
        <w:rPr>
          <w:rFonts w:hint="eastAsia" w:ascii="宋体" w:hAnsi="宋体" w:eastAsia="宋体" w:cs="宋体"/>
          <w:spacing w:val="-6"/>
          <w:sz w:val="32"/>
          <w:szCs w:val="32"/>
          <w:u w:val="single" w:color="auto"/>
        </w:rPr>
        <w:t xml:space="preserve">                            </w:t>
      </w:r>
      <w:r>
        <w:rPr>
          <w:rFonts w:hint="eastAsia" w:ascii="宋体" w:hAnsi="宋体" w:eastAsia="宋体" w:cs="宋体"/>
          <w:sz w:val="32"/>
          <w:szCs w:val="32"/>
        </w:rPr>
        <w:t xml:space="preserve"> </w:t>
      </w:r>
    </w:p>
    <w:p w14:paraId="0C23EC18">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甲方合同编号</w:t>
      </w:r>
      <w:r>
        <w:rPr>
          <w:rFonts w:hint="eastAsia" w:ascii="宋体" w:hAnsi="宋体" w:eastAsia="宋体" w:cs="宋体"/>
          <w:spacing w:val="-19"/>
          <w:sz w:val="32"/>
          <w:szCs w:val="32"/>
        </w:rPr>
        <w:t>：</w:t>
      </w:r>
      <w:r>
        <w:rPr>
          <w:rFonts w:hint="eastAsia" w:ascii="宋体" w:hAnsi="宋体" w:eastAsia="宋体" w:cs="宋体"/>
          <w:spacing w:val="-5"/>
          <w:sz w:val="32"/>
          <w:szCs w:val="32"/>
          <w:u w:val="single" w:color="auto"/>
        </w:rPr>
        <w:t xml:space="preserve">                                </w:t>
      </w:r>
      <w:r>
        <w:rPr>
          <w:rFonts w:hint="eastAsia" w:ascii="宋体" w:hAnsi="宋体" w:eastAsia="宋体" w:cs="宋体"/>
          <w:sz w:val="32"/>
          <w:szCs w:val="32"/>
        </w:rPr>
        <w:t xml:space="preserve"> </w:t>
      </w:r>
    </w:p>
    <w:p w14:paraId="03DADE66">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甲方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266B4BE3">
      <w:pPr>
        <w:spacing w:before="104" w:line="363" w:lineRule="auto"/>
        <w:ind w:left="626" w:right="578" w:hanging="1"/>
        <w:rPr>
          <w:rFonts w:hint="eastAsia" w:ascii="宋体" w:hAnsi="宋体" w:eastAsia="宋体" w:cs="宋体"/>
          <w:sz w:val="32"/>
          <w:szCs w:val="32"/>
        </w:rPr>
      </w:pPr>
      <w:r>
        <w:rPr>
          <w:rFonts w:hint="eastAsia" w:ascii="宋体" w:hAnsi="宋体" w:eastAsia="宋体" w:cs="宋体"/>
          <w:sz w:val="32"/>
          <w:szCs w:val="32"/>
        </w:rPr>
        <w:t>乙方</w:t>
      </w:r>
      <w:r>
        <w:rPr>
          <w:rFonts w:hint="eastAsia" w:ascii="宋体" w:hAnsi="宋体" w:eastAsia="宋体" w:cs="宋体"/>
          <w:spacing w:val="-21"/>
          <w:sz w:val="32"/>
          <w:szCs w:val="32"/>
        </w:rPr>
        <w:t>：</w:t>
      </w:r>
      <w:r>
        <w:rPr>
          <w:rFonts w:hint="eastAsia" w:ascii="宋体" w:hAnsi="宋体" w:eastAsia="宋体" w:cs="宋体"/>
          <w:spacing w:val="-4"/>
          <w:sz w:val="32"/>
          <w:szCs w:val="32"/>
          <w:u w:val="single" w:color="auto"/>
        </w:rPr>
        <w:t xml:space="preserve">                                        </w:t>
      </w:r>
      <w:r>
        <w:rPr>
          <w:rFonts w:hint="eastAsia" w:ascii="宋体" w:hAnsi="宋体" w:eastAsia="宋体" w:cs="宋体"/>
          <w:sz w:val="32"/>
          <w:szCs w:val="32"/>
        </w:rPr>
        <w:t xml:space="preserve"> </w:t>
      </w:r>
    </w:p>
    <w:p w14:paraId="02CC487E">
      <w:pPr>
        <w:spacing w:before="104" w:line="363" w:lineRule="auto"/>
        <w:ind w:left="626" w:right="578" w:hanging="1"/>
        <w:rPr>
          <w:rFonts w:ascii="仿宋" w:hAnsi="仿宋" w:eastAsia="仿宋" w:cs="仿宋"/>
          <w:sz w:val="32"/>
          <w:szCs w:val="32"/>
        </w:rPr>
      </w:pPr>
      <w:r>
        <w:rPr>
          <w:rFonts w:hint="eastAsia" w:ascii="宋体" w:hAnsi="宋体" w:eastAsia="宋体" w:cs="宋体"/>
          <w:spacing w:val="-10"/>
          <w:sz w:val="32"/>
          <w:szCs w:val="32"/>
        </w:rPr>
        <w:t>甲</w:t>
      </w:r>
      <w:r>
        <w:rPr>
          <w:rFonts w:hint="eastAsia" w:ascii="宋体" w:hAnsi="宋体" w:eastAsia="宋体" w:cs="宋体"/>
          <w:spacing w:val="-9"/>
          <w:sz w:val="32"/>
          <w:szCs w:val="32"/>
        </w:rPr>
        <w:t>方合同法律审核部门</w:t>
      </w:r>
      <w:r>
        <w:rPr>
          <w:rFonts w:hint="eastAsia" w:ascii="宋体" w:hAnsi="宋体" w:eastAsia="宋体" w:cs="宋体"/>
          <w:spacing w:val="-171"/>
          <w:sz w:val="32"/>
          <w:szCs w:val="32"/>
        </w:rPr>
        <w:t>：</w:t>
      </w:r>
      <w:r>
        <w:rPr>
          <w:rFonts w:hint="eastAsia" w:ascii="宋体" w:hAnsi="宋体" w:eastAsia="宋体" w:cs="宋体"/>
          <w:sz w:val="32"/>
          <w:szCs w:val="32"/>
          <w:u w:val="single" w:color="auto"/>
        </w:rPr>
        <w:t xml:space="preserve">      </w:t>
      </w:r>
      <w:r>
        <w:rPr>
          <w:rFonts w:ascii="仿宋" w:hAnsi="仿宋" w:eastAsia="仿宋" w:cs="仿宋"/>
          <w:sz w:val="32"/>
          <w:szCs w:val="32"/>
          <w:u w:val="single" w:color="auto"/>
        </w:rPr>
        <w:t xml:space="preserve">                  </w:t>
      </w:r>
    </w:p>
    <w:p w14:paraId="77C70537"/>
    <w:p w14:paraId="57C1F614"/>
    <w:p w14:paraId="45CFA72D"/>
    <w:p w14:paraId="735FF7E4">
      <w:pPr>
        <w:pStyle w:val="50"/>
      </w:pPr>
    </w:p>
    <w:p w14:paraId="5BE795E9"/>
    <w:p w14:paraId="539FC485"/>
    <w:p w14:paraId="06545721">
      <w:pPr>
        <w:spacing w:line="91" w:lineRule="exact"/>
      </w:pPr>
    </w:p>
    <w:p w14:paraId="4C23D4BF">
      <w:pPr>
        <w:sectPr>
          <w:headerReference r:id="rId12" w:type="default"/>
          <w:footerReference r:id="rId13" w:type="default"/>
          <w:pgSz w:w="11905" w:h="16840"/>
          <w:pgMar w:top="1440" w:right="1080" w:bottom="1440" w:left="1080" w:header="0" w:footer="567" w:gutter="0"/>
          <w:pgNumType w:fmt="decimal"/>
          <w:cols w:space="720" w:num="1"/>
        </w:sectPr>
      </w:pPr>
    </w:p>
    <w:p w14:paraId="772998DD">
      <w:pPr>
        <w:spacing w:before="64" w:line="184" w:lineRule="auto"/>
        <w:ind w:firstLine="1845"/>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pacing w:val="-86"/>
          <w:sz w:val="32"/>
          <w:szCs w:val="32"/>
        </w:rPr>
        <w:t>：</w:t>
      </w:r>
    </w:p>
    <w:p w14:paraId="738F1531">
      <w:pPr>
        <w:spacing w:line="14" w:lineRule="auto"/>
        <w:rPr>
          <w:rFonts w:hint="eastAsia" w:ascii="宋体" w:hAnsi="宋体" w:eastAsia="宋体" w:cs="宋体"/>
          <w:sz w:val="2"/>
        </w:rPr>
      </w:pPr>
      <w:r>
        <w:rPr>
          <w:rFonts w:hint="eastAsia" w:ascii="宋体" w:hAnsi="宋体" w:eastAsia="宋体" w:cs="宋体"/>
          <w:sz w:val="2"/>
          <w:szCs w:val="2"/>
        </w:rPr>
        <w:br w:type="column"/>
      </w:r>
    </w:p>
    <w:p w14:paraId="2A42A687">
      <w:pPr>
        <w:spacing w:before="62" w:line="184" w:lineRule="auto"/>
        <w:rPr>
          <w:rFonts w:hint="eastAsia" w:ascii="宋体" w:hAnsi="宋体" w:eastAsia="宋体" w:cs="宋体"/>
          <w:sz w:val="32"/>
          <w:szCs w:val="32"/>
        </w:rPr>
      </w:pPr>
      <w:r>
        <w:rPr>
          <w:rFonts w:hint="eastAsia" w:ascii="宋体" w:hAnsi="宋体" w:eastAsia="宋体" w:cs="宋体"/>
          <w:spacing w:val="4"/>
          <w:sz w:val="32"/>
          <w:szCs w:val="32"/>
        </w:rPr>
        <w:t>年</w:t>
      </w:r>
      <w:r>
        <w:rPr>
          <w:rFonts w:hint="eastAsia" w:ascii="宋体" w:hAnsi="宋体" w:eastAsia="宋体" w:cs="宋体"/>
          <w:spacing w:val="6"/>
          <w:sz w:val="32"/>
          <w:szCs w:val="32"/>
        </w:rPr>
        <w:t xml:space="preserve">   </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月</w:t>
      </w:r>
      <w:r>
        <w:rPr>
          <w:rFonts w:hint="eastAsia" w:ascii="宋体" w:hAnsi="宋体" w:eastAsia="宋体" w:cs="宋体"/>
          <w:spacing w:val="5"/>
          <w:sz w:val="32"/>
          <w:szCs w:val="32"/>
        </w:rPr>
        <w:t xml:space="preserve">    </w:t>
      </w:r>
      <w:r>
        <w:rPr>
          <w:rFonts w:hint="eastAsia" w:ascii="宋体" w:hAnsi="宋体" w:eastAsia="宋体" w:cs="宋体"/>
          <w:spacing w:val="4"/>
          <w:sz w:val="32"/>
          <w:szCs w:val="32"/>
        </w:rPr>
        <w:t>日</w:t>
      </w:r>
    </w:p>
    <w:p w14:paraId="3E3A9F6F">
      <w:pPr>
        <w:sectPr>
          <w:type w:val="continuous"/>
          <w:pgSz w:w="11905" w:h="16840"/>
          <w:pgMar w:top="400" w:right="1785" w:bottom="0" w:left="1731" w:header="0" w:footer="0" w:gutter="0"/>
          <w:pgNumType w:fmt="decimal"/>
          <w:cols w:equalWidth="0" w:num="2">
            <w:col w:w="4299" w:space="100"/>
            <w:col w:w="3989"/>
          </w:cols>
        </w:sectPr>
      </w:pPr>
    </w:p>
    <w:p w14:paraId="411692FC">
      <w:pPr>
        <w:spacing w:line="265" w:lineRule="auto"/>
        <w:rPr>
          <w:rFonts w:ascii="Arial"/>
          <w:sz w:val="21"/>
        </w:rPr>
      </w:pPr>
    </w:p>
    <w:p w14:paraId="15D70F3A">
      <w:pPr>
        <w:spacing w:line="266" w:lineRule="auto"/>
        <w:rPr>
          <w:rFonts w:ascii="Arial"/>
          <w:sz w:val="21"/>
        </w:rPr>
      </w:pPr>
    </w:p>
    <w:p w14:paraId="448CD68E">
      <w:pPr>
        <w:spacing w:before="78" w:line="360" w:lineRule="auto"/>
        <w:ind w:left="18" w:right="75"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委托（代理机构名称</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进行了政府采购</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按照评委会评 审推荐</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甲方确定乙方为中标单位</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现甲乙双方协商同意签订本合同</w:t>
      </w:r>
      <w:r>
        <w:rPr>
          <w:rFonts w:hint="eastAsia" w:asciiTheme="minorEastAsia" w:hAnsiTheme="minorEastAsia" w:eastAsiaTheme="minorEastAsia" w:cstheme="minorEastAsia"/>
          <w:spacing w:val="-24"/>
          <w:sz w:val="24"/>
          <w:szCs w:val="24"/>
        </w:rPr>
        <w:t>。</w:t>
      </w:r>
    </w:p>
    <w:p w14:paraId="07CE043D">
      <w:pPr>
        <w:spacing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第一条</w:t>
      </w:r>
      <w:r>
        <w:rPr>
          <w:rFonts w:hint="eastAsia" w:asciiTheme="minorEastAsia" w:hAnsiTheme="minorEastAsia" w:eastAsiaTheme="minorEastAsia" w:cstheme="minorEastAsia"/>
          <w:spacing w:val="3"/>
          <w:sz w:val="24"/>
          <w:szCs w:val="24"/>
        </w:rPr>
        <w:t xml:space="preserve">  合同文件</w:t>
      </w:r>
    </w:p>
    <w:p w14:paraId="307AD10D">
      <w:pPr>
        <w:spacing w:before="185" w:line="360" w:lineRule="auto"/>
        <w:ind w:left="5" w:right="72"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下列与本次采购活动有关的文件及附件是本</w:t>
      </w:r>
      <w:r>
        <w:rPr>
          <w:rFonts w:hint="eastAsia" w:asciiTheme="minorEastAsia" w:hAnsiTheme="minorEastAsia" w:eastAsiaTheme="minorEastAsia" w:cstheme="minorEastAsia"/>
          <w:spacing w:val="2"/>
          <w:sz w:val="24"/>
          <w:szCs w:val="24"/>
        </w:rPr>
        <w:t>合同不可分割的组成部分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与本</w:t>
      </w:r>
      <w:r>
        <w:rPr>
          <w:rFonts w:hint="eastAsia" w:asciiTheme="minorEastAsia" w:hAnsiTheme="minorEastAsia" w:eastAsiaTheme="minorEastAsia" w:cstheme="minorEastAsia"/>
          <w:sz w:val="24"/>
          <w:szCs w:val="24"/>
        </w:rPr>
        <w:t xml:space="preserve"> 合同具有同等法律效力</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z w:val="24"/>
          <w:szCs w:val="24"/>
        </w:rPr>
        <w:t>这些文件包括但不限于</w:t>
      </w:r>
      <w:r>
        <w:rPr>
          <w:rFonts w:hint="eastAsia" w:asciiTheme="minorEastAsia" w:hAnsiTheme="minorEastAsia" w:eastAsiaTheme="minorEastAsia" w:cstheme="minorEastAsia"/>
          <w:spacing w:val="-36"/>
          <w:sz w:val="24"/>
          <w:szCs w:val="24"/>
        </w:rPr>
        <w:t>：</w:t>
      </w:r>
    </w:p>
    <w:p w14:paraId="50CB8B32">
      <w:pPr>
        <w:spacing w:line="468" w:lineRule="exact"/>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1.（××号</w:t>
      </w:r>
      <w:r>
        <w:rPr>
          <w:rFonts w:hint="eastAsia" w:asciiTheme="minorEastAsia" w:hAnsiTheme="minorEastAsia" w:eastAsiaTheme="minorEastAsia" w:cstheme="minorEastAsia"/>
          <w:spacing w:val="-23"/>
          <w:position w:val="17"/>
          <w:sz w:val="24"/>
          <w:szCs w:val="24"/>
        </w:rPr>
        <w:t>）</w:t>
      </w:r>
      <w:r>
        <w:rPr>
          <w:rFonts w:hint="eastAsia" w:asciiTheme="minorEastAsia" w:hAnsiTheme="minorEastAsia" w:eastAsiaTheme="minorEastAsia" w:cstheme="minorEastAsia"/>
          <w:position w:val="17"/>
          <w:sz w:val="24"/>
          <w:szCs w:val="24"/>
        </w:rPr>
        <w:t>招标采购文件</w:t>
      </w:r>
    </w:p>
    <w:p w14:paraId="2A57B106">
      <w:pPr>
        <w:spacing w:line="217"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3"/>
          <w:sz w:val="24"/>
          <w:szCs w:val="24"/>
        </w:rPr>
        <w:t>投标文件</w:t>
      </w:r>
    </w:p>
    <w:p w14:paraId="5F008481">
      <w:pPr>
        <w:spacing w:before="186" w:line="214" w:lineRule="auto"/>
        <w:ind w:firstLine="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3.乙方在投标时的书面承诺</w:t>
      </w:r>
    </w:p>
    <w:p w14:paraId="489F7CB5">
      <w:pPr>
        <w:spacing w:before="189" w:line="217" w:lineRule="auto"/>
        <w:ind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4.（××号</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中标通知书</w:t>
      </w:r>
    </w:p>
    <w:p w14:paraId="402CF731">
      <w:pPr>
        <w:spacing w:before="185" w:line="217"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2"/>
          <w:sz w:val="24"/>
          <w:szCs w:val="24"/>
        </w:rPr>
        <w:t>合同补充条款或说明</w:t>
      </w:r>
    </w:p>
    <w:p w14:paraId="13214442">
      <w:pPr>
        <w:spacing w:before="186" w:line="216"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保</w:t>
      </w:r>
      <w:r>
        <w:rPr>
          <w:rFonts w:hint="eastAsia" w:asciiTheme="minorEastAsia" w:hAnsiTheme="minorEastAsia" w:eastAsiaTheme="minorEastAsia" w:cstheme="minorEastAsia"/>
          <w:spacing w:val="-2"/>
          <w:sz w:val="24"/>
          <w:szCs w:val="24"/>
        </w:rPr>
        <w:t>密协议或条款</w:t>
      </w:r>
    </w:p>
    <w:p w14:paraId="6761CBE4">
      <w:pPr>
        <w:spacing w:before="187"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7.相关附件</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图纸</w:t>
      </w:r>
    </w:p>
    <w:p w14:paraId="2159148F">
      <w:pPr>
        <w:spacing w:before="187"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合同标的</w:t>
      </w:r>
    </w:p>
    <w:p w14:paraId="7E3119BC">
      <w:pPr>
        <w:spacing w:before="185" w:line="360" w:lineRule="auto"/>
        <w:ind w:left="10" w:right="72" w:firstLine="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乙方根据甲方需求提供下列货物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货物名称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规格及数</w:t>
      </w:r>
      <w:r>
        <w:rPr>
          <w:rFonts w:hint="eastAsia" w:asciiTheme="minorEastAsia" w:hAnsiTheme="minorEastAsia" w:eastAsiaTheme="minorEastAsia" w:cstheme="minorEastAsia"/>
          <w:spacing w:val="1"/>
          <w:sz w:val="24"/>
          <w:szCs w:val="24"/>
        </w:rPr>
        <w:t>量</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易损件和</w:t>
      </w:r>
      <w:r>
        <w:rPr>
          <w:rFonts w:hint="eastAsia" w:asciiTheme="minorEastAsia" w:hAnsiTheme="minorEastAsia" w:eastAsiaTheme="minorEastAsia" w:cstheme="minorEastAsia"/>
          <w:sz w:val="24"/>
          <w:szCs w:val="24"/>
        </w:rPr>
        <w:t xml:space="preserve"> 专用工具等（详见《供货一览表》</w:t>
      </w:r>
      <w:r>
        <w:rPr>
          <w:rFonts w:hint="eastAsia" w:asciiTheme="minorEastAsia" w:hAnsiTheme="minorEastAsia" w:eastAsiaTheme="minorEastAsia" w:cstheme="minorEastAsia"/>
          <w:spacing w:val="-116"/>
          <w:sz w:val="24"/>
          <w:szCs w:val="24"/>
        </w:rPr>
        <w:t>）</w:t>
      </w:r>
      <w:r>
        <w:rPr>
          <w:rFonts w:hint="eastAsia" w:asciiTheme="minorEastAsia" w:hAnsiTheme="minorEastAsia" w:eastAsiaTheme="minorEastAsia" w:cstheme="minorEastAsia"/>
          <w:spacing w:val="-115"/>
          <w:sz w:val="24"/>
          <w:szCs w:val="24"/>
        </w:rPr>
        <w:t>。</w:t>
      </w:r>
    </w:p>
    <w:p w14:paraId="3C1AB7D8">
      <w:pPr>
        <w:spacing w:before="1"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第三条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合同总金额</w:t>
      </w:r>
    </w:p>
    <w:p w14:paraId="6E802AB8">
      <w:pPr>
        <w:spacing w:before="185" w:line="360"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rPr>
        <w:t>元。</w:t>
      </w:r>
    </w:p>
    <w:p w14:paraId="054CE74A">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本合同项下货物总金额</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pacing w:val="-12"/>
          <w:sz w:val="24"/>
          <w:szCs w:val="24"/>
        </w:rPr>
        <w:t>。</w:t>
      </w:r>
    </w:p>
    <w:p w14:paraId="1A3415F3">
      <w:pPr>
        <w:spacing w:before="188" w:line="21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分项价款在《供货一览表》中有明确规定</w:t>
      </w:r>
      <w:r>
        <w:rPr>
          <w:rFonts w:hint="eastAsia" w:asciiTheme="minorEastAsia" w:hAnsiTheme="minorEastAsia" w:eastAsiaTheme="minorEastAsia" w:cstheme="minorEastAsia"/>
          <w:spacing w:val="-57"/>
          <w:sz w:val="24"/>
          <w:szCs w:val="24"/>
        </w:rPr>
        <w:t>。</w:t>
      </w:r>
    </w:p>
    <w:p w14:paraId="64C0E6A1">
      <w:pPr>
        <w:spacing w:before="190"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本合同总价款包括货物</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软件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标准附件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备品备件</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专用工具</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图纸资料</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技术服务，包装、运输、装卸、保险、</w:t>
      </w:r>
      <w:r>
        <w:rPr>
          <w:rFonts w:hint="eastAsia" w:asciiTheme="minorEastAsia" w:hAnsiTheme="minorEastAsia" w:eastAsiaTheme="minorEastAsia" w:cstheme="minorEastAsia"/>
          <w:spacing w:val="1"/>
          <w:sz w:val="24"/>
          <w:szCs w:val="24"/>
        </w:rPr>
        <w:t>税金</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货到就位以及安装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调试</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培训</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保修等验收合格之前和质保期内的售后服务一切税金和费用</w:t>
      </w:r>
      <w:r>
        <w:rPr>
          <w:rFonts w:hint="eastAsia" w:asciiTheme="minorEastAsia" w:hAnsiTheme="minorEastAsia" w:eastAsiaTheme="minorEastAsia" w:cstheme="minorEastAsia"/>
          <w:spacing w:val="-54"/>
          <w:sz w:val="24"/>
          <w:szCs w:val="24"/>
        </w:rPr>
        <w:t>。</w:t>
      </w:r>
    </w:p>
    <w:p w14:paraId="49DEAEB7">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本合同执行期间合同总价款不变</w:t>
      </w:r>
      <w:r>
        <w:rPr>
          <w:rFonts w:hint="eastAsia" w:asciiTheme="minorEastAsia" w:hAnsiTheme="minorEastAsia" w:eastAsiaTheme="minorEastAsia" w:cstheme="minorEastAsia"/>
          <w:spacing w:val="-55"/>
          <w:sz w:val="24"/>
          <w:szCs w:val="24"/>
        </w:rPr>
        <w:t>。</w:t>
      </w:r>
    </w:p>
    <w:p w14:paraId="328FB66C">
      <w:pPr>
        <w:spacing w:before="187"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第四条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权利和质量保证</w:t>
      </w:r>
    </w:p>
    <w:p w14:paraId="6EC4E321">
      <w:pPr>
        <w:spacing w:before="187" w:line="360" w:lineRule="auto"/>
        <w:ind w:right="71"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乙方应保证甲方在使用该货物</w:t>
      </w:r>
      <w:r>
        <w:rPr>
          <w:rFonts w:hint="eastAsia" w:asciiTheme="minorEastAsia" w:hAnsiTheme="minorEastAsia" w:eastAsiaTheme="minorEastAsia" w:cstheme="minorEastAsia"/>
          <w:spacing w:val="2"/>
          <w:sz w:val="24"/>
          <w:szCs w:val="24"/>
        </w:rPr>
        <w:t>或其任何一部分时不受第三方提出侵犯其专</w:t>
      </w:r>
      <w:r>
        <w:rPr>
          <w:rFonts w:hint="eastAsia" w:asciiTheme="minorEastAsia" w:hAnsiTheme="minorEastAsia" w:eastAsiaTheme="minorEastAsia" w:cstheme="minorEastAsia"/>
          <w:sz w:val="24"/>
          <w:szCs w:val="24"/>
        </w:rPr>
        <w:t xml:space="preserve"> 利权</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版权、商标权或其他权利的起诉。</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一旦出现侵权，索赔或诉讼，乙方应承 担全部责任</w:t>
      </w:r>
      <w:r>
        <w:rPr>
          <w:rFonts w:hint="eastAsia" w:asciiTheme="minorEastAsia" w:hAnsiTheme="minorEastAsia" w:eastAsiaTheme="minorEastAsia" w:cstheme="minorEastAsia"/>
          <w:spacing w:val="-46"/>
          <w:sz w:val="24"/>
          <w:szCs w:val="24"/>
        </w:rPr>
        <w:t>。</w:t>
      </w:r>
    </w:p>
    <w:p w14:paraId="2280A915">
      <w:pPr>
        <w:spacing w:before="1" w:line="215" w:lineRule="auto"/>
        <w:ind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3"/>
          <w:sz w:val="24"/>
          <w:szCs w:val="24"/>
        </w:rPr>
        <w:t>乙方保证货物是全新的、未使用过的，完全</w:t>
      </w:r>
      <w:r>
        <w:rPr>
          <w:rFonts w:hint="eastAsia" w:asciiTheme="minorEastAsia" w:hAnsiTheme="minorEastAsia" w:eastAsiaTheme="minorEastAsia" w:cstheme="minorEastAsia"/>
          <w:spacing w:val="2"/>
          <w:sz w:val="24"/>
          <w:szCs w:val="24"/>
        </w:rPr>
        <w:t>符合国家规范及甲乙双方确认</w:t>
      </w:r>
    </w:p>
    <w:p w14:paraId="4238BF35">
      <w:pPr>
        <w:rPr>
          <w:rFonts w:hint="eastAsia" w:asciiTheme="minorEastAsia" w:hAnsiTheme="minorEastAsia" w:eastAsiaTheme="minorEastAsia" w:cstheme="minorEastAsia"/>
          <w:sz w:val="24"/>
          <w:szCs w:val="24"/>
        </w:rPr>
        <w:sectPr>
          <w:pgSz w:w="11905" w:h="16840"/>
          <w:pgMar w:top="400" w:right="1624" w:bottom="0" w:left="1708" w:header="0" w:footer="0" w:gutter="0"/>
          <w:pgNumType w:fmt="decimal"/>
          <w:cols w:space="720" w:num="1"/>
        </w:sectPr>
      </w:pPr>
    </w:p>
    <w:p w14:paraId="78C113AB">
      <w:pPr>
        <w:spacing w:line="265" w:lineRule="auto"/>
        <w:rPr>
          <w:rFonts w:hint="eastAsia" w:asciiTheme="minorEastAsia" w:hAnsiTheme="minorEastAsia" w:eastAsiaTheme="minorEastAsia" w:cstheme="minorEastAsia"/>
          <w:sz w:val="24"/>
          <w:szCs w:val="24"/>
        </w:rPr>
      </w:pPr>
    </w:p>
    <w:p w14:paraId="4B2FE7E2">
      <w:pPr>
        <w:spacing w:line="266" w:lineRule="auto"/>
        <w:rPr>
          <w:rFonts w:hint="eastAsia" w:asciiTheme="minorEastAsia" w:hAnsiTheme="minorEastAsia" w:eastAsiaTheme="minorEastAsia" w:cstheme="minorEastAsia"/>
          <w:sz w:val="24"/>
          <w:szCs w:val="24"/>
        </w:rPr>
      </w:pPr>
    </w:p>
    <w:p w14:paraId="4EE395B1">
      <w:pPr>
        <w:spacing w:line="266" w:lineRule="auto"/>
        <w:rPr>
          <w:rFonts w:hint="eastAsia" w:asciiTheme="minorEastAsia" w:hAnsiTheme="minorEastAsia" w:eastAsiaTheme="minorEastAsia" w:cstheme="minorEastAsia"/>
          <w:sz w:val="24"/>
          <w:szCs w:val="24"/>
        </w:rPr>
      </w:pPr>
    </w:p>
    <w:p w14:paraId="190F05D8">
      <w:pPr>
        <w:spacing w:line="266" w:lineRule="auto"/>
        <w:rPr>
          <w:rFonts w:hint="eastAsia" w:asciiTheme="minorEastAsia" w:hAnsiTheme="minorEastAsia" w:eastAsiaTheme="minorEastAsia" w:cstheme="minorEastAsia"/>
          <w:sz w:val="24"/>
          <w:szCs w:val="24"/>
        </w:rPr>
      </w:pPr>
    </w:p>
    <w:p w14:paraId="4BD6C0A3">
      <w:pPr>
        <w:spacing w:line="266" w:lineRule="auto"/>
        <w:rPr>
          <w:rFonts w:hint="eastAsia" w:asciiTheme="minorEastAsia" w:hAnsiTheme="minorEastAsia" w:eastAsiaTheme="minorEastAsia" w:cstheme="minorEastAsia"/>
          <w:sz w:val="24"/>
          <w:szCs w:val="24"/>
        </w:rPr>
      </w:pPr>
    </w:p>
    <w:p w14:paraId="6B19EB57">
      <w:pPr>
        <w:spacing w:before="78" w:line="360" w:lineRule="auto"/>
        <w:ind w:left="5" w:right="55" w:firstLine="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的投标文</w:t>
      </w:r>
      <w:r>
        <w:rPr>
          <w:rFonts w:hint="eastAsia" w:asciiTheme="minorEastAsia" w:hAnsiTheme="minorEastAsia" w:eastAsiaTheme="minorEastAsia" w:cstheme="minorEastAsia"/>
          <w:spacing w:val="2"/>
          <w:sz w:val="24"/>
          <w:szCs w:val="24"/>
        </w:rPr>
        <w:t>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本合同关于货物数量</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质量的要求</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货物符合实行国家“三包”规</w:t>
      </w:r>
      <w:r>
        <w:rPr>
          <w:rFonts w:hint="eastAsia" w:asciiTheme="minorEastAsia" w:hAnsiTheme="minorEastAsia" w:eastAsiaTheme="minorEastAsia" w:cstheme="minorEastAsia"/>
          <w:sz w:val="24"/>
          <w:szCs w:val="24"/>
        </w:rPr>
        <w:t xml:space="preserve"> 定的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应执行“三包”规定</w:t>
      </w:r>
      <w:r>
        <w:rPr>
          <w:rFonts w:hint="eastAsia" w:asciiTheme="minorEastAsia" w:hAnsiTheme="minorEastAsia" w:eastAsiaTheme="minorEastAsia" w:cstheme="minorEastAsia"/>
          <w:spacing w:val="-28"/>
          <w:sz w:val="24"/>
          <w:szCs w:val="24"/>
        </w:rPr>
        <w:t>。</w:t>
      </w:r>
    </w:p>
    <w:p w14:paraId="00FE25D7">
      <w:pPr>
        <w:spacing w:before="1" w:line="215"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本项目质保期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保修期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年</w:t>
      </w:r>
      <w:r>
        <w:rPr>
          <w:rFonts w:hint="eastAsia" w:asciiTheme="minorEastAsia" w:hAnsiTheme="minorEastAsia" w:eastAsiaTheme="minorEastAsia" w:cstheme="minorEastAsia"/>
          <w:spacing w:val="-14"/>
          <w:sz w:val="24"/>
          <w:szCs w:val="24"/>
        </w:rPr>
        <w:t>。</w:t>
      </w:r>
    </w:p>
    <w:p w14:paraId="25F1104D">
      <w:pPr>
        <w:spacing w:before="187" w:line="360" w:lineRule="auto"/>
        <w:ind w:left="7" w:right="56"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乙方提交的货物</w:t>
      </w:r>
      <w:r>
        <w:rPr>
          <w:rFonts w:hint="eastAsia" w:asciiTheme="minorEastAsia" w:hAnsiTheme="minorEastAsia" w:eastAsiaTheme="minorEastAsia" w:cstheme="minorEastAsia"/>
          <w:spacing w:val="2"/>
          <w:sz w:val="24"/>
          <w:szCs w:val="24"/>
        </w:rPr>
        <w:t>应符合投标文件中所记载的详细配置</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技术参数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参数及</w:t>
      </w:r>
      <w:r>
        <w:rPr>
          <w:rFonts w:hint="eastAsia" w:asciiTheme="minorEastAsia" w:hAnsiTheme="minorEastAsia" w:eastAsiaTheme="minorEastAsia" w:cstheme="minorEastAsia"/>
          <w:sz w:val="24"/>
          <w:szCs w:val="24"/>
        </w:rPr>
        <w:t xml:space="preserve"> 性能</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z w:val="24"/>
          <w:szCs w:val="24"/>
        </w:rPr>
        <w:t>并应附有此类货物完整</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z w:val="24"/>
          <w:szCs w:val="24"/>
        </w:rPr>
        <w:t>详细的技术资料和说明文件</w:t>
      </w:r>
      <w:r>
        <w:rPr>
          <w:rFonts w:hint="eastAsia" w:asciiTheme="minorEastAsia" w:hAnsiTheme="minorEastAsia" w:eastAsiaTheme="minorEastAsia" w:cstheme="minorEastAsia"/>
          <w:spacing w:val="-20"/>
          <w:sz w:val="24"/>
          <w:szCs w:val="24"/>
        </w:rPr>
        <w:t>。</w:t>
      </w:r>
    </w:p>
    <w:p w14:paraId="61ADBC43">
      <w:pPr>
        <w:spacing w:line="360" w:lineRule="auto"/>
        <w:ind w:left="2" w:right="55"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4.乙方提交的货物必须按照招标采购文件的要求和中标人投标文件的承</w:t>
      </w:r>
      <w:r>
        <w:rPr>
          <w:rFonts w:hint="eastAsia" w:asciiTheme="minorEastAsia" w:hAnsiTheme="minorEastAsia" w:eastAsiaTheme="minorEastAsia" w:cstheme="minorEastAsia"/>
          <w:sz w:val="24"/>
          <w:szCs w:val="24"/>
        </w:rPr>
        <w:t>诺</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以约定标准进行制造</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安装</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经政府采购管理部门批准采购</w:t>
      </w:r>
      <w:r>
        <w:rPr>
          <w:rFonts w:hint="eastAsia" w:asciiTheme="minorEastAsia" w:hAnsiTheme="minorEastAsia" w:eastAsiaTheme="minorEastAsia" w:cstheme="minorEastAsia"/>
          <w:spacing w:val="2"/>
          <w:sz w:val="24"/>
          <w:szCs w:val="24"/>
        </w:rPr>
        <w:t>的进口产品应执行原</w:t>
      </w:r>
      <w:r>
        <w:rPr>
          <w:rFonts w:hint="eastAsia" w:asciiTheme="minorEastAsia" w:hAnsiTheme="minorEastAsia" w:eastAsiaTheme="minorEastAsia" w:cstheme="minorEastAsia"/>
          <w:sz w:val="24"/>
          <w:szCs w:val="24"/>
        </w:rPr>
        <w:t xml:space="preserve"> 产地国家有关部门最新颁布的相应正式标准并提供国家商检</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海关报关等手续</w:t>
      </w:r>
      <w:r>
        <w:rPr>
          <w:rFonts w:hint="eastAsia" w:asciiTheme="minorEastAsia" w:hAnsiTheme="minorEastAsia" w:eastAsiaTheme="minorEastAsia" w:cstheme="minorEastAsia"/>
          <w:spacing w:val="-28"/>
          <w:sz w:val="24"/>
          <w:szCs w:val="24"/>
        </w:rPr>
        <w:t>。</w:t>
      </w:r>
    </w:p>
    <w:p w14:paraId="7798EB5D">
      <w:pPr>
        <w:spacing w:before="2" w:line="366" w:lineRule="auto"/>
        <w:ind w:left="10" w:right="95"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5.乙方应保证将货物按</w:t>
      </w:r>
      <w:r>
        <w:rPr>
          <w:rFonts w:hint="eastAsia" w:asciiTheme="minorEastAsia" w:hAnsiTheme="minorEastAsia" w:eastAsiaTheme="minorEastAsia" w:cstheme="minorEastAsia"/>
          <w:spacing w:val="1"/>
          <w:sz w:val="24"/>
          <w:szCs w:val="24"/>
        </w:rPr>
        <w:t>照国家或专业标准包装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确保货物安全无损运抵合同</w:t>
      </w:r>
      <w:r>
        <w:rPr>
          <w:rFonts w:hint="eastAsia" w:asciiTheme="minorEastAsia" w:hAnsiTheme="minorEastAsia" w:eastAsiaTheme="minorEastAsia" w:cstheme="minorEastAsia"/>
          <w:sz w:val="24"/>
          <w:szCs w:val="24"/>
        </w:rPr>
        <w:t xml:space="preserve"> 规定的交货地点</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z w:val="24"/>
          <w:szCs w:val="24"/>
        </w:rPr>
        <w:t>并进行安装</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z w:val="24"/>
          <w:szCs w:val="24"/>
        </w:rPr>
        <w:t>试运行</w:t>
      </w:r>
      <w:r>
        <w:rPr>
          <w:rFonts w:hint="eastAsia" w:asciiTheme="minorEastAsia" w:hAnsiTheme="minorEastAsia" w:eastAsiaTheme="minorEastAsia" w:cstheme="minorEastAsia"/>
          <w:spacing w:val="-20"/>
          <w:sz w:val="24"/>
          <w:szCs w:val="24"/>
        </w:rPr>
        <w:t>。</w:t>
      </w:r>
    </w:p>
    <w:p w14:paraId="58B37BF0">
      <w:pPr>
        <w:spacing w:before="46" w:line="214"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乙方保证货物不存在危及人身及财产安全的产品缺陷</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否则应承担全部法</w:t>
      </w:r>
    </w:p>
    <w:p w14:paraId="060972E5">
      <w:pPr>
        <w:spacing w:before="201"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律责任</w:t>
      </w:r>
      <w:r>
        <w:rPr>
          <w:rFonts w:hint="eastAsia" w:asciiTheme="minorEastAsia" w:hAnsiTheme="minorEastAsia" w:eastAsiaTheme="minorEastAsia" w:cstheme="minorEastAsia"/>
          <w:spacing w:val="-42"/>
          <w:sz w:val="24"/>
          <w:szCs w:val="24"/>
        </w:rPr>
        <w:t>。</w:t>
      </w:r>
    </w:p>
    <w:p w14:paraId="3436E113">
      <w:pPr>
        <w:spacing w:before="134"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付款方式</w:t>
      </w:r>
    </w:p>
    <w:p w14:paraId="4E26A3A3">
      <w:pPr>
        <w:spacing w:before="183" w:line="361" w:lineRule="auto"/>
        <w:ind w:left="492" w:right="946"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1.本合同项下所有款项均以人民币支付</w:t>
      </w:r>
      <w:r>
        <w:rPr>
          <w:rFonts w:hint="eastAsia" w:asciiTheme="minorEastAsia" w:hAnsiTheme="minorEastAsia" w:eastAsiaTheme="minorEastAsia" w:cstheme="minorEastAsia"/>
          <w:spacing w:val="-74"/>
          <w:sz w:val="24"/>
          <w:szCs w:val="24"/>
        </w:rPr>
        <w:t>。</w:t>
      </w:r>
      <w:r>
        <w:rPr>
          <w:rFonts w:hint="eastAsia" w:asciiTheme="minorEastAsia" w:hAnsiTheme="minorEastAsia" w:eastAsiaTheme="minorEastAsia" w:cstheme="minorEastAsia"/>
          <w:sz w:val="24"/>
          <w:szCs w:val="24"/>
        </w:rPr>
        <w:t xml:space="preserve">                        2.乙方向甲方提交下列文件材料</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z w:val="24"/>
          <w:szCs w:val="24"/>
        </w:rPr>
        <w:t>经甲方审核无误后支付采购资金</w:t>
      </w:r>
      <w:r>
        <w:rPr>
          <w:rFonts w:hint="eastAsia" w:asciiTheme="minorEastAsia" w:hAnsiTheme="minorEastAsia" w:eastAsiaTheme="minorEastAsia" w:cstheme="minorEastAsia"/>
          <w:spacing w:val="-41"/>
          <w:sz w:val="24"/>
          <w:szCs w:val="24"/>
        </w:rPr>
        <w:t>：</w:t>
      </w:r>
    </w:p>
    <w:p w14:paraId="7D8A6FC1">
      <w:pPr>
        <w:spacing w:line="217"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经甲方确认的发票</w:t>
      </w:r>
      <w:r>
        <w:rPr>
          <w:rFonts w:hint="eastAsia" w:asciiTheme="minorEastAsia" w:hAnsiTheme="minorEastAsia" w:eastAsiaTheme="minorEastAsia" w:cstheme="minorEastAsia"/>
          <w:spacing w:val="-29"/>
          <w:sz w:val="24"/>
          <w:szCs w:val="24"/>
        </w:rPr>
        <w:t>；</w:t>
      </w:r>
    </w:p>
    <w:p w14:paraId="13300328">
      <w:pPr>
        <w:spacing w:before="186"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129"/>
          <w:sz w:val="24"/>
          <w:szCs w:val="24"/>
        </w:rPr>
        <w:t>）</w:t>
      </w:r>
      <w:r>
        <w:rPr>
          <w:rFonts w:hint="eastAsia" w:asciiTheme="minorEastAsia" w:hAnsiTheme="minorEastAsia" w:eastAsiaTheme="minorEastAsia" w:cstheme="minorEastAsia"/>
          <w:spacing w:val="-9"/>
          <w:sz w:val="24"/>
          <w:szCs w:val="24"/>
        </w:rPr>
        <w:t>经甲乙双方确认签署的《验收报告》（或按项目</w:t>
      </w:r>
      <w:r>
        <w:rPr>
          <w:rFonts w:hint="eastAsia" w:asciiTheme="minorEastAsia" w:hAnsiTheme="minorEastAsia" w:eastAsiaTheme="minorEastAsia" w:cstheme="minorEastAsia"/>
          <w:spacing w:val="-8"/>
          <w:sz w:val="24"/>
          <w:szCs w:val="24"/>
        </w:rPr>
        <w:t>进度阶段性《验收报告》</w:t>
      </w:r>
      <w:r>
        <w:rPr>
          <w:rFonts w:hint="eastAsia" w:asciiTheme="minorEastAsia" w:hAnsiTheme="minorEastAsia" w:eastAsiaTheme="minorEastAsia" w:cstheme="minorEastAsia"/>
          <w:spacing w:val="-129"/>
          <w:sz w:val="24"/>
          <w:szCs w:val="24"/>
        </w:rPr>
        <w:t>）；</w:t>
      </w:r>
    </w:p>
    <w:p w14:paraId="08EDA0F7">
      <w:pPr>
        <w:spacing w:before="188" w:line="215" w:lineRule="auto"/>
        <w:ind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其他材料</w:t>
      </w:r>
      <w:r>
        <w:rPr>
          <w:rFonts w:hint="eastAsia" w:asciiTheme="minorEastAsia" w:hAnsiTheme="minorEastAsia" w:eastAsiaTheme="minorEastAsia" w:cstheme="minorEastAsia"/>
          <w:spacing w:val="-21"/>
          <w:sz w:val="24"/>
          <w:szCs w:val="24"/>
        </w:rPr>
        <w:t>。</w:t>
      </w:r>
    </w:p>
    <w:p w14:paraId="7EBD734B">
      <w:pPr>
        <w:spacing w:before="186" w:line="361" w:lineRule="auto"/>
        <w:ind w:left="1" w:right="56"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款项的支付进度以</w:t>
      </w:r>
      <w:r>
        <w:rPr>
          <w:rFonts w:hint="eastAsia" w:asciiTheme="minorEastAsia" w:hAnsiTheme="minorEastAsia" w:eastAsiaTheme="minorEastAsia" w:cstheme="minorEastAsia"/>
          <w:spacing w:val="2"/>
          <w:sz w:val="24"/>
          <w:szCs w:val="24"/>
        </w:rPr>
        <w:t>招标采购文件的有关规定为准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如招标采购文件未作特</w:t>
      </w:r>
      <w:r>
        <w:rPr>
          <w:rFonts w:hint="eastAsia" w:asciiTheme="minorEastAsia" w:hAnsiTheme="minorEastAsia" w:eastAsiaTheme="minorEastAsia" w:cstheme="minorEastAsia"/>
          <w:sz w:val="24"/>
          <w:szCs w:val="24"/>
        </w:rPr>
        <w:t xml:space="preserve"> 别规定</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则付款进度应符合如下约定</w:t>
      </w:r>
      <w:r>
        <w:rPr>
          <w:rFonts w:hint="eastAsia" w:asciiTheme="minorEastAsia" w:hAnsiTheme="minorEastAsia" w:eastAsiaTheme="minorEastAsia" w:cstheme="minorEastAsia"/>
          <w:spacing w:val="-34"/>
          <w:sz w:val="24"/>
          <w:szCs w:val="24"/>
        </w:rPr>
        <w:t>：</w:t>
      </w:r>
    </w:p>
    <w:p w14:paraId="01950C45">
      <w:pPr>
        <w:spacing w:before="3" w:line="359" w:lineRule="auto"/>
        <w:ind w:left="8" w:right="58" w:firstLine="4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货到初验合格后支付至合同总价的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3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货到安装调试合格后支付至合同 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运行正常后支付至合同总价的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余款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％作为质量保 </w:t>
      </w:r>
      <w:r>
        <w:rPr>
          <w:rFonts w:hint="eastAsia" w:asciiTheme="minorEastAsia" w:hAnsiTheme="minorEastAsia" w:eastAsiaTheme="minorEastAsia" w:cstheme="minorEastAsia"/>
          <w:spacing w:val="3"/>
          <w:sz w:val="24"/>
          <w:szCs w:val="24"/>
        </w:rPr>
        <w:t>证金于货物或系</w:t>
      </w:r>
      <w:r>
        <w:rPr>
          <w:rFonts w:hint="eastAsia" w:asciiTheme="minorEastAsia" w:hAnsiTheme="minorEastAsia" w:eastAsiaTheme="minorEastAsia" w:cstheme="minorEastAsia"/>
          <w:spacing w:val="2"/>
          <w:sz w:val="24"/>
          <w:szCs w:val="24"/>
        </w:rPr>
        <w:t>统运行满</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月（年</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并经甲乙双方复验合格后的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w:t>
      </w:r>
      <w:r>
        <w:rPr>
          <w:rFonts w:hint="eastAsia" w:asciiTheme="minorEastAsia" w:hAnsiTheme="minorEastAsia" w:eastAsiaTheme="minorEastAsia" w:cstheme="minorEastAsia"/>
          <w:sz w:val="24"/>
          <w:szCs w:val="24"/>
        </w:rPr>
        <w:t xml:space="preserve"> 工作日内付清</w:t>
      </w:r>
      <w:r>
        <w:rPr>
          <w:rFonts w:hint="eastAsia" w:asciiTheme="minorEastAsia" w:hAnsiTheme="minorEastAsia" w:eastAsiaTheme="minorEastAsia" w:cstheme="minorEastAsia"/>
          <w:spacing w:val="-55"/>
          <w:sz w:val="24"/>
          <w:szCs w:val="24"/>
        </w:rPr>
        <w:t>。</w:t>
      </w:r>
    </w:p>
    <w:p w14:paraId="07F59AD9">
      <w:pPr>
        <w:spacing w:before="2" w:line="360" w:lineRule="auto"/>
        <w:ind w:left="497" w:right="5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第六条  履约保证金 （为减少企业负担</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非特殊需要</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不建议采购人收取履 </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约保证</w:t>
      </w:r>
      <w:r>
        <w:rPr>
          <w:rFonts w:hint="eastAsia" w:asciiTheme="minorEastAsia" w:hAnsiTheme="minorEastAsia" w:eastAsiaTheme="minorEastAsia" w:cstheme="minorEastAsia"/>
          <w:color w:val="000000" w:themeColor="text1"/>
          <w:sz w:val="24"/>
          <w:szCs w:val="24"/>
          <w14:textFill>
            <w14:solidFill>
              <w14:schemeClr w14:val="tx1"/>
            </w14:solidFill>
          </w14:textFill>
        </w:rPr>
        <w:t>金</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未能按合同履行合同的</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可报财政部门</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进行失信行为记录</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w:t>
      </w:r>
    </w:p>
    <w:p w14:paraId="7F245506">
      <w:pPr>
        <w:spacing w:before="1" w:line="367" w:lineRule="auto"/>
        <w:ind w:left="473" w:right="162" w:firstLine="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1.乙方在签订本合同之日</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向甲方提交合同履约保证金</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元 （履约保证金的数额不得超过政府采购合同金额的 10%</w:t>
      </w:r>
      <w:r>
        <w:rPr>
          <w:rFonts w:hint="eastAsia" w:asciiTheme="minorEastAsia" w:hAnsiTheme="minorEastAsia" w:eastAsiaTheme="minorEastAsia" w:cstheme="minorEastAsia"/>
          <w:spacing w:val="-77"/>
          <w:sz w:val="24"/>
          <w:szCs w:val="24"/>
        </w:rPr>
        <w:t>）。</w:t>
      </w:r>
    </w:p>
    <w:p w14:paraId="44198420">
      <w:pPr>
        <w:rPr>
          <w:rFonts w:hint="eastAsia" w:asciiTheme="minorEastAsia" w:hAnsiTheme="minorEastAsia" w:eastAsiaTheme="minorEastAsia" w:cstheme="minorEastAsia"/>
          <w:sz w:val="24"/>
          <w:szCs w:val="24"/>
        </w:rPr>
        <w:sectPr>
          <w:pgSz w:w="11905" w:h="16840"/>
          <w:pgMar w:top="400" w:right="1640" w:bottom="0" w:left="1708" w:header="0" w:footer="0" w:gutter="0"/>
          <w:pgNumType w:fmt="decimal"/>
          <w:cols w:space="720" w:num="1"/>
        </w:sectPr>
      </w:pPr>
    </w:p>
    <w:p w14:paraId="4E1D685B">
      <w:pPr>
        <w:spacing w:line="265" w:lineRule="auto"/>
        <w:rPr>
          <w:rFonts w:hint="eastAsia" w:asciiTheme="minorEastAsia" w:hAnsiTheme="minorEastAsia" w:eastAsiaTheme="minorEastAsia" w:cstheme="minorEastAsia"/>
          <w:sz w:val="24"/>
          <w:szCs w:val="24"/>
        </w:rPr>
      </w:pPr>
    </w:p>
    <w:p w14:paraId="44941038">
      <w:pPr>
        <w:spacing w:line="266" w:lineRule="auto"/>
        <w:rPr>
          <w:rFonts w:hint="eastAsia" w:asciiTheme="minorEastAsia" w:hAnsiTheme="minorEastAsia" w:eastAsiaTheme="minorEastAsia" w:cstheme="minorEastAsia"/>
          <w:sz w:val="24"/>
          <w:szCs w:val="24"/>
        </w:rPr>
      </w:pPr>
    </w:p>
    <w:p w14:paraId="40DEC3BC">
      <w:pPr>
        <w:spacing w:line="266" w:lineRule="auto"/>
        <w:rPr>
          <w:rFonts w:hint="eastAsia" w:asciiTheme="minorEastAsia" w:hAnsiTheme="minorEastAsia" w:eastAsiaTheme="minorEastAsia" w:cstheme="minorEastAsia"/>
          <w:sz w:val="24"/>
          <w:szCs w:val="24"/>
        </w:rPr>
      </w:pPr>
    </w:p>
    <w:p w14:paraId="4B58044E">
      <w:pPr>
        <w:spacing w:line="266" w:lineRule="auto"/>
        <w:rPr>
          <w:rFonts w:hint="eastAsia" w:asciiTheme="minorEastAsia" w:hAnsiTheme="minorEastAsia" w:eastAsiaTheme="minorEastAsia" w:cstheme="minorEastAsia"/>
          <w:sz w:val="24"/>
          <w:szCs w:val="24"/>
        </w:rPr>
      </w:pPr>
    </w:p>
    <w:p w14:paraId="59742351">
      <w:pPr>
        <w:spacing w:line="266" w:lineRule="auto"/>
        <w:rPr>
          <w:rFonts w:hint="eastAsia" w:asciiTheme="minorEastAsia" w:hAnsiTheme="minorEastAsia" w:eastAsiaTheme="minorEastAsia" w:cstheme="minorEastAsia"/>
          <w:sz w:val="24"/>
          <w:szCs w:val="24"/>
        </w:rPr>
      </w:pPr>
    </w:p>
    <w:p w14:paraId="01AF70B5">
      <w:pPr>
        <w:spacing w:before="78" w:line="360" w:lineRule="auto"/>
        <w:ind w:left="16" w:right="121"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2.履约保证金有效期为甲乙双方最终验收后</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个月内</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到期后</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甲方向乙方 无息退还</w:t>
      </w:r>
      <w:r>
        <w:rPr>
          <w:rFonts w:hint="eastAsia" w:asciiTheme="minorEastAsia" w:hAnsiTheme="minorEastAsia" w:eastAsiaTheme="minorEastAsia" w:cstheme="minorEastAsia"/>
          <w:spacing w:val="-53"/>
          <w:sz w:val="24"/>
          <w:szCs w:val="24"/>
        </w:rPr>
        <w:t>。</w:t>
      </w:r>
    </w:p>
    <w:p w14:paraId="3979B4BC">
      <w:pPr>
        <w:spacing w:line="360" w:lineRule="auto"/>
        <w:ind w:left="11" w:right="118"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如乙方未能履行、</w:t>
      </w:r>
      <w:r>
        <w:rPr>
          <w:rFonts w:hint="eastAsia" w:asciiTheme="minorEastAsia" w:hAnsiTheme="minorEastAsia" w:eastAsiaTheme="minorEastAsia" w:cstheme="minorEastAsia"/>
          <w:spacing w:val="2"/>
          <w:sz w:val="24"/>
          <w:szCs w:val="24"/>
        </w:rPr>
        <w:t>或未能完全履行合同规定的义务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甲方有权从履约保证</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金中取得补偿。履约保证金扣除甲方应</w:t>
      </w:r>
      <w:r>
        <w:rPr>
          <w:rFonts w:hint="eastAsia" w:asciiTheme="minorEastAsia" w:hAnsiTheme="minorEastAsia" w:eastAsiaTheme="minorEastAsia" w:cstheme="minorEastAsia"/>
          <w:spacing w:val="2"/>
          <w:sz w:val="24"/>
          <w:szCs w:val="24"/>
        </w:rPr>
        <w:t>得的补偿后的余额在合同期满后</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天</w:t>
      </w:r>
      <w:r>
        <w:rPr>
          <w:rFonts w:hint="eastAsia" w:asciiTheme="minorEastAsia" w:hAnsiTheme="minorEastAsia" w:eastAsiaTheme="minorEastAsia" w:cstheme="minorEastAsia"/>
          <w:sz w:val="24"/>
          <w:szCs w:val="24"/>
        </w:rPr>
        <w:t xml:space="preserve"> 内无息退还乙方</w:t>
      </w:r>
      <w:r>
        <w:rPr>
          <w:rFonts w:hint="eastAsia" w:asciiTheme="minorEastAsia" w:hAnsiTheme="minorEastAsia" w:eastAsiaTheme="minorEastAsia" w:cstheme="minorEastAsia"/>
          <w:spacing w:val="-53"/>
          <w:sz w:val="24"/>
          <w:szCs w:val="24"/>
        </w:rPr>
        <w:t>。</w:t>
      </w:r>
    </w:p>
    <w:p w14:paraId="7A777C2F">
      <w:pPr>
        <w:spacing w:line="217" w:lineRule="auto"/>
        <w:ind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第七条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
          <w:sz w:val="24"/>
          <w:szCs w:val="24"/>
        </w:rPr>
        <w:t>交</w:t>
      </w:r>
      <w:r>
        <w:rPr>
          <w:rFonts w:hint="eastAsia" w:asciiTheme="minorEastAsia" w:hAnsiTheme="minorEastAsia" w:eastAsiaTheme="minorEastAsia" w:cstheme="minorEastAsia"/>
          <w:sz w:val="24"/>
          <w:szCs w:val="24"/>
        </w:rPr>
        <w:t>货和验收</w:t>
      </w:r>
    </w:p>
    <w:p w14:paraId="3286541D">
      <w:pPr>
        <w:spacing w:before="186" w:line="359" w:lineRule="auto"/>
        <w:ind w:left="734" w:right="1593" w:hanging="23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1.交货时间</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 xml:space="preserve"> 交货地点</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rPr>
        <w:t xml:space="preserve"> 安装调试时间：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w:t>
      </w:r>
    </w:p>
    <w:p w14:paraId="6D39D2B0">
      <w:pPr>
        <w:spacing w:before="2" w:line="360" w:lineRule="auto"/>
        <w:ind w:left="6" w:right="121"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乙方应对提供的货物作出全面自查和整理</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并列出清单</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作为甲方验收和 使用的技术条件依据</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清单应随提供的验收资料交给甲方</w:t>
      </w:r>
      <w:r>
        <w:rPr>
          <w:rFonts w:hint="eastAsia" w:asciiTheme="minorEastAsia" w:hAnsiTheme="minorEastAsia" w:eastAsiaTheme="minorEastAsia" w:cstheme="minorEastAsia"/>
          <w:spacing w:val="-27"/>
          <w:sz w:val="24"/>
          <w:szCs w:val="24"/>
        </w:rPr>
        <w:t>。</w:t>
      </w:r>
    </w:p>
    <w:p w14:paraId="5257F4D9">
      <w:pPr>
        <w:spacing w:line="359" w:lineRule="auto"/>
        <w:ind w:right="121" w:firstLine="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3.乙方提供的货物应包括本合</w:t>
      </w:r>
      <w:r>
        <w:rPr>
          <w:rFonts w:hint="eastAsia" w:asciiTheme="minorEastAsia" w:hAnsiTheme="minorEastAsia" w:eastAsiaTheme="minorEastAsia" w:cstheme="minorEastAsia"/>
          <w:sz w:val="24"/>
          <w:szCs w:val="24"/>
        </w:rPr>
        <w:t>同“第一条</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合同文件”规定的全部货物及其附 （辅</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资料</w:t>
      </w:r>
      <w:r>
        <w:rPr>
          <w:rFonts w:hint="eastAsia" w:asciiTheme="minorEastAsia" w:hAnsiTheme="minorEastAsia" w:eastAsiaTheme="minorEastAsia" w:cstheme="minorEastAsia"/>
          <w:spacing w:val="-14"/>
          <w:sz w:val="24"/>
          <w:szCs w:val="24"/>
        </w:rPr>
        <w:t>。</w:t>
      </w:r>
    </w:p>
    <w:p w14:paraId="2686707F">
      <w:pPr>
        <w:spacing w:line="360" w:lineRule="auto"/>
        <w:ind w:left="8" w:right="116"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4.甲方应当在到货后的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个工作日内对货物进行验收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货物验收时</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甲乙 </w:t>
      </w:r>
      <w:r>
        <w:rPr>
          <w:rFonts w:hint="eastAsia" w:asciiTheme="minorEastAsia" w:hAnsiTheme="minorEastAsia" w:eastAsiaTheme="minorEastAsia" w:cstheme="minorEastAsia"/>
          <w:spacing w:val="3"/>
          <w:sz w:val="24"/>
          <w:szCs w:val="24"/>
        </w:rPr>
        <w:t>双方必须同时在场</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双方共同确认货物与本合同规定的</w:t>
      </w:r>
      <w:r>
        <w:rPr>
          <w:rFonts w:hint="eastAsia" w:asciiTheme="minorEastAsia" w:hAnsiTheme="minorEastAsia" w:eastAsiaTheme="minorEastAsia" w:cstheme="minorEastAsia"/>
          <w:spacing w:val="2"/>
          <w:sz w:val="24"/>
          <w:szCs w:val="24"/>
        </w:rPr>
        <w:t>生产厂家产地</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格型号</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数量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质量</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技术参数和性能等是否一致</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所交付的货物不符合合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同规定的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甲方有权拒收</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乙方应及时按本合同规定和甲方要</w:t>
      </w:r>
      <w:r>
        <w:rPr>
          <w:rFonts w:hint="eastAsia" w:asciiTheme="minorEastAsia" w:hAnsiTheme="minorEastAsia" w:eastAsiaTheme="minorEastAsia" w:cstheme="minorEastAsia"/>
          <w:spacing w:val="2"/>
          <w:sz w:val="24"/>
          <w:szCs w:val="24"/>
        </w:rPr>
        <w:t>求免费对拒收货物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采取更换或其他必要的补救措施</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直至验收合格</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方视为乙方</w:t>
      </w:r>
      <w:r>
        <w:rPr>
          <w:rFonts w:hint="eastAsia" w:asciiTheme="minorEastAsia" w:hAnsiTheme="minorEastAsia" w:eastAsiaTheme="minorEastAsia" w:cstheme="minorEastAsia"/>
          <w:spacing w:val="2"/>
          <w:sz w:val="24"/>
          <w:szCs w:val="24"/>
        </w:rPr>
        <w:t>按本合同规定完成</w:t>
      </w:r>
      <w:r>
        <w:rPr>
          <w:rFonts w:hint="eastAsia" w:asciiTheme="minorEastAsia" w:hAnsiTheme="minorEastAsia" w:eastAsiaTheme="minorEastAsia" w:cstheme="minorEastAsia"/>
          <w:sz w:val="24"/>
          <w:szCs w:val="24"/>
        </w:rPr>
        <w:t xml:space="preserve"> 交货</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验收合格的</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43"/>
          <w:sz w:val="24"/>
          <w:szCs w:val="24"/>
        </w:rPr>
        <w:t>。</w:t>
      </w:r>
    </w:p>
    <w:p w14:paraId="29712D05">
      <w:pPr>
        <w:spacing w:before="2" w:line="360" w:lineRule="auto"/>
        <w:ind w:left="4"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需要乙方对货物（包括软件）或系</w:t>
      </w:r>
      <w:r>
        <w:rPr>
          <w:rFonts w:hint="eastAsia" w:asciiTheme="minorEastAsia" w:hAnsiTheme="minorEastAsia" w:eastAsiaTheme="minorEastAsia" w:cstheme="minorEastAsia"/>
          <w:spacing w:val="2"/>
          <w:sz w:val="24"/>
          <w:szCs w:val="24"/>
        </w:rPr>
        <w:t>统进行安装调试的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甲乙双方应在货物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安装调试完</w:t>
      </w:r>
      <w:r>
        <w:rPr>
          <w:rFonts w:hint="eastAsia" w:asciiTheme="minorEastAsia" w:hAnsiTheme="minorEastAsia" w:eastAsiaTheme="minorEastAsia" w:cstheme="minorEastAsia"/>
          <w:spacing w:val="2"/>
          <w:sz w:val="24"/>
          <w:szCs w:val="24"/>
        </w:rPr>
        <w:t>毕后的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个工作日内进行运行效果验收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在验收之前</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乙方需提前</w:t>
      </w:r>
      <w:r>
        <w:rPr>
          <w:rFonts w:hint="eastAsia" w:asciiTheme="minorEastAsia" w:hAnsiTheme="minorEastAsia" w:eastAsiaTheme="minorEastAsia" w:cstheme="minorEastAsia"/>
          <w:sz w:val="24"/>
          <w:szCs w:val="24"/>
        </w:rPr>
        <w:t xml:space="preserve"> 提交相应的调试计划（包括调试程序</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环境</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内容和检验标准</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调试时间安排等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供甲方确认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乙方还应对所有检验验收调试的结果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步骤</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原始数</w:t>
      </w:r>
      <w:r>
        <w:rPr>
          <w:rFonts w:hint="eastAsia" w:asciiTheme="minorEastAsia" w:hAnsiTheme="minorEastAsia" w:eastAsiaTheme="minorEastAsia" w:cstheme="minorEastAsia"/>
          <w:spacing w:val="2"/>
          <w:sz w:val="24"/>
          <w:szCs w:val="24"/>
        </w:rPr>
        <w:t>据等作妥善记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如甲方要求</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乙方应将记录提供给甲方</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调试检验出现全部或</w:t>
      </w:r>
      <w:r>
        <w:rPr>
          <w:rFonts w:hint="eastAsia" w:asciiTheme="minorEastAsia" w:hAnsiTheme="minorEastAsia" w:eastAsiaTheme="minorEastAsia" w:cstheme="minorEastAsia"/>
          <w:spacing w:val="2"/>
          <w:sz w:val="24"/>
          <w:szCs w:val="24"/>
        </w:rPr>
        <w:t>部分未达到本</w:t>
      </w:r>
      <w:r>
        <w:rPr>
          <w:rFonts w:hint="eastAsia" w:asciiTheme="minorEastAsia" w:hAnsiTheme="minorEastAsia" w:eastAsiaTheme="minorEastAsia" w:cstheme="minorEastAsia"/>
          <w:sz w:val="24"/>
          <w:szCs w:val="24"/>
        </w:rPr>
        <w:t xml:space="preserve"> 合同所约定的技术指标</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甲方有权选择下列任一处理方式</w:t>
      </w:r>
      <w:r>
        <w:rPr>
          <w:rFonts w:hint="eastAsia" w:asciiTheme="minorEastAsia" w:hAnsiTheme="minorEastAsia" w:eastAsiaTheme="minorEastAsia" w:cstheme="minorEastAsia"/>
          <w:spacing w:val="-33"/>
          <w:sz w:val="24"/>
          <w:szCs w:val="24"/>
        </w:rPr>
        <w:t>：</w:t>
      </w:r>
    </w:p>
    <w:p w14:paraId="3007AFDC">
      <w:pPr>
        <w:spacing w:before="1" w:line="217" w:lineRule="auto"/>
        <w:ind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a.重新调试直至合格为止</w:t>
      </w:r>
      <w:r>
        <w:rPr>
          <w:rFonts w:hint="eastAsia" w:asciiTheme="minorEastAsia" w:hAnsiTheme="minorEastAsia" w:eastAsiaTheme="minorEastAsia" w:cstheme="minorEastAsia"/>
          <w:spacing w:val="-70"/>
          <w:sz w:val="24"/>
          <w:szCs w:val="24"/>
        </w:rPr>
        <w:t>；</w:t>
      </w:r>
    </w:p>
    <w:p w14:paraId="2E2F61F4">
      <w:pPr>
        <w:spacing w:before="182" w:line="370" w:lineRule="auto"/>
        <w:ind w:left="523" w:right="1473" w:hanging="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b.要求乙方对货物进行免费更换</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然后重新调试直至合格为止</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 xml:space="preserve"> 甲方因乙方原因所产生的所有费用均由乙方负担</w:t>
      </w:r>
      <w:r>
        <w:rPr>
          <w:rFonts w:hint="eastAsia" w:asciiTheme="minorEastAsia" w:hAnsiTheme="minorEastAsia" w:eastAsiaTheme="minorEastAsia" w:cstheme="minorEastAsia"/>
          <w:spacing w:val="-89"/>
          <w:sz w:val="24"/>
          <w:szCs w:val="24"/>
        </w:rPr>
        <w:t>。</w:t>
      </w:r>
    </w:p>
    <w:p w14:paraId="701BC8F0">
      <w:pPr>
        <w:rPr>
          <w:rFonts w:hint="eastAsia" w:asciiTheme="minorEastAsia" w:hAnsiTheme="minorEastAsia" w:eastAsiaTheme="minorEastAsia" w:cstheme="minorEastAsia"/>
          <w:sz w:val="24"/>
          <w:szCs w:val="24"/>
        </w:rPr>
        <w:sectPr>
          <w:pgSz w:w="11905" w:h="16840"/>
          <w:pgMar w:top="400" w:right="1578" w:bottom="0" w:left="1701" w:header="0" w:footer="0" w:gutter="0"/>
          <w:pgNumType w:fmt="decimal"/>
          <w:cols w:space="720" w:num="1"/>
        </w:sectPr>
      </w:pPr>
    </w:p>
    <w:p w14:paraId="28B5D9F9">
      <w:pPr>
        <w:spacing w:line="266" w:lineRule="auto"/>
        <w:rPr>
          <w:rFonts w:hint="eastAsia" w:asciiTheme="minorEastAsia" w:hAnsiTheme="minorEastAsia" w:eastAsiaTheme="minorEastAsia" w:cstheme="minorEastAsia"/>
          <w:sz w:val="24"/>
          <w:szCs w:val="24"/>
        </w:rPr>
      </w:pPr>
    </w:p>
    <w:p w14:paraId="492F338C">
      <w:pPr>
        <w:spacing w:line="266" w:lineRule="auto"/>
        <w:rPr>
          <w:rFonts w:hint="eastAsia" w:asciiTheme="minorEastAsia" w:hAnsiTheme="minorEastAsia" w:eastAsiaTheme="minorEastAsia" w:cstheme="minorEastAsia"/>
          <w:sz w:val="24"/>
          <w:szCs w:val="24"/>
        </w:rPr>
      </w:pPr>
    </w:p>
    <w:p w14:paraId="3B4FB39E">
      <w:pPr>
        <w:spacing w:line="266" w:lineRule="auto"/>
        <w:rPr>
          <w:rFonts w:hint="eastAsia" w:asciiTheme="minorEastAsia" w:hAnsiTheme="minorEastAsia" w:eastAsiaTheme="minorEastAsia" w:cstheme="minorEastAsia"/>
          <w:sz w:val="24"/>
          <w:szCs w:val="24"/>
        </w:rPr>
      </w:pPr>
    </w:p>
    <w:p w14:paraId="3261A7CF">
      <w:pPr>
        <w:spacing w:line="266" w:lineRule="auto"/>
        <w:rPr>
          <w:rFonts w:hint="eastAsia" w:asciiTheme="minorEastAsia" w:hAnsiTheme="minorEastAsia" w:eastAsiaTheme="minorEastAsia" w:cstheme="minorEastAsia"/>
          <w:sz w:val="24"/>
          <w:szCs w:val="24"/>
        </w:rPr>
      </w:pPr>
    </w:p>
    <w:p w14:paraId="4CCCB3AD">
      <w:pPr>
        <w:spacing w:line="267" w:lineRule="auto"/>
        <w:rPr>
          <w:rFonts w:hint="eastAsia" w:asciiTheme="minorEastAsia" w:hAnsiTheme="minorEastAsia" w:eastAsiaTheme="minorEastAsia" w:cstheme="minorEastAsia"/>
          <w:sz w:val="24"/>
          <w:szCs w:val="24"/>
        </w:rPr>
      </w:pPr>
    </w:p>
    <w:p w14:paraId="22DA8C34">
      <w:pPr>
        <w:spacing w:before="78"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6.验收合格的</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由双方共同签署《验收报告》</w:t>
      </w:r>
      <w:r>
        <w:rPr>
          <w:rFonts w:hint="eastAsia" w:asciiTheme="minorEastAsia" w:hAnsiTheme="minorEastAsia" w:eastAsiaTheme="minorEastAsia" w:cstheme="minorEastAsia"/>
          <w:spacing w:val="-70"/>
          <w:sz w:val="24"/>
          <w:szCs w:val="24"/>
        </w:rPr>
        <w:t>。</w:t>
      </w:r>
    </w:p>
    <w:p w14:paraId="78552214">
      <w:pPr>
        <w:spacing w:before="104" w:line="367" w:lineRule="auto"/>
        <w:ind w:left="35" w:right="4" w:firstLine="4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7.甲方可以视项目规模或复杂情况聘请专业人员参与验收</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大型或复杂项目</w:t>
      </w:r>
      <w:r>
        <w:rPr>
          <w:rFonts w:hint="eastAsia" w:asciiTheme="minorEastAsia" w:hAnsiTheme="minorEastAsia" w:eastAsiaTheme="minorEastAsia" w:cstheme="minorEastAsia"/>
          <w:spacing w:val="-47"/>
          <w:sz w:val="24"/>
          <w:szCs w:val="24"/>
        </w:rPr>
        <w:t>，</w:t>
      </w:r>
      <w:r>
        <w:rPr>
          <w:rFonts w:hint="eastAsia" w:asciiTheme="minorEastAsia" w:hAnsiTheme="minorEastAsia" w:eastAsiaTheme="minorEastAsia" w:cstheme="minorEastAsia"/>
          <w:sz w:val="24"/>
          <w:szCs w:val="24"/>
        </w:rPr>
        <w:t xml:space="preserve"> 以及特种货物应当邀请国家认可的第三方质量检测机构参与验收</w:t>
      </w:r>
      <w:r>
        <w:rPr>
          <w:rFonts w:hint="eastAsia" w:asciiTheme="minorEastAsia" w:hAnsiTheme="minorEastAsia" w:eastAsiaTheme="minorEastAsia" w:cstheme="minorEastAsia"/>
          <w:spacing w:val="-88"/>
          <w:sz w:val="24"/>
          <w:szCs w:val="24"/>
        </w:rPr>
        <w:t>。</w:t>
      </w:r>
    </w:p>
    <w:p w14:paraId="29DB941A">
      <w:pPr>
        <w:spacing w:before="60" w:line="360" w:lineRule="auto"/>
        <w:ind w:right="67"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w:t>
      </w:r>
      <w:r>
        <w:rPr>
          <w:rFonts w:hint="eastAsia" w:asciiTheme="minorEastAsia" w:hAnsiTheme="minorEastAsia" w:eastAsiaTheme="minorEastAsia" w:cstheme="minorEastAsia"/>
          <w:spacing w:val="3"/>
          <w:sz w:val="24"/>
          <w:szCs w:val="24"/>
        </w:rPr>
        <w:t>货物验收包括：货物包装是否</w:t>
      </w:r>
      <w:r>
        <w:rPr>
          <w:rFonts w:hint="eastAsia" w:asciiTheme="minorEastAsia" w:hAnsiTheme="minorEastAsia" w:eastAsiaTheme="minorEastAsia" w:cstheme="minorEastAsia"/>
          <w:spacing w:val="2"/>
          <w:sz w:val="24"/>
          <w:szCs w:val="24"/>
        </w:rPr>
        <w:t>完好</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产地生产厂家名称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品牌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型号</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规</w:t>
      </w:r>
      <w:r>
        <w:rPr>
          <w:rFonts w:hint="eastAsia" w:asciiTheme="minorEastAsia" w:hAnsiTheme="minorEastAsia" w:eastAsiaTheme="minorEastAsia" w:cstheme="minorEastAsia"/>
          <w:sz w:val="24"/>
          <w:szCs w:val="24"/>
        </w:rPr>
        <w:t xml:space="preserve"> 格</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数量、外观质量、配置、内在质量，</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 xml:space="preserve">以及调试运行是否达到“第一条合同文 </w:t>
      </w:r>
      <w:r>
        <w:rPr>
          <w:rFonts w:hint="eastAsia" w:asciiTheme="minorEastAsia" w:hAnsiTheme="minorEastAsia" w:eastAsiaTheme="minorEastAsia" w:cstheme="minorEastAsia"/>
          <w:spacing w:val="3"/>
          <w:sz w:val="24"/>
          <w:szCs w:val="24"/>
        </w:rPr>
        <w:t>件”规定的效果</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乙方应将所提供货物的装箱清单</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产</w:t>
      </w:r>
      <w:r>
        <w:rPr>
          <w:rFonts w:hint="eastAsia" w:asciiTheme="minorEastAsia" w:hAnsiTheme="minorEastAsia" w:eastAsiaTheme="minorEastAsia" w:cstheme="minorEastAsia"/>
          <w:spacing w:val="2"/>
          <w:sz w:val="24"/>
          <w:szCs w:val="24"/>
        </w:rPr>
        <w:t>品合格证</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甲方手册</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厂保修卡、</w:t>
      </w:r>
      <w:r>
        <w:rPr>
          <w:rFonts w:hint="eastAsia" w:asciiTheme="minorEastAsia" w:hAnsiTheme="minorEastAsia" w:eastAsiaTheme="minorEastAsia" w:cstheme="minorEastAsia"/>
          <w:spacing w:val="2"/>
          <w:sz w:val="24"/>
          <w:szCs w:val="24"/>
        </w:rPr>
        <w:t>随机资料及备品备件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易损件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专用工具等交付给甲方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乙方不能完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整交付货物</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附（辅</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件和资料的</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视为未按合同约</w:t>
      </w:r>
      <w:r>
        <w:rPr>
          <w:rFonts w:hint="eastAsia" w:asciiTheme="minorEastAsia" w:hAnsiTheme="minorEastAsia" w:eastAsiaTheme="minorEastAsia" w:cstheme="minorEastAsia"/>
          <w:spacing w:val="2"/>
          <w:sz w:val="24"/>
          <w:szCs w:val="24"/>
        </w:rPr>
        <w:t>定交货</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乙方负责补齐</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因</w:t>
      </w:r>
      <w:r>
        <w:rPr>
          <w:rFonts w:hint="eastAsia" w:asciiTheme="minorEastAsia" w:hAnsiTheme="minorEastAsia" w:eastAsiaTheme="minorEastAsia" w:cstheme="minorEastAsia"/>
          <w:sz w:val="24"/>
          <w:szCs w:val="24"/>
        </w:rPr>
        <w:t xml:space="preserve"> 此导致逾期交付的</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由乙方承担相关的违约责任</w:t>
      </w:r>
      <w:r>
        <w:rPr>
          <w:rFonts w:hint="eastAsia" w:asciiTheme="minorEastAsia" w:hAnsiTheme="minorEastAsia" w:eastAsiaTheme="minorEastAsia" w:cstheme="minorEastAsia"/>
          <w:spacing w:val="-26"/>
          <w:sz w:val="24"/>
          <w:szCs w:val="24"/>
        </w:rPr>
        <w:t>。</w:t>
      </w:r>
    </w:p>
    <w:p w14:paraId="683F5F6E">
      <w:pPr>
        <w:spacing w:line="359" w:lineRule="auto"/>
        <w:ind w:left="37" w:right="3"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9.货物达不到本合同“第一条合同文件”规定的数量</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质量要求和运行效果</w:t>
      </w:r>
      <w:r>
        <w:rPr>
          <w:rFonts w:hint="eastAsia" w:asciiTheme="minorEastAsia" w:hAnsiTheme="minorEastAsia" w:eastAsiaTheme="minorEastAsia" w:cstheme="minorEastAsia"/>
          <w:spacing w:val="-45"/>
          <w:sz w:val="24"/>
          <w:szCs w:val="24"/>
        </w:rPr>
        <w:t>，</w:t>
      </w:r>
      <w:r>
        <w:rPr>
          <w:rFonts w:hint="eastAsia" w:asciiTheme="minorEastAsia" w:hAnsiTheme="minorEastAsia" w:eastAsiaTheme="minorEastAsia" w:cstheme="minorEastAsia"/>
          <w:sz w:val="24"/>
          <w:szCs w:val="24"/>
        </w:rPr>
        <w:t xml:space="preserve"> 甲方有权拒收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并可以解除合同</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由此引起甲方损失及赔偿责任由乙方承担</w:t>
      </w:r>
      <w:r>
        <w:rPr>
          <w:rFonts w:hint="eastAsia" w:asciiTheme="minorEastAsia" w:hAnsiTheme="minorEastAsia" w:eastAsiaTheme="minorEastAsia" w:cstheme="minorEastAsia"/>
          <w:spacing w:val="-30"/>
          <w:sz w:val="24"/>
          <w:szCs w:val="24"/>
        </w:rPr>
        <w:t>。</w:t>
      </w:r>
    </w:p>
    <w:p w14:paraId="16C06BD0">
      <w:pPr>
        <w:spacing w:before="2" w:line="360" w:lineRule="auto"/>
        <w:ind w:left="6"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10.如果合同双方对《验收报告》有分歧</w:t>
      </w:r>
      <w:r>
        <w:rPr>
          <w:rFonts w:hint="eastAsia" w:asciiTheme="minorEastAsia" w:hAnsiTheme="minorEastAsia" w:eastAsiaTheme="minorEastAsia" w:cstheme="minorEastAsia"/>
          <w:spacing w:val="-39"/>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双方须于出现分歧后</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天内给对 方书面声明</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以陈述己方的理由及要求</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并附有关证据</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分歧应通过协商解决</w:t>
      </w:r>
      <w:r>
        <w:rPr>
          <w:rFonts w:hint="eastAsia" w:asciiTheme="minorEastAsia" w:hAnsiTheme="minorEastAsia" w:eastAsiaTheme="minorEastAsia" w:cstheme="minorEastAsia"/>
          <w:spacing w:val="-15"/>
          <w:sz w:val="24"/>
          <w:szCs w:val="24"/>
        </w:rPr>
        <w:t>。</w:t>
      </w:r>
    </w:p>
    <w:p w14:paraId="589762B8">
      <w:pPr>
        <w:spacing w:line="217"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第八</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项目管理服务</w:t>
      </w:r>
    </w:p>
    <w:p w14:paraId="6F3D7F64">
      <w:pPr>
        <w:spacing w:before="185" w:line="468" w:lineRule="exact"/>
        <w:ind w:firstLine="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乙方应指定不少于一人全权全程负责本项目的商务服务，以及货物安</w:t>
      </w:r>
      <w:r>
        <w:rPr>
          <w:rFonts w:hint="eastAsia" w:asciiTheme="minorEastAsia" w:hAnsiTheme="minorEastAsia" w:eastAsiaTheme="minorEastAsia" w:cstheme="minorEastAsia"/>
          <w:spacing w:val="1"/>
          <w:position w:val="17"/>
          <w:sz w:val="24"/>
          <w:szCs w:val="24"/>
        </w:rPr>
        <w:t>装</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position w:val="17"/>
          <w:sz w:val="24"/>
          <w:szCs w:val="24"/>
        </w:rPr>
        <w:t>调</w:t>
      </w:r>
    </w:p>
    <w:p w14:paraId="60E734E9">
      <w:pPr>
        <w:spacing w:line="21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咨询</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培训和售后等技术服务工作</w:t>
      </w:r>
      <w:r>
        <w:rPr>
          <w:rFonts w:hint="eastAsia" w:asciiTheme="minorEastAsia" w:hAnsiTheme="minorEastAsia" w:eastAsiaTheme="minorEastAsia" w:cstheme="minorEastAsia"/>
          <w:spacing w:val="-18"/>
          <w:sz w:val="24"/>
          <w:szCs w:val="24"/>
        </w:rPr>
        <w:t>。</w:t>
      </w:r>
    </w:p>
    <w:p w14:paraId="506D56C7">
      <w:pPr>
        <w:spacing w:before="110" w:line="217" w:lineRule="auto"/>
        <w:ind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项目负责人姓名</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7"/>
          <w:sz w:val="24"/>
          <w:szCs w:val="24"/>
        </w:rPr>
        <w:t>。</w:t>
      </w:r>
    </w:p>
    <w:p w14:paraId="5A4C8D72">
      <w:pPr>
        <w:spacing w:before="263" w:line="216" w:lineRule="auto"/>
        <w:ind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第九条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
          <w:sz w:val="24"/>
          <w:szCs w:val="24"/>
        </w:rPr>
        <w:t>售</w:t>
      </w:r>
      <w:r>
        <w:rPr>
          <w:rFonts w:hint="eastAsia" w:asciiTheme="minorEastAsia" w:hAnsiTheme="minorEastAsia" w:eastAsiaTheme="minorEastAsia" w:cstheme="minorEastAsia"/>
          <w:sz w:val="24"/>
          <w:szCs w:val="24"/>
        </w:rPr>
        <w:t>后服务</w:t>
      </w:r>
    </w:p>
    <w:p w14:paraId="266DA01E">
      <w:pPr>
        <w:spacing w:before="187" w:line="359" w:lineRule="auto"/>
        <w:ind w:left="3" w:right="68"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质量保证期为自货</w:t>
      </w:r>
      <w:r>
        <w:rPr>
          <w:rFonts w:hint="eastAsia" w:asciiTheme="minorEastAsia" w:hAnsiTheme="minorEastAsia" w:eastAsiaTheme="minorEastAsia" w:cstheme="minorEastAsia"/>
          <w:spacing w:val="2"/>
          <w:sz w:val="24"/>
          <w:szCs w:val="24"/>
        </w:rPr>
        <w:t>物通过最终验收之日起</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个月</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若国家有明确规定的</w:t>
      </w:r>
      <w:r>
        <w:rPr>
          <w:rFonts w:hint="eastAsia" w:asciiTheme="minorEastAsia" w:hAnsiTheme="minorEastAsia" w:eastAsiaTheme="minorEastAsia" w:cstheme="minorEastAsia"/>
          <w:sz w:val="24"/>
          <w:szCs w:val="24"/>
        </w:rPr>
        <w:t xml:space="preserve"> 质量保证期高于此质量保证期的</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执行国家规定</w:t>
      </w:r>
      <w:r>
        <w:rPr>
          <w:rFonts w:hint="eastAsia" w:asciiTheme="minorEastAsia" w:hAnsiTheme="minorEastAsia" w:eastAsiaTheme="minorEastAsia" w:cstheme="minorEastAsia"/>
          <w:spacing w:val="-28"/>
          <w:sz w:val="24"/>
          <w:szCs w:val="24"/>
        </w:rPr>
        <w:t>。</w:t>
      </w:r>
    </w:p>
    <w:p w14:paraId="6E733606">
      <w:pPr>
        <w:spacing w:line="360" w:lineRule="auto"/>
        <w:ind w:left="6" w:right="86"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2.在货物质保期内</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乙方应对由于设计</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工艺</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质量（含环保节能要求</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材 料和的缺陷而发生的任何不足或故障负责</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z w:val="24"/>
          <w:szCs w:val="24"/>
        </w:rPr>
        <w:t>并解决存在的问题</w:t>
      </w:r>
      <w:r>
        <w:rPr>
          <w:rFonts w:hint="eastAsia" w:asciiTheme="minorEastAsia" w:hAnsiTheme="minorEastAsia" w:eastAsiaTheme="minorEastAsia" w:cstheme="minorEastAsia"/>
          <w:spacing w:val="-30"/>
          <w:sz w:val="24"/>
          <w:szCs w:val="24"/>
        </w:rPr>
        <w:t>。</w:t>
      </w:r>
    </w:p>
    <w:p w14:paraId="78839D6C">
      <w:pPr>
        <w:spacing w:line="360" w:lineRule="auto"/>
        <w:ind w:left="10" w:right="68"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
          <w:sz w:val="24"/>
          <w:szCs w:val="24"/>
        </w:rPr>
        <w:t>对不符合本合同第</w:t>
      </w:r>
      <w:r>
        <w:rPr>
          <w:rFonts w:hint="eastAsia" w:asciiTheme="minorEastAsia" w:hAnsiTheme="minorEastAsia" w:eastAsiaTheme="minorEastAsia" w:cstheme="minorEastAsia"/>
          <w:spacing w:val="2"/>
          <w:sz w:val="24"/>
          <w:szCs w:val="24"/>
        </w:rPr>
        <w:t>四条规定要求的货物应立即进行调换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调换本身并不影</w:t>
      </w:r>
      <w:r>
        <w:rPr>
          <w:rFonts w:hint="eastAsia" w:asciiTheme="minorEastAsia" w:hAnsiTheme="minorEastAsia" w:eastAsiaTheme="minorEastAsia" w:cstheme="minorEastAsia"/>
          <w:sz w:val="24"/>
          <w:szCs w:val="24"/>
        </w:rPr>
        <w:t xml:space="preserve"> 响甲方就其损失向乙方索赔的权利</w:t>
      </w:r>
      <w:r>
        <w:rPr>
          <w:rFonts w:hint="eastAsia" w:asciiTheme="minorEastAsia" w:hAnsiTheme="minorEastAsia" w:eastAsiaTheme="minorEastAsia" w:cstheme="minorEastAsia"/>
          <w:spacing w:val="-62"/>
          <w:sz w:val="24"/>
          <w:szCs w:val="24"/>
        </w:rPr>
        <w:t>。</w:t>
      </w:r>
    </w:p>
    <w:p w14:paraId="6DED05AB">
      <w:pPr>
        <w:spacing w:before="3" w:line="363" w:lineRule="auto"/>
        <w:ind w:left="6" w:right="67"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3"/>
          <w:sz w:val="24"/>
          <w:szCs w:val="24"/>
        </w:rPr>
        <w:t>货物安装调试完成后，乙方应继续向甲方提</w:t>
      </w:r>
      <w:r>
        <w:rPr>
          <w:rFonts w:hint="eastAsia" w:asciiTheme="minorEastAsia" w:hAnsiTheme="minorEastAsia" w:eastAsiaTheme="minorEastAsia" w:cstheme="minorEastAsia"/>
          <w:spacing w:val="2"/>
          <w:sz w:val="24"/>
          <w:szCs w:val="24"/>
        </w:rPr>
        <w:t>供良好的技术支持</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应当由专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门队伍从事此项工作，并提供全天候的热线技术支持</w:t>
      </w:r>
      <w:r>
        <w:rPr>
          <w:rFonts w:hint="eastAsia" w:asciiTheme="minorEastAsia" w:hAnsiTheme="minorEastAsia" w:eastAsiaTheme="minorEastAsia" w:cstheme="minorEastAsia"/>
          <w:spacing w:val="2"/>
          <w:sz w:val="24"/>
          <w:szCs w:val="24"/>
        </w:rPr>
        <w:t>服务</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应当对甲方所反映的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任何问题在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日（</w:t>
      </w:r>
      <w:r>
        <w:rPr>
          <w:rFonts w:hint="eastAsia" w:asciiTheme="minorEastAsia" w:hAnsiTheme="minorEastAsia" w:eastAsiaTheme="minorEastAsia" w:cstheme="minorEastAsia"/>
          <w:spacing w:val="2"/>
          <w:sz w:val="24"/>
          <w:szCs w:val="24"/>
        </w:rPr>
        <w:t>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之内做出及时响应</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之内赶到现场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实地解决问题。若问题、故障</w:t>
      </w:r>
      <w:r>
        <w:rPr>
          <w:rFonts w:hint="eastAsia" w:asciiTheme="minorEastAsia" w:hAnsiTheme="minorEastAsia" w:eastAsiaTheme="minorEastAsia" w:cstheme="minorEastAsia"/>
          <w:spacing w:val="2"/>
          <w:sz w:val="24"/>
          <w:szCs w:val="24"/>
        </w:rPr>
        <w:t>在检修</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工作日（小时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后仍无法解决</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w:t>
      </w:r>
    </w:p>
    <w:p w14:paraId="509655EF">
      <w:pPr>
        <w:rPr>
          <w:rFonts w:hint="eastAsia" w:asciiTheme="minorEastAsia" w:hAnsiTheme="minorEastAsia" w:eastAsiaTheme="minorEastAsia" w:cstheme="minorEastAsia"/>
          <w:sz w:val="24"/>
          <w:szCs w:val="24"/>
        </w:rPr>
        <w:sectPr>
          <w:pgSz w:w="11905" w:h="16840"/>
          <w:pgMar w:top="400" w:right="1628" w:bottom="0" w:left="1708" w:header="0" w:footer="0" w:gutter="0"/>
          <w:pgNumType w:fmt="decimal"/>
          <w:cols w:space="720" w:num="1"/>
        </w:sectPr>
      </w:pPr>
    </w:p>
    <w:p w14:paraId="76C49D02">
      <w:pPr>
        <w:spacing w:line="265" w:lineRule="auto"/>
        <w:rPr>
          <w:rFonts w:hint="eastAsia" w:asciiTheme="minorEastAsia" w:hAnsiTheme="minorEastAsia" w:eastAsiaTheme="minorEastAsia" w:cstheme="minorEastAsia"/>
          <w:sz w:val="24"/>
          <w:szCs w:val="24"/>
        </w:rPr>
      </w:pPr>
    </w:p>
    <w:p w14:paraId="0E7847E4">
      <w:pPr>
        <w:spacing w:line="266" w:lineRule="auto"/>
        <w:rPr>
          <w:rFonts w:hint="eastAsia" w:asciiTheme="minorEastAsia" w:hAnsiTheme="minorEastAsia" w:eastAsiaTheme="minorEastAsia" w:cstheme="minorEastAsia"/>
          <w:sz w:val="24"/>
          <w:szCs w:val="24"/>
        </w:rPr>
      </w:pPr>
    </w:p>
    <w:p w14:paraId="158842A7">
      <w:pPr>
        <w:spacing w:line="266" w:lineRule="auto"/>
        <w:rPr>
          <w:rFonts w:hint="eastAsia" w:asciiTheme="minorEastAsia" w:hAnsiTheme="minorEastAsia" w:eastAsiaTheme="minorEastAsia" w:cstheme="minorEastAsia"/>
          <w:sz w:val="24"/>
          <w:szCs w:val="24"/>
        </w:rPr>
      </w:pPr>
    </w:p>
    <w:p w14:paraId="2F471B22">
      <w:pPr>
        <w:spacing w:line="266" w:lineRule="auto"/>
        <w:rPr>
          <w:rFonts w:hint="eastAsia" w:asciiTheme="minorEastAsia" w:hAnsiTheme="minorEastAsia" w:eastAsiaTheme="minorEastAsia" w:cstheme="minorEastAsia"/>
          <w:sz w:val="24"/>
          <w:szCs w:val="24"/>
        </w:rPr>
      </w:pPr>
    </w:p>
    <w:p w14:paraId="794B6C61">
      <w:pPr>
        <w:spacing w:line="266" w:lineRule="auto"/>
        <w:rPr>
          <w:rFonts w:hint="eastAsia" w:asciiTheme="minorEastAsia" w:hAnsiTheme="minorEastAsia" w:eastAsiaTheme="minorEastAsia" w:cstheme="minorEastAsia"/>
          <w:sz w:val="24"/>
          <w:szCs w:val="24"/>
        </w:rPr>
      </w:pPr>
    </w:p>
    <w:p w14:paraId="1E4A207F">
      <w:pPr>
        <w:spacing w:before="78" w:line="360" w:lineRule="auto"/>
        <w:ind w:right="64"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日（小时</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内免费提供不低于故障货物规格型号档次的备用货物供甲方使 用</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直至故障货物修复</w:t>
      </w:r>
      <w:r>
        <w:rPr>
          <w:rFonts w:hint="eastAsia" w:asciiTheme="minorEastAsia" w:hAnsiTheme="minorEastAsia" w:eastAsiaTheme="minorEastAsia" w:cstheme="minorEastAsia"/>
          <w:spacing w:val="-26"/>
          <w:sz w:val="24"/>
          <w:szCs w:val="24"/>
        </w:rPr>
        <w:t>。</w:t>
      </w:r>
    </w:p>
    <w:p w14:paraId="793A7455">
      <w:pPr>
        <w:spacing w:before="1" w:line="359" w:lineRule="auto"/>
        <w:ind w:left="2" w:right="61"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
          <w:sz w:val="24"/>
          <w:szCs w:val="24"/>
        </w:rPr>
        <w:t>乙方应当建立健全售后服务体系，</w:t>
      </w:r>
      <w:r>
        <w:rPr>
          <w:rFonts w:hint="eastAsia" w:asciiTheme="minorEastAsia" w:hAnsiTheme="minorEastAsia" w:eastAsiaTheme="minorEastAsia" w:cstheme="minorEastAsia"/>
          <w:spacing w:val="2"/>
          <w:sz w:val="24"/>
          <w:szCs w:val="24"/>
        </w:rPr>
        <w:t>确保货物正常运行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乙方应当遵守甲方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的有关管理制度、操作规程。对于乙方违规操作造成甲</w:t>
      </w:r>
      <w:r>
        <w:rPr>
          <w:rFonts w:hint="eastAsia" w:asciiTheme="minorEastAsia" w:hAnsiTheme="minorEastAsia" w:eastAsiaTheme="minorEastAsia" w:cstheme="minorEastAsia"/>
          <w:spacing w:val="2"/>
          <w:sz w:val="24"/>
          <w:szCs w:val="24"/>
        </w:rPr>
        <w:t>方损失的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由乙方按照本</w:t>
      </w:r>
      <w:r>
        <w:rPr>
          <w:rFonts w:hint="eastAsia" w:asciiTheme="minorEastAsia" w:hAnsiTheme="minorEastAsia" w:eastAsiaTheme="minorEastAsia" w:cstheme="minorEastAsia"/>
          <w:sz w:val="24"/>
          <w:szCs w:val="24"/>
        </w:rPr>
        <w:t xml:space="preserve"> 合同第十二条的约定承担赔偿责任</w:t>
      </w:r>
      <w:r>
        <w:rPr>
          <w:rFonts w:hint="eastAsia" w:asciiTheme="minorEastAsia" w:hAnsiTheme="minorEastAsia" w:eastAsiaTheme="minorEastAsia" w:cstheme="minorEastAsia"/>
          <w:spacing w:val="-58"/>
          <w:sz w:val="24"/>
          <w:szCs w:val="24"/>
        </w:rPr>
        <w:t>。</w:t>
      </w:r>
    </w:p>
    <w:p w14:paraId="743C3229">
      <w:pPr>
        <w:spacing w:before="2" w:line="360" w:lineRule="auto"/>
        <w:ind w:left="7" w:right="6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
          <w:sz w:val="24"/>
          <w:szCs w:val="24"/>
        </w:rPr>
        <w:t>乙方</w:t>
      </w:r>
      <w:r>
        <w:rPr>
          <w:rFonts w:hint="eastAsia" w:asciiTheme="minorEastAsia" w:hAnsiTheme="minorEastAsia" w:eastAsiaTheme="minorEastAsia" w:cstheme="minorEastAsia"/>
          <w:spacing w:val="2"/>
          <w:sz w:val="24"/>
          <w:szCs w:val="24"/>
        </w:rPr>
        <w:t>应负责货物及主要部件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配件维修更换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质保期内</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乙方对货物（人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为故意损坏除外）提供全免费保修或免费</w:t>
      </w:r>
      <w:r>
        <w:rPr>
          <w:rFonts w:hint="eastAsia" w:asciiTheme="minorEastAsia" w:hAnsiTheme="minorEastAsia" w:eastAsiaTheme="minorEastAsia" w:cstheme="minorEastAsia"/>
          <w:spacing w:val="2"/>
          <w:sz w:val="24"/>
          <w:szCs w:val="24"/>
        </w:rPr>
        <w:t>更换</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质保期后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收取维修成本费（备</w:t>
      </w:r>
      <w:r>
        <w:rPr>
          <w:rFonts w:hint="eastAsia" w:asciiTheme="minorEastAsia" w:hAnsiTheme="minorEastAsia" w:eastAsiaTheme="minorEastAsia" w:cstheme="minorEastAsia"/>
          <w:sz w:val="24"/>
          <w:szCs w:val="24"/>
        </w:rPr>
        <w:t xml:space="preserve"> 品备件乙方应以投标文件承诺的优惠价格提供</w:t>
      </w:r>
      <w:r>
        <w:rPr>
          <w:rFonts w:hint="eastAsia" w:asciiTheme="minorEastAsia" w:hAnsiTheme="minorEastAsia" w:eastAsiaTheme="minorEastAsia" w:cstheme="minorEastAsia"/>
          <w:spacing w:val="-69"/>
          <w:sz w:val="24"/>
          <w:szCs w:val="24"/>
        </w:rPr>
        <w:t>）</w:t>
      </w:r>
      <w:r>
        <w:rPr>
          <w:rFonts w:hint="eastAsia" w:asciiTheme="minorEastAsia" w:hAnsiTheme="minorEastAsia" w:eastAsiaTheme="minorEastAsia" w:cstheme="minorEastAsia"/>
          <w:spacing w:val="-68"/>
          <w:sz w:val="24"/>
          <w:szCs w:val="24"/>
        </w:rPr>
        <w:t>。</w:t>
      </w:r>
    </w:p>
    <w:p w14:paraId="215B4141">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分包</w:t>
      </w:r>
    </w:p>
    <w:p w14:paraId="0CA80C16">
      <w:pPr>
        <w:spacing w:before="185" w:line="360" w:lineRule="auto"/>
        <w:ind w:right="80"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除招标采购文件事先说明</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且经甲方事先书面同意外</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乙方不得</w:t>
      </w:r>
      <w:r>
        <w:rPr>
          <w:rFonts w:hint="eastAsia" w:asciiTheme="minorEastAsia" w:hAnsiTheme="minorEastAsia" w:eastAsiaTheme="minorEastAsia" w:cstheme="minorEastAsia"/>
          <w:spacing w:val="1"/>
          <w:sz w:val="24"/>
          <w:szCs w:val="24"/>
        </w:rPr>
        <w:t>分包其应履</w:t>
      </w:r>
      <w:r>
        <w:rPr>
          <w:rFonts w:hint="eastAsia" w:asciiTheme="minorEastAsia" w:hAnsiTheme="minorEastAsia" w:eastAsiaTheme="minorEastAsia" w:cstheme="minorEastAsia"/>
          <w:sz w:val="24"/>
          <w:szCs w:val="24"/>
        </w:rPr>
        <w:t xml:space="preserve"> 行的合同义务</w:t>
      </w:r>
      <w:r>
        <w:rPr>
          <w:rFonts w:hint="eastAsia" w:asciiTheme="minorEastAsia" w:hAnsiTheme="minorEastAsia" w:eastAsiaTheme="minorEastAsia" w:cstheme="minorEastAsia"/>
          <w:spacing w:val="-50"/>
          <w:sz w:val="24"/>
          <w:szCs w:val="24"/>
        </w:rPr>
        <w:t>。</w:t>
      </w:r>
    </w:p>
    <w:p w14:paraId="63806489">
      <w:pPr>
        <w:spacing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第十一条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合同的生效</w:t>
      </w:r>
    </w:p>
    <w:p w14:paraId="712D8654">
      <w:pPr>
        <w:spacing w:before="186" w:line="215"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1.本合同经甲乙双方授权代表签订并加盖公章或合同专用章后生效</w:t>
      </w:r>
      <w:r>
        <w:rPr>
          <w:rFonts w:hint="eastAsia" w:asciiTheme="minorEastAsia" w:hAnsiTheme="minorEastAsia" w:eastAsiaTheme="minorEastAsia" w:cstheme="minorEastAsia"/>
          <w:spacing w:val="-71"/>
          <w:sz w:val="24"/>
          <w:szCs w:val="24"/>
        </w:rPr>
        <w:t>。</w:t>
      </w:r>
    </w:p>
    <w:p w14:paraId="77692FBC">
      <w:pPr>
        <w:spacing w:before="188" w:line="360" w:lineRule="auto"/>
        <w:ind w:left="2" w:right="65"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2.生效后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除《政府采购法》第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49</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50 条第二款规定的情形外</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z w:val="24"/>
          <w:szCs w:val="24"/>
        </w:rPr>
        <w:t>甲乙 双方不得擅自变更</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rPr>
        <w:t>中止或终止合同</w:t>
      </w:r>
      <w:r>
        <w:rPr>
          <w:rFonts w:hint="eastAsia" w:asciiTheme="minorEastAsia" w:hAnsiTheme="minorEastAsia" w:eastAsiaTheme="minorEastAsia" w:cstheme="minorEastAsia"/>
          <w:spacing w:val="-29"/>
          <w:sz w:val="24"/>
          <w:szCs w:val="24"/>
        </w:rPr>
        <w:t>。</w:t>
      </w:r>
    </w:p>
    <w:p w14:paraId="6D6CFF5C">
      <w:pPr>
        <w:spacing w:before="1" w:line="217" w:lineRule="auto"/>
        <w:ind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二条</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违约责任</w:t>
      </w:r>
    </w:p>
    <w:p w14:paraId="6C9790D9">
      <w:pPr>
        <w:spacing w:before="185" w:line="360" w:lineRule="auto"/>
        <w:ind w:right="61"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乙方所交付的货物不符合</w:t>
      </w:r>
      <w:r>
        <w:rPr>
          <w:rFonts w:hint="eastAsia" w:asciiTheme="minorEastAsia" w:hAnsiTheme="minorEastAsia" w:eastAsiaTheme="minorEastAsia" w:cstheme="minorEastAsia"/>
          <w:spacing w:val="2"/>
          <w:sz w:val="24"/>
          <w:szCs w:val="24"/>
        </w:rPr>
        <w:t>本合同规定的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甲方有权拒收</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乙方在得到甲方</w:t>
      </w:r>
      <w:r>
        <w:rPr>
          <w:rFonts w:hint="eastAsia" w:asciiTheme="minorEastAsia" w:hAnsiTheme="minorEastAsia" w:eastAsiaTheme="minorEastAsia" w:cstheme="minorEastAsia"/>
          <w:sz w:val="24"/>
          <w:szCs w:val="24"/>
        </w:rPr>
        <w:t xml:space="preserve"> 通知之日起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个工作日内采取补救措施</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逾期仍未采取有效措施的</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 xml:space="preserve">甲方有权 </w:t>
      </w:r>
      <w:r>
        <w:rPr>
          <w:rFonts w:hint="eastAsia" w:asciiTheme="minorEastAsia" w:hAnsiTheme="minorEastAsia" w:eastAsiaTheme="minorEastAsia" w:cstheme="minorEastAsia"/>
          <w:spacing w:val="3"/>
          <w:sz w:val="24"/>
          <w:szCs w:val="24"/>
        </w:rPr>
        <w:t>要求乙方赔偿因此造成的损失或扣留履约保证金</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同时乙方应</w:t>
      </w:r>
      <w:r>
        <w:rPr>
          <w:rFonts w:hint="eastAsia" w:asciiTheme="minorEastAsia" w:hAnsiTheme="minorEastAsia" w:eastAsiaTheme="minorEastAsia" w:cstheme="minorEastAsia"/>
          <w:spacing w:val="2"/>
          <w:sz w:val="24"/>
          <w:szCs w:val="24"/>
        </w:rPr>
        <w:t>向甲方支付合同总</w:t>
      </w:r>
      <w:r>
        <w:rPr>
          <w:rFonts w:hint="eastAsia" w:asciiTheme="minorEastAsia" w:hAnsiTheme="minorEastAsia" w:eastAsiaTheme="minorEastAsia" w:cstheme="minorEastAsia"/>
          <w:sz w:val="24"/>
          <w:szCs w:val="24"/>
        </w:rPr>
        <w:t xml:space="preserve"> 价</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％的违约金</w:t>
      </w:r>
      <w:r>
        <w:rPr>
          <w:rFonts w:hint="eastAsia" w:asciiTheme="minorEastAsia" w:hAnsiTheme="minorEastAsia" w:eastAsiaTheme="minorEastAsia" w:cstheme="minorEastAsia"/>
          <w:spacing w:val="-41"/>
          <w:sz w:val="24"/>
          <w:szCs w:val="24"/>
        </w:rPr>
        <w:t>。</w:t>
      </w:r>
    </w:p>
    <w:p w14:paraId="44489C20">
      <w:pPr>
        <w:spacing w:line="359" w:lineRule="auto"/>
        <w:ind w:left="20" w:right="118"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2.甲方无正当理由拒收货物</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拒付货款的</w:t>
      </w:r>
      <w:r>
        <w:rPr>
          <w:rFonts w:hint="eastAsia" w:asciiTheme="minorEastAsia" w:hAnsiTheme="minorEastAsia" w:eastAsiaTheme="minorEastAsia" w:cstheme="minorEastAsia"/>
          <w:spacing w:val="-104"/>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甲方应向乙方偿付拒付货款</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的违约金</w:t>
      </w:r>
      <w:r>
        <w:rPr>
          <w:rFonts w:hint="eastAsia" w:asciiTheme="minorEastAsia" w:hAnsiTheme="minorEastAsia" w:eastAsiaTheme="minorEastAsia" w:cstheme="minorEastAsia"/>
          <w:spacing w:val="-63"/>
          <w:sz w:val="24"/>
          <w:szCs w:val="24"/>
        </w:rPr>
        <w:t>。</w:t>
      </w:r>
    </w:p>
    <w:p w14:paraId="25CEC3F5">
      <w:pPr>
        <w:spacing w:before="5" w:line="359" w:lineRule="auto"/>
        <w:ind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3.乙方无正当理由逾期交付货物的</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z w:val="24"/>
          <w:szCs w:val="24"/>
        </w:rPr>
        <w:t>乙方向甲方偿付逾期交货 部分货款总额的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‰的违约金</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如乙方逾期交货达</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天</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甲方有权解除合同</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z w:val="24"/>
          <w:szCs w:val="24"/>
        </w:rPr>
        <w:t xml:space="preserve"> 甲方解除合同的通知自到达乙方时生效。</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rPr>
        <w:t>在此情况下，乙方给甲方造成的实际损 失高于违约金的</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z w:val="24"/>
          <w:szCs w:val="24"/>
        </w:rPr>
        <w:t>对高出违约金的部分乙方应予以赔偿</w:t>
      </w:r>
      <w:r>
        <w:rPr>
          <w:rFonts w:hint="eastAsia" w:asciiTheme="minorEastAsia" w:hAnsiTheme="minorEastAsia" w:eastAsiaTheme="minorEastAsia" w:cstheme="minorEastAsia"/>
          <w:spacing w:val="-28"/>
          <w:sz w:val="24"/>
          <w:szCs w:val="24"/>
        </w:rPr>
        <w:t>。</w:t>
      </w:r>
    </w:p>
    <w:p w14:paraId="2C571AAB">
      <w:pPr>
        <w:spacing w:before="2" w:line="368" w:lineRule="auto"/>
        <w:ind w:left="12"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4.甲方未按合同规定的期限向乙方支付货款的</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每逾期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天甲方向乙方偿付 欠款总额的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‰违约金</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但累计违约金总额不超过欠款总额的</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w:t>
      </w:r>
    </w:p>
    <w:p w14:paraId="2267AF08">
      <w:pPr>
        <w:rPr>
          <w:rFonts w:hint="eastAsia" w:asciiTheme="minorEastAsia" w:hAnsiTheme="minorEastAsia" w:eastAsiaTheme="minorEastAsia" w:cstheme="minorEastAsia"/>
          <w:sz w:val="24"/>
          <w:szCs w:val="24"/>
        </w:rPr>
        <w:sectPr>
          <w:pgSz w:w="11905" w:h="16840"/>
          <w:pgMar w:top="400" w:right="1634" w:bottom="0" w:left="1710" w:header="0" w:footer="0" w:gutter="0"/>
          <w:pgNumType w:fmt="decimal"/>
          <w:cols w:space="720" w:num="1"/>
        </w:sectPr>
      </w:pPr>
    </w:p>
    <w:p w14:paraId="1702B547">
      <w:pPr>
        <w:spacing w:line="265" w:lineRule="auto"/>
        <w:rPr>
          <w:rFonts w:hint="eastAsia" w:asciiTheme="minorEastAsia" w:hAnsiTheme="minorEastAsia" w:eastAsiaTheme="minorEastAsia" w:cstheme="minorEastAsia"/>
          <w:sz w:val="24"/>
          <w:szCs w:val="24"/>
        </w:rPr>
      </w:pPr>
    </w:p>
    <w:p w14:paraId="4ACFF6C9">
      <w:pPr>
        <w:spacing w:line="266" w:lineRule="auto"/>
        <w:rPr>
          <w:rFonts w:hint="eastAsia" w:asciiTheme="minorEastAsia" w:hAnsiTheme="minorEastAsia" w:eastAsiaTheme="minorEastAsia" w:cstheme="minorEastAsia"/>
          <w:sz w:val="24"/>
          <w:szCs w:val="24"/>
        </w:rPr>
      </w:pPr>
    </w:p>
    <w:p w14:paraId="203DF7CB">
      <w:pPr>
        <w:spacing w:line="266" w:lineRule="auto"/>
        <w:rPr>
          <w:rFonts w:hint="eastAsia" w:asciiTheme="minorEastAsia" w:hAnsiTheme="minorEastAsia" w:eastAsiaTheme="minorEastAsia" w:cstheme="minorEastAsia"/>
          <w:sz w:val="24"/>
          <w:szCs w:val="24"/>
        </w:rPr>
      </w:pPr>
    </w:p>
    <w:p w14:paraId="52E2C2F7">
      <w:pPr>
        <w:spacing w:line="266" w:lineRule="auto"/>
        <w:rPr>
          <w:rFonts w:hint="eastAsia" w:asciiTheme="minorEastAsia" w:hAnsiTheme="minorEastAsia" w:eastAsiaTheme="minorEastAsia" w:cstheme="minorEastAsia"/>
          <w:sz w:val="24"/>
          <w:szCs w:val="24"/>
        </w:rPr>
      </w:pPr>
    </w:p>
    <w:p w14:paraId="09E48813">
      <w:pPr>
        <w:spacing w:line="266" w:lineRule="auto"/>
        <w:rPr>
          <w:rFonts w:hint="eastAsia" w:asciiTheme="minorEastAsia" w:hAnsiTheme="minorEastAsia" w:eastAsiaTheme="minorEastAsia" w:cstheme="minorEastAsia"/>
          <w:sz w:val="24"/>
          <w:szCs w:val="24"/>
        </w:rPr>
      </w:pPr>
    </w:p>
    <w:p w14:paraId="5BA2E9CD">
      <w:pPr>
        <w:spacing w:before="78" w:line="360" w:lineRule="auto"/>
        <w:ind w:left="8" w:right="61"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5.在乙方承诺的或国家规定的质量保证期内（取两者中最长的期限</w:t>
      </w:r>
      <w:r>
        <w:rPr>
          <w:rFonts w:hint="eastAsia" w:asciiTheme="minorEastAsia" w:hAnsiTheme="minorEastAsia" w:eastAsiaTheme="minorEastAsia" w:cstheme="minorEastAsia"/>
          <w:spacing w:val="-80"/>
          <w:sz w:val="24"/>
          <w:szCs w:val="24"/>
        </w:rPr>
        <w:t>）</w:t>
      </w:r>
      <w:r>
        <w:rPr>
          <w:rFonts w:hint="eastAsia" w:asciiTheme="minorEastAsia" w:hAnsiTheme="minorEastAsia" w:eastAsiaTheme="minorEastAsia" w:cstheme="minorEastAsia"/>
          <w:spacing w:val="-79"/>
          <w:sz w:val="24"/>
          <w:szCs w:val="24"/>
        </w:rPr>
        <w:t>，</w:t>
      </w:r>
      <w:r>
        <w:rPr>
          <w:rFonts w:hint="eastAsia" w:asciiTheme="minorEastAsia" w:hAnsiTheme="minorEastAsia" w:eastAsiaTheme="minorEastAsia" w:cstheme="minorEastAsia"/>
          <w:sz w:val="24"/>
          <w:szCs w:val="24"/>
        </w:rPr>
        <w:t xml:space="preserve">如经乙 </w:t>
      </w:r>
      <w:r>
        <w:rPr>
          <w:rFonts w:hint="eastAsia" w:asciiTheme="minorEastAsia" w:hAnsiTheme="minorEastAsia" w:eastAsiaTheme="minorEastAsia" w:cstheme="minorEastAsia"/>
          <w:spacing w:val="3"/>
          <w:sz w:val="24"/>
          <w:szCs w:val="24"/>
        </w:rPr>
        <w:t>方两次维修，货物仍不能达到合同约定的质量标准、</w:t>
      </w:r>
      <w:r>
        <w:rPr>
          <w:rFonts w:hint="eastAsia" w:asciiTheme="minorEastAsia" w:hAnsiTheme="minorEastAsia" w:eastAsiaTheme="minorEastAsia" w:cstheme="minorEastAsia"/>
          <w:spacing w:val="2"/>
          <w:sz w:val="24"/>
          <w:szCs w:val="24"/>
        </w:rPr>
        <w:t>运行效果的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甲方有权要求</w:t>
      </w:r>
      <w:r>
        <w:rPr>
          <w:rFonts w:hint="eastAsia" w:asciiTheme="minorEastAsia" w:hAnsiTheme="minorEastAsia" w:eastAsiaTheme="minorEastAsia" w:cstheme="minorEastAsia"/>
          <w:sz w:val="24"/>
          <w:szCs w:val="24"/>
        </w:rPr>
        <w:t xml:space="preserve"> 乙方更换为全新合格货物并按本条第</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1 款处理</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乙方还须赔偿甲方因此遭 受的损失</w:t>
      </w:r>
      <w:r>
        <w:rPr>
          <w:rFonts w:hint="eastAsia" w:asciiTheme="minorEastAsia" w:hAnsiTheme="minorEastAsia" w:eastAsiaTheme="minorEastAsia" w:cstheme="minorEastAsia"/>
          <w:spacing w:val="-50"/>
          <w:sz w:val="24"/>
          <w:szCs w:val="24"/>
        </w:rPr>
        <w:t>。</w:t>
      </w:r>
    </w:p>
    <w:p w14:paraId="5917ECED">
      <w:pPr>
        <w:spacing w:line="360" w:lineRule="auto"/>
        <w:ind w:left="11"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6.其它未尽事宜</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以《合同法》和《政府采购法》等有关法律法规规定为准</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z w:val="24"/>
          <w:szCs w:val="24"/>
        </w:rPr>
        <w:t xml:space="preserve"> 无相关规定的</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z w:val="24"/>
          <w:szCs w:val="24"/>
        </w:rPr>
        <w:t>双方协商解决</w:t>
      </w:r>
      <w:r>
        <w:rPr>
          <w:rFonts w:hint="eastAsia" w:asciiTheme="minorEastAsia" w:hAnsiTheme="minorEastAsia" w:eastAsiaTheme="minorEastAsia" w:cstheme="minorEastAsia"/>
          <w:spacing w:val="-30"/>
          <w:sz w:val="24"/>
          <w:szCs w:val="24"/>
        </w:rPr>
        <w:t>。</w:t>
      </w:r>
    </w:p>
    <w:p w14:paraId="3870BD73">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第十三条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不可抗力</w:t>
      </w:r>
    </w:p>
    <w:p w14:paraId="6C2AB40F">
      <w:pPr>
        <w:spacing w:before="185" w:line="360" w:lineRule="auto"/>
        <w:ind w:right="61"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乙方中任何一方</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因不可抗力不能按时或完全履行</w:t>
      </w:r>
      <w:r>
        <w:rPr>
          <w:rFonts w:hint="eastAsia" w:asciiTheme="minorEastAsia" w:hAnsiTheme="minorEastAsia" w:eastAsiaTheme="minorEastAsia" w:cstheme="minorEastAsia"/>
          <w:spacing w:val="1"/>
          <w:sz w:val="24"/>
          <w:szCs w:val="24"/>
        </w:rPr>
        <w:t>合同的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应及时通知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对方，并在</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rPr>
        <w:t>个工作日内提供相应证明。未履行完合同</w:t>
      </w:r>
      <w:r>
        <w:rPr>
          <w:rFonts w:hint="eastAsia" w:asciiTheme="minorEastAsia" w:hAnsiTheme="minorEastAsia" w:eastAsiaTheme="minorEastAsia" w:cstheme="minorEastAsia"/>
          <w:spacing w:val="2"/>
          <w:sz w:val="24"/>
          <w:szCs w:val="24"/>
        </w:rPr>
        <w:t>部分是否继续履行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何履行等问题</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可由双方初步协商</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并向主管部门和政府采购管</w:t>
      </w:r>
      <w:r>
        <w:rPr>
          <w:rFonts w:hint="eastAsia" w:asciiTheme="minorEastAsia" w:hAnsiTheme="minorEastAsia" w:eastAsiaTheme="minorEastAsia" w:cstheme="minorEastAsia"/>
          <w:spacing w:val="2"/>
          <w:sz w:val="24"/>
          <w:szCs w:val="24"/>
        </w:rPr>
        <w:t>理部门报告</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确</w:t>
      </w:r>
      <w:r>
        <w:rPr>
          <w:rFonts w:hint="eastAsia" w:asciiTheme="minorEastAsia" w:hAnsiTheme="minorEastAsia" w:eastAsiaTheme="minorEastAsia" w:cstheme="minorEastAsia"/>
          <w:sz w:val="24"/>
          <w:szCs w:val="24"/>
        </w:rPr>
        <w:t xml:space="preserve"> 定为不可抗力原因造成的损失</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rPr>
        <w:t>免予承担责任</w:t>
      </w:r>
      <w:r>
        <w:rPr>
          <w:rFonts w:hint="eastAsia" w:asciiTheme="minorEastAsia" w:hAnsiTheme="minorEastAsia" w:eastAsiaTheme="minorEastAsia" w:cstheme="minorEastAsia"/>
          <w:spacing w:val="-25"/>
          <w:sz w:val="24"/>
          <w:szCs w:val="24"/>
        </w:rPr>
        <w:t>。</w:t>
      </w:r>
    </w:p>
    <w:p w14:paraId="03D7F001">
      <w:pPr>
        <w:spacing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w:t>
      </w:r>
      <w:r>
        <w:rPr>
          <w:rFonts w:hint="eastAsia" w:asciiTheme="minorEastAsia" w:hAnsiTheme="minorEastAsia" w:eastAsiaTheme="minorEastAsia" w:cstheme="minorEastAsia"/>
          <w:sz w:val="24"/>
          <w:szCs w:val="24"/>
        </w:rPr>
        <w:t>四条</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争议的解决方式</w:t>
      </w:r>
    </w:p>
    <w:p w14:paraId="7F985E8D">
      <w:pPr>
        <w:spacing w:before="181" w:line="361" w:lineRule="auto"/>
        <w:ind w:left="5" w:right="62"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因货物的质量问题发生争议</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应当邀请国家认可的质量检测机构对货物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质量进</w:t>
      </w:r>
      <w:r>
        <w:rPr>
          <w:rFonts w:hint="eastAsia" w:asciiTheme="minorEastAsia" w:hAnsiTheme="minorEastAsia" w:eastAsiaTheme="minorEastAsia" w:cstheme="minorEastAsia"/>
          <w:spacing w:val="1"/>
          <w:sz w:val="24"/>
          <w:szCs w:val="24"/>
        </w:rPr>
        <w:t>行鉴定</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货物符合标准的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鉴定费由甲方承担</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货物不符合质量标准的</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鉴定费由乙方承担</w:t>
      </w:r>
      <w:r>
        <w:rPr>
          <w:rFonts w:hint="eastAsia" w:asciiTheme="minorEastAsia" w:hAnsiTheme="minorEastAsia" w:eastAsiaTheme="minorEastAsia" w:cstheme="minorEastAsia"/>
          <w:spacing w:val="-53"/>
          <w:sz w:val="24"/>
          <w:szCs w:val="24"/>
        </w:rPr>
        <w:t>。</w:t>
      </w:r>
    </w:p>
    <w:p w14:paraId="288987BA">
      <w:pPr>
        <w:spacing w:before="2" w:line="382" w:lineRule="auto"/>
        <w:ind w:left="496" w:right="217"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2.在解释或者执行本合同的过程中发生争议时</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双方应通过协商方式解决</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 xml:space="preserve"> </w:t>
      </w:r>
    </w:p>
    <w:p w14:paraId="1FA3C170">
      <w:pPr>
        <w:spacing w:before="2" w:line="382" w:lineRule="auto"/>
        <w:ind w:left="496" w:right="217"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3.经协商不能解决的争议</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双方可选择以下第</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种方式解决</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z w:val="24"/>
          <w:szCs w:val="24"/>
        </w:rPr>
        <w:t xml:space="preserve">           </w:t>
      </w:r>
    </w:p>
    <w:p w14:paraId="110772F8">
      <w:pPr>
        <w:spacing w:before="2" w:line="382" w:lineRule="auto"/>
        <w:ind w:left="496" w:right="217"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有管辖权的法院提起诉讼</w:t>
      </w:r>
      <w:r>
        <w:rPr>
          <w:rFonts w:hint="eastAsia" w:asciiTheme="minorEastAsia" w:hAnsiTheme="minorEastAsia" w:eastAsiaTheme="minorEastAsia" w:cstheme="minorEastAsia"/>
          <w:spacing w:val="-81"/>
          <w:sz w:val="24"/>
          <w:szCs w:val="24"/>
        </w:rPr>
        <w:t>；</w:t>
      </w:r>
    </w:p>
    <w:p w14:paraId="226DD8F1">
      <w:pPr>
        <w:spacing w:line="369" w:lineRule="auto"/>
        <w:ind w:left="492" w:right="62"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②向</w:t>
      </w:r>
      <w:r>
        <w:rPr>
          <w:rFonts w:hint="eastAsia" w:asciiTheme="minorEastAsia" w:hAnsiTheme="minorEastAsia" w:eastAsiaTheme="minorEastAsia" w:cstheme="minorEastAsia"/>
          <w:sz w:val="24"/>
          <w:szCs w:val="24"/>
          <w:lang w:val="en-US" w:eastAsia="zh-CN"/>
        </w:rPr>
        <w:t>项目所在地</w:t>
      </w:r>
      <w:r>
        <w:rPr>
          <w:rFonts w:hint="eastAsia" w:asciiTheme="minorEastAsia" w:hAnsiTheme="minorEastAsia" w:eastAsiaTheme="minorEastAsia" w:cstheme="minorEastAsia"/>
          <w:sz w:val="24"/>
          <w:szCs w:val="24"/>
        </w:rPr>
        <w:t>仲裁委员会提出仲裁</w:t>
      </w:r>
      <w:r>
        <w:rPr>
          <w:rFonts w:hint="eastAsia" w:asciiTheme="minorEastAsia" w:hAnsiTheme="minorEastAsia" w:eastAsiaTheme="minorEastAsia" w:cstheme="minorEastAsia"/>
          <w:spacing w:val="-71"/>
          <w:sz w:val="24"/>
          <w:szCs w:val="24"/>
        </w:rPr>
        <w:t>。</w:t>
      </w:r>
      <w:r>
        <w:rPr>
          <w:rFonts w:hint="eastAsia" w:asciiTheme="minorEastAsia" w:hAnsiTheme="minorEastAsia" w:eastAsiaTheme="minorEastAsia" w:cstheme="minorEastAsia"/>
          <w:sz w:val="24"/>
          <w:szCs w:val="24"/>
        </w:rPr>
        <w:t xml:space="preserve">                           </w:t>
      </w:r>
    </w:p>
    <w:p w14:paraId="36A97E5F">
      <w:pPr>
        <w:spacing w:line="369" w:lineRule="auto"/>
        <w:ind w:left="492" w:right="62"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.在法院审理和仲裁期间</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除有争议部分外，</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本合同其他部分可以履行的仍</w:t>
      </w:r>
    </w:p>
    <w:p w14:paraId="50FA1B78">
      <w:pPr>
        <w:spacing w:before="1" w:line="215" w:lineRule="auto"/>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应按合同条款继续履行</w:t>
      </w:r>
      <w:r>
        <w:rPr>
          <w:rFonts w:hint="eastAsia" w:asciiTheme="minorEastAsia" w:hAnsiTheme="minorEastAsia" w:eastAsiaTheme="minorEastAsia" w:cstheme="minorEastAsia"/>
          <w:spacing w:val="-59"/>
          <w:sz w:val="24"/>
          <w:szCs w:val="24"/>
        </w:rPr>
        <w:t>。</w:t>
      </w:r>
    </w:p>
    <w:p w14:paraId="336DD63C">
      <w:pPr>
        <w:spacing w:before="136" w:line="217" w:lineRule="auto"/>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第十五</w:t>
      </w:r>
      <w:r>
        <w:rPr>
          <w:rFonts w:hint="eastAsia" w:asciiTheme="minorEastAsia" w:hAnsiTheme="minorEastAsia" w:eastAsiaTheme="minorEastAsia" w:cstheme="minorEastAsia"/>
          <w:sz w:val="24"/>
          <w:szCs w:val="24"/>
        </w:rPr>
        <w:t>条</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z w:val="24"/>
          <w:szCs w:val="24"/>
        </w:rPr>
        <w:t>其他</w:t>
      </w:r>
    </w:p>
    <w:p w14:paraId="0557ABF5">
      <w:pPr>
        <w:spacing w:before="186" w:line="360" w:lineRule="auto"/>
        <w:ind w:left="11" w:right="65"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符合《政府采购法》第 49 条规定的</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经双方协商</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办理政府采购手续后</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可 签订补充合同</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z w:val="24"/>
          <w:szCs w:val="24"/>
        </w:rPr>
        <w:t>所签订的补充合同与本合同具有同等法律效力</w:t>
      </w:r>
      <w:r>
        <w:rPr>
          <w:rFonts w:hint="eastAsia" w:asciiTheme="minorEastAsia" w:hAnsiTheme="minorEastAsia" w:eastAsiaTheme="minorEastAsia" w:cstheme="minorEastAsia"/>
          <w:spacing w:val="-32"/>
          <w:sz w:val="24"/>
          <w:szCs w:val="24"/>
        </w:rPr>
        <w:t>。</w:t>
      </w:r>
    </w:p>
    <w:p w14:paraId="771E942B">
      <w:pPr>
        <w:spacing w:line="217"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乙双方各执</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 份</w:t>
      </w:r>
      <w:r>
        <w:rPr>
          <w:rFonts w:hint="eastAsia" w:asciiTheme="minorEastAsia" w:hAnsiTheme="minorEastAsia" w:eastAsiaTheme="minorEastAsia" w:cstheme="minorEastAsia"/>
          <w:spacing w:val="-10"/>
          <w:sz w:val="24"/>
          <w:szCs w:val="24"/>
        </w:rPr>
        <w:t>。</w:t>
      </w:r>
    </w:p>
    <w:p w14:paraId="02B9B370">
      <w:pPr>
        <w:rPr>
          <w:rFonts w:hint="eastAsia" w:asciiTheme="minorEastAsia" w:hAnsiTheme="minorEastAsia" w:eastAsiaTheme="minorEastAsia" w:cstheme="minorEastAsia"/>
          <w:sz w:val="24"/>
          <w:szCs w:val="24"/>
        </w:rPr>
      </w:pPr>
    </w:p>
    <w:p w14:paraId="47C1B39A">
      <w:pPr>
        <w:rPr>
          <w:rFonts w:hint="eastAsia" w:asciiTheme="minorEastAsia" w:hAnsiTheme="minorEastAsia" w:eastAsiaTheme="minorEastAsia" w:cstheme="minorEastAsia"/>
          <w:sz w:val="24"/>
          <w:szCs w:val="24"/>
        </w:rPr>
      </w:pPr>
    </w:p>
    <w:p w14:paraId="2F729406">
      <w:pPr>
        <w:spacing w:line="123" w:lineRule="exact"/>
        <w:rPr>
          <w:rFonts w:hint="eastAsia" w:asciiTheme="minorEastAsia" w:hAnsiTheme="minorEastAsia" w:eastAsiaTheme="minorEastAsia" w:cstheme="minorEastAsia"/>
          <w:sz w:val="24"/>
          <w:szCs w:val="24"/>
        </w:rPr>
      </w:pPr>
    </w:p>
    <w:p w14:paraId="349EE793">
      <w:pPr>
        <w:rPr>
          <w:rFonts w:hint="eastAsia" w:asciiTheme="minorEastAsia" w:hAnsiTheme="minorEastAsia" w:eastAsiaTheme="minorEastAsia" w:cstheme="minorEastAsia"/>
          <w:sz w:val="24"/>
          <w:szCs w:val="24"/>
        </w:rPr>
        <w:sectPr>
          <w:pgSz w:w="11905" w:h="16840"/>
          <w:pgMar w:top="400" w:right="1634" w:bottom="0" w:left="1706" w:header="0" w:footer="0" w:gutter="0"/>
          <w:pgNumType w:fmt="decimal"/>
          <w:cols w:space="720" w:num="1"/>
        </w:sectPr>
      </w:pPr>
    </w:p>
    <w:p w14:paraId="602975A5">
      <w:pPr>
        <w:spacing w:before="48" w:line="217" w:lineRule="auto"/>
        <w:ind w:firstLine="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方</w:t>
      </w:r>
      <w:r>
        <w:rPr>
          <w:rFonts w:hint="eastAsia" w:asciiTheme="minorEastAsia" w:hAnsiTheme="minorEastAsia" w:eastAsiaTheme="minorEastAsia" w:cstheme="minorEastAsia"/>
          <w:spacing w:val="-69"/>
          <w:sz w:val="24"/>
          <w:szCs w:val="24"/>
        </w:rPr>
        <w:t>：</w:t>
      </w:r>
    </w:p>
    <w:p w14:paraId="28A4C544">
      <w:pPr>
        <w:spacing w:before="186" w:line="184"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pacing w:val="-48"/>
          <w:sz w:val="24"/>
          <w:szCs w:val="24"/>
        </w:rPr>
        <w:t>）</w:t>
      </w:r>
    </w:p>
    <w:p w14:paraId="4F9BD8F6">
      <w:pPr>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14:paraId="010F5D41">
      <w:pPr>
        <w:spacing w:before="46" w:line="220" w:lineRule="auto"/>
        <w:ind w:firstLine="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方</w:t>
      </w:r>
      <w:r>
        <w:rPr>
          <w:rFonts w:hint="eastAsia" w:asciiTheme="minorEastAsia" w:hAnsiTheme="minorEastAsia" w:eastAsiaTheme="minorEastAsia" w:cstheme="minorEastAsia"/>
          <w:spacing w:val="-67"/>
          <w:sz w:val="24"/>
          <w:szCs w:val="24"/>
        </w:rPr>
        <w:t>：</w:t>
      </w:r>
    </w:p>
    <w:p w14:paraId="0F6F6C99">
      <w:pPr>
        <w:spacing w:before="182" w:line="18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pacing w:val="-48"/>
          <w:sz w:val="24"/>
          <w:szCs w:val="24"/>
        </w:rPr>
        <w:t>）</w:t>
      </w:r>
    </w:p>
    <w:p w14:paraId="71457EB4">
      <w:pPr>
        <w:rPr>
          <w:rFonts w:hint="eastAsia" w:asciiTheme="minorEastAsia" w:hAnsiTheme="minorEastAsia" w:eastAsiaTheme="minorEastAsia" w:cstheme="minorEastAsia"/>
          <w:sz w:val="24"/>
          <w:szCs w:val="24"/>
        </w:rPr>
        <w:sectPr>
          <w:type w:val="continuous"/>
          <w:pgSz w:w="11905" w:h="16840"/>
          <w:pgMar w:top="400" w:right="1634" w:bottom="0" w:left="1706" w:header="0" w:footer="0" w:gutter="0"/>
          <w:pgNumType w:fmt="decimal"/>
          <w:cols w:equalWidth="0" w:num="2">
            <w:col w:w="4341" w:space="100"/>
            <w:col w:w="4124"/>
          </w:cols>
        </w:sectPr>
      </w:pPr>
    </w:p>
    <w:p w14:paraId="52624829">
      <w:pPr>
        <w:rPr>
          <w:rFonts w:hint="eastAsia" w:asciiTheme="minorEastAsia" w:hAnsiTheme="minorEastAsia" w:eastAsiaTheme="minorEastAsia" w:cstheme="minorEastAsia"/>
          <w:sz w:val="24"/>
          <w:szCs w:val="24"/>
        </w:rPr>
      </w:pPr>
    </w:p>
    <w:p w14:paraId="1AAFA27D">
      <w:pPr>
        <w:rPr>
          <w:rFonts w:hint="eastAsia" w:asciiTheme="minorEastAsia" w:hAnsiTheme="minorEastAsia" w:eastAsiaTheme="minorEastAsia" w:cstheme="minorEastAsia"/>
          <w:sz w:val="24"/>
          <w:szCs w:val="24"/>
        </w:rPr>
      </w:pPr>
    </w:p>
    <w:p w14:paraId="383FC5D0">
      <w:pPr>
        <w:rPr>
          <w:rFonts w:hint="eastAsia" w:asciiTheme="minorEastAsia" w:hAnsiTheme="minorEastAsia" w:eastAsiaTheme="minorEastAsia" w:cstheme="minorEastAsia"/>
          <w:sz w:val="24"/>
          <w:szCs w:val="24"/>
        </w:rPr>
      </w:pPr>
    </w:p>
    <w:p w14:paraId="42211320">
      <w:pPr>
        <w:rPr>
          <w:rFonts w:hint="eastAsia" w:asciiTheme="minorEastAsia" w:hAnsiTheme="minorEastAsia" w:eastAsiaTheme="minorEastAsia" w:cstheme="minorEastAsia"/>
          <w:sz w:val="24"/>
          <w:szCs w:val="24"/>
        </w:rPr>
      </w:pPr>
    </w:p>
    <w:p w14:paraId="08382285">
      <w:pPr>
        <w:rPr>
          <w:rFonts w:hint="eastAsia" w:asciiTheme="minorEastAsia" w:hAnsiTheme="minorEastAsia" w:eastAsiaTheme="minorEastAsia" w:cstheme="minorEastAsia"/>
          <w:sz w:val="24"/>
          <w:szCs w:val="24"/>
        </w:rPr>
      </w:pPr>
    </w:p>
    <w:p w14:paraId="6B7203F4">
      <w:pPr>
        <w:spacing w:line="161" w:lineRule="exact"/>
        <w:rPr>
          <w:rFonts w:hint="eastAsia" w:asciiTheme="minorEastAsia" w:hAnsiTheme="minorEastAsia" w:eastAsiaTheme="minorEastAsia" w:cstheme="minorEastAsia"/>
          <w:sz w:val="24"/>
          <w:szCs w:val="24"/>
        </w:rPr>
      </w:pPr>
    </w:p>
    <w:p w14:paraId="3B2CA042">
      <w:pPr>
        <w:rPr>
          <w:rFonts w:hint="eastAsia" w:asciiTheme="minorEastAsia" w:hAnsiTheme="minorEastAsia" w:eastAsiaTheme="minorEastAsia" w:cstheme="minorEastAsia"/>
          <w:sz w:val="24"/>
          <w:szCs w:val="24"/>
        </w:rPr>
        <w:sectPr>
          <w:pgSz w:w="11905" w:h="16840"/>
          <w:pgMar w:top="400" w:right="1699" w:bottom="0" w:left="1708" w:header="0" w:footer="0" w:gutter="0"/>
          <w:pgNumType w:fmt="decimal"/>
          <w:cols w:space="720" w:num="1"/>
        </w:sectPr>
      </w:pPr>
    </w:p>
    <w:p w14:paraId="7A26354D">
      <w:pPr>
        <w:spacing w:before="47" w:line="22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C24D8ED">
      <w:pPr>
        <w:spacing w:before="172" w:line="468" w:lineRule="exact"/>
        <w:ind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7CE0718F">
      <w:pPr>
        <w:spacing w:line="217"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45221FEA">
      <w:pPr>
        <w:spacing w:before="185" w:line="216" w:lineRule="auto"/>
        <w:ind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186003">
      <w:pPr>
        <w:spacing w:before="187" w:line="216"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5E2E4130">
      <w:pPr>
        <w:spacing w:before="187" w:line="184" w:lineRule="auto"/>
        <w:ind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合同法律审核（盖章</w:t>
      </w:r>
      <w:r>
        <w:rPr>
          <w:rFonts w:hint="eastAsia" w:asciiTheme="minorEastAsia" w:hAnsiTheme="minorEastAsia" w:eastAsiaTheme="minorEastAsia" w:cstheme="minorEastAsia"/>
          <w:spacing w:val="-67"/>
          <w:sz w:val="24"/>
          <w:szCs w:val="24"/>
        </w:rPr>
        <w:t>）</w:t>
      </w:r>
      <w:r>
        <w:rPr>
          <w:rFonts w:hint="eastAsia" w:asciiTheme="minorEastAsia" w:hAnsiTheme="minorEastAsia" w:eastAsiaTheme="minorEastAsia" w:cstheme="minorEastAsia"/>
          <w:spacing w:val="-66"/>
          <w:sz w:val="24"/>
          <w:szCs w:val="24"/>
        </w:rPr>
        <w:t>：</w:t>
      </w:r>
    </w:p>
    <w:p w14:paraId="7B7F9B77">
      <w:pPr>
        <w:spacing w:line="1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column"/>
      </w:r>
    </w:p>
    <w:p w14:paraId="0FA97ED7">
      <w:pPr>
        <w:spacing w:before="46"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pacing w:val="-48"/>
          <w:sz w:val="24"/>
          <w:szCs w:val="24"/>
        </w:rPr>
        <w:t>：</w:t>
      </w:r>
    </w:p>
    <w:p w14:paraId="439694C5">
      <w:pPr>
        <w:spacing w:before="172" w:line="468" w:lineRule="exact"/>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7"/>
          <w:sz w:val="24"/>
          <w:szCs w:val="24"/>
        </w:rPr>
        <w:t>法定代表人（签字</w:t>
      </w:r>
      <w:r>
        <w:rPr>
          <w:rFonts w:hint="eastAsia" w:asciiTheme="minorEastAsia" w:hAnsiTheme="minorEastAsia" w:eastAsiaTheme="minorEastAsia" w:cstheme="minorEastAsia"/>
          <w:spacing w:val="-69"/>
          <w:position w:val="17"/>
          <w:sz w:val="24"/>
          <w:szCs w:val="24"/>
        </w:rPr>
        <w:t>）：</w:t>
      </w:r>
    </w:p>
    <w:p w14:paraId="26C859A1">
      <w:pPr>
        <w:spacing w:line="21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授权代表（签字</w:t>
      </w:r>
      <w:r>
        <w:rPr>
          <w:rFonts w:hint="eastAsia" w:asciiTheme="minorEastAsia" w:hAnsiTheme="minorEastAsia" w:eastAsiaTheme="minorEastAsia" w:cstheme="minorEastAsia"/>
          <w:spacing w:val="-64"/>
          <w:sz w:val="24"/>
          <w:szCs w:val="24"/>
        </w:rPr>
        <w:t>）：</w:t>
      </w:r>
    </w:p>
    <w:p w14:paraId="1C61FAF7">
      <w:pPr>
        <w:spacing w:before="185" w:line="216" w:lineRule="auto"/>
        <w:ind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pacing w:val="-65"/>
          <w:sz w:val="24"/>
          <w:szCs w:val="24"/>
        </w:rPr>
        <w:t>：</w:t>
      </w:r>
    </w:p>
    <w:p w14:paraId="44B24788">
      <w:pPr>
        <w:spacing w:before="187" w:line="21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pacing w:val="-58"/>
          <w:sz w:val="24"/>
          <w:szCs w:val="24"/>
        </w:rPr>
        <w:t>：</w:t>
      </w:r>
    </w:p>
    <w:p w14:paraId="6A0755B3">
      <w:pPr>
        <w:rPr>
          <w:rFonts w:hint="eastAsia" w:asciiTheme="minorEastAsia" w:hAnsiTheme="minorEastAsia" w:eastAsiaTheme="minorEastAsia" w:cstheme="minorEastAsia"/>
          <w:sz w:val="24"/>
          <w:szCs w:val="24"/>
        </w:rPr>
        <w:sectPr>
          <w:type w:val="continuous"/>
          <w:pgSz w:w="11905" w:h="16840"/>
          <w:pgMar w:top="400" w:right="1699" w:bottom="0" w:left="1708" w:header="0" w:footer="0" w:gutter="0"/>
          <w:pgNumType w:fmt="decimal"/>
          <w:cols w:equalWidth="0" w:num="2">
            <w:col w:w="4341" w:space="100"/>
            <w:col w:w="4056"/>
          </w:cols>
        </w:sectPr>
      </w:pPr>
    </w:p>
    <w:p w14:paraId="3E2D3018">
      <w:pPr>
        <w:spacing w:before="229" w:line="217" w:lineRule="auto"/>
        <w:ind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间</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z w:val="24"/>
          <w:szCs w:val="24"/>
        </w:rPr>
        <w:t>年     月     日</w:t>
      </w:r>
    </w:p>
    <w:p w14:paraId="18C8A895">
      <w:pPr>
        <w:spacing w:before="199" w:line="220" w:lineRule="auto"/>
        <w:ind w:firstLine="42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特别说明</w:t>
      </w:r>
      <w:r>
        <w:rPr>
          <w:rFonts w:hint="eastAsia" w:asciiTheme="minorEastAsia" w:hAnsiTheme="minorEastAsia" w:eastAsiaTheme="minorEastAsia" w:cstheme="minorEastAsia"/>
          <w:color w:val="auto"/>
          <w:spacing w:val="-5"/>
          <w:sz w:val="24"/>
          <w:szCs w:val="24"/>
        </w:rPr>
        <w:t>：</w:t>
      </w:r>
    </w:p>
    <w:p w14:paraId="67EA1C59">
      <w:pPr>
        <w:spacing w:before="218" w:line="411" w:lineRule="auto"/>
        <w:ind w:right="44" w:firstLine="4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1.本范本根据《政府采购法》</w:t>
      </w:r>
      <w:r>
        <w:rPr>
          <w:rFonts w:hint="eastAsia" w:asciiTheme="minorEastAsia" w:hAnsiTheme="minorEastAsia" w:eastAsiaTheme="minorEastAsia" w:cstheme="minorEastAsia"/>
          <w:color w:val="auto"/>
          <w:spacing w:val="-60"/>
          <w:sz w:val="24"/>
          <w:szCs w:val="24"/>
        </w:rPr>
        <w:t>、</w:t>
      </w:r>
      <w:r>
        <w:rPr>
          <w:rFonts w:hint="eastAsia" w:asciiTheme="minorEastAsia" w:hAnsiTheme="minorEastAsia" w:eastAsiaTheme="minorEastAsia" w:cstheme="minorEastAsia"/>
          <w:color w:val="auto"/>
          <w:sz w:val="24"/>
          <w:szCs w:val="24"/>
        </w:rPr>
        <w:t>《合同法》等法律法规制定</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具体项目的采购合同条款</w:t>
      </w:r>
      <w:r>
        <w:rPr>
          <w:rFonts w:hint="eastAsia" w:asciiTheme="minorEastAsia" w:hAnsiTheme="minorEastAsia" w:eastAsiaTheme="minorEastAsia" w:cstheme="minorEastAsia"/>
          <w:color w:val="auto"/>
          <w:spacing w:val="-59"/>
          <w:sz w:val="24"/>
          <w:szCs w:val="24"/>
        </w:rPr>
        <w:t>，</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在本范本框架内由</w:t>
      </w:r>
      <w:r>
        <w:rPr>
          <w:rFonts w:hint="eastAsia" w:asciiTheme="minorEastAsia" w:hAnsiTheme="minorEastAsia" w:eastAsiaTheme="minorEastAsia" w:cstheme="minorEastAsia"/>
          <w:color w:val="auto"/>
          <w:sz w:val="24"/>
          <w:szCs w:val="24"/>
        </w:rPr>
        <w:t>甲乙双方协商一致签订</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z w:val="24"/>
          <w:szCs w:val="24"/>
        </w:rPr>
        <w:t>空格处划横线</w:t>
      </w:r>
      <w:r>
        <w:rPr>
          <w:rFonts w:hint="eastAsia" w:asciiTheme="minorEastAsia" w:hAnsiTheme="minorEastAsia" w:eastAsiaTheme="minorEastAsia" w:cstheme="minorEastAsia"/>
          <w:color w:val="auto"/>
          <w:spacing w:val="1"/>
          <w:sz w:val="24"/>
          <w:szCs w:val="24"/>
        </w:rPr>
        <w:t>。</w:t>
      </w:r>
    </w:p>
    <w:p w14:paraId="2481350C">
      <w:pPr>
        <w:spacing w:before="1" w:line="411" w:lineRule="auto"/>
        <w:ind w:firstLine="4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2.</w:t>
      </w:r>
      <w:r>
        <w:rPr>
          <w:rFonts w:hint="eastAsia" w:asciiTheme="minorEastAsia" w:hAnsiTheme="minorEastAsia" w:eastAsiaTheme="minorEastAsia" w:cstheme="minorEastAsia"/>
          <w:color w:val="auto"/>
          <w:spacing w:val="3"/>
          <w:sz w:val="24"/>
          <w:szCs w:val="24"/>
        </w:rPr>
        <w:t>收款单位名称应与本</w:t>
      </w:r>
      <w:r>
        <w:rPr>
          <w:rFonts w:hint="eastAsia" w:asciiTheme="minorEastAsia" w:hAnsiTheme="minorEastAsia" w:eastAsiaTheme="minorEastAsia" w:cstheme="minorEastAsia"/>
          <w:color w:val="auto"/>
          <w:spacing w:val="2"/>
          <w:sz w:val="24"/>
          <w:szCs w:val="24"/>
        </w:rPr>
        <w:t>合同乙方单位名称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项目中标单位名称</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2"/>
          <w:sz w:val="24"/>
          <w:szCs w:val="24"/>
        </w:rPr>
        <w:t>开具发票单位名称相一</w:t>
      </w: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pacing w:val="-19"/>
          <w:sz w:val="24"/>
          <w:szCs w:val="24"/>
        </w:rPr>
        <w:t>。</w:t>
      </w:r>
    </w:p>
    <w:p w14:paraId="5C059E10">
      <w:pPr>
        <w:spacing w:before="1" w:line="411" w:lineRule="auto"/>
        <w:ind w:left="1" w:firstLine="42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3.甲方（采购单位</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z w:val="24"/>
          <w:szCs w:val="24"/>
        </w:rPr>
        <w:t>应盖本单位公章（不允许盖内设科室章</w:t>
      </w:r>
      <w:r>
        <w:rPr>
          <w:rFonts w:hint="eastAsia" w:asciiTheme="minorEastAsia" w:hAnsiTheme="minorEastAsia" w:eastAsiaTheme="minorEastAsia" w:cstheme="minorEastAsia"/>
          <w:color w:val="auto"/>
          <w:spacing w:val="-41"/>
          <w:sz w:val="24"/>
          <w:szCs w:val="24"/>
        </w:rPr>
        <w:t>）</w:t>
      </w:r>
      <w:r>
        <w:rPr>
          <w:rFonts w:hint="eastAsia" w:asciiTheme="minorEastAsia" w:hAnsiTheme="minorEastAsia" w:eastAsiaTheme="minorEastAsia" w:cstheme="minorEastAsia"/>
          <w:color w:val="auto"/>
          <w:spacing w:val="-40"/>
          <w:sz w:val="24"/>
          <w:szCs w:val="24"/>
        </w:rPr>
        <w:t>，</w:t>
      </w:r>
      <w:r>
        <w:rPr>
          <w:rFonts w:hint="eastAsia" w:asciiTheme="minorEastAsia" w:hAnsiTheme="minorEastAsia" w:eastAsiaTheme="minorEastAsia" w:cstheme="minorEastAsia"/>
          <w:color w:val="auto"/>
          <w:sz w:val="24"/>
          <w:szCs w:val="24"/>
        </w:rPr>
        <w:t>乙方应盖单位公章或合同 专用章</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合同双方应盖骑缝章</w:t>
      </w:r>
      <w:r>
        <w:rPr>
          <w:rFonts w:hint="eastAsia" w:asciiTheme="minorEastAsia" w:hAnsiTheme="minorEastAsia" w:eastAsiaTheme="minorEastAsia" w:cstheme="minorEastAsia"/>
          <w:color w:val="auto"/>
          <w:spacing w:val="-11"/>
          <w:sz w:val="24"/>
          <w:szCs w:val="24"/>
        </w:rPr>
        <w:t>。</w:t>
      </w:r>
    </w:p>
    <w:p w14:paraId="6F14876D">
      <w:pPr>
        <w:spacing w:before="1" w:line="411" w:lineRule="auto"/>
        <w:ind w:left="1" w:firstLine="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除涉密项目外</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根据《政府采购法实施条例》第</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z w:val="24"/>
          <w:szCs w:val="24"/>
        </w:rPr>
        <w:t>50 条规定</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rPr>
        <w:t>采购人应当自政府采购 合同签订之日起 2 个工作日内</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105"/>
          <w:sz w:val="24"/>
          <w:szCs w:val="24"/>
        </w:rPr>
        <w:t xml:space="preserve"> </w:t>
      </w:r>
      <w:r>
        <w:rPr>
          <w:rFonts w:hint="eastAsia" w:asciiTheme="minorEastAsia" w:hAnsiTheme="minorEastAsia" w:eastAsiaTheme="minorEastAsia" w:cstheme="minorEastAsia"/>
          <w:color w:val="auto"/>
          <w:sz w:val="24"/>
          <w:szCs w:val="24"/>
        </w:rPr>
        <w:t>将政府采购合同在省级以上人民政府财政部门指定的媒体上公告</w:t>
      </w:r>
      <w:r>
        <w:rPr>
          <w:rFonts w:hint="eastAsia" w:asciiTheme="minorEastAsia" w:hAnsiTheme="minorEastAsia" w:eastAsiaTheme="minorEastAsia" w:cstheme="minorEastAsia"/>
          <w:color w:val="auto"/>
          <w:spacing w:val="-28"/>
          <w:sz w:val="24"/>
          <w:szCs w:val="24"/>
        </w:rPr>
        <w:t>。</w:t>
      </w:r>
    </w:p>
    <w:p w14:paraId="59BCC829">
      <w:pPr>
        <w:rPr>
          <w:rFonts w:hint="eastAsia" w:asciiTheme="minorEastAsia" w:hAnsiTheme="minorEastAsia" w:eastAsiaTheme="minorEastAsia" w:cstheme="minorEastAsia"/>
          <w:sz w:val="24"/>
          <w:szCs w:val="24"/>
        </w:rPr>
        <w:sectPr>
          <w:type w:val="continuous"/>
          <w:pgSz w:w="11905" w:h="16840"/>
          <w:pgMar w:top="400" w:right="1699" w:bottom="0" w:left="1708" w:header="0" w:footer="0" w:gutter="0"/>
          <w:pgNumType w:fmt="decimal"/>
          <w:cols w:space="720" w:num="1"/>
        </w:sectPr>
      </w:pPr>
    </w:p>
    <w:p w14:paraId="25D0AB41">
      <w:pPr>
        <w:spacing w:before="137" w:line="164" w:lineRule="auto"/>
        <w:ind w:firstLine="745"/>
        <w:rPr>
          <w:rFonts w:ascii="微软雅黑" w:hAnsi="微软雅黑" w:eastAsia="微软雅黑" w:cs="微软雅黑"/>
          <w:sz w:val="32"/>
          <w:szCs w:val="32"/>
        </w:rPr>
      </w:pPr>
      <w:r>
        <w:rPr>
          <w:rFonts w:ascii="微软雅黑" w:hAnsi="微软雅黑" w:eastAsia="微软雅黑" w:cs="微软雅黑"/>
          <w:spacing w:val="-10"/>
          <w:sz w:val="32"/>
          <w:szCs w:val="32"/>
        </w:rPr>
        <w:t>附</w:t>
      </w:r>
      <w:r>
        <w:rPr>
          <w:rFonts w:ascii="微软雅黑" w:hAnsi="微软雅黑" w:eastAsia="微软雅黑" w:cs="微软雅黑"/>
          <w:spacing w:val="-9"/>
          <w:sz w:val="32"/>
          <w:szCs w:val="32"/>
        </w:rPr>
        <w:t>件</w:t>
      </w:r>
    </w:p>
    <w:p w14:paraId="3E958D48">
      <w:pPr>
        <w:spacing w:line="221" w:lineRule="auto"/>
        <w:ind w:firstLine="2997"/>
        <w:rPr>
          <w:rFonts w:ascii="黑体" w:hAnsi="黑体" w:eastAsia="黑体" w:cs="黑体"/>
          <w:sz w:val="44"/>
          <w:szCs w:val="44"/>
        </w:rPr>
      </w:pPr>
      <w:r>
        <w:rPr>
          <w:rFonts w:ascii="黑体" w:hAnsi="黑体" w:eastAsia="黑体" w:cs="黑体"/>
          <w:spacing w:val="-2"/>
          <w:sz w:val="44"/>
          <w:szCs w:val="44"/>
        </w:rPr>
        <w:t>供货明细项</w:t>
      </w:r>
      <w:r>
        <w:rPr>
          <w:rFonts w:ascii="黑体" w:hAnsi="黑体" w:eastAsia="黑体" w:cs="黑体"/>
          <w:spacing w:val="-1"/>
          <w:sz w:val="44"/>
          <w:szCs w:val="44"/>
        </w:rPr>
        <w:t>目一览表</w:t>
      </w:r>
    </w:p>
    <w:p w14:paraId="4202BA06"/>
    <w:p w14:paraId="2E8A4A47">
      <w:pPr>
        <w:spacing w:line="186" w:lineRule="exact"/>
      </w:pPr>
    </w:p>
    <w:tbl>
      <w:tblPr>
        <w:tblStyle w:val="482"/>
        <w:tblW w:w="99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486"/>
        <w:gridCol w:w="3061"/>
        <w:gridCol w:w="548"/>
        <w:gridCol w:w="548"/>
        <w:gridCol w:w="985"/>
        <w:gridCol w:w="1043"/>
        <w:gridCol w:w="1444"/>
      </w:tblGrid>
      <w:tr w14:paraId="6812C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1" w:type="dxa"/>
            <w:noWrap w:val="0"/>
            <w:vAlign w:val="top"/>
          </w:tcPr>
          <w:p w14:paraId="47CE3D33">
            <w:pPr>
              <w:spacing w:line="402" w:lineRule="auto"/>
              <w:rPr>
                <w:rFonts w:hint="eastAsia" w:asciiTheme="minorEastAsia" w:hAnsiTheme="minorEastAsia" w:eastAsiaTheme="minorEastAsia" w:cstheme="minorEastAsia"/>
                <w:sz w:val="24"/>
                <w:szCs w:val="24"/>
              </w:rPr>
            </w:pPr>
          </w:p>
          <w:p w14:paraId="697A19B3">
            <w:pPr>
              <w:spacing w:before="103" w:line="185"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486" w:type="dxa"/>
            <w:noWrap w:val="0"/>
            <w:vAlign w:val="top"/>
          </w:tcPr>
          <w:p w14:paraId="1A5D85F6">
            <w:pPr>
              <w:spacing w:line="403" w:lineRule="auto"/>
              <w:rPr>
                <w:rFonts w:hint="eastAsia" w:asciiTheme="minorEastAsia" w:hAnsiTheme="minorEastAsia" w:eastAsiaTheme="minorEastAsia" w:cstheme="minorEastAsia"/>
                <w:sz w:val="24"/>
                <w:szCs w:val="24"/>
              </w:rPr>
            </w:pPr>
          </w:p>
          <w:p w14:paraId="12E0B029">
            <w:pPr>
              <w:spacing w:before="103" w:line="184" w:lineRule="auto"/>
              <w:ind w:firstLine="2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货</w:t>
            </w:r>
            <w:r>
              <w:rPr>
                <w:rFonts w:hint="eastAsia" w:asciiTheme="minorEastAsia" w:hAnsiTheme="minorEastAsia" w:eastAsiaTheme="minorEastAsia" w:cstheme="minorEastAsia"/>
                <w:spacing w:val="-4"/>
                <w:sz w:val="24"/>
                <w:szCs w:val="24"/>
              </w:rPr>
              <w:t>物名称</w:t>
            </w:r>
          </w:p>
        </w:tc>
        <w:tc>
          <w:tcPr>
            <w:tcW w:w="3061" w:type="dxa"/>
            <w:noWrap w:val="0"/>
            <w:vAlign w:val="top"/>
          </w:tcPr>
          <w:p w14:paraId="707AB4C0">
            <w:pPr>
              <w:spacing w:line="247" w:lineRule="auto"/>
              <w:rPr>
                <w:rFonts w:hint="eastAsia" w:asciiTheme="minorEastAsia" w:hAnsiTheme="minorEastAsia" w:eastAsiaTheme="minorEastAsia" w:cstheme="minorEastAsia"/>
                <w:sz w:val="24"/>
                <w:szCs w:val="24"/>
              </w:rPr>
            </w:pPr>
          </w:p>
          <w:p w14:paraId="614B2C41">
            <w:pPr>
              <w:spacing w:before="103" w:line="182" w:lineRule="auto"/>
              <w:ind w:firstLine="7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品牌型号规格</w:t>
            </w:r>
            <w:r>
              <w:rPr>
                <w:rFonts w:hint="eastAsia" w:asciiTheme="minorEastAsia" w:hAnsiTheme="minorEastAsia" w:eastAsiaTheme="minorEastAsia" w:cstheme="minorEastAsia"/>
                <w:spacing w:val="-4"/>
                <w:sz w:val="24"/>
                <w:szCs w:val="24"/>
              </w:rPr>
              <w:t>及</w:t>
            </w:r>
          </w:p>
          <w:p w14:paraId="5C02AEF6">
            <w:pPr>
              <w:spacing w:line="183" w:lineRule="auto"/>
              <w:ind w:firstLine="8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主要技术参</w:t>
            </w:r>
            <w:r>
              <w:rPr>
                <w:rFonts w:hint="eastAsia" w:asciiTheme="minorEastAsia" w:hAnsiTheme="minorEastAsia" w:eastAsiaTheme="minorEastAsia" w:cstheme="minorEastAsia"/>
                <w:spacing w:val="-2"/>
                <w:sz w:val="24"/>
                <w:szCs w:val="24"/>
              </w:rPr>
              <w:t>数</w:t>
            </w:r>
          </w:p>
        </w:tc>
        <w:tc>
          <w:tcPr>
            <w:tcW w:w="548" w:type="dxa"/>
            <w:noWrap w:val="0"/>
            <w:textDirection w:val="tbRlV"/>
            <w:vAlign w:val="top"/>
          </w:tcPr>
          <w:p w14:paraId="5189D433">
            <w:pPr>
              <w:spacing w:before="151" w:line="179" w:lineRule="auto"/>
              <w:ind w:firstLine="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量</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单 位</w:t>
            </w:r>
          </w:p>
        </w:tc>
        <w:tc>
          <w:tcPr>
            <w:tcW w:w="548" w:type="dxa"/>
            <w:noWrap w:val="0"/>
            <w:textDirection w:val="tbRlV"/>
            <w:vAlign w:val="top"/>
          </w:tcPr>
          <w:p w14:paraId="44AD3730">
            <w:pPr>
              <w:spacing w:before="152" w:line="172" w:lineRule="auto"/>
              <w:ind w:firstLine="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 量</w:t>
            </w:r>
          </w:p>
        </w:tc>
        <w:tc>
          <w:tcPr>
            <w:tcW w:w="985" w:type="dxa"/>
            <w:noWrap w:val="0"/>
            <w:vAlign w:val="top"/>
          </w:tcPr>
          <w:p w14:paraId="097CD50C">
            <w:pPr>
              <w:spacing w:line="247" w:lineRule="auto"/>
              <w:rPr>
                <w:rFonts w:hint="eastAsia" w:asciiTheme="minorEastAsia" w:hAnsiTheme="minorEastAsia" w:eastAsiaTheme="minorEastAsia" w:cstheme="minorEastAsia"/>
                <w:sz w:val="24"/>
                <w:szCs w:val="24"/>
              </w:rPr>
            </w:pPr>
          </w:p>
          <w:p w14:paraId="60CFE625">
            <w:pPr>
              <w:spacing w:before="103" w:line="200" w:lineRule="auto"/>
              <w:ind w:left="130" w:right="129" w:firstLine="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单</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4"/>
                <w:sz w:val="24"/>
                <w:szCs w:val="24"/>
              </w:rPr>
              <w:t>价</w:t>
            </w:r>
            <w:r>
              <w:rPr>
                <w:rFonts w:hint="eastAsia" w:asciiTheme="minorEastAsia" w:hAnsiTheme="minorEastAsia" w:eastAsiaTheme="minorEastAsia" w:cstheme="minorEastAsia"/>
                <w:sz w:val="24"/>
                <w:szCs w:val="24"/>
              </w:rPr>
              <w:t xml:space="preserve"> （元）</w:t>
            </w:r>
          </w:p>
        </w:tc>
        <w:tc>
          <w:tcPr>
            <w:tcW w:w="1043" w:type="dxa"/>
            <w:noWrap w:val="0"/>
            <w:vAlign w:val="top"/>
          </w:tcPr>
          <w:p w14:paraId="10873BC0">
            <w:pPr>
              <w:spacing w:line="247" w:lineRule="auto"/>
              <w:rPr>
                <w:rFonts w:hint="eastAsia" w:asciiTheme="minorEastAsia" w:hAnsiTheme="minorEastAsia" w:eastAsiaTheme="minorEastAsia" w:cstheme="minorEastAsia"/>
                <w:sz w:val="24"/>
                <w:szCs w:val="24"/>
              </w:rPr>
            </w:pPr>
          </w:p>
          <w:p w14:paraId="604BA90F">
            <w:pPr>
              <w:spacing w:before="103" w:line="200" w:lineRule="auto"/>
              <w:ind w:left="159" w:right="158" w:firstLine="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总</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9"/>
                <w:sz w:val="24"/>
                <w:szCs w:val="24"/>
              </w:rPr>
              <w:t>价</w:t>
            </w:r>
            <w:r>
              <w:rPr>
                <w:rFonts w:hint="eastAsia" w:asciiTheme="minorEastAsia" w:hAnsiTheme="minorEastAsia" w:eastAsiaTheme="minorEastAsia" w:cstheme="minorEastAsia"/>
                <w:sz w:val="24"/>
                <w:szCs w:val="24"/>
              </w:rPr>
              <w:t xml:space="preserve"> （元）</w:t>
            </w:r>
          </w:p>
        </w:tc>
        <w:tc>
          <w:tcPr>
            <w:tcW w:w="1444" w:type="dxa"/>
            <w:noWrap w:val="0"/>
            <w:vAlign w:val="top"/>
          </w:tcPr>
          <w:p w14:paraId="2FFA83E1">
            <w:pPr>
              <w:spacing w:line="249" w:lineRule="auto"/>
              <w:rPr>
                <w:rFonts w:hint="eastAsia" w:asciiTheme="minorEastAsia" w:hAnsiTheme="minorEastAsia" w:eastAsiaTheme="minorEastAsia" w:cstheme="minorEastAsia"/>
                <w:sz w:val="24"/>
                <w:szCs w:val="24"/>
              </w:rPr>
            </w:pPr>
          </w:p>
          <w:p w14:paraId="08E5C5B4">
            <w:pPr>
              <w:spacing w:before="103" w:line="202" w:lineRule="auto"/>
              <w:ind w:left="253" w:right="240" w:hanging="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产地</w:t>
            </w:r>
            <w:r>
              <w:rPr>
                <w:rFonts w:hint="eastAsia" w:asciiTheme="minorEastAsia" w:hAnsiTheme="minorEastAsia" w:eastAsiaTheme="minorEastAsia" w:cstheme="minorEastAsia"/>
                <w:spacing w:val="-2"/>
                <w:sz w:val="24"/>
                <w:szCs w:val="24"/>
              </w:rPr>
              <w:t>生产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厂商名称</w:t>
            </w:r>
          </w:p>
        </w:tc>
      </w:tr>
      <w:tr w14:paraId="3A1AD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18625DB">
            <w:pPr>
              <w:rPr>
                <w:rFonts w:hint="eastAsia" w:asciiTheme="minorEastAsia" w:hAnsiTheme="minorEastAsia" w:eastAsiaTheme="minorEastAsia" w:cstheme="minorEastAsia"/>
                <w:sz w:val="24"/>
                <w:szCs w:val="24"/>
              </w:rPr>
            </w:pPr>
          </w:p>
        </w:tc>
        <w:tc>
          <w:tcPr>
            <w:tcW w:w="1486" w:type="dxa"/>
            <w:noWrap w:val="0"/>
            <w:vAlign w:val="top"/>
          </w:tcPr>
          <w:p w14:paraId="0FF91F94">
            <w:pPr>
              <w:rPr>
                <w:rFonts w:hint="eastAsia" w:asciiTheme="minorEastAsia" w:hAnsiTheme="minorEastAsia" w:eastAsiaTheme="minorEastAsia" w:cstheme="minorEastAsia"/>
                <w:sz w:val="24"/>
                <w:szCs w:val="24"/>
              </w:rPr>
            </w:pPr>
          </w:p>
        </w:tc>
        <w:tc>
          <w:tcPr>
            <w:tcW w:w="3061" w:type="dxa"/>
            <w:noWrap w:val="0"/>
            <w:vAlign w:val="top"/>
          </w:tcPr>
          <w:p w14:paraId="50EA1D33">
            <w:pPr>
              <w:spacing w:before="114" w:line="180" w:lineRule="auto"/>
              <w:ind w:firstLine="1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（视明细项目加行）</w:t>
            </w:r>
          </w:p>
        </w:tc>
        <w:tc>
          <w:tcPr>
            <w:tcW w:w="548" w:type="dxa"/>
            <w:noWrap w:val="0"/>
            <w:vAlign w:val="top"/>
          </w:tcPr>
          <w:p w14:paraId="3A4AFC12">
            <w:pPr>
              <w:rPr>
                <w:rFonts w:hint="eastAsia" w:asciiTheme="minorEastAsia" w:hAnsiTheme="minorEastAsia" w:eastAsiaTheme="minorEastAsia" w:cstheme="minorEastAsia"/>
                <w:sz w:val="24"/>
                <w:szCs w:val="24"/>
              </w:rPr>
            </w:pPr>
          </w:p>
        </w:tc>
        <w:tc>
          <w:tcPr>
            <w:tcW w:w="548" w:type="dxa"/>
            <w:noWrap w:val="0"/>
            <w:vAlign w:val="top"/>
          </w:tcPr>
          <w:p w14:paraId="0EE6C130">
            <w:pPr>
              <w:rPr>
                <w:rFonts w:hint="eastAsia" w:asciiTheme="minorEastAsia" w:hAnsiTheme="minorEastAsia" w:eastAsiaTheme="minorEastAsia" w:cstheme="minorEastAsia"/>
                <w:sz w:val="24"/>
                <w:szCs w:val="24"/>
              </w:rPr>
            </w:pPr>
          </w:p>
        </w:tc>
        <w:tc>
          <w:tcPr>
            <w:tcW w:w="985" w:type="dxa"/>
            <w:noWrap w:val="0"/>
            <w:vAlign w:val="top"/>
          </w:tcPr>
          <w:p w14:paraId="43A726BD">
            <w:pPr>
              <w:rPr>
                <w:rFonts w:hint="eastAsia" w:asciiTheme="minorEastAsia" w:hAnsiTheme="minorEastAsia" w:eastAsiaTheme="minorEastAsia" w:cstheme="minorEastAsia"/>
                <w:sz w:val="24"/>
                <w:szCs w:val="24"/>
              </w:rPr>
            </w:pPr>
          </w:p>
        </w:tc>
        <w:tc>
          <w:tcPr>
            <w:tcW w:w="1043" w:type="dxa"/>
            <w:noWrap w:val="0"/>
            <w:vAlign w:val="top"/>
          </w:tcPr>
          <w:p w14:paraId="7FC16E0C">
            <w:pPr>
              <w:rPr>
                <w:rFonts w:hint="eastAsia" w:asciiTheme="minorEastAsia" w:hAnsiTheme="minorEastAsia" w:eastAsiaTheme="minorEastAsia" w:cstheme="minorEastAsia"/>
                <w:sz w:val="24"/>
                <w:szCs w:val="24"/>
              </w:rPr>
            </w:pPr>
          </w:p>
        </w:tc>
        <w:tc>
          <w:tcPr>
            <w:tcW w:w="1444" w:type="dxa"/>
            <w:noWrap w:val="0"/>
            <w:vAlign w:val="top"/>
          </w:tcPr>
          <w:p w14:paraId="248D58A2">
            <w:pPr>
              <w:rPr>
                <w:rFonts w:hint="eastAsia" w:asciiTheme="minorEastAsia" w:hAnsiTheme="minorEastAsia" w:eastAsiaTheme="minorEastAsia" w:cstheme="minorEastAsia"/>
                <w:sz w:val="24"/>
                <w:szCs w:val="24"/>
              </w:rPr>
            </w:pPr>
          </w:p>
        </w:tc>
      </w:tr>
      <w:tr w14:paraId="1777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29FF8EAA">
            <w:pPr>
              <w:rPr>
                <w:rFonts w:hint="eastAsia" w:asciiTheme="minorEastAsia" w:hAnsiTheme="minorEastAsia" w:eastAsiaTheme="minorEastAsia" w:cstheme="minorEastAsia"/>
                <w:sz w:val="24"/>
                <w:szCs w:val="24"/>
              </w:rPr>
            </w:pPr>
          </w:p>
        </w:tc>
        <w:tc>
          <w:tcPr>
            <w:tcW w:w="1486" w:type="dxa"/>
            <w:noWrap w:val="0"/>
            <w:vAlign w:val="top"/>
          </w:tcPr>
          <w:p w14:paraId="0F673E83">
            <w:pPr>
              <w:rPr>
                <w:rFonts w:hint="eastAsia" w:asciiTheme="minorEastAsia" w:hAnsiTheme="minorEastAsia" w:eastAsiaTheme="minorEastAsia" w:cstheme="minorEastAsia"/>
                <w:sz w:val="24"/>
                <w:szCs w:val="24"/>
              </w:rPr>
            </w:pPr>
          </w:p>
        </w:tc>
        <w:tc>
          <w:tcPr>
            <w:tcW w:w="3061" w:type="dxa"/>
            <w:noWrap w:val="0"/>
            <w:vAlign w:val="top"/>
          </w:tcPr>
          <w:p w14:paraId="2D63B063">
            <w:pPr>
              <w:rPr>
                <w:rFonts w:hint="eastAsia" w:asciiTheme="minorEastAsia" w:hAnsiTheme="minorEastAsia" w:eastAsiaTheme="minorEastAsia" w:cstheme="minorEastAsia"/>
                <w:sz w:val="24"/>
                <w:szCs w:val="24"/>
              </w:rPr>
            </w:pPr>
          </w:p>
        </w:tc>
        <w:tc>
          <w:tcPr>
            <w:tcW w:w="548" w:type="dxa"/>
            <w:noWrap w:val="0"/>
            <w:vAlign w:val="top"/>
          </w:tcPr>
          <w:p w14:paraId="4D3460C3">
            <w:pPr>
              <w:rPr>
                <w:rFonts w:hint="eastAsia" w:asciiTheme="minorEastAsia" w:hAnsiTheme="minorEastAsia" w:eastAsiaTheme="minorEastAsia" w:cstheme="minorEastAsia"/>
                <w:sz w:val="24"/>
                <w:szCs w:val="24"/>
              </w:rPr>
            </w:pPr>
          </w:p>
        </w:tc>
        <w:tc>
          <w:tcPr>
            <w:tcW w:w="548" w:type="dxa"/>
            <w:noWrap w:val="0"/>
            <w:vAlign w:val="top"/>
          </w:tcPr>
          <w:p w14:paraId="4E204A4E">
            <w:pPr>
              <w:rPr>
                <w:rFonts w:hint="eastAsia" w:asciiTheme="minorEastAsia" w:hAnsiTheme="minorEastAsia" w:eastAsiaTheme="minorEastAsia" w:cstheme="minorEastAsia"/>
                <w:sz w:val="24"/>
                <w:szCs w:val="24"/>
              </w:rPr>
            </w:pPr>
          </w:p>
        </w:tc>
        <w:tc>
          <w:tcPr>
            <w:tcW w:w="985" w:type="dxa"/>
            <w:noWrap w:val="0"/>
            <w:vAlign w:val="top"/>
          </w:tcPr>
          <w:p w14:paraId="57EDF321">
            <w:pPr>
              <w:rPr>
                <w:rFonts w:hint="eastAsia" w:asciiTheme="minorEastAsia" w:hAnsiTheme="minorEastAsia" w:eastAsiaTheme="minorEastAsia" w:cstheme="minorEastAsia"/>
                <w:sz w:val="24"/>
                <w:szCs w:val="24"/>
              </w:rPr>
            </w:pPr>
          </w:p>
        </w:tc>
        <w:tc>
          <w:tcPr>
            <w:tcW w:w="1043" w:type="dxa"/>
            <w:noWrap w:val="0"/>
            <w:vAlign w:val="top"/>
          </w:tcPr>
          <w:p w14:paraId="34852632">
            <w:pPr>
              <w:rPr>
                <w:rFonts w:hint="eastAsia" w:asciiTheme="minorEastAsia" w:hAnsiTheme="minorEastAsia" w:eastAsiaTheme="minorEastAsia" w:cstheme="minorEastAsia"/>
                <w:sz w:val="24"/>
                <w:szCs w:val="24"/>
              </w:rPr>
            </w:pPr>
          </w:p>
        </w:tc>
        <w:tc>
          <w:tcPr>
            <w:tcW w:w="1444" w:type="dxa"/>
            <w:noWrap w:val="0"/>
            <w:vAlign w:val="top"/>
          </w:tcPr>
          <w:p w14:paraId="617000F4">
            <w:pPr>
              <w:rPr>
                <w:rFonts w:hint="eastAsia" w:asciiTheme="minorEastAsia" w:hAnsiTheme="minorEastAsia" w:eastAsiaTheme="minorEastAsia" w:cstheme="minorEastAsia"/>
                <w:sz w:val="24"/>
                <w:szCs w:val="24"/>
              </w:rPr>
            </w:pPr>
          </w:p>
        </w:tc>
      </w:tr>
      <w:tr w14:paraId="769E4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1C58E22">
            <w:pPr>
              <w:rPr>
                <w:rFonts w:hint="eastAsia" w:asciiTheme="minorEastAsia" w:hAnsiTheme="minorEastAsia" w:eastAsiaTheme="minorEastAsia" w:cstheme="minorEastAsia"/>
                <w:sz w:val="24"/>
                <w:szCs w:val="24"/>
              </w:rPr>
            </w:pPr>
          </w:p>
        </w:tc>
        <w:tc>
          <w:tcPr>
            <w:tcW w:w="1486" w:type="dxa"/>
            <w:noWrap w:val="0"/>
            <w:vAlign w:val="top"/>
          </w:tcPr>
          <w:p w14:paraId="1C1D188C">
            <w:pPr>
              <w:rPr>
                <w:rFonts w:hint="eastAsia" w:asciiTheme="minorEastAsia" w:hAnsiTheme="minorEastAsia" w:eastAsiaTheme="minorEastAsia" w:cstheme="minorEastAsia"/>
                <w:sz w:val="24"/>
                <w:szCs w:val="24"/>
              </w:rPr>
            </w:pPr>
          </w:p>
        </w:tc>
        <w:tc>
          <w:tcPr>
            <w:tcW w:w="3061" w:type="dxa"/>
            <w:noWrap w:val="0"/>
            <w:vAlign w:val="top"/>
          </w:tcPr>
          <w:p w14:paraId="465BBB5D">
            <w:pPr>
              <w:rPr>
                <w:rFonts w:hint="eastAsia" w:asciiTheme="minorEastAsia" w:hAnsiTheme="minorEastAsia" w:eastAsiaTheme="minorEastAsia" w:cstheme="minorEastAsia"/>
                <w:sz w:val="24"/>
                <w:szCs w:val="24"/>
              </w:rPr>
            </w:pPr>
          </w:p>
        </w:tc>
        <w:tc>
          <w:tcPr>
            <w:tcW w:w="548" w:type="dxa"/>
            <w:noWrap w:val="0"/>
            <w:vAlign w:val="top"/>
          </w:tcPr>
          <w:p w14:paraId="11AE3CD4">
            <w:pPr>
              <w:rPr>
                <w:rFonts w:hint="eastAsia" w:asciiTheme="minorEastAsia" w:hAnsiTheme="minorEastAsia" w:eastAsiaTheme="minorEastAsia" w:cstheme="minorEastAsia"/>
                <w:sz w:val="24"/>
                <w:szCs w:val="24"/>
              </w:rPr>
            </w:pPr>
          </w:p>
        </w:tc>
        <w:tc>
          <w:tcPr>
            <w:tcW w:w="548" w:type="dxa"/>
            <w:noWrap w:val="0"/>
            <w:vAlign w:val="top"/>
          </w:tcPr>
          <w:p w14:paraId="78E0563F">
            <w:pPr>
              <w:rPr>
                <w:rFonts w:hint="eastAsia" w:asciiTheme="minorEastAsia" w:hAnsiTheme="minorEastAsia" w:eastAsiaTheme="minorEastAsia" w:cstheme="minorEastAsia"/>
                <w:sz w:val="24"/>
                <w:szCs w:val="24"/>
              </w:rPr>
            </w:pPr>
          </w:p>
        </w:tc>
        <w:tc>
          <w:tcPr>
            <w:tcW w:w="985" w:type="dxa"/>
            <w:noWrap w:val="0"/>
            <w:vAlign w:val="top"/>
          </w:tcPr>
          <w:p w14:paraId="45410336">
            <w:pPr>
              <w:rPr>
                <w:rFonts w:hint="eastAsia" w:asciiTheme="minorEastAsia" w:hAnsiTheme="minorEastAsia" w:eastAsiaTheme="minorEastAsia" w:cstheme="minorEastAsia"/>
                <w:sz w:val="24"/>
                <w:szCs w:val="24"/>
              </w:rPr>
            </w:pPr>
          </w:p>
        </w:tc>
        <w:tc>
          <w:tcPr>
            <w:tcW w:w="1043" w:type="dxa"/>
            <w:noWrap w:val="0"/>
            <w:vAlign w:val="top"/>
          </w:tcPr>
          <w:p w14:paraId="304848FA">
            <w:pPr>
              <w:rPr>
                <w:rFonts w:hint="eastAsia" w:asciiTheme="minorEastAsia" w:hAnsiTheme="minorEastAsia" w:eastAsiaTheme="minorEastAsia" w:cstheme="minorEastAsia"/>
                <w:sz w:val="24"/>
                <w:szCs w:val="24"/>
              </w:rPr>
            </w:pPr>
          </w:p>
        </w:tc>
        <w:tc>
          <w:tcPr>
            <w:tcW w:w="1444" w:type="dxa"/>
            <w:noWrap w:val="0"/>
            <w:vAlign w:val="top"/>
          </w:tcPr>
          <w:p w14:paraId="771D51AC">
            <w:pPr>
              <w:rPr>
                <w:rFonts w:hint="eastAsia" w:asciiTheme="minorEastAsia" w:hAnsiTheme="minorEastAsia" w:eastAsiaTheme="minorEastAsia" w:cstheme="minorEastAsia"/>
                <w:sz w:val="24"/>
                <w:szCs w:val="24"/>
              </w:rPr>
            </w:pPr>
          </w:p>
        </w:tc>
      </w:tr>
      <w:tr w14:paraId="73FE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518A6B35">
            <w:pPr>
              <w:rPr>
                <w:rFonts w:hint="eastAsia" w:asciiTheme="minorEastAsia" w:hAnsiTheme="minorEastAsia" w:eastAsiaTheme="minorEastAsia" w:cstheme="minorEastAsia"/>
                <w:sz w:val="24"/>
                <w:szCs w:val="24"/>
              </w:rPr>
            </w:pPr>
          </w:p>
        </w:tc>
        <w:tc>
          <w:tcPr>
            <w:tcW w:w="1486" w:type="dxa"/>
            <w:noWrap w:val="0"/>
            <w:vAlign w:val="top"/>
          </w:tcPr>
          <w:p w14:paraId="6FB56780">
            <w:pPr>
              <w:rPr>
                <w:rFonts w:hint="eastAsia" w:asciiTheme="minorEastAsia" w:hAnsiTheme="minorEastAsia" w:eastAsiaTheme="minorEastAsia" w:cstheme="minorEastAsia"/>
                <w:sz w:val="24"/>
                <w:szCs w:val="24"/>
              </w:rPr>
            </w:pPr>
          </w:p>
        </w:tc>
        <w:tc>
          <w:tcPr>
            <w:tcW w:w="3061" w:type="dxa"/>
            <w:noWrap w:val="0"/>
            <w:vAlign w:val="top"/>
          </w:tcPr>
          <w:p w14:paraId="54F5B882">
            <w:pPr>
              <w:rPr>
                <w:rFonts w:hint="eastAsia" w:asciiTheme="minorEastAsia" w:hAnsiTheme="minorEastAsia" w:eastAsiaTheme="minorEastAsia" w:cstheme="minorEastAsia"/>
                <w:sz w:val="24"/>
                <w:szCs w:val="24"/>
              </w:rPr>
            </w:pPr>
          </w:p>
        </w:tc>
        <w:tc>
          <w:tcPr>
            <w:tcW w:w="548" w:type="dxa"/>
            <w:noWrap w:val="0"/>
            <w:vAlign w:val="top"/>
          </w:tcPr>
          <w:p w14:paraId="52300961">
            <w:pPr>
              <w:rPr>
                <w:rFonts w:hint="eastAsia" w:asciiTheme="minorEastAsia" w:hAnsiTheme="minorEastAsia" w:eastAsiaTheme="minorEastAsia" w:cstheme="minorEastAsia"/>
                <w:sz w:val="24"/>
                <w:szCs w:val="24"/>
              </w:rPr>
            </w:pPr>
          </w:p>
        </w:tc>
        <w:tc>
          <w:tcPr>
            <w:tcW w:w="548" w:type="dxa"/>
            <w:noWrap w:val="0"/>
            <w:vAlign w:val="top"/>
          </w:tcPr>
          <w:p w14:paraId="2A5C38DA">
            <w:pPr>
              <w:rPr>
                <w:rFonts w:hint="eastAsia" w:asciiTheme="minorEastAsia" w:hAnsiTheme="minorEastAsia" w:eastAsiaTheme="minorEastAsia" w:cstheme="minorEastAsia"/>
                <w:sz w:val="24"/>
                <w:szCs w:val="24"/>
              </w:rPr>
            </w:pPr>
          </w:p>
        </w:tc>
        <w:tc>
          <w:tcPr>
            <w:tcW w:w="985" w:type="dxa"/>
            <w:noWrap w:val="0"/>
            <w:vAlign w:val="top"/>
          </w:tcPr>
          <w:p w14:paraId="5EC022B1">
            <w:pPr>
              <w:rPr>
                <w:rFonts w:hint="eastAsia" w:asciiTheme="minorEastAsia" w:hAnsiTheme="minorEastAsia" w:eastAsiaTheme="minorEastAsia" w:cstheme="minorEastAsia"/>
                <w:sz w:val="24"/>
                <w:szCs w:val="24"/>
              </w:rPr>
            </w:pPr>
          </w:p>
        </w:tc>
        <w:tc>
          <w:tcPr>
            <w:tcW w:w="1043" w:type="dxa"/>
            <w:noWrap w:val="0"/>
            <w:vAlign w:val="top"/>
          </w:tcPr>
          <w:p w14:paraId="4A1B1D30">
            <w:pPr>
              <w:rPr>
                <w:rFonts w:hint="eastAsia" w:asciiTheme="minorEastAsia" w:hAnsiTheme="minorEastAsia" w:eastAsiaTheme="minorEastAsia" w:cstheme="minorEastAsia"/>
                <w:sz w:val="24"/>
                <w:szCs w:val="24"/>
              </w:rPr>
            </w:pPr>
          </w:p>
        </w:tc>
        <w:tc>
          <w:tcPr>
            <w:tcW w:w="1444" w:type="dxa"/>
            <w:noWrap w:val="0"/>
            <w:vAlign w:val="top"/>
          </w:tcPr>
          <w:p w14:paraId="0E841928">
            <w:pPr>
              <w:rPr>
                <w:rFonts w:hint="eastAsia" w:asciiTheme="minorEastAsia" w:hAnsiTheme="minorEastAsia" w:eastAsiaTheme="minorEastAsia" w:cstheme="minorEastAsia"/>
                <w:sz w:val="24"/>
                <w:szCs w:val="24"/>
              </w:rPr>
            </w:pPr>
          </w:p>
        </w:tc>
      </w:tr>
      <w:tr w14:paraId="185E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19DDBE72">
            <w:pPr>
              <w:rPr>
                <w:rFonts w:hint="eastAsia" w:asciiTheme="minorEastAsia" w:hAnsiTheme="minorEastAsia" w:eastAsiaTheme="minorEastAsia" w:cstheme="minorEastAsia"/>
                <w:sz w:val="24"/>
                <w:szCs w:val="24"/>
              </w:rPr>
            </w:pPr>
          </w:p>
        </w:tc>
        <w:tc>
          <w:tcPr>
            <w:tcW w:w="1486" w:type="dxa"/>
            <w:noWrap w:val="0"/>
            <w:vAlign w:val="top"/>
          </w:tcPr>
          <w:p w14:paraId="5C7D5E1F">
            <w:pPr>
              <w:rPr>
                <w:rFonts w:hint="eastAsia" w:asciiTheme="minorEastAsia" w:hAnsiTheme="minorEastAsia" w:eastAsiaTheme="minorEastAsia" w:cstheme="minorEastAsia"/>
                <w:sz w:val="24"/>
                <w:szCs w:val="24"/>
              </w:rPr>
            </w:pPr>
          </w:p>
        </w:tc>
        <w:tc>
          <w:tcPr>
            <w:tcW w:w="3061" w:type="dxa"/>
            <w:noWrap w:val="0"/>
            <w:vAlign w:val="top"/>
          </w:tcPr>
          <w:p w14:paraId="24589B16">
            <w:pPr>
              <w:rPr>
                <w:rFonts w:hint="eastAsia" w:asciiTheme="minorEastAsia" w:hAnsiTheme="minorEastAsia" w:eastAsiaTheme="minorEastAsia" w:cstheme="minorEastAsia"/>
                <w:sz w:val="24"/>
                <w:szCs w:val="24"/>
              </w:rPr>
            </w:pPr>
          </w:p>
        </w:tc>
        <w:tc>
          <w:tcPr>
            <w:tcW w:w="548" w:type="dxa"/>
            <w:noWrap w:val="0"/>
            <w:vAlign w:val="top"/>
          </w:tcPr>
          <w:p w14:paraId="2AB8B886">
            <w:pPr>
              <w:rPr>
                <w:rFonts w:hint="eastAsia" w:asciiTheme="minorEastAsia" w:hAnsiTheme="minorEastAsia" w:eastAsiaTheme="minorEastAsia" w:cstheme="minorEastAsia"/>
                <w:sz w:val="24"/>
                <w:szCs w:val="24"/>
              </w:rPr>
            </w:pPr>
          </w:p>
        </w:tc>
        <w:tc>
          <w:tcPr>
            <w:tcW w:w="548" w:type="dxa"/>
            <w:noWrap w:val="0"/>
            <w:vAlign w:val="top"/>
          </w:tcPr>
          <w:p w14:paraId="40FFE3FB">
            <w:pPr>
              <w:rPr>
                <w:rFonts w:hint="eastAsia" w:asciiTheme="minorEastAsia" w:hAnsiTheme="minorEastAsia" w:eastAsiaTheme="minorEastAsia" w:cstheme="minorEastAsia"/>
                <w:sz w:val="24"/>
                <w:szCs w:val="24"/>
              </w:rPr>
            </w:pPr>
          </w:p>
        </w:tc>
        <w:tc>
          <w:tcPr>
            <w:tcW w:w="985" w:type="dxa"/>
            <w:noWrap w:val="0"/>
            <w:vAlign w:val="top"/>
          </w:tcPr>
          <w:p w14:paraId="40E1C55B">
            <w:pPr>
              <w:rPr>
                <w:rFonts w:hint="eastAsia" w:asciiTheme="minorEastAsia" w:hAnsiTheme="minorEastAsia" w:eastAsiaTheme="minorEastAsia" w:cstheme="minorEastAsia"/>
                <w:sz w:val="24"/>
                <w:szCs w:val="24"/>
              </w:rPr>
            </w:pPr>
          </w:p>
        </w:tc>
        <w:tc>
          <w:tcPr>
            <w:tcW w:w="1043" w:type="dxa"/>
            <w:noWrap w:val="0"/>
            <w:vAlign w:val="top"/>
          </w:tcPr>
          <w:p w14:paraId="0F8B19B8">
            <w:pPr>
              <w:rPr>
                <w:rFonts w:hint="eastAsia" w:asciiTheme="minorEastAsia" w:hAnsiTheme="minorEastAsia" w:eastAsiaTheme="minorEastAsia" w:cstheme="minorEastAsia"/>
                <w:sz w:val="24"/>
                <w:szCs w:val="24"/>
              </w:rPr>
            </w:pPr>
          </w:p>
        </w:tc>
        <w:tc>
          <w:tcPr>
            <w:tcW w:w="1444" w:type="dxa"/>
            <w:noWrap w:val="0"/>
            <w:vAlign w:val="top"/>
          </w:tcPr>
          <w:p w14:paraId="74FB8C64">
            <w:pPr>
              <w:rPr>
                <w:rFonts w:hint="eastAsia" w:asciiTheme="minorEastAsia" w:hAnsiTheme="minorEastAsia" w:eastAsiaTheme="minorEastAsia" w:cstheme="minorEastAsia"/>
                <w:sz w:val="24"/>
                <w:szCs w:val="24"/>
              </w:rPr>
            </w:pPr>
          </w:p>
        </w:tc>
      </w:tr>
      <w:tr w14:paraId="6A8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1F1F6C3E">
            <w:pPr>
              <w:rPr>
                <w:rFonts w:hint="eastAsia" w:asciiTheme="minorEastAsia" w:hAnsiTheme="minorEastAsia" w:eastAsiaTheme="minorEastAsia" w:cstheme="minorEastAsia"/>
                <w:sz w:val="24"/>
                <w:szCs w:val="24"/>
              </w:rPr>
            </w:pPr>
          </w:p>
        </w:tc>
        <w:tc>
          <w:tcPr>
            <w:tcW w:w="1486" w:type="dxa"/>
            <w:noWrap w:val="0"/>
            <w:vAlign w:val="top"/>
          </w:tcPr>
          <w:p w14:paraId="26AF2C2D">
            <w:pPr>
              <w:rPr>
                <w:rFonts w:hint="eastAsia" w:asciiTheme="minorEastAsia" w:hAnsiTheme="minorEastAsia" w:eastAsiaTheme="minorEastAsia" w:cstheme="minorEastAsia"/>
                <w:sz w:val="24"/>
                <w:szCs w:val="24"/>
              </w:rPr>
            </w:pPr>
          </w:p>
        </w:tc>
        <w:tc>
          <w:tcPr>
            <w:tcW w:w="3061" w:type="dxa"/>
            <w:noWrap w:val="0"/>
            <w:vAlign w:val="top"/>
          </w:tcPr>
          <w:p w14:paraId="155843A5">
            <w:pPr>
              <w:rPr>
                <w:rFonts w:hint="eastAsia" w:asciiTheme="minorEastAsia" w:hAnsiTheme="minorEastAsia" w:eastAsiaTheme="minorEastAsia" w:cstheme="minorEastAsia"/>
                <w:sz w:val="24"/>
                <w:szCs w:val="24"/>
              </w:rPr>
            </w:pPr>
          </w:p>
        </w:tc>
        <w:tc>
          <w:tcPr>
            <w:tcW w:w="548" w:type="dxa"/>
            <w:noWrap w:val="0"/>
            <w:vAlign w:val="top"/>
          </w:tcPr>
          <w:p w14:paraId="66E33FFD">
            <w:pPr>
              <w:rPr>
                <w:rFonts w:hint="eastAsia" w:asciiTheme="minorEastAsia" w:hAnsiTheme="minorEastAsia" w:eastAsiaTheme="minorEastAsia" w:cstheme="minorEastAsia"/>
                <w:sz w:val="24"/>
                <w:szCs w:val="24"/>
              </w:rPr>
            </w:pPr>
          </w:p>
        </w:tc>
        <w:tc>
          <w:tcPr>
            <w:tcW w:w="548" w:type="dxa"/>
            <w:noWrap w:val="0"/>
            <w:vAlign w:val="top"/>
          </w:tcPr>
          <w:p w14:paraId="4A93242E">
            <w:pPr>
              <w:rPr>
                <w:rFonts w:hint="eastAsia" w:asciiTheme="minorEastAsia" w:hAnsiTheme="minorEastAsia" w:eastAsiaTheme="minorEastAsia" w:cstheme="minorEastAsia"/>
                <w:sz w:val="24"/>
                <w:szCs w:val="24"/>
              </w:rPr>
            </w:pPr>
          </w:p>
        </w:tc>
        <w:tc>
          <w:tcPr>
            <w:tcW w:w="985" w:type="dxa"/>
            <w:noWrap w:val="0"/>
            <w:vAlign w:val="top"/>
          </w:tcPr>
          <w:p w14:paraId="7B2824A5">
            <w:pPr>
              <w:rPr>
                <w:rFonts w:hint="eastAsia" w:asciiTheme="minorEastAsia" w:hAnsiTheme="minorEastAsia" w:eastAsiaTheme="minorEastAsia" w:cstheme="minorEastAsia"/>
                <w:sz w:val="24"/>
                <w:szCs w:val="24"/>
              </w:rPr>
            </w:pPr>
          </w:p>
        </w:tc>
        <w:tc>
          <w:tcPr>
            <w:tcW w:w="1043" w:type="dxa"/>
            <w:noWrap w:val="0"/>
            <w:vAlign w:val="top"/>
          </w:tcPr>
          <w:p w14:paraId="042FEC57">
            <w:pPr>
              <w:rPr>
                <w:rFonts w:hint="eastAsia" w:asciiTheme="minorEastAsia" w:hAnsiTheme="minorEastAsia" w:eastAsiaTheme="minorEastAsia" w:cstheme="minorEastAsia"/>
                <w:sz w:val="24"/>
                <w:szCs w:val="24"/>
              </w:rPr>
            </w:pPr>
          </w:p>
        </w:tc>
        <w:tc>
          <w:tcPr>
            <w:tcW w:w="1444" w:type="dxa"/>
            <w:noWrap w:val="0"/>
            <w:vAlign w:val="top"/>
          </w:tcPr>
          <w:p w14:paraId="01C9AA9E">
            <w:pPr>
              <w:rPr>
                <w:rFonts w:hint="eastAsia" w:asciiTheme="minorEastAsia" w:hAnsiTheme="minorEastAsia" w:eastAsiaTheme="minorEastAsia" w:cstheme="minorEastAsia"/>
                <w:sz w:val="24"/>
                <w:szCs w:val="24"/>
              </w:rPr>
            </w:pPr>
          </w:p>
        </w:tc>
      </w:tr>
      <w:tr w14:paraId="0BD4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2C26F18">
            <w:pPr>
              <w:rPr>
                <w:rFonts w:hint="eastAsia" w:asciiTheme="minorEastAsia" w:hAnsiTheme="minorEastAsia" w:eastAsiaTheme="minorEastAsia" w:cstheme="minorEastAsia"/>
                <w:sz w:val="24"/>
                <w:szCs w:val="24"/>
              </w:rPr>
            </w:pPr>
          </w:p>
        </w:tc>
        <w:tc>
          <w:tcPr>
            <w:tcW w:w="1486" w:type="dxa"/>
            <w:noWrap w:val="0"/>
            <w:vAlign w:val="top"/>
          </w:tcPr>
          <w:p w14:paraId="194EAABC">
            <w:pPr>
              <w:rPr>
                <w:rFonts w:hint="eastAsia" w:asciiTheme="minorEastAsia" w:hAnsiTheme="minorEastAsia" w:eastAsiaTheme="minorEastAsia" w:cstheme="minorEastAsia"/>
                <w:sz w:val="24"/>
                <w:szCs w:val="24"/>
              </w:rPr>
            </w:pPr>
          </w:p>
        </w:tc>
        <w:tc>
          <w:tcPr>
            <w:tcW w:w="3061" w:type="dxa"/>
            <w:noWrap w:val="0"/>
            <w:vAlign w:val="top"/>
          </w:tcPr>
          <w:p w14:paraId="49782BB0">
            <w:pPr>
              <w:rPr>
                <w:rFonts w:hint="eastAsia" w:asciiTheme="minorEastAsia" w:hAnsiTheme="minorEastAsia" w:eastAsiaTheme="minorEastAsia" w:cstheme="minorEastAsia"/>
                <w:sz w:val="24"/>
                <w:szCs w:val="24"/>
              </w:rPr>
            </w:pPr>
          </w:p>
        </w:tc>
        <w:tc>
          <w:tcPr>
            <w:tcW w:w="548" w:type="dxa"/>
            <w:noWrap w:val="0"/>
            <w:vAlign w:val="top"/>
          </w:tcPr>
          <w:p w14:paraId="020E1E15">
            <w:pPr>
              <w:rPr>
                <w:rFonts w:hint="eastAsia" w:asciiTheme="minorEastAsia" w:hAnsiTheme="minorEastAsia" w:eastAsiaTheme="minorEastAsia" w:cstheme="minorEastAsia"/>
                <w:sz w:val="24"/>
                <w:szCs w:val="24"/>
              </w:rPr>
            </w:pPr>
          </w:p>
        </w:tc>
        <w:tc>
          <w:tcPr>
            <w:tcW w:w="548" w:type="dxa"/>
            <w:noWrap w:val="0"/>
            <w:vAlign w:val="top"/>
          </w:tcPr>
          <w:p w14:paraId="648AFD4F">
            <w:pPr>
              <w:rPr>
                <w:rFonts w:hint="eastAsia" w:asciiTheme="minorEastAsia" w:hAnsiTheme="minorEastAsia" w:eastAsiaTheme="minorEastAsia" w:cstheme="minorEastAsia"/>
                <w:sz w:val="24"/>
                <w:szCs w:val="24"/>
              </w:rPr>
            </w:pPr>
          </w:p>
        </w:tc>
        <w:tc>
          <w:tcPr>
            <w:tcW w:w="985" w:type="dxa"/>
            <w:noWrap w:val="0"/>
            <w:vAlign w:val="top"/>
          </w:tcPr>
          <w:p w14:paraId="1F98F3C8">
            <w:pPr>
              <w:rPr>
                <w:rFonts w:hint="eastAsia" w:asciiTheme="minorEastAsia" w:hAnsiTheme="minorEastAsia" w:eastAsiaTheme="minorEastAsia" w:cstheme="minorEastAsia"/>
                <w:sz w:val="24"/>
                <w:szCs w:val="24"/>
              </w:rPr>
            </w:pPr>
          </w:p>
        </w:tc>
        <w:tc>
          <w:tcPr>
            <w:tcW w:w="1043" w:type="dxa"/>
            <w:noWrap w:val="0"/>
            <w:vAlign w:val="top"/>
          </w:tcPr>
          <w:p w14:paraId="526D9403">
            <w:pPr>
              <w:rPr>
                <w:rFonts w:hint="eastAsia" w:asciiTheme="minorEastAsia" w:hAnsiTheme="minorEastAsia" w:eastAsiaTheme="minorEastAsia" w:cstheme="minorEastAsia"/>
                <w:sz w:val="24"/>
                <w:szCs w:val="24"/>
              </w:rPr>
            </w:pPr>
          </w:p>
        </w:tc>
        <w:tc>
          <w:tcPr>
            <w:tcW w:w="1444" w:type="dxa"/>
            <w:noWrap w:val="0"/>
            <w:vAlign w:val="top"/>
          </w:tcPr>
          <w:p w14:paraId="5703E7C7">
            <w:pPr>
              <w:rPr>
                <w:rFonts w:hint="eastAsia" w:asciiTheme="minorEastAsia" w:hAnsiTheme="minorEastAsia" w:eastAsiaTheme="minorEastAsia" w:cstheme="minorEastAsia"/>
                <w:sz w:val="24"/>
                <w:szCs w:val="24"/>
              </w:rPr>
            </w:pPr>
          </w:p>
        </w:tc>
      </w:tr>
      <w:tr w14:paraId="2F0BC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790FC326">
            <w:pPr>
              <w:rPr>
                <w:rFonts w:hint="eastAsia" w:asciiTheme="minorEastAsia" w:hAnsiTheme="minorEastAsia" w:eastAsiaTheme="minorEastAsia" w:cstheme="minorEastAsia"/>
                <w:sz w:val="24"/>
                <w:szCs w:val="24"/>
              </w:rPr>
            </w:pPr>
          </w:p>
        </w:tc>
        <w:tc>
          <w:tcPr>
            <w:tcW w:w="1486" w:type="dxa"/>
            <w:noWrap w:val="0"/>
            <w:vAlign w:val="top"/>
          </w:tcPr>
          <w:p w14:paraId="02432EF7">
            <w:pPr>
              <w:rPr>
                <w:rFonts w:hint="eastAsia" w:asciiTheme="minorEastAsia" w:hAnsiTheme="minorEastAsia" w:eastAsiaTheme="minorEastAsia" w:cstheme="minorEastAsia"/>
                <w:sz w:val="24"/>
                <w:szCs w:val="24"/>
              </w:rPr>
            </w:pPr>
          </w:p>
        </w:tc>
        <w:tc>
          <w:tcPr>
            <w:tcW w:w="3061" w:type="dxa"/>
            <w:noWrap w:val="0"/>
            <w:vAlign w:val="top"/>
          </w:tcPr>
          <w:p w14:paraId="5FC6C959">
            <w:pPr>
              <w:rPr>
                <w:rFonts w:hint="eastAsia" w:asciiTheme="minorEastAsia" w:hAnsiTheme="minorEastAsia" w:eastAsiaTheme="minorEastAsia" w:cstheme="minorEastAsia"/>
                <w:sz w:val="24"/>
                <w:szCs w:val="24"/>
              </w:rPr>
            </w:pPr>
          </w:p>
        </w:tc>
        <w:tc>
          <w:tcPr>
            <w:tcW w:w="548" w:type="dxa"/>
            <w:noWrap w:val="0"/>
            <w:vAlign w:val="top"/>
          </w:tcPr>
          <w:p w14:paraId="3C2572BE">
            <w:pPr>
              <w:rPr>
                <w:rFonts w:hint="eastAsia" w:asciiTheme="minorEastAsia" w:hAnsiTheme="minorEastAsia" w:eastAsiaTheme="minorEastAsia" w:cstheme="minorEastAsia"/>
                <w:sz w:val="24"/>
                <w:szCs w:val="24"/>
              </w:rPr>
            </w:pPr>
          </w:p>
        </w:tc>
        <w:tc>
          <w:tcPr>
            <w:tcW w:w="548" w:type="dxa"/>
            <w:noWrap w:val="0"/>
            <w:vAlign w:val="top"/>
          </w:tcPr>
          <w:p w14:paraId="4A72E9E2">
            <w:pPr>
              <w:rPr>
                <w:rFonts w:hint="eastAsia" w:asciiTheme="minorEastAsia" w:hAnsiTheme="minorEastAsia" w:eastAsiaTheme="minorEastAsia" w:cstheme="minorEastAsia"/>
                <w:sz w:val="24"/>
                <w:szCs w:val="24"/>
              </w:rPr>
            </w:pPr>
          </w:p>
        </w:tc>
        <w:tc>
          <w:tcPr>
            <w:tcW w:w="985" w:type="dxa"/>
            <w:noWrap w:val="0"/>
            <w:vAlign w:val="top"/>
          </w:tcPr>
          <w:p w14:paraId="44225779">
            <w:pPr>
              <w:rPr>
                <w:rFonts w:hint="eastAsia" w:asciiTheme="minorEastAsia" w:hAnsiTheme="minorEastAsia" w:eastAsiaTheme="minorEastAsia" w:cstheme="minorEastAsia"/>
                <w:sz w:val="24"/>
                <w:szCs w:val="24"/>
              </w:rPr>
            </w:pPr>
          </w:p>
        </w:tc>
        <w:tc>
          <w:tcPr>
            <w:tcW w:w="1043" w:type="dxa"/>
            <w:noWrap w:val="0"/>
            <w:vAlign w:val="top"/>
          </w:tcPr>
          <w:p w14:paraId="53690581">
            <w:pPr>
              <w:rPr>
                <w:rFonts w:hint="eastAsia" w:asciiTheme="minorEastAsia" w:hAnsiTheme="minorEastAsia" w:eastAsiaTheme="minorEastAsia" w:cstheme="minorEastAsia"/>
                <w:sz w:val="24"/>
                <w:szCs w:val="24"/>
              </w:rPr>
            </w:pPr>
          </w:p>
        </w:tc>
        <w:tc>
          <w:tcPr>
            <w:tcW w:w="1444" w:type="dxa"/>
            <w:noWrap w:val="0"/>
            <w:vAlign w:val="top"/>
          </w:tcPr>
          <w:p w14:paraId="4C15936A">
            <w:pPr>
              <w:rPr>
                <w:rFonts w:hint="eastAsia" w:asciiTheme="minorEastAsia" w:hAnsiTheme="minorEastAsia" w:eastAsiaTheme="minorEastAsia" w:cstheme="minorEastAsia"/>
                <w:sz w:val="24"/>
                <w:szCs w:val="24"/>
              </w:rPr>
            </w:pPr>
          </w:p>
        </w:tc>
      </w:tr>
      <w:tr w14:paraId="7C1B2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A4034CC">
            <w:pPr>
              <w:rPr>
                <w:rFonts w:hint="eastAsia" w:asciiTheme="minorEastAsia" w:hAnsiTheme="minorEastAsia" w:eastAsiaTheme="minorEastAsia" w:cstheme="minorEastAsia"/>
                <w:sz w:val="24"/>
                <w:szCs w:val="24"/>
              </w:rPr>
            </w:pPr>
          </w:p>
        </w:tc>
        <w:tc>
          <w:tcPr>
            <w:tcW w:w="1486" w:type="dxa"/>
            <w:noWrap w:val="0"/>
            <w:vAlign w:val="top"/>
          </w:tcPr>
          <w:p w14:paraId="550CC9D1">
            <w:pPr>
              <w:rPr>
                <w:rFonts w:hint="eastAsia" w:asciiTheme="minorEastAsia" w:hAnsiTheme="minorEastAsia" w:eastAsiaTheme="minorEastAsia" w:cstheme="minorEastAsia"/>
                <w:sz w:val="24"/>
                <w:szCs w:val="24"/>
              </w:rPr>
            </w:pPr>
          </w:p>
        </w:tc>
        <w:tc>
          <w:tcPr>
            <w:tcW w:w="3061" w:type="dxa"/>
            <w:noWrap w:val="0"/>
            <w:vAlign w:val="top"/>
          </w:tcPr>
          <w:p w14:paraId="7FFB988F">
            <w:pPr>
              <w:rPr>
                <w:rFonts w:hint="eastAsia" w:asciiTheme="minorEastAsia" w:hAnsiTheme="minorEastAsia" w:eastAsiaTheme="minorEastAsia" w:cstheme="minorEastAsia"/>
                <w:sz w:val="24"/>
                <w:szCs w:val="24"/>
              </w:rPr>
            </w:pPr>
          </w:p>
        </w:tc>
        <w:tc>
          <w:tcPr>
            <w:tcW w:w="548" w:type="dxa"/>
            <w:noWrap w:val="0"/>
            <w:vAlign w:val="top"/>
          </w:tcPr>
          <w:p w14:paraId="1E5A70EA">
            <w:pPr>
              <w:rPr>
                <w:rFonts w:hint="eastAsia" w:asciiTheme="minorEastAsia" w:hAnsiTheme="minorEastAsia" w:eastAsiaTheme="minorEastAsia" w:cstheme="minorEastAsia"/>
                <w:sz w:val="24"/>
                <w:szCs w:val="24"/>
              </w:rPr>
            </w:pPr>
          </w:p>
        </w:tc>
        <w:tc>
          <w:tcPr>
            <w:tcW w:w="548" w:type="dxa"/>
            <w:noWrap w:val="0"/>
            <w:vAlign w:val="top"/>
          </w:tcPr>
          <w:p w14:paraId="002D54E6">
            <w:pPr>
              <w:rPr>
                <w:rFonts w:hint="eastAsia" w:asciiTheme="minorEastAsia" w:hAnsiTheme="minorEastAsia" w:eastAsiaTheme="minorEastAsia" w:cstheme="minorEastAsia"/>
                <w:sz w:val="24"/>
                <w:szCs w:val="24"/>
              </w:rPr>
            </w:pPr>
          </w:p>
        </w:tc>
        <w:tc>
          <w:tcPr>
            <w:tcW w:w="985" w:type="dxa"/>
            <w:noWrap w:val="0"/>
            <w:vAlign w:val="top"/>
          </w:tcPr>
          <w:p w14:paraId="2A3F621E">
            <w:pPr>
              <w:rPr>
                <w:rFonts w:hint="eastAsia" w:asciiTheme="minorEastAsia" w:hAnsiTheme="minorEastAsia" w:eastAsiaTheme="minorEastAsia" w:cstheme="minorEastAsia"/>
                <w:sz w:val="24"/>
                <w:szCs w:val="24"/>
              </w:rPr>
            </w:pPr>
          </w:p>
        </w:tc>
        <w:tc>
          <w:tcPr>
            <w:tcW w:w="1043" w:type="dxa"/>
            <w:noWrap w:val="0"/>
            <w:vAlign w:val="top"/>
          </w:tcPr>
          <w:p w14:paraId="04733E17">
            <w:pPr>
              <w:rPr>
                <w:rFonts w:hint="eastAsia" w:asciiTheme="minorEastAsia" w:hAnsiTheme="minorEastAsia" w:eastAsiaTheme="minorEastAsia" w:cstheme="minorEastAsia"/>
                <w:sz w:val="24"/>
                <w:szCs w:val="24"/>
              </w:rPr>
            </w:pPr>
          </w:p>
        </w:tc>
        <w:tc>
          <w:tcPr>
            <w:tcW w:w="1444" w:type="dxa"/>
            <w:noWrap w:val="0"/>
            <w:vAlign w:val="top"/>
          </w:tcPr>
          <w:p w14:paraId="49B29396">
            <w:pPr>
              <w:rPr>
                <w:rFonts w:hint="eastAsia" w:asciiTheme="minorEastAsia" w:hAnsiTheme="minorEastAsia" w:eastAsiaTheme="minorEastAsia" w:cstheme="minorEastAsia"/>
                <w:sz w:val="24"/>
                <w:szCs w:val="24"/>
              </w:rPr>
            </w:pPr>
          </w:p>
        </w:tc>
      </w:tr>
      <w:tr w14:paraId="48F4E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4ED0A6EB">
            <w:pPr>
              <w:rPr>
                <w:rFonts w:hint="eastAsia" w:asciiTheme="minorEastAsia" w:hAnsiTheme="minorEastAsia" w:eastAsiaTheme="minorEastAsia" w:cstheme="minorEastAsia"/>
                <w:sz w:val="24"/>
                <w:szCs w:val="24"/>
              </w:rPr>
            </w:pPr>
          </w:p>
        </w:tc>
        <w:tc>
          <w:tcPr>
            <w:tcW w:w="1486" w:type="dxa"/>
            <w:noWrap w:val="0"/>
            <w:vAlign w:val="top"/>
          </w:tcPr>
          <w:p w14:paraId="4EBAAE21">
            <w:pPr>
              <w:rPr>
                <w:rFonts w:hint="eastAsia" w:asciiTheme="minorEastAsia" w:hAnsiTheme="minorEastAsia" w:eastAsiaTheme="minorEastAsia" w:cstheme="minorEastAsia"/>
                <w:sz w:val="24"/>
                <w:szCs w:val="24"/>
              </w:rPr>
            </w:pPr>
          </w:p>
        </w:tc>
        <w:tc>
          <w:tcPr>
            <w:tcW w:w="3061" w:type="dxa"/>
            <w:noWrap w:val="0"/>
            <w:vAlign w:val="top"/>
          </w:tcPr>
          <w:p w14:paraId="0167ECFC">
            <w:pPr>
              <w:rPr>
                <w:rFonts w:hint="eastAsia" w:asciiTheme="minorEastAsia" w:hAnsiTheme="minorEastAsia" w:eastAsiaTheme="minorEastAsia" w:cstheme="minorEastAsia"/>
                <w:sz w:val="24"/>
                <w:szCs w:val="24"/>
              </w:rPr>
            </w:pPr>
          </w:p>
        </w:tc>
        <w:tc>
          <w:tcPr>
            <w:tcW w:w="548" w:type="dxa"/>
            <w:noWrap w:val="0"/>
            <w:vAlign w:val="top"/>
          </w:tcPr>
          <w:p w14:paraId="4A26F425">
            <w:pPr>
              <w:rPr>
                <w:rFonts w:hint="eastAsia" w:asciiTheme="minorEastAsia" w:hAnsiTheme="minorEastAsia" w:eastAsiaTheme="minorEastAsia" w:cstheme="minorEastAsia"/>
                <w:sz w:val="24"/>
                <w:szCs w:val="24"/>
              </w:rPr>
            </w:pPr>
          </w:p>
        </w:tc>
        <w:tc>
          <w:tcPr>
            <w:tcW w:w="548" w:type="dxa"/>
            <w:noWrap w:val="0"/>
            <w:vAlign w:val="top"/>
          </w:tcPr>
          <w:p w14:paraId="214CF8A3">
            <w:pPr>
              <w:rPr>
                <w:rFonts w:hint="eastAsia" w:asciiTheme="minorEastAsia" w:hAnsiTheme="minorEastAsia" w:eastAsiaTheme="minorEastAsia" w:cstheme="minorEastAsia"/>
                <w:sz w:val="24"/>
                <w:szCs w:val="24"/>
              </w:rPr>
            </w:pPr>
          </w:p>
        </w:tc>
        <w:tc>
          <w:tcPr>
            <w:tcW w:w="985" w:type="dxa"/>
            <w:noWrap w:val="0"/>
            <w:vAlign w:val="top"/>
          </w:tcPr>
          <w:p w14:paraId="318F433E">
            <w:pPr>
              <w:rPr>
                <w:rFonts w:hint="eastAsia" w:asciiTheme="minorEastAsia" w:hAnsiTheme="minorEastAsia" w:eastAsiaTheme="minorEastAsia" w:cstheme="minorEastAsia"/>
                <w:sz w:val="24"/>
                <w:szCs w:val="24"/>
              </w:rPr>
            </w:pPr>
          </w:p>
        </w:tc>
        <w:tc>
          <w:tcPr>
            <w:tcW w:w="1043" w:type="dxa"/>
            <w:noWrap w:val="0"/>
            <w:vAlign w:val="top"/>
          </w:tcPr>
          <w:p w14:paraId="1360F4CE">
            <w:pPr>
              <w:rPr>
                <w:rFonts w:hint="eastAsia" w:asciiTheme="minorEastAsia" w:hAnsiTheme="minorEastAsia" w:eastAsiaTheme="minorEastAsia" w:cstheme="minorEastAsia"/>
                <w:sz w:val="24"/>
                <w:szCs w:val="24"/>
              </w:rPr>
            </w:pPr>
          </w:p>
        </w:tc>
        <w:tc>
          <w:tcPr>
            <w:tcW w:w="1444" w:type="dxa"/>
            <w:noWrap w:val="0"/>
            <w:vAlign w:val="top"/>
          </w:tcPr>
          <w:p w14:paraId="34760252">
            <w:pPr>
              <w:rPr>
                <w:rFonts w:hint="eastAsia" w:asciiTheme="minorEastAsia" w:hAnsiTheme="minorEastAsia" w:eastAsiaTheme="minorEastAsia" w:cstheme="minorEastAsia"/>
                <w:sz w:val="24"/>
                <w:szCs w:val="24"/>
              </w:rPr>
            </w:pPr>
          </w:p>
        </w:tc>
      </w:tr>
      <w:tr w14:paraId="270D3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61B85DA5">
            <w:pPr>
              <w:rPr>
                <w:rFonts w:hint="eastAsia" w:asciiTheme="minorEastAsia" w:hAnsiTheme="minorEastAsia" w:eastAsiaTheme="minorEastAsia" w:cstheme="minorEastAsia"/>
                <w:sz w:val="24"/>
                <w:szCs w:val="24"/>
              </w:rPr>
            </w:pPr>
          </w:p>
        </w:tc>
        <w:tc>
          <w:tcPr>
            <w:tcW w:w="1486" w:type="dxa"/>
            <w:noWrap w:val="0"/>
            <w:vAlign w:val="top"/>
          </w:tcPr>
          <w:p w14:paraId="1957A588">
            <w:pPr>
              <w:rPr>
                <w:rFonts w:hint="eastAsia" w:asciiTheme="minorEastAsia" w:hAnsiTheme="minorEastAsia" w:eastAsiaTheme="minorEastAsia" w:cstheme="minorEastAsia"/>
                <w:sz w:val="24"/>
                <w:szCs w:val="24"/>
              </w:rPr>
            </w:pPr>
          </w:p>
        </w:tc>
        <w:tc>
          <w:tcPr>
            <w:tcW w:w="5142" w:type="dxa"/>
            <w:gridSpan w:val="4"/>
            <w:noWrap w:val="0"/>
            <w:vAlign w:val="top"/>
          </w:tcPr>
          <w:p w14:paraId="00A3FF64">
            <w:pPr>
              <w:spacing w:before="117" w:line="186"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备品</w:t>
            </w:r>
            <w:r>
              <w:rPr>
                <w:rFonts w:hint="eastAsia" w:asciiTheme="minorEastAsia" w:hAnsiTheme="minorEastAsia" w:eastAsiaTheme="minorEastAsia" w:cstheme="minorEastAsia"/>
                <w:spacing w:val="-2"/>
                <w:sz w:val="24"/>
                <w:szCs w:val="24"/>
              </w:rPr>
              <w:t>备件</w:t>
            </w:r>
          </w:p>
        </w:tc>
        <w:tc>
          <w:tcPr>
            <w:tcW w:w="1043" w:type="dxa"/>
            <w:noWrap w:val="0"/>
            <w:vAlign w:val="top"/>
          </w:tcPr>
          <w:p w14:paraId="55DF53FF">
            <w:pPr>
              <w:rPr>
                <w:rFonts w:hint="eastAsia" w:asciiTheme="minorEastAsia" w:hAnsiTheme="minorEastAsia" w:eastAsiaTheme="minorEastAsia" w:cstheme="minorEastAsia"/>
                <w:sz w:val="24"/>
                <w:szCs w:val="24"/>
              </w:rPr>
            </w:pPr>
          </w:p>
        </w:tc>
        <w:tc>
          <w:tcPr>
            <w:tcW w:w="1444" w:type="dxa"/>
            <w:noWrap w:val="0"/>
            <w:vAlign w:val="top"/>
          </w:tcPr>
          <w:p w14:paraId="71FE08EA">
            <w:pPr>
              <w:rPr>
                <w:rFonts w:hint="eastAsia" w:asciiTheme="minorEastAsia" w:hAnsiTheme="minorEastAsia" w:eastAsiaTheme="minorEastAsia" w:cstheme="minorEastAsia"/>
                <w:sz w:val="24"/>
                <w:szCs w:val="24"/>
              </w:rPr>
            </w:pPr>
          </w:p>
        </w:tc>
      </w:tr>
      <w:tr w14:paraId="5B9D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2F7877D1">
            <w:pPr>
              <w:rPr>
                <w:rFonts w:hint="eastAsia" w:asciiTheme="minorEastAsia" w:hAnsiTheme="minorEastAsia" w:eastAsiaTheme="minorEastAsia" w:cstheme="minorEastAsia"/>
                <w:sz w:val="24"/>
                <w:szCs w:val="24"/>
              </w:rPr>
            </w:pPr>
          </w:p>
        </w:tc>
        <w:tc>
          <w:tcPr>
            <w:tcW w:w="1486" w:type="dxa"/>
            <w:noWrap w:val="0"/>
            <w:vAlign w:val="top"/>
          </w:tcPr>
          <w:p w14:paraId="3AA7FD4D">
            <w:pPr>
              <w:rPr>
                <w:rFonts w:hint="eastAsia" w:asciiTheme="minorEastAsia" w:hAnsiTheme="minorEastAsia" w:eastAsiaTheme="minorEastAsia" w:cstheme="minorEastAsia"/>
                <w:sz w:val="24"/>
                <w:szCs w:val="24"/>
              </w:rPr>
            </w:pPr>
          </w:p>
        </w:tc>
        <w:tc>
          <w:tcPr>
            <w:tcW w:w="5142" w:type="dxa"/>
            <w:gridSpan w:val="4"/>
            <w:noWrap w:val="0"/>
            <w:vAlign w:val="top"/>
          </w:tcPr>
          <w:p w14:paraId="27DD857B">
            <w:pPr>
              <w:spacing w:before="120" w:line="184" w:lineRule="auto"/>
              <w:ind w:firstLine="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易</w:t>
            </w:r>
            <w:r>
              <w:rPr>
                <w:rFonts w:hint="eastAsia" w:asciiTheme="minorEastAsia" w:hAnsiTheme="minorEastAsia" w:eastAsiaTheme="minorEastAsia" w:cstheme="minorEastAsia"/>
                <w:spacing w:val="-5"/>
                <w:sz w:val="24"/>
                <w:szCs w:val="24"/>
              </w:rPr>
              <w:t>损件</w:t>
            </w:r>
          </w:p>
        </w:tc>
        <w:tc>
          <w:tcPr>
            <w:tcW w:w="1043" w:type="dxa"/>
            <w:noWrap w:val="0"/>
            <w:vAlign w:val="top"/>
          </w:tcPr>
          <w:p w14:paraId="0997DCE0">
            <w:pPr>
              <w:rPr>
                <w:rFonts w:hint="eastAsia" w:asciiTheme="minorEastAsia" w:hAnsiTheme="minorEastAsia" w:eastAsiaTheme="minorEastAsia" w:cstheme="minorEastAsia"/>
                <w:sz w:val="24"/>
                <w:szCs w:val="24"/>
              </w:rPr>
            </w:pPr>
          </w:p>
        </w:tc>
        <w:tc>
          <w:tcPr>
            <w:tcW w:w="1444" w:type="dxa"/>
            <w:noWrap w:val="0"/>
            <w:vAlign w:val="top"/>
          </w:tcPr>
          <w:p w14:paraId="0561DF8F">
            <w:pPr>
              <w:rPr>
                <w:rFonts w:hint="eastAsia" w:asciiTheme="minorEastAsia" w:hAnsiTheme="minorEastAsia" w:eastAsiaTheme="minorEastAsia" w:cstheme="minorEastAsia"/>
                <w:sz w:val="24"/>
                <w:szCs w:val="24"/>
              </w:rPr>
            </w:pPr>
          </w:p>
        </w:tc>
      </w:tr>
      <w:tr w14:paraId="49E18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4C4D3DB1">
            <w:pPr>
              <w:rPr>
                <w:rFonts w:hint="eastAsia" w:asciiTheme="minorEastAsia" w:hAnsiTheme="minorEastAsia" w:eastAsiaTheme="minorEastAsia" w:cstheme="minorEastAsia"/>
                <w:sz w:val="24"/>
                <w:szCs w:val="24"/>
              </w:rPr>
            </w:pPr>
          </w:p>
        </w:tc>
        <w:tc>
          <w:tcPr>
            <w:tcW w:w="1486" w:type="dxa"/>
            <w:noWrap w:val="0"/>
            <w:vAlign w:val="top"/>
          </w:tcPr>
          <w:p w14:paraId="4836800A">
            <w:pPr>
              <w:rPr>
                <w:rFonts w:hint="eastAsia" w:asciiTheme="minorEastAsia" w:hAnsiTheme="minorEastAsia" w:eastAsiaTheme="minorEastAsia" w:cstheme="minorEastAsia"/>
                <w:sz w:val="24"/>
                <w:szCs w:val="24"/>
              </w:rPr>
            </w:pPr>
          </w:p>
        </w:tc>
        <w:tc>
          <w:tcPr>
            <w:tcW w:w="5142" w:type="dxa"/>
            <w:gridSpan w:val="4"/>
            <w:noWrap w:val="0"/>
            <w:vAlign w:val="top"/>
          </w:tcPr>
          <w:p w14:paraId="52081CDC">
            <w:pPr>
              <w:spacing w:before="118" w:line="184" w:lineRule="auto"/>
              <w:ind w:firstLine="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专用工具</w:t>
            </w:r>
            <w:r>
              <w:rPr>
                <w:rFonts w:hint="eastAsia" w:asciiTheme="minorEastAsia" w:hAnsiTheme="minorEastAsia" w:eastAsiaTheme="minorEastAsia" w:cstheme="minorEastAsia"/>
                <w:spacing w:val="-2"/>
                <w:sz w:val="24"/>
                <w:szCs w:val="24"/>
              </w:rPr>
              <w:t>价</w:t>
            </w:r>
          </w:p>
        </w:tc>
        <w:tc>
          <w:tcPr>
            <w:tcW w:w="1043" w:type="dxa"/>
            <w:noWrap w:val="0"/>
            <w:vAlign w:val="top"/>
          </w:tcPr>
          <w:p w14:paraId="4A2988E4">
            <w:pPr>
              <w:rPr>
                <w:rFonts w:hint="eastAsia" w:asciiTheme="minorEastAsia" w:hAnsiTheme="minorEastAsia" w:eastAsiaTheme="minorEastAsia" w:cstheme="minorEastAsia"/>
                <w:sz w:val="24"/>
                <w:szCs w:val="24"/>
              </w:rPr>
            </w:pPr>
          </w:p>
        </w:tc>
        <w:tc>
          <w:tcPr>
            <w:tcW w:w="1444" w:type="dxa"/>
            <w:noWrap w:val="0"/>
            <w:vAlign w:val="top"/>
          </w:tcPr>
          <w:p w14:paraId="4C35DB4F">
            <w:pPr>
              <w:rPr>
                <w:rFonts w:hint="eastAsia" w:asciiTheme="minorEastAsia" w:hAnsiTheme="minorEastAsia" w:eastAsiaTheme="minorEastAsia" w:cstheme="minorEastAsia"/>
                <w:sz w:val="24"/>
                <w:szCs w:val="24"/>
              </w:rPr>
            </w:pPr>
          </w:p>
        </w:tc>
      </w:tr>
      <w:tr w14:paraId="1443A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noWrap w:val="0"/>
            <w:vAlign w:val="top"/>
          </w:tcPr>
          <w:p w14:paraId="65345F18">
            <w:pPr>
              <w:rPr>
                <w:rFonts w:hint="eastAsia" w:asciiTheme="minorEastAsia" w:hAnsiTheme="minorEastAsia" w:eastAsiaTheme="minorEastAsia" w:cstheme="minorEastAsia"/>
                <w:sz w:val="24"/>
                <w:szCs w:val="24"/>
              </w:rPr>
            </w:pPr>
          </w:p>
        </w:tc>
        <w:tc>
          <w:tcPr>
            <w:tcW w:w="1486" w:type="dxa"/>
            <w:noWrap w:val="0"/>
            <w:vAlign w:val="top"/>
          </w:tcPr>
          <w:p w14:paraId="7890C54C">
            <w:pPr>
              <w:rPr>
                <w:rFonts w:hint="eastAsia" w:asciiTheme="minorEastAsia" w:hAnsiTheme="minorEastAsia" w:eastAsiaTheme="minorEastAsia" w:cstheme="minorEastAsia"/>
                <w:sz w:val="24"/>
                <w:szCs w:val="24"/>
              </w:rPr>
            </w:pPr>
          </w:p>
        </w:tc>
        <w:tc>
          <w:tcPr>
            <w:tcW w:w="5142" w:type="dxa"/>
            <w:gridSpan w:val="4"/>
            <w:noWrap w:val="0"/>
            <w:vAlign w:val="top"/>
          </w:tcPr>
          <w:p w14:paraId="0E5B4F49">
            <w:pPr>
              <w:spacing w:before="120" w:line="184" w:lineRule="auto"/>
              <w:ind w:firstLine="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安装调</w:t>
            </w:r>
            <w:r>
              <w:rPr>
                <w:rFonts w:hint="eastAsia" w:asciiTheme="minorEastAsia" w:hAnsiTheme="minorEastAsia" w:eastAsiaTheme="minorEastAsia" w:cstheme="minorEastAsia"/>
                <w:spacing w:val="-2"/>
                <w:sz w:val="24"/>
                <w:szCs w:val="24"/>
              </w:rPr>
              <w:t>试费</w:t>
            </w:r>
          </w:p>
        </w:tc>
        <w:tc>
          <w:tcPr>
            <w:tcW w:w="1043" w:type="dxa"/>
            <w:noWrap w:val="0"/>
            <w:vAlign w:val="top"/>
          </w:tcPr>
          <w:p w14:paraId="0A10EC3F">
            <w:pPr>
              <w:rPr>
                <w:rFonts w:hint="eastAsia" w:asciiTheme="minorEastAsia" w:hAnsiTheme="minorEastAsia" w:eastAsiaTheme="minorEastAsia" w:cstheme="minorEastAsia"/>
                <w:sz w:val="24"/>
                <w:szCs w:val="24"/>
              </w:rPr>
            </w:pPr>
          </w:p>
        </w:tc>
        <w:tc>
          <w:tcPr>
            <w:tcW w:w="1444" w:type="dxa"/>
            <w:noWrap w:val="0"/>
            <w:vAlign w:val="top"/>
          </w:tcPr>
          <w:p w14:paraId="51CD9C7C">
            <w:pPr>
              <w:rPr>
                <w:rFonts w:hint="eastAsia" w:asciiTheme="minorEastAsia" w:hAnsiTheme="minorEastAsia" w:eastAsiaTheme="minorEastAsia" w:cstheme="minorEastAsia"/>
                <w:sz w:val="24"/>
                <w:szCs w:val="24"/>
              </w:rPr>
            </w:pPr>
          </w:p>
        </w:tc>
      </w:tr>
      <w:tr w14:paraId="36FE9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34CEBDF6">
            <w:pPr>
              <w:rPr>
                <w:rFonts w:hint="eastAsia" w:asciiTheme="minorEastAsia" w:hAnsiTheme="minorEastAsia" w:eastAsiaTheme="minorEastAsia" w:cstheme="minorEastAsia"/>
                <w:sz w:val="24"/>
                <w:szCs w:val="24"/>
              </w:rPr>
            </w:pPr>
          </w:p>
        </w:tc>
        <w:tc>
          <w:tcPr>
            <w:tcW w:w="1486" w:type="dxa"/>
            <w:noWrap w:val="0"/>
            <w:vAlign w:val="top"/>
          </w:tcPr>
          <w:p w14:paraId="63913D24">
            <w:pPr>
              <w:rPr>
                <w:rFonts w:hint="eastAsia" w:asciiTheme="minorEastAsia" w:hAnsiTheme="minorEastAsia" w:eastAsiaTheme="minorEastAsia" w:cstheme="minorEastAsia"/>
                <w:sz w:val="24"/>
                <w:szCs w:val="24"/>
              </w:rPr>
            </w:pPr>
          </w:p>
        </w:tc>
        <w:tc>
          <w:tcPr>
            <w:tcW w:w="5142" w:type="dxa"/>
            <w:gridSpan w:val="4"/>
            <w:noWrap w:val="0"/>
            <w:vAlign w:val="top"/>
          </w:tcPr>
          <w:p w14:paraId="1E7993FD">
            <w:pPr>
              <w:spacing w:before="120" w:line="184" w:lineRule="auto"/>
              <w:ind w:firstLine="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运输至最终目的运费及</w:t>
            </w:r>
            <w:r>
              <w:rPr>
                <w:rFonts w:hint="eastAsia" w:asciiTheme="minorEastAsia" w:hAnsiTheme="minorEastAsia" w:eastAsiaTheme="minorEastAsia" w:cstheme="minorEastAsia"/>
                <w:sz w:val="24"/>
                <w:szCs w:val="24"/>
              </w:rPr>
              <w:t>保险费等</w:t>
            </w:r>
          </w:p>
        </w:tc>
        <w:tc>
          <w:tcPr>
            <w:tcW w:w="1043" w:type="dxa"/>
            <w:noWrap w:val="0"/>
            <w:vAlign w:val="top"/>
          </w:tcPr>
          <w:p w14:paraId="43DC18A0">
            <w:pPr>
              <w:rPr>
                <w:rFonts w:hint="eastAsia" w:asciiTheme="minorEastAsia" w:hAnsiTheme="minorEastAsia" w:eastAsiaTheme="minorEastAsia" w:cstheme="minorEastAsia"/>
                <w:sz w:val="24"/>
                <w:szCs w:val="24"/>
              </w:rPr>
            </w:pPr>
          </w:p>
        </w:tc>
        <w:tc>
          <w:tcPr>
            <w:tcW w:w="1444" w:type="dxa"/>
            <w:noWrap w:val="0"/>
            <w:vAlign w:val="top"/>
          </w:tcPr>
          <w:p w14:paraId="32F5B64E">
            <w:pPr>
              <w:rPr>
                <w:rFonts w:hint="eastAsia" w:asciiTheme="minorEastAsia" w:hAnsiTheme="minorEastAsia" w:eastAsiaTheme="minorEastAsia" w:cstheme="minorEastAsia"/>
                <w:sz w:val="24"/>
                <w:szCs w:val="24"/>
              </w:rPr>
            </w:pPr>
          </w:p>
        </w:tc>
      </w:tr>
      <w:tr w14:paraId="35915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801" w:type="dxa"/>
            <w:noWrap w:val="0"/>
            <w:vAlign w:val="top"/>
          </w:tcPr>
          <w:p w14:paraId="3974C732">
            <w:pPr>
              <w:rPr>
                <w:rFonts w:hint="eastAsia" w:asciiTheme="minorEastAsia" w:hAnsiTheme="minorEastAsia" w:eastAsiaTheme="minorEastAsia" w:cstheme="minorEastAsia"/>
                <w:sz w:val="24"/>
                <w:szCs w:val="24"/>
              </w:rPr>
            </w:pPr>
          </w:p>
        </w:tc>
        <w:tc>
          <w:tcPr>
            <w:tcW w:w="1486" w:type="dxa"/>
            <w:noWrap w:val="0"/>
            <w:vAlign w:val="top"/>
          </w:tcPr>
          <w:p w14:paraId="6256679A">
            <w:pPr>
              <w:rPr>
                <w:rFonts w:hint="eastAsia" w:asciiTheme="minorEastAsia" w:hAnsiTheme="minorEastAsia" w:eastAsiaTheme="minorEastAsia" w:cstheme="minorEastAsia"/>
                <w:sz w:val="24"/>
                <w:szCs w:val="24"/>
              </w:rPr>
            </w:pPr>
          </w:p>
        </w:tc>
        <w:tc>
          <w:tcPr>
            <w:tcW w:w="5142" w:type="dxa"/>
            <w:gridSpan w:val="4"/>
            <w:noWrap w:val="0"/>
            <w:vAlign w:val="top"/>
          </w:tcPr>
          <w:p w14:paraId="430F8448">
            <w:pPr>
              <w:spacing w:before="120" w:line="180" w:lineRule="auto"/>
              <w:ind w:firstLine="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技术服务费（含培训等</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费</w:t>
            </w:r>
          </w:p>
        </w:tc>
        <w:tc>
          <w:tcPr>
            <w:tcW w:w="1043" w:type="dxa"/>
            <w:noWrap w:val="0"/>
            <w:vAlign w:val="top"/>
          </w:tcPr>
          <w:p w14:paraId="6F7DEE75">
            <w:pPr>
              <w:rPr>
                <w:rFonts w:hint="eastAsia" w:asciiTheme="minorEastAsia" w:hAnsiTheme="minorEastAsia" w:eastAsiaTheme="minorEastAsia" w:cstheme="minorEastAsia"/>
                <w:sz w:val="24"/>
                <w:szCs w:val="24"/>
              </w:rPr>
            </w:pPr>
          </w:p>
        </w:tc>
        <w:tc>
          <w:tcPr>
            <w:tcW w:w="1444" w:type="dxa"/>
            <w:noWrap w:val="0"/>
            <w:vAlign w:val="top"/>
          </w:tcPr>
          <w:p w14:paraId="12730B38">
            <w:pPr>
              <w:rPr>
                <w:rFonts w:hint="eastAsia" w:asciiTheme="minorEastAsia" w:hAnsiTheme="minorEastAsia" w:eastAsiaTheme="minorEastAsia" w:cstheme="minorEastAsia"/>
                <w:sz w:val="24"/>
                <w:szCs w:val="24"/>
              </w:rPr>
            </w:pPr>
          </w:p>
        </w:tc>
      </w:tr>
      <w:tr w14:paraId="0B854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01" w:type="dxa"/>
            <w:noWrap w:val="0"/>
            <w:vAlign w:val="top"/>
          </w:tcPr>
          <w:p w14:paraId="07D214E4">
            <w:pPr>
              <w:rPr>
                <w:rFonts w:hint="eastAsia" w:asciiTheme="minorEastAsia" w:hAnsiTheme="minorEastAsia" w:eastAsiaTheme="minorEastAsia" w:cstheme="minorEastAsia"/>
                <w:sz w:val="24"/>
                <w:szCs w:val="24"/>
              </w:rPr>
            </w:pPr>
          </w:p>
        </w:tc>
        <w:tc>
          <w:tcPr>
            <w:tcW w:w="1486" w:type="dxa"/>
            <w:noWrap w:val="0"/>
            <w:vAlign w:val="top"/>
          </w:tcPr>
          <w:p w14:paraId="28A27ED4">
            <w:pPr>
              <w:rPr>
                <w:rFonts w:hint="eastAsia" w:asciiTheme="minorEastAsia" w:hAnsiTheme="minorEastAsia" w:eastAsiaTheme="minorEastAsia" w:cstheme="minorEastAsia"/>
                <w:sz w:val="24"/>
                <w:szCs w:val="24"/>
              </w:rPr>
            </w:pPr>
          </w:p>
        </w:tc>
        <w:tc>
          <w:tcPr>
            <w:tcW w:w="5142" w:type="dxa"/>
            <w:gridSpan w:val="4"/>
            <w:noWrap w:val="0"/>
            <w:vAlign w:val="top"/>
          </w:tcPr>
          <w:p w14:paraId="22CFED33">
            <w:pPr>
              <w:spacing w:before="118" w:line="185" w:lineRule="auto"/>
              <w:ind w:firstLine="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其</w:t>
            </w:r>
            <w:r>
              <w:rPr>
                <w:rFonts w:hint="eastAsia" w:asciiTheme="minorEastAsia" w:hAnsiTheme="minorEastAsia" w:eastAsiaTheme="minorEastAsia" w:cstheme="minorEastAsia"/>
                <w:spacing w:val="-2"/>
                <w:sz w:val="24"/>
                <w:szCs w:val="24"/>
              </w:rPr>
              <w:t>他</w:t>
            </w:r>
          </w:p>
        </w:tc>
        <w:tc>
          <w:tcPr>
            <w:tcW w:w="1043" w:type="dxa"/>
            <w:noWrap w:val="0"/>
            <w:vAlign w:val="top"/>
          </w:tcPr>
          <w:p w14:paraId="69C1CE10">
            <w:pPr>
              <w:rPr>
                <w:rFonts w:hint="eastAsia" w:asciiTheme="minorEastAsia" w:hAnsiTheme="minorEastAsia" w:eastAsiaTheme="minorEastAsia" w:cstheme="minorEastAsia"/>
                <w:sz w:val="24"/>
                <w:szCs w:val="24"/>
              </w:rPr>
            </w:pPr>
          </w:p>
        </w:tc>
        <w:tc>
          <w:tcPr>
            <w:tcW w:w="1444" w:type="dxa"/>
            <w:noWrap w:val="0"/>
            <w:vAlign w:val="top"/>
          </w:tcPr>
          <w:p w14:paraId="704C5503">
            <w:pPr>
              <w:rPr>
                <w:rFonts w:hint="eastAsia" w:asciiTheme="minorEastAsia" w:hAnsiTheme="minorEastAsia" w:eastAsiaTheme="minorEastAsia" w:cstheme="minorEastAsia"/>
                <w:sz w:val="24"/>
                <w:szCs w:val="24"/>
              </w:rPr>
            </w:pPr>
          </w:p>
        </w:tc>
      </w:tr>
      <w:tr w14:paraId="6E3D7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9916" w:type="dxa"/>
            <w:gridSpan w:val="8"/>
            <w:noWrap w:val="0"/>
            <w:vAlign w:val="top"/>
          </w:tcPr>
          <w:p w14:paraId="7FB2C8BA">
            <w:pPr>
              <w:spacing w:before="121" w:line="184" w:lineRule="auto"/>
              <w:ind w:firstLine="6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64135</wp:posOffset>
                      </wp:positionV>
                      <wp:extent cx="429895" cy="2279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29895" cy="227965"/>
                              </a:xfrm>
                              <a:prstGeom prst="rect">
                                <a:avLst/>
                              </a:prstGeom>
                              <a:noFill/>
                              <a:ln>
                                <a:noFill/>
                              </a:ln>
                            </wps:spPr>
                            <wps:txbx>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wps:txbx>
                            <wps:bodyPr lIns="0" tIns="0" rIns="0" bIns="0" upright="1"/>
                          </wps:wsp>
                        </a:graphicData>
                      </a:graphic>
                    </wp:anchor>
                  </w:drawing>
                </mc:Choice>
                <mc:Fallback>
                  <w:pict>
                    <v:shape id="_x0000_s1026" o:spid="_x0000_s1026" o:spt="202" type="#_x0000_t202" style="position:absolute;left:0pt;margin-left:5.35pt;margin-top:5.05pt;height:17.95pt;width:33.85pt;z-index:251660288;mso-width-relative:page;mso-height-relative:page;" filled="f" stroked="f" coordsize="21600,21600" o:gfxdata="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xWqeV1QAAAAcBAAAPAAAAAAAAAAEAIAAAACIAAABkcnMvZG93bnJldi54bWxQSwECFAAU&#10;AAAACACHTuJA1M72R7sBAABxAwAADgAAAAAAAAABACAAAAAkAQAAZHJzL2Uyb0RvYy54bWxQSwUG&#10;AAAAAAYABgBZAQAAUQUAAAAA&#10;">
                      <v:fill on="f" focussize="0,0"/>
                      <v:stroke on="f"/>
                      <v:imagedata o:title=""/>
                      <o:lock v:ext="edit" aspectratio="f"/>
                      <v:textbox inset="0mm,0mm,0mm,0mm">
                        <w:txbxContent>
                          <w:p w14:paraId="2F691F2C">
                            <w:pPr>
                              <w:spacing w:before="19" w:line="186"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大写</w:t>
                            </w:r>
                            <w:r>
                              <w:rPr>
                                <w:rFonts w:ascii="微软雅黑" w:hAnsi="微软雅黑" w:eastAsia="微软雅黑" w:cs="微软雅黑"/>
                                <w:spacing w:val="-84"/>
                                <w:sz w:val="24"/>
                                <w:szCs w:val="24"/>
                              </w:rPr>
                              <w:t>：</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6071235</wp:posOffset>
                      </wp:positionH>
                      <wp:positionV relativeFrom="paragraph">
                        <wp:posOffset>64135</wp:posOffset>
                      </wp:positionV>
                      <wp:extent cx="167005" cy="22733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7005" cy="227330"/>
                              </a:xfrm>
                              <a:prstGeom prst="rect">
                                <a:avLst/>
                              </a:prstGeom>
                              <a:noFill/>
                              <a:ln>
                                <a:noFill/>
                              </a:ln>
                            </wps:spPr>
                            <wps:txbx>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wps:txbx>
                            <wps:bodyPr lIns="0" tIns="0" rIns="0" bIns="0" upright="1"/>
                          </wps:wsp>
                        </a:graphicData>
                      </a:graphic>
                    </wp:anchor>
                  </w:drawing>
                </mc:Choice>
                <mc:Fallback>
                  <w:pict>
                    <v:shape id="_x0000_s1026" o:spid="_x0000_s1026" o:spt="202" type="#_x0000_t202" style="position:absolute;left:0pt;margin-left:478.05pt;margin-top:5.05pt;height:17.9pt;width:13.15pt;z-index:251659264;mso-width-relative:page;mso-height-relative:page;" filled="f" stroked="f" coordsize="21600,21600" o:gfxdata="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YVLP3YAAAACQEAAA8AAAAAAAAAAQAgAAAAIgAAAGRycy9kb3ducmV2LnhtbFBLAQIU&#10;ABQAAAAIAIdO4kA0ABCfugEAAHEDAAAOAAAAAAAAAAEAIAAAACcBAABkcnMvZTJvRG9jLnhtbFBL&#10;BQYAAAAABgAGAFkBAABTBQAAAAA=&#10;">
                      <v:fill on="f" focussize="0,0"/>
                      <v:stroke on="f"/>
                      <v:imagedata o:title=""/>
                      <o:lock v:ext="edit" aspectratio="f"/>
                      <v:textbox inset="0mm,0mm,0mm,0mm">
                        <w:txbxContent>
                          <w:p w14:paraId="6C692AA7">
                            <w:pPr>
                              <w:spacing w:before="20" w:line="185" w:lineRule="auto"/>
                              <w:ind w:firstLine="20"/>
                              <w:rPr>
                                <w:rFonts w:ascii="微软雅黑" w:hAnsi="微软雅黑" w:eastAsia="微软雅黑" w:cs="微软雅黑"/>
                                <w:sz w:val="24"/>
                                <w:szCs w:val="24"/>
                              </w:rPr>
                            </w:pPr>
                            <w:r>
                              <w:rPr>
                                <w:rFonts w:ascii="微软雅黑" w:hAnsi="微软雅黑" w:eastAsia="微软雅黑" w:cs="微软雅黑"/>
                                <w:sz w:val="24"/>
                                <w:szCs w:val="24"/>
                              </w:rPr>
                              <w:t>元</w:t>
                            </w:r>
                          </w:p>
                        </w:txbxContent>
                      </v:textbox>
                    </v:shape>
                  </w:pict>
                </mc:Fallback>
              </mc:AlternateContent>
            </w:r>
            <w:r>
              <w:rPr>
                <w:rFonts w:hint="eastAsia" w:asciiTheme="minorEastAsia" w:hAnsiTheme="minorEastAsia" w:eastAsiaTheme="minorEastAsia" w:cstheme="minorEastAsia"/>
                <w:sz w:val="24"/>
                <w:szCs w:val="24"/>
              </w:rPr>
              <w:t>合同价</w:t>
            </w:r>
            <w:r>
              <w:rPr>
                <w:rFonts w:hint="eastAsia" w:asciiTheme="minorEastAsia" w:hAnsiTheme="minorEastAsia" w:eastAsiaTheme="minorEastAsia" w:cstheme="minorEastAsia"/>
                <w:spacing w:val="-58"/>
                <w:sz w:val="24"/>
                <w:szCs w:val="24"/>
              </w:rPr>
              <w:t>：</w:t>
            </w:r>
          </w:p>
        </w:tc>
      </w:tr>
    </w:tbl>
    <w:p w14:paraId="40DA0F2A">
      <w:pPr>
        <w:sectPr>
          <w:pgSz w:w="11905" w:h="16840"/>
          <w:pgMar w:top="400" w:right="990" w:bottom="0" w:left="992" w:header="0" w:footer="0" w:gutter="0"/>
          <w:pgNumType w:fmt="decimal"/>
          <w:cols w:space="720" w:num="1"/>
        </w:sectPr>
      </w:pPr>
    </w:p>
    <w:bookmarkEnd w:id="900"/>
    <w:p w14:paraId="2DB6AAA6">
      <w:pPr>
        <w:pStyle w:val="2"/>
        <w:wordWrap w:val="0"/>
        <w:rPr>
          <w:rFonts w:ascii="宋体" w:hAnsi="宋体" w:cs="宋体"/>
          <w:highlight w:val="none"/>
        </w:rPr>
      </w:pPr>
      <w:bookmarkStart w:id="901" w:name="_Toc26470"/>
      <w:bookmarkStart w:id="902" w:name="_Toc2005"/>
      <w:bookmarkStart w:id="903" w:name="_Toc27917"/>
      <w:r>
        <w:rPr>
          <w:rFonts w:hint="eastAsia" w:ascii="宋体" w:hAnsi="宋体" w:cs="宋体"/>
          <w:highlight w:val="none"/>
        </w:rPr>
        <w:t>第五章 采购需求</w:t>
      </w:r>
      <w:bookmarkEnd w:id="901"/>
      <w:bookmarkEnd w:id="902"/>
      <w:bookmarkEnd w:id="903"/>
      <w:bookmarkStart w:id="904" w:name="_Toc9535"/>
      <w:bookmarkStart w:id="905" w:name="_Toc493506288"/>
    </w:p>
    <w:p w14:paraId="1591C252">
      <w:pPr>
        <w:jc w:val="center"/>
        <w:rPr>
          <w:rFonts w:hint="eastAsia" w:ascii="宋体" w:hAnsi="宋体" w:cs="宋体"/>
          <w:kern w:val="0"/>
          <w:sz w:val="24"/>
          <w:szCs w:val="24"/>
          <w:highlight w:val="none"/>
          <w:lang w:eastAsia="zh-CN"/>
        </w:rPr>
      </w:pPr>
    </w:p>
    <w:bookmarkEnd w:id="904"/>
    <w:bookmarkEnd w:id="905"/>
    <w:tbl>
      <w:tblPr>
        <w:tblStyle w:val="53"/>
        <w:tblW w:w="8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96"/>
        <w:gridCol w:w="4450"/>
        <w:gridCol w:w="676"/>
        <w:gridCol w:w="617"/>
        <w:gridCol w:w="794"/>
        <w:gridCol w:w="794"/>
      </w:tblGrid>
      <w:tr w14:paraId="0102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449"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3029060">
            <w:pPr>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906" w:name="_Toc24289"/>
            <w:r>
              <w:rPr>
                <w:rFonts w:ascii="宋体" w:hAnsi="宋体" w:eastAsia="宋体" w:cs="宋体"/>
                <w:i w:val="0"/>
                <w:iCs w:val="0"/>
                <w:color w:val="000000"/>
                <w:kern w:val="0"/>
                <w:sz w:val="18"/>
                <w:szCs w:val="18"/>
                <w:u w:val="none"/>
                <w:lang w:val="en-US" w:eastAsia="zh-CN" w:bidi="ar"/>
              </w:rPr>
              <w:t>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号</w:t>
            </w:r>
          </w:p>
        </w:tc>
        <w:tc>
          <w:tcPr>
            <w:tcW w:w="99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98D8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45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52F2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项目特征描述</w:t>
            </w:r>
          </w:p>
        </w:tc>
        <w:tc>
          <w:tcPr>
            <w:tcW w:w="67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005E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单位</w:t>
            </w:r>
          </w:p>
        </w:tc>
        <w:tc>
          <w:tcPr>
            <w:tcW w:w="61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27D2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工程量</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1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单价（元）</w:t>
            </w: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CAE5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合价（元）</w:t>
            </w:r>
          </w:p>
        </w:tc>
      </w:tr>
      <w:tr w14:paraId="0DD8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5F5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CDF5">
            <w:pPr>
              <w:keepNext w:val="0"/>
              <w:keepLines w:val="0"/>
              <w:widowControl/>
              <w:suppressLineNumbers w:val="0"/>
              <w:jc w:val="center"/>
              <w:textAlignment w:val="center"/>
              <w:rPr>
                <w:rFonts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60KW UPS主机</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97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高频在线式UPS主机，三进三出，塔式安装</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输入电压范围： 138Vac~485Vac</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输入频率范围： 40~70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输入功率因数： &gt;0.99</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电池电压 (Vdc)： ± 168~±288(电池节数可调)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输出额定功率 (kVA/kW)：60/60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输出功率因数： 1.0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输出电压(Vac)：L— L：380/400/415± 1%</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输出频率：市电正常，跟踪旁路输入；市电异常，</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本机50±0.1或60±0.1</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三相相位误差：三相带平衡额定阻性负载≤1°</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波形失真度 (THDv)：≤1%（阻性满载）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系统效率：高达96%</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过载能力：≤105%：长期运行105%&lt;负载率≤110%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：60min；110%&lt;负载率≤125%： 10min；</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125%&lt;负载率≤150%： 1min；&gt;150%：立即保护</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手动维护旁路：具备无转换时间的维修旁路开关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直流启动：具备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工作温度： 0~+50℃, 0~40不降额</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告警功能：输入异常、电池低压、过载、故障等</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保护功能：输出短路保护、输出过压/欠压保护、</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过载保护、过温保护、电池欠压保护等</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UPS标配输入开关、输出开关、旁路输入开关和维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护旁路开关方便操作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UPS标配防火级防尘网，且具备拆卸和清洗功能设</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计，防尘网符合防火标准UL94及滤尘网标准UL 90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标配N+X并联冗余功能，可支持不低于4台并机运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行。并机系统具备根据负载容量大小自动冗余的性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能。并机系统中需支持最少4台并机共用电池组配</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置。</w:t>
            </w:r>
            <w:r>
              <w:rPr>
                <w:rFonts w:ascii="宋体" w:hAnsi="宋体" w:eastAsia="宋体" w:cs="宋体"/>
                <w:i w:val="0"/>
                <w:iCs w:val="0"/>
                <w:color w:val="000000"/>
                <w:kern w:val="0"/>
                <w:sz w:val="18"/>
                <w:szCs w:val="18"/>
                <w:u w:val="none"/>
                <w:lang w:val="en-US" w:eastAsia="zh-CN" w:bidi="ar"/>
              </w:rPr>
              <w:br w:type="textWrapping"/>
            </w:r>
            <w:r>
              <w:rPr>
                <w:rStyle w:val="485"/>
                <w:color w:val="auto"/>
                <w:lang w:val="en-US" w:eastAsia="zh-CN" w:bidi="ar"/>
              </w:rPr>
              <w:t>UPS产品应满足电信级抗震要求，通过8、9级烈度</w:t>
            </w:r>
            <w:r>
              <w:rPr>
                <w:rStyle w:val="485"/>
                <w:color w:val="auto"/>
                <w:lang w:val="en-US" w:eastAsia="zh-CN" w:bidi="ar"/>
              </w:rPr>
              <w:br w:type="textWrapping"/>
            </w:r>
            <w:r>
              <w:rPr>
                <w:rStyle w:val="485"/>
                <w:color w:val="auto"/>
                <w:lang w:val="en-US" w:eastAsia="zh-CN" w:bidi="ar"/>
              </w:rPr>
              <w:t>抗震性能检测，须提供信息产业通用设备抗震性能</w:t>
            </w:r>
            <w:r>
              <w:rPr>
                <w:rStyle w:val="485"/>
                <w:color w:val="auto"/>
                <w:lang w:val="en-US" w:eastAsia="zh-CN" w:bidi="ar"/>
              </w:rPr>
              <w:br w:type="textWrapping"/>
            </w:r>
            <w:r>
              <w:rPr>
                <w:rStyle w:val="485"/>
                <w:color w:val="auto"/>
                <w:lang w:val="en-US" w:eastAsia="zh-CN" w:bidi="ar"/>
              </w:rPr>
              <w:t>质量监督检验中心出具的合格证书及检测报告。</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5C5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066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2C08">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947D55">
            <w:pPr>
              <w:jc w:val="right"/>
              <w:rPr>
                <w:rFonts w:hint="eastAsia" w:ascii="宋体" w:hAnsi="宋体" w:eastAsia="宋体" w:cs="宋体"/>
                <w:i w:val="0"/>
                <w:iCs w:val="0"/>
                <w:color w:val="000000"/>
                <w:sz w:val="16"/>
                <w:szCs w:val="16"/>
                <w:u w:val="none"/>
              </w:rPr>
            </w:pPr>
          </w:p>
        </w:tc>
      </w:tr>
      <w:tr w14:paraId="04BED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D6F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3B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UPS电池</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DC96">
            <w:pPr>
              <w:keepNext w:val="0"/>
              <w:keepLines w:val="0"/>
              <w:widowControl/>
              <w:suppressLineNumbers w:val="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ascii="宋体" w:hAnsi="宋体" w:eastAsia="宋体" w:cs="宋体"/>
                <w:i w:val="0"/>
                <w:iCs w:val="0"/>
                <w:color w:val="000000"/>
                <w:kern w:val="0"/>
                <w:sz w:val="18"/>
                <w:szCs w:val="18"/>
                <w:highlight w:val="none"/>
                <w:u w:val="none"/>
                <w:lang w:val="en-US" w:eastAsia="zh-CN" w:bidi="ar"/>
              </w:rPr>
              <w:t>1、标称电压： 12V</w:t>
            </w:r>
            <w:r>
              <w:rPr>
                <w:rFonts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2、外观尺寸:408*177*211mm</w:t>
            </w:r>
          </w:p>
          <w:p w14:paraId="101A7A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highlight w:val="none"/>
                <w:u w:val="none"/>
                <w:lang w:val="en-US" w:eastAsia="zh-CN" w:bidi="ar"/>
              </w:rPr>
              <w:t xml:space="preserve">3、额定容量：120AH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4、重量： 32.3Kg±3%</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5、内阻：约4mΩ （完全充电状态25℃)</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6、壳体：阻燃壳体等级UL94-VO</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7、自放电：≤3%/月（25℃)</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8、设计寿命： 10年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9、执行标准： YD/T799-2010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10、均充电压： 14.1-14.4V（25℃)</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11、浮充电压V/单体： 13.5-13.8V（25℃)</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12、温度补偿系数： -18mV/℃  单体</w:t>
            </w:r>
            <w:r>
              <w:rPr>
                <w:rFonts w:hint="default" w:ascii="Arial" w:hAnsi="Arial" w:eastAsia="宋体" w:cs="Arial"/>
                <w:i w:val="0"/>
                <w:iCs w:val="0"/>
                <w:color w:val="000000"/>
                <w:kern w:val="0"/>
                <w:sz w:val="12"/>
                <w:szCs w:val="12"/>
                <w:u w:val="none"/>
                <w:lang w:val="en-US" w:eastAsia="zh-CN" w:bidi="ar"/>
              </w:rPr>
              <w:br w:type="textWrapping"/>
            </w:r>
            <w:r>
              <w:rPr>
                <w:rFonts w:ascii="宋体" w:hAnsi="宋体" w:eastAsia="宋体" w:cs="宋体"/>
                <w:i w:val="0"/>
                <w:iCs w:val="0"/>
                <w:color w:val="000000"/>
                <w:kern w:val="0"/>
                <w:sz w:val="18"/>
                <w:szCs w:val="18"/>
                <w:u w:val="none"/>
                <w:lang w:val="en-US" w:eastAsia="zh-CN" w:bidi="ar"/>
              </w:rPr>
              <w:t>13、最大充电电流 ：30A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14、蓄电池静置28天后容量保持率≥98%。</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15、蓄电池产品应符合海、陆、空的货物运输的要</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求，</w:t>
            </w:r>
            <w:r>
              <w:rPr>
                <w:rStyle w:val="485"/>
                <w:color w:val="auto"/>
                <w:lang w:val="en-US" w:eastAsia="zh-CN" w:bidi="ar"/>
              </w:rPr>
              <w:t>并提供厂家盖章的海、陆、空货物运输条件鉴</w:t>
            </w:r>
            <w:r>
              <w:rPr>
                <w:rStyle w:val="485"/>
                <w:color w:val="auto"/>
                <w:lang w:val="en-US" w:eastAsia="zh-CN" w:bidi="ar"/>
              </w:rPr>
              <w:br w:type="textWrapping"/>
            </w:r>
            <w:r>
              <w:rPr>
                <w:rStyle w:val="485"/>
                <w:color w:val="auto"/>
                <w:lang w:val="en-US" w:eastAsia="zh-CN" w:bidi="ar"/>
              </w:rPr>
              <w:t>定书复印件。</w:t>
            </w:r>
            <w:r>
              <w:rPr>
                <w:rFonts w:ascii="宋体" w:hAnsi="宋体" w:eastAsia="宋体" w:cs="宋体"/>
                <w:i w:val="0"/>
                <w:iCs w:val="0"/>
                <w:color w:val="auto"/>
                <w:kern w:val="0"/>
                <w:sz w:val="18"/>
                <w:szCs w:val="18"/>
                <w:u w:val="none"/>
                <w:lang w:val="en-US" w:eastAsia="zh-CN" w:bidi="ar"/>
              </w:rPr>
              <w:br w:type="textWrapping"/>
            </w:r>
            <w:r>
              <w:rPr>
                <w:rFonts w:ascii="宋体" w:hAnsi="宋体" w:eastAsia="宋体" w:cs="宋体"/>
                <w:i w:val="0"/>
                <w:iCs w:val="0"/>
                <w:color w:val="auto"/>
                <w:kern w:val="0"/>
                <w:sz w:val="18"/>
                <w:szCs w:val="18"/>
                <w:u w:val="none"/>
                <w:lang w:val="en-US" w:eastAsia="zh-CN" w:bidi="ar"/>
              </w:rPr>
              <w:t>16、</w:t>
            </w:r>
            <w:r>
              <w:rPr>
                <w:rStyle w:val="485"/>
                <w:color w:val="auto"/>
                <w:lang w:val="en-US" w:eastAsia="zh-CN" w:bidi="ar"/>
              </w:rPr>
              <w:t>蓄电池须具备防伪二维码，可通过二维码扫描</w:t>
            </w:r>
            <w:r>
              <w:rPr>
                <w:rStyle w:val="485"/>
                <w:color w:val="auto"/>
                <w:lang w:val="en-US" w:eastAsia="zh-CN" w:bidi="ar"/>
              </w:rPr>
              <w:br w:type="textWrapping"/>
            </w:r>
            <w:r>
              <w:rPr>
                <w:rStyle w:val="485"/>
                <w:color w:val="auto"/>
                <w:lang w:val="en-US" w:eastAsia="zh-CN" w:bidi="ar"/>
              </w:rPr>
              <w:t>方式直接鉴定产品的真伪，提供二维码截图证明</w:t>
            </w:r>
            <w:r>
              <w:rPr>
                <w:rFonts w:ascii="宋体" w:hAnsi="宋体" w:eastAsia="宋体" w:cs="宋体"/>
                <w:i w:val="0"/>
                <w:iCs w:val="0"/>
                <w:color w:val="auto"/>
                <w:kern w:val="0"/>
                <w:sz w:val="18"/>
                <w:szCs w:val="18"/>
                <w:u w:val="none"/>
                <w:lang w:val="en-US" w:eastAsia="zh-CN" w:bidi="ar"/>
              </w:rPr>
              <w:t>。</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664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块</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DC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160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CED3">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F68487">
            <w:pPr>
              <w:jc w:val="right"/>
              <w:rPr>
                <w:rFonts w:hint="eastAsia" w:ascii="宋体" w:hAnsi="宋体" w:eastAsia="宋体" w:cs="宋体"/>
                <w:i w:val="0"/>
                <w:iCs w:val="0"/>
                <w:color w:val="000000"/>
                <w:sz w:val="16"/>
                <w:szCs w:val="16"/>
                <w:u w:val="none"/>
              </w:rPr>
            </w:pPr>
          </w:p>
        </w:tc>
      </w:tr>
      <w:tr w14:paraId="550B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9D1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460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电池柜</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F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板材厚度：托盘焊接板、立柱挡板、侧挡板为1.5mm，立柱、承重橫梁、上下围挡板、托盘橫梁、上下直梁为2.0mm</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工艺：板材折弯</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结构：四层，每层可以安装40只120AH电池</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345A">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13E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9603">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2A1C24">
            <w:pPr>
              <w:jc w:val="right"/>
              <w:rPr>
                <w:rFonts w:hint="eastAsia" w:ascii="宋体" w:hAnsi="宋体" w:eastAsia="宋体" w:cs="宋体"/>
                <w:i w:val="0"/>
                <w:iCs w:val="0"/>
                <w:color w:val="000000"/>
                <w:sz w:val="16"/>
                <w:szCs w:val="16"/>
                <w:u w:val="none"/>
              </w:rPr>
            </w:pPr>
          </w:p>
        </w:tc>
      </w:tr>
      <w:tr w14:paraId="05AD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EFC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DF3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安装辅材</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919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适配120AH/40节电池架用；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套装内物料：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1、连接线缆：</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规格: ZR-BVR-50平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数量： 50米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2、铜排：</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规格： 3*20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数量： 32米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3、直流空开：</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规格： 3P/250A</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数量： 2</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0A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EB66">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52AD">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2364EB">
            <w:pPr>
              <w:jc w:val="right"/>
              <w:rPr>
                <w:rFonts w:hint="eastAsia" w:ascii="宋体" w:hAnsi="宋体" w:eastAsia="宋体" w:cs="宋体"/>
                <w:i w:val="0"/>
                <w:iCs w:val="0"/>
                <w:color w:val="000000"/>
                <w:sz w:val="16"/>
                <w:szCs w:val="16"/>
                <w:u w:val="none"/>
              </w:rPr>
            </w:pPr>
          </w:p>
        </w:tc>
      </w:tr>
      <w:tr w14:paraId="3AF4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257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BCA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汇流箱</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E8A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颜色：黑色（RAL9005），</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安装方式：挂壁式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尺寸：宽*深*高=700*500*1600mm</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材质：优质镀锌板材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板厚： 1.2mm厚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空开： 1个160A/3P，3个100A/3P</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铜排：含</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其他：柜门增加加强筋结构，接地独立装置，含吊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运吊耳装置</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E1F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F06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20BD">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A01752A">
            <w:pPr>
              <w:jc w:val="right"/>
              <w:rPr>
                <w:rFonts w:hint="eastAsia" w:ascii="宋体" w:hAnsi="宋体" w:eastAsia="宋体" w:cs="宋体"/>
                <w:i w:val="0"/>
                <w:iCs w:val="0"/>
                <w:color w:val="000000"/>
                <w:sz w:val="16"/>
                <w:szCs w:val="16"/>
                <w:u w:val="none"/>
              </w:rPr>
            </w:pPr>
          </w:p>
        </w:tc>
      </w:tr>
      <w:tr w14:paraId="4685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B20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9262">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市电输入电缆</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CC24">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WDZA-YJY 4*185+1*95</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14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721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230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D2D">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A55DBE">
            <w:pPr>
              <w:jc w:val="right"/>
              <w:rPr>
                <w:rFonts w:hint="eastAsia" w:ascii="宋体" w:hAnsi="宋体" w:eastAsia="宋体" w:cs="宋体"/>
                <w:i w:val="0"/>
                <w:iCs w:val="0"/>
                <w:color w:val="000000"/>
                <w:sz w:val="16"/>
                <w:szCs w:val="16"/>
                <w:u w:val="none"/>
              </w:rPr>
            </w:pPr>
          </w:p>
        </w:tc>
      </w:tr>
      <w:tr w14:paraId="22F7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13B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9291">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强电桥架</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27E7">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200*100槽式金属桥架</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9BC">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BD9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525D">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9C1D1E3">
            <w:pPr>
              <w:jc w:val="right"/>
              <w:rPr>
                <w:rFonts w:hint="eastAsia" w:ascii="宋体" w:hAnsi="宋体" w:eastAsia="宋体" w:cs="宋体"/>
                <w:i w:val="0"/>
                <w:iCs w:val="0"/>
                <w:color w:val="000000"/>
                <w:sz w:val="16"/>
                <w:szCs w:val="16"/>
                <w:u w:val="none"/>
              </w:rPr>
            </w:pPr>
          </w:p>
        </w:tc>
      </w:tr>
      <w:tr w14:paraId="627B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FDB8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240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墙面处理</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A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墙面腻子处理，高度按照3米计算。</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CB5B">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4FF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9EEC">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55A0F7">
            <w:pPr>
              <w:jc w:val="right"/>
              <w:rPr>
                <w:rFonts w:hint="eastAsia" w:ascii="宋体" w:hAnsi="宋体" w:eastAsia="宋体" w:cs="宋体"/>
                <w:i w:val="0"/>
                <w:iCs w:val="0"/>
                <w:color w:val="000000"/>
                <w:sz w:val="16"/>
                <w:szCs w:val="16"/>
                <w:u w:val="none"/>
              </w:rPr>
            </w:pPr>
          </w:p>
        </w:tc>
      </w:tr>
      <w:tr w14:paraId="3F7E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021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AB4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窗户密封防尘处理</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2C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机房内部所有的窗户，内部密封防尘，外部防水处理。</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489D">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8F4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3272">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C1EE64E">
            <w:pPr>
              <w:jc w:val="right"/>
              <w:rPr>
                <w:rFonts w:hint="eastAsia" w:ascii="宋体" w:hAnsi="宋体" w:eastAsia="宋体" w:cs="宋体"/>
                <w:i w:val="0"/>
                <w:iCs w:val="0"/>
                <w:color w:val="000000"/>
                <w:sz w:val="16"/>
                <w:szCs w:val="16"/>
                <w:u w:val="none"/>
              </w:rPr>
            </w:pPr>
          </w:p>
        </w:tc>
      </w:tr>
      <w:tr w14:paraId="1DBE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A57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E2E8">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机房辅材</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6FC8">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电源线、网线、设备标签等</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27C0">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6905">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A41F">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E02976">
            <w:pPr>
              <w:jc w:val="right"/>
              <w:rPr>
                <w:rFonts w:hint="eastAsia" w:ascii="宋体" w:hAnsi="宋体" w:eastAsia="宋体" w:cs="宋体"/>
                <w:i w:val="0"/>
                <w:iCs w:val="0"/>
                <w:color w:val="000000"/>
                <w:sz w:val="16"/>
                <w:szCs w:val="16"/>
                <w:u w:val="none"/>
              </w:rPr>
            </w:pPr>
          </w:p>
        </w:tc>
      </w:tr>
      <w:tr w14:paraId="1079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449"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8B7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C1BF">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ups安装服务</w:t>
            </w:r>
          </w:p>
        </w:tc>
        <w:tc>
          <w:tcPr>
            <w:tcW w:w="4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651C">
            <w:pPr>
              <w:keepNext w:val="0"/>
              <w:keepLines w:val="0"/>
              <w:widowControl/>
              <w:suppressLineNumbers w:val="0"/>
              <w:jc w:val="left"/>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 电池箱的组装工作；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b) 电池的放置、连线工作；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c) 主机和电池箱之间的连线；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d) 主机和前端配电箱之间线缆的对接工作；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e) 主机和后端列头柜之间线缆的对接工作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f) 主机开机调试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g) UPS主机使用培训。</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B97">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BFE3">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B52E">
            <w:pPr>
              <w:jc w:val="center"/>
              <w:rPr>
                <w:rFonts w:hint="default" w:ascii="Arial" w:hAnsi="Arial" w:cs="Arial"/>
                <w:i w:val="0"/>
                <w:iCs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23DDC2">
            <w:pPr>
              <w:jc w:val="right"/>
              <w:rPr>
                <w:rFonts w:hint="eastAsia" w:ascii="宋体" w:hAnsi="宋体" w:eastAsia="宋体" w:cs="宋体"/>
                <w:i w:val="0"/>
                <w:iCs w:val="0"/>
                <w:color w:val="000000"/>
                <w:sz w:val="16"/>
                <w:szCs w:val="16"/>
                <w:u w:val="none"/>
              </w:rPr>
            </w:pPr>
          </w:p>
        </w:tc>
      </w:tr>
      <w:tr w14:paraId="104CB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0" w:hRule="atLeast"/>
          <w:jc w:val="center"/>
        </w:trPr>
        <w:tc>
          <w:tcPr>
            <w:tcW w:w="7982" w:type="dxa"/>
            <w:gridSpan w:val="6"/>
            <w:tcBorders>
              <w:top w:val="single" w:color="000000" w:sz="4" w:space="0"/>
              <w:left w:val="single" w:color="000000" w:sz="8" w:space="0"/>
              <w:bottom w:val="single" w:color="000000" w:sz="4" w:space="0"/>
              <w:right w:val="single" w:color="000000" w:sz="4" w:space="0"/>
            </w:tcBorders>
            <w:shd w:val="clear" w:color="auto" w:fill="auto"/>
            <w:vAlign w:val="top"/>
          </w:tcPr>
          <w:p w14:paraId="6FA964E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94" w:type="dxa"/>
            <w:tcBorders>
              <w:top w:val="single" w:color="000000" w:sz="4" w:space="0"/>
              <w:left w:val="single" w:color="000000" w:sz="4" w:space="0"/>
              <w:bottom w:val="single" w:color="000000" w:sz="4" w:space="0"/>
              <w:right w:val="single" w:color="000000" w:sz="8" w:space="0"/>
            </w:tcBorders>
            <w:shd w:val="clear" w:color="auto" w:fill="auto"/>
            <w:vAlign w:val="top"/>
          </w:tcPr>
          <w:p w14:paraId="4F017FCF">
            <w:pPr>
              <w:jc w:val="left"/>
              <w:rPr>
                <w:rFonts w:hint="default" w:ascii="Arial" w:hAnsi="Arial" w:cs="Arial"/>
                <w:i w:val="0"/>
                <w:iCs w:val="0"/>
                <w:color w:val="000000"/>
                <w:sz w:val="22"/>
                <w:szCs w:val="22"/>
                <w:u w:val="none"/>
              </w:rPr>
            </w:pPr>
          </w:p>
        </w:tc>
      </w:tr>
    </w:tbl>
    <w:p w14:paraId="1652A821">
      <w:pPr>
        <w:spacing w:line="360" w:lineRule="auto"/>
        <w:jc w:val="center"/>
        <w:rPr>
          <w:rFonts w:hint="eastAsia" w:ascii="宋体" w:hAnsi="宋体" w:cs="宋体"/>
          <w:sz w:val="28"/>
          <w:szCs w:val="36"/>
        </w:rPr>
      </w:pPr>
      <w:r>
        <w:rPr>
          <w:rFonts w:hint="eastAsia" w:ascii="宋体" w:hAnsi="宋体" w:cs="宋体"/>
          <w:sz w:val="28"/>
          <w:szCs w:val="36"/>
        </w:rPr>
        <w:br w:type="page"/>
      </w:r>
      <w:bookmarkEnd w:id="906"/>
    </w:p>
    <w:p w14:paraId="53F17B82">
      <w:pPr>
        <w:pStyle w:val="2"/>
        <w:bidi w:val="0"/>
      </w:pPr>
      <w:bookmarkStart w:id="907" w:name="_Toc27205"/>
      <w:r>
        <w:rPr>
          <w:rFonts w:hint="eastAsia"/>
        </w:rPr>
        <w:t>第六章 响应文件格式</w:t>
      </w:r>
      <w:bookmarkEnd w:id="907"/>
    </w:p>
    <w:p w14:paraId="743DBB58">
      <w:pPr>
        <w:wordWrap w:val="0"/>
        <w:snapToGrid w:val="0"/>
        <w:spacing w:after="120" w:afterLines="50"/>
        <w:rPr>
          <w:rFonts w:ascii="宋体" w:hAnsi="宋体" w:cs="宋体"/>
        </w:rPr>
      </w:pPr>
    </w:p>
    <w:p w14:paraId="0BD22830">
      <w:pPr>
        <w:wordWrap w:val="0"/>
        <w:snapToGrid w:val="0"/>
        <w:spacing w:line="420" w:lineRule="exact"/>
        <w:ind w:firstLine="1446" w:firstLineChars="450"/>
        <w:rPr>
          <w:rFonts w:ascii="宋体" w:hAnsi="宋体" w:cs="宋体"/>
          <w:b/>
          <w:bCs/>
          <w:sz w:val="32"/>
          <w:szCs w:val="32"/>
          <w:u w:val="single"/>
        </w:rPr>
      </w:pPr>
      <w:bookmarkStart w:id="908" w:name="_A1_投标书"/>
      <w:bookmarkEnd w:id="908"/>
      <w:bookmarkStart w:id="909" w:name="_Toc410631173"/>
      <w:bookmarkStart w:id="910" w:name="_Toc414445764"/>
      <w:bookmarkStart w:id="911" w:name="_Toc181038076"/>
      <w:bookmarkStart w:id="912" w:name="_Toc192127128"/>
      <w:bookmarkStart w:id="913" w:name="_Toc162669084"/>
      <w:bookmarkStart w:id="914" w:name="_Toc372807484"/>
      <w:bookmarkStart w:id="915" w:name="_Toc23340"/>
      <w:bookmarkStart w:id="916" w:name="_Toc128455956"/>
      <w:bookmarkStart w:id="917" w:name="_Toc416103814"/>
      <w:bookmarkStart w:id="918" w:name="_Toc192127127"/>
      <w:bookmarkStart w:id="919" w:name="_Toc179091096"/>
      <w:bookmarkStart w:id="920" w:name="_Toc176663528"/>
    </w:p>
    <w:p w14:paraId="5EBD42AD">
      <w:pPr>
        <w:wordWrap w:val="0"/>
        <w:snapToGrid w:val="0"/>
        <w:spacing w:line="420" w:lineRule="exact"/>
        <w:ind w:firstLine="1446" w:firstLineChars="450"/>
        <w:rPr>
          <w:rFonts w:ascii="宋体" w:hAnsi="宋体" w:cs="宋体"/>
          <w:b/>
          <w:bCs/>
          <w:sz w:val="32"/>
          <w:szCs w:val="32"/>
          <w:u w:val="single"/>
        </w:rPr>
      </w:pPr>
    </w:p>
    <w:p w14:paraId="2A457552">
      <w:pPr>
        <w:wordWrap w:val="0"/>
        <w:snapToGrid w:val="0"/>
        <w:spacing w:line="420" w:lineRule="exact"/>
        <w:ind w:firstLine="1446" w:firstLineChars="450"/>
        <w:rPr>
          <w:rFonts w:ascii="宋体" w:hAnsi="宋体" w:cs="宋体"/>
          <w:sz w:val="32"/>
          <w:szCs w:val="32"/>
        </w:rPr>
      </w:pPr>
      <w:r>
        <w:rPr>
          <w:rFonts w:hint="eastAsia" w:ascii="宋体" w:hAnsi="宋体" w:cs="宋体"/>
          <w:b/>
          <w:bCs/>
          <w:sz w:val="32"/>
          <w:szCs w:val="32"/>
          <w:u w:val="single"/>
        </w:rPr>
        <w:t xml:space="preserve">                 </w:t>
      </w:r>
      <w:bookmarkStart w:id="921" w:name="_Toc16795_WPSOffice_Level1"/>
      <w:bookmarkStart w:id="922" w:name="_Toc6392"/>
      <w:bookmarkStart w:id="923" w:name="_Toc22805_WPSOffice_Level1"/>
      <w:bookmarkStart w:id="924" w:name="_Toc3967_WPSOffice_Level1"/>
      <w:bookmarkStart w:id="925" w:name="_Toc4484"/>
      <w:bookmarkStart w:id="926" w:name="_Toc25632"/>
      <w:bookmarkStart w:id="927" w:name="_Toc8245_WPSOffice_Level1"/>
      <w:bookmarkStart w:id="928" w:name="_Toc13474"/>
      <w:r>
        <w:rPr>
          <w:rFonts w:hint="eastAsia" w:ascii="宋体" w:hAnsi="宋体" w:cs="宋体"/>
          <w:b/>
          <w:bCs/>
          <w:sz w:val="32"/>
          <w:szCs w:val="32"/>
        </w:rPr>
        <w:t>（</w:t>
      </w:r>
      <w:r>
        <w:rPr>
          <w:rFonts w:hint="eastAsia" w:ascii="宋体" w:hAnsi="宋体" w:cs="宋体"/>
          <w:b/>
          <w:bCs/>
          <w:sz w:val="32"/>
          <w:szCs w:val="32"/>
          <w:lang w:val="en-US" w:eastAsia="zh-CN"/>
        </w:rPr>
        <w:t>项目</w:t>
      </w:r>
      <w:r>
        <w:rPr>
          <w:rFonts w:hint="eastAsia" w:ascii="宋体" w:hAnsi="宋体" w:cs="宋体"/>
          <w:b/>
          <w:bCs/>
          <w:sz w:val="32"/>
          <w:szCs w:val="32"/>
          <w:lang w:eastAsia="zh-CN"/>
        </w:rPr>
        <w:t>名称</w:t>
      </w:r>
      <w:r>
        <w:rPr>
          <w:rFonts w:hint="eastAsia" w:ascii="宋体" w:hAnsi="宋体" w:cs="宋体"/>
          <w:b/>
          <w:bCs/>
          <w:sz w:val="32"/>
          <w:szCs w:val="32"/>
        </w:rPr>
        <w:t>）</w:t>
      </w:r>
      <w:bookmarkEnd w:id="921"/>
      <w:bookmarkEnd w:id="922"/>
      <w:bookmarkEnd w:id="923"/>
      <w:bookmarkEnd w:id="924"/>
      <w:bookmarkEnd w:id="925"/>
      <w:bookmarkEnd w:id="926"/>
      <w:bookmarkEnd w:id="927"/>
      <w:bookmarkEnd w:id="928"/>
      <w:r>
        <w:rPr>
          <w:rFonts w:hint="eastAsia" w:ascii="宋体" w:hAnsi="宋体" w:cs="宋体"/>
          <w:b/>
          <w:bCs/>
          <w:sz w:val="32"/>
          <w:szCs w:val="32"/>
        </w:rPr>
        <w:t>竞争性磋商</w:t>
      </w:r>
    </w:p>
    <w:p w14:paraId="5A699A78">
      <w:pPr>
        <w:wordWrap w:val="0"/>
        <w:spacing w:line="1000" w:lineRule="exact"/>
        <w:jc w:val="center"/>
        <w:rPr>
          <w:rFonts w:ascii="宋体" w:hAnsi="宋体" w:cs="宋体"/>
          <w:b/>
          <w:bCs/>
          <w:sz w:val="84"/>
          <w:szCs w:val="84"/>
        </w:rPr>
      </w:pPr>
    </w:p>
    <w:p w14:paraId="5E11A0C3">
      <w:pPr>
        <w:wordWrap w:val="0"/>
        <w:spacing w:line="1000" w:lineRule="exact"/>
        <w:jc w:val="center"/>
        <w:rPr>
          <w:rFonts w:ascii="宋体" w:hAnsi="宋体" w:cs="宋体"/>
          <w:sz w:val="52"/>
          <w:szCs w:val="52"/>
        </w:rPr>
      </w:pPr>
      <w:r>
        <w:rPr>
          <w:rFonts w:hint="eastAsia" w:ascii="宋体" w:hAnsi="宋体" w:cs="宋体"/>
          <w:b/>
          <w:bCs/>
          <w:sz w:val="84"/>
          <w:szCs w:val="84"/>
        </w:rPr>
        <w:t>响 应 文 件</w:t>
      </w:r>
    </w:p>
    <w:p w14:paraId="321D65D0">
      <w:pPr>
        <w:wordWrap w:val="0"/>
        <w:spacing w:before="240" w:beforeLines="100"/>
        <w:ind w:firstLine="3840" w:firstLineChars="1200"/>
        <w:rPr>
          <w:rFonts w:ascii="宋体" w:hAnsi="宋体" w:cs="宋体"/>
          <w:sz w:val="32"/>
          <w:szCs w:val="32"/>
        </w:rPr>
      </w:pPr>
    </w:p>
    <w:p w14:paraId="486D9A8A">
      <w:pPr>
        <w:wordWrap w:val="0"/>
        <w:ind w:firstLine="0" w:firstLineChars="0"/>
        <w:jc w:val="center"/>
        <w:rPr>
          <w:rFonts w:ascii="宋体" w:hAnsi="宋体" w:cs="宋体"/>
          <w:sz w:val="24"/>
          <w:szCs w:val="24"/>
        </w:rPr>
      </w:pPr>
      <w:r>
        <w:rPr>
          <w:rFonts w:hint="eastAsia" w:ascii="宋体" w:hAnsi="宋体" w:cs="宋体"/>
          <w:sz w:val="24"/>
          <w:szCs w:val="24"/>
        </w:rPr>
        <w:t>采购编号：</w:t>
      </w:r>
    </w:p>
    <w:p w14:paraId="3498A9F4">
      <w:pPr>
        <w:wordWrap w:val="0"/>
        <w:jc w:val="center"/>
        <w:rPr>
          <w:rFonts w:ascii="宋体" w:hAnsi="宋体" w:cs="宋体"/>
          <w:sz w:val="32"/>
          <w:szCs w:val="32"/>
        </w:rPr>
      </w:pPr>
    </w:p>
    <w:p w14:paraId="6E0712BB">
      <w:pPr>
        <w:wordWrap w:val="0"/>
        <w:jc w:val="center"/>
        <w:rPr>
          <w:rFonts w:ascii="宋体" w:hAnsi="宋体" w:cs="宋体"/>
          <w:sz w:val="32"/>
          <w:szCs w:val="32"/>
        </w:rPr>
      </w:pPr>
    </w:p>
    <w:p w14:paraId="13FF2C1F">
      <w:pPr>
        <w:wordWrap w:val="0"/>
        <w:jc w:val="center"/>
        <w:rPr>
          <w:rFonts w:ascii="宋体" w:hAnsi="宋体" w:cs="宋体"/>
          <w:sz w:val="32"/>
          <w:szCs w:val="32"/>
        </w:rPr>
      </w:pPr>
    </w:p>
    <w:p w14:paraId="1BB69048">
      <w:pPr>
        <w:wordWrap w:val="0"/>
        <w:jc w:val="center"/>
        <w:rPr>
          <w:rFonts w:ascii="宋体" w:hAnsi="宋体" w:cs="宋体"/>
          <w:sz w:val="32"/>
          <w:szCs w:val="32"/>
        </w:rPr>
      </w:pPr>
    </w:p>
    <w:p w14:paraId="4B608173">
      <w:pPr>
        <w:wordWrap w:val="0"/>
        <w:jc w:val="center"/>
        <w:rPr>
          <w:rFonts w:ascii="宋体" w:hAnsi="宋体" w:cs="宋体"/>
          <w:sz w:val="32"/>
          <w:szCs w:val="32"/>
        </w:rPr>
      </w:pPr>
    </w:p>
    <w:p w14:paraId="40D6DEB2">
      <w:pPr>
        <w:wordWrap w:val="0"/>
        <w:jc w:val="center"/>
        <w:rPr>
          <w:rFonts w:ascii="宋体" w:hAnsi="宋体" w:cs="宋体"/>
          <w:sz w:val="32"/>
          <w:szCs w:val="32"/>
        </w:rPr>
      </w:pPr>
    </w:p>
    <w:p w14:paraId="51BE62F2">
      <w:pPr>
        <w:wordWrap w:val="0"/>
        <w:jc w:val="center"/>
        <w:rPr>
          <w:rFonts w:ascii="宋体" w:hAnsi="宋体" w:cs="宋体"/>
          <w:sz w:val="32"/>
          <w:szCs w:val="32"/>
        </w:rPr>
      </w:pPr>
    </w:p>
    <w:p w14:paraId="27369BB1">
      <w:pPr>
        <w:wordWrap w:val="0"/>
        <w:jc w:val="center"/>
        <w:rPr>
          <w:rFonts w:ascii="宋体" w:hAnsi="宋体" w:cs="宋体"/>
          <w:sz w:val="32"/>
          <w:szCs w:val="32"/>
        </w:rPr>
      </w:pPr>
    </w:p>
    <w:p w14:paraId="7D1731B7">
      <w:pPr>
        <w:wordWrap w:val="0"/>
        <w:rPr>
          <w:rFonts w:ascii="宋体" w:hAnsi="宋体" w:cs="宋体"/>
          <w:sz w:val="32"/>
          <w:szCs w:val="32"/>
        </w:rPr>
      </w:pPr>
    </w:p>
    <w:p w14:paraId="1FEE286A">
      <w:pPr>
        <w:wordWrap w:val="0"/>
        <w:jc w:val="center"/>
        <w:rPr>
          <w:rFonts w:ascii="宋体" w:hAnsi="宋体" w:cs="宋体"/>
          <w:sz w:val="32"/>
          <w:szCs w:val="32"/>
        </w:rPr>
      </w:pPr>
    </w:p>
    <w:p w14:paraId="6C2ECF01">
      <w:pPr>
        <w:wordWrap w:val="0"/>
        <w:spacing w:line="360" w:lineRule="auto"/>
        <w:jc w:val="center"/>
        <w:rPr>
          <w:rFonts w:ascii="宋体" w:hAnsi="宋体" w:cs="宋体"/>
          <w:sz w:val="32"/>
          <w:szCs w:val="32"/>
        </w:rPr>
      </w:pPr>
    </w:p>
    <w:p w14:paraId="6EEBC2F4">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bookmarkStart w:id="929" w:name="_Toc14463_WPSOffice_Level1"/>
      <w:bookmarkStart w:id="930" w:name="_Toc22812_WPSOffice_Level1"/>
      <w:bookmarkStart w:id="931" w:name="_Toc14451_WPSOffice_Level1"/>
      <w:bookmarkStart w:id="932" w:name="_Toc7391"/>
      <w:bookmarkStart w:id="933" w:name="_Toc7378"/>
      <w:bookmarkStart w:id="934" w:name="_Toc16044"/>
      <w:bookmarkStart w:id="935" w:name="_Toc18652_WPSOffice_Level1"/>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（单位电子签章）</w:t>
      </w:r>
      <w:bookmarkEnd w:id="929"/>
      <w:bookmarkEnd w:id="930"/>
      <w:bookmarkEnd w:id="931"/>
      <w:bookmarkEnd w:id="932"/>
      <w:bookmarkEnd w:id="933"/>
      <w:bookmarkEnd w:id="934"/>
      <w:bookmarkEnd w:id="935"/>
    </w:p>
    <w:p w14:paraId="22C81D7C">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b/>
          <w:bCs/>
          <w:sz w:val="24"/>
          <w:szCs w:val="24"/>
        </w:rPr>
      </w:pPr>
      <w:r>
        <w:rPr>
          <w:rFonts w:hint="eastAsia" w:ascii="宋体" w:hAnsi="宋体" w:cs="宋体"/>
          <w:b/>
          <w:bCs/>
          <w:sz w:val="24"/>
          <w:szCs w:val="24"/>
        </w:rPr>
        <w:t>法定代表人</w:t>
      </w:r>
      <w:r>
        <w:rPr>
          <w:rFonts w:hint="eastAsia" w:ascii="宋体" w:hAnsi="宋体" w:cs="宋体"/>
          <w:b/>
          <w:bCs/>
          <w:sz w:val="24"/>
          <w:szCs w:val="24"/>
          <w:lang w:eastAsia="zh-CN"/>
        </w:rPr>
        <w:t>（</w:t>
      </w:r>
      <w:r>
        <w:rPr>
          <w:rFonts w:hint="eastAsia" w:ascii="宋体" w:hAnsi="宋体" w:cs="宋体"/>
          <w:b/>
          <w:bCs/>
          <w:sz w:val="24"/>
          <w:szCs w:val="24"/>
          <w:lang w:val="en-US" w:eastAsia="zh-CN"/>
        </w:rPr>
        <w:t>负责人）</w:t>
      </w:r>
      <w:r>
        <w:rPr>
          <w:rFonts w:hint="eastAsia" w:ascii="宋体" w:hAnsi="宋体" w:cs="宋体"/>
          <w:b/>
          <w:bCs/>
          <w:sz w:val="24"/>
          <w:szCs w:val="24"/>
        </w:rPr>
        <w:t>或其委托代理人</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（电子签名或盖章）</w:t>
      </w:r>
    </w:p>
    <w:p w14:paraId="6BBD9953">
      <w:pPr>
        <w:keepNext w:val="0"/>
        <w:keepLines w:val="0"/>
        <w:pageBreakBefore w:val="0"/>
        <w:widowControl w:val="0"/>
        <w:kinsoku/>
        <w:wordWrap w:val="0"/>
        <w:overflowPunct/>
        <w:topLinePunct w:val="0"/>
        <w:autoSpaceDE/>
        <w:autoSpaceDN/>
        <w:bidi w:val="0"/>
        <w:adjustRightInd/>
        <w:snapToGrid/>
        <w:spacing w:line="480" w:lineRule="auto"/>
        <w:ind w:firstLine="0" w:firstLineChars="0"/>
        <w:jc w:val="center"/>
        <w:textAlignment w:val="auto"/>
        <w:rPr>
          <w:rFonts w:ascii="宋体" w:hAnsi="宋体" w:cs="宋体"/>
          <w:sz w:val="24"/>
          <w:szCs w:val="24"/>
        </w:rPr>
        <w:sectPr>
          <w:pgSz w:w="11906" w:h="16838"/>
          <w:pgMar w:top="1418" w:right="1418" w:bottom="1418" w:left="1418" w:header="851" w:footer="850" w:gutter="0"/>
          <w:cols w:space="720" w:num="1"/>
          <w:docGrid w:linePitch="312" w:charSpace="0"/>
        </w:sectPr>
      </w:pPr>
      <w:bookmarkStart w:id="936" w:name="_Toc31848_WPSOffice_Level1"/>
      <w:bookmarkStart w:id="937" w:name="_Toc3607_WPSOffice_Level1"/>
      <w:bookmarkStart w:id="938" w:name="_Toc20450"/>
      <w:bookmarkStart w:id="939" w:name="_Toc16649"/>
      <w:bookmarkStart w:id="940" w:name="_Toc12941"/>
      <w:bookmarkStart w:id="941" w:name="_Toc21015_WPSOffice_Level1"/>
      <w:bookmarkStart w:id="942" w:name="_Toc27351_WPSOffice_Level1"/>
      <w:bookmarkStart w:id="943" w:name="_Toc31395"/>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bookmarkEnd w:id="936"/>
      <w:bookmarkEnd w:id="937"/>
      <w:bookmarkEnd w:id="938"/>
      <w:bookmarkEnd w:id="939"/>
      <w:bookmarkEnd w:id="940"/>
      <w:bookmarkEnd w:id="941"/>
      <w:bookmarkEnd w:id="942"/>
      <w:bookmarkEnd w:id="943"/>
    </w:p>
    <w:p w14:paraId="0E27816B">
      <w:pPr>
        <w:wordWrap w:val="0"/>
        <w:spacing w:line="460" w:lineRule="exact"/>
        <w:jc w:val="center"/>
        <w:rPr>
          <w:rFonts w:hint="eastAsia" w:ascii="宋体" w:hAnsi="宋体" w:cs="宋体"/>
          <w:b/>
          <w:bCs/>
          <w:sz w:val="28"/>
          <w:szCs w:val="28"/>
        </w:rPr>
      </w:pPr>
      <w:r>
        <w:rPr>
          <w:rFonts w:hint="eastAsia" w:ascii="宋体" w:hAnsi="宋体" w:cs="宋体"/>
          <w:b/>
          <w:bCs/>
          <w:sz w:val="28"/>
          <w:szCs w:val="28"/>
        </w:rPr>
        <w:t>目录</w:t>
      </w:r>
    </w:p>
    <w:p w14:paraId="5F6F1D99">
      <w:pPr>
        <w:wordWrap w:val="0"/>
        <w:spacing w:line="460" w:lineRule="exact"/>
        <w:jc w:val="center"/>
        <w:rPr>
          <w:rFonts w:hint="eastAsia" w:ascii="宋体" w:hAnsi="宋体" w:cs="宋体"/>
          <w:b/>
          <w:bCs/>
          <w:sz w:val="28"/>
          <w:szCs w:val="28"/>
        </w:rPr>
      </w:pPr>
    </w:p>
    <w:p w14:paraId="2DD4481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一、响应函及响应函附录</w:t>
      </w:r>
    </w:p>
    <w:p w14:paraId="749A6D26">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rPr>
      </w:pPr>
      <w:r>
        <w:rPr>
          <w:rFonts w:hint="eastAsia" w:ascii="宋体" w:hAnsi="宋体" w:cs="宋体"/>
          <w:sz w:val="24"/>
          <w:szCs w:val="24"/>
        </w:rPr>
        <w:t>二、</w:t>
      </w:r>
      <w:r>
        <w:rPr>
          <w:rFonts w:hint="eastAsia"/>
          <w:sz w:val="24"/>
          <w:szCs w:val="24"/>
        </w:rPr>
        <w:t>分项报价表</w:t>
      </w:r>
    </w:p>
    <w:p w14:paraId="204C5682">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三、法定代表人（单位负责人）身份证明</w:t>
      </w:r>
    </w:p>
    <w:p w14:paraId="128D1751">
      <w:pPr>
        <w:keepNext w:val="0"/>
        <w:keepLines w:val="0"/>
        <w:pageBreakBefore w:val="0"/>
        <w:widowControl w:val="0"/>
        <w:kinsoku/>
        <w:wordWrap w:val="0"/>
        <w:overflowPunct/>
        <w:topLinePunct w:val="0"/>
        <w:autoSpaceDE/>
        <w:autoSpaceDN/>
        <w:bidi w:val="0"/>
        <w:adjustRightInd/>
        <w:snapToGrid/>
        <w:spacing w:line="460" w:lineRule="exact"/>
        <w:ind w:firstLine="960" w:firstLineChars="400"/>
        <w:textAlignment w:val="auto"/>
        <w:rPr>
          <w:rFonts w:ascii="宋体" w:hAnsi="宋体" w:cs="宋体"/>
          <w:sz w:val="24"/>
          <w:szCs w:val="24"/>
        </w:rPr>
      </w:pPr>
      <w:r>
        <w:rPr>
          <w:rFonts w:hint="eastAsia" w:ascii="宋体" w:hAnsi="宋体" w:cs="宋体"/>
          <w:sz w:val="24"/>
          <w:szCs w:val="24"/>
        </w:rPr>
        <w:t>授权委托书</w:t>
      </w:r>
    </w:p>
    <w:p w14:paraId="0A422B17">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四、商务条款偏离表</w:t>
      </w:r>
    </w:p>
    <w:p w14:paraId="7642BFFC">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sz w:val="24"/>
          <w:szCs w:val="24"/>
        </w:rPr>
      </w:pPr>
      <w:r>
        <w:rPr>
          <w:rFonts w:hint="eastAsia" w:ascii="宋体" w:hAnsi="宋体" w:cs="宋体"/>
          <w:sz w:val="24"/>
          <w:szCs w:val="24"/>
        </w:rPr>
        <w:t>五、</w:t>
      </w:r>
      <w:r>
        <w:rPr>
          <w:rFonts w:hint="eastAsia" w:ascii="宋体" w:hAnsi="宋体"/>
          <w:sz w:val="24"/>
          <w:szCs w:val="24"/>
          <w:lang w:val="en-US" w:eastAsia="zh-CN"/>
        </w:rPr>
        <w:t>技术</w:t>
      </w:r>
      <w:r>
        <w:rPr>
          <w:rFonts w:hint="eastAsia" w:ascii="宋体" w:hAnsi="宋体"/>
          <w:sz w:val="24"/>
          <w:szCs w:val="24"/>
        </w:rPr>
        <w:t>条款偏离表</w:t>
      </w:r>
    </w:p>
    <w:p w14:paraId="5B1C1D94">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六、资格证明材料</w:t>
      </w:r>
    </w:p>
    <w:p w14:paraId="334BFEF9">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rPr>
        <w:t>七、</w:t>
      </w:r>
      <w:r>
        <w:rPr>
          <w:rFonts w:hint="eastAsia" w:ascii="宋体" w:hAnsi="宋体" w:cs="宋体"/>
          <w:sz w:val="24"/>
          <w:szCs w:val="24"/>
          <w:lang w:val="en-US" w:eastAsia="zh-CN"/>
        </w:rPr>
        <w:t>技术部分</w:t>
      </w:r>
    </w:p>
    <w:p w14:paraId="4D2E739D">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rPr>
        <w:t>八、</w:t>
      </w:r>
      <w:r>
        <w:rPr>
          <w:rFonts w:hint="eastAsia" w:ascii="宋体" w:hAnsi="宋体" w:cs="宋体"/>
          <w:sz w:val="24"/>
          <w:szCs w:val="24"/>
          <w:lang w:val="en-US" w:eastAsia="zh-CN"/>
        </w:rPr>
        <w:t>其他材料</w:t>
      </w:r>
    </w:p>
    <w:p w14:paraId="454683AA">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九、</w:t>
      </w:r>
      <w:r>
        <w:rPr>
          <w:rFonts w:hint="eastAsia" w:ascii="宋体" w:hAnsi="宋体" w:cs="宋体"/>
          <w:sz w:val="24"/>
          <w:szCs w:val="24"/>
          <w:lang w:val="en-US" w:eastAsia="zh-CN"/>
        </w:rPr>
        <w:t>供应商认为应该提交的其他材料</w:t>
      </w:r>
    </w:p>
    <w:p w14:paraId="7EC596DE">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r>
        <w:rPr>
          <w:rFonts w:hint="eastAsia" w:ascii="宋体" w:hAnsi="宋体" w:cs="宋体"/>
          <w:sz w:val="24"/>
          <w:szCs w:val="24"/>
        </w:rPr>
        <w:t>十、关于政府采购政策（有则附，没有不附）</w:t>
      </w:r>
    </w:p>
    <w:p w14:paraId="66F379D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ascii="宋体" w:hAnsi="宋体" w:cs="宋体"/>
          <w:sz w:val="24"/>
          <w:szCs w:val="24"/>
        </w:rPr>
      </w:pPr>
    </w:p>
    <w:p w14:paraId="73C070F8">
      <w:pPr>
        <w:bidi w:val="0"/>
      </w:pPr>
      <w:r>
        <w:rPr>
          <w:rFonts w:hint="eastAsia"/>
        </w:rPr>
        <w:br w:type="page"/>
      </w:r>
      <w:bookmarkEnd w:id="909"/>
      <w:bookmarkEnd w:id="910"/>
      <w:bookmarkEnd w:id="911"/>
      <w:bookmarkEnd w:id="912"/>
      <w:bookmarkEnd w:id="913"/>
      <w:bookmarkEnd w:id="914"/>
      <w:bookmarkEnd w:id="915"/>
      <w:bookmarkEnd w:id="916"/>
      <w:bookmarkEnd w:id="917"/>
      <w:bookmarkEnd w:id="918"/>
      <w:bookmarkEnd w:id="919"/>
      <w:bookmarkEnd w:id="920"/>
      <w:bookmarkStart w:id="944" w:name="_Toc19981"/>
      <w:bookmarkStart w:id="945" w:name="_Toc192127131"/>
      <w:bookmarkStart w:id="946" w:name="_Toc195922057"/>
    </w:p>
    <w:p w14:paraId="4D8A80F8">
      <w:pPr>
        <w:pStyle w:val="3"/>
        <w:bidi w:val="0"/>
        <w:jc w:val="center"/>
        <w:rPr>
          <w:rFonts w:hint="eastAsia" w:ascii="宋体" w:hAnsi="宋体" w:eastAsia="宋体" w:cs="宋体"/>
        </w:rPr>
      </w:pPr>
      <w:bookmarkStart w:id="947" w:name="_Toc24700"/>
      <w:r>
        <w:rPr>
          <w:rFonts w:hint="eastAsia" w:ascii="宋体" w:hAnsi="宋体" w:eastAsia="宋体" w:cs="宋体"/>
        </w:rPr>
        <w:t>一、响应函及响应函附录</w:t>
      </w:r>
    </w:p>
    <w:p w14:paraId="343C6835">
      <w:pPr>
        <w:wordWrap w:val="0"/>
        <w:spacing w:line="420" w:lineRule="exact"/>
        <w:jc w:val="center"/>
        <w:outlineLvl w:val="2"/>
        <w:rPr>
          <w:rFonts w:ascii="宋体" w:hAnsi="宋体" w:cs="宋体"/>
          <w:b/>
          <w:sz w:val="24"/>
          <w:szCs w:val="24"/>
        </w:rPr>
      </w:pPr>
      <w:r>
        <w:rPr>
          <w:rFonts w:hint="eastAsia" w:ascii="宋体" w:hAnsi="宋体" w:cs="宋体"/>
          <w:b/>
          <w:sz w:val="24"/>
          <w:szCs w:val="24"/>
        </w:rPr>
        <w:t>（一）响应函</w:t>
      </w:r>
      <w:bookmarkEnd w:id="947"/>
    </w:p>
    <w:p w14:paraId="576DD01C">
      <w:pPr>
        <w:pStyle w:val="28"/>
        <w:wordWrap w:val="0"/>
        <w:spacing w:line="420" w:lineRule="exact"/>
        <w:ind w:left="112" w:leftChars="0" w:hanging="112" w:hangingChars="47"/>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w:t>
      </w:r>
    </w:p>
    <w:p w14:paraId="549BEB65">
      <w:pPr>
        <w:spacing w:line="520" w:lineRule="exact"/>
        <w:ind w:left="479" w:leftChars="228" w:firstLine="0" w:firstLineChars="0"/>
        <w:jc w:val="left"/>
        <w:rPr>
          <w:rFonts w:hint="eastAsia" w:ascii="宋体" w:hAnsi="宋体" w:eastAsia="宋体" w:cs="宋体"/>
          <w:sz w:val="24"/>
          <w:szCs w:val="24"/>
        </w:rPr>
      </w:pPr>
      <w:r>
        <w:rPr>
          <w:rFonts w:hint="eastAsia" w:ascii="宋体" w:hAnsi="宋体" w:eastAsia="宋体" w:cs="宋体"/>
          <w:sz w:val="24"/>
          <w:szCs w:val="24"/>
        </w:rPr>
        <w:t>我们收到了</w:t>
      </w:r>
      <w:r>
        <w:rPr>
          <w:rFonts w:hint="eastAsia" w:ascii="宋体" w:hAnsi="宋体" w:cs="宋体"/>
          <w:sz w:val="24"/>
          <w:szCs w:val="24"/>
          <w:lang w:val="en-US" w:eastAsia="zh-CN"/>
        </w:rPr>
        <w:t>采购</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cs="宋体"/>
          <w:sz w:val="24"/>
          <w:szCs w:val="24"/>
          <w:lang w:val="en-US" w:eastAsia="zh-CN"/>
        </w:rPr>
        <w:t>竞争性磋商</w:t>
      </w:r>
      <w:r>
        <w:rPr>
          <w:rFonts w:hint="eastAsia" w:ascii="宋体" w:hAnsi="宋体" w:eastAsia="宋体" w:cs="宋体"/>
          <w:sz w:val="24"/>
          <w:szCs w:val="24"/>
        </w:rPr>
        <w:t>文件，经详细研究，我们决定参</w:t>
      </w:r>
    </w:p>
    <w:p w14:paraId="62B41D88">
      <w:pPr>
        <w:spacing w:line="520" w:lineRule="exact"/>
        <w:jc w:val="left"/>
        <w:rPr>
          <w:rFonts w:hint="eastAsia" w:ascii="宋体" w:hAnsi="宋体" w:eastAsia="宋体" w:cs="宋体"/>
          <w:sz w:val="24"/>
          <w:szCs w:val="24"/>
        </w:rPr>
      </w:pPr>
      <w:r>
        <w:rPr>
          <w:rFonts w:hint="eastAsia" w:ascii="宋体" w:hAnsi="宋体" w:eastAsia="宋体" w:cs="宋体"/>
          <w:sz w:val="24"/>
          <w:szCs w:val="24"/>
        </w:rPr>
        <w:t>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的招标投标活动，我们郑重声明以下诸点并负法律责任。</w:t>
      </w:r>
    </w:p>
    <w:p w14:paraId="50850232">
      <w:pPr>
        <w:numPr>
          <w:ilvl w:val="0"/>
          <w:numId w:val="0"/>
        </w:numPr>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文件中规定的条款和要求，投标总报价为大写：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E3DC24">
      <w:pPr>
        <w:spacing w:line="520" w:lineRule="exact"/>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eastAsia="宋体" w:cs="宋体"/>
          <w:sz w:val="24"/>
          <w:szCs w:val="24"/>
          <w:lang w:val="en-US" w:eastAsia="zh-CN"/>
        </w:rPr>
        <w:t>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color w:val="000000"/>
          <w:sz w:val="24"/>
          <w:szCs w:val="24"/>
        </w:rPr>
        <w:t>供货期</w:t>
      </w:r>
      <w:r>
        <w:rPr>
          <w:rFonts w:hint="eastAsia" w:ascii="宋体" w:hAnsi="宋体" w:eastAsia="宋体" w:cs="宋体"/>
          <w:sz w:val="24"/>
          <w:szCs w:val="24"/>
          <w:u w:val="single"/>
        </w:rPr>
        <w:t xml:space="preserve">      </w:t>
      </w:r>
      <w:r>
        <w:rPr>
          <w:rFonts w:hint="eastAsia" w:ascii="宋体" w:hAnsi="宋体" w:eastAsia="宋体" w:cs="宋体"/>
          <w:sz w:val="24"/>
          <w:szCs w:val="24"/>
        </w:rPr>
        <w:t>，质保期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BD949CB">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作为最后报价。</w:t>
      </w:r>
    </w:p>
    <w:p w14:paraId="20AA7B36">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3．我方在此承诺，我方若能成交，保证在</w:t>
      </w:r>
      <w:r>
        <w:rPr>
          <w:rFonts w:hint="eastAsia" w:ascii="宋体" w:hAnsi="宋体" w:eastAsia="宋体" w:cs="宋体"/>
          <w:sz w:val="24"/>
          <w:szCs w:val="24"/>
          <w:lang w:eastAsia="zh-CN"/>
        </w:rPr>
        <w:t>供货及安装期</w:t>
      </w:r>
      <w:r>
        <w:rPr>
          <w:rFonts w:hint="eastAsia" w:ascii="宋体" w:hAnsi="宋体" w:eastAsia="宋体" w:cs="宋体"/>
          <w:sz w:val="24"/>
          <w:szCs w:val="24"/>
        </w:rPr>
        <w:t>内，全面履行竞争性磋商文件中规定的职责和义务。</w:t>
      </w:r>
    </w:p>
    <w:p w14:paraId="59A4B1DE">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4．如果我方成交，我方保证按合同条款中规定的内容执行；我方保证质量达到国家及行业现行标准规范规定的合格要求，并按竞争性磋商文件和有关规定提交一切资料。</w:t>
      </w:r>
    </w:p>
    <w:p w14:paraId="448D81A9">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5．我方同意从60日历天（从磋商截止之日算起）内保持响应文件有效，在此有效期内，我方将严格遵守响应文件的承诺，本响应文件对我方具有约束力，并可随时被接受成交。</w:t>
      </w:r>
    </w:p>
    <w:p w14:paraId="448D77A5">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6．除响应文件所提交的资料外，我方同意随时接受贵方的检查、询问，并根据磋商需要补充贵方要求提交的资料。</w:t>
      </w:r>
    </w:p>
    <w:p w14:paraId="433FA659">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7．如果我方成交后，我方没有任何正当理由而拒签合同，同时我方愿意补偿该项工作因我方延误所造成的经济损失。</w:t>
      </w:r>
    </w:p>
    <w:p w14:paraId="2C1BD967">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8．我方愿接受合同条款中规定的合同价款计算和调整方式。</w:t>
      </w:r>
    </w:p>
    <w:p w14:paraId="61A8747C">
      <w:pPr>
        <w:pStyle w:val="28"/>
        <w:wordWrap w:val="0"/>
        <w:spacing w:line="420" w:lineRule="exact"/>
        <w:ind w:left="1" w:leftChars="0" w:firstLine="480" w:firstLineChars="200"/>
        <w:rPr>
          <w:rFonts w:hint="eastAsia" w:ascii="宋体" w:hAnsi="宋体" w:eastAsia="宋体" w:cs="宋体"/>
          <w:sz w:val="24"/>
          <w:szCs w:val="24"/>
        </w:rPr>
      </w:pPr>
      <w:r>
        <w:rPr>
          <w:rFonts w:hint="eastAsia" w:ascii="宋体" w:hAnsi="宋体" w:eastAsia="宋体" w:cs="宋体"/>
          <w:sz w:val="24"/>
          <w:szCs w:val="24"/>
        </w:rPr>
        <w:t>9．除非另外达成协议并生效，贵方的成交通知书和本响应文件将成为约束我方的合同文件组成部分。</w:t>
      </w:r>
    </w:p>
    <w:p w14:paraId="0E9FDD05">
      <w:pPr>
        <w:pStyle w:val="28"/>
        <w:wordWrap w:val="0"/>
        <w:spacing w:line="420" w:lineRule="exact"/>
        <w:ind w:left="0" w:leftChars="0" w:firstLine="0" w:firstLineChars="0"/>
        <w:rPr>
          <w:rFonts w:hint="eastAsia" w:ascii="宋体" w:hAnsi="宋体" w:eastAsia="宋体" w:cs="宋体"/>
          <w:sz w:val="24"/>
          <w:szCs w:val="24"/>
        </w:rPr>
      </w:pPr>
    </w:p>
    <w:p w14:paraId="5A44905C">
      <w:pPr>
        <w:pStyle w:val="28"/>
        <w:wordWrap w:val="0"/>
        <w:spacing w:line="420" w:lineRule="exact"/>
        <w:ind w:left="0" w:leftChars="0" w:firstLine="0" w:firstLineChars="0"/>
        <w:rPr>
          <w:rFonts w:hint="eastAsia" w:ascii="宋体" w:hAnsi="宋体" w:eastAsia="宋体" w:cs="宋体"/>
          <w:sz w:val="24"/>
          <w:szCs w:val="24"/>
        </w:rPr>
      </w:pPr>
    </w:p>
    <w:p w14:paraId="3C48C7AE">
      <w:pPr>
        <w:pStyle w:val="28"/>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（单位电子签章）</w:t>
      </w:r>
    </w:p>
    <w:p w14:paraId="6C1746E3">
      <w:pPr>
        <w:pStyle w:val="28"/>
        <w:wordWrap w:val="0"/>
        <w:spacing w:line="420" w:lineRule="exact"/>
        <w:ind w:left="1" w:leftChars="0"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（电子签名或盖章）</w:t>
      </w:r>
    </w:p>
    <w:p w14:paraId="376C4045">
      <w:pPr>
        <w:pStyle w:val="28"/>
        <w:wordWrap w:val="0"/>
        <w:spacing w:line="420" w:lineRule="exact"/>
        <w:ind w:left="1" w:leftChars="0" w:firstLine="480" w:firstLineChars="200"/>
        <w:jc w:val="right"/>
        <w:rPr>
          <w:rFonts w:hint="eastAsia" w:ascii="宋体" w:hAnsi="宋体" w:eastAsia="宋体" w:cs="宋体"/>
          <w:b/>
          <w:kern w:val="0"/>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0630A80">
      <w:pPr>
        <w:wordWrap w:val="0"/>
        <w:autoSpaceDE w:val="0"/>
        <w:autoSpaceDN w:val="0"/>
        <w:adjustRightInd w:val="0"/>
        <w:snapToGrid w:val="0"/>
        <w:spacing w:line="360" w:lineRule="auto"/>
        <w:ind w:firstLine="4320" w:firstLineChars="1800"/>
        <w:jc w:val="right"/>
        <w:rPr>
          <w:rFonts w:hint="eastAsia" w:ascii="宋体" w:hAnsi="宋体" w:eastAsia="宋体" w:cs="宋体"/>
          <w:kern w:val="0"/>
          <w:sz w:val="24"/>
          <w:szCs w:val="24"/>
        </w:rPr>
        <w:sectPr>
          <w:footerReference r:id="rId14" w:type="default"/>
          <w:pgSz w:w="11906" w:h="16838"/>
          <w:pgMar w:top="1418" w:right="1418" w:bottom="1418" w:left="1418" w:header="851" w:footer="850" w:gutter="0"/>
          <w:cols w:space="720" w:num="1"/>
          <w:docGrid w:linePitch="312" w:charSpace="0"/>
        </w:sectPr>
      </w:pPr>
    </w:p>
    <w:bookmarkEnd w:id="944"/>
    <w:p w14:paraId="2FAA87C8">
      <w:pPr>
        <w:wordWrap w:val="0"/>
        <w:spacing w:line="420" w:lineRule="exact"/>
        <w:jc w:val="center"/>
        <w:outlineLvl w:val="2"/>
        <w:rPr>
          <w:rFonts w:ascii="宋体" w:hAnsi="宋体" w:cs="宋体"/>
          <w:b/>
          <w:bCs/>
          <w:sz w:val="28"/>
          <w:szCs w:val="28"/>
        </w:rPr>
      </w:pPr>
      <w:bookmarkStart w:id="948" w:name="_Toc8862"/>
      <w:bookmarkStart w:id="949" w:name="_Toc11398"/>
      <w:bookmarkStart w:id="950" w:name="_Toc28667"/>
      <w:r>
        <w:rPr>
          <w:rFonts w:hint="eastAsia" w:ascii="宋体" w:hAnsi="宋体" w:cs="宋体"/>
          <w:b/>
          <w:bCs/>
          <w:sz w:val="28"/>
          <w:szCs w:val="28"/>
        </w:rPr>
        <w:t>（二）响应函附录</w:t>
      </w:r>
      <w:bookmarkEnd w:id="948"/>
      <w:bookmarkEnd w:id="949"/>
    </w:p>
    <w:tbl>
      <w:tblPr>
        <w:tblStyle w:val="53"/>
        <w:tblpPr w:leftFromText="180" w:rightFromText="180" w:vertAnchor="text" w:horzAnchor="page" w:tblpXSpec="center" w:tblpY="568"/>
        <w:tblOverlap w:val="never"/>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788"/>
        <w:gridCol w:w="3726"/>
      </w:tblGrid>
      <w:tr w14:paraId="6DE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883E36C">
            <w:pPr>
              <w:wordWrap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1EF6BE12">
            <w:pPr>
              <w:wordWrap w:val="0"/>
              <w:rPr>
                <w:rFonts w:ascii="宋体" w:hAnsi="宋体" w:cs="宋体"/>
                <w:sz w:val="24"/>
                <w:szCs w:val="24"/>
              </w:rPr>
            </w:pPr>
          </w:p>
        </w:tc>
      </w:tr>
      <w:tr w14:paraId="7407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184375D">
            <w:pPr>
              <w:wordWrap w:val="0"/>
              <w:jc w:val="center"/>
              <w:rPr>
                <w:rFonts w:ascii="宋体" w:hAnsi="宋体" w:cs="宋体"/>
                <w:sz w:val="24"/>
                <w:szCs w:val="24"/>
              </w:rPr>
            </w:pPr>
            <w:r>
              <w:rPr>
                <w:rFonts w:hint="eastAsia" w:ascii="宋体" w:hAnsi="宋体" w:cs="宋体"/>
                <w:sz w:val="24"/>
                <w:szCs w:val="24"/>
              </w:rPr>
              <w:t>供应商名称</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75E05326">
            <w:pPr>
              <w:wordWrap w:val="0"/>
              <w:rPr>
                <w:rFonts w:ascii="宋体" w:hAnsi="宋体" w:cs="宋体"/>
                <w:sz w:val="24"/>
                <w:szCs w:val="24"/>
              </w:rPr>
            </w:pPr>
          </w:p>
        </w:tc>
      </w:tr>
      <w:tr w14:paraId="7174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restart"/>
            <w:tcBorders>
              <w:top w:val="single" w:color="auto" w:sz="4" w:space="0"/>
              <w:left w:val="single" w:color="auto" w:sz="4" w:space="0"/>
              <w:right w:val="single" w:color="auto" w:sz="4" w:space="0"/>
            </w:tcBorders>
            <w:vAlign w:val="center"/>
          </w:tcPr>
          <w:p w14:paraId="318CBE25">
            <w:pPr>
              <w:wordWrap w:val="0"/>
              <w:jc w:val="center"/>
              <w:rPr>
                <w:rFonts w:ascii="宋体" w:hAnsi="宋体" w:cs="宋体"/>
                <w:sz w:val="24"/>
                <w:szCs w:val="24"/>
              </w:rPr>
            </w:pPr>
            <w:r>
              <w:rPr>
                <w:rFonts w:hint="eastAsia" w:ascii="宋体" w:hAnsi="宋体" w:cs="宋体"/>
                <w:sz w:val="24"/>
                <w:szCs w:val="24"/>
              </w:rPr>
              <w:t>磋商报价（元）</w:t>
            </w:r>
          </w:p>
        </w:tc>
        <w:tc>
          <w:tcPr>
            <w:tcW w:w="2788" w:type="dxa"/>
            <w:tcBorders>
              <w:top w:val="single" w:color="auto" w:sz="4" w:space="0"/>
              <w:left w:val="single" w:color="auto" w:sz="4" w:space="0"/>
              <w:bottom w:val="single" w:color="auto" w:sz="4" w:space="0"/>
              <w:right w:val="single" w:color="auto" w:sz="4" w:space="0"/>
            </w:tcBorders>
            <w:vAlign w:val="center"/>
          </w:tcPr>
          <w:p w14:paraId="06F94D68">
            <w:pPr>
              <w:wordWrap w:val="0"/>
              <w:rPr>
                <w:rFonts w:ascii="宋体" w:hAnsi="宋体" w:cs="宋体"/>
                <w:sz w:val="24"/>
                <w:szCs w:val="24"/>
              </w:rPr>
            </w:pPr>
            <w:r>
              <w:rPr>
                <w:rFonts w:hint="eastAsia" w:ascii="宋体" w:hAnsi="宋体" w:cs="宋体"/>
                <w:sz w:val="24"/>
                <w:szCs w:val="24"/>
              </w:rPr>
              <w:t>（大写）</w:t>
            </w:r>
          </w:p>
        </w:tc>
        <w:tc>
          <w:tcPr>
            <w:tcW w:w="3726" w:type="dxa"/>
            <w:tcBorders>
              <w:top w:val="single" w:color="auto" w:sz="4" w:space="0"/>
              <w:left w:val="single" w:color="auto" w:sz="4" w:space="0"/>
              <w:bottom w:val="single" w:color="auto" w:sz="4" w:space="0"/>
              <w:right w:val="single" w:color="auto" w:sz="4" w:space="0"/>
            </w:tcBorders>
            <w:vAlign w:val="center"/>
          </w:tcPr>
          <w:p w14:paraId="67420286">
            <w:pPr>
              <w:wordWrap w:val="0"/>
              <w:rPr>
                <w:rFonts w:ascii="宋体" w:hAnsi="宋体" w:cs="宋体"/>
                <w:sz w:val="24"/>
                <w:szCs w:val="24"/>
              </w:rPr>
            </w:pPr>
            <w:r>
              <w:rPr>
                <w:rFonts w:hint="eastAsia" w:ascii="宋体" w:hAnsi="宋体" w:cs="宋体"/>
                <w:sz w:val="24"/>
                <w:szCs w:val="24"/>
              </w:rPr>
              <w:t>（小写）</w:t>
            </w:r>
          </w:p>
        </w:tc>
      </w:tr>
      <w:tr w14:paraId="3F33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vMerge w:val="continue"/>
            <w:tcBorders>
              <w:left w:val="single" w:color="auto" w:sz="4" w:space="0"/>
              <w:bottom w:val="single" w:color="auto" w:sz="4" w:space="0"/>
              <w:right w:val="single" w:color="auto" w:sz="4" w:space="0"/>
            </w:tcBorders>
            <w:vAlign w:val="center"/>
          </w:tcPr>
          <w:p w14:paraId="68109B0D">
            <w:pPr>
              <w:wordWrap w:val="0"/>
              <w:ind w:firstLine="480"/>
              <w:jc w:val="center"/>
              <w:rPr>
                <w:rFonts w:ascii="宋体" w:hAnsi="宋体" w:cs="宋体"/>
                <w:sz w:val="24"/>
                <w:szCs w:val="24"/>
              </w:rPr>
            </w:pP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781AE36">
            <w:pPr>
              <w:wordWrap w:val="0"/>
              <w:rPr>
                <w:rFonts w:ascii="宋体" w:hAnsi="宋体" w:cs="宋体"/>
                <w:sz w:val="24"/>
                <w:szCs w:val="24"/>
              </w:rPr>
            </w:pPr>
            <w:r>
              <w:rPr>
                <w:rFonts w:hint="eastAsia" w:ascii="宋体" w:hAnsi="宋体" w:cs="宋体"/>
                <w:sz w:val="24"/>
                <w:szCs w:val="24"/>
              </w:rPr>
              <w:t>（供应商应在此填列第一次报价，但以供应商最后一次的磋商报价为成交价）</w:t>
            </w:r>
          </w:p>
        </w:tc>
      </w:tr>
      <w:tr w14:paraId="1C1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141C5FE">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供货期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4FE9B059">
            <w:pPr>
              <w:wordWrap w:val="0"/>
              <w:rPr>
                <w:rFonts w:ascii="宋体" w:hAnsi="宋体" w:cs="宋体"/>
                <w:sz w:val="24"/>
                <w:szCs w:val="24"/>
              </w:rPr>
            </w:pPr>
          </w:p>
        </w:tc>
      </w:tr>
      <w:tr w14:paraId="0A5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15A7D056">
            <w:pPr>
              <w:wordWrap w:val="0"/>
              <w:jc w:val="center"/>
              <w:rPr>
                <w:rFonts w:hint="eastAsia" w:ascii="宋体" w:hAnsi="宋体" w:eastAsia="宋体" w:cs="宋体"/>
                <w:sz w:val="24"/>
                <w:szCs w:val="24"/>
                <w:lang w:eastAsia="zh-CN"/>
              </w:rPr>
            </w:pPr>
            <w:r>
              <w:rPr>
                <w:rFonts w:hint="eastAsia" w:ascii="宋体" w:hAnsi="宋体" w:cs="宋体"/>
                <w:sz w:val="24"/>
                <w:szCs w:val="24"/>
                <w:lang w:eastAsia="zh-CN"/>
              </w:rPr>
              <w:t>质量要求</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3DB02B72">
            <w:pPr>
              <w:wordWrap w:val="0"/>
              <w:rPr>
                <w:rFonts w:ascii="宋体" w:hAnsi="宋体" w:cs="宋体"/>
                <w:sz w:val="24"/>
                <w:szCs w:val="24"/>
              </w:rPr>
            </w:pPr>
          </w:p>
        </w:tc>
      </w:tr>
      <w:tr w14:paraId="5856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449DBF63">
            <w:pPr>
              <w:wordWrap w:val="0"/>
              <w:jc w:val="center"/>
              <w:rPr>
                <w:rFonts w:hint="default" w:ascii="宋体" w:hAnsi="宋体" w:cs="宋体"/>
                <w:sz w:val="24"/>
                <w:szCs w:val="24"/>
                <w:lang w:val="en-US" w:eastAsia="zh-CN"/>
              </w:rPr>
            </w:pPr>
            <w:r>
              <w:rPr>
                <w:rFonts w:hint="eastAsia" w:ascii="宋体" w:hAnsi="宋体" w:cs="宋体"/>
                <w:sz w:val="24"/>
                <w:szCs w:val="24"/>
                <w:lang w:val="en-US" w:eastAsia="zh-CN"/>
              </w:rPr>
              <w:t>质保期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2652A7E">
            <w:pPr>
              <w:wordWrap w:val="0"/>
              <w:jc w:val="both"/>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 </w:t>
            </w:r>
          </w:p>
        </w:tc>
      </w:tr>
      <w:tr w14:paraId="2BBB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5558A261">
            <w:pPr>
              <w:wordWrap w:val="0"/>
              <w:jc w:val="center"/>
              <w:rPr>
                <w:rFonts w:ascii="宋体" w:hAnsi="宋体" w:cs="宋体"/>
                <w:sz w:val="24"/>
                <w:szCs w:val="24"/>
              </w:rPr>
            </w:pPr>
            <w:r>
              <w:rPr>
                <w:rFonts w:hint="eastAsia" w:ascii="宋体" w:hAnsi="宋体" w:cs="宋体"/>
                <w:sz w:val="24"/>
                <w:szCs w:val="24"/>
              </w:rPr>
              <w:t>磋商有效期</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56AFFD3E">
            <w:pPr>
              <w:wordWrap w:val="0"/>
              <w:rPr>
                <w:rFonts w:ascii="宋体" w:hAnsi="宋体" w:cs="宋体"/>
                <w:sz w:val="24"/>
                <w:szCs w:val="24"/>
              </w:rPr>
            </w:pPr>
          </w:p>
        </w:tc>
      </w:tr>
      <w:tr w14:paraId="72C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3" w:type="dxa"/>
            <w:tcBorders>
              <w:top w:val="single" w:color="auto" w:sz="4" w:space="0"/>
              <w:left w:val="single" w:color="auto" w:sz="4" w:space="0"/>
              <w:bottom w:val="single" w:color="auto" w:sz="4" w:space="0"/>
              <w:right w:val="single" w:color="auto" w:sz="4" w:space="0"/>
            </w:tcBorders>
            <w:vAlign w:val="center"/>
          </w:tcPr>
          <w:p w14:paraId="3E36E250">
            <w:pPr>
              <w:wordWrap w:val="0"/>
              <w:jc w:val="center"/>
              <w:rPr>
                <w:rFonts w:ascii="宋体" w:hAnsi="宋体" w:cs="宋体"/>
                <w:sz w:val="24"/>
                <w:szCs w:val="24"/>
              </w:rPr>
            </w:pPr>
            <w:r>
              <w:rPr>
                <w:rFonts w:hint="eastAsia" w:ascii="宋体" w:hAnsi="宋体" w:cs="宋体"/>
                <w:sz w:val="24"/>
                <w:szCs w:val="24"/>
              </w:rPr>
              <w:t>备注</w:t>
            </w:r>
          </w:p>
        </w:tc>
        <w:tc>
          <w:tcPr>
            <w:tcW w:w="6514" w:type="dxa"/>
            <w:gridSpan w:val="2"/>
            <w:tcBorders>
              <w:top w:val="single" w:color="auto" w:sz="4" w:space="0"/>
              <w:left w:val="single" w:color="auto" w:sz="4" w:space="0"/>
              <w:bottom w:val="single" w:color="auto" w:sz="4" w:space="0"/>
              <w:right w:val="single" w:color="auto" w:sz="4" w:space="0"/>
            </w:tcBorders>
            <w:vAlign w:val="center"/>
          </w:tcPr>
          <w:p w14:paraId="6860C607">
            <w:pPr>
              <w:wordWrap w:val="0"/>
              <w:jc w:val="center"/>
              <w:rPr>
                <w:rFonts w:ascii="宋体" w:hAnsi="宋体" w:cs="宋体"/>
                <w:sz w:val="24"/>
                <w:szCs w:val="24"/>
                <w:lang w:val="ru-RU"/>
              </w:rPr>
            </w:pPr>
          </w:p>
        </w:tc>
      </w:tr>
    </w:tbl>
    <w:p w14:paraId="7B91246F">
      <w:pPr>
        <w:wordWrap w:val="0"/>
        <w:spacing w:line="420" w:lineRule="exact"/>
        <w:rPr>
          <w:rFonts w:ascii="宋体" w:hAnsi="宋体" w:cs="宋体"/>
          <w:sz w:val="24"/>
        </w:rPr>
      </w:pPr>
    </w:p>
    <w:p w14:paraId="26F35708">
      <w:pPr>
        <w:wordWrap w:val="0"/>
        <w:spacing w:line="420" w:lineRule="exact"/>
        <w:rPr>
          <w:rFonts w:ascii="宋体" w:hAnsi="宋体" w:cs="宋体"/>
          <w:sz w:val="24"/>
        </w:rPr>
      </w:pPr>
    </w:p>
    <w:p w14:paraId="3F407F44">
      <w:pPr>
        <w:wordWrap w:val="0"/>
        <w:spacing w:line="420" w:lineRule="exact"/>
        <w:rPr>
          <w:rFonts w:ascii="宋体" w:hAnsi="宋体" w:cs="宋体"/>
          <w:sz w:val="24"/>
          <w:szCs w:val="24"/>
        </w:rPr>
      </w:pPr>
    </w:p>
    <w:p w14:paraId="6A45953C">
      <w:pPr>
        <w:wordWrap w:val="0"/>
        <w:spacing w:line="420" w:lineRule="exact"/>
        <w:jc w:val="right"/>
        <w:rPr>
          <w:rFonts w:ascii="宋体" w:hAnsi="宋体" w:cs="宋体"/>
          <w:sz w:val="24"/>
          <w:szCs w:val="24"/>
        </w:rPr>
      </w:pPr>
      <w:r>
        <w:rPr>
          <w:rFonts w:hint="eastAsia" w:ascii="宋体" w:hAnsi="宋体" w:cs="宋体"/>
          <w:sz w:val="24"/>
          <w:szCs w:val="24"/>
        </w:rPr>
        <w:t>供应商法定代表人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或其授权委托人(电子签名或盖章)</w:t>
      </w:r>
      <w:r>
        <w:rPr>
          <w:rFonts w:hint="eastAsia" w:ascii="宋体" w:hAnsi="宋体" w:cs="宋体"/>
          <w:sz w:val="24"/>
          <w:szCs w:val="24"/>
          <w:u w:val="single"/>
        </w:rPr>
        <w:t xml:space="preserve">              </w:t>
      </w:r>
      <w:r>
        <w:rPr>
          <w:rFonts w:hint="eastAsia" w:ascii="宋体" w:hAnsi="宋体" w:cs="宋体"/>
          <w:sz w:val="24"/>
          <w:szCs w:val="24"/>
        </w:rPr>
        <w:t>供应商(单位电子签章)：</w:t>
      </w:r>
      <w:r>
        <w:rPr>
          <w:rFonts w:hint="eastAsia" w:ascii="宋体" w:hAnsi="宋体" w:cs="宋体"/>
          <w:sz w:val="24"/>
          <w:szCs w:val="24"/>
          <w:u w:val="single"/>
        </w:rPr>
        <w:t xml:space="preserve">                  </w:t>
      </w:r>
    </w:p>
    <w:p w14:paraId="3B422E06">
      <w:pPr>
        <w:wordWrap w:val="0"/>
        <w:spacing w:line="420" w:lineRule="exact"/>
        <w:jc w:val="right"/>
        <w:rPr>
          <w:rFonts w:ascii="宋体" w:hAnsi="宋体" w:cs="宋体"/>
          <w:b/>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C9D3386">
      <w:pPr>
        <w:wordWrap w:val="0"/>
        <w:ind w:firstLine="420"/>
        <w:rPr>
          <w:rFonts w:ascii="宋体" w:hAnsi="宋体" w:cs="宋体"/>
          <w:sz w:val="24"/>
          <w:szCs w:val="24"/>
        </w:rPr>
      </w:pPr>
      <w:r>
        <w:rPr>
          <w:rFonts w:hint="eastAsia" w:ascii="宋体" w:hAnsi="宋体" w:cs="宋体"/>
          <w:sz w:val="24"/>
          <w:szCs w:val="24"/>
        </w:rPr>
        <w:br w:type="page"/>
      </w:r>
    </w:p>
    <w:p w14:paraId="21DC4578">
      <w:pPr>
        <w:pStyle w:val="3"/>
        <w:bidi w:val="0"/>
        <w:jc w:val="center"/>
        <w:rPr>
          <w:rFonts w:hint="eastAsia" w:ascii="宋体" w:hAnsi="宋体" w:eastAsia="宋体" w:cs="宋体"/>
        </w:rPr>
      </w:pPr>
      <w:bookmarkStart w:id="951" w:name="_Toc466298161"/>
      <w:bookmarkStart w:id="952" w:name="_Toc31033"/>
      <w:bookmarkStart w:id="953" w:name="_Toc918"/>
      <w:bookmarkStart w:id="954" w:name="_Toc2481"/>
      <w:bookmarkStart w:id="955" w:name="_Toc8120"/>
      <w:r>
        <w:rPr>
          <w:rFonts w:hint="eastAsia" w:ascii="宋体" w:hAnsi="宋体" w:eastAsia="宋体" w:cs="宋体"/>
        </w:rPr>
        <w:t>二、分项报价表</w:t>
      </w:r>
    </w:p>
    <w:p w14:paraId="34E22DB6">
      <w:pPr>
        <w:spacing w:line="360" w:lineRule="auto"/>
        <w:rPr>
          <w:rFonts w:hint="eastAsia" w:ascii="宋体" w:hAnsi="宋体"/>
          <w:sz w:val="24"/>
          <w:szCs w:val="24"/>
        </w:rPr>
      </w:pPr>
      <w:r>
        <w:rPr>
          <w:rFonts w:hint="eastAsia" w:ascii="宋体" w:hAnsi="宋体"/>
          <w:sz w:val="24"/>
          <w:szCs w:val="24"/>
        </w:rPr>
        <w:t xml:space="preserve">                                                         金额单位：元</w:t>
      </w:r>
    </w:p>
    <w:tbl>
      <w:tblPr>
        <w:tblStyle w:val="482"/>
        <w:tblpPr w:leftFromText="180" w:rightFromText="180" w:vertAnchor="text" w:horzAnchor="page" w:tblpX="828" w:tblpY="55"/>
        <w:tblOverlap w:val="never"/>
        <w:tblW w:w="95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
        <w:gridCol w:w="1666"/>
        <w:gridCol w:w="1384"/>
        <w:gridCol w:w="1030"/>
        <w:gridCol w:w="909"/>
        <w:gridCol w:w="979"/>
        <w:gridCol w:w="1014"/>
        <w:gridCol w:w="997"/>
        <w:gridCol w:w="1000"/>
      </w:tblGrid>
      <w:tr w14:paraId="5E0D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597" w:type="dxa"/>
            <w:vAlign w:val="center"/>
          </w:tcPr>
          <w:p w14:paraId="2A5E884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666" w:type="dxa"/>
            <w:vAlign w:val="center"/>
          </w:tcPr>
          <w:p w14:paraId="51FDDCF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货物名称</w:t>
            </w:r>
          </w:p>
        </w:tc>
        <w:tc>
          <w:tcPr>
            <w:tcW w:w="1384" w:type="dxa"/>
            <w:vAlign w:val="center"/>
          </w:tcPr>
          <w:p w14:paraId="107D306B">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品牌/</w:t>
            </w:r>
            <w:r>
              <w:rPr>
                <w:rFonts w:hint="eastAsia" w:asciiTheme="minorEastAsia" w:hAnsiTheme="minorEastAsia" w:eastAsiaTheme="minorEastAsia" w:cstheme="minorEastAsia"/>
                <w:color w:val="auto"/>
                <w:sz w:val="24"/>
                <w:szCs w:val="24"/>
                <w:lang w:val="en-US" w:eastAsia="zh-CN"/>
              </w:rPr>
              <w:t>制造商</w:t>
            </w:r>
          </w:p>
        </w:tc>
        <w:tc>
          <w:tcPr>
            <w:tcW w:w="1030" w:type="dxa"/>
            <w:vAlign w:val="center"/>
          </w:tcPr>
          <w:p w14:paraId="564DB791">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规格型号</w:t>
            </w:r>
          </w:p>
        </w:tc>
        <w:tc>
          <w:tcPr>
            <w:tcW w:w="909" w:type="dxa"/>
            <w:vAlign w:val="center"/>
          </w:tcPr>
          <w:p w14:paraId="548C54F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979" w:type="dxa"/>
            <w:vAlign w:val="center"/>
          </w:tcPr>
          <w:p w14:paraId="42DA726E">
            <w:pP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w:t>
            </w:r>
          </w:p>
        </w:tc>
        <w:tc>
          <w:tcPr>
            <w:tcW w:w="1014" w:type="dxa"/>
            <w:vAlign w:val="center"/>
          </w:tcPr>
          <w:p w14:paraId="08E760D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tc>
        <w:tc>
          <w:tcPr>
            <w:tcW w:w="997" w:type="dxa"/>
            <w:vAlign w:val="center"/>
          </w:tcPr>
          <w:p w14:paraId="79750D7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合计</w:t>
            </w:r>
          </w:p>
        </w:tc>
        <w:tc>
          <w:tcPr>
            <w:tcW w:w="1000" w:type="dxa"/>
            <w:vAlign w:val="center"/>
          </w:tcPr>
          <w:p w14:paraId="2156778E">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备注</w:t>
            </w:r>
          </w:p>
        </w:tc>
      </w:tr>
      <w:tr w14:paraId="122AE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97" w:type="dxa"/>
            <w:vAlign w:val="center"/>
          </w:tcPr>
          <w:p w14:paraId="4444FC02">
            <w:pPr>
              <w:jc w:val="both"/>
              <w:rPr>
                <w:rFonts w:hint="eastAsia" w:asciiTheme="minorEastAsia" w:hAnsiTheme="minorEastAsia" w:eastAsiaTheme="minorEastAsia" w:cstheme="minorEastAsia"/>
                <w:color w:val="auto"/>
                <w:sz w:val="24"/>
                <w:szCs w:val="24"/>
              </w:rPr>
            </w:pPr>
          </w:p>
        </w:tc>
        <w:tc>
          <w:tcPr>
            <w:tcW w:w="1666" w:type="dxa"/>
            <w:vAlign w:val="center"/>
          </w:tcPr>
          <w:p w14:paraId="5509529E">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0D1732DF">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50F49D4F">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6BC12525">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141BE3A9">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2A450569">
            <w:pPr>
              <w:jc w:val="center"/>
              <w:rPr>
                <w:rFonts w:hint="eastAsia" w:asciiTheme="minorEastAsia" w:hAnsiTheme="minorEastAsia" w:eastAsiaTheme="minorEastAsia" w:cstheme="minorEastAsia"/>
                <w:color w:val="auto"/>
                <w:sz w:val="24"/>
                <w:szCs w:val="24"/>
              </w:rPr>
            </w:pPr>
          </w:p>
        </w:tc>
        <w:tc>
          <w:tcPr>
            <w:tcW w:w="997" w:type="dxa"/>
            <w:vAlign w:val="center"/>
          </w:tcPr>
          <w:p w14:paraId="1F291BCC">
            <w:pPr>
              <w:jc w:val="center"/>
              <w:rPr>
                <w:rFonts w:hint="eastAsia" w:asciiTheme="minorEastAsia" w:hAnsiTheme="minorEastAsia" w:eastAsiaTheme="minorEastAsia" w:cstheme="minorEastAsia"/>
                <w:color w:val="auto"/>
                <w:sz w:val="24"/>
                <w:szCs w:val="24"/>
              </w:rPr>
            </w:pPr>
          </w:p>
        </w:tc>
        <w:tc>
          <w:tcPr>
            <w:tcW w:w="1000" w:type="dxa"/>
            <w:vAlign w:val="center"/>
          </w:tcPr>
          <w:p w14:paraId="43C904C9">
            <w:pPr>
              <w:jc w:val="center"/>
              <w:rPr>
                <w:rFonts w:hint="eastAsia" w:asciiTheme="minorEastAsia" w:hAnsiTheme="minorEastAsia" w:eastAsiaTheme="minorEastAsia" w:cstheme="minorEastAsia"/>
                <w:color w:val="auto"/>
                <w:sz w:val="24"/>
                <w:szCs w:val="24"/>
                <w:lang w:val="en-US" w:eastAsia="zh-CN"/>
              </w:rPr>
            </w:pPr>
          </w:p>
        </w:tc>
      </w:tr>
      <w:tr w14:paraId="786C0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4A19C756">
            <w:pPr>
              <w:jc w:val="both"/>
              <w:rPr>
                <w:rFonts w:hint="eastAsia" w:asciiTheme="minorEastAsia" w:hAnsiTheme="minorEastAsia" w:eastAsiaTheme="minorEastAsia" w:cstheme="minorEastAsia"/>
                <w:b/>
                <w:bCs/>
                <w:color w:val="auto"/>
                <w:sz w:val="24"/>
                <w:szCs w:val="24"/>
              </w:rPr>
            </w:pPr>
          </w:p>
        </w:tc>
        <w:tc>
          <w:tcPr>
            <w:tcW w:w="1666" w:type="dxa"/>
            <w:vAlign w:val="center"/>
          </w:tcPr>
          <w:p w14:paraId="6B9295AC">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2D90BA2">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414124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73D403FE">
            <w:pPr>
              <w:jc w:val="both"/>
              <w:rPr>
                <w:rFonts w:hint="eastAsia" w:asciiTheme="minorEastAsia" w:hAnsiTheme="minorEastAsia" w:eastAsiaTheme="minorEastAsia" w:cstheme="minorEastAsia"/>
                <w:b/>
                <w:bCs/>
                <w:color w:val="auto"/>
                <w:sz w:val="24"/>
                <w:szCs w:val="24"/>
                <w:lang w:val="en-US" w:eastAsia="zh-CN"/>
              </w:rPr>
            </w:pPr>
          </w:p>
        </w:tc>
        <w:tc>
          <w:tcPr>
            <w:tcW w:w="979" w:type="dxa"/>
            <w:vAlign w:val="center"/>
          </w:tcPr>
          <w:p w14:paraId="3B324B5E">
            <w:pPr>
              <w:jc w:val="both"/>
              <w:rPr>
                <w:rFonts w:hint="eastAsia" w:asciiTheme="minorEastAsia" w:hAnsiTheme="minorEastAsia" w:eastAsiaTheme="minorEastAsia" w:cstheme="minorEastAsia"/>
                <w:b/>
                <w:bCs/>
                <w:color w:val="auto"/>
                <w:sz w:val="24"/>
                <w:szCs w:val="24"/>
                <w:lang w:val="en-US" w:eastAsia="zh-CN"/>
              </w:rPr>
            </w:pPr>
          </w:p>
        </w:tc>
        <w:tc>
          <w:tcPr>
            <w:tcW w:w="1014" w:type="dxa"/>
            <w:vAlign w:val="center"/>
          </w:tcPr>
          <w:p w14:paraId="26143D20">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6C0682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1A7B178">
            <w:pPr>
              <w:jc w:val="center"/>
              <w:rPr>
                <w:rFonts w:hint="eastAsia" w:asciiTheme="minorEastAsia" w:hAnsiTheme="minorEastAsia" w:eastAsiaTheme="minorEastAsia" w:cstheme="minorEastAsia"/>
                <w:b/>
                <w:bCs/>
                <w:color w:val="auto"/>
                <w:sz w:val="24"/>
                <w:szCs w:val="24"/>
              </w:rPr>
            </w:pPr>
          </w:p>
        </w:tc>
      </w:tr>
      <w:tr w14:paraId="1F965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7578AB3A">
            <w:pPr>
              <w:jc w:val="both"/>
              <w:rPr>
                <w:rFonts w:hint="eastAsia" w:asciiTheme="minorEastAsia" w:hAnsiTheme="minorEastAsia" w:eastAsiaTheme="minorEastAsia" w:cstheme="minorEastAsia"/>
                <w:color w:val="auto"/>
                <w:sz w:val="24"/>
                <w:szCs w:val="24"/>
              </w:rPr>
            </w:pPr>
          </w:p>
        </w:tc>
        <w:tc>
          <w:tcPr>
            <w:tcW w:w="1666" w:type="dxa"/>
            <w:vAlign w:val="center"/>
          </w:tcPr>
          <w:p w14:paraId="5F6A2B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56797CF1">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3C3F5F2E">
            <w:pPr>
              <w:jc w:val="center"/>
              <w:rPr>
                <w:rFonts w:hint="eastAsia" w:asciiTheme="minorEastAsia" w:hAnsiTheme="minorEastAsia" w:eastAsiaTheme="minorEastAsia" w:cstheme="minorEastAsia"/>
                <w:color w:val="auto"/>
                <w:sz w:val="24"/>
                <w:szCs w:val="24"/>
                <w:lang w:val="en-US" w:eastAsia="zh-CN"/>
              </w:rPr>
            </w:pPr>
          </w:p>
        </w:tc>
        <w:tc>
          <w:tcPr>
            <w:tcW w:w="909" w:type="dxa"/>
            <w:vAlign w:val="center"/>
          </w:tcPr>
          <w:p w14:paraId="0F86AE6F">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AE3FA32">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4EA13">
            <w:pPr>
              <w:jc w:val="center"/>
              <w:rPr>
                <w:rFonts w:hint="eastAsia" w:asciiTheme="minorEastAsia" w:hAnsiTheme="minorEastAsia" w:eastAsiaTheme="minorEastAsia" w:cstheme="minorEastAsia"/>
                <w:color w:val="auto"/>
                <w:sz w:val="24"/>
                <w:szCs w:val="24"/>
              </w:rPr>
            </w:pPr>
          </w:p>
        </w:tc>
        <w:tc>
          <w:tcPr>
            <w:tcW w:w="997" w:type="dxa"/>
            <w:vAlign w:val="center"/>
          </w:tcPr>
          <w:p w14:paraId="52CC5E32">
            <w:pPr>
              <w:jc w:val="center"/>
              <w:rPr>
                <w:rFonts w:hint="eastAsia" w:asciiTheme="minorEastAsia" w:hAnsiTheme="minorEastAsia" w:eastAsiaTheme="minorEastAsia" w:cstheme="minorEastAsia"/>
                <w:color w:val="auto"/>
                <w:sz w:val="24"/>
                <w:szCs w:val="24"/>
              </w:rPr>
            </w:pPr>
          </w:p>
        </w:tc>
        <w:tc>
          <w:tcPr>
            <w:tcW w:w="1000" w:type="dxa"/>
            <w:vAlign w:val="center"/>
          </w:tcPr>
          <w:p w14:paraId="59E8FC43">
            <w:pPr>
              <w:jc w:val="center"/>
              <w:rPr>
                <w:rFonts w:hint="eastAsia" w:asciiTheme="minorEastAsia" w:hAnsiTheme="minorEastAsia" w:eastAsiaTheme="minorEastAsia" w:cstheme="minorEastAsia"/>
                <w:color w:val="auto"/>
                <w:sz w:val="24"/>
                <w:szCs w:val="24"/>
                <w:lang w:val="en-US" w:eastAsia="zh-CN"/>
              </w:rPr>
            </w:pPr>
          </w:p>
        </w:tc>
      </w:tr>
      <w:tr w14:paraId="5E79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5C783287">
            <w:pPr>
              <w:jc w:val="both"/>
              <w:rPr>
                <w:rFonts w:hint="eastAsia" w:asciiTheme="minorEastAsia" w:hAnsiTheme="minorEastAsia" w:eastAsiaTheme="minorEastAsia" w:cstheme="minorEastAsia"/>
                <w:color w:val="auto"/>
                <w:sz w:val="24"/>
                <w:szCs w:val="24"/>
              </w:rPr>
            </w:pPr>
          </w:p>
        </w:tc>
        <w:tc>
          <w:tcPr>
            <w:tcW w:w="1666" w:type="dxa"/>
            <w:vAlign w:val="center"/>
          </w:tcPr>
          <w:p w14:paraId="0F93E471">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682A527B">
            <w:pPr>
              <w:jc w:val="center"/>
              <w:rPr>
                <w:rFonts w:hint="eastAsia" w:asciiTheme="minorEastAsia" w:hAnsiTheme="minorEastAsia" w:eastAsiaTheme="minorEastAsia" w:cstheme="minorEastAsia"/>
                <w:color w:val="auto"/>
                <w:sz w:val="24"/>
                <w:szCs w:val="24"/>
                <w:lang w:val="en-US" w:eastAsia="zh-CN"/>
              </w:rPr>
            </w:pPr>
          </w:p>
        </w:tc>
        <w:tc>
          <w:tcPr>
            <w:tcW w:w="1030" w:type="dxa"/>
            <w:vAlign w:val="center"/>
          </w:tcPr>
          <w:p w14:paraId="10ABE1E0">
            <w:pPr>
              <w:jc w:val="center"/>
              <w:rPr>
                <w:rFonts w:hint="eastAsia" w:asciiTheme="minorEastAsia" w:hAnsiTheme="minorEastAsia" w:eastAsiaTheme="minorEastAsia" w:cstheme="minorEastAsia"/>
                <w:color w:val="auto"/>
                <w:sz w:val="24"/>
                <w:szCs w:val="24"/>
              </w:rPr>
            </w:pPr>
          </w:p>
        </w:tc>
        <w:tc>
          <w:tcPr>
            <w:tcW w:w="909" w:type="dxa"/>
            <w:vAlign w:val="center"/>
          </w:tcPr>
          <w:p w14:paraId="27143DB0">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653811AF">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6FB77808">
            <w:pPr>
              <w:jc w:val="center"/>
              <w:rPr>
                <w:rFonts w:hint="eastAsia" w:asciiTheme="minorEastAsia" w:hAnsiTheme="minorEastAsia" w:eastAsiaTheme="minorEastAsia" w:cstheme="minorEastAsia"/>
                <w:color w:val="auto"/>
                <w:sz w:val="24"/>
                <w:szCs w:val="24"/>
              </w:rPr>
            </w:pPr>
          </w:p>
        </w:tc>
        <w:tc>
          <w:tcPr>
            <w:tcW w:w="997" w:type="dxa"/>
            <w:vAlign w:val="center"/>
          </w:tcPr>
          <w:p w14:paraId="5171CEF9">
            <w:pPr>
              <w:jc w:val="center"/>
              <w:rPr>
                <w:rFonts w:hint="eastAsia" w:asciiTheme="minorEastAsia" w:hAnsiTheme="minorEastAsia" w:eastAsiaTheme="minorEastAsia" w:cstheme="minorEastAsia"/>
                <w:color w:val="auto"/>
                <w:sz w:val="24"/>
                <w:szCs w:val="24"/>
              </w:rPr>
            </w:pPr>
          </w:p>
        </w:tc>
        <w:tc>
          <w:tcPr>
            <w:tcW w:w="1000" w:type="dxa"/>
            <w:vAlign w:val="center"/>
          </w:tcPr>
          <w:p w14:paraId="5EA77D95">
            <w:pPr>
              <w:jc w:val="center"/>
              <w:rPr>
                <w:rFonts w:hint="eastAsia" w:asciiTheme="minorEastAsia" w:hAnsiTheme="minorEastAsia" w:eastAsiaTheme="minorEastAsia" w:cstheme="minorEastAsia"/>
                <w:color w:val="auto"/>
                <w:sz w:val="24"/>
                <w:szCs w:val="24"/>
                <w:lang w:val="en-US" w:eastAsia="zh-CN"/>
              </w:rPr>
            </w:pPr>
          </w:p>
        </w:tc>
      </w:tr>
      <w:tr w14:paraId="539F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08E8B3E5">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2B2AFC80">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303A4FB5">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1F3B9F48">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D5242CE">
            <w:pPr>
              <w:jc w:val="both"/>
              <w:rPr>
                <w:rFonts w:hint="eastAsia" w:asciiTheme="minorEastAsia" w:hAnsiTheme="minorEastAsia" w:eastAsiaTheme="minorEastAsia" w:cstheme="minorEastAsia"/>
                <w:b/>
                <w:bCs/>
                <w:color w:val="auto"/>
                <w:sz w:val="24"/>
                <w:szCs w:val="24"/>
              </w:rPr>
            </w:pPr>
          </w:p>
        </w:tc>
        <w:tc>
          <w:tcPr>
            <w:tcW w:w="979" w:type="dxa"/>
            <w:vAlign w:val="center"/>
          </w:tcPr>
          <w:p w14:paraId="5623F783">
            <w:pPr>
              <w:jc w:val="both"/>
              <w:rPr>
                <w:rFonts w:hint="eastAsia" w:asciiTheme="minorEastAsia" w:hAnsiTheme="minorEastAsia" w:eastAsiaTheme="minorEastAsia" w:cstheme="minorEastAsia"/>
                <w:b/>
                <w:bCs/>
                <w:color w:val="auto"/>
                <w:sz w:val="24"/>
                <w:szCs w:val="24"/>
              </w:rPr>
            </w:pPr>
          </w:p>
        </w:tc>
        <w:tc>
          <w:tcPr>
            <w:tcW w:w="1014" w:type="dxa"/>
            <w:vAlign w:val="center"/>
          </w:tcPr>
          <w:p w14:paraId="160CC1AE">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11BACBAE">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0B6FD59">
            <w:pPr>
              <w:jc w:val="center"/>
              <w:rPr>
                <w:rFonts w:hint="eastAsia" w:asciiTheme="minorEastAsia" w:hAnsiTheme="minorEastAsia" w:eastAsiaTheme="minorEastAsia" w:cstheme="minorEastAsia"/>
                <w:b/>
                <w:bCs/>
                <w:color w:val="auto"/>
                <w:sz w:val="24"/>
                <w:szCs w:val="24"/>
              </w:rPr>
            </w:pPr>
          </w:p>
        </w:tc>
      </w:tr>
      <w:tr w14:paraId="12CC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97" w:type="dxa"/>
            <w:vAlign w:val="center"/>
          </w:tcPr>
          <w:p w14:paraId="133CB4E3">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5CC5547E">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2E82E191">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327526E0">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1943DB04">
            <w:pPr>
              <w:jc w:val="both"/>
              <w:rPr>
                <w:rFonts w:hint="eastAsia" w:asciiTheme="minorEastAsia" w:hAnsiTheme="minorEastAsia" w:eastAsiaTheme="minorEastAsia" w:cstheme="minorEastAsia"/>
                <w:b/>
                <w:bCs/>
                <w:color w:val="auto"/>
                <w:sz w:val="24"/>
                <w:szCs w:val="24"/>
              </w:rPr>
            </w:pPr>
          </w:p>
        </w:tc>
        <w:tc>
          <w:tcPr>
            <w:tcW w:w="979" w:type="dxa"/>
            <w:vAlign w:val="center"/>
          </w:tcPr>
          <w:p w14:paraId="73CB36CC">
            <w:pPr>
              <w:jc w:val="both"/>
              <w:rPr>
                <w:rFonts w:hint="eastAsia" w:asciiTheme="minorEastAsia" w:hAnsiTheme="minorEastAsia" w:eastAsiaTheme="minorEastAsia" w:cstheme="minorEastAsia"/>
                <w:b/>
                <w:bCs/>
                <w:color w:val="auto"/>
                <w:sz w:val="24"/>
                <w:szCs w:val="24"/>
              </w:rPr>
            </w:pPr>
          </w:p>
        </w:tc>
        <w:tc>
          <w:tcPr>
            <w:tcW w:w="1014" w:type="dxa"/>
            <w:vAlign w:val="center"/>
          </w:tcPr>
          <w:p w14:paraId="0D37ABE7">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6E8D0215">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11B577A2">
            <w:pPr>
              <w:jc w:val="center"/>
              <w:rPr>
                <w:rFonts w:hint="eastAsia" w:asciiTheme="minorEastAsia" w:hAnsiTheme="minorEastAsia" w:eastAsiaTheme="minorEastAsia" w:cstheme="minorEastAsia"/>
                <w:b/>
                <w:bCs/>
                <w:color w:val="auto"/>
                <w:sz w:val="24"/>
                <w:szCs w:val="24"/>
              </w:rPr>
            </w:pPr>
          </w:p>
        </w:tc>
      </w:tr>
      <w:tr w14:paraId="6591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47C5288F">
            <w:pPr>
              <w:jc w:val="both"/>
              <w:rPr>
                <w:rFonts w:hint="eastAsia" w:asciiTheme="minorEastAsia" w:hAnsiTheme="minorEastAsia" w:eastAsiaTheme="minorEastAsia" w:cstheme="minorEastAsia"/>
                <w:b/>
                <w:bCs/>
                <w:color w:val="auto"/>
                <w:sz w:val="24"/>
                <w:szCs w:val="24"/>
                <w:lang w:val="en-US" w:eastAsia="zh-CN"/>
              </w:rPr>
            </w:pPr>
          </w:p>
        </w:tc>
        <w:tc>
          <w:tcPr>
            <w:tcW w:w="1666" w:type="dxa"/>
            <w:vAlign w:val="center"/>
          </w:tcPr>
          <w:p w14:paraId="74C3AE7A">
            <w:pPr>
              <w:jc w:val="both"/>
              <w:rPr>
                <w:rFonts w:hint="eastAsia" w:asciiTheme="minorEastAsia" w:hAnsiTheme="minorEastAsia" w:eastAsiaTheme="minorEastAsia" w:cstheme="minorEastAsia"/>
                <w:b/>
                <w:bCs/>
                <w:color w:val="auto"/>
                <w:sz w:val="24"/>
                <w:szCs w:val="24"/>
                <w:lang w:val="en-US" w:eastAsia="zh-CN"/>
              </w:rPr>
            </w:pPr>
          </w:p>
        </w:tc>
        <w:tc>
          <w:tcPr>
            <w:tcW w:w="1384" w:type="dxa"/>
            <w:vAlign w:val="center"/>
          </w:tcPr>
          <w:p w14:paraId="42DB586A">
            <w:pPr>
              <w:jc w:val="center"/>
              <w:rPr>
                <w:rFonts w:hint="eastAsia" w:asciiTheme="minorEastAsia" w:hAnsiTheme="minorEastAsia" w:eastAsiaTheme="minorEastAsia" w:cstheme="minorEastAsia"/>
                <w:b/>
                <w:bCs/>
                <w:color w:val="auto"/>
                <w:sz w:val="24"/>
                <w:szCs w:val="24"/>
              </w:rPr>
            </w:pPr>
          </w:p>
        </w:tc>
        <w:tc>
          <w:tcPr>
            <w:tcW w:w="1030" w:type="dxa"/>
            <w:vAlign w:val="center"/>
          </w:tcPr>
          <w:p w14:paraId="7795BB0C">
            <w:pPr>
              <w:jc w:val="center"/>
              <w:rPr>
                <w:rFonts w:hint="eastAsia" w:asciiTheme="minorEastAsia" w:hAnsiTheme="minorEastAsia" w:eastAsiaTheme="minorEastAsia" w:cstheme="minorEastAsia"/>
                <w:b/>
                <w:bCs/>
                <w:color w:val="auto"/>
                <w:sz w:val="24"/>
                <w:szCs w:val="24"/>
              </w:rPr>
            </w:pPr>
          </w:p>
        </w:tc>
        <w:tc>
          <w:tcPr>
            <w:tcW w:w="909" w:type="dxa"/>
            <w:vAlign w:val="center"/>
          </w:tcPr>
          <w:p w14:paraId="065BDAA3">
            <w:pPr>
              <w:jc w:val="both"/>
              <w:rPr>
                <w:rFonts w:hint="eastAsia" w:asciiTheme="minorEastAsia" w:hAnsiTheme="minorEastAsia" w:eastAsiaTheme="minorEastAsia" w:cstheme="minorEastAsia"/>
                <w:b/>
                <w:bCs/>
                <w:color w:val="auto"/>
                <w:sz w:val="24"/>
                <w:szCs w:val="24"/>
              </w:rPr>
            </w:pPr>
          </w:p>
        </w:tc>
        <w:tc>
          <w:tcPr>
            <w:tcW w:w="979" w:type="dxa"/>
            <w:vAlign w:val="center"/>
          </w:tcPr>
          <w:p w14:paraId="0ACD90D4">
            <w:pPr>
              <w:jc w:val="both"/>
              <w:rPr>
                <w:rFonts w:hint="eastAsia" w:asciiTheme="minorEastAsia" w:hAnsiTheme="minorEastAsia" w:eastAsiaTheme="minorEastAsia" w:cstheme="minorEastAsia"/>
                <w:b/>
                <w:bCs/>
                <w:color w:val="auto"/>
                <w:sz w:val="24"/>
                <w:szCs w:val="24"/>
              </w:rPr>
            </w:pPr>
          </w:p>
        </w:tc>
        <w:tc>
          <w:tcPr>
            <w:tcW w:w="1014" w:type="dxa"/>
            <w:vAlign w:val="center"/>
          </w:tcPr>
          <w:p w14:paraId="626B7236">
            <w:pPr>
              <w:jc w:val="center"/>
              <w:rPr>
                <w:rFonts w:hint="eastAsia" w:asciiTheme="minorEastAsia" w:hAnsiTheme="minorEastAsia" w:eastAsiaTheme="minorEastAsia" w:cstheme="minorEastAsia"/>
                <w:b/>
                <w:bCs/>
                <w:color w:val="auto"/>
                <w:sz w:val="24"/>
                <w:szCs w:val="24"/>
              </w:rPr>
            </w:pPr>
          </w:p>
        </w:tc>
        <w:tc>
          <w:tcPr>
            <w:tcW w:w="997" w:type="dxa"/>
            <w:vAlign w:val="center"/>
          </w:tcPr>
          <w:p w14:paraId="43C29BC1">
            <w:pPr>
              <w:jc w:val="center"/>
              <w:rPr>
                <w:rFonts w:hint="eastAsia" w:asciiTheme="minorEastAsia" w:hAnsiTheme="minorEastAsia" w:eastAsiaTheme="minorEastAsia" w:cstheme="minorEastAsia"/>
                <w:b/>
                <w:bCs/>
                <w:color w:val="auto"/>
                <w:sz w:val="24"/>
                <w:szCs w:val="24"/>
              </w:rPr>
            </w:pPr>
          </w:p>
        </w:tc>
        <w:tc>
          <w:tcPr>
            <w:tcW w:w="1000" w:type="dxa"/>
            <w:vAlign w:val="center"/>
          </w:tcPr>
          <w:p w14:paraId="352C8015">
            <w:pPr>
              <w:jc w:val="center"/>
              <w:rPr>
                <w:rFonts w:hint="eastAsia" w:asciiTheme="minorEastAsia" w:hAnsiTheme="minorEastAsia" w:eastAsiaTheme="minorEastAsia" w:cstheme="minorEastAsia"/>
                <w:b/>
                <w:bCs/>
                <w:color w:val="auto"/>
                <w:sz w:val="24"/>
                <w:szCs w:val="24"/>
              </w:rPr>
            </w:pPr>
          </w:p>
        </w:tc>
      </w:tr>
      <w:tr w14:paraId="4EA57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97" w:type="dxa"/>
            <w:vAlign w:val="center"/>
          </w:tcPr>
          <w:p w14:paraId="17EDE27F">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531B2727">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F8E76DD">
            <w:pPr>
              <w:jc w:val="center"/>
              <w:rPr>
                <w:rFonts w:hint="eastAsia" w:asciiTheme="minorEastAsia" w:hAnsiTheme="minorEastAsia" w:eastAsiaTheme="minorEastAsia" w:cstheme="minorEastAsia"/>
                <w:color w:val="auto"/>
                <w:sz w:val="24"/>
                <w:szCs w:val="24"/>
              </w:rPr>
            </w:pPr>
          </w:p>
        </w:tc>
        <w:tc>
          <w:tcPr>
            <w:tcW w:w="1030" w:type="dxa"/>
            <w:vAlign w:val="center"/>
          </w:tcPr>
          <w:p w14:paraId="5A76E4DB">
            <w:pPr>
              <w:jc w:val="center"/>
              <w:rPr>
                <w:rFonts w:hint="eastAsia" w:asciiTheme="minorEastAsia" w:hAnsiTheme="minorEastAsia" w:eastAsiaTheme="minorEastAsia" w:cstheme="minorEastAsia"/>
                <w:color w:val="auto"/>
                <w:sz w:val="24"/>
                <w:szCs w:val="24"/>
              </w:rPr>
            </w:pPr>
          </w:p>
        </w:tc>
        <w:tc>
          <w:tcPr>
            <w:tcW w:w="909" w:type="dxa"/>
            <w:vAlign w:val="center"/>
          </w:tcPr>
          <w:p w14:paraId="2E44C498">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CBD44F4">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3E0E415A">
            <w:pPr>
              <w:jc w:val="center"/>
              <w:rPr>
                <w:rFonts w:hint="eastAsia" w:asciiTheme="minorEastAsia" w:hAnsiTheme="minorEastAsia" w:eastAsiaTheme="minorEastAsia" w:cstheme="minorEastAsia"/>
                <w:color w:val="auto"/>
                <w:sz w:val="24"/>
                <w:szCs w:val="24"/>
              </w:rPr>
            </w:pPr>
          </w:p>
        </w:tc>
        <w:tc>
          <w:tcPr>
            <w:tcW w:w="997" w:type="dxa"/>
            <w:vAlign w:val="center"/>
          </w:tcPr>
          <w:p w14:paraId="591B06F9">
            <w:pPr>
              <w:jc w:val="center"/>
              <w:rPr>
                <w:rFonts w:hint="eastAsia" w:asciiTheme="minorEastAsia" w:hAnsiTheme="minorEastAsia" w:eastAsiaTheme="minorEastAsia" w:cstheme="minorEastAsia"/>
                <w:color w:val="auto"/>
                <w:sz w:val="24"/>
                <w:szCs w:val="24"/>
              </w:rPr>
            </w:pPr>
          </w:p>
        </w:tc>
        <w:tc>
          <w:tcPr>
            <w:tcW w:w="1000" w:type="dxa"/>
            <w:vAlign w:val="center"/>
          </w:tcPr>
          <w:p w14:paraId="3A25E247">
            <w:pPr>
              <w:jc w:val="center"/>
              <w:rPr>
                <w:rFonts w:hint="eastAsia" w:asciiTheme="minorEastAsia" w:hAnsiTheme="minorEastAsia" w:eastAsiaTheme="minorEastAsia" w:cstheme="minorEastAsia"/>
                <w:color w:val="auto"/>
                <w:sz w:val="24"/>
                <w:szCs w:val="24"/>
              </w:rPr>
            </w:pPr>
          </w:p>
        </w:tc>
      </w:tr>
      <w:tr w14:paraId="73DE0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597" w:type="dxa"/>
            <w:vAlign w:val="center"/>
          </w:tcPr>
          <w:p w14:paraId="65DD01BB">
            <w:pPr>
              <w:jc w:val="both"/>
              <w:rPr>
                <w:rFonts w:hint="eastAsia" w:asciiTheme="minorEastAsia" w:hAnsiTheme="minorEastAsia" w:eastAsiaTheme="minorEastAsia" w:cstheme="minorEastAsia"/>
                <w:color w:val="auto"/>
                <w:sz w:val="24"/>
                <w:szCs w:val="24"/>
                <w:lang w:val="en-US" w:eastAsia="zh-CN"/>
              </w:rPr>
            </w:pPr>
          </w:p>
        </w:tc>
        <w:tc>
          <w:tcPr>
            <w:tcW w:w="1666" w:type="dxa"/>
            <w:vAlign w:val="center"/>
          </w:tcPr>
          <w:p w14:paraId="37BFBE4D">
            <w:pPr>
              <w:jc w:val="both"/>
              <w:rPr>
                <w:rFonts w:hint="eastAsia" w:asciiTheme="minorEastAsia" w:hAnsiTheme="minorEastAsia" w:eastAsiaTheme="minorEastAsia" w:cstheme="minorEastAsia"/>
                <w:color w:val="auto"/>
                <w:sz w:val="24"/>
                <w:szCs w:val="24"/>
                <w:lang w:val="en-US" w:eastAsia="zh-CN"/>
              </w:rPr>
            </w:pPr>
          </w:p>
        </w:tc>
        <w:tc>
          <w:tcPr>
            <w:tcW w:w="1384" w:type="dxa"/>
            <w:vAlign w:val="center"/>
          </w:tcPr>
          <w:p w14:paraId="779D45AF">
            <w:pPr>
              <w:jc w:val="center"/>
              <w:rPr>
                <w:rFonts w:hint="eastAsia" w:asciiTheme="minorEastAsia" w:hAnsiTheme="minorEastAsia" w:eastAsiaTheme="minorEastAsia" w:cstheme="minorEastAsia"/>
                <w:color w:val="auto"/>
                <w:sz w:val="24"/>
                <w:szCs w:val="24"/>
              </w:rPr>
            </w:pPr>
          </w:p>
        </w:tc>
        <w:tc>
          <w:tcPr>
            <w:tcW w:w="1030" w:type="dxa"/>
            <w:vAlign w:val="center"/>
          </w:tcPr>
          <w:p w14:paraId="24E2D79A">
            <w:pPr>
              <w:jc w:val="center"/>
              <w:rPr>
                <w:rFonts w:hint="eastAsia" w:asciiTheme="minorEastAsia" w:hAnsiTheme="minorEastAsia" w:eastAsiaTheme="minorEastAsia" w:cstheme="minorEastAsia"/>
                <w:color w:val="auto"/>
                <w:sz w:val="24"/>
                <w:szCs w:val="24"/>
              </w:rPr>
            </w:pPr>
          </w:p>
        </w:tc>
        <w:tc>
          <w:tcPr>
            <w:tcW w:w="909" w:type="dxa"/>
            <w:vAlign w:val="center"/>
          </w:tcPr>
          <w:p w14:paraId="7C2EF199">
            <w:pPr>
              <w:jc w:val="both"/>
              <w:rPr>
                <w:rFonts w:hint="eastAsia" w:asciiTheme="minorEastAsia" w:hAnsiTheme="minorEastAsia" w:eastAsiaTheme="minorEastAsia" w:cstheme="minorEastAsia"/>
                <w:color w:val="auto"/>
                <w:sz w:val="24"/>
                <w:szCs w:val="24"/>
                <w:lang w:val="en-US" w:eastAsia="zh-CN"/>
              </w:rPr>
            </w:pPr>
          </w:p>
        </w:tc>
        <w:tc>
          <w:tcPr>
            <w:tcW w:w="979" w:type="dxa"/>
            <w:vAlign w:val="center"/>
          </w:tcPr>
          <w:p w14:paraId="2A3616AD">
            <w:pPr>
              <w:jc w:val="both"/>
              <w:rPr>
                <w:rFonts w:hint="eastAsia" w:asciiTheme="minorEastAsia" w:hAnsiTheme="minorEastAsia" w:eastAsiaTheme="minorEastAsia" w:cstheme="minorEastAsia"/>
                <w:color w:val="auto"/>
                <w:sz w:val="24"/>
                <w:szCs w:val="24"/>
                <w:lang w:val="en-US" w:eastAsia="zh-CN"/>
              </w:rPr>
            </w:pPr>
          </w:p>
        </w:tc>
        <w:tc>
          <w:tcPr>
            <w:tcW w:w="1014" w:type="dxa"/>
            <w:vAlign w:val="center"/>
          </w:tcPr>
          <w:p w14:paraId="567A549A">
            <w:pPr>
              <w:jc w:val="center"/>
              <w:rPr>
                <w:rFonts w:hint="eastAsia" w:asciiTheme="minorEastAsia" w:hAnsiTheme="minorEastAsia" w:eastAsiaTheme="minorEastAsia" w:cstheme="minorEastAsia"/>
                <w:color w:val="auto"/>
                <w:sz w:val="24"/>
                <w:szCs w:val="24"/>
              </w:rPr>
            </w:pPr>
          </w:p>
        </w:tc>
        <w:tc>
          <w:tcPr>
            <w:tcW w:w="997" w:type="dxa"/>
            <w:vAlign w:val="center"/>
          </w:tcPr>
          <w:p w14:paraId="369945B9">
            <w:pPr>
              <w:jc w:val="center"/>
              <w:rPr>
                <w:rFonts w:hint="eastAsia" w:asciiTheme="minorEastAsia" w:hAnsiTheme="minorEastAsia" w:eastAsiaTheme="minorEastAsia" w:cstheme="minorEastAsia"/>
                <w:color w:val="auto"/>
                <w:sz w:val="24"/>
                <w:szCs w:val="24"/>
              </w:rPr>
            </w:pPr>
          </w:p>
        </w:tc>
        <w:tc>
          <w:tcPr>
            <w:tcW w:w="1000" w:type="dxa"/>
            <w:vAlign w:val="center"/>
          </w:tcPr>
          <w:p w14:paraId="478ABFA9">
            <w:pPr>
              <w:jc w:val="center"/>
              <w:rPr>
                <w:rFonts w:hint="eastAsia" w:asciiTheme="minorEastAsia" w:hAnsiTheme="minorEastAsia" w:eastAsiaTheme="minorEastAsia" w:cstheme="minorEastAsia"/>
                <w:color w:val="auto"/>
                <w:sz w:val="24"/>
                <w:szCs w:val="24"/>
              </w:rPr>
            </w:pPr>
          </w:p>
        </w:tc>
      </w:tr>
      <w:tr w14:paraId="41A07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9576" w:type="dxa"/>
            <w:gridSpan w:val="9"/>
            <w:vAlign w:val="center"/>
          </w:tcPr>
          <w:p w14:paraId="7678E0E6">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总价小写：</w:t>
            </w:r>
          </w:p>
          <w:p w14:paraId="117FFF81">
            <w:pPr>
              <w:spacing w:before="1"/>
              <w:jc w:val="both"/>
              <w:rPr>
                <w:rFonts w:hint="eastAsia" w:asciiTheme="minorEastAsia" w:hAnsiTheme="minorEastAsia" w:eastAsiaTheme="minorEastAsia" w:cstheme="minorEastAsia"/>
                <w:color w:val="auto"/>
                <w:sz w:val="24"/>
                <w:szCs w:val="24"/>
              </w:rPr>
            </w:pPr>
          </w:p>
          <w:p w14:paraId="274C58F5">
            <w:pPr>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总价大写：</w:t>
            </w:r>
          </w:p>
        </w:tc>
      </w:tr>
    </w:tbl>
    <w:p w14:paraId="3D810573">
      <w:pPr>
        <w:rPr>
          <w:rFonts w:hint="eastAsia" w:ascii="宋体" w:hAnsi="宋体"/>
          <w:color w:val="000000"/>
          <w:sz w:val="24"/>
          <w:szCs w:val="24"/>
          <w:lang w:val="zh-CN"/>
        </w:rPr>
      </w:pPr>
    </w:p>
    <w:p w14:paraId="0192958C">
      <w:pPr>
        <w:rPr>
          <w:rFonts w:hint="eastAsia" w:ascii="宋体" w:hAnsi="宋体"/>
          <w:color w:val="000000"/>
          <w:sz w:val="21"/>
          <w:szCs w:val="21"/>
          <w:lang w:val="zh-CN"/>
        </w:rPr>
      </w:pPr>
      <w:r>
        <w:rPr>
          <w:rFonts w:hint="eastAsia" w:ascii="宋体" w:hAnsi="宋体"/>
          <w:color w:val="000000"/>
          <w:sz w:val="21"/>
          <w:szCs w:val="21"/>
          <w:lang w:val="zh-CN"/>
        </w:rPr>
        <w:t>供应商报价应包含采购清单所有内容且包含税金、运费、安装调试等相关伴随服务以及售后服务等一切费用。</w:t>
      </w:r>
    </w:p>
    <w:p w14:paraId="005057B7">
      <w:pPr>
        <w:ind w:right="480" w:firstLine="5040" w:firstLineChars="2100"/>
        <w:rPr>
          <w:rFonts w:hint="eastAsia"/>
          <w:sz w:val="24"/>
          <w:szCs w:val="24"/>
        </w:rPr>
      </w:pPr>
    </w:p>
    <w:p w14:paraId="70CB4433">
      <w:pPr>
        <w:ind w:right="480" w:firstLine="5040" w:firstLineChars="2100"/>
        <w:rPr>
          <w:rFonts w:hint="default" w:eastAsia="宋体"/>
          <w:sz w:val="24"/>
          <w:szCs w:val="24"/>
          <w:lang w:val="en-US" w:eastAsia="zh-CN"/>
        </w:rPr>
      </w:pPr>
      <w:r>
        <w:rPr>
          <w:rFonts w:hint="eastAsia"/>
          <w:sz w:val="24"/>
          <w:szCs w:val="24"/>
        </w:rPr>
        <w:t xml:space="preserve">供应商（单位电子签章）： </w:t>
      </w:r>
      <w:r>
        <w:rPr>
          <w:rFonts w:hint="eastAsia"/>
          <w:sz w:val="24"/>
          <w:szCs w:val="24"/>
          <w:lang w:val="en-US" w:eastAsia="zh-CN"/>
        </w:rPr>
        <w:t xml:space="preserve">  </w:t>
      </w:r>
    </w:p>
    <w:p w14:paraId="4F60A129">
      <w:pPr>
        <w:jc w:val="both"/>
        <w:rPr>
          <w:rFonts w:hint="eastAsia"/>
          <w:sz w:val="24"/>
          <w:szCs w:val="24"/>
        </w:rPr>
      </w:pPr>
    </w:p>
    <w:p w14:paraId="45C0F24D">
      <w:pPr>
        <w:adjustRightInd w:val="0"/>
        <w:snapToGrid w:val="0"/>
        <w:spacing w:line="360" w:lineRule="auto"/>
        <w:jc w:val="right"/>
        <w:rPr>
          <w:rFonts w:hint="eastAsia"/>
          <w:sz w:val="24"/>
          <w:szCs w:val="24"/>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或其委托代理人（电子签名或盖章）：</w:t>
      </w:r>
      <w:r>
        <w:rPr>
          <w:rFonts w:ascii="宋体" w:hAnsi="宋体"/>
          <w:sz w:val="24"/>
          <w:szCs w:val="24"/>
        </w:rPr>
        <w:t xml:space="preserve"> </w:t>
      </w:r>
      <w:r>
        <w:rPr>
          <w:rFonts w:hint="eastAsia"/>
          <w:sz w:val="24"/>
          <w:szCs w:val="24"/>
        </w:rPr>
        <w:t xml:space="preserve">               </w:t>
      </w:r>
    </w:p>
    <w:p w14:paraId="4C712483">
      <w:pPr>
        <w:jc w:val="right"/>
        <w:rPr>
          <w:rFonts w:hint="eastAsia"/>
          <w:sz w:val="24"/>
          <w:szCs w:val="24"/>
        </w:rPr>
      </w:pPr>
    </w:p>
    <w:p w14:paraId="71F29DD9">
      <w:pPr>
        <w:ind w:right="360" w:firstLine="720" w:firstLineChars="300"/>
        <w:jc w:val="right"/>
        <w:rPr>
          <w:rFonts w:hint="eastAsia"/>
          <w:sz w:val="24"/>
          <w:szCs w:val="24"/>
        </w:rPr>
      </w:pPr>
      <w:r>
        <w:rPr>
          <w:rFonts w:hint="eastAsia"/>
          <w:sz w:val="24"/>
          <w:szCs w:val="24"/>
        </w:rPr>
        <w:t>年      月      日</w:t>
      </w:r>
    </w:p>
    <w:p w14:paraId="74C6B22A">
      <w:pPr>
        <w:rPr>
          <w:rFonts w:hint="eastAsia"/>
          <w:sz w:val="24"/>
          <w:szCs w:val="24"/>
        </w:rPr>
      </w:pPr>
    </w:p>
    <w:p w14:paraId="1EA325BB">
      <w:pPr>
        <w:bidi w:val="0"/>
        <w:rPr>
          <w:rFonts w:hint="eastAsia"/>
        </w:rPr>
      </w:pPr>
    </w:p>
    <w:p w14:paraId="33943593">
      <w:pPr>
        <w:pStyle w:val="3"/>
        <w:bidi w:val="0"/>
        <w:jc w:val="center"/>
        <w:rPr>
          <w:rFonts w:hint="eastAsia" w:ascii="宋体" w:hAnsi="宋体" w:eastAsia="宋体" w:cs="宋体"/>
          <w:lang w:val="en-US" w:eastAsia="zh-CN"/>
        </w:rPr>
      </w:pPr>
      <w:r>
        <w:rPr>
          <w:rFonts w:hint="eastAsia" w:ascii="宋体" w:hAnsi="宋体" w:eastAsia="宋体" w:cs="宋体"/>
          <w:lang w:val="en-US" w:eastAsia="zh-CN"/>
        </w:rPr>
        <w:t>三</w:t>
      </w:r>
      <w:r>
        <w:rPr>
          <w:rFonts w:hint="eastAsia" w:ascii="宋体" w:hAnsi="宋体" w:eastAsia="宋体" w:cs="宋体"/>
        </w:rPr>
        <w:t>、</w:t>
      </w:r>
      <w:bookmarkEnd w:id="951"/>
      <w:bookmarkEnd w:id="952"/>
      <w:bookmarkEnd w:id="953"/>
      <w:bookmarkEnd w:id="954"/>
      <w:r>
        <w:rPr>
          <w:rFonts w:hint="eastAsia" w:ascii="宋体" w:hAnsi="宋体" w:eastAsia="宋体" w:cs="宋体"/>
        </w:rPr>
        <w:t>法定代表人（单位负责人）身份证明</w:t>
      </w:r>
      <w:bookmarkEnd w:id="955"/>
    </w:p>
    <w:p w14:paraId="76AC9607">
      <w:pPr>
        <w:wordWrap w:val="0"/>
        <w:spacing w:line="440" w:lineRule="exact"/>
        <w:ind w:firstLine="420"/>
        <w:jc w:val="center"/>
        <w:rPr>
          <w:rFonts w:ascii="宋体" w:hAnsi="宋体" w:cs="宋体"/>
          <w:szCs w:val="21"/>
        </w:rPr>
      </w:pPr>
    </w:p>
    <w:p w14:paraId="6B658BCA">
      <w:pPr>
        <w:wordWrap w:val="0"/>
        <w:spacing w:line="42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69AF24B5">
      <w:pPr>
        <w:wordWrap w:val="0"/>
        <w:spacing w:line="420" w:lineRule="exact"/>
        <w:ind w:firstLine="480"/>
        <w:rPr>
          <w:rFonts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2949A74C">
      <w:pPr>
        <w:wordWrap w:val="0"/>
        <w:spacing w:line="420" w:lineRule="exact"/>
        <w:ind w:firstLine="48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0B5B1362">
      <w:pPr>
        <w:wordWrap w:val="0"/>
        <w:spacing w:line="420" w:lineRule="exact"/>
        <w:ind w:firstLine="48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 月</w:t>
      </w:r>
      <w:r>
        <w:rPr>
          <w:rFonts w:hint="eastAsia" w:ascii="宋体" w:hAnsi="宋体" w:cs="宋体"/>
          <w:sz w:val="24"/>
          <w:szCs w:val="24"/>
          <w:u w:val="single"/>
        </w:rPr>
        <w:t xml:space="preserve">       </w:t>
      </w:r>
      <w:r>
        <w:rPr>
          <w:rFonts w:hint="eastAsia" w:ascii="宋体" w:hAnsi="宋体" w:cs="宋体"/>
          <w:sz w:val="24"/>
          <w:szCs w:val="24"/>
        </w:rPr>
        <w:t xml:space="preserve"> 日</w:t>
      </w:r>
    </w:p>
    <w:p w14:paraId="6168AE90">
      <w:pPr>
        <w:wordWrap w:val="0"/>
        <w:spacing w:line="420" w:lineRule="exact"/>
        <w:ind w:firstLine="48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0FDD8DE5">
      <w:pPr>
        <w:wordWrap w:val="0"/>
        <w:spacing w:line="420" w:lineRule="exact"/>
        <w:ind w:firstLine="48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5CC52752">
      <w:pPr>
        <w:wordWrap w:val="0"/>
        <w:spacing w:line="420" w:lineRule="exact"/>
        <w:ind w:firstLine="48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 xml:space="preserve"> （供应商名称）的法定代表人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p>
    <w:p w14:paraId="361AFFBF">
      <w:pPr>
        <w:wordWrap w:val="0"/>
        <w:spacing w:line="420" w:lineRule="exact"/>
        <w:ind w:firstLine="480"/>
        <w:rPr>
          <w:rFonts w:ascii="宋体" w:hAnsi="宋体" w:cs="宋体"/>
          <w:sz w:val="24"/>
          <w:szCs w:val="24"/>
        </w:rPr>
      </w:pPr>
      <w:r>
        <w:rPr>
          <w:rFonts w:hint="eastAsia" w:ascii="宋体" w:hAnsi="宋体" w:cs="宋体"/>
          <w:sz w:val="24"/>
          <w:szCs w:val="24"/>
        </w:rPr>
        <w:t>特此证明。</w:t>
      </w:r>
    </w:p>
    <w:p w14:paraId="0874998B">
      <w:pPr>
        <w:wordWrap w:val="0"/>
        <w:spacing w:line="420" w:lineRule="exact"/>
        <w:ind w:firstLine="480"/>
        <w:rPr>
          <w:rFonts w:ascii="宋体" w:hAnsi="宋体" w:cs="宋体"/>
          <w:sz w:val="24"/>
          <w:szCs w:val="24"/>
        </w:rPr>
      </w:pPr>
    </w:p>
    <w:p w14:paraId="15097074">
      <w:pPr>
        <w:wordWrap w:val="0"/>
        <w:spacing w:line="420" w:lineRule="exact"/>
        <w:ind w:firstLine="480"/>
        <w:rPr>
          <w:rFonts w:ascii="宋体" w:hAnsi="宋体" w:cs="宋体"/>
          <w:sz w:val="24"/>
          <w:szCs w:val="24"/>
        </w:rPr>
      </w:pPr>
    </w:p>
    <w:p w14:paraId="4AA3815E">
      <w:pPr>
        <w:wordWrap w:val="0"/>
        <w:spacing w:line="420" w:lineRule="exact"/>
        <w:ind w:firstLine="480"/>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12D2BB59">
      <w:pPr>
        <w:wordWrap w:val="0"/>
        <w:spacing w:line="420" w:lineRule="exact"/>
        <w:ind w:firstLine="480"/>
        <w:jc w:val="righ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1A8FA86D">
      <w:pPr>
        <w:wordWrap w:val="0"/>
        <w:spacing w:line="440" w:lineRule="exact"/>
        <w:rPr>
          <w:rFonts w:ascii="宋体" w:hAnsi="宋体" w:cs="宋体"/>
          <w:sz w:val="24"/>
          <w:szCs w:val="24"/>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5A5F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9638" w:type="dxa"/>
            <w:vAlign w:val="center"/>
          </w:tcPr>
          <w:p w14:paraId="6AEBB4D1">
            <w:pPr>
              <w:wordWrap w:val="0"/>
              <w:spacing w:line="440" w:lineRule="exact"/>
              <w:jc w:val="center"/>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身份证扫描件</w:t>
            </w:r>
          </w:p>
          <w:p w14:paraId="0936DF8C">
            <w:pPr>
              <w:wordWrap w:val="0"/>
              <w:spacing w:line="440" w:lineRule="exact"/>
              <w:jc w:val="center"/>
              <w:rPr>
                <w:rFonts w:ascii="宋体" w:hAnsi="宋体" w:cs="宋体"/>
                <w:sz w:val="24"/>
                <w:szCs w:val="24"/>
              </w:rPr>
            </w:pPr>
          </w:p>
        </w:tc>
      </w:tr>
    </w:tbl>
    <w:p w14:paraId="7364F360">
      <w:pPr>
        <w:wordWrap w:val="0"/>
        <w:ind w:firstLine="420"/>
        <w:rPr>
          <w:rFonts w:ascii="宋体" w:hAnsi="宋体" w:cs="宋体"/>
        </w:rPr>
      </w:pPr>
      <w:r>
        <w:rPr>
          <w:rFonts w:hint="eastAsia" w:ascii="宋体" w:hAnsi="宋体" w:cs="宋体"/>
        </w:rPr>
        <w:br w:type="page"/>
      </w:r>
    </w:p>
    <w:p w14:paraId="0BFC4453">
      <w:pPr>
        <w:bidi w:val="0"/>
        <w:jc w:val="center"/>
        <w:rPr>
          <w:rFonts w:hint="eastAsia"/>
          <w:sz w:val="36"/>
          <w:szCs w:val="44"/>
        </w:rPr>
      </w:pPr>
      <w:bookmarkStart w:id="956" w:name="_Toc10913"/>
      <w:r>
        <w:rPr>
          <w:rFonts w:hint="eastAsia"/>
          <w:sz w:val="36"/>
          <w:szCs w:val="44"/>
        </w:rPr>
        <w:t>授权委托书</w:t>
      </w:r>
      <w:bookmarkEnd w:id="956"/>
    </w:p>
    <w:p w14:paraId="61800195">
      <w:pPr>
        <w:bidi w:val="0"/>
        <w:jc w:val="center"/>
        <w:rPr>
          <w:rFonts w:hint="eastAsia"/>
          <w:sz w:val="36"/>
          <w:szCs w:val="44"/>
        </w:rPr>
      </w:pPr>
    </w:p>
    <w:p w14:paraId="70DA0E03">
      <w:pPr>
        <w:wordWrap w:val="0"/>
        <w:topLinePunct/>
        <w:spacing w:line="420" w:lineRule="exact"/>
        <w:ind w:firstLine="48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（供应商名称）的法定代表人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，现委托</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项目</w:t>
      </w:r>
      <w:r>
        <w:rPr>
          <w:rFonts w:hint="eastAsia" w:ascii="宋体" w:hAnsi="宋体" w:cs="宋体"/>
          <w:sz w:val="24"/>
          <w:szCs w:val="24"/>
          <w:lang w:eastAsia="zh-CN"/>
        </w:rPr>
        <w:t>名称</w:t>
      </w:r>
      <w:r>
        <w:rPr>
          <w:rFonts w:hint="eastAsia" w:ascii="宋体" w:hAnsi="宋体" w:cs="宋体"/>
          <w:sz w:val="24"/>
          <w:szCs w:val="24"/>
        </w:rPr>
        <w:t>）响应文件、签订合同和处理有关事宜，其法律后果由我方承担。</w:t>
      </w:r>
    </w:p>
    <w:p w14:paraId="2E31B190">
      <w:pPr>
        <w:wordWrap w:val="0"/>
        <w:spacing w:line="420" w:lineRule="exact"/>
        <w:ind w:firstLine="48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w:t>
      </w:r>
      <w:r>
        <w:rPr>
          <w:rFonts w:hint="eastAsia" w:ascii="宋体" w:hAnsi="宋体" w:cs="宋体"/>
          <w:sz w:val="24"/>
          <w:szCs w:val="24"/>
        </w:rPr>
        <w:t>。</w:t>
      </w:r>
    </w:p>
    <w:p w14:paraId="2E25C0D2">
      <w:pPr>
        <w:wordWrap w:val="0"/>
        <w:spacing w:line="420" w:lineRule="exact"/>
        <w:ind w:firstLine="480"/>
        <w:rPr>
          <w:rFonts w:ascii="宋体" w:hAnsi="宋体" w:cs="宋体"/>
          <w:sz w:val="24"/>
          <w:szCs w:val="24"/>
        </w:rPr>
      </w:pPr>
      <w:r>
        <w:rPr>
          <w:rFonts w:hint="eastAsia" w:ascii="宋体" w:hAnsi="宋体" w:cs="宋体"/>
          <w:sz w:val="24"/>
          <w:szCs w:val="24"/>
        </w:rPr>
        <w:t>代理人无转委托权。</w:t>
      </w:r>
    </w:p>
    <w:p w14:paraId="49A01EC2">
      <w:pPr>
        <w:wordWrap w:val="0"/>
        <w:spacing w:line="420" w:lineRule="exact"/>
        <w:ind w:firstLine="480"/>
        <w:rPr>
          <w:rFonts w:ascii="宋体" w:hAnsi="宋体" w:cs="宋体"/>
          <w:sz w:val="24"/>
          <w:szCs w:val="24"/>
        </w:rPr>
      </w:pPr>
    </w:p>
    <w:p w14:paraId="307C3AAC">
      <w:pPr>
        <w:wordWrap w:val="0"/>
        <w:spacing w:line="420" w:lineRule="exact"/>
        <w:rPr>
          <w:rFonts w:ascii="宋体" w:hAnsi="宋体" w:cs="宋体"/>
          <w:sz w:val="24"/>
          <w:szCs w:val="24"/>
        </w:rPr>
      </w:pPr>
    </w:p>
    <w:p w14:paraId="5FD66973">
      <w:pPr>
        <w:wordWrap w:val="0"/>
        <w:spacing w:line="42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（单位电子签章）</w:t>
      </w:r>
    </w:p>
    <w:p w14:paraId="6963774E">
      <w:pPr>
        <w:wordWrap w:val="0"/>
        <w:spacing w:line="420" w:lineRule="exact"/>
        <w:ind w:firstLine="48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eastAsia="zh-CN"/>
        </w:rPr>
        <w:t>（</w:t>
      </w:r>
      <w:r>
        <w:rPr>
          <w:rFonts w:hint="eastAsia" w:ascii="宋体" w:hAnsi="宋体" w:cs="宋体"/>
          <w:sz w:val="24"/>
          <w:szCs w:val="24"/>
          <w:lang w:val="en-US" w:eastAsia="zh-CN"/>
        </w:rPr>
        <w:t>负责人）</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（电子签名或盖章）</w:t>
      </w:r>
    </w:p>
    <w:p w14:paraId="3126D893">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2D7E2F23">
      <w:pPr>
        <w:wordWrap w:val="0"/>
        <w:spacing w:line="420" w:lineRule="exact"/>
        <w:ind w:firstLine="48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78CC457A">
      <w:pPr>
        <w:wordWrap w:val="0"/>
        <w:spacing w:line="420" w:lineRule="exact"/>
        <w:ind w:firstLine="48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14:paraId="39F5C8AD">
      <w:pPr>
        <w:wordWrap w:val="0"/>
        <w:spacing w:line="420" w:lineRule="exact"/>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1A29004">
      <w:pPr>
        <w:pStyle w:val="23"/>
        <w:wordWrap w:val="0"/>
        <w:rPr>
          <w:rFonts w:ascii="宋体" w:hAnsi="宋体" w:cs="宋体"/>
          <w:sz w:val="24"/>
          <w:szCs w:val="24"/>
        </w:rPr>
      </w:pP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14:paraId="10E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5" w:hRule="atLeast"/>
          <w:jc w:val="center"/>
        </w:trPr>
        <w:tc>
          <w:tcPr>
            <w:tcW w:w="9638" w:type="dxa"/>
            <w:vAlign w:val="center"/>
          </w:tcPr>
          <w:p w14:paraId="45B01868">
            <w:pPr>
              <w:wordWrap w:val="0"/>
              <w:spacing w:line="440" w:lineRule="exact"/>
              <w:jc w:val="center"/>
              <w:rPr>
                <w:rFonts w:ascii="宋体" w:hAnsi="宋体" w:cs="宋体"/>
                <w:sz w:val="24"/>
                <w:szCs w:val="24"/>
              </w:rPr>
            </w:pPr>
            <w:r>
              <w:rPr>
                <w:rFonts w:hint="eastAsia" w:ascii="宋体" w:hAnsi="宋体" w:cs="宋体"/>
                <w:sz w:val="24"/>
                <w:szCs w:val="24"/>
              </w:rPr>
              <w:t>委托代理人身份证扫描件</w:t>
            </w:r>
          </w:p>
          <w:p w14:paraId="72FB8845">
            <w:pPr>
              <w:wordWrap w:val="0"/>
              <w:spacing w:line="440" w:lineRule="exact"/>
              <w:ind w:firstLine="480"/>
              <w:jc w:val="center"/>
              <w:rPr>
                <w:rFonts w:ascii="宋体" w:hAnsi="宋体" w:cs="宋体"/>
                <w:sz w:val="24"/>
                <w:szCs w:val="24"/>
              </w:rPr>
            </w:pPr>
          </w:p>
        </w:tc>
      </w:tr>
    </w:tbl>
    <w:p w14:paraId="75F38371">
      <w:pPr>
        <w:bidi w:val="0"/>
      </w:pPr>
    </w:p>
    <w:p w14:paraId="2B5D7E41">
      <w:pPr>
        <w:pStyle w:val="51"/>
        <w:wordWrap w:val="0"/>
        <w:ind w:firstLine="480"/>
        <w:rPr>
          <w:rFonts w:hint="default" w:ascii="宋体" w:hAnsi="宋体" w:cs="宋体"/>
        </w:rPr>
      </w:pPr>
      <w:r>
        <w:rPr>
          <w:rFonts w:ascii="宋体" w:hAnsi="宋体" w:cs="宋体"/>
        </w:rPr>
        <w:br w:type="page"/>
      </w:r>
    </w:p>
    <w:bookmarkEnd w:id="945"/>
    <w:bookmarkEnd w:id="946"/>
    <w:bookmarkEnd w:id="950"/>
    <w:p w14:paraId="7E8B9B2D">
      <w:pPr>
        <w:pStyle w:val="3"/>
        <w:bidi w:val="0"/>
        <w:jc w:val="center"/>
        <w:rPr>
          <w:rFonts w:hint="eastAsia" w:ascii="宋体" w:hAnsi="宋体" w:eastAsia="宋体" w:cs="宋体"/>
          <w:lang w:val="en-US" w:eastAsia="zh-CN"/>
        </w:rPr>
      </w:pPr>
      <w:bookmarkStart w:id="957" w:name="_Toc14094"/>
      <w:bookmarkStart w:id="958" w:name="_Toc29310"/>
      <w:bookmarkStart w:id="959" w:name="_Toc398716804"/>
      <w:bookmarkStart w:id="960" w:name="_Toc414956975"/>
      <w:bookmarkStart w:id="961" w:name="_Toc417567991"/>
      <w:r>
        <w:rPr>
          <w:rFonts w:hint="eastAsia" w:ascii="宋体" w:hAnsi="宋体" w:eastAsia="宋体" w:cs="宋体"/>
          <w:lang w:val="en-US" w:eastAsia="zh-CN"/>
        </w:rPr>
        <w:t>四、商务条款偏离表</w:t>
      </w:r>
      <w:bookmarkEnd w:id="957"/>
      <w:bookmarkEnd w:id="958"/>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220"/>
        <w:gridCol w:w="3220"/>
        <w:gridCol w:w="1768"/>
      </w:tblGrid>
      <w:tr w14:paraId="023A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70" w:type="dxa"/>
            <w:noWrap w:val="0"/>
            <w:vAlign w:val="center"/>
          </w:tcPr>
          <w:p w14:paraId="214BAA3E">
            <w:pPr>
              <w:spacing w:before="120"/>
              <w:rPr>
                <w:rFonts w:ascii="宋体" w:hAnsi="宋体"/>
                <w:sz w:val="24"/>
                <w:szCs w:val="24"/>
              </w:rPr>
            </w:pPr>
            <w:r>
              <w:rPr>
                <w:rFonts w:hint="eastAsia" w:ascii="宋体" w:hAnsi="宋体"/>
                <w:sz w:val="24"/>
                <w:szCs w:val="24"/>
              </w:rPr>
              <w:t>序号</w:t>
            </w:r>
          </w:p>
        </w:tc>
        <w:tc>
          <w:tcPr>
            <w:tcW w:w="3220" w:type="dxa"/>
            <w:noWrap w:val="0"/>
            <w:vAlign w:val="center"/>
          </w:tcPr>
          <w:p w14:paraId="6C88AA8B">
            <w:pPr>
              <w:spacing w:before="120"/>
              <w:jc w:val="center"/>
              <w:rPr>
                <w:rFonts w:ascii="宋体" w:hAnsi="宋体"/>
                <w:sz w:val="24"/>
                <w:szCs w:val="24"/>
              </w:rPr>
            </w:pPr>
            <w:r>
              <w:rPr>
                <w:rFonts w:hint="eastAsia" w:ascii="宋体" w:hAnsi="宋体"/>
                <w:sz w:val="24"/>
                <w:szCs w:val="24"/>
              </w:rPr>
              <w:t>招标文件的商务条款</w:t>
            </w:r>
          </w:p>
        </w:tc>
        <w:tc>
          <w:tcPr>
            <w:tcW w:w="3220" w:type="dxa"/>
            <w:noWrap w:val="0"/>
            <w:vAlign w:val="center"/>
          </w:tcPr>
          <w:p w14:paraId="2D083989">
            <w:pPr>
              <w:spacing w:before="120"/>
              <w:jc w:val="center"/>
              <w:rPr>
                <w:rFonts w:ascii="宋体" w:hAnsi="宋体"/>
                <w:sz w:val="24"/>
                <w:szCs w:val="24"/>
              </w:rPr>
            </w:pPr>
            <w:r>
              <w:rPr>
                <w:rFonts w:hint="eastAsia" w:ascii="宋体" w:hAnsi="宋体"/>
                <w:sz w:val="24"/>
                <w:szCs w:val="24"/>
              </w:rPr>
              <w:t>投标文件的商务条款</w:t>
            </w:r>
          </w:p>
        </w:tc>
        <w:tc>
          <w:tcPr>
            <w:tcW w:w="1768" w:type="dxa"/>
            <w:noWrap w:val="0"/>
            <w:vAlign w:val="center"/>
          </w:tcPr>
          <w:p w14:paraId="005ED15F">
            <w:pPr>
              <w:spacing w:before="120"/>
              <w:jc w:val="center"/>
              <w:rPr>
                <w:rFonts w:ascii="宋体" w:hAnsi="宋体"/>
                <w:sz w:val="24"/>
                <w:szCs w:val="24"/>
              </w:rPr>
            </w:pPr>
            <w:r>
              <w:rPr>
                <w:rFonts w:hint="eastAsia" w:ascii="宋体" w:hAnsi="宋体"/>
                <w:sz w:val="24"/>
                <w:szCs w:val="24"/>
              </w:rPr>
              <w:t>偏离说明</w:t>
            </w:r>
          </w:p>
        </w:tc>
      </w:tr>
      <w:tr w14:paraId="2BCF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8C2B09E">
            <w:pPr>
              <w:spacing w:before="120"/>
              <w:rPr>
                <w:rFonts w:ascii="宋体" w:hAnsi="宋体"/>
                <w:sz w:val="24"/>
                <w:szCs w:val="24"/>
              </w:rPr>
            </w:pPr>
          </w:p>
        </w:tc>
        <w:tc>
          <w:tcPr>
            <w:tcW w:w="3220" w:type="dxa"/>
            <w:noWrap w:val="0"/>
            <w:vAlign w:val="center"/>
          </w:tcPr>
          <w:p w14:paraId="62E99995">
            <w:pPr>
              <w:spacing w:before="120"/>
              <w:rPr>
                <w:rFonts w:ascii="宋体" w:hAnsi="宋体"/>
                <w:sz w:val="24"/>
                <w:szCs w:val="24"/>
              </w:rPr>
            </w:pPr>
          </w:p>
        </w:tc>
        <w:tc>
          <w:tcPr>
            <w:tcW w:w="3220" w:type="dxa"/>
            <w:noWrap w:val="0"/>
            <w:vAlign w:val="center"/>
          </w:tcPr>
          <w:p w14:paraId="6F48AEAD">
            <w:pPr>
              <w:spacing w:before="120"/>
              <w:rPr>
                <w:rFonts w:ascii="宋体" w:hAnsi="宋体"/>
                <w:sz w:val="24"/>
                <w:szCs w:val="24"/>
              </w:rPr>
            </w:pPr>
          </w:p>
        </w:tc>
        <w:tc>
          <w:tcPr>
            <w:tcW w:w="1768" w:type="dxa"/>
            <w:noWrap w:val="0"/>
            <w:vAlign w:val="center"/>
          </w:tcPr>
          <w:p w14:paraId="3EFD9006">
            <w:pPr>
              <w:spacing w:before="120"/>
              <w:rPr>
                <w:rFonts w:ascii="宋体" w:hAnsi="宋体"/>
                <w:sz w:val="24"/>
                <w:szCs w:val="24"/>
              </w:rPr>
            </w:pPr>
          </w:p>
        </w:tc>
      </w:tr>
      <w:tr w14:paraId="7F9F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8EEDF74">
            <w:pPr>
              <w:spacing w:before="120"/>
              <w:rPr>
                <w:rFonts w:ascii="宋体" w:hAnsi="宋体"/>
                <w:sz w:val="24"/>
                <w:szCs w:val="24"/>
              </w:rPr>
            </w:pPr>
          </w:p>
        </w:tc>
        <w:tc>
          <w:tcPr>
            <w:tcW w:w="3220" w:type="dxa"/>
            <w:noWrap w:val="0"/>
            <w:vAlign w:val="center"/>
          </w:tcPr>
          <w:p w14:paraId="78799D20">
            <w:pPr>
              <w:spacing w:before="120"/>
              <w:rPr>
                <w:rFonts w:ascii="宋体" w:hAnsi="宋体"/>
                <w:sz w:val="24"/>
                <w:szCs w:val="24"/>
              </w:rPr>
            </w:pPr>
          </w:p>
        </w:tc>
        <w:tc>
          <w:tcPr>
            <w:tcW w:w="3220" w:type="dxa"/>
            <w:noWrap w:val="0"/>
            <w:vAlign w:val="center"/>
          </w:tcPr>
          <w:p w14:paraId="5EFE3F87">
            <w:pPr>
              <w:spacing w:before="120"/>
              <w:rPr>
                <w:rFonts w:ascii="宋体" w:hAnsi="宋体"/>
                <w:sz w:val="24"/>
                <w:szCs w:val="24"/>
              </w:rPr>
            </w:pPr>
          </w:p>
        </w:tc>
        <w:tc>
          <w:tcPr>
            <w:tcW w:w="1768" w:type="dxa"/>
            <w:noWrap w:val="0"/>
            <w:vAlign w:val="center"/>
          </w:tcPr>
          <w:p w14:paraId="6F0B6791">
            <w:pPr>
              <w:spacing w:before="120"/>
              <w:rPr>
                <w:rFonts w:ascii="宋体" w:hAnsi="宋体"/>
                <w:sz w:val="24"/>
                <w:szCs w:val="24"/>
              </w:rPr>
            </w:pPr>
          </w:p>
        </w:tc>
      </w:tr>
      <w:tr w14:paraId="20E1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728D23EC">
            <w:pPr>
              <w:spacing w:before="120"/>
              <w:rPr>
                <w:rFonts w:ascii="宋体" w:hAnsi="宋体"/>
                <w:sz w:val="24"/>
                <w:szCs w:val="24"/>
              </w:rPr>
            </w:pPr>
          </w:p>
        </w:tc>
        <w:tc>
          <w:tcPr>
            <w:tcW w:w="3220" w:type="dxa"/>
            <w:noWrap w:val="0"/>
            <w:vAlign w:val="center"/>
          </w:tcPr>
          <w:p w14:paraId="64977B33">
            <w:pPr>
              <w:spacing w:before="120"/>
              <w:rPr>
                <w:rFonts w:ascii="宋体" w:hAnsi="宋体"/>
                <w:sz w:val="24"/>
                <w:szCs w:val="24"/>
              </w:rPr>
            </w:pPr>
          </w:p>
        </w:tc>
        <w:tc>
          <w:tcPr>
            <w:tcW w:w="3220" w:type="dxa"/>
            <w:noWrap w:val="0"/>
            <w:vAlign w:val="center"/>
          </w:tcPr>
          <w:p w14:paraId="0AFEB194">
            <w:pPr>
              <w:spacing w:before="120"/>
              <w:rPr>
                <w:rFonts w:ascii="宋体" w:hAnsi="宋体"/>
                <w:sz w:val="24"/>
                <w:szCs w:val="24"/>
              </w:rPr>
            </w:pPr>
          </w:p>
        </w:tc>
        <w:tc>
          <w:tcPr>
            <w:tcW w:w="1768" w:type="dxa"/>
            <w:noWrap w:val="0"/>
            <w:vAlign w:val="center"/>
          </w:tcPr>
          <w:p w14:paraId="59EF1312">
            <w:pPr>
              <w:spacing w:before="120"/>
              <w:rPr>
                <w:rFonts w:ascii="宋体" w:hAnsi="宋体"/>
                <w:sz w:val="24"/>
                <w:szCs w:val="24"/>
              </w:rPr>
            </w:pPr>
          </w:p>
        </w:tc>
      </w:tr>
      <w:tr w14:paraId="0B01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7D85462">
            <w:pPr>
              <w:spacing w:before="120"/>
              <w:rPr>
                <w:rFonts w:ascii="宋体" w:hAnsi="宋体"/>
                <w:sz w:val="24"/>
                <w:szCs w:val="24"/>
              </w:rPr>
            </w:pPr>
          </w:p>
        </w:tc>
        <w:tc>
          <w:tcPr>
            <w:tcW w:w="3220" w:type="dxa"/>
            <w:noWrap w:val="0"/>
            <w:vAlign w:val="center"/>
          </w:tcPr>
          <w:p w14:paraId="1611F451">
            <w:pPr>
              <w:spacing w:before="120"/>
              <w:rPr>
                <w:rFonts w:ascii="宋体" w:hAnsi="宋体"/>
                <w:sz w:val="24"/>
                <w:szCs w:val="24"/>
              </w:rPr>
            </w:pPr>
          </w:p>
        </w:tc>
        <w:tc>
          <w:tcPr>
            <w:tcW w:w="3220" w:type="dxa"/>
            <w:noWrap w:val="0"/>
            <w:vAlign w:val="center"/>
          </w:tcPr>
          <w:p w14:paraId="4B158DE8">
            <w:pPr>
              <w:spacing w:before="120"/>
              <w:rPr>
                <w:rFonts w:ascii="宋体" w:hAnsi="宋体"/>
                <w:sz w:val="24"/>
                <w:szCs w:val="24"/>
              </w:rPr>
            </w:pPr>
          </w:p>
        </w:tc>
        <w:tc>
          <w:tcPr>
            <w:tcW w:w="1768" w:type="dxa"/>
            <w:noWrap w:val="0"/>
            <w:vAlign w:val="center"/>
          </w:tcPr>
          <w:p w14:paraId="0C3DE5B7">
            <w:pPr>
              <w:spacing w:before="120"/>
              <w:rPr>
                <w:rFonts w:ascii="宋体" w:hAnsi="宋体"/>
                <w:sz w:val="24"/>
                <w:szCs w:val="24"/>
              </w:rPr>
            </w:pPr>
          </w:p>
        </w:tc>
      </w:tr>
      <w:tr w14:paraId="63A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55CE700B">
            <w:pPr>
              <w:spacing w:before="120"/>
              <w:rPr>
                <w:rFonts w:ascii="宋体" w:hAnsi="宋体"/>
                <w:sz w:val="24"/>
                <w:szCs w:val="24"/>
              </w:rPr>
            </w:pPr>
          </w:p>
        </w:tc>
        <w:tc>
          <w:tcPr>
            <w:tcW w:w="3220" w:type="dxa"/>
            <w:noWrap w:val="0"/>
            <w:vAlign w:val="center"/>
          </w:tcPr>
          <w:p w14:paraId="32F28596">
            <w:pPr>
              <w:spacing w:before="120"/>
              <w:rPr>
                <w:rFonts w:ascii="宋体" w:hAnsi="宋体"/>
                <w:sz w:val="24"/>
                <w:szCs w:val="24"/>
              </w:rPr>
            </w:pPr>
          </w:p>
        </w:tc>
        <w:tc>
          <w:tcPr>
            <w:tcW w:w="3220" w:type="dxa"/>
            <w:noWrap w:val="0"/>
            <w:vAlign w:val="center"/>
          </w:tcPr>
          <w:p w14:paraId="2E51AE9B">
            <w:pPr>
              <w:spacing w:before="120"/>
              <w:rPr>
                <w:rFonts w:ascii="宋体" w:hAnsi="宋体"/>
                <w:sz w:val="24"/>
                <w:szCs w:val="24"/>
              </w:rPr>
            </w:pPr>
          </w:p>
        </w:tc>
        <w:tc>
          <w:tcPr>
            <w:tcW w:w="1768" w:type="dxa"/>
            <w:noWrap w:val="0"/>
            <w:vAlign w:val="center"/>
          </w:tcPr>
          <w:p w14:paraId="0E23ED3E">
            <w:pPr>
              <w:spacing w:before="120"/>
              <w:rPr>
                <w:rFonts w:ascii="宋体" w:hAnsi="宋体"/>
                <w:sz w:val="24"/>
                <w:szCs w:val="24"/>
              </w:rPr>
            </w:pPr>
          </w:p>
        </w:tc>
      </w:tr>
      <w:tr w14:paraId="6AA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4B4E1965">
            <w:pPr>
              <w:spacing w:before="120"/>
              <w:rPr>
                <w:rFonts w:ascii="宋体" w:hAnsi="宋体"/>
                <w:sz w:val="24"/>
                <w:szCs w:val="24"/>
              </w:rPr>
            </w:pPr>
          </w:p>
        </w:tc>
        <w:tc>
          <w:tcPr>
            <w:tcW w:w="3220" w:type="dxa"/>
            <w:noWrap w:val="0"/>
            <w:vAlign w:val="center"/>
          </w:tcPr>
          <w:p w14:paraId="39A13798">
            <w:pPr>
              <w:spacing w:before="120"/>
              <w:rPr>
                <w:rFonts w:ascii="宋体" w:hAnsi="宋体"/>
                <w:sz w:val="24"/>
                <w:szCs w:val="24"/>
              </w:rPr>
            </w:pPr>
          </w:p>
        </w:tc>
        <w:tc>
          <w:tcPr>
            <w:tcW w:w="3220" w:type="dxa"/>
            <w:noWrap w:val="0"/>
            <w:vAlign w:val="center"/>
          </w:tcPr>
          <w:p w14:paraId="220ABA96">
            <w:pPr>
              <w:spacing w:before="120"/>
              <w:rPr>
                <w:rFonts w:ascii="宋体" w:hAnsi="宋体"/>
                <w:sz w:val="24"/>
                <w:szCs w:val="24"/>
              </w:rPr>
            </w:pPr>
          </w:p>
        </w:tc>
        <w:tc>
          <w:tcPr>
            <w:tcW w:w="1768" w:type="dxa"/>
            <w:noWrap w:val="0"/>
            <w:vAlign w:val="center"/>
          </w:tcPr>
          <w:p w14:paraId="037B382F">
            <w:pPr>
              <w:spacing w:before="120"/>
              <w:rPr>
                <w:rFonts w:ascii="宋体" w:hAnsi="宋体"/>
                <w:sz w:val="24"/>
                <w:szCs w:val="24"/>
              </w:rPr>
            </w:pPr>
          </w:p>
        </w:tc>
      </w:tr>
      <w:tr w14:paraId="2B9C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25806BB3">
            <w:pPr>
              <w:spacing w:before="120"/>
              <w:rPr>
                <w:rFonts w:ascii="宋体" w:hAnsi="宋体"/>
                <w:sz w:val="24"/>
                <w:szCs w:val="24"/>
              </w:rPr>
            </w:pPr>
          </w:p>
        </w:tc>
        <w:tc>
          <w:tcPr>
            <w:tcW w:w="3220" w:type="dxa"/>
            <w:noWrap w:val="0"/>
            <w:vAlign w:val="center"/>
          </w:tcPr>
          <w:p w14:paraId="63D01DB0">
            <w:pPr>
              <w:spacing w:before="120"/>
              <w:rPr>
                <w:rFonts w:ascii="宋体" w:hAnsi="宋体"/>
                <w:sz w:val="24"/>
                <w:szCs w:val="24"/>
              </w:rPr>
            </w:pPr>
          </w:p>
        </w:tc>
        <w:tc>
          <w:tcPr>
            <w:tcW w:w="3220" w:type="dxa"/>
            <w:noWrap w:val="0"/>
            <w:vAlign w:val="center"/>
          </w:tcPr>
          <w:p w14:paraId="3D2E5E86">
            <w:pPr>
              <w:spacing w:before="120"/>
              <w:rPr>
                <w:rFonts w:ascii="宋体" w:hAnsi="宋体"/>
                <w:sz w:val="24"/>
                <w:szCs w:val="24"/>
              </w:rPr>
            </w:pPr>
          </w:p>
        </w:tc>
        <w:tc>
          <w:tcPr>
            <w:tcW w:w="1768" w:type="dxa"/>
            <w:noWrap w:val="0"/>
            <w:vAlign w:val="center"/>
          </w:tcPr>
          <w:p w14:paraId="6F4F46EE">
            <w:pPr>
              <w:spacing w:before="120"/>
              <w:rPr>
                <w:rFonts w:ascii="宋体" w:hAnsi="宋体"/>
                <w:sz w:val="24"/>
                <w:szCs w:val="24"/>
              </w:rPr>
            </w:pPr>
          </w:p>
        </w:tc>
      </w:tr>
      <w:tr w14:paraId="6E14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0" w:type="dxa"/>
            <w:noWrap w:val="0"/>
            <w:vAlign w:val="center"/>
          </w:tcPr>
          <w:p w14:paraId="3E85EEEC">
            <w:pPr>
              <w:spacing w:before="120"/>
              <w:rPr>
                <w:rFonts w:ascii="宋体" w:hAnsi="宋体"/>
                <w:sz w:val="24"/>
                <w:szCs w:val="24"/>
              </w:rPr>
            </w:pPr>
          </w:p>
        </w:tc>
        <w:tc>
          <w:tcPr>
            <w:tcW w:w="3220" w:type="dxa"/>
            <w:noWrap w:val="0"/>
            <w:vAlign w:val="center"/>
          </w:tcPr>
          <w:p w14:paraId="1417A4CF">
            <w:pPr>
              <w:spacing w:before="120"/>
              <w:rPr>
                <w:rFonts w:ascii="宋体" w:hAnsi="宋体"/>
                <w:sz w:val="24"/>
                <w:szCs w:val="24"/>
              </w:rPr>
            </w:pPr>
          </w:p>
        </w:tc>
        <w:tc>
          <w:tcPr>
            <w:tcW w:w="3220" w:type="dxa"/>
            <w:noWrap w:val="0"/>
            <w:vAlign w:val="center"/>
          </w:tcPr>
          <w:p w14:paraId="33B449A3">
            <w:pPr>
              <w:spacing w:before="120"/>
              <w:rPr>
                <w:rFonts w:ascii="宋体" w:hAnsi="宋体"/>
                <w:sz w:val="24"/>
                <w:szCs w:val="24"/>
              </w:rPr>
            </w:pPr>
          </w:p>
        </w:tc>
        <w:tc>
          <w:tcPr>
            <w:tcW w:w="1768" w:type="dxa"/>
            <w:noWrap w:val="0"/>
            <w:vAlign w:val="center"/>
          </w:tcPr>
          <w:p w14:paraId="771912D6">
            <w:pPr>
              <w:spacing w:before="120"/>
              <w:rPr>
                <w:rFonts w:ascii="宋体" w:hAnsi="宋体"/>
                <w:sz w:val="24"/>
                <w:szCs w:val="24"/>
              </w:rPr>
            </w:pPr>
          </w:p>
        </w:tc>
      </w:tr>
      <w:tr w14:paraId="274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70" w:type="dxa"/>
            <w:noWrap w:val="0"/>
            <w:vAlign w:val="center"/>
          </w:tcPr>
          <w:p w14:paraId="559DBFA8">
            <w:pPr>
              <w:spacing w:before="120"/>
              <w:rPr>
                <w:rFonts w:ascii="宋体" w:hAnsi="宋体"/>
                <w:sz w:val="24"/>
                <w:szCs w:val="24"/>
              </w:rPr>
            </w:pPr>
          </w:p>
        </w:tc>
        <w:tc>
          <w:tcPr>
            <w:tcW w:w="3220" w:type="dxa"/>
            <w:noWrap w:val="0"/>
            <w:vAlign w:val="center"/>
          </w:tcPr>
          <w:p w14:paraId="3FD12F82">
            <w:pPr>
              <w:spacing w:before="120"/>
              <w:rPr>
                <w:rFonts w:ascii="宋体" w:hAnsi="宋体"/>
                <w:sz w:val="24"/>
                <w:szCs w:val="24"/>
              </w:rPr>
            </w:pPr>
          </w:p>
        </w:tc>
        <w:tc>
          <w:tcPr>
            <w:tcW w:w="3220" w:type="dxa"/>
            <w:noWrap w:val="0"/>
            <w:vAlign w:val="center"/>
          </w:tcPr>
          <w:p w14:paraId="0DD425A9">
            <w:pPr>
              <w:spacing w:before="120"/>
              <w:rPr>
                <w:rFonts w:ascii="宋体" w:hAnsi="宋体"/>
                <w:sz w:val="24"/>
                <w:szCs w:val="24"/>
              </w:rPr>
            </w:pPr>
          </w:p>
        </w:tc>
        <w:tc>
          <w:tcPr>
            <w:tcW w:w="1768" w:type="dxa"/>
            <w:noWrap w:val="0"/>
            <w:vAlign w:val="center"/>
          </w:tcPr>
          <w:p w14:paraId="2DA989DD">
            <w:pPr>
              <w:spacing w:before="120"/>
              <w:rPr>
                <w:rFonts w:ascii="宋体" w:hAnsi="宋体"/>
                <w:sz w:val="24"/>
                <w:szCs w:val="24"/>
              </w:rPr>
            </w:pPr>
          </w:p>
        </w:tc>
      </w:tr>
    </w:tbl>
    <w:p w14:paraId="097C9657">
      <w:pPr>
        <w:pStyle w:val="24"/>
        <w:jc w:val="both"/>
        <w:rPr>
          <w:rFonts w:hAnsi="宋体"/>
        </w:rPr>
      </w:pPr>
    </w:p>
    <w:p w14:paraId="5B881989">
      <w:pPr>
        <w:pStyle w:val="23"/>
        <w:spacing w:line="360" w:lineRule="auto"/>
        <w:ind w:left="480" w:hanging="480" w:hangingChars="200"/>
        <w:rPr>
          <w:rFonts w:hint="eastAsia" w:ascii="宋体" w:hAnsi="宋体"/>
          <w:sz w:val="24"/>
          <w:szCs w:val="24"/>
        </w:rPr>
      </w:pPr>
      <w:r>
        <w:rPr>
          <w:rFonts w:ascii="宋体" w:hAnsi="宋体"/>
          <w:sz w:val="24"/>
          <w:szCs w:val="24"/>
        </w:rPr>
        <w:t>注：</w:t>
      </w:r>
      <w:r>
        <w:rPr>
          <w:rFonts w:hint="eastAsia"/>
          <w:sz w:val="24"/>
          <w:szCs w:val="24"/>
        </w:rPr>
        <w:t>“偏离说明”一栏必须写明偏离情况，不得以“满足”代替，若无偏离则填写“无”。</w:t>
      </w:r>
    </w:p>
    <w:p w14:paraId="3289A6DD">
      <w:pPr>
        <w:adjustRightInd w:val="0"/>
        <w:snapToGrid w:val="0"/>
        <w:spacing w:line="360" w:lineRule="auto"/>
        <w:jc w:val="right"/>
        <w:rPr>
          <w:rFonts w:hint="eastAsia" w:ascii="宋体" w:hAnsi="宋体"/>
          <w:snapToGrid w:val="0"/>
          <w:kern w:val="0"/>
          <w:sz w:val="24"/>
          <w:szCs w:val="24"/>
        </w:rPr>
      </w:pPr>
      <w:r>
        <w:rPr>
          <w:rFonts w:hint="eastAsia"/>
          <w:snapToGrid w:val="0"/>
          <w:kern w:val="0"/>
          <w:sz w:val="24"/>
          <w:szCs w:val="24"/>
        </w:rPr>
        <w:t xml:space="preserve">   </w:t>
      </w:r>
      <w:r>
        <w:rPr>
          <w:rFonts w:hint="eastAsia" w:ascii="宋体" w:hAnsi="宋体"/>
          <w:snapToGrid w:val="0"/>
          <w:kern w:val="0"/>
          <w:sz w:val="24"/>
          <w:szCs w:val="24"/>
        </w:rPr>
        <w:t xml:space="preserve">供应商（单位电子签章）： </w:t>
      </w:r>
    </w:p>
    <w:p w14:paraId="787F911D">
      <w:pPr>
        <w:pStyle w:val="23"/>
        <w:jc w:val="right"/>
        <w:rPr>
          <w:rFonts w:hint="eastAsia" w:ascii="宋体" w:hAnsi="宋体"/>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73510BEF">
      <w:pPr>
        <w:pStyle w:val="23"/>
        <w:rPr>
          <w:rFonts w:hint="eastAsia" w:ascii="宋体" w:hAnsi="宋体"/>
          <w:sz w:val="24"/>
          <w:szCs w:val="24"/>
        </w:rPr>
      </w:pPr>
    </w:p>
    <w:p w14:paraId="0652D845">
      <w:pPr>
        <w:pStyle w:val="23"/>
        <w:rPr>
          <w:rFonts w:hint="eastAsia"/>
          <w:sz w:val="24"/>
          <w:szCs w:val="24"/>
        </w:rPr>
      </w:pPr>
      <w:r>
        <w:rPr>
          <w:rFonts w:hint="eastAsia" w:ascii="宋体" w:hAnsi="宋体"/>
          <w:sz w:val="24"/>
          <w:szCs w:val="24"/>
        </w:rPr>
        <w:t xml:space="preserve">                                          年      月     日</w:t>
      </w:r>
    </w:p>
    <w:p w14:paraId="44C51356">
      <w:pPr>
        <w:pStyle w:val="50"/>
        <w:ind w:firstLine="240"/>
        <w:rPr>
          <w:rFonts w:hint="eastAsia"/>
          <w:sz w:val="24"/>
          <w:szCs w:val="24"/>
        </w:rPr>
      </w:pPr>
    </w:p>
    <w:p w14:paraId="12263B91">
      <w:pPr>
        <w:pStyle w:val="3"/>
        <w:bidi w:val="0"/>
        <w:jc w:val="center"/>
        <w:rPr>
          <w:rFonts w:ascii="宋体" w:hAnsi="宋体"/>
          <w:sz w:val="24"/>
          <w:szCs w:val="24"/>
        </w:rPr>
      </w:pPr>
      <w:bookmarkStart w:id="962" w:name="_Toc8507"/>
      <w:bookmarkStart w:id="963" w:name="_Toc26192"/>
      <w:r>
        <w:rPr>
          <w:rFonts w:hint="eastAsia" w:ascii="宋体" w:hAnsi="宋体" w:eastAsia="宋体" w:cs="宋体"/>
          <w:lang w:val="en-US" w:eastAsia="zh-CN"/>
        </w:rPr>
        <w:t>五、技术条款偏离表</w:t>
      </w:r>
      <w:bookmarkEnd w:id="959"/>
      <w:bookmarkEnd w:id="960"/>
      <w:bookmarkEnd w:id="961"/>
      <w:bookmarkEnd w:id="962"/>
      <w:bookmarkEnd w:id="963"/>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2662"/>
        <w:gridCol w:w="2738"/>
        <w:gridCol w:w="1916"/>
      </w:tblGrid>
      <w:tr w14:paraId="6D33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24F8E472">
            <w:pPr>
              <w:spacing w:line="300" w:lineRule="auto"/>
              <w:jc w:val="center"/>
              <w:rPr>
                <w:rFonts w:ascii="宋体" w:hAnsi="宋体"/>
                <w:sz w:val="24"/>
                <w:szCs w:val="24"/>
              </w:rPr>
            </w:pPr>
            <w:r>
              <w:rPr>
                <w:rFonts w:hint="eastAsia" w:ascii="宋体" w:hAnsi="宋体"/>
                <w:sz w:val="24"/>
                <w:szCs w:val="24"/>
              </w:rPr>
              <w:t>序号</w:t>
            </w:r>
          </w:p>
        </w:tc>
        <w:tc>
          <w:tcPr>
            <w:tcW w:w="2662" w:type="dxa"/>
            <w:noWrap w:val="0"/>
            <w:vAlign w:val="center"/>
          </w:tcPr>
          <w:p w14:paraId="5C0E9296">
            <w:pPr>
              <w:spacing w:line="300" w:lineRule="auto"/>
              <w:jc w:val="center"/>
              <w:rPr>
                <w:rFonts w:ascii="宋体" w:hAnsi="宋体"/>
                <w:sz w:val="24"/>
                <w:szCs w:val="24"/>
              </w:rPr>
            </w:pPr>
            <w:r>
              <w:rPr>
                <w:rFonts w:hint="eastAsia" w:ascii="宋体" w:hAnsi="宋体"/>
                <w:sz w:val="24"/>
                <w:szCs w:val="24"/>
              </w:rPr>
              <w:t>招标文件的技术条款</w:t>
            </w:r>
          </w:p>
        </w:tc>
        <w:tc>
          <w:tcPr>
            <w:tcW w:w="2738" w:type="dxa"/>
            <w:noWrap w:val="0"/>
            <w:vAlign w:val="center"/>
          </w:tcPr>
          <w:p w14:paraId="04B21031">
            <w:pPr>
              <w:spacing w:line="300" w:lineRule="auto"/>
              <w:jc w:val="center"/>
              <w:rPr>
                <w:rFonts w:ascii="宋体" w:hAnsi="宋体"/>
                <w:sz w:val="24"/>
                <w:szCs w:val="24"/>
              </w:rPr>
            </w:pPr>
            <w:r>
              <w:rPr>
                <w:rFonts w:hint="eastAsia" w:ascii="宋体" w:hAnsi="宋体"/>
                <w:sz w:val="24"/>
                <w:szCs w:val="24"/>
              </w:rPr>
              <w:t>投标文件的技术条款</w:t>
            </w:r>
          </w:p>
        </w:tc>
        <w:tc>
          <w:tcPr>
            <w:tcW w:w="1916" w:type="dxa"/>
            <w:noWrap w:val="0"/>
            <w:vAlign w:val="center"/>
          </w:tcPr>
          <w:p w14:paraId="1A97A78E">
            <w:pPr>
              <w:spacing w:line="300" w:lineRule="auto"/>
              <w:jc w:val="center"/>
              <w:rPr>
                <w:rFonts w:ascii="宋体" w:hAnsi="宋体"/>
                <w:sz w:val="24"/>
                <w:szCs w:val="24"/>
              </w:rPr>
            </w:pPr>
            <w:r>
              <w:rPr>
                <w:rFonts w:hint="eastAsia" w:ascii="宋体" w:hAnsi="宋体"/>
                <w:sz w:val="24"/>
                <w:szCs w:val="24"/>
              </w:rPr>
              <w:t>偏离说明</w:t>
            </w:r>
          </w:p>
        </w:tc>
      </w:tr>
      <w:tr w14:paraId="5B4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48111460">
            <w:pPr>
              <w:spacing w:line="300" w:lineRule="auto"/>
              <w:jc w:val="center"/>
              <w:rPr>
                <w:rFonts w:ascii="宋体" w:hAnsi="宋体"/>
                <w:sz w:val="24"/>
                <w:szCs w:val="24"/>
              </w:rPr>
            </w:pPr>
          </w:p>
        </w:tc>
        <w:tc>
          <w:tcPr>
            <w:tcW w:w="2662" w:type="dxa"/>
            <w:noWrap w:val="0"/>
            <w:vAlign w:val="center"/>
          </w:tcPr>
          <w:p w14:paraId="2AFA926E">
            <w:pPr>
              <w:spacing w:line="300" w:lineRule="auto"/>
              <w:jc w:val="center"/>
              <w:rPr>
                <w:rFonts w:ascii="宋体" w:hAnsi="宋体"/>
                <w:sz w:val="24"/>
                <w:szCs w:val="24"/>
              </w:rPr>
            </w:pPr>
          </w:p>
        </w:tc>
        <w:tc>
          <w:tcPr>
            <w:tcW w:w="2738" w:type="dxa"/>
            <w:noWrap w:val="0"/>
            <w:vAlign w:val="center"/>
          </w:tcPr>
          <w:p w14:paraId="65084532">
            <w:pPr>
              <w:spacing w:line="300" w:lineRule="auto"/>
              <w:jc w:val="center"/>
              <w:rPr>
                <w:rFonts w:ascii="宋体" w:hAnsi="宋体"/>
                <w:sz w:val="24"/>
                <w:szCs w:val="24"/>
              </w:rPr>
            </w:pPr>
          </w:p>
        </w:tc>
        <w:tc>
          <w:tcPr>
            <w:tcW w:w="1916" w:type="dxa"/>
            <w:noWrap w:val="0"/>
            <w:vAlign w:val="center"/>
          </w:tcPr>
          <w:p w14:paraId="7EAA54FB">
            <w:pPr>
              <w:spacing w:line="300" w:lineRule="auto"/>
              <w:jc w:val="center"/>
              <w:rPr>
                <w:rFonts w:ascii="宋体" w:hAnsi="宋体"/>
                <w:sz w:val="24"/>
                <w:szCs w:val="24"/>
              </w:rPr>
            </w:pPr>
          </w:p>
        </w:tc>
      </w:tr>
      <w:tr w14:paraId="217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EFDD3F5">
            <w:pPr>
              <w:spacing w:line="300" w:lineRule="auto"/>
              <w:jc w:val="center"/>
              <w:rPr>
                <w:rFonts w:ascii="宋体" w:hAnsi="宋体"/>
                <w:sz w:val="24"/>
                <w:szCs w:val="24"/>
              </w:rPr>
            </w:pPr>
          </w:p>
        </w:tc>
        <w:tc>
          <w:tcPr>
            <w:tcW w:w="2662" w:type="dxa"/>
            <w:noWrap w:val="0"/>
            <w:vAlign w:val="center"/>
          </w:tcPr>
          <w:p w14:paraId="4FCB6D0C">
            <w:pPr>
              <w:spacing w:line="300" w:lineRule="auto"/>
              <w:jc w:val="center"/>
              <w:rPr>
                <w:rFonts w:ascii="宋体" w:hAnsi="宋体"/>
                <w:sz w:val="24"/>
                <w:szCs w:val="24"/>
              </w:rPr>
            </w:pPr>
          </w:p>
        </w:tc>
        <w:tc>
          <w:tcPr>
            <w:tcW w:w="2738" w:type="dxa"/>
            <w:noWrap w:val="0"/>
            <w:vAlign w:val="center"/>
          </w:tcPr>
          <w:p w14:paraId="070F1209">
            <w:pPr>
              <w:spacing w:line="300" w:lineRule="auto"/>
              <w:jc w:val="center"/>
              <w:rPr>
                <w:rFonts w:ascii="宋体" w:hAnsi="宋体"/>
                <w:sz w:val="24"/>
                <w:szCs w:val="24"/>
              </w:rPr>
            </w:pPr>
          </w:p>
        </w:tc>
        <w:tc>
          <w:tcPr>
            <w:tcW w:w="1916" w:type="dxa"/>
            <w:noWrap w:val="0"/>
            <w:vAlign w:val="center"/>
          </w:tcPr>
          <w:p w14:paraId="0E5B8A3B">
            <w:pPr>
              <w:spacing w:line="300" w:lineRule="auto"/>
              <w:jc w:val="center"/>
              <w:rPr>
                <w:rFonts w:ascii="宋体" w:hAnsi="宋体"/>
                <w:sz w:val="24"/>
                <w:szCs w:val="24"/>
              </w:rPr>
            </w:pPr>
          </w:p>
        </w:tc>
      </w:tr>
      <w:tr w14:paraId="0885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5204974">
            <w:pPr>
              <w:spacing w:line="300" w:lineRule="auto"/>
              <w:jc w:val="center"/>
              <w:rPr>
                <w:rFonts w:ascii="宋体" w:hAnsi="宋体"/>
                <w:sz w:val="24"/>
                <w:szCs w:val="24"/>
              </w:rPr>
            </w:pPr>
          </w:p>
        </w:tc>
        <w:tc>
          <w:tcPr>
            <w:tcW w:w="2662" w:type="dxa"/>
            <w:noWrap w:val="0"/>
            <w:vAlign w:val="center"/>
          </w:tcPr>
          <w:p w14:paraId="2FC481A3">
            <w:pPr>
              <w:spacing w:line="300" w:lineRule="auto"/>
              <w:jc w:val="center"/>
              <w:rPr>
                <w:rFonts w:ascii="宋体" w:hAnsi="宋体"/>
                <w:sz w:val="24"/>
                <w:szCs w:val="24"/>
              </w:rPr>
            </w:pPr>
          </w:p>
        </w:tc>
        <w:tc>
          <w:tcPr>
            <w:tcW w:w="2738" w:type="dxa"/>
            <w:noWrap w:val="0"/>
            <w:vAlign w:val="center"/>
          </w:tcPr>
          <w:p w14:paraId="2B4941AA">
            <w:pPr>
              <w:spacing w:line="300" w:lineRule="auto"/>
              <w:jc w:val="center"/>
              <w:rPr>
                <w:rFonts w:ascii="宋体" w:hAnsi="宋体"/>
                <w:sz w:val="24"/>
                <w:szCs w:val="24"/>
              </w:rPr>
            </w:pPr>
          </w:p>
        </w:tc>
        <w:tc>
          <w:tcPr>
            <w:tcW w:w="1916" w:type="dxa"/>
            <w:noWrap w:val="0"/>
            <w:vAlign w:val="center"/>
          </w:tcPr>
          <w:p w14:paraId="6D199A33">
            <w:pPr>
              <w:spacing w:line="300" w:lineRule="auto"/>
              <w:jc w:val="center"/>
              <w:rPr>
                <w:rFonts w:ascii="宋体" w:hAnsi="宋体"/>
                <w:sz w:val="24"/>
                <w:szCs w:val="24"/>
              </w:rPr>
            </w:pPr>
          </w:p>
        </w:tc>
      </w:tr>
      <w:tr w14:paraId="13DE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58CA424E">
            <w:pPr>
              <w:spacing w:line="300" w:lineRule="auto"/>
              <w:jc w:val="center"/>
              <w:rPr>
                <w:rFonts w:ascii="宋体" w:hAnsi="宋体"/>
                <w:sz w:val="24"/>
                <w:szCs w:val="24"/>
              </w:rPr>
            </w:pPr>
          </w:p>
        </w:tc>
        <w:tc>
          <w:tcPr>
            <w:tcW w:w="2662" w:type="dxa"/>
            <w:noWrap w:val="0"/>
            <w:vAlign w:val="center"/>
          </w:tcPr>
          <w:p w14:paraId="57F9B0B1">
            <w:pPr>
              <w:spacing w:line="300" w:lineRule="auto"/>
              <w:jc w:val="center"/>
              <w:rPr>
                <w:rFonts w:ascii="宋体" w:hAnsi="宋体"/>
                <w:sz w:val="24"/>
                <w:szCs w:val="24"/>
              </w:rPr>
            </w:pPr>
          </w:p>
        </w:tc>
        <w:tc>
          <w:tcPr>
            <w:tcW w:w="2738" w:type="dxa"/>
            <w:noWrap w:val="0"/>
            <w:vAlign w:val="center"/>
          </w:tcPr>
          <w:p w14:paraId="369664C6">
            <w:pPr>
              <w:spacing w:line="300" w:lineRule="auto"/>
              <w:jc w:val="center"/>
              <w:rPr>
                <w:rFonts w:ascii="宋体" w:hAnsi="宋体"/>
                <w:sz w:val="24"/>
                <w:szCs w:val="24"/>
              </w:rPr>
            </w:pPr>
          </w:p>
        </w:tc>
        <w:tc>
          <w:tcPr>
            <w:tcW w:w="1916" w:type="dxa"/>
            <w:noWrap w:val="0"/>
            <w:vAlign w:val="center"/>
          </w:tcPr>
          <w:p w14:paraId="51294678">
            <w:pPr>
              <w:spacing w:line="300" w:lineRule="auto"/>
              <w:jc w:val="center"/>
              <w:rPr>
                <w:rFonts w:ascii="宋体" w:hAnsi="宋体"/>
                <w:sz w:val="24"/>
                <w:szCs w:val="24"/>
              </w:rPr>
            </w:pPr>
          </w:p>
        </w:tc>
      </w:tr>
      <w:tr w14:paraId="445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3546BA54">
            <w:pPr>
              <w:spacing w:line="300" w:lineRule="auto"/>
              <w:jc w:val="center"/>
              <w:rPr>
                <w:rFonts w:ascii="宋体" w:hAnsi="宋体"/>
                <w:sz w:val="24"/>
                <w:szCs w:val="24"/>
              </w:rPr>
            </w:pPr>
          </w:p>
        </w:tc>
        <w:tc>
          <w:tcPr>
            <w:tcW w:w="2662" w:type="dxa"/>
            <w:noWrap w:val="0"/>
            <w:vAlign w:val="center"/>
          </w:tcPr>
          <w:p w14:paraId="12340ECE">
            <w:pPr>
              <w:spacing w:line="300" w:lineRule="auto"/>
              <w:jc w:val="center"/>
              <w:rPr>
                <w:rFonts w:ascii="宋体" w:hAnsi="宋体"/>
                <w:sz w:val="24"/>
                <w:szCs w:val="24"/>
              </w:rPr>
            </w:pPr>
          </w:p>
        </w:tc>
        <w:tc>
          <w:tcPr>
            <w:tcW w:w="2738" w:type="dxa"/>
            <w:noWrap w:val="0"/>
            <w:vAlign w:val="center"/>
          </w:tcPr>
          <w:p w14:paraId="521773D2">
            <w:pPr>
              <w:spacing w:line="300" w:lineRule="auto"/>
              <w:jc w:val="center"/>
              <w:rPr>
                <w:rFonts w:ascii="宋体" w:hAnsi="宋体"/>
                <w:sz w:val="24"/>
                <w:szCs w:val="24"/>
              </w:rPr>
            </w:pPr>
          </w:p>
        </w:tc>
        <w:tc>
          <w:tcPr>
            <w:tcW w:w="1916" w:type="dxa"/>
            <w:noWrap w:val="0"/>
            <w:vAlign w:val="center"/>
          </w:tcPr>
          <w:p w14:paraId="181A4360">
            <w:pPr>
              <w:spacing w:line="300" w:lineRule="auto"/>
              <w:jc w:val="center"/>
              <w:rPr>
                <w:rFonts w:ascii="宋体" w:hAnsi="宋体"/>
                <w:sz w:val="24"/>
                <w:szCs w:val="24"/>
              </w:rPr>
            </w:pPr>
          </w:p>
        </w:tc>
      </w:tr>
      <w:tr w14:paraId="2179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52100F">
            <w:pPr>
              <w:spacing w:line="300" w:lineRule="auto"/>
              <w:jc w:val="center"/>
              <w:rPr>
                <w:rFonts w:ascii="宋体" w:hAnsi="宋体"/>
                <w:sz w:val="24"/>
                <w:szCs w:val="24"/>
              </w:rPr>
            </w:pPr>
          </w:p>
        </w:tc>
        <w:tc>
          <w:tcPr>
            <w:tcW w:w="2662" w:type="dxa"/>
            <w:noWrap w:val="0"/>
            <w:vAlign w:val="center"/>
          </w:tcPr>
          <w:p w14:paraId="222681AF">
            <w:pPr>
              <w:spacing w:line="300" w:lineRule="auto"/>
              <w:jc w:val="center"/>
              <w:rPr>
                <w:rFonts w:ascii="宋体" w:hAnsi="宋体"/>
                <w:sz w:val="24"/>
                <w:szCs w:val="24"/>
              </w:rPr>
            </w:pPr>
          </w:p>
        </w:tc>
        <w:tc>
          <w:tcPr>
            <w:tcW w:w="2738" w:type="dxa"/>
            <w:noWrap w:val="0"/>
            <w:vAlign w:val="center"/>
          </w:tcPr>
          <w:p w14:paraId="40C445FE">
            <w:pPr>
              <w:spacing w:line="300" w:lineRule="auto"/>
              <w:jc w:val="center"/>
              <w:rPr>
                <w:rFonts w:ascii="宋体" w:hAnsi="宋体"/>
                <w:sz w:val="24"/>
                <w:szCs w:val="24"/>
              </w:rPr>
            </w:pPr>
          </w:p>
        </w:tc>
        <w:tc>
          <w:tcPr>
            <w:tcW w:w="1916" w:type="dxa"/>
            <w:noWrap w:val="0"/>
            <w:vAlign w:val="center"/>
          </w:tcPr>
          <w:p w14:paraId="15D71A76">
            <w:pPr>
              <w:spacing w:line="300" w:lineRule="auto"/>
              <w:jc w:val="center"/>
              <w:rPr>
                <w:rFonts w:ascii="宋体" w:hAnsi="宋体"/>
                <w:sz w:val="24"/>
                <w:szCs w:val="24"/>
              </w:rPr>
            </w:pPr>
          </w:p>
        </w:tc>
      </w:tr>
      <w:tr w14:paraId="6253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0AD2950B">
            <w:pPr>
              <w:spacing w:line="300" w:lineRule="auto"/>
              <w:jc w:val="center"/>
              <w:rPr>
                <w:rFonts w:ascii="宋体" w:hAnsi="宋体"/>
                <w:sz w:val="24"/>
                <w:szCs w:val="24"/>
              </w:rPr>
            </w:pPr>
          </w:p>
        </w:tc>
        <w:tc>
          <w:tcPr>
            <w:tcW w:w="2662" w:type="dxa"/>
            <w:noWrap w:val="0"/>
            <w:vAlign w:val="center"/>
          </w:tcPr>
          <w:p w14:paraId="44FA7774">
            <w:pPr>
              <w:spacing w:line="300" w:lineRule="auto"/>
              <w:jc w:val="center"/>
              <w:rPr>
                <w:rFonts w:ascii="宋体" w:hAnsi="宋体"/>
                <w:sz w:val="24"/>
                <w:szCs w:val="24"/>
              </w:rPr>
            </w:pPr>
          </w:p>
        </w:tc>
        <w:tc>
          <w:tcPr>
            <w:tcW w:w="2738" w:type="dxa"/>
            <w:noWrap w:val="0"/>
            <w:vAlign w:val="center"/>
          </w:tcPr>
          <w:p w14:paraId="04A00BE3">
            <w:pPr>
              <w:spacing w:line="300" w:lineRule="auto"/>
              <w:jc w:val="center"/>
              <w:rPr>
                <w:rFonts w:ascii="宋体" w:hAnsi="宋体"/>
                <w:sz w:val="24"/>
                <w:szCs w:val="24"/>
              </w:rPr>
            </w:pPr>
          </w:p>
        </w:tc>
        <w:tc>
          <w:tcPr>
            <w:tcW w:w="1916" w:type="dxa"/>
            <w:noWrap w:val="0"/>
            <w:vAlign w:val="center"/>
          </w:tcPr>
          <w:p w14:paraId="2F533496">
            <w:pPr>
              <w:spacing w:line="300" w:lineRule="auto"/>
              <w:jc w:val="center"/>
              <w:rPr>
                <w:rFonts w:ascii="宋体" w:hAnsi="宋体"/>
                <w:sz w:val="24"/>
                <w:szCs w:val="24"/>
              </w:rPr>
            </w:pPr>
          </w:p>
        </w:tc>
      </w:tr>
      <w:tr w14:paraId="03C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523" w:type="dxa"/>
            <w:noWrap w:val="0"/>
            <w:vAlign w:val="center"/>
          </w:tcPr>
          <w:p w14:paraId="1C9BC416">
            <w:pPr>
              <w:spacing w:line="300" w:lineRule="auto"/>
              <w:jc w:val="center"/>
              <w:rPr>
                <w:rFonts w:ascii="宋体" w:hAnsi="宋体"/>
                <w:sz w:val="24"/>
                <w:szCs w:val="24"/>
              </w:rPr>
            </w:pPr>
          </w:p>
        </w:tc>
        <w:tc>
          <w:tcPr>
            <w:tcW w:w="2662" w:type="dxa"/>
            <w:noWrap w:val="0"/>
            <w:vAlign w:val="center"/>
          </w:tcPr>
          <w:p w14:paraId="1A9896F0">
            <w:pPr>
              <w:spacing w:line="300" w:lineRule="auto"/>
              <w:jc w:val="center"/>
              <w:rPr>
                <w:rFonts w:ascii="宋体" w:hAnsi="宋体"/>
                <w:sz w:val="24"/>
                <w:szCs w:val="24"/>
              </w:rPr>
            </w:pPr>
          </w:p>
        </w:tc>
        <w:tc>
          <w:tcPr>
            <w:tcW w:w="2738" w:type="dxa"/>
            <w:noWrap w:val="0"/>
            <w:vAlign w:val="center"/>
          </w:tcPr>
          <w:p w14:paraId="4080FC0E">
            <w:pPr>
              <w:spacing w:line="300" w:lineRule="auto"/>
              <w:jc w:val="center"/>
              <w:rPr>
                <w:rFonts w:ascii="宋体" w:hAnsi="宋体"/>
                <w:sz w:val="24"/>
                <w:szCs w:val="24"/>
              </w:rPr>
            </w:pPr>
          </w:p>
        </w:tc>
        <w:tc>
          <w:tcPr>
            <w:tcW w:w="1916" w:type="dxa"/>
            <w:noWrap w:val="0"/>
            <w:vAlign w:val="center"/>
          </w:tcPr>
          <w:p w14:paraId="5A7BEBA7">
            <w:pPr>
              <w:spacing w:line="300" w:lineRule="auto"/>
              <w:jc w:val="center"/>
              <w:rPr>
                <w:rFonts w:ascii="宋体" w:hAnsi="宋体"/>
                <w:sz w:val="24"/>
                <w:szCs w:val="24"/>
              </w:rPr>
            </w:pPr>
          </w:p>
        </w:tc>
      </w:tr>
      <w:tr w14:paraId="428C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23" w:type="dxa"/>
            <w:noWrap w:val="0"/>
            <w:vAlign w:val="center"/>
          </w:tcPr>
          <w:p w14:paraId="27B54625">
            <w:pPr>
              <w:spacing w:line="300" w:lineRule="auto"/>
              <w:jc w:val="center"/>
              <w:rPr>
                <w:rFonts w:ascii="宋体" w:hAnsi="宋体"/>
                <w:sz w:val="24"/>
                <w:szCs w:val="24"/>
              </w:rPr>
            </w:pPr>
          </w:p>
        </w:tc>
        <w:tc>
          <w:tcPr>
            <w:tcW w:w="2662" w:type="dxa"/>
            <w:noWrap w:val="0"/>
            <w:vAlign w:val="center"/>
          </w:tcPr>
          <w:p w14:paraId="2A2369C7">
            <w:pPr>
              <w:spacing w:line="300" w:lineRule="auto"/>
              <w:jc w:val="center"/>
              <w:rPr>
                <w:rFonts w:ascii="宋体" w:hAnsi="宋体"/>
                <w:sz w:val="24"/>
                <w:szCs w:val="24"/>
              </w:rPr>
            </w:pPr>
          </w:p>
        </w:tc>
        <w:tc>
          <w:tcPr>
            <w:tcW w:w="2738" w:type="dxa"/>
            <w:noWrap w:val="0"/>
            <w:vAlign w:val="center"/>
          </w:tcPr>
          <w:p w14:paraId="69A4E0F5">
            <w:pPr>
              <w:spacing w:line="300" w:lineRule="auto"/>
              <w:jc w:val="center"/>
              <w:rPr>
                <w:rFonts w:ascii="宋体" w:hAnsi="宋体"/>
                <w:sz w:val="24"/>
                <w:szCs w:val="24"/>
              </w:rPr>
            </w:pPr>
          </w:p>
        </w:tc>
        <w:tc>
          <w:tcPr>
            <w:tcW w:w="1916" w:type="dxa"/>
            <w:noWrap w:val="0"/>
            <w:vAlign w:val="center"/>
          </w:tcPr>
          <w:p w14:paraId="0B7E1355">
            <w:pPr>
              <w:spacing w:line="300" w:lineRule="auto"/>
              <w:jc w:val="center"/>
              <w:rPr>
                <w:rFonts w:ascii="宋体" w:hAnsi="宋体"/>
                <w:sz w:val="24"/>
                <w:szCs w:val="24"/>
              </w:rPr>
            </w:pPr>
          </w:p>
        </w:tc>
      </w:tr>
    </w:tbl>
    <w:p w14:paraId="020253F7">
      <w:pPr>
        <w:pStyle w:val="23"/>
        <w:spacing w:line="360" w:lineRule="auto"/>
        <w:rPr>
          <w:rFonts w:hint="eastAsia" w:ascii="宋体" w:hAnsi="宋体"/>
        </w:rPr>
      </w:pPr>
    </w:p>
    <w:p w14:paraId="58B21311">
      <w:pPr>
        <w:pStyle w:val="23"/>
        <w:spacing w:line="360" w:lineRule="auto"/>
        <w:rPr>
          <w:rFonts w:hint="eastAsia" w:ascii="宋体" w:hAnsi="宋体"/>
        </w:rPr>
      </w:pPr>
      <w:r>
        <w:rPr>
          <w:rFonts w:hint="eastAsia" w:ascii="宋体" w:hAnsi="宋体"/>
        </w:rPr>
        <w:t>注：</w:t>
      </w:r>
      <w:r>
        <w:rPr>
          <w:rFonts w:hint="eastAsia"/>
        </w:rPr>
        <w:t>“偏离说明”一栏必须写明偏离情况，不得以“满足”代替，若无偏离则填写“无”。</w:t>
      </w:r>
    </w:p>
    <w:p w14:paraId="3B895F3C">
      <w:pPr>
        <w:adjustRightInd w:val="0"/>
        <w:snapToGrid w:val="0"/>
        <w:spacing w:line="360" w:lineRule="auto"/>
        <w:rPr>
          <w:rFonts w:hint="eastAsia" w:ascii="宋体" w:hAnsi="宋体"/>
          <w:snapToGrid w:val="0"/>
          <w:kern w:val="0"/>
          <w:sz w:val="24"/>
          <w:szCs w:val="24"/>
        </w:rPr>
      </w:pPr>
    </w:p>
    <w:p w14:paraId="713BA1F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供应商（单位电子签章）： </w:t>
      </w:r>
    </w:p>
    <w:p w14:paraId="423B553E">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法定代表人</w:t>
      </w:r>
      <w:r>
        <w:rPr>
          <w:rFonts w:hint="eastAsia" w:ascii="宋体" w:hAnsi="宋体"/>
          <w:snapToGrid w:val="0"/>
          <w:kern w:val="0"/>
          <w:sz w:val="24"/>
          <w:szCs w:val="24"/>
          <w:lang w:eastAsia="zh-CN"/>
        </w:rPr>
        <w:t>（</w:t>
      </w:r>
      <w:r>
        <w:rPr>
          <w:rFonts w:hint="eastAsia" w:ascii="宋体" w:hAnsi="宋体"/>
          <w:snapToGrid w:val="0"/>
          <w:kern w:val="0"/>
          <w:sz w:val="24"/>
          <w:szCs w:val="24"/>
          <w:lang w:val="en-US" w:eastAsia="zh-CN"/>
        </w:rPr>
        <w:t>负责人）</w:t>
      </w:r>
      <w:r>
        <w:rPr>
          <w:rFonts w:hint="eastAsia" w:ascii="宋体" w:hAnsi="宋体"/>
          <w:snapToGrid w:val="0"/>
          <w:kern w:val="0"/>
          <w:sz w:val="24"/>
          <w:szCs w:val="24"/>
        </w:rPr>
        <w:t xml:space="preserve">或其委托代理人（电子签名或盖章）： </w:t>
      </w:r>
    </w:p>
    <w:p w14:paraId="3D3C5335">
      <w:pPr>
        <w:adjustRightInd w:val="0"/>
        <w:snapToGrid w:val="0"/>
        <w:spacing w:line="360" w:lineRule="auto"/>
        <w:jc w:val="right"/>
        <w:rPr>
          <w:rFonts w:hint="eastAsia" w:ascii="宋体" w:hAnsi="宋体"/>
          <w:snapToGrid w:val="0"/>
          <w:kern w:val="0"/>
          <w:sz w:val="24"/>
          <w:szCs w:val="24"/>
        </w:rPr>
      </w:pPr>
      <w:r>
        <w:rPr>
          <w:rFonts w:hint="eastAsia" w:ascii="宋体" w:hAnsi="宋体"/>
          <w:snapToGrid w:val="0"/>
          <w:kern w:val="0"/>
          <w:sz w:val="24"/>
          <w:szCs w:val="24"/>
        </w:rPr>
        <w:t xml:space="preserve"> 年    月    日</w:t>
      </w:r>
    </w:p>
    <w:p w14:paraId="3714A9DF">
      <w:pPr>
        <w:wordWrap w:val="0"/>
        <w:spacing w:line="420" w:lineRule="exact"/>
        <w:jc w:val="center"/>
        <w:outlineLvl w:val="1"/>
        <w:rPr>
          <w:rFonts w:ascii="宋体" w:hAnsi="宋体" w:cs="宋体"/>
          <w:b/>
          <w:sz w:val="32"/>
          <w:szCs w:val="32"/>
        </w:rPr>
      </w:pPr>
      <w:r>
        <w:rPr>
          <w:rFonts w:hint="eastAsia" w:ascii="宋体" w:hAnsi="宋体" w:cs="宋体"/>
        </w:rPr>
        <w:br w:type="page"/>
      </w:r>
      <w:bookmarkStart w:id="964" w:name="_Toc11835"/>
      <w:bookmarkStart w:id="965" w:name="_Toc2557"/>
      <w:bookmarkStart w:id="966" w:name="_Toc20896"/>
      <w:bookmarkStart w:id="967" w:name="_Toc414445769"/>
      <w:bookmarkStart w:id="968" w:name="_Toc410631178"/>
      <w:bookmarkStart w:id="969" w:name="_Toc416103819"/>
      <w:bookmarkStart w:id="970" w:name="_Toc468781351"/>
      <w:bookmarkStart w:id="971" w:name="_Toc143577473"/>
      <w:r>
        <w:rPr>
          <w:rFonts w:hint="eastAsia" w:ascii="宋体" w:hAnsi="宋体" w:eastAsia="宋体" w:cs="宋体"/>
          <w:b/>
          <w:bCs/>
          <w:kern w:val="2"/>
          <w:sz w:val="32"/>
          <w:szCs w:val="32"/>
          <w:lang w:val="en-US" w:eastAsia="zh-CN" w:bidi="ar-SA"/>
        </w:rPr>
        <w:t>六、资格证明材料</w:t>
      </w:r>
      <w:bookmarkEnd w:id="964"/>
      <w:bookmarkEnd w:id="965"/>
      <w:bookmarkEnd w:id="966"/>
    </w:p>
    <w:p w14:paraId="2B3018EA">
      <w:pPr>
        <w:wordWrap w:val="0"/>
        <w:spacing w:line="420" w:lineRule="exact"/>
        <w:jc w:val="center"/>
        <w:rPr>
          <w:rFonts w:ascii="宋体" w:hAnsi="宋体" w:cs="宋体"/>
          <w:b/>
          <w:bCs/>
          <w:sz w:val="28"/>
          <w:szCs w:val="28"/>
        </w:rPr>
      </w:pPr>
      <w:bookmarkStart w:id="972" w:name="_Toc9513"/>
      <w:bookmarkStart w:id="973" w:name="_Toc456185719"/>
      <w:r>
        <w:rPr>
          <w:rFonts w:hint="eastAsia" w:ascii="宋体" w:hAnsi="宋体" w:cs="宋体"/>
          <w:b/>
          <w:bCs/>
          <w:sz w:val="28"/>
          <w:szCs w:val="28"/>
        </w:rPr>
        <w:t>供应商基本情况表</w:t>
      </w:r>
      <w:bookmarkEnd w:id="972"/>
      <w:bookmarkEnd w:id="973"/>
    </w:p>
    <w:tbl>
      <w:tblPr>
        <w:tblStyle w:val="53"/>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001"/>
        <w:gridCol w:w="1480"/>
        <w:gridCol w:w="1311"/>
        <w:gridCol w:w="226"/>
        <w:gridCol w:w="1167"/>
        <w:gridCol w:w="289"/>
        <w:gridCol w:w="792"/>
        <w:gridCol w:w="1592"/>
      </w:tblGrid>
      <w:tr w14:paraId="0E15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6088CB2B">
            <w:pPr>
              <w:wordWrap w:val="0"/>
              <w:jc w:val="center"/>
              <w:rPr>
                <w:rFonts w:ascii="宋体" w:hAnsi="宋体" w:cs="宋体"/>
                <w:sz w:val="24"/>
                <w:szCs w:val="24"/>
              </w:rPr>
            </w:pPr>
            <w:r>
              <w:rPr>
                <w:rFonts w:hint="eastAsia" w:ascii="宋体" w:hAnsi="宋体" w:cs="宋体"/>
                <w:sz w:val="24"/>
                <w:szCs w:val="24"/>
              </w:rPr>
              <w:t>供应商名称</w:t>
            </w:r>
          </w:p>
        </w:tc>
        <w:tc>
          <w:tcPr>
            <w:tcW w:w="7858" w:type="dxa"/>
            <w:gridSpan w:val="8"/>
            <w:vAlign w:val="center"/>
          </w:tcPr>
          <w:p w14:paraId="2FA7D9C7">
            <w:pPr>
              <w:wordWrap w:val="0"/>
              <w:jc w:val="center"/>
              <w:rPr>
                <w:rFonts w:ascii="宋体" w:hAnsi="宋体" w:cs="宋体"/>
                <w:sz w:val="24"/>
                <w:szCs w:val="24"/>
              </w:rPr>
            </w:pPr>
          </w:p>
        </w:tc>
      </w:tr>
      <w:tr w14:paraId="61BA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781E2668">
            <w:pPr>
              <w:wordWrap w:val="0"/>
              <w:jc w:val="center"/>
              <w:rPr>
                <w:rFonts w:ascii="宋体" w:hAnsi="宋体" w:cs="宋体"/>
                <w:sz w:val="24"/>
                <w:szCs w:val="24"/>
              </w:rPr>
            </w:pPr>
            <w:r>
              <w:rPr>
                <w:rFonts w:hint="eastAsia" w:ascii="宋体" w:hAnsi="宋体" w:cs="宋体"/>
                <w:sz w:val="24"/>
                <w:szCs w:val="24"/>
              </w:rPr>
              <w:t>注册地址</w:t>
            </w:r>
          </w:p>
        </w:tc>
        <w:tc>
          <w:tcPr>
            <w:tcW w:w="3792" w:type="dxa"/>
            <w:gridSpan w:val="3"/>
            <w:vAlign w:val="center"/>
          </w:tcPr>
          <w:p w14:paraId="077D34E6">
            <w:pPr>
              <w:wordWrap w:val="0"/>
              <w:jc w:val="center"/>
              <w:rPr>
                <w:rFonts w:ascii="宋体" w:hAnsi="宋体" w:cs="宋体"/>
                <w:sz w:val="24"/>
                <w:szCs w:val="24"/>
              </w:rPr>
            </w:pPr>
          </w:p>
        </w:tc>
        <w:tc>
          <w:tcPr>
            <w:tcW w:w="1393" w:type="dxa"/>
            <w:gridSpan w:val="2"/>
            <w:vAlign w:val="center"/>
          </w:tcPr>
          <w:p w14:paraId="4FED8CFA">
            <w:pPr>
              <w:wordWrap w:val="0"/>
              <w:jc w:val="center"/>
              <w:rPr>
                <w:rFonts w:ascii="宋体" w:hAnsi="宋体" w:cs="宋体"/>
                <w:sz w:val="24"/>
                <w:szCs w:val="24"/>
              </w:rPr>
            </w:pPr>
            <w:r>
              <w:rPr>
                <w:rFonts w:hint="eastAsia" w:ascii="宋体" w:hAnsi="宋体" w:cs="宋体"/>
                <w:sz w:val="24"/>
                <w:szCs w:val="24"/>
              </w:rPr>
              <w:t>邮政编码</w:t>
            </w:r>
          </w:p>
        </w:tc>
        <w:tc>
          <w:tcPr>
            <w:tcW w:w="2673" w:type="dxa"/>
            <w:gridSpan w:val="3"/>
            <w:vAlign w:val="center"/>
          </w:tcPr>
          <w:p w14:paraId="424C3D32">
            <w:pPr>
              <w:wordWrap w:val="0"/>
              <w:jc w:val="center"/>
              <w:rPr>
                <w:rFonts w:ascii="宋体" w:hAnsi="宋体" w:cs="宋体"/>
                <w:sz w:val="24"/>
                <w:szCs w:val="24"/>
              </w:rPr>
            </w:pPr>
          </w:p>
        </w:tc>
      </w:tr>
      <w:tr w14:paraId="53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restart"/>
            <w:vAlign w:val="center"/>
          </w:tcPr>
          <w:p w14:paraId="63CB0F03">
            <w:pPr>
              <w:wordWrap w:val="0"/>
              <w:jc w:val="center"/>
              <w:rPr>
                <w:rFonts w:ascii="宋体" w:hAnsi="宋体" w:cs="宋体"/>
                <w:sz w:val="24"/>
                <w:szCs w:val="24"/>
              </w:rPr>
            </w:pPr>
            <w:r>
              <w:rPr>
                <w:rFonts w:hint="eastAsia" w:ascii="宋体" w:hAnsi="宋体" w:cs="宋体"/>
                <w:sz w:val="24"/>
                <w:szCs w:val="24"/>
              </w:rPr>
              <w:t>联系方式</w:t>
            </w:r>
          </w:p>
        </w:tc>
        <w:tc>
          <w:tcPr>
            <w:tcW w:w="1001" w:type="dxa"/>
            <w:vAlign w:val="center"/>
          </w:tcPr>
          <w:p w14:paraId="2869F492">
            <w:pPr>
              <w:wordWrap w:val="0"/>
              <w:jc w:val="center"/>
              <w:rPr>
                <w:rFonts w:ascii="宋体" w:hAnsi="宋体" w:cs="宋体"/>
                <w:sz w:val="24"/>
                <w:szCs w:val="24"/>
              </w:rPr>
            </w:pPr>
            <w:r>
              <w:rPr>
                <w:rFonts w:hint="eastAsia" w:ascii="宋体" w:hAnsi="宋体" w:cs="宋体"/>
                <w:sz w:val="24"/>
                <w:szCs w:val="24"/>
              </w:rPr>
              <w:t>联系人</w:t>
            </w:r>
          </w:p>
        </w:tc>
        <w:tc>
          <w:tcPr>
            <w:tcW w:w="2791" w:type="dxa"/>
            <w:gridSpan w:val="2"/>
            <w:vAlign w:val="center"/>
          </w:tcPr>
          <w:p w14:paraId="7C767CE1">
            <w:pPr>
              <w:wordWrap w:val="0"/>
              <w:jc w:val="center"/>
              <w:rPr>
                <w:rFonts w:ascii="宋体" w:hAnsi="宋体" w:cs="宋体"/>
                <w:sz w:val="24"/>
                <w:szCs w:val="24"/>
              </w:rPr>
            </w:pPr>
          </w:p>
        </w:tc>
        <w:tc>
          <w:tcPr>
            <w:tcW w:w="1393" w:type="dxa"/>
            <w:gridSpan w:val="2"/>
            <w:vAlign w:val="center"/>
          </w:tcPr>
          <w:p w14:paraId="1C6C8307">
            <w:pPr>
              <w:wordWrap w:val="0"/>
              <w:jc w:val="center"/>
              <w:rPr>
                <w:rFonts w:ascii="宋体" w:hAnsi="宋体" w:cs="宋体"/>
                <w:sz w:val="24"/>
                <w:szCs w:val="24"/>
              </w:rPr>
            </w:pPr>
            <w:r>
              <w:rPr>
                <w:rFonts w:hint="eastAsia" w:ascii="宋体" w:hAnsi="宋体" w:cs="宋体"/>
                <w:sz w:val="24"/>
                <w:szCs w:val="24"/>
              </w:rPr>
              <w:t>电  话</w:t>
            </w:r>
          </w:p>
        </w:tc>
        <w:tc>
          <w:tcPr>
            <w:tcW w:w="2673" w:type="dxa"/>
            <w:gridSpan w:val="3"/>
            <w:vAlign w:val="center"/>
          </w:tcPr>
          <w:p w14:paraId="5DABB778">
            <w:pPr>
              <w:wordWrap w:val="0"/>
              <w:jc w:val="center"/>
              <w:rPr>
                <w:rFonts w:ascii="宋体" w:hAnsi="宋体" w:cs="宋体"/>
                <w:sz w:val="24"/>
                <w:szCs w:val="24"/>
              </w:rPr>
            </w:pPr>
          </w:p>
        </w:tc>
      </w:tr>
      <w:tr w14:paraId="359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Merge w:val="continue"/>
            <w:vAlign w:val="center"/>
          </w:tcPr>
          <w:p w14:paraId="2CFF8025">
            <w:pPr>
              <w:wordWrap w:val="0"/>
              <w:ind w:firstLine="480"/>
              <w:jc w:val="center"/>
              <w:rPr>
                <w:rFonts w:ascii="宋体" w:hAnsi="宋体" w:cs="宋体"/>
                <w:sz w:val="24"/>
                <w:szCs w:val="24"/>
              </w:rPr>
            </w:pPr>
          </w:p>
        </w:tc>
        <w:tc>
          <w:tcPr>
            <w:tcW w:w="1001" w:type="dxa"/>
            <w:vAlign w:val="center"/>
          </w:tcPr>
          <w:p w14:paraId="407BC8BC">
            <w:pPr>
              <w:wordWrap w:val="0"/>
              <w:jc w:val="center"/>
              <w:rPr>
                <w:rFonts w:ascii="宋体" w:hAnsi="宋体" w:cs="宋体"/>
                <w:sz w:val="24"/>
                <w:szCs w:val="24"/>
              </w:rPr>
            </w:pPr>
            <w:r>
              <w:rPr>
                <w:rFonts w:hint="eastAsia" w:ascii="宋体" w:hAnsi="宋体" w:cs="宋体"/>
                <w:sz w:val="24"/>
                <w:szCs w:val="24"/>
              </w:rPr>
              <w:t>传  真</w:t>
            </w:r>
          </w:p>
        </w:tc>
        <w:tc>
          <w:tcPr>
            <w:tcW w:w="2791" w:type="dxa"/>
            <w:gridSpan w:val="2"/>
            <w:vAlign w:val="center"/>
          </w:tcPr>
          <w:p w14:paraId="76E2DDD4">
            <w:pPr>
              <w:wordWrap w:val="0"/>
              <w:jc w:val="center"/>
              <w:rPr>
                <w:rFonts w:ascii="宋体" w:hAnsi="宋体" w:cs="宋体"/>
                <w:sz w:val="24"/>
                <w:szCs w:val="24"/>
              </w:rPr>
            </w:pPr>
          </w:p>
        </w:tc>
        <w:tc>
          <w:tcPr>
            <w:tcW w:w="1393" w:type="dxa"/>
            <w:gridSpan w:val="2"/>
            <w:vAlign w:val="center"/>
          </w:tcPr>
          <w:p w14:paraId="1E5F5145">
            <w:pPr>
              <w:wordWrap w:val="0"/>
              <w:jc w:val="center"/>
              <w:rPr>
                <w:rFonts w:ascii="宋体" w:hAnsi="宋体" w:cs="宋体"/>
                <w:sz w:val="24"/>
                <w:szCs w:val="24"/>
              </w:rPr>
            </w:pPr>
            <w:r>
              <w:rPr>
                <w:rFonts w:hint="eastAsia" w:ascii="宋体" w:hAnsi="宋体" w:cs="宋体"/>
                <w:sz w:val="24"/>
                <w:szCs w:val="24"/>
              </w:rPr>
              <w:t>网  址</w:t>
            </w:r>
          </w:p>
        </w:tc>
        <w:tc>
          <w:tcPr>
            <w:tcW w:w="2673" w:type="dxa"/>
            <w:gridSpan w:val="3"/>
            <w:vAlign w:val="center"/>
          </w:tcPr>
          <w:p w14:paraId="0254B499">
            <w:pPr>
              <w:wordWrap w:val="0"/>
              <w:ind w:firstLine="480"/>
              <w:jc w:val="center"/>
              <w:rPr>
                <w:rFonts w:ascii="宋体" w:hAnsi="宋体" w:cs="宋体"/>
                <w:sz w:val="24"/>
                <w:szCs w:val="24"/>
              </w:rPr>
            </w:pPr>
          </w:p>
        </w:tc>
      </w:tr>
      <w:tr w14:paraId="3F26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2E433BD8">
            <w:pPr>
              <w:wordWrap w:val="0"/>
              <w:jc w:val="center"/>
              <w:rPr>
                <w:rFonts w:ascii="宋体" w:hAnsi="宋体" w:cs="宋体"/>
                <w:sz w:val="24"/>
                <w:szCs w:val="24"/>
              </w:rPr>
            </w:pPr>
            <w:r>
              <w:rPr>
                <w:rFonts w:hint="eastAsia" w:ascii="宋体" w:hAnsi="宋体" w:cs="宋体"/>
                <w:sz w:val="24"/>
                <w:szCs w:val="24"/>
              </w:rPr>
              <w:t>组织结构</w:t>
            </w:r>
          </w:p>
        </w:tc>
        <w:tc>
          <w:tcPr>
            <w:tcW w:w="7858" w:type="dxa"/>
            <w:gridSpan w:val="8"/>
            <w:vAlign w:val="center"/>
          </w:tcPr>
          <w:p w14:paraId="434A1294">
            <w:pPr>
              <w:wordWrap w:val="0"/>
              <w:jc w:val="center"/>
              <w:rPr>
                <w:rFonts w:ascii="宋体" w:hAnsi="宋体" w:cs="宋体"/>
                <w:sz w:val="24"/>
                <w:szCs w:val="24"/>
              </w:rPr>
            </w:pPr>
          </w:p>
        </w:tc>
      </w:tr>
      <w:tr w14:paraId="7BC8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51307A8E">
            <w:pPr>
              <w:wordWrap w:val="0"/>
              <w:jc w:val="center"/>
              <w:rPr>
                <w:rFonts w:ascii="宋体" w:hAnsi="宋体" w:cs="宋体"/>
                <w:sz w:val="24"/>
                <w:szCs w:val="24"/>
              </w:rPr>
            </w:pPr>
            <w:r>
              <w:rPr>
                <w:rFonts w:hint="eastAsia" w:ascii="宋体" w:hAnsi="宋体" w:cs="宋体"/>
                <w:sz w:val="24"/>
                <w:szCs w:val="24"/>
              </w:rPr>
              <w:t>法定代表人</w:t>
            </w:r>
          </w:p>
        </w:tc>
        <w:tc>
          <w:tcPr>
            <w:tcW w:w="1001" w:type="dxa"/>
            <w:vAlign w:val="center"/>
          </w:tcPr>
          <w:p w14:paraId="4F4528CC">
            <w:pPr>
              <w:wordWrap w:val="0"/>
              <w:jc w:val="center"/>
              <w:rPr>
                <w:rFonts w:ascii="宋体" w:hAnsi="宋体" w:cs="宋体"/>
                <w:sz w:val="24"/>
                <w:szCs w:val="24"/>
              </w:rPr>
            </w:pPr>
            <w:r>
              <w:rPr>
                <w:rFonts w:hint="eastAsia" w:ascii="宋体" w:hAnsi="宋体" w:cs="宋体"/>
                <w:sz w:val="24"/>
                <w:szCs w:val="24"/>
              </w:rPr>
              <w:t>姓名</w:t>
            </w:r>
          </w:p>
        </w:tc>
        <w:tc>
          <w:tcPr>
            <w:tcW w:w="1480" w:type="dxa"/>
            <w:vAlign w:val="center"/>
          </w:tcPr>
          <w:p w14:paraId="19D69C0D">
            <w:pPr>
              <w:wordWrap w:val="0"/>
              <w:jc w:val="center"/>
              <w:rPr>
                <w:rFonts w:ascii="宋体" w:hAnsi="宋体" w:cs="宋体"/>
                <w:sz w:val="24"/>
                <w:szCs w:val="24"/>
              </w:rPr>
            </w:pPr>
          </w:p>
        </w:tc>
        <w:tc>
          <w:tcPr>
            <w:tcW w:w="1537" w:type="dxa"/>
            <w:gridSpan w:val="2"/>
            <w:vAlign w:val="center"/>
          </w:tcPr>
          <w:p w14:paraId="18792F4D">
            <w:pPr>
              <w:wordWrap w:val="0"/>
              <w:jc w:val="center"/>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5039F58B">
            <w:pPr>
              <w:wordWrap w:val="0"/>
              <w:jc w:val="center"/>
              <w:rPr>
                <w:rFonts w:ascii="宋体" w:hAnsi="宋体" w:cs="宋体"/>
                <w:sz w:val="24"/>
                <w:szCs w:val="24"/>
              </w:rPr>
            </w:pPr>
          </w:p>
        </w:tc>
        <w:tc>
          <w:tcPr>
            <w:tcW w:w="792" w:type="dxa"/>
            <w:vAlign w:val="center"/>
          </w:tcPr>
          <w:p w14:paraId="0EAB53AE">
            <w:pPr>
              <w:wordWrap w:val="0"/>
              <w:jc w:val="center"/>
              <w:rPr>
                <w:rFonts w:ascii="宋体" w:hAnsi="宋体" w:cs="宋体"/>
                <w:sz w:val="24"/>
                <w:szCs w:val="24"/>
              </w:rPr>
            </w:pPr>
            <w:r>
              <w:rPr>
                <w:rFonts w:hint="eastAsia" w:ascii="宋体" w:hAnsi="宋体" w:cs="宋体"/>
                <w:sz w:val="24"/>
                <w:szCs w:val="24"/>
              </w:rPr>
              <w:t>电话</w:t>
            </w:r>
          </w:p>
        </w:tc>
        <w:tc>
          <w:tcPr>
            <w:tcW w:w="1592" w:type="dxa"/>
            <w:vAlign w:val="center"/>
          </w:tcPr>
          <w:p w14:paraId="4FB112CA">
            <w:pPr>
              <w:wordWrap w:val="0"/>
              <w:jc w:val="center"/>
              <w:rPr>
                <w:rFonts w:ascii="宋体" w:hAnsi="宋体" w:cs="宋体"/>
                <w:sz w:val="24"/>
                <w:szCs w:val="24"/>
              </w:rPr>
            </w:pPr>
          </w:p>
        </w:tc>
      </w:tr>
      <w:tr w14:paraId="5EBF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3B19B58">
            <w:pPr>
              <w:wordWrap w:val="0"/>
              <w:jc w:val="center"/>
              <w:rPr>
                <w:rFonts w:ascii="宋体" w:hAnsi="宋体" w:cs="宋体"/>
                <w:sz w:val="24"/>
                <w:szCs w:val="24"/>
              </w:rPr>
            </w:pPr>
            <w:r>
              <w:rPr>
                <w:rFonts w:hint="eastAsia" w:ascii="宋体" w:hAnsi="宋体" w:cs="宋体"/>
                <w:sz w:val="24"/>
                <w:szCs w:val="24"/>
              </w:rPr>
              <w:t>项目负责人</w:t>
            </w:r>
          </w:p>
        </w:tc>
        <w:tc>
          <w:tcPr>
            <w:tcW w:w="1001" w:type="dxa"/>
            <w:vAlign w:val="center"/>
          </w:tcPr>
          <w:p w14:paraId="43250BBD">
            <w:pPr>
              <w:wordWrap w:val="0"/>
              <w:jc w:val="center"/>
              <w:rPr>
                <w:rFonts w:ascii="宋体" w:hAnsi="宋体" w:cs="宋体"/>
                <w:sz w:val="24"/>
                <w:szCs w:val="24"/>
              </w:rPr>
            </w:pPr>
            <w:r>
              <w:rPr>
                <w:rFonts w:hint="eastAsia" w:ascii="宋体" w:hAnsi="宋体" w:cs="宋体"/>
                <w:sz w:val="24"/>
                <w:szCs w:val="24"/>
              </w:rPr>
              <w:t>姓名</w:t>
            </w:r>
          </w:p>
        </w:tc>
        <w:tc>
          <w:tcPr>
            <w:tcW w:w="1480" w:type="dxa"/>
            <w:vAlign w:val="center"/>
          </w:tcPr>
          <w:p w14:paraId="3DA60C33">
            <w:pPr>
              <w:wordWrap w:val="0"/>
              <w:jc w:val="center"/>
              <w:rPr>
                <w:rFonts w:ascii="宋体" w:hAnsi="宋体" w:cs="宋体"/>
                <w:sz w:val="24"/>
                <w:szCs w:val="24"/>
              </w:rPr>
            </w:pPr>
          </w:p>
        </w:tc>
        <w:tc>
          <w:tcPr>
            <w:tcW w:w="1537" w:type="dxa"/>
            <w:gridSpan w:val="2"/>
            <w:vAlign w:val="center"/>
          </w:tcPr>
          <w:p w14:paraId="7A750E3F">
            <w:pPr>
              <w:wordWrap w:val="0"/>
              <w:jc w:val="center"/>
              <w:rPr>
                <w:rFonts w:ascii="宋体" w:hAnsi="宋体" w:cs="宋体"/>
                <w:sz w:val="24"/>
                <w:szCs w:val="24"/>
              </w:rPr>
            </w:pPr>
            <w:r>
              <w:rPr>
                <w:rFonts w:hint="eastAsia" w:ascii="宋体" w:hAnsi="宋体" w:cs="宋体"/>
                <w:sz w:val="24"/>
                <w:szCs w:val="24"/>
              </w:rPr>
              <w:t>职务（职称）</w:t>
            </w:r>
          </w:p>
        </w:tc>
        <w:tc>
          <w:tcPr>
            <w:tcW w:w="1456" w:type="dxa"/>
            <w:gridSpan w:val="2"/>
            <w:vAlign w:val="center"/>
          </w:tcPr>
          <w:p w14:paraId="644E296C">
            <w:pPr>
              <w:wordWrap w:val="0"/>
              <w:jc w:val="center"/>
              <w:rPr>
                <w:rFonts w:ascii="宋体" w:hAnsi="宋体" w:cs="宋体"/>
                <w:sz w:val="24"/>
                <w:szCs w:val="24"/>
              </w:rPr>
            </w:pPr>
          </w:p>
        </w:tc>
        <w:tc>
          <w:tcPr>
            <w:tcW w:w="792" w:type="dxa"/>
            <w:vAlign w:val="center"/>
          </w:tcPr>
          <w:p w14:paraId="24E42D49">
            <w:pPr>
              <w:wordWrap w:val="0"/>
              <w:jc w:val="center"/>
              <w:rPr>
                <w:rFonts w:ascii="宋体" w:hAnsi="宋体" w:cs="宋体"/>
                <w:sz w:val="24"/>
                <w:szCs w:val="24"/>
              </w:rPr>
            </w:pPr>
            <w:r>
              <w:rPr>
                <w:rFonts w:hint="eastAsia" w:ascii="宋体" w:hAnsi="宋体" w:cs="宋体"/>
                <w:sz w:val="24"/>
                <w:szCs w:val="24"/>
              </w:rPr>
              <w:t>电话</w:t>
            </w:r>
          </w:p>
        </w:tc>
        <w:tc>
          <w:tcPr>
            <w:tcW w:w="1592" w:type="dxa"/>
            <w:vAlign w:val="center"/>
          </w:tcPr>
          <w:p w14:paraId="70300AF4">
            <w:pPr>
              <w:wordWrap w:val="0"/>
              <w:jc w:val="center"/>
              <w:rPr>
                <w:rFonts w:ascii="宋体" w:hAnsi="宋体" w:cs="宋体"/>
                <w:sz w:val="24"/>
                <w:szCs w:val="24"/>
              </w:rPr>
            </w:pPr>
          </w:p>
        </w:tc>
      </w:tr>
      <w:tr w14:paraId="34B4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661" w:type="dxa"/>
            <w:vAlign w:val="center"/>
          </w:tcPr>
          <w:p w14:paraId="1557BA0E">
            <w:pPr>
              <w:wordWrap w:val="0"/>
              <w:jc w:val="center"/>
              <w:rPr>
                <w:rFonts w:ascii="宋体" w:hAnsi="宋体" w:cs="宋体"/>
                <w:sz w:val="24"/>
                <w:szCs w:val="24"/>
              </w:rPr>
            </w:pPr>
            <w:r>
              <w:rPr>
                <w:rFonts w:hint="eastAsia" w:ascii="宋体" w:hAnsi="宋体" w:cs="宋体"/>
                <w:sz w:val="24"/>
                <w:szCs w:val="24"/>
              </w:rPr>
              <w:t>成立时间</w:t>
            </w:r>
          </w:p>
        </w:tc>
        <w:tc>
          <w:tcPr>
            <w:tcW w:w="2481" w:type="dxa"/>
            <w:gridSpan w:val="2"/>
            <w:vAlign w:val="center"/>
          </w:tcPr>
          <w:p w14:paraId="619A9BE8">
            <w:pPr>
              <w:wordWrap w:val="0"/>
              <w:jc w:val="center"/>
              <w:rPr>
                <w:rFonts w:ascii="宋体" w:hAnsi="宋体" w:cs="宋体"/>
                <w:sz w:val="24"/>
                <w:szCs w:val="24"/>
              </w:rPr>
            </w:pPr>
          </w:p>
        </w:tc>
        <w:tc>
          <w:tcPr>
            <w:tcW w:w="5377" w:type="dxa"/>
            <w:gridSpan w:val="6"/>
            <w:vAlign w:val="center"/>
          </w:tcPr>
          <w:p w14:paraId="10BFAC68">
            <w:pPr>
              <w:wordWrap w:val="0"/>
              <w:jc w:val="left"/>
              <w:rPr>
                <w:rFonts w:ascii="宋体" w:hAnsi="宋体" w:cs="宋体"/>
                <w:sz w:val="24"/>
                <w:szCs w:val="24"/>
              </w:rPr>
            </w:pPr>
            <w:r>
              <w:rPr>
                <w:rFonts w:hint="eastAsia" w:ascii="宋体" w:hAnsi="宋体" w:cs="宋体"/>
                <w:sz w:val="24"/>
                <w:szCs w:val="24"/>
              </w:rPr>
              <w:t>员工总人数：</w:t>
            </w:r>
          </w:p>
        </w:tc>
      </w:tr>
      <w:tr w14:paraId="2CBC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1661" w:type="dxa"/>
            <w:vAlign w:val="center"/>
          </w:tcPr>
          <w:p w14:paraId="10B9F501">
            <w:pPr>
              <w:wordWrap w:val="0"/>
              <w:spacing w:line="420" w:lineRule="exact"/>
              <w:jc w:val="center"/>
              <w:rPr>
                <w:rFonts w:ascii="宋体" w:hAnsi="宋体" w:cs="宋体"/>
                <w:sz w:val="24"/>
                <w:szCs w:val="24"/>
              </w:rPr>
            </w:pPr>
            <w:r>
              <w:rPr>
                <w:rFonts w:hint="eastAsia" w:ascii="宋体" w:hAnsi="宋体" w:cs="宋体"/>
                <w:sz w:val="24"/>
                <w:szCs w:val="24"/>
              </w:rPr>
              <w:t>经营范围</w:t>
            </w:r>
          </w:p>
        </w:tc>
        <w:tc>
          <w:tcPr>
            <w:tcW w:w="7858" w:type="dxa"/>
            <w:gridSpan w:val="8"/>
            <w:vAlign w:val="center"/>
          </w:tcPr>
          <w:p w14:paraId="679CEF90">
            <w:pPr>
              <w:wordWrap w:val="0"/>
              <w:spacing w:line="420" w:lineRule="exact"/>
              <w:rPr>
                <w:rFonts w:ascii="宋体" w:hAnsi="宋体" w:cs="宋体"/>
                <w:sz w:val="24"/>
                <w:szCs w:val="24"/>
              </w:rPr>
            </w:pPr>
          </w:p>
        </w:tc>
      </w:tr>
      <w:tr w14:paraId="456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661" w:type="dxa"/>
            <w:vAlign w:val="center"/>
          </w:tcPr>
          <w:p w14:paraId="0A0C5FCD">
            <w:pPr>
              <w:wordWrap w:val="0"/>
              <w:spacing w:line="420" w:lineRule="exact"/>
              <w:jc w:val="center"/>
              <w:rPr>
                <w:rFonts w:ascii="宋体" w:hAnsi="宋体" w:cs="宋体"/>
                <w:sz w:val="24"/>
                <w:szCs w:val="24"/>
              </w:rPr>
            </w:pPr>
            <w:r>
              <w:rPr>
                <w:rFonts w:hint="eastAsia" w:ascii="宋体" w:hAnsi="宋体" w:cs="宋体"/>
                <w:sz w:val="24"/>
                <w:szCs w:val="24"/>
              </w:rPr>
              <w:t>备注</w:t>
            </w:r>
          </w:p>
        </w:tc>
        <w:tc>
          <w:tcPr>
            <w:tcW w:w="7858" w:type="dxa"/>
            <w:gridSpan w:val="8"/>
            <w:vAlign w:val="center"/>
          </w:tcPr>
          <w:p w14:paraId="6CCFE16C">
            <w:pPr>
              <w:wordWrap w:val="0"/>
              <w:spacing w:line="420" w:lineRule="exact"/>
              <w:jc w:val="center"/>
              <w:rPr>
                <w:rFonts w:ascii="宋体" w:hAnsi="宋体" w:cs="宋体"/>
                <w:sz w:val="24"/>
                <w:szCs w:val="24"/>
              </w:rPr>
            </w:pPr>
          </w:p>
        </w:tc>
      </w:tr>
    </w:tbl>
    <w:p w14:paraId="2B8E48A5">
      <w:pPr>
        <w:wordWrap w:val="0"/>
        <w:spacing w:line="420" w:lineRule="exact"/>
        <w:rPr>
          <w:rFonts w:ascii="宋体" w:hAnsi="宋体" w:cs="宋体"/>
          <w:szCs w:val="21"/>
        </w:rPr>
      </w:pPr>
    </w:p>
    <w:p w14:paraId="54C3BBD0">
      <w:pPr>
        <w:wordWrap w:val="0"/>
        <w:spacing w:line="420" w:lineRule="exact"/>
        <w:rPr>
          <w:rFonts w:ascii="宋体" w:hAnsi="宋体" w:cs="宋体"/>
          <w:szCs w:val="21"/>
        </w:rPr>
      </w:pPr>
      <w:r>
        <w:rPr>
          <w:rFonts w:hint="eastAsia" w:ascii="宋体" w:hAnsi="宋体" w:cs="宋体"/>
          <w:szCs w:val="21"/>
        </w:rPr>
        <w:t>注：根据供应商须知前附表第1.</w:t>
      </w:r>
      <w:r>
        <w:rPr>
          <w:rFonts w:hint="eastAsia" w:ascii="宋体" w:hAnsi="宋体" w:cs="宋体"/>
          <w:szCs w:val="21"/>
          <w:lang w:val="en-US" w:eastAsia="zh-CN"/>
        </w:rPr>
        <w:t>4</w:t>
      </w:r>
      <w:r>
        <w:rPr>
          <w:rFonts w:hint="eastAsia" w:ascii="宋体" w:hAnsi="宋体" w:cs="宋体"/>
          <w:szCs w:val="21"/>
        </w:rPr>
        <w:t>.1项的要求在本表后附供应商证明材料。</w:t>
      </w:r>
    </w:p>
    <w:bookmarkEnd w:id="967"/>
    <w:bookmarkEnd w:id="968"/>
    <w:bookmarkEnd w:id="969"/>
    <w:p w14:paraId="1EC98D71">
      <w:pPr>
        <w:rPr>
          <w:rFonts w:hint="eastAsia" w:ascii="宋体" w:hAnsi="宋体" w:cs="宋体"/>
          <w:szCs w:val="21"/>
        </w:rPr>
      </w:pPr>
      <w:bookmarkStart w:id="974" w:name="_Toc15604"/>
      <w:bookmarkStart w:id="975" w:name="_Toc18442"/>
      <w:bookmarkStart w:id="976" w:name="_Toc24549"/>
      <w:r>
        <w:rPr>
          <w:rFonts w:hint="eastAsia" w:ascii="宋体" w:hAnsi="宋体" w:cs="宋体"/>
          <w:szCs w:val="21"/>
        </w:rPr>
        <w:br w:type="page"/>
      </w:r>
    </w:p>
    <w:p w14:paraId="190A7542">
      <w:pPr>
        <w:pStyle w:val="4"/>
        <w:pageBreakBefore w:val="0"/>
        <w:kinsoku/>
        <w:wordWrap/>
        <w:overflowPunct/>
        <w:topLinePunct w:val="0"/>
        <w:autoSpaceDE/>
        <w:autoSpaceDN/>
        <w:bidi w:val="0"/>
        <w:adjustRightInd/>
        <w:snapToGrid/>
        <w:spacing w:before="0" w:after="0" w:line="360" w:lineRule="auto"/>
        <w:jc w:val="left"/>
        <w:textAlignment w:val="auto"/>
        <w:rPr>
          <w:rFonts w:hint="eastAsia"/>
        </w:rPr>
      </w:pPr>
      <w:bookmarkStart w:id="977" w:name="_Toc22845"/>
      <w:bookmarkStart w:id="978" w:name="_Toc15767"/>
      <w:r>
        <w:rPr>
          <w:rFonts w:hint="eastAsia"/>
        </w:rPr>
        <w:t>附件：</w:t>
      </w:r>
      <w:bookmarkEnd w:id="977"/>
      <w:bookmarkEnd w:id="978"/>
    </w:p>
    <w:p w14:paraId="5E575D07">
      <w:pPr>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auto"/>
          <w:kern w:val="0"/>
          <w:szCs w:val="21"/>
          <w:lang w:bidi="ar"/>
        </w:rPr>
      </w:pPr>
      <w:r>
        <w:rPr>
          <w:rFonts w:hint="eastAsia" w:ascii="宋体" w:hAnsi="宋体" w:cs="宋体"/>
          <w:b/>
          <w:bCs/>
          <w:color w:val="auto"/>
          <w:kern w:val="0"/>
          <w:szCs w:val="21"/>
          <w:lang w:bidi="ar"/>
        </w:rPr>
        <w:t>固始县政府采购供应商信用承诺函</w:t>
      </w:r>
    </w:p>
    <w:p w14:paraId="49982E1C">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致（采购人或采购代理机构）</w:t>
      </w:r>
      <w:r>
        <w:rPr>
          <w:rFonts w:hint="eastAsia" w:ascii="宋体" w:hAnsi="宋体" w:cs="宋体"/>
          <w:color w:val="auto"/>
          <w:kern w:val="0"/>
          <w:szCs w:val="21"/>
          <w:u w:val="single"/>
          <w:lang w:bidi="ar"/>
        </w:rPr>
        <w:t xml:space="preserve">：                 </w:t>
      </w:r>
    </w:p>
    <w:p w14:paraId="71440197">
      <w:pPr>
        <w:widowControl/>
        <w:spacing w:line="400" w:lineRule="exact"/>
        <w:ind w:firstLine="420" w:firstLineChars="0"/>
        <w:jc w:val="left"/>
        <w:rPr>
          <w:rFonts w:hint="eastAsia" w:ascii="宋体" w:hAnsi="宋体" w:cs="宋体"/>
          <w:color w:val="auto"/>
          <w:kern w:val="0"/>
          <w:szCs w:val="21"/>
          <w:u w:val="single"/>
          <w:lang w:bidi="ar"/>
        </w:rPr>
      </w:pPr>
      <w:r>
        <w:rPr>
          <w:rFonts w:hint="eastAsia" w:ascii="宋体" w:hAnsi="宋体" w:cs="宋体"/>
          <w:color w:val="auto"/>
          <w:kern w:val="0"/>
          <w:szCs w:val="21"/>
          <w:lang w:bidi="ar"/>
        </w:rPr>
        <w:t>单位名称（自然人姓名）</w:t>
      </w:r>
      <w:r>
        <w:rPr>
          <w:rFonts w:hint="eastAsia" w:ascii="宋体" w:hAnsi="宋体" w:cs="宋体"/>
          <w:color w:val="auto"/>
          <w:kern w:val="0"/>
          <w:szCs w:val="21"/>
          <w:u w:val="single"/>
          <w:lang w:bidi="ar"/>
        </w:rPr>
        <w:t xml:space="preserve">：                     </w:t>
      </w:r>
    </w:p>
    <w:p w14:paraId="3FF2DC51">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统一社会信用代码（身份证号码）</w:t>
      </w:r>
      <w:r>
        <w:rPr>
          <w:rFonts w:hint="eastAsia" w:ascii="宋体" w:hAnsi="宋体" w:cs="宋体"/>
          <w:color w:val="auto"/>
          <w:kern w:val="0"/>
          <w:szCs w:val="21"/>
          <w:u w:val="single"/>
          <w:lang w:bidi="ar"/>
        </w:rPr>
        <w:t xml:space="preserve">：             </w:t>
      </w:r>
    </w:p>
    <w:p w14:paraId="54E59297">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法定代表人（负责人）</w:t>
      </w:r>
      <w:r>
        <w:rPr>
          <w:rFonts w:hint="eastAsia" w:ascii="宋体" w:hAnsi="宋体" w:cs="宋体"/>
          <w:color w:val="auto"/>
          <w:kern w:val="0"/>
          <w:szCs w:val="21"/>
          <w:u w:val="single"/>
          <w:lang w:bidi="ar"/>
        </w:rPr>
        <w:t xml:space="preserve">：                       </w:t>
      </w:r>
    </w:p>
    <w:p w14:paraId="6A76E2DD">
      <w:pPr>
        <w:widowControl/>
        <w:spacing w:line="400" w:lineRule="exact"/>
        <w:ind w:firstLine="420" w:firstLineChars="0"/>
        <w:jc w:val="left"/>
        <w:rPr>
          <w:rFonts w:ascii="宋体" w:hAnsi="宋体" w:cs="宋体"/>
          <w:color w:val="auto"/>
          <w:kern w:val="0"/>
          <w:szCs w:val="21"/>
          <w:u w:val="single"/>
          <w:lang w:bidi="ar"/>
        </w:rPr>
      </w:pPr>
      <w:r>
        <w:rPr>
          <w:rFonts w:hint="eastAsia" w:ascii="宋体" w:hAnsi="宋体" w:cs="宋体"/>
          <w:color w:val="auto"/>
          <w:kern w:val="0"/>
          <w:szCs w:val="21"/>
          <w:lang w:bidi="ar"/>
        </w:rPr>
        <w:t>联系地址和电话</w:t>
      </w:r>
      <w:r>
        <w:rPr>
          <w:rFonts w:hint="eastAsia" w:ascii="宋体" w:hAnsi="宋体" w:cs="宋体"/>
          <w:color w:val="auto"/>
          <w:kern w:val="0"/>
          <w:szCs w:val="21"/>
          <w:u w:val="single"/>
          <w:lang w:bidi="ar"/>
        </w:rPr>
        <w:t xml:space="preserve">：                             </w:t>
      </w:r>
    </w:p>
    <w:p w14:paraId="399F1C3B">
      <w:pPr>
        <w:widowControl/>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为维护公平、公正、公开的政府采购市场秩序，树立诚实守信的政府采购供应商形象，我单位（本人）自愿作出以下承诺：</w:t>
      </w:r>
    </w:p>
    <w:p w14:paraId="77CA2E74">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956793A">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具有独立承担民事责任的能力；</w:t>
      </w:r>
    </w:p>
    <w:p w14:paraId="5EFB8E76">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具有良好的商业信誉和健全的财务会计制度； </w:t>
      </w:r>
    </w:p>
    <w:p w14:paraId="6078D958">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具有履行合同所必需的设备和专业技术能力；</w:t>
      </w:r>
    </w:p>
    <w:p w14:paraId="19F1EBD0">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有依法缴纳税收和社会保障资金的良好记录； </w:t>
      </w:r>
    </w:p>
    <w:p w14:paraId="0079C53E">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参加政府采购活动前三年内，在经营活动中没有重大违法记录； </w:t>
      </w:r>
    </w:p>
    <w:p w14:paraId="3A2237D5">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未被列入经营异常名录或者严重违法失信名单、失信被执行人、重大税收违法案件当事人名单、政府采购严重违法失信行为记录名单；</w:t>
      </w:r>
    </w:p>
    <w:p w14:paraId="3ED4CF4B">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未被相关监管部门作出行政处罚且尚在处罚有效期内； </w:t>
      </w:r>
    </w:p>
    <w:p w14:paraId="191801F9">
      <w:pPr>
        <w:widowControl/>
        <w:numPr>
          <w:ilvl w:val="0"/>
          <w:numId w:val="3"/>
        </w:numPr>
        <w:spacing w:line="400" w:lineRule="exact"/>
        <w:ind w:left="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未曾做出虚假采购承诺； </w:t>
      </w:r>
    </w:p>
    <w:p w14:paraId="33A304E3">
      <w:pPr>
        <w:widowControl/>
        <w:spacing w:line="400" w:lineRule="exact"/>
        <w:ind w:firstLine="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（九）符合法律、行政法规规定的其他条件。</w:t>
      </w:r>
    </w:p>
    <w:p w14:paraId="6F57F588">
      <w:pPr>
        <w:widowControl/>
        <w:numPr>
          <w:ilvl w:val="0"/>
          <w:numId w:val="2"/>
        </w:numPr>
        <w:spacing w:line="400" w:lineRule="exact"/>
        <w:ind w:firstLine="420" w:firstLineChars="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128D60B9">
      <w:pPr>
        <w:widowControl/>
        <w:spacing w:line="400" w:lineRule="exact"/>
        <w:ind w:firstLine="420" w:firstLineChars="0"/>
        <w:jc w:val="left"/>
        <w:rPr>
          <w:rFonts w:hint="eastAsia" w:ascii="宋体" w:hAnsi="宋体" w:cs="宋体"/>
          <w:color w:val="auto"/>
          <w:kern w:val="0"/>
          <w:szCs w:val="21"/>
          <w:lang w:bidi="ar"/>
        </w:rPr>
      </w:pPr>
    </w:p>
    <w:p w14:paraId="426D6AC7">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供应商（单位电子签章）：</w:t>
      </w:r>
    </w:p>
    <w:p w14:paraId="5D81131D">
      <w:pPr>
        <w:widowControl/>
        <w:spacing w:line="400" w:lineRule="exact"/>
        <w:ind w:firstLine="420" w:firstLineChars="0"/>
        <w:jc w:val="right"/>
        <w:rPr>
          <w:rFonts w:hint="eastAsia" w:ascii="宋体" w:hAnsi="宋体" w:cs="宋体"/>
          <w:color w:val="auto"/>
          <w:kern w:val="0"/>
          <w:szCs w:val="21"/>
          <w:lang w:bidi="ar"/>
        </w:rPr>
      </w:pPr>
      <w:r>
        <w:rPr>
          <w:rFonts w:hint="eastAsia" w:ascii="宋体" w:hAnsi="宋体" w:cs="宋体"/>
          <w:color w:val="auto"/>
          <w:kern w:val="0"/>
          <w:szCs w:val="21"/>
          <w:lang w:bidi="ar"/>
        </w:rPr>
        <w:t>法定代表人、负责人、本人或授权代表（</w:t>
      </w:r>
      <w:r>
        <w:rPr>
          <w:rFonts w:hint="eastAsia" w:ascii="宋体" w:hAnsi="宋体"/>
          <w:snapToGrid w:val="0"/>
          <w:color w:val="auto"/>
          <w:kern w:val="0"/>
        </w:rPr>
        <w:t>电子签名或电子签章</w:t>
      </w:r>
      <w:r>
        <w:rPr>
          <w:rFonts w:hint="eastAsia" w:ascii="宋体" w:hAnsi="宋体" w:cs="宋体"/>
          <w:color w:val="auto"/>
          <w:kern w:val="0"/>
          <w:szCs w:val="21"/>
          <w:lang w:bidi="ar"/>
        </w:rPr>
        <w:t>）：</w:t>
      </w:r>
    </w:p>
    <w:p w14:paraId="63C14B7C">
      <w:pPr>
        <w:widowControl/>
        <w:spacing w:line="400" w:lineRule="exact"/>
        <w:ind w:firstLine="420" w:firstLineChars="0"/>
        <w:jc w:val="center"/>
        <w:rPr>
          <w:rFonts w:hint="eastAsia" w:ascii="宋体" w:hAnsi="宋体" w:cs="宋体"/>
          <w:color w:val="auto"/>
          <w:kern w:val="0"/>
          <w:szCs w:val="21"/>
          <w:lang w:bidi="ar"/>
        </w:rPr>
      </w:pPr>
      <w:r>
        <w:rPr>
          <w:rFonts w:hint="eastAsia" w:ascii="宋体" w:hAnsi="宋体" w:cs="宋体"/>
          <w:color w:val="auto"/>
          <w:kern w:val="0"/>
          <w:szCs w:val="21"/>
          <w:lang w:bidi="ar"/>
        </w:rPr>
        <w:t>日期：  年  月  日</w:t>
      </w:r>
    </w:p>
    <w:p w14:paraId="5B3A5623">
      <w:pPr>
        <w:widowControl/>
        <w:spacing w:line="400" w:lineRule="exact"/>
        <w:ind w:firstLine="210" w:firstLineChars="100"/>
        <w:jc w:val="left"/>
        <w:rPr>
          <w:rFonts w:hint="eastAsia" w:ascii="宋体" w:hAnsi="宋体" w:cs="宋体"/>
          <w:color w:val="auto"/>
          <w:kern w:val="0"/>
          <w:szCs w:val="21"/>
          <w:lang w:bidi="ar"/>
        </w:rPr>
      </w:pPr>
      <w:r>
        <w:rPr>
          <w:rFonts w:hint="eastAsia" w:ascii="宋体" w:hAnsi="宋体" w:cs="宋体"/>
          <w:color w:val="auto"/>
          <w:kern w:val="0"/>
          <w:szCs w:val="21"/>
          <w:lang w:bidi="ar"/>
        </w:rPr>
        <w:t xml:space="preserve"> 注：1、投标人须在投标文件中按此模板提供承诺函，未提供视为未实质性响应招标文件要求，按无效投标处理。</w:t>
      </w:r>
    </w:p>
    <w:p w14:paraId="1E06F90B">
      <w:pPr>
        <w:widowControl/>
        <w:spacing w:line="400" w:lineRule="exact"/>
        <w:ind w:firstLine="735" w:firstLineChars="350"/>
        <w:jc w:val="left"/>
        <w:rPr>
          <w:rFonts w:ascii="宋体" w:hAnsi="宋体"/>
          <w:color w:val="auto"/>
        </w:rPr>
        <w:sectPr>
          <w:headerReference r:id="rId15" w:type="default"/>
          <w:footerReference r:id="rId16" w:type="default"/>
          <w:pgSz w:w="11905" w:h="16838"/>
          <w:pgMar w:top="1440" w:right="1803" w:bottom="1440" w:left="1803" w:header="850" w:footer="850" w:gutter="0"/>
          <w:cols w:space="720" w:num="1"/>
          <w:docGrid w:type="lines" w:linePitch="411" w:charSpace="0"/>
        </w:sectPr>
      </w:pPr>
      <w:r>
        <w:rPr>
          <w:rFonts w:hint="eastAsia" w:ascii="宋体" w:hAnsi="宋体" w:cs="宋体"/>
          <w:color w:val="auto"/>
          <w:kern w:val="0"/>
          <w:szCs w:val="21"/>
          <w:lang w:bidi="ar"/>
        </w:rPr>
        <w:t>2、投标人的法定代表人或者授权代表的签字或盖章应真实、有效，如由授权代表签字或盖章的，应提供“法定代表人授权书”</w:t>
      </w:r>
    </w:p>
    <w:p w14:paraId="45914A64">
      <w:pPr>
        <w:pStyle w:val="72"/>
      </w:pPr>
    </w:p>
    <w:bookmarkEnd w:id="970"/>
    <w:bookmarkEnd w:id="971"/>
    <w:bookmarkEnd w:id="974"/>
    <w:bookmarkEnd w:id="975"/>
    <w:bookmarkEnd w:id="976"/>
    <w:p w14:paraId="6F5990C0">
      <w:pPr>
        <w:wordWrap w:val="0"/>
        <w:spacing w:line="420" w:lineRule="exact"/>
        <w:jc w:val="center"/>
        <w:outlineLvl w:val="1"/>
        <w:rPr>
          <w:rFonts w:hint="eastAsia" w:ascii="宋体" w:hAnsi="宋体" w:eastAsia="宋体" w:cs="宋体"/>
          <w:b/>
          <w:bCs/>
          <w:kern w:val="2"/>
          <w:sz w:val="32"/>
          <w:szCs w:val="32"/>
          <w:lang w:val="en-US" w:eastAsia="zh-CN" w:bidi="ar-SA"/>
        </w:rPr>
      </w:pPr>
      <w:bookmarkStart w:id="979" w:name="_Toc20467"/>
      <w:bookmarkStart w:id="980" w:name="_Toc21211"/>
      <w:r>
        <w:rPr>
          <w:rFonts w:hint="eastAsia" w:ascii="宋体" w:hAnsi="宋体" w:eastAsia="宋体" w:cs="宋体"/>
          <w:b/>
          <w:bCs/>
          <w:kern w:val="2"/>
          <w:sz w:val="32"/>
          <w:szCs w:val="32"/>
          <w:lang w:val="en-US" w:eastAsia="zh-CN" w:bidi="ar-SA"/>
        </w:rPr>
        <w:t>七、</w:t>
      </w:r>
      <w:bookmarkEnd w:id="979"/>
      <w:bookmarkEnd w:id="980"/>
      <w:r>
        <w:rPr>
          <w:rFonts w:hint="eastAsia" w:ascii="宋体" w:hAnsi="宋体" w:eastAsia="宋体" w:cs="宋体"/>
          <w:b/>
          <w:bCs/>
          <w:kern w:val="2"/>
          <w:sz w:val="32"/>
          <w:szCs w:val="32"/>
          <w:lang w:val="en-US" w:eastAsia="zh-CN" w:bidi="ar-SA"/>
        </w:rPr>
        <w:t>技术部分</w:t>
      </w:r>
    </w:p>
    <w:p w14:paraId="37C02735">
      <w:pPr>
        <w:jc w:val="center"/>
        <w:rPr>
          <w:rFonts w:hint="eastAsia"/>
          <w:sz w:val="24"/>
          <w:szCs w:val="24"/>
          <w:lang w:val="en-US" w:eastAsia="zh-CN"/>
        </w:rPr>
      </w:pPr>
    </w:p>
    <w:p w14:paraId="3E060A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r>
        <w:rPr>
          <w:rFonts w:hint="eastAsia"/>
          <w:sz w:val="24"/>
          <w:szCs w:val="24"/>
          <w:lang w:val="en-US" w:eastAsia="zh-CN"/>
        </w:rPr>
        <w:t>包含但不限于：</w:t>
      </w:r>
    </w:p>
    <w:p w14:paraId="09D123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sz w:val="24"/>
          <w:szCs w:val="24"/>
          <w:highlight w:val="none"/>
        </w:rPr>
      </w:pPr>
      <w:r>
        <w:rPr>
          <w:rFonts w:hint="eastAsia" w:ascii="Times New Roman" w:hAnsi="Times New Roman" w:eastAsia="宋体" w:cs="Times New Roman"/>
          <w:kern w:val="2"/>
          <w:sz w:val="24"/>
          <w:szCs w:val="24"/>
          <w:lang w:val="en-US" w:eastAsia="zh-CN" w:bidi="ar-SA"/>
        </w:rPr>
        <w:t>1、</w:t>
      </w:r>
      <w:r>
        <w:rPr>
          <w:rFonts w:hint="eastAsia"/>
          <w:sz w:val="24"/>
          <w:szCs w:val="24"/>
        </w:rPr>
        <w:t>投标产品详细介</w:t>
      </w:r>
      <w:r>
        <w:rPr>
          <w:rFonts w:hint="eastAsia"/>
          <w:sz w:val="24"/>
          <w:szCs w:val="24"/>
          <w:highlight w:val="none"/>
        </w:rPr>
        <w:t>绍（需提供详细、有效证明文件）</w:t>
      </w:r>
    </w:p>
    <w:p w14:paraId="622ABE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eastAsia="宋体"/>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sz w:val="24"/>
          <w:szCs w:val="24"/>
          <w:lang w:val="en-US" w:eastAsia="zh-CN"/>
        </w:rPr>
        <w:t>项目技术方案等</w:t>
      </w:r>
    </w:p>
    <w:p w14:paraId="7CF5A449">
      <w:pPr>
        <w:pStyle w:val="23"/>
        <w:rPr>
          <w:rFonts w:hint="eastAsia"/>
          <w:sz w:val="24"/>
          <w:szCs w:val="24"/>
        </w:rPr>
      </w:pPr>
    </w:p>
    <w:p w14:paraId="4EA49127">
      <w:pPr>
        <w:rPr>
          <w:rFonts w:hint="eastAsia"/>
          <w:sz w:val="24"/>
          <w:szCs w:val="24"/>
        </w:rPr>
      </w:pPr>
    </w:p>
    <w:p w14:paraId="69571A3B">
      <w:pPr>
        <w:pStyle w:val="23"/>
        <w:rPr>
          <w:rFonts w:hint="eastAsia"/>
          <w:sz w:val="24"/>
          <w:szCs w:val="24"/>
        </w:rPr>
      </w:pPr>
    </w:p>
    <w:p w14:paraId="0F9BD18A">
      <w:pPr>
        <w:rPr>
          <w:rFonts w:hint="eastAsia"/>
        </w:rPr>
      </w:pPr>
    </w:p>
    <w:p w14:paraId="2B82A723">
      <w:pPr>
        <w:pStyle w:val="23"/>
        <w:rPr>
          <w:rFonts w:hint="eastAsia"/>
          <w:lang w:val="en-US" w:eastAsia="zh-CN"/>
        </w:rPr>
      </w:pPr>
    </w:p>
    <w:p w14:paraId="1DD4203F">
      <w:pPr>
        <w:jc w:val="center"/>
        <w:rPr>
          <w:rFonts w:hint="eastAsia" w:ascii="宋体" w:hAnsi="宋体" w:cs="宋体"/>
          <w:b/>
          <w:sz w:val="30"/>
          <w:szCs w:val="30"/>
          <w:lang w:val="en-US" w:eastAsia="zh-CN"/>
        </w:rPr>
      </w:pPr>
    </w:p>
    <w:p w14:paraId="652904C8">
      <w:pPr>
        <w:pStyle w:val="23"/>
        <w:jc w:val="center"/>
        <w:rPr>
          <w:rFonts w:hint="eastAsia" w:ascii="宋体" w:hAnsi="宋体" w:cs="宋体"/>
          <w:b/>
          <w:sz w:val="30"/>
          <w:szCs w:val="30"/>
          <w:lang w:val="en-US" w:eastAsia="zh-CN"/>
        </w:rPr>
      </w:pPr>
    </w:p>
    <w:p w14:paraId="077C1278">
      <w:pPr>
        <w:rPr>
          <w:rFonts w:hint="eastAsia" w:ascii="宋体" w:hAnsi="宋体" w:cs="宋体"/>
          <w:b/>
          <w:sz w:val="30"/>
          <w:szCs w:val="30"/>
          <w:lang w:val="en-US" w:eastAsia="zh-CN"/>
        </w:rPr>
      </w:pPr>
    </w:p>
    <w:p w14:paraId="3DEB7926">
      <w:pPr>
        <w:rPr>
          <w:rFonts w:hint="eastAsia" w:ascii="宋体" w:hAnsi="宋体" w:cs="宋体"/>
          <w:b/>
          <w:sz w:val="30"/>
          <w:szCs w:val="30"/>
          <w:lang w:val="en-US" w:eastAsia="zh-CN"/>
        </w:rPr>
      </w:pPr>
    </w:p>
    <w:p w14:paraId="5A8851D2">
      <w:pPr>
        <w:rPr>
          <w:rFonts w:hint="eastAsia" w:ascii="宋体" w:hAnsi="宋体" w:cs="宋体"/>
          <w:b/>
          <w:sz w:val="30"/>
          <w:szCs w:val="30"/>
          <w:lang w:val="en-US" w:eastAsia="zh-CN"/>
        </w:rPr>
      </w:pPr>
    </w:p>
    <w:p w14:paraId="56D19D95">
      <w:pPr>
        <w:rPr>
          <w:rFonts w:hint="eastAsia" w:ascii="宋体" w:hAnsi="宋体" w:cs="宋体"/>
          <w:b/>
          <w:sz w:val="30"/>
          <w:szCs w:val="30"/>
          <w:lang w:val="en-US" w:eastAsia="zh-CN"/>
        </w:rPr>
      </w:pPr>
    </w:p>
    <w:p w14:paraId="3ED5377B">
      <w:pPr>
        <w:rPr>
          <w:rFonts w:hint="eastAsia" w:ascii="宋体" w:hAnsi="宋体" w:cs="宋体"/>
          <w:b/>
          <w:sz w:val="30"/>
          <w:szCs w:val="30"/>
          <w:lang w:val="en-US" w:eastAsia="zh-CN"/>
        </w:rPr>
      </w:pPr>
    </w:p>
    <w:p w14:paraId="120FC4C8">
      <w:pPr>
        <w:rPr>
          <w:rFonts w:hint="eastAsia" w:ascii="宋体" w:hAnsi="宋体" w:cs="宋体"/>
          <w:b/>
          <w:sz w:val="30"/>
          <w:szCs w:val="30"/>
          <w:lang w:val="en-US" w:eastAsia="zh-CN"/>
        </w:rPr>
      </w:pPr>
    </w:p>
    <w:p w14:paraId="5A28FA02">
      <w:pPr>
        <w:rPr>
          <w:rFonts w:hint="eastAsia" w:ascii="宋体" w:hAnsi="宋体" w:cs="宋体"/>
          <w:b/>
          <w:sz w:val="30"/>
          <w:szCs w:val="30"/>
          <w:lang w:val="en-US" w:eastAsia="zh-CN"/>
        </w:rPr>
      </w:pPr>
    </w:p>
    <w:p w14:paraId="61E95694">
      <w:pPr>
        <w:rPr>
          <w:rFonts w:hint="eastAsia" w:ascii="宋体" w:hAnsi="宋体" w:cs="宋体"/>
          <w:b/>
          <w:sz w:val="30"/>
          <w:szCs w:val="30"/>
          <w:lang w:val="en-US" w:eastAsia="zh-CN"/>
        </w:rPr>
      </w:pPr>
    </w:p>
    <w:p w14:paraId="421D1848">
      <w:pPr>
        <w:rPr>
          <w:rFonts w:hint="eastAsia" w:ascii="宋体" w:hAnsi="宋体" w:cs="宋体"/>
          <w:b/>
          <w:sz w:val="30"/>
          <w:szCs w:val="30"/>
          <w:lang w:val="en-US" w:eastAsia="zh-CN"/>
        </w:rPr>
      </w:pPr>
    </w:p>
    <w:p w14:paraId="75A73DBA">
      <w:pPr>
        <w:rPr>
          <w:rFonts w:hint="eastAsia" w:ascii="宋体" w:hAnsi="宋体" w:cs="宋体"/>
          <w:b/>
          <w:sz w:val="30"/>
          <w:szCs w:val="30"/>
          <w:lang w:val="en-US" w:eastAsia="zh-CN"/>
        </w:rPr>
      </w:pPr>
    </w:p>
    <w:p w14:paraId="1ACC1D75">
      <w:pPr>
        <w:rPr>
          <w:rFonts w:hint="eastAsia" w:ascii="宋体" w:hAnsi="宋体" w:cs="宋体"/>
          <w:b/>
          <w:sz w:val="30"/>
          <w:szCs w:val="30"/>
          <w:lang w:val="en-US" w:eastAsia="zh-CN"/>
        </w:rPr>
      </w:pPr>
    </w:p>
    <w:p w14:paraId="656463CC">
      <w:pPr>
        <w:rPr>
          <w:rFonts w:hint="eastAsia" w:ascii="宋体" w:hAnsi="宋体" w:cs="宋体"/>
          <w:b/>
          <w:sz w:val="30"/>
          <w:szCs w:val="30"/>
          <w:lang w:val="en-US" w:eastAsia="zh-CN"/>
        </w:rPr>
      </w:pPr>
    </w:p>
    <w:p w14:paraId="60A239B5">
      <w:pPr>
        <w:rPr>
          <w:rFonts w:hint="eastAsia" w:ascii="宋体" w:hAnsi="宋体" w:cs="宋体"/>
          <w:b/>
          <w:sz w:val="30"/>
          <w:szCs w:val="30"/>
          <w:lang w:val="en-US" w:eastAsia="zh-CN"/>
        </w:rPr>
      </w:pPr>
    </w:p>
    <w:p w14:paraId="68E1CD30">
      <w:pPr>
        <w:rPr>
          <w:rFonts w:hint="eastAsia" w:ascii="宋体" w:hAnsi="宋体" w:cs="宋体"/>
          <w:b/>
          <w:sz w:val="30"/>
          <w:szCs w:val="30"/>
          <w:lang w:val="en-US" w:eastAsia="zh-CN"/>
        </w:rPr>
      </w:pPr>
    </w:p>
    <w:p w14:paraId="02F51FE7">
      <w:pPr>
        <w:rPr>
          <w:rFonts w:hint="eastAsia" w:ascii="宋体" w:hAnsi="宋体" w:cs="宋体"/>
          <w:b/>
          <w:sz w:val="30"/>
          <w:szCs w:val="30"/>
          <w:lang w:val="en-US" w:eastAsia="zh-CN"/>
        </w:rPr>
      </w:pPr>
    </w:p>
    <w:p w14:paraId="187E1A66">
      <w:pPr>
        <w:rPr>
          <w:rFonts w:hint="eastAsia" w:ascii="宋体" w:hAnsi="宋体" w:cs="宋体"/>
          <w:b/>
          <w:sz w:val="30"/>
          <w:szCs w:val="30"/>
          <w:lang w:val="en-US" w:eastAsia="zh-CN"/>
        </w:rPr>
      </w:pPr>
    </w:p>
    <w:p w14:paraId="39CC20A9">
      <w:pPr>
        <w:rPr>
          <w:rFonts w:hint="eastAsia" w:ascii="宋体" w:hAnsi="宋体" w:cs="宋体"/>
          <w:b/>
          <w:sz w:val="30"/>
          <w:szCs w:val="30"/>
          <w:lang w:val="en-US" w:eastAsia="zh-CN"/>
        </w:rPr>
      </w:pPr>
    </w:p>
    <w:p w14:paraId="49DE06FB">
      <w:pPr>
        <w:rPr>
          <w:rFonts w:hint="eastAsia" w:ascii="宋体" w:hAnsi="宋体" w:cs="宋体"/>
          <w:b/>
          <w:sz w:val="30"/>
          <w:szCs w:val="30"/>
          <w:lang w:val="en-US" w:eastAsia="zh-CN"/>
        </w:rPr>
      </w:pPr>
    </w:p>
    <w:p w14:paraId="761A58AC">
      <w:pPr>
        <w:rPr>
          <w:rFonts w:hint="eastAsia" w:ascii="宋体" w:hAnsi="宋体" w:cs="宋体"/>
          <w:b/>
          <w:sz w:val="30"/>
          <w:szCs w:val="30"/>
          <w:lang w:val="en-US" w:eastAsia="zh-CN"/>
        </w:rPr>
      </w:pPr>
    </w:p>
    <w:p w14:paraId="6C888680">
      <w:pPr>
        <w:rPr>
          <w:rFonts w:hint="eastAsia" w:ascii="宋体" w:hAnsi="宋体" w:cs="宋体"/>
          <w:b/>
          <w:sz w:val="30"/>
          <w:szCs w:val="30"/>
          <w:lang w:val="en-US" w:eastAsia="zh-CN"/>
        </w:rPr>
      </w:pPr>
    </w:p>
    <w:p w14:paraId="5EA57A9F">
      <w:pPr>
        <w:rPr>
          <w:rFonts w:hint="eastAsia" w:ascii="宋体" w:hAnsi="宋体" w:cs="宋体"/>
          <w:b/>
          <w:sz w:val="30"/>
          <w:szCs w:val="30"/>
          <w:lang w:val="en-US" w:eastAsia="zh-CN"/>
        </w:rPr>
      </w:pPr>
    </w:p>
    <w:p w14:paraId="1DABFB3D">
      <w:pPr>
        <w:rPr>
          <w:rFonts w:hint="eastAsia" w:ascii="宋体" w:hAnsi="宋体" w:cs="宋体"/>
          <w:b/>
          <w:sz w:val="30"/>
          <w:szCs w:val="30"/>
          <w:lang w:val="en-US" w:eastAsia="zh-CN"/>
        </w:rPr>
      </w:pPr>
    </w:p>
    <w:p w14:paraId="4A30767B">
      <w:pPr>
        <w:jc w:val="both"/>
        <w:rPr>
          <w:rFonts w:hint="eastAsia" w:ascii="宋体" w:hAnsi="宋体" w:cs="宋体"/>
          <w:b/>
          <w:sz w:val="30"/>
          <w:szCs w:val="30"/>
          <w:lang w:val="en-US" w:eastAsia="zh-CN"/>
        </w:rPr>
      </w:pPr>
    </w:p>
    <w:p w14:paraId="7A2D6C31">
      <w:pPr>
        <w:pStyle w:val="23"/>
        <w:jc w:val="center"/>
        <w:rPr>
          <w:rFonts w:hint="eastAsia"/>
          <w:lang w:val="en-US" w:eastAsia="zh-CN"/>
        </w:rPr>
      </w:pPr>
    </w:p>
    <w:p w14:paraId="1C8C33EE">
      <w:pPr>
        <w:wordWrap w:val="0"/>
        <w:spacing w:line="420" w:lineRule="exact"/>
        <w:jc w:val="center"/>
        <w:outlineLvl w:val="1"/>
        <w:rPr>
          <w:rFonts w:hint="eastAsia" w:ascii="宋体" w:hAnsi="宋体" w:eastAsia="宋体" w:cs="宋体"/>
          <w:b/>
          <w:bCs/>
          <w:kern w:val="2"/>
          <w:sz w:val="32"/>
          <w:szCs w:val="32"/>
          <w:lang w:val="en-US" w:eastAsia="zh-CN" w:bidi="ar-SA"/>
        </w:rPr>
      </w:pPr>
      <w:bookmarkStart w:id="981" w:name="_Toc12738"/>
      <w:r>
        <w:rPr>
          <w:rFonts w:hint="eastAsia" w:ascii="宋体" w:hAnsi="宋体" w:cs="宋体"/>
          <w:b/>
          <w:bCs/>
          <w:kern w:val="2"/>
          <w:sz w:val="32"/>
          <w:szCs w:val="32"/>
          <w:lang w:val="en-US" w:eastAsia="zh-CN" w:bidi="ar-SA"/>
        </w:rPr>
        <w:t>八、</w:t>
      </w:r>
      <w:r>
        <w:rPr>
          <w:rFonts w:hint="eastAsia" w:ascii="宋体" w:hAnsi="宋体" w:eastAsia="宋体" w:cs="宋体"/>
          <w:b/>
          <w:bCs/>
          <w:kern w:val="2"/>
          <w:sz w:val="32"/>
          <w:szCs w:val="32"/>
          <w:lang w:val="en-US" w:eastAsia="zh-CN" w:bidi="ar-SA"/>
        </w:rPr>
        <w:t>其他材料</w:t>
      </w:r>
    </w:p>
    <w:p w14:paraId="7F0C1E74">
      <w:pPr>
        <w:bidi w:val="0"/>
        <w:rPr>
          <w:rFonts w:hint="eastAsia"/>
          <w:lang w:val="en-US" w:eastAsia="zh-CN"/>
        </w:rPr>
      </w:pPr>
    </w:p>
    <w:p w14:paraId="14A372D1">
      <w:pPr>
        <w:jc w:val="center"/>
        <w:rPr>
          <w:rFonts w:hint="eastAsia"/>
          <w:sz w:val="24"/>
          <w:szCs w:val="24"/>
        </w:rPr>
      </w:pPr>
    </w:p>
    <w:p w14:paraId="03E3DA68">
      <w:pPr>
        <w:jc w:val="center"/>
        <w:rPr>
          <w:rFonts w:hint="eastAsia" w:ascii="Times New Roman" w:hAnsi="Times New Roman" w:eastAsia="宋体" w:cs="Times New Roman"/>
          <w:sz w:val="24"/>
          <w:szCs w:val="24"/>
        </w:rPr>
      </w:pPr>
      <w:r>
        <w:rPr>
          <w:rFonts w:hint="eastAsia"/>
          <w:sz w:val="24"/>
          <w:szCs w:val="24"/>
        </w:rPr>
        <w:t>1、</w:t>
      </w:r>
      <w:bookmarkEnd w:id="981"/>
      <w:r>
        <w:rPr>
          <w:rFonts w:hint="eastAsia" w:ascii="Times New Roman" w:hAnsi="Times New Roman" w:eastAsia="宋体" w:cs="Times New Roman"/>
          <w:sz w:val="24"/>
          <w:szCs w:val="24"/>
          <w:lang w:val="en-US" w:eastAsia="zh-CN"/>
        </w:rPr>
        <w:t>反商业贿赂承诺书</w:t>
      </w:r>
    </w:p>
    <w:p w14:paraId="2CB4253F">
      <w:pPr>
        <w:pStyle w:val="23"/>
        <w:spacing w:before="7"/>
        <w:rPr>
          <w:rFonts w:ascii="宋体" w:hAnsi="宋体" w:cs="宋体"/>
          <w:b/>
          <w:sz w:val="22"/>
          <w:szCs w:val="22"/>
        </w:rPr>
      </w:pPr>
    </w:p>
    <w:p w14:paraId="71A96CF9">
      <w:pPr>
        <w:rPr>
          <w:rFonts w:hint="eastAsia"/>
          <w:sz w:val="24"/>
          <w:szCs w:val="24"/>
        </w:rPr>
      </w:pPr>
    </w:p>
    <w:p w14:paraId="6FDFD6D4">
      <w:pPr>
        <w:spacing w:line="360" w:lineRule="auto"/>
        <w:rPr>
          <w:rFonts w:hint="eastAsia"/>
          <w:sz w:val="24"/>
          <w:szCs w:val="24"/>
        </w:rPr>
      </w:pPr>
      <w:r>
        <w:rPr>
          <w:rFonts w:hint="eastAsia"/>
          <w:sz w:val="24"/>
          <w:szCs w:val="24"/>
        </w:rPr>
        <w:t>我公司承诺：</w:t>
      </w:r>
    </w:p>
    <w:p w14:paraId="23EBC0A5">
      <w:pPr>
        <w:spacing w:line="360" w:lineRule="auto"/>
        <w:rPr>
          <w:rFonts w:hint="eastAsia" w:hAnsi="宋体"/>
          <w:sz w:val="24"/>
          <w:szCs w:val="24"/>
        </w:rPr>
      </w:pPr>
      <w:r>
        <w:rPr>
          <w:rFonts w:hint="eastAsia" w:hAnsi="宋体"/>
          <w:sz w:val="24"/>
          <w:szCs w:val="24"/>
        </w:rPr>
        <w:t xml:space="preserve">    在</w:t>
      </w:r>
      <w:r>
        <w:rPr>
          <w:rFonts w:hint="eastAsia" w:hAnsi="宋体"/>
          <w:sz w:val="24"/>
          <w:szCs w:val="24"/>
          <w:u w:val="single"/>
        </w:rPr>
        <w:t xml:space="preserve">             项目名称</w:t>
      </w:r>
      <w:r>
        <w:rPr>
          <w:rFonts w:hint="eastAsia" w:hAnsi="宋体"/>
          <w:sz w:val="24"/>
          <w:szCs w:val="24"/>
        </w:rPr>
        <w:t>（</w:t>
      </w:r>
      <w:r>
        <w:rPr>
          <w:rFonts w:hint="eastAsia" w:hAnsi="宋体"/>
          <w:sz w:val="24"/>
          <w:szCs w:val="24"/>
          <w:lang w:val="en-US" w:eastAsia="zh-CN"/>
        </w:rPr>
        <w:t>采购</w:t>
      </w:r>
      <w:r>
        <w:rPr>
          <w:rFonts w:hint="eastAsia" w:hAnsi="宋体"/>
          <w:sz w:val="24"/>
          <w:szCs w:val="24"/>
        </w:rPr>
        <w:t xml:space="preserve">编号为： </w:t>
      </w:r>
      <w:r>
        <w:rPr>
          <w:rFonts w:hint="eastAsia" w:hAnsi="宋体"/>
          <w:sz w:val="24"/>
          <w:szCs w:val="24"/>
          <w:u w:val="single"/>
        </w:rPr>
        <w:t xml:space="preserve">            </w:t>
      </w:r>
      <w:r>
        <w:rPr>
          <w:rFonts w:hint="eastAsia" w:hAnsi="宋体"/>
          <w:sz w:val="24"/>
          <w:szCs w:val="24"/>
        </w:rPr>
        <w:t>采购活动中，我方保证做到：</w:t>
      </w:r>
    </w:p>
    <w:p w14:paraId="6CFC1FF5">
      <w:pPr>
        <w:spacing w:line="360" w:lineRule="auto"/>
        <w:ind w:firstLine="480" w:firstLineChars="200"/>
        <w:rPr>
          <w:rFonts w:hint="eastAsia"/>
          <w:sz w:val="24"/>
          <w:szCs w:val="24"/>
        </w:rPr>
      </w:pPr>
      <w:r>
        <w:rPr>
          <w:rFonts w:hint="eastAsia"/>
          <w:sz w:val="24"/>
          <w:szCs w:val="24"/>
        </w:rPr>
        <w:t>一、公平竞争参加本次采购活动。</w:t>
      </w:r>
    </w:p>
    <w:p w14:paraId="03294FD6">
      <w:pPr>
        <w:spacing w:line="360" w:lineRule="auto"/>
        <w:ind w:firstLine="480" w:firstLineChars="200"/>
        <w:rPr>
          <w:rFonts w:hint="eastAsia"/>
          <w:sz w:val="24"/>
          <w:szCs w:val="24"/>
        </w:rPr>
      </w:pPr>
      <w:r>
        <w:rPr>
          <w:rFonts w:hint="eastAsia"/>
          <w:sz w:val="24"/>
          <w:szCs w:val="24"/>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p>
    <w:p w14:paraId="5365CB0F">
      <w:pPr>
        <w:spacing w:line="360" w:lineRule="auto"/>
        <w:ind w:firstLine="480" w:firstLineChars="200"/>
        <w:rPr>
          <w:rFonts w:hint="eastAsia"/>
          <w:sz w:val="24"/>
          <w:szCs w:val="24"/>
        </w:rPr>
      </w:pPr>
      <w:r>
        <w:rPr>
          <w:rFonts w:hint="eastAsia"/>
          <w:sz w:val="24"/>
          <w:szCs w:val="24"/>
        </w:rPr>
        <w:t>三、若出现上述行为，我方及参与招标投标活动的工作人员愿意接受按照国家法律法规等有关规定给予的处罚。</w:t>
      </w:r>
    </w:p>
    <w:p w14:paraId="21D807DB">
      <w:pPr>
        <w:rPr>
          <w:rFonts w:hint="eastAsia"/>
          <w:sz w:val="24"/>
          <w:szCs w:val="24"/>
        </w:rPr>
      </w:pPr>
    </w:p>
    <w:p w14:paraId="44A4F309">
      <w:pPr>
        <w:spacing w:line="360" w:lineRule="auto"/>
        <w:jc w:val="center"/>
        <w:rPr>
          <w:rFonts w:hint="eastAsia"/>
          <w:sz w:val="24"/>
          <w:szCs w:val="24"/>
        </w:rPr>
      </w:pPr>
      <w:r>
        <w:rPr>
          <w:rFonts w:hint="eastAsia"/>
          <w:sz w:val="24"/>
          <w:szCs w:val="24"/>
        </w:rPr>
        <w:t xml:space="preserve">      供应商（盖单位公章） ：</w:t>
      </w:r>
    </w:p>
    <w:p w14:paraId="65DFCA2B">
      <w:pPr>
        <w:spacing w:line="360" w:lineRule="auto"/>
        <w:jc w:val="center"/>
        <w:rPr>
          <w:rFonts w:hint="eastAsia"/>
          <w:sz w:val="24"/>
          <w:szCs w:val="24"/>
        </w:rPr>
      </w:pPr>
      <w:r>
        <w:rPr>
          <w:rFonts w:hint="eastAsia" w:ascii="宋体" w:hAnsi="宋体"/>
          <w:sz w:val="24"/>
          <w:szCs w:val="24"/>
        </w:rPr>
        <w:t xml:space="preserve">                    法定代表人</w:t>
      </w:r>
      <w:r>
        <w:rPr>
          <w:rFonts w:hint="eastAsia" w:ascii="宋体" w:hAnsi="宋体"/>
          <w:sz w:val="24"/>
          <w:szCs w:val="24"/>
          <w:lang w:eastAsia="zh-CN"/>
        </w:rPr>
        <w:t>（</w:t>
      </w:r>
      <w:r>
        <w:rPr>
          <w:rFonts w:hint="eastAsia" w:ascii="宋体" w:hAnsi="宋体"/>
          <w:sz w:val="24"/>
          <w:szCs w:val="24"/>
          <w:lang w:val="en-US" w:eastAsia="zh-CN"/>
        </w:rPr>
        <w:t>负责人）</w:t>
      </w:r>
      <w:r>
        <w:rPr>
          <w:rFonts w:hint="eastAsia" w:ascii="宋体" w:hAnsi="宋体"/>
          <w:sz w:val="24"/>
          <w:szCs w:val="24"/>
        </w:rPr>
        <w:t>或其委托代理人（签字或盖章）</w:t>
      </w:r>
      <w:r>
        <w:rPr>
          <w:rFonts w:hint="eastAsia" w:hAnsi="宋体"/>
          <w:sz w:val="24"/>
          <w:szCs w:val="24"/>
        </w:rPr>
        <w:t>：</w:t>
      </w:r>
    </w:p>
    <w:p w14:paraId="1DC119D7">
      <w:pPr>
        <w:spacing w:line="360" w:lineRule="auto"/>
        <w:jc w:val="center"/>
        <w:rPr>
          <w:rFonts w:hint="eastAsia" w:hAnsi="宋体"/>
          <w:spacing w:val="20"/>
          <w:sz w:val="24"/>
          <w:szCs w:val="24"/>
        </w:rPr>
      </w:pPr>
      <w:r>
        <w:rPr>
          <w:rFonts w:hint="eastAsia" w:hAnsi="宋体"/>
          <w:sz w:val="24"/>
          <w:szCs w:val="24"/>
        </w:rPr>
        <w:t xml:space="preserve">                   日期：</w:t>
      </w:r>
      <w:r>
        <w:rPr>
          <w:rFonts w:hint="eastAsia" w:hAnsi="宋体"/>
          <w:spacing w:val="20"/>
          <w:sz w:val="24"/>
          <w:szCs w:val="24"/>
          <w:u w:val="single"/>
        </w:rPr>
        <w:t xml:space="preserve">      </w:t>
      </w:r>
      <w:r>
        <w:rPr>
          <w:rFonts w:hint="eastAsia" w:hAnsi="宋体"/>
          <w:spacing w:val="20"/>
          <w:sz w:val="24"/>
          <w:szCs w:val="24"/>
        </w:rPr>
        <w:t>年</w:t>
      </w:r>
      <w:r>
        <w:rPr>
          <w:rFonts w:hint="eastAsia" w:hAnsi="宋体"/>
          <w:spacing w:val="20"/>
          <w:sz w:val="24"/>
          <w:szCs w:val="24"/>
          <w:u w:val="single"/>
        </w:rPr>
        <w:t xml:space="preserve">    </w:t>
      </w:r>
      <w:r>
        <w:rPr>
          <w:rFonts w:hint="eastAsia" w:hAnsi="宋体"/>
          <w:spacing w:val="20"/>
          <w:sz w:val="24"/>
          <w:szCs w:val="24"/>
        </w:rPr>
        <w:t>月</w:t>
      </w:r>
      <w:r>
        <w:rPr>
          <w:rFonts w:hint="eastAsia" w:hAnsi="宋体"/>
          <w:spacing w:val="20"/>
          <w:sz w:val="24"/>
          <w:szCs w:val="24"/>
          <w:u w:val="single"/>
        </w:rPr>
        <w:t xml:space="preserve">    </w:t>
      </w:r>
      <w:r>
        <w:rPr>
          <w:rFonts w:hint="eastAsia" w:hAnsi="宋体"/>
          <w:spacing w:val="20"/>
          <w:sz w:val="24"/>
          <w:szCs w:val="24"/>
        </w:rPr>
        <w:t>日</w:t>
      </w:r>
    </w:p>
    <w:p w14:paraId="5AF19F92">
      <w:pPr>
        <w:spacing w:line="420" w:lineRule="exact"/>
        <w:ind w:firstLine="470" w:firstLineChars="196"/>
        <w:rPr>
          <w:rFonts w:hint="eastAsia" w:hAnsi="宋体"/>
          <w:sz w:val="24"/>
          <w:szCs w:val="24"/>
        </w:rPr>
      </w:pPr>
      <w:r>
        <w:rPr>
          <w:rFonts w:hint="eastAsia" w:hAnsi="宋体"/>
          <w:sz w:val="24"/>
          <w:szCs w:val="24"/>
        </w:rPr>
        <w:t>注：本承诺书应由法定代表人</w:t>
      </w:r>
      <w:r>
        <w:rPr>
          <w:rFonts w:hint="eastAsia" w:hAnsi="宋体"/>
          <w:sz w:val="24"/>
          <w:szCs w:val="24"/>
          <w:lang w:eastAsia="zh-CN"/>
        </w:rPr>
        <w:t>（</w:t>
      </w:r>
      <w:r>
        <w:rPr>
          <w:rFonts w:hint="eastAsia" w:hAnsi="宋体"/>
          <w:sz w:val="24"/>
          <w:szCs w:val="24"/>
          <w:lang w:val="en-US" w:eastAsia="zh-CN"/>
        </w:rPr>
        <w:t>负责人）</w:t>
      </w:r>
      <w:r>
        <w:rPr>
          <w:rFonts w:hint="eastAsia" w:hAnsi="宋体"/>
          <w:sz w:val="24"/>
          <w:szCs w:val="24"/>
        </w:rPr>
        <w:t>或授权代理人签字并加盖公章，</w:t>
      </w:r>
      <w:r>
        <w:rPr>
          <w:rFonts w:hint="eastAsia" w:hAnsi="宋体"/>
          <w:bCs/>
          <w:sz w:val="24"/>
          <w:szCs w:val="24"/>
        </w:rPr>
        <w:t>否则视为无效文件</w:t>
      </w:r>
      <w:r>
        <w:rPr>
          <w:rFonts w:hint="eastAsia" w:hAnsi="宋体"/>
          <w:sz w:val="24"/>
          <w:szCs w:val="24"/>
        </w:rPr>
        <w:t>。</w:t>
      </w:r>
    </w:p>
    <w:p w14:paraId="6AC4A99D">
      <w:pPr>
        <w:spacing w:line="400" w:lineRule="exact"/>
        <w:jc w:val="center"/>
        <w:rPr>
          <w:rFonts w:hint="eastAsia" w:hAnsi="宋体"/>
          <w:b/>
          <w:sz w:val="24"/>
          <w:szCs w:val="24"/>
        </w:rPr>
      </w:pPr>
    </w:p>
    <w:p w14:paraId="518FF324">
      <w:pPr>
        <w:spacing w:line="400" w:lineRule="exact"/>
        <w:rPr>
          <w:rFonts w:hint="eastAsia" w:hAnsi="宋体"/>
          <w:b/>
          <w:sz w:val="21"/>
          <w:szCs w:val="21"/>
        </w:rPr>
      </w:pPr>
      <w:r>
        <w:rPr>
          <w:rFonts w:hint="eastAsia" w:hAnsi="宋体"/>
          <w:b/>
          <w:sz w:val="21"/>
          <w:szCs w:val="21"/>
        </w:rPr>
        <w:br w:type="page"/>
      </w:r>
    </w:p>
    <w:p w14:paraId="270576B8">
      <w:pPr>
        <w:pStyle w:val="4"/>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sz w:val="24"/>
          <w:szCs w:val="24"/>
        </w:rPr>
      </w:pP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采购项目承诺书</w:t>
      </w:r>
    </w:p>
    <w:p w14:paraId="2144954C">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（采购人名称）</w:t>
      </w:r>
    </w:p>
    <w:p w14:paraId="00EAC00F">
      <w:pPr>
        <w:keepNext w:val="0"/>
        <w:keepLines w:val="0"/>
        <w:pageBreakBefore w:val="0"/>
        <w:widowControl w:val="0"/>
        <w:kinsoku/>
        <w:wordWrap/>
        <w:overflowPunct/>
        <w:topLinePunct w:val="0"/>
        <w:autoSpaceDE/>
        <w:autoSpaceDN/>
        <w:bidi w:val="0"/>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本承诺书作为我方参加 </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）投标文件不可分割的一部分。我方参加本次投标特郑重作出如下承诺：</w:t>
      </w:r>
    </w:p>
    <w:p w14:paraId="367F9FE4">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1、我方已经过详细市场调查，本次所投报产品货源充足，保证不会出现无货、断货现象；</w:t>
      </w:r>
    </w:p>
    <w:p w14:paraId="08A74300">
      <w:pPr>
        <w:keepNext w:val="0"/>
        <w:keepLines w:val="0"/>
        <w:pageBreakBefore w:val="0"/>
        <w:widowControl w:val="0"/>
        <w:kinsoku/>
        <w:wordWrap/>
        <w:overflowPunct/>
        <w:topLinePunct w:val="0"/>
        <w:autoSpaceDE/>
        <w:autoSpaceDN/>
        <w:bidi w:val="0"/>
        <w:snapToGrid/>
        <w:spacing w:line="500" w:lineRule="exact"/>
        <w:ind w:firstLine="544" w:firstLineChars="227"/>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我方将严格履行招标文件中规定的每一项要求，按所投产品的品牌、型号及约定的交货（完工）期保质、保量提交货物和相关服务，保证所提供的所有产品均符合国家相关标准规范或强制性规定，所供产品均为原厂生产的合格产品、符合招标文件各项技术参数要求的规定，绝不提供假冒伪劣产品，如需要我方可以提供相关出厂合格证明</w:t>
      </w:r>
      <w:r>
        <w:rPr>
          <w:rFonts w:hint="eastAsia" w:asciiTheme="minorEastAsia" w:hAnsiTheme="minorEastAsia" w:eastAsiaTheme="minorEastAsia" w:cstheme="minorEastAsia"/>
          <w:sz w:val="24"/>
          <w:szCs w:val="24"/>
        </w:rPr>
        <w:t>或测试报告</w:t>
      </w:r>
      <w:r>
        <w:rPr>
          <w:rFonts w:hint="eastAsia" w:asciiTheme="minorEastAsia" w:hAnsiTheme="minorEastAsia" w:eastAsiaTheme="minorEastAsia" w:cstheme="minorEastAsia"/>
          <w:bCs/>
          <w:sz w:val="24"/>
          <w:szCs w:val="24"/>
        </w:rPr>
        <w:t>；</w:t>
      </w:r>
    </w:p>
    <w:p w14:paraId="25BE5975">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3、如无法按我方承诺期限如期交货，我方愿按合同条款承担相应违约责任，对采购人造成损失的，我方愿承担相应赔偿责任；</w:t>
      </w:r>
    </w:p>
    <w:p w14:paraId="00438B89">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4、采购人验收时如发现我方所供产品与投标文件中所承诺的产品型号、规格、技术参数要求不符的，我方将立即无条件更换。如因此造成交货及安装周期超出我方承诺期限的，我方愿承担合同约定的违约责任；</w:t>
      </w:r>
    </w:p>
    <w:p w14:paraId="485FD4CE">
      <w:pPr>
        <w:spacing w:line="500" w:lineRule="exact"/>
        <w:ind w:left="1"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sz w:val="24"/>
          <w:szCs w:val="24"/>
        </w:rPr>
        <w:t>我方提供的产品如不能满足招标文件要求的，采购人有权拒绝接收；</w:t>
      </w:r>
    </w:p>
    <w:p w14:paraId="7B420FD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如我方中标，在公示期内或领取中标（成交）通知书后，我方无正当理由（如自身报价失误、无法组织及时交货、资金不到位、帐户无法正常使用等）放弃中标资格，我方愿接受财政部门做出的记入不良诚信记录、网上曝光、禁止参加政府采购活动等的处理；</w:t>
      </w:r>
    </w:p>
    <w:p w14:paraId="760D7BEA">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7、我方已详细阅读了本招标文件，保证可以完全响应招标文件所有要求，并理解你方或评标委员会对我方进行资格审查的权利，如在资格审查中发现我方存在有违规行为愿承担相应法律责任；</w:t>
      </w:r>
    </w:p>
    <w:p w14:paraId="3006314C">
      <w:pPr>
        <w:spacing w:line="500" w:lineRule="exact"/>
        <w:ind w:left="1"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8、保证不将我方的有关资格、资质证书转借他人投标，不与他人进行串标、围标，不将本项目进行转包或分包。</w:t>
      </w:r>
    </w:p>
    <w:p w14:paraId="6115A42B">
      <w:pPr>
        <w:spacing w:line="420" w:lineRule="exact"/>
        <w:ind w:firstLine="470" w:firstLineChars="19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供应商（盖单位公章）：               </w:t>
      </w:r>
    </w:p>
    <w:p w14:paraId="215D1D7A">
      <w:pPr>
        <w:spacing w:line="420" w:lineRule="exact"/>
        <w:ind w:firstLine="470" w:firstLineChars="19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或其委托代理人（签字或盖章）：</w:t>
      </w:r>
    </w:p>
    <w:p w14:paraId="0ADE9E32">
      <w:pPr>
        <w:spacing w:line="42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14:paraId="311960BD">
      <w:pPr>
        <w:spacing w:line="420" w:lineRule="exact"/>
        <w:ind w:firstLine="470" w:firstLineChars="1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特别提示：</w:t>
      </w:r>
      <w:r>
        <w:rPr>
          <w:rFonts w:hint="eastAsia" w:asciiTheme="minorEastAsia" w:hAnsiTheme="minorEastAsia" w:eastAsiaTheme="minorEastAsia" w:cstheme="minorEastAsia"/>
          <w:spacing w:val="20"/>
          <w:sz w:val="24"/>
          <w:szCs w:val="24"/>
        </w:rPr>
        <w:t>以上</w:t>
      </w:r>
      <w:r>
        <w:rPr>
          <w:rFonts w:hint="eastAsia" w:asciiTheme="minorEastAsia" w:hAnsiTheme="minorEastAsia" w:eastAsiaTheme="minorEastAsia" w:cstheme="minorEastAsia"/>
          <w:sz w:val="24"/>
          <w:szCs w:val="24"/>
        </w:rPr>
        <w:t>承诺书内容不得随意改动，本承诺书应由法定代表人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负责人）</w:t>
      </w:r>
      <w:r>
        <w:rPr>
          <w:rFonts w:hint="eastAsia" w:asciiTheme="minorEastAsia" w:hAnsiTheme="minorEastAsia" w:eastAsiaTheme="minorEastAsia" w:cstheme="minorEastAsia"/>
          <w:sz w:val="24"/>
          <w:szCs w:val="24"/>
        </w:rPr>
        <w:t>或授权代理人签字并加盖公章，</w:t>
      </w:r>
      <w:r>
        <w:rPr>
          <w:rFonts w:hint="eastAsia" w:asciiTheme="minorEastAsia" w:hAnsiTheme="minorEastAsia" w:eastAsiaTheme="minorEastAsia" w:cstheme="minorEastAsia"/>
          <w:bCs/>
          <w:sz w:val="24"/>
          <w:szCs w:val="24"/>
        </w:rPr>
        <w:t>否则视为无效投标文件</w:t>
      </w:r>
      <w:r>
        <w:rPr>
          <w:rFonts w:hint="eastAsia" w:asciiTheme="minorEastAsia" w:hAnsiTheme="minorEastAsia" w:eastAsiaTheme="minorEastAsia" w:cstheme="minorEastAsia"/>
          <w:sz w:val="24"/>
          <w:szCs w:val="24"/>
        </w:rPr>
        <w:t>。</w:t>
      </w:r>
    </w:p>
    <w:p w14:paraId="3A712078">
      <w:pPr>
        <w:bidi w:val="0"/>
        <w:rPr>
          <w:rFonts w:ascii="宋体" w:hAnsi="宋体" w:cs="宋体"/>
        </w:rPr>
      </w:pPr>
    </w:p>
    <w:p w14:paraId="47DD863A">
      <w:pPr>
        <w:pStyle w:val="23"/>
        <w:rPr>
          <w:rFonts w:ascii="宋体" w:hAnsi="宋体" w:cs="宋体"/>
        </w:rPr>
      </w:pPr>
    </w:p>
    <w:p w14:paraId="5DC3CC9F">
      <w:pPr>
        <w:pStyle w:val="73"/>
        <w:rPr>
          <w:rFonts w:ascii="宋体" w:hAnsi="宋体" w:cs="宋体"/>
        </w:rPr>
      </w:pPr>
    </w:p>
    <w:p w14:paraId="53CED5A1">
      <w:pPr>
        <w:pStyle w:val="75"/>
        <w:rPr>
          <w:rFonts w:ascii="宋体" w:hAnsi="宋体" w:cs="宋体"/>
        </w:rPr>
      </w:pPr>
    </w:p>
    <w:p w14:paraId="6EB080B3">
      <w:pPr>
        <w:rPr>
          <w:rFonts w:ascii="宋体" w:hAnsi="宋体" w:cs="宋体"/>
        </w:rPr>
      </w:pPr>
    </w:p>
    <w:p w14:paraId="0D7661F6">
      <w:pPr>
        <w:pStyle w:val="23"/>
        <w:rPr>
          <w:rFonts w:ascii="宋体" w:hAnsi="宋体" w:cs="宋体"/>
        </w:rPr>
      </w:pPr>
    </w:p>
    <w:p w14:paraId="4A693D1C">
      <w:pPr>
        <w:pStyle w:val="73"/>
        <w:rPr>
          <w:rFonts w:ascii="宋体" w:hAnsi="宋体" w:cs="宋体"/>
        </w:rPr>
      </w:pPr>
    </w:p>
    <w:p w14:paraId="3FEB473C">
      <w:pPr>
        <w:pStyle w:val="75"/>
        <w:rPr>
          <w:rFonts w:ascii="宋体" w:hAnsi="宋体" w:cs="宋体"/>
        </w:rPr>
      </w:pPr>
    </w:p>
    <w:p w14:paraId="3EA32C90">
      <w:pPr>
        <w:rPr>
          <w:rFonts w:ascii="宋体" w:hAnsi="宋体" w:cs="宋体"/>
        </w:rPr>
      </w:pPr>
    </w:p>
    <w:p w14:paraId="7A0DAFF6">
      <w:pPr>
        <w:pStyle w:val="23"/>
      </w:pPr>
    </w:p>
    <w:p w14:paraId="14BB14AF">
      <w:pPr>
        <w:wordWrap w:val="0"/>
        <w:rPr>
          <w:rFonts w:ascii="宋体" w:hAnsi="宋体" w:cs="宋体"/>
        </w:rPr>
      </w:pPr>
    </w:p>
    <w:p w14:paraId="7185B43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14D4A73D">
      <w:pPr>
        <w:wordWrap w:val="0"/>
        <w:spacing w:line="420" w:lineRule="exact"/>
        <w:jc w:val="center"/>
        <w:outlineLvl w:val="1"/>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九、供应商认为应该提交的其他材料</w:t>
      </w:r>
    </w:p>
    <w:p w14:paraId="70BEA5F2">
      <w:pPr>
        <w:wordWrap w:val="0"/>
        <w:spacing w:line="420" w:lineRule="exact"/>
        <w:rPr>
          <w:rFonts w:ascii="宋体" w:hAnsi="宋体" w:cs="宋体"/>
          <w:b/>
          <w:bCs/>
          <w:szCs w:val="21"/>
        </w:rPr>
      </w:pPr>
    </w:p>
    <w:p w14:paraId="7E132C70">
      <w:pPr>
        <w:spacing w:line="420" w:lineRule="exact"/>
        <w:ind w:firstLine="551" w:firstLineChars="196"/>
        <w:rPr>
          <w:rFonts w:hint="eastAsia"/>
          <w:sz w:val="24"/>
          <w:szCs w:val="24"/>
        </w:rPr>
      </w:pPr>
      <w:bookmarkStart w:id="982" w:name="_Toc19333"/>
      <w:bookmarkStart w:id="983" w:name="_Toc19083"/>
      <w:r>
        <w:rPr>
          <w:rFonts w:hint="eastAsia" w:ascii="宋体" w:hAnsi="宋体" w:cs="宋体"/>
          <w:b/>
          <w:bCs/>
          <w:sz w:val="28"/>
          <w:szCs w:val="28"/>
        </w:rPr>
        <w:br w:type="page"/>
      </w:r>
      <w:bookmarkEnd w:id="982"/>
      <w:bookmarkEnd w:id="983"/>
    </w:p>
    <w:p w14:paraId="30A13BC4">
      <w:pPr>
        <w:wordWrap w:val="0"/>
        <w:spacing w:line="420" w:lineRule="exact"/>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十、关于政府采购政策（有则附，没有不附）</w:t>
      </w:r>
    </w:p>
    <w:p w14:paraId="1867ACAD">
      <w:pPr>
        <w:autoSpaceDE w:val="0"/>
        <w:autoSpaceDN w:val="0"/>
        <w:adjustRightInd w:val="0"/>
        <w:spacing w:line="595" w:lineRule="exact"/>
        <w:ind w:right="-20"/>
        <w:jc w:val="center"/>
        <w:rPr>
          <w:rFonts w:hint="eastAsia" w:asciiTheme="minorEastAsia" w:hAnsiTheme="minorEastAsia" w:eastAsiaTheme="minorEastAsia" w:cstheme="minorEastAsia"/>
          <w:spacing w:val="2"/>
          <w:kern w:val="0"/>
          <w:sz w:val="24"/>
          <w:szCs w:val="24"/>
        </w:rPr>
      </w:pPr>
      <w:r>
        <w:rPr>
          <w:rFonts w:hint="eastAsia" w:asciiTheme="minorEastAsia" w:hAnsiTheme="minorEastAsia" w:eastAsiaTheme="minorEastAsia" w:cstheme="minorEastAsia"/>
          <w:spacing w:val="2"/>
          <w:kern w:val="0"/>
          <w:sz w:val="24"/>
          <w:szCs w:val="24"/>
        </w:rPr>
        <w:t>政府采购政策、采购标的需满足的要求，以及投标人须提供的证明材料</w:t>
      </w:r>
    </w:p>
    <w:p w14:paraId="5080D8A0">
      <w:pPr>
        <w:pStyle w:val="50"/>
        <w:ind w:firstLine="240"/>
        <w:rPr>
          <w:rFonts w:hint="eastAsia" w:asciiTheme="minorEastAsia" w:hAnsiTheme="minorEastAsia" w:eastAsiaTheme="minorEastAsia" w:cstheme="minorEastAsia"/>
          <w:sz w:val="24"/>
          <w:szCs w:val="24"/>
        </w:rPr>
      </w:pPr>
    </w:p>
    <w:p w14:paraId="0A20E57A">
      <w:pPr>
        <w:wordWrap w:val="0"/>
        <w:jc w:val="center"/>
        <w:outlineLvl w:val="1"/>
        <w:rPr>
          <w:rFonts w:hint="eastAsia" w:asciiTheme="minorEastAsia" w:hAnsiTheme="minorEastAsia" w:eastAsiaTheme="minorEastAsia" w:cstheme="minorEastAsia"/>
          <w:b/>
          <w:bCs/>
          <w:sz w:val="24"/>
          <w:szCs w:val="24"/>
          <w:lang w:val="en-US" w:eastAsia="zh-CN"/>
        </w:rPr>
      </w:pPr>
      <w:bookmarkStart w:id="984" w:name="_Toc746"/>
      <w:bookmarkStart w:id="985" w:name="_Toc30711"/>
      <w:bookmarkStart w:id="986" w:name="_Toc32628"/>
      <w:bookmarkStart w:id="987" w:name="_Toc3557455"/>
      <w:bookmarkStart w:id="988" w:name="_Toc16158"/>
      <w:bookmarkStart w:id="989" w:name="_Toc9246"/>
      <w:bookmarkStart w:id="990" w:name="_Toc22789"/>
      <w:bookmarkStart w:id="991" w:name="_Toc5320"/>
      <w:bookmarkStart w:id="992" w:name="_Toc23143"/>
      <w:r>
        <w:rPr>
          <w:rFonts w:hint="eastAsia" w:asciiTheme="minorEastAsia" w:hAnsiTheme="minorEastAsia" w:eastAsiaTheme="minorEastAsia" w:cstheme="minorEastAsia"/>
          <w:b/>
          <w:bCs/>
          <w:sz w:val="24"/>
          <w:szCs w:val="24"/>
          <w:lang w:val="en-US" w:eastAsia="zh-CN"/>
        </w:rPr>
        <w:t>（一）关于中小企业及产品</w:t>
      </w:r>
      <w:bookmarkEnd w:id="984"/>
      <w:bookmarkEnd w:id="985"/>
      <w:bookmarkEnd w:id="986"/>
      <w:bookmarkEnd w:id="987"/>
      <w:bookmarkEnd w:id="988"/>
      <w:bookmarkEnd w:id="989"/>
      <w:bookmarkEnd w:id="990"/>
      <w:bookmarkEnd w:id="991"/>
      <w:bookmarkEnd w:id="992"/>
    </w:p>
    <w:p w14:paraId="5EE3E65B">
      <w:pPr>
        <w:pStyle w:val="50"/>
        <w:ind w:firstLine="240"/>
        <w:rPr>
          <w:rFonts w:hint="eastAsia" w:asciiTheme="minorEastAsia" w:hAnsiTheme="minorEastAsia" w:eastAsiaTheme="minorEastAsia" w:cstheme="minorEastAsia"/>
          <w:sz w:val="24"/>
          <w:szCs w:val="24"/>
        </w:rPr>
      </w:pPr>
    </w:p>
    <w:p w14:paraId="50D50F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（属于中小企业的填写，不属于的无需填写此项内容，也无需放入投标文件格式中）</w:t>
      </w:r>
    </w:p>
    <w:p w14:paraId="5497D58A">
      <w:pPr>
        <w:rPr>
          <w:rFonts w:hint="eastAsia" w:asciiTheme="minorEastAsia" w:hAnsiTheme="minorEastAsia" w:eastAsiaTheme="minorEastAsia" w:cstheme="minorEastAsia"/>
          <w:sz w:val="24"/>
          <w:szCs w:val="24"/>
        </w:rPr>
      </w:pPr>
    </w:p>
    <w:p w14:paraId="19EFB2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中小企业声明函（货物）</w:t>
      </w:r>
    </w:p>
    <w:p w14:paraId="7FF12286">
      <w:pPr>
        <w:rPr>
          <w:rFonts w:hint="eastAsia" w:asciiTheme="minorEastAsia" w:hAnsiTheme="minorEastAsia" w:eastAsiaTheme="minorEastAsia" w:cstheme="minorEastAsia"/>
          <w:sz w:val="24"/>
          <w:szCs w:val="24"/>
        </w:rPr>
      </w:pPr>
    </w:p>
    <w:p w14:paraId="3849CD08">
      <w:pPr>
        <w:rPr>
          <w:rFonts w:hint="eastAsia" w:asciiTheme="minorEastAsia" w:hAnsiTheme="minorEastAsia" w:eastAsiaTheme="minorEastAsia" w:cstheme="minorEastAsia"/>
          <w:sz w:val="24"/>
          <w:szCs w:val="24"/>
        </w:rPr>
      </w:pPr>
    </w:p>
    <w:p w14:paraId="79DD102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b/>
          <w:bCs/>
          <w:sz w:val="24"/>
          <w:szCs w:val="24"/>
        </w:rPr>
        <w:t>（单位名称）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b/>
          <w:bCs/>
          <w:sz w:val="24"/>
          <w:szCs w:val="24"/>
        </w:rPr>
        <w:t>的（项目名称）</w:t>
      </w:r>
      <w:r>
        <w:rPr>
          <w:rFonts w:hint="eastAsia" w:asciiTheme="minorEastAsia" w:hAnsiTheme="minorEastAsia" w:eastAsiaTheme="minorEastAsia" w:cstheme="minorEastAsia"/>
          <w:b/>
          <w:bCs/>
          <w:sz w:val="24"/>
          <w:szCs w:val="24"/>
          <w:u w:val="single"/>
          <w:lang w:val="en-US" w:eastAsia="zh-CN"/>
        </w:rPr>
        <w:t xml:space="preserve">      </w:t>
      </w:r>
      <w:r>
        <w:rPr>
          <w:rFonts w:hint="eastAsia" w:asciiTheme="minorEastAsia" w:hAnsiTheme="minorEastAsia" w:eastAsiaTheme="minorEastAsia" w:cstheme="minorEastAsia"/>
          <w:sz w:val="24"/>
          <w:szCs w:val="24"/>
        </w:rPr>
        <w:t>采购活动，提供的货物全部由符合政策要求的中小企业制造。相关企业（含联合体中的中小企业、签订分包意向协议的中小企业）的具体情况如下：</w:t>
      </w:r>
    </w:p>
    <w:p w14:paraId="5205FE81">
      <w:pPr>
        <w:numPr>
          <w:ilvl w:val="0"/>
          <w:numId w:val="4"/>
        </w:num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u w:val="single"/>
          <w:lang w:val="en-US" w:eastAsia="zh-CN"/>
        </w:rPr>
        <w:t xml:space="preserve"> </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属 </w:t>
      </w:r>
      <w:r>
        <w:rPr>
          <w:rFonts w:hint="eastAsia" w:asciiTheme="minorEastAsia" w:hAnsiTheme="minorEastAsia" w:eastAsiaTheme="minorEastAsia" w:cstheme="minorEastAsia"/>
          <w:sz w:val="24"/>
          <w:szCs w:val="24"/>
          <w:highlight w:val="none"/>
        </w:rPr>
        <w:t>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行业；制造商为</w:t>
      </w:r>
      <w:r>
        <w:rPr>
          <w:rFonts w:hint="eastAsia" w:asciiTheme="minorEastAsia" w:hAnsiTheme="minorEastAsia" w:eastAsiaTheme="minorEastAsia" w:cstheme="minorEastAsia"/>
          <w:sz w:val="24"/>
          <w:szCs w:val="24"/>
          <w:highlight w:val="none"/>
          <w:u w:val="single"/>
        </w:rPr>
        <w:t>（企业名称）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，从业人员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人，营业收入为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rPr>
        <w:t>万元，资产总额为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w:t>
      </w:r>
      <w:r>
        <w:rPr>
          <w:rFonts w:hint="eastAsia" w:asciiTheme="minorEastAsia" w:hAnsiTheme="minorEastAsia" w:eastAsiaTheme="minorEastAsia" w:cstheme="minorEastAsia"/>
          <w:sz w:val="24"/>
          <w:szCs w:val="24"/>
          <w:highlight w:val="none"/>
          <w:vertAlign w:val="superscript"/>
        </w:rPr>
        <w:t>1</w:t>
      </w:r>
      <w:r>
        <w:rPr>
          <w:rFonts w:hint="eastAsia" w:asciiTheme="minorEastAsia" w:hAnsiTheme="minorEastAsia" w:eastAsiaTheme="minorEastAsia" w:cstheme="minorEastAsia"/>
          <w:sz w:val="24"/>
          <w:szCs w:val="24"/>
          <w:highlight w:val="none"/>
        </w:rPr>
        <w:t>，属于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（中型企业、小型企业、微型企业）</w:t>
      </w:r>
      <w:r>
        <w:rPr>
          <w:rFonts w:hint="eastAsia" w:asciiTheme="minorEastAsia" w:hAnsiTheme="minorEastAsia" w:eastAsiaTheme="minorEastAsia" w:cstheme="minorEastAsia"/>
          <w:sz w:val="24"/>
          <w:szCs w:val="24"/>
          <w:highlight w:val="none"/>
        </w:rPr>
        <w:t>；</w:t>
      </w:r>
    </w:p>
    <w:p w14:paraId="0022BAD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w:t>
      </w:r>
      <w:r>
        <w:rPr>
          <w:rFonts w:hint="eastAsia" w:ascii="宋体" w:hAnsi="宋体" w:cs="宋体"/>
          <w:sz w:val="24"/>
          <w:szCs w:val="24"/>
          <w:u w:val="single"/>
        </w:rPr>
        <w:t>（ 标 的 名 称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属 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行业；</w:t>
      </w:r>
      <w:r>
        <w:rPr>
          <w:rFonts w:hint="eastAsia" w:asciiTheme="minorEastAsia" w:hAnsiTheme="minorEastAsia" w:eastAsiaTheme="minorEastAsia" w:cstheme="minorEastAsia"/>
          <w:sz w:val="24"/>
          <w:szCs w:val="24"/>
        </w:rPr>
        <w:t>制造商为</w:t>
      </w:r>
      <w:r>
        <w:rPr>
          <w:rFonts w:hint="eastAsia" w:asciiTheme="minorEastAsia" w:hAnsiTheme="minorEastAsia" w:eastAsiaTheme="minorEastAsia" w:cstheme="minorEastAsia"/>
          <w:sz w:val="24"/>
          <w:szCs w:val="24"/>
          <w:u w:val="single"/>
        </w:rPr>
        <w:t>（企业名称）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万元，属于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（中型企业、小型企业、微型企业）</w:t>
      </w:r>
      <w:r>
        <w:rPr>
          <w:rFonts w:hint="eastAsia" w:asciiTheme="minorEastAsia" w:hAnsiTheme="minorEastAsia" w:eastAsiaTheme="minorEastAsia" w:cstheme="minorEastAsia"/>
          <w:sz w:val="24"/>
          <w:szCs w:val="24"/>
        </w:rPr>
        <w:t>；</w:t>
      </w:r>
    </w:p>
    <w:p w14:paraId="34F1E7AA">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p w14:paraId="5CB6057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14:paraId="0CB3BA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14:paraId="2E90D06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企业名称（盖章）：</w:t>
      </w:r>
    </w:p>
    <w:p w14:paraId="39D62BC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w:t>
      </w:r>
    </w:p>
    <w:p w14:paraId="1F1CC79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从业人员、营业收入、资产总额填报上一年度数据，无上一年度数据的新成立企业可不填报。</w:t>
      </w:r>
    </w:p>
    <w:p w14:paraId="02C9314A">
      <w:pPr>
        <w:rPr>
          <w:rFonts w:hint="eastAsia" w:ascii="宋体" w:hAnsi="宋体" w:cs="宋体"/>
          <w:sz w:val="24"/>
          <w:szCs w:val="24"/>
        </w:rPr>
      </w:pPr>
      <w:r>
        <w:rPr>
          <w:rFonts w:hint="eastAsia" w:ascii="宋体" w:hAnsi="宋体" w:cs="宋体"/>
          <w:sz w:val="24"/>
          <w:szCs w:val="24"/>
        </w:rPr>
        <w:br w:type="page"/>
      </w:r>
    </w:p>
    <w:p w14:paraId="6F0B6D64">
      <w:pPr>
        <w:adjustRightInd w:val="0"/>
        <w:snapToGrid w:val="0"/>
        <w:spacing w:line="360" w:lineRule="auto"/>
        <w:rPr>
          <w:rFonts w:ascii="宋体" w:hAnsi="宋体" w:cs="宋体"/>
          <w:sz w:val="24"/>
          <w:szCs w:val="24"/>
        </w:rPr>
      </w:pPr>
      <w:r>
        <w:rPr>
          <w:rFonts w:hint="eastAsia" w:ascii="宋体" w:hAnsi="宋体" w:cs="宋体"/>
          <w:sz w:val="24"/>
          <w:szCs w:val="24"/>
        </w:rPr>
        <w:t>附件</w:t>
      </w:r>
    </w:p>
    <w:p w14:paraId="100D3DBE">
      <w:pPr>
        <w:widowControl/>
        <w:spacing w:line="330" w:lineRule="atLeast"/>
        <w:jc w:val="center"/>
        <w:rPr>
          <w:rFonts w:ascii="方正小标宋_GBK" w:hAnsi="宋体" w:eastAsia="方正小标宋_GBK" w:cs="宋体"/>
          <w:color w:val="000000"/>
          <w:kern w:val="0"/>
          <w:sz w:val="22"/>
          <w:szCs w:val="22"/>
        </w:rPr>
      </w:pPr>
      <w:r>
        <w:rPr>
          <w:rFonts w:hint="eastAsia" w:ascii="宋体" w:hAnsi="宋体" w:cs="宋体"/>
          <w:color w:val="000000"/>
          <w:kern w:val="0"/>
          <w:sz w:val="22"/>
          <w:szCs w:val="22"/>
        </w:rPr>
        <w:t>国家统计局《统计上大中小微型企业划分标准》</w:t>
      </w:r>
    </w:p>
    <w:tbl>
      <w:tblPr>
        <w:tblStyle w:val="53"/>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524"/>
        <w:gridCol w:w="709"/>
        <w:gridCol w:w="1125"/>
        <w:gridCol w:w="1862"/>
        <w:gridCol w:w="1752"/>
        <w:gridCol w:w="1008"/>
      </w:tblGrid>
      <w:tr w14:paraId="30A9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58" w:type="dxa"/>
            <w:noWrap w:val="0"/>
            <w:vAlign w:val="center"/>
          </w:tcPr>
          <w:p w14:paraId="20192A1F">
            <w:pPr>
              <w:keepNext w:val="0"/>
              <w:keepLines w:val="0"/>
              <w:widowControl/>
              <w:suppressLineNumbers w:val="0"/>
              <w:spacing w:before="0" w:beforeAutospacing="0" w:after="0" w:afterAutospacing="0" w:line="240" w:lineRule="exact"/>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行业名称</w:t>
            </w:r>
          </w:p>
        </w:tc>
        <w:tc>
          <w:tcPr>
            <w:tcW w:w="1524" w:type="dxa"/>
            <w:noWrap w:val="0"/>
            <w:vAlign w:val="center"/>
          </w:tcPr>
          <w:p w14:paraId="1A3460AD">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指标名称</w:t>
            </w:r>
          </w:p>
        </w:tc>
        <w:tc>
          <w:tcPr>
            <w:tcW w:w="709" w:type="dxa"/>
            <w:noWrap w:val="0"/>
            <w:vAlign w:val="center"/>
          </w:tcPr>
          <w:p w14:paraId="2306E3D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rPr>
              <w:t>计量</w:t>
            </w:r>
          </w:p>
          <w:p w14:paraId="529C63F5">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单位</w:t>
            </w:r>
          </w:p>
        </w:tc>
        <w:tc>
          <w:tcPr>
            <w:tcW w:w="1125" w:type="dxa"/>
            <w:noWrap w:val="0"/>
            <w:vAlign w:val="center"/>
          </w:tcPr>
          <w:p w14:paraId="0EF05FEE">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大型</w:t>
            </w:r>
          </w:p>
        </w:tc>
        <w:tc>
          <w:tcPr>
            <w:tcW w:w="1862" w:type="dxa"/>
            <w:noWrap w:val="0"/>
            <w:vAlign w:val="center"/>
          </w:tcPr>
          <w:p w14:paraId="44FEBC33">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中型</w:t>
            </w:r>
          </w:p>
        </w:tc>
        <w:tc>
          <w:tcPr>
            <w:tcW w:w="1752" w:type="dxa"/>
            <w:noWrap w:val="0"/>
            <w:vAlign w:val="center"/>
          </w:tcPr>
          <w:p w14:paraId="70FF303E">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小型</w:t>
            </w:r>
          </w:p>
        </w:tc>
        <w:tc>
          <w:tcPr>
            <w:tcW w:w="1008" w:type="dxa"/>
            <w:noWrap w:val="0"/>
            <w:vAlign w:val="center"/>
          </w:tcPr>
          <w:p w14:paraId="5B8F3DB5">
            <w:pPr>
              <w:keepNext w:val="0"/>
              <w:keepLines w:val="0"/>
              <w:widowControl/>
              <w:suppressLineNumbers w:val="0"/>
              <w:spacing w:before="0" w:beforeAutospacing="0" w:after="0" w:afterAutospacing="0"/>
              <w:ind w:left="0" w:right="0"/>
              <w:jc w:val="center"/>
              <w:rPr>
                <w:rFonts w:hint="default" w:ascii="宋体" w:cs="宋体"/>
                <w:b/>
                <w:bCs/>
                <w:color w:val="000000"/>
                <w:kern w:val="0"/>
                <w:sz w:val="22"/>
                <w:szCs w:val="22"/>
              </w:rPr>
            </w:pPr>
            <w:r>
              <w:rPr>
                <w:rFonts w:hint="eastAsia" w:ascii="宋体" w:hAnsi="宋体" w:cs="宋体"/>
                <w:b/>
                <w:bCs/>
                <w:color w:val="000000"/>
                <w:kern w:val="0"/>
                <w:sz w:val="22"/>
                <w:szCs w:val="22"/>
              </w:rPr>
              <w:t>微型</w:t>
            </w:r>
          </w:p>
        </w:tc>
      </w:tr>
      <w:tr w14:paraId="6738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noWrap w:val="0"/>
            <w:vAlign w:val="center"/>
          </w:tcPr>
          <w:p w14:paraId="550AA8B6">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农、林、牧、渔业</w:t>
            </w:r>
          </w:p>
        </w:tc>
        <w:tc>
          <w:tcPr>
            <w:tcW w:w="1524" w:type="dxa"/>
            <w:noWrap w:val="0"/>
            <w:vAlign w:val="center"/>
          </w:tcPr>
          <w:p w14:paraId="2FD6510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营业收入</w:t>
            </w:r>
            <w:r>
              <w:rPr>
                <w:rFonts w:hint="default" w:ascii="宋体" w:hAnsi="宋体" w:cs="宋体"/>
                <w:color w:val="000000"/>
                <w:kern w:val="0"/>
                <w:sz w:val="22"/>
                <w:szCs w:val="22"/>
                <w:highlight w:val="none"/>
              </w:rPr>
              <w:t>(Y)</w:t>
            </w:r>
          </w:p>
        </w:tc>
        <w:tc>
          <w:tcPr>
            <w:tcW w:w="709" w:type="dxa"/>
            <w:noWrap w:val="0"/>
            <w:vAlign w:val="center"/>
          </w:tcPr>
          <w:p w14:paraId="503E9EA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125" w:type="dxa"/>
            <w:noWrap w:val="0"/>
            <w:vAlign w:val="center"/>
          </w:tcPr>
          <w:p w14:paraId="2E87832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862" w:type="dxa"/>
            <w:noWrap w:val="0"/>
            <w:vAlign w:val="center"/>
          </w:tcPr>
          <w:p w14:paraId="133EFAA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20000</w:t>
            </w:r>
          </w:p>
        </w:tc>
        <w:tc>
          <w:tcPr>
            <w:tcW w:w="1752" w:type="dxa"/>
            <w:noWrap w:val="0"/>
            <w:vAlign w:val="center"/>
          </w:tcPr>
          <w:p w14:paraId="281FD82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 xml:space="preserve"> 50</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500</w:t>
            </w:r>
          </w:p>
        </w:tc>
        <w:tc>
          <w:tcPr>
            <w:tcW w:w="1008" w:type="dxa"/>
            <w:noWrap w:val="0"/>
            <w:vAlign w:val="center"/>
          </w:tcPr>
          <w:p w14:paraId="332C366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none"/>
              </w:rPr>
            </w:pPr>
            <w:r>
              <w:rPr>
                <w:rFonts w:hint="default" w:ascii="宋体" w:hAnsi="宋体" w:cs="宋体"/>
                <w:color w:val="000000"/>
                <w:kern w:val="0"/>
                <w:sz w:val="22"/>
                <w:szCs w:val="22"/>
                <w:highlight w:val="none"/>
              </w:rPr>
              <w:t>Y</w:t>
            </w:r>
            <w:r>
              <w:rPr>
                <w:rFonts w:hint="eastAsia" w:ascii="宋体" w:hAnsi="宋体" w:cs="宋体"/>
                <w:color w:val="000000"/>
                <w:kern w:val="0"/>
                <w:sz w:val="22"/>
                <w:szCs w:val="22"/>
                <w:highlight w:val="none"/>
              </w:rPr>
              <w:t>＜</w:t>
            </w:r>
            <w:r>
              <w:rPr>
                <w:rFonts w:hint="default" w:ascii="宋体" w:hAnsi="宋体" w:cs="宋体"/>
                <w:color w:val="000000"/>
                <w:kern w:val="0"/>
                <w:sz w:val="22"/>
                <w:szCs w:val="22"/>
                <w:highlight w:val="none"/>
              </w:rPr>
              <w:t>50</w:t>
            </w:r>
          </w:p>
        </w:tc>
      </w:tr>
      <w:tr w14:paraId="479D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48362C0">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工业</w:t>
            </w:r>
            <w:r>
              <w:rPr>
                <w:rFonts w:hint="default" w:ascii="宋体" w:hAnsi="宋体" w:cs="宋体"/>
                <w:color w:val="000000"/>
                <w:kern w:val="0"/>
                <w:sz w:val="22"/>
                <w:szCs w:val="22"/>
                <w:highlight w:val="yellow"/>
              </w:rPr>
              <w:t xml:space="preserve"> *</w:t>
            </w:r>
          </w:p>
        </w:tc>
        <w:tc>
          <w:tcPr>
            <w:tcW w:w="1524" w:type="dxa"/>
            <w:noWrap w:val="0"/>
            <w:vAlign w:val="center"/>
          </w:tcPr>
          <w:p w14:paraId="73ABB48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从业人员</w:t>
            </w:r>
            <w:r>
              <w:rPr>
                <w:rFonts w:hint="default" w:ascii="宋体" w:hAnsi="宋体" w:cs="宋体"/>
                <w:color w:val="000000"/>
                <w:kern w:val="0"/>
                <w:sz w:val="22"/>
                <w:szCs w:val="22"/>
                <w:highlight w:val="yellow"/>
              </w:rPr>
              <w:t>(X)</w:t>
            </w:r>
          </w:p>
        </w:tc>
        <w:tc>
          <w:tcPr>
            <w:tcW w:w="709" w:type="dxa"/>
            <w:noWrap w:val="0"/>
            <w:vAlign w:val="center"/>
          </w:tcPr>
          <w:p w14:paraId="6C80A0E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人</w:t>
            </w:r>
          </w:p>
        </w:tc>
        <w:tc>
          <w:tcPr>
            <w:tcW w:w="1125" w:type="dxa"/>
            <w:noWrap w:val="0"/>
            <w:vAlign w:val="center"/>
          </w:tcPr>
          <w:p w14:paraId="34B8BBD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1000</w:t>
            </w:r>
          </w:p>
        </w:tc>
        <w:tc>
          <w:tcPr>
            <w:tcW w:w="1862" w:type="dxa"/>
            <w:noWrap w:val="0"/>
            <w:vAlign w:val="center"/>
          </w:tcPr>
          <w:p w14:paraId="5F3C5AF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300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1000</w:t>
            </w:r>
          </w:p>
        </w:tc>
        <w:tc>
          <w:tcPr>
            <w:tcW w:w="1752" w:type="dxa"/>
            <w:noWrap w:val="0"/>
            <w:vAlign w:val="center"/>
          </w:tcPr>
          <w:p w14:paraId="5D8BCE3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 xml:space="preserve"> 20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300</w:t>
            </w:r>
          </w:p>
        </w:tc>
        <w:tc>
          <w:tcPr>
            <w:tcW w:w="1008" w:type="dxa"/>
            <w:noWrap w:val="0"/>
            <w:vAlign w:val="center"/>
          </w:tcPr>
          <w:p w14:paraId="6892AD3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X</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20</w:t>
            </w:r>
          </w:p>
        </w:tc>
      </w:tr>
      <w:tr w14:paraId="5388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1C44355">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highlight w:val="yellow"/>
              </w:rPr>
            </w:pPr>
          </w:p>
        </w:tc>
        <w:tc>
          <w:tcPr>
            <w:tcW w:w="1524" w:type="dxa"/>
            <w:noWrap w:val="0"/>
            <w:vAlign w:val="center"/>
          </w:tcPr>
          <w:p w14:paraId="1B611149">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营业收入</w:t>
            </w:r>
            <w:r>
              <w:rPr>
                <w:rFonts w:hint="default" w:ascii="宋体" w:hAnsi="宋体" w:cs="宋体"/>
                <w:color w:val="000000"/>
                <w:kern w:val="0"/>
                <w:sz w:val="22"/>
                <w:szCs w:val="22"/>
                <w:highlight w:val="yellow"/>
              </w:rPr>
              <w:t>(Y)</w:t>
            </w:r>
          </w:p>
        </w:tc>
        <w:tc>
          <w:tcPr>
            <w:tcW w:w="709" w:type="dxa"/>
            <w:noWrap w:val="0"/>
            <w:vAlign w:val="center"/>
          </w:tcPr>
          <w:p w14:paraId="57921D4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eastAsia" w:ascii="宋体" w:hAnsi="宋体" w:cs="宋体"/>
                <w:color w:val="000000"/>
                <w:kern w:val="0"/>
                <w:sz w:val="22"/>
                <w:szCs w:val="22"/>
                <w:highlight w:val="yellow"/>
              </w:rPr>
              <w:t>万元</w:t>
            </w:r>
          </w:p>
        </w:tc>
        <w:tc>
          <w:tcPr>
            <w:tcW w:w="1125" w:type="dxa"/>
            <w:noWrap w:val="0"/>
            <w:vAlign w:val="center"/>
          </w:tcPr>
          <w:p w14:paraId="400AA3A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40000</w:t>
            </w:r>
          </w:p>
        </w:tc>
        <w:tc>
          <w:tcPr>
            <w:tcW w:w="1862" w:type="dxa"/>
            <w:noWrap w:val="0"/>
            <w:vAlign w:val="center"/>
          </w:tcPr>
          <w:p w14:paraId="1E9C63A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2000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40000</w:t>
            </w:r>
          </w:p>
        </w:tc>
        <w:tc>
          <w:tcPr>
            <w:tcW w:w="1752" w:type="dxa"/>
            <w:noWrap w:val="0"/>
            <w:vAlign w:val="center"/>
          </w:tcPr>
          <w:p w14:paraId="1DBA36A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 xml:space="preserve"> 300</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2000</w:t>
            </w:r>
          </w:p>
        </w:tc>
        <w:tc>
          <w:tcPr>
            <w:tcW w:w="1008" w:type="dxa"/>
            <w:noWrap w:val="0"/>
            <w:vAlign w:val="center"/>
          </w:tcPr>
          <w:p w14:paraId="6ABCF8C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highlight w:val="yellow"/>
              </w:rPr>
            </w:pPr>
            <w:r>
              <w:rPr>
                <w:rFonts w:hint="default" w:ascii="宋体" w:hAnsi="宋体" w:cs="宋体"/>
                <w:color w:val="000000"/>
                <w:kern w:val="0"/>
                <w:sz w:val="22"/>
                <w:szCs w:val="22"/>
                <w:highlight w:val="yellow"/>
              </w:rPr>
              <w:t>Y</w:t>
            </w:r>
            <w:r>
              <w:rPr>
                <w:rFonts w:hint="eastAsia" w:ascii="宋体" w:hAnsi="宋体" w:cs="宋体"/>
                <w:color w:val="000000"/>
                <w:kern w:val="0"/>
                <w:sz w:val="22"/>
                <w:szCs w:val="22"/>
                <w:highlight w:val="yellow"/>
              </w:rPr>
              <w:t>＜</w:t>
            </w:r>
            <w:r>
              <w:rPr>
                <w:rFonts w:hint="default" w:ascii="宋体" w:hAnsi="宋体" w:cs="宋体"/>
                <w:color w:val="000000"/>
                <w:kern w:val="0"/>
                <w:sz w:val="22"/>
                <w:szCs w:val="22"/>
                <w:highlight w:val="yellow"/>
              </w:rPr>
              <w:t>300</w:t>
            </w:r>
          </w:p>
        </w:tc>
      </w:tr>
      <w:tr w14:paraId="683C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6FD7D514">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建筑业</w:t>
            </w:r>
          </w:p>
        </w:tc>
        <w:tc>
          <w:tcPr>
            <w:tcW w:w="1524" w:type="dxa"/>
            <w:noWrap w:val="0"/>
            <w:vAlign w:val="center"/>
          </w:tcPr>
          <w:p w14:paraId="2B7DBE7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1A39CB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5AF3C6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5A17A03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6000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8CC0DC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6000</w:t>
            </w:r>
          </w:p>
        </w:tc>
        <w:tc>
          <w:tcPr>
            <w:tcW w:w="1008" w:type="dxa"/>
            <w:noWrap w:val="0"/>
            <w:vAlign w:val="center"/>
          </w:tcPr>
          <w:p w14:paraId="36B49C8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6BE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7A6FC93D">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7B709696">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AB0160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618A23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862" w:type="dxa"/>
            <w:noWrap w:val="0"/>
            <w:vAlign w:val="center"/>
          </w:tcPr>
          <w:p w14:paraId="0C66106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80000</w:t>
            </w:r>
          </w:p>
        </w:tc>
        <w:tc>
          <w:tcPr>
            <w:tcW w:w="1752" w:type="dxa"/>
            <w:noWrap w:val="0"/>
            <w:vAlign w:val="center"/>
          </w:tcPr>
          <w:p w14:paraId="4BCC7DC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300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274BE0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r>
      <w:tr w14:paraId="3FDE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7B67514E">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批发业</w:t>
            </w:r>
          </w:p>
        </w:tc>
        <w:tc>
          <w:tcPr>
            <w:tcW w:w="1524" w:type="dxa"/>
            <w:noWrap w:val="0"/>
            <w:vAlign w:val="center"/>
          </w:tcPr>
          <w:p w14:paraId="67050BA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335F28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F317B1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479F5F8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4253B82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c>
          <w:tcPr>
            <w:tcW w:w="1008" w:type="dxa"/>
            <w:noWrap w:val="0"/>
            <w:vAlign w:val="center"/>
          </w:tcPr>
          <w:p w14:paraId="532B70E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5</w:t>
            </w:r>
          </w:p>
        </w:tc>
      </w:tr>
      <w:tr w14:paraId="312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18533F22">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029B5B25">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44F6802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0A4400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862" w:type="dxa"/>
            <w:noWrap w:val="0"/>
            <w:vAlign w:val="center"/>
          </w:tcPr>
          <w:p w14:paraId="520FD23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40000</w:t>
            </w:r>
          </w:p>
        </w:tc>
        <w:tc>
          <w:tcPr>
            <w:tcW w:w="1752" w:type="dxa"/>
            <w:noWrap w:val="0"/>
            <w:vAlign w:val="center"/>
          </w:tcPr>
          <w:p w14:paraId="1352B857">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008" w:type="dxa"/>
            <w:noWrap w:val="0"/>
            <w:vAlign w:val="center"/>
          </w:tcPr>
          <w:p w14:paraId="5D150DA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r>
      <w:tr w14:paraId="6A5E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A565C66">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零售业</w:t>
            </w:r>
          </w:p>
        </w:tc>
        <w:tc>
          <w:tcPr>
            <w:tcW w:w="1524" w:type="dxa"/>
            <w:noWrap w:val="0"/>
            <w:vAlign w:val="center"/>
          </w:tcPr>
          <w:p w14:paraId="778C1A8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DD85D6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5FBAF8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55050F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752" w:type="dxa"/>
            <w:noWrap w:val="0"/>
            <w:vAlign w:val="center"/>
          </w:tcPr>
          <w:p w14:paraId="1859AB4A">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 </w:t>
            </w:r>
          </w:p>
        </w:tc>
        <w:tc>
          <w:tcPr>
            <w:tcW w:w="1008" w:type="dxa"/>
            <w:noWrap w:val="0"/>
            <w:vAlign w:val="center"/>
          </w:tcPr>
          <w:p w14:paraId="132B09D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8F1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2EE1434C">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3F9EAB66">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7F31719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4428BD1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862" w:type="dxa"/>
            <w:noWrap w:val="0"/>
            <w:vAlign w:val="center"/>
          </w:tcPr>
          <w:p w14:paraId="316BB60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w:t>
            </w:r>
          </w:p>
        </w:tc>
        <w:tc>
          <w:tcPr>
            <w:tcW w:w="1752" w:type="dxa"/>
            <w:noWrap w:val="0"/>
            <w:vAlign w:val="center"/>
          </w:tcPr>
          <w:p w14:paraId="23461068">
            <w:pPr>
              <w:keepNext w:val="0"/>
              <w:keepLines w:val="0"/>
              <w:widowControl/>
              <w:suppressLineNumbers w:val="0"/>
              <w:spacing w:before="0" w:beforeAutospacing="0" w:after="0" w:afterAutospacing="0"/>
              <w:ind w:left="-1" w:leftChars="-1" w:right="0" w:hanging="1"/>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 </w:t>
            </w:r>
          </w:p>
        </w:tc>
        <w:tc>
          <w:tcPr>
            <w:tcW w:w="1008" w:type="dxa"/>
            <w:noWrap w:val="0"/>
            <w:vAlign w:val="center"/>
          </w:tcPr>
          <w:p w14:paraId="5713C02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527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3C7217AE">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交通运输业</w:t>
            </w:r>
            <w:r>
              <w:rPr>
                <w:rFonts w:hint="default" w:ascii="宋体" w:hAnsi="宋体" w:cs="宋体"/>
                <w:color w:val="000000"/>
                <w:kern w:val="0"/>
                <w:sz w:val="22"/>
                <w:szCs w:val="22"/>
              </w:rPr>
              <w:t xml:space="preserve"> *</w:t>
            </w:r>
          </w:p>
        </w:tc>
        <w:tc>
          <w:tcPr>
            <w:tcW w:w="1524" w:type="dxa"/>
            <w:noWrap w:val="0"/>
            <w:vAlign w:val="center"/>
          </w:tcPr>
          <w:p w14:paraId="65C83CB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0F77D8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A98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0ED80A2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164D38B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4B10ED9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265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313CAC53">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7D46EB69">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0FE7C05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DDFF98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674B82B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235A145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w:t>
            </w:r>
          </w:p>
        </w:tc>
        <w:tc>
          <w:tcPr>
            <w:tcW w:w="1008" w:type="dxa"/>
            <w:noWrap w:val="0"/>
            <w:vAlign w:val="center"/>
          </w:tcPr>
          <w:p w14:paraId="7E31DF6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r>
      <w:tr w14:paraId="4C8A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27960FB0">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仓储业</w:t>
            </w:r>
            <w:r>
              <w:rPr>
                <w:rFonts w:hint="default" w:ascii="宋体" w:hAnsi="宋体" w:cs="宋体"/>
                <w:color w:val="000000"/>
                <w:kern w:val="0"/>
                <w:sz w:val="22"/>
                <w:szCs w:val="22"/>
              </w:rPr>
              <w:t>*</w:t>
            </w:r>
          </w:p>
        </w:tc>
        <w:tc>
          <w:tcPr>
            <w:tcW w:w="1524" w:type="dxa"/>
            <w:noWrap w:val="0"/>
            <w:vAlign w:val="center"/>
          </w:tcPr>
          <w:p w14:paraId="2D6BB59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08CDD9C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3E60CF4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862" w:type="dxa"/>
            <w:noWrap w:val="0"/>
            <w:vAlign w:val="center"/>
          </w:tcPr>
          <w:p w14:paraId="12913AD0">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w:t>
            </w:r>
          </w:p>
        </w:tc>
        <w:tc>
          <w:tcPr>
            <w:tcW w:w="1752" w:type="dxa"/>
            <w:noWrap w:val="0"/>
            <w:vAlign w:val="center"/>
          </w:tcPr>
          <w:p w14:paraId="58070AF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8F7ADA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48A3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6AD9AAA5">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080BA4C9">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8D5BED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0075442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5701A7E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81EC58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573FF9E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69A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06F3EF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邮政业</w:t>
            </w:r>
          </w:p>
        </w:tc>
        <w:tc>
          <w:tcPr>
            <w:tcW w:w="1524" w:type="dxa"/>
            <w:noWrap w:val="0"/>
            <w:vAlign w:val="center"/>
          </w:tcPr>
          <w:p w14:paraId="2959AB1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29C38F6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C6CC2F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63D25DE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64C7F80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20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008" w:type="dxa"/>
            <w:noWrap w:val="0"/>
            <w:vAlign w:val="center"/>
          </w:tcPr>
          <w:p w14:paraId="23F4B24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w:t>
            </w:r>
          </w:p>
        </w:tc>
      </w:tr>
      <w:tr w14:paraId="6B9F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958" w:type="dxa"/>
            <w:vMerge w:val="continue"/>
            <w:noWrap w:val="0"/>
            <w:vAlign w:val="center"/>
          </w:tcPr>
          <w:p w14:paraId="2D0ED763">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4E23E6C">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24951AD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2899DA3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862" w:type="dxa"/>
            <w:noWrap w:val="0"/>
            <w:vAlign w:val="center"/>
          </w:tcPr>
          <w:p w14:paraId="092074F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30000</w:t>
            </w:r>
          </w:p>
        </w:tc>
        <w:tc>
          <w:tcPr>
            <w:tcW w:w="1752" w:type="dxa"/>
            <w:noWrap w:val="0"/>
            <w:vAlign w:val="center"/>
          </w:tcPr>
          <w:p w14:paraId="4E77A6D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37CB330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EE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1958" w:type="dxa"/>
            <w:vMerge w:val="restart"/>
            <w:noWrap w:val="0"/>
            <w:vAlign w:val="center"/>
          </w:tcPr>
          <w:p w14:paraId="4992EC7A">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住宿业</w:t>
            </w:r>
          </w:p>
        </w:tc>
        <w:tc>
          <w:tcPr>
            <w:tcW w:w="1524" w:type="dxa"/>
            <w:noWrap w:val="0"/>
            <w:vAlign w:val="center"/>
          </w:tcPr>
          <w:p w14:paraId="48CD319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1B6A1F5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096288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571D7E">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51DAAF9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0E626D2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730A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1958" w:type="dxa"/>
            <w:vMerge w:val="continue"/>
            <w:noWrap w:val="0"/>
            <w:vAlign w:val="center"/>
          </w:tcPr>
          <w:p w14:paraId="7AD25FDC">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493D5517">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3859C0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DC528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0CCFC0C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561EA57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7178F18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3793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1BB92218">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餐饮业</w:t>
            </w:r>
          </w:p>
        </w:tc>
        <w:tc>
          <w:tcPr>
            <w:tcW w:w="1524" w:type="dxa"/>
            <w:noWrap w:val="0"/>
            <w:vAlign w:val="center"/>
          </w:tcPr>
          <w:p w14:paraId="2FA61C7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8EE6B7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02EE2D9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4A84D386">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0CE91D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62DA86A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4304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4FB5BDD3">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15168DD7">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7BE7F8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6464FDC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749BB09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008CA0E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008" w:type="dxa"/>
            <w:noWrap w:val="0"/>
            <w:vAlign w:val="center"/>
          </w:tcPr>
          <w:p w14:paraId="4AAA1B8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241D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restart"/>
            <w:noWrap w:val="0"/>
            <w:vAlign w:val="center"/>
          </w:tcPr>
          <w:p w14:paraId="0FAA50AF">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信息传输业</w:t>
            </w:r>
            <w:r>
              <w:rPr>
                <w:rFonts w:hint="default" w:ascii="宋体" w:hAnsi="宋体" w:cs="宋体"/>
                <w:color w:val="000000"/>
                <w:kern w:val="0"/>
                <w:sz w:val="22"/>
                <w:szCs w:val="22"/>
              </w:rPr>
              <w:t xml:space="preserve"> *</w:t>
            </w:r>
          </w:p>
        </w:tc>
        <w:tc>
          <w:tcPr>
            <w:tcW w:w="1524" w:type="dxa"/>
            <w:noWrap w:val="0"/>
            <w:vAlign w:val="center"/>
          </w:tcPr>
          <w:p w14:paraId="159EC85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73B8122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2AC2250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862" w:type="dxa"/>
            <w:noWrap w:val="0"/>
            <w:vAlign w:val="center"/>
          </w:tcPr>
          <w:p w14:paraId="0DEF32C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c>
          <w:tcPr>
            <w:tcW w:w="1752" w:type="dxa"/>
            <w:noWrap w:val="0"/>
            <w:vAlign w:val="center"/>
          </w:tcPr>
          <w:p w14:paraId="710267A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24B4C78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1FD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58" w:type="dxa"/>
            <w:vMerge w:val="continue"/>
            <w:noWrap w:val="0"/>
            <w:vAlign w:val="center"/>
          </w:tcPr>
          <w:p w14:paraId="5AC1B867">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2FD8BB1F">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D58E4F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49E3E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862" w:type="dxa"/>
            <w:noWrap w:val="0"/>
            <w:vAlign w:val="center"/>
          </w:tcPr>
          <w:p w14:paraId="360C09B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100000</w:t>
            </w:r>
          </w:p>
        </w:tc>
        <w:tc>
          <w:tcPr>
            <w:tcW w:w="1752" w:type="dxa"/>
            <w:noWrap w:val="0"/>
            <w:vAlign w:val="center"/>
          </w:tcPr>
          <w:p w14:paraId="44F0210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FE356F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83A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073233B9">
            <w:pPr>
              <w:keepNext w:val="0"/>
              <w:keepLines w:val="0"/>
              <w:widowControl/>
              <w:suppressLineNumbers w:val="0"/>
              <w:spacing w:before="0" w:beforeAutospacing="0" w:after="0" w:afterAutospacing="0" w:line="240" w:lineRule="exact"/>
              <w:ind w:left="0" w:right="0"/>
              <w:jc w:val="left"/>
              <w:rPr>
                <w:rFonts w:hint="default" w:ascii="宋体" w:cs="宋体"/>
                <w:color w:val="000000"/>
                <w:spacing w:val="-12"/>
                <w:kern w:val="0"/>
                <w:sz w:val="22"/>
                <w:szCs w:val="22"/>
              </w:rPr>
            </w:pPr>
            <w:r>
              <w:rPr>
                <w:rFonts w:hint="eastAsia" w:ascii="宋体" w:hAnsi="宋体" w:cs="宋体"/>
                <w:color w:val="000000"/>
                <w:spacing w:val="-12"/>
                <w:kern w:val="0"/>
                <w:sz w:val="22"/>
                <w:szCs w:val="22"/>
              </w:rPr>
              <w:t>软件和信息技术服</w:t>
            </w:r>
            <w:r>
              <w:rPr>
                <w:rFonts w:hint="eastAsia" w:ascii="宋体" w:hAnsi="宋体" w:cs="宋体"/>
                <w:color w:val="000000"/>
                <w:kern w:val="0"/>
                <w:sz w:val="22"/>
                <w:szCs w:val="22"/>
              </w:rPr>
              <w:t>务业</w:t>
            </w:r>
          </w:p>
        </w:tc>
        <w:tc>
          <w:tcPr>
            <w:tcW w:w="1524" w:type="dxa"/>
            <w:noWrap w:val="0"/>
            <w:vAlign w:val="center"/>
          </w:tcPr>
          <w:p w14:paraId="37BEF60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1B8571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7DE5F72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91D6F9E">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4796939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3D2797C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6647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1636FFAC">
            <w:pPr>
              <w:keepNext w:val="0"/>
              <w:keepLines w:val="0"/>
              <w:widowControl/>
              <w:suppressLineNumbers w:val="0"/>
              <w:spacing w:before="0" w:beforeAutospacing="0" w:after="0" w:afterAutospacing="0"/>
              <w:ind w:left="0" w:right="0"/>
              <w:jc w:val="left"/>
              <w:rPr>
                <w:rFonts w:hint="default" w:ascii="宋体" w:cs="宋体"/>
                <w:color w:val="000000"/>
                <w:spacing w:val="-12"/>
                <w:kern w:val="0"/>
                <w:sz w:val="22"/>
                <w:szCs w:val="22"/>
              </w:rPr>
            </w:pPr>
          </w:p>
        </w:tc>
        <w:tc>
          <w:tcPr>
            <w:tcW w:w="1524" w:type="dxa"/>
            <w:noWrap w:val="0"/>
            <w:vAlign w:val="center"/>
          </w:tcPr>
          <w:p w14:paraId="25E7CDD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6161AFA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34924F7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4953F96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36B872F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221A60F3">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w:t>
            </w:r>
          </w:p>
        </w:tc>
      </w:tr>
      <w:tr w14:paraId="49C8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15DD449">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房地产开发经营</w:t>
            </w:r>
          </w:p>
        </w:tc>
        <w:tc>
          <w:tcPr>
            <w:tcW w:w="1524" w:type="dxa"/>
            <w:noWrap w:val="0"/>
            <w:vAlign w:val="center"/>
          </w:tcPr>
          <w:p w14:paraId="07116C9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311B2D3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7836889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862" w:type="dxa"/>
            <w:noWrap w:val="0"/>
            <w:vAlign w:val="center"/>
          </w:tcPr>
          <w:p w14:paraId="3CB3C90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200000</w:t>
            </w:r>
          </w:p>
        </w:tc>
        <w:tc>
          <w:tcPr>
            <w:tcW w:w="1752" w:type="dxa"/>
            <w:noWrap w:val="0"/>
            <w:vAlign w:val="center"/>
          </w:tcPr>
          <w:p w14:paraId="1E46E27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112BF0B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517D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1958" w:type="dxa"/>
            <w:vMerge w:val="continue"/>
            <w:noWrap w:val="0"/>
            <w:vAlign w:val="center"/>
          </w:tcPr>
          <w:p w14:paraId="14F9667E">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0D02C54B">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6063546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1C56666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862" w:type="dxa"/>
            <w:noWrap w:val="0"/>
            <w:vAlign w:val="center"/>
          </w:tcPr>
          <w:p w14:paraId="1F69343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5000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10000</w:t>
            </w:r>
          </w:p>
        </w:tc>
        <w:tc>
          <w:tcPr>
            <w:tcW w:w="1752" w:type="dxa"/>
            <w:noWrap w:val="0"/>
            <w:vAlign w:val="center"/>
          </w:tcPr>
          <w:p w14:paraId="2893C1F8">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2000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008" w:type="dxa"/>
            <w:noWrap w:val="0"/>
            <w:vAlign w:val="center"/>
          </w:tcPr>
          <w:p w14:paraId="4B44012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2000</w:t>
            </w:r>
          </w:p>
        </w:tc>
      </w:tr>
      <w:tr w14:paraId="12CB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D698D6F">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物业管理</w:t>
            </w:r>
          </w:p>
        </w:tc>
        <w:tc>
          <w:tcPr>
            <w:tcW w:w="1524" w:type="dxa"/>
            <w:noWrap w:val="0"/>
            <w:vAlign w:val="center"/>
          </w:tcPr>
          <w:p w14:paraId="267E3CE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60A28DA6">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5D454DB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862" w:type="dxa"/>
            <w:noWrap w:val="0"/>
            <w:vAlign w:val="center"/>
          </w:tcPr>
          <w:p w14:paraId="25554629">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300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752" w:type="dxa"/>
            <w:noWrap w:val="0"/>
            <w:vAlign w:val="center"/>
          </w:tcPr>
          <w:p w14:paraId="08F043C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008" w:type="dxa"/>
            <w:noWrap w:val="0"/>
            <w:vAlign w:val="center"/>
          </w:tcPr>
          <w:p w14:paraId="49B19191">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4C6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continue"/>
            <w:noWrap w:val="0"/>
            <w:vAlign w:val="center"/>
          </w:tcPr>
          <w:p w14:paraId="454D6EBD">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63063DCD">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营业收入</w:t>
            </w:r>
            <w:r>
              <w:rPr>
                <w:rFonts w:hint="default" w:ascii="宋体" w:hAnsi="宋体" w:cs="宋体"/>
                <w:color w:val="000000"/>
                <w:kern w:val="0"/>
                <w:sz w:val="22"/>
                <w:szCs w:val="22"/>
              </w:rPr>
              <w:t>(Y)</w:t>
            </w:r>
          </w:p>
        </w:tc>
        <w:tc>
          <w:tcPr>
            <w:tcW w:w="709" w:type="dxa"/>
            <w:noWrap w:val="0"/>
            <w:vAlign w:val="center"/>
          </w:tcPr>
          <w:p w14:paraId="5A175F9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73FA77E">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5000</w:t>
            </w:r>
          </w:p>
        </w:tc>
        <w:tc>
          <w:tcPr>
            <w:tcW w:w="1862" w:type="dxa"/>
            <w:noWrap w:val="0"/>
            <w:vAlign w:val="center"/>
          </w:tcPr>
          <w:p w14:paraId="057FB4B9">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5000 </w:t>
            </w:r>
          </w:p>
        </w:tc>
        <w:tc>
          <w:tcPr>
            <w:tcW w:w="1752" w:type="dxa"/>
            <w:noWrap w:val="0"/>
            <w:vAlign w:val="center"/>
          </w:tcPr>
          <w:p w14:paraId="769A156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500</w:t>
            </w:r>
            <w:r>
              <w:rPr>
                <w:rFonts w:hint="eastAsia" w:ascii="宋体" w:hAnsi="宋体" w:cs="宋体"/>
                <w:color w:val="000000"/>
                <w:kern w:val="0"/>
                <w:sz w:val="22"/>
                <w:szCs w:val="22"/>
              </w:rPr>
              <w:t>≤</w:t>
            </w: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1000</w:t>
            </w:r>
          </w:p>
        </w:tc>
        <w:tc>
          <w:tcPr>
            <w:tcW w:w="1008" w:type="dxa"/>
            <w:noWrap w:val="0"/>
            <w:vAlign w:val="center"/>
          </w:tcPr>
          <w:p w14:paraId="6AD852D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Y</w:t>
            </w:r>
            <w:r>
              <w:rPr>
                <w:rFonts w:hint="eastAsia" w:ascii="宋体" w:hAnsi="宋体" w:cs="宋体"/>
                <w:color w:val="000000"/>
                <w:kern w:val="0"/>
                <w:sz w:val="22"/>
                <w:szCs w:val="22"/>
              </w:rPr>
              <w:t>＜</w:t>
            </w:r>
            <w:r>
              <w:rPr>
                <w:rFonts w:hint="default" w:ascii="宋体" w:hAnsi="宋体" w:cs="宋体"/>
                <w:color w:val="000000"/>
                <w:kern w:val="0"/>
                <w:sz w:val="22"/>
                <w:szCs w:val="22"/>
              </w:rPr>
              <w:t>500</w:t>
            </w:r>
          </w:p>
        </w:tc>
      </w:tr>
      <w:tr w14:paraId="18F2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58" w:type="dxa"/>
            <w:vMerge w:val="restart"/>
            <w:noWrap w:val="0"/>
            <w:vAlign w:val="center"/>
          </w:tcPr>
          <w:p w14:paraId="7E3FF562">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租赁和商务服务业</w:t>
            </w:r>
          </w:p>
        </w:tc>
        <w:tc>
          <w:tcPr>
            <w:tcW w:w="1524" w:type="dxa"/>
            <w:noWrap w:val="0"/>
            <w:vAlign w:val="center"/>
          </w:tcPr>
          <w:p w14:paraId="299F8105">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564C0DF7">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692EB82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29EE414">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68723A7B">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43BF4BB2">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r w14:paraId="2BB4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1958" w:type="dxa"/>
            <w:vMerge w:val="continue"/>
            <w:noWrap w:val="0"/>
            <w:vAlign w:val="center"/>
          </w:tcPr>
          <w:p w14:paraId="3FB82D00">
            <w:pPr>
              <w:keepNext w:val="0"/>
              <w:keepLines w:val="0"/>
              <w:widowControl/>
              <w:suppressLineNumbers w:val="0"/>
              <w:spacing w:before="0" w:beforeAutospacing="0" w:after="0" w:afterAutospacing="0"/>
              <w:ind w:left="0" w:right="0"/>
              <w:jc w:val="left"/>
              <w:rPr>
                <w:rFonts w:hint="default" w:ascii="宋体" w:cs="宋体"/>
                <w:color w:val="000000"/>
                <w:kern w:val="0"/>
                <w:sz w:val="22"/>
                <w:szCs w:val="22"/>
              </w:rPr>
            </w:pPr>
          </w:p>
        </w:tc>
        <w:tc>
          <w:tcPr>
            <w:tcW w:w="1524" w:type="dxa"/>
            <w:noWrap w:val="0"/>
            <w:vAlign w:val="center"/>
          </w:tcPr>
          <w:p w14:paraId="573167BF">
            <w:pPr>
              <w:keepNext w:val="0"/>
              <w:keepLines w:val="0"/>
              <w:widowControl/>
              <w:suppressLineNumbers w:val="0"/>
              <w:spacing w:before="0" w:beforeAutospacing="0" w:after="0" w:afterAutospacing="0" w:line="240" w:lineRule="exact"/>
              <w:ind w:left="0" w:right="0"/>
              <w:jc w:val="center"/>
              <w:rPr>
                <w:rFonts w:hint="default" w:ascii="宋体" w:cs="宋体"/>
                <w:color w:val="000000"/>
                <w:kern w:val="0"/>
                <w:sz w:val="22"/>
                <w:szCs w:val="22"/>
              </w:rPr>
            </w:pPr>
            <w:r>
              <w:rPr>
                <w:rFonts w:hint="eastAsia" w:ascii="宋体" w:hAnsi="宋体" w:cs="宋体"/>
                <w:color w:val="000000"/>
                <w:kern w:val="0"/>
                <w:sz w:val="22"/>
                <w:szCs w:val="22"/>
              </w:rPr>
              <w:t>资产总额</w:t>
            </w:r>
            <w:r>
              <w:rPr>
                <w:rFonts w:hint="default" w:ascii="宋体" w:hAnsi="宋体" w:cs="宋体"/>
                <w:color w:val="000000"/>
                <w:kern w:val="0"/>
                <w:sz w:val="22"/>
                <w:szCs w:val="22"/>
              </w:rPr>
              <w:t>(Z)</w:t>
            </w:r>
          </w:p>
        </w:tc>
        <w:tc>
          <w:tcPr>
            <w:tcW w:w="709" w:type="dxa"/>
            <w:noWrap w:val="0"/>
            <w:vAlign w:val="center"/>
          </w:tcPr>
          <w:p w14:paraId="050FB0D4">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万元</w:t>
            </w:r>
          </w:p>
        </w:tc>
        <w:tc>
          <w:tcPr>
            <w:tcW w:w="1125" w:type="dxa"/>
            <w:noWrap w:val="0"/>
            <w:vAlign w:val="center"/>
          </w:tcPr>
          <w:p w14:paraId="520076A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862" w:type="dxa"/>
            <w:noWrap w:val="0"/>
            <w:vAlign w:val="center"/>
          </w:tcPr>
          <w:p w14:paraId="1FDB07E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8000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120000</w:t>
            </w:r>
          </w:p>
        </w:tc>
        <w:tc>
          <w:tcPr>
            <w:tcW w:w="1752" w:type="dxa"/>
            <w:noWrap w:val="0"/>
            <w:vAlign w:val="center"/>
          </w:tcPr>
          <w:p w14:paraId="63DA6C0A">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100</w:t>
            </w:r>
            <w:r>
              <w:rPr>
                <w:rFonts w:hint="eastAsia" w:ascii="宋体" w:hAnsi="宋体" w:cs="宋体"/>
                <w:color w:val="000000"/>
                <w:kern w:val="0"/>
                <w:sz w:val="22"/>
                <w:szCs w:val="22"/>
              </w:rPr>
              <w:t>≤</w:t>
            </w: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8000</w:t>
            </w:r>
          </w:p>
        </w:tc>
        <w:tc>
          <w:tcPr>
            <w:tcW w:w="1008" w:type="dxa"/>
            <w:noWrap w:val="0"/>
            <w:vAlign w:val="center"/>
          </w:tcPr>
          <w:p w14:paraId="018B832D">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Z</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r>
      <w:tr w14:paraId="1507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58" w:type="dxa"/>
            <w:noWrap w:val="0"/>
            <w:vAlign w:val="center"/>
          </w:tcPr>
          <w:p w14:paraId="2208D1D1">
            <w:pPr>
              <w:keepNext w:val="0"/>
              <w:keepLines w:val="0"/>
              <w:widowControl/>
              <w:suppressLineNumbers w:val="0"/>
              <w:spacing w:before="0" w:beforeAutospacing="0" w:after="0" w:afterAutospacing="0" w:line="240" w:lineRule="exact"/>
              <w:ind w:left="0" w:right="0"/>
              <w:jc w:val="left"/>
              <w:rPr>
                <w:rFonts w:hint="default" w:ascii="宋体" w:cs="宋体"/>
                <w:color w:val="000000"/>
                <w:kern w:val="0"/>
                <w:sz w:val="22"/>
                <w:szCs w:val="22"/>
              </w:rPr>
            </w:pPr>
            <w:r>
              <w:rPr>
                <w:rFonts w:hint="eastAsia" w:ascii="宋体" w:hAnsi="宋体" w:cs="宋体"/>
                <w:color w:val="000000"/>
                <w:kern w:val="0"/>
                <w:sz w:val="22"/>
                <w:szCs w:val="22"/>
              </w:rPr>
              <w:t>其他未列明行业</w:t>
            </w:r>
            <w:r>
              <w:rPr>
                <w:rFonts w:hint="default" w:ascii="宋体" w:hAnsi="宋体" w:cs="宋体"/>
                <w:color w:val="000000"/>
                <w:kern w:val="0"/>
                <w:sz w:val="22"/>
                <w:szCs w:val="22"/>
              </w:rPr>
              <w:t xml:space="preserve"> *</w:t>
            </w:r>
          </w:p>
        </w:tc>
        <w:tc>
          <w:tcPr>
            <w:tcW w:w="1524" w:type="dxa"/>
            <w:noWrap w:val="0"/>
            <w:vAlign w:val="center"/>
          </w:tcPr>
          <w:p w14:paraId="02B2C34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从业人员</w:t>
            </w:r>
            <w:r>
              <w:rPr>
                <w:rFonts w:hint="default" w:ascii="宋体" w:hAnsi="宋体" w:cs="宋体"/>
                <w:color w:val="000000"/>
                <w:kern w:val="0"/>
                <w:sz w:val="22"/>
                <w:szCs w:val="22"/>
              </w:rPr>
              <w:t>(X)</w:t>
            </w:r>
          </w:p>
        </w:tc>
        <w:tc>
          <w:tcPr>
            <w:tcW w:w="709" w:type="dxa"/>
            <w:noWrap w:val="0"/>
            <w:vAlign w:val="center"/>
          </w:tcPr>
          <w:p w14:paraId="346546D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eastAsia" w:ascii="宋体" w:hAnsi="宋体" w:cs="宋体"/>
                <w:color w:val="000000"/>
                <w:kern w:val="0"/>
                <w:sz w:val="22"/>
                <w:szCs w:val="22"/>
              </w:rPr>
              <w:t>人</w:t>
            </w:r>
          </w:p>
        </w:tc>
        <w:tc>
          <w:tcPr>
            <w:tcW w:w="1125" w:type="dxa"/>
            <w:noWrap w:val="0"/>
            <w:vAlign w:val="center"/>
          </w:tcPr>
          <w:p w14:paraId="4CAF50DF">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300</w:t>
            </w:r>
          </w:p>
        </w:tc>
        <w:tc>
          <w:tcPr>
            <w:tcW w:w="1862" w:type="dxa"/>
            <w:noWrap w:val="0"/>
            <w:vAlign w:val="center"/>
          </w:tcPr>
          <w:p w14:paraId="1C1D8661">
            <w:pPr>
              <w:keepNext w:val="0"/>
              <w:keepLines w:val="0"/>
              <w:widowControl/>
              <w:suppressLineNumbers w:val="0"/>
              <w:spacing w:before="0" w:beforeAutospacing="0" w:after="0" w:afterAutospacing="0"/>
              <w:ind w:left="25" w:leftChars="-51" w:right="0" w:hanging="132" w:hangingChars="60"/>
              <w:jc w:val="center"/>
              <w:rPr>
                <w:rFonts w:hint="default" w:ascii="宋体" w:cs="宋体"/>
                <w:color w:val="000000"/>
                <w:kern w:val="0"/>
                <w:sz w:val="22"/>
                <w:szCs w:val="22"/>
              </w:rPr>
            </w:pPr>
            <w:r>
              <w:rPr>
                <w:rFonts w:hint="default" w:ascii="宋体" w:hAnsi="宋体" w:cs="宋体"/>
                <w:color w:val="000000"/>
                <w:kern w:val="0"/>
                <w:sz w:val="22"/>
                <w:szCs w:val="22"/>
              </w:rPr>
              <w:t>100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 xml:space="preserve">300 </w:t>
            </w:r>
          </w:p>
        </w:tc>
        <w:tc>
          <w:tcPr>
            <w:tcW w:w="1752" w:type="dxa"/>
            <w:noWrap w:val="0"/>
            <w:vAlign w:val="center"/>
          </w:tcPr>
          <w:p w14:paraId="74EFEF7C">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 xml:space="preserve"> 10</w:t>
            </w:r>
            <w:r>
              <w:rPr>
                <w:rFonts w:hint="eastAsia" w:ascii="宋体" w:hAnsi="宋体" w:cs="宋体"/>
                <w:color w:val="000000"/>
                <w:kern w:val="0"/>
                <w:sz w:val="22"/>
                <w:szCs w:val="22"/>
              </w:rPr>
              <w:t>≤</w:t>
            </w: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100</w:t>
            </w:r>
          </w:p>
        </w:tc>
        <w:tc>
          <w:tcPr>
            <w:tcW w:w="1008" w:type="dxa"/>
            <w:noWrap w:val="0"/>
            <w:vAlign w:val="center"/>
          </w:tcPr>
          <w:p w14:paraId="5D8122B0">
            <w:pPr>
              <w:keepNext w:val="0"/>
              <w:keepLines w:val="0"/>
              <w:widowControl/>
              <w:suppressLineNumbers w:val="0"/>
              <w:spacing w:before="0" w:beforeAutospacing="0" w:after="0" w:afterAutospacing="0"/>
              <w:ind w:left="0" w:right="0"/>
              <w:jc w:val="center"/>
              <w:rPr>
                <w:rFonts w:hint="default" w:ascii="宋体" w:cs="宋体"/>
                <w:color w:val="000000"/>
                <w:kern w:val="0"/>
                <w:sz w:val="22"/>
                <w:szCs w:val="22"/>
              </w:rPr>
            </w:pPr>
            <w:r>
              <w:rPr>
                <w:rFonts w:hint="default" w:ascii="宋体" w:hAnsi="宋体" w:cs="宋体"/>
                <w:color w:val="000000"/>
                <w:kern w:val="0"/>
                <w:sz w:val="22"/>
                <w:szCs w:val="22"/>
              </w:rPr>
              <w:t>X</w:t>
            </w:r>
            <w:r>
              <w:rPr>
                <w:rFonts w:hint="eastAsia" w:ascii="宋体" w:hAnsi="宋体" w:cs="宋体"/>
                <w:color w:val="000000"/>
                <w:kern w:val="0"/>
                <w:sz w:val="22"/>
                <w:szCs w:val="22"/>
              </w:rPr>
              <w:t>＜</w:t>
            </w:r>
            <w:r>
              <w:rPr>
                <w:rFonts w:hint="default" w:ascii="宋体" w:hAnsi="宋体" w:cs="宋体"/>
                <w:color w:val="000000"/>
                <w:kern w:val="0"/>
                <w:sz w:val="22"/>
                <w:szCs w:val="22"/>
              </w:rPr>
              <w:t>10</w:t>
            </w:r>
          </w:p>
        </w:tc>
      </w:tr>
    </w:tbl>
    <w:p w14:paraId="15D5BBB6">
      <w:pPr>
        <w:widowControl/>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说明：</w:t>
      </w:r>
    </w:p>
    <w:p w14:paraId="0CFEA390">
      <w:pPr>
        <w:spacing w:line="540" w:lineRule="exact"/>
        <w:ind w:firstLine="512" w:firstLineChars="200"/>
        <w:rPr>
          <w:rFonts w:ascii="宋体" w:hAnsi="宋体" w:cs="宋体"/>
          <w:color w:val="000000"/>
          <w:spacing w:val="8"/>
          <w:kern w:val="0"/>
          <w:sz w:val="24"/>
          <w:szCs w:val="24"/>
        </w:rPr>
      </w:pPr>
      <w:r>
        <w:rPr>
          <w:rFonts w:ascii="宋体" w:hAnsi="宋体"/>
          <w:color w:val="000000"/>
          <w:spacing w:val="8"/>
          <w:kern w:val="0"/>
          <w:sz w:val="24"/>
          <w:szCs w:val="24"/>
        </w:rPr>
        <w:t>1.</w:t>
      </w:r>
      <w:r>
        <w:rPr>
          <w:rFonts w:hint="eastAsia" w:ascii="宋体" w:hAnsi="宋体" w:cs="宋体"/>
          <w:color w:val="000000"/>
          <w:spacing w:val="8"/>
          <w:kern w:val="0"/>
          <w:sz w:val="24"/>
          <w:szCs w:val="24"/>
        </w:rPr>
        <w:t>大型、中型和小型企业须同时满足所列指标的下限，否则下划一档；微型企业只须满足所列指标中的一项即可。</w:t>
      </w:r>
    </w:p>
    <w:p w14:paraId="37B9840C">
      <w:pPr>
        <w:spacing w:line="540" w:lineRule="exac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r>
        <w:rPr>
          <w:rFonts w:ascii="宋体" w:hAnsi="宋体"/>
          <w:color w:val="000000"/>
          <w:spacing w:val="8"/>
          <w:kern w:val="0"/>
          <w:sz w:val="24"/>
          <w:szCs w:val="24"/>
        </w:rPr>
        <w:t>2.</w:t>
      </w:r>
      <w:r>
        <w:rPr>
          <w:rFonts w:hint="eastAsia" w:ascii="宋体" w:hAnsi="宋体" w:cs="宋体"/>
          <w:color w:val="000000"/>
          <w:spacing w:val="8"/>
          <w:kern w:val="0"/>
          <w:sz w:val="24"/>
          <w:szCs w:val="24"/>
        </w:rPr>
        <w:t>附表中各行业的范围以《国民经济行业分类》（</w:t>
      </w:r>
      <w:r>
        <w:rPr>
          <w:rFonts w:ascii="宋体" w:hAnsi="宋体"/>
          <w:color w:val="000000"/>
          <w:spacing w:val="8"/>
          <w:kern w:val="0"/>
          <w:sz w:val="24"/>
          <w:szCs w:val="24"/>
        </w:rPr>
        <w:t>GB/T4754-2017</w:t>
      </w:r>
      <w:r>
        <w:rPr>
          <w:rFonts w:hint="eastAsia" w:ascii="宋体" w:hAnsi="宋体" w:cs="宋体"/>
          <w:color w:val="000000"/>
          <w:spacing w:val="8"/>
          <w:kern w:val="0"/>
          <w:sz w:val="24"/>
          <w:szCs w:val="24"/>
        </w:rPr>
        <w:t>）为准。带</w:t>
      </w:r>
      <w:r>
        <w:rPr>
          <w:rFonts w:ascii="宋体" w:hAnsi="宋体"/>
          <w:color w:val="000000"/>
          <w:spacing w:val="8"/>
          <w:kern w:val="0"/>
          <w:sz w:val="24"/>
          <w:szCs w:val="24"/>
        </w:rPr>
        <w:t>*</w:t>
      </w:r>
      <w:r>
        <w:rPr>
          <w:rFonts w:hint="eastAsia" w:ascii="宋体" w:hAnsi="宋体" w:cs="宋体"/>
          <w:color w:val="000000"/>
          <w:spacing w:val="8"/>
          <w:kern w:val="0"/>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Ansi="宋体" w:cs="宋体"/>
          <w:color w:val="000000"/>
          <w:spacing w:val="8"/>
          <w:kern w:val="0"/>
          <w:sz w:val="24"/>
          <w:szCs w:val="24"/>
        </w:rPr>
        <w:t>;</w:t>
      </w:r>
      <w:r>
        <w:rPr>
          <w:rFonts w:hint="eastAsia" w:ascii="宋体" w:hAnsi="宋体" w:cs="宋体"/>
          <w:color w:val="000000"/>
          <w:spacing w:val="8"/>
          <w:kern w:val="0"/>
          <w:sz w:val="24"/>
          <w:szCs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6DDF415">
      <w:pPr>
        <w:spacing w:line="540" w:lineRule="exact"/>
        <w:ind w:firstLine="512"/>
        <w:rPr>
          <w:rFonts w:hint="eastAsia" w:ascii="宋体" w:hAnsi="宋体"/>
          <w:color w:val="000000"/>
          <w:spacing w:val="8"/>
          <w:kern w:val="0"/>
          <w:sz w:val="24"/>
          <w:szCs w:val="24"/>
        </w:rPr>
      </w:pPr>
      <w:r>
        <w:rPr>
          <w:rFonts w:ascii="宋体" w:hAnsi="宋体"/>
          <w:color w:val="000000"/>
          <w:spacing w:val="8"/>
          <w:kern w:val="0"/>
          <w:sz w:val="24"/>
          <w:szCs w:val="24"/>
        </w:rPr>
        <w:t>3.</w:t>
      </w:r>
      <w:r>
        <w:rPr>
          <w:rFonts w:hint="eastAsia" w:ascii="宋体" w:hAnsi="宋体"/>
          <w:color w:val="000000"/>
          <w:spacing w:val="8"/>
          <w:kern w:val="0"/>
          <w:sz w:val="24"/>
          <w:szCs w:val="24"/>
        </w:rPr>
        <w:t>企业划分指标以现行统计制度为准。（</w:t>
      </w:r>
      <w:r>
        <w:rPr>
          <w:rFonts w:ascii="宋体" w:hAnsi="宋体"/>
          <w:color w:val="000000"/>
          <w:spacing w:val="8"/>
          <w:kern w:val="0"/>
          <w:sz w:val="24"/>
          <w:szCs w:val="24"/>
        </w:rPr>
        <w:t>1</w:t>
      </w:r>
      <w:r>
        <w:rPr>
          <w:rFonts w:hint="eastAsia" w:ascii="宋体" w:hAnsi="宋体"/>
          <w:color w:val="000000"/>
          <w:spacing w:val="8"/>
          <w:kern w:val="0"/>
          <w:sz w:val="24"/>
          <w:szCs w:val="24"/>
        </w:rPr>
        <w:t>）从业人员，是指期末从业人员数，没有期末从业人员数的，采用全年平均人员数代替。（</w:t>
      </w:r>
      <w:r>
        <w:rPr>
          <w:rFonts w:ascii="宋体" w:hAnsi="宋体"/>
          <w:color w:val="000000"/>
          <w:spacing w:val="8"/>
          <w:kern w:val="0"/>
          <w:sz w:val="24"/>
          <w:szCs w:val="24"/>
        </w:rPr>
        <w:t>2</w:t>
      </w:r>
      <w:r>
        <w:rPr>
          <w:rFonts w:hint="eastAsia" w:ascii="宋体" w:hAnsi="宋体"/>
          <w:color w:val="000000"/>
          <w:spacing w:val="8"/>
          <w:kern w:val="0"/>
          <w:sz w:val="24"/>
          <w:szCs w:val="24"/>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宋体" w:hAnsi="宋体"/>
          <w:color w:val="000000"/>
          <w:spacing w:val="8"/>
          <w:kern w:val="0"/>
          <w:sz w:val="24"/>
          <w:szCs w:val="24"/>
        </w:rPr>
        <w:t>3</w:t>
      </w:r>
      <w:r>
        <w:rPr>
          <w:rFonts w:hint="eastAsia" w:ascii="宋体" w:hAnsi="宋体"/>
          <w:color w:val="000000"/>
          <w:spacing w:val="8"/>
          <w:kern w:val="0"/>
          <w:sz w:val="24"/>
          <w:szCs w:val="24"/>
        </w:rPr>
        <w:t>）资产总额，采用资产总计代替。</w:t>
      </w:r>
    </w:p>
    <w:p w14:paraId="3E46DA42">
      <w:pPr>
        <w:spacing w:line="540" w:lineRule="exact"/>
        <w:ind w:firstLine="512"/>
        <w:rPr>
          <w:rFonts w:hint="default" w:ascii="宋体" w:hAnsi="宋体"/>
          <w:b/>
          <w:bCs/>
          <w:color w:val="000000"/>
          <w:spacing w:val="8"/>
          <w:kern w:val="0"/>
          <w:sz w:val="24"/>
          <w:szCs w:val="24"/>
          <w:highlight w:val="none"/>
          <w:lang w:val="en-US" w:eastAsia="zh-CN"/>
        </w:rPr>
      </w:pPr>
      <w:r>
        <w:rPr>
          <w:rFonts w:hint="default" w:ascii="宋体" w:hAnsi="宋体"/>
          <w:b/>
          <w:bCs/>
          <w:color w:val="000000"/>
          <w:spacing w:val="8"/>
          <w:kern w:val="0"/>
          <w:sz w:val="24"/>
          <w:szCs w:val="24"/>
          <w:highlight w:val="none"/>
          <w:lang w:val="en-US" w:eastAsia="zh-CN"/>
        </w:rPr>
        <w:t>4.本项目采购标的对应的中小企业划分标准所属行业：</w:t>
      </w:r>
      <w:r>
        <w:rPr>
          <w:rFonts w:hint="eastAsia" w:ascii="宋体" w:hAnsi="宋体"/>
          <w:b/>
          <w:bCs/>
          <w:color w:val="000000"/>
          <w:spacing w:val="8"/>
          <w:kern w:val="0"/>
          <w:sz w:val="24"/>
          <w:szCs w:val="24"/>
          <w:highlight w:val="none"/>
          <w:lang w:val="en-US" w:eastAsia="zh-CN"/>
        </w:rPr>
        <w:t>工</w:t>
      </w:r>
      <w:r>
        <w:rPr>
          <w:rFonts w:hint="default" w:ascii="宋体" w:hAnsi="宋体"/>
          <w:b/>
          <w:bCs/>
          <w:color w:val="000000"/>
          <w:spacing w:val="8"/>
          <w:kern w:val="0"/>
          <w:sz w:val="24"/>
          <w:szCs w:val="24"/>
          <w:highlight w:val="none"/>
          <w:lang w:val="en-US" w:eastAsia="zh-CN"/>
        </w:rPr>
        <w:t xml:space="preserve">业； </w:t>
      </w:r>
    </w:p>
    <w:p w14:paraId="116531E6">
      <w:pPr>
        <w:wordWrap w:val="0"/>
        <w:jc w:val="both"/>
        <w:rPr>
          <w:rFonts w:ascii="宋体" w:hAnsi="宋体" w:cs="宋体"/>
          <w:b/>
          <w:bCs/>
          <w:sz w:val="28"/>
          <w:szCs w:val="28"/>
        </w:rPr>
      </w:pPr>
      <w:r>
        <w:rPr>
          <w:rFonts w:hint="eastAsia" w:ascii="宋体" w:hAnsi="宋体" w:cs="宋体"/>
          <w:b/>
          <w:bCs/>
          <w:sz w:val="28"/>
          <w:szCs w:val="28"/>
        </w:rPr>
        <w:br w:type="page"/>
      </w:r>
    </w:p>
    <w:p w14:paraId="22494F67">
      <w:pPr>
        <w:bidi w:val="0"/>
      </w:pPr>
      <w:bookmarkStart w:id="993" w:name="_Toc19860"/>
      <w:bookmarkStart w:id="994" w:name="_Toc9073"/>
    </w:p>
    <w:p w14:paraId="460A1430">
      <w:pPr>
        <w:bidi w:val="0"/>
      </w:pPr>
    </w:p>
    <w:p w14:paraId="7D136E8A">
      <w:pPr>
        <w:wordWrap w:val="0"/>
        <w:jc w:val="center"/>
        <w:outlineLvl w:val="1"/>
        <w:rPr>
          <w:rFonts w:ascii="宋体" w:hAnsi="宋体" w:cs="宋体"/>
        </w:rPr>
      </w:pPr>
      <w:r>
        <w:rPr>
          <w:rFonts w:hint="eastAsia" w:ascii="宋体" w:hAnsi="宋体" w:cs="宋体"/>
          <w:b/>
          <w:bCs/>
          <w:sz w:val="28"/>
          <w:szCs w:val="28"/>
          <w:lang w:val="en-US" w:eastAsia="zh-CN"/>
        </w:rPr>
        <w:t>（二）</w:t>
      </w:r>
      <w:r>
        <w:rPr>
          <w:rFonts w:hint="eastAsia" w:ascii="宋体" w:hAnsi="宋体" w:cs="宋体"/>
          <w:b/>
          <w:bCs/>
          <w:sz w:val="28"/>
          <w:szCs w:val="28"/>
        </w:rPr>
        <w:t>残疾人福利性单位声明函（如有）</w:t>
      </w:r>
      <w:bookmarkEnd w:id="993"/>
      <w:bookmarkEnd w:id="994"/>
    </w:p>
    <w:p w14:paraId="23DA0888">
      <w:pPr>
        <w:pStyle w:val="50"/>
        <w:wordWrap w:val="0"/>
        <w:spacing w:line="420" w:lineRule="exact"/>
        <w:ind w:firstLine="0" w:firstLineChars="0"/>
        <w:rPr>
          <w:rFonts w:ascii="宋体" w:hAnsi="宋体" w:cs="宋体"/>
          <w:sz w:val="24"/>
        </w:rPr>
      </w:pPr>
    </w:p>
    <w:p w14:paraId="18FBBD16">
      <w:pPr>
        <w:wordWrap w:val="0"/>
        <w:spacing w:line="420" w:lineRule="exact"/>
        <w:ind w:firstLine="48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szCs w:val="24"/>
          <w:u w:val="single"/>
        </w:rPr>
        <w:t xml:space="preserve">       </w:t>
      </w:r>
      <w:r>
        <w:rPr>
          <w:rFonts w:hint="eastAsia" w:ascii="宋体" w:hAnsi="宋体" w:cs="宋体"/>
          <w:sz w:val="24"/>
          <w:szCs w:val="24"/>
        </w:rPr>
        <w:t>单位的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63F27269">
      <w:pPr>
        <w:wordWrap w:val="0"/>
        <w:spacing w:line="420" w:lineRule="exact"/>
        <w:ind w:firstLine="480"/>
        <w:rPr>
          <w:rFonts w:ascii="宋体" w:hAnsi="宋体" w:cs="宋体"/>
          <w:sz w:val="24"/>
          <w:szCs w:val="24"/>
        </w:rPr>
      </w:pPr>
      <w:r>
        <w:rPr>
          <w:rFonts w:hint="eastAsia" w:ascii="宋体" w:hAnsi="宋体" w:cs="宋体"/>
          <w:sz w:val="24"/>
          <w:szCs w:val="24"/>
        </w:rPr>
        <w:t>本单位对上述声明的真实性负责。如有虚假，将依法承担相应责任。</w:t>
      </w:r>
    </w:p>
    <w:p w14:paraId="23CBFC75">
      <w:pPr>
        <w:wordWrap w:val="0"/>
        <w:spacing w:line="420" w:lineRule="exact"/>
        <w:ind w:firstLine="480"/>
        <w:rPr>
          <w:rFonts w:ascii="宋体" w:hAnsi="宋体" w:cs="宋体"/>
          <w:sz w:val="24"/>
          <w:szCs w:val="24"/>
        </w:rPr>
      </w:pPr>
    </w:p>
    <w:p w14:paraId="0E0ADC3B">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单位名称（盖章）：</w:t>
      </w:r>
    </w:p>
    <w:p w14:paraId="2243BE70">
      <w:pPr>
        <w:tabs>
          <w:tab w:val="left" w:pos="4860"/>
        </w:tabs>
        <w:wordWrap w:val="0"/>
        <w:spacing w:line="420" w:lineRule="exact"/>
        <w:ind w:right="1560" w:firstLine="480"/>
        <w:rPr>
          <w:rFonts w:ascii="宋体" w:hAnsi="宋体" w:cs="宋体"/>
          <w:sz w:val="24"/>
          <w:szCs w:val="24"/>
        </w:rPr>
      </w:pPr>
      <w:r>
        <w:rPr>
          <w:rFonts w:hint="eastAsia" w:ascii="宋体" w:hAnsi="宋体" w:cs="宋体"/>
          <w:sz w:val="24"/>
          <w:szCs w:val="24"/>
        </w:rPr>
        <w:t>日  期：</w:t>
      </w:r>
    </w:p>
    <w:p w14:paraId="411DA12A">
      <w:pPr>
        <w:widowControl/>
        <w:wordWrap w:val="0"/>
        <w:spacing w:line="420" w:lineRule="exact"/>
        <w:ind w:firstLine="480"/>
        <w:rPr>
          <w:rFonts w:ascii="宋体" w:hAnsi="宋体" w:cs="宋体"/>
          <w:sz w:val="24"/>
          <w:szCs w:val="24"/>
        </w:rPr>
      </w:pPr>
    </w:p>
    <w:p w14:paraId="5C254BD5">
      <w:pPr>
        <w:widowControl/>
        <w:wordWrap w:val="0"/>
        <w:spacing w:line="420" w:lineRule="exact"/>
        <w:ind w:firstLine="480"/>
        <w:rPr>
          <w:rFonts w:ascii="宋体" w:hAnsi="宋体" w:cs="宋体"/>
          <w:sz w:val="24"/>
          <w:szCs w:val="24"/>
        </w:rPr>
      </w:pPr>
      <w:r>
        <w:rPr>
          <w:rFonts w:hint="eastAsia" w:ascii="宋体" w:hAnsi="宋体" w:cs="宋体"/>
          <w:sz w:val="24"/>
          <w:szCs w:val="24"/>
        </w:rPr>
        <w:t>（提醒：如果供应商不是残疾人福利性单位，则不需要提供《残疾人福利性单位声明函》。否则，因此导致虚假投标的后果由供应商自行承担。）</w:t>
      </w:r>
    </w:p>
    <w:p w14:paraId="189F5F4A">
      <w:pPr>
        <w:wordWrap w:val="0"/>
        <w:spacing w:line="420" w:lineRule="exact"/>
        <w:ind w:firstLine="48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A35D766">
      <w:pPr>
        <w:wordWrap w:val="0"/>
        <w:spacing w:line="420" w:lineRule="exact"/>
        <w:ind w:firstLine="480"/>
        <w:rPr>
          <w:rFonts w:ascii="宋体" w:hAnsi="宋体" w:cs="宋体"/>
          <w:sz w:val="24"/>
          <w:szCs w:val="24"/>
        </w:rPr>
      </w:pPr>
      <w:r>
        <w:rPr>
          <w:rFonts w:hint="eastAsia" w:ascii="宋体" w:hAnsi="宋体" w:cs="宋体"/>
          <w:sz w:val="24"/>
          <w:szCs w:val="24"/>
        </w:rPr>
        <w:t>1.享受政府采购支持政策的残疾人福利性单位应当同时满足以下条件：</w:t>
      </w:r>
    </w:p>
    <w:p w14:paraId="0ACBE6CD">
      <w:pPr>
        <w:wordWrap w:val="0"/>
        <w:spacing w:line="420" w:lineRule="exact"/>
        <w:ind w:firstLine="48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34793B9F">
      <w:pPr>
        <w:wordWrap w:val="0"/>
        <w:spacing w:line="420" w:lineRule="exact"/>
        <w:ind w:firstLine="48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2A0B0CAC">
      <w:pPr>
        <w:wordWrap w:val="0"/>
        <w:spacing w:line="420" w:lineRule="exact"/>
        <w:ind w:firstLine="48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7764A53">
      <w:pPr>
        <w:wordWrap w:val="0"/>
        <w:spacing w:line="420" w:lineRule="exact"/>
        <w:ind w:firstLine="48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5920069">
      <w:pPr>
        <w:wordWrap w:val="0"/>
        <w:spacing w:line="420" w:lineRule="exact"/>
        <w:ind w:firstLine="48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64A62866">
      <w:pPr>
        <w:wordWrap w:val="0"/>
        <w:autoSpaceDE w:val="0"/>
        <w:autoSpaceDN w:val="0"/>
        <w:adjustRightInd w:val="0"/>
        <w:spacing w:line="420" w:lineRule="exact"/>
        <w:ind w:firstLine="480"/>
        <w:rPr>
          <w:rFonts w:ascii="宋体" w:hAnsi="宋体" w:cs="宋体"/>
          <w:sz w:val="24"/>
          <w:szCs w:val="24"/>
        </w:rPr>
      </w:pPr>
      <w:r>
        <w:rPr>
          <w:rFonts w:hint="eastAsia" w:ascii="宋体" w:hAnsi="宋体" w:cs="宋体"/>
          <w:sz w:val="24"/>
          <w:szCs w:val="24"/>
        </w:rPr>
        <w:t>2.成交人为残疾人福利性单位的，采购人或者其委托的采购代理机构应当随成交、成交结果同时公告其《残疾人福利性单位声明函》，接受社会监督，一旦发现弄虚作假提供虚假信息的，承担相应的法律责任。</w:t>
      </w:r>
    </w:p>
    <w:p w14:paraId="463FD8E8">
      <w:pPr>
        <w:wordWrap w:val="0"/>
        <w:spacing w:line="420" w:lineRule="exact"/>
        <w:ind w:firstLine="420"/>
        <w:jc w:val="center"/>
        <w:rPr>
          <w:rFonts w:hint="eastAsia" w:ascii="宋体" w:hAnsi="宋体" w:cs="宋体"/>
        </w:rPr>
      </w:pPr>
    </w:p>
    <w:p w14:paraId="35EEC23B">
      <w:pPr>
        <w:wordWrap w:val="0"/>
        <w:spacing w:line="420" w:lineRule="exact"/>
        <w:ind w:firstLine="420"/>
        <w:jc w:val="center"/>
        <w:rPr>
          <w:rFonts w:hint="eastAsia" w:ascii="宋体" w:hAnsi="宋体" w:cs="宋体"/>
        </w:rPr>
      </w:pPr>
    </w:p>
    <w:p w14:paraId="39A05D3A">
      <w:pPr>
        <w:wordWrap w:val="0"/>
        <w:spacing w:line="420" w:lineRule="exact"/>
        <w:ind w:firstLine="420"/>
        <w:jc w:val="center"/>
        <w:rPr>
          <w:rFonts w:hint="eastAsia" w:ascii="宋体" w:hAnsi="宋体" w:cs="宋体"/>
        </w:rPr>
      </w:pPr>
    </w:p>
    <w:p w14:paraId="1EB81DAE">
      <w:pPr>
        <w:wordWrap w:val="0"/>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（三）监狱企业证明文件（如有）</w:t>
      </w:r>
    </w:p>
    <w:p w14:paraId="12A1FAD6">
      <w:pPr>
        <w:wordWrap w:val="0"/>
        <w:spacing w:line="420" w:lineRule="exact"/>
        <w:ind w:firstLine="480"/>
        <w:rPr>
          <w:rFonts w:hint="eastAsia" w:ascii="宋体" w:hAnsi="宋体" w:cs="宋体"/>
          <w:szCs w:val="21"/>
        </w:rPr>
      </w:pPr>
    </w:p>
    <w:p w14:paraId="196761FF">
      <w:pPr>
        <w:pStyle w:val="23"/>
        <w:rPr>
          <w:rFonts w:hint="eastAsia"/>
        </w:rPr>
      </w:pPr>
    </w:p>
    <w:p w14:paraId="020305D0">
      <w:pPr>
        <w:wordWrap w:val="0"/>
        <w:spacing w:line="420" w:lineRule="exact"/>
        <w:ind w:firstLine="480"/>
        <w:rPr>
          <w:rFonts w:ascii="宋体" w:hAnsi="宋体" w:cs="宋体"/>
          <w:sz w:val="24"/>
          <w:szCs w:val="24"/>
        </w:rPr>
      </w:pPr>
      <w:r>
        <w:rPr>
          <w:rFonts w:hint="eastAsia" w:ascii="宋体" w:hAnsi="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的价格扣除，但必须提供由省级以上监狱管理局、戒毒管理局（含新疆生产建设兵团）出具的属于监狱企业的证明文件，否则评审时不予价格扣除优惠。</w:t>
      </w:r>
    </w:p>
    <w:p w14:paraId="746C75E6">
      <w:pPr>
        <w:wordWrap w:val="0"/>
        <w:spacing w:line="420" w:lineRule="exact"/>
        <w:rPr>
          <w:rFonts w:ascii="宋体" w:hAnsi="宋体" w:cs="宋体"/>
          <w:sz w:val="24"/>
          <w:szCs w:val="24"/>
        </w:rPr>
      </w:pPr>
    </w:p>
    <w:p w14:paraId="3C723DD0">
      <w:pPr>
        <w:wordWrap w:val="0"/>
        <w:spacing w:line="420" w:lineRule="exact"/>
        <w:ind w:firstLine="480"/>
        <w:rPr>
          <w:rFonts w:ascii="宋体" w:hAnsi="宋体" w:cs="宋体"/>
          <w:sz w:val="24"/>
          <w:szCs w:val="24"/>
        </w:rPr>
      </w:pPr>
      <w:r>
        <w:rPr>
          <w:rFonts w:hint="eastAsia" w:ascii="宋体" w:hAnsi="宋体" w:cs="宋体"/>
          <w:sz w:val="24"/>
          <w:szCs w:val="24"/>
        </w:rPr>
        <w:t>注：在响应文件中附扫描件。</w:t>
      </w:r>
    </w:p>
    <w:p w14:paraId="5298186C">
      <w:pPr>
        <w:pStyle w:val="50"/>
        <w:ind w:firstLine="240"/>
        <w:jc w:val="center"/>
        <w:rPr>
          <w:rFonts w:hint="eastAsia" w:ascii="宋体" w:hAnsi="宋体" w:cs="宋体"/>
        </w:rPr>
      </w:pPr>
    </w:p>
    <w:p w14:paraId="0FCD212C">
      <w:pPr>
        <w:pStyle w:val="50"/>
        <w:ind w:firstLine="240"/>
        <w:jc w:val="center"/>
        <w:rPr>
          <w:rFonts w:hint="eastAsia" w:ascii="宋体" w:hAnsi="宋体" w:cs="宋体"/>
        </w:rPr>
      </w:pPr>
    </w:p>
    <w:p w14:paraId="0667F2A2">
      <w:pPr>
        <w:pStyle w:val="50"/>
        <w:ind w:firstLine="240"/>
        <w:jc w:val="center"/>
        <w:rPr>
          <w:rFonts w:hint="eastAsia" w:ascii="宋体" w:hAnsi="宋体" w:cs="宋体"/>
        </w:rPr>
      </w:pPr>
    </w:p>
    <w:p w14:paraId="505C9BC6">
      <w:pPr>
        <w:pStyle w:val="50"/>
        <w:ind w:firstLine="240"/>
        <w:jc w:val="center"/>
        <w:rPr>
          <w:rFonts w:hint="eastAsia" w:ascii="宋体" w:hAnsi="宋体" w:cs="宋体"/>
        </w:rPr>
      </w:pPr>
    </w:p>
    <w:p w14:paraId="21FFA1D4">
      <w:pPr>
        <w:pStyle w:val="50"/>
        <w:ind w:firstLine="240"/>
        <w:jc w:val="center"/>
        <w:rPr>
          <w:rFonts w:hint="eastAsia" w:ascii="宋体" w:hAnsi="宋体" w:cs="宋体"/>
        </w:rPr>
      </w:pPr>
    </w:p>
    <w:p w14:paraId="0BB8007E">
      <w:pPr>
        <w:pStyle w:val="50"/>
        <w:ind w:firstLine="240"/>
        <w:jc w:val="center"/>
        <w:rPr>
          <w:rFonts w:hint="eastAsia" w:ascii="宋体" w:hAnsi="宋体" w:cs="宋体"/>
        </w:rPr>
      </w:pPr>
    </w:p>
    <w:p w14:paraId="3CD65A32">
      <w:pPr>
        <w:pStyle w:val="50"/>
        <w:ind w:firstLine="240"/>
        <w:jc w:val="center"/>
        <w:rPr>
          <w:rFonts w:hint="eastAsia" w:ascii="宋体" w:hAnsi="宋体" w:cs="宋体"/>
        </w:rPr>
      </w:pPr>
    </w:p>
    <w:p w14:paraId="6AB65272">
      <w:pPr>
        <w:pStyle w:val="50"/>
        <w:ind w:firstLine="240"/>
        <w:jc w:val="center"/>
        <w:rPr>
          <w:rFonts w:hint="eastAsia" w:ascii="宋体" w:hAnsi="宋体" w:cs="宋体"/>
        </w:rPr>
      </w:pPr>
    </w:p>
    <w:p w14:paraId="08EE04DB">
      <w:pPr>
        <w:pStyle w:val="50"/>
        <w:ind w:firstLine="240"/>
        <w:jc w:val="center"/>
        <w:rPr>
          <w:rFonts w:hint="eastAsia" w:ascii="宋体" w:hAnsi="宋体" w:cs="宋体"/>
        </w:rPr>
      </w:pPr>
    </w:p>
    <w:p w14:paraId="060D8CF8">
      <w:pPr>
        <w:pStyle w:val="50"/>
        <w:ind w:firstLine="240"/>
        <w:jc w:val="center"/>
        <w:rPr>
          <w:rFonts w:hint="eastAsia" w:ascii="宋体" w:hAnsi="宋体" w:cs="宋体"/>
        </w:rPr>
      </w:pPr>
    </w:p>
    <w:p w14:paraId="4CA2675B">
      <w:pPr>
        <w:pStyle w:val="50"/>
        <w:ind w:firstLine="240"/>
        <w:jc w:val="center"/>
        <w:rPr>
          <w:rFonts w:hint="eastAsia" w:ascii="宋体" w:hAnsi="宋体" w:cs="宋体"/>
        </w:rPr>
      </w:pPr>
    </w:p>
    <w:p w14:paraId="5883C5A3">
      <w:pPr>
        <w:pStyle w:val="50"/>
        <w:ind w:firstLine="240"/>
        <w:jc w:val="center"/>
        <w:rPr>
          <w:rFonts w:hint="eastAsia" w:ascii="宋体" w:hAnsi="宋体" w:cs="宋体"/>
        </w:rPr>
      </w:pPr>
    </w:p>
    <w:p w14:paraId="15E7D584">
      <w:pPr>
        <w:pStyle w:val="50"/>
        <w:ind w:firstLine="240"/>
        <w:jc w:val="center"/>
        <w:rPr>
          <w:rFonts w:hint="eastAsia" w:ascii="宋体" w:hAnsi="宋体" w:cs="宋体"/>
        </w:rPr>
      </w:pPr>
    </w:p>
    <w:p w14:paraId="366003CF">
      <w:pPr>
        <w:pStyle w:val="50"/>
        <w:ind w:firstLine="240"/>
        <w:jc w:val="center"/>
        <w:rPr>
          <w:rFonts w:hint="eastAsia" w:ascii="宋体" w:hAnsi="宋体" w:cs="宋体"/>
        </w:rPr>
      </w:pPr>
    </w:p>
    <w:p w14:paraId="5D5C131B">
      <w:pPr>
        <w:pStyle w:val="50"/>
        <w:ind w:firstLine="240"/>
        <w:jc w:val="center"/>
        <w:rPr>
          <w:rFonts w:hint="eastAsia" w:ascii="宋体" w:hAnsi="宋体" w:cs="宋体"/>
        </w:rPr>
      </w:pPr>
    </w:p>
    <w:p w14:paraId="241C270E">
      <w:pPr>
        <w:pStyle w:val="50"/>
        <w:ind w:firstLine="240"/>
        <w:jc w:val="center"/>
        <w:rPr>
          <w:rFonts w:hint="eastAsia" w:ascii="宋体" w:hAnsi="宋体" w:cs="宋体"/>
        </w:rPr>
      </w:pPr>
    </w:p>
    <w:p w14:paraId="10D0424F">
      <w:pPr>
        <w:pStyle w:val="50"/>
        <w:ind w:firstLine="240"/>
        <w:jc w:val="center"/>
        <w:rPr>
          <w:rFonts w:hint="eastAsia" w:ascii="宋体" w:hAnsi="宋体" w:cs="宋体"/>
        </w:rPr>
      </w:pPr>
    </w:p>
    <w:p w14:paraId="40F3F3EF">
      <w:pPr>
        <w:pStyle w:val="50"/>
        <w:ind w:firstLine="240"/>
        <w:jc w:val="center"/>
        <w:rPr>
          <w:rFonts w:hint="eastAsia" w:ascii="宋体" w:hAnsi="宋体" w:cs="宋体"/>
        </w:rPr>
      </w:pPr>
    </w:p>
    <w:p w14:paraId="454857FD">
      <w:pPr>
        <w:pStyle w:val="50"/>
        <w:ind w:firstLine="240"/>
        <w:jc w:val="center"/>
        <w:rPr>
          <w:rFonts w:hint="eastAsia" w:ascii="宋体" w:hAnsi="宋体" w:cs="宋体"/>
        </w:rPr>
      </w:pPr>
    </w:p>
    <w:p w14:paraId="5BB8CF2C">
      <w:pPr>
        <w:pStyle w:val="50"/>
        <w:ind w:firstLine="240"/>
        <w:jc w:val="center"/>
        <w:rPr>
          <w:rFonts w:hint="eastAsia" w:ascii="宋体" w:hAnsi="宋体" w:cs="宋体"/>
        </w:rPr>
      </w:pPr>
    </w:p>
    <w:p w14:paraId="26E15B5C">
      <w:pPr>
        <w:pStyle w:val="50"/>
        <w:ind w:firstLine="240"/>
        <w:jc w:val="center"/>
        <w:rPr>
          <w:rFonts w:hint="eastAsia" w:ascii="宋体" w:hAnsi="宋体" w:cs="宋体"/>
        </w:rPr>
      </w:pPr>
    </w:p>
    <w:p w14:paraId="20A2EF11">
      <w:pPr>
        <w:pStyle w:val="50"/>
        <w:ind w:firstLine="240"/>
        <w:jc w:val="center"/>
        <w:rPr>
          <w:rFonts w:hint="eastAsia" w:ascii="宋体" w:hAnsi="宋体" w:cs="宋体"/>
        </w:rPr>
      </w:pPr>
    </w:p>
    <w:p w14:paraId="5C4C253E">
      <w:pPr>
        <w:pStyle w:val="50"/>
        <w:ind w:firstLine="240"/>
        <w:jc w:val="center"/>
        <w:rPr>
          <w:rFonts w:hint="eastAsia" w:ascii="宋体" w:hAnsi="宋体" w:cs="宋体"/>
        </w:rPr>
      </w:pPr>
    </w:p>
    <w:p w14:paraId="602297A2">
      <w:pPr>
        <w:pStyle w:val="50"/>
        <w:ind w:firstLine="240"/>
        <w:jc w:val="center"/>
        <w:rPr>
          <w:rFonts w:hint="eastAsia" w:ascii="宋体" w:hAnsi="宋体" w:cs="宋体"/>
        </w:rPr>
      </w:pPr>
    </w:p>
    <w:p w14:paraId="3D125D41">
      <w:pPr>
        <w:pStyle w:val="50"/>
        <w:ind w:firstLine="240"/>
        <w:jc w:val="center"/>
        <w:rPr>
          <w:rFonts w:hint="eastAsia" w:ascii="宋体" w:hAnsi="宋体" w:cs="宋体"/>
        </w:rPr>
      </w:pPr>
    </w:p>
    <w:p w14:paraId="12B9ED71">
      <w:pPr>
        <w:wordWrap w:val="0"/>
        <w:spacing w:line="42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（四）关于符合本国产品标准的声明函</w:t>
      </w:r>
    </w:p>
    <w:p w14:paraId="07A25272">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35BE8D4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4"/>
          <w:szCs w:val="24"/>
          <w:shd w:val="clear" w:fill="FFFFFF"/>
          <w:vertAlign w:val="baseline"/>
        </w:rPr>
      </w:pPr>
    </w:p>
    <w:p w14:paraId="03E34B7E">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3FEC13C">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1</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产品名称1</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8"/>
          <w:szCs w:val="28"/>
          <w:shd w:val="clear" w:fill="FFFFFF"/>
          <w:vertAlign w:val="superscript"/>
          <w:lang w:val="en-US" w:eastAsia="zh-CN"/>
        </w:rPr>
        <w:t>1</w:t>
      </w:r>
      <w:r>
        <w:rPr>
          <w:rStyle w:val="60"/>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厂名</w:t>
      </w:r>
      <w:r>
        <w:rPr>
          <w:rStyle w:val="60"/>
          <w:rFonts w:hint="eastAsia" w:ascii="宋体" w:hAnsi="宋体" w:eastAsia="宋体" w:cs="宋体"/>
          <w:i w:val="0"/>
          <w:iCs w:val="0"/>
          <w:caps w:val="0"/>
          <w:color w:val="383838"/>
          <w:spacing w:val="0"/>
          <w:sz w:val="28"/>
          <w:szCs w:val="28"/>
          <w:u w:val="single"/>
          <w:shd w:val="clear" w:fill="FFFFFF"/>
          <w:vertAlign w:val="superscript"/>
          <w:lang w:val="en-US" w:eastAsia="zh-CN"/>
        </w:rPr>
        <w:t>2</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lang w:eastAsia="zh-CN"/>
        </w:rPr>
        <w:t>，</w:t>
      </w:r>
      <w:r>
        <w:rPr>
          <w:rFonts w:hint="eastAsia" w:ascii="宋体" w:hAnsi="宋体" w:eastAsia="宋体" w:cs="宋体"/>
          <w:i w:val="0"/>
          <w:iCs w:val="0"/>
          <w:caps w:val="0"/>
          <w:color w:val="383838"/>
          <w:spacing w:val="0"/>
          <w:sz w:val="24"/>
          <w:szCs w:val="24"/>
          <w:shd w:val="clear" w:fill="FFFFFF"/>
          <w:vertAlign w:val="baseline"/>
        </w:rPr>
        <w:t>厂址为</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生产厂址</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产品名称1</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规定比例</w:t>
      </w:r>
      <w:r>
        <w:rPr>
          <w:rStyle w:val="60"/>
          <w:rFonts w:hint="eastAsia" w:ascii="宋体" w:hAnsi="宋体" w:eastAsia="宋体" w:cs="宋体"/>
          <w:i w:val="0"/>
          <w:iCs w:val="0"/>
          <w:caps w:val="0"/>
          <w:color w:val="383838"/>
          <w:spacing w:val="0"/>
          <w:sz w:val="28"/>
          <w:szCs w:val="28"/>
          <w:u w:val="single"/>
          <w:shd w:val="clear" w:fill="FFFFFF"/>
          <w:vertAlign w:val="superscript"/>
          <w:lang w:val="en-US" w:eastAsia="zh-CN"/>
        </w:rPr>
        <w:t>3</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产品名称1</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关键组件）</w:t>
      </w:r>
      <w:r>
        <w:rPr>
          <w:rStyle w:val="60"/>
          <w:rFonts w:hint="eastAsia" w:ascii="宋体" w:hAnsi="宋体" w:eastAsia="宋体" w:cs="宋体"/>
          <w:i w:val="0"/>
          <w:iCs w:val="0"/>
          <w:caps w:val="0"/>
          <w:color w:val="383838"/>
          <w:spacing w:val="0"/>
          <w:sz w:val="28"/>
          <w:szCs w:val="28"/>
          <w:u w:val="single"/>
          <w:shd w:val="clear" w:fill="FFFFFF"/>
          <w:vertAlign w:val="superscript"/>
        </w:rPr>
        <w:t>4</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60"/>
          <w:rFonts w:hint="eastAsia" w:ascii="宋体" w:hAnsi="宋体" w:eastAsia="宋体" w:cs="宋体"/>
          <w:i w:val="0"/>
          <w:iCs w:val="0"/>
          <w:caps w:val="0"/>
          <w:color w:val="383838"/>
          <w:spacing w:val="0"/>
          <w:sz w:val="24"/>
          <w:szCs w:val="24"/>
          <w:u w:val="single"/>
          <w:shd w:val="clear" w:fill="FFFFFF"/>
          <w:vertAlign w:val="baseline"/>
        </w:rPr>
        <w:t>（产品名称1）</w:t>
      </w:r>
      <w:r>
        <w:rPr>
          <w:rFonts w:hint="eastAsia" w:ascii="宋体" w:hAnsi="宋体" w:eastAsia="宋体" w:cs="宋体"/>
          <w:i w:val="0"/>
          <w:iCs w:val="0"/>
          <w:caps w:val="0"/>
          <w:color w:val="383838"/>
          <w:spacing w:val="0"/>
          <w:sz w:val="24"/>
          <w:szCs w:val="24"/>
          <w:shd w:val="clear" w:fill="FFFFFF"/>
          <w:vertAlign w:val="baseline"/>
        </w:rPr>
        <w:t>的</w:t>
      </w:r>
      <w:r>
        <w:rPr>
          <w:rStyle w:val="60"/>
          <w:rFonts w:hint="eastAsia" w:ascii="宋体" w:hAnsi="宋体" w:eastAsia="宋体" w:cs="宋体"/>
          <w:i w:val="0"/>
          <w:iCs w:val="0"/>
          <w:caps w:val="0"/>
          <w:color w:val="383838"/>
          <w:spacing w:val="0"/>
          <w:sz w:val="24"/>
          <w:szCs w:val="24"/>
          <w:u w:val="single"/>
          <w:shd w:val="clear" w:fill="FFFFFF"/>
          <w:vertAlign w:val="baseline"/>
        </w:rPr>
        <w:t>（关键工序）</w:t>
      </w:r>
      <w:r>
        <w:rPr>
          <w:rStyle w:val="60"/>
          <w:rFonts w:hint="eastAsia" w:ascii="宋体" w:hAnsi="宋体" w:eastAsia="宋体" w:cs="宋体"/>
          <w:i w:val="0"/>
          <w:iCs w:val="0"/>
          <w:caps w:val="0"/>
          <w:color w:val="383838"/>
          <w:spacing w:val="0"/>
          <w:sz w:val="28"/>
          <w:szCs w:val="28"/>
          <w:u w:val="single"/>
          <w:shd w:val="clear" w:fill="FFFFFF"/>
          <w:vertAlign w:val="superscript"/>
        </w:rPr>
        <w:t>5</w:t>
      </w:r>
      <w:r>
        <w:rPr>
          <w:rFonts w:hint="eastAsia" w:ascii="宋体" w:hAnsi="宋体" w:eastAsia="宋体" w:cs="宋体"/>
          <w:i w:val="0"/>
          <w:iCs w:val="0"/>
          <w:caps w:val="0"/>
          <w:color w:val="383838"/>
          <w:spacing w:val="0"/>
          <w:sz w:val="24"/>
          <w:szCs w:val="24"/>
          <w:shd w:val="clear" w:fill="FFFFFF"/>
          <w:vertAlign w:val="baseline"/>
        </w:rPr>
        <w:t>在中国境内完成。</w:t>
      </w:r>
    </w:p>
    <w:p w14:paraId="4C645B31">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2</w:t>
      </w:r>
      <w:r>
        <w:rPr>
          <w:rFonts w:hint="eastAsia" w:ascii="宋体" w:hAnsi="宋体" w:eastAsia="宋体" w:cs="宋体"/>
          <w:i w:val="0"/>
          <w:iCs w:val="0"/>
          <w:caps w:val="0"/>
          <w:color w:val="383838"/>
          <w:spacing w:val="0"/>
          <w:sz w:val="24"/>
          <w:szCs w:val="24"/>
          <w:shd w:val="clear" w:fill="FFFFFF"/>
          <w:vertAlign w:val="baseline"/>
          <w:lang w:eastAsia="zh-CN"/>
        </w:rPr>
        <w:t>、</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产品名称2</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，生产厂为</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厂名</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，厂址为</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生产厂址</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产品名称2</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的中国境内生产的组件成本占比≥</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规定比例</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产品名称2</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关键组件）</w:t>
      </w:r>
      <w:r>
        <w:rPr>
          <w:rFonts w:hint="eastAsia" w:ascii="宋体" w:hAnsi="宋体" w:eastAsia="宋体" w:cs="宋体"/>
          <w:i w:val="0"/>
          <w:iCs w:val="0"/>
          <w:caps w:val="0"/>
          <w:color w:val="383838"/>
          <w:spacing w:val="0"/>
          <w:sz w:val="24"/>
          <w:szCs w:val="24"/>
          <w:shd w:val="clear" w:fill="FFFFFF"/>
          <w:vertAlign w:val="baseline"/>
        </w:rPr>
        <w:t>在中国境内生产。</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产品名称</w:t>
      </w:r>
      <w:r>
        <w:rPr>
          <w:rStyle w:val="60"/>
          <w:rFonts w:hint="eastAsia" w:ascii="宋体" w:hAnsi="宋体" w:eastAsia="宋体" w:cs="宋体"/>
          <w:i w:val="0"/>
          <w:iCs w:val="0"/>
          <w:caps w:val="0"/>
          <w:color w:val="383838"/>
          <w:spacing w:val="0"/>
          <w:sz w:val="24"/>
          <w:szCs w:val="24"/>
          <w:u w:val="single"/>
          <w:shd w:val="clear" w:fill="FFFFFF"/>
          <w:vertAlign w:val="baseline"/>
          <w:lang w:val="en-US" w:eastAsia="zh-CN"/>
        </w:rPr>
        <w:t>2</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的</w:t>
      </w:r>
      <w:r>
        <w:rPr>
          <w:rStyle w:val="60"/>
          <w:rFonts w:hint="eastAsia" w:ascii="宋体" w:hAnsi="宋体" w:eastAsia="宋体" w:cs="宋体"/>
          <w:i w:val="0"/>
          <w:iCs w:val="0"/>
          <w:caps w:val="0"/>
          <w:color w:val="383838"/>
          <w:spacing w:val="0"/>
          <w:sz w:val="24"/>
          <w:szCs w:val="24"/>
          <w:shd w:val="clear" w:fill="FFFFFF"/>
          <w:vertAlign w:val="baseline"/>
        </w:rPr>
        <w:t>（</w:t>
      </w:r>
      <w:r>
        <w:rPr>
          <w:rStyle w:val="60"/>
          <w:rFonts w:hint="eastAsia" w:ascii="宋体" w:hAnsi="宋体" w:eastAsia="宋体" w:cs="宋体"/>
          <w:i w:val="0"/>
          <w:iCs w:val="0"/>
          <w:caps w:val="0"/>
          <w:color w:val="383838"/>
          <w:spacing w:val="0"/>
          <w:sz w:val="24"/>
          <w:szCs w:val="24"/>
          <w:u w:val="single"/>
          <w:shd w:val="clear" w:fill="FFFFFF"/>
          <w:vertAlign w:val="baseline"/>
        </w:rPr>
        <w:t>关键工序</w:t>
      </w:r>
      <w:r>
        <w:rPr>
          <w:rStyle w:val="60"/>
          <w:rFonts w:hint="eastAsia" w:ascii="宋体" w:hAnsi="宋体" w:eastAsia="宋体" w:cs="宋体"/>
          <w:i w:val="0"/>
          <w:iCs w:val="0"/>
          <w:caps w:val="0"/>
          <w:color w:val="383838"/>
          <w:spacing w:val="0"/>
          <w:sz w:val="24"/>
          <w:szCs w:val="24"/>
          <w:shd w:val="clear" w:fill="FFFFFF"/>
          <w:vertAlign w:val="baseline"/>
        </w:rPr>
        <w:t>）</w:t>
      </w:r>
      <w:r>
        <w:rPr>
          <w:rFonts w:hint="eastAsia" w:ascii="宋体" w:hAnsi="宋体" w:eastAsia="宋体" w:cs="宋体"/>
          <w:i w:val="0"/>
          <w:iCs w:val="0"/>
          <w:caps w:val="0"/>
          <w:color w:val="383838"/>
          <w:spacing w:val="0"/>
          <w:sz w:val="24"/>
          <w:szCs w:val="24"/>
          <w:shd w:val="clear" w:fill="FFFFFF"/>
          <w:vertAlign w:val="baseline"/>
        </w:rPr>
        <w:t>在中国境内完成。</w:t>
      </w:r>
    </w:p>
    <w:p w14:paraId="039F738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w:t>
      </w:r>
    </w:p>
    <w:p w14:paraId="10BF0B75">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sz w:val="24"/>
          <w:szCs w:val="24"/>
          <w:shd w:val="clear" w:fill="FFFFFF"/>
          <w:vertAlign w:val="baseline"/>
        </w:rPr>
        <w:t>本公司（单位）对上述声明内容的真实性负责。如有虚假，愿承担相应法律责任。</w:t>
      </w:r>
    </w:p>
    <w:p w14:paraId="617F5387">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 </w:t>
      </w:r>
    </w:p>
    <w:p w14:paraId="16F7F34C">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u w:val="single"/>
        </w:rPr>
      </w:pPr>
      <w:r>
        <w:rPr>
          <w:rFonts w:hint="eastAsia" w:ascii="微软雅黑" w:hAnsi="微软雅黑" w:eastAsia="微软雅黑" w:cs="微软雅黑"/>
          <w:i w:val="0"/>
          <w:iCs w:val="0"/>
          <w:caps w:val="0"/>
          <w:color w:val="383838"/>
          <w:spacing w:val="0"/>
          <w:sz w:val="24"/>
          <w:szCs w:val="24"/>
          <w:shd w:val="clear" w:fill="FFFFFF"/>
          <w:vertAlign w:val="baseline"/>
        </w:rPr>
        <w:t>公司（单位）名称（盖章）：</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p>
    <w:p w14:paraId="01077968">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textAlignment w:val="baseline"/>
        <w:rPr>
          <w:rFonts w:hint="eastAsia" w:ascii="微软雅黑" w:hAnsi="微软雅黑" w:eastAsia="微软雅黑" w:cs="微软雅黑"/>
          <w:i w:val="0"/>
          <w:iCs w:val="0"/>
          <w:caps w:val="0"/>
          <w:color w:val="383838"/>
          <w:spacing w:val="0"/>
          <w:sz w:val="24"/>
          <w:szCs w:val="24"/>
        </w:rPr>
      </w:pPr>
      <w:r>
        <w:rPr>
          <w:rFonts w:hint="eastAsia" w:ascii="微软雅黑" w:hAnsi="微软雅黑" w:eastAsia="微软雅黑" w:cs="微软雅黑"/>
          <w:i w:val="0"/>
          <w:iCs w:val="0"/>
          <w:caps w:val="0"/>
          <w:color w:val="383838"/>
          <w:spacing w:val="0"/>
          <w:sz w:val="24"/>
          <w:szCs w:val="24"/>
          <w:shd w:val="clear" w:fill="FFFFFF"/>
          <w:vertAlign w:val="baseline"/>
        </w:rPr>
        <w:t>日期：　</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 年</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月</w:t>
      </w:r>
      <w:r>
        <w:rPr>
          <w:rFonts w:hint="eastAsia" w:ascii="微软雅黑" w:hAnsi="微软雅黑" w:eastAsia="微软雅黑" w:cs="微软雅黑"/>
          <w:i w:val="0"/>
          <w:iCs w:val="0"/>
          <w:caps w:val="0"/>
          <w:color w:val="383838"/>
          <w:spacing w:val="0"/>
          <w:sz w:val="24"/>
          <w:szCs w:val="24"/>
          <w:u w:val="single"/>
          <w:shd w:val="clear" w:fill="FFFFFF"/>
          <w:vertAlign w:val="baseline"/>
        </w:rPr>
        <w:t>　  </w:t>
      </w:r>
      <w:r>
        <w:rPr>
          <w:rFonts w:hint="eastAsia" w:ascii="微软雅黑" w:hAnsi="微软雅黑" w:eastAsia="微软雅黑" w:cs="微软雅黑"/>
          <w:i w:val="0"/>
          <w:iCs w:val="0"/>
          <w:caps w:val="0"/>
          <w:color w:val="383838"/>
          <w:spacing w:val="0"/>
          <w:sz w:val="24"/>
          <w:szCs w:val="24"/>
          <w:shd w:val="clear" w:fill="FFFFFF"/>
          <w:vertAlign w:val="baseline"/>
        </w:rPr>
        <w:t>日   </w:t>
      </w:r>
    </w:p>
    <w:p w14:paraId="00DEB800">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52549719">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textAlignment w:val="baseline"/>
        <w:rPr>
          <w:rFonts w:hint="eastAsia" w:ascii="微软雅黑" w:hAnsi="微软雅黑" w:eastAsia="微软雅黑" w:cs="微软雅黑"/>
          <w:i w:val="0"/>
          <w:iCs w:val="0"/>
          <w:caps w:val="0"/>
          <w:color w:val="383838"/>
          <w:spacing w:val="0"/>
          <w:sz w:val="21"/>
          <w:szCs w:val="21"/>
          <w:shd w:val="clear" w:fill="FFFFFF"/>
          <w:vertAlign w:val="baseline"/>
        </w:rPr>
      </w:pPr>
    </w:p>
    <w:p w14:paraId="70C1ED34">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leftChars="0" w:right="0" w:firstLine="210" w:firstLineChars="100"/>
        <w:textAlignment w:val="baseline"/>
        <w:rPr>
          <w:rFonts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lang w:val="en-US" w:eastAsia="zh-CN"/>
        </w:rPr>
        <w:t>注：</w:t>
      </w:r>
      <w:r>
        <w:rPr>
          <w:rFonts w:hint="eastAsia" w:ascii="微软雅黑" w:hAnsi="微软雅黑" w:eastAsia="微软雅黑" w:cs="微软雅黑"/>
          <w:i w:val="0"/>
          <w:iCs w:val="0"/>
          <w:caps w:val="0"/>
          <w:color w:val="383838"/>
          <w:spacing w:val="0"/>
          <w:sz w:val="21"/>
          <w:szCs w:val="21"/>
          <w:shd w:val="clear" w:fill="FFFFFF"/>
          <w:vertAlign w:val="baseline"/>
        </w:rPr>
        <w:t>1.产品如有型号，请在“产品名称”栏一并填写。</w:t>
      </w:r>
    </w:p>
    <w:p w14:paraId="7296FBAF">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2.生产厂名与厂址应与生产厂营业执照载明的相关信息保持一致。</w:t>
      </w:r>
    </w:p>
    <w:p w14:paraId="706CFF16">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3.该产品的中国境内生产的组件成本占比相关要求实施前，“规定比例”栏可不填，下同。</w:t>
      </w:r>
    </w:p>
    <w:p w14:paraId="09BB7F84">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4.该产品的关键组件要求实施前，“关键组件”栏可不填，下同。</w:t>
      </w:r>
    </w:p>
    <w:p w14:paraId="4B384A3A">
      <w:pPr>
        <w:pStyle w:val="4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630" w:firstLineChars="300"/>
        <w:textAlignment w:val="baseline"/>
        <w:rPr>
          <w:rFonts w:hint="eastAsia" w:ascii="微软雅黑" w:hAnsi="微软雅黑" w:eastAsia="微软雅黑" w:cs="微软雅黑"/>
          <w:i w:val="0"/>
          <w:iCs w:val="0"/>
          <w:caps w:val="0"/>
          <w:color w:val="383838"/>
          <w:spacing w:val="0"/>
          <w:sz w:val="21"/>
          <w:szCs w:val="21"/>
        </w:rPr>
      </w:pPr>
      <w:r>
        <w:rPr>
          <w:rFonts w:hint="eastAsia" w:ascii="微软雅黑" w:hAnsi="微软雅黑" w:eastAsia="微软雅黑" w:cs="微软雅黑"/>
          <w:i w:val="0"/>
          <w:iCs w:val="0"/>
          <w:caps w:val="0"/>
          <w:color w:val="383838"/>
          <w:spacing w:val="0"/>
          <w:sz w:val="21"/>
          <w:szCs w:val="21"/>
          <w:shd w:val="clear" w:fill="FFFFFF"/>
          <w:vertAlign w:val="baseline"/>
        </w:rPr>
        <w:t>5.该产品的关键工序要求实施前，“关键工序”栏可不填，下同。</w:t>
      </w:r>
    </w:p>
    <w:p w14:paraId="1BE4FA43"/>
    <w:p w14:paraId="1EBBB513">
      <w:pPr>
        <w:wordWrap w:val="0"/>
        <w:spacing w:line="420" w:lineRule="exact"/>
        <w:jc w:val="center"/>
        <w:rPr>
          <w:rFonts w:hint="eastAsia" w:ascii="宋体" w:hAnsi="宋体" w:eastAsia="宋体" w:cs="宋体"/>
          <w:b/>
          <w:bCs/>
          <w:sz w:val="28"/>
          <w:szCs w:val="28"/>
          <w:lang w:val="en-US" w:eastAsia="zh-CN"/>
        </w:rPr>
      </w:pPr>
    </w:p>
    <w:p w14:paraId="545F919B">
      <w:pPr>
        <w:pStyle w:val="50"/>
        <w:ind w:firstLine="240"/>
        <w:jc w:val="center"/>
        <w:rPr>
          <w:rFonts w:hint="eastAsia" w:ascii="宋体" w:hAnsi="宋体" w:eastAsia="宋体" w:cs="宋体"/>
          <w:b/>
          <w:bCs/>
          <w:sz w:val="36"/>
          <w:szCs w:val="36"/>
        </w:rPr>
      </w:pPr>
      <w:r>
        <w:rPr>
          <w:rFonts w:hint="eastAsia" w:ascii="宋体" w:hAnsi="宋体" w:cs="宋体"/>
        </w:rPr>
        <w:br w:type="page"/>
      </w:r>
      <w:r>
        <w:rPr>
          <w:rFonts w:hint="eastAsia" w:ascii="宋体" w:hAnsi="宋体" w:eastAsia="宋体" w:cs="宋体"/>
          <w:b/>
          <w:bCs/>
          <w:sz w:val="36"/>
          <w:szCs w:val="36"/>
        </w:rPr>
        <w:t>河南省政府采购合同融资政策告知函</w:t>
      </w:r>
    </w:p>
    <w:p w14:paraId="092614BD">
      <w:pPr>
        <w:pStyle w:val="50"/>
        <w:ind w:firstLine="240"/>
        <w:rPr>
          <w:rFonts w:hint="eastAsia"/>
          <w:sz w:val="24"/>
          <w:szCs w:val="24"/>
        </w:rPr>
      </w:pPr>
    </w:p>
    <w:p w14:paraId="624DA057">
      <w:pPr>
        <w:pStyle w:val="50"/>
        <w:keepNext w:val="0"/>
        <w:keepLines w:val="0"/>
        <w:pageBreakBefore w:val="0"/>
        <w:widowControl w:val="0"/>
        <w:kinsoku/>
        <w:wordWrap/>
        <w:overflowPunct/>
        <w:topLinePunct w:val="0"/>
        <w:autoSpaceDE/>
        <w:autoSpaceDN/>
        <w:bidi w:val="0"/>
        <w:adjustRightInd/>
        <w:snapToGrid/>
        <w:spacing w:line="480" w:lineRule="auto"/>
        <w:ind w:firstLine="240"/>
        <w:textAlignment w:val="auto"/>
        <w:rPr>
          <w:rFonts w:hint="eastAsia" w:ascii="宋体" w:hAnsi="宋体" w:eastAsia="宋体" w:cs="宋体"/>
          <w:sz w:val="24"/>
          <w:szCs w:val="24"/>
        </w:rPr>
      </w:pPr>
      <w:r>
        <w:rPr>
          <w:rFonts w:hint="eastAsia" w:ascii="宋体" w:hAnsi="宋体" w:eastAsia="宋体" w:cs="宋体"/>
          <w:sz w:val="24"/>
          <w:szCs w:val="24"/>
        </w:rPr>
        <w:t>各供应商:</w:t>
      </w:r>
    </w:p>
    <w:p w14:paraId="1137CFE5">
      <w:pPr>
        <w:pStyle w:val="50"/>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欢迎贵公司参与河南省政府采购活动!</w:t>
      </w:r>
    </w:p>
    <w:p w14:paraId="170205E3">
      <w:pPr>
        <w:pStyle w:val="50"/>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A0937FA">
      <w:pPr>
        <w:pStyle w:val="50"/>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w:t>
      </w:r>
    </w:p>
    <w:p w14:paraId="3CB487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6EAB6E3B">
      <w:pPr>
        <w:pStyle w:val="50"/>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固始县合作融资平台：</w:t>
      </w:r>
    </w:p>
    <w:p w14:paraId="2A7A1A1B">
      <w:pPr>
        <w:pStyle w:val="50"/>
        <w:keepNext w:val="0"/>
        <w:keepLines w:val="0"/>
        <w:pageBreakBefore w:val="0"/>
        <w:widowControl w:val="0"/>
        <w:kinsoku/>
        <w:wordWrap/>
        <w:overflowPunct/>
        <w:topLinePunct w:val="0"/>
        <w:autoSpaceDE/>
        <w:autoSpaceDN/>
        <w:bidi w:val="0"/>
        <w:adjustRightInd/>
        <w:snapToGrid/>
        <w:spacing w:line="480" w:lineRule="auto"/>
        <w:ind w:left="279" w:leftChars="133"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1、中原银行固始支行，联系人：吴宵 联系方式：13526070966 ；</w:t>
      </w:r>
    </w:p>
    <w:p w14:paraId="28802921">
      <w:pPr>
        <w:pStyle w:val="50"/>
        <w:keepNext w:val="0"/>
        <w:keepLines w:val="0"/>
        <w:pageBreakBefore w:val="0"/>
        <w:widowControl w:val="0"/>
        <w:kinsoku/>
        <w:wordWrap/>
        <w:overflowPunct/>
        <w:topLinePunct w:val="0"/>
        <w:autoSpaceDE/>
        <w:autoSpaceDN/>
        <w:bidi w:val="0"/>
        <w:adjustRightInd/>
        <w:snapToGrid/>
        <w:spacing w:line="48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2、中国农业银行固始县支行，联系人：姚玉烛 联系方式：18037601233 ；</w:t>
      </w:r>
    </w:p>
    <w:p w14:paraId="6A08750F">
      <w:pPr>
        <w:pStyle w:val="483"/>
        <w:wordWrap w:val="0"/>
        <w:spacing w:after="580" w:line="607" w:lineRule="exact"/>
        <w:ind w:firstLine="620"/>
        <w:jc w:val="left"/>
      </w:pPr>
    </w:p>
    <w:p w14:paraId="371BE224">
      <w:pPr>
        <w:rPr>
          <w:rFonts w:ascii="宋体" w:hAnsi="宋体" w:cs="宋体"/>
          <w:b/>
          <w:bCs/>
          <w:iCs/>
          <w:caps/>
          <w:kern w:val="0"/>
          <w:sz w:val="36"/>
          <w:szCs w:val="21"/>
        </w:rPr>
      </w:pPr>
    </w:p>
    <w:sectPr>
      <w:footerReference r:id="rId17" w:type="default"/>
      <w:pgSz w:w="11906" w:h="16838"/>
      <w:pgMar w:top="1418" w:right="1418" w:bottom="1418" w:left="1418"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69194E7-ED29-4162-954B-64EF26E354F2}"/>
  </w:font>
  <w:font w:name="黑体">
    <w:panose1 w:val="02010609060101010101"/>
    <w:charset w:val="86"/>
    <w:family w:val="auto"/>
    <w:pitch w:val="default"/>
    <w:sig w:usb0="800002BF" w:usb1="38CF7CFA" w:usb2="00000016" w:usb3="00000000" w:csb0="00040001" w:csb1="00000000"/>
    <w:embedRegular r:id="rId2" w:fontKey="{4A537CA7-4FF5-4C97-9058-4C1921DD86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D33B7436-B3BD-48B0-BCA2-4565C7F2AC34}"/>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Univers">
    <w:altName w:val="Segoe Print"/>
    <w:panose1 w:val="00000000000000000000"/>
    <w:charset w:val="00"/>
    <w:family w:val="swiss"/>
    <w:pitch w:val="default"/>
    <w:sig w:usb0="00000000" w:usb1="00000000" w:usb2="00000000" w:usb3="00000000" w:csb0="0000000F" w:csb1="00000000"/>
  </w:font>
  <w:font w:name="Adobe 宋体 Std L">
    <w:altName w:val="宋体"/>
    <w:panose1 w:val="000000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4" w:fontKey="{B640034C-85C8-44D0-823F-7FF41C819C5D}"/>
  </w:font>
  <w:font w:name="Verdana">
    <w:panose1 w:val="020B0604030504040204"/>
    <w:charset w:val="00"/>
    <w:family w:val="swiss"/>
    <w:pitch w:val="default"/>
    <w:sig w:usb0="A00006FF" w:usb1="4000205B" w:usb2="00000010" w:usb3="00000000" w:csb0="2000019F" w:csb1="00000000"/>
  </w:font>
  <w:font w:name="方正仿宋_GB2312">
    <w:panose1 w:val="02000000000000000000"/>
    <w:charset w:val="86"/>
    <w:family w:val="auto"/>
    <w:pitch w:val="default"/>
    <w:sig w:usb0="A00002BF" w:usb1="184F6CFA" w:usb2="00000012" w:usb3="00000000" w:csb0="00040001" w:csb1="00000000"/>
    <w:embedRegular r:id="rId5" w:fontKey="{879C3310-BD28-4A02-ADAD-1E7E63650C2F}"/>
  </w:font>
  <w:font w:name="TimesNewRomanPSMT">
    <w:altName w:val="宋体"/>
    <w:panose1 w:val="00000000000000000000"/>
    <w:charset w:val="00"/>
    <w:family w:val="roman"/>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embedRegular r:id="rId6" w:fontKey="{A12A7B0E-F9A3-4A06-B4B7-0B0E7D8251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54DA">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D82F">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DA36">
    <w:pPr>
      <w:pStyle w:val="3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D684B">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2E3A31">
                          <w:pPr>
                            <w:pStyle w:val="38"/>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i5FMEBAACN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MnINCLfHhIVLPxl1hJqK4ZQKo2mj8hr8eS9Zj3/R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zZi5FMEBAACNAwAADgAAAAAAAAABACAAAAAeAQAAZHJzL2Uyb0RvYy54bWxQSwUG&#10;AAAAAAYABgBZAQAAUQUAAAAA&#10;">
              <v:fill on="f" focussize="0,0"/>
              <v:stroke on="f"/>
              <v:imagedata o:title=""/>
              <o:lock v:ext="edit" aspectratio="f"/>
              <v:textbox inset="0mm,0mm,0mm,0mm" style="mso-fit-shape-to-text:t;">
                <w:txbxContent>
                  <w:p w14:paraId="792E3A31">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80AD">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E6042">
                          <w:pPr>
                            <w:pStyle w:val="3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D3E6042">
                    <w:pPr>
                      <w:pStyle w:val="3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47AF">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12DE9">
                          <w:pPr>
                            <w:pStyle w:val="38"/>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7X8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CVu1/CAQAAjQMAAA4AAAAAAAAAAQAgAAAAHgEAAGRycy9lMm9Eb2MueG1sUEsF&#10;BgAAAAAGAAYAWQEAAFIFAAAAAA==&#10;">
              <v:fill on="f" focussize="0,0"/>
              <v:stroke on="f"/>
              <v:imagedata o:title=""/>
              <o:lock v:ext="edit" aspectratio="f"/>
              <v:textbox inset="0mm,0mm,0mm,0mm" style="mso-fit-shape-to-text:t;">
                <w:txbxContent>
                  <w:p w14:paraId="01F12DE9">
                    <w:pPr>
                      <w:pStyle w:val="3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E9CE1">
    <w:pPr>
      <w:pBdr>
        <w:top w:val="single" w:color="auto" w:sz="4" w:space="1"/>
        <w:left w:val="none" w:color="auto" w:sz="0" w:space="4"/>
        <w:bottom w:val="none" w:color="auto" w:sz="0" w:space="1"/>
        <w:right w:val="none" w:color="auto" w:sz="0" w:space="4"/>
      </w:pBdr>
      <w:snapToGrid w:val="0"/>
      <w:ind w:firstLine="0" w:firstLineChars="0"/>
      <w:jc w:val="left"/>
      <w:rPr>
        <w:rFonts w:hint="eastAsia" w:ascii="Times New Roman" w:hAnsi="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97522">
                          <w:pPr>
                            <w:pStyle w:val="38"/>
                            <w:ind w:firstLine="360"/>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SozMoBAACb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9k&#10;+TY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rSozMoBAACbAwAADgAAAAAAAAABACAAAAAeAQAAZHJzL2Uyb0Rv&#10;Yy54bWxQSwUGAAAAAAYABgBZAQAAWgUAAAAA&#10;">
              <v:fill on="f" focussize="0,0"/>
              <v:stroke on="f"/>
              <v:imagedata o:title=""/>
              <o:lock v:ext="edit" aspectratio="f"/>
              <v:textbox inset="0mm,0mm,0mm,0mm" style="mso-fit-shape-to-text:t;">
                <w:txbxContent>
                  <w:p w14:paraId="0D697522">
                    <w:pPr>
                      <w:pStyle w:val="38"/>
                      <w:ind w:firstLine="36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180BE">
    <w:pPr>
      <w:pStyle w:val="38"/>
      <w:ind w:firstLine="90" w:firstLineChars="5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447B57">
                          <w:pPr>
                            <w:pStyle w:val="38"/>
                          </w:pPr>
                          <w:r>
                            <w:fldChar w:fldCharType="begin"/>
                          </w:r>
                          <w:r>
                            <w:instrText xml:space="preserve"> PAGE  \* MERGEFORMAT </w:instrText>
                          </w:r>
                          <w:r>
                            <w:fldChar w:fldCharType="separate"/>
                          </w:r>
                          <w:r>
                            <w:t>55</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yOnZcIBAACN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Mjp2XCAQAAjQMAAA4AAAAAAAAAAQAgAAAAHgEAAGRycy9lMm9Eb2MueG1sUEsF&#10;BgAAAAAGAAYAWQEAAFIFAAAAAA==&#10;">
              <v:fill on="f" focussize="0,0"/>
              <v:stroke on="f"/>
              <v:imagedata o:title=""/>
              <o:lock v:ext="edit" aspectratio="f"/>
              <v:textbox inset="0mm,0mm,0mm,0mm" style="mso-fit-shape-to-text:t;">
                <w:txbxContent>
                  <w:p w14:paraId="00447B57">
                    <w:pPr>
                      <w:pStyle w:val="3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F457">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6031">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3AF9">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A518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9A1B">
    <w:pPr>
      <w:pStyle w:val="39"/>
      <w:pBdr>
        <w:bottom w:val="none" w:color="auto" w:sz="0" w:space="1"/>
      </w:pBdr>
      <w:jc w:val="right"/>
      <w:rPr>
        <w:rFonts w:ascii="宋体" w:hAnsi="宋体" w:cs="宋体"/>
        <w:i/>
        <w:iCs/>
        <w:color w:val="0000FF"/>
      </w:rPr>
    </w:pPr>
    <w:r>
      <w:rPr>
        <w:rFonts w:hint="eastAsia" w:ascii="宋体" w:hAnsi="宋体"/>
        <w:i/>
        <w:iCs/>
        <w:color w:val="0000FF"/>
      </w:rPr>
      <w:t xml:space="preserve"> </w:t>
    </w:r>
    <w:r>
      <w:rPr>
        <w:rFonts w:hint="eastAsia" w:ascii="宋体" w:hAnsi="宋体" w:cs="宋体"/>
        <w:i/>
        <w:iCs/>
        <w:color w:val="0000FF"/>
      </w:rPr>
      <w:t xml:space="preserve"> </w:t>
    </w:r>
  </w:p>
  <w:p w14:paraId="78EBEBFF">
    <w:pPr>
      <w:pStyle w:val="39"/>
      <w:pBdr>
        <w:bottom w:val="none" w:color="auto" w:sz="0" w:space="1"/>
      </w:pBdr>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32D8">
    <w:pPr>
      <w:rPr>
        <w:rFonts w:hint="eastAsia"/>
        <w:lang w:val="en-US" w:eastAsia="zh-CN"/>
      </w:rPr>
    </w:pPr>
    <w:r>
      <w:rPr>
        <w:rFonts w:hint="eastAsia"/>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A547">
    <w:pPr>
      <w:pBdr>
        <w:bottom w:val="none" w:color="auto" w:sz="0" w:space="1"/>
      </w:pBdr>
      <w:snapToGrid w:val="0"/>
      <w:ind w:firstLine="300"/>
      <w:jc w:val="center"/>
      <w:rPr>
        <w:rFonts w:ascii="Times New Roman" w:hAnsi="Times New Roman"/>
        <w:i/>
        <w:iCs/>
        <w:color w:val="0000FF"/>
        <w:sz w:val="18"/>
        <w:szCs w:val="18"/>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F3C7A"/>
    <w:multiLevelType w:val="singleLevel"/>
    <w:tmpl w:val="98EF3C7A"/>
    <w:lvl w:ilvl="0" w:tentative="0">
      <w:start w:val="2"/>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4ADC87F1"/>
    <w:multiLevelType w:val="singleLevel"/>
    <w:tmpl w:val="4ADC87F1"/>
    <w:lvl w:ilvl="0" w:tentative="0">
      <w:start w:val="1"/>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OWJiNDJkMDQ1M2MyZGRiODBiYTkyMjUxNWUxMWIifQ=="/>
  </w:docVars>
  <w:rsids>
    <w:rsidRoot w:val="00F253E1"/>
    <w:rsid w:val="00000FCB"/>
    <w:rsid w:val="00001C88"/>
    <w:rsid w:val="00001CD3"/>
    <w:rsid w:val="00002712"/>
    <w:rsid w:val="000028EB"/>
    <w:rsid w:val="00003539"/>
    <w:rsid w:val="000056AE"/>
    <w:rsid w:val="00005888"/>
    <w:rsid w:val="000058FB"/>
    <w:rsid w:val="00006D3E"/>
    <w:rsid w:val="00006DCA"/>
    <w:rsid w:val="000075D5"/>
    <w:rsid w:val="00007E45"/>
    <w:rsid w:val="00010500"/>
    <w:rsid w:val="00011100"/>
    <w:rsid w:val="00011EF2"/>
    <w:rsid w:val="00012999"/>
    <w:rsid w:val="000129C7"/>
    <w:rsid w:val="0001394F"/>
    <w:rsid w:val="00014447"/>
    <w:rsid w:val="000159D0"/>
    <w:rsid w:val="00015BE5"/>
    <w:rsid w:val="000160A4"/>
    <w:rsid w:val="00016512"/>
    <w:rsid w:val="0001747F"/>
    <w:rsid w:val="000200A1"/>
    <w:rsid w:val="00020348"/>
    <w:rsid w:val="000205ED"/>
    <w:rsid w:val="000208B8"/>
    <w:rsid w:val="00021627"/>
    <w:rsid w:val="00021E64"/>
    <w:rsid w:val="00022E41"/>
    <w:rsid w:val="0002445D"/>
    <w:rsid w:val="000252A7"/>
    <w:rsid w:val="00026C93"/>
    <w:rsid w:val="00026F71"/>
    <w:rsid w:val="00026FB9"/>
    <w:rsid w:val="00027754"/>
    <w:rsid w:val="0003024A"/>
    <w:rsid w:val="0003073A"/>
    <w:rsid w:val="00030853"/>
    <w:rsid w:val="00030B5C"/>
    <w:rsid w:val="0003268C"/>
    <w:rsid w:val="000328C8"/>
    <w:rsid w:val="00032EC9"/>
    <w:rsid w:val="0003317E"/>
    <w:rsid w:val="0003570B"/>
    <w:rsid w:val="000363A8"/>
    <w:rsid w:val="000401DE"/>
    <w:rsid w:val="0004025D"/>
    <w:rsid w:val="000411C5"/>
    <w:rsid w:val="00042A38"/>
    <w:rsid w:val="00042D21"/>
    <w:rsid w:val="0004338A"/>
    <w:rsid w:val="00043B9F"/>
    <w:rsid w:val="00044162"/>
    <w:rsid w:val="00044463"/>
    <w:rsid w:val="00044580"/>
    <w:rsid w:val="00044929"/>
    <w:rsid w:val="000457FF"/>
    <w:rsid w:val="000463B5"/>
    <w:rsid w:val="0004674D"/>
    <w:rsid w:val="00047983"/>
    <w:rsid w:val="000504DA"/>
    <w:rsid w:val="00051888"/>
    <w:rsid w:val="00053590"/>
    <w:rsid w:val="00053912"/>
    <w:rsid w:val="00053E11"/>
    <w:rsid w:val="00054503"/>
    <w:rsid w:val="00054B64"/>
    <w:rsid w:val="00054C2B"/>
    <w:rsid w:val="0005507A"/>
    <w:rsid w:val="0005578B"/>
    <w:rsid w:val="000566A6"/>
    <w:rsid w:val="00056E3B"/>
    <w:rsid w:val="000578F1"/>
    <w:rsid w:val="00060780"/>
    <w:rsid w:val="000624D2"/>
    <w:rsid w:val="0006266F"/>
    <w:rsid w:val="00062AC0"/>
    <w:rsid w:val="00065340"/>
    <w:rsid w:val="000655A2"/>
    <w:rsid w:val="000661AA"/>
    <w:rsid w:val="000665F6"/>
    <w:rsid w:val="00070975"/>
    <w:rsid w:val="0007157B"/>
    <w:rsid w:val="00071D92"/>
    <w:rsid w:val="0007207F"/>
    <w:rsid w:val="00072084"/>
    <w:rsid w:val="00073F41"/>
    <w:rsid w:val="000768DD"/>
    <w:rsid w:val="00076AD8"/>
    <w:rsid w:val="00080011"/>
    <w:rsid w:val="00080F56"/>
    <w:rsid w:val="00080F5B"/>
    <w:rsid w:val="000823DA"/>
    <w:rsid w:val="000826A2"/>
    <w:rsid w:val="000828A5"/>
    <w:rsid w:val="00084584"/>
    <w:rsid w:val="000845AC"/>
    <w:rsid w:val="000856F7"/>
    <w:rsid w:val="00085B34"/>
    <w:rsid w:val="00085F44"/>
    <w:rsid w:val="000872AB"/>
    <w:rsid w:val="00090B29"/>
    <w:rsid w:val="000910CD"/>
    <w:rsid w:val="000917A5"/>
    <w:rsid w:val="00091F86"/>
    <w:rsid w:val="00091FD5"/>
    <w:rsid w:val="00092B94"/>
    <w:rsid w:val="00092D6C"/>
    <w:rsid w:val="00092ED2"/>
    <w:rsid w:val="000938CE"/>
    <w:rsid w:val="0009416D"/>
    <w:rsid w:val="0009528D"/>
    <w:rsid w:val="000952EA"/>
    <w:rsid w:val="00095651"/>
    <w:rsid w:val="00095A5F"/>
    <w:rsid w:val="00095E27"/>
    <w:rsid w:val="000973DE"/>
    <w:rsid w:val="000977F1"/>
    <w:rsid w:val="00097BF3"/>
    <w:rsid w:val="00097F21"/>
    <w:rsid w:val="000A0A79"/>
    <w:rsid w:val="000A0C8D"/>
    <w:rsid w:val="000A1087"/>
    <w:rsid w:val="000A1BB6"/>
    <w:rsid w:val="000A2BDD"/>
    <w:rsid w:val="000A2C45"/>
    <w:rsid w:val="000A32F6"/>
    <w:rsid w:val="000A4900"/>
    <w:rsid w:val="000A4C97"/>
    <w:rsid w:val="000A4DF4"/>
    <w:rsid w:val="000A52B1"/>
    <w:rsid w:val="000A6502"/>
    <w:rsid w:val="000A6667"/>
    <w:rsid w:val="000A6A43"/>
    <w:rsid w:val="000B0F4A"/>
    <w:rsid w:val="000B1371"/>
    <w:rsid w:val="000B5CD9"/>
    <w:rsid w:val="000B64DE"/>
    <w:rsid w:val="000B7494"/>
    <w:rsid w:val="000B79D5"/>
    <w:rsid w:val="000C1AE5"/>
    <w:rsid w:val="000C2718"/>
    <w:rsid w:val="000C33CC"/>
    <w:rsid w:val="000C37C0"/>
    <w:rsid w:val="000C3DC8"/>
    <w:rsid w:val="000C4004"/>
    <w:rsid w:val="000C5B69"/>
    <w:rsid w:val="000C615C"/>
    <w:rsid w:val="000C687D"/>
    <w:rsid w:val="000C6D3F"/>
    <w:rsid w:val="000C7FBE"/>
    <w:rsid w:val="000D01D0"/>
    <w:rsid w:val="000D0FE4"/>
    <w:rsid w:val="000D447A"/>
    <w:rsid w:val="000D5082"/>
    <w:rsid w:val="000D5A26"/>
    <w:rsid w:val="000D5F5F"/>
    <w:rsid w:val="000D709A"/>
    <w:rsid w:val="000D79D1"/>
    <w:rsid w:val="000D7C23"/>
    <w:rsid w:val="000E06E6"/>
    <w:rsid w:val="000E150C"/>
    <w:rsid w:val="000E33E7"/>
    <w:rsid w:val="000E4238"/>
    <w:rsid w:val="000E44C0"/>
    <w:rsid w:val="000E47B3"/>
    <w:rsid w:val="000E483E"/>
    <w:rsid w:val="000E4AB9"/>
    <w:rsid w:val="000E4D06"/>
    <w:rsid w:val="000E5786"/>
    <w:rsid w:val="000E5B2A"/>
    <w:rsid w:val="000E6320"/>
    <w:rsid w:val="000E643C"/>
    <w:rsid w:val="000F063D"/>
    <w:rsid w:val="000F2196"/>
    <w:rsid w:val="000F2F01"/>
    <w:rsid w:val="000F3029"/>
    <w:rsid w:val="000F31CE"/>
    <w:rsid w:val="000F392C"/>
    <w:rsid w:val="000F3BBF"/>
    <w:rsid w:val="000F515A"/>
    <w:rsid w:val="000F524B"/>
    <w:rsid w:val="000F5894"/>
    <w:rsid w:val="000F5AEB"/>
    <w:rsid w:val="000F5E9F"/>
    <w:rsid w:val="000F70E9"/>
    <w:rsid w:val="000F712D"/>
    <w:rsid w:val="00101285"/>
    <w:rsid w:val="001023C3"/>
    <w:rsid w:val="00102659"/>
    <w:rsid w:val="00102986"/>
    <w:rsid w:val="001031F3"/>
    <w:rsid w:val="001035CB"/>
    <w:rsid w:val="00103FE0"/>
    <w:rsid w:val="001043B7"/>
    <w:rsid w:val="0010517F"/>
    <w:rsid w:val="00105515"/>
    <w:rsid w:val="001055EE"/>
    <w:rsid w:val="001056A2"/>
    <w:rsid w:val="00106340"/>
    <w:rsid w:val="00106DC5"/>
    <w:rsid w:val="00107616"/>
    <w:rsid w:val="00107DBD"/>
    <w:rsid w:val="00111BC9"/>
    <w:rsid w:val="0011302F"/>
    <w:rsid w:val="001152BF"/>
    <w:rsid w:val="0011639D"/>
    <w:rsid w:val="00116A44"/>
    <w:rsid w:val="00116C83"/>
    <w:rsid w:val="001200BB"/>
    <w:rsid w:val="00121463"/>
    <w:rsid w:val="001217EA"/>
    <w:rsid w:val="00122ED3"/>
    <w:rsid w:val="0012336E"/>
    <w:rsid w:val="00124524"/>
    <w:rsid w:val="00124CC1"/>
    <w:rsid w:val="001273FE"/>
    <w:rsid w:val="00127C33"/>
    <w:rsid w:val="00131C34"/>
    <w:rsid w:val="00132C42"/>
    <w:rsid w:val="001330E1"/>
    <w:rsid w:val="00133281"/>
    <w:rsid w:val="00133F3B"/>
    <w:rsid w:val="00133F3F"/>
    <w:rsid w:val="00134E1B"/>
    <w:rsid w:val="0013698A"/>
    <w:rsid w:val="001377A1"/>
    <w:rsid w:val="00140284"/>
    <w:rsid w:val="001407ED"/>
    <w:rsid w:val="0014160E"/>
    <w:rsid w:val="00142F09"/>
    <w:rsid w:val="00143060"/>
    <w:rsid w:val="0014385E"/>
    <w:rsid w:val="001439BA"/>
    <w:rsid w:val="001441FA"/>
    <w:rsid w:val="00144349"/>
    <w:rsid w:val="0014461D"/>
    <w:rsid w:val="0014498D"/>
    <w:rsid w:val="00144F78"/>
    <w:rsid w:val="001451B3"/>
    <w:rsid w:val="001451C9"/>
    <w:rsid w:val="001452CA"/>
    <w:rsid w:val="00145D75"/>
    <w:rsid w:val="0014675B"/>
    <w:rsid w:val="00146F34"/>
    <w:rsid w:val="00147AD2"/>
    <w:rsid w:val="0015384D"/>
    <w:rsid w:val="00154813"/>
    <w:rsid w:val="00154A53"/>
    <w:rsid w:val="00154DBD"/>
    <w:rsid w:val="00154F24"/>
    <w:rsid w:val="00156248"/>
    <w:rsid w:val="00156611"/>
    <w:rsid w:val="00156A32"/>
    <w:rsid w:val="0015766A"/>
    <w:rsid w:val="0016010F"/>
    <w:rsid w:val="00160C0B"/>
    <w:rsid w:val="00160C6C"/>
    <w:rsid w:val="001611A9"/>
    <w:rsid w:val="001617FA"/>
    <w:rsid w:val="00161AA6"/>
    <w:rsid w:val="00162EEF"/>
    <w:rsid w:val="00163227"/>
    <w:rsid w:val="001633B6"/>
    <w:rsid w:val="00164D88"/>
    <w:rsid w:val="00164E6F"/>
    <w:rsid w:val="0016596C"/>
    <w:rsid w:val="00165CA4"/>
    <w:rsid w:val="0016652C"/>
    <w:rsid w:val="001678AA"/>
    <w:rsid w:val="00167C55"/>
    <w:rsid w:val="00167EC2"/>
    <w:rsid w:val="00170789"/>
    <w:rsid w:val="00170DD0"/>
    <w:rsid w:val="00170F8D"/>
    <w:rsid w:val="00171612"/>
    <w:rsid w:val="0017219C"/>
    <w:rsid w:val="00172607"/>
    <w:rsid w:val="00173384"/>
    <w:rsid w:val="00173B89"/>
    <w:rsid w:val="00174EB5"/>
    <w:rsid w:val="001751D9"/>
    <w:rsid w:val="00176170"/>
    <w:rsid w:val="00176B27"/>
    <w:rsid w:val="001773EB"/>
    <w:rsid w:val="001778BA"/>
    <w:rsid w:val="00177B3E"/>
    <w:rsid w:val="00180A43"/>
    <w:rsid w:val="00183ACA"/>
    <w:rsid w:val="00184892"/>
    <w:rsid w:val="00184DEE"/>
    <w:rsid w:val="00185080"/>
    <w:rsid w:val="00185941"/>
    <w:rsid w:val="00185BAB"/>
    <w:rsid w:val="001867D6"/>
    <w:rsid w:val="001868D7"/>
    <w:rsid w:val="00186A44"/>
    <w:rsid w:val="00187485"/>
    <w:rsid w:val="00190143"/>
    <w:rsid w:val="00190236"/>
    <w:rsid w:val="001915CB"/>
    <w:rsid w:val="00191A61"/>
    <w:rsid w:val="00192246"/>
    <w:rsid w:val="00196B7C"/>
    <w:rsid w:val="00196D64"/>
    <w:rsid w:val="001977CE"/>
    <w:rsid w:val="001A024C"/>
    <w:rsid w:val="001A10DC"/>
    <w:rsid w:val="001A1840"/>
    <w:rsid w:val="001A1D3D"/>
    <w:rsid w:val="001A2D3A"/>
    <w:rsid w:val="001A3C39"/>
    <w:rsid w:val="001A4F89"/>
    <w:rsid w:val="001A673A"/>
    <w:rsid w:val="001A76E9"/>
    <w:rsid w:val="001B228C"/>
    <w:rsid w:val="001B322D"/>
    <w:rsid w:val="001B3335"/>
    <w:rsid w:val="001B3ABB"/>
    <w:rsid w:val="001B3B93"/>
    <w:rsid w:val="001B4A67"/>
    <w:rsid w:val="001B4B0E"/>
    <w:rsid w:val="001B4EA3"/>
    <w:rsid w:val="001B575A"/>
    <w:rsid w:val="001B57B3"/>
    <w:rsid w:val="001B5D90"/>
    <w:rsid w:val="001C006E"/>
    <w:rsid w:val="001C008E"/>
    <w:rsid w:val="001C03DF"/>
    <w:rsid w:val="001C1008"/>
    <w:rsid w:val="001C1F02"/>
    <w:rsid w:val="001C40E9"/>
    <w:rsid w:val="001C4A0A"/>
    <w:rsid w:val="001C75FB"/>
    <w:rsid w:val="001D013D"/>
    <w:rsid w:val="001D129B"/>
    <w:rsid w:val="001D1DBB"/>
    <w:rsid w:val="001D2512"/>
    <w:rsid w:val="001D2812"/>
    <w:rsid w:val="001D2BF1"/>
    <w:rsid w:val="001D32C3"/>
    <w:rsid w:val="001D3527"/>
    <w:rsid w:val="001D66AD"/>
    <w:rsid w:val="001D6F3B"/>
    <w:rsid w:val="001D756B"/>
    <w:rsid w:val="001E24BF"/>
    <w:rsid w:val="001E2BEE"/>
    <w:rsid w:val="001E30C1"/>
    <w:rsid w:val="001E59E3"/>
    <w:rsid w:val="001E6567"/>
    <w:rsid w:val="001E6E9D"/>
    <w:rsid w:val="001E72C4"/>
    <w:rsid w:val="001E77CF"/>
    <w:rsid w:val="001F070D"/>
    <w:rsid w:val="001F09F5"/>
    <w:rsid w:val="001F113B"/>
    <w:rsid w:val="001F127A"/>
    <w:rsid w:val="001F2BAB"/>
    <w:rsid w:val="001F36AD"/>
    <w:rsid w:val="001F3AC0"/>
    <w:rsid w:val="001F3EB4"/>
    <w:rsid w:val="001F4095"/>
    <w:rsid w:val="001F52D4"/>
    <w:rsid w:val="001F5684"/>
    <w:rsid w:val="001F58C7"/>
    <w:rsid w:val="001F5C5A"/>
    <w:rsid w:val="001F68E8"/>
    <w:rsid w:val="001F6AD0"/>
    <w:rsid w:val="001F7FA5"/>
    <w:rsid w:val="0020019C"/>
    <w:rsid w:val="0020040A"/>
    <w:rsid w:val="00200477"/>
    <w:rsid w:val="00200839"/>
    <w:rsid w:val="00200919"/>
    <w:rsid w:val="00200E51"/>
    <w:rsid w:val="00202A5B"/>
    <w:rsid w:val="00202A7C"/>
    <w:rsid w:val="00203CD5"/>
    <w:rsid w:val="00206485"/>
    <w:rsid w:val="00207DE5"/>
    <w:rsid w:val="0021021A"/>
    <w:rsid w:val="00211C56"/>
    <w:rsid w:val="00213653"/>
    <w:rsid w:val="0021383C"/>
    <w:rsid w:val="002149FD"/>
    <w:rsid w:val="00215092"/>
    <w:rsid w:val="00215690"/>
    <w:rsid w:val="002173D0"/>
    <w:rsid w:val="002178B1"/>
    <w:rsid w:val="002225DC"/>
    <w:rsid w:val="00222EBB"/>
    <w:rsid w:val="0022312F"/>
    <w:rsid w:val="00224951"/>
    <w:rsid w:val="0022496F"/>
    <w:rsid w:val="00226545"/>
    <w:rsid w:val="002268BD"/>
    <w:rsid w:val="002268D7"/>
    <w:rsid w:val="00227030"/>
    <w:rsid w:val="002275F9"/>
    <w:rsid w:val="00227CD7"/>
    <w:rsid w:val="002307CA"/>
    <w:rsid w:val="00231AB9"/>
    <w:rsid w:val="00231CAE"/>
    <w:rsid w:val="00231F4F"/>
    <w:rsid w:val="00232C03"/>
    <w:rsid w:val="002332F2"/>
    <w:rsid w:val="0023355D"/>
    <w:rsid w:val="00233F81"/>
    <w:rsid w:val="002356C5"/>
    <w:rsid w:val="00235913"/>
    <w:rsid w:val="00235C78"/>
    <w:rsid w:val="002371B9"/>
    <w:rsid w:val="002374C8"/>
    <w:rsid w:val="0024027A"/>
    <w:rsid w:val="00240DB9"/>
    <w:rsid w:val="0024166E"/>
    <w:rsid w:val="002417A8"/>
    <w:rsid w:val="00242853"/>
    <w:rsid w:val="00243C5A"/>
    <w:rsid w:val="00244223"/>
    <w:rsid w:val="0024441A"/>
    <w:rsid w:val="00244513"/>
    <w:rsid w:val="00244E0B"/>
    <w:rsid w:val="00244E52"/>
    <w:rsid w:val="0024507A"/>
    <w:rsid w:val="00246FEC"/>
    <w:rsid w:val="00247693"/>
    <w:rsid w:val="0025029E"/>
    <w:rsid w:val="002517F8"/>
    <w:rsid w:val="00251ECF"/>
    <w:rsid w:val="00253137"/>
    <w:rsid w:val="0025390D"/>
    <w:rsid w:val="00255086"/>
    <w:rsid w:val="00255615"/>
    <w:rsid w:val="0025625F"/>
    <w:rsid w:val="00256F90"/>
    <w:rsid w:val="0025756A"/>
    <w:rsid w:val="00257AA3"/>
    <w:rsid w:val="00263518"/>
    <w:rsid w:val="0026408E"/>
    <w:rsid w:val="0026415F"/>
    <w:rsid w:val="00264555"/>
    <w:rsid w:val="002645A3"/>
    <w:rsid w:val="00264D48"/>
    <w:rsid w:val="002657D6"/>
    <w:rsid w:val="00265845"/>
    <w:rsid w:val="00266312"/>
    <w:rsid w:val="00267DC1"/>
    <w:rsid w:val="00272A25"/>
    <w:rsid w:val="00272B37"/>
    <w:rsid w:val="00273582"/>
    <w:rsid w:val="00274A8A"/>
    <w:rsid w:val="002825DD"/>
    <w:rsid w:val="00282C84"/>
    <w:rsid w:val="002838A0"/>
    <w:rsid w:val="00283A4B"/>
    <w:rsid w:val="002849DC"/>
    <w:rsid w:val="00284B83"/>
    <w:rsid w:val="00284D23"/>
    <w:rsid w:val="002866C9"/>
    <w:rsid w:val="00287BA2"/>
    <w:rsid w:val="00287FD4"/>
    <w:rsid w:val="00292279"/>
    <w:rsid w:val="00293F2A"/>
    <w:rsid w:val="00294003"/>
    <w:rsid w:val="002945E5"/>
    <w:rsid w:val="002960ED"/>
    <w:rsid w:val="00296736"/>
    <w:rsid w:val="002972C3"/>
    <w:rsid w:val="0029749C"/>
    <w:rsid w:val="00297535"/>
    <w:rsid w:val="00297FA1"/>
    <w:rsid w:val="002A003F"/>
    <w:rsid w:val="002A0C86"/>
    <w:rsid w:val="002A1FF3"/>
    <w:rsid w:val="002A49ED"/>
    <w:rsid w:val="002A4CA6"/>
    <w:rsid w:val="002A5921"/>
    <w:rsid w:val="002A62E6"/>
    <w:rsid w:val="002A79B1"/>
    <w:rsid w:val="002B00BE"/>
    <w:rsid w:val="002B0957"/>
    <w:rsid w:val="002B25C4"/>
    <w:rsid w:val="002B3D95"/>
    <w:rsid w:val="002B5C9F"/>
    <w:rsid w:val="002B7868"/>
    <w:rsid w:val="002B7F80"/>
    <w:rsid w:val="002C0679"/>
    <w:rsid w:val="002C19AA"/>
    <w:rsid w:val="002C34CA"/>
    <w:rsid w:val="002C3730"/>
    <w:rsid w:val="002C4612"/>
    <w:rsid w:val="002C4B06"/>
    <w:rsid w:val="002C5B17"/>
    <w:rsid w:val="002C6251"/>
    <w:rsid w:val="002C7FE0"/>
    <w:rsid w:val="002D3D8A"/>
    <w:rsid w:val="002D4475"/>
    <w:rsid w:val="002D466A"/>
    <w:rsid w:val="002D5045"/>
    <w:rsid w:val="002D524F"/>
    <w:rsid w:val="002D5656"/>
    <w:rsid w:val="002E1288"/>
    <w:rsid w:val="002E13CD"/>
    <w:rsid w:val="002E1674"/>
    <w:rsid w:val="002E1E86"/>
    <w:rsid w:val="002E337B"/>
    <w:rsid w:val="002E486E"/>
    <w:rsid w:val="002E4C10"/>
    <w:rsid w:val="002E52A9"/>
    <w:rsid w:val="002E66E1"/>
    <w:rsid w:val="002E69F4"/>
    <w:rsid w:val="002E6C23"/>
    <w:rsid w:val="002E74DD"/>
    <w:rsid w:val="002E7595"/>
    <w:rsid w:val="002E75BF"/>
    <w:rsid w:val="002E76E3"/>
    <w:rsid w:val="002E7BE6"/>
    <w:rsid w:val="002E7ED5"/>
    <w:rsid w:val="002F100D"/>
    <w:rsid w:val="002F15A4"/>
    <w:rsid w:val="002F1D2E"/>
    <w:rsid w:val="002F2E1E"/>
    <w:rsid w:val="002F3134"/>
    <w:rsid w:val="002F360C"/>
    <w:rsid w:val="002F461B"/>
    <w:rsid w:val="002F498A"/>
    <w:rsid w:val="002F527D"/>
    <w:rsid w:val="002F5379"/>
    <w:rsid w:val="002F5F88"/>
    <w:rsid w:val="002F7111"/>
    <w:rsid w:val="00301065"/>
    <w:rsid w:val="00302122"/>
    <w:rsid w:val="00304217"/>
    <w:rsid w:val="00305B80"/>
    <w:rsid w:val="00306120"/>
    <w:rsid w:val="00306631"/>
    <w:rsid w:val="0030694B"/>
    <w:rsid w:val="003072DE"/>
    <w:rsid w:val="00307A48"/>
    <w:rsid w:val="003110CA"/>
    <w:rsid w:val="00313952"/>
    <w:rsid w:val="00317F5F"/>
    <w:rsid w:val="00320945"/>
    <w:rsid w:val="00320A47"/>
    <w:rsid w:val="003212A5"/>
    <w:rsid w:val="0032155C"/>
    <w:rsid w:val="003216A9"/>
    <w:rsid w:val="003218A8"/>
    <w:rsid w:val="00322DB9"/>
    <w:rsid w:val="003239BF"/>
    <w:rsid w:val="00323A73"/>
    <w:rsid w:val="00324B08"/>
    <w:rsid w:val="00324BA0"/>
    <w:rsid w:val="003253AE"/>
    <w:rsid w:val="00325EAF"/>
    <w:rsid w:val="003269E2"/>
    <w:rsid w:val="00326FDC"/>
    <w:rsid w:val="003310F5"/>
    <w:rsid w:val="003311B2"/>
    <w:rsid w:val="003316B2"/>
    <w:rsid w:val="0033188D"/>
    <w:rsid w:val="0033261D"/>
    <w:rsid w:val="00332B3E"/>
    <w:rsid w:val="00333353"/>
    <w:rsid w:val="00333723"/>
    <w:rsid w:val="00334426"/>
    <w:rsid w:val="0033584E"/>
    <w:rsid w:val="00335BDB"/>
    <w:rsid w:val="003365AD"/>
    <w:rsid w:val="00337C49"/>
    <w:rsid w:val="00337D2B"/>
    <w:rsid w:val="00341028"/>
    <w:rsid w:val="00341804"/>
    <w:rsid w:val="00341CAB"/>
    <w:rsid w:val="00344232"/>
    <w:rsid w:val="00344ECA"/>
    <w:rsid w:val="00344F76"/>
    <w:rsid w:val="00345AAB"/>
    <w:rsid w:val="0034604D"/>
    <w:rsid w:val="003464C6"/>
    <w:rsid w:val="00347194"/>
    <w:rsid w:val="00347EDC"/>
    <w:rsid w:val="00351A98"/>
    <w:rsid w:val="00351AA9"/>
    <w:rsid w:val="00352576"/>
    <w:rsid w:val="00355463"/>
    <w:rsid w:val="0035548C"/>
    <w:rsid w:val="0035673A"/>
    <w:rsid w:val="0035702B"/>
    <w:rsid w:val="003574EA"/>
    <w:rsid w:val="00360C2C"/>
    <w:rsid w:val="003614A4"/>
    <w:rsid w:val="00361605"/>
    <w:rsid w:val="00363F69"/>
    <w:rsid w:val="003643AB"/>
    <w:rsid w:val="00364923"/>
    <w:rsid w:val="00364B1D"/>
    <w:rsid w:val="003651DF"/>
    <w:rsid w:val="003656B8"/>
    <w:rsid w:val="0036653C"/>
    <w:rsid w:val="00366D76"/>
    <w:rsid w:val="0036738E"/>
    <w:rsid w:val="00371083"/>
    <w:rsid w:val="00371805"/>
    <w:rsid w:val="003719F5"/>
    <w:rsid w:val="00371E7D"/>
    <w:rsid w:val="00372298"/>
    <w:rsid w:val="0037631D"/>
    <w:rsid w:val="003770FF"/>
    <w:rsid w:val="00377E48"/>
    <w:rsid w:val="00380084"/>
    <w:rsid w:val="003801A3"/>
    <w:rsid w:val="00380AB4"/>
    <w:rsid w:val="00381A6F"/>
    <w:rsid w:val="00382142"/>
    <w:rsid w:val="003827AD"/>
    <w:rsid w:val="00382CD8"/>
    <w:rsid w:val="00383AF7"/>
    <w:rsid w:val="003845F0"/>
    <w:rsid w:val="0038471F"/>
    <w:rsid w:val="00384BD0"/>
    <w:rsid w:val="00384DE4"/>
    <w:rsid w:val="003858B1"/>
    <w:rsid w:val="00385952"/>
    <w:rsid w:val="0038632A"/>
    <w:rsid w:val="00387F74"/>
    <w:rsid w:val="00390A55"/>
    <w:rsid w:val="0039179D"/>
    <w:rsid w:val="003917F0"/>
    <w:rsid w:val="00391C56"/>
    <w:rsid w:val="00392082"/>
    <w:rsid w:val="00392BAC"/>
    <w:rsid w:val="00392CA3"/>
    <w:rsid w:val="00394184"/>
    <w:rsid w:val="00394665"/>
    <w:rsid w:val="0039584F"/>
    <w:rsid w:val="00396C68"/>
    <w:rsid w:val="003972AB"/>
    <w:rsid w:val="003A1004"/>
    <w:rsid w:val="003A1EFE"/>
    <w:rsid w:val="003A24ED"/>
    <w:rsid w:val="003A2BFE"/>
    <w:rsid w:val="003A4265"/>
    <w:rsid w:val="003A4C14"/>
    <w:rsid w:val="003A4FD3"/>
    <w:rsid w:val="003A68A1"/>
    <w:rsid w:val="003A7AA7"/>
    <w:rsid w:val="003A7E65"/>
    <w:rsid w:val="003B0573"/>
    <w:rsid w:val="003B0641"/>
    <w:rsid w:val="003B10D1"/>
    <w:rsid w:val="003B1725"/>
    <w:rsid w:val="003B29B2"/>
    <w:rsid w:val="003B3131"/>
    <w:rsid w:val="003B38CA"/>
    <w:rsid w:val="003B3CF2"/>
    <w:rsid w:val="003B3D0B"/>
    <w:rsid w:val="003B6F19"/>
    <w:rsid w:val="003B7406"/>
    <w:rsid w:val="003B795A"/>
    <w:rsid w:val="003C0F9E"/>
    <w:rsid w:val="003C12DB"/>
    <w:rsid w:val="003C1E38"/>
    <w:rsid w:val="003C2802"/>
    <w:rsid w:val="003C28D8"/>
    <w:rsid w:val="003C2BCE"/>
    <w:rsid w:val="003C37B4"/>
    <w:rsid w:val="003C4E57"/>
    <w:rsid w:val="003C5364"/>
    <w:rsid w:val="003C54C8"/>
    <w:rsid w:val="003C65A3"/>
    <w:rsid w:val="003C782E"/>
    <w:rsid w:val="003D0409"/>
    <w:rsid w:val="003D11EE"/>
    <w:rsid w:val="003D1AF2"/>
    <w:rsid w:val="003D1FFE"/>
    <w:rsid w:val="003D2A59"/>
    <w:rsid w:val="003D2B44"/>
    <w:rsid w:val="003D4295"/>
    <w:rsid w:val="003D4854"/>
    <w:rsid w:val="003D4A95"/>
    <w:rsid w:val="003D50FE"/>
    <w:rsid w:val="003D5C11"/>
    <w:rsid w:val="003D6656"/>
    <w:rsid w:val="003D66BD"/>
    <w:rsid w:val="003D6E75"/>
    <w:rsid w:val="003E0225"/>
    <w:rsid w:val="003E0996"/>
    <w:rsid w:val="003E0D5D"/>
    <w:rsid w:val="003E28D5"/>
    <w:rsid w:val="003E290D"/>
    <w:rsid w:val="003E31A2"/>
    <w:rsid w:val="003E3846"/>
    <w:rsid w:val="003E408B"/>
    <w:rsid w:val="003E41BA"/>
    <w:rsid w:val="003E42BA"/>
    <w:rsid w:val="003E5ED0"/>
    <w:rsid w:val="003E71C9"/>
    <w:rsid w:val="003E740E"/>
    <w:rsid w:val="003E7967"/>
    <w:rsid w:val="003E7E64"/>
    <w:rsid w:val="003F284A"/>
    <w:rsid w:val="003F33A0"/>
    <w:rsid w:val="003F3B34"/>
    <w:rsid w:val="003F493B"/>
    <w:rsid w:val="003F6583"/>
    <w:rsid w:val="003F672F"/>
    <w:rsid w:val="003F69DC"/>
    <w:rsid w:val="003F6A0B"/>
    <w:rsid w:val="003F7009"/>
    <w:rsid w:val="003F761C"/>
    <w:rsid w:val="003F77AC"/>
    <w:rsid w:val="003F7DEA"/>
    <w:rsid w:val="00401842"/>
    <w:rsid w:val="0040213B"/>
    <w:rsid w:val="00402F84"/>
    <w:rsid w:val="00403099"/>
    <w:rsid w:val="00403408"/>
    <w:rsid w:val="004043E5"/>
    <w:rsid w:val="004045AB"/>
    <w:rsid w:val="00405703"/>
    <w:rsid w:val="004061FB"/>
    <w:rsid w:val="0040650A"/>
    <w:rsid w:val="00407D60"/>
    <w:rsid w:val="004115BD"/>
    <w:rsid w:val="0041185C"/>
    <w:rsid w:val="00412EC9"/>
    <w:rsid w:val="00414105"/>
    <w:rsid w:val="00414E09"/>
    <w:rsid w:val="00414FA4"/>
    <w:rsid w:val="00415AFF"/>
    <w:rsid w:val="00415D08"/>
    <w:rsid w:val="00415D3A"/>
    <w:rsid w:val="00420F9B"/>
    <w:rsid w:val="00421032"/>
    <w:rsid w:val="00422820"/>
    <w:rsid w:val="0042302B"/>
    <w:rsid w:val="0042468B"/>
    <w:rsid w:val="00425BAB"/>
    <w:rsid w:val="00426ADD"/>
    <w:rsid w:val="004276B1"/>
    <w:rsid w:val="00427B50"/>
    <w:rsid w:val="004309AC"/>
    <w:rsid w:val="004325C0"/>
    <w:rsid w:val="004340F4"/>
    <w:rsid w:val="00435993"/>
    <w:rsid w:val="00435DE8"/>
    <w:rsid w:val="00436990"/>
    <w:rsid w:val="00440973"/>
    <w:rsid w:val="00442615"/>
    <w:rsid w:val="00442F76"/>
    <w:rsid w:val="00443782"/>
    <w:rsid w:val="00444305"/>
    <w:rsid w:val="00445B30"/>
    <w:rsid w:val="004461AE"/>
    <w:rsid w:val="00446A84"/>
    <w:rsid w:val="004500E7"/>
    <w:rsid w:val="004504B4"/>
    <w:rsid w:val="004508C1"/>
    <w:rsid w:val="00450F3A"/>
    <w:rsid w:val="00452750"/>
    <w:rsid w:val="004533F2"/>
    <w:rsid w:val="00455A2F"/>
    <w:rsid w:val="00463B54"/>
    <w:rsid w:val="00464547"/>
    <w:rsid w:val="004652C2"/>
    <w:rsid w:val="004653AA"/>
    <w:rsid w:val="0046668A"/>
    <w:rsid w:val="004675CD"/>
    <w:rsid w:val="00467884"/>
    <w:rsid w:val="0047091E"/>
    <w:rsid w:val="00472924"/>
    <w:rsid w:val="00473523"/>
    <w:rsid w:val="00473D36"/>
    <w:rsid w:val="00473F26"/>
    <w:rsid w:val="00475B8A"/>
    <w:rsid w:val="0047617F"/>
    <w:rsid w:val="0047635D"/>
    <w:rsid w:val="004764DC"/>
    <w:rsid w:val="00476A68"/>
    <w:rsid w:val="00476C2E"/>
    <w:rsid w:val="00477055"/>
    <w:rsid w:val="00480787"/>
    <w:rsid w:val="00480CBE"/>
    <w:rsid w:val="004810B8"/>
    <w:rsid w:val="004811E4"/>
    <w:rsid w:val="00481B16"/>
    <w:rsid w:val="00481FF1"/>
    <w:rsid w:val="00482A30"/>
    <w:rsid w:val="00483DE4"/>
    <w:rsid w:val="00484A84"/>
    <w:rsid w:val="004850CB"/>
    <w:rsid w:val="00485499"/>
    <w:rsid w:val="00485938"/>
    <w:rsid w:val="00485D46"/>
    <w:rsid w:val="00486B83"/>
    <w:rsid w:val="0049019C"/>
    <w:rsid w:val="00490B66"/>
    <w:rsid w:val="00490CBD"/>
    <w:rsid w:val="00491281"/>
    <w:rsid w:val="00491916"/>
    <w:rsid w:val="00492362"/>
    <w:rsid w:val="00492F49"/>
    <w:rsid w:val="004930C2"/>
    <w:rsid w:val="00493C90"/>
    <w:rsid w:val="00494F99"/>
    <w:rsid w:val="004A017B"/>
    <w:rsid w:val="004A09BD"/>
    <w:rsid w:val="004A131B"/>
    <w:rsid w:val="004A16AC"/>
    <w:rsid w:val="004A1875"/>
    <w:rsid w:val="004A218F"/>
    <w:rsid w:val="004A2BF9"/>
    <w:rsid w:val="004A36E5"/>
    <w:rsid w:val="004A40C7"/>
    <w:rsid w:val="004A5167"/>
    <w:rsid w:val="004A522D"/>
    <w:rsid w:val="004A625D"/>
    <w:rsid w:val="004B16F0"/>
    <w:rsid w:val="004B1752"/>
    <w:rsid w:val="004B186F"/>
    <w:rsid w:val="004B45C6"/>
    <w:rsid w:val="004B45D2"/>
    <w:rsid w:val="004B5EB0"/>
    <w:rsid w:val="004B71D3"/>
    <w:rsid w:val="004B79D0"/>
    <w:rsid w:val="004C0426"/>
    <w:rsid w:val="004C095A"/>
    <w:rsid w:val="004C09BF"/>
    <w:rsid w:val="004C0EE1"/>
    <w:rsid w:val="004C1857"/>
    <w:rsid w:val="004C191A"/>
    <w:rsid w:val="004C215F"/>
    <w:rsid w:val="004C2270"/>
    <w:rsid w:val="004C2686"/>
    <w:rsid w:val="004C2E93"/>
    <w:rsid w:val="004C420F"/>
    <w:rsid w:val="004C7D31"/>
    <w:rsid w:val="004C7DB4"/>
    <w:rsid w:val="004D02A3"/>
    <w:rsid w:val="004D04DD"/>
    <w:rsid w:val="004D12B7"/>
    <w:rsid w:val="004D18D5"/>
    <w:rsid w:val="004D1A35"/>
    <w:rsid w:val="004D2993"/>
    <w:rsid w:val="004D2F10"/>
    <w:rsid w:val="004D41D2"/>
    <w:rsid w:val="004D44F5"/>
    <w:rsid w:val="004D51F0"/>
    <w:rsid w:val="004D575C"/>
    <w:rsid w:val="004D6D1E"/>
    <w:rsid w:val="004E1A0A"/>
    <w:rsid w:val="004E1C94"/>
    <w:rsid w:val="004E1EAC"/>
    <w:rsid w:val="004E30B3"/>
    <w:rsid w:val="004E40F4"/>
    <w:rsid w:val="004E5B64"/>
    <w:rsid w:val="004E6C74"/>
    <w:rsid w:val="004E7396"/>
    <w:rsid w:val="004F0476"/>
    <w:rsid w:val="004F0D64"/>
    <w:rsid w:val="004F104B"/>
    <w:rsid w:val="004F1A8E"/>
    <w:rsid w:val="004F2333"/>
    <w:rsid w:val="004F3119"/>
    <w:rsid w:val="004F3121"/>
    <w:rsid w:val="004F544C"/>
    <w:rsid w:val="004F5BEF"/>
    <w:rsid w:val="004F6389"/>
    <w:rsid w:val="00501E75"/>
    <w:rsid w:val="005020E1"/>
    <w:rsid w:val="00502787"/>
    <w:rsid w:val="00502D4A"/>
    <w:rsid w:val="00503FAF"/>
    <w:rsid w:val="00504F51"/>
    <w:rsid w:val="0050596A"/>
    <w:rsid w:val="00505A7B"/>
    <w:rsid w:val="00506114"/>
    <w:rsid w:val="00506FEF"/>
    <w:rsid w:val="0050786B"/>
    <w:rsid w:val="005078AE"/>
    <w:rsid w:val="00507EA4"/>
    <w:rsid w:val="005103DE"/>
    <w:rsid w:val="005118A7"/>
    <w:rsid w:val="00511C6E"/>
    <w:rsid w:val="005122DE"/>
    <w:rsid w:val="0051339D"/>
    <w:rsid w:val="00514588"/>
    <w:rsid w:val="005156B9"/>
    <w:rsid w:val="00516BDC"/>
    <w:rsid w:val="00520F92"/>
    <w:rsid w:val="0052393D"/>
    <w:rsid w:val="00525AA9"/>
    <w:rsid w:val="00525D84"/>
    <w:rsid w:val="0052662F"/>
    <w:rsid w:val="0052754C"/>
    <w:rsid w:val="00527685"/>
    <w:rsid w:val="00527A1D"/>
    <w:rsid w:val="00530BB8"/>
    <w:rsid w:val="00532053"/>
    <w:rsid w:val="00532697"/>
    <w:rsid w:val="005326B0"/>
    <w:rsid w:val="00533234"/>
    <w:rsid w:val="00533B02"/>
    <w:rsid w:val="0053408F"/>
    <w:rsid w:val="00534237"/>
    <w:rsid w:val="00534332"/>
    <w:rsid w:val="00535290"/>
    <w:rsid w:val="00537C2A"/>
    <w:rsid w:val="00541DFE"/>
    <w:rsid w:val="00542135"/>
    <w:rsid w:val="005422D2"/>
    <w:rsid w:val="00546A93"/>
    <w:rsid w:val="0054734C"/>
    <w:rsid w:val="0054777D"/>
    <w:rsid w:val="00547CE9"/>
    <w:rsid w:val="005502C5"/>
    <w:rsid w:val="00550833"/>
    <w:rsid w:val="00550F94"/>
    <w:rsid w:val="0055147D"/>
    <w:rsid w:val="00552032"/>
    <w:rsid w:val="00552BF5"/>
    <w:rsid w:val="0055514E"/>
    <w:rsid w:val="0055554B"/>
    <w:rsid w:val="0055666A"/>
    <w:rsid w:val="00556992"/>
    <w:rsid w:val="00556A04"/>
    <w:rsid w:val="00557C31"/>
    <w:rsid w:val="0056079D"/>
    <w:rsid w:val="00561FC9"/>
    <w:rsid w:val="00562038"/>
    <w:rsid w:val="00564C04"/>
    <w:rsid w:val="0056629A"/>
    <w:rsid w:val="005663E5"/>
    <w:rsid w:val="00566F44"/>
    <w:rsid w:val="00566F58"/>
    <w:rsid w:val="00567154"/>
    <w:rsid w:val="00567F9D"/>
    <w:rsid w:val="00570BFA"/>
    <w:rsid w:val="00571925"/>
    <w:rsid w:val="00572168"/>
    <w:rsid w:val="00572844"/>
    <w:rsid w:val="0057295B"/>
    <w:rsid w:val="00572A6B"/>
    <w:rsid w:val="005734A6"/>
    <w:rsid w:val="0057375B"/>
    <w:rsid w:val="00573DE0"/>
    <w:rsid w:val="0057439E"/>
    <w:rsid w:val="00575775"/>
    <w:rsid w:val="005758C7"/>
    <w:rsid w:val="005770DB"/>
    <w:rsid w:val="00577B51"/>
    <w:rsid w:val="00581857"/>
    <w:rsid w:val="005827CE"/>
    <w:rsid w:val="00582BE1"/>
    <w:rsid w:val="00583541"/>
    <w:rsid w:val="005835D4"/>
    <w:rsid w:val="005836BE"/>
    <w:rsid w:val="00583AF3"/>
    <w:rsid w:val="00583E20"/>
    <w:rsid w:val="00585066"/>
    <w:rsid w:val="00586551"/>
    <w:rsid w:val="00586E8F"/>
    <w:rsid w:val="00587511"/>
    <w:rsid w:val="00587A6D"/>
    <w:rsid w:val="00590596"/>
    <w:rsid w:val="00590D4A"/>
    <w:rsid w:val="005912C8"/>
    <w:rsid w:val="005923E4"/>
    <w:rsid w:val="00592750"/>
    <w:rsid w:val="00592FBE"/>
    <w:rsid w:val="005953E1"/>
    <w:rsid w:val="00595C06"/>
    <w:rsid w:val="00595C67"/>
    <w:rsid w:val="00596151"/>
    <w:rsid w:val="005968E3"/>
    <w:rsid w:val="0059697B"/>
    <w:rsid w:val="005A0635"/>
    <w:rsid w:val="005A1E73"/>
    <w:rsid w:val="005A21E3"/>
    <w:rsid w:val="005A299E"/>
    <w:rsid w:val="005A2B5C"/>
    <w:rsid w:val="005A42D6"/>
    <w:rsid w:val="005A6550"/>
    <w:rsid w:val="005A659E"/>
    <w:rsid w:val="005A761F"/>
    <w:rsid w:val="005A77BE"/>
    <w:rsid w:val="005B0F77"/>
    <w:rsid w:val="005B107D"/>
    <w:rsid w:val="005B10F4"/>
    <w:rsid w:val="005B1A52"/>
    <w:rsid w:val="005B1E4D"/>
    <w:rsid w:val="005B362E"/>
    <w:rsid w:val="005B38E9"/>
    <w:rsid w:val="005B445C"/>
    <w:rsid w:val="005B4AD7"/>
    <w:rsid w:val="005B4F01"/>
    <w:rsid w:val="005B5EEB"/>
    <w:rsid w:val="005B6709"/>
    <w:rsid w:val="005B6E97"/>
    <w:rsid w:val="005B70FC"/>
    <w:rsid w:val="005B7759"/>
    <w:rsid w:val="005C122B"/>
    <w:rsid w:val="005C1893"/>
    <w:rsid w:val="005C5B0F"/>
    <w:rsid w:val="005C5F99"/>
    <w:rsid w:val="005C6735"/>
    <w:rsid w:val="005D0276"/>
    <w:rsid w:val="005D1166"/>
    <w:rsid w:val="005D187C"/>
    <w:rsid w:val="005D3882"/>
    <w:rsid w:val="005D5196"/>
    <w:rsid w:val="005D5815"/>
    <w:rsid w:val="005D58F9"/>
    <w:rsid w:val="005D627C"/>
    <w:rsid w:val="005D670E"/>
    <w:rsid w:val="005D775B"/>
    <w:rsid w:val="005E0019"/>
    <w:rsid w:val="005E025C"/>
    <w:rsid w:val="005E13E8"/>
    <w:rsid w:val="005E2920"/>
    <w:rsid w:val="005E32CB"/>
    <w:rsid w:val="005E39BE"/>
    <w:rsid w:val="005E3A0A"/>
    <w:rsid w:val="005E48D1"/>
    <w:rsid w:val="005E4C07"/>
    <w:rsid w:val="005E5CD7"/>
    <w:rsid w:val="005E6453"/>
    <w:rsid w:val="005E6B2C"/>
    <w:rsid w:val="005E746D"/>
    <w:rsid w:val="005E7986"/>
    <w:rsid w:val="005E7C85"/>
    <w:rsid w:val="005F002C"/>
    <w:rsid w:val="005F0DCA"/>
    <w:rsid w:val="005F148D"/>
    <w:rsid w:val="005F1895"/>
    <w:rsid w:val="005F22FF"/>
    <w:rsid w:val="005F233C"/>
    <w:rsid w:val="005F2798"/>
    <w:rsid w:val="005F2824"/>
    <w:rsid w:val="005F2BFF"/>
    <w:rsid w:val="005F46CA"/>
    <w:rsid w:val="005F4E50"/>
    <w:rsid w:val="005F688B"/>
    <w:rsid w:val="005F753E"/>
    <w:rsid w:val="005F7D17"/>
    <w:rsid w:val="00600598"/>
    <w:rsid w:val="006027E9"/>
    <w:rsid w:val="006040D4"/>
    <w:rsid w:val="00604645"/>
    <w:rsid w:val="0060493C"/>
    <w:rsid w:val="006052D6"/>
    <w:rsid w:val="00605BFC"/>
    <w:rsid w:val="00605E9D"/>
    <w:rsid w:val="006109D4"/>
    <w:rsid w:val="006118C9"/>
    <w:rsid w:val="00612111"/>
    <w:rsid w:val="00612355"/>
    <w:rsid w:val="00612B80"/>
    <w:rsid w:val="00612E44"/>
    <w:rsid w:val="0061445C"/>
    <w:rsid w:val="00614522"/>
    <w:rsid w:val="00614D12"/>
    <w:rsid w:val="0061592B"/>
    <w:rsid w:val="0061641C"/>
    <w:rsid w:val="006167C5"/>
    <w:rsid w:val="00616E2A"/>
    <w:rsid w:val="00617510"/>
    <w:rsid w:val="00617F3E"/>
    <w:rsid w:val="00620246"/>
    <w:rsid w:val="00621014"/>
    <w:rsid w:val="00622540"/>
    <w:rsid w:val="00622786"/>
    <w:rsid w:val="00622BF9"/>
    <w:rsid w:val="006233FF"/>
    <w:rsid w:val="00623D97"/>
    <w:rsid w:val="00625E5A"/>
    <w:rsid w:val="00626B4D"/>
    <w:rsid w:val="00626E3C"/>
    <w:rsid w:val="00630247"/>
    <w:rsid w:val="00631000"/>
    <w:rsid w:val="00634576"/>
    <w:rsid w:val="0063472E"/>
    <w:rsid w:val="0063676E"/>
    <w:rsid w:val="00636B58"/>
    <w:rsid w:val="00636CA3"/>
    <w:rsid w:val="006401B1"/>
    <w:rsid w:val="00640AFD"/>
    <w:rsid w:val="00642CFE"/>
    <w:rsid w:val="00642E53"/>
    <w:rsid w:val="00645589"/>
    <w:rsid w:val="00645C1A"/>
    <w:rsid w:val="006503CB"/>
    <w:rsid w:val="006504BB"/>
    <w:rsid w:val="00650607"/>
    <w:rsid w:val="00650A9B"/>
    <w:rsid w:val="006526C3"/>
    <w:rsid w:val="00654561"/>
    <w:rsid w:val="0065470B"/>
    <w:rsid w:val="00654BA1"/>
    <w:rsid w:val="00654E67"/>
    <w:rsid w:val="006557A7"/>
    <w:rsid w:val="00655DDC"/>
    <w:rsid w:val="006570CF"/>
    <w:rsid w:val="00660414"/>
    <w:rsid w:val="00661869"/>
    <w:rsid w:val="00661F58"/>
    <w:rsid w:val="00663B3C"/>
    <w:rsid w:val="00664CFA"/>
    <w:rsid w:val="00666403"/>
    <w:rsid w:val="00670264"/>
    <w:rsid w:val="0067029F"/>
    <w:rsid w:val="00671308"/>
    <w:rsid w:val="0067284D"/>
    <w:rsid w:val="00673340"/>
    <w:rsid w:val="006733F0"/>
    <w:rsid w:val="006739DC"/>
    <w:rsid w:val="00673D97"/>
    <w:rsid w:val="006740EB"/>
    <w:rsid w:val="00674C9A"/>
    <w:rsid w:val="00674E0A"/>
    <w:rsid w:val="00675F4D"/>
    <w:rsid w:val="00676768"/>
    <w:rsid w:val="00676D70"/>
    <w:rsid w:val="00677042"/>
    <w:rsid w:val="0067727B"/>
    <w:rsid w:val="006803A1"/>
    <w:rsid w:val="00681026"/>
    <w:rsid w:val="006818BE"/>
    <w:rsid w:val="00681B6B"/>
    <w:rsid w:val="00681B71"/>
    <w:rsid w:val="00681CE6"/>
    <w:rsid w:val="006824C2"/>
    <w:rsid w:val="00683756"/>
    <w:rsid w:val="00685E25"/>
    <w:rsid w:val="00686065"/>
    <w:rsid w:val="0068651E"/>
    <w:rsid w:val="006867FC"/>
    <w:rsid w:val="00687493"/>
    <w:rsid w:val="006877EC"/>
    <w:rsid w:val="00690A9A"/>
    <w:rsid w:val="00691650"/>
    <w:rsid w:val="0069200E"/>
    <w:rsid w:val="00693061"/>
    <w:rsid w:val="00693D9D"/>
    <w:rsid w:val="00694CA3"/>
    <w:rsid w:val="00694F40"/>
    <w:rsid w:val="006952F5"/>
    <w:rsid w:val="006954F4"/>
    <w:rsid w:val="006956FE"/>
    <w:rsid w:val="00696093"/>
    <w:rsid w:val="00697259"/>
    <w:rsid w:val="006A1457"/>
    <w:rsid w:val="006A2223"/>
    <w:rsid w:val="006A32E2"/>
    <w:rsid w:val="006A37A7"/>
    <w:rsid w:val="006A384E"/>
    <w:rsid w:val="006A4BC9"/>
    <w:rsid w:val="006A52D6"/>
    <w:rsid w:val="006A65C1"/>
    <w:rsid w:val="006A70CA"/>
    <w:rsid w:val="006B2CC4"/>
    <w:rsid w:val="006B32D7"/>
    <w:rsid w:val="006B364E"/>
    <w:rsid w:val="006B3CF7"/>
    <w:rsid w:val="006B474F"/>
    <w:rsid w:val="006B47DF"/>
    <w:rsid w:val="006B4B3A"/>
    <w:rsid w:val="006B4CF7"/>
    <w:rsid w:val="006B4FE1"/>
    <w:rsid w:val="006B5E11"/>
    <w:rsid w:val="006B65E8"/>
    <w:rsid w:val="006B68F9"/>
    <w:rsid w:val="006C0D0D"/>
    <w:rsid w:val="006C0D42"/>
    <w:rsid w:val="006C2739"/>
    <w:rsid w:val="006C413A"/>
    <w:rsid w:val="006C4E06"/>
    <w:rsid w:val="006C5736"/>
    <w:rsid w:val="006C57B2"/>
    <w:rsid w:val="006C7559"/>
    <w:rsid w:val="006C7BC6"/>
    <w:rsid w:val="006D0FF8"/>
    <w:rsid w:val="006D17B2"/>
    <w:rsid w:val="006D1CC5"/>
    <w:rsid w:val="006D1E96"/>
    <w:rsid w:val="006D32DD"/>
    <w:rsid w:val="006D4C93"/>
    <w:rsid w:val="006D56F9"/>
    <w:rsid w:val="006D6461"/>
    <w:rsid w:val="006E08B7"/>
    <w:rsid w:val="006E0CAC"/>
    <w:rsid w:val="006E2783"/>
    <w:rsid w:val="006E480A"/>
    <w:rsid w:val="006E5151"/>
    <w:rsid w:val="006E5D26"/>
    <w:rsid w:val="006E7B33"/>
    <w:rsid w:val="006F02ED"/>
    <w:rsid w:val="006F07C4"/>
    <w:rsid w:val="006F1D3A"/>
    <w:rsid w:val="006F48E8"/>
    <w:rsid w:val="006F5907"/>
    <w:rsid w:val="006F754C"/>
    <w:rsid w:val="006F77AA"/>
    <w:rsid w:val="007005BC"/>
    <w:rsid w:val="00701EFD"/>
    <w:rsid w:val="00702356"/>
    <w:rsid w:val="00702A4C"/>
    <w:rsid w:val="00702D25"/>
    <w:rsid w:val="007039EB"/>
    <w:rsid w:val="00704336"/>
    <w:rsid w:val="0070486F"/>
    <w:rsid w:val="0070569D"/>
    <w:rsid w:val="0070609E"/>
    <w:rsid w:val="00706CBB"/>
    <w:rsid w:val="0070714A"/>
    <w:rsid w:val="007072D2"/>
    <w:rsid w:val="00710F87"/>
    <w:rsid w:val="007118DC"/>
    <w:rsid w:val="007127C2"/>
    <w:rsid w:val="007138C0"/>
    <w:rsid w:val="00713989"/>
    <w:rsid w:val="00716053"/>
    <w:rsid w:val="0072108A"/>
    <w:rsid w:val="00721178"/>
    <w:rsid w:val="00721F32"/>
    <w:rsid w:val="007226E6"/>
    <w:rsid w:val="0072294B"/>
    <w:rsid w:val="0072471F"/>
    <w:rsid w:val="00725B7F"/>
    <w:rsid w:val="00725F09"/>
    <w:rsid w:val="0073121B"/>
    <w:rsid w:val="00732689"/>
    <w:rsid w:val="007342F5"/>
    <w:rsid w:val="00734A0C"/>
    <w:rsid w:val="007354E1"/>
    <w:rsid w:val="00735A53"/>
    <w:rsid w:val="007361CC"/>
    <w:rsid w:val="00736A9C"/>
    <w:rsid w:val="007371C3"/>
    <w:rsid w:val="00740C94"/>
    <w:rsid w:val="00741C75"/>
    <w:rsid w:val="00744A7B"/>
    <w:rsid w:val="007506AD"/>
    <w:rsid w:val="007513C2"/>
    <w:rsid w:val="00751CDC"/>
    <w:rsid w:val="007534F9"/>
    <w:rsid w:val="00754579"/>
    <w:rsid w:val="00754A20"/>
    <w:rsid w:val="00760479"/>
    <w:rsid w:val="0076207A"/>
    <w:rsid w:val="00762DF3"/>
    <w:rsid w:val="0076317F"/>
    <w:rsid w:val="007631A5"/>
    <w:rsid w:val="00763C50"/>
    <w:rsid w:val="00765887"/>
    <w:rsid w:val="007659F7"/>
    <w:rsid w:val="00767A6E"/>
    <w:rsid w:val="00767F4F"/>
    <w:rsid w:val="00770989"/>
    <w:rsid w:val="00770D87"/>
    <w:rsid w:val="0077134A"/>
    <w:rsid w:val="00771866"/>
    <w:rsid w:val="00771CEE"/>
    <w:rsid w:val="00772816"/>
    <w:rsid w:val="00772F89"/>
    <w:rsid w:val="007734FA"/>
    <w:rsid w:val="00773AE9"/>
    <w:rsid w:val="0077414E"/>
    <w:rsid w:val="0077420E"/>
    <w:rsid w:val="00774716"/>
    <w:rsid w:val="00775CE7"/>
    <w:rsid w:val="00777FC2"/>
    <w:rsid w:val="00780405"/>
    <w:rsid w:val="00782400"/>
    <w:rsid w:val="00782B23"/>
    <w:rsid w:val="00784753"/>
    <w:rsid w:val="00785E22"/>
    <w:rsid w:val="0078698F"/>
    <w:rsid w:val="00786C1A"/>
    <w:rsid w:val="007916CF"/>
    <w:rsid w:val="00793220"/>
    <w:rsid w:val="007936CA"/>
    <w:rsid w:val="0079400A"/>
    <w:rsid w:val="007956E1"/>
    <w:rsid w:val="0079657E"/>
    <w:rsid w:val="00796EED"/>
    <w:rsid w:val="00797269"/>
    <w:rsid w:val="00797762"/>
    <w:rsid w:val="007A0121"/>
    <w:rsid w:val="007A089F"/>
    <w:rsid w:val="007A0B8A"/>
    <w:rsid w:val="007A113D"/>
    <w:rsid w:val="007A28E4"/>
    <w:rsid w:val="007A2AA1"/>
    <w:rsid w:val="007A2E6B"/>
    <w:rsid w:val="007A32C9"/>
    <w:rsid w:val="007A3682"/>
    <w:rsid w:val="007A3AF0"/>
    <w:rsid w:val="007A48B5"/>
    <w:rsid w:val="007A5DF0"/>
    <w:rsid w:val="007A61C1"/>
    <w:rsid w:val="007A6935"/>
    <w:rsid w:val="007A71B8"/>
    <w:rsid w:val="007B0B3C"/>
    <w:rsid w:val="007B0D94"/>
    <w:rsid w:val="007B1993"/>
    <w:rsid w:val="007B3779"/>
    <w:rsid w:val="007B3801"/>
    <w:rsid w:val="007B3D2F"/>
    <w:rsid w:val="007B6B4B"/>
    <w:rsid w:val="007B6FF1"/>
    <w:rsid w:val="007B748A"/>
    <w:rsid w:val="007C006F"/>
    <w:rsid w:val="007C0899"/>
    <w:rsid w:val="007C0BE4"/>
    <w:rsid w:val="007C18FF"/>
    <w:rsid w:val="007C1E11"/>
    <w:rsid w:val="007C3AA4"/>
    <w:rsid w:val="007C3F00"/>
    <w:rsid w:val="007C594D"/>
    <w:rsid w:val="007C729D"/>
    <w:rsid w:val="007D0259"/>
    <w:rsid w:val="007D1062"/>
    <w:rsid w:val="007D280D"/>
    <w:rsid w:val="007D2F11"/>
    <w:rsid w:val="007D4101"/>
    <w:rsid w:val="007D5E72"/>
    <w:rsid w:val="007D61B8"/>
    <w:rsid w:val="007D6207"/>
    <w:rsid w:val="007D6EAB"/>
    <w:rsid w:val="007D7330"/>
    <w:rsid w:val="007D74CF"/>
    <w:rsid w:val="007E0CC4"/>
    <w:rsid w:val="007E2F46"/>
    <w:rsid w:val="007E3122"/>
    <w:rsid w:val="007E44B8"/>
    <w:rsid w:val="007E4CF2"/>
    <w:rsid w:val="007E4E76"/>
    <w:rsid w:val="007E549A"/>
    <w:rsid w:val="007E6653"/>
    <w:rsid w:val="007F0F26"/>
    <w:rsid w:val="007F144E"/>
    <w:rsid w:val="007F25B5"/>
    <w:rsid w:val="007F2B39"/>
    <w:rsid w:val="007F34DE"/>
    <w:rsid w:val="007F3711"/>
    <w:rsid w:val="007F3DC3"/>
    <w:rsid w:val="007F4235"/>
    <w:rsid w:val="007F4F69"/>
    <w:rsid w:val="007F5994"/>
    <w:rsid w:val="007F5FD9"/>
    <w:rsid w:val="007F684E"/>
    <w:rsid w:val="007F6C99"/>
    <w:rsid w:val="007F782B"/>
    <w:rsid w:val="007F7ABA"/>
    <w:rsid w:val="00800F06"/>
    <w:rsid w:val="00801EF5"/>
    <w:rsid w:val="00802350"/>
    <w:rsid w:val="00803BAD"/>
    <w:rsid w:val="00804F3E"/>
    <w:rsid w:val="008056DF"/>
    <w:rsid w:val="00805F86"/>
    <w:rsid w:val="00806606"/>
    <w:rsid w:val="00806850"/>
    <w:rsid w:val="008069B1"/>
    <w:rsid w:val="0080767E"/>
    <w:rsid w:val="00807A49"/>
    <w:rsid w:val="00807AE5"/>
    <w:rsid w:val="00810199"/>
    <w:rsid w:val="00811B86"/>
    <w:rsid w:val="00812D37"/>
    <w:rsid w:val="0081332B"/>
    <w:rsid w:val="00813578"/>
    <w:rsid w:val="0081398C"/>
    <w:rsid w:val="008142A3"/>
    <w:rsid w:val="00815289"/>
    <w:rsid w:val="008166F9"/>
    <w:rsid w:val="0081770F"/>
    <w:rsid w:val="00817B55"/>
    <w:rsid w:val="00817C61"/>
    <w:rsid w:val="008205AF"/>
    <w:rsid w:val="00820C8B"/>
    <w:rsid w:val="0082169E"/>
    <w:rsid w:val="00821D61"/>
    <w:rsid w:val="00822004"/>
    <w:rsid w:val="00822781"/>
    <w:rsid w:val="00822E47"/>
    <w:rsid w:val="00822E8C"/>
    <w:rsid w:val="00824500"/>
    <w:rsid w:val="008257AD"/>
    <w:rsid w:val="00825DC6"/>
    <w:rsid w:val="008271B5"/>
    <w:rsid w:val="008271D3"/>
    <w:rsid w:val="00827256"/>
    <w:rsid w:val="00827555"/>
    <w:rsid w:val="00827608"/>
    <w:rsid w:val="00830411"/>
    <w:rsid w:val="00830D42"/>
    <w:rsid w:val="00833A52"/>
    <w:rsid w:val="0083436B"/>
    <w:rsid w:val="0083712E"/>
    <w:rsid w:val="0084096B"/>
    <w:rsid w:val="00840B60"/>
    <w:rsid w:val="00840D41"/>
    <w:rsid w:val="008414C8"/>
    <w:rsid w:val="00841501"/>
    <w:rsid w:val="0084303E"/>
    <w:rsid w:val="008448A3"/>
    <w:rsid w:val="00845B53"/>
    <w:rsid w:val="008463AD"/>
    <w:rsid w:val="00846626"/>
    <w:rsid w:val="008506E5"/>
    <w:rsid w:val="00851920"/>
    <w:rsid w:val="008520DF"/>
    <w:rsid w:val="00853EB9"/>
    <w:rsid w:val="00854F5A"/>
    <w:rsid w:val="00855F7F"/>
    <w:rsid w:val="0085725B"/>
    <w:rsid w:val="00860585"/>
    <w:rsid w:val="008609B5"/>
    <w:rsid w:val="00860AB1"/>
    <w:rsid w:val="00860B6D"/>
    <w:rsid w:val="0086152E"/>
    <w:rsid w:val="00863886"/>
    <w:rsid w:val="00863A83"/>
    <w:rsid w:val="00863BDF"/>
    <w:rsid w:val="008652D5"/>
    <w:rsid w:val="008664CA"/>
    <w:rsid w:val="00866C0B"/>
    <w:rsid w:val="00867464"/>
    <w:rsid w:val="008675C2"/>
    <w:rsid w:val="0087015A"/>
    <w:rsid w:val="00870A5C"/>
    <w:rsid w:val="008716D5"/>
    <w:rsid w:val="00871A8C"/>
    <w:rsid w:val="00871B67"/>
    <w:rsid w:val="008738F3"/>
    <w:rsid w:val="008742A3"/>
    <w:rsid w:val="00874C61"/>
    <w:rsid w:val="00875095"/>
    <w:rsid w:val="0087550E"/>
    <w:rsid w:val="00875812"/>
    <w:rsid w:val="00875AEB"/>
    <w:rsid w:val="00876CE0"/>
    <w:rsid w:val="00881060"/>
    <w:rsid w:val="00881136"/>
    <w:rsid w:val="00881C90"/>
    <w:rsid w:val="008822F8"/>
    <w:rsid w:val="0088334D"/>
    <w:rsid w:val="0088413C"/>
    <w:rsid w:val="00884162"/>
    <w:rsid w:val="00884DCE"/>
    <w:rsid w:val="008853EC"/>
    <w:rsid w:val="00885599"/>
    <w:rsid w:val="008876D3"/>
    <w:rsid w:val="008877F1"/>
    <w:rsid w:val="00887DA1"/>
    <w:rsid w:val="00887EB2"/>
    <w:rsid w:val="008907E0"/>
    <w:rsid w:val="00890908"/>
    <w:rsid w:val="00892B72"/>
    <w:rsid w:val="008930B7"/>
    <w:rsid w:val="00893A03"/>
    <w:rsid w:val="00893BAA"/>
    <w:rsid w:val="00893EFD"/>
    <w:rsid w:val="008948FA"/>
    <w:rsid w:val="0089622D"/>
    <w:rsid w:val="00896F4D"/>
    <w:rsid w:val="00897290"/>
    <w:rsid w:val="008974E9"/>
    <w:rsid w:val="008A00B2"/>
    <w:rsid w:val="008A07C3"/>
    <w:rsid w:val="008A17F5"/>
    <w:rsid w:val="008A22B2"/>
    <w:rsid w:val="008A2B7B"/>
    <w:rsid w:val="008A2CB4"/>
    <w:rsid w:val="008A3B62"/>
    <w:rsid w:val="008A4CD1"/>
    <w:rsid w:val="008A5778"/>
    <w:rsid w:val="008A5F06"/>
    <w:rsid w:val="008A62CE"/>
    <w:rsid w:val="008A662D"/>
    <w:rsid w:val="008A7088"/>
    <w:rsid w:val="008A719C"/>
    <w:rsid w:val="008B0CAA"/>
    <w:rsid w:val="008B0F78"/>
    <w:rsid w:val="008B14A1"/>
    <w:rsid w:val="008B1838"/>
    <w:rsid w:val="008B2A6A"/>
    <w:rsid w:val="008B2F58"/>
    <w:rsid w:val="008B3189"/>
    <w:rsid w:val="008B3A13"/>
    <w:rsid w:val="008B4D04"/>
    <w:rsid w:val="008B5067"/>
    <w:rsid w:val="008B5113"/>
    <w:rsid w:val="008B65FE"/>
    <w:rsid w:val="008B6CCD"/>
    <w:rsid w:val="008B6DD0"/>
    <w:rsid w:val="008B7B2D"/>
    <w:rsid w:val="008B7D87"/>
    <w:rsid w:val="008C0DBF"/>
    <w:rsid w:val="008C1BB2"/>
    <w:rsid w:val="008C2FBB"/>
    <w:rsid w:val="008C3C71"/>
    <w:rsid w:val="008C4BF7"/>
    <w:rsid w:val="008C5F2A"/>
    <w:rsid w:val="008C7AFC"/>
    <w:rsid w:val="008C7C3B"/>
    <w:rsid w:val="008C7D91"/>
    <w:rsid w:val="008D11E2"/>
    <w:rsid w:val="008D3817"/>
    <w:rsid w:val="008D3DCE"/>
    <w:rsid w:val="008D49AD"/>
    <w:rsid w:val="008D57B6"/>
    <w:rsid w:val="008D598A"/>
    <w:rsid w:val="008D7751"/>
    <w:rsid w:val="008D7D5B"/>
    <w:rsid w:val="008E04A3"/>
    <w:rsid w:val="008E0C52"/>
    <w:rsid w:val="008E11D3"/>
    <w:rsid w:val="008E4996"/>
    <w:rsid w:val="008E4CFF"/>
    <w:rsid w:val="008E5165"/>
    <w:rsid w:val="008E5528"/>
    <w:rsid w:val="008E57F3"/>
    <w:rsid w:val="008E5900"/>
    <w:rsid w:val="008E60DD"/>
    <w:rsid w:val="008E72F4"/>
    <w:rsid w:val="008E7AF6"/>
    <w:rsid w:val="008E7F0D"/>
    <w:rsid w:val="008F02A1"/>
    <w:rsid w:val="008F0813"/>
    <w:rsid w:val="008F2FE9"/>
    <w:rsid w:val="008F31F9"/>
    <w:rsid w:val="008F3C5C"/>
    <w:rsid w:val="008F4712"/>
    <w:rsid w:val="008F522E"/>
    <w:rsid w:val="008F5493"/>
    <w:rsid w:val="008F5EBD"/>
    <w:rsid w:val="008F5FE6"/>
    <w:rsid w:val="008F6EA7"/>
    <w:rsid w:val="008F6FF4"/>
    <w:rsid w:val="008F72F0"/>
    <w:rsid w:val="0090028F"/>
    <w:rsid w:val="00900833"/>
    <w:rsid w:val="009009DC"/>
    <w:rsid w:val="0090179C"/>
    <w:rsid w:val="00901FC1"/>
    <w:rsid w:val="00902A7B"/>
    <w:rsid w:val="00904F11"/>
    <w:rsid w:val="00905AAA"/>
    <w:rsid w:val="0090619B"/>
    <w:rsid w:val="00906B25"/>
    <w:rsid w:val="00907192"/>
    <w:rsid w:val="00910871"/>
    <w:rsid w:val="0091143B"/>
    <w:rsid w:val="0091173D"/>
    <w:rsid w:val="00911E63"/>
    <w:rsid w:val="009126E8"/>
    <w:rsid w:val="00912B7A"/>
    <w:rsid w:val="00914354"/>
    <w:rsid w:val="009158D0"/>
    <w:rsid w:val="00915F5D"/>
    <w:rsid w:val="009160ED"/>
    <w:rsid w:val="009220E3"/>
    <w:rsid w:val="0092313E"/>
    <w:rsid w:val="00924586"/>
    <w:rsid w:val="009245B3"/>
    <w:rsid w:val="0092484D"/>
    <w:rsid w:val="009253B9"/>
    <w:rsid w:val="00926F1A"/>
    <w:rsid w:val="00927196"/>
    <w:rsid w:val="00931A4B"/>
    <w:rsid w:val="00934540"/>
    <w:rsid w:val="00935905"/>
    <w:rsid w:val="00936446"/>
    <w:rsid w:val="0093695F"/>
    <w:rsid w:val="00936A8A"/>
    <w:rsid w:val="0094001B"/>
    <w:rsid w:val="0094023F"/>
    <w:rsid w:val="0094084C"/>
    <w:rsid w:val="00941E9C"/>
    <w:rsid w:val="00944942"/>
    <w:rsid w:val="00945D8B"/>
    <w:rsid w:val="00945E42"/>
    <w:rsid w:val="00946642"/>
    <w:rsid w:val="00946847"/>
    <w:rsid w:val="00946AE4"/>
    <w:rsid w:val="00946FC7"/>
    <w:rsid w:val="00951449"/>
    <w:rsid w:val="00951B1E"/>
    <w:rsid w:val="00952B52"/>
    <w:rsid w:val="00953EEA"/>
    <w:rsid w:val="00954445"/>
    <w:rsid w:val="0095586B"/>
    <w:rsid w:val="00955B35"/>
    <w:rsid w:val="00956675"/>
    <w:rsid w:val="00960732"/>
    <w:rsid w:val="00960EAD"/>
    <w:rsid w:val="009610D8"/>
    <w:rsid w:val="009613CE"/>
    <w:rsid w:val="0096202D"/>
    <w:rsid w:val="00962F2A"/>
    <w:rsid w:val="00963E18"/>
    <w:rsid w:val="00964C04"/>
    <w:rsid w:val="00965929"/>
    <w:rsid w:val="00966208"/>
    <w:rsid w:val="00966614"/>
    <w:rsid w:val="0096764A"/>
    <w:rsid w:val="00967AB9"/>
    <w:rsid w:val="0097116B"/>
    <w:rsid w:val="00971C7D"/>
    <w:rsid w:val="00971F55"/>
    <w:rsid w:val="0097233A"/>
    <w:rsid w:val="00974B3E"/>
    <w:rsid w:val="00975343"/>
    <w:rsid w:val="00975684"/>
    <w:rsid w:val="00975DED"/>
    <w:rsid w:val="009769F0"/>
    <w:rsid w:val="00976D25"/>
    <w:rsid w:val="00976EB2"/>
    <w:rsid w:val="00977126"/>
    <w:rsid w:val="009774BF"/>
    <w:rsid w:val="009815B7"/>
    <w:rsid w:val="009826D5"/>
    <w:rsid w:val="009829DD"/>
    <w:rsid w:val="00984BFF"/>
    <w:rsid w:val="00985320"/>
    <w:rsid w:val="00986064"/>
    <w:rsid w:val="0098712B"/>
    <w:rsid w:val="00990483"/>
    <w:rsid w:val="009907F3"/>
    <w:rsid w:val="00990C9A"/>
    <w:rsid w:val="0099177A"/>
    <w:rsid w:val="00991E70"/>
    <w:rsid w:val="009921B7"/>
    <w:rsid w:val="00992425"/>
    <w:rsid w:val="009928DB"/>
    <w:rsid w:val="00993AFE"/>
    <w:rsid w:val="00993F19"/>
    <w:rsid w:val="0099440A"/>
    <w:rsid w:val="00994509"/>
    <w:rsid w:val="0099484E"/>
    <w:rsid w:val="00994F6C"/>
    <w:rsid w:val="009960E8"/>
    <w:rsid w:val="009A261D"/>
    <w:rsid w:val="009A2941"/>
    <w:rsid w:val="009A2BE6"/>
    <w:rsid w:val="009A3B83"/>
    <w:rsid w:val="009A4BCD"/>
    <w:rsid w:val="009A5169"/>
    <w:rsid w:val="009A58A3"/>
    <w:rsid w:val="009A6C61"/>
    <w:rsid w:val="009B1695"/>
    <w:rsid w:val="009B3167"/>
    <w:rsid w:val="009B3367"/>
    <w:rsid w:val="009B3801"/>
    <w:rsid w:val="009B3BFA"/>
    <w:rsid w:val="009B3DEF"/>
    <w:rsid w:val="009B4638"/>
    <w:rsid w:val="009B540E"/>
    <w:rsid w:val="009C1683"/>
    <w:rsid w:val="009C2059"/>
    <w:rsid w:val="009C27DE"/>
    <w:rsid w:val="009C286B"/>
    <w:rsid w:val="009C4E33"/>
    <w:rsid w:val="009C4E85"/>
    <w:rsid w:val="009C52A1"/>
    <w:rsid w:val="009C56E7"/>
    <w:rsid w:val="009C56F5"/>
    <w:rsid w:val="009C5AF9"/>
    <w:rsid w:val="009C6350"/>
    <w:rsid w:val="009C6CAA"/>
    <w:rsid w:val="009C720A"/>
    <w:rsid w:val="009D03F9"/>
    <w:rsid w:val="009D21A4"/>
    <w:rsid w:val="009D3652"/>
    <w:rsid w:val="009D4E44"/>
    <w:rsid w:val="009D4E6E"/>
    <w:rsid w:val="009D5FEE"/>
    <w:rsid w:val="009D6704"/>
    <w:rsid w:val="009D6B18"/>
    <w:rsid w:val="009D7D19"/>
    <w:rsid w:val="009E0865"/>
    <w:rsid w:val="009E143C"/>
    <w:rsid w:val="009E1B17"/>
    <w:rsid w:val="009E23DE"/>
    <w:rsid w:val="009E4305"/>
    <w:rsid w:val="009E5078"/>
    <w:rsid w:val="009E51FC"/>
    <w:rsid w:val="009E6674"/>
    <w:rsid w:val="009E6AF8"/>
    <w:rsid w:val="009E7AD9"/>
    <w:rsid w:val="009F01EF"/>
    <w:rsid w:val="009F148F"/>
    <w:rsid w:val="009F21CB"/>
    <w:rsid w:val="009F248E"/>
    <w:rsid w:val="009F2A5A"/>
    <w:rsid w:val="009F3511"/>
    <w:rsid w:val="009F3DD4"/>
    <w:rsid w:val="009F4BCF"/>
    <w:rsid w:val="009F5195"/>
    <w:rsid w:val="009F7362"/>
    <w:rsid w:val="009F73E3"/>
    <w:rsid w:val="00A000F5"/>
    <w:rsid w:val="00A00267"/>
    <w:rsid w:val="00A00670"/>
    <w:rsid w:val="00A00994"/>
    <w:rsid w:val="00A00D18"/>
    <w:rsid w:val="00A0107C"/>
    <w:rsid w:val="00A023D0"/>
    <w:rsid w:val="00A024E9"/>
    <w:rsid w:val="00A04CD5"/>
    <w:rsid w:val="00A058D8"/>
    <w:rsid w:val="00A0608A"/>
    <w:rsid w:val="00A11892"/>
    <w:rsid w:val="00A120C7"/>
    <w:rsid w:val="00A12423"/>
    <w:rsid w:val="00A12BD3"/>
    <w:rsid w:val="00A13D03"/>
    <w:rsid w:val="00A14811"/>
    <w:rsid w:val="00A14E13"/>
    <w:rsid w:val="00A17137"/>
    <w:rsid w:val="00A172A3"/>
    <w:rsid w:val="00A2109F"/>
    <w:rsid w:val="00A21876"/>
    <w:rsid w:val="00A219BE"/>
    <w:rsid w:val="00A22791"/>
    <w:rsid w:val="00A22A3B"/>
    <w:rsid w:val="00A22D12"/>
    <w:rsid w:val="00A2388D"/>
    <w:rsid w:val="00A23F4F"/>
    <w:rsid w:val="00A24545"/>
    <w:rsid w:val="00A249DF"/>
    <w:rsid w:val="00A24A8A"/>
    <w:rsid w:val="00A25487"/>
    <w:rsid w:val="00A25BBF"/>
    <w:rsid w:val="00A2679E"/>
    <w:rsid w:val="00A272B6"/>
    <w:rsid w:val="00A278F9"/>
    <w:rsid w:val="00A302E5"/>
    <w:rsid w:val="00A31A92"/>
    <w:rsid w:val="00A32E75"/>
    <w:rsid w:val="00A33BD5"/>
    <w:rsid w:val="00A349B5"/>
    <w:rsid w:val="00A360AA"/>
    <w:rsid w:val="00A36502"/>
    <w:rsid w:val="00A3678F"/>
    <w:rsid w:val="00A377C3"/>
    <w:rsid w:val="00A40AD7"/>
    <w:rsid w:val="00A421C6"/>
    <w:rsid w:val="00A42B99"/>
    <w:rsid w:val="00A42C33"/>
    <w:rsid w:val="00A44228"/>
    <w:rsid w:val="00A44312"/>
    <w:rsid w:val="00A447CE"/>
    <w:rsid w:val="00A4576E"/>
    <w:rsid w:val="00A50672"/>
    <w:rsid w:val="00A51065"/>
    <w:rsid w:val="00A5110F"/>
    <w:rsid w:val="00A5286D"/>
    <w:rsid w:val="00A5288B"/>
    <w:rsid w:val="00A52A82"/>
    <w:rsid w:val="00A52EA7"/>
    <w:rsid w:val="00A52EB1"/>
    <w:rsid w:val="00A53C45"/>
    <w:rsid w:val="00A542E0"/>
    <w:rsid w:val="00A545C4"/>
    <w:rsid w:val="00A55172"/>
    <w:rsid w:val="00A5571A"/>
    <w:rsid w:val="00A56459"/>
    <w:rsid w:val="00A60D5B"/>
    <w:rsid w:val="00A61E5C"/>
    <w:rsid w:val="00A634AA"/>
    <w:rsid w:val="00A63778"/>
    <w:rsid w:val="00A6413A"/>
    <w:rsid w:val="00A64B0D"/>
    <w:rsid w:val="00A64FA9"/>
    <w:rsid w:val="00A650BD"/>
    <w:rsid w:val="00A66526"/>
    <w:rsid w:val="00A6675C"/>
    <w:rsid w:val="00A70DB0"/>
    <w:rsid w:val="00A71405"/>
    <w:rsid w:val="00A74D8D"/>
    <w:rsid w:val="00A77375"/>
    <w:rsid w:val="00A80922"/>
    <w:rsid w:val="00A81780"/>
    <w:rsid w:val="00A82243"/>
    <w:rsid w:val="00A832EA"/>
    <w:rsid w:val="00A83CD9"/>
    <w:rsid w:val="00A842FD"/>
    <w:rsid w:val="00A84CB4"/>
    <w:rsid w:val="00A850E2"/>
    <w:rsid w:val="00A87853"/>
    <w:rsid w:val="00A87D71"/>
    <w:rsid w:val="00A87F06"/>
    <w:rsid w:val="00A90246"/>
    <w:rsid w:val="00A91995"/>
    <w:rsid w:val="00A91E19"/>
    <w:rsid w:val="00A93101"/>
    <w:rsid w:val="00A93631"/>
    <w:rsid w:val="00A936DB"/>
    <w:rsid w:val="00A9408C"/>
    <w:rsid w:val="00A95545"/>
    <w:rsid w:val="00A9676C"/>
    <w:rsid w:val="00A96E83"/>
    <w:rsid w:val="00A970C5"/>
    <w:rsid w:val="00A973B7"/>
    <w:rsid w:val="00A97470"/>
    <w:rsid w:val="00A97A31"/>
    <w:rsid w:val="00AA0631"/>
    <w:rsid w:val="00AA0A61"/>
    <w:rsid w:val="00AA10D6"/>
    <w:rsid w:val="00AA20CA"/>
    <w:rsid w:val="00AA238B"/>
    <w:rsid w:val="00AA326C"/>
    <w:rsid w:val="00AA43D6"/>
    <w:rsid w:val="00AA59FE"/>
    <w:rsid w:val="00AA5D6C"/>
    <w:rsid w:val="00AA6AD8"/>
    <w:rsid w:val="00AA7197"/>
    <w:rsid w:val="00AA746A"/>
    <w:rsid w:val="00AB025D"/>
    <w:rsid w:val="00AB04E9"/>
    <w:rsid w:val="00AB14F8"/>
    <w:rsid w:val="00AB1724"/>
    <w:rsid w:val="00AB2309"/>
    <w:rsid w:val="00AB3143"/>
    <w:rsid w:val="00AB33D1"/>
    <w:rsid w:val="00AB3CB0"/>
    <w:rsid w:val="00AB4A86"/>
    <w:rsid w:val="00AB4BE6"/>
    <w:rsid w:val="00AB53B2"/>
    <w:rsid w:val="00AB646B"/>
    <w:rsid w:val="00AB665A"/>
    <w:rsid w:val="00AB6D5A"/>
    <w:rsid w:val="00AC04D9"/>
    <w:rsid w:val="00AC1004"/>
    <w:rsid w:val="00AC1AC5"/>
    <w:rsid w:val="00AC1DA9"/>
    <w:rsid w:val="00AC1EBE"/>
    <w:rsid w:val="00AC2412"/>
    <w:rsid w:val="00AC2BA8"/>
    <w:rsid w:val="00AC42EC"/>
    <w:rsid w:val="00AC4971"/>
    <w:rsid w:val="00AC5CBF"/>
    <w:rsid w:val="00AD02E9"/>
    <w:rsid w:val="00AD0677"/>
    <w:rsid w:val="00AD08CB"/>
    <w:rsid w:val="00AD167D"/>
    <w:rsid w:val="00AD1B66"/>
    <w:rsid w:val="00AD2333"/>
    <w:rsid w:val="00AD2EF5"/>
    <w:rsid w:val="00AD4EAF"/>
    <w:rsid w:val="00AD589F"/>
    <w:rsid w:val="00AD61DE"/>
    <w:rsid w:val="00AD7719"/>
    <w:rsid w:val="00AE05F0"/>
    <w:rsid w:val="00AE0B58"/>
    <w:rsid w:val="00AE3302"/>
    <w:rsid w:val="00AE3686"/>
    <w:rsid w:val="00AE3689"/>
    <w:rsid w:val="00AE3C7E"/>
    <w:rsid w:val="00AE54D7"/>
    <w:rsid w:val="00AE59D7"/>
    <w:rsid w:val="00AE7983"/>
    <w:rsid w:val="00AF0F14"/>
    <w:rsid w:val="00AF0F75"/>
    <w:rsid w:val="00AF1362"/>
    <w:rsid w:val="00AF17FD"/>
    <w:rsid w:val="00AF2951"/>
    <w:rsid w:val="00AF29BD"/>
    <w:rsid w:val="00AF41D2"/>
    <w:rsid w:val="00AF4B9F"/>
    <w:rsid w:val="00AF4BC9"/>
    <w:rsid w:val="00AF580B"/>
    <w:rsid w:val="00AF680E"/>
    <w:rsid w:val="00AF770D"/>
    <w:rsid w:val="00AF7B0F"/>
    <w:rsid w:val="00AF7F15"/>
    <w:rsid w:val="00B0128A"/>
    <w:rsid w:val="00B015C9"/>
    <w:rsid w:val="00B03F0A"/>
    <w:rsid w:val="00B055BF"/>
    <w:rsid w:val="00B06140"/>
    <w:rsid w:val="00B062A9"/>
    <w:rsid w:val="00B06E53"/>
    <w:rsid w:val="00B070E9"/>
    <w:rsid w:val="00B108C1"/>
    <w:rsid w:val="00B11017"/>
    <w:rsid w:val="00B112C1"/>
    <w:rsid w:val="00B11FFD"/>
    <w:rsid w:val="00B12629"/>
    <w:rsid w:val="00B13F36"/>
    <w:rsid w:val="00B1486C"/>
    <w:rsid w:val="00B15352"/>
    <w:rsid w:val="00B154E1"/>
    <w:rsid w:val="00B2005B"/>
    <w:rsid w:val="00B2135D"/>
    <w:rsid w:val="00B227B0"/>
    <w:rsid w:val="00B227CF"/>
    <w:rsid w:val="00B22E5A"/>
    <w:rsid w:val="00B2323E"/>
    <w:rsid w:val="00B23322"/>
    <w:rsid w:val="00B23515"/>
    <w:rsid w:val="00B24FE8"/>
    <w:rsid w:val="00B2555D"/>
    <w:rsid w:val="00B25E66"/>
    <w:rsid w:val="00B26B4D"/>
    <w:rsid w:val="00B270CB"/>
    <w:rsid w:val="00B31443"/>
    <w:rsid w:val="00B33A39"/>
    <w:rsid w:val="00B33C3F"/>
    <w:rsid w:val="00B36424"/>
    <w:rsid w:val="00B36A74"/>
    <w:rsid w:val="00B3734F"/>
    <w:rsid w:val="00B37984"/>
    <w:rsid w:val="00B40B85"/>
    <w:rsid w:val="00B418E6"/>
    <w:rsid w:val="00B44312"/>
    <w:rsid w:val="00B443B8"/>
    <w:rsid w:val="00B502C3"/>
    <w:rsid w:val="00B51E5B"/>
    <w:rsid w:val="00B5200D"/>
    <w:rsid w:val="00B5283F"/>
    <w:rsid w:val="00B54DD8"/>
    <w:rsid w:val="00B554DD"/>
    <w:rsid w:val="00B577DF"/>
    <w:rsid w:val="00B6063F"/>
    <w:rsid w:val="00B61028"/>
    <w:rsid w:val="00B61191"/>
    <w:rsid w:val="00B6157D"/>
    <w:rsid w:val="00B62B55"/>
    <w:rsid w:val="00B640B0"/>
    <w:rsid w:val="00B64A8F"/>
    <w:rsid w:val="00B66096"/>
    <w:rsid w:val="00B66695"/>
    <w:rsid w:val="00B66DB1"/>
    <w:rsid w:val="00B70220"/>
    <w:rsid w:val="00B71349"/>
    <w:rsid w:val="00B71BAC"/>
    <w:rsid w:val="00B73CE1"/>
    <w:rsid w:val="00B740BC"/>
    <w:rsid w:val="00B74322"/>
    <w:rsid w:val="00B74377"/>
    <w:rsid w:val="00B74437"/>
    <w:rsid w:val="00B753C1"/>
    <w:rsid w:val="00B76AA8"/>
    <w:rsid w:val="00B77402"/>
    <w:rsid w:val="00B77FA7"/>
    <w:rsid w:val="00B805E0"/>
    <w:rsid w:val="00B81380"/>
    <w:rsid w:val="00B82F5E"/>
    <w:rsid w:val="00B85B6F"/>
    <w:rsid w:val="00B86AC0"/>
    <w:rsid w:val="00B87185"/>
    <w:rsid w:val="00B900E1"/>
    <w:rsid w:val="00B90C90"/>
    <w:rsid w:val="00B9176B"/>
    <w:rsid w:val="00B91BFB"/>
    <w:rsid w:val="00B92A30"/>
    <w:rsid w:val="00B932C7"/>
    <w:rsid w:val="00B93F62"/>
    <w:rsid w:val="00B941C7"/>
    <w:rsid w:val="00B95875"/>
    <w:rsid w:val="00B95A5B"/>
    <w:rsid w:val="00B95CDF"/>
    <w:rsid w:val="00B97679"/>
    <w:rsid w:val="00BA0E3E"/>
    <w:rsid w:val="00BA0EA2"/>
    <w:rsid w:val="00BA160B"/>
    <w:rsid w:val="00BA1B06"/>
    <w:rsid w:val="00BA1ED6"/>
    <w:rsid w:val="00BA31AD"/>
    <w:rsid w:val="00BA45F6"/>
    <w:rsid w:val="00BA64AF"/>
    <w:rsid w:val="00BA74D5"/>
    <w:rsid w:val="00BB03B6"/>
    <w:rsid w:val="00BB0A5E"/>
    <w:rsid w:val="00BB0C2C"/>
    <w:rsid w:val="00BB27C9"/>
    <w:rsid w:val="00BB33CA"/>
    <w:rsid w:val="00BB3B28"/>
    <w:rsid w:val="00BB63AE"/>
    <w:rsid w:val="00BB68AD"/>
    <w:rsid w:val="00BB7575"/>
    <w:rsid w:val="00BB7D56"/>
    <w:rsid w:val="00BB7F50"/>
    <w:rsid w:val="00BC013A"/>
    <w:rsid w:val="00BC0DE4"/>
    <w:rsid w:val="00BC4D62"/>
    <w:rsid w:val="00BC55E4"/>
    <w:rsid w:val="00BC6343"/>
    <w:rsid w:val="00BC6402"/>
    <w:rsid w:val="00BC7311"/>
    <w:rsid w:val="00BD0F2C"/>
    <w:rsid w:val="00BD19C5"/>
    <w:rsid w:val="00BD22F3"/>
    <w:rsid w:val="00BD23A3"/>
    <w:rsid w:val="00BD23D3"/>
    <w:rsid w:val="00BD2451"/>
    <w:rsid w:val="00BD24DF"/>
    <w:rsid w:val="00BD48FF"/>
    <w:rsid w:val="00BD4E11"/>
    <w:rsid w:val="00BD5131"/>
    <w:rsid w:val="00BD52BF"/>
    <w:rsid w:val="00BD5E51"/>
    <w:rsid w:val="00BD62D2"/>
    <w:rsid w:val="00BD6DF3"/>
    <w:rsid w:val="00BD7CCC"/>
    <w:rsid w:val="00BE0843"/>
    <w:rsid w:val="00BE0965"/>
    <w:rsid w:val="00BE0DD7"/>
    <w:rsid w:val="00BE0FA2"/>
    <w:rsid w:val="00BE1EC6"/>
    <w:rsid w:val="00BE2452"/>
    <w:rsid w:val="00BE2E47"/>
    <w:rsid w:val="00BE3E1D"/>
    <w:rsid w:val="00BE55AD"/>
    <w:rsid w:val="00BE5BC1"/>
    <w:rsid w:val="00BE6DCA"/>
    <w:rsid w:val="00BE7922"/>
    <w:rsid w:val="00BF07C3"/>
    <w:rsid w:val="00BF1C91"/>
    <w:rsid w:val="00BF2666"/>
    <w:rsid w:val="00BF3B06"/>
    <w:rsid w:val="00BF44CD"/>
    <w:rsid w:val="00BF4B74"/>
    <w:rsid w:val="00BF532B"/>
    <w:rsid w:val="00C02BE6"/>
    <w:rsid w:val="00C05175"/>
    <w:rsid w:val="00C06430"/>
    <w:rsid w:val="00C069B4"/>
    <w:rsid w:val="00C06B11"/>
    <w:rsid w:val="00C105B7"/>
    <w:rsid w:val="00C10D3B"/>
    <w:rsid w:val="00C1197E"/>
    <w:rsid w:val="00C144D1"/>
    <w:rsid w:val="00C20605"/>
    <w:rsid w:val="00C20942"/>
    <w:rsid w:val="00C20D37"/>
    <w:rsid w:val="00C22423"/>
    <w:rsid w:val="00C23ACA"/>
    <w:rsid w:val="00C24461"/>
    <w:rsid w:val="00C2457A"/>
    <w:rsid w:val="00C26CA5"/>
    <w:rsid w:val="00C274F9"/>
    <w:rsid w:val="00C27C6C"/>
    <w:rsid w:val="00C3097D"/>
    <w:rsid w:val="00C30BAD"/>
    <w:rsid w:val="00C30EBF"/>
    <w:rsid w:val="00C32784"/>
    <w:rsid w:val="00C32ACB"/>
    <w:rsid w:val="00C32F88"/>
    <w:rsid w:val="00C338D6"/>
    <w:rsid w:val="00C33C46"/>
    <w:rsid w:val="00C34DFA"/>
    <w:rsid w:val="00C3536E"/>
    <w:rsid w:val="00C35DC1"/>
    <w:rsid w:val="00C37F0D"/>
    <w:rsid w:val="00C42A80"/>
    <w:rsid w:val="00C43C94"/>
    <w:rsid w:val="00C44E19"/>
    <w:rsid w:val="00C454B7"/>
    <w:rsid w:val="00C46856"/>
    <w:rsid w:val="00C46DA5"/>
    <w:rsid w:val="00C476D8"/>
    <w:rsid w:val="00C47B9F"/>
    <w:rsid w:val="00C52965"/>
    <w:rsid w:val="00C53E2A"/>
    <w:rsid w:val="00C5471F"/>
    <w:rsid w:val="00C548FE"/>
    <w:rsid w:val="00C55C63"/>
    <w:rsid w:val="00C569B4"/>
    <w:rsid w:val="00C56C04"/>
    <w:rsid w:val="00C56DAE"/>
    <w:rsid w:val="00C56F21"/>
    <w:rsid w:val="00C623C2"/>
    <w:rsid w:val="00C63026"/>
    <w:rsid w:val="00C63875"/>
    <w:rsid w:val="00C63B28"/>
    <w:rsid w:val="00C63FB0"/>
    <w:rsid w:val="00C677D0"/>
    <w:rsid w:val="00C6799C"/>
    <w:rsid w:val="00C70B2A"/>
    <w:rsid w:val="00C71AEC"/>
    <w:rsid w:val="00C72BB9"/>
    <w:rsid w:val="00C72CEF"/>
    <w:rsid w:val="00C73475"/>
    <w:rsid w:val="00C74066"/>
    <w:rsid w:val="00C75225"/>
    <w:rsid w:val="00C754A3"/>
    <w:rsid w:val="00C75A95"/>
    <w:rsid w:val="00C762C3"/>
    <w:rsid w:val="00C767BB"/>
    <w:rsid w:val="00C77763"/>
    <w:rsid w:val="00C80D06"/>
    <w:rsid w:val="00C80E7B"/>
    <w:rsid w:val="00C82163"/>
    <w:rsid w:val="00C83384"/>
    <w:rsid w:val="00C835B0"/>
    <w:rsid w:val="00C84E62"/>
    <w:rsid w:val="00C85106"/>
    <w:rsid w:val="00C85DB5"/>
    <w:rsid w:val="00C86BA8"/>
    <w:rsid w:val="00C87119"/>
    <w:rsid w:val="00C8796E"/>
    <w:rsid w:val="00C90826"/>
    <w:rsid w:val="00C90E22"/>
    <w:rsid w:val="00C92400"/>
    <w:rsid w:val="00C924D3"/>
    <w:rsid w:val="00C926BD"/>
    <w:rsid w:val="00C92CE8"/>
    <w:rsid w:val="00C93735"/>
    <w:rsid w:val="00C93A64"/>
    <w:rsid w:val="00C93AA3"/>
    <w:rsid w:val="00C94148"/>
    <w:rsid w:val="00C95CDC"/>
    <w:rsid w:val="00C960E3"/>
    <w:rsid w:val="00C96E15"/>
    <w:rsid w:val="00C97A07"/>
    <w:rsid w:val="00CA1170"/>
    <w:rsid w:val="00CA21D6"/>
    <w:rsid w:val="00CA28A7"/>
    <w:rsid w:val="00CA2E21"/>
    <w:rsid w:val="00CA2EB4"/>
    <w:rsid w:val="00CA40EC"/>
    <w:rsid w:val="00CA4B31"/>
    <w:rsid w:val="00CA57BC"/>
    <w:rsid w:val="00CB021A"/>
    <w:rsid w:val="00CB1EC0"/>
    <w:rsid w:val="00CB2CD9"/>
    <w:rsid w:val="00CB2F82"/>
    <w:rsid w:val="00CB3937"/>
    <w:rsid w:val="00CB3A14"/>
    <w:rsid w:val="00CB3E85"/>
    <w:rsid w:val="00CB5044"/>
    <w:rsid w:val="00CB53F4"/>
    <w:rsid w:val="00CB6392"/>
    <w:rsid w:val="00CB79F5"/>
    <w:rsid w:val="00CB7D72"/>
    <w:rsid w:val="00CC026F"/>
    <w:rsid w:val="00CC0A6F"/>
    <w:rsid w:val="00CC0F2E"/>
    <w:rsid w:val="00CC3239"/>
    <w:rsid w:val="00CC3CB1"/>
    <w:rsid w:val="00CC416D"/>
    <w:rsid w:val="00CC4529"/>
    <w:rsid w:val="00CC4D12"/>
    <w:rsid w:val="00CC5D38"/>
    <w:rsid w:val="00CC60FF"/>
    <w:rsid w:val="00CC6D57"/>
    <w:rsid w:val="00CC7335"/>
    <w:rsid w:val="00CC74DD"/>
    <w:rsid w:val="00CC7963"/>
    <w:rsid w:val="00CC7BC9"/>
    <w:rsid w:val="00CD1E55"/>
    <w:rsid w:val="00CD21F3"/>
    <w:rsid w:val="00CD540D"/>
    <w:rsid w:val="00CD5C62"/>
    <w:rsid w:val="00CD5CDF"/>
    <w:rsid w:val="00CD6FD1"/>
    <w:rsid w:val="00CD718F"/>
    <w:rsid w:val="00CE0041"/>
    <w:rsid w:val="00CE1DEE"/>
    <w:rsid w:val="00CE2146"/>
    <w:rsid w:val="00CE445F"/>
    <w:rsid w:val="00CE52E5"/>
    <w:rsid w:val="00CE5794"/>
    <w:rsid w:val="00CE6ACC"/>
    <w:rsid w:val="00CE6C1A"/>
    <w:rsid w:val="00CE7D71"/>
    <w:rsid w:val="00CF2321"/>
    <w:rsid w:val="00CF33D7"/>
    <w:rsid w:val="00CF3423"/>
    <w:rsid w:val="00CF3981"/>
    <w:rsid w:val="00CF4071"/>
    <w:rsid w:val="00CF4373"/>
    <w:rsid w:val="00CF62B6"/>
    <w:rsid w:val="00CF65D9"/>
    <w:rsid w:val="00CF66B3"/>
    <w:rsid w:val="00D02CE5"/>
    <w:rsid w:val="00D032A6"/>
    <w:rsid w:val="00D03D29"/>
    <w:rsid w:val="00D05EC1"/>
    <w:rsid w:val="00D10629"/>
    <w:rsid w:val="00D107CD"/>
    <w:rsid w:val="00D12BA7"/>
    <w:rsid w:val="00D13682"/>
    <w:rsid w:val="00D14337"/>
    <w:rsid w:val="00D144EB"/>
    <w:rsid w:val="00D14B3E"/>
    <w:rsid w:val="00D14F47"/>
    <w:rsid w:val="00D15E38"/>
    <w:rsid w:val="00D1641C"/>
    <w:rsid w:val="00D209C2"/>
    <w:rsid w:val="00D2113E"/>
    <w:rsid w:val="00D221C6"/>
    <w:rsid w:val="00D224B9"/>
    <w:rsid w:val="00D238DE"/>
    <w:rsid w:val="00D24052"/>
    <w:rsid w:val="00D258F9"/>
    <w:rsid w:val="00D26018"/>
    <w:rsid w:val="00D261CA"/>
    <w:rsid w:val="00D26719"/>
    <w:rsid w:val="00D30797"/>
    <w:rsid w:val="00D3097E"/>
    <w:rsid w:val="00D30CF1"/>
    <w:rsid w:val="00D35301"/>
    <w:rsid w:val="00D35855"/>
    <w:rsid w:val="00D3680A"/>
    <w:rsid w:val="00D36D28"/>
    <w:rsid w:val="00D378D6"/>
    <w:rsid w:val="00D4083F"/>
    <w:rsid w:val="00D4272B"/>
    <w:rsid w:val="00D428DF"/>
    <w:rsid w:val="00D435A9"/>
    <w:rsid w:val="00D44520"/>
    <w:rsid w:val="00D44899"/>
    <w:rsid w:val="00D4558D"/>
    <w:rsid w:val="00D45CB6"/>
    <w:rsid w:val="00D47C75"/>
    <w:rsid w:val="00D47D71"/>
    <w:rsid w:val="00D51634"/>
    <w:rsid w:val="00D517D7"/>
    <w:rsid w:val="00D52C64"/>
    <w:rsid w:val="00D52DE8"/>
    <w:rsid w:val="00D5303E"/>
    <w:rsid w:val="00D53B41"/>
    <w:rsid w:val="00D53B56"/>
    <w:rsid w:val="00D53DB4"/>
    <w:rsid w:val="00D53E95"/>
    <w:rsid w:val="00D54624"/>
    <w:rsid w:val="00D54701"/>
    <w:rsid w:val="00D55403"/>
    <w:rsid w:val="00D556B6"/>
    <w:rsid w:val="00D56569"/>
    <w:rsid w:val="00D578A5"/>
    <w:rsid w:val="00D603A1"/>
    <w:rsid w:val="00D60EB5"/>
    <w:rsid w:val="00D616F8"/>
    <w:rsid w:val="00D61CDC"/>
    <w:rsid w:val="00D62041"/>
    <w:rsid w:val="00D62977"/>
    <w:rsid w:val="00D63335"/>
    <w:rsid w:val="00D63466"/>
    <w:rsid w:val="00D6357B"/>
    <w:rsid w:val="00D63E40"/>
    <w:rsid w:val="00D6458B"/>
    <w:rsid w:val="00D67003"/>
    <w:rsid w:val="00D67604"/>
    <w:rsid w:val="00D67F00"/>
    <w:rsid w:val="00D70000"/>
    <w:rsid w:val="00D70830"/>
    <w:rsid w:val="00D708A6"/>
    <w:rsid w:val="00D70909"/>
    <w:rsid w:val="00D710F3"/>
    <w:rsid w:val="00D714BE"/>
    <w:rsid w:val="00D725C7"/>
    <w:rsid w:val="00D7291B"/>
    <w:rsid w:val="00D72BE3"/>
    <w:rsid w:val="00D732B3"/>
    <w:rsid w:val="00D750B7"/>
    <w:rsid w:val="00D751CA"/>
    <w:rsid w:val="00D761AB"/>
    <w:rsid w:val="00D7751E"/>
    <w:rsid w:val="00D77BFD"/>
    <w:rsid w:val="00D80741"/>
    <w:rsid w:val="00D81214"/>
    <w:rsid w:val="00D81EC9"/>
    <w:rsid w:val="00D81EF0"/>
    <w:rsid w:val="00D82687"/>
    <w:rsid w:val="00D82D65"/>
    <w:rsid w:val="00D83760"/>
    <w:rsid w:val="00D83A06"/>
    <w:rsid w:val="00D841C5"/>
    <w:rsid w:val="00D8581C"/>
    <w:rsid w:val="00D85EE6"/>
    <w:rsid w:val="00D85F4F"/>
    <w:rsid w:val="00D866EC"/>
    <w:rsid w:val="00D867EF"/>
    <w:rsid w:val="00D86B84"/>
    <w:rsid w:val="00D871BF"/>
    <w:rsid w:val="00D90AEE"/>
    <w:rsid w:val="00D90F5F"/>
    <w:rsid w:val="00D91474"/>
    <w:rsid w:val="00D91E8C"/>
    <w:rsid w:val="00D9298A"/>
    <w:rsid w:val="00D96E7E"/>
    <w:rsid w:val="00D96F76"/>
    <w:rsid w:val="00D97223"/>
    <w:rsid w:val="00D972DD"/>
    <w:rsid w:val="00D97CBC"/>
    <w:rsid w:val="00DA02D5"/>
    <w:rsid w:val="00DA15FB"/>
    <w:rsid w:val="00DA1A5B"/>
    <w:rsid w:val="00DA22E2"/>
    <w:rsid w:val="00DA440C"/>
    <w:rsid w:val="00DA4791"/>
    <w:rsid w:val="00DA5EB4"/>
    <w:rsid w:val="00DA62CE"/>
    <w:rsid w:val="00DA69D9"/>
    <w:rsid w:val="00DA6D26"/>
    <w:rsid w:val="00DA706D"/>
    <w:rsid w:val="00DA72F0"/>
    <w:rsid w:val="00DB0764"/>
    <w:rsid w:val="00DB07E5"/>
    <w:rsid w:val="00DB0953"/>
    <w:rsid w:val="00DB26DD"/>
    <w:rsid w:val="00DB444F"/>
    <w:rsid w:val="00DB4FAF"/>
    <w:rsid w:val="00DB515D"/>
    <w:rsid w:val="00DB51FB"/>
    <w:rsid w:val="00DB52BC"/>
    <w:rsid w:val="00DB547A"/>
    <w:rsid w:val="00DB69BF"/>
    <w:rsid w:val="00DB6A11"/>
    <w:rsid w:val="00DB6C77"/>
    <w:rsid w:val="00DB7840"/>
    <w:rsid w:val="00DB7F07"/>
    <w:rsid w:val="00DC02D2"/>
    <w:rsid w:val="00DC06EF"/>
    <w:rsid w:val="00DC1068"/>
    <w:rsid w:val="00DC10A0"/>
    <w:rsid w:val="00DC12E2"/>
    <w:rsid w:val="00DC166E"/>
    <w:rsid w:val="00DC1B84"/>
    <w:rsid w:val="00DC2939"/>
    <w:rsid w:val="00DC29D6"/>
    <w:rsid w:val="00DC2D44"/>
    <w:rsid w:val="00DC3B7C"/>
    <w:rsid w:val="00DC44CA"/>
    <w:rsid w:val="00DC4750"/>
    <w:rsid w:val="00DC4B4E"/>
    <w:rsid w:val="00DC4D7A"/>
    <w:rsid w:val="00DC4E89"/>
    <w:rsid w:val="00DC6802"/>
    <w:rsid w:val="00DC687E"/>
    <w:rsid w:val="00DC7410"/>
    <w:rsid w:val="00DC788F"/>
    <w:rsid w:val="00DC7F94"/>
    <w:rsid w:val="00DD031A"/>
    <w:rsid w:val="00DD0EBA"/>
    <w:rsid w:val="00DD124B"/>
    <w:rsid w:val="00DD1438"/>
    <w:rsid w:val="00DD1C67"/>
    <w:rsid w:val="00DD2EA6"/>
    <w:rsid w:val="00DD4058"/>
    <w:rsid w:val="00DD495E"/>
    <w:rsid w:val="00DD4C8A"/>
    <w:rsid w:val="00DD4D41"/>
    <w:rsid w:val="00DD53EE"/>
    <w:rsid w:val="00DD5623"/>
    <w:rsid w:val="00DD5BDF"/>
    <w:rsid w:val="00DD6974"/>
    <w:rsid w:val="00DD6AF7"/>
    <w:rsid w:val="00DD7AC7"/>
    <w:rsid w:val="00DE1A37"/>
    <w:rsid w:val="00DE1E33"/>
    <w:rsid w:val="00DE27E1"/>
    <w:rsid w:val="00DE35A1"/>
    <w:rsid w:val="00DE3681"/>
    <w:rsid w:val="00DE41B3"/>
    <w:rsid w:val="00DE7F39"/>
    <w:rsid w:val="00DF033F"/>
    <w:rsid w:val="00DF082B"/>
    <w:rsid w:val="00DF1627"/>
    <w:rsid w:val="00DF1B06"/>
    <w:rsid w:val="00DF4E62"/>
    <w:rsid w:val="00DF5052"/>
    <w:rsid w:val="00DF69CE"/>
    <w:rsid w:val="00DF69CF"/>
    <w:rsid w:val="00E0009D"/>
    <w:rsid w:val="00E0056E"/>
    <w:rsid w:val="00E009F4"/>
    <w:rsid w:val="00E02001"/>
    <w:rsid w:val="00E026CF"/>
    <w:rsid w:val="00E02818"/>
    <w:rsid w:val="00E050ED"/>
    <w:rsid w:val="00E05FAA"/>
    <w:rsid w:val="00E064CF"/>
    <w:rsid w:val="00E06770"/>
    <w:rsid w:val="00E06DEB"/>
    <w:rsid w:val="00E06F3E"/>
    <w:rsid w:val="00E07029"/>
    <w:rsid w:val="00E10F43"/>
    <w:rsid w:val="00E116BD"/>
    <w:rsid w:val="00E11DD0"/>
    <w:rsid w:val="00E121FB"/>
    <w:rsid w:val="00E12201"/>
    <w:rsid w:val="00E124DF"/>
    <w:rsid w:val="00E12E77"/>
    <w:rsid w:val="00E14946"/>
    <w:rsid w:val="00E14D84"/>
    <w:rsid w:val="00E15481"/>
    <w:rsid w:val="00E15BB2"/>
    <w:rsid w:val="00E15C42"/>
    <w:rsid w:val="00E16AE4"/>
    <w:rsid w:val="00E20A45"/>
    <w:rsid w:val="00E20A7B"/>
    <w:rsid w:val="00E22C22"/>
    <w:rsid w:val="00E22F39"/>
    <w:rsid w:val="00E243BB"/>
    <w:rsid w:val="00E25206"/>
    <w:rsid w:val="00E25BAE"/>
    <w:rsid w:val="00E25C53"/>
    <w:rsid w:val="00E26283"/>
    <w:rsid w:val="00E27AC7"/>
    <w:rsid w:val="00E27DC8"/>
    <w:rsid w:val="00E30AA9"/>
    <w:rsid w:val="00E30CDB"/>
    <w:rsid w:val="00E32365"/>
    <w:rsid w:val="00E371AA"/>
    <w:rsid w:val="00E37E7D"/>
    <w:rsid w:val="00E40447"/>
    <w:rsid w:val="00E406A2"/>
    <w:rsid w:val="00E4107D"/>
    <w:rsid w:val="00E415FD"/>
    <w:rsid w:val="00E43E77"/>
    <w:rsid w:val="00E4401E"/>
    <w:rsid w:val="00E44D0B"/>
    <w:rsid w:val="00E450B2"/>
    <w:rsid w:val="00E45A02"/>
    <w:rsid w:val="00E45D6A"/>
    <w:rsid w:val="00E46796"/>
    <w:rsid w:val="00E46B46"/>
    <w:rsid w:val="00E46D7F"/>
    <w:rsid w:val="00E5097C"/>
    <w:rsid w:val="00E50B13"/>
    <w:rsid w:val="00E50CAE"/>
    <w:rsid w:val="00E50D15"/>
    <w:rsid w:val="00E5105F"/>
    <w:rsid w:val="00E52DAC"/>
    <w:rsid w:val="00E53C77"/>
    <w:rsid w:val="00E542FE"/>
    <w:rsid w:val="00E554C0"/>
    <w:rsid w:val="00E56CFF"/>
    <w:rsid w:val="00E56D19"/>
    <w:rsid w:val="00E57B49"/>
    <w:rsid w:val="00E57FDD"/>
    <w:rsid w:val="00E60E71"/>
    <w:rsid w:val="00E61493"/>
    <w:rsid w:val="00E62365"/>
    <w:rsid w:val="00E63169"/>
    <w:rsid w:val="00E6367C"/>
    <w:rsid w:val="00E63A1E"/>
    <w:rsid w:val="00E65552"/>
    <w:rsid w:val="00E66CDC"/>
    <w:rsid w:val="00E67D1E"/>
    <w:rsid w:val="00E67DE3"/>
    <w:rsid w:val="00E71481"/>
    <w:rsid w:val="00E72139"/>
    <w:rsid w:val="00E726C0"/>
    <w:rsid w:val="00E73214"/>
    <w:rsid w:val="00E74385"/>
    <w:rsid w:val="00E746BA"/>
    <w:rsid w:val="00E74C3C"/>
    <w:rsid w:val="00E75929"/>
    <w:rsid w:val="00E75C1B"/>
    <w:rsid w:val="00E774F8"/>
    <w:rsid w:val="00E779DE"/>
    <w:rsid w:val="00E80336"/>
    <w:rsid w:val="00E80CA2"/>
    <w:rsid w:val="00E81101"/>
    <w:rsid w:val="00E8165A"/>
    <w:rsid w:val="00E82772"/>
    <w:rsid w:val="00E82823"/>
    <w:rsid w:val="00E8284D"/>
    <w:rsid w:val="00E82F8F"/>
    <w:rsid w:val="00E83B10"/>
    <w:rsid w:val="00E85791"/>
    <w:rsid w:val="00E86048"/>
    <w:rsid w:val="00E86221"/>
    <w:rsid w:val="00E86836"/>
    <w:rsid w:val="00E9086B"/>
    <w:rsid w:val="00E90D38"/>
    <w:rsid w:val="00E91533"/>
    <w:rsid w:val="00E91601"/>
    <w:rsid w:val="00E917E2"/>
    <w:rsid w:val="00E919A7"/>
    <w:rsid w:val="00E94190"/>
    <w:rsid w:val="00E94C4C"/>
    <w:rsid w:val="00E955E6"/>
    <w:rsid w:val="00E96C90"/>
    <w:rsid w:val="00EA0603"/>
    <w:rsid w:val="00EA1269"/>
    <w:rsid w:val="00EA1BC1"/>
    <w:rsid w:val="00EA434A"/>
    <w:rsid w:val="00EA51D8"/>
    <w:rsid w:val="00EA5D37"/>
    <w:rsid w:val="00EA5D4E"/>
    <w:rsid w:val="00EA5FD3"/>
    <w:rsid w:val="00EA66CF"/>
    <w:rsid w:val="00EB008A"/>
    <w:rsid w:val="00EB0144"/>
    <w:rsid w:val="00EB07C8"/>
    <w:rsid w:val="00EB0CF8"/>
    <w:rsid w:val="00EB154A"/>
    <w:rsid w:val="00EB1EB9"/>
    <w:rsid w:val="00EB21AE"/>
    <w:rsid w:val="00EB3396"/>
    <w:rsid w:val="00EB3D98"/>
    <w:rsid w:val="00EB400C"/>
    <w:rsid w:val="00EB4534"/>
    <w:rsid w:val="00EB4A04"/>
    <w:rsid w:val="00EB5635"/>
    <w:rsid w:val="00EB7205"/>
    <w:rsid w:val="00EB78DB"/>
    <w:rsid w:val="00EB7F87"/>
    <w:rsid w:val="00EC0F4D"/>
    <w:rsid w:val="00EC1563"/>
    <w:rsid w:val="00EC342A"/>
    <w:rsid w:val="00EC4EDD"/>
    <w:rsid w:val="00EC5D12"/>
    <w:rsid w:val="00EC6496"/>
    <w:rsid w:val="00ED052D"/>
    <w:rsid w:val="00ED1A67"/>
    <w:rsid w:val="00ED1EF4"/>
    <w:rsid w:val="00ED21D9"/>
    <w:rsid w:val="00ED2320"/>
    <w:rsid w:val="00ED235F"/>
    <w:rsid w:val="00ED3F99"/>
    <w:rsid w:val="00ED431B"/>
    <w:rsid w:val="00ED4AAF"/>
    <w:rsid w:val="00ED509A"/>
    <w:rsid w:val="00ED5A82"/>
    <w:rsid w:val="00ED5ACD"/>
    <w:rsid w:val="00ED6800"/>
    <w:rsid w:val="00ED68E2"/>
    <w:rsid w:val="00ED697C"/>
    <w:rsid w:val="00ED725B"/>
    <w:rsid w:val="00ED72FF"/>
    <w:rsid w:val="00EE00DC"/>
    <w:rsid w:val="00EE0756"/>
    <w:rsid w:val="00EE075C"/>
    <w:rsid w:val="00EE0A18"/>
    <w:rsid w:val="00EE18BD"/>
    <w:rsid w:val="00EE548A"/>
    <w:rsid w:val="00EE5CA1"/>
    <w:rsid w:val="00EE60EF"/>
    <w:rsid w:val="00EE6342"/>
    <w:rsid w:val="00EE7B15"/>
    <w:rsid w:val="00EF2E97"/>
    <w:rsid w:val="00EF317B"/>
    <w:rsid w:val="00EF376B"/>
    <w:rsid w:val="00EF4231"/>
    <w:rsid w:val="00EF51A6"/>
    <w:rsid w:val="00EF6F55"/>
    <w:rsid w:val="00EF7CD8"/>
    <w:rsid w:val="00F00214"/>
    <w:rsid w:val="00F00276"/>
    <w:rsid w:val="00F00BA7"/>
    <w:rsid w:val="00F00BB8"/>
    <w:rsid w:val="00F01DD9"/>
    <w:rsid w:val="00F02900"/>
    <w:rsid w:val="00F03932"/>
    <w:rsid w:val="00F03C2A"/>
    <w:rsid w:val="00F0472A"/>
    <w:rsid w:val="00F05D70"/>
    <w:rsid w:val="00F06EFE"/>
    <w:rsid w:val="00F0730B"/>
    <w:rsid w:val="00F07891"/>
    <w:rsid w:val="00F07920"/>
    <w:rsid w:val="00F10408"/>
    <w:rsid w:val="00F10868"/>
    <w:rsid w:val="00F10E04"/>
    <w:rsid w:val="00F11A8A"/>
    <w:rsid w:val="00F135C6"/>
    <w:rsid w:val="00F137CB"/>
    <w:rsid w:val="00F14F42"/>
    <w:rsid w:val="00F15C54"/>
    <w:rsid w:val="00F16A1E"/>
    <w:rsid w:val="00F16AAE"/>
    <w:rsid w:val="00F16C5D"/>
    <w:rsid w:val="00F16FF7"/>
    <w:rsid w:val="00F17033"/>
    <w:rsid w:val="00F17E0F"/>
    <w:rsid w:val="00F212C0"/>
    <w:rsid w:val="00F23011"/>
    <w:rsid w:val="00F23EE9"/>
    <w:rsid w:val="00F2459D"/>
    <w:rsid w:val="00F24F6C"/>
    <w:rsid w:val="00F253E1"/>
    <w:rsid w:val="00F25622"/>
    <w:rsid w:val="00F269EF"/>
    <w:rsid w:val="00F30632"/>
    <w:rsid w:val="00F316B6"/>
    <w:rsid w:val="00F31E69"/>
    <w:rsid w:val="00F31F20"/>
    <w:rsid w:val="00F32F43"/>
    <w:rsid w:val="00F34D53"/>
    <w:rsid w:val="00F34EDD"/>
    <w:rsid w:val="00F359C6"/>
    <w:rsid w:val="00F35D9E"/>
    <w:rsid w:val="00F35DB9"/>
    <w:rsid w:val="00F36229"/>
    <w:rsid w:val="00F40442"/>
    <w:rsid w:val="00F40471"/>
    <w:rsid w:val="00F42231"/>
    <w:rsid w:val="00F42FF5"/>
    <w:rsid w:val="00F43CB4"/>
    <w:rsid w:val="00F44DE5"/>
    <w:rsid w:val="00F468FD"/>
    <w:rsid w:val="00F478E3"/>
    <w:rsid w:val="00F506FB"/>
    <w:rsid w:val="00F50CDF"/>
    <w:rsid w:val="00F519AA"/>
    <w:rsid w:val="00F51A1F"/>
    <w:rsid w:val="00F5209A"/>
    <w:rsid w:val="00F52D53"/>
    <w:rsid w:val="00F53CDF"/>
    <w:rsid w:val="00F5415B"/>
    <w:rsid w:val="00F54F27"/>
    <w:rsid w:val="00F5571C"/>
    <w:rsid w:val="00F55B8D"/>
    <w:rsid w:val="00F57062"/>
    <w:rsid w:val="00F57771"/>
    <w:rsid w:val="00F60EE5"/>
    <w:rsid w:val="00F611C1"/>
    <w:rsid w:val="00F61C3A"/>
    <w:rsid w:val="00F644FB"/>
    <w:rsid w:val="00F64AD1"/>
    <w:rsid w:val="00F64EB4"/>
    <w:rsid w:val="00F65259"/>
    <w:rsid w:val="00F65541"/>
    <w:rsid w:val="00F6591B"/>
    <w:rsid w:val="00F65A3F"/>
    <w:rsid w:val="00F66F5D"/>
    <w:rsid w:val="00F6732D"/>
    <w:rsid w:val="00F70184"/>
    <w:rsid w:val="00F7098D"/>
    <w:rsid w:val="00F70B2C"/>
    <w:rsid w:val="00F70C1F"/>
    <w:rsid w:val="00F70FB6"/>
    <w:rsid w:val="00F71947"/>
    <w:rsid w:val="00F721A5"/>
    <w:rsid w:val="00F72706"/>
    <w:rsid w:val="00F72EFC"/>
    <w:rsid w:val="00F73C47"/>
    <w:rsid w:val="00F74FAD"/>
    <w:rsid w:val="00F75647"/>
    <w:rsid w:val="00F75677"/>
    <w:rsid w:val="00F758D6"/>
    <w:rsid w:val="00F75912"/>
    <w:rsid w:val="00F75D9B"/>
    <w:rsid w:val="00F763CE"/>
    <w:rsid w:val="00F77840"/>
    <w:rsid w:val="00F80972"/>
    <w:rsid w:val="00F815D1"/>
    <w:rsid w:val="00F8164B"/>
    <w:rsid w:val="00F81683"/>
    <w:rsid w:val="00F8251A"/>
    <w:rsid w:val="00F8260D"/>
    <w:rsid w:val="00F83BB6"/>
    <w:rsid w:val="00F8435D"/>
    <w:rsid w:val="00F8548A"/>
    <w:rsid w:val="00F85875"/>
    <w:rsid w:val="00F87F8D"/>
    <w:rsid w:val="00F90A6C"/>
    <w:rsid w:val="00F916C1"/>
    <w:rsid w:val="00F91BEE"/>
    <w:rsid w:val="00F91FB1"/>
    <w:rsid w:val="00F92D1E"/>
    <w:rsid w:val="00F93149"/>
    <w:rsid w:val="00F94892"/>
    <w:rsid w:val="00F94FCD"/>
    <w:rsid w:val="00F973D1"/>
    <w:rsid w:val="00F975F0"/>
    <w:rsid w:val="00FA1969"/>
    <w:rsid w:val="00FA2098"/>
    <w:rsid w:val="00FA20C2"/>
    <w:rsid w:val="00FA2F57"/>
    <w:rsid w:val="00FA40E8"/>
    <w:rsid w:val="00FA44E3"/>
    <w:rsid w:val="00FA5B48"/>
    <w:rsid w:val="00FA6DEB"/>
    <w:rsid w:val="00FA7A7B"/>
    <w:rsid w:val="00FA7F7C"/>
    <w:rsid w:val="00FB08C5"/>
    <w:rsid w:val="00FB09A6"/>
    <w:rsid w:val="00FB14E7"/>
    <w:rsid w:val="00FB17D7"/>
    <w:rsid w:val="00FB3E18"/>
    <w:rsid w:val="00FB5DCA"/>
    <w:rsid w:val="00FB6423"/>
    <w:rsid w:val="00FC0986"/>
    <w:rsid w:val="00FC204D"/>
    <w:rsid w:val="00FC2D76"/>
    <w:rsid w:val="00FC3C1E"/>
    <w:rsid w:val="00FC4A96"/>
    <w:rsid w:val="00FC4DB7"/>
    <w:rsid w:val="00FC73A9"/>
    <w:rsid w:val="00FC774E"/>
    <w:rsid w:val="00FD0277"/>
    <w:rsid w:val="00FD0636"/>
    <w:rsid w:val="00FD0714"/>
    <w:rsid w:val="00FD0CA8"/>
    <w:rsid w:val="00FD1125"/>
    <w:rsid w:val="00FD3B6A"/>
    <w:rsid w:val="00FD5BE6"/>
    <w:rsid w:val="00FD6C46"/>
    <w:rsid w:val="00FE2710"/>
    <w:rsid w:val="00FE45C9"/>
    <w:rsid w:val="00FE4BF6"/>
    <w:rsid w:val="00FE5344"/>
    <w:rsid w:val="00FE5B0D"/>
    <w:rsid w:val="00FE5C5E"/>
    <w:rsid w:val="00FE5F01"/>
    <w:rsid w:val="00FE616E"/>
    <w:rsid w:val="00FF1561"/>
    <w:rsid w:val="00FF295F"/>
    <w:rsid w:val="00FF320E"/>
    <w:rsid w:val="00FF3D4F"/>
    <w:rsid w:val="00FF4897"/>
    <w:rsid w:val="00FF58A0"/>
    <w:rsid w:val="00FF6229"/>
    <w:rsid w:val="00FF6B29"/>
    <w:rsid w:val="01226A52"/>
    <w:rsid w:val="01527EDF"/>
    <w:rsid w:val="015316A6"/>
    <w:rsid w:val="015D74A7"/>
    <w:rsid w:val="016132E9"/>
    <w:rsid w:val="017F54FE"/>
    <w:rsid w:val="01917B1A"/>
    <w:rsid w:val="02671768"/>
    <w:rsid w:val="02E85BA8"/>
    <w:rsid w:val="02EC0E79"/>
    <w:rsid w:val="032F515E"/>
    <w:rsid w:val="034D6BB0"/>
    <w:rsid w:val="03E05C76"/>
    <w:rsid w:val="03E77005"/>
    <w:rsid w:val="03F90EB8"/>
    <w:rsid w:val="03FA4C38"/>
    <w:rsid w:val="04463AE7"/>
    <w:rsid w:val="04CF6A19"/>
    <w:rsid w:val="04F16077"/>
    <w:rsid w:val="053B7257"/>
    <w:rsid w:val="05682F48"/>
    <w:rsid w:val="05706B86"/>
    <w:rsid w:val="05945126"/>
    <w:rsid w:val="059E44AB"/>
    <w:rsid w:val="068C109B"/>
    <w:rsid w:val="06A0349B"/>
    <w:rsid w:val="06EE5D38"/>
    <w:rsid w:val="070729B8"/>
    <w:rsid w:val="07140111"/>
    <w:rsid w:val="071A63D1"/>
    <w:rsid w:val="07846919"/>
    <w:rsid w:val="078D65C5"/>
    <w:rsid w:val="07AC6A55"/>
    <w:rsid w:val="08380E1D"/>
    <w:rsid w:val="083F292D"/>
    <w:rsid w:val="084D75EE"/>
    <w:rsid w:val="08BB4E14"/>
    <w:rsid w:val="08D81C1B"/>
    <w:rsid w:val="08F50484"/>
    <w:rsid w:val="096369A0"/>
    <w:rsid w:val="098740C8"/>
    <w:rsid w:val="0A020CC0"/>
    <w:rsid w:val="0A565785"/>
    <w:rsid w:val="0A8E7038"/>
    <w:rsid w:val="0AAD7241"/>
    <w:rsid w:val="0B1D0375"/>
    <w:rsid w:val="0B6E3B68"/>
    <w:rsid w:val="0BC37D1A"/>
    <w:rsid w:val="0BFF75EA"/>
    <w:rsid w:val="0CCE1F45"/>
    <w:rsid w:val="0CE42333"/>
    <w:rsid w:val="0D0D6A51"/>
    <w:rsid w:val="0D2E2D95"/>
    <w:rsid w:val="0D9A266D"/>
    <w:rsid w:val="0D9D24E2"/>
    <w:rsid w:val="0DC15F40"/>
    <w:rsid w:val="0DDC549C"/>
    <w:rsid w:val="0E3B2399"/>
    <w:rsid w:val="0E431840"/>
    <w:rsid w:val="0ECC5CA1"/>
    <w:rsid w:val="0F003BC7"/>
    <w:rsid w:val="0F581D51"/>
    <w:rsid w:val="0F645DEB"/>
    <w:rsid w:val="107412F0"/>
    <w:rsid w:val="108D6191"/>
    <w:rsid w:val="110E7E7D"/>
    <w:rsid w:val="11205C44"/>
    <w:rsid w:val="11847C41"/>
    <w:rsid w:val="118931E8"/>
    <w:rsid w:val="11932953"/>
    <w:rsid w:val="11CC15E8"/>
    <w:rsid w:val="12296C2E"/>
    <w:rsid w:val="1241348A"/>
    <w:rsid w:val="12416B0D"/>
    <w:rsid w:val="1259447E"/>
    <w:rsid w:val="130B2047"/>
    <w:rsid w:val="13155263"/>
    <w:rsid w:val="133F12C4"/>
    <w:rsid w:val="13685340"/>
    <w:rsid w:val="13A1610A"/>
    <w:rsid w:val="13AC4ED0"/>
    <w:rsid w:val="13CF5EB8"/>
    <w:rsid w:val="13E93A34"/>
    <w:rsid w:val="143811B7"/>
    <w:rsid w:val="14440113"/>
    <w:rsid w:val="14965A3A"/>
    <w:rsid w:val="149A51C6"/>
    <w:rsid w:val="14AD74AF"/>
    <w:rsid w:val="14C4526F"/>
    <w:rsid w:val="14E73AC0"/>
    <w:rsid w:val="14F579D0"/>
    <w:rsid w:val="15570834"/>
    <w:rsid w:val="1562473D"/>
    <w:rsid w:val="15CF1017"/>
    <w:rsid w:val="15E8422B"/>
    <w:rsid w:val="16541D8D"/>
    <w:rsid w:val="16602195"/>
    <w:rsid w:val="16B72867"/>
    <w:rsid w:val="16DA6555"/>
    <w:rsid w:val="16ED6288"/>
    <w:rsid w:val="17081714"/>
    <w:rsid w:val="176F211A"/>
    <w:rsid w:val="17711313"/>
    <w:rsid w:val="1788408B"/>
    <w:rsid w:val="17E205DA"/>
    <w:rsid w:val="17FF4CF1"/>
    <w:rsid w:val="180F07EA"/>
    <w:rsid w:val="182E143F"/>
    <w:rsid w:val="18D56FD4"/>
    <w:rsid w:val="19145D4E"/>
    <w:rsid w:val="192B218B"/>
    <w:rsid w:val="19483C4A"/>
    <w:rsid w:val="19C10798"/>
    <w:rsid w:val="1A4D5A24"/>
    <w:rsid w:val="1A692698"/>
    <w:rsid w:val="1B2F06B2"/>
    <w:rsid w:val="1B7F3CD0"/>
    <w:rsid w:val="1B935F98"/>
    <w:rsid w:val="1BAB6920"/>
    <w:rsid w:val="1BDF46F6"/>
    <w:rsid w:val="1C273F45"/>
    <w:rsid w:val="1CD216F0"/>
    <w:rsid w:val="1CF10D17"/>
    <w:rsid w:val="1D230EF7"/>
    <w:rsid w:val="1D733127"/>
    <w:rsid w:val="1D951E7B"/>
    <w:rsid w:val="1D9660B0"/>
    <w:rsid w:val="1DC51436"/>
    <w:rsid w:val="1E2A5FF9"/>
    <w:rsid w:val="1E5A3207"/>
    <w:rsid w:val="1E6D3F08"/>
    <w:rsid w:val="1E756287"/>
    <w:rsid w:val="1ECA3B9F"/>
    <w:rsid w:val="1ECF42FE"/>
    <w:rsid w:val="1F047CBC"/>
    <w:rsid w:val="1F0C78A3"/>
    <w:rsid w:val="1FE91B83"/>
    <w:rsid w:val="1FFF51C2"/>
    <w:rsid w:val="2031368A"/>
    <w:rsid w:val="206D55E9"/>
    <w:rsid w:val="20796DDF"/>
    <w:rsid w:val="208206AA"/>
    <w:rsid w:val="211D3C0E"/>
    <w:rsid w:val="21640A5C"/>
    <w:rsid w:val="2200500C"/>
    <w:rsid w:val="22437F3A"/>
    <w:rsid w:val="22C60180"/>
    <w:rsid w:val="22CD67F0"/>
    <w:rsid w:val="22D3006A"/>
    <w:rsid w:val="22FB7F7F"/>
    <w:rsid w:val="23051F2B"/>
    <w:rsid w:val="2421593F"/>
    <w:rsid w:val="24241B43"/>
    <w:rsid w:val="24302528"/>
    <w:rsid w:val="24464BDB"/>
    <w:rsid w:val="2459226B"/>
    <w:rsid w:val="24850E12"/>
    <w:rsid w:val="24973CD7"/>
    <w:rsid w:val="24AE4129"/>
    <w:rsid w:val="24EF0D25"/>
    <w:rsid w:val="25551F39"/>
    <w:rsid w:val="25733133"/>
    <w:rsid w:val="25A4045A"/>
    <w:rsid w:val="25F56AAE"/>
    <w:rsid w:val="25F807A6"/>
    <w:rsid w:val="25FF1B34"/>
    <w:rsid w:val="263953CD"/>
    <w:rsid w:val="2656156A"/>
    <w:rsid w:val="286F1155"/>
    <w:rsid w:val="287E1156"/>
    <w:rsid w:val="287E1436"/>
    <w:rsid w:val="288C657F"/>
    <w:rsid w:val="28D9666D"/>
    <w:rsid w:val="28F259AD"/>
    <w:rsid w:val="29895705"/>
    <w:rsid w:val="29B855DE"/>
    <w:rsid w:val="29FF06CD"/>
    <w:rsid w:val="2A39704D"/>
    <w:rsid w:val="2A823C4E"/>
    <w:rsid w:val="2AC140C0"/>
    <w:rsid w:val="2B004385"/>
    <w:rsid w:val="2B964353"/>
    <w:rsid w:val="2C942038"/>
    <w:rsid w:val="2C970D19"/>
    <w:rsid w:val="2CA37AC6"/>
    <w:rsid w:val="2CB27900"/>
    <w:rsid w:val="2CE55431"/>
    <w:rsid w:val="2D1E240B"/>
    <w:rsid w:val="2D832085"/>
    <w:rsid w:val="2D9B2143"/>
    <w:rsid w:val="2DDA099F"/>
    <w:rsid w:val="2DDC0547"/>
    <w:rsid w:val="2E5F446C"/>
    <w:rsid w:val="2E820938"/>
    <w:rsid w:val="2EBA0CEE"/>
    <w:rsid w:val="2EEC255E"/>
    <w:rsid w:val="2F1D6BCC"/>
    <w:rsid w:val="2F6107D2"/>
    <w:rsid w:val="2F8145D5"/>
    <w:rsid w:val="30967D99"/>
    <w:rsid w:val="311B38ED"/>
    <w:rsid w:val="317E4255"/>
    <w:rsid w:val="31CA32EE"/>
    <w:rsid w:val="31CD0D39"/>
    <w:rsid w:val="32441379"/>
    <w:rsid w:val="32480BF5"/>
    <w:rsid w:val="324C39D2"/>
    <w:rsid w:val="32D723BA"/>
    <w:rsid w:val="343926B5"/>
    <w:rsid w:val="34771336"/>
    <w:rsid w:val="349E076A"/>
    <w:rsid w:val="34F30A22"/>
    <w:rsid w:val="35696FCA"/>
    <w:rsid w:val="35A5088F"/>
    <w:rsid w:val="35E0728C"/>
    <w:rsid w:val="35F93710"/>
    <w:rsid w:val="36010FB1"/>
    <w:rsid w:val="36161F1F"/>
    <w:rsid w:val="367D6CAB"/>
    <w:rsid w:val="36BC5953"/>
    <w:rsid w:val="36C62A20"/>
    <w:rsid w:val="374C04EA"/>
    <w:rsid w:val="378A7F1C"/>
    <w:rsid w:val="37B47ECA"/>
    <w:rsid w:val="37D95D86"/>
    <w:rsid w:val="38305977"/>
    <w:rsid w:val="383C1FD5"/>
    <w:rsid w:val="38570D97"/>
    <w:rsid w:val="387F4D72"/>
    <w:rsid w:val="38CF183A"/>
    <w:rsid w:val="38DD3F57"/>
    <w:rsid w:val="39005A81"/>
    <w:rsid w:val="390F1A9A"/>
    <w:rsid w:val="39810D86"/>
    <w:rsid w:val="398A31B2"/>
    <w:rsid w:val="39D46D7C"/>
    <w:rsid w:val="3A04118C"/>
    <w:rsid w:val="3ADF516D"/>
    <w:rsid w:val="3AE11D4A"/>
    <w:rsid w:val="3BB5440F"/>
    <w:rsid w:val="3BD333EF"/>
    <w:rsid w:val="3C2679C3"/>
    <w:rsid w:val="3CA67D65"/>
    <w:rsid w:val="3CBB6575"/>
    <w:rsid w:val="3CC31443"/>
    <w:rsid w:val="3CFC0724"/>
    <w:rsid w:val="3D4445A5"/>
    <w:rsid w:val="3D62170A"/>
    <w:rsid w:val="3DAB63D2"/>
    <w:rsid w:val="3DDB3CF0"/>
    <w:rsid w:val="3E0D0AC4"/>
    <w:rsid w:val="3E463B65"/>
    <w:rsid w:val="3E636548"/>
    <w:rsid w:val="3EE677FB"/>
    <w:rsid w:val="3EFA2289"/>
    <w:rsid w:val="3F363AA2"/>
    <w:rsid w:val="3F407C75"/>
    <w:rsid w:val="3F4168C2"/>
    <w:rsid w:val="3F7647BE"/>
    <w:rsid w:val="3F926613"/>
    <w:rsid w:val="3FFD0837"/>
    <w:rsid w:val="40095632"/>
    <w:rsid w:val="402305CA"/>
    <w:rsid w:val="40495906"/>
    <w:rsid w:val="40771A00"/>
    <w:rsid w:val="407E4430"/>
    <w:rsid w:val="40FB4811"/>
    <w:rsid w:val="41874618"/>
    <w:rsid w:val="420B31B9"/>
    <w:rsid w:val="425960B7"/>
    <w:rsid w:val="426B250C"/>
    <w:rsid w:val="429B4937"/>
    <w:rsid w:val="42AD6748"/>
    <w:rsid w:val="42AF1CC4"/>
    <w:rsid w:val="42BA0DF0"/>
    <w:rsid w:val="42C121F4"/>
    <w:rsid w:val="42C6780A"/>
    <w:rsid w:val="42CD7ECB"/>
    <w:rsid w:val="42E83C16"/>
    <w:rsid w:val="42FC3C4C"/>
    <w:rsid w:val="43064574"/>
    <w:rsid w:val="43742D7F"/>
    <w:rsid w:val="43DB67C2"/>
    <w:rsid w:val="44A10960"/>
    <w:rsid w:val="44A136A1"/>
    <w:rsid w:val="44EF29CC"/>
    <w:rsid w:val="45015430"/>
    <w:rsid w:val="45181E73"/>
    <w:rsid w:val="45903E27"/>
    <w:rsid w:val="460A5C60"/>
    <w:rsid w:val="461046E0"/>
    <w:rsid w:val="462C207A"/>
    <w:rsid w:val="465313B5"/>
    <w:rsid w:val="469255C7"/>
    <w:rsid w:val="470E18C4"/>
    <w:rsid w:val="474B4782"/>
    <w:rsid w:val="47A25BB7"/>
    <w:rsid w:val="47B33A3E"/>
    <w:rsid w:val="47EA5D49"/>
    <w:rsid w:val="48396E8C"/>
    <w:rsid w:val="48452D6C"/>
    <w:rsid w:val="484871C3"/>
    <w:rsid w:val="48561630"/>
    <w:rsid w:val="485A15E8"/>
    <w:rsid w:val="486503B6"/>
    <w:rsid w:val="48C435AA"/>
    <w:rsid w:val="48E82D4D"/>
    <w:rsid w:val="491C0E0E"/>
    <w:rsid w:val="49942410"/>
    <w:rsid w:val="49AD0F4D"/>
    <w:rsid w:val="49BD080D"/>
    <w:rsid w:val="49BE56DF"/>
    <w:rsid w:val="49C003AA"/>
    <w:rsid w:val="49CF674B"/>
    <w:rsid w:val="4A196220"/>
    <w:rsid w:val="4A8325D3"/>
    <w:rsid w:val="4AAB7B07"/>
    <w:rsid w:val="4B2B6DA4"/>
    <w:rsid w:val="4B8B6D84"/>
    <w:rsid w:val="4BB02434"/>
    <w:rsid w:val="4BBA5C24"/>
    <w:rsid w:val="4BE10CD1"/>
    <w:rsid w:val="4C386633"/>
    <w:rsid w:val="4C5145E8"/>
    <w:rsid w:val="4C687F75"/>
    <w:rsid w:val="4CFB4554"/>
    <w:rsid w:val="4D1C4DE6"/>
    <w:rsid w:val="4D724A17"/>
    <w:rsid w:val="4DAB40A0"/>
    <w:rsid w:val="4DCB3F26"/>
    <w:rsid w:val="4E0A0EF3"/>
    <w:rsid w:val="4E1C60F8"/>
    <w:rsid w:val="4E1D3D37"/>
    <w:rsid w:val="4E34533B"/>
    <w:rsid w:val="4E5125DD"/>
    <w:rsid w:val="4E5C1003"/>
    <w:rsid w:val="4E8C29A9"/>
    <w:rsid w:val="4EB25691"/>
    <w:rsid w:val="4EC8490A"/>
    <w:rsid w:val="4ED72330"/>
    <w:rsid w:val="4F79125F"/>
    <w:rsid w:val="4F822D0B"/>
    <w:rsid w:val="4FE01EB4"/>
    <w:rsid w:val="50306C0B"/>
    <w:rsid w:val="505A4AE2"/>
    <w:rsid w:val="505C02B1"/>
    <w:rsid w:val="509B1BCB"/>
    <w:rsid w:val="50A970CD"/>
    <w:rsid w:val="50BF1DE3"/>
    <w:rsid w:val="50C52569"/>
    <w:rsid w:val="51313562"/>
    <w:rsid w:val="517B3EB5"/>
    <w:rsid w:val="51AA511B"/>
    <w:rsid w:val="520E1CCF"/>
    <w:rsid w:val="52554706"/>
    <w:rsid w:val="525C2520"/>
    <w:rsid w:val="52654E02"/>
    <w:rsid w:val="52C5363A"/>
    <w:rsid w:val="531968C6"/>
    <w:rsid w:val="535F277E"/>
    <w:rsid w:val="536A252F"/>
    <w:rsid w:val="536E5BF5"/>
    <w:rsid w:val="53EF685C"/>
    <w:rsid w:val="53F65A8A"/>
    <w:rsid w:val="543D55B6"/>
    <w:rsid w:val="546757BA"/>
    <w:rsid w:val="54927B08"/>
    <w:rsid w:val="54C618EB"/>
    <w:rsid w:val="55CC02DF"/>
    <w:rsid w:val="55F10BEA"/>
    <w:rsid w:val="56211A07"/>
    <w:rsid w:val="564822F4"/>
    <w:rsid w:val="569E48CE"/>
    <w:rsid w:val="56A80039"/>
    <w:rsid w:val="574B7E2C"/>
    <w:rsid w:val="57590F5F"/>
    <w:rsid w:val="5765363E"/>
    <w:rsid w:val="576B77EF"/>
    <w:rsid w:val="57CF6D04"/>
    <w:rsid w:val="58381A0C"/>
    <w:rsid w:val="586D125F"/>
    <w:rsid w:val="58D11441"/>
    <w:rsid w:val="58D8399B"/>
    <w:rsid w:val="58E32A6C"/>
    <w:rsid w:val="58F20CEB"/>
    <w:rsid w:val="58F652A7"/>
    <w:rsid w:val="59154BEF"/>
    <w:rsid w:val="59C213BB"/>
    <w:rsid w:val="59C277BF"/>
    <w:rsid w:val="5A1524A8"/>
    <w:rsid w:val="5A2F3A8F"/>
    <w:rsid w:val="5A5C3D11"/>
    <w:rsid w:val="5A640B7E"/>
    <w:rsid w:val="5A97086B"/>
    <w:rsid w:val="5ABD36F5"/>
    <w:rsid w:val="5B2C37D5"/>
    <w:rsid w:val="5B783038"/>
    <w:rsid w:val="5B7D4734"/>
    <w:rsid w:val="5BB64468"/>
    <w:rsid w:val="5C367357"/>
    <w:rsid w:val="5C523826"/>
    <w:rsid w:val="5CDC3B75"/>
    <w:rsid w:val="5CF634AD"/>
    <w:rsid w:val="5D1551BE"/>
    <w:rsid w:val="5D243653"/>
    <w:rsid w:val="5D641054"/>
    <w:rsid w:val="5D844AE2"/>
    <w:rsid w:val="5D95077A"/>
    <w:rsid w:val="5E05534C"/>
    <w:rsid w:val="5E575F98"/>
    <w:rsid w:val="5E7340B5"/>
    <w:rsid w:val="5EC92704"/>
    <w:rsid w:val="5F952F3D"/>
    <w:rsid w:val="5FBB0234"/>
    <w:rsid w:val="5FEA2932"/>
    <w:rsid w:val="60681AA9"/>
    <w:rsid w:val="608416F8"/>
    <w:rsid w:val="60C03693"/>
    <w:rsid w:val="61010647"/>
    <w:rsid w:val="61335ED7"/>
    <w:rsid w:val="615564D1"/>
    <w:rsid w:val="61596CFA"/>
    <w:rsid w:val="61FA530C"/>
    <w:rsid w:val="6229704E"/>
    <w:rsid w:val="623A0D90"/>
    <w:rsid w:val="62662018"/>
    <w:rsid w:val="6287090C"/>
    <w:rsid w:val="62950475"/>
    <w:rsid w:val="62F85366"/>
    <w:rsid w:val="62FC777E"/>
    <w:rsid w:val="63021D41"/>
    <w:rsid w:val="6311334E"/>
    <w:rsid w:val="63273E9D"/>
    <w:rsid w:val="633155E7"/>
    <w:rsid w:val="633B34A5"/>
    <w:rsid w:val="635F7193"/>
    <w:rsid w:val="636B5241"/>
    <w:rsid w:val="63791C11"/>
    <w:rsid w:val="63EB6B53"/>
    <w:rsid w:val="64252AEB"/>
    <w:rsid w:val="647917CB"/>
    <w:rsid w:val="64882719"/>
    <w:rsid w:val="65073DE5"/>
    <w:rsid w:val="660843AE"/>
    <w:rsid w:val="661E50E3"/>
    <w:rsid w:val="665147AF"/>
    <w:rsid w:val="66AE57C5"/>
    <w:rsid w:val="66BB6DD6"/>
    <w:rsid w:val="66F85A89"/>
    <w:rsid w:val="673A0F5D"/>
    <w:rsid w:val="67713939"/>
    <w:rsid w:val="67777EDC"/>
    <w:rsid w:val="6780592A"/>
    <w:rsid w:val="67954634"/>
    <w:rsid w:val="67B85856"/>
    <w:rsid w:val="67C730FC"/>
    <w:rsid w:val="67D065D6"/>
    <w:rsid w:val="67DD1352"/>
    <w:rsid w:val="68195CCF"/>
    <w:rsid w:val="68703BF0"/>
    <w:rsid w:val="689910B1"/>
    <w:rsid w:val="68A96F77"/>
    <w:rsid w:val="68C55F71"/>
    <w:rsid w:val="69232A11"/>
    <w:rsid w:val="692E4942"/>
    <w:rsid w:val="69354A1B"/>
    <w:rsid w:val="69BF54BD"/>
    <w:rsid w:val="69CB6DA4"/>
    <w:rsid w:val="6A753740"/>
    <w:rsid w:val="6ABE363C"/>
    <w:rsid w:val="6AF9633C"/>
    <w:rsid w:val="6B203F53"/>
    <w:rsid w:val="6B537D6A"/>
    <w:rsid w:val="6B6235CB"/>
    <w:rsid w:val="6B6D2669"/>
    <w:rsid w:val="6B9D16B4"/>
    <w:rsid w:val="6BAC07F9"/>
    <w:rsid w:val="6BB14172"/>
    <w:rsid w:val="6C125ACF"/>
    <w:rsid w:val="6C1D22E3"/>
    <w:rsid w:val="6C3A69EF"/>
    <w:rsid w:val="6CE93F71"/>
    <w:rsid w:val="6CEB1A97"/>
    <w:rsid w:val="6D437FB3"/>
    <w:rsid w:val="6D7702E7"/>
    <w:rsid w:val="6DB47FE2"/>
    <w:rsid w:val="6DF0691A"/>
    <w:rsid w:val="6E097F2E"/>
    <w:rsid w:val="6ECB7DD2"/>
    <w:rsid w:val="6ED41F43"/>
    <w:rsid w:val="6F112DC6"/>
    <w:rsid w:val="6F5F03D4"/>
    <w:rsid w:val="6FD51E2E"/>
    <w:rsid w:val="6FF0007B"/>
    <w:rsid w:val="6FF1130A"/>
    <w:rsid w:val="701A572C"/>
    <w:rsid w:val="70514307"/>
    <w:rsid w:val="70634D1B"/>
    <w:rsid w:val="70640355"/>
    <w:rsid w:val="706C2C8A"/>
    <w:rsid w:val="70787882"/>
    <w:rsid w:val="707D7D38"/>
    <w:rsid w:val="70F938A5"/>
    <w:rsid w:val="71257C6E"/>
    <w:rsid w:val="71351220"/>
    <w:rsid w:val="713B033C"/>
    <w:rsid w:val="71951611"/>
    <w:rsid w:val="71AA1F21"/>
    <w:rsid w:val="71B1246E"/>
    <w:rsid w:val="71CC1D17"/>
    <w:rsid w:val="71D9385C"/>
    <w:rsid w:val="722B7E58"/>
    <w:rsid w:val="72611747"/>
    <w:rsid w:val="72AB41A3"/>
    <w:rsid w:val="72D51220"/>
    <w:rsid w:val="7318735E"/>
    <w:rsid w:val="731C34F7"/>
    <w:rsid w:val="735D134C"/>
    <w:rsid w:val="73601405"/>
    <w:rsid w:val="737226B2"/>
    <w:rsid w:val="73EA36E9"/>
    <w:rsid w:val="740062A5"/>
    <w:rsid w:val="74292DFA"/>
    <w:rsid w:val="747300DA"/>
    <w:rsid w:val="748E73F7"/>
    <w:rsid w:val="749A3101"/>
    <w:rsid w:val="749F6CBF"/>
    <w:rsid w:val="74A76BEC"/>
    <w:rsid w:val="74B35591"/>
    <w:rsid w:val="74D11287"/>
    <w:rsid w:val="74D168BD"/>
    <w:rsid w:val="74D46FD7"/>
    <w:rsid w:val="750161E9"/>
    <w:rsid w:val="75EC2B2F"/>
    <w:rsid w:val="76271B70"/>
    <w:rsid w:val="76E5436A"/>
    <w:rsid w:val="77100891"/>
    <w:rsid w:val="774C7410"/>
    <w:rsid w:val="776E0C15"/>
    <w:rsid w:val="77BF2C6D"/>
    <w:rsid w:val="77E87FBF"/>
    <w:rsid w:val="78864D0C"/>
    <w:rsid w:val="78C41512"/>
    <w:rsid w:val="795C0CF4"/>
    <w:rsid w:val="796C3F60"/>
    <w:rsid w:val="798D4602"/>
    <w:rsid w:val="79915775"/>
    <w:rsid w:val="799314ED"/>
    <w:rsid w:val="79D0629D"/>
    <w:rsid w:val="79E81839"/>
    <w:rsid w:val="7A0B0B7A"/>
    <w:rsid w:val="7A195E96"/>
    <w:rsid w:val="7A1C07A1"/>
    <w:rsid w:val="7A3B3DFE"/>
    <w:rsid w:val="7A765698"/>
    <w:rsid w:val="7A7E58C5"/>
    <w:rsid w:val="7ABE2F54"/>
    <w:rsid w:val="7AC05E4B"/>
    <w:rsid w:val="7B3B62E0"/>
    <w:rsid w:val="7B702515"/>
    <w:rsid w:val="7B941E3B"/>
    <w:rsid w:val="7C0948B9"/>
    <w:rsid w:val="7C324FED"/>
    <w:rsid w:val="7C762DBD"/>
    <w:rsid w:val="7CE22975"/>
    <w:rsid w:val="7D45652E"/>
    <w:rsid w:val="7DC1351F"/>
    <w:rsid w:val="7DC85A72"/>
    <w:rsid w:val="7E010E3A"/>
    <w:rsid w:val="7E290F20"/>
    <w:rsid w:val="7E4034E2"/>
    <w:rsid w:val="7E955B89"/>
    <w:rsid w:val="7F2F3A66"/>
    <w:rsid w:val="7F8A5E4A"/>
    <w:rsid w:val="7FAB3A34"/>
    <w:rsid w:val="7FCB0281"/>
    <w:rsid w:val="7FE5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8"/>
    <w:autoRedefine/>
    <w:qFormat/>
    <w:uiPriority w:val="0"/>
    <w:pPr>
      <w:keepNext/>
      <w:keepLines/>
      <w:tabs>
        <w:tab w:val="left" w:pos="1440"/>
      </w:tabs>
      <w:jc w:val="center"/>
      <w:outlineLvl w:val="0"/>
    </w:pPr>
    <w:rPr>
      <w:b/>
      <w:bCs/>
      <w:kern w:val="44"/>
      <w:sz w:val="44"/>
      <w:szCs w:val="44"/>
    </w:rPr>
  </w:style>
  <w:style w:type="paragraph" w:styleId="3">
    <w:name w:val="heading 2"/>
    <w:basedOn w:val="1"/>
    <w:next w:val="1"/>
    <w:link w:val="77"/>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7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80"/>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81"/>
    <w:autoRedefine/>
    <w:qFormat/>
    <w:uiPriority w:val="0"/>
    <w:pPr>
      <w:keepNext/>
      <w:keepLines/>
      <w:tabs>
        <w:tab w:val="left" w:pos="1008"/>
      </w:tabs>
      <w:spacing w:before="280" w:after="290" w:line="372" w:lineRule="auto"/>
      <w:ind w:left="1008" w:hanging="1008"/>
      <w:outlineLvl w:val="4"/>
    </w:pPr>
    <w:rPr>
      <w:b/>
      <w:bCs/>
      <w:sz w:val="28"/>
      <w:szCs w:val="28"/>
    </w:rPr>
  </w:style>
  <w:style w:type="paragraph" w:styleId="7">
    <w:name w:val="heading 6"/>
    <w:basedOn w:val="1"/>
    <w:next w:val="1"/>
    <w:link w:val="82"/>
    <w:autoRedefine/>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8">
    <w:name w:val="heading 7"/>
    <w:basedOn w:val="1"/>
    <w:next w:val="1"/>
    <w:link w:val="83"/>
    <w:autoRedefine/>
    <w:qFormat/>
    <w:uiPriority w:val="0"/>
    <w:pPr>
      <w:keepNext/>
      <w:keepLines/>
      <w:tabs>
        <w:tab w:val="left" w:pos="1296"/>
      </w:tabs>
      <w:spacing w:before="240" w:after="64" w:line="317" w:lineRule="auto"/>
      <w:ind w:left="1296" w:hanging="1296"/>
      <w:outlineLvl w:val="6"/>
    </w:pPr>
    <w:rPr>
      <w:b/>
      <w:sz w:val="24"/>
      <w:szCs w:val="20"/>
    </w:rPr>
  </w:style>
  <w:style w:type="paragraph" w:styleId="9">
    <w:name w:val="heading 8"/>
    <w:basedOn w:val="1"/>
    <w:next w:val="1"/>
    <w:link w:val="84"/>
    <w:autoRedefine/>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0">
    <w:name w:val="heading 9"/>
    <w:basedOn w:val="1"/>
    <w:next w:val="1"/>
    <w:link w:val="85"/>
    <w:autoRedefine/>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55">
    <w:name w:val="Default Paragraph Font"/>
    <w:autoRedefine/>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13">
    <w:name w:val="index 8"/>
    <w:basedOn w:val="1"/>
    <w:next w:val="1"/>
    <w:autoRedefine/>
    <w:unhideWhenUsed/>
    <w:qFormat/>
    <w:uiPriority w:val="99"/>
    <w:pPr>
      <w:ind w:left="1400" w:leftChars="1400"/>
    </w:pPr>
  </w:style>
  <w:style w:type="paragraph" w:styleId="14">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5">
    <w:name w:val="Normal Indent"/>
    <w:basedOn w:val="1"/>
    <w:link w:val="86"/>
    <w:autoRedefine/>
    <w:qFormat/>
    <w:uiPriority w:val="0"/>
    <w:pPr>
      <w:autoSpaceDE w:val="0"/>
      <w:autoSpaceDN w:val="0"/>
      <w:adjustRightInd w:val="0"/>
      <w:ind w:firstLine="420"/>
      <w:jc w:val="left"/>
    </w:pPr>
    <w:rPr>
      <w:rFonts w:ascii="宋体"/>
      <w:kern w:val="0"/>
      <w:sz w:val="24"/>
      <w:szCs w:val="20"/>
    </w:rPr>
  </w:style>
  <w:style w:type="paragraph" w:styleId="16">
    <w:name w:val="caption"/>
    <w:basedOn w:val="1"/>
    <w:next w:val="1"/>
    <w:link w:val="87"/>
    <w:autoRedefine/>
    <w:qFormat/>
    <w:uiPriority w:val="0"/>
    <w:pPr>
      <w:ind w:firstLine="6290" w:firstLineChars="2282"/>
    </w:pPr>
    <w:rPr>
      <w:b/>
      <w:bCs/>
      <w:color w:val="000080"/>
      <w:sz w:val="28"/>
    </w:rPr>
  </w:style>
  <w:style w:type="paragraph" w:styleId="17">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18">
    <w:name w:val="Document Map"/>
    <w:basedOn w:val="1"/>
    <w:link w:val="88"/>
    <w:autoRedefine/>
    <w:unhideWhenUsed/>
    <w:qFormat/>
    <w:uiPriority w:val="99"/>
    <w:rPr>
      <w:rFonts w:ascii="宋体"/>
      <w:sz w:val="18"/>
      <w:szCs w:val="18"/>
    </w:rPr>
  </w:style>
  <w:style w:type="paragraph" w:styleId="19">
    <w:name w:val="annotation text"/>
    <w:basedOn w:val="1"/>
    <w:link w:val="89"/>
    <w:autoRedefine/>
    <w:qFormat/>
    <w:uiPriority w:val="99"/>
    <w:pPr>
      <w:jc w:val="left"/>
    </w:pPr>
    <w:rPr>
      <w:kern w:val="0"/>
      <w:sz w:val="20"/>
    </w:rPr>
  </w:style>
  <w:style w:type="paragraph" w:styleId="20">
    <w:name w:val="Salutation"/>
    <w:basedOn w:val="1"/>
    <w:next w:val="1"/>
    <w:link w:val="90"/>
    <w:autoRedefine/>
    <w:qFormat/>
    <w:uiPriority w:val="0"/>
    <w:rPr>
      <w:rFonts w:ascii="宋体" w:hAnsi="宋体"/>
      <w:sz w:val="24"/>
      <w:szCs w:val="20"/>
    </w:rPr>
  </w:style>
  <w:style w:type="paragraph" w:styleId="21">
    <w:name w:val="Body Text 3"/>
    <w:basedOn w:val="1"/>
    <w:link w:val="91"/>
    <w:autoRedefine/>
    <w:qFormat/>
    <w:uiPriority w:val="0"/>
    <w:pPr>
      <w:spacing w:line="600" w:lineRule="exact"/>
      <w:ind w:firstLine="200" w:firstLineChars="200"/>
    </w:pPr>
    <w:rPr>
      <w:rFonts w:ascii="Calibri"/>
      <w:kern w:val="0"/>
      <w:sz w:val="24"/>
      <w:szCs w:val="20"/>
    </w:rPr>
  </w:style>
  <w:style w:type="paragraph" w:styleId="22">
    <w:name w:val="List Bullet 3"/>
    <w:basedOn w:val="1"/>
    <w:autoRedefine/>
    <w:qFormat/>
    <w:uiPriority w:val="0"/>
    <w:pPr>
      <w:tabs>
        <w:tab w:val="left" w:pos="775"/>
      </w:tabs>
      <w:spacing w:line="360" w:lineRule="auto"/>
      <w:ind w:left="775" w:hanging="360"/>
    </w:pPr>
    <w:rPr>
      <w:kern w:val="0"/>
    </w:rPr>
  </w:style>
  <w:style w:type="paragraph" w:styleId="23">
    <w:name w:val="Body Text"/>
    <w:basedOn w:val="1"/>
    <w:next w:val="24"/>
    <w:link w:val="92"/>
    <w:autoRedefine/>
    <w:qFormat/>
    <w:uiPriority w:val="0"/>
    <w:pPr>
      <w:spacing w:line="360" w:lineRule="auto"/>
    </w:pPr>
  </w:style>
  <w:style w:type="paragraph" w:customStyle="1" w:styleId="24">
    <w:name w:val="Default"/>
    <w:basedOn w:val="25"/>
    <w:next w:val="1"/>
    <w:autoRedefine/>
    <w:qFormat/>
    <w:uiPriority w:val="0"/>
    <w:pPr>
      <w:autoSpaceDE w:val="0"/>
      <w:autoSpaceDN w:val="0"/>
      <w:adjustRightInd w:val="0"/>
    </w:pPr>
    <w:rPr>
      <w:rFonts w:hAnsi="宋体" w:cs="宋体"/>
      <w:color w:val="000000"/>
      <w:sz w:val="24"/>
      <w:szCs w:val="24"/>
    </w:rPr>
  </w:style>
  <w:style w:type="paragraph" w:styleId="25">
    <w:name w:val="Plain Text"/>
    <w:basedOn w:val="1"/>
    <w:link w:val="94"/>
    <w:autoRedefine/>
    <w:qFormat/>
    <w:uiPriority w:val="0"/>
    <w:rPr>
      <w:rFonts w:ascii="宋体" w:hAnsi="Courier New"/>
      <w:szCs w:val="20"/>
    </w:rPr>
  </w:style>
  <w:style w:type="paragraph" w:styleId="26">
    <w:name w:val="Body Text Indent"/>
    <w:basedOn w:val="1"/>
    <w:next w:val="27"/>
    <w:autoRedefine/>
    <w:qFormat/>
    <w:uiPriority w:val="0"/>
    <w:pPr>
      <w:widowControl/>
      <w:ind w:left="360"/>
      <w:jc w:val="left"/>
    </w:pPr>
    <w:rPr>
      <w:kern w:val="0"/>
      <w:sz w:val="28"/>
      <w:szCs w:val="20"/>
    </w:rPr>
  </w:style>
  <w:style w:type="paragraph" w:styleId="27">
    <w:name w:val="envelope return"/>
    <w:basedOn w:val="1"/>
    <w:autoRedefine/>
    <w:qFormat/>
    <w:uiPriority w:val="0"/>
    <w:pPr>
      <w:snapToGrid w:val="0"/>
    </w:pPr>
    <w:rPr>
      <w:rFonts w:ascii="Arial" w:hAnsi="Arial"/>
    </w:rPr>
  </w:style>
  <w:style w:type="paragraph" w:styleId="28">
    <w:name w:val="List 2"/>
    <w:basedOn w:val="1"/>
    <w:autoRedefine/>
    <w:qFormat/>
    <w:uiPriority w:val="0"/>
    <w:pPr>
      <w:ind w:left="100" w:leftChars="200" w:hanging="200" w:hangingChars="200"/>
    </w:pPr>
  </w:style>
  <w:style w:type="paragraph" w:styleId="29">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30">
    <w:name w:val="toc 5"/>
    <w:basedOn w:val="1"/>
    <w:next w:val="1"/>
    <w:autoRedefine/>
    <w:qFormat/>
    <w:uiPriority w:val="0"/>
    <w:pPr>
      <w:ind w:left="840"/>
      <w:jc w:val="left"/>
    </w:pPr>
    <w:rPr>
      <w:sz w:val="18"/>
      <w:szCs w:val="18"/>
    </w:rPr>
  </w:style>
  <w:style w:type="paragraph" w:styleId="31">
    <w:name w:val="toc 3"/>
    <w:basedOn w:val="1"/>
    <w:next w:val="1"/>
    <w:autoRedefine/>
    <w:qFormat/>
    <w:uiPriority w:val="39"/>
    <w:pPr>
      <w:tabs>
        <w:tab w:val="left" w:pos="400"/>
        <w:tab w:val="left" w:pos="576"/>
        <w:tab w:val="right" w:leader="dot" w:pos="8778"/>
      </w:tabs>
      <w:ind w:left="10"/>
      <w:jc w:val="center"/>
    </w:pPr>
    <w:rPr>
      <w:rFonts w:ascii="宋体" w:hAnsi="宋体"/>
      <w:b/>
      <w:iCs/>
      <w:sz w:val="24"/>
    </w:rPr>
  </w:style>
  <w:style w:type="paragraph" w:styleId="32">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33">
    <w:name w:val="toc 8"/>
    <w:basedOn w:val="1"/>
    <w:next w:val="1"/>
    <w:autoRedefine/>
    <w:qFormat/>
    <w:uiPriority w:val="0"/>
    <w:pPr>
      <w:ind w:left="1470"/>
      <w:jc w:val="left"/>
    </w:pPr>
    <w:rPr>
      <w:sz w:val="18"/>
      <w:szCs w:val="18"/>
    </w:rPr>
  </w:style>
  <w:style w:type="paragraph" w:styleId="34">
    <w:name w:val="Date"/>
    <w:basedOn w:val="1"/>
    <w:next w:val="1"/>
    <w:link w:val="95"/>
    <w:autoRedefine/>
    <w:unhideWhenUsed/>
    <w:qFormat/>
    <w:uiPriority w:val="99"/>
    <w:pPr>
      <w:ind w:left="100" w:leftChars="2500"/>
    </w:pPr>
  </w:style>
  <w:style w:type="paragraph" w:styleId="35">
    <w:name w:val="Body Text Indent 2"/>
    <w:basedOn w:val="1"/>
    <w:autoRedefine/>
    <w:qFormat/>
    <w:uiPriority w:val="0"/>
    <w:pPr>
      <w:ind w:firstLine="480" w:firstLineChars="200"/>
    </w:pPr>
    <w:rPr>
      <w:rFonts w:ascii="仿宋_GB2312" w:eastAsia="仿宋_GB2312"/>
      <w:sz w:val="24"/>
    </w:rPr>
  </w:style>
  <w:style w:type="paragraph" w:styleId="36">
    <w:name w:val="endnote text"/>
    <w:basedOn w:val="1"/>
    <w:link w:val="96"/>
    <w:autoRedefine/>
    <w:qFormat/>
    <w:uiPriority w:val="0"/>
    <w:pPr>
      <w:snapToGrid w:val="0"/>
      <w:spacing w:line="500" w:lineRule="exact"/>
      <w:jc w:val="left"/>
    </w:pPr>
    <w:rPr>
      <w:kern w:val="0"/>
    </w:rPr>
  </w:style>
  <w:style w:type="paragraph" w:styleId="37">
    <w:name w:val="Balloon Text"/>
    <w:basedOn w:val="1"/>
    <w:link w:val="97"/>
    <w:autoRedefine/>
    <w:unhideWhenUsed/>
    <w:qFormat/>
    <w:uiPriority w:val="99"/>
    <w:rPr>
      <w:sz w:val="18"/>
      <w:szCs w:val="18"/>
    </w:rPr>
  </w:style>
  <w:style w:type="paragraph" w:styleId="38">
    <w:name w:val="footer"/>
    <w:basedOn w:val="1"/>
    <w:next w:val="1"/>
    <w:link w:val="98"/>
    <w:autoRedefine/>
    <w:qFormat/>
    <w:uiPriority w:val="99"/>
    <w:pPr>
      <w:tabs>
        <w:tab w:val="center" w:pos="4153"/>
        <w:tab w:val="right" w:pos="8306"/>
      </w:tabs>
      <w:snapToGrid w:val="0"/>
      <w:jc w:val="left"/>
    </w:pPr>
    <w:rPr>
      <w:sz w:val="18"/>
      <w:szCs w:val="18"/>
    </w:rPr>
  </w:style>
  <w:style w:type="paragraph" w:styleId="39">
    <w:name w:val="header"/>
    <w:basedOn w:val="1"/>
    <w:link w:val="99"/>
    <w:autoRedefine/>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autoRedefine/>
    <w:qFormat/>
    <w:uiPriority w:val="39"/>
    <w:pPr>
      <w:tabs>
        <w:tab w:val="right" w:leader="dot" w:pos="8778"/>
      </w:tabs>
      <w:snapToGrid w:val="0"/>
      <w:spacing w:line="360" w:lineRule="auto"/>
      <w:jc w:val="center"/>
    </w:pPr>
    <w:rPr>
      <w:b/>
      <w:bCs/>
      <w:iCs/>
      <w:caps/>
      <w:kern w:val="0"/>
      <w:szCs w:val="36"/>
    </w:rPr>
  </w:style>
  <w:style w:type="paragraph" w:styleId="41">
    <w:name w:val="toc 4"/>
    <w:basedOn w:val="1"/>
    <w:next w:val="1"/>
    <w:autoRedefine/>
    <w:qFormat/>
    <w:uiPriority w:val="0"/>
    <w:pPr>
      <w:ind w:left="630"/>
      <w:jc w:val="left"/>
    </w:pPr>
    <w:rPr>
      <w:sz w:val="18"/>
      <w:szCs w:val="18"/>
    </w:rPr>
  </w:style>
  <w:style w:type="paragraph" w:styleId="42">
    <w:name w:val="footnote text"/>
    <w:basedOn w:val="1"/>
    <w:link w:val="100"/>
    <w:autoRedefine/>
    <w:qFormat/>
    <w:uiPriority w:val="0"/>
    <w:pPr>
      <w:adjustRightInd w:val="0"/>
      <w:spacing w:line="312" w:lineRule="atLeast"/>
      <w:jc w:val="left"/>
      <w:textAlignment w:val="baseline"/>
    </w:pPr>
    <w:rPr>
      <w:kern w:val="0"/>
      <w:sz w:val="18"/>
      <w:szCs w:val="20"/>
    </w:rPr>
  </w:style>
  <w:style w:type="paragraph" w:styleId="43">
    <w:name w:val="toc 6"/>
    <w:basedOn w:val="1"/>
    <w:next w:val="1"/>
    <w:autoRedefine/>
    <w:qFormat/>
    <w:uiPriority w:val="0"/>
    <w:pPr>
      <w:ind w:left="1050"/>
      <w:jc w:val="left"/>
    </w:pPr>
    <w:rPr>
      <w:sz w:val="18"/>
      <w:szCs w:val="18"/>
    </w:rPr>
  </w:style>
  <w:style w:type="paragraph" w:styleId="44">
    <w:name w:val="toc 2"/>
    <w:basedOn w:val="1"/>
    <w:next w:val="1"/>
    <w:autoRedefine/>
    <w:qFormat/>
    <w:uiPriority w:val="39"/>
    <w:pPr>
      <w:tabs>
        <w:tab w:val="right" w:leader="dot" w:pos="8778"/>
      </w:tabs>
      <w:ind w:left="23" w:leftChars="9" w:hanging="4" w:hangingChars="2"/>
      <w:jc w:val="left"/>
    </w:pPr>
    <w:rPr>
      <w:smallCaps/>
      <w:sz w:val="20"/>
      <w:szCs w:val="20"/>
    </w:rPr>
  </w:style>
  <w:style w:type="paragraph" w:styleId="45">
    <w:name w:val="toc 9"/>
    <w:basedOn w:val="1"/>
    <w:next w:val="1"/>
    <w:autoRedefine/>
    <w:qFormat/>
    <w:uiPriority w:val="0"/>
    <w:pPr>
      <w:ind w:left="1680"/>
      <w:jc w:val="left"/>
    </w:pPr>
    <w:rPr>
      <w:sz w:val="18"/>
      <w:szCs w:val="18"/>
    </w:rPr>
  </w:style>
  <w:style w:type="paragraph" w:styleId="46">
    <w:name w:val="Body Text 2"/>
    <w:basedOn w:val="1"/>
    <w:next w:val="1"/>
    <w:autoRedefine/>
    <w:qFormat/>
    <w:uiPriority w:val="0"/>
    <w:pPr>
      <w:jc w:val="center"/>
      <w:outlineLvl w:val="0"/>
    </w:pPr>
    <w:rPr>
      <w:rFonts w:ascii="楷体_GB2312" w:eastAsia="仿宋_GB2312"/>
      <w:sz w:val="30"/>
    </w:rPr>
  </w:style>
  <w:style w:type="paragraph" w:styleId="4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8">
    <w:name w:val="Title"/>
    <w:basedOn w:val="1"/>
    <w:link w:val="101"/>
    <w:autoRedefine/>
    <w:qFormat/>
    <w:uiPriority w:val="0"/>
    <w:pPr>
      <w:widowControl/>
      <w:spacing w:before="240" w:after="60"/>
      <w:jc w:val="center"/>
      <w:outlineLvl w:val="0"/>
    </w:pPr>
    <w:rPr>
      <w:rFonts w:ascii="Arial" w:hAnsi="Arial" w:eastAsia="楷体_GB2312"/>
      <w:b/>
      <w:kern w:val="0"/>
      <w:sz w:val="32"/>
      <w:szCs w:val="20"/>
    </w:rPr>
  </w:style>
  <w:style w:type="paragraph" w:styleId="49">
    <w:name w:val="annotation subject"/>
    <w:basedOn w:val="19"/>
    <w:next w:val="19"/>
    <w:link w:val="102"/>
    <w:autoRedefine/>
    <w:unhideWhenUsed/>
    <w:qFormat/>
    <w:uiPriority w:val="99"/>
    <w:rPr>
      <w:b/>
      <w:bCs/>
      <w:kern w:val="2"/>
      <w:sz w:val="21"/>
    </w:rPr>
  </w:style>
  <w:style w:type="paragraph" w:styleId="50">
    <w:name w:val="Body Text First Indent"/>
    <w:basedOn w:val="23"/>
    <w:next w:val="1"/>
    <w:link w:val="93"/>
    <w:autoRedefine/>
    <w:unhideWhenUsed/>
    <w:qFormat/>
    <w:uiPriority w:val="99"/>
    <w:pPr>
      <w:spacing w:after="120" w:line="240" w:lineRule="auto"/>
      <w:ind w:firstLine="420" w:firstLineChars="100"/>
    </w:pPr>
  </w:style>
  <w:style w:type="paragraph" w:styleId="51">
    <w:name w:val="Body Text First Indent 2"/>
    <w:basedOn w:val="26"/>
    <w:next w:val="52"/>
    <w:autoRedefine/>
    <w:unhideWhenUsed/>
    <w:qFormat/>
    <w:uiPriority w:val="0"/>
    <w:pPr>
      <w:tabs>
        <w:tab w:val="left" w:pos="945"/>
        <w:tab w:val="left" w:pos="1155"/>
      </w:tabs>
      <w:spacing w:after="120"/>
      <w:ind w:left="420" w:leftChars="200" w:firstLine="420" w:firstLineChars="200"/>
    </w:pPr>
    <w:rPr>
      <w:rFonts w:hint="eastAsia"/>
      <w:sz w:val="24"/>
    </w:rPr>
  </w:style>
  <w:style w:type="paragraph" w:customStyle="1" w:styleId="52">
    <w:name w:val="样式 正文首行缩进 2 + Arial"/>
    <w:basedOn w:val="1"/>
    <w:next w:val="1"/>
    <w:autoRedefine/>
    <w:qFormat/>
    <w:uiPriority w:val="0"/>
    <w:pPr>
      <w:spacing w:after="120" w:line="320" w:lineRule="atLeast"/>
    </w:pPr>
    <w:rPr>
      <w:rFonts w:ascii="Arial" w:hAnsi="Arial"/>
      <w:kern w:val="0"/>
    </w:rPr>
  </w:style>
  <w:style w:type="table" w:styleId="54">
    <w:name w:val="Table Grid"/>
    <w:basedOn w:val="5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autoRedefine/>
    <w:qFormat/>
    <w:uiPriority w:val="0"/>
    <w:rPr>
      <w:b/>
      <w:bCs/>
    </w:rPr>
  </w:style>
  <w:style w:type="character" w:styleId="57">
    <w:name w:val="endnote reference"/>
    <w:autoRedefine/>
    <w:qFormat/>
    <w:uiPriority w:val="0"/>
    <w:rPr>
      <w:vertAlign w:val="superscript"/>
    </w:rPr>
  </w:style>
  <w:style w:type="character" w:styleId="58">
    <w:name w:val="page number"/>
    <w:basedOn w:val="55"/>
    <w:autoRedefine/>
    <w:qFormat/>
    <w:uiPriority w:val="0"/>
  </w:style>
  <w:style w:type="character" w:styleId="59">
    <w:name w:val="FollowedHyperlink"/>
    <w:autoRedefine/>
    <w:qFormat/>
    <w:uiPriority w:val="0"/>
    <w:rPr>
      <w:color w:val="000000"/>
      <w:sz w:val="14"/>
      <w:szCs w:val="14"/>
      <w:u w:val="none"/>
    </w:rPr>
  </w:style>
  <w:style w:type="character" w:styleId="60">
    <w:name w:val="Emphasis"/>
    <w:basedOn w:val="55"/>
    <w:qFormat/>
    <w:uiPriority w:val="0"/>
  </w:style>
  <w:style w:type="character" w:styleId="61">
    <w:name w:val="HTML Definition"/>
    <w:autoRedefine/>
    <w:unhideWhenUsed/>
    <w:qFormat/>
    <w:uiPriority w:val="99"/>
  </w:style>
  <w:style w:type="character" w:styleId="62">
    <w:name w:val="HTML Typewriter"/>
    <w:autoRedefine/>
    <w:unhideWhenUsed/>
    <w:qFormat/>
    <w:uiPriority w:val="99"/>
    <w:rPr>
      <w:rFonts w:hint="default" w:ascii="monospace" w:hAnsi="monospace" w:eastAsia="monospace" w:cs="monospace"/>
      <w:sz w:val="20"/>
    </w:rPr>
  </w:style>
  <w:style w:type="character" w:styleId="63">
    <w:name w:val="HTML Acronym"/>
    <w:autoRedefine/>
    <w:unhideWhenUsed/>
    <w:qFormat/>
    <w:uiPriority w:val="99"/>
  </w:style>
  <w:style w:type="character" w:styleId="64">
    <w:name w:val="HTML Variable"/>
    <w:autoRedefine/>
    <w:unhideWhenUsed/>
    <w:qFormat/>
    <w:uiPriority w:val="99"/>
  </w:style>
  <w:style w:type="character" w:styleId="65">
    <w:name w:val="Hyperlink"/>
    <w:autoRedefine/>
    <w:qFormat/>
    <w:uiPriority w:val="99"/>
    <w:rPr>
      <w:color w:val="000000"/>
      <w:sz w:val="14"/>
      <w:szCs w:val="14"/>
      <w:u w:val="none"/>
    </w:rPr>
  </w:style>
  <w:style w:type="character" w:styleId="66">
    <w:name w:val="HTML Code"/>
    <w:autoRedefine/>
    <w:unhideWhenUsed/>
    <w:qFormat/>
    <w:uiPriority w:val="99"/>
    <w:rPr>
      <w:rFonts w:ascii="monospace" w:hAnsi="monospace" w:eastAsia="monospace" w:cs="monospace"/>
      <w:sz w:val="20"/>
    </w:rPr>
  </w:style>
  <w:style w:type="character" w:styleId="67">
    <w:name w:val="annotation reference"/>
    <w:autoRedefine/>
    <w:unhideWhenUsed/>
    <w:qFormat/>
    <w:uiPriority w:val="99"/>
    <w:rPr>
      <w:sz w:val="21"/>
      <w:szCs w:val="21"/>
    </w:rPr>
  </w:style>
  <w:style w:type="character" w:styleId="68">
    <w:name w:val="HTML Cite"/>
    <w:autoRedefine/>
    <w:unhideWhenUsed/>
    <w:qFormat/>
    <w:uiPriority w:val="99"/>
  </w:style>
  <w:style w:type="character" w:styleId="69">
    <w:name w:val="footnote reference"/>
    <w:autoRedefine/>
    <w:qFormat/>
    <w:uiPriority w:val="0"/>
    <w:rPr>
      <w:vertAlign w:val="superscript"/>
    </w:rPr>
  </w:style>
  <w:style w:type="character" w:styleId="70">
    <w:name w:val="HTML Keyboard"/>
    <w:autoRedefine/>
    <w:unhideWhenUsed/>
    <w:qFormat/>
    <w:uiPriority w:val="99"/>
    <w:rPr>
      <w:rFonts w:hint="default" w:ascii="monospace" w:hAnsi="monospace" w:eastAsia="monospace" w:cs="monospace"/>
      <w:sz w:val="20"/>
    </w:rPr>
  </w:style>
  <w:style w:type="character" w:styleId="71">
    <w:name w:val="HTML Sample"/>
    <w:autoRedefine/>
    <w:unhideWhenUsed/>
    <w:qFormat/>
    <w:uiPriority w:val="99"/>
    <w:rPr>
      <w:rFonts w:hint="default" w:ascii="monospace" w:hAnsi="monospace" w:eastAsia="monospace" w:cs="monospace"/>
    </w:rPr>
  </w:style>
  <w:style w:type="paragraph" w:customStyle="1" w:styleId="72">
    <w:name w:val="无间隔1"/>
    <w:autoRedefine/>
    <w:qFormat/>
    <w:uiPriority w:val="1"/>
    <w:pPr>
      <w:widowControl w:val="0"/>
      <w:spacing w:line="400" w:lineRule="exact"/>
      <w:jc w:val="both"/>
    </w:pPr>
    <w:rPr>
      <w:rFonts w:ascii="Times New Roman" w:hAnsi="Times New Roman" w:eastAsia="宋体" w:cs="Times New Roman"/>
      <w:kern w:val="2"/>
      <w:sz w:val="24"/>
      <w:lang w:val="en-US" w:eastAsia="zh-CN" w:bidi="ar-SA"/>
    </w:rPr>
  </w:style>
  <w:style w:type="paragraph" w:customStyle="1" w:styleId="73">
    <w:name w:val="style4"/>
    <w:basedOn w:val="74"/>
    <w:next w:val="75"/>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4">
    <w:name w:val="正文1"/>
    <w:next w:val="50"/>
    <w:autoRedefine/>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75">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p0"/>
    <w:basedOn w:val="1"/>
    <w:next w:val="34"/>
    <w:autoRedefine/>
    <w:qFormat/>
    <w:uiPriority w:val="0"/>
    <w:pPr>
      <w:widowControl/>
    </w:pPr>
    <w:rPr>
      <w:kern w:val="0"/>
      <w:szCs w:val="21"/>
    </w:rPr>
  </w:style>
  <w:style w:type="character" w:customStyle="1" w:styleId="77">
    <w:name w:val="标题 2 字符"/>
    <w:link w:val="3"/>
    <w:autoRedefine/>
    <w:semiHidden/>
    <w:qFormat/>
    <w:uiPriority w:val="0"/>
    <w:rPr>
      <w:rFonts w:ascii="Arial" w:hAnsi="Arial" w:eastAsia="黑体"/>
      <w:b/>
      <w:bCs/>
      <w:kern w:val="2"/>
      <w:sz w:val="32"/>
      <w:szCs w:val="32"/>
    </w:rPr>
  </w:style>
  <w:style w:type="character" w:customStyle="1" w:styleId="78">
    <w:name w:val="标题 1 字符"/>
    <w:link w:val="2"/>
    <w:autoRedefine/>
    <w:semiHidden/>
    <w:qFormat/>
    <w:uiPriority w:val="0"/>
    <w:rPr>
      <w:rFonts w:ascii="Times New Roman" w:hAnsi="Times New Roman" w:eastAsia="宋体"/>
      <w:b/>
      <w:bCs/>
      <w:kern w:val="44"/>
      <w:sz w:val="44"/>
      <w:szCs w:val="44"/>
    </w:rPr>
  </w:style>
  <w:style w:type="character" w:customStyle="1" w:styleId="79">
    <w:name w:val="标题 3 字符"/>
    <w:link w:val="4"/>
    <w:autoRedefine/>
    <w:semiHidden/>
    <w:qFormat/>
    <w:uiPriority w:val="0"/>
    <w:rPr>
      <w:rFonts w:ascii="Times New Roman" w:hAnsi="Times New Roman"/>
      <w:b/>
      <w:bCs/>
      <w:kern w:val="2"/>
      <w:sz w:val="32"/>
      <w:szCs w:val="32"/>
    </w:rPr>
  </w:style>
  <w:style w:type="character" w:customStyle="1" w:styleId="80">
    <w:name w:val="标题 4 字符"/>
    <w:link w:val="5"/>
    <w:autoRedefine/>
    <w:semiHidden/>
    <w:qFormat/>
    <w:uiPriority w:val="0"/>
    <w:rPr>
      <w:rFonts w:ascii="Cambria" w:hAnsi="Cambria" w:eastAsia="宋体" w:cs="Times New Roman"/>
      <w:b/>
      <w:bCs/>
      <w:kern w:val="2"/>
      <w:sz w:val="28"/>
      <w:szCs w:val="28"/>
    </w:rPr>
  </w:style>
  <w:style w:type="character" w:customStyle="1" w:styleId="81">
    <w:name w:val="标题 5 字符"/>
    <w:link w:val="6"/>
    <w:autoRedefine/>
    <w:semiHidden/>
    <w:qFormat/>
    <w:uiPriority w:val="0"/>
    <w:rPr>
      <w:rFonts w:ascii="Times New Roman" w:hAnsi="Times New Roman"/>
      <w:b/>
      <w:bCs/>
      <w:kern w:val="2"/>
      <w:sz w:val="28"/>
      <w:szCs w:val="28"/>
    </w:rPr>
  </w:style>
  <w:style w:type="character" w:customStyle="1" w:styleId="82">
    <w:name w:val="标题 6 字符"/>
    <w:link w:val="7"/>
    <w:autoRedefine/>
    <w:semiHidden/>
    <w:qFormat/>
    <w:uiPriority w:val="0"/>
    <w:rPr>
      <w:rFonts w:ascii="Arial" w:hAnsi="Arial" w:eastAsia="黑体"/>
      <w:b/>
      <w:kern w:val="2"/>
      <w:sz w:val="24"/>
    </w:rPr>
  </w:style>
  <w:style w:type="character" w:customStyle="1" w:styleId="83">
    <w:name w:val="标题 7 字符"/>
    <w:link w:val="8"/>
    <w:autoRedefine/>
    <w:semiHidden/>
    <w:qFormat/>
    <w:uiPriority w:val="0"/>
    <w:rPr>
      <w:rFonts w:ascii="Times New Roman" w:hAnsi="Times New Roman"/>
      <w:b/>
      <w:kern w:val="2"/>
      <w:sz w:val="24"/>
    </w:rPr>
  </w:style>
  <w:style w:type="character" w:customStyle="1" w:styleId="84">
    <w:name w:val="标题 8 字符"/>
    <w:link w:val="9"/>
    <w:autoRedefine/>
    <w:semiHidden/>
    <w:qFormat/>
    <w:uiPriority w:val="0"/>
    <w:rPr>
      <w:rFonts w:ascii="Arial" w:hAnsi="Arial" w:eastAsia="黑体"/>
      <w:kern w:val="2"/>
      <w:sz w:val="24"/>
    </w:rPr>
  </w:style>
  <w:style w:type="character" w:customStyle="1" w:styleId="85">
    <w:name w:val="标题 9 字符"/>
    <w:link w:val="10"/>
    <w:autoRedefine/>
    <w:semiHidden/>
    <w:qFormat/>
    <w:uiPriority w:val="0"/>
    <w:rPr>
      <w:rFonts w:ascii="Arial" w:hAnsi="Arial" w:eastAsia="黑体"/>
      <w:kern w:val="2"/>
      <w:sz w:val="21"/>
    </w:rPr>
  </w:style>
  <w:style w:type="character" w:customStyle="1" w:styleId="86">
    <w:name w:val="正文缩进 字符"/>
    <w:link w:val="15"/>
    <w:autoRedefine/>
    <w:qFormat/>
    <w:uiPriority w:val="0"/>
    <w:rPr>
      <w:rFonts w:ascii="宋体"/>
      <w:sz w:val="24"/>
    </w:rPr>
  </w:style>
  <w:style w:type="character" w:customStyle="1" w:styleId="87">
    <w:name w:val="题注 字符"/>
    <w:link w:val="16"/>
    <w:autoRedefine/>
    <w:semiHidden/>
    <w:qFormat/>
    <w:uiPriority w:val="0"/>
    <w:rPr>
      <w:rFonts w:ascii="Times New Roman" w:hAnsi="Times New Roman"/>
      <w:b/>
      <w:bCs/>
      <w:color w:val="000080"/>
      <w:kern w:val="2"/>
      <w:sz w:val="28"/>
      <w:szCs w:val="24"/>
    </w:rPr>
  </w:style>
  <w:style w:type="character" w:customStyle="1" w:styleId="88">
    <w:name w:val="文档结构图 字符"/>
    <w:link w:val="18"/>
    <w:autoRedefine/>
    <w:semiHidden/>
    <w:qFormat/>
    <w:uiPriority w:val="99"/>
    <w:rPr>
      <w:rFonts w:ascii="宋体"/>
      <w:kern w:val="2"/>
      <w:sz w:val="18"/>
      <w:szCs w:val="18"/>
    </w:rPr>
  </w:style>
  <w:style w:type="character" w:customStyle="1" w:styleId="89">
    <w:name w:val="批注文字 字符"/>
    <w:link w:val="19"/>
    <w:autoRedefine/>
    <w:qFormat/>
    <w:uiPriority w:val="99"/>
    <w:rPr>
      <w:rFonts w:ascii="Times New Roman" w:hAnsi="Times New Roman" w:eastAsia="宋体" w:cs="Times New Roman"/>
      <w:szCs w:val="24"/>
    </w:rPr>
  </w:style>
  <w:style w:type="character" w:customStyle="1" w:styleId="90">
    <w:name w:val="称呼 字符"/>
    <w:link w:val="20"/>
    <w:autoRedefine/>
    <w:qFormat/>
    <w:uiPriority w:val="0"/>
    <w:rPr>
      <w:rFonts w:ascii="宋体" w:hAnsi="宋体"/>
      <w:kern w:val="2"/>
      <w:sz w:val="24"/>
    </w:rPr>
  </w:style>
  <w:style w:type="character" w:customStyle="1" w:styleId="91">
    <w:name w:val="正文文本 3 字符"/>
    <w:link w:val="21"/>
    <w:autoRedefine/>
    <w:qFormat/>
    <w:uiPriority w:val="0"/>
    <w:rPr>
      <w:rFonts w:ascii="Calibri"/>
      <w:sz w:val="24"/>
    </w:rPr>
  </w:style>
  <w:style w:type="character" w:customStyle="1" w:styleId="92">
    <w:name w:val="正文文本 字符"/>
    <w:link w:val="23"/>
    <w:autoRedefine/>
    <w:qFormat/>
    <w:uiPriority w:val="0"/>
    <w:rPr>
      <w:rFonts w:ascii="Times New Roman" w:hAnsi="Times New Roman"/>
      <w:kern w:val="2"/>
      <w:sz w:val="21"/>
      <w:szCs w:val="24"/>
    </w:rPr>
  </w:style>
  <w:style w:type="character" w:customStyle="1" w:styleId="93">
    <w:name w:val="正文文本首行缩进 字符"/>
    <w:link w:val="50"/>
    <w:autoRedefine/>
    <w:semiHidden/>
    <w:qFormat/>
    <w:uiPriority w:val="99"/>
  </w:style>
  <w:style w:type="character" w:customStyle="1" w:styleId="94">
    <w:name w:val="纯文本 字符"/>
    <w:link w:val="25"/>
    <w:autoRedefine/>
    <w:qFormat/>
    <w:uiPriority w:val="0"/>
    <w:rPr>
      <w:rFonts w:ascii="宋体" w:hAnsi="Courier New"/>
      <w:kern w:val="2"/>
      <w:sz w:val="21"/>
    </w:rPr>
  </w:style>
  <w:style w:type="character" w:customStyle="1" w:styleId="95">
    <w:name w:val="日期 字符"/>
    <w:link w:val="34"/>
    <w:autoRedefine/>
    <w:semiHidden/>
    <w:qFormat/>
    <w:uiPriority w:val="99"/>
    <w:rPr>
      <w:kern w:val="2"/>
      <w:sz w:val="21"/>
      <w:szCs w:val="24"/>
    </w:rPr>
  </w:style>
  <w:style w:type="character" w:customStyle="1" w:styleId="96">
    <w:name w:val="尾注文本 字符"/>
    <w:link w:val="36"/>
    <w:autoRedefine/>
    <w:semiHidden/>
    <w:qFormat/>
    <w:uiPriority w:val="0"/>
    <w:rPr>
      <w:rFonts w:ascii="Times New Roman" w:hAnsi="Times New Roman"/>
      <w:sz w:val="21"/>
      <w:szCs w:val="24"/>
    </w:rPr>
  </w:style>
  <w:style w:type="character" w:customStyle="1" w:styleId="97">
    <w:name w:val="批注框文本 字符"/>
    <w:link w:val="37"/>
    <w:autoRedefine/>
    <w:semiHidden/>
    <w:qFormat/>
    <w:uiPriority w:val="99"/>
    <w:rPr>
      <w:kern w:val="2"/>
      <w:sz w:val="18"/>
      <w:szCs w:val="18"/>
    </w:rPr>
  </w:style>
  <w:style w:type="character" w:customStyle="1" w:styleId="98">
    <w:name w:val="页脚 字符"/>
    <w:link w:val="38"/>
    <w:autoRedefine/>
    <w:qFormat/>
    <w:uiPriority w:val="99"/>
    <w:rPr>
      <w:rFonts w:ascii="Times New Roman" w:hAnsi="Times New Roman"/>
      <w:kern w:val="2"/>
      <w:sz w:val="18"/>
      <w:szCs w:val="18"/>
    </w:rPr>
  </w:style>
  <w:style w:type="character" w:customStyle="1" w:styleId="99">
    <w:name w:val="页眉 字符"/>
    <w:link w:val="39"/>
    <w:autoRedefine/>
    <w:qFormat/>
    <w:uiPriority w:val="99"/>
    <w:rPr>
      <w:rFonts w:ascii="Times New Roman" w:hAnsi="Times New Roman"/>
      <w:kern w:val="2"/>
      <w:sz w:val="18"/>
      <w:szCs w:val="18"/>
    </w:rPr>
  </w:style>
  <w:style w:type="character" w:customStyle="1" w:styleId="100">
    <w:name w:val="脚注文本 字符"/>
    <w:link w:val="42"/>
    <w:autoRedefine/>
    <w:semiHidden/>
    <w:qFormat/>
    <w:uiPriority w:val="0"/>
    <w:rPr>
      <w:rFonts w:ascii="Times New Roman" w:hAnsi="Times New Roman"/>
      <w:sz w:val="18"/>
    </w:rPr>
  </w:style>
  <w:style w:type="character" w:customStyle="1" w:styleId="101">
    <w:name w:val="标题 字符"/>
    <w:link w:val="48"/>
    <w:autoRedefine/>
    <w:semiHidden/>
    <w:qFormat/>
    <w:uiPriority w:val="0"/>
    <w:rPr>
      <w:rFonts w:ascii="Arial" w:hAnsi="Arial" w:eastAsia="楷体_GB2312"/>
      <w:b/>
      <w:sz w:val="32"/>
    </w:rPr>
  </w:style>
  <w:style w:type="character" w:customStyle="1" w:styleId="102">
    <w:name w:val="批注主题 字符"/>
    <w:link w:val="49"/>
    <w:autoRedefine/>
    <w:semiHidden/>
    <w:qFormat/>
    <w:uiPriority w:val="99"/>
    <w:rPr>
      <w:rFonts w:ascii="Times New Roman" w:hAnsi="Times New Roman" w:eastAsia="宋体" w:cs="Times New Roman"/>
      <w:b/>
      <w:bCs/>
      <w:kern w:val="2"/>
      <w:sz w:val="21"/>
      <w:szCs w:val="24"/>
    </w:rPr>
  </w:style>
  <w:style w:type="paragraph" w:customStyle="1" w:styleId="103">
    <w:name w:val="样式1"/>
    <w:basedOn w:val="39"/>
    <w:next w:val="1"/>
    <w:autoRedefine/>
    <w:qFormat/>
    <w:uiPriority w:val="0"/>
    <w:pPr>
      <w:jc w:val="left"/>
    </w:pPr>
  </w:style>
  <w:style w:type="paragraph" w:customStyle="1" w:styleId="104">
    <w:name w:val="样式2"/>
    <w:basedOn w:val="1"/>
    <w:autoRedefine/>
    <w:qFormat/>
    <w:uiPriority w:val="0"/>
    <w:pPr>
      <w:adjustRightInd w:val="0"/>
      <w:spacing w:before="120" w:after="120" w:line="312" w:lineRule="atLeast"/>
      <w:jc w:val="center"/>
      <w:textAlignment w:val="baseline"/>
    </w:pPr>
    <w:rPr>
      <w:kern w:val="0"/>
      <w:sz w:val="24"/>
      <w:szCs w:val="20"/>
    </w:rPr>
  </w:style>
  <w:style w:type="character" w:customStyle="1" w:styleId="105">
    <w:name w:val="selected"/>
    <w:autoRedefine/>
    <w:qFormat/>
    <w:uiPriority w:val="0"/>
    <w:rPr>
      <w:shd w:val="clear" w:color="auto" w:fill="B00006"/>
    </w:rPr>
  </w:style>
  <w:style w:type="character" w:customStyle="1" w:styleId="106">
    <w:name w:val="表格文字 BJ8 Char Char"/>
    <w:link w:val="107"/>
    <w:autoRedefine/>
    <w:semiHidden/>
    <w:qFormat/>
    <w:uiPriority w:val="0"/>
    <w:rPr>
      <w:rFonts w:ascii="Times New Roman" w:hAnsi="Times New Roman"/>
      <w:kern w:val="2"/>
      <w:sz w:val="21"/>
      <w:szCs w:val="21"/>
    </w:rPr>
  </w:style>
  <w:style w:type="paragraph" w:customStyle="1" w:styleId="107">
    <w:name w:val="表格文字 BJ8"/>
    <w:basedOn w:val="1"/>
    <w:link w:val="106"/>
    <w:autoRedefine/>
    <w:qFormat/>
    <w:uiPriority w:val="0"/>
    <w:pPr>
      <w:adjustRightInd w:val="0"/>
      <w:snapToGrid w:val="0"/>
      <w:spacing w:line="400" w:lineRule="exact"/>
      <w:ind w:firstLine="200" w:firstLineChars="200"/>
      <w:jc w:val="center"/>
    </w:pPr>
    <w:rPr>
      <w:szCs w:val="21"/>
    </w:rPr>
  </w:style>
  <w:style w:type="character" w:customStyle="1" w:styleId="108">
    <w:name w:val="font01"/>
    <w:autoRedefine/>
    <w:qFormat/>
    <w:uiPriority w:val="0"/>
    <w:rPr>
      <w:rFonts w:hint="eastAsia" w:ascii="宋体" w:hAnsi="宋体" w:eastAsia="宋体" w:cs="宋体"/>
      <w:color w:val="000000"/>
      <w:sz w:val="22"/>
      <w:szCs w:val="22"/>
      <w:u w:val="none"/>
    </w:rPr>
  </w:style>
  <w:style w:type="character" w:customStyle="1" w:styleId="109">
    <w:name w:val="gpa"/>
    <w:autoRedefine/>
    <w:qFormat/>
    <w:uiPriority w:val="0"/>
    <w:rPr>
      <w:rFonts w:ascii="Arial" w:hAnsi="Arial" w:cs="Arial"/>
      <w:sz w:val="12"/>
      <w:szCs w:val="12"/>
    </w:rPr>
  </w:style>
  <w:style w:type="character" w:customStyle="1" w:styleId="110">
    <w:name w:val="font31"/>
    <w:autoRedefine/>
    <w:qFormat/>
    <w:uiPriority w:val="0"/>
    <w:rPr>
      <w:rFonts w:hint="eastAsia" w:ascii="宋体" w:hAnsi="宋体" w:eastAsia="宋体" w:cs="宋体"/>
      <w:color w:val="000000"/>
      <w:sz w:val="21"/>
      <w:szCs w:val="21"/>
      <w:u w:val="none"/>
    </w:rPr>
  </w:style>
  <w:style w:type="character" w:customStyle="1" w:styleId="111">
    <w:name w:val="正文文本缩进 2 Char"/>
    <w:link w:val="112"/>
    <w:autoRedefine/>
    <w:semiHidden/>
    <w:qFormat/>
    <w:uiPriority w:val="0"/>
    <w:rPr>
      <w:rFonts w:ascii="Times New Roman" w:hAnsi="Times New Roman"/>
      <w:kern w:val="2"/>
      <w:sz w:val="21"/>
    </w:rPr>
  </w:style>
  <w:style w:type="paragraph" w:customStyle="1" w:styleId="112">
    <w:name w:val="正文文本缩进 21"/>
    <w:basedOn w:val="1"/>
    <w:link w:val="111"/>
    <w:autoRedefine/>
    <w:qFormat/>
    <w:uiPriority w:val="0"/>
    <w:pPr>
      <w:spacing w:after="120" w:line="480" w:lineRule="auto"/>
      <w:ind w:left="420" w:leftChars="200"/>
    </w:pPr>
    <w:rPr>
      <w:szCs w:val="20"/>
    </w:rPr>
  </w:style>
  <w:style w:type="character" w:customStyle="1" w:styleId="113">
    <w:name w:val="正文段落格式 Char Char Char"/>
    <w:link w:val="114"/>
    <w:autoRedefine/>
    <w:semiHidden/>
    <w:qFormat/>
    <w:uiPriority w:val="0"/>
    <w:rPr>
      <w:rFonts w:ascii="Times New Roman" w:hAnsi="Times New Roman"/>
      <w:color w:val="7030A0"/>
      <w:kern w:val="2"/>
      <w:sz w:val="24"/>
    </w:rPr>
  </w:style>
  <w:style w:type="paragraph" w:customStyle="1" w:styleId="114">
    <w:name w:val="正文段落格式"/>
    <w:basedOn w:val="115"/>
    <w:link w:val="113"/>
    <w:autoRedefine/>
    <w:qFormat/>
    <w:uiPriority w:val="0"/>
    <w:pPr>
      <w:spacing w:afterLines="50" w:line="336" w:lineRule="auto"/>
    </w:pPr>
  </w:style>
  <w:style w:type="paragraph" w:customStyle="1" w:styleId="115">
    <w:name w:val="样式 首行缩进:  2 字符"/>
    <w:basedOn w:val="1"/>
    <w:link w:val="116"/>
    <w:autoRedefine/>
    <w:qFormat/>
    <w:uiPriority w:val="0"/>
    <w:pPr>
      <w:spacing w:line="480" w:lineRule="exact"/>
      <w:ind w:firstLine="480" w:firstLineChars="200"/>
      <w:jc w:val="left"/>
    </w:pPr>
    <w:rPr>
      <w:color w:val="7030A0"/>
      <w:sz w:val="24"/>
      <w:szCs w:val="20"/>
    </w:rPr>
  </w:style>
  <w:style w:type="character" w:customStyle="1" w:styleId="116">
    <w:name w:val="样式 首行缩进:  2 字符 Char1"/>
    <w:link w:val="115"/>
    <w:autoRedefine/>
    <w:semiHidden/>
    <w:qFormat/>
    <w:uiPriority w:val="0"/>
    <w:rPr>
      <w:rFonts w:ascii="Times New Roman" w:hAnsi="Times New Roman"/>
      <w:color w:val="7030A0"/>
      <w:kern w:val="2"/>
      <w:sz w:val="24"/>
    </w:rPr>
  </w:style>
  <w:style w:type="character" w:customStyle="1" w:styleId="117">
    <w:name w:val="(1) Char Char"/>
    <w:link w:val="118"/>
    <w:autoRedefine/>
    <w:semiHidden/>
    <w:qFormat/>
    <w:uiPriority w:val="0"/>
    <w:rPr>
      <w:rFonts w:ascii="宋体" w:hAnsi="宋体"/>
      <w:kern w:val="2"/>
      <w:sz w:val="24"/>
      <w:szCs w:val="24"/>
    </w:rPr>
  </w:style>
  <w:style w:type="paragraph" w:customStyle="1" w:styleId="118">
    <w:name w:val="(1)"/>
    <w:basedOn w:val="1"/>
    <w:next w:val="1"/>
    <w:link w:val="117"/>
    <w:autoRedefine/>
    <w:qFormat/>
    <w:uiPriority w:val="0"/>
    <w:pPr>
      <w:tabs>
        <w:tab w:val="left" w:pos="813"/>
      </w:tabs>
      <w:spacing w:line="360" w:lineRule="auto"/>
      <w:ind w:left="813" w:hanging="567"/>
    </w:pPr>
    <w:rPr>
      <w:rFonts w:ascii="宋体" w:hAnsi="宋体"/>
      <w:sz w:val="24"/>
    </w:rPr>
  </w:style>
  <w:style w:type="character" w:customStyle="1" w:styleId="119">
    <w:name w:val="表格文字图表文字 Char Char Char"/>
    <w:link w:val="120"/>
    <w:autoRedefine/>
    <w:semiHidden/>
    <w:qFormat/>
    <w:uiPriority w:val="0"/>
    <w:rPr>
      <w:rFonts w:ascii="Times New Roman" w:hAnsi="Times New Roman"/>
      <w:color w:val="7030A0"/>
      <w:kern w:val="2"/>
      <w:sz w:val="21"/>
    </w:rPr>
  </w:style>
  <w:style w:type="paragraph" w:customStyle="1" w:styleId="120">
    <w:name w:val="表格文字图表文字"/>
    <w:basedOn w:val="1"/>
    <w:link w:val="119"/>
    <w:autoRedefine/>
    <w:qFormat/>
    <w:uiPriority w:val="0"/>
    <w:pPr>
      <w:snapToGrid w:val="0"/>
      <w:ind w:firstLine="200" w:firstLineChars="200"/>
      <w:jc w:val="center"/>
    </w:pPr>
    <w:rPr>
      <w:color w:val="7030A0"/>
      <w:szCs w:val="20"/>
    </w:rPr>
  </w:style>
  <w:style w:type="character" w:customStyle="1" w:styleId="121">
    <w:name w:val="信息标题 Char"/>
    <w:link w:val="122"/>
    <w:autoRedefine/>
    <w:semiHidden/>
    <w:qFormat/>
    <w:uiPriority w:val="0"/>
    <w:rPr>
      <w:rFonts w:ascii="Arial" w:hAnsi="Arial" w:cs="Arial"/>
      <w:color w:val="7030A0"/>
      <w:kern w:val="2"/>
      <w:sz w:val="24"/>
      <w:szCs w:val="24"/>
      <w:shd w:val="pct20" w:color="auto" w:fill="auto"/>
    </w:rPr>
  </w:style>
  <w:style w:type="paragraph" w:customStyle="1" w:styleId="122">
    <w:name w:val="信息标题1"/>
    <w:basedOn w:val="1"/>
    <w:link w:val="12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olor w:val="7030A0"/>
      <w:sz w:val="24"/>
      <w:shd w:val="pct20" w:color="auto" w:fill="auto"/>
    </w:rPr>
  </w:style>
  <w:style w:type="character" w:customStyle="1" w:styleId="123">
    <w:name w:val="称呼 Char"/>
    <w:link w:val="124"/>
    <w:autoRedefine/>
    <w:semiHidden/>
    <w:qFormat/>
    <w:uiPriority w:val="0"/>
    <w:rPr>
      <w:rFonts w:ascii="Times New Roman" w:hAnsi="Times New Roman"/>
      <w:kern w:val="2"/>
      <w:sz w:val="24"/>
    </w:rPr>
  </w:style>
  <w:style w:type="paragraph" w:customStyle="1" w:styleId="124">
    <w:name w:val="称呼1"/>
    <w:basedOn w:val="1"/>
    <w:next w:val="1"/>
    <w:link w:val="123"/>
    <w:autoRedefine/>
    <w:qFormat/>
    <w:uiPriority w:val="0"/>
    <w:rPr>
      <w:sz w:val="24"/>
      <w:szCs w:val="20"/>
    </w:rPr>
  </w:style>
  <w:style w:type="character" w:customStyle="1" w:styleId="125">
    <w:name w:val="占位符文本1"/>
    <w:autoRedefine/>
    <w:qFormat/>
    <w:uiPriority w:val="0"/>
    <w:rPr>
      <w:color w:val="808080"/>
    </w:rPr>
  </w:style>
  <w:style w:type="character" w:customStyle="1" w:styleId="126">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127">
    <w:name w:val="页脚 Char"/>
    <w:autoRedefine/>
    <w:qFormat/>
    <w:uiPriority w:val="0"/>
    <w:rPr>
      <w:rFonts w:ascii="Times New Roman" w:hAnsi="Times New Roman"/>
      <w:kern w:val="2"/>
      <w:sz w:val="18"/>
      <w:szCs w:val="18"/>
    </w:rPr>
  </w:style>
  <w:style w:type="character" w:customStyle="1" w:styleId="128">
    <w:name w:val="displayarti"/>
    <w:autoRedefine/>
    <w:qFormat/>
    <w:uiPriority w:val="0"/>
    <w:rPr>
      <w:color w:val="FFFFFF"/>
      <w:shd w:val="clear" w:color="auto" w:fill="A00000"/>
    </w:rPr>
  </w:style>
  <w:style w:type="character" w:customStyle="1" w:styleId="129">
    <w:name w:val="标题 5 Char1"/>
    <w:autoRedefine/>
    <w:semiHidden/>
    <w:qFormat/>
    <w:uiPriority w:val="0"/>
    <w:rPr>
      <w:rFonts w:ascii="Times New Roman" w:hAnsi="Times New Roman"/>
      <w:b/>
      <w:kern w:val="2"/>
      <w:sz w:val="28"/>
    </w:rPr>
  </w:style>
  <w:style w:type="character" w:customStyle="1" w:styleId="130">
    <w:name w:val="正文 BJ8 Char Char"/>
    <w:link w:val="131"/>
    <w:autoRedefine/>
    <w:semiHidden/>
    <w:qFormat/>
    <w:uiPriority w:val="0"/>
    <w:rPr>
      <w:rFonts w:ascii="Times New Roman" w:hAnsi="Times New Roman"/>
      <w:color w:val="7030A0"/>
      <w:kern w:val="2"/>
      <w:sz w:val="24"/>
      <w:szCs w:val="24"/>
    </w:rPr>
  </w:style>
  <w:style w:type="paragraph" w:customStyle="1" w:styleId="131">
    <w:name w:val="正文 BJ8"/>
    <w:basedOn w:val="1"/>
    <w:link w:val="130"/>
    <w:autoRedefine/>
    <w:qFormat/>
    <w:uiPriority w:val="0"/>
    <w:pPr>
      <w:adjustRightInd w:val="0"/>
      <w:snapToGrid w:val="0"/>
      <w:spacing w:line="360" w:lineRule="auto"/>
      <w:ind w:firstLine="200" w:firstLineChars="200"/>
      <w:jc w:val="left"/>
    </w:pPr>
    <w:rPr>
      <w:color w:val="7030A0"/>
      <w:sz w:val="24"/>
    </w:rPr>
  </w:style>
  <w:style w:type="character" w:customStyle="1" w:styleId="132">
    <w:name w:val="Char Char8"/>
    <w:autoRedefine/>
    <w:qFormat/>
    <w:uiPriority w:val="0"/>
    <w:rPr>
      <w:rFonts w:eastAsia="宋体"/>
      <w:kern w:val="2"/>
      <w:sz w:val="21"/>
      <w:lang w:val="en-US" w:eastAsia="zh-CN" w:bidi="ar-SA"/>
    </w:rPr>
  </w:style>
  <w:style w:type="character" w:customStyle="1" w:styleId="133">
    <w:name w:val="四级标题格式 Char Char"/>
    <w:link w:val="134"/>
    <w:autoRedefine/>
    <w:semiHidden/>
    <w:qFormat/>
    <w:uiPriority w:val="0"/>
    <w:rPr>
      <w:rFonts w:ascii="Times New Roman" w:hAnsi="Times New Roman" w:eastAsia="黑体"/>
      <w:bCs/>
      <w:kern w:val="2"/>
      <w:sz w:val="28"/>
      <w:szCs w:val="28"/>
    </w:rPr>
  </w:style>
  <w:style w:type="paragraph" w:customStyle="1" w:styleId="134">
    <w:name w:val="四级标题格式"/>
    <w:basedOn w:val="5"/>
    <w:link w:val="133"/>
    <w:autoRedefine/>
    <w:qFormat/>
    <w:uiPriority w:val="0"/>
    <w:pPr>
      <w:spacing w:before="0" w:afterLines="100" w:line="240" w:lineRule="auto"/>
      <w:jc w:val="left"/>
    </w:pPr>
    <w:rPr>
      <w:rFonts w:ascii="Times New Roman" w:hAnsi="Times New Roman" w:eastAsia="黑体"/>
      <w:b w:val="0"/>
    </w:rPr>
  </w:style>
  <w:style w:type="character" w:customStyle="1" w:styleId="135">
    <w:name w:val="b Char"/>
    <w:autoRedefine/>
    <w:qFormat/>
    <w:uiPriority w:val="0"/>
    <w:rPr>
      <w:rFonts w:eastAsia="宋体"/>
      <w:b/>
      <w:bCs/>
      <w:kern w:val="2"/>
      <w:sz w:val="28"/>
      <w:szCs w:val="28"/>
      <w:lang w:val="en-US" w:eastAsia="zh-CN" w:bidi="ar-SA"/>
    </w:rPr>
  </w:style>
  <w:style w:type="character" w:customStyle="1" w:styleId="136">
    <w:name w:val="正文1 Char Char"/>
    <w:link w:val="137"/>
    <w:autoRedefine/>
    <w:semiHidden/>
    <w:qFormat/>
    <w:uiPriority w:val="0"/>
    <w:rPr>
      <w:rFonts w:ascii="宋体" w:hAnsi="宋体"/>
      <w:kern w:val="10"/>
      <w:sz w:val="21"/>
      <w:szCs w:val="24"/>
    </w:rPr>
  </w:style>
  <w:style w:type="paragraph" w:customStyle="1" w:styleId="137">
    <w:name w:val="正文11"/>
    <w:basedOn w:val="1"/>
    <w:link w:val="136"/>
    <w:autoRedefine/>
    <w:qFormat/>
    <w:uiPriority w:val="0"/>
    <w:pPr>
      <w:tabs>
        <w:tab w:val="left" w:pos="720"/>
        <w:tab w:val="right" w:pos="1191"/>
      </w:tabs>
      <w:spacing w:line="360" w:lineRule="auto"/>
      <w:ind w:left="720" w:hanging="360"/>
    </w:pPr>
    <w:rPr>
      <w:rFonts w:ascii="宋体" w:hAnsi="宋体"/>
      <w:kern w:val="10"/>
    </w:rPr>
  </w:style>
  <w:style w:type="character" w:customStyle="1" w:styleId="138">
    <w:name w:val="普通文字 Char Char"/>
    <w:autoRedefine/>
    <w:qFormat/>
    <w:uiPriority w:val="0"/>
    <w:rPr>
      <w:rFonts w:ascii="宋体" w:hAnsi="Courier New" w:eastAsia="宋体"/>
      <w:kern w:val="2"/>
      <w:sz w:val="21"/>
      <w:lang w:val="en-US" w:eastAsia="zh-CN" w:bidi="ar-SA"/>
    </w:rPr>
  </w:style>
  <w:style w:type="character" w:customStyle="1" w:styleId="139">
    <w:name w:val="正文首行缩进 Char"/>
    <w:link w:val="140"/>
    <w:autoRedefine/>
    <w:semiHidden/>
    <w:qFormat/>
    <w:uiPriority w:val="0"/>
    <w:rPr>
      <w:rFonts w:ascii="Times New Roman" w:hAnsi="Times New Roman"/>
      <w:color w:val="7030A0"/>
      <w:kern w:val="2"/>
      <w:sz w:val="21"/>
      <w:szCs w:val="24"/>
    </w:rPr>
  </w:style>
  <w:style w:type="paragraph" w:customStyle="1" w:styleId="140">
    <w:name w:val="正文首行缩进1"/>
    <w:basedOn w:val="1"/>
    <w:link w:val="139"/>
    <w:autoRedefine/>
    <w:qFormat/>
    <w:uiPriority w:val="0"/>
    <w:pPr>
      <w:tabs>
        <w:tab w:val="left" w:pos="360"/>
      </w:tabs>
      <w:spacing w:line="220" w:lineRule="exact"/>
      <w:ind w:left="360" w:hanging="360" w:firstLineChars="200"/>
      <w:jc w:val="left"/>
    </w:pPr>
    <w:rPr>
      <w:color w:val="7030A0"/>
    </w:rPr>
  </w:style>
  <w:style w:type="character" w:customStyle="1" w:styleId="141">
    <w:name w:val="纯文本 Char Char"/>
    <w:autoRedefine/>
    <w:qFormat/>
    <w:uiPriority w:val="0"/>
    <w:rPr>
      <w:rFonts w:ascii="宋体" w:hAnsi="Courier New" w:eastAsia="宋体" w:cs="Century"/>
      <w:kern w:val="2"/>
      <w:sz w:val="21"/>
      <w:szCs w:val="21"/>
      <w:lang w:val="en-US" w:eastAsia="zh-CN" w:bidi="ar-SA"/>
    </w:rPr>
  </w:style>
  <w:style w:type="character" w:customStyle="1" w:styleId="142">
    <w:name w:val="图表标题 BJ8 Char Char"/>
    <w:link w:val="143"/>
    <w:autoRedefine/>
    <w:semiHidden/>
    <w:qFormat/>
    <w:uiPriority w:val="0"/>
    <w:rPr>
      <w:rFonts w:ascii="Times New Roman" w:hAnsi="Times New Roman" w:eastAsia="黑体"/>
      <w:kern w:val="2"/>
      <w:sz w:val="24"/>
    </w:rPr>
  </w:style>
  <w:style w:type="paragraph" w:customStyle="1" w:styleId="143">
    <w:name w:val="图表标题 BJ8"/>
    <w:basedOn w:val="1"/>
    <w:link w:val="142"/>
    <w:autoRedefine/>
    <w:qFormat/>
    <w:uiPriority w:val="0"/>
    <w:pPr>
      <w:adjustRightInd w:val="0"/>
      <w:snapToGrid w:val="0"/>
      <w:ind w:firstLine="200" w:firstLineChars="200"/>
      <w:jc w:val="center"/>
    </w:pPr>
    <w:rPr>
      <w:rFonts w:eastAsia="黑体"/>
      <w:sz w:val="24"/>
      <w:szCs w:val="20"/>
    </w:rPr>
  </w:style>
  <w:style w:type="character" w:customStyle="1" w:styleId="144">
    <w:name w:val="列表框1 Char Char"/>
    <w:autoRedefine/>
    <w:qFormat/>
    <w:uiPriority w:val="0"/>
    <w:rPr>
      <w:rFonts w:ascii="Arial" w:hAnsi="Arial" w:eastAsia="楷体_GB2312" w:cs="Arial"/>
      <w:spacing w:val="10"/>
      <w:sz w:val="21"/>
      <w:lang w:val="en-US" w:eastAsia="zh-CN" w:bidi="ar-SA"/>
    </w:rPr>
  </w:style>
  <w:style w:type="character" w:customStyle="1" w:styleId="145">
    <w:name w:val="font41"/>
    <w:autoRedefine/>
    <w:qFormat/>
    <w:uiPriority w:val="0"/>
    <w:rPr>
      <w:rFonts w:hint="eastAsia" w:ascii="宋体" w:hAnsi="宋体" w:eastAsia="宋体" w:cs="宋体"/>
      <w:color w:val="000000"/>
      <w:sz w:val="22"/>
      <w:szCs w:val="22"/>
      <w:u w:val="none"/>
    </w:rPr>
  </w:style>
  <w:style w:type="character" w:customStyle="1" w:styleId="146">
    <w:name w:val="正文首行缩进 2 Char"/>
    <w:link w:val="147"/>
    <w:autoRedefine/>
    <w:semiHidden/>
    <w:qFormat/>
    <w:uiPriority w:val="0"/>
    <w:rPr>
      <w:rFonts w:ascii="宋体" w:hAnsi="宋体"/>
      <w:kern w:val="2"/>
      <w:sz w:val="21"/>
      <w:szCs w:val="24"/>
    </w:rPr>
  </w:style>
  <w:style w:type="paragraph" w:customStyle="1" w:styleId="147">
    <w:name w:val="正文首行缩进 21"/>
    <w:basedOn w:val="148"/>
    <w:link w:val="146"/>
    <w:autoRedefine/>
    <w:qFormat/>
    <w:uiPriority w:val="0"/>
    <w:pPr>
      <w:spacing w:after="120" w:line="240" w:lineRule="auto"/>
      <w:ind w:left="420" w:leftChars="200" w:firstLine="200" w:firstLineChars="200"/>
      <w:jc w:val="left"/>
    </w:pPr>
    <w:rPr>
      <w:rFonts w:hAnsi="宋体"/>
      <w:szCs w:val="24"/>
    </w:rPr>
  </w:style>
  <w:style w:type="paragraph" w:customStyle="1" w:styleId="148">
    <w:name w:val="正文文本缩进1"/>
    <w:basedOn w:val="1"/>
    <w:link w:val="149"/>
    <w:autoRedefine/>
    <w:qFormat/>
    <w:uiPriority w:val="0"/>
    <w:pPr>
      <w:spacing w:line="360" w:lineRule="auto"/>
    </w:pPr>
    <w:rPr>
      <w:rFonts w:ascii="宋体"/>
      <w:szCs w:val="20"/>
    </w:rPr>
  </w:style>
  <w:style w:type="character" w:customStyle="1" w:styleId="149">
    <w:name w:val="正文文本缩进 Char1"/>
    <w:link w:val="148"/>
    <w:autoRedefine/>
    <w:semiHidden/>
    <w:qFormat/>
    <w:uiPriority w:val="0"/>
    <w:rPr>
      <w:rFonts w:ascii="宋体" w:hAnsi="Times New Roman"/>
      <w:kern w:val="2"/>
      <w:sz w:val="21"/>
    </w:rPr>
  </w:style>
  <w:style w:type="character" w:customStyle="1" w:styleId="150">
    <w:name w:val="正文文本缩进 3 Char"/>
    <w:link w:val="151"/>
    <w:autoRedefine/>
    <w:semiHidden/>
    <w:qFormat/>
    <w:uiPriority w:val="0"/>
    <w:rPr>
      <w:rFonts w:ascii="Times New Roman" w:hAnsi="Times New Roman"/>
      <w:kern w:val="2"/>
      <w:sz w:val="21"/>
    </w:rPr>
  </w:style>
  <w:style w:type="paragraph" w:customStyle="1" w:styleId="151">
    <w:name w:val="正文文本缩进 31"/>
    <w:basedOn w:val="1"/>
    <w:link w:val="150"/>
    <w:autoRedefine/>
    <w:qFormat/>
    <w:uiPriority w:val="0"/>
    <w:pPr>
      <w:ind w:left="1260" w:leftChars="600"/>
    </w:pPr>
    <w:rPr>
      <w:szCs w:val="20"/>
    </w:rPr>
  </w:style>
  <w:style w:type="character" w:customStyle="1" w:styleId="152">
    <w:name w:val="日期 Char"/>
    <w:link w:val="153"/>
    <w:autoRedefine/>
    <w:semiHidden/>
    <w:qFormat/>
    <w:uiPriority w:val="0"/>
    <w:rPr>
      <w:rFonts w:eastAsia="楷体_GB2312"/>
      <w:kern w:val="2"/>
      <w:sz w:val="30"/>
    </w:rPr>
  </w:style>
  <w:style w:type="paragraph" w:customStyle="1" w:styleId="153">
    <w:name w:val="日期1"/>
    <w:basedOn w:val="1"/>
    <w:next w:val="1"/>
    <w:link w:val="152"/>
    <w:autoRedefine/>
    <w:qFormat/>
    <w:uiPriority w:val="0"/>
    <w:pPr>
      <w:autoSpaceDE w:val="0"/>
      <w:autoSpaceDN w:val="0"/>
      <w:adjustRightInd w:val="0"/>
      <w:textAlignment w:val="baseline"/>
    </w:pPr>
    <w:rPr>
      <w:rFonts w:eastAsia="楷体_GB2312"/>
      <w:sz w:val="30"/>
      <w:szCs w:val="20"/>
    </w:rPr>
  </w:style>
  <w:style w:type="character" w:customStyle="1" w:styleId="154">
    <w:name w:val="正文文本 3 Char"/>
    <w:link w:val="155"/>
    <w:autoRedefine/>
    <w:semiHidden/>
    <w:qFormat/>
    <w:uiPriority w:val="0"/>
    <w:rPr>
      <w:rFonts w:ascii="Times New Roman" w:hAnsi="Times New Roman"/>
      <w:kern w:val="2"/>
      <w:sz w:val="16"/>
      <w:szCs w:val="16"/>
    </w:rPr>
  </w:style>
  <w:style w:type="paragraph" w:customStyle="1" w:styleId="155">
    <w:name w:val="正文文本 31"/>
    <w:basedOn w:val="1"/>
    <w:link w:val="154"/>
    <w:autoRedefine/>
    <w:qFormat/>
    <w:uiPriority w:val="0"/>
    <w:pPr>
      <w:spacing w:after="120"/>
    </w:pPr>
    <w:rPr>
      <w:sz w:val="16"/>
      <w:szCs w:val="16"/>
    </w:rPr>
  </w:style>
  <w:style w:type="character" w:customStyle="1" w:styleId="156">
    <w:name w:val="正文缩进 Char"/>
    <w:link w:val="157"/>
    <w:autoRedefine/>
    <w:semiHidden/>
    <w:qFormat/>
    <w:uiPriority w:val="0"/>
    <w:rPr>
      <w:rFonts w:ascii="宋体" w:hAnsi="Times New Roman"/>
      <w:sz w:val="24"/>
    </w:rPr>
  </w:style>
  <w:style w:type="paragraph" w:customStyle="1" w:styleId="157">
    <w:name w:val="正文缩进1"/>
    <w:basedOn w:val="1"/>
    <w:link w:val="156"/>
    <w:autoRedefine/>
    <w:qFormat/>
    <w:uiPriority w:val="0"/>
    <w:pPr>
      <w:autoSpaceDE w:val="0"/>
      <w:autoSpaceDN w:val="0"/>
      <w:adjustRightInd w:val="0"/>
      <w:spacing w:line="360" w:lineRule="atLeast"/>
      <w:ind w:firstLine="420"/>
      <w:textAlignment w:val="baseline"/>
    </w:pPr>
    <w:rPr>
      <w:rFonts w:ascii="宋体"/>
      <w:kern w:val="0"/>
      <w:sz w:val="24"/>
      <w:szCs w:val="20"/>
    </w:rPr>
  </w:style>
  <w:style w:type="character" w:customStyle="1" w:styleId="158">
    <w:name w:val="表图名称 Char Char"/>
    <w:link w:val="159"/>
    <w:autoRedefine/>
    <w:qFormat/>
    <w:uiPriority w:val="0"/>
    <w:rPr>
      <w:rFonts w:ascii="黑体" w:hAnsi="宋体" w:eastAsia="黑体"/>
      <w:kern w:val="2"/>
      <w:sz w:val="24"/>
      <w:szCs w:val="24"/>
      <w:lang w:val="en-US" w:eastAsia="zh-CN" w:bidi="ar-SA"/>
    </w:rPr>
  </w:style>
  <w:style w:type="paragraph" w:customStyle="1" w:styleId="159">
    <w:name w:val="表图名称"/>
    <w:link w:val="158"/>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160">
    <w:name w:val="样式 标题 31.1条标题1.1.1二级节名h3Heading 3 - oldheading 3H3H31H3... Char Char Char"/>
    <w:link w:val="161"/>
    <w:autoRedefine/>
    <w:semiHidden/>
    <w:qFormat/>
    <w:uiPriority w:val="0"/>
    <w:rPr>
      <w:rFonts w:ascii="宋体" w:hAnsi="宋体" w:eastAsia="黑体"/>
      <w:kern w:val="2"/>
      <w:sz w:val="24"/>
      <w:szCs w:val="21"/>
    </w:rPr>
  </w:style>
  <w:style w:type="paragraph" w:customStyle="1" w:styleId="161">
    <w:name w:val="样式 标题 31.1条标题1.1.1二级节名h3Heading 3 - oldheading 3H3H31H3..."/>
    <w:basedOn w:val="4"/>
    <w:link w:val="160"/>
    <w:autoRedefine/>
    <w:qFormat/>
    <w:uiPriority w:val="0"/>
    <w:pPr>
      <w:spacing w:before="240" w:after="120" w:line="480" w:lineRule="exact"/>
      <w:jc w:val="left"/>
    </w:pPr>
    <w:rPr>
      <w:rFonts w:ascii="宋体" w:hAnsi="宋体" w:eastAsia="黑体"/>
      <w:b w:val="0"/>
      <w:bCs w:val="0"/>
      <w:sz w:val="24"/>
      <w:szCs w:val="21"/>
    </w:rPr>
  </w:style>
  <w:style w:type="character" w:customStyle="1" w:styleId="162">
    <w:name w:val="无编号正文 Char Char"/>
    <w:link w:val="163"/>
    <w:autoRedefine/>
    <w:semiHidden/>
    <w:qFormat/>
    <w:uiPriority w:val="0"/>
    <w:rPr>
      <w:rFonts w:ascii="宋体" w:hAnsi="宋体"/>
      <w:sz w:val="24"/>
      <w:szCs w:val="24"/>
    </w:rPr>
  </w:style>
  <w:style w:type="paragraph" w:customStyle="1" w:styleId="163">
    <w:name w:val="无编号正文"/>
    <w:basedOn w:val="23"/>
    <w:next w:val="1"/>
    <w:link w:val="162"/>
    <w:autoRedefine/>
    <w:qFormat/>
    <w:uiPriority w:val="0"/>
    <w:pPr>
      <w:ind w:left="200" w:leftChars="200" w:firstLine="200" w:firstLineChars="200"/>
    </w:pPr>
    <w:rPr>
      <w:rFonts w:ascii="宋体" w:hAnsi="宋体"/>
      <w:kern w:val="0"/>
      <w:sz w:val="24"/>
    </w:rPr>
  </w:style>
  <w:style w:type="character" w:customStyle="1" w:styleId="164">
    <w:name w:val="样式 Char Char"/>
    <w:link w:val="165"/>
    <w:autoRedefine/>
    <w:qFormat/>
    <w:uiPriority w:val="0"/>
    <w:rPr>
      <w:rFonts w:ascii="宋体" w:hAnsi="宋体" w:cs="宋体"/>
      <w:sz w:val="24"/>
      <w:szCs w:val="24"/>
      <w:lang w:val="en-US" w:eastAsia="zh-CN" w:bidi="ar-SA"/>
    </w:rPr>
  </w:style>
  <w:style w:type="paragraph" w:customStyle="1" w:styleId="165">
    <w:name w:val="样式"/>
    <w:link w:val="164"/>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6">
    <w:name w:val="标题3 Char Char"/>
    <w:link w:val="167"/>
    <w:autoRedefine/>
    <w:semiHidden/>
    <w:qFormat/>
    <w:uiPriority w:val="0"/>
    <w:rPr>
      <w:rFonts w:ascii="宋体" w:hAnsi="宋体"/>
      <w:b/>
      <w:bCs/>
      <w:color w:val="92D050"/>
      <w:kern w:val="44"/>
      <w:sz w:val="24"/>
      <w:szCs w:val="21"/>
    </w:rPr>
  </w:style>
  <w:style w:type="paragraph" w:customStyle="1" w:styleId="167">
    <w:name w:val="标题3"/>
    <w:basedOn w:val="4"/>
    <w:link w:val="166"/>
    <w:autoRedefine/>
    <w:qFormat/>
    <w:uiPriority w:val="0"/>
    <w:pPr>
      <w:tabs>
        <w:tab w:val="left" w:pos="360"/>
        <w:tab w:val="left" w:pos="840"/>
        <w:tab w:val="left" w:pos="2160"/>
      </w:tabs>
      <w:adjustRightInd w:val="0"/>
      <w:spacing w:before="0" w:after="0" w:line="360" w:lineRule="auto"/>
      <w:textAlignment w:val="baseline"/>
    </w:pPr>
    <w:rPr>
      <w:rFonts w:ascii="宋体" w:hAnsi="宋体"/>
      <w:color w:val="92D050"/>
      <w:kern w:val="44"/>
      <w:sz w:val="24"/>
      <w:szCs w:val="21"/>
    </w:rPr>
  </w:style>
  <w:style w:type="character" w:customStyle="1" w:styleId="168">
    <w:name w:val="正文文本 Char1"/>
    <w:autoRedefine/>
    <w:qFormat/>
    <w:uiPriority w:val="0"/>
    <w:rPr>
      <w:rFonts w:ascii="Times New Roman" w:hAnsi="Times New Roman"/>
      <w:kern w:val="2"/>
      <w:sz w:val="24"/>
    </w:rPr>
  </w:style>
  <w:style w:type="character" w:customStyle="1" w:styleId="169">
    <w:name w:val="1.1 Char Char"/>
    <w:autoRedefine/>
    <w:qFormat/>
    <w:uiPriority w:val="0"/>
    <w:rPr>
      <w:rFonts w:ascii="宋体" w:eastAsia="宋体"/>
      <w:b/>
      <w:bCs/>
      <w:kern w:val="2"/>
      <w:sz w:val="24"/>
      <w:szCs w:val="32"/>
      <w:lang w:val="en-US" w:eastAsia="zh-CN" w:bidi="ar-SA"/>
    </w:rPr>
  </w:style>
  <w:style w:type="character" w:customStyle="1" w:styleId="170">
    <w:name w:val="正文缩进 Char Char"/>
    <w:link w:val="171"/>
    <w:autoRedefine/>
    <w:semiHidden/>
    <w:qFormat/>
    <w:uiPriority w:val="0"/>
    <w:rPr>
      <w:kern w:val="2"/>
      <w:sz w:val="21"/>
      <w:szCs w:val="24"/>
    </w:rPr>
  </w:style>
  <w:style w:type="paragraph" w:customStyle="1" w:styleId="171">
    <w:name w:val="正文缩进11"/>
    <w:basedOn w:val="1"/>
    <w:link w:val="170"/>
    <w:autoRedefine/>
    <w:qFormat/>
    <w:uiPriority w:val="0"/>
    <w:pPr>
      <w:spacing w:line="360" w:lineRule="auto"/>
      <w:ind w:firstLine="420"/>
    </w:pPr>
  </w:style>
  <w:style w:type="character" w:customStyle="1" w:styleId="172">
    <w:name w:val="正文－zlb Char Char"/>
    <w:link w:val="173"/>
    <w:autoRedefine/>
    <w:semiHidden/>
    <w:qFormat/>
    <w:uiPriority w:val="0"/>
    <w:rPr>
      <w:rFonts w:ascii="宋体" w:cs="宋体"/>
      <w:kern w:val="2"/>
      <w:sz w:val="24"/>
      <w:szCs w:val="24"/>
    </w:rPr>
  </w:style>
  <w:style w:type="paragraph" w:customStyle="1" w:styleId="173">
    <w:name w:val="正文－zlb"/>
    <w:basedOn w:val="1"/>
    <w:link w:val="172"/>
    <w:autoRedefine/>
    <w:qFormat/>
    <w:uiPriority w:val="0"/>
    <w:pPr>
      <w:adjustRightInd w:val="0"/>
      <w:snapToGrid w:val="0"/>
      <w:spacing w:line="360" w:lineRule="auto"/>
      <w:ind w:firstLine="420"/>
    </w:pPr>
    <w:rPr>
      <w:rFonts w:ascii="宋体"/>
      <w:sz w:val="24"/>
    </w:rPr>
  </w:style>
  <w:style w:type="character" w:customStyle="1" w:styleId="174">
    <w:name w:val="Char Char111"/>
    <w:autoRedefine/>
    <w:qFormat/>
    <w:uiPriority w:val="0"/>
    <w:rPr>
      <w:rFonts w:eastAsia="宋体"/>
      <w:b/>
      <w:bCs/>
      <w:kern w:val="2"/>
      <w:sz w:val="24"/>
      <w:szCs w:val="24"/>
      <w:lang w:val="en-US" w:eastAsia="zh-CN" w:bidi="ar-SA"/>
    </w:rPr>
  </w:style>
  <w:style w:type="character" w:customStyle="1" w:styleId="175">
    <w:name w:val="正文 BJ15 Char Char"/>
    <w:link w:val="176"/>
    <w:autoRedefine/>
    <w:semiHidden/>
    <w:qFormat/>
    <w:uiPriority w:val="0"/>
    <w:rPr>
      <w:rFonts w:ascii="Times New Roman" w:hAnsi="Times New Roman"/>
      <w:kern w:val="2"/>
      <w:sz w:val="24"/>
      <w:szCs w:val="24"/>
    </w:rPr>
  </w:style>
  <w:style w:type="paragraph" w:customStyle="1" w:styleId="176">
    <w:name w:val="正文 BJ15"/>
    <w:basedOn w:val="1"/>
    <w:link w:val="175"/>
    <w:autoRedefine/>
    <w:qFormat/>
    <w:uiPriority w:val="0"/>
    <w:pPr>
      <w:adjustRightInd w:val="0"/>
      <w:snapToGrid w:val="0"/>
      <w:spacing w:line="360" w:lineRule="auto"/>
      <w:ind w:firstLine="200" w:firstLineChars="200"/>
      <w:jc w:val="left"/>
    </w:pPr>
    <w:rPr>
      <w:sz w:val="24"/>
    </w:rPr>
  </w:style>
  <w:style w:type="character" w:customStyle="1" w:styleId="177">
    <w:name w:val="font21"/>
    <w:autoRedefine/>
    <w:qFormat/>
    <w:uiPriority w:val="0"/>
    <w:rPr>
      <w:rFonts w:hint="eastAsia" w:ascii="宋体" w:hAnsi="宋体" w:eastAsia="宋体" w:cs="宋体"/>
      <w:color w:val="000000"/>
      <w:sz w:val="22"/>
      <w:szCs w:val="22"/>
      <w:u w:val="none"/>
    </w:rPr>
  </w:style>
  <w:style w:type="character" w:customStyle="1" w:styleId="178">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179">
    <w:name w:val="正文文本缩进 Char"/>
    <w:autoRedefine/>
    <w:semiHidden/>
    <w:qFormat/>
    <w:uiPriority w:val="0"/>
    <w:rPr>
      <w:rFonts w:ascii="Times New Roman" w:hAnsi="Times New Roman"/>
      <w:kern w:val="2"/>
      <w:sz w:val="21"/>
      <w:szCs w:val="24"/>
    </w:rPr>
  </w:style>
  <w:style w:type="character" w:customStyle="1" w:styleId="180">
    <w:name w:val="页码1"/>
    <w:autoRedefine/>
    <w:qFormat/>
    <w:uiPriority w:val="0"/>
  </w:style>
  <w:style w:type="character" w:customStyle="1" w:styleId="181">
    <w:name w:val="sub-dash Char"/>
    <w:autoRedefine/>
    <w:qFormat/>
    <w:uiPriority w:val="0"/>
    <w:rPr>
      <w:rFonts w:ascii="Arial" w:hAnsi="Arial" w:eastAsia="黑体"/>
      <w:b/>
      <w:bCs/>
      <w:kern w:val="2"/>
      <w:sz w:val="24"/>
      <w:szCs w:val="24"/>
      <w:lang w:val="en-US" w:eastAsia="zh-CN" w:bidi="ar-SA"/>
    </w:rPr>
  </w:style>
  <w:style w:type="character" w:customStyle="1" w:styleId="182">
    <w:name w:val="Char Char2"/>
    <w:autoRedefine/>
    <w:qFormat/>
    <w:uiPriority w:val="0"/>
    <w:rPr>
      <w:rFonts w:eastAsia="仿宋_GB2312"/>
      <w:kern w:val="2"/>
      <w:sz w:val="28"/>
      <w:lang w:val="en-US" w:eastAsia="zh-CN" w:bidi="ar-SA"/>
    </w:rPr>
  </w:style>
  <w:style w:type="character" w:customStyle="1" w:styleId="183">
    <w:name w:val="宏文本 Char"/>
    <w:link w:val="184"/>
    <w:autoRedefine/>
    <w:qFormat/>
    <w:uiPriority w:val="0"/>
    <w:rPr>
      <w:rFonts w:ascii="Courier New" w:hAnsi="Courier New" w:cs="Courier New"/>
      <w:kern w:val="2"/>
      <w:sz w:val="24"/>
      <w:szCs w:val="24"/>
      <w:lang w:val="en-US" w:eastAsia="zh-CN" w:bidi="ar-SA"/>
    </w:rPr>
  </w:style>
  <w:style w:type="paragraph" w:customStyle="1" w:styleId="184">
    <w:name w:val="宏文本1"/>
    <w:link w:val="183"/>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85">
    <w:name w:val="正文－wjnew Char Char"/>
    <w:link w:val="186"/>
    <w:autoRedefine/>
    <w:semiHidden/>
    <w:qFormat/>
    <w:uiPriority w:val="0"/>
    <w:rPr>
      <w:rFonts w:ascii="宋体" w:cs="宋体"/>
      <w:kern w:val="2"/>
      <w:sz w:val="21"/>
      <w:szCs w:val="21"/>
    </w:rPr>
  </w:style>
  <w:style w:type="paragraph" w:customStyle="1" w:styleId="186">
    <w:name w:val="正文－wjnew"/>
    <w:basedOn w:val="1"/>
    <w:link w:val="185"/>
    <w:autoRedefine/>
    <w:qFormat/>
    <w:uiPriority w:val="0"/>
    <w:pPr>
      <w:adjustRightInd w:val="0"/>
      <w:snapToGrid w:val="0"/>
      <w:spacing w:line="360" w:lineRule="auto"/>
      <w:ind w:firstLine="420"/>
    </w:pPr>
    <w:rPr>
      <w:rFonts w:ascii="宋体"/>
      <w:szCs w:val="21"/>
    </w:rPr>
  </w:style>
  <w:style w:type="character" w:customStyle="1" w:styleId="187">
    <w:name w:val="应答文本 Char Char"/>
    <w:autoRedefine/>
    <w:qFormat/>
    <w:uiPriority w:val="0"/>
    <w:rPr>
      <w:rFonts w:ascii="Arial" w:hAnsi="Arial" w:eastAsia="楷体_GB2312" w:cs="宋体"/>
      <w:spacing w:val="10"/>
      <w:sz w:val="21"/>
      <w:lang w:val="en-US" w:eastAsia="zh-CN" w:bidi="ar-SA"/>
    </w:rPr>
  </w:style>
  <w:style w:type="character" w:customStyle="1" w:styleId="188">
    <w:name w:val="正文 QD3 Char Char"/>
    <w:link w:val="189"/>
    <w:autoRedefine/>
    <w:semiHidden/>
    <w:qFormat/>
    <w:uiPriority w:val="0"/>
    <w:rPr>
      <w:rFonts w:ascii="Times New Roman" w:hAnsi="Times New Roman"/>
      <w:kern w:val="2"/>
      <w:sz w:val="24"/>
      <w:szCs w:val="24"/>
    </w:rPr>
  </w:style>
  <w:style w:type="paragraph" w:customStyle="1" w:styleId="189">
    <w:name w:val="正文 QD3"/>
    <w:basedOn w:val="1"/>
    <w:link w:val="188"/>
    <w:autoRedefine/>
    <w:qFormat/>
    <w:uiPriority w:val="0"/>
    <w:pPr>
      <w:adjustRightInd w:val="0"/>
      <w:snapToGrid w:val="0"/>
      <w:spacing w:line="360" w:lineRule="auto"/>
      <w:ind w:firstLine="200" w:firstLineChars="200"/>
      <w:jc w:val="left"/>
    </w:pPr>
    <w:rPr>
      <w:sz w:val="24"/>
    </w:rPr>
  </w:style>
  <w:style w:type="character" w:customStyle="1" w:styleId="190">
    <w:name w:val="样式 二号 红色 边框:: (单实线 自动设置  0.5 磅 行宽)"/>
    <w:autoRedefine/>
    <w:qFormat/>
    <w:uiPriority w:val="0"/>
    <w:rPr>
      <w:rFonts w:eastAsia="宋体"/>
      <w:color w:val="0000FF"/>
      <w:sz w:val="44"/>
      <w:bdr w:val="single" w:color="0000FF" w:sz="4" w:space="0"/>
    </w:rPr>
  </w:style>
  <w:style w:type="character" w:customStyle="1" w:styleId="191">
    <w:name w:val="文档结构图 Char"/>
    <w:link w:val="192"/>
    <w:autoRedefine/>
    <w:semiHidden/>
    <w:qFormat/>
    <w:uiPriority w:val="0"/>
    <w:rPr>
      <w:rFonts w:ascii="宋体" w:hAnsi="Times New Roman" w:eastAsia="宋体" w:cs="Times New Roman"/>
      <w:sz w:val="18"/>
      <w:szCs w:val="18"/>
    </w:rPr>
  </w:style>
  <w:style w:type="paragraph" w:customStyle="1" w:styleId="192">
    <w:name w:val="文档结构图1"/>
    <w:basedOn w:val="1"/>
    <w:link w:val="191"/>
    <w:autoRedefine/>
    <w:qFormat/>
    <w:uiPriority w:val="0"/>
    <w:rPr>
      <w:rFonts w:ascii="宋体"/>
      <w:kern w:val="0"/>
      <w:sz w:val="18"/>
      <w:szCs w:val="18"/>
    </w:rPr>
  </w:style>
  <w:style w:type="character" w:customStyle="1" w:styleId="193">
    <w:name w:val="樣式 標題 3 + (中文) MS Gothic 10.5 點 Char Char Char Char Char Char Char Char"/>
    <w:autoRedefine/>
    <w:qFormat/>
    <w:uiPriority w:val="0"/>
    <w:rPr>
      <w:rFonts w:hAnsi="PMingLiU" w:eastAsia="MS Gothic"/>
      <w:snapToGrid/>
      <w:kern w:val="2"/>
      <w:sz w:val="24"/>
      <w:lang w:eastAsia="zh-TW"/>
    </w:rPr>
  </w:style>
  <w:style w:type="character" w:customStyle="1" w:styleId="194">
    <w:name w:val="Char Char11"/>
    <w:autoRedefine/>
    <w:qFormat/>
    <w:uiPriority w:val="0"/>
    <w:rPr>
      <w:rFonts w:eastAsia="宋体"/>
      <w:b/>
      <w:bCs/>
      <w:kern w:val="2"/>
      <w:sz w:val="24"/>
      <w:szCs w:val="24"/>
      <w:lang w:val="en-US" w:eastAsia="zh-CN" w:bidi="ar-SA"/>
    </w:rPr>
  </w:style>
  <w:style w:type="character" w:customStyle="1" w:styleId="195">
    <w:name w:val="正文（首行缩进两字） Char"/>
    <w:autoRedefine/>
    <w:qFormat/>
    <w:uiPriority w:val="0"/>
    <w:rPr>
      <w:rFonts w:eastAsia="宋体"/>
      <w:sz w:val="32"/>
      <w:lang w:val="en-US" w:eastAsia="zh-CN" w:bidi="ar-SA"/>
    </w:rPr>
  </w:style>
  <w:style w:type="character" w:customStyle="1" w:styleId="196">
    <w:name w:val="书籍标题1"/>
    <w:autoRedefine/>
    <w:qFormat/>
    <w:uiPriority w:val="0"/>
    <w:rPr>
      <w:b/>
      <w:bCs/>
      <w:smallCaps/>
      <w:spacing w:val="5"/>
    </w:rPr>
  </w:style>
  <w:style w:type="character" w:customStyle="1" w:styleId="197">
    <w:name w:val="HTML 预设格式 Char"/>
    <w:link w:val="198"/>
    <w:autoRedefine/>
    <w:semiHidden/>
    <w:qFormat/>
    <w:uiPriority w:val="0"/>
    <w:rPr>
      <w:rFonts w:ascii="Arial" w:hAnsi="Arial"/>
      <w:sz w:val="21"/>
      <w:szCs w:val="21"/>
    </w:rPr>
  </w:style>
  <w:style w:type="paragraph" w:customStyle="1" w:styleId="198">
    <w:name w:val="HTML 预设格式1"/>
    <w:basedOn w:val="1"/>
    <w:link w:val="19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character" w:customStyle="1" w:styleId="199">
    <w:name w:val="五级标题格式 Char Char"/>
    <w:link w:val="200"/>
    <w:autoRedefine/>
    <w:semiHidden/>
    <w:qFormat/>
    <w:uiPriority w:val="0"/>
    <w:rPr>
      <w:rFonts w:ascii="Times New Roman" w:hAnsi="Times New Roman"/>
      <w:b/>
      <w:bCs/>
      <w:kern w:val="2"/>
      <w:sz w:val="24"/>
      <w:szCs w:val="28"/>
    </w:rPr>
  </w:style>
  <w:style w:type="paragraph" w:customStyle="1" w:styleId="200">
    <w:name w:val="五级标题格式"/>
    <w:basedOn w:val="6"/>
    <w:link w:val="199"/>
    <w:autoRedefine/>
    <w:qFormat/>
    <w:uiPriority w:val="0"/>
    <w:pPr>
      <w:tabs>
        <w:tab w:val="clear" w:pos="1008"/>
      </w:tabs>
      <w:spacing w:before="0" w:afterLines="50" w:line="240" w:lineRule="auto"/>
      <w:ind w:left="0" w:firstLine="0"/>
      <w:jc w:val="left"/>
    </w:pPr>
    <w:rPr>
      <w:sz w:val="24"/>
    </w:rPr>
  </w:style>
  <w:style w:type="character" w:customStyle="1" w:styleId="201">
    <w:name w:val="2 headline Char Char"/>
    <w:autoRedefine/>
    <w:qFormat/>
    <w:uiPriority w:val="0"/>
    <w:rPr>
      <w:rFonts w:eastAsia="黑体"/>
      <w:bCs/>
      <w:kern w:val="2"/>
      <w:sz w:val="28"/>
      <w:szCs w:val="28"/>
      <w:lang w:val="en-US" w:eastAsia="zh-CN" w:bidi="ar-SA"/>
    </w:rPr>
  </w:style>
  <w:style w:type="character" w:customStyle="1" w:styleId="202">
    <w:name w:val="正文文本 2 Char"/>
    <w:link w:val="203"/>
    <w:autoRedefine/>
    <w:semiHidden/>
    <w:qFormat/>
    <w:uiPriority w:val="0"/>
    <w:rPr>
      <w:rFonts w:ascii="Times New Roman" w:hAnsi="Times New Roman"/>
      <w:kern w:val="2"/>
      <w:sz w:val="21"/>
    </w:rPr>
  </w:style>
  <w:style w:type="paragraph" w:customStyle="1" w:styleId="203">
    <w:name w:val="正文文本 21"/>
    <w:basedOn w:val="1"/>
    <w:link w:val="202"/>
    <w:autoRedefine/>
    <w:qFormat/>
    <w:uiPriority w:val="0"/>
    <w:pPr>
      <w:spacing w:after="120" w:line="480" w:lineRule="auto"/>
    </w:pPr>
    <w:rPr>
      <w:szCs w:val="20"/>
    </w:rPr>
  </w:style>
  <w:style w:type="character" w:customStyle="1" w:styleId="204">
    <w:name w:val="纯文本 Char"/>
    <w:link w:val="205"/>
    <w:autoRedefine/>
    <w:qFormat/>
    <w:uiPriority w:val="99"/>
    <w:rPr>
      <w:rFonts w:ascii="宋体" w:hAnsi="Courier New" w:cs="Courier New"/>
      <w:kern w:val="2"/>
      <w:sz w:val="21"/>
      <w:szCs w:val="21"/>
    </w:rPr>
  </w:style>
  <w:style w:type="paragraph" w:customStyle="1" w:styleId="205">
    <w:name w:val="纯文本1"/>
    <w:basedOn w:val="1"/>
    <w:link w:val="204"/>
    <w:autoRedefine/>
    <w:qFormat/>
    <w:uiPriority w:val="99"/>
    <w:rPr>
      <w:rFonts w:ascii="宋体" w:hAnsi="Courier New"/>
      <w:szCs w:val="21"/>
    </w:rPr>
  </w:style>
  <w:style w:type="character" w:customStyle="1" w:styleId="206">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207">
    <w:name w:val="表格文字图表文字 Char Char"/>
    <w:autoRedefine/>
    <w:qFormat/>
    <w:uiPriority w:val="0"/>
    <w:rPr>
      <w:color w:val="7030A0"/>
      <w:kern w:val="2"/>
      <w:sz w:val="21"/>
    </w:rPr>
  </w:style>
  <w:style w:type="character" w:customStyle="1" w:styleId="208">
    <w:name w:val="font71"/>
    <w:autoRedefine/>
    <w:qFormat/>
    <w:uiPriority w:val="0"/>
    <w:rPr>
      <w:rFonts w:hint="default" w:ascii="Times New Roman" w:hAnsi="Times New Roman" w:cs="Times New Roman"/>
      <w:color w:val="000000"/>
      <w:sz w:val="22"/>
      <w:szCs w:val="22"/>
      <w:u w:val="none"/>
    </w:rPr>
  </w:style>
  <w:style w:type="character" w:customStyle="1" w:styleId="209">
    <w:name w:val="HTML 打字机1"/>
    <w:autoRedefine/>
    <w:qFormat/>
    <w:uiPriority w:val="0"/>
    <w:rPr>
      <w:rFonts w:ascii="黑体" w:hAnsi="Courier New" w:eastAsia="黑体" w:cs="Courier New"/>
      <w:sz w:val="20"/>
      <w:szCs w:val="20"/>
    </w:rPr>
  </w:style>
  <w:style w:type="character" w:customStyle="1" w:styleId="210">
    <w:name w:val="批注框文本 Char Char Char Char"/>
    <w:link w:val="211"/>
    <w:autoRedefine/>
    <w:semiHidden/>
    <w:qFormat/>
    <w:uiPriority w:val="0"/>
    <w:rPr>
      <w:rFonts w:ascii="Times New Roman" w:hAnsi="Times New Roman" w:eastAsia="宋体" w:cs="Times New Roman"/>
      <w:sz w:val="18"/>
      <w:szCs w:val="18"/>
    </w:rPr>
  </w:style>
  <w:style w:type="paragraph" w:customStyle="1" w:styleId="211">
    <w:name w:val="批注框文本 Char Char"/>
    <w:basedOn w:val="1"/>
    <w:link w:val="210"/>
    <w:autoRedefine/>
    <w:qFormat/>
    <w:uiPriority w:val="0"/>
    <w:rPr>
      <w:kern w:val="0"/>
      <w:sz w:val="18"/>
      <w:szCs w:val="18"/>
    </w:rPr>
  </w:style>
  <w:style w:type="character" w:customStyle="1" w:styleId="212">
    <w:name w:val="标题 4 Char1"/>
    <w:autoRedefine/>
    <w:qFormat/>
    <w:uiPriority w:val="0"/>
    <w:rPr>
      <w:rFonts w:ascii="宋体" w:hAnsi="宋体"/>
      <w:b/>
      <w:bCs/>
      <w:kern w:val="2"/>
      <w:sz w:val="21"/>
    </w:rPr>
  </w:style>
  <w:style w:type="character" w:customStyle="1" w:styleId="213">
    <w:name w:val="列表框2 Char Char"/>
    <w:link w:val="214"/>
    <w:autoRedefine/>
    <w:semiHidden/>
    <w:qFormat/>
    <w:uiPriority w:val="0"/>
    <w:rPr>
      <w:color w:val="7030A0"/>
      <w:spacing w:val="10"/>
      <w:sz w:val="24"/>
      <w:szCs w:val="24"/>
    </w:rPr>
  </w:style>
  <w:style w:type="paragraph" w:customStyle="1" w:styleId="214">
    <w:name w:val="列表框2"/>
    <w:basedOn w:val="1"/>
    <w:link w:val="213"/>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kern w:val="0"/>
      <w:sz w:val="24"/>
    </w:rPr>
  </w:style>
  <w:style w:type="character" w:customStyle="1" w:styleId="215">
    <w:name w:val="批注文字 Char1"/>
    <w:autoRedefine/>
    <w:qFormat/>
    <w:uiPriority w:val="0"/>
    <w:rPr>
      <w:kern w:val="2"/>
      <w:sz w:val="24"/>
      <w:szCs w:val="24"/>
    </w:rPr>
  </w:style>
  <w:style w:type="character" w:customStyle="1" w:styleId="216">
    <w:name w:val="日期 Char1"/>
    <w:autoRedefine/>
    <w:qFormat/>
    <w:uiPriority w:val="0"/>
    <w:rPr>
      <w:rFonts w:ascii="Times New Roman" w:hAnsi="Times New Roman"/>
      <w:kern w:val="2"/>
      <w:sz w:val="21"/>
      <w:szCs w:val="24"/>
    </w:rPr>
  </w:style>
  <w:style w:type="character" w:customStyle="1" w:styleId="217">
    <w:name w:val="标题2 Char Char"/>
    <w:link w:val="218"/>
    <w:autoRedefine/>
    <w:semiHidden/>
    <w:qFormat/>
    <w:uiPriority w:val="0"/>
    <w:rPr>
      <w:rFonts w:ascii="宋体" w:hAnsi="Times New Roman"/>
      <w:b/>
      <w:color w:val="92D050"/>
      <w:kern w:val="44"/>
      <w:sz w:val="30"/>
    </w:rPr>
  </w:style>
  <w:style w:type="paragraph" w:customStyle="1" w:styleId="218">
    <w:name w:val="标题2"/>
    <w:basedOn w:val="2"/>
    <w:link w:val="217"/>
    <w:autoRedefine/>
    <w:qFormat/>
    <w:uiPriority w:val="0"/>
    <w:pPr>
      <w:spacing w:line="312" w:lineRule="auto"/>
    </w:pPr>
    <w:rPr>
      <w:rFonts w:ascii="宋体"/>
      <w:bCs w:val="0"/>
      <w:color w:val="92D050"/>
      <w:sz w:val="30"/>
      <w:szCs w:val="20"/>
    </w:rPr>
  </w:style>
  <w:style w:type="character" w:customStyle="1" w:styleId="219">
    <w:name w:val="批注引用1"/>
    <w:autoRedefine/>
    <w:qFormat/>
    <w:uiPriority w:val="0"/>
    <w:rPr>
      <w:sz w:val="21"/>
      <w:szCs w:val="21"/>
    </w:rPr>
  </w:style>
  <w:style w:type="character" w:customStyle="1" w:styleId="220">
    <w:name w:val="样式 宋体 行距: 固定值 24 磅 Char Char"/>
    <w:link w:val="221"/>
    <w:autoRedefine/>
    <w:semiHidden/>
    <w:qFormat/>
    <w:uiPriority w:val="0"/>
    <w:rPr>
      <w:rFonts w:ascii="宋体" w:cs="宋体"/>
      <w:color w:val="7030A0"/>
      <w:kern w:val="2"/>
      <w:sz w:val="28"/>
    </w:rPr>
  </w:style>
  <w:style w:type="paragraph" w:customStyle="1" w:styleId="221">
    <w:name w:val="样式 宋体 行距: 固定值 24 磅"/>
    <w:basedOn w:val="1"/>
    <w:link w:val="220"/>
    <w:autoRedefine/>
    <w:qFormat/>
    <w:uiPriority w:val="0"/>
    <w:pPr>
      <w:spacing w:line="480" w:lineRule="exact"/>
      <w:ind w:firstLine="585" w:firstLineChars="200"/>
      <w:jc w:val="left"/>
    </w:pPr>
    <w:rPr>
      <w:rFonts w:ascii="宋体"/>
      <w:color w:val="7030A0"/>
      <w:sz w:val="28"/>
      <w:szCs w:val="20"/>
    </w:rPr>
  </w:style>
  <w:style w:type="character" w:customStyle="1" w:styleId="222">
    <w:name w:val="批注主题 Char"/>
    <w:link w:val="223"/>
    <w:autoRedefine/>
    <w:semiHidden/>
    <w:qFormat/>
    <w:uiPriority w:val="0"/>
    <w:rPr>
      <w:rFonts w:ascii="Times New Roman" w:hAnsi="Times New Roman" w:eastAsia="宋体" w:cs="Times New Roman"/>
      <w:b/>
      <w:bCs/>
      <w:kern w:val="2"/>
      <w:sz w:val="21"/>
      <w:szCs w:val="24"/>
    </w:rPr>
  </w:style>
  <w:style w:type="paragraph" w:customStyle="1" w:styleId="223">
    <w:name w:val="批注主题1"/>
    <w:basedOn w:val="19"/>
    <w:next w:val="19"/>
    <w:link w:val="222"/>
    <w:autoRedefine/>
    <w:qFormat/>
    <w:uiPriority w:val="0"/>
    <w:rPr>
      <w:b/>
      <w:bCs/>
      <w:kern w:val="2"/>
      <w:sz w:val="21"/>
    </w:rPr>
  </w:style>
  <w:style w:type="character" w:customStyle="1" w:styleId="224">
    <w:name w:val="正文段落格式 Char Char"/>
    <w:autoRedefine/>
    <w:qFormat/>
    <w:uiPriority w:val="0"/>
    <w:rPr>
      <w:rFonts w:cs="宋体"/>
      <w:color w:val="7030A0"/>
      <w:kern w:val="2"/>
      <w:sz w:val="24"/>
    </w:rPr>
  </w:style>
  <w:style w:type="character" w:customStyle="1" w:styleId="225">
    <w:name w:val="dash6b63_6587__char1"/>
    <w:autoRedefine/>
    <w:qFormat/>
    <w:uiPriority w:val="0"/>
    <w:rPr>
      <w:rFonts w:hint="default" w:ascii="Calibri" w:hAnsi="Calibri" w:cs="Calibri"/>
      <w:sz w:val="20"/>
      <w:szCs w:val="20"/>
    </w:rPr>
  </w:style>
  <w:style w:type="paragraph" w:customStyle="1" w:styleId="226">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228">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29">
    <w:name w:val="级别3"/>
    <w:basedOn w:val="230"/>
    <w:autoRedefine/>
    <w:qFormat/>
    <w:uiPriority w:val="0"/>
    <w:pPr>
      <w:tabs>
        <w:tab w:val="left" w:pos="0"/>
      </w:tabs>
      <w:ind w:firstLine="425"/>
      <w:outlineLvl w:val="2"/>
    </w:pPr>
    <w:rPr>
      <w:b w:val="0"/>
    </w:rPr>
  </w:style>
  <w:style w:type="paragraph" w:customStyle="1" w:styleId="230">
    <w:name w:val="级别2"/>
    <w:basedOn w:val="2"/>
    <w:autoRedefine/>
    <w:qFormat/>
    <w:uiPriority w:val="0"/>
    <w:pPr>
      <w:tabs>
        <w:tab w:val="left" w:pos="0"/>
        <w:tab w:val="clear" w:pos="1440"/>
      </w:tabs>
      <w:adjustRightInd w:val="0"/>
      <w:snapToGrid w:val="0"/>
      <w:spacing w:line="360" w:lineRule="auto"/>
      <w:outlineLvl w:val="1"/>
    </w:pPr>
    <w:rPr>
      <w:rFonts w:ascii="宋体" w:hAnsi="宋体"/>
      <w:bCs w:val="0"/>
      <w:sz w:val="24"/>
      <w:szCs w:val="24"/>
    </w:rPr>
  </w:style>
  <w:style w:type="paragraph" w:customStyle="1" w:styleId="231">
    <w:name w:val="Char1 Char Char1 Char Char Char Char Char Char"/>
    <w:basedOn w:val="1"/>
    <w:autoRedefine/>
    <w:qFormat/>
    <w:uiPriority w:val="0"/>
  </w:style>
  <w:style w:type="paragraph" w:customStyle="1" w:styleId="232">
    <w:name w:val="Report Level 4"/>
    <w:basedOn w:val="233"/>
    <w:next w:val="235"/>
    <w:autoRedefine/>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233">
    <w:name w:val="Report Level 3"/>
    <w:basedOn w:val="234"/>
    <w:next w:val="235"/>
    <w:autoRedefine/>
    <w:qFormat/>
    <w:uiPriority w:val="0"/>
    <w:pPr>
      <w:tabs>
        <w:tab w:val="left" w:pos="1080"/>
        <w:tab w:val="left" w:pos="1889"/>
      </w:tabs>
      <w:spacing w:before="120"/>
      <w:ind w:left="1889" w:hanging="420"/>
      <w:outlineLvl w:val="2"/>
    </w:pPr>
    <w:rPr>
      <w:caps w:val="0"/>
      <w:sz w:val="20"/>
    </w:rPr>
  </w:style>
  <w:style w:type="paragraph" w:customStyle="1" w:styleId="234">
    <w:name w:val="Report Level 1"/>
    <w:basedOn w:val="1"/>
    <w:next w:val="235"/>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235">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236">
    <w:name w:val="样式 样式 样式 宋体 小四 左侧:  1.85 厘米 段前: 11.15 磅 段后: 11.15 磅 + 图案: 清除 (白色..."/>
    <w:basedOn w:val="237"/>
    <w:autoRedefine/>
    <w:qFormat/>
    <w:uiPriority w:val="0"/>
    <w:pPr>
      <w:spacing w:beforeLines="50" w:afterLines="50"/>
      <w:ind w:left="318"/>
    </w:pPr>
    <w:rPr>
      <w:szCs w:val="20"/>
    </w:rPr>
  </w:style>
  <w:style w:type="paragraph" w:customStyle="1" w:styleId="237">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238">
    <w:name w:val="Table Paragraph"/>
    <w:basedOn w:val="1"/>
    <w:autoRedefine/>
    <w:qFormat/>
    <w:uiPriority w:val="1"/>
    <w:pPr>
      <w:autoSpaceDE w:val="0"/>
      <w:autoSpaceDN w:val="0"/>
      <w:adjustRightInd w:val="0"/>
      <w:jc w:val="left"/>
    </w:pPr>
    <w:rPr>
      <w:kern w:val="0"/>
      <w:sz w:val="24"/>
    </w:rPr>
  </w:style>
  <w:style w:type="paragraph" w:customStyle="1" w:styleId="239">
    <w:name w:val="青岛正文"/>
    <w:basedOn w:val="1"/>
    <w:autoRedefine/>
    <w:qFormat/>
    <w:uiPriority w:val="0"/>
    <w:pPr>
      <w:spacing w:line="360" w:lineRule="auto"/>
    </w:pPr>
    <w:rPr>
      <w:sz w:val="28"/>
    </w:rPr>
  </w:style>
  <w:style w:type="paragraph" w:customStyle="1" w:styleId="240">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241">
    <w:name w:val="样式 目录 1 + 左侧:  3 字符"/>
    <w:basedOn w:val="40"/>
    <w:autoRedefine/>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Cs w:val="20"/>
    </w:rPr>
  </w:style>
  <w:style w:type="paragraph" w:customStyle="1" w:styleId="242">
    <w:name w:val="列表1"/>
    <w:basedOn w:val="1"/>
    <w:autoRedefine/>
    <w:qFormat/>
    <w:uiPriority w:val="0"/>
    <w:pPr>
      <w:ind w:left="200" w:hanging="200" w:hangingChars="200"/>
    </w:pPr>
    <w:rPr>
      <w:szCs w:val="20"/>
    </w:rPr>
  </w:style>
  <w:style w:type="paragraph" w:customStyle="1" w:styleId="243">
    <w:name w:val="xl46"/>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4">
    <w:name w:val="二级条标题"/>
    <w:basedOn w:val="245"/>
    <w:next w:val="1"/>
    <w:autoRedefine/>
    <w:qFormat/>
    <w:uiPriority w:val="0"/>
    <w:pPr>
      <w:tabs>
        <w:tab w:val="left" w:pos="425"/>
        <w:tab w:val="left" w:pos="525"/>
      </w:tabs>
      <w:ind w:firstLine="0" w:firstLineChars="0"/>
      <w:outlineLvl w:val="3"/>
    </w:pPr>
  </w:style>
  <w:style w:type="paragraph" w:customStyle="1" w:styleId="245">
    <w:name w:val="一级条标题"/>
    <w:basedOn w:val="1"/>
    <w:next w:val="1"/>
    <w:autoRedefine/>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246">
    <w:name w:val="xl28"/>
    <w:basedOn w:val="1"/>
    <w:autoRedefine/>
    <w:qFormat/>
    <w:uiPriority w:val="0"/>
    <w:pPr>
      <w:widowControl/>
      <w:spacing w:before="100" w:beforeAutospacing="1" w:after="100" w:afterAutospacing="1"/>
      <w:jc w:val="center"/>
    </w:pPr>
    <w:rPr>
      <w:kern w:val="0"/>
      <w:sz w:val="24"/>
    </w:rPr>
  </w:style>
  <w:style w:type="paragraph" w:customStyle="1" w:styleId="247">
    <w:name w:val="xl53"/>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48">
    <w:name w:val="xl32"/>
    <w:basedOn w:val="1"/>
    <w:autoRedefine/>
    <w:qFormat/>
    <w:uiPriority w:val="0"/>
    <w:pPr>
      <w:widowControl/>
      <w:spacing w:before="100" w:beforeAutospacing="1" w:after="100" w:afterAutospacing="1"/>
      <w:jc w:val="center"/>
    </w:pPr>
    <w:rPr>
      <w:b/>
      <w:bCs/>
      <w:kern w:val="0"/>
      <w:sz w:val="24"/>
      <w:u w:val="single"/>
    </w:rPr>
  </w:style>
  <w:style w:type="paragraph" w:customStyle="1" w:styleId="249">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250">
    <w:name w:val="Footer First"/>
    <w:basedOn w:val="38"/>
    <w:autoRedefine/>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51">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252">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253">
    <w:name w:val="xl2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5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55">
    <w:name w:val="四级条标题"/>
    <w:basedOn w:val="256"/>
    <w:next w:val="1"/>
    <w:autoRedefine/>
    <w:qFormat/>
    <w:uiPriority w:val="0"/>
    <w:pPr>
      <w:tabs>
        <w:tab w:val="left" w:pos="425"/>
        <w:tab w:val="left" w:pos="525"/>
      </w:tabs>
      <w:outlineLvl w:val="5"/>
    </w:pPr>
  </w:style>
  <w:style w:type="paragraph" w:customStyle="1" w:styleId="256">
    <w:name w:val="三级条标题"/>
    <w:basedOn w:val="244"/>
    <w:next w:val="1"/>
    <w:autoRedefine/>
    <w:qFormat/>
    <w:uiPriority w:val="0"/>
    <w:pPr>
      <w:outlineLvl w:val="4"/>
    </w:pPr>
  </w:style>
  <w:style w:type="paragraph" w:customStyle="1" w:styleId="25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58">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259">
    <w:name w:val="[基本段落]"/>
    <w:basedOn w:val="1"/>
    <w:autoRedefine/>
    <w:qFormat/>
    <w:uiPriority w:val="99"/>
    <w:pPr>
      <w:autoSpaceDE w:val="0"/>
      <w:autoSpaceDN w:val="0"/>
      <w:adjustRightInd w:val="0"/>
      <w:spacing w:line="288" w:lineRule="auto"/>
      <w:textAlignment w:val="center"/>
    </w:pPr>
    <w:rPr>
      <w:rFonts w:ascii="Adobe 宋体 Std L" w:hAnsi="Calibri" w:eastAsia="Adobe 宋体 Std L" w:cs="Adobe 宋体 Std L"/>
      <w:color w:val="000000"/>
      <w:kern w:val="0"/>
      <w:sz w:val="24"/>
      <w:lang w:val="zh-CN"/>
    </w:rPr>
  </w:style>
  <w:style w:type="paragraph" w:customStyle="1" w:styleId="260">
    <w:name w:val="样式4"/>
    <w:basedOn w:val="1"/>
    <w:next w:val="3"/>
    <w:autoRedefine/>
    <w:qFormat/>
    <w:uiPriority w:val="0"/>
    <w:pPr>
      <w:tabs>
        <w:tab w:val="left" w:pos="360"/>
      </w:tabs>
      <w:spacing w:line="360" w:lineRule="auto"/>
      <w:ind w:left="360" w:hanging="360"/>
    </w:pPr>
    <w:rPr>
      <w:rFonts w:ascii="宋体" w:hAnsi="宋体"/>
      <w:b/>
      <w:sz w:val="28"/>
      <w:szCs w:val="20"/>
    </w:rPr>
  </w:style>
  <w:style w:type="paragraph" w:customStyle="1" w:styleId="261">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262">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263">
    <w:name w:val="三级标题格式"/>
    <w:basedOn w:val="4"/>
    <w:autoRedefine/>
    <w:qFormat/>
    <w:uiPriority w:val="0"/>
    <w:pPr>
      <w:spacing w:before="0" w:afterLines="100" w:line="240" w:lineRule="auto"/>
      <w:jc w:val="left"/>
    </w:pPr>
    <w:rPr>
      <w:rFonts w:eastAsia="黑体"/>
      <w:b w:val="0"/>
      <w:sz w:val="28"/>
      <w:szCs w:val="28"/>
    </w:rPr>
  </w:style>
  <w:style w:type="paragraph" w:customStyle="1" w:styleId="264">
    <w:name w:val="表格文字格式"/>
    <w:basedOn w:val="1"/>
    <w:autoRedefine/>
    <w:qFormat/>
    <w:uiPriority w:val="0"/>
    <w:pPr>
      <w:snapToGrid w:val="0"/>
      <w:jc w:val="center"/>
    </w:pPr>
    <w:rPr>
      <w:rFonts w:cs="宋体"/>
      <w:szCs w:val="20"/>
    </w:rPr>
  </w:style>
  <w:style w:type="paragraph" w:customStyle="1" w:styleId="265">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266">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267">
    <w:name w:val="font6"/>
    <w:basedOn w:val="1"/>
    <w:autoRedefine/>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68">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69">
    <w:name w:val="样式 标题 5 + 右侧:  -0.18 字符"/>
    <w:basedOn w:val="1"/>
    <w:autoRedefine/>
    <w:qFormat/>
    <w:uiPriority w:val="0"/>
    <w:pPr>
      <w:tabs>
        <w:tab w:val="left" w:pos="1008"/>
      </w:tabs>
      <w:ind w:left="1134" w:hanging="1134"/>
    </w:pPr>
  </w:style>
  <w:style w:type="paragraph" w:customStyle="1" w:styleId="270">
    <w:name w:val="xl39"/>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71">
    <w:name w:val="列表接续1"/>
    <w:basedOn w:val="1"/>
    <w:autoRedefine/>
    <w:qFormat/>
    <w:uiPriority w:val="0"/>
    <w:pPr>
      <w:widowControl/>
      <w:spacing w:after="120"/>
      <w:ind w:left="420"/>
      <w:jc w:val="left"/>
    </w:pPr>
    <w:rPr>
      <w:rFonts w:ascii="宋体"/>
      <w:kern w:val="0"/>
      <w:sz w:val="22"/>
      <w:szCs w:val="20"/>
    </w:rPr>
  </w:style>
  <w:style w:type="paragraph" w:customStyle="1" w:styleId="272">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273">
    <w:name w:val="正文样式"/>
    <w:basedOn w:val="1"/>
    <w:autoRedefine/>
    <w:qFormat/>
    <w:uiPriority w:val="99"/>
    <w:pPr>
      <w:ind w:firstLine="480" w:firstLineChars="200"/>
    </w:pPr>
    <w:rPr>
      <w:sz w:val="30"/>
      <w:lang w:val="zh-CN"/>
    </w:rPr>
  </w:style>
  <w:style w:type="paragraph" w:customStyle="1" w:styleId="274">
    <w:name w:val="Body"/>
    <w:basedOn w:val="1"/>
    <w:autoRedefine/>
    <w:qFormat/>
    <w:uiPriority w:val="0"/>
    <w:pPr>
      <w:widowControl/>
      <w:tabs>
        <w:tab w:val="left" w:pos="1620"/>
      </w:tabs>
      <w:spacing w:before="80" w:after="80" w:line="288" w:lineRule="auto"/>
    </w:pPr>
    <w:rPr>
      <w:kern w:val="0"/>
      <w:szCs w:val="20"/>
      <w:lang w:eastAsia="en-US"/>
    </w:rPr>
  </w:style>
  <w:style w:type="paragraph" w:styleId="275">
    <w:name w:val="List Paragraph"/>
    <w:basedOn w:val="1"/>
    <w:autoRedefine/>
    <w:qFormat/>
    <w:uiPriority w:val="34"/>
    <w:pPr>
      <w:ind w:left="720"/>
      <w:contextualSpacing/>
    </w:pPr>
  </w:style>
  <w:style w:type="paragraph" w:customStyle="1" w:styleId="276">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7">
    <w:name w:val="註解方塊文字"/>
    <w:basedOn w:val="1"/>
    <w:autoRedefine/>
    <w:qFormat/>
    <w:uiPriority w:val="0"/>
    <w:pPr>
      <w:widowControl/>
      <w:jc w:val="left"/>
    </w:pPr>
    <w:rPr>
      <w:rFonts w:ascii="Arial" w:hAnsi="Arial" w:eastAsia="PMingLiU"/>
      <w:kern w:val="0"/>
      <w:sz w:val="18"/>
      <w:szCs w:val="18"/>
    </w:rPr>
  </w:style>
  <w:style w:type="paragraph" w:customStyle="1" w:styleId="278">
    <w:name w:val="xl52"/>
    <w:basedOn w:val="1"/>
    <w:autoRedefine/>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9">
    <w:name w:val="xl45"/>
    <w:basedOn w:val="1"/>
    <w:autoRedefine/>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8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1">
    <w:name w:val="标题四"/>
    <w:basedOn w:val="282"/>
    <w:autoRedefine/>
    <w:qFormat/>
    <w:uiPriority w:val="0"/>
    <w:pPr>
      <w:tabs>
        <w:tab w:val="left" w:pos="0"/>
      </w:tabs>
      <w:spacing w:line="360" w:lineRule="auto"/>
      <w:ind w:left="0"/>
    </w:pPr>
    <w:rPr>
      <w:rFonts w:ascii="Tahoma" w:hAnsi="Tahoma"/>
      <w:sz w:val="24"/>
      <w:szCs w:val="24"/>
    </w:rPr>
  </w:style>
  <w:style w:type="paragraph" w:customStyle="1" w:styleId="282">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3">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284">
    <w:name w:val="列出段落2"/>
    <w:basedOn w:val="1"/>
    <w:autoRedefine/>
    <w:qFormat/>
    <w:uiPriority w:val="99"/>
    <w:pPr>
      <w:ind w:firstLine="420" w:firstLineChars="200"/>
    </w:pPr>
  </w:style>
  <w:style w:type="paragraph" w:customStyle="1" w:styleId="285">
    <w:name w:val="样式 标题 2标题 1.1编号标题2head:2#2 headlinehheadlineS&amp;R2ERMH2He..."/>
    <w:basedOn w:val="3"/>
    <w:autoRedefine/>
    <w:qFormat/>
    <w:uiPriority w:val="0"/>
    <w:pPr>
      <w:spacing w:before="120" w:after="120" w:line="500" w:lineRule="exact"/>
      <w:jc w:val="left"/>
    </w:pPr>
    <w:rPr>
      <w:rFonts w:cs="宋体"/>
      <w:color w:val="C00000"/>
      <w:kern w:val="44"/>
      <w:sz w:val="28"/>
      <w:szCs w:val="20"/>
    </w:rPr>
  </w:style>
  <w:style w:type="paragraph" w:customStyle="1" w:styleId="286">
    <w:name w:val="xl41"/>
    <w:basedOn w:val="1"/>
    <w:autoRedefine/>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287">
    <w:name w:val="章节标题 BJ8"/>
    <w:basedOn w:val="131"/>
    <w:next w:val="131"/>
    <w:autoRedefine/>
    <w:qFormat/>
    <w:uiPriority w:val="0"/>
    <w:pPr>
      <w:ind w:firstLine="0" w:firstLineChars="0"/>
      <w:jc w:val="center"/>
    </w:pPr>
    <w:rPr>
      <w:rFonts w:eastAsia="黑体"/>
      <w:b/>
      <w:sz w:val="44"/>
      <w:szCs w:val="84"/>
    </w:rPr>
  </w:style>
  <w:style w:type="paragraph" w:customStyle="1" w:styleId="288">
    <w:name w:val="xl3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89">
    <w:name w:val="列出段落1"/>
    <w:basedOn w:val="1"/>
    <w:autoRedefine/>
    <w:qFormat/>
    <w:uiPriority w:val="34"/>
    <w:pPr>
      <w:ind w:firstLine="420" w:firstLineChars="200"/>
    </w:pPr>
    <w:rPr>
      <w:szCs w:val="20"/>
    </w:rPr>
  </w:style>
  <w:style w:type="paragraph" w:customStyle="1" w:styleId="290">
    <w:name w:val="_Style 2"/>
    <w:basedOn w:val="1"/>
    <w:autoRedefine/>
    <w:qFormat/>
    <w:uiPriority w:val="0"/>
    <w:pPr>
      <w:ind w:firstLine="420" w:firstLineChars="200"/>
    </w:pPr>
    <w:rPr>
      <w:rFonts w:ascii="Calibri" w:hAnsi="Calibri"/>
      <w:szCs w:val="22"/>
    </w:rPr>
  </w:style>
  <w:style w:type="paragraph" w:customStyle="1" w:styleId="291">
    <w:name w:val="样式 列表框 Char Char Char Char Char + 段后: 0.5 行"/>
    <w:basedOn w:val="292"/>
    <w:autoRedefine/>
    <w:qFormat/>
    <w:uiPriority w:val="0"/>
    <w:pPr>
      <w:tabs>
        <w:tab w:val="left" w:pos="420"/>
      </w:tabs>
      <w:spacing w:after="156"/>
    </w:pPr>
    <w:rPr>
      <w:szCs w:val="20"/>
    </w:rPr>
  </w:style>
  <w:style w:type="paragraph" w:customStyle="1" w:styleId="292">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93">
    <w:name w:val="*"/>
    <w:basedOn w:val="1"/>
    <w:autoRedefine/>
    <w:qFormat/>
    <w:uiPriority w:val="0"/>
    <w:pPr>
      <w:spacing w:line="360" w:lineRule="auto"/>
    </w:pPr>
    <w:rPr>
      <w:rFonts w:ascii="宋体" w:hAnsi="宋体"/>
      <w:kern w:val="0"/>
      <w:sz w:val="24"/>
    </w:rPr>
  </w:style>
  <w:style w:type="paragraph" w:customStyle="1" w:styleId="294">
    <w:name w:val="样式 样式 列表框 Char Char Char Char Char + 段后: 0.5 行 + 左侧:  6 字符 首行缩进..."/>
    <w:basedOn w:val="291"/>
    <w:autoRedefine/>
    <w:qFormat/>
    <w:uiPriority w:val="0"/>
    <w:pPr>
      <w:tabs>
        <w:tab w:val="left" w:pos="2297"/>
      </w:tabs>
      <w:ind w:left="2297" w:leftChars="0" w:hanging="420" w:firstLineChars="0"/>
    </w:pPr>
  </w:style>
  <w:style w:type="paragraph" w:customStyle="1" w:styleId="295">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29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97">
    <w:name w:val="Numbered List"/>
    <w:basedOn w:val="39"/>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98">
    <w:name w:val="表格标题"/>
    <w:basedOn w:val="6"/>
    <w:autoRedefine/>
    <w:qFormat/>
    <w:uiPriority w:val="0"/>
    <w:pPr>
      <w:tabs>
        <w:tab w:val="clear" w:pos="1008"/>
      </w:tabs>
      <w:spacing w:before="0" w:after="0" w:line="240" w:lineRule="auto"/>
      <w:ind w:left="0" w:firstLine="0"/>
      <w:jc w:val="center"/>
      <w:outlineLvl w:val="8"/>
    </w:pPr>
    <w:rPr>
      <w:b w:val="0"/>
      <w:sz w:val="21"/>
      <w:lang w:val="zh-CN"/>
    </w:rPr>
  </w:style>
  <w:style w:type="paragraph" w:customStyle="1" w:styleId="299">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300">
    <w:name w:val="List Paragraph1"/>
    <w:basedOn w:val="1"/>
    <w:next w:val="1"/>
    <w:autoRedefine/>
    <w:qFormat/>
    <w:uiPriority w:val="0"/>
    <w:pPr>
      <w:ind w:firstLine="420" w:firstLineChars="200"/>
    </w:pPr>
    <w:rPr>
      <w:rFonts w:ascii="Calibri" w:hAnsi="Calibri"/>
      <w:szCs w:val="22"/>
    </w:rPr>
  </w:style>
  <w:style w:type="paragraph" w:customStyle="1" w:styleId="301">
    <w:name w:val="招标文件》"/>
    <w:basedOn w:val="302"/>
    <w:autoRedefine/>
    <w:qFormat/>
    <w:uiPriority w:val="0"/>
    <w:pPr>
      <w:tabs>
        <w:tab w:val="left" w:pos="560"/>
      </w:tabs>
      <w:ind w:left="200" w:firstLine="0" w:firstLineChars="0"/>
    </w:pPr>
  </w:style>
  <w:style w:type="paragraph" w:customStyle="1" w:styleId="302">
    <w:name w:val="招标文件正文"/>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303">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304">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305">
    <w:name w:val="样式 标题 1标题 1 1编号标题1标题1 + 宋体 加粗"/>
    <w:basedOn w:val="2"/>
    <w:autoRedefine/>
    <w:qFormat/>
    <w:uiPriority w:val="0"/>
    <w:pPr>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306">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07">
    <w:name w:val="标题1"/>
    <w:basedOn w:val="2"/>
    <w:autoRedefine/>
    <w:qFormat/>
    <w:uiPriority w:val="0"/>
    <w:pPr>
      <w:tabs>
        <w:tab w:val="left" w:pos="450"/>
        <w:tab w:val="left" w:pos="709"/>
        <w:tab w:val="left" w:pos="907"/>
        <w:tab w:val="clear" w:pos="1440"/>
      </w:tabs>
      <w:adjustRightInd w:val="0"/>
      <w:spacing w:before="120" w:line="360" w:lineRule="auto"/>
      <w:ind w:left="450" w:hanging="450"/>
      <w:textAlignment w:val="baseline"/>
    </w:pPr>
    <w:rPr>
      <w:rFonts w:ascii="宋体" w:hAnsi="宋体"/>
      <w:bCs w:val="0"/>
      <w:sz w:val="28"/>
      <w:szCs w:val="20"/>
    </w:rPr>
  </w:style>
  <w:style w:type="paragraph" w:customStyle="1" w:styleId="308">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9">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310">
    <w:name w:val="xl48"/>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11">
    <w:name w:val="顺序编号-zlb"/>
    <w:basedOn w:val="312"/>
    <w:autoRedefine/>
    <w:qFormat/>
    <w:uiPriority w:val="0"/>
    <w:pPr>
      <w:tabs>
        <w:tab w:val="left" w:pos="0"/>
      </w:tabs>
      <w:ind w:firstLine="425"/>
      <w:outlineLvl w:val="8"/>
    </w:pPr>
  </w:style>
  <w:style w:type="paragraph" w:customStyle="1" w:styleId="312">
    <w:name w:val="级别4"/>
    <w:basedOn w:val="230"/>
    <w:autoRedefine/>
    <w:qFormat/>
    <w:uiPriority w:val="0"/>
    <w:pPr>
      <w:outlineLvl w:val="3"/>
    </w:pPr>
    <w:rPr>
      <w:b w:val="0"/>
      <w:kern w:val="0"/>
    </w:rPr>
  </w:style>
  <w:style w:type="paragraph" w:customStyle="1" w:styleId="313">
    <w:name w:val="二级标题格式"/>
    <w:basedOn w:val="3"/>
    <w:autoRedefine/>
    <w:qFormat/>
    <w:uiPriority w:val="0"/>
    <w:pPr>
      <w:spacing w:before="0" w:afterLines="100" w:line="240" w:lineRule="auto"/>
      <w:jc w:val="left"/>
    </w:pPr>
    <w:rPr>
      <w:rFonts w:ascii="Times New Roman" w:hAnsi="Times New Roman"/>
      <w:b w:val="0"/>
      <w:color w:val="C00000"/>
      <w:sz w:val="28"/>
      <w:szCs w:val="28"/>
    </w:rPr>
  </w:style>
  <w:style w:type="paragraph" w:customStyle="1" w:styleId="314">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315">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316">
    <w:name w:val="样式 样式 首行缩进:  2 字符 + 首行缩进:  2 字符"/>
    <w:basedOn w:val="1"/>
    <w:autoRedefine/>
    <w:qFormat/>
    <w:uiPriority w:val="0"/>
    <w:pPr>
      <w:spacing w:line="360" w:lineRule="auto"/>
      <w:ind w:firstLine="200" w:firstLineChars="200"/>
      <w:jc w:val="left"/>
    </w:pPr>
    <w:rPr>
      <w:rFonts w:cs="宋体"/>
      <w:color w:val="7030A0"/>
      <w:szCs w:val="20"/>
    </w:rPr>
  </w:style>
  <w:style w:type="paragraph" w:customStyle="1" w:styleId="31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8">
    <w:name w:val="专用"/>
    <w:basedOn w:val="1"/>
    <w:autoRedefine/>
    <w:qFormat/>
    <w:uiPriority w:val="0"/>
    <w:pPr>
      <w:spacing w:afterLines="100"/>
      <w:ind w:left="838" w:hanging="838" w:hangingChars="262"/>
    </w:pPr>
    <w:rPr>
      <w:rFonts w:ascii="宋体"/>
      <w:b/>
      <w:color w:val="000000"/>
      <w:sz w:val="32"/>
      <w:szCs w:val="20"/>
    </w:rPr>
  </w:style>
  <w:style w:type="paragraph" w:customStyle="1" w:styleId="319">
    <w:name w:val="Char1 Char Char Char"/>
    <w:basedOn w:val="1"/>
    <w:autoRedefine/>
    <w:qFormat/>
    <w:uiPriority w:val="0"/>
  </w:style>
  <w:style w:type="paragraph" w:customStyle="1" w:styleId="32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1">
    <w:name w:val="xl72"/>
    <w:basedOn w:val="1"/>
    <w:next w:val="34"/>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22">
    <w:name w:val="标准"/>
    <w:basedOn w:val="1"/>
    <w:autoRedefine/>
    <w:qFormat/>
    <w:uiPriority w:val="0"/>
    <w:pPr>
      <w:adjustRightInd w:val="0"/>
      <w:spacing w:line="312" w:lineRule="atLeast"/>
      <w:jc w:val="center"/>
      <w:textAlignment w:val="baseline"/>
    </w:pPr>
    <w:rPr>
      <w:kern w:val="24"/>
      <w:sz w:val="24"/>
    </w:rPr>
  </w:style>
  <w:style w:type="paragraph" w:customStyle="1" w:styleId="32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324">
    <w:name w:val="样式 列表框 Char Char Char Char Char + 右侧:  -0.05 字符 段后: 0.5 行"/>
    <w:basedOn w:val="325"/>
    <w:autoRedefine/>
    <w:qFormat/>
    <w:uiPriority w:val="0"/>
    <w:pPr>
      <w:tabs>
        <w:tab w:val="left" w:pos="375"/>
        <w:tab w:val="left" w:pos="450"/>
        <w:tab w:val="left" w:pos="874"/>
      </w:tabs>
      <w:ind w:left="0" w:firstLine="0"/>
    </w:pPr>
    <w:rPr>
      <w:szCs w:val="20"/>
    </w:rPr>
  </w:style>
  <w:style w:type="paragraph" w:customStyle="1" w:styleId="325">
    <w:name w:val="列表框 Char Char Char Char Char"/>
    <w:basedOn w:val="292"/>
    <w:next w:val="292"/>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326">
    <w:name w:val="表格正文"/>
    <w:basedOn w:val="1"/>
    <w:next w:val="1"/>
    <w:autoRedefine/>
    <w:qFormat/>
    <w:uiPriority w:val="0"/>
    <w:pPr>
      <w:adjustRightInd w:val="0"/>
      <w:snapToGrid w:val="0"/>
      <w:jc w:val="center"/>
    </w:pPr>
    <w:rPr>
      <w:color w:val="548DD4"/>
    </w:rPr>
  </w:style>
  <w:style w:type="paragraph" w:customStyle="1" w:styleId="327">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28">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329">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30">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31">
    <w:name w:val="五级"/>
    <w:basedOn w:val="3"/>
    <w:autoRedefine/>
    <w:qFormat/>
    <w:uiPriority w:val="0"/>
    <w:pPr>
      <w:tabs>
        <w:tab w:val="left" w:pos="851"/>
      </w:tabs>
      <w:spacing w:before="0" w:after="0" w:line="360" w:lineRule="auto"/>
      <w:ind w:left="851" w:hanging="851"/>
      <w:jc w:val="left"/>
    </w:pPr>
    <w:rPr>
      <w:rFonts w:ascii="宋体" w:hAnsi="宋体" w:eastAsia="宋体"/>
      <w:b w:val="0"/>
      <w:color w:val="C00000"/>
      <w:sz w:val="24"/>
    </w:rPr>
  </w:style>
  <w:style w:type="paragraph" w:customStyle="1" w:styleId="332">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333">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34">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335">
    <w:name w:val="默认段落字体 Para Char Char Char Char"/>
    <w:basedOn w:val="1"/>
    <w:autoRedefine/>
    <w:qFormat/>
    <w:uiPriority w:val="0"/>
    <w:rPr>
      <w:szCs w:val="20"/>
    </w:rPr>
  </w:style>
  <w:style w:type="paragraph" w:customStyle="1" w:styleId="336">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337">
    <w:name w:val="索引 11"/>
    <w:basedOn w:val="1"/>
    <w:next w:val="1"/>
    <w:autoRedefine/>
    <w:qFormat/>
    <w:uiPriority w:val="0"/>
    <w:pPr>
      <w:spacing w:line="360" w:lineRule="auto"/>
      <w:ind w:left="1149" w:leftChars="547"/>
    </w:pPr>
    <w:rPr>
      <w:szCs w:val="20"/>
    </w:rPr>
  </w:style>
  <w:style w:type="paragraph" w:customStyle="1" w:styleId="338">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339">
    <w:name w:val="xl40"/>
    <w:basedOn w:val="1"/>
    <w:autoRedefine/>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40">
    <w:name w:val="Sprechblasentext"/>
    <w:basedOn w:val="1"/>
    <w:autoRedefine/>
    <w:qFormat/>
    <w:uiPriority w:val="0"/>
    <w:pPr>
      <w:spacing w:line="300" w:lineRule="atLeast"/>
      <w:ind w:firstLine="709"/>
    </w:pPr>
    <w:rPr>
      <w:rFonts w:ascii="Tahoma" w:hAnsi="Tahoma" w:cs="Tahoma"/>
      <w:sz w:val="16"/>
      <w:szCs w:val="16"/>
    </w:rPr>
  </w:style>
  <w:style w:type="paragraph" w:customStyle="1" w:styleId="341">
    <w:name w:val="表格文字"/>
    <w:basedOn w:val="26"/>
    <w:next w:val="23"/>
    <w:autoRedefine/>
    <w:qFormat/>
    <w:uiPriority w:val="0"/>
  </w:style>
  <w:style w:type="paragraph" w:customStyle="1" w:styleId="342">
    <w:name w:val="font5"/>
    <w:basedOn w:val="1"/>
    <w:autoRedefine/>
    <w:qFormat/>
    <w:uiPriority w:val="0"/>
    <w:pPr>
      <w:widowControl/>
      <w:spacing w:before="100" w:beforeAutospacing="1" w:after="100" w:afterAutospacing="1"/>
      <w:jc w:val="left"/>
    </w:pPr>
    <w:rPr>
      <w:b/>
      <w:bCs/>
      <w:kern w:val="0"/>
      <w:sz w:val="22"/>
      <w:szCs w:val="22"/>
    </w:rPr>
  </w:style>
  <w:style w:type="paragraph" w:customStyle="1" w:styleId="343">
    <w:name w:val="註解方塊文字2"/>
    <w:basedOn w:val="1"/>
    <w:autoRedefine/>
    <w:qFormat/>
    <w:uiPriority w:val="0"/>
    <w:rPr>
      <w:rFonts w:ascii="Arial" w:hAnsi="Arial" w:eastAsia="PMingLiU"/>
      <w:color w:val="7030A0"/>
      <w:sz w:val="18"/>
      <w:szCs w:val="18"/>
    </w:rPr>
  </w:style>
  <w:style w:type="paragraph" w:customStyle="1" w:styleId="344">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5">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34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348">
    <w:name w:val="招标正文"/>
    <w:basedOn w:val="1"/>
    <w:autoRedefine/>
    <w:qFormat/>
    <w:uiPriority w:val="0"/>
    <w:pPr>
      <w:spacing w:line="360" w:lineRule="auto"/>
      <w:ind w:firstLine="480"/>
    </w:pPr>
    <w:rPr>
      <w:rFonts w:ascii="宋体" w:hAnsi="宋体"/>
      <w:sz w:val="24"/>
    </w:rPr>
  </w:style>
  <w:style w:type="paragraph" w:customStyle="1" w:styleId="349">
    <w:name w:val="Char"/>
    <w:basedOn w:val="1"/>
    <w:autoRedefine/>
    <w:qFormat/>
    <w:uiPriority w:val="0"/>
    <w:rPr>
      <w:rFonts w:ascii="仿宋_GB2312" w:eastAsia="仿宋_GB2312"/>
      <w:b/>
      <w:sz w:val="32"/>
      <w:szCs w:val="32"/>
    </w:rPr>
  </w:style>
  <w:style w:type="paragraph" w:customStyle="1" w:styleId="350">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351">
    <w:name w:val="列表 21"/>
    <w:basedOn w:val="1"/>
    <w:autoRedefine/>
    <w:qFormat/>
    <w:uiPriority w:val="0"/>
    <w:pPr>
      <w:widowControl/>
      <w:ind w:left="840" w:hanging="420"/>
      <w:jc w:val="left"/>
    </w:pPr>
    <w:rPr>
      <w:rFonts w:ascii="宋体"/>
      <w:kern w:val="0"/>
      <w:sz w:val="22"/>
      <w:szCs w:val="20"/>
    </w:rPr>
  </w:style>
  <w:style w:type="paragraph" w:customStyle="1" w:styleId="352">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3">
    <w:name w:val="xl50"/>
    <w:basedOn w:val="1"/>
    <w:autoRedefine/>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54">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55">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56">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57">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8">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359">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360">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1">
    <w:name w:val="通用"/>
    <w:basedOn w:val="1"/>
    <w:autoRedefine/>
    <w:qFormat/>
    <w:uiPriority w:val="0"/>
    <w:pPr>
      <w:spacing w:line="360" w:lineRule="auto"/>
      <w:ind w:left="840" w:leftChars="400"/>
    </w:pPr>
    <w:rPr>
      <w:rFonts w:ascii="宋体" w:hAnsi="宋体"/>
      <w:szCs w:val="20"/>
    </w:rPr>
  </w:style>
  <w:style w:type="paragraph" w:customStyle="1" w:styleId="362">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363">
    <w:name w:val="标题4"/>
    <w:basedOn w:val="1"/>
    <w:next w:val="1"/>
    <w:autoRedefine/>
    <w:qFormat/>
    <w:uiPriority w:val="0"/>
    <w:pPr>
      <w:keepNext/>
      <w:spacing w:line="360" w:lineRule="auto"/>
      <w:ind w:firstLine="200" w:firstLineChars="200"/>
      <w:jc w:val="left"/>
      <w:outlineLvl w:val="3"/>
    </w:pPr>
    <w:rPr>
      <w:b/>
      <w:kern w:val="0"/>
      <w:sz w:val="30"/>
    </w:rPr>
  </w:style>
  <w:style w:type="paragraph" w:customStyle="1" w:styleId="364">
    <w:name w:val="合同书"/>
    <w:basedOn w:val="1"/>
    <w:autoRedefine/>
    <w:qFormat/>
    <w:uiPriority w:val="0"/>
    <w:pPr>
      <w:spacing w:afterLines="100"/>
      <w:jc w:val="center"/>
    </w:pPr>
    <w:rPr>
      <w:rFonts w:hAnsi="宋体"/>
      <w:b/>
      <w:color w:val="000000"/>
      <w:sz w:val="44"/>
      <w:szCs w:val="44"/>
    </w:rPr>
  </w:style>
  <w:style w:type="paragraph" w:customStyle="1" w:styleId="365">
    <w:name w:val="xl47"/>
    <w:basedOn w:val="1"/>
    <w:autoRedefine/>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6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67">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368">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69">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370">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71">
    <w:name w:val="级别5"/>
    <w:basedOn w:val="312"/>
    <w:autoRedefine/>
    <w:qFormat/>
    <w:uiPriority w:val="0"/>
    <w:pPr>
      <w:outlineLvl w:val="4"/>
    </w:pPr>
  </w:style>
  <w:style w:type="paragraph" w:customStyle="1" w:styleId="37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3">
    <w:name w:val="xiao b"/>
    <w:basedOn w:val="1"/>
    <w:autoRedefine/>
    <w:qFormat/>
    <w:uiPriority w:val="0"/>
    <w:pPr>
      <w:ind w:firstLine="200" w:firstLineChars="200"/>
      <w:jc w:val="center"/>
    </w:pPr>
    <w:rPr>
      <w:rFonts w:eastAsia="黑体"/>
      <w:color w:val="7030A0"/>
      <w:sz w:val="24"/>
      <w:szCs w:val="20"/>
    </w:rPr>
  </w:style>
  <w:style w:type="paragraph" w:customStyle="1" w:styleId="374">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7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76">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377">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378">
    <w:name w:val="样式 样式 列表框 Char Char Char Char Char + 右侧:  -0.05 字符 段后: 0.5 行 + 右..."/>
    <w:basedOn w:val="324"/>
    <w:autoRedefine/>
    <w:qFormat/>
    <w:uiPriority w:val="0"/>
    <w:pPr>
      <w:tabs>
        <w:tab w:val="left" w:pos="630"/>
      </w:tabs>
    </w:pPr>
  </w:style>
  <w:style w:type="paragraph" w:customStyle="1" w:styleId="379">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380">
    <w:name w:val="xl49"/>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1">
    <w:name w:val="样式 标题 2 + Times New Roman 四号 非加粗 段前: 5 磅 段后: 0 磅 行距: 固定值 20..."/>
    <w:basedOn w:val="3"/>
    <w:autoRedefine/>
    <w:qFormat/>
    <w:uiPriority w:val="0"/>
    <w:pPr>
      <w:spacing w:before="100" w:line="400" w:lineRule="exact"/>
      <w:ind w:firstLine="200" w:firstLineChars="200"/>
    </w:pPr>
    <w:rPr>
      <w:rFonts w:ascii="Times New Roman" w:hAnsi="Times New Roman" w:cs="宋体"/>
      <w:b w:val="0"/>
      <w:sz w:val="28"/>
      <w:szCs w:val="20"/>
    </w:rPr>
  </w:style>
  <w:style w:type="paragraph" w:customStyle="1" w:styleId="38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3">
    <w:name w:val="xl51"/>
    <w:basedOn w:val="1"/>
    <w:autoRedefine/>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5">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386">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387">
    <w:name w:val="样式 标题 4 + 段前: 自动"/>
    <w:basedOn w:val="5"/>
    <w:autoRedefine/>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3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89">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90">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391">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392">
    <w:name w:val="索引标题1"/>
    <w:basedOn w:val="1"/>
    <w:next w:val="337"/>
    <w:autoRedefine/>
    <w:qFormat/>
    <w:uiPriority w:val="0"/>
  </w:style>
  <w:style w:type="paragraph" w:customStyle="1" w:styleId="393">
    <w:name w:val="列表框1"/>
    <w:basedOn w:val="308"/>
    <w:next w:val="308"/>
    <w:autoRedefine/>
    <w:qFormat/>
    <w:uiPriority w:val="0"/>
    <w:pPr>
      <w:tabs>
        <w:tab w:val="left" w:pos="960"/>
        <w:tab w:val="left" w:pos="1314"/>
      </w:tabs>
      <w:snapToGrid w:val="0"/>
      <w:ind w:left="1328" w:leftChars="397" w:hanging="375" w:hangingChars="163"/>
    </w:pPr>
    <w:rPr>
      <w:rFonts w:cs="Arial"/>
    </w:rPr>
  </w:style>
  <w:style w:type="paragraph" w:customStyle="1" w:styleId="394">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5">
    <w:name w:val="表格"/>
    <w:basedOn w:val="1"/>
    <w:autoRedefine/>
    <w:qFormat/>
    <w:uiPriority w:val="0"/>
    <w:pPr>
      <w:widowControl/>
      <w:snapToGrid w:val="0"/>
      <w:spacing w:before="60" w:after="60"/>
      <w:jc w:val="left"/>
    </w:pPr>
    <w:rPr>
      <w:rFonts w:ascii="宋体"/>
      <w:sz w:val="20"/>
      <w:szCs w:val="20"/>
    </w:rPr>
  </w:style>
  <w:style w:type="paragraph" w:customStyle="1" w:styleId="396">
    <w:name w:val="*正文"/>
    <w:basedOn w:val="1"/>
    <w:next w:val="1"/>
    <w:autoRedefine/>
    <w:qFormat/>
    <w:uiPriority w:val="0"/>
    <w:pPr>
      <w:widowControl/>
      <w:ind w:firstLine="482"/>
    </w:pPr>
    <w:rPr>
      <w:rFonts w:ascii="微软雅黑" w:hAnsi="微软雅黑" w:eastAsia="微软雅黑"/>
    </w:rPr>
  </w:style>
  <w:style w:type="paragraph" w:customStyle="1" w:styleId="397">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398">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99">
    <w:name w:val="图文"/>
    <w:basedOn w:val="1"/>
    <w:autoRedefine/>
    <w:qFormat/>
    <w:uiPriority w:val="0"/>
    <w:pPr>
      <w:adjustRightInd w:val="0"/>
      <w:snapToGrid w:val="0"/>
      <w:spacing w:after="50" w:line="360" w:lineRule="auto"/>
    </w:pPr>
    <w:rPr>
      <w:sz w:val="24"/>
    </w:rPr>
  </w:style>
  <w:style w:type="paragraph" w:customStyle="1" w:styleId="40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01">
    <w:name w:val="文本块1"/>
    <w:basedOn w:val="1"/>
    <w:autoRedefine/>
    <w:qFormat/>
    <w:uiPriority w:val="0"/>
    <w:pPr>
      <w:tabs>
        <w:tab w:val="left" w:pos="8364"/>
      </w:tabs>
      <w:ind w:left="840" w:right="-57" w:hanging="300"/>
    </w:pPr>
    <w:rPr>
      <w:rFonts w:ascii="宋体"/>
      <w:szCs w:val="20"/>
    </w:rPr>
  </w:style>
  <w:style w:type="paragraph" w:customStyle="1" w:styleId="402">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403">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04">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405">
    <w:name w:val="一级标题"/>
    <w:autoRedefine/>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406">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407">
    <w:name w:val="修订1"/>
    <w:autoRedefine/>
    <w:qFormat/>
    <w:uiPriority w:val="0"/>
    <w:rPr>
      <w:rFonts w:ascii="Times New Roman" w:hAnsi="Times New Roman" w:eastAsia="宋体" w:cs="Times New Roman"/>
      <w:kern w:val="2"/>
      <w:sz w:val="21"/>
      <w:lang w:val="en-US" w:eastAsia="zh-CN" w:bidi="ar-SA"/>
    </w:rPr>
  </w:style>
  <w:style w:type="paragraph" w:customStyle="1" w:styleId="408">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9">
    <w:name w:val="小标题一"/>
    <w:basedOn w:val="1"/>
    <w:next w:val="1"/>
    <w:autoRedefine/>
    <w:qFormat/>
    <w:uiPriority w:val="0"/>
    <w:pPr>
      <w:tabs>
        <w:tab w:val="left" w:pos="1080"/>
      </w:tabs>
      <w:spacing w:line="500" w:lineRule="exact"/>
      <w:ind w:left="1080" w:hanging="1080"/>
    </w:pPr>
    <w:rPr>
      <w:sz w:val="28"/>
      <w:szCs w:val="20"/>
    </w:rPr>
  </w:style>
  <w:style w:type="paragraph" w:customStyle="1" w:styleId="410">
    <w:name w:val="一"/>
    <w:basedOn w:val="2"/>
    <w:autoRedefine/>
    <w:qFormat/>
    <w:uiPriority w:val="0"/>
    <w:pPr>
      <w:autoSpaceDE w:val="0"/>
      <w:autoSpaceDN w:val="0"/>
      <w:adjustRightInd w:val="0"/>
      <w:spacing w:line="360" w:lineRule="auto"/>
      <w:jc w:val="left"/>
    </w:pPr>
    <w:rPr>
      <w:rFonts w:ascii="宋体" w:hAnsi="宋体"/>
      <w:kern w:val="0"/>
      <w:sz w:val="28"/>
      <w:szCs w:val="20"/>
    </w:rPr>
  </w:style>
  <w:style w:type="paragraph" w:customStyle="1" w:styleId="411">
    <w:name w:val="批注框文本1"/>
    <w:basedOn w:val="1"/>
    <w:autoRedefine/>
    <w:qFormat/>
    <w:uiPriority w:val="0"/>
    <w:rPr>
      <w:sz w:val="16"/>
      <w:szCs w:val="16"/>
    </w:rPr>
  </w:style>
  <w:style w:type="paragraph" w:customStyle="1" w:styleId="412">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13">
    <w:name w:val="xl87"/>
    <w:basedOn w:val="1"/>
    <w:next w:val="321"/>
    <w:autoRedefine/>
    <w:qFormat/>
    <w:uiPriority w:val="0"/>
    <w:pPr>
      <w:widowControl/>
      <w:shd w:val="clear" w:color="FFFFFF" w:fill="FFFFFF"/>
      <w:spacing w:before="280" w:after="280"/>
      <w:jc w:val="right"/>
    </w:pPr>
    <w:rPr>
      <w:rFonts w:ascii="宋体"/>
      <w:kern w:val="0"/>
      <w:sz w:val="24"/>
    </w:rPr>
  </w:style>
  <w:style w:type="paragraph" w:customStyle="1" w:styleId="414">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5">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6">
    <w:name w:val="Char Char10 Char Char Char Char"/>
    <w:basedOn w:val="1"/>
    <w:next w:val="413"/>
    <w:autoRedefine/>
    <w:qFormat/>
    <w:uiPriority w:val="0"/>
    <w:rPr>
      <w:rFonts w:ascii="Calibri" w:hAnsi="Calibri"/>
      <w:kern w:val="0"/>
    </w:rPr>
  </w:style>
  <w:style w:type="paragraph" w:customStyle="1" w:styleId="417">
    <w:name w:val="样式 标题 2标题 1.1head:2#2 headlinehheadlineS&amp;R2ERMH2Head 2 +..."/>
    <w:basedOn w:val="3"/>
    <w:autoRedefine/>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418">
    <w:name w:val="xl24"/>
    <w:basedOn w:val="1"/>
    <w:autoRedefine/>
    <w:qFormat/>
    <w:uiPriority w:val="0"/>
    <w:pPr>
      <w:widowControl/>
      <w:spacing w:before="100" w:beforeAutospacing="1" w:after="100" w:afterAutospacing="1"/>
      <w:jc w:val="left"/>
    </w:pPr>
    <w:rPr>
      <w:kern w:val="0"/>
      <w:sz w:val="24"/>
    </w:rPr>
  </w:style>
  <w:style w:type="paragraph" w:customStyle="1" w:styleId="419">
    <w:name w:val="Char Char Char Char"/>
    <w:basedOn w:val="192"/>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420">
    <w:name w:val="font7"/>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421">
    <w:name w:val="五级条标题"/>
    <w:basedOn w:val="255"/>
    <w:next w:val="1"/>
    <w:autoRedefine/>
    <w:qFormat/>
    <w:uiPriority w:val="0"/>
    <w:pPr>
      <w:outlineLvl w:val="6"/>
    </w:pPr>
  </w:style>
  <w:style w:type="paragraph" w:customStyle="1" w:styleId="422">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423">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424">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425">
    <w:name w:val="样式 标题 3 + (中文) 黑体 小四 非加粗 段前: 7.8 磅 段后: 0 磅 行距: 固定值 20 磅"/>
    <w:basedOn w:val="4"/>
    <w:autoRedefine/>
    <w:qFormat/>
    <w:uiPriority w:val="0"/>
    <w:pPr>
      <w:spacing w:line="400" w:lineRule="exact"/>
      <w:ind w:firstLine="200" w:firstLineChars="200"/>
    </w:pPr>
    <w:rPr>
      <w:rFonts w:eastAsia="黑体" w:cs="宋体"/>
      <w:b w:val="0"/>
      <w:szCs w:val="20"/>
    </w:rPr>
  </w:style>
  <w:style w:type="paragraph" w:customStyle="1" w:styleId="426">
    <w:name w:val="级别6"/>
    <w:basedOn w:val="371"/>
    <w:autoRedefine/>
    <w:qFormat/>
    <w:uiPriority w:val="0"/>
    <w:pPr>
      <w:tabs>
        <w:tab w:val="left" w:pos="405"/>
      </w:tabs>
      <w:ind w:left="409" w:hanging="23"/>
      <w:outlineLvl w:val="5"/>
    </w:pPr>
  </w:style>
  <w:style w:type="paragraph" w:customStyle="1" w:styleId="427">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428">
    <w:name w:val="章节标题 QD3"/>
    <w:basedOn w:val="189"/>
    <w:next w:val="189"/>
    <w:autoRedefine/>
    <w:qFormat/>
    <w:uiPriority w:val="0"/>
    <w:pPr>
      <w:ind w:firstLine="0" w:firstLineChars="0"/>
      <w:jc w:val="center"/>
    </w:pPr>
    <w:rPr>
      <w:rFonts w:eastAsia="黑体"/>
      <w:b/>
      <w:sz w:val="44"/>
      <w:szCs w:val="84"/>
    </w:rPr>
  </w:style>
  <w:style w:type="paragraph" w:customStyle="1" w:styleId="429">
    <w:name w:val="无间隔11"/>
    <w:autoRedefine/>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430">
    <w:name w:val="样式 目录 1"/>
    <w:basedOn w:val="40"/>
    <w:autoRedefine/>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Cs w:val="20"/>
    </w:rPr>
  </w:style>
  <w:style w:type="paragraph" w:customStyle="1" w:styleId="431">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432">
    <w:name w:val="表格内文字"/>
    <w:basedOn w:val="1"/>
    <w:autoRedefine/>
    <w:qFormat/>
    <w:uiPriority w:val="0"/>
    <w:pPr>
      <w:widowControl/>
      <w:tabs>
        <w:tab w:val="left" w:pos="780"/>
      </w:tabs>
      <w:spacing w:line="360" w:lineRule="auto"/>
      <w:ind w:left="768" w:hanging="360"/>
    </w:pPr>
    <w:rPr>
      <w:sz w:val="18"/>
      <w:szCs w:val="20"/>
    </w:rPr>
  </w:style>
  <w:style w:type="paragraph" w:customStyle="1" w:styleId="43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434">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35">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436">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437">
    <w:name w:val="文档正文"/>
    <w:basedOn w:val="1"/>
    <w:autoRedefine/>
    <w:qFormat/>
    <w:uiPriority w:val="0"/>
    <w:pPr>
      <w:spacing w:line="360" w:lineRule="auto"/>
      <w:ind w:firstLine="200" w:firstLineChars="200"/>
    </w:pPr>
    <w:rPr>
      <w:rFonts w:ascii="宋体" w:hAnsi="宋体"/>
      <w:sz w:val="24"/>
    </w:rPr>
  </w:style>
  <w:style w:type="paragraph" w:customStyle="1" w:styleId="438">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43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40">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441">
    <w:name w:val="1"/>
    <w:basedOn w:val="1"/>
    <w:next w:val="203"/>
    <w:autoRedefine/>
    <w:qFormat/>
    <w:uiPriority w:val="0"/>
    <w:pPr>
      <w:spacing w:after="120" w:line="480" w:lineRule="auto"/>
      <w:ind w:firstLine="200" w:firstLineChars="200"/>
      <w:jc w:val="left"/>
    </w:pPr>
    <w:rPr>
      <w:color w:val="7030A0"/>
    </w:rPr>
  </w:style>
  <w:style w:type="paragraph" w:customStyle="1" w:styleId="442">
    <w:name w:val="xl44"/>
    <w:basedOn w:val="1"/>
    <w:autoRedefine/>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443">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44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45">
    <w:name w:val="样式 标题 4 + 加粗"/>
    <w:basedOn w:val="5"/>
    <w:autoRedefine/>
    <w:qFormat/>
    <w:uiPriority w:val="0"/>
    <w:pPr>
      <w:spacing w:before="120" w:after="0" w:line="240" w:lineRule="auto"/>
      <w:jc w:val="left"/>
    </w:pPr>
    <w:rPr>
      <w:rFonts w:ascii="Times New Roman" w:hAnsi="Times New Roman"/>
      <w:b w:val="0"/>
      <w:color w:val="00B050"/>
      <w:sz w:val="24"/>
    </w:rPr>
  </w:style>
  <w:style w:type="paragraph" w:customStyle="1" w:styleId="446">
    <w:name w:val="Char Char Char Char Char Char1 Char Char Char Char"/>
    <w:basedOn w:val="1"/>
    <w:autoRedefine/>
    <w:qFormat/>
    <w:uiPriority w:val="0"/>
    <w:rPr>
      <w:rFonts w:ascii="仿宋_GB2312" w:eastAsia="仿宋_GB2312"/>
      <w:b/>
      <w:sz w:val="32"/>
      <w:szCs w:val="32"/>
    </w:rPr>
  </w:style>
  <w:style w:type="paragraph" w:customStyle="1" w:styleId="447">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448">
    <w:name w:val="Sub title 1"/>
    <w:basedOn w:val="352"/>
    <w:autoRedefine/>
    <w:qFormat/>
    <w:uiPriority w:val="0"/>
    <w:pPr>
      <w:tabs>
        <w:tab w:val="left" w:pos="1304"/>
      </w:tabs>
      <w:ind w:left="1304" w:hanging="170"/>
    </w:pPr>
    <w:rPr>
      <w:color w:val="auto"/>
    </w:rPr>
  </w:style>
  <w:style w:type="paragraph" w:customStyle="1" w:styleId="449">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450">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51">
    <w:name w:val="样式3"/>
    <w:basedOn w:val="4"/>
    <w:next w:val="1"/>
    <w:autoRedefine/>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52">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453">
    <w:name w:val="八级正文格式"/>
    <w:basedOn w:val="114"/>
    <w:autoRedefine/>
    <w:qFormat/>
    <w:uiPriority w:val="0"/>
    <w:pPr>
      <w:spacing w:after="120"/>
      <w:ind w:firstLine="0" w:firstLineChars="0"/>
    </w:pPr>
  </w:style>
  <w:style w:type="paragraph" w:customStyle="1" w:styleId="454">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55">
    <w:name w:val="三点段 Char"/>
    <w:basedOn w:val="1"/>
    <w:autoRedefine/>
    <w:qFormat/>
    <w:uiPriority w:val="0"/>
    <w:pPr>
      <w:spacing w:line="360" w:lineRule="auto"/>
      <w:ind w:left="1200" w:hanging="1200" w:hangingChars="500"/>
    </w:pPr>
    <w:rPr>
      <w:rFonts w:hint="eastAsia" w:ascii="宋体"/>
      <w:sz w:val="24"/>
    </w:rPr>
  </w:style>
  <w:style w:type="paragraph" w:customStyle="1" w:styleId="456">
    <w:name w:val="引文目录标题1"/>
    <w:basedOn w:val="1"/>
    <w:next w:val="1"/>
    <w:autoRedefine/>
    <w:qFormat/>
    <w:uiPriority w:val="0"/>
    <w:pPr>
      <w:spacing w:before="120"/>
    </w:pPr>
    <w:rPr>
      <w:rFonts w:ascii="Arial" w:hAnsi="Arial" w:cs="Arial"/>
      <w:sz w:val="24"/>
    </w:rPr>
  </w:style>
  <w:style w:type="paragraph" w:customStyle="1" w:styleId="457">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458">
    <w:name w:val="1.1"/>
    <w:basedOn w:val="3"/>
    <w:autoRedefine/>
    <w:qFormat/>
    <w:uiPriority w:val="0"/>
    <w:pPr>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45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0">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61">
    <w:name w:val="级别1"/>
    <w:basedOn w:val="2"/>
    <w:autoRedefine/>
    <w:qFormat/>
    <w:uiPriority w:val="0"/>
    <w:pPr>
      <w:tabs>
        <w:tab w:val="left" w:pos="-1620"/>
        <w:tab w:val="clear" w:pos="1440"/>
      </w:tabs>
      <w:adjustRightInd w:val="0"/>
      <w:snapToGrid w:val="0"/>
      <w:spacing w:line="360" w:lineRule="auto"/>
      <w:ind w:left="2098" w:hanging="2098"/>
    </w:pPr>
    <w:rPr>
      <w:rFonts w:ascii="宋体" w:hAnsi="宋体"/>
      <w:bCs w:val="0"/>
      <w:sz w:val="28"/>
      <w:szCs w:val="28"/>
    </w:rPr>
  </w:style>
  <w:style w:type="paragraph" w:customStyle="1" w:styleId="462">
    <w:name w:val="TOC 标题1"/>
    <w:basedOn w:val="2"/>
    <w:next w:val="1"/>
    <w:autoRedefine/>
    <w:qFormat/>
    <w:uiPriority w:val="0"/>
    <w:pPr>
      <w:widowControl/>
      <w:spacing w:before="480" w:line="276" w:lineRule="auto"/>
      <w:jc w:val="left"/>
      <w:outlineLvl w:val="9"/>
    </w:pPr>
    <w:rPr>
      <w:rFonts w:ascii="Cambria" w:hAnsi="Cambria"/>
      <w:color w:val="365F91"/>
      <w:kern w:val="0"/>
      <w:sz w:val="30"/>
      <w:szCs w:val="28"/>
    </w:rPr>
  </w:style>
  <w:style w:type="paragraph" w:customStyle="1" w:styleId="463">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464">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465">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466">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467">
    <w:name w:val="正缩2字符"/>
    <w:basedOn w:val="1"/>
    <w:autoRedefine/>
    <w:qFormat/>
    <w:uiPriority w:val="0"/>
    <w:pPr>
      <w:spacing w:line="480" w:lineRule="exact"/>
      <w:ind w:firstLine="200" w:firstLineChars="200"/>
    </w:pPr>
    <w:rPr>
      <w:sz w:val="24"/>
    </w:rPr>
  </w:style>
  <w:style w:type="paragraph" w:customStyle="1" w:styleId="468">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469">
    <w:name w:val="Report Level 2"/>
    <w:basedOn w:val="234"/>
    <w:next w:val="235"/>
    <w:autoRedefine/>
    <w:qFormat/>
    <w:uiPriority w:val="0"/>
    <w:pPr>
      <w:tabs>
        <w:tab w:val="left" w:pos="1500"/>
        <w:tab w:val="clear" w:pos="1080"/>
      </w:tabs>
      <w:ind w:left="1500"/>
      <w:outlineLvl w:val="1"/>
    </w:pPr>
    <w:rPr>
      <w:caps w:val="0"/>
    </w:rPr>
  </w:style>
  <w:style w:type="paragraph" w:customStyle="1" w:styleId="470">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71">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72">
    <w:name w:val="正文2"/>
    <w:basedOn w:val="23"/>
    <w:autoRedefine/>
    <w:qFormat/>
    <w:uiPriority w:val="0"/>
    <w:pPr>
      <w:ind w:firstLine="480" w:firstLineChars="200"/>
      <w:jc w:val="left"/>
    </w:pPr>
    <w:rPr>
      <w:rFonts w:ascii="宋体"/>
      <w:color w:val="7030A0"/>
    </w:rPr>
  </w:style>
  <w:style w:type="paragraph" w:customStyle="1" w:styleId="473">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474">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475">
    <w:name w:val="标书正文"/>
    <w:basedOn w:val="1"/>
    <w:autoRedefine/>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476">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77">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478">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479">
    <w:name w:val="Char2"/>
    <w:basedOn w:val="1"/>
    <w:autoRedefine/>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480">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481">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table" w:customStyle="1" w:styleId="482">
    <w:name w:val="Table Normal"/>
    <w:autoRedefine/>
    <w:unhideWhenUsed/>
    <w:qFormat/>
    <w:uiPriority w:val="0"/>
    <w:tblPr>
      <w:tblCellMar>
        <w:top w:w="0" w:type="dxa"/>
        <w:left w:w="0" w:type="dxa"/>
        <w:bottom w:w="0" w:type="dxa"/>
        <w:right w:w="0" w:type="dxa"/>
      </w:tblCellMar>
    </w:tblPr>
  </w:style>
  <w:style w:type="paragraph" w:customStyle="1" w:styleId="483">
    <w:name w:val="Body text|1"/>
    <w:basedOn w:val="1"/>
    <w:autoRedefine/>
    <w:qFormat/>
    <w:uiPriority w:val="0"/>
    <w:pPr>
      <w:spacing w:line="456" w:lineRule="auto"/>
      <w:ind w:firstLine="400"/>
    </w:pPr>
    <w:rPr>
      <w:rFonts w:ascii="宋体" w:hAnsi="宋体" w:cs="宋体"/>
      <w:sz w:val="28"/>
      <w:szCs w:val="28"/>
      <w:lang w:val="zh-TW" w:eastAsia="zh-TW" w:bidi="zh-TW"/>
    </w:rPr>
  </w:style>
  <w:style w:type="paragraph" w:customStyle="1" w:styleId="484">
    <w:name w:val="Table Text"/>
    <w:basedOn w:val="1"/>
    <w:autoRedefine/>
    <w:semiHidden/>
    <w:qFormat/>
    <w:uiPriority w:val="0"/>
    <w:rPr>
      <w:rFonts w:ascii="宋体" w:hAnsi="宋体" w:cs="宋体"/>
      <w:sz w:val="24"/>
      <w:lang w:eastAsia="en-US"/>
    </w:rPr>
  </w:style>
  <w:style w:type="character" w:customStyle="1" w:styleId="485">
    <w:name w:val="font61"/>
    <w:basedOn w:val="55"/>
    <w:qFormat/>
    <w:uiPriority w:val="0"/>
    <w:rPr>
      <w:rFonts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3737</Words>
  <Characters>4173</Characters>
  <Lines>207</Lines>
  <Paragraphs>58</Paragraphs>
  <TotalTime>7</TotalTime>
  <ScaleCrop>false</ScaleCrop>
  <LinksUpToDate>false</LinksUpToDate>
  <CharactersWithSpaces>4225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2022-10-16T12:05:00Z</dcterms:created>
  <dc:creator>wmq</dc:creator>
  <cp:lastModifiedBy>blackcat626</cp:lastModifiedBy>
  <cp:lastPrinted>2026-01-06T04:32:11Z</cp:lastPrinted>
  <dcterms:modified xsi:type="dcterms:W3CDTF">2026-01-06T04:39:37Z</dcterms:modified>
  <dc:title>适用一般货物采购/非建筑设备货物采购含安装等伴随服务</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8B9F9B726B144F71A55837B0932DA050_13</vt:lpwstr>
  </property>
  <property fmtid="{D5CDD505-2E9C-101B-9397-08002B2CF9AE}" pid="4" name="KSOTemplateDocerSaveRecord">
    <vt:lpwstr>eyJoZGlkIjoiMTk5OGUzMjVmNzJlNGMzNmE0OTA2OWYxZTIxNjYxZjciLCJ1c2VySWQiOiI1MzkzMjI4MTAifQ==</vt:lpwstr>
  </property>
</Properties>
</file>