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b/>
          <w:bCs/>
          <w:sz w:val="44"/>
          <w:szCs w:val="44"/>
        </w:rPr>
      </w:pPr>
    </w:p>
    <w:p>
      <w:pPr>
        <w:rPr>
          <w:rFonts w:ascii="宋体" w:hAnsi="宋体"/>
          <w:sz w:val="28"/>
        </w:rPr>
      </w:pPr>
      <w:r>
        <w:rPr>
          <w:rFonts w:hint="eastAsia" w:ascii="宋体" w:hAnsi="宋体"/>
          <w:sz w:val="28"/>
        </w:rPr>
        <w:t>合同编号：</w:t>
      </w:r>
      <w:bookmarkStart w:id="3" w:name="_GoBack"/>
      <w:r>
        <w:rPr>
          <w:rFonts w:hint="eastAsia" w:ascii="宋体" w:hAnsi="宋体"/>
          <w:sz w:val="28"/>
        </w:rPr>
        <w:t>豫财磋商采购-2023-663</w:t>
      </w:r>
      <w:bookmarkEnd w:id="3"/>
      <w:r>
        <w:rPr>
          <w:rFonts w:hint="eastAsia" w:ascii="宋体" w:hAnsi="宋体"/>
          <w:sz w:val="28"/>
        </w:rPr>
        <w:t xml:space="preserve">  </w:t>
      </w:r>
    </w:p>
    <w:p>
      <w:pPr>
        <w:jc w:val="center"/>
        <w:rPr>
          <w:rFonts w:ascii="宋体" w:hAnsi="宋体"/>
          <w:sz w:val="52"/>
        </w:rPr>
      </w:pPr>
    </w:p>
    <w:p>
      <w:pPr>
        <w:jc w:val="center"/>
        <w:rPr>
          <w:rFonts w:ascii="宋体" w:hAnsi="宋体"/>
          <w:sz w:val="52"/>
        </w:rPr>
      </w:pPr>
      <w:r>
        <w:rPr>
          <w:rFonts w:hint="eastAsia" w:ascii="宋体" w:hAnsi="宋体"/>
          <w:sz w:val="52"/>
        </w:rPr>
        <w:t>货物（</w:t>
      </w:r>
      <w:r>
        <w:rPr>
          <w:rFonts w:hint="eastAsia" w:ascii="宋体" w:hAnsi="宋体"/>
          <w:sz w:val="52"/>
          <w:u w:val="single"/>
        </w:rPr>
        <w:t>设备</w:t>
      </w:r>
      <w:r>
        <w:rPr>
          <w:rFonts w:hint="eastAsia" w:ascii="宋体" w:hAnsi="宋体"/>
          <w:sz w:val="52"/>
        </w:rPr>
        <w:t>）采购合同</w:t>
      </w:r>
    </w:p>
    <w:p>
      <w:pPr>
        <w:jc w:val="center"/>
        <w:rPr>
          <w:rFonts w:ascii="宋体" w:hAnsi="宋体"/>
          <w:sz w:val="36"/>
        </w:rPr>
      </w:pPr>
    </w:p>
    <w:p>
      <w:pPr>
        <w:jc w:val="center"/>
        <w:rPr>
          <w:rFonts w:ascii="宋体" w:hAnsi="宋体"/>
          <w:sz w:val="36"/>
        </w:rPr>
      </w:pPr>
    </w:p>
    <w:p>
      <w:pPr>
        <w:jc w:val="center"/>
        <w:rPr>
          <w:rFonts w:ascii="宋体" w:hAnsi="宋体"/>
          <w:sz w:val="36"/>
          <w:u w:val="single"/>
        </w:rPr>
      </w:pPr>
      <w:r>
        <w:rPr>
          <w:rFonts w:hint="eastAsia" w:ascii="宋体" w:hAnsi="宋体"/>
          <w:sz w:val="36"/>
        </w:rPr>
        <w:t>项目名称：河南大学农学院植物与微生物互作平台二期建设项目</w:t>
      </w:r>
    </w:p>
    <w:p>
      <w:pPr>
        <w:rPr>
          <w:rFonts w:ascii="宋体" w:hAnsi="宋体"/>
          <w:sz w:val="36"/>
          <w:u w:val="single"/>
        </w:rPr>
      </w:pPr>
    </w:p>
    <w:p>
      <w:pPr>
        <w:rPr>
          <w:rFonts w:ascii="宋体" w:hAnsi="宋体"/>
          <w:sz w:val="36"/>
          <w:u w:val="single"/>
        </w:rPr>
      </w:pPr>
      <w:r>
        <w:rPr>
          <w:rFonts w:hint="eastAsia" w:ascii="宋体" w:hAnsi="宋体"/>
          <w:sz w:val="36"/>
        </w:rPr>
        <w:t xml:space="preserve">  买方（甲方）：河南大学</w:t>
      </w:r>
    </w:p>
    <w:p>
      <w:pPr>
        <w:rPr>
          <w:rFonts w:ascii="宋体" w:hAnsi="宋体"/>
          <w:sz w:val="36"/>
          <w:u w:val="single"/>
        </w:rPr>
      </w:pPr>
    </w:p>
    <w:p>
      <w:pPr>
        <w:rPr>
          <w:rFonts w:ascii="宋体" w:hAnsi="宋体"/>
          <w:sz w:val="36"/>
          <w:u w:val="single"/>
        </w:rPr>
      </w:pPr>
    </w:p>
    <w:p>
      <w:pPr>
        <w:rPr>
          <w:rFonts w:ascii="宋体" w:hAnsi="宋体"/>
          <w:sz w:val="36"/>
        </w:rPr>
      </w:pPr>
      <w:r>
        <w:rPr>
          <w:rFonts w:hint="eastAsia" w:ascii="宋体" w:hAnsi="宋体"/>
          <w:sz w:val="36"/>
        </w:rPr>
        <w:t xml:space="preserve">  卖方（乙方）： 河南瑞肯实业有限公司</w:t>
      </w:r>
    </w:p>
    <w:p>
      <w:pPr>
        <w:ind w:left="-540"/>
        <w:rPr>
          <w:rFonts w:ascii="宋体" w:hAnsi="宋体"/>
          <w:sz w:val="36"/>
          <w:u w:val="single"/>
        </w:rPr>
      </w:pPr>
    </w:p>
    <w:p>
      <w:pPr>
        <w:ind w:left="-180"/>
        <w:rPr>
          <w:rFonts w:ascii="宋体" w:hAnsi="宋体"/>
          <w:sz w:val="36"/>
        </w:rPr>
      </w:pPr>
    </w:p>
    <w:p>
      <w:pPr>
        <w:rPr>
          <w:rFonts w:ascii="宋体" w:hAnsi="宋体"/>
          <w:sz w:val="36"/>
          <w:u w:val="single"/>
        </w:rPr>
      </w:pPr>
      <w:r>
        <w:rPr>
          <w:rFonts w:hint="eastAsia" w:ascii="宋体" w:hAnsi="宋体"/>
          <w:sz w:val="36"/>
        </w:rPr>
        <w:t xml:space="preserve">      签订时间：</w:t>
      </w:r>
      <w:r>
        <w:rPr>
          <w:rFonts w:ascii="宋体" w:hAnsi="宋体"/>
          <w:sz w:val="36"/>
          <w:u w:val="single"/>
        </w:rPr>
        <w:t xml:space="preserve">      </w:t>
      </w:r>
      <w:r>
        <w:rPr>
          <w:rFonts w:hint="eastAsia" w:ascii="宋体" w:hAnsi="宋体"/>
          <w:sz w:val="36"/>
          <w:u w:val="single"/>
        </w:rPr>
        <w:t xml:space="preserve">年 </w:t>
      </w:r>
      <w:r>
        <w:rPr>
          <w:rFonts w:ascii="宋体" w:hAnsi="宋体"/>
          <w:sz w:val="36"/>
          <w:u w:val="single"/>
        </w:rPr>
        <w:t xml:space="preserve">  </w:t>
      </w:r>
      <w:r>
        <w:rPr>
          <w:rFonts w:hint="eastAsia" w:ascii="宋体" w:hAnsi="宋体"/>
          <w:sz w:val="36"/>
          <w:u w:val="single"/>
        </w:rPr>
        <w:t>月   日</w:t>
      </w:r>
    </w:p>
    <w:p>
      <w:pPr>
        <w:rPr>
          <w:rFonts w:ascii="宋体" w:hAnsi="宋体"/>
          <w:sz w:val="36"/>
        </w:rPr>
      </w:pPr>
      <w:r>
        <w:rPr>
          <w:rFonts w:hint="eastAsia" w:ascii="宋体" w:hAnsi="宋体"/>
          <w:sz w:val="36"/>
        </w:rPr>
        <w:t xml:space="preserve">      签订地点：</w:t>
      </w:r>
      <w:r>
        <w:rPr>
          <w:rFonts w:hint="eastAsia" w:ascii="宋体" w:hAnsi="宋体"/>
          <w:sz w:val="36"/>
          <w:u w:val="single"/>
        </w:rPr>
        <w:t xml:space="preserve">河南开封      </w:t>
      </w:r>
      <w:r>
        <w:rPr>
          <w:rFonts w:ascii="宋体" w:hAnsi="宋体"/>
          <w:sz w:val="36"/>
          <w:u w:val="single"/>
        </w:rPr>
        <w:t xml:space="preserve"> </w:t>
      </w:r>
      <w:r>
        <w:rPr>
          <w:rFonts w:hint="eastAsia" w:ascii="宋体" w:hAnsi="宋体"/>
          <w:sz w:val="36"/>
          <w:u w:val="single"/>
        </w:rPr>
        <w:t xml:space="preserve">  </w:t>
      </w:r>
    </w:p>
    <w:p>
      <w:pPr>
        <w:rPr>
          <w:rFonts w:ascii="宋体" w:hAnsi="宋体"/>
          <w:sz w:val="36"/>
          <w:u w:val="single"/>
        </w:rPr>
      </w:pPr>
      <w:r>
        <w:rPr>
          <w:rFonts w:hint="eastAsia" w:ascii="宋体" w:hAnsi="宋体"/>
          <w:sz w:val="36"/>
        </w:rPr>
        <w:t xml:space="preserve">      有效期限：</w:t>
      </w:r>
      <w:r>
        <w:rPr>
          <w:rFonts w:hint="eastAsia" w:ascii="宋体" w:hAnsi="宋体"/>
          <w:sz w:val="36"/>
          <w:u w:val="single"/>
        </w:rPr>
        <w:t xml:space="preserve">长期 </w:t>
      </w:r>
      <w:r>
        <w:rPr>
          <w:rFonts w:ascii="宋体" w:hAnsi="宋体"/>
          <w:sz w:val="36"/>
          <w:u w:val="single"/>
        </w:rPr>
        <w:t xml:space="preserve">  </w:t>
      </w:r>
      <w:r>
        <w:rPr>
          <w:rFonts w:hint="eastAsia" w:ascii="宋体" w:hAnsi="宋体"/>
          <w:sz w:val="36"/>
          <w:u w:val="single"/>
        </w:rPr>
        <w:t xml:space="preserve">     </w:t>
      </w:r>
      <w:r>
        <w:rPr>
          <w:rFonts w:ascii="宋体" w:hAnsi="宋体"/>
          <w:sz w:val="36"/>
          <w:u w:val="single"/>
        </w:rPr>
        <w:t xml:space="preserve"> </w:t>
      </w:r>
      <w:r>
        <w:rPr>
          <w:rFonts w:hint="eastAsia" w:ascii="宋体" w:hAnsi="宋体"/>
          <w:sz w:val="36"/>
          <w:u w:val="single"/>
        </w:rPr>
        <w:t xml:space="preserve">    </w:t>
      </w:r>
    </w:p>
    <w:p>
      <w:pPr>
        <w:jc w:val="center"/>
        <w:rPr>
          <w:rFonts w:ascii="宋体" w:hAnsi="宋体"/>
          <w:sz w:val="30"/>
        </w:rPr>
      </w:pPr>
    </w:p>
    <w:p>
      <w:pPr>
        <w:jc w:val="center"/>
        <w:rPr>
          <w:rFonts w:ascii="宋体" w:hAnsi="宋体"/>
          <w:sz w:val="30"/>
        </w:rPr>
      </w:pPr>
    </w:p>
    <w:p>
      <w:pPr>
        <w:jc w:val="center"/>
        <w:rPr>
          <w:rFonts w:ascii="宋体" w:hAnsi="宋体"/>
          <w:sz w:val="30"/>
        </w:rPr>
      </w:pPr>
      <w:r>
        <w:rPr>
          <w:rFonts w:hint="eastAsia" w:ascii="宋体" w:hAnsi="宋体"/>
          <w:sz w:val="30"/>
        </w:rPr>
        <w:t>河南大学招标办制</w:t>
      </w:r>
    </w:p>
    <w:p>
      <w:pPr>
        <w:jc w:val="center"/>
        <w:rPr>
          <w:rFonts w:ascii="宋体" w:hAnsi="宋体"/>
          <w:b/>
          <w:bCs/>
          <w:sz w:val="44"/>
          <w:szCs w:val="44"/>
        </w:rPr>
        <w:sectPr>
          <w:headerReference r:id="rId3" w:type="default"/>
          <w:headerReference r:id="rId4" w:type="even"/>
          <w:footerReference r:id="rId5" w:type="even"/>
          <w:type w:val="continuous"/>
          <w:pgSz w:w="11906" w:h="16838"/>
          <w:pgMar w:top="1418" w:right="1418" w:bottom="1418" w:left="1418" w:header="851" w:footer="992" w:gutter="0"/>
          <w:pgNumType w:start="0"/>
          <w:cols w:space="720" w:num="1"/>
          <w:docGrid w:type="lines" w:linePitch="312" w:charSpace="0"/>
        </w:sectPr>
      </w:pPr>
    </w:p>
    <w:p>
      <w:pPr>
        <w:jc w:val="center"/>
        <w:rPr>
          <w:rFonts w:ascii="宋体" w:hAnsi="宋体"/>
          <w:b/>
          <w:bCs/>
          <w:sz w:val="44"/>
          <w:szCs w:val="44"/>
        </w:rPr>
      </w:pPr>
      <w:r>
        <w:rPr>
          <w:rFonts w:hint="eastAsia" w:ascii="宋体" w:hAnsi="宋体"/>
          <w:b/>
          <w:bCs/>
          <w:sz w:val="44"/>
          <w:szCs w:val="44"/>
        </w:rPr>
        <w:t>货物（设备）采购合同</w:t>
      </w:r>
    </w:p>
    <w:p>
      <w:pPr>
        <w:pStyle w:val="2"/>
      </w:pPr>
    </w:p>
    <w:p>
      <w:pPr>
        <w:ind w:right="90"/>
        <w:rPr>
          <w:rFonts w:ascii="宋体" w:hAnsi="宋体"/>
          <w:bCs/>
          <w:sz w:val="24"/>
        </w:rPr>
      </w:pPr>
      <w:r>
        <w:rPr>
          <w:rFonts w:hint="eastAsia" w:ascii="宋体" w:hAnsi="宋体"/>
          <w:b/>
          <w:sz w:val="24"/>
        </w:rPr>
        <w:t>买方（甲方）：</w:t>
      </w:r>
      <w:r>
        <w:rPr>
          <w:rFonts w:hint="eastAsia" w:ascii="宋体" w:hAnsi="宋体"/>
          <w:b/>
          <w:sz w:val="24"/>
          <w:u w:val="single"/>
        </w:rPr>
        <w:t>河南大学</w:t>
      </w:r>
      <w:r>
        <w:rPr>
          <w:rFonts w:hint="eastAsia" w:ascii="宋体" w:hAnsi="宋体"/>
          <w:sz w:val="24"/>
        </w:rPr>
        <w:t xml:space="preserve">                             签订地点：</w:t>
      </w:r>
      <w:r>
        <w:rPr>
          <w:rFonts w:hint="eastAsia" w:ascii="宋体" w:hAnsi="宋体"/>
          <w:sz w:val="24"/>
          <w:u w:val="single"/>
        </w:rPr>
        <w:t>河南开封</w:t>
      </w:r>
    </w:p>
    <w:p>
      <w:pPr>
        <w:spacing w:line="360" w:lineRule="auto"/>
        <w:rPr>
          <w:rFonts w:ascii="宋体" w:hAnsi="宋体"/>
          <w:b/>
          <w:sz w:val="24"/>
          <w:u w:val="single"/>
        </w:rPr>
      </w:pPr>
      <w:r>
        <w:rPr>
          <w:rFonts w:hint="eastAsia" w:ascii="宋体" w:hAnsi="宋体"/>
          <w:b/>
          <w:sz w:val="24"/>
        </w:rPr>
        <w:t>卖方（乙方）：</w:t>
      </w:r>
      <w:r>
        <w:rPr>
          <w:rFonts w:hint="eastAsia" w:ascii="宋体" w:hAnsi="宋体"/>
          <w:b/>
          <w:sz w:val="24"/>
          <w:u w:val="single"/>
        </w:rPr>
        <w:t>河南瑞肯实业有限公司</w:t>
      </w:r>
      <w:r>
        <w:rPr>
          <w:rFonts w:hint="eastAsia" w:ascii="宋体" w:hAnsi="宋体"/>
          <w:sz w:val="24"/>
        </w:rPr>
        <w:t xml:space="preserve">        签订时间：</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rPr>
        <w:t>日</w:t>
      </w:r>
    </w:p>
    <w:p>
      <w:pPr>
        <w:ind w:firstLine="480" w:firstLineChars="200"/>
        <w:rPr>
          <w:rFonts w:ascii="宋体" w:hAnsi="宋体"/>
          <w:sz w:val="24"/>
        </w:rPr>
      </w:pPr>
      <w:r>
        <w:rPr>
          <w:rFonts w:hint="eastAsia" w:ascii="宋体" w:hAnsi="宋体"/>
          <w:sz w:val="24"/>
        </w:rPr>
        <w:t>根据《中华人民共和国招标投标法》、《中华人民共和国政府采购法》、《中华人民共和国民法典》等国家法律法规，就甲方向乙方购买商品（设备）的型号、数量、质量、包装、运输、价款、税金、保险、验收、技术服务、售后服务、违约责任、争议解决方式等合同内容，经双方协商一致，签订合同，以兹共同遵守。</w:t>
      </w:r>
    </w:p>
    <w:p>
      <w:pPr>
        <w:spacing w:line="360" w:lineRule="auto"/>
        <w:ind w:firstLine="472" w:firstLineChars="196"/>
        <w:rPr>
          <w:rFonts w:ascii="宋体" w:hAnsi="宋体"/>
          <w:b/>
          <w:sz w:val="24"/>
        </w:rPr>
      </w:pPr>
      <w:r>
        <w:rPr>
          <w:rFonts w:hint="eastAsia" w:ascii="宋体" w:hAnsi="宋体"/>
          <w:b/>
          <w:sz w:val="24"/>
        </w:rPr>
        <w:t>一、合同价款</w:t>
      </w:r>
    </w:p>
    <w:p>
      <w:pPr>
        <w:spacing w:line="360" w:lineRule="auto"/>
        <w:ind w:firstLine="480" w:firstLineChars="200"/>
        <w:rPr>
          <w:rFonts w:ascii="宋体" w:hAnsi="宋体"/>
          <w:sz w:val="24"/>
        </w:rPr>
      </w:pPr>
      <w:r>
        <w:rPr>
          <w:rFonts w:hint="eastAsia" w:ascii="宋体" w:hAnsi="宋体"/>
          <w:sz w:val="24"/>
        </w:rPr>
        <w:t>本合同的总金额为人民币：</w:t>
      </w:r>
      <w:r>
        <w:rPr>
          <w:rFonts w:hint="eastAsia" w:ascii="宋体" w:hAnsi="宋体"/>
          <w:sz w:val="24"/>
          <w:u w:val="single"/>
        </w:rPr>
        <w:t>叁佰捌拾叁万捌仟元整</w:t>
      </w:r>
      <w:r>
        <w:rPr>
          <w:rFonts w:hint="eastAsia" w:ascii="宋体" w:hAnsi="宋体"/>
          <w:sz w:val="24"/>
        </w:rPr>
        <w:t>（ ¥</w:t>
      </w:r>
      <w:r>
        <w:rPr>
          <w:rFonts w:ascii="宋体" w:hAnsi="宋体"/>
          <w:sz w:val="24"/>
        </w:rPr>
        <w:t>3838000</w:t>
      </w:r>
      <w:r>
        <w:rPr>
          <w:rFonts w:hint="eastAsia" w:ascii="宋体" w:hAnsi="宋体"/>
          <w:sz w:val="24"/>
        </w:rPr>
        <w:t>.00元）；该价格已经包含制造生产、安装、调试、保险、培训、运输、装卸、税金、利润、保修及乙方人员差旅费用等全部费用。</w:t>
      </w:r>
    </w:p>
    <w:p>
      <w:pPr>
        <w:spacing w:line="360" w:lineRule="auto"/>
        <w:ind w:firstLine="482" w:firstLineChars="200"/>
        <w:rPr>
          <w:rFonts w:ascii="宋体" w:hAnsi="宋体"/>
          <w:b/>
          <w:sz w:val="24"/>
        </w:rPr>
      </w:pPr>
      <w:r>
        <w:rPr>
          <w:rFonts w:hint="eastAsia" w:ascii="宋体" w:hAnsi="宋体"/>
          <w:b/>
          <w:sz w:val="24"/>
        </w:rPr>
        <w:t>二、货物（设备）的名称、型号、制造单位、单价、数量和合同价数量及质量要求</w:t>
      </w:r>
    </w:p>
    <w:p>
      <w:pPr>
        <w:spacing w:line="360" w:lineRule="auto"/>
        <w:ind w:firstLine="480" w:firstLineChars="200"/>
        <w:rPr>
          <w:rFonts w:ascii="宋体" w:hAnsi="宋体"/>
          <w:sz w:val="24"/>
        </w:rPr>
      </w:pPr>
      <w:r>
        <w:rPr>
          <w:rFonts w:hint="eastAsia" w:ascii="宋体" w:hAnsi="宋体"/>
          <w:sz w:val="24"/>
        </w:rPr>
        <w:t>1、乙方提供的货物（设备）是未有使用过（包括零部件）的商品（设备）、符合国家相关部门制定的生产（制造）标准和检测标准以及该商品（设备）的出厂标准。</w:t>
      </w:r>
    </w:p>
    <w:p>
      <w:pPr>
        <w:spacing w:line="360" w:lineRule="auto"/>
        <w:ind w:firstLine="480" w:firstLineChars="200"/>
        <w:rPr>
          <w:rFonts w:ascii="宋体" w:hAnsi="宋体"/>
          <w:b/>
          <w:sz w:val="24"/>
        </w:rPr>
      </w:pPr>
      <w:r>
        <w:rPr>
          <w:rFonts w:hint="eastAsia" w:ascii="宋体" w:hAnsi="宋体"/>
          <w:sz w:val="24"/>
        </w:rPr>
        <w:t>2、购买货物（设备）的名称、型号、制造单位、单价、数量和合同价：</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709"/>
        <w:gridCol w:w="1374"/>
        <w:gridCol w:w="1892"/>
        <w:gridCol w:w="1603"/>
        <w:gridCol w:w="568"/>
        <w:gridCol w:w="457"/>
        <w:gridCol w:w="971"/>
        <w:gridCol w:w="95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764" w:type="dxa"/>
            <w:vAlign w:val="center"/>
          </w:tcPr>
          <w:p>
            <w:pPr>
              <w:jc w:val="center"/>
              <w:rPr>
                <w:rFonts w:ascii="宋体" w:hAnsi="宋体"/>
                <w:b/>
                <w:sz w:val="24"/>
              </w:rPr>
            </w:pPr>
            <w:r>
              <w:rPr>
                <w:rFonts w:hint="eastAsia" w:ascii="宋体" w:hAnsi="宋体"/>
                <w:b/>
                <w:sz w:val="24"/>
              </w:rPr>
              <w:t>序号</w:t>
            </w:r>
          </w:p>
        </w:tc>
        <w:tc>
          <w:tcPr>
            <w:tcW w:w="1559" w:type="dxa"/>
            <w:vAlign w:val="center"/>
          </w:tcPr>
          <w:p>
            <w:pPr>
              <w:jc w:val="center"/>
              <w:rPr>
                <w:rFonts w:ascii="宋体" w:hAnsi="宋体"/>
                <w:b/>
                <w:sz w:val="24"/>
              </w:rPr>
            </w:pPr>
            <w:r>
              <w:rPr>
                <w:rFonts w:hint="eastAsia" w:ascii="宋体" w:hAnsi="宋体"/>
                <w:b/>
                <w:sz w:val="24"/>
              </w:rPr>
              <w:t>名称</w:t>
            </w:r>
          </w:p>
        </w:tc>
        <w:tc>
          <w:tcPr>
            <w:tcW w:w="1984" w:type="dxa"/>
            <w:vAlign w:val="center"/>
          </w:tcPr>
          <w:p>
            <w:pPr>
              <w:jc w:val="center"/>
              <w:rPr>
                <w:rFonts w:ascii="宋体" w:hAnsi="宋体"/>
                <w:b/>
                <w:sz w:val="24"/>
              </w:rPr>
            </w:pPr>
            <w:r>
              <w:rPr>
                <w:rFonts w:hint="eastAsia" w:ascii="宋体" w:hAnsi="宋体"/>
                <w:b/>
                <w:sz w:val="24"/>
              </w:rPr>
              <w:t>品牌型号</w:t>
            </w:r>
          </w:p>
        </w:tc>
        <w:tc>
          <w:tcPr>
            <w:tcW w:w="1700" w:type="dxa"/>
            <w:vAlign w:val="center"/>
          </w:tcPr>
          <w:p>
            <w:pPr>
              <w:ind w:firstLine="104" w:firstLineChars="43"/>
              <w:jc w:val="center"/>
              <w:rPr>
                <w:rFonts w:ascii="宋体" w:hAnsi="宋体"/>
                <w:b/>
                <w:sz w:val="24"/>
              </w:rPr>
            </w:pPr>
            <w:r>
              <w:rPr>
                <w:rFonts w:hint="eastAsia" w:ascii="宋体" w:hAnsi="宋体"/>
                <w:b/>
                <w:sz w:val="24"/>
              </w:rPr>
              <w:t>制造商</w:t>
            </w:r>
          </w:p>
        </w:tc>
        <w:tc>
          <w:tcPr>
            <w:tcW w:w="592" w:type="dxa"/>
            <w:vAlign w:val="center"/>
          </w:tcPr>
          <w:p>
            <w:pPr>
              <w:jc w:val="center"/>
              <w:rPr>
                <w:rFonts w:ascii="宋体" w:hAnsi="宋体"/>
                <w:b/>
                <w:sz w:val="24"/>
              </w:rPr>
            </w:pPr>
            <w:r>
              <w:rPr>
                <w:rFonts w:hint="eastAsia" w:ascii="宋体" w:hAnsi="宋体"/>
                <w:b/>
                <w:sz w:val="24"/>
              </w:rPr>
              <w:t>单位</w:t>
            </w:r>
          </w:p>
        </w:tc>
        <w:tc>
          <w:tcPr>
            <w:tcW w:w="457" w:type="dxa"/>
            <w:vAlign w:val="center"/>
          </w:tcPr>
          <w:p>
            <w:pPr>
              <w:jc w:val="center"/>
              <w:rPr>
                <w:rFonts w:ascii="宋体" w:hAnsi="宋体"/>
                <w:b/>
                <w:sz w:val="24"/>
              </w:rPr>
            </w:pPr>
            <w:r>
              <w:rPr>
                <w:rFonts w:hint="eastAsia" w:ascii="宋体" w:hAnsi="宋体"/>
                <w:b/>
                <w:sz w:val="24"/>
              </w:rPr>
              <w:t>数量</w:t>
            </w:r>
          </w:p>
        </w:tc>
        <w:tc>
          <w:tcPr>
            <w:tcW w:w="976" w:type="dxa"/>
            <w:vAlign w:val="center"/>
          </w:tcPr>
          <w:p>
            <w:pPr>
              <w:jc w:val="center"/>
              <w:rPr>
                <w:rFonts w:ascii="宋体" w:hAnsi="宋体"/>
                <w:b/>
                <w:sz w:val="24"/>
              </w:rPr>
            </w:pPr>
            <w:r>
              <w:rPr>
                <w:rFonts w:hint="eastAsia" w:ascii="宋体" w:hAnsi="宋体"/>
                <w:b/>
                <w:sz w:val="24"/>
              </w:rPr>
              <w:t>单价（元）</w:t>
            </w:r>
          </w:p>
        </w:tc>
        <w:tc>
          <w:tcPr>
            <w:tcW w:w="955" w:type="dxa"/>
            <w:vAlign w:val="center"/>
          </w:tcPr>
          <w:p>
            <w:pPr>
              <w:jc w:val="center"/>
              <w:rPr>
                <w:rFonts w:ascii="宋体" w:hAnsi="宋体"/>
                <w:b/>
                <w:sz w:val="24"/>
              </w:rPr>
            </w:pPr>
            <w:r>
              <w:rPr>
                <w:rFonts w:hint="eastAsia" w:ascii="宋体" w:hAnsi="宋体"/>
                <w:b/>
                <w:sz w:val="24"/>
              </w:rPr>
              <w:t>小计（元）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764" w:type="dxa"/>
            <w:vAlign w:val="center"/>
          </w:tcPr>
          <w:p>
            <w:pPr>
              <w:pStyle w:val="24"/>
              <w:numPr>
                <w:ilvl w:val="0"/>
                <w:numId w:val="1"/>
              </w:numPr>
              <w:ind w:firstLineChars="0"/>
              <w:jc w:val="center"/>
              <w:rPr>
                <w:rFonts w:ascii="宋体" w:hAnsi="宋体"/>
                <w:b/>
                <w:sz w:val="24"/>
              </w:rPr>
            </w:pPr>
          </w:p>
        </w:tc>
        <w:tc>
          <w:tcPr>
            <w:tcW w:w="1559" w:type="dxa"/>
            <w:vAlign w:val="center"/>
          </w:tcPr>
          <w:p>
            <w:pPr>
              <w:rPr>
                <w:rFonts w:ascii="宋体" w:hAnsi="宋体"/>
                <w:szCs w:val="21"/>
              </w:rPr>
            </w:pPr>
            <w:r>
              <w:rPr>
                <w:rFonts w:hint="eastAsia" w:ascii="宋体" w:hAnsi="宋体"/>
                <w:szCs w:val="21"/>
              </w:rPr>
              <w:t>自动微生物生化鉴定系统</w:t>
            </w:r>
          </w:p>
        </w:tc>
        <w:tc>
          <w:tcPr>
            <w:tcW w:w="1984" w:type="dxa"/>
            <w:vAlign w:val="center"/>
          </w:tcPr>
          <w:p>
            <w:pPr>
              <w:jc w:val="left"/>
              <w:rPr>
                <w:rFonts w:ascii="宋体" w:hAnsi="宋体"/>
                <w:szCs w:val="21"/>
              </w:rPr>
            </w:pPr>
            <w:r>
              <w:rPr>
                <w:rFonts w:hint="eastAsia" w:ascii="宋体" w:hAnsi="宋体"/>
                <w:szCs w:val="21"/>
              </w:rPr>
              <w:t>美国</w:t>
            </w:r>
            <w:r>
              <w:rPr>
                <w:rFonts w:ascii="宋体" w:hAnsi="宋体"/>
                <w:szCs w:val="21"/>
              </w:rPr>
              <w:t>Biolog Omnilog Combo Plus</w:t>
            </w:r>
          </w:p>
        </w:tc>
        <w:tc>
          <w:tcPr>
            <w:tcW w:w="1700" w:type="dxa"/>
            <w:vAlign w:val="center"/>
          </w:tcPr>
          <w:p>
            <w:pPr>
              <w:jc w:val="left"/>
              <w:rPr>
                <w:rFonts w:ascii="宋体" w:hAnsi="宋体"/>
                <w:szCs w:val="21"/>
              </w:rPr>
            </w:pPr>
            <w:r>
              <w:rPr>
                <w:rFonts w:hint="eastAsia" w:ascii="宋体" w:hAnsi="宋体"/>
                <w:szCs w:val="21"/>
              </w:rPr>
              <w:t>B</w:t>
            </w:r>
            <w:r>
              <w:rPr>
                <w:rFonts w:ascii="宋体" w:hAnsi="宋体"/>
                <w:szCs w:val="21"/>
              </w:rPr>
              <w:t>iolog</w:t>
            </w:r>
            <w:r>
              <w:rPr>
                <w:rFonts w:hint="eastAsia" w:ascii="宋体" w:hAnsi="宋体"/>
                <w:szCs w:val="21"/>
              </w:rPr>
              <w:t>，I</w:t>
            </w:r>
            <w:r>
              <w:rPr>
                <w:rFonts w:ascii="宋体" w:hAnsi="宋体"/>
                <w:szCs w:val="21"/>
              </w:rPr>
              <w:t>nc.</w:t>
            </w:r>
          </w:p>
        </w:tc>
        <w:tc>
          <w:tcPr>
            <w:tcW w:w="592" w:type="dxa"/>
            <w:vAlign w:val="center"/>
          </w:tcPr>
          <w:p>
            <w:pPr>
              <w:jc w:val="center"/>
              <w:rPr>
                <w:rFonts w:ascii="宋体" w:hAnsi="宋体"/>
                <w:szCs w:val="21"/>
              </w:rPr>
            </w:pPr>
            <w:r>
              <w:rPr>
                <w:rFonts w:ascii="宋体" w:hAnsi="宋体"/>
                <w:szCs w:val="21"/>
              </w:rPr>
              <w:t>套</w:t>
            </w:r>
          </w:p>
        </w:tc>
        <w:tc>
          <w:tcPr>
            <w:tcW w:w="457" w:type="dxa"/>
            <w:vAlign w:val="center"/>
          </w:tcPr>
          <w:p>
            <w:pPr>
              <w:jc w:val="center"/>
              <w:rPr>
                <w:rFonts w:ascii="宋体" w:hAnsi="宋体"/>
                <w:szCs w:val="21"/>
              </w:rPr>
            </w:pPr>
            <w:r>
              <w:rPr>
                <w:rFonts w:hint="eastAsia" w:ascii="宋体" w:hAnsi="宋体"/>
                <w:szCs w:val="21"/>
              </w:rPr>
              <w:t>1</w:t>
            </w:r>
          </w:p>
        </w:tc>
        <w:tc>
          <w:tcPr>
            <w:tcW w:w="976" w:type="dxa"/>
            <w:vAlign w:val="center"/>
          </w:tcPr>
          <w:p>
            <w:pPr>
              <w:jc w:val="center"/>
              <w:rPr>
                <w:rFonts w:ascii="宋体" w:hAnsi="宋体"/>
                <w:szCs w:val="21"/>
              </w:rPr>
            </w:pPr>
            <w:r>
              <w:rPr>
                <w:rFonts w:hint="eastAsia" w:ascii="宋体" w:hAnsi="宋体"/>
                <w:szCs w:val="21"/>
              </w:rPr>
              <w:t>2666000</w:t>
            </w:r>
          </w:p>
        </w:tc>
        <w:tc>
          <w:tcPr>
            <w:tcW w:w="955" w:type="dxa"/>
            <w:vAlign w:val="center"/>
          </w:tcPr>
          <w:p>
            <w:pPr>
              <w:jc w:val="center"/>
              <w:rPr>
                <w:rFonts w:ascii="宋体" w:hAnsi="宋体"/>
                <w:szCs w:val="21"/>
              </w:rPr>
            </w:pPr>
            <w:r>
              <w:rPr>
                <w:rFonts w:hint="eastAsia" w:ascii="宋体" w:hAnsi="宋体"/>
                <w:szCs w:val="21"/>
              </w:rPr>
              <w:t>2666000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764" w:type="dxa"/>
            <w:vAlign w:val="center"/>
          </w:tcPr>
          <w:p>
            <w:pPr>
              <w:pStyle w:val="24"/>
              <w:numPr>
                <w:ilvl w:val="0"/>
                <w:numId w:val="1"/>
              </w:numPr>
              <w:ind w:firstLineChars="0"/>
              <w:jc w:val="center"/>
              <w:rPr>
                <w:rFonts w:ascii="宋体" w:hAnsi="宋体"/>
                <w:b/>
                <w:sz w:val="24"/>
              </w:rPr>
            </w:pPr>
          </w:p>
        </w:tc>
        <w:tc>
          <w:tcPr>
            <w:tcW w:w="1559" w:type="dxa"/>
            <w:vAlign w:val="center"/>
          </w:tcPr>
          <w:p>
            <w:pPr>
              <w:rPr>
                <w:rFonts w:ascii="宋体" w:hAnsi="宋体"/>
                <w:szCs w:val="21"/>
              </w:rPr>
            </w:pPr>
            <w:r>
              <w:rPr>
                <w:rFonts w:hint="eastAsia" w:ascii="宋体" w:hAnsi="宋体"/>
                <w:szCs w:val="21"/>
              </w:rPr>
              <w:t>连续流动分析仪</w:t>
            </w:r>
          </w:p>
        </w:tc>
        <w:tc>
          <w:tcPr>
            <w:tcW w:w="1984" w:type="dxa"/>
            <w:vAlign w:val="center"/>
          </w:tcPr>
          <w:p>
            <w:pPr>
              <w:jc w:val="left"/>
              <w:rPr>
                <w:rFonts w:ascii="宋体" w:hAnsi="宋体"/>
                <w:szCs w:val="21"/>
              </w:rPr>
            </w:pPr>
            <w:r>
              <w:rPr>
                <w:rFonts w:hint="eastAsia" w:ascii="宋体" w:hAnsi="宋体"/>
                <w:szCs w:val="21"/>
              </w:rPr>
              <w:t>意大利</w:t>
            </w:r>
            <w:r>
              <w:rPr>
                <w:rFonts w:ascii="宋体" w:hAnsi="宋体"/>
                <w:szCs w:val="21"/>
              </w:rPr>
              <w:t>AMS Futura 2</w:t>
            </w:r>
          </w:p>
        </w:tc>
        <w:tc>
          <w:tcPr>
            <w:tcW w:w="1700" w:type="dxa"/>
            <w:vAlign w:val="center"/>
          </w:tcPr>
          <w:p>
            <w:pPr>
              <w:jc w:val="left"/>
              <w:rPr>
                <w:rFonts w:ascii="宋体" w:hAnsi="宋体"/>
                <w:szCs w:val="21"/>
              </w:rPr>
            </w:pPr>
            <w:r>
              <w:rPr>
                <w:rFonts w:hint="eastAsia" w:ascii="宋体" w:hAnsi="宋体"/>
                <w:szCs w:val="21"/>
              </w:rPr>
              <w:t>A</w:t>
            </w:r>
            <w:r>
              <w:rPr>
                <w:rFonts w:ascii="宋体" w:hAnsi="宋体"/>
                <w:szCs w:val="21"/>
              </w:rPr>
              <w:t>MS Srl</w:t>
            </w:r>
          </w:p>
        </w:tc>
        <w:tc>
          <w:tcPr>
            <w:tcW w:w="592" w:type="dxa"/>
            <w:vAlign w:val="center"/>
          </w:tcPr>
          <w:p>
            <w:pPr>
              <w:jc w:val="center"/>
              <w:rPr>
                <w:rFonts w:ascii="宋体" w:hAnsi="宋体"/>
                <w:szCs w:val="21"/>
              </w:rPr>
            </w:pPr>
            <w:r>
              <w:rPr>
                <w:rFonts w:ascii="宋体" w:hAnsi="宋体"/>
                <w:szCs w:val="21"/>
              </w:rPr>
              <w:t>套</w:t>
            </w:r>
          </w:p>
        </w:tc>
        <w:tc>
          <w:tcPr>
            <w:tcW w:w="457" w:type="dxa"/>
            <w:vAlign w:val="center"/>
          </w:tcPr>
          <w:p>
            <w:pPr>
              <w:jc w:val="center"/>
              <w:rPr>
                <w:rFonts w:ascii="宋体" w:hAnsi="宋体"/>
                <w:szCs w:val="21"/>
              </w:rPr>
            </w:pPr>
            <w:r>
              <w:rPr>
                <w:rFonts w:hint="eastAsia" w:ascii="宋体" w:hAnsi="宋体"/>
                <w:szCs w:val="21"/>
              </w:rPr>
              <w:t>1</w:t>
            </w:r>
          </w:p>
        </w:tc>
        <w:tc>
          <w:tcPr>
            <w:tcW w:w="976" w:type="dxa"/>
            <w:vAlign w:val="center"/>
          </w:tcPr>
          <w:p>
            <w:pPr>
              <w:jc w:val="center"/>
              <w:rPr>
                <w:rFonts w:ascii="宋体" w:hAnsi="宋体"/>
                <w:szCs w:val="21"/>
              </w:rPr>
            </w:pPr>
            <w:r>
              <w:rPr>
                <w:rFonts w:hint="eastAsia" w:ascii="宋体" w:hAnsi="宋体"/>
                <w:szCs w:val="21"/>
              </w:rPr>
              <w:t>726400</w:t>
            </w:r>
          </w:p>
        </w:tc>
        <w:tc>
          <w:tcPr>
            <w:tcW w:w="955" w:type="dxa"/>
            <w:vAlign w:val="center"/>
          </w:tcPr>
          <w:p>
            <w:pPr>
              <w:jc w:val="center"/>
              <w:rPr>
                <w:rFonts w:ascii="宋体" w:hAnsi="宋体"/>
                <w:szCs w:val="21"/>
              </w:rPr>
            </w:pPr>
            <w:r>
              <w:rPr>
                <w:rFonts w:hint="eastAsia" w:ascii="宋体" w:hAnsi="宋体"/>
                <w:szCs w:val="21"/>
              </w:rPr>
              <w:t>726400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764" w:type="dxa"/>
            <w:vAlign w:val="center"/>
          </w:tcPr>
          <w:p>
            <w:pPr>
              <w:pStyle w:val="24"/>
              <w:numPr>
                <w:ilvl w:val="0"/>
                <w:numId w:val="1"/>
              </w:numPr>
              <w:ind w:firstLineChars="0"/>
              <w:jc w:val="center"/>
              <w:rPr>
                <w:rFonts w:ascii="宋体" w:hAnsi="宋体"/>
                <w:b/>
                <w:sz w:val="24"/>
              </w:rPr>
            </w:pPr>
          </w:p>
        </w:tc>
        <w:tc>
          <w:tcPr>
            <w:tcW w:w="1559" w:type="dxa"/>
            <w:vAlign w:val="center"/>
          </w:tcPr>
          <w:p>
            <w:pPr>
              <w:rPr>
                <w:rFonts w:ascii="宋体" w:hAnsi="宋体"/>
                <w:szCs w:val="21"/>
              </w:rPr>
            </w:pPr>
            <w:r>
              <w:rPr>
                <w:rFonts w:hint="eastAsia" w:ascii="宋体" w:hAnsi="宋体"/>
                <w:szCs w:val="21"/>
              </w:rPr>
              <w:t>卧式压力蒸汽灭菌器</w:t>
            </w:r>
          </w:p>
        </w:tc>
        <w:tc>
          <w:tcPr>
            <w:tcW w:w="1984" w:type="dxa"/>
            <w:vAlign w:val="center"/>
          </w:tcPr>
          <w:p>
            <w:pPr>
              <w:jc w:val="left"/>
              <w:rPr>
                <w:rFonts w:ascii="宋体" w:hAnsi="宋体"/>
                <w:szCs w:val="21"/>
              </w:rPr>
            </w:pPr>
            <w:r>
              <w:rPr>
                <w:rFonts w:hint="eastAsia" w:ascii="宋体" w:hAnsi="宋体"/>
                <w:szCs w:val="21"/>
              </w:rPr>
              <w:t>上海博迅</w:t>
            </w:r>
            <w:r>
              <w:rPr>
                <w:rFonts w:ascii="宋体" w:hAnsi="宋体"/>
                <w:szCs w:val="21"/>
              </w:rPr>
              <w:t>BXW-360SD-AI</w:t>
            </w:r>
          </w:p>
        </w:tc>
        <w:tc>
          <w:tcPr>
            <w:tcW w:w="1700" w:type="dxa"/>
            <w:vAlign w:val="center"/>
          </w:tcPr>
          <w:p>
            <w:pPr>
              <w:jc w:val="left"/>
              <w:rPr>
                <w:rFonts w:ascii="宋体" w:hAnsi="宋体"/>
                <w:szCs w:val="21"/>
              </w:rPr>
            </w:pPr>
            <w:r>
              <w:rPr>
                <w:rFonts w:ascii="宋体" w:hAnsi="宋体"/>
                <w:szCs w:val="21"/>
              </w:rPr>
              <w:t>上海博</w:t>
            </w:r>
            <w:r>
              <w:rPr>
                <w:rFonts w:hint="eastAsia" w:ascii="宋体" w:hAnsi="宋体"/>
                <w:szCs w:val="21"/>
              </w:rPr>
              <w:t>迅</w:t>
            </w:r>
            <w:r>
              <w:rPr>
                <w:rFonts w:ascii="宋体" w:hAnsi="宋体"/>
                <w:szCs w:val="21"/>
              </w:rPr>
              <w:t>医疗生物仪器股份有限公司</w:t>
            </w:r>
          </w:p>
        </w:tc>
        <w:tc>
          <w:tcPr>
            <w:tcW w:w="592" w:type="dxa"/>
            <w:vAlign w:val="center"/>
          </w:tcPr>
          <w:p>
            <w:pPr>
              <w:jc w:val="center"/>
              <w:rPr>
                <w:rFonts w:ascii="宋体" w:hAnsi="宋体"/>
                <w:szCs w:val="21"/>
              </w:rPr>
            </w:pPr>
            <w:r>
              <w:rPr>
                <w:rFonts w:ascii="宋体" w:hAnsi="宋体"/>
                <w:szCs w:val="21"/>
              </w:rPr>
              <w:t>台</w:t>
            </w:r>
          </w:p>
        </w:tc>
        <w:tc>
          <w:tcPr>
            <w:tcW w:w="457" w:type="dxa"/>
            <w:vAlign w:val="center"/>
          </w:tcPr>
          <w:p>
            <w:pPr>
              <w:jc w:val="center"/>
              <w:rPr>
                <w:rFonts w:ascii="宋体" w:hAnsi="宋体"/>
                <w:szCs w:val="21"/>
              </w:rPr>
            </w:pPr>
            <w:r>
              <w:rPr>
                <w:rFonts w:ascii="宋体" w:hAnsi="宋体"/>
                <w:szCs w:val="21"/>
              </w:rPr>
              <w:t>2</w:t>
            </w:r>
          </w:p>
        </w:tc>
        <w:tc>
          <w:tcPr>
            <w:tcW w:w="976" w:type="dxa"/>
            <w:vAlign w:val="center"/>
          </w:tcPr>
          <w:p>
            <w:pPr>
              <w:jc w:val="center"/>
              <w:rPr>
                <w:rFonts w:ascii="宋体" w:hAnsi="宋体"/>
                <w:szCs w:val="21"/>
              </w:rPr>
            </w:pPr>
            <w:r>
              <w:rPr>
                <w:rFonts w:hint="eastAsia" w:ascii="宋体" w:hAnsi="宋体"/>
                <w:szCs w:val="21"/>
              </w:rPr>
              <w:t>648</w:t>
            </w:r>
            <w:r>
              <w:rPr>
                <w:rFonts w:ascii="宋体" w:hAnsi="宋体"/>
                <w:szCs w:val="21"/>
              </w:rPr>
              <w:t>00</w:t>
            </w:r>
          </w:p>
        </w:tc>
        <w:tc>
          <w:tcPr>
            <w:tcW w:w="955" w:type="dxa"/>
            <w:vAlign w:val="center"/>
          </w:tcPr>
          <w:p>
            <w:pPr>
              <w:jc w:val="center"/>
              <w:rPr>
                <w:rFonts w:ascii="宋体" w:hAnsi="宋体"/>
                <w:szCs w:val="21"/>
              </w:rPr>
            </w:pPr>
            <w:r>
              <w:rPr>
                <w:rFonts w:hint="eastAsia" w:ascii="宋体" w:hAnsi="宋体"/>
                <w:szCs w:val="21"/>
              </w:rPr>
              <w:t>129600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764" w:type="dxa"/>
            <w:vAlign w:val="center"/>
          </w:tcPr>
          <w:p>
            <w:pPr>
              <w:pStyle w:val="24"/>
              <w:numPr>
                <w:ilvl w:val="0"/>
                <w:numId w:val="1"/>
              </w:numPr>
              <w:ind w:firstLineChars="0"/>
              <w:jc w:val="center"/>
              <w:rPr>
                <w:rFonts w:ascii="宋体" w:hAnsi="宋体"/>
                <w:b/>
                <w:sz w:val="24"/>
              </w:rPr>
            </w:pPr>
          </w:p>
        </w:tc>
        <w:tc>
          <w:tcPr>
            <w:tcW w:w="1559" w:type="dxa"/>
            <w:vAlign w:val="center"/>
          </w:tcPr>
          <w:p>
            <w:pPr>
              <w:rPr>
                <w:rFonts w:ascii="宋体" w:hAnsi="宋体"/>
                <w:szCs w:val="21"/>
              </w:rPr>
            </w:pPr>
            <w:r>
              <w:rPr>
                <w:rFonts w:hint="eastAsia" w:ascii="宋体" w:hAnsi="宋体"/>
                <w:szCs w:val="21"/>
              </w:rPr>
              <w:t>立式压力蒸汽灭菌器</w:t>
            </w:r>
          </w:p>
        </w:tc>
        <w:tc>
          <w:tcPr>
            <w:tcW w:w="1984" w:type="dxa"/>
            <w:vAlign w:val="center"/>
          </w:tcPr>
          <w:p>
            <w:pPr>
              <w:jc w:val="left"/>
              <w:rPr>
                <w:rFonts w:ascii="宋体" w:hAnsi="宋体"/>
                <w:szCs w:val="21"/>
              </w:rPr>
            </w:pPr>
            <w:r>
              <w:rPr>
                <w:rFonts w:hint="eastAsia" w:ascii="宋体" w:hAnsi="宋体"/>
                <w:szCs w:val="21"/>
              </w:rPr>
              <w:t>厦门致微</w:t>
            </w:r>
            <w:r>
              <w:rPr>
                <w:rFonts w:ascii="宋体" w:hAnsi="宋体"/>
                <w:szCs w:val="21"/>
              </w:rPr>
              <w:t>GL85SA</w:t>
            </w:r>
          </w:p>
        </w:tc>
        <w:tc>
          <w:tcPr>
            <w:tcW w:w="1700" w:type="dxa"/>
            <w:vAlign w:val="center"/>
          </w:tcPr>
          <w:p>
            <w:pPr>
              <w:jc w:val="left"/>
              <w:rPr>
                <w:rFonts w:ascii="宋体" w:hAnsi="宋体"/>
                <w:szCs w:val="21"/>
              </w:rPr>
            </w:pPr>
            <w:r>
              <w:rPr>
                <w:rFonts w:ascii="宋体" w:hAnsi="宋体"/>
                <w:szCs w:val="21"/>
              </w:rPr>
              <w:t>致微（</w:t>
            </w:r>
            <w:r>
              <w:rPr>
                <w:rFonts w:hint="eastAsia" w:ascii="宋体" w:hAnsi="宋体"/>
                <w:szCs w:val="21"/>
              </w:rPr>
              <w:t>厦门</w:t>
            </w:r>
            <w:r>
              <w:rPr>
                <w:rFonts w:ascii="宋体" w:hAnsi="宋体"/>
                <w:szCs w:val="21"/>
              </w:rPr>
              <w:t>）</w:t>
            </w:r>
            <w:r>
              <w:rPr>
                <w:rFonts w:hint="eastAsia" w:ascii="宋体" w:hAnsi="宋体"/>
                <w:szCs w:val="21"/>
              </w:rPr>
              <w:t>仪器有限公司</w:t>
            </w:r>
          </w:p>
        </w:tc>
        <w:tc>
          <w:tcPr>
            <w:tcW w:w="592" w:type="dxa"/>
          </w:tcPr>
          <w:p>
            <w:pPr>
              <w:jc w:val="center"/>
              <w:rPr>
                <w:rFonts w:ascii="宋体" w:hAnsi="宋体"/>
                <w:szCs w:val="21"/>
              </w:rPr>
            </w:pPr>
            <w:r>
              <w:rPr>
                <w:rFonts w:ascii="宋体" w:hAnsi="宋体"/>
                <w:szCs w:val="21"/>
              </w:rPr>
              <w:t>台</w:t>
            </w:r>
          </w:p>
        </w:tc>
        <w:tc>
          <w:tcPr>
            <w:tcW w:w="457" w:type="dxa"/>
            <w:vAlign w:val="center"/>
          </w:tcPr>
          <w:p>
            <w:pPr>
              <w:jc w:val="center"/>
              <w:rPr>
                <w:rFonts w:ascii="宋体" w:hAnsi="宋体"/>
                <w:szCs w:val="21"/>
              </w:rPr>
            </w:pPr>
            <w:r>
              <w:rPr>
                <w:rFonts w:hint="eastAsia" w:ascii="宋体" w:hAnsi="宋体"/>
                <w:szCs w:val="21"/>
              </w:rPr>
              <w:t>1</w:t>
            </w:r>
          </w:p>
        </w:tc>
        <w:tc>
          <w:tcPr>
            <w:tcW w:w="976" w:type="dxa"/>
            <w:vAlign w:val="center"/>
          </w:tcPr>
          <w:p>
            <w:pPr>
              <w:jc w:val="center"/>
              <w:rPr>
                <w:rFonts w:ascii="宋体" w:hAnsi="宋体"/>
                <w:szCs w:val="21"/>
              </w:rPr>
            </w:pPr>
            <w:r>
              <w:rPr>
                <w:rFonts w:hint="eastAsia" w:ascii="宋体" w:hAnsi="宋体"/>
                <w:szCs w:val="21"/>
              </w:rPr>
              <w:t>50000</w:t>
            </w:r>
          </w:p>
        </w:tc>
        <w:tc>
          <w:tcPr>
            <w:tcW w:w="955" w:type="dxa"/>
            <w:vAlign w:val="center"/>
          </w:tcPr>
          <w:p>
            <w:pPr>
              <w:jc w:val="center"/>
              <w:rPr>
                <w:rFonts w:ascii="宋体" w:hAnsi="宋体"/>
                <w:szCs w:val="21"/>
              </w:rPr>
            </w:pPr>
            <w:r>
              <w:rPr>
                <w:rFonts w:hint="eastAsia" w:ascii="宋体" w:hAnsi="宋体"/>
                <w:szCs w:val="21"/>
              </w:rPr>
              <w:t>50000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764" w:type="dxa"/>
            <w:vAlign w:val="center"/>
          </w:tcPr>
          <w:p>
            <w:pPr>
              <w:pStyle w:val="24"/>
              <w:numPr>
                <w:ilvl w:val="0"/>
                <w:numId w:val="1"/>
              </w:numPr>
              <w:ind w:firstLineChars="0"/>
              <w:jc w:val="center"/>
              <w:rPr>
                <w:rFonts w:ascii="宋体" w:hAnsi="宋体"/>
                <w:b/>
                <w:sz w:val="24"/>
              </w:rPr>
            </w:pPr>
          </w:p>
        </w:tc>
        <w:tc>
          <w:tcPr>
            <w:tcW w:w="1559" w:type="dxa"/>
            <w:vAlign w:val="center"/>
          </w:tcPr>
          <w:p>
            <w:pPr>
              <w:rPr>
                <w:rFonts w:ascii="宋体" w:hAnsi="宋体"/>
                <w:szCs w:val="21"/>
              </w:rPr>
            </w:pPr>
            <w:r>
              <w:rPr>
                <w:rFonts w:ascii="宋体" w:hAnsi="宋体"/>
                <w:szCs w:val="21"/>
              </w:rPr>
              <w:t>梯度PCR仪</w:t>
            </w:r>
          </w:p>
        </w:tc>
        <w:tc>
          <w:tcPr>
            <w:tcW w:w="1984" w:type="dxa"/>
            <w:vAlign w:val="center"/>
          </w:tcPr>
          <w:p>
            <w:pPr>
              <w:jc w:val="left"/>
              <w:rPr>
                <w:rFonts w:ascii="宋体" w:hAnsi="宋体"/>
                <w:szCs w:val="21"/>
              </w:rPr>
            </w:pPr>
            <w:r>
              <w:rPr>
                <w:rFonts w:ascii="宋体" w:hAnsi="宋体"/>
                <w:szCs w:val="21"/>
              </w:rPr>
              <w:t>Eppendorf Mastercycler nexus gradient</w:t>
            </w:r>
          </w:p>
        </w:tc>
        <w:tc>
          <w:tcPr>
            <w:tcW w:w="1700" w:type="dxa"/>
            <w:vAlign w:val="center"/>
          </w:tcPr>
          <w:p>
            <w:pPr>
              <w:jc w:val="left"/>
              <w:rPr>
                <w:rFonts w:ascii="宋体" w:hAnsi="宋体"/>
                <w:szCs w:val="21"/>
              </w:rPr>
            </w:pPr>
            <w:r>
              <w:rPr>
                <w:rFonts w:ascii="宋体" w:hAnsi="宋体"/>
                <w:szCs w:val="21"/>
              </w:rPr>
              <w:t>Eppendorf SE</w:t>
            </w:r>
          </w:p>
        </w:tc>
        <w:tc>
          <w:tcPr>
            <w:tcW w:w="592" w:type="dxa"/>
          </w:tcPr>
          <w:p>
            <w:pPr>
              <w:jc w:val="center"/>
              <w:rPr>
                <w:rFonts w:ascii="宋体" w:hAnsi="宋体"/>
                <w:szCs w:val="21"/>
              </w:rPr>
            </w:pPr>
            <w:r>
              <w:rPr>
                <w:rFonts w:ascii="宋体" w:hAnsi="宋体"/>
                <w:szCs w:val="21"/>
              </w:rPr>
              <w:t>台</w:t>
            </w:r>
          </w:p>
        </w:tc>
        <w:tc>
          <w:tcPr>
            <w:tcW w:w="457" w:type="dxa"/>
            <w:vAlign w:val="center"/>
          </w:tcPr>
          <w:p>
            <w:pPr>
              <w:jc w:val="center"/>
              <w:rPr>
                <w:rFonts w:ascii="宋体" w:hAnsi="宋体"/>
                <w:szCs w:val="21"/>
              </w:rPr>
            </w:pPr>
            <w:r>
              <w:rPr>
                <w:rFonts w:ascii="宋体" w:hAnsi="宋体"/>
                <w:szCs w:val="21"/>
              </w:rPr>
              <w:t>2</w:t>
            </w:r>
          </w:p>
        </w:tc>
        <w:tc>
          <w:tcPr>
            <w:tcW w:w="976" w:type="dxa"/>
            <w:vAlign w:val="center"/>
          </w:tcPr>
          <w:p>
            <w:pPr>
              <w:jc w:val="center"/>
              <w:rPr>
                <w:rFonts w:ascii="宋体" w:hAnsi="宋体"/>
                <w:szCs w:val="21"/>
              </w:rPr>
            </w:pPr>
            <w:r>
              <w:rPr>
                <w:rFonts w:hint="eastAsia" w:ascii="宋体" w:hAnsi="宋体"/>
                <w:szCs w:val="21"/>
              </w:rPr>
              <w:t>58000</w:t>
            </w:r>
          </w:p>
        </w:tc>
        <w:tc>
          <w:tcPr>
            <w:tcW w:w="955" w:type="dxa"/>
            <w:vAlign w:val="center"/>
          </w:tcPr>
          <w:p>
            <w:pPr>
              <w:jc w:val="center"/>
              <w:rPr>
                <w:rFonts w:ascii="宋体" w:hAnsi="宋体"/>
                <w:szCs w:val="21"/>
              </w:rPr>
            </w:pPr>
            <w:r>
              <w:rPr>
                <w:rFonts w:hint="eastAsia" w:ascii="宋体" w:hAnsi="宋体"/>
                <w:szCs w:val="21"/>
              </w:rPr>
              <w:t>116000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764" w:type="dxa"/>
            <w:vAlign w:val="center"/>
          </w:tcPr>
          <w:p>
            <w:pPr>
              <w:pStyle w:val="24"/>
              <w:numPr>
                <w:ilvl w:val="0"/>
                <w:numId w:val="1"/>
              </w:numPr>
              <w:ind w:firstLineChars="0"/>
              <w:jc w:val="center"/>
              <w:rPr>
                <w:rFonts w:ascii="宋体" w:hAnsi="宋体"/>
                <w:b/>
                <w:sz w:val="24"/>
              </w:rPr>
            </w:pPr>
          </w:p>
        </w:tc>
        <w:tc>
          <w:tcPr>
            <w:tcW w:w="1559" w:type="dxa"/>
            <w:vAlign w:val="center"/>
          </w:tcPr>
          <w:p>
            <w:pPr>
              <w:rPr>
                <w:rFonts w:ascii="宋体" w:hAnsi="宋体"/>
                <w:szCs w:val="21"/>
              </w:rPr>
            </w:pPr>
            <w:r>
              <w:rPr>
                <w:rFonts w:ascii="宋体" w:hAnsi="宋体"/>
                <w:szCs w:val="21"/>
              </w:rPr>
              <w:t>结晶培养箱</w:t>
            </w:r>
          </w:p>
        </w:tc>
        <w:tc>
          <w:tcPr>
            <w:tcW w:w="1984" w:type="dxa"/>
            <w:vAlign w:val="center"/>
          </w:tcPr>
          <w:p>
            <w:pPr>
              <w:jc w:val="left"/>
              <w:rPr>
                <w:rFonts w:ascii="宋体" w:hAnsi="宋体"/>
                <w:szCs w:val="21"/>
              </w:rPr>
            </w:pPr>
            <w:r>
              <w:rPr>
                <w:rFonts w:ascii="宋体" w:hAnsi="宋体"/>
                <w:szCs w:val="21"/>
              </w:rPr>
              <w:t>MEMMERT IPP55</w:t>
            </w:r>
          </w:p>
        </w:tc>
        <w:tc>
          <w:tcPr>
            <w:tcW w:w="1700" w:type="dxa"/>
            <w:vAlign w:val="center"/>
          </w:tcPr>
          <w:p>
            <w:pPr>
              <w:jc w:val="left"/>
              <w:rPr>
                <w:rFonts w:ascii="宋体" w:hAnsi="宋体"/>
                <w:szCs w:val="21"/>
              </w:rPr>
            </w:pPr>
            <w:r>
              <w:rPr>
                <w:rFonts w:ascii="宋体" w:hAnsi="宋体"/>
                <w:szCs w:val="21"/>
              </w:rPr>
              <w:t>Memmert GmbH</w:t>
            </w:r>
          </w:p>
        </w:tc>
        <w:tc>
          <w:tcPr>
            <w:tcW w:w="592" w:type="dxa"/>
          </w:tcPr>
          <w:p>
            <w:pPr>
              <w:jc w:val="center"/>
              <w:rPr>
                <w:rFonts w:ascii="宋体" w:hAnsi="宋体"/>
                <w:szCs w:val="21"/>
              </w:rPr>
            </w:pPr>
            <w:r>
              <w:rPr>
                <w:rFonts w:ascii="宋体" w:hAnsi="宋体"/>
                <w:szCs w:val="21"/>
              </w:rPr>
              <w:t>台</w:t>
            </w:r>
          </w:p>
        </w:tc>
        <w:tc>
          <w:tcPr>
            <w:tcW w:w="457" w:type="dxa"/>
            <w:vAlign w:val="center"/>
          </w:tcPr>
          <w:p>
            <w:pPr>
              <w:jc w:val="center"/>
              <w:rPr>
                <w:rFonts w:ascii="宋体" w:hAnsi="宋体"/>
                <w:szCs w:val="21"/>
              </w:rPr>
            </w:pPr>
            <w:r>
              <w:rPr>
                <w:rFonts w:ascii="宋体" w:hAnsi="宋体"/>
                <w:szCs w:val="21"/>
              </w:rPr>
              <w:t>3</w:t>
            </w:r>
          </w:p>
        </w:tc>
        <w:tc>
          <w:tcPr>
            <w:tcW w:w="976" w:type="dxa"/>
            <w:vAlign w:val="center"/>
          </w:tcPr>
          <w:p>
            <w:pPr>
              <w:jc w:val="center"/>
              <w:rPr>
                <w:rFonts w:ascii="宋体" w:hAnsi="宋体"/>
                <w:szCs w:val="21"/>
              </w:rPr>
            </w:pPr>
            <w:r>
              <w:rPr>
                <w:rFonts w:hint="eastAsia" w:ascii="宋体" w:hAnsi="宋体"/>
                <w:szCs w:val="21"/>
              </w:rPr>
              <w:t>50000</w:t>
            </w:r>
          </w:p>
        </w:tc>
        <w:tc>
          <w:tcPr>
            <w:tcW w:w="955" w:type="dxa"/>
            <w:vAlign w:val="center"/>
          </w:tcPr>
          <w:p>
            <w:pPr>
              <w:jc w:val="center"/>
              <w:rPr>
                <w:rFonts w:ascii="宋体" w:hAnsi="宋体"/>
                <w:szCs w:val="21"/>
              </w:rPr>
            </w:pPr>
            <w:r>
              <w:rPr>
                <w:rFonts w:hint="eastAsia" w:ascii="宋体" w:hAnsi="宋体"/>
                <w:szCs w:val="21"/>
              </w:rPr>
              <w:t>150000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764" w:type="dxa"/>
            <w:vAlign w:val="center"/>
          </w:tcPr>
          <w:p>
            <w:pPr>
              <w:rPr>
                <w:rFonts w:ascii="宋体" w:hAnsi="宋体"/>
                <w:b/>
                <w:bCs/>
                <w:sz w:val="24"/>
              </w:rPr>
            </w:pPr>
            <w:r>
              <w:rPr>
                <w:rFonts w:hint="eastAsia" w:ascii="宋体" w:hAnsi="宋体"/>
                <w:b/>
                <w:bCs/>
                <w:sz w:val="24"/>
              </w:rPr>
              <w:t>总价</w:t>
            </w:r>
          </w:p>
        </w:tc>
        <w:tc>
          <w:tcPr>
            <w:tcW w:w="8223" w:type="dxa"/>
            <w:gridSpan w:val="7"/>
            <w:vAlign w:val="center"/>
          </w:tcPr>
          <w:p>
            <w:pPr>
              <w:ind w:right="964"/>
              <w:jc w:val="center"/>
              <w:rPr>
                <w:rFonts w:ascii="宋体" w:hAnsi="宋体"/>
                <w:b/>
                <w:sz w:val="24"/>
              </w:rPr>
            </w:pPr>
            <w:r>
              <w:rPr>
                <w:rFonts w:hint="eastAsia" w:ascii="宋体" w:hAnsi="宋体"/>
                <w:b/>
                <w:sz w:val="24"/>
              </w:rPr>
              <w:t xml:space="preserve"> （大写）：叁佰捌拾叁万捌仟元整 </w:t>
            </w:r>
            <w:r>
              <w:rPr>
                <w:rFonts w:ascii="宋体" w:hAnsi="宋体"/>
                <w:b/>
                <w:sz w:val="24"/>
              </w:rPr>
              <w:t xml:space="preserve">   </w:t>
            </w:r>
            <w:r>
              <w:rPr>
                <w:rFonts w:hint="eastAsia" w:ascii="宋体" w:hAnsi="宋体"/>
                <w:b/>
                <w:sz w:val="24"/>
              </w:rPr>
              <w:t>（小写）：¥3838000元</w:t>
            </w:r>
          </w:p>
        </w:tc>
      </w:tr>
    </w:tbl>
    <w:p>
      <w:pPr>
        <w:spacing w:line="360" w:lineRule="auto"/>
        <w:ind w:firstLine="480" w:firstLineChars="200"/>
        <w:rPr>
          <w:rFonts w:ascii="宋体" w:hAnsi="宋体"/>
          <w:sz w:val="24"/>
        </w:rPr>
      </w:pPr>
      <w:r>
        <w:rPr>
          <w:rFonts w:hint="eastAsia" w:ascii="宋体" w:hAnsi="宋体"/>
          <w:sz w:val="24"/>
        </w:rPr>
        <w:t>3、详细的技术规格、质保方案及售后服务标准见附件。</w:t>
      </w:r>
    </w:p>
    <w:p>
      <w:pPr>
        <w:spacing w:line="360" w:lineRule="auto"/>
        <w:ind w:firstLine="482" w:firstLineChars="200"/>
        <w:rPr>
          <w:rFonts w:ascii="宋体" w:hAnsi="宋体"/>
          <w:b/>
          <w:sz w:val="24"/>
        </w:rPr>
      </w:pPr>
      <w:r>
        <w:rPr>
          <w:rFonts w:hint="eastAsia" w:ascii="宋体" w:hAnsi="宋体"/>
          <w:b/>
          <w:sz w:val="24"/>
        </w:rPr>
        <w:t>三、安装调试</w:t>
      </w:r>
    </w:p>
    <w:p>
      <w:pPr>
        <w:spacing w:line="360" w:lineRule="auto"/>
        <w:ind w:firstLine="480" w:firstLineChars="200"/>
        <w:rPr>
          <w:rFonts w:ascii="宋体" w:hAnsi="宋体"/>
          <w:sz w:val="24"/>
        </w:rPr>
      </w:pPr>
      <w:r>
        <w:rPr>
          <w:rFonts w:hint="eastAsia" w:ascii="宋体" w:hAnsi="宋体"/>
          <w:sz w:val="24"/>
        </w:rPr>
        <w:t>乙方负责对货物（设备）免费进行安装调试，并使其投入正常运行，并经双方人员签字验收。</w:t>
      </w:r>
    </w:p>
    <w:p>
      <w:pPr>
        <w:spacing w:line="360" w:lineRule="auto"/>
        <w:ind w:firstLine="482" w:firstLineChars="200"/>
        <w:rPr>
          <w:rFonts w:ascii="宋体" w:hAnsi="宋体"/>
          <w:b/>
          <w:sz w:val="24"/>
        </w:rPr>
      </w:pPr>
      <w:r>
        <w:rPr>
          <w:rFonts w:hint="eastAsia" w:ascii="宋体" w:hAnsi="宋体"/>
          <w:b/>
          <w:sz w:val="24"/>
        </w:rPr>
        <w:t>四、人员技术培训</w:t>
      </w:r>
    </w:p>
    <w:p>
      <w:pPr>
        <w:spacing w:line="360" w:lineRule="auto"/>
        <w:ind w:firstLine="480" w:firstLineChars="200"/>
        <w:rPr>
          <w:rFonts w:ascii="宋体" w:hAnsi="宋体"/>
          <w:sz w:val="24"/>
        </w:rPr>
      </w:pPr>
      <w:r>
        <w:rPr>
          <w:rFonts w:hint="eastAsia" w:ascii="宋体" w:hAnsi="宋体"/>
          <w:sz w:val="24"/>
        </w:rPr>
        <w:t>乙方应当安排技术人员免费为甲方人员进行技术培训和现场指导，使购买的货物（设备）国家规定运行标准和使用要求。</w:t>
      </w:r>
    </w:p>
    <w:p>
      <w:pPr>
        <w:spacing w:line="360" w:lineRule="auto"/>
        <w:ind w:firstLine="482" w:firstLineChars="200"/>
        <w:rPr>
          <w:rFonts w:ascii="宋体" w:hAnsi="宋体"/>
          <w:b/>
          <w:sz w:val="24"/>
        </w:rPr>
      </w:pPr>
      <w:r>
        <w:rPr>
          <w:rFonts w:hint="eastAsia" w:ascii="宋体" w:hAnsi="宋体"/>
          <w:b/>
          <w:sz w:val="24"/>
        </w:rPr>
        <w:t>五、交付的时间、地点、运输方式、运输费用及风险承担</w:t>
      </w:r>
    </w:p>
    <w:p>
      <w:pPr>
        <w:spacing w:line="360" w:lineRule="auto"/>
        <w:ind w:firstLine="480" w:firstLineChars="200"/>
        <w:rPr>
          <w:rFonts w:ascii="宋体" w:hAnsi="宋体"/>
          <w:sz w:val="24"/>
        </w:rPr>
      </w:pPr>
      <w:r>
        <w:rPr>
          <w:rFonts w:hint="eastAsia" w:ascii="宋体" w:hAnsi="宋体"/>
          <w:sz w:val="24"/>
        </w:rPr>
        <w:t>1、交货时间、地点：于合同生效之日起</w:t>
      </w:r>
      <w:r>
        <w:rPr>
          <w:rFonts w:hint="eastAsia" w:ascii="宋体" w:hAnsi="宋体"/>
          <w:sz w:val="24"/>
          <w:u w:val="single"/>
        </w:rPr>
        <w:t>国产设备30日，进口设备180日内</w:t>
      </w:r>
      <w:r>
        <w:rPr>
          <w:rFonts w:hint="eastAsia" w:ascii="宋体" w:hAnsi="宋体"/>
          <w:sz w:val="24"/>
        </w:rPr>
        <w:t>（按投标承诺时间），乙方按甲方指定地点将货物免费送达。甲方或最终用户在乙方收货确认单签字盖章，或者甲方或最终用户在乙方的物流配送单据上予以签字或盖章，作为双方结算的依据。</w:t>
      </w:r>
    </w:p>
    <w:p>
      <w:pPr>
        <w:spacing w:line="360" w:lineRule="auto"/>
        <w:ind w:firstLine="480" w:firstLineChars="200"/>
        <w:rPr>
          <w:rFonts w:ascii="宋体" w:hAnsi="宋体"/>
          <w:sz w:val="24"/>
        </w:rPr>
      </w:pPr>
      <w:r>
        <w:rPr>
          <w:rFonts w:hint="eastAsia" w:ascii="宋体" w:hAnsi="宋体"/>
          <w:sz w:val="24"/>
        </w:rPr>
        <w:t>2、产品运输过程中由乙方按国家有关设备供应的规定标准进行包装、供应，产生的相关费用由乙方承担。</w:t>
      </w:r>
    </w:p>
    <w:p>
      <w:pPr>
        <w:spacing w:line="360" w:lineRule="auto"/>
        <w:ind w:firstLine="480" w:firstLineChars="200"/>
        <w:rPr>
          <w:rFonts w:ascii="宋体" w:hAnsi="宋体"/>
          <w:sz w:val="24"/>
        </w:rPr>
      </w:pPr>
      <w:r>
        <w:rPr>
          <w:rFonts w:hint="eastAsia" w:ascii="宋体" w:hAnsi="宋体"/>
          <w:sz w:val="24"/>
        </w:rPr>
        <w:t>3、乙方应在交货时向甲方提供货物（设备）生产制造标准、使用说明书、检验合格证明及相关的随机备品备件、配件、工具、软件等资料。</w:t>
      </w:r>
    </w:p>
    <w:p>
      <w:pPr>
        <w:ind w:firstLine="480" w:firstLineChars="200"/>
        <w:rPr>
          <w:rFonts w:ascii="宋体" w:hAnsi="宋体"/>
          <w:sz w:val="24"/>
        </w:rPr>
      </w:pPr>
      <w:r>
        <w:rPr>
          <w:rFonts w:hint="eastAsia" w:ascii="宋体" w:hAnsi="宋体"/>
          <w:sz w:val="24"/>
        </w:rPr>
        <w:t>4、合同货物（设备）验收前的货物毁损、灭失的风险由乙方承担，验收合格后的货物灭失的风险由甲方承担。如合同商品参加保险，保险赔偿款由风险承担者享有。</w:t>
      </w:r>
    </w:p>
    <w:p>
      <w:pPr>
        <w:spacing w:line="360" w:lineRule="auto"/>
        <w:ind w:firstLine="482" w:firstLineChars="200"/>
        <w:rPr>
          <w:rFonts w:ascii="宋体" w:hAnsi="宋体"/>
          <w:b/>
          <w:sz w:val="24"/>
        </w:rPr>
      </w:pPr>
      <w:r>
        <w:rPr>
          <w:rFonts w:hint="eastAsia" w:ascii="宋体" w:hAnsi="宋体"/>
          <w:b/>
          <w:sz w:val="24"/>
        </w:rPr>
        <w:t>六、货物（设备）验收标准、验收方式</w:t>
      </w:r>
    </w:p>
    <w:p>
      <w:pPr>
        <w:spacing w:line="360" w:lineRule="auto"/>
        <w:ind w:firstLine="480" w:firstLineChars="200"/>
        <w:rPr>
          <w:rFonts w:ascii="宋体" w:hAnsi="宋体"/>
          <w:sz w:val="24"/>
        </w:rPr>
      </w:pPr>
      <w:r>
        <w:rPr>
          <w:rFonts w:hint="eastAsia" w:ascii="宋体" w:hAnsi="宋体"/>
          <w:sz w:val="24"/>
        </w:rPr>
        <w:t>1、按国家现行验收标准、规范等有关规定执行，甲方在收到货物（设备）后可以在合理期限内提出异议。</w:t>
      </w:r>
    </w:p>
    <w:p>
      <w:pPr>
        <w:spacing w:line="360" w:lineRule="auto"/>
        <w:ind w:firstLine="480" w:firstLineChars="200"/>
        <w:rPr>
          <w:rFonts w:ascii="宋体" w:hAnsi="宋体"/>
          <w:sz w:val="24"/>
        </w:rPr>
      </w:pPr>
      <w:r>
        <w:rPr>
          <w:rFonts w:hint="eastAsia" w:ascii="宋体" w:hAnsi="宋体"/>
          <w:sz w:val="24"/>
        </w:rPr>
        <w:t>2、货物（设备）使用单位应在货物（设备）交付后，根据初验结果以及安装、调试、培训等情况正常运行一段时间后向甲方提出货物（设备）验收申请。</w:t>
      </w:r>
    </w:p>
    <w:p>
      <w:pPr>
        <w:spacing w:line="360" w:lineRule="auto"/>
        <w:ind w:firstLine="480" w:firstLineChars="200"/>
        <w:rPr>
          <w:rFonts w:ascii="宋体" w:hAnsi="宋体"/>
          <w:sz w:val="24"/>
        </w:rPr>
      </w:pPr>
      <w:r>
        <w:rPr>
          <w:rFonts w:hint="eastAsia" w:ascii="宋体" w:hAnsi="宋体"/>
          <w:sz w:val="24"/>
        </w:rPr>
        <w:t>3、根据验收申请，甲方组织相关人员进行正式验收，也可以根据实际需要增加出厂检验、安装调试检验等多种验收环节，特殊情况下可以组织第三方共同验收。</w:t>
      </w:r>
    </w:p>
    <w:p>
      <w:pPr>
        <w:spacing w:line="360" w:lineRule="auto"/>
        <w:ind w:firstLine="482" w:firstLineChars="200"/>
        <w:rPr>
          <w:rFonts w:ascii="宋体" w:hAnsi="宋体"/>
          <w:b/>
          <w:sz w:val="24"/>
        </w:rPr>
      </w:pPr>
      <w:r>
        <w:rPr>
          <w:rFonts w:hint="eastAsia" w:ascii="宋体" w:hAnsi="宋体"/>
          <w:b/>
          <w:sz w:val="24"/>
        </w:rPr>
        <w:t>七、货物（设备）付款时间、支付方式和支付条件</w:t>
      </w:r>
    </w:p>
    <w:p>
      <w:pPr>
        <w:spacing w:line="360" w:lineRule="auto"/>
        <w:ind w:firstLine="588" w:firstLineChars="245"/>
        <w:rPr>
          <w:rFonts w:ascii="宋体" w:hAnsi="宋体"/>
          <w:sz w:val="24"/>
        </w:rPr>
      </w:pPr>
      <w:r>
        <w:rPr>
          <w:rFonts w:ascii="宋体" w:hAnsi="宋体"/>
          <w:sz w:val="24"/>
        </w:rPr>
        <w:t>1、付款方式</w:t>
      </w:r>
    </w:p>
    <w:p>
      <w:pPr>
        <w:spacing w:line="360" w:lineRule="auto"/>
        <w:ind w:firstLine="480" w:firstLineChars="200"/>
        <w:jc w:val="left"/>
        <w:rPr>
          <w:rFonts w:ascii="宋体" w:hAnsi="宋体"/>
          <w:sz w:val="24"/>
        </w:rPr>
      </w:pPr>
      <w:r>
        <w:rPr>
          <w:rFonts w:hint="eastAsia" w:ascii="宋体" w:hAnsi="宋体"/>
          <w:sz w:val="24"/>
        </w:rPr>
        <w:t xml:space="preserve">货物（设备）到达合同约定的交货地点并经甲、乙双方进行验收合格后，乙方向甲方提供本合同金额5%一年期的银行保函，甲方收到银行保函并查验无误后，向乙方支付总合同金额的100%。                   </w:t>
      </w:r>
    </w:p>
    <w:p>
      <w:pPr>
        <w:spacing w:line="360" w:lineRule="auto"/>
        <w:ind w:firstLine="480" w:firstLineChars="200"/>
        <w:jc w:val="left"/>
        <w:rPr>
          <w:rFonts w:ascii="宋体" w:hAnsi="宋体"/>
          <w:sz w:val="24"/>
        </w:rPr>
      </w:pPr>
      <w:r>
        <w:rPr>
          <w:rFonts w:hint="eastAsia" w:ascii="宋体" w:hAnsi="宋体"/>
          <w:sz w:val="24"/>
        </w:rPr>
        <w:t xml:space="preserve"> </w:t>
      </w:r>
      <w:r>
        <w:rPr>
          <w:rFonts w:ascii="宋体" w:hAnsi="宋体"/>
          <w:sz w:val="24"/>
        </w:rPr>
        <w:t>以上涉及金额部分均为人民币计价，合同期内由于汇率变动产生的经营风险由乙方承担，乙方放弃以情势变更为理由要求变更甲方的付款金额。如遇不可抗力或不归责于甲方原因造成的付款延迟，甲方无需承担延迟付款的违约责任。</w:t>
      </w:r>
    </w:p>
    <w:p>
      <w:pPr>
        <w:spacing w:line="360" w:lineRule="auto"/>
        <w:ind w:firstLine="588" w:firstLineChars="245"/>
        <w:rPr>
          <w:rFonts w:ascii="宋体" w:hAnsi="宋体"/>
          <w:sz w:val="24"/>
        </w:rPr>
      </w:pPr>
      <w:r>
        <w:rPr>
          <w:rFonts w:hint="eastAsia" w:ascii="宋体" w:hAnsi="宋体"/>
          <w:sz w:val="24"/>
        </w:rPr>
        <w:t>2、支付方式：</w:t>
      </w:r>
    </w:p>
    <w:p>
      <w:pPr>
        <w:spacing w:line="360" w:lineRule="auto"/>
        <w:ind w:firstLine="593" w:firstLineChars="246"/>
        <w:rPr>
          <w:rFonts w:ascii="宋体" w:hAnsi="宋体"/>
          <w:b/>
          <w:bCs/>
          <w:sz w:val="24"/>
        </w:rPr>
      </w:pPr>
      <w:r>
        <w:rPr>
          <w:rFonts w:hint="eastAsia" w:ascii="宋体" w:hAnsi="宋体"/>
          <w:b/>
          <w:bCs/>
          <w:sz w:val="24"/>
        </w:rPr>
        <w:t>统一社会信用代码：</w:t>
      </w:r>
      <w:r>
        <w:rPr>
          <w:rFonts w:ascii="宋体" w:hAnsi="宋体"/>
          <w:b/>
          <w:bCs/>
          <w:sz w:val="24"/>
        </w:rPr>
        <w:t>9141010507541964XG</w:t>
      </w:r>
      <w:r>
        <w:rPr>
          <w:rFonts w:hint="eastAsia" w:ascii="宋体" w:hAnsi="宋体"/>
          <w:b/>
          <w:bCs/>
          <w:sz w:val="24"/>
        </w:rPr>
        <w:t xml:space="preserve">             </w:t>
      </w:r>
    </w:p>
    <w:p>
      <w:pPr>
        <w:spacing w:line="360" w:lineRule="auto"/>
        <w:ind w:firstLine="593" w:firstLineChars="246"/>
        <w:rPr>
          <w:rFonts w:ascii="宋体" w:hAnsi="宋体"/>
          <w:b/>
          <w:bCs/>
          <w:sz w:val="24"/>
        </w:rPr>
      </w:pPr>
      <w:r>
        <w:rPr>
          <w:rFonts w:hint="eastAsia" w:ascii="宋体" w:hAnsi="宋体"/>
          <w:b/>
          <w:bCs/>
          <w:sz w:val="24"/>
        </w:rPr>
        <w:t xml:space="preserve">账户名称：河南瑞肯实业有限公司      </w:t>
      </w:r>
    </w:p>
    <w:p>
      <w:pPr>
        <w:spacing w:line="360" w:lineRule="auto"/>
        <w:ind w:firstLine="593" w:firstLineChars="246"/>
        <w:rPr>
          <w:rFonts w:ascii="宋体" w:hAnsi="宋体"/>
          <w:b/>
          <w:bCs/>
          <w:sz w:val="24"/>
        </w:rPr>
      </w:pPr>
      <w:r>
        <w:rPr>
          <w:rFonts w:hint="eastAsia" w:ascii="宋体" w:hAnsi="宋体"/>
          <w:b/>
          <w:bCs/>
          <w:sz w:val="24"/>
        </w:rPr>
        <w:t>账   号：</w:t>
      </w:r>
      <w:r>
        <w:rPr>
          <w:rFonts w:ascii="宋体" w:hAnsi="宋体"/>
          <w:b/>
          <w:bCs/>
          <w:sz w:val="24"/>
        </w:rPr>
        <w:t>999156000530001545</w:t>
      </w:r>
      <w:r>
        <w:rPr>
          <w:rFonts w:hint="eastAsia" w:ascii="宋体" w:hAnsi="宋体"/>
          <w:b/>
          <w:bCs/>
          <w:sz w:val="24"/>
        </w:rPr>
        <w:t xml:space="preserve"> </w:t>
      </w:r>
    </w:p>
    <w:p>
      <w:pPr>
        <w:spacing w:line="400" w:lineRule="exact"/>
        <w:ind w:firstLine="593" w:firstLineChars="246"/>
        <w:rPr>
          <w:rFonts w:ascii="宋体" w:hAnsi="宋体"/>
          <w:b/>
          <w:bCs/>
          <w:sz w:val="24"/>
        </w:rPr>
      </w:pPr>
      <w:r>
        <w:rPr>
          <w:rFonts w:hint="eastAsia" w:ascii="宋体" w:hAnsi="宋体"/>
          <w:b/>
          <w:bCs/>
          <w:sz w:val="24"/>
        </w:rPr>
        <w:t xml:space="preserve">开户银行：郑州银行黄河路支行 </w:t>
      </w:r>
    </w:p>
    <w:p>
      <w:pPr>
        <w:spacing w:line="360" w:lineRule="auto"/>
        <w:ind w:firstLine="480" w:firstLineChars="200"/>
        <w:rPr>
          <w:rFonts w:ascii="宋体" w:hAnsi="宋体"/>
          <w:sz w:val="24"/>
        </w:rPr>
      </w:pPr>
      <w:r>
        <w:rPr>
          <w:rFonts w:hint="eastAsia" w:ascii="宋体" w:hAnsi="宋体"/>
          <w:sz w:val="24"/>
        </w:rPr>
        <w:t>3、甲方每次付款前，乙方需按每次付款金额开具符合国家规定的发票，甲方收到发票并通过国家税务部门官方网站检验发票真伪后按付款流程支付合同价款。</w:t>
      </w:r>
    </w:p>
    <w:p>
      <w:pPr>
        <w:spacing w:line="360" w:lineRule="auto"/>
        <w:ind w:firstLine="480" w:firstLineChars="200"/>
        <w:rPr>
          <w:rFonts w:ascii="宋体" w:hAnsi="宋体"/>
          <w:sz w:val="24"/>
        </w:rPr>
      </w:pPr>
      <w:r>
        <w:rPr>
          <w:rFonts w:hint="eastAsia" w:ascii="宋体" w:hAnsi="宋体"/>
          <w:sz w:val="24"/>
        </w:rPr>
        <w:t>4、乙方必须提供真实、合法的发票。若乙方提供虚假发票，自发现之日起三日内乙方应无条件提供正规发票并承担甲方因此所遭受的所有损失。发票上记载的款项甲方有权不再支付，从合同款中扣减。</w:t>
      </w:r>
    </w:p>
    <w:p>
      <w:pPr>
        <w:spacing w:line="360" w:lineRule="auto"/>
        <w:ind w:firstLine="480" w:firstLineChars="200"/>
        <w:rPr>
          <w:rFonts w:ascii="宋体" w:hAnsi="宋体"/>
          <w:bCs/>
          <w:sz w:val="24"/>
        </w:rPr>
      </w:pPr>
      <w:r>
        <w:rPr>
          <w:rFonts w:hint="eastAsia" w:ascii="宋体" w:hAnsi="宋体"/>
          <w:sz w:val="24"/>
        </w:rPr>
        <w:t>5、本合同为固定单价合同，总价以实际提供合格货品数量乘以清单单价结算。甲方可根据实际需求，调整合同清单内的品种、数量，乙方须予以配合，</w:t>
      </w:r>
      <w:r>
        <w:rPr>
          <w:rFonts w:hint="eastAsia" w:ascii="宋体" w:hAnsi="宋体"/>
          <w:bCs/>
          <w:sz w:val="24"/>
        </w:rPr>
        <w:t>调整部分的价款不应超出合同价款的10%。</w:t>
      </w:r>
    </w:p>
    <w:p>
      <w:pPr>
        <w:spacing w:line="360" w:lineRule="auto"/>
        <w:ind w:firstLine="482" w:firstLineChars="200"/>
        <w:rPr>
          <w:rFonts w:ascii="宋体" w:hAnsi="宋体"/>
          <w:b/>
          <w:sz w:val="24"/>
        </w:rPr>
      </w:pPr>
      <w:r>
        <w:rPr>
          <w:rFonts w:hint="eastAsia" w:ascii="宋体" w:hAnsi="宋体"/>
          <w:b/>
          <w:sz w:val="24"/>
        </w:rPr>
        <w:t>八、违约责任</w:t>
      </w:r>
    </w:p>
    <w:p>
      <w:pPr>
        <w:spacing w:line="360" w:lineRule="auto"/>
        <w:ind w:firstLine="480" w:firstLineChars="200"/>
        <w:rPr>
          <w:rFonts w:ascii="宋体" w:hAnsi="宋体"/>
          <w:sz w:val="24"/>
        </w:rPr>
      </w:pPr>
      <w:r>
        <w:rPr>
          <w:rFonts w:hint="eastAsia" w:ascii="宋体" w:hAnsi="宋体"/>
          <w:sz w:val="24"/>
        </w:rPr>
        <w:t>1、乙方未按期限、地点履行卖方义务，每延迟一日，乙方应当按本合同总金额的0.5％向甲方支付违约金；乙方逾期交货时间超过7日的或违约金累积达到合同总金额的10%时，甲方有权不经通知解除与乙方的合同，要求乙方支付合同金额3</w:t>
      </w:r>
      <w:r>
        <w:rPr>
          <w:rFonts w:ascii="宋体" w:hAnsi="宋体"/>
          <w:sz w:val="24"/>
        </w:rPr>
        <w:t>0%</w:t>
      </w:r>
      <w:r>
        <w:rPr>
          <w:rFonts w:hint="eastAsia" w:ascii="宋体" w:hAnsi="宋体"/>
          <w:sz w:val="24"/>
        </w:rPr>
        <w:t>的违约金。同时，乙方应赔偿由于逾期供货给甲方造成的全部损失；如违约金不足以赔偿甲方损失的，乙方还应当赔偿全部损失。</w:t>
      </w:r>
    </w:p>
    <w:p>
      <w:pPr>
        <w:spacing w:line="360" w:lineRule="auto"/>
        <w:ind w:firstLine="480" w:firstLineChars="200"/>
        <w:rPr>
          <w:rFonts w:ascii="宋体" w:hAnsi="宋体"/>
          <w:bCs/>
          <w:sz w:val="24"/>
        </w:rPr>
      </w:pPr>
      <w:r>
        <w:rPr>
          <w:rFonts w:hint="eastAsia" w:ascii="宋体" w:hAnsi="宋体"/>
          <w:sz w:val="24"/>
        </w:rPr>
        <w:t>2、乙方所提供的设备品种、型号、规格、质量不符合国家规定及本合同规定标准的，甲方有权拒收设备，并有权单方解除合同，乙方应向甲方支付不超过设备款总值30%的违约金。</w:t>
      </w:r>
      <w:r>
        <w:rPr>
          <w:rFonts w:hint="eastAsia" w:ascii="宋体" w:hAnsi="宋体"/>
          <w:bCs/>
          <w:sz w:val="24"/>
        </w:rPr>
        <w:t>甲方不解除合同的，除乙方按前述约定支付违约金外，乙方应在本合同约定的期限内换货、补货，超出本合同第五条约定期限的，乙方应按第八条第一款的约定承担违约责任，换货、补货的费用由乙方承担。如果根据合同标的和履行的情况不具备更换条件的，</w:t>
      </w:r>
      <w:r>
        <w:rPr>
          <w:rFonts w:hint="eastAsia" w:ascii="宋体" w:hAnsi="宋体"/>
          <w:sz w:val="24"/>
        </w:rPr>
        <w:t>乙方应向甲方支付不超过设备（货物）合同款总值30%的违约金，并按二种商品之间差价的二倍金额赔偿甲方的损失。</w:t>
      </w:r>
    </w:p>
    <w:p>
      <w:pPr>
        <w:spacing w:line="360" w:lineRule="auto"/>
        <w:ind w:firstLine="480" w:firstLineChars="200"/>
        <w:rPr>
          <w:rFonts w:ascii="宋体" w:hAnsi="宋体"/>
          <w:sz w:val="24"/>
        </w:rPr>
      </w:pPr>
      <w:r>
        <w:rPr>
          <w:rFonts w:hint="eastAsia" w:ascii="宋体" w:hAnsi="宋体"/>
          <w:sz w:val="24"/>
        </w:rPr>
        <w:t>3、乙方提供的货物（设备）是由于在装卸、运输或包装造成的产品破损，乙方应负责补足合格产品数量并承担相应费用。</w:t>
      </w:r>
    </w:p>
    <w:p>
      <w:pPr>
        <w:spacing w:line="360" w:lineRule="auto"/>
        <w:ind w:firstLine="480" w:firstLineChars="200"/>
        <w:rPr>
          <w:rFonts w:ascii="宋体" w:hAnsi="宋体"/>
          <w:sz w:val="24"/>
        </w:rPr>
      </w:pPr>
      <w:r>
        <w:rPr>
          <w:rFonts w:hint="eastAsia" w:ascii="宋体" w:hAnsi="宋体"/>
          <w:sz w:val="24"/>
        </w:rPr>
        <w:t>4、乙方应对提供的货物（设备）在使用过程中给甲方或任何第三方造成的人身伤害或财产损失应当承担全部责任</w:t>
      </w:r>
      <w:bookmarkStart w:id="0" w:name="_Hlt503692967"/>
      <w:bookmarkEnd w:id="0"/>
      <w:bookmarkStart w:id="1" w:name="_Hlt503692969"/>
      <w:bookmarkEnd w:id="1"/>
      <w:r>
        <w:rPr>
          <w:rFonts w:hint="eastAsia" w:ascii="宋体" w:hAnsi="宋体"/>
          <w:sz w:val="24"/>
        </w:rPr>
        <w:t>。</w:t>
      </w:r>
    </w:p>
    <w:p>
      <w:pPr>
        <w:spacing w:line="360" w:lineRule="auto"/>
        <w:ind w:firstLine="480" w:firstLineChars="200"/>
        <w:rPr>
          <w:rFonts w:ascii="宋体" w:hAnsi="宋体" w:cs="宋体"/>
          <w:sz w:val="24"/>
        </w:rPr>
      </w:pPr>
      <w:r>
        <w:rPr>
          <w:rFonts w:hint="eastAsia" w:ascii="宋体" w:hAnsi="宋体"/>
          <w:sz w:val="24"/>
        </w:rPr>
        <w:t>5、本货物（设备）的质保期</w:t>
      </w:r>
      <w:r>
        <w:rPr>
          <w:rFonts w:hint="eastAsia" w:ascii="宋体" w:hAnsi="宋体" w:cs="宋体"/>
          <w:sz w:val="24"/>
        </w:rPr>
        <w:t>保修期三年, 从仪器验收合格, 双方签字之日起保修期开始生效。</w:t>
      </w:r>
      <w:r>
        <w:rPr>
          <w:rFonts w:hint="eastAsia" w:ascii="宋体" w:hAnsi="宋体"/>
          <w:sz w:val="24"/>
        </w:rPr>
        <w:t>如乙方违反《售后服务计划》约定未及时履行保修义务的，每发生一次，乙方应向甲方支付违约金500元。甲方因乙方违约而委托第三方进行维修所产生的相应维修费用，乙方无条件同意并承担由此产生的所有费用和责任。</w:t>
      </w:r>
    </w:p>
    <w:p>
      <w:pPr>
        <w:pStyle w:val="23"/>
        <w:spacing w:line="360" w:lineRule="auto"/>
        <w:ind w:firstLine="470" w:firstLineChars="196"/>
        <w:rPr>
          <w:rFonts w:ascii="宋体" w:hAnsi="宋体" w:cs="Times New Roman"/>
          <w:bCs/>
        </w:rPr>
      </w:pPr>
      <w:r>
        <w:rPr>
          <w:rFonts w:hint="eastAsia" w:ascii="宋体" w:hAnsi="宋体"/>
        </w:rPr>
        <w:t>6、货物（设备）经验收合格、乙方不存在违约责任的情形下，甲方未按照本合同约定付款方式支付货款，每逾期一日，未付货款甲方按照本合同订立时中国人民银行授权全国银行间同业拆借中心公布1年期贷款市场报价利率（LPR）向乙方支付逾期利息。</w:t>
      </w:r>
    </w:p>
    <w:p>
      <w:pPr>
        <w:adjustRightInd w:val="0"/>
        <w:snapToGrid w:val="0"/>
        <w:spacing w:line="360" w:lineRule="auto"/>
        <w:ind w:firstLine="482" w:firstLineChars="200"/>
        <w:jc w:val="left"/>
        <w:rPr>
          <w:rFonts w:ascii="宋体" w:hAnsi="宋体"/>
          <w:b/>
          <w:sz w:val="24"/>
        </w:rPr>
      </w:pPr>
      <w:r>
        <w:rPr>
          <w:rFonts w:hint="eastAsia" w:ascii="宋体" w:hAnsi="宋体"/>
          <w:b/>
          <w:sz w:val="24"/>
        </w:rPr>
        <w:t>九、特别约定</w:t>
      </w:r>
    </w:p>
    <w:p>
      <w:pPr>
        <w:adjustRightInd w:val="0"/>
        <w:snapToGrid w:val="0"/>
        <w:spacing w:line="360" w:lineRule="auto"/>
        <w:ind w:firstLine="480" w:firstLineChars="200"/>
        <w:jc w:val="left"/>
        <w:rPr>
          <w:rFonts w:ascii="宋体" w:hAnsi="宋体"/>
          <w:sz w:val="24"/>
        </w:rPr>
      </w:pPr>
      <w:r>
        <w:rPr>
          <w:rFonts w:hint="eastAsia" w:ascii="宋体" w:hAnsi="宋体"/>
          <w:sz w:val="24"/>
        </w:rPr>
        <w:t>1、甲、乙双方应严格遵守投标要求和投标人须知，如有违反，按投标要求和投标人须知规定予以处理。</w:t>
      </w:r>
      <w:r>
        <w:rPr>
          <w:rFonts w:ascii="宋体" w:hAnsi="宋体"/>
          <w:sz w:val="24"/>
        </w:rPr>
        <w:t>因设备的质量问题发生争议，</w:t>
      </w:r>
      <w:r>
        <w:rPr>
          <w:rFonts w:hint="eastAsia" w:ascii="宋体" w:hAnsi="宋体"/>
          <w:sz w:val="24"/>
        </w:rPr>
        <w:t>可</w:t>
      </w:r>
      <w:r>
        <w:rPr>
          <w:rFonts w:ascii="宋体" w:hAnsi="宋体"/>
          <w:sz w:val="24"/>
        </w:rPr>
        <w:t>由法定的技术鉴定单位进行质量鉴定</w:t>
      </w:r>
      <w:r>
        <w:rPr>
          <w:rFonts w:hint="eastAsia" w:ascii="宋体" w:hAnsi="宋体"/>
          <w:sz w:val="24"/>
        </w:rPr>
        <w:t>，经鉴定产品设备存在质量问题的，因此发生的鉴定费用及其他合理费用由乙方全部承担</w:t>
      </w:r>
      <w:r>
        <w:rPr>
          <w:rFonts w:ascii="宋体" w:hAnsi="宋体"/>
          <w:sz w:val="24"/>
        </w:rPr>
        <w:t>。</w:t>
      </w:r>
    </w:p>
    <w:p>
      <w:pPr>
        <w:pStyle w:val="9"/>
        <w:adjustRightInd w:val="0"/>
        <w:snapToGrid w:val="0"/>
        <w:spacing w:before="0" w:beforeAutospacing="0" w:after="0" w:afterAutospacing="0" w:line="360" w:lineRule="auto"/>
        <w:ind w:firstLine="480" w:firstLineChars="200"/>
        <w:rPr>
          <w:rFonts w:cs="Times New Roman"/>
          <w:kern w:val="2"/>
        </w:rPr>
      </w:pPr>
      <w:r>
        <w:rPr>
          <w:rFonts w:hint="eastAsia" w:cs="Times New Roman"/>
          <w:kern w:val="2"/>
        </w:rPr>
        <w:t>2、本合同</w:t>
      </w:r>
      <w:r>
        <w:rPr>
          <w:rFonts w:cs="Times New Roman"/>
          <w:kern w:val="2"/>
        </w:rPr>
        <w:t>采购文件及其修改、投标文件及其修改、澄清</w:t>
      </w:r>
      <w:r>
        <w:rPr>
          <w:rFonts w:hint="eastAsia" w:cs="Times New Roman"/>
          <w:kern w:val="2"/>
        </w:rPr>
        <w:t>、合同附件均</w:t>
      </w:r>
      <w:r>
        <w:rPr>
          <w:rFonts w:cs="Times New Roman"/>
          <w:kern w:val="2"/>
        </w:rPr>
        <w:t>为本合同的组成部分</w:t>
      </w:r>
      <w:r>
        <w:rPr>
          <w:rFonts w:hint="eastAsia" w:cs="Times New Roman"/>
          <w:kern w:val="2"/>
        </w:rPr>
        <w:t>，具有同等法律效力；与本合同约定不一致之处，以本合同为准。</w:t>
      </w:r>
    </w:p>
    <w:p>
      <w:pPr>
        <w:spacing w:line="360" w:lineRule="auto"/>
        <w:ind w:firstLine="480" w:firstLineChars="200"/>
        <w:rPr>
          <w:rFonts w:ascii="宋体" w:hAnsi="宋体"/>
          <w:sz w:val="24"/>
        </w:rPr>
      </w:pPr>
      <w:r>
        <w:rPr>
          <w:rFonts w:hint="eastAsia" w:ascii="宋体" w:hAnsi="宋体"/>
          <w:sz w:val="24"/>
        </w:rPr>
        <w:t>3、本合同的任何修改、补充应以书面形式进行，并经双方的授权代表签字并加盖公章后方为有效。</w:t>
      </w:r>
    </w:p>
    <w:p>
      <w:pPr>
        <w:spacing w:line="360" w:lineRule="auto"/>
        <w:ind w:firstLine="482" w:firstLineChars="200"/>
        <w:rPr>
          <w:rFonts w:ascii="宋体" w:hAnsi="宋体"/>
          <w:b/>
          <w:sz w:val="24"/>
        </w:rPr>
      </w:pPr>
      <w:r>
        <w:rPr>
          <w:rFonts w:hint="eastAsia" w:ascii="宋体" w:hAnsi="宋体"/>
          <w:b/>
          <w:sz w:val="24"/>
        </w:rPr>
        <w:t>十、争议解决方式和管辖</w:t>
      </w:r>
    </w:p>
    <w:p>
      <w:pPr>
        <w:spacing w:line="360" w:lineRule="auto"/>
        <w:ind w:firstLine="480" w:firstLineChars="200"/>
        <w:rPr>
          <w:rFonts w:ascii="宋体" w:hAnsi="宋体"/>
          <w:sz w:val="24"/>
        </w:rPr>
      </w:pPr>
      <w:r>
        <w:rPr>
          <w:rFonts w:hint="eastAsia" w:ascii="宋体" w:hAnsi="宋体"/>
          <w:sz w:val="24"/>
        </w:rPr>
        <w:t>因货物（设备）的质量问题发生争议以及履行本合同发生争议的，以本合同条款为标准协商解决，若协商无果，任何一方均可向合同签订地的人民法院提起诉讼。</w:t>
      </w:r>
    </w:p>
    <w:p>
      <w:pPr>
        <w:spacing w:line="360" w:lineRule="auto"/>
        <w:ind w:firstLine="482" w:firstLineChars="200"/>
        <w:rPr>
          <w:rFonts w:ascii="宋体" w:hAnsi="宋体"/>
          <w:b/>
          <w:sz w:val="24"/>
        </w:rPr>
      </w:pPr>
      <w:r>
        <w:rPr>
          <w:rFonts w:hint="eastAsia" w:ascii="宋体" w:hAnsi="宋体"/>
          <w:b/>
          <w:sz w:val="24"/>
        </w:rPr>
        <w:t>十一、生效及其它</w:t>
      </w:r>
    </w:p>
    <w:p>
      <w:pPr>
        <w:spacing w:line="360" w:lineRule="auto"/>
        <w:ind w:firstLine="480" w:firstLineChars="200"/>
        <w:rPr>
          <w:rFonts w:ascii="宋体" w:hAnsi="宋体"/>
          <w:sz w:val="24"/>
        </w:rPr>
      </w:pPr>
      <w:r>
        <w:rPr>
          <w:rFonts w:hint="eastAsia" w:ascii="宋体" w:hAnsi="宋体"/>
          <w:sz w:val="24"/>
        </w:rPr>
        <w:t>1、本合同自甲、乙双方签字、盖章之日起生效。</w:t>
      </w:r>
    </w:p>
    <w:p>
      <w:pPr>
        <w:widowControl/>
        <w:jc w:val="left"/>
        <w:rPr>
          <w:rFonts w:ascii="宋体" w:hAnsi="宋体"/>
          <w:b/>
          <w:sz w:val="28"/>
          <w:szCs w:val="28"/>
        </w:rPr>
      </w:pPr>
      <w:r>
        <w:rPr>
          <w:rFonts w:hint="eastAsia" w:ascii="宋体" w:hAnsi="宋体" w:eastAsia="宋体"/>
          <w:b/>
          <w:sz w:val="28"/>
          <w:szCs w:val="28"/>
          <w:lang w:eastAsia="zh-CN"/>
        </w:rPr>
        <w:drawing>
          <wp:anchor distT="0" distB="0" distL="114935" distR="114935" simplePos="0" relativeHeight="251660288" behindDoc="0" locked="0" layoutInCell="1" allowOverlap="1">
            <wp:simplePos x="0" y="0"/>
            <wp:positionH relativeFrom="column">
              <wp:posOffset>-548005</wp:posOffset>
            </wp:positionH>
            <wp:positionV relativeFrom="paragraph">
              <wp:posOffset>-238125</wp:posOffset>
            </wp:positionV>
            <wp:extent cx="6240145" cy="9135110"/>
            <wp:effectExtent l="0" t="0" r="8255" b="8890"/>
            <wp:wrapSquare wrapText="bothSides"/>
            <wp:docPr id="1" name="图片 1" descr="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01"/>
                    <pic:cNvPicPr>
                      <a:picLocks noChangeAspect="1"/>
                    </pic:cNvPicPr>
                  </pic:nvPicPr>
                  <pic:blipFill>
                    <a:blip r:embed="rId8"/>
                    <a:stretch>
                      <a:fillRect/>
                    </a:stretch>
                  </pic:blipFill>
                  <pic:spPr>
                    <a:xfrm>
                      <a:off x="0" y="0"/>
                      <a:ext cx="6240145" cy="9135110"/>
                    </a:xfrm>
                    <a:prstGeom prst="rect">
                      <a:avLst/>
                    </a:prstGeom>
                  </pic:spPr>
                </pic:pic>
              </a:graphicData>
            </a:graphic>
          </wp:anchor>
        </w:drawing>
      </w:r>
      <w:r>
        <w:rPr>
          <w:rFonts w:ascii="宋体" w:hAnsi="宋体"/>
          <w:b/>
          <w:sz w:val="28"/>
          <w:szCs w:val="28"/>
        </w:rPr>
        <w:br w:type="page"/>
      </w:r>
    </w:p>
    <w:p>
      <w:pPr>
        <w:spacing w:line="320" w:lineRule="exact"/>
        <w:jc w:val="left"/>
        <w:rPr>
          <w:rFonts w:ascii="宋体" w:hAnsi="宋体"/>
          <w:b/>
          <w:bCs/>
          <w:spacing w:val="10"/>
          <w:kern w:val="0"/>
          <w:sz w:val="24"/>
        </w:rPr>
        <w:sectPr>
          <w:footerReference r:id="rId6" w:type="default"/>
          <w:type w:val="continuous"/>
          <w:pgSz w:w="11906" w:h="16838"/>
          <w:pgMar w:top="1440" w:right="1797" w:bottom="1440" w:left="1797" w:header="851" w:footer="992" w:gutter="0"/>
          <w:cols w:space="720" w:num="1"/>
          <w:docGrid w:type="lines" w:linePitch="312" w:charSpace="0"/>
        </w:sectPr>
      </w:pPr>
      <w:r>
        <w:rPr>
          <w:rFonts w:hint="eastAsia" w:ascii="宋体" w:hAnsi="宋体"/>
          <w:b/>
          <w:sz w:val="28"/>
          <w:szCs w:val="28"/>
        </w:rPr>
        <w:t>附件（1）：详细技术参数、规格及</w:t>
      </w:r>
      <w:r>
        <w:rPr>
          <w:rFonts w:hint="eastAsia" w:ascii="宋体" w:hAnsi="宋体" w:cs="Calibri"/>
          <w:b/>
          <w:sz w:val="28"/>
          <w:szCs w:val="28"/>
        </w:rPr>
        <w:t>配置清单</w:t>
      </w:r>
    </w:p>
    <w:tbl>
      <w:tblPr>
        <w:tblStyle w:val="12"/>
        <w:tblW w:w="10239" w:type="dxa"/>
        <w:jc w:val="center"/>
        <w:tblLayout w:type="fixed"/>
        <w:tblCellMar>
          <w:top w:w="0" w:type="dxa"/>
          <w:left w:w="108" w:type="dxa"/>
          <w:bottom w:w="0" w:type="dxa"/>
          <w:right w:w="108" w:type="dxa"/>
        </w:tblCellMar>
      </w:tblPr>
      <w:tblGrid>
        <w:gridCol w:w="741"/>
        <w:gridCol w:w="993"/>
        <w:gridCol w:w="7168"/>
        <w:gridCol w:w="567"/>
        <w:gridCol w:w="770"/>
      </w:tblGrid>
      <w:tr>
        <w:tblPrEx>
          <w:tblCellMar>
            <w:top w:w="0" w:type="dxa"/>
            <w:left w:w="108" w:type="dxa"/>
            <w:bottom w:w="0" w:type="dxa"/>
            <w:right w:w="108" w:type="dxa"/>
          </w:tblCellMar>
        </w:tblPrEx>
        <w:trPr>
          <w:trHeight w:val="955" w:hRule="atLeast"/>
          <w:jc w:val="center"/>
        </w:trPr>
        <w:tc>
          <w:tcPr>
            <w:tcW w:w="741"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名称</w:t>
            </w:r>
          </w:p>
        </w:tc>
        <w:tc>
          <w:tcPr>
            <w:tcW w:w="993" w:type="dxa"/>
            <w:tcBorders>
              <w:top w:val="single" w:color="000000" w:sz="4" w:space="0"/>
              <w:left w:val="nil"/>
              <w:bottom w:val="single" w:color="000000" w:sz="4" w:space="0"/>
              <w:right w:val="single" w:color="000000" w:sz="4" w:space="0"/>
            </w:tcBorders>
            <w:vAlign w:val="center"/>
          </w:tcPr>
          <w:p>
            <w:pPr>
              <w:jc w:val="center"/>
            </w:pPr>
            <w:r>
              <w:rPr>
                <w:rFonts w:hint="eastAsia"/>
              </w:rPr>
              <w:t>型号</w:t>
            </w:r>
          </w:p>
        </w:tc>
        <w:tc>
          <w:tcPr>
            <w:tcW w:w="7168" w:type="dxa"/>
            <w:tcBorders>
              <w:top w:val="single" w:color="000000" w:sz="4" w:space="0"/>
              <w:left w:val="nil"/>
              <w:bottom w:val="single" w:color="000000" w:sz="4" w:space="0"/>
              <w:right w:val="single" w:color="000000" w:sz="4" w:space="0"/>
            </w:tcBorders>
            <w:vAlign w:val="center"/>
          </w:tcPr>
          <w:p>
            <w:pPr>
              <w:jc w:val="center"/>
            </w:pPr>
            <w:r>
              <w:rPr>
                <w:rFonts w:hint="eastAsia"/>
              </w:rPr>
              <w:t>规格、参数</w:t>
            </w:r>
          </w:p>
        </w:tc>
        <w:tc>
          <w:tcPr>
            <w:tcW w:w="567" w:type="dxa"/>
            <w:tcBorders>
              <w:top w:val="single" w:color="000000" w:sz="4" w:space="0"/>
              <w:left w:val="nil"/>
              <w:bottom w:val="single" w:color="000000" w:sz="4" w:space="0"/>
              <w:right w:val="single" w:color="000000" w:sz="4" w:space="0"/>
            </w:tcBorders>
            <w:vAlign w:val="center"/>
          </w:tcPr>
          <w:p>
            <w:pPr>
              <w:jc w:val="center"/>
            </w:pPr>
            <w:r>
              <w:rPr>
                <w:rFonts w:hint="eastAsia"/>
              </w:rPr>
              <w:t>原产地</w:t>
            </w:r>
          </w:p>
        </w:tc>
        <w:tc>
          <w:tcPr>
            <w:tcW w:w="770" w:type="dxa"/>
            <w:tcBorders>
              <w:top w:val="single" w:color="000000" w:sz="4" w:space="0"/>
              <w:left w:val="nil"/>
              <w:bottom w:val="single" w:color="000000" w:sz="4" w:space="0"/>
              <w:right w:val="single" w:color="000000" w:sz="4" w:space="0"/>
            </w:tcBorders>
            <w:vAlign w:val="center"/>
          </w:tcPr>
          <w:p>
            <w:pPr>
              <w:jc w:val="center"/>
            </w:pPr>
            <w:r>
              <w:rPr>
                <w:rFonts w:hint="eastAsia"/>
              </w:rPr>
              <w:t>生产厂家</w:t>
            </w:r>
          </w:p>
        </w:tc>
      </w:tr>
      <w:tr>
        <w:tblPrEx>
          <w:tblCellMar>
            <w:top w:w="0" w:type="dxa"/>
            <w:left w:w="108" w:type="dxa"/>
            <w:bottom w:w="0" w:type="dxa"/>
            <w:right w:w="108" w:type="dxa"/>
          </w:tblCellMar>
        </w:tblPrEx>
        <w:trPr>
          <w:trHeight w:val="954" w:hRule="atLeast"/>
          <w:jc w:val="center"/>
        </w:trPr>
        <w:tc>
          <w:tcPr>
            <w:tcW w:w="741" w:type="dxa"/>
            <w:tcBorders>
              <w:top w:val="single" w:color="000000" w:sz="4" w:space="0"/>
              <w:left w:val="single" w:color="000000" w:sz="4" w:space="0"/>
              <w:bottom w:val="single" w:color="000000" w:sz="4" w:space="0"/>
              <w:right w:val="single" w:color="000000" w:sz="4" w:space="0"/>
            </w:tcBorders>
            <w:vAlign w:val="center"/>
          </w:tcPr>
          <w:p>
            <w:r>
              <w:rPr>
                <w:rFonts w:hint="eastAsia" w:ascii="宋体" w:hAnsi="宋体"/>
                <w:sz w:val="24"/>
              </w:rPr>
              <w:t>自动微生物生化鉴定系统</w:t>
            </w:r>
          </w:p>
        </w:tc>
        <w:tc>
          <w:tcPr>
            <w:tcW w:w="993" w:type="dxa"/>
            <w:tcBorders>
              <w:top w:val="single" w:color="000000" w:sz="4" w:space="0"/>
              <w:left w:val="nil"/>
              <w:bottom w:val="single" w:color="000000" w:sz="4" w:space="0"/>
              <w:right w:val="single" w:color="000000" w:sz="4" w:space="0"/>
            </w:tcBorders>
            <w:vAlign w:val="center"/>
          </w:tcPr>
          <w:p>
            <w:r>
              <w:rPr>
                <w:rFonts w:ascii="宋体" w:hAnsi="宋体"/>
                <w:sz w:val="24"/>
              </w:rPr>
              <w:t>Omnilog Combo Plus</w:t>
            </w:r>
          </w:p>
        </w:tc>
        <w:tc>
          <w:tcPr>
            <w:tcW w:w="7168" w:type="dxa"/>
            <w:tcBorders>
              <w:top w:val="single" w:color="000000" w:sz="4" w:space="0"/>
              <w:left w:val="nil"/>
              <w:bottom w:val="single" w:color="000000" w:sz="4" w:space="0"/>
              <w:right w:val="single" w:color="000000" w:sz="4" w:space="0"/>
            </w:tcBorders>
          </w:tcPr>
          <w:p>
            <w:pPr>
              <w:rPr>
                <w:rFonts w:ascii="宋体" w:hAnsi="宋体"/>
                <w:sz w:val="24"/>
              </w:rPr>
            </w:pPr>
            <w:r>
              <w:rPr>
                <w:rFonts w:hint="eastAsia" w:ascii="宋体" w:hAnsi="宋体"/>
                <w:sz w:val="24"/>
              </w:rPr>
              <w:t>一、设备功能：</w:t>
            </w:r>
          </w:p>
          <w:p>
            <w:pPr>
              <w:rPr>
                <w:rFonts w:ascii="宋体" w:hAnsi="宋体"/>
                <w:sz w:val="24"/>
              </w:rPr>
            </w:pPr>
            <w:r>
              <w:rPr>
                <w:rFonts w:ascii="宋体" w:hAnsi="宋体"/>
                <w:sz w:val="24"/>
              </w:rPr>
              <w:t>1) 可高通量测定微生物对碳、氮等化合物代谢过程电子流信号，对超过1900种的已经发现的代谢表型进行高通量数据测定，包括C、N、P、S、营养添加物、离子、pH、化学敏感物质等各类代谢表型；</w:t>
            </w:r>
          </w:p>
          <w:p>
            <w:pPr>
              <w:rPr>
                <w:rFonts w:ascii="宋体" w:hAnsi="宋体"/>
                <w:sz w:val="24"/>
              </w:rPr>
            </w:pPr>
            <w:r>
              <w:rPr>
                <w:rFonts w:ascii="宋体" w:hAnsi="宋体"/>
                <w:sz w:val="24"/>
              </w:rPr>
              <w:t>2) 食品微生物菌种资源的选育、鉴定和分类；</w:t>
            </w:r>
          </w:p>
          <w:p>
            <w:pPr>
              <w:rPr>
                <w:rFonts w:ascii="宋体" w:hAnsi="宋体"/>
                <w:sz w:val="24"/>
              </w:rPr>
            </w:pPr>
            <w:r>
              <w:rPr>
                <w:rFonts w:ascii="宋体" w:hAnsi="宋体"/>
                <w:sz w:val="24"/>
              </w:rPr>
              <w:t>3) 食品微生物工艺研究 工艺研究涉及微生物培养条件优化、提高代谢产物的产率、优化产物提取纯化工艺等各个方面；</w:t>
            </w:r>
          </w:p>
          <w:p>
            <w:pPr>
              <w:rPr>
                <w:rFonts w:ascii="宋体" w:hAnsi="宋体"/>
                <w:sz w:val="24"/>
              </w:rPr>
            </w:pPr>
            <w:r>
              <w:rPr>
                <w:rFonts w:ascii="宋体" w:hAnsi="宋体"/>
                <w:sz w:val="24"/>
              </w:rPr>
              <w:t>4) 对重要的食品微生物菌株建立全面的代谢信息数据库，分析不同条件（温度、pH、氧浓度等）下微生物代谢及生长情况研究；</w:t>
            </w:r>
          </w:p>
          <w:p>
            <w:pPr>
              <w:rPr>
                <w:rFonts w:ascii="宋体" w:hAnsi="宋体"/>
                <w:sz w:val="24"/>
              </w:rPr>
            </w:pPr>
            <w:r>
              <w:rPr>
                <w:rFonts w:ascii="宋体" w:hAnsi="宋体"/>
                <w:sz w:val="24"/>
              </w:rPr>
              <w:t>5) 对重要的食品微生物菌株尤其是基因工程菌株进行基因功能研究，研究已知基因的表达，或确定未知功能的基因；</w:t>
            </w:r>
          </w:p>
          <w:p>
            <w:pPr>
              <w:rPr>
                <w:rFonts w:ascii="宋体" w:hAnsi="宋体"/>
                <w:sz w:val="24"/>
              </w:rPr>
            </w:pPr>
            <w:r>
              <w:rPr>
                <w:rFonts w:ascii="宋体" w:hAnsi="宋体"/>
                <w:sz w:val="24"/>
              </w:rPr>
              <w:t>6) 对环境中筛选到的野生菌株进行研究，发现可能的营养缺陷型，结合初筛方法，确定菌株的潜在工业用途；</w:t>
            </w:r>
          </w:p>
          <w:p>
            <w:pPr>
              <w:rPr>
                <w:rFonts w:ascii="宋体" w:hAnsi="宋体"/>
                <w:sz w:val="24"/>
              </w:rPr>
            </w:pPr>
            <w:r>
              <w:rPr>
                <w:rFonts w:ascii="宋体" w:hAnsi="宋体"/>
                <w:sz w:val="24"/>
              </w:rPr>
              <w:t>7) 在发酵工业、酶制剂工业及功能食品开发领域，表型分析系统可用于微生物的培养条件优化、代谢调控研究，以期提高产物产率，减少毒素生成，提高生产效率和经济效益；</w:t>
            </w:r>
          </w:p>
          <w:p>
            <w:pPr>
              <w:rPr>
                <w:rFonts w:ascii="宋体" w:hAnsi="宋体"/>
                <w:sz w:val="24"/>
              </w:rPr>
            </w:pPr>
            <w:r>
              <w:rPr>
                <w:rFonts w:ascii="宋体" w:hAnsi="宋体"/>
                <w:sz w:val="24"/>
              </w:rPr>
              <w:t>8) 在食品安全领域，表型分析系统可用于微生物鉴定、微生物快速检测方法的开发研究、微生物风险评估等。</w:t>
            </w:r>
          </w:p>
          <w:p>
            <w:pPr>
              <w:rPr>
                <w:rFonts w:ascii="宋体" w:hAnsi="宋体"/>
                <w:sz w:val="24"/>
              </w:rPr>
            </w:pPr>
            <w:r>
              <w:rPr>
                <w:rFonts w:hint="eastAsia" w:ascii="宋体" w:hAnsi="宋体"/>
                <w:sz w:val="24"/>
              </w:rPr>
              <w:t>二</w:t>
            </w:r>
            <w:r>
              <w:rPr>
                <w:rFonts w:ascii="宋体" w:hAnsi="宋体"/>
                <w:sz w:val="24"/>
              </w:rPr>
              <w:t xml:space="preserve"> 、设备参数：</w:t>
            </w:r>
          </w:p>
          <w:p>
            <w:pPr>
              <w:rPr>
                <w:rFonts w:ascii="宋体" w:hAnsi="宋体"/>
                <w:sz w:val="24"/>
              </w:rPr>
            </w:pPr>
            <w:r>
              <w:rPr>
                <w:rFonts w:hint="eastAsia" w:ascii="宋体" w:hAnsi="宋体"/>
                <w:sz w:val="24"/>
              </w:rPr>
              <w:t>（一）、表型分析系统部分：</w:t>
            </w:r>
          </w:p>
          <w:p>
            <w:pPr>
              <w:rPr>
                <w:rFonts w:ascii="宋体" w:hAnsi="宋体"/>
                <w:sz w:val="24"/>
              </w:rPr>
            </w:pPr>
            <w:r>
              <w:rPr>
                <w:rFonts w:ascii="宋体" w:hAnsi="宋体"/>
                <w:sz w:val="24"/>
              </w:rPr>
              <w:t>1.用于对微生物细胞表型进行高通量测试。可用于纯种或混合细胞的表型测试，包括碳源、氮源、磷源和硫源、渗透压、pH值及各种化学敏感物质的表型特征分析；</w:t>
            </w:r>
          </w:p>
          <w:p>
            <w:pPr>
              <w:rPr>
                <w:rFonts w:ascii="宋体" w:hAnsi="宋体"/>
                <w:sz w:val="24"/>
              </w:rPr>
            </w:pPr>
            <w:r>
              <w:rPr>
                <w:rFonts w:ascii="宋体" w:hAnsi="宋体"/>
                <w:sz w:val="24"/>
              </w:rPr>
              <w:t>2.表型分析系统（PM）的各种表型分析板由主机完成培养和读数，系统每15分钟定时测定颜色变化值，最后得到表型反应的动力学图曲线，从而定量测定表型反应的强弱。</w:t>
            </w:r>
          </w:p>
          <w:p>
            <w:pPr>
              <w:rPr>
                <w:rFonts w:ascii="宋体" w:hAnsi="宋体"/>
                <w:sz w:val="24"/>
              </w:rPr>
            </w:pPr>
            <w:r>
              <w:rPr>
                <w:rFonts w:ascii="宋体" w:hAnsi="宋体"/>
                <w:sz w:val="24"/>
              </w:rPr>
              <w:t>3.表型分析系统（PM）可检测的微生物表型超过1900种，可以用于革兰氏阴性细菌、阳性细菌、酵母和丝状真菌等细胞表型的研究。本系统可适配的PM板包括碳源板2种、氮源板4种、磷源/硫源板1种、生物合成路径板1种、渗透压及离子板1种、pH板1种及化学敏感物质板15种（其中5种真菌专用板），每种板有96种反应，孔内固定有冻干的各种相应的化学物质。</w:t>
            </w:r>
          </w:p>
          <w:p>
            <w:pPr>
              <w:rPr>
                <w:rFonts w:ascii="宋体" w:hAnsi="宋体"/>
                <w:sz w:val="24"/>
              </w:rPr>
            </w:pPr>
            <w:r>
              <w:rPr>
                <w:rFonts w:ascii="宋体" w:hAnsi="宋体"/>
                <w:sz w:val="24"/>
              </w:rPr>
              <w:t>4.表型分析系统软件可以自动比较两个或多个样品的1900多种表型的动力学曲线，通过对不同样品及其表型反应的比较可以提供表型差异信息。在两个样品有同样表型反应动力学的曲线标注为黄色，某一细胞系特有的表型反应标注为指定给该细胞系的特有曲线颜色。研究开发人员可以很快地看到图形方式的输出结果，并从视觉上判定两个细胞系之间的变化。</w:t>
            </w:r>
          </w:p>
          <w:p>
            <w:pPr>
              <w:rPr>
                <w:rFonts w:ascii="宋体" w:hAnsi="宋体"/>
                <w:sz w:val="24"/>
              </w:rPr>
            </w:pPr>
            <w:r>
              <w:rPr>
                <w:rFonts w:ascii="宋体" w:hAnsi="宋体"/>
                <w:sz w:val="24"/>
              </w:rPr>
              <w:t>5.所获得的动力学曲线可以按照：面积、初始期时间、斜率、平均高度、一阶导数及拐点时间等不同的参数形式显示出来，软件会自动根据不同参数情况下的曲线差异自动标注、突出显示这个差异，并生成报告列出找到的细胞表型差异。</w:t>
            </w:r>
          </w:p>
          <w:p>
            <w:pPr>
              <w:rPr>
                <w:rFonts w:ascii="宋体" w:hAnsi="宋体"/>
                <w:sz w:val="24"/>
              </w:rPr>
            </w:pPr>
            <w:r>
              <w:rPr>
                <w:rFonts w:ascii="宋体" w:hAnsi="宋体"/>
                <w:sz w:val="24"/>
              </w:rPr>
              <w:t>6.在微生物表型分析软件的任何一个表型孔上单击，即可显示每种表型测试的底物，并可直接链接至网络数据库，可查阅该底物的相关信息及分子式等，并可显示与该底物有关的酶及代谢途径等。</w:t>
            </w:r>
          </w:p>
          <w:p>
            <w:pPr>
              <w:rPr>
                <w:rFonts w:ascii="宋体" w:hAnsi="宋体"/>
                <w:sz w:val="24"/>
              </w:rPr>
            </w:pPr>
            <w:r>
              <w:rPr>
                <w:rFonts w:hint="eastAsia" w:ascii="宋体" w:hAnsi="宋体"/>
                <w:sz w:val="24"/>
              </w:rPr>
              <w:t>（二）、鉴定系统部分：</w:t>
            </w:r>
          </w:p>
          <w:p>
            <w:pPr>
              <w:rPr>
                <w:rFonts w:ascii="宋体" w:hAnsi="宋体"/>
                <w:sz w:val="24"/>
              </w:rPr>
            </w:pPr>
            <w:r>
              <w:rPr>
                <w:rFonts w:ascii="宋体" w:hAnsi="宋体"/>
                <w:sz w:val="24"/>
              </w:rPr>
              <w:t>1.可鉴定包括细菌、酵母和丝状真菌在内总计超过2900种species微生物，范围包括人类、动物和植物病原菌以及食品和环境微生物，具体包括：</w:t>
            </w:r>
          </w:p>
          <w:p>
            <w:pPr>
              <w:rPr>
                <w:rFonts w:ascii="宋体" w:hAnsi="宋体"/>
                <w:sz w:val="24"/>
              </w:rPr>
            </w:pPr>
            <w:r>
              <w:rPr>
                <w:rFonts w:ascii="宋体" w:hAnsi="宋体"/>
                <w:sz w:val="24"/>
              </w:rPr>
              <w:t xml:space="preserve">1）GenIII好氧细菌数据库1568种，其中包含革兰氏阴性细菌（GN）800种，革兰氏阳性菌细菌（GP）768种，鉴定时间2-22小时； </w:t>
            </w:r>
          </w:p>
          <w:p>
            <w:pPr>
              <w:rPr>
                <w:rFonts w:ascii="宋体" w:hAnsi="宋体"/>
                <w:sz w:val="24"/>
              </w:rPr>
            </w:pPr>
            <w:r>
              <w:rPr>
                <w:rFonts w:ascii="宋体" w:hAnsi="宋体"/>
                <w:sz w:val="24"/>
              </w:rPr>
              <w:t xml:space="preserve">2）厌氧菌361种，鉴定所需时间20-24小时； </w:t>
            </w:r>
          </w:p>
          <w:p>
            <w:pPr>
              <w:rPr>
                <w:rFonts w:ascii="宋体" w:hAnsi="宋体"/>
                <w:sz w:val="24"/>
              </w:rPr>
            </w:pPr>
            <w:r>
              <w:rPr>
                <w:rFonts w:ascii="宋体" w:hAnsi="宋体"/>
                <w:sz w:val="24"/>
              </w:rPr>
              <w:t xml:space="preserve">3）酵母菌267种，鉴定所需时间24-72小时； </w:t>
            </w:r>
          </w:p>
          <w:p>
            <w:pPr>
              <w:rPr>
                <w:rFonts w:ascii="宋体" w:hAnsi="宋体"/>
                <w:sz w:val="24"/>
              </w:rPr>
            </w:pPr>
            <w:r>
              <w:rPr>
                <w:rFonts w:ascii="宋体" w:hAnsi="宋体"/>
                <w:sz w:val="24"/>
              </w:rPr>
              <w:t>4）丝状真菌710种，鉴定所需时间72小时。</w:t>
            </w:r>
          </w:p>
          <w:p>
            <w:pPr>
              <w:rPr>
                <w:rFonts w:ascii="宋体" w:hAnsi="宋体"/>
                <w:sz w:val="24"/>
              </w:rPr>
            </w:pPr>
            <w:r>
              <w:rPr>
                <w:rFonts w:ascii="宋体" w:hAnsi="宋体"/>
                <w:sz w:val="24"/>
              </w:rPr>
              <w:t>2.GN和GP细菌实现在同一种鉴定板完成鉴定；</w:t>
            </w:r>
          </w:p>
          <w:p>
            <w:pPr>
              <w:rPr>
                <w:rFonts w:ascii="宋体" w:hAnsi="宋体"/>
                <w:sz w:val="24"/>
              </w:rPr>
            </w:pPr>
            <w:r>
              <w:rPr>
                <w:rFonts w:ascii="宋体" w:hAnsi="宋体"/>
                <w:sz w:val="24"/>
              </w:rPr>
              <w:t>3.以碳源利用及化学物质敏感性检测为原理，用于鉴定的反应数量95种。GenIII鉴定板底物不仅包含71种碳源，还增加了23种化学物敏感性测试，不仅增强了对鉴定菌株的扩展性，也增加了鉴定灵敏性，同时使准确性进一步提升；</w:t>
            </w:r>
          </w:p>
          <w:p>
            <w:pPr>
              <w:rPr>
                <w:rFonts w:ascii="宋体" w:hAnsi="宋体"/>
                <w:sz w:val="24"/>
              </w:rPr>
            </w:pPr>
            <w:r>
              <w:rPr>
                <w:rFonts w:ascii="宋体" w:hAnsi="宋体"/>
                <w:sz w:val="24"/>
              </w:rPr>
              <w:t>4.好氧细菌鉴定不需做需做革兰氏染色、氧化酶试验或三糖铁琼脂试验等预实验，直接将培养好的纯种配制菌悬液后定量接种至GenIII鉴定板即可，所需菌悬液浓度OD≤0.01；</w:t>
            </w:r>
          </w:p>
          <w:p>
            <w:pPr>
              <w:rPr>
                <w:rFonts w:ascii="宋体" w:hAnsi="宋体"/>
                <w:sz w:val="24"/>
              </w:rPr>
            </w:pPr>
            <w:r>
              <w:rPr>
                <w:rFonts w:ascii="宋体" w:hAnsi="宋体"/>
                <w:sz w:val="24"/>
              </w:rPr>
              <w:t>5.可鉴定包括临床、工业、农业及环境中常见的青霉（153种）、曲霉（89种）、刺盘孢霉（18种）、镰刀霉（79种）、木霉、枝孢霉、穗霉等708多种丝状真菌。并与传统的真菌形态学鉴定相结合，提供1000多张精美的宏观和显微图片供用户参考比对；</w:t>
            </w:r>
          </w:p>
          <w:p>
            <w:pPr>
              <w:rPr>
                <w:rFonts w:ascii="宋体" w:hAnsi="宋体"/>
                <w:sz w:val="24"/>
              </w:rPr>
            </w:pPr>
            <w:r>
              <w:rPr>
                <w:rFonts w:ascii="宋体" w:hAnsi="宋体"/>
                <w:sz w:val="24"/>
              </w:rPr>
              <w:t>6.可鉴定常见的植物病原菌258种，其中：假单胞菌(130种)、伯克霍尔德菌（13种）、黄单孢菌属（81种）、果胶杆菌属、食酸菌属（7种）、根瘤菌属（4种）；</w:t>
            </w:r>
          </w:p>
          <w:p>
            <w:pPr>
              <w:rPr>
                <w:rFonts w:ascii="宋体" w:hAnsi="宋体"/>
                <w:sz w:val="24"/>
              </w:rPr>
            </w:pPr>
            <w:r>
              <w:rPr>
                <w:rFonts w:ascii="宋体" w:hAnsi="宋体"/>
                <w:sz w:val="24"/>
              </w:rPr>
              <w:t>7.数据库包括食品工业应用领域70多种乳酸菌；</w:t>
            </w:r>
          </w:p>
          <w:p>
            <w:pPr>
              <w:rPr>
                <w:rFonts w:ascii="宋体" w:hAnsi="宋体"/>
                <w:sz w:val="24"/>
              </w:rPr>
            </w:pPr>
            <w:r>
              <w:rPr>
                <w:rFonts w:ascii="宋体" w:hAnsi="宋体"/>
                <w:sz w:val="24"/>
              </w:rPr>
              <w:t>8.数据库包括食品、化妆品及工业中大量常见的致病菌数据库，包括沙门氏菌（15种）、李斯特菌（8种）、大肠杆菌（7种，含O157:H7）、阪崎肠杆菌、葡萄球菌（45种）、弯曲菌、假单胞菌（130种）、弧菌（23种）、梭菌（60种）、志贺氏菌（4种）、耶尔森氏菌（14种）、链球菌（61种，含猪链球菌）等；</w:t>
            </w:r>
          </w:p>
          <w:p>
            <w:pPr>
              <w:rPr>
                <w:rFonts w:ascii="宋体" w:hAnsi="宋体"/>
                <w:sz w:val="24"/>
              </w:rPr>
            </w:pPr>
            <w:r>
              <w:rPr>
                <w:rFonts w:ascii="宋体" w:hAnsi="宋体"/>
                <w:sz w:val="24"/>
              </w:rPr>
              <w:t>9.可鉴定23种分枝杆菌(Mycobacterium)；</w:t>
            </w:r>
          </w:p>
          <w:p>
            <w:pPr>
              <w:rPr>
                <w:rFonts w:ascii="宋体" w:hAnsi="宋体"/>
                <w:sz w:val="24"/>
              </w:rPr>
            </w:pPr>
            <w:r>
              <w:rPr>
                <w:rFonts w:ascii="宋体" w:hAnsi="宋体"/>
                <w:sz w:val="24"/>
              </w:rPr>
              <w:t>10.可鉴定一些传统方法不宜鉴定的革兰氏阳性好氧菌，如芽孢菌90种；</w:t>
            </w:r>
          </w:p>
          <w:p>
            <w:pPr>
              <w:rPr>
                <w:rFonts w:ascii="宋体" w:hAnsi="宋体"/>
                <w:sz w:val="24"/>
              </w:rPr>
            </w:pPr>
            <w:r>
              <w:rPr>
                <w:rFonts w:ascii="宋体" w:hAnsi="宋体"/>
                <w:sz w:val="24"/>
              </w:rPr>
              <w:t>11.可鉴定放线菌21种，革兰氏阳性好氧放线杆菌7种，厌氧放线菌14种；</w:t>
            </w:r>
          </w:p>
          <w:p>
            <w:pPr>
              <w:rPr>
                <w:rFonts w:ascii="宋体" w:hAnsi="宋体"/>
                <w:sz w:val="24"/>
              </w:rPr>
            </w:pPr>
            <w:r>
              <w:rPr>
                <w:rFonts w:ascii="宋体" w:hAnsi="宋体"/>
                <w:sz w:val="24"/>
              </w:rPr>
              <w:t>12.可以进行微生物群落分析和生态研究，提供专用的ECO板，每块板31种碳源，可做3组平行；</w:t>
            </w:r>
          </w:p>
          <w:p>
            <w:pPr>
              <w:rPr>
                <w:rFonts w:ascii="宋体" w:hAnsi="宋体"/>
                <w:sz w:val="24"/>
              </w:rPr>
            </w:pPr>
            <w:r>
              <w:rPr>
                <w:rFonts w:ascii="宋体" w:hAnsi="宋体"/>
                <w:sz w:val="24"/>
              </w:rPr>
              <w:t>13.细菌鉴定结果判断采用动态数据库(progressive database) ；</w:t>
            </w:r>
          </w:p>
          <w:p>
            <w:pPr>
              <w:rPr>
                <w:rFonts w:ascii="宋体" w:hAnsi="宋体"/>
                <w:sz w:val="24"/>
              </w:rPr>
            </w:pPr>
            <w:r>
              <w:rPr>
                <w:rFonts w:ascii="宋体" w:hAnsi="宋体"/>
                <w:sz w:val="24"/>
              </w:rPr>
              <w:t>14.智能化数据管理软件，可生成自定义数据库、系统树图等图表；</w:t>
            </w:r>
          </w:p>
          <w:p>
            <w:pPr>
              <w:rPr>
                <w:rFonts w:ascii="宋体" w:hAnsi="宋体"/>
                <w:sz w:val="24"/>
              </w:rPr>
            </w:pPr>
            <w:r>
              <w:rPr>
                <w:rFonts w:ascii="宋体" w:hAnsi="宋体"/>
                <w:sz w:val="24"/>
              </w:rPr>
              <w:t>15.鉴定板种类为4种，除此之外还有用于微生物特征和群落分析研究的ECO板，用于微生物代谢研究的MT2板；</w:t>
            </w:r>
          </w:p>
          <w:p>
            <w:pPr>
              <w:rPr>
                <w:rFonts w:ascii="宋体" w:hAnsi="宋体"/>
                <w:sz w:val="24"/>
              </w:rPr>
            </w:pPr>
            <w:r>
              <w:rPr>
                <w:rFonts w:ascii="宋体" w:hAnsi="宋体"/>
                <w:sz w:val="24"/>
              </w:rPr>
              <w:t>16.具有数据管理功能，可对数据文件进行备份、合并、浏览、编辑及表格形式输入或输出；</w:t>
            </w:r>
          </w:p>
          <w:p>
            <w:pPr>
              <w:rPr>
                <w:rFonts w:ascii="宋体" w:hAnsi="宋体"/>
                <w:sz w:val="24"/>
              </w:rPr>
            </w:pPr>
            <w:r>
              <w:rPr>
                <w:rFonts w:ascii="宋体" w:hAnsi="宋体"/>
                <w:sz w:val="24"/>
              </w:rPr>
              <w:t>17.独创的算法分析模型，用可能性（PROB）、相似性（SIM）和距离（DIS）三个参数来判断鉴定结果，综合考虑分析结果与标准数据库的匹配与分离程度；</w:t>
            </w:r>
          </w:p>
          <w:p>
            <w:pPr>
              <w:rPr>
                <w:rFonts w:ascii="宋体" w:hAnsi="宋体"/>
                <w:sz w:val="24"/>
              </w:rPr>
            </w:pPr>
            <w:r>
              <w:rPr>
                <w:rFonts w:ascii="宋体" w:hAnsi="宋体"/>
                <w:sz w:val="24"/>
              </w:rPr>
              <w:t>18.鉴定板的培养、读数，结果的判断、储存及打印全部由系统自动完成；</w:t>
            </w:r>
          </w:p>
          <w:p>
            <w:pPr>
              <w:rPr>
                <w:rFonts w:ascii="宋体" w:hAnsi="宋体"/>
                <w:sz w:val="24"/>
              </w:rPr>
            </w:pPr>
            <w:r>
              <w:rPr>
                <w:rFonts w:ascii="宋体" w:hAnsi="宋体"/>
                <w:sz w:val="24"/>
              </w:rPr>
              <w:t>19.可同时对50个样品进行鉴定；</w:t>
            </w:r>
          </w:p>
          <w:p>
            <w:pPr>
              <w:rPr>
                <w:rFonts w:ascii="宋体" w:hAnsi="宋体"/>
                <w:sz w:val="24"/>
              </w:rPr>
            </w:pPr>
            <w:r>
              <w:rPr>
                <w:rFonts w:ascii="宋体" w:hAnsi="宋体"/>
                <w:sz w:val="24"/>
              </w:rPr>
              <w:t>20.允许使用者在任何时间进入系统，样品的装载和卸载不会影响到其他仍在进程中的样品；</w:t>
            </w:r>
          </w:p>
          <w:p>
            <w:pPr>
              <w:rPr>
                <w:rFonts w:ascii="宋体" w:hAnsi="宋体"/>
                <w:sz w:val="24"/>
              </w:rPr>
            </w:pPr>
            <w:r>
              <w:rPr>
                <w:rFonts w:ascii="宋体" w:hAnsi="宋体"/>
                <w:sz w:val="24"/>
              </w:rPr>
              <w:t>21.用户可根据被鉴定微生物的最适温度自定义培养温度，而对某些需要特殊培养环境的微生物可进行“脱机”培养后再放入读数仪进行鉴定；</w:t>
            </w:r>
          </w:p>
          <w:p>
            <w:pPr>
              <w:rPr>
                <w:rFonts w:ascii="宋体" w:hAnsi="宋体"/>
                <w:sz w:val="24"/>
              </w:rPr>
            </w:pPr>
            <w:r>
              <w:rPr>
                <w:rFonts w:ascii="宋体" w:hAnsi="宋体"/>
                <w:sz w:val="24"/>
              </w:rPr>
              <w:t>22.可定义用户使用权限，保证数据安全。</w:t>
            </w:r>
          </w:p>
          <w:p>
            <w:pPr>
              <w:rPr>
                <w:rFonts w:ascii="宋体" w:hAnsi="宋体"/>
                <w:sz w:val="24"/>
              </w:rPr>
            </w:pPr>
            <w:r>
              <w:rPr>
                <w:rFonts w:hint="eastAsia" w:ascii="宋体" w:hAnsi="宋体"/>
                <w:sz w:val="24"/>
              </w:rPr>
              <w:t>（三）、硬件部分参数：</w:t>
            </w:r>
          </w:p>
          <w:p>
            <w:pPr>
              <w:rPr>
                <w:rFonts w:ascii="宋体" w:hAnsi="宋体"/>
                <w:sz w:val="24"/>
              </w:rPr>
            </w:pPr>
            <w:r>
              <w:rPr>
                <w:rFonts w:ascii="宋体" w:hAnsi="宋体"/>
                <w:sz w:val="24"/>
              </w:rPr>
              <w:t>1.培养箱/读数仪主机：</w:t>
            </w:r>
          </w:p>
          <w:p>
            <w:pPr>
              <w:rPr>
                <w:rFonts w:ascii="宋体" w:hAnsi="宋体"/>
                <w:sz w:val="24"/>
              </w:rPr>
            </w:pPr>
            <w:r>
              <w:rPr>
                <w:rFonts w:ascii="宋体" w:hAnsi="宋体"/>
                <w:sz w:val="24"/>
              </w:rPr>
              <w:t>1）主机最大容量：25层，每层2块板，最大容量50块板；</w:t>
            </w:r>
          </w:p>
          <w:p>
            <w:pPr>
              <w:rPr>
                <w:rFonts w:ascii="宋体" w:hAnsi="宋体"/>
                <w:sz w:val="24"/>
              </w:rPr>
            </w:pPr>
            <w:r>
              <w:rPr>
                <w:rFonts w:ascii="宋体" w:hAnsi="宋体"/>
                <w:sz w:val="24"/>
              </w:rPr>
              <w:t>2）主机温度范围：22~45℃；</w:t>
            </w:r>
          </w:p>
          <w:p>
            <w:pPr>
              <w:rPr>
                <w:rFonts w:ascii="宋体" w:hAnsi="宋体"/>
                <w:sz w:val="24"/>
              </w:rPr>
            </w:pPr>
            <w:r>
              <w:rPr>
                <w:rFonts w:ascii="宋体" w:hAnsi="宋体"/>
                <w:sz w:val="24"/>
              </w:rPr>
              <w:t>3）主机温度一致性：±2.0℃；</w:t>
            </w:r>
          </w:p>
          <w:p>
            <w:pPr>
              <w:rPr>
                <w:rFonts w:ascii="宋体" w:hAnsi="宋体"/>
                <w:sz w:val="24"/>
              </w:rPr>
            </w:pPr>
            <w:r>
              <w:rPr>
                <w:rFonts w:ascii="宋体" w:hAnsi="宋体"/>
                <w:sz w:val="24"/>
              </w:rPr>
              <w:t>4）主机循环读取时间：25块盘架（50块板），15分钟；</w:t>
            </w:r>
          </w:p>
          <w:p>
            <w:pPr>
              <w:rPr>
                <w:rFonts w:ascii="宋体" w:hAnsi="宋体"/>
                <w:sz w:val="24"/>
              </w:rPr>
            </w:pPr>
            <w:r>
              <w:rPr>
                <w:rFonts w:ascii="宋体" w:hAnsi="宋体"/>
                <w:sz w:val="24"/>
              </w:rPr>
              <w:t>2.读数仪：双波长读数仪，配备490nm,590nm和750nm3种滤光片；</w:t>
            </w:r>
          </w:p>
          <w:p>
            <w:pPr>
              <w:rPr>
                <w:rFonts w:ascii="宋体" w:hAnsi="宋体"/>
                <w:sz w:val="24"/>
              </w:rPr>
            </w:pPr>
            <w:r>
              <w:rPr>
                <w:rFonts w:ascii="宋体" w:hAnsi="宋体"/>
                <w:sz w:val="24"/>
              </w:rPr>
              <w:t>3.浊度计：OD值和透光率双刻度指针式显示，电池供电。</w:t>
            </w:r>
          </w:p>
          <w:p>
            <w:pPr>
              <w:rPr>
                <w:rFonts w:ascii="宋体" w:hAnsi="宋体"/>
                <w:sz w:val="24"/>
              </w:rPr>
            </w:pPr>
            <w:r>
              <w:rPr>
                <w:rFonts w:ascii="宋体" w:hAnsi="宋体"/>
                <w:sz w:val="24"/>
              </w:rPr>
              <w:t>4.八通道连续加液器：电动八通道连续加液器，加液量范围25-1250μL,精确度±3.5%（125μL），准确度0.8%(125μL)。</w:t>
            </w:r>
          </w:p>
          <w:p>
            <w:pPr>
              <w:rPr>
                <w:rFonts w:ascii="宋体" w:hAnsi="宋体"/>
                <w:sz w:val="24"/>
              </w:rPr>
            </w:pPr>
            <w:r>
              <w:rPr>
                <w:rFonts w:hint="eastAsia" w:ascii="宋体" w:hAnsi="宋体"/>
                <w:sz w:val="24"/>
              </w:rPr>
              <w:t>三、</w:t>
            </w:r>
            <w:r>
              <w:rPr>
                <w:rFonts w:ascii="宋体" w:hAnsi="宋体"/>
                <w:sz w:val="24"/>
              </w:rPr>
              <w:t xml:space="preserve"> 主要配置</w:t>
            </w:r>
          </w:p>
          <w:p>
            <w:pPr>
              <w:rPr>
                <w:rFonts w:ascii="宋体" w:hAnsi="宋体"/>
                <w:sz w:val="24"/>
              </w:rPr>
            </w:pPr>
            <w:r>
              <w:rPr>
                <w:rFonts w:ascii="宋体" w:hAnsi="宋体"/>
                <w:sz w:val="24"/>
              </w:rPr>
              <w:t>1)培养箱/读数仪一套；（参数见二（三）硬件参数）</w:t>
            </w:r>
          </w:p>
          <w:p>
            <w:pPr>
              <w:rPr>
                <w:rFonts w:ascii="宋体" w:hAnsi="宋体"/>
                <w:sz w:val="24"/>
              </w:rPr>
            </w:pPr>
            <w:r>
              <w:rPr>
                <w:rFonts w:ascii="宋体" w:hAnsi="宋体"/>
                <w:sz w:val="24"/>
              </w:rPr>
              <w:t>2)数据收集软件一套：每15分钟读取一次鉴定板或者表型板的反应数据，并讲获取的光学信号转换为数字信号，并存储为数据文件，以便后期分析。</w:t>
            </w:r>
          </w:p>
          <w:p>
            <w:pPr>
              <w:rPr>
                <w:rFonts w:ascii="宋体" w:hAnsi="宋体"/>
                <w:sz w:val="24"/>
              </w:rPr>
            </w:pPr>
            <w:r>
              <w:rPr>
                <w:rFonts w:ascii="宋体" w:hAnsi="宋体"/>
                <w:sz w:val="24"/>
              </w:rPr>
              <w:t>3)数据管理软件一套：用于不同时间、不同样品间数据的管理、合并、转换等操作。</w:t>
            </w:r>
          </w:p>
          <w:p>
            <w:pPr>
              <w:rPr>
                <w:rFonts w:ascii="宋体" w:hAnsi="宋体"/>
                <w:sz w:val="24"/>
              </w:rPr>
            </w:pPr>
            <w:r>
              <w:rPr>
                <w:rFonts w:ascii="宋体" w:hAnsi="宋体"/>
                <w:sz w:val="24"/>
              </w:rPr>
              <w:t>4)微生物表型分析软件一套；用于将不同样品的表型动力学数据进行分析、比较、并导出。</w:t>
            </w:r>
          </w:p>
          <w:p>
            <w:pPr>
              <w:rPr>
                <w:rFonts w:ascii="宋体" w:hAnsi="宋体"/>
                <w:sz w:val="24"/>
              </w:rPr>
            </w:pPr>
            <w:r>
              <w:rPr>
                <w:rFonts w:ascii="宋体" w:hAnsi="宋体"/>
                <w:sz w:val="24"/>
              </w:rPr>
              <w:t>5)读数仪一套；（参数见二（三）硬件参数）</w:t>
            </w:r>
          </w:p>
          <w:p>
            <w:pPr>
              <w:rPr>
                <w:rFonts w:ascii="宋体" w:hAnsi="宋体"/>
                <w:sz w:val="24"/>
              </w:rPr>
            </w:pPr>
            <w:r>
              <w:rPr>
                <w:rFonts w:ascii="宋体" w:hAnsi="宋体"/>
                <w:sz w:val="24"/>
              </w:rPr>
              <w:t>6)戴尔电脑一台（电脑品牌：戴尔，型号：:Vostro3890-R14N8R；显示器品牌：戴尔，型号：P2422H）（配置： CPU: 主频3Ghz、内存：8G、硬盘：1T 、显示器： 22英寸、鼠标键盘、操作系统：Win 10及以上）；</w:t>
            </w:r>
          </w:p>
          <w:p>
            <w:pPr>
              <w:rPr>
                <w:rFonts w:ascii="宋体" w:hAnsi="宋体"/>
                <w:sz w:val="24"/>
              </w:rPr>
            </w:pPr>
            <w:r>
              <w:rPr>
                <w:rFonts w:ascii="宋体" w:hAnsi="宋体"/>
                <w:sz w:val="24"/>
              </w:rPr>
              <w:t>7)A4彩色打印机一台；（品牌：惠普，型号：DeskJet 1212）</w:t>
            </w:r>
          </w:p>
          <w:p>
            <w:pPr>
              <w:rPr>
                <w:rFonts w:ascii="宋体" w:hAnsi="宋体"/>
                <w:sz w:val="24"/>
              </w:rPr>
            </w:pPr>
            <w:r>
              <w:rPr>
                <w:rFonts w:ascii="宋体" w:hAnsi="宋体"/>
                <w:sz w:val="24"/>
              </w:rPr>
              <w:t>8)八道电动移液器一支；（参数见二（三）硬件参数）</w:t>
            </w:r>
          </w:p>
          <w:p>
            <w:pPr>
              <w:rPr>
                <w:rFonts w:ascii="宋体" w:hAnsi="宋体"/>
                <w:sz w:val="24"/>
              </w:rPr>
            </w:pPr>
            <w:r>
              <w:rPr>
                <w:rFonts w:ascii="宋体" w:hAnsi="宋体"/>
                <w:sz w:val="24"/>
              </w:rPr>
              <w:t>9)浊度仪一台；（参数见二（三）硬件参数）</w:t>
            </w:r>
          </w:p>
          <w:p>
            <w:pPr>
              <w:rPr>
                <w:rFonts w:ascii="宋体" w:hAnsi="宋体"/>
                <w:sz w:val="24"/>
              </w:rPr>
            </w:pPr>
            <w:r>
              <w:rPr>
                <w:rFonts w:ascii="宋体" w:hAnsi="宋体"/>
                <w:sz w:val="24"/>
              </w:rPr>
              <w:t>10)好氧菌、厌氧菌、酵母菌、丝状真菌数据库各一套；（参数见二（二）鉴定部分参数）</w:t>
            </w:r>
          </w:p>
          <w:p>
            <w:pPr>
              <w:rPr>
                <w:rFonts w:ascii="宋体" w:hAnsi="宋体"/>
                <w:sz w:val="24"/>
              </w:rPr>
            </w:pPr>
            <w:r>
              <w:rPr>
                <w:rFonts w:ascii="宋体" w:hAnsi="宋体"/>
                <w:sz w:val="24"/>
              </w:rPr>
              <w:t>11) 初始套装一套：包含：GENIII鉴定板20块，IF-A接种液20支，IF-B接种液20支，BUG培养基1瓶，接种棒1盒（100支），吸嘴一箱、加样槽1盒（100个）。</w:t>
            </w:r>
          </w:p>
          <w:p>
            <w:pPr>
              <w:rPr>
                <w:rFonts w:ascii="宋体" w:hAnsi="宋体"/>
                <w:sz w:val="24"/>
              </w:rPr>
            </w:pPr>
            <w:r>
              <w:rPr>
                <w:rFonts w:ascii="宋体" w:hAnsi="宋体"/>
                <w:sz w:val="24"/>
              </w:rPr>
              <w:t>12)耗材配置：AN鉴定板1盒、FF鉴定板1盒、YT鉴定板1盒、ECO板1盒、BUY培养基1瓶、BUA培养基1瓶、IF-C接种液1盒、AN-IF接种液1盒、FF-IF接种液1盒</w:t>
            </w:r>
          </w:p>
          <w:p>
            <w:pPr>
              <w:rPr>
                <w:rFonts w:ascii="宋体" w:hAnsi="宋体"/>
                <w:sz w:val="24"/>
              </w:rPr>
            </w:pPr>
            <w:r>
              <w:rPr>
                <w:rFonts w:hint="eastAsia" w:ascii="宋体" w:hAnsi="宋体"/>
                <w:sz w:val="24"/>
              </w:rPr>
              <w:t>四、售后服务</w:t>
            </w:r>
          </w:p>
          <w:p>
            <w:pPr>
              <w:rPr>
                <w:rFonts w:ascii="宋体" w:hAnsi="宋体"/>
                <w:sz w:val="24"/>
              </w:rPr>
            </w:pPr>
            <w:r>
              <w:rPr>
                <w:rFonts w:ascii="宋体" w:hAnsi="宋体"/>
                <w:sz w:val="24"/>
              </w:rPr>
              <w:t>1.验收合格后质保三年</w:t>
            </w:r>
          </w:p>
          <w:p>
            <w:pPr>
              <w:rPr>
                <w:rFonts w:ascii="宋体" w:hAnsi="宋体"/>
                <w:sz w:val="24"/>
              </w:rPr>
            </w:pPr>
            <w:r>
              <w:rPr>
                <w:rFonts w:ascii="宋体" w:hAnsi="宋体"/>
                <w:sz w:val="24"/>
              </w:rPr>
              <w:t>2.一般问题8小时内响应并提供解决方案，需要现场解决的问题要求48小时内达到现场</w:t>
            </w:r>
          </w:p>
          <w:p>
            <w:pPr>
              <w:rPr>
                <w:rFonts w:ascii="宋体" w:hAnsi="宋体"/>
                <w:sz w:val="24"/>
              </w:rPr>
            </w:pPr>
            <w:r>
              <w:rPr>
                <w:rFonts w:ascii="宋体" w:hAnsi="宋体"/>
                <w:sz w:val="24"/>
              </w:rPr>
              <w:t>3.保证十年内可以正常提供耗材供应及数据库免费升级</w:t>
            </w:r>
          </w:p>
        </w:tc>
        <w:tc>
          <w:tcPr>
            <w:tcW w:w="567" w:type="dxa"/>
            <w:tcBorders>
              <w:top w:val="single" w:color="000000" w:sz="4" w:space="0"/>
              <w:left w:val="nil"/>
              <w:bottom w:val="single" w:color="000000" w:sz="4" w:space="0"/>
              <w:right w:val="single" w:color="000000" w:sz="4" w:space="0"/>
            </w:tcBorders>
            <w:vAlign w:val="center"/>
          </w:tcPr>
          <w:p>
            <w:r>
              <w:rPr>
                <w:rFonts w:hint="eastAsia" w:ascii="宋体" w:hAnsi="宋体"/>
                <w:szCs w:val="21"/>
              </w:rPr>
              <w:t>美国</w:t>
            </w:r>
          </w:p>
        </w:tc>
        <w:tc>
          <w:tcPr>
            <w:tcW w:w="770" w:type="dxa"/>
            <w:tcBorders>
              <w:top w:val="single" w:color="000000" w:sz="4" w:space="0"/>
              <w:left w:val="nil"/>
              <w:bottom w:val="single" w:color="000000" w:sz="4" w:space="0"/>
              <w:right w:val="single" w:color="000000" w:sz="4" w:space="0"/>
            </w:tcBorders>
            <w:vAlign w:val="center"/>
          </w:tcPr>
          <w:p>
            <w:r>
              <w:rPr>
                <w:rFonts w:hint="eastAsia" w:ascii="宋体" w:hAnsi="宋体"/>
                <w:sz w:val="24"/>
              </w:rPr>
              <w:t>B</w:t>
            </w:r>
            <w:r>
              <w:rPr>
                <w:rFonts w:ascii="宋体" w:hAnsi="宋体"/>
                <w:sz w:val="24"/>
              </w:rPr>
              <w:t>iolog</w:t>
            </w:r>
            <w:r>
              <w:rPr>
                <w:rFonts w:hint="eastAsia" w:ascii="宋体" w:hAnsi="宋体"/>
                <w:sz w:val="24"/>
              </w:rPr>
              <w:t>，I</w:t>
            </w:r>
            <w:r>
              <w:rPr>
                <w:rFonts w:ascii="宋体" w:hAnsi="宋体"/>
                <w:sz w:val="24"/>
              </w:rPr>
              <w:t>nc.</w:t>
            </w:r>
          </w:p>
        </w:tc>
      </w:tr>
      <w:tr>
        <w:tblPrEx>
          <w:tblCellMar>
            <w:top w:w="0" w:type="dxa"/>
            <w:left w:w="108" w:type="dxa"/>
            <w:bottom w:w="0" w:type="dxa"/>
            <w:right w:w="108" w:type="dxa"/>
          </w:tblCellMar>
        </w:tblPrEx>
        <w:trPr>
          <w:trHeight w:val="954" w:hRule="atLeast"/>
          <w:jc w:val="center"/>
        </w:trPr>
        <w:tc>
          <w:tcPr>
            <w:tcW w:w="741" w:type="dxa"/>
            <w:tcBorders>
              <w:top w:val="single" w:color="000000" w:sz="4" w:space="0"/>
              <w:left w:val="single" w:color="000000" w:sz="4" w:space="0"/>
              <w:bottom w:val="single" w:color="000000" w:sz="4" w:space="0"/>
              <w:right w:val="single" w:color="000000" w:sz="4" w:space="0"/>
            </w:tcBorders>
            <w:vAlign w:val="center"/>
          </w:tcPr>
          <w:p>
            <w:r>
              <w:rPr>
                <w:rFonts w:hint="eastAsia" w:ascii="宋体" w:hAnsi="宋体"/>
                <w:sz w:val="24"/>
              </w:rPr>
              <w:t>连续流动分析仪</w:t>
            </w:r>
          </w:p>
        </w:tc>
        <w:tc>
          <w:tcPr>
            <w:tcW w:w="993" w:type="dxa"/>
            <w:tcBorders>
              <w:top w:val="single" w:color="000000" w:sz="4" w:space="0"/>
              <w:left w:val="nil"/>
              <w:bottom w:val="single" w:color="000000" w:sz="4" w:space="0"/>
              <w:right w:val="single" w:color="000000" w:sz="4" w:space="0"/>
            </w:tcBorders>
            <w:vAlign w:val="center"/>
          </w:tcPr>
          <w:p>
            <w:r>
              <w:rPr>
                <w:rFonts w:ascii="宋体" w:hAnsi="宋体"/>
                <w:sz w:val="24"/>
              </w:rPr>
              <w:t>Futura 2</w:t>
            </w:r>
          </w:p>
        </w:tc>
        <w:tc>
          <w:tcPr>
            <w:tcW w:w="7168" w:type="dxa"/>
            <w:tcBorders>
              <w:top w:val="single" w:color="000000" w:sz="4" w:space="0"/>
              <w:left w:val="nil"/>
              <w:bottom w:val="single" w:color="000000" w:sz="4" w:space="0"/>
              <w:right w:val="single" w:color="000000" w:sz="4" w:space="0"/>
            </w:tcBorders>
          </w:tcPr>
          <w:p>
            <w:pPr>
              <w:rPr>
                <w:rFonts w:ascii="宋体" w:hAnsi="宋体"/>
                <w:sz w:val="24"/>
              </w:rPr>
            </w:pPr>
            <w:r>
              <w:rPr>
                <w:rFonts w:hint="eastAsia" w:ascii="宋体" w:hAnsi="宋体"/>
                <w:sz w:val="24"/>
              </w:rPr>
              <w:t>一、设备功能</w:t>
            </w:r>
          </w:p>
          <w:p>
            <w:pPr>
              <w:rPr>
                <w:rFonts w:ascii="宋体" w:hAnsi="宋体"/>
                <w:sz w:val="24"/>
              </w:rPr>
            </w:pPr>
            <w:r>
              <w:rPr>
                <w:rFonts w:hint="eastAsia" w:ascii="宋体" w:hAnsi="宋体"/>
                <w:sz w:val="24"/>
              </w:rPr>
              <w:t>用于土壤、植株等样品中氨氮、硝氮、亚硝氮、磷酸盐、总氮、总磷等指标的全自动分析。</w:t>
            </w:r>
          </w:p>
          <w:p>
            <w:pPr>
              <w:rPr>
                <w:rFonts w:ascii="宋体" w:hAnsi="宋体"/>
                <w:sz w:val="24"/>
              </w:rPr>
            </w:pPr>
            <w:r>
              <w:rPr>
                <w:rFonts w:hint="eastAsia" w:ascii="宋体" w:hAnsi="宋体"/>
                <w:sz w:val="24"/>
              </w:rPr>
              <w:t>二</w:t>
            </w:r>
            <w:r>
              <w:rPr>
                <w:rFonts w:ascii="宋体" w:hAnsi="宋体"/>
                <w:sz w:val="24"/>
              </w:rPr>
              <w:t xml:space="preserve"> 、设备参数：</w:t>
            </w:r>
          </w:p>
          <w:p>
            <w:pPr>
              <w:rPr>
                <w:rFonts w:ascii="宋体" w:hAnsi="宋体"/>
                <w:sz w:val="24"/>
              </w:rPr>
            </w:pPr>
            <w:r>
              <w:rPr>
                <w:rFonts w:hint="eastAsia" w:ascii="宋体" w:hAnsi="宋体"/>
                <w:sz w:val="24"/>
              </w:rPr>
              <w:t>（一）、主机功能参数：</w:t>
            </w:r>
          </w:p>
          <w:p>
            <w:pPr>
              <w:rPr>
                <w:rFonts w:ascii="宋体" w:hAnsi="宋体"/>
                <w:sz w:val="24"/>
              </w:rPr>
            </w:pPr>
            <w:r>
              <w:rPr>
                <w:rFonts w:ascii="宋体" w:hAnsi="宋体"/>
                <w:sz w:val="24"/>
              </w:rPr>
              <w:t>1.功能：</w:t>
            </w:r>
          </w:p>
          <w:p>
            <w:pPr>
              <w:rPr>
                <w:rFonts w:ascii="宋体" w:hAnsi="宋体"/>
                <w:sz w:val="24"/>
              </w:rPr>
            </w:pPr>
            <w:r>
              <w:rPr>
                <w:rFonts w:ascii="宋体" w:hAnsi="宋体"/>
                <w:sz w:val="24"/>
              </w:rPr>
              <w:t>1）.主机之间可独立工作，也可同时进行分析，蠕动泵不共用；工作原理为气泡隔断式连续流动原理（SFA），提供完全稳态的化学反应，达到最终的物理与化学平衡，分析速度30-120样/小时；</w:t>
            </w:r>
          </w:p>
          <w:p>
            <w:pPr>
              <w:rPr>
                <w:rFonts w:ascii="宋体" w:hAnsi="宋体"/>
                <w:sz w:val="24"/>
              </w:rPr>
            </w:pPr>
            <w:r>
              <w:rPr>
                <w:rFonts w:ascii="宋体" w:hAnsi="宋体"/>
                <w:sz w:val="24"/>
              </w:rPr>
              <w:t>2）.每个主机均含有一个独立的蠕动泵、检测器、系统控制器、液晶显示屏、操作键盘和试剂柜 ；</w:t>
            </w:r>
          </w:p>
          <w:p>
            <w:pPr>
              <w:rPr>
                <w:rFonts w:ascii="宋体" w:hAnsi="宋体"/>
                <w:sz w:val="24"/>
              </w:rPr>
            </w:pPr>
            <w:r>
              <w:rPr>
                <w:rFonts w:ascii="宋体" w:hAnsi="宋体"/>
                <w:sz w:val="24"/>
              </w:rPr>
              <w:t>3）．气泡注入方式：为了保证试剂，样品与气泡注入的同步性，避免气泡分布不均匀，要求采用气压式气泡注入系统(AIM)，利用气压自动平衡原理直接由蠕动泵注入气泡到化学反应模块中，不采用额外的空气泵或电子阀。</w:t>
            </w:r>
          </w:p>
          <w:p>
            <w:pPr>
              <w:rPr>
                <w:rFonts w:ascii="宋体" w:hAnsi="宋体"/>
                <w:sz w:val="24"/>
              </w:rPr>
            </w:pPr>
            <w:r>
              <w:rPr>
                <w:rFonts w:ascii="宋体" w:hAnsi="宋体"/>
                <w:sz w:val="24"/>
              </w:rPr>
              <w:t>4）.数量：包含3个分析主机</w:t>
            </w:r>
          </w:p>
          <w:p>
            <w:pPr>
              <w:rPr>
                <w:rFonts w:ascii="宋体" w:hAnsi="宋体"/>
                <w:sz w:val="24"/>
              </w:rPr>
            </w:pPr>
            <w:r>
              <w:rPr>
                <w:rFonts w:ascii="宋体" w:hAnsi="宋体"/>
                <w:sz w:val="24"/>
              </w:rPr>
              <w:t>2.蠕动泵参数:</w:t>
            </w:r>
          </w:p>
          <w:p>
            <w:pPr>
              <w:rPr>
                <w:rFonts w:ascii="宋体" w:hAnsi="宋体"/>
                <w:sz w:val="24"/>
              </w:rPr>
            </w:pPr>
            <w:r>
              <w:rPr>
                <w:rFonts w:ascii="宋体" w:hAnsi="宋体"/>
                <w:sz w:val="24"/>
              </w:rPr>
              <w:t>1）.高精度比例蠕动泵， 12根不锈钢泵滚轴；</w:t>
            </w:r>
          </w:p>
          <w:p>
            <w:pPr>
              <w:rPr>
                <w:rFonts w:ascii="宋体" w:hAnsi="宋体"/>
                <w:sz w:val="24"/>
              </w:rPr>
            </w:pPr>
            <w:r>
              <w:rPr>
                <w:rFonts w:ascii="宋体" w:hAnsi="宋体"/>
                <w:sz w:val="24"/>
              </w:rPr>
              <w:t>2）.每个泵泵管位数13位，泵管位总数量39位；</w:t>
            </w:r>
          </w:p>
          <w:p>
            <w:pPr>
              <w:rPr>
                <w:rFonts w:ascii="宋体" w:hAnsi="宋体"/>
                <w:sz w:val="24"/>
              </w:rPr>
            </w:pPr>
            <w:r>
              <w:rPr>
                <w:rFonts w:ascii="宋体" w:hAnsi="宋体"/>
                <w:sz w:val="24"/>
              </w:rPr>
              <w:t>3）.结合宏流技术和微流技术于一体；</w:t>
            </w:r>
          </w:p>
          <w:p>
            <w:pPr>
              <w:rPr>
                <w:rFonts w:ascii="宋体" w:hAnsi="宋体"/>
                <w:sz w:val="24"/>
              </w:rPr>
            </w:pPr>
            <w:r>
              <w:rPr>
                <w:rFonts w:ascii="宋体" w:hAnsi="宋体"/>
                <w:sz w:val="24"/>
              </w:rPr>
              <w:t>4).数量：3个。（每个主机均有独立的蠕动泵）</w:t>
            </w:r>
          </w:p>
          <w:p>
            <w:pPr>
              <w:rPr>
                <w:rFonts w:ascii="宋体" w:hAnsi="宋体"/>
                <w:sz w:val="24"/>
              </w:rPr>
            </w:pPr>
            <w:r>
              <w:rPr>
                <w:rFonts w:ascii="宋体" w:hAnsi="宋体"/>
                <w:sz w:val="24"/>
              </w:rPr>
              <w:t>3.液晶显示屏参数</w:t>
            </w:r>
          </w:p>
          <w:p>
            <w:pPr>
              <w:rPr>
                <w:rFonts w:ascii="宋体" w:hAnsi="宋体"/>
                <w:sz w:val="24"/>
              </w:rPr>
            </w:pPr>
            <w:r>
              <w:rPr>
                <w:rFonts w:ascii="宋体" w:hAnsi="宋体"/>
                <w:sz w:val="24"/>
              </w:rPr>
              <w:t>1).独立显示本通道如光强、温度、电位信号、分析时间、二维可缩放分析曲线等状态信息；</w:t>
            </w:r>
          </w:p>
          <w:p>
            <w:pPr>
              <w:rPr>
                <w:rFonts w:ascii="宋体" w:hAnsi="宋体"/>
                <w:sz w:val="24"/>
              </w:rPr>
            </w:pPr>
            <w:r>
              <w:rPr>
                <w:rFonts w:ascii="宋体" w:hAnsi="宋体"/>
                <w:sz w:val="24"/>
              </w:rPr>
              <w:t>2). 数量：3个。（每个主机均有独立的液晶显示屏）</w:t>
            </w:r>
          </w:p>
          <w:p>
            <w:pPr>
              <w:rPr>
                <w:rFonts w:ascii="宋体" w:hAnsi="宋体"/>
                <w:sz w:val="24"/>
              </w:rPr>
            </w:pPr>
            <w:r>
              <w:rPr>
                <w:rFonts w:ascii="宋体" w:hAnsi="宋体"/>
                <w:sz w:val="24"/>
              </w:rPr>
              <w:t>4.主机操作键盘参数</w:t>
            </w:r>
          </w:p>
          <w:p>
            <w:pPr>
              <w:rPr>
                <w:rFonts w:ascii="宋体" w:hAnsi="宋体"/>
                <w:sz w:val="24"/>
              </w:rPr>
            </w:pPr>
            <w:r>
              <w:rPr>
                <w:rFonts w:ascii="宋体" w:hAnsi="宋体"/>
                <w:sz w:val="24"/>
              </w:rPr>
              <w:t>1).与液晶显示屏结合操作实现人机对话；</w:t>
            </w:r>
          </w:p>
          <w:p>
            <w:pPr>
              <w:rPr>
                <w:rFonts w:ascii="宋体" w:hAnsi="宋体"/>
                <w:sz w:val="24"/>
              </w:rPr>
            </w:pPr>
            <w:r>
              <w:rPr>
                <w:rFonts w:ascii="宋体" w:hAnsi="宋体"/>
                <w:sz w:val="24"/>
              </w:rPr>
              <w:t>2).通过键盘可以进行基线调零、停泵、松开或压紧盖、清洗位、试剂位、进入睡眠模式等仪器操作；</w:t>
            </w:r>
          </w:p>
          <w:p>
            <w:pPr>
              <w:rPr>
                <w:rFonts w:ascii="宋体" w:hAnsi="宋体"/>
                <w:sz w:val="24"/>
              </w:rPr>
            </w:pPr>
            <w:r>
              <w:rPr>
                <w:rFonts w:ascii="宋体" w:hAnsi="宋体"/>
                <w:sz w:val="24"/>
              </w:rPr>
              <w:t>3).数量：3个（每个主机均有独立的操作键盘）。</w:t>
            </w:r>
          </w:p>
          <w:p>
            <w:pPr>
              <w:rPr>
                <w:rFonts w:ascii="宋体" w:hAnsi="宋体"/>
                <w:sz w:val="24"/>
              </w:rPr>
            </w:pPr>
            <w:r>
              <w:rPr>
                <w:rFonts w:ascii="宋体" w:hAnsi="宋体"/>
                <w:sz w:val="24"/>
              </w:rPr>
              <w:t>5.试剂柜参数</w:t>
            </w:r>
          </w:p>
          <w:p>
            <w:pPr>
              <w:rPr>
                <w:rFonts w:ascii="宋体" w:hAnsi="宋体"/>
                <w:sz w:val="24"/>
              </w:rPr>
            </w:pPr>
            <w:r>
              <w:rPr>
                <w:rFonts w:ascii="宋体" w:hAnsi="宋体"/>
                <w:sz w:val="24"/>
              </w:rPr>
              <w:t>1).具备带透明窗口的可移动试剂柜；</w:t>
            </w:r>
          </w:p>
          <w:p>
            <w:pPr>
              <w:rPr>
                <w:rFonts w:ascii="宋体" w:hAnsi="宋体"/>
                <w:sz w:val="24"/>
              </w:rPr>
            </w:pPr>
            <w:r>
              <w:rPr>
                <w:rFonts w:ascii="宋体" w:hAnsi="宋体"/>
                <w:sz w:val="24"/>
              </w:rPr>
              <w:t>2).防渗漏，容纳的试剂瓶数目和容量很好的满足分析测试要求；</w:t>
            </w:r>
          </w:p>
          <w:p>
            <w:pPr>
              <w:rPr>
                <w:rFonts w:ascii="宋体" w:hAnsi="宋体"/>
                <w:sz w:val="24"/>
              </w:rPr>
            </w:pPr>
            <w:r>
              <w:rPr>
                <w:rFonts w:ascii="宋体" w:hAnsi="宋体"/>
                <w:sz w:val="24"/>
              </w:rPr>
              <w:t>3).耐腐蚀，材料为化学惰性物质，耐强酸强碱强氧化性物质；</w:t>
            </w:r>
          </w:p>
          <w:p>
            <w:pPr>
              <w:rPr>
                <w:rFonts w:ascii="宋体" w:hAnsi="宋体"/>
                <w:sz w:val="24"/>
              </w:rPr>
            </w:pPr>
            <w:r>
              <w:rPr>
                <w:rFonts w:ascii="宋体" w:hAnsi="宋体"/>
                <w:sz w:val="24"/>
              </w:rPr>
              <w:t>4).溶剂的容量：包含100，250，500，1000，2000ml的5种试剂盒。</w:t>
            </w:r>
          </w:p>
          <w:p>
            <w:pPr>
              <w:rPr>
                <w:rFonts w:ascii="宋体" w:hAnsi="宋体"/>
                <w:sz w:val="24"/>
              </w:rPr>
            </w:pPr>
            <w:r>
              <w:rPr>
                <w:rFonts w:ascii="宋体" w:hAnsi="宋体"/>
                <w:sz w:val="24"/>
              </w:rPr>
              <w:t>5).数量：3个。（每个主机均有独立的试剂柜）。</w:t>
            </w:r>
          </w:p>
          <w:p>
            <w:pPr>
              <w:rPr>
                <w:rFonts w:ascii="宋体" w:hAnsi="宋体"/>
                <w:sz w:val="24"/>
              </w:rPr>
            </w:pPr>
            <w:r>
              <w:rPr>
                <w:rFonts w:ascii="宋体" w:hAnsi="宋体"/>
                <w:sz w:val="24"/>
              </w:rPr>
              <w:t>6.检测器参数</w:t>
            </w:r>
          </w:p>
          <w:p>
            <w:pPr>
              <w:rPr>
                <w:rFonts w:ascii="宋体" w:hAnsi="宋体"/>
                <w:sz w:val="24"/>
              </w:rPr>
            </w:pPr>
            <w:r>
              <w:rPr>
                <w:rFonts w:ascii="宋体" w:hAnsi="宋体"/>
                <w:sz w:val="24"/>
              </w:rPr>
              <w:t>1).完全独立的检测器，包括完全独立的光源，流通池，单色器，光电管，及信号放大器，不共用任何上述部件，以避免信号干扰；</w:t>
            </w:r>
          </w:p>
          <w:p>
            <w:pPr>
              <w:rPr>
                <w:rFonts w:ascii="宋体" w:hAnsi="宋体"/>
                <w:sz w:val="24"/>
              </w:rPr>
            </w:pPr>
            <w:r>
              <w:rPr>
                <w:rFonts w:ascii="宋体" w:hAnsi="宋体"/>
                <w:sz w:val="24"/>
              </w:rPr>
              <w:t>2).浓度范围可达四个数量级，能自动调整信号增益，无须人工干预；</w:t>
            </w:r>
          </w:p>
          <w:p>
            <w:pPr>
              <w:rPr>
                <w:rFonts w:ascii="宋体" w:hAnsi="宋体"/>
                <w:sz w:val="24"/>
              </w:rPr>
            </w:pPr>
            <w:r>
              <w:rPr>
                <w:rFonts w:ascii="宋体" w:hAnsi="宋体"/>
                <w:sz w:val="24"/>
              </w:rPr>
              <w:t>3).波长范围：340-1100nm；</w:t>
            </w:r>
          </w:p>
          <w:p>
            <w:pPr>
              <w:rPr>
                <w:rFonts w:ascii="宋体" w:hAnsi="宋体"/>
                <w:sz w:val="24"/>
              </w:rPr>
            </w:pPr>
            <w:r>
              <w:rPr>
                <w:rFonts w:ascii="宋体" w:hAnsi="宋体"/>
                <w:sz w:val="24"/>
              </w:rPr>
              <w:t>4).位高分辨A/D输转换器，1.68*107分辨率；</w:t>
            </w:r>
          </w:p>
          <w:p>
            <w:pPr>
              <w:rPr>
                <w:rFonts w:ascii="宋体" w:hAnsi="宋体"/>
                <w:sz w:val="24"/>
              </w:rPr>
            </w:pPr>
            <w:r>
              <w:rPr>
                <w:rFonts w:ascii="宋体" w:hAnsi="宋体"/>
                <w:sz w:val="24"/>
              </w:rPr>
              <w:t>5).数量：3个。（每个主机均有独立的检测器）</w:t>
            </w:r>
          </w:p>
          <w:p>
            <w:pPr>
              <w:rPr>
                <w:rFonts w:ascii="宋体" w:hAnsi="宋体"/>
                <w:sz w:val="24"/>
              </w:rPr>
            </w:pPr>
            <w:r>
              <w:rPr>
                <w:rFonts w:hint="eastAsia" w:ascii="宋体" w:hAnsi="宋体"/>
                <w:sz w:val="24"/>
              </w:rPr>
              <w:t>（二）分析模块参数</w:t>
            </w:r>
          </w:p>
          <w:p>
            <w:pPr>
              <w:rPr>
                <w:rFonts w:ascii="宋体" w:hAnsi="宋体"/>
                <w:sz w:val="24"/>
              </w:rPr>
            </w:pPr>
            <w:r>
              <w:rPr>
                <w:rFonts w:ascii="宋体" w:hAnsi="宋体"/>
                <w:sz w:val="24"/>
              </w:rPr>
              <w:t>1.配置三个模块，分别为总氮/硝氮分析模块，总磷/磷酸盐分析模块，多参数分析模块；</w:t>
            </w:r>
          </w:p>
          <w:p>
            <w:pPr>
              <w:rPr>
                <w:rFonts w:ascii="宋体" w:hAnsi="宋体"/>
                <w:sz w:val="24"/>
              </w:rPr>
            </w:pPr>
            <w:r>
              <w:rPr>
                <w:rFonts w:ascii="宋体" w:hAnsi="宋体"/>
                <w:sz w:val="24"/>
              </w:rPr>
              <w:t>2.各模块测量参数具体技术指标：</w:t>
            </w:r>
          </w:p>
          <w:p>
            <w:pPr>
              <w:rPr>
                <w:rFonts w:ascii="宋体" w:hAnsi="宋体"/>
                <w:sz w:val="24"/>
              </w:rPr>
            </w:pPr>
            <w:r>
              <w:rPr>
                <w:rFonts w:ascii="宋体" w:hAnsi="宋体"/>
                <w:sz w:val="24"/>
              </w:rPr>
              <w:t xml:space="preserve">1）分析项目：总磷 </w:t>
            </w:r>
          </w:p>
          <w:p>
            <w:pPr>
              <w:rPr>
                <w:rFonts w:ascii="宋体" w:hAnsi="宋体"/>
                <w:sz w:val="24"/>
              </w:rPr>
            </w:pPr>
            <w:r>
              <w:rPr>
                <w:rFonts w:hint="eastAsia" w:ascii="宋体" w:hAnsi="宋体"/>
                <w:sz w:val="24"/>
              </w:rPr>
              <w:t>分析原理：磷钼蓝法</w:t>
            </w:r>
          </w:p>
          <w:p>
            <w:pPr>
              <w:rPr>
                <w:rFonts w:ascii="宋体" w:hAnsi="宋体"/>
                <w:sz w:val="24"/>
              </w:rPr>
            </w:pPr>
            <w:r>
              <w:rPr>
                <w:rFonts w:hint="eastAsia" w:ascii="宋体" w:hAnsi="宋体"/>
                <w:sz w:val="24"/>
              </w:rPr>
              <w:t>量程范围：</w:t>
            </w:r>
            <w:r>
              <w:rPr>
                <w:rFonts w:ascii="宋体" w:hAnsi="宋体"/>
                <w:sz w:val="24"/>
              </w:rPr>
              <w:t>0-5mg/L或0-0.5mg/L（以P计）</w:t>
            </w:r>
          </w:p>
          <w:p>
            <w:pPr>
              <w:rPr>
                <w:rFonts w:ascii="宋体" w:hAnsi="宋体"/>
                <w:sz w:val="24"/>
              </w:rPr>
            </w:pPr>
            <w:r>
              <w:rPr>
                <w:rFonts w:hint="eastAsia" w:ascii="宋体" w:hAnsi="宋体"/>
                <w:sz w:val="24"/>
              </w:rPr>
              <w:t>线性相关系数</w:t>
            </w:r>
            <w:r>
              <w:rPr>
                <w:rFonts w:ascii="宋体" w:hAnsi="宋体"/>
                <w:sz w:val="24"/>
              </w:rPr>
              <w:t>R≥0.9992</w:t>
            </w:r>
          </w:p>
          <w:p>
            <w:pPr>
              <w:rPr>
                <w:rFonts w:ascii="宋体" w:hAnsi="宋体"/>
                <w:sz w:val="24"/>
              </w:rPr>
            </w:pPr>
            <w:r>
              <w:rPr>
                <w:rFonts w:hint="eastAsia" w:ascii="宋体" w:hAnsi="宋体"/>
                <w:sz w:val="24"/>
              </w:rPr>
              <w:t>方法检测限：≤</w:t>
            </w:r>
            <w:r>
              <w:rPr>
                <w:rFonts w:ascii="宋体" w:hAnsi="宋体"/>
                <w:sz w:val="24"/>
              </w:rPr>
              <w:t>0.005mg/L（以P计）</w:t>
            </w:r>
          </w:p>
          <w:p>
            <w:pPr>
              <w:rPr>
                <w:rFonts w:ascii="宋体" w:hAnsi="宋体"/>
                <w:sz w:val="24"/>
              </w:rPr>
            </w:pPr>
            <w:r>
              <w:rPr>
                <w:rFonts w:hint="eastAsia" w:ascii="宋体" w:hAnsi="宋体"/>
                <w:sz w:val="24"/>
              </w:rPr>
              <w:t>检测重复性：</w:t>
            </w:r>
            <w:r>
              <w:rPr>
                <w:rFonts w:ascii="宋体" w:hAnsi="宋体"/>
                <w:sz w:val="24"/>
              </w:rPr>
              <w:t>RSD≤1.0%（0.5mg/L P标样重复10次进样）</w:t>
            </w:r>
          </w:p>
          <w:p>
            <w:pPr>
              <w:rPr>
                <w:rFonts w:ascii="宋体" w:hAnsi="宋体"/>
                <w:sz w:val="24"/>
              </w:rPr>
            </w:pPr>
            <w:r>
              <w:rPr>
                <w:rFonts w:ascii="宋体" w:hAnsi="宋体"/>
                <w:sz w:val="24"/>
              </w:rPr>
              <w:t xml:space="preserve">2）分析项目：总凯氏氮 </w:t>
            </w:r>
          </w:p>
          <w:p>
            <w:pPr>
              <w:rPr>
                <w:rFonts w:ascii="宋体" w:hAnsi="宋体"/>
                <w:sz w:val="24"/>
              </w:rPr>
            </w:pPr>
            <w:r>
              <w:rPr>
                <w:rFonts w:hint="eastAsia" w:ascii="宋体" w:hAnsi="宋体"/>
                <w:sz w:val="24"/>
              </w:rPr>
              <w:t>分析原理：</w:t>
            </w:r>
            <w:r>
              <w:rPr>
                <w:rFonts w:ascii="宋体" w:hAnsi="宋体"/>
                <w:sz w:val="24"/>
              </w:rPr>
              <w:t>N-（1-萘基）乙二胺二盐酸盐比色法</w:t>
            </w:r>
          </w:p>
          <w:p>
            <w:pPr>
              <w:rPr>
                <w:rFonts w:ascii="宋体" w:hAnsi="宋体"/>
                <w:sz w:val="24"/>
              </w:rPr>
            </w:pPr>
            <w:r>
              <w:rPr>
                <w:rFonts w:hint="eastAsia" w:ascii="宋体" w:hAnsi="宋体"/>
                <w:sz w:val="24"/>
              </w:rPr>
              <w:t>量程范围：</w:t>
            </w:r>
            <w:r>
              <w:rPr>
                <w:rFonts w:ascii="宋体" w:hAnsi="宋体"/>
                <w:sz w:val="24"/>
              </w:rPr>
              <w:t xml:space="preserve">0-1mg/L、0.2-10 mg/L (以N计) </w:t>
            </w:r>
          </w:p>
          <w:p>
            <w:pPr>
              <w:rPr>
                <w:rFonts w:ascii="宋体" w:hAnsi="宋体"/>
                <w:sz w:val="24"/>
              </w:rPr>
            </w:pPr>
            <w:r>
              <w:rPr>
                <w:rFonts w:hint="eastAsia" w:ascii="宋体" w:hAnsi="宋体"/>
                <w:sz w:val="24"/>
              </w:rPr>
              <w:t>线性相关系数</w:t>
            </w:r>
            <w:r>
              <w:rPr>
                <w:rFonts w:ascii="宋体" w:hAnsi="宋体"/>
                <w:sz w:val="24"/>
              </w:rPr>
              <w:t>R≥0.9995</w:t>
            </w:r>
          </w:p>
          <w:p>
            <w:pPr>
              <w:rPr>
                <w:rFonts w:ascii="宋体" w:hAnsi="宋体"/>
                <w:sz w:val="24"/>
              </w:rPr>
            </w:pPr>
            <w:r>
              <w:rPr>
                <w:rFonts w:hint="eastAsia" w:ascii="宋体" w:hAnsi="宋体"/>
                <w:sz w:val="24"/>
              </w:rPr>
              <w:t>方法检测限：</w:t>
            </w:r>
            <w:r>
              <w:rPr>
                <w:rFonts w:ascii="宋体" w:hAnsi="宋体"/>
                <w:sz w:val="24"/>
              </w:rPr>
              <w:t>0.01mg/L（以N计）</w:t>
            </w:r>
          </w:p>
          <w:p>
            <w:pPr>
              <w:rPr>
                <w:rFonts w:ascii="宋体" w:hAnsi="宋体"/>
                <w:sz w:val="24"/>
              </w:rPr>
            </w:pPr>
            <w:r>
              <w:rPr>
                <w:rFonts w:hint="eastAsia" w:ascii="宋体" w:hAnsi="宋体"/>
                <w:sz w:val="24"/>
              </w:rPr>
              <w:t>检测重复性：</w:t>
            </w:r>
            <w:r>
              <w:rPr>
                <w:rFonts w:ascii="宋体" w:hAnsi="宋体"/>
                <w:sz w:val="24"/>
              </w:rPr>
              <w:t>RSD≤1.0 %（0.2mg/L N标样重复10次进样）</w:t>
            </w:r>
          </w:p>
          <w:p>
            <w:pPr>
              <w:rPr>
                <w:rFonts w:ascii="宋体" w:hAnsi="宋体"/>
                <w:sz w:val="24"/>
              </w:rPr>
            </w:pPr>
            <w:r>
              <w:rPr>
                <w:rFonts w:ascii="宋体" w:hAnsi="宋体"/>
                <w:sz w:val="24"/>
              </w:rPr>
              <w:t>3）分析项目：氨氮</w:t>
            </w:r>
          </w:p>
          <w:p>
            <w:pPr>
              <w:rPr>
                <w:rFonts w:ascii="宋体" w:hAnsi="宋体"/>
                <w:sz w:val="24"/>
              </w:rPr>
            </w:pPr>
            <w:r>
              <w:rPr>
                <w:rFonts w:hint="eastAsia" w:ascii="宋体" w:hAnsi="宋体"/>
                <w:sz w:val="24"/>
              </w:rPr>
              <w:t>分析原理：水杨酸盐法</w:t>
            </w:r>
          </w:p>
          <w:p>
            <w:pPr>
              <w:rPr>
                <w:rFonts w:ascii="宋体" w:hAnsi="宋体"/>
                <w:sz w:val="24"/>
              </w:rPr>
            </w:pPr>
            <w:r>
              <w:rPr>
                <w:rFonts w:hint="eastAsia" w:ascii="宋体" w:hAnsi="宋体"/>
                <w:sz w:val="24"/>
              </w:rPr>
              <w:t>量程范围：</w:t>
            </w:r>
            <w:r>
              <w:rPr>
                <w:rFonts w:ascii="宋体" w:hAnsi="宋体"/>
                <w:sz w:val="24"/>
              </w:rPr>
              <w:t>0-2mg/L、0.1-10 mg/L（以N计）</w:t>
            </w:r>
          </w:p>
          <w:p>
            <w:pPr>
              <w:rPr>
                <w:rFonts w:ascii="宋体" w:hAnsi="宋体"/>
                <w:sz w:val="24"/>
              </w:rPr>
            </w:pPr>
            <w:r>
              <w:rPr>
                <w:rFonts w:hint="eastAsia" w:ascii="宋体" w:hAnsi="宋体"/>
                <w:sz w:val="24"/>
              </w:rPr>
              <w:t>线性相关系数</w:t>
            </w:r>
            <w:r>
              <w:rPr>
                <w:rFonts w:ascii="宋体" w:hAnsi="宋体"/>
                <w:sz w:val="24"/>
              </w:rPr>
              <w:t>R≥0.9995</w:t>
            </w:r>
          </w:p>
          <w:p>
            <w:pPr>
              <w:rPr>
                <w:rFonts w:ascii="宋体" w:hAnsi="宋体"/>
                <w:sz w:val="24"/>
              </w:rPr>
            </w:pPr>
            <w:r>
              <w:rPr>
                <w:rFonts w:hint="eastAsia" w:ascii="宋体" w:hAnsi="宋体"/>
                <w:sz w:val="24"/>
              </w:rPr>
              <w:t>方法检测限：</w:t>
            </w:r>
            <w:r>
              <w:rPr>
                <w:rFonts w:ascii="宋体" w:hAnsi="宋体"/>
                <w:sz w:val="24"/>
              </w:rPr>
              <w:t>0.002mg/L（以N计）</w:t>
            </w:r>
          </w:p>
          <w:p>
            <w:pPr>
              <w:rPr>
                <w:rFonts w:ascii="宋体" w:hAnsi="宋体"/>
                <w:sz w:val="24"/>
              </w:rPr>
            </w:pPr>
            <w:r>
              <w:rPr>
                <w:rFonts w:hint="eastAsia" w:ascii="宋体" w:hAnsi="宋体"/>
                <w:sz w:val="24"/>
              </w:rPr>
              <w:t>检测重复性：</w:t>
            </w:r>
            <w:r>
              <w:rPr>
                <w:rFonts w:ascii="宋体" w:hAnsi="宋体"/>
                <w:sz w:val="24"/>
              </w:rPr>
              <w:t>RSD≤1.5%（80 mg/L  N标样重复10次进样分析）</w:t>
            </w:r>
          </w:p>
          <w:p>
            <w:pPr>
              <w:rPr>
                <w:rFonts w:ascii="宋体" w:hAnsi="宋体"/>
                <w:sz w:val="24"/>
              </w:rPr>
            </w:pPr>
            <w:r>
              <w:rPr>
                <w:rFonts w:ascii="宋体" w:hAnsi="宋体"/>
                <w:sz w:val="24"/>
              </w:rPr>
              <w:t>4）分析项目：硝酸盐氮</w:t>
            </w:r>
          </w:p>
          <w:p>
            <w:pPr>
              <w:rPr>
                <w:rFonts w:ascii="宋体" w:hAnsi="宋体"/>
                <w:sz w:val="24"/>
              </w:rPr>
            </w:pPr>
            <w:r>
              <w:rPr>
                <w:rFonts w:hint="eastAsia" w:ascii="宋体" w:hAnsi="宋体"/>
                <w:sz w:val="24"/>
              </w:rPr>
              <w:t>分析原理：</w:t>
            </w:r>
            <w:r>
              <w:rPr>
                <w:rFonts w:ascii="宋体" w:hAnsi="宋体"/>
                <w:sz w:val="24"/>
              </w:rPr>
              <w:t>N-1-萘基乙二胺二盐酸盐比色法</w:t>
            </w:r>
          </w:p>
          <w:p>
            <w:pPr>
              <w:rPr>
                <w:rFonts w:ascii="宋体" w:hAnsi="宋体"/>
                <w:sz w:val="24"/>
              </w:rPr>
            </w:pPr>
            <w:r>
              <w:rPr>
                <w:rFonts w:hint="eastAsia" w:ascii="宋体" w:hAnsi="宋体"/>
                <w:sz w:val="24"/>
              </w:rPr>
              <w:t>量程范围：</w:t>
            </w:r>
            <w:r>
              <w:rPr>
                <w:rFonts w:ascii="宋体" w:hAnsi="宋体"/>
                <w:sz w:val="24"/>
              </w:rPr>
              <w:t>0-10 mg/L（以N计）</w:t>
            </w:r>
          </w:p>
          <w:p>
            <w:pPr>
              <w:rPr>
                <w:rFonts w:ascii="宋体" w:hAnsi="宋体"/>
                <w:sz w:val="24"/>
              </w:rPr>
            </w:pPr>
            <w:r>
              <w:rPr>
                <w:rFonts w:hint="eastAsia" w:ascii="宋体" w:hAnsi="宋体"/>
                <w:sz w:val="24"/>
              </w:rPr>
              <w:t>方法检测限：</w:t>
            </w:r>
            <w:r>
              <w:rPr>
                <w:rFonts w:ascii="宋体" w:hAnsi="宋体"/>
                <w:sz w:val="24"/>
              </w:rPr>
              <w:t>0.1mg/L（以N计）</w:t>
            </w:r>
          </w:p>
          <w:p>
            <w:pPr>
              <w:rPr>
                <w:rFonts w:ascii="宋体" w:hAnsi="宋体"/>
                <w:sz w:val="24"/>
              </w:rPr>
            </w:pPr>
            <w:r>
              <w:rPr>
                <w:rFonts w:hint="eastAsia" w:ascii="宋体" w:hAnsi="宋体"/>
                <w:sz w:val="24"/>
              </w:rPr>
              <w:t>检测重复性：</w:t>
            </w:r>
            <w:r>
              <w:rPr>
                <w:rFonts w:ascii="宋体" w:hAnsi="宋体"/>
                <w:sz w:val="24"/>
              </w:rPr>
              <w:t>1.2% mg/L（1mg/L N标样重复10次进样）</w:t>
            </w:r>
          </w:p>
          <w:p>
            <w:pPr>
              <w:rPr>
                <w:rFonts w:ascii="宋体" w:hAnsi="宋体"/>
                <w:sz w:val="24"/>
              </w:rPr>
            </w:pPr>
            <w:r>
              <w:rPr>
                <w:rFonts w:ascii="宋体" w:hAnsi="宋体"/>
                <w:sz w:val="24"/>
              </w:rPr>
              <w:t>5）分析项目：亚硝酸盐氮</w:t>
            </w:r>
          </w:p>
          <w:p>
            <w:pPr>
              <w:rPr>
                <w:rFonts w:ascii="宋体" w:hAnsi="宋体"/>
                <w:sz w:val="24"/>
              </w:rPr>
            </w:pPr>
            <w:r>
              <w:rPr>
                <w:rFonts w:hint="eastAsia" w:ascii="宋体" w:hAnsi="宋体"/>
                <w:sz w:val="24"/>
              </w:rPr>
              <w:t>分析原理：</w:t>
            </w:r>
            <w:r>
              <w:rPr>
                <w:rFonts w:ascii="宋体" w:hAnsi="宋体"/>
                <w:sz w:val="24"/>
              </w:rPr>
              <w:t>N-1-萘基乙二胺二盐酸盐比色法</w:t>
            </w:r>
          </w:p>
          <w:p>
            <w:pPr>
              <w:rPr>
                <w:rFonts w:ascii="宋体" w:hAnsi="宋体"/>
                <w:sz w:val="24"/>
              </w:rPr>
            </w:pPr>
            <w:r>
              <w:rPr>
                <w:rFonts w:hint="eastAsia" w:ascii="宋体" w:hAnsi="宋体"/>
                <w:sz w:val="24"/>
              </w:rPr>
              <w:t>量程范围：</w:t>
            </w:r>
            <w:r>
              <w:rPr>
                <w:rFonts w:ascii="宋体" w:hAnsi="宋体"/>
                <w:sz w:val="24"/>
              </w:rPr>
              <w:t>0- 1mg/L （以N计）</w:t>
            </w:r>
          </w:p>
          <w:p>
            <w:pPr>
              <w:rPr>
                <w:rFonts w:ascii="宋体" w:hAnsi="宋体"/>
                <w:sz w:val="24"/>
              </w:rPr>
            </w:pPr>
            <w:r>
              <w:rPr>
                <w:rFonts w:hint="eastAsia" w:ascii="宋体" w:hAnsi="宋体"/>
                <w:sz w:val="24"/>
              </w:rPr>
              <w:t>方法检测限：</w:t>
            </w:r>
            <w:r>
              <w:rPr>
                <w:rFonts w:ascii="宋体" w:hAnsi="宋体"/>
                <w:sz w:val="24"/>
              </w:rPr>
              <w:t>0.005 mg/L（以N计）</w:t>
            </w:r>
          </w:p>
          <w:p>
            <w:pPr>
              <w:rPr>
                <w:rFonts w:ascii="宋体" w:hAnsi="宋体"/>
                <w:sz w:val="24"/>
              </w:rPr>
            </w:pPr>
            <w:r>
              <w:rPr>
                <w:rFonts w:hint="eastAsia" w:ascii="宋体" w:hAnsi="宋体"/>
                <w:sz w:val="24"/>
              </w:rPr>
              <w:t>检测重复性：</w:t>
            </w:r>
            <w:r>
              <w:rPr>
                <w:rFonts w:ascii="宋体" w:hAnsi="宋体"/>
                <w:sz w:val="24"/>
              </w:rPr>
              <w:t>1%（0.1mg/L N标样重复10次进样）</w:t>
            </w:r>
          </w:p>
          <w:p>
            <w:pPr>
              <w:rPr>
                <w:rFonts w:ascii="宋体" w:hAnsi="宋体"/>
                <w:sz w:val="24"/>
              </w:rPr>
            </w:pPr>
            <w:r>
              <w:rPr>
                <w:rFonts w:hint="eastAsia" w:ascii="宋体" w:hAnsi="宋体"/>
                <w:sz w:val="24"/>
              </w:rPr>
              <w:t>（三）、自动进样器参数：</w:t>
            </w:r>
          </w:p>
          <w:p>
            <w:pPr>
              <w:rPr>
                <w:rFonts w:ascii="宋体" w:hAnsi="宋体"/>
                <w:sz w:val="24"/>
              </w:rPr>
            </w:pPr>
            <w:r>
              <w:rPr>
                <w:rFonts w:ascii="宋体" w:hAnsi="宋体"/>
                <w:sz w:val="24"/>
              </w:rPr>
              <w:t>1.XYZ型三维随机自动进样器；</w:t>
            </w:r>
          </w:p>
          <w:p>
            <w:pPr>
              <w:rPr>
                <w:rFonts w:ascii="宋体" w:hAnsi="宋体"/>
                <w:sz w:val="24"/>
              </w:rPr>
            </w:pPr>
            <w:r>
              <w:rPr>
                <w:rFonts w:ascii="宋体" w:hAnsi="宋体"/>
                <w:sz w:val="24"/>
              </w:rPr>
              <w:t>2.样品杯数量：240位；</w:t>
            </w:r>
          </w:p>
          <w:p>
            <w:pPr>
              <w:rPr>
                <w:rFonts w:ascii="宋体" w:hAnsi="宋体"/>
                <w:sz w:val="24"/>
              </w:rPr>
            </w:pPr>
            <w:r>
              <w:rPr>
                <w:rFonts w:ascii="宋体" w:hAnsi="宋体"/>
                <w:sz w:val="24"/>
              </w:rPr>
              <w:t>3.样品杯容量：10ml；</w:t>
            </w:r>
          </w:p>
          <w:p>
            <w:pPr>
              <w:rPr>
                <w:rFonts w:ascii="宋体" w:hAnsi="宋体"/>
                <w:sz w:val="24"/>
              </w:rPr>
            </w:pPr>
            <w:r>
              <w:rPr>
                <w:rFonts w:ascii="宋体" w:hAnsi="宋体"/>
                <w:sz w:val="24"/>
              </w:rPr>
              <w:t>4.一次进样，同时检测出氨氮、硝氮、亚硝氮分析结果；</w:t>
            </w:r>
          </w:p>
          <w:p>
            <w:pPr>
              <w:rPr>
                <w:rFonts w:ascii="宋体" w:hAnsi="宋体"/>
                <w:sz w:val="24"/>
              </w:rPr>
            </w:pPr>
            <w:r>
              <w:rPr>
                <w:rFonts w:ascii="宋体" w:hAnsi="宋体"/>
                <w:sz w:val="24"/>
              </w:rPr>
              <w:t>5.采用移动式清洗池代替传统固定清洗槽或清洗泵，避免造成大量清洗液浪费，移动清洗池积小于10μl；</w:t>
            </w:r>
          </w:p>
          <w:p>
            <w:pPr>
              <w:rPr>
                <w:rFonts w:ascii="宋体" w:hAnsi="宋体"/>
                <w:sz w:val="24"/>
              </w:rPr>
            </w:pPr>
            <w:r>
              <w:rPr>
                <w:rFonts w:ascii="宋体" w:hAnsi="宋体"/>
                <w:sz w:val="24"/>
              </w:rPr>
              <w:t>6.数量：一个。</w:t>
            </w:r>
          </w:p>
          <w:p>
            <w:pPr>
              <w:rPr>
                <w:rFonts w:ascii="宋体" w:hAnsi="宋体"/>
                <w:sz w:val="24"/>
              </w:rPr>
            </w:pPr>
            <w:r>
              <w:rPr>
                <w:rFonts w:hint="eastAsia" w:ascii="宋体" w:hAnsi="宋体"/>
                <w:sz w:val="24"/>
              </w:rPr>
              <w:t>（四）、分析软件参数：</w:t>
            </w:r>
          </w:p>
          <w:p>
            <w:pPr>
              <w:rPr>
                <w:rFonts w:ascii="宋体" w:hAnsi="宋体"/>
                <w:sz w:val="24"/>
              </w:rPr>
            </w:pPr>
            <w:r>
              <w:rPr>
                <w:rFonts w:ascii="宋体" w:hAnsi="宋体"/>
                <w:sz w:val="24"/>
              </w:rPr>
              <w:t>1.原厂配套工作站软件，分析控制软件支持中文WindowsXP/win7/win10等操作系统；</w:t>
            </w:r>
          </w:p>
          <w:p>
            <w:pPr>
              <w:rPr>
                <w:rFonts w:ascii="宋体" w:hAnsi="宋体"/>
                <w:sz w:val="24"/>
              </w:rPr>
            </w:pPr>
            <w:r>
              <w:rPr>
                <w:rFonts w:ascii="宋体" w:hAnsi="宋体"/>
                <w:sz w:val="24"/>
              </w:rPr>
              <w:t>2.软件能自动控制仪器分析，无须人工干预；</w:t>
            </w:r>
          </w:p>
          <w:p>
            <w:pPr>
              <w:rPr>
                <w:rFonts w:ascii="宋体" w:hAnsi="宋体"/>
                <w:sz w:val="24"/>
              </w:rPr>
            </w:pPr>
            <w:r>
              <w:rPr>
                <w:rFonts w:ascii="宋体" w:hAnsi="宋体"/>
                <w:sz w:val="24"/>
              </w:rPr>
              <w:t>3.能监控每一分析运行过程，并能同时输入新的任务请求；</w:t>
            </w:r>
          </w:p>
          <w:p>
            <w:pPr>
              <w:rPr>
                <w:rFonts w:ascii="宋体" w:hAnsi="宋体"/>
                <w:sz w:val="24"/>
              </w:rPr>
            </w:pPr>
            <w:r>
              <w:rPr>
                <w:rFonts w:ascii="宋体" w:hAnsi="宋体"/>
                <w:sz w:val="24"/>
              </w:rPr>
              <w:t>4.具有中文、英文语言可选，方便客户进行仪器操作。</w:t>
            </w:r>
          </w:p>
          <w:p>
            <w:pPr>
              <w:rPr>
                <w:rFonts w:ascii="宋体" w:hAnsi="宋体"/>
                <w:sz w:val="24"/>
              </w:rPr>
            </w:pPr>
            <w:r>
              <w:rPr>
                <w:rFonts w:hint="eastAsia" w:ascii="宋体" w:hAnsi="宋体"/>
                <w:sz w:val="24"/>
              </w:rPr>
              <w:t>三、主要配置</w:t>
            </w:r>
          </w:p>
          <w:p>
            <w:pPr>
              <w:rPr>
                <w:rFonts w:ascii="宋体" w:hAnsi="宋体"/>
                <w:sz w:val="24"/>
              </w:rPr>
            </w:pPr>
            <w:r>
              <w:rPr>
                <w:rFonts w:ascii="宋体" w:hAnsi="宋体"/>
                <w:sz w:val="24"/>
              </w:rPr>
              <w:t>1.独立分析主机3套（每套主机均包含蠕动泵、液晶显示屏、操作键盘、试剂柜及检测器）；</w:t>
            </w:r>
          </w:p>
          <w:p>
            <w:pPr>
              <w:rPr>
                <w:rFonts w:ascii="宋体" w:hAnsi="宋体"/>
                <w:sz w:val="24"/>
              </w:rPr>
            </w:pPr>
            <w:r>
              <w:rPr>
                <w:rFonts w:ascii="宋体" w:hAnsi="宋体"/>
                <w:sz w:val="24"/>
              </w:rPr>
              <w:t>2.分析模块3套（总氮/硝氮分析模块、总磷/磷酸盐分析模块、多参数分析模块各一套）</w:t>
            </w:r>
          </w:p>
          <w:p>
            <w:pPr>
              <w:rPr>
                <w:rFonts w:ascii="宋体" w:hAnsi="宋体"/>
                <w:sz w:val="24"/>
              </w:rPr>
            </w:pPr>
            <w:r>
              <w:rPr>
                <w:rFonts w:ascii="宋体" w:hAnsi="宋体"/>
                <w:sz w:val="24"/>
              </w:rPr>
              <w:t>3.自动进样器一台；</w:t>
            </w:r>
          </w:p>
          <w:p>
            <w:pPr>
              <w:rPr>
                <w:rFonts w:ascii="宋体" w:hAnsi="宋体"/>
                <w:sz w:val="24"/>
              </w:rPr>
            </w:pPr>
            <w:r>
              <w:rPr>
                <w:rFonts w:ascii="宋体" w:hAnsi="宋体"/>
                <w:sz w:val="24"/>
              </w:rPr>
              <w:t>4.分析软件一套；</w:t>
            </w:r>
          </w:p>
          <w:p>
            <w:pPr>
              <w:rPr>
                <w:rFonts w:ascii="宋体" w:hAnsi="宋体"/>
                <w:sz w:val="24"/>
              </w:rPr>
            </w:pPr>
            <w:r>
              <w:rPr>
                <w:rFonts w:ascii="宋体" w:hAnsi="宋体"/>
                <w:sz w:val="24"/>
              </w:rPr>
              <w:t>5.耗材一批（包含各种规格的蠕动泵泵管、连接管、玻璃圈、进样针、滤膜等）；</w:t>
            </w:r>
          </w:p>
          <w:p>
            <w:pPr>
              <w:rPr>
                <w:rFonts w:ascii="宋体" w:hAnsi="宋体"/>
                <w:sz w:val="24"/>
              </w:rPr>
            </w:pPr>
            <w:r>
              <w:rPr>
                <w:rFonts w:ascii="宋体" w:hAnsi="宋体"/>
                <w:sz w:val="24"/>
              </w:rPr>
              <w:t>6.戴尔电脑一台（电脑品牌：戴尔，型号：:Vostro3890-R14N8R；显示器品牌：戴尔，型号：P2422H）（配置： CPU: 主频3Ghz、内存：8G、硬盘：1T 、显示器： 22英寸、鼠标键盘、操作系统：Win 10及以上）；</w:t>
            </w:r>
          </w:p>
          <w:p>
            <w:pPr>
              <w:rPr>
                <w:rFonts w:ascii="宋体" w:hAnsi="宋体"/>
                <w:sz w:val="24"/>
              </w:rPr>
            </w:pPr>
            <w:r>
              <w:rPr>
                <w:rFonts w:ascii="宋体" w:hAnsi="宋体"/>
                <w:sz w:val="24"/>
              </w:rPr>
              <w:t>7.电子分析天平3台（精度分别为0.01mg、0.1mg、10mg，拥有超级单体传感器、LED 触摸屏、标配USB C和RS232 接口的全自动内校电子天平各一台）。（品牌型号：赛多利斯 BCE55Pi-1OCN、BCE224i-1CCN、BCE2202i-1CCN）</w:t>
            </w:r>
          </w:p>
          <w:p>
            <w:pPr>
              <w:rPr>
                <w:rFonts w:ascii="宋体" w:hAnsi="宋体"/>
                <w:sz w:val="24"/>
              </w:rPr>
            </w:pPr>
            <w:r>
              <w:rPr>
                <w:rFonts w:hint="eastAsia" w:ascii="宋体" w:hAnsi="宋体"/>
                <w:sz w:val="24"/>
              </w:rPr>
              <w:t>四、售后服务</w:t>
            </w:r>
          </w:p>
          <w:p>
            <w:pPr>
              <w:rPr>
                <w:rFonts w:ascii="宋体" w:hAnsi="宋体"/>
                <w:sz w:val="24"/>
              </w:rPr>
            </w:pPr>
            <w:r>
              <w:rPr>
                <w:rFonts w:ascii="宋体" w:hAnsi="宋体"/>
                <w:sz w:val="24"/>
              </w:rPr>
              <w:t>1.验收合格后质保三年</w:t>
            </w:r>
          </w:p>
          <w:p>
            <w:pPr>
              <w:rPr>
                <w:rFonts w:ascii="宋体" w:hAnsi="宋体"/>
                <w:sz w:val="24"/>
              </w:rPr>
            </w:pPr>
            <w:r>
              <w:rPr>
                <w:rFonts w:ascii="宋体" w:hAnsi="宋体"/>
                <w:sz w:val="24"/>
              </w:rPr>
              <w:t>2.一般问题8小时内响应并提供解决方案，需要现场解决的问题要求48小时内达到现场</w:t>
            </w:r>
          </w:p>
          <w:p>
            <w:pPr>
              <w:rPr>
                <w:rFonts w:ascii="宋体" w:hAnsi="宋体"/>
                <w:sz w:val="24"/>
              </w:rPr>
            </w:pPr>
            <w:r>
              <w:rPr>
                <w:rFonts w:ascii="宋体" w:hAnsi="宋体"/>
                <w:sz w:val="24"/>
              </w:rPr>
              <w:t>3.保证十年内可以正常提供耗材供应</w:t>
            </w:r>
          </w:p>
        </w:tc>
        <w:tc>
          <w:tcPr>
            <w:tcW w:w="567" w:type="dxa"/>
            <w:tcBorders>
              <w:top w:val="single" w:color="000000" w:sz="4" w:space="0"/>
              <w:left w:val="nil"/>
              <w:bottom w:val="single" w:color="000000" w:sz="4" w:space="0"/>
              <w:right w:val="single" w:color="000000" w:sz="4" w:space="0"/>
            </w:tcBorders>
            <w:vAlign w:val="center"/>
          </w:tcPr>
          <w:p>
            <w:r>
              <w:rPr>
                <w:rFonts w:hint="eastAsia" w:ascii="宋体" w:hAnsi="宋体"/>
                <w:szCs w:val="21"/>
              </w:rPr>
              <w:t>意大利</w:t>
            </w:r>
          </w:p>
        </w:tc>
        <w:tc>
          <w:tcPr>
            <w:tcW w:w="770" w:type="dxa"/>
            <w:tcBorders>
              <w:top w:val="single" w:color="000000" w:sz="4" w:space="0"/>
              <w:left w:val="nil"/>
              <w:bottom w:val="single" w:color="000000" w:sz="4" w:space="0"/>
              <w:right w:val="single" w:color="000000" w:sz="4" w:space="0"/>
            </w:tcBorders>
            <w:vAlign w:val="center"/>
          </w:tcPr>
          <w:p>
            <w:r>
              <w:rPr>
                <w:rFonts w:hint="eastAsia" w:ascii="宋体" w:hAnsi="宋体"/>
                <w:sz w:val="24"/>
              </w:rPr>
              <w:t>A</w:t>
            </w:r>
            <w:r>
              <w:rPr>
                <w:rFonts w:ascii="宋体" w:hAnsi="宋体"/>
                <w:sz w:val="24"/>
              </w:rPr>
              <w:t>MS Srl</w:t>
            </w:r>
          </w:p>
        </w:tc>
      </w:tr>
      <w:tr>
        <w:tblPrEx>
          <w:tblCellMar>
            <w:top w:w="0" w:type="dxa"/>
            <w:left w:w="108" w:type="dxa"/>
            <w:bottom w:w="0" w:type="dxa"/>
            <w:right w:w="108" w:type="dxa"/>
          </w:tblCellMar>
        </w:tblPrEx>
        <w:trPr>
          <w:trHeight w:val="954" w:hRule="atLeast"/>
          <w:jc w:val="center"/>
        </w:trPr>
        <w:tc>
          <w:tcPr>
            <w:tcW w:w="741" w:type="dxa"/>
            <w:tcBorders>
              <w:top w:val="single" w:color="000000" w:sz="4" w:space="0"/>
              <w:left w:val="single" w:color="000000" w:sz="4" w:space="0"/>
              <w:bottom w:val="single" w:color="000000" w:sz="4" w:space="0"/>
              <w:right w:val="single" w:color="000000" w:sz="4" w:space="0"/>
            </w:tcBorders>
            <w:vAlign w:val="center"/>
          </w:tcPr>
          <w:p>
            <w:r>
              <w:rPr>
                <w:rFonts w:hint="eastAsia" w:ascii="宋体" w:hAnsi="宋体"/>
                <w:sz w:val="24"/>
              </w:rPr>
              <w:t>卧式压力蒸汽灭菌器</w:t>
            </w:r>
          </w:p>
        </w:tc>
        <w:tc>
          <w:tcPr>
            <w:tcW w:w="993" w:type="dxa"/>
            <w:tcBorders>
              <w:top w:val="single" w:color="000000" w:sz="4" w:space="0"/>
              <w:left w:val="nil"/>
              <w:bottom w:val="single" w:color="000000" w:sz="4" w:space="0"/>
              <w:right w:val="single" w:color="000000" w:sz="4" w:space="0"/>
            </w:tcBorders>
            <w:vAlign w:val="center"/>
          </w:tcPr>
          <w:p>
            <w:r>
              <w:rPr>
                <w:rFonts w:ascii="宋体" w:hAnsi="宋体"/>
                <w:sz w:val="24"/>
              </w:rPr>
              <w:t>BXW-360SD-AI</w:t>
            </w:r>
          </w:p>
        </w:tc>
        <w:tc>
          <w:tcPr>
            <w:tcW w:w="7168" w:type="dxa"/>
            <w:tcBorders>
              <w:top w:val="single" w:color="000000" w:sz="4" w:space="0"/>
              <w:left w:val="nil"/>
              <w:bottom w:val="single" w:color="000000" w:sz="4" w:space="0"/>
              <w:right w:val="single" w:color="000000" w:sz="4" w:space="0"/>
            </w:tcBorders>
          </w:tcPr>
          <w:p>
            <w:pPr>
              <w:rPr>
                <w:rFonts w:ascii="宋体" w:hAnsi="宋体"/>
                <w:sz w:val="24"/>
              </w:rPr>
            </w:pPr>
            <w:r>
              <w:rPr>
                <w:rFonts w:hint="eastAsia" w:ascii="宋体" w:hAnsi="宋体"/>
                <w:sz w:val="24"/>
              </w:rPr>
              <w:t>一、</w:t>
            </w:r>
            <w:r>
              <w:rPr>
                <w:rFonts w:ascii="宋体" w:hAnsi="宋体"/>
                <w:sz w:val="24"/>
              </w:rPr>
              <w:t xml:space="preserve"> 设备功能</w:t>
            </w:r>
          </w:p>
          <w:p>
            <w:pPr>
              <w:rPr>
                <w:rFonts w:ascii="宋体" w:hAnsi="宋体"/>
                <w:sz w:val="24"/>
              </w:rPr>
            </w:pPr>
            <w:r>
              <w:rPr>
                <w:rFonts w:hint="eastAsia" w:ascii="宋体" w:hAnsi="宋体"/>
                <w:sz w:val="24"/>
              </w:rPr>
              <w:t>适用于科研，农业、医疗卫生事业等单位，对器械，敷料，玻璃器皿，溶液培养基等进行消毒灭菌。</w:t>
            </w:r>
          </w:p>
          <w:p>
            <w:pPr>
              <w:rPr>
                <w:rFonts w:ascii="宋体" w:hAnsi="宋体"/>
                <w:sz w:val="24"/>
              </w:rPr>
            </w:pPr>
            <w:r>
              <w:rPr>
                <w:rFonts w:hint="eastAsia" w:ascii="宋体" w:hAnsi="宋体"/>
                <w:sz w:val="24"/>
              </w:rPr>
              <w:t>二、</w:t>
            </w:r>
            <w:r>
              <w:rPr>
                <w:rFonts w:ascii="宋体" w:hAnsi="宋体"/>
                <w:sz w:val="24"/>
              </w:rPr>
              <w:t xml:space="preserve"> 设备参数</w:t>
            </w:r>
          </w:p>
          <w:p>
            <w:pPr>
              <w:rPr>
                <w:rFonts w:ascii="宋体" w:hAnsi="宋体"/>
                <w:sz w:val="24"/>
              </w:rPr>
            </w:pPr>
            <w:r>
              <w:rPr>
                <w:rFonts w:hint="eastAsia" w:ascii="宋体" w:hAnsi="宋体"/>
                <w:sz w:val="24"/>
              </w:rPr>
              <w:t>外形尺寸：</w:t>
            </w:r>
            <w:r>
              <w:rPr>
                <w:rFonts w:ascii="宋体" w:hAnsi="宋体"/>
                <w:sz w:val="24"/>
              </w:rPr>
              <w:t>1000×1515×1803mm</w:t>
            </w:r>
          </w:p>
          <w:p>
            <w:pPr>
              <w:rPr>
                <w:rFonts w:ascii="宋体" w:hAnsi="宋体"/>
                <w:sz w:val="24"/>
              </w:rPr>
            </w:pPr>
            <w:r>
              <w:rPr>
                <w:rFonts w:hint="eastAsia" w:ascii="宋体" w:hAnsi="宋体"/>
                <w:sz w:val="24"/>
              </w:rPr>
              <w:t>内腔尺寸：Ф</w:t>
            </w:r>
            <w:r>
              <w:rPr>
                <w:rFonts w:ascii="宋体" w:hAnsi="宋体"/>
                <w:sz w:val="24"/>
              </w:rPr>
              <w:t>700×1025mm</w:t>
            </w:r>
          </w:p>
          <w:p>
            <w:pPr>
              <w:rPr>
                <w:rFonts w:ascii="宋体" w:hAnsi="宋体"/>
                <w:sz w:val="24"/>
              </w:rPr>
            </w:pPr>
            <w:r>
              <w:rPr>
                <w:rFonts w:hint="eastAsia" w:ascii="宋体" w:hAnsi="宋体"/>
                <w:sz w:val="24"/>
              </w:rPr>
              <w:t>网板尺寸：</w:t>
            </w:r>
            <w:r>
              <w:rPr>
                <w:rFonts w:ascii="宋体" w:hAnsi="宋体"/>
                <w:sz w:val="24"/>
              </w:rPr>
              <w:t>480×870mm</w:t>
            </w:r>
          </w:p>
          <w:p>
            <w:pPr>
              <w:rPr>
                <w:rFonts w:ascii="宋体" w:hAnsi="宋体"/>
                <w:sz w:val="24"/>
              </w:rPr>
            </w:pPr>
            <w:r>
              <w:rPr>
                <w:rFonts w:hint="eastAsia" w:ascii="宋体" w:hAnsi="宋体"/>
                <w:sz w:val="24"/>
              </w:rPr>
              <w:t>容积：</w:t>
            </w:r>
            <w:r>
              <w:rPr>
                <w:rFonts w:ascii="宋体" w:hAnsi="宋体"/>
                <w:sz w:val="24"/>
              </w:rPr>
              <w:t>360L</w:t>
            </w:r>
          </w:p>
          <w:p>
            <w:pPr>
              <w:rPr>
                <w:rFonts w:ascii="宋体" w:hAnsi="宋体"/>
                <w:sz w:val="24"/>
              </w:rPr>
            </w:pPr>
            <w:r>
              <w:rPr>
                <w:rFonts w:hint="eastAsia" w:ascii="宋体" w:hAnsi="宋体"/>
                <w:sz w:val="24"/>
              </w:rPr>
              <w:t>功率：</w:t>
            </w:r>
            <w:r>
              <w:rPr>
                <w:rFonts w:ascii="宋体" w:hAnsi="宋体"/>
                <w:sz w:val="24"/>
              </w:rPr>
              <w:t>15.5kW</w:t>
            </w:r>
          </w:p>
          <w:p>
            <w:pPr>
              <w:rPr>
                <w:rFonts w:ascii="宋体" w:hAnsi="宋体"/>
                <w:sz w:val="24"/>
              </w:rPr>
            </w:pPr>
            <w:r>
              <w:rPr>
                <w:rFonts w:hint="eastAsia" w:ascii="宋体" w:hAnsi="宋体"/>
                <w:sz w:val="24"/>
              </w:rPr>
              <w:t>电源：</w:t>
            </w:r>
            <w:r>
              <w:rPr>
                <w:rFonts w:ascii="宋体" w:hAnsi="宋体"/>
                <w:sz w:val="24"/>
              </w:rPr>
              <w:t>380V 50Hz</w:t>
            </w:r>
          </w:p>
          <w:p>
            <w:pPr>
              <w:rPr>
                <w:rFonts w:ascii="宋体" w:hAnsi="宋体"/>
                <w:sz w:val="24"/>
              </w:rPr>
            </w:pPr>
            <w:r>
              <w:rPr>
                <w:rFonts w:hint="eastAsia" w:ascii="宋体" w:hAnsi="宋体"/>
                <w:sz w:val="24"/>
              </w:rPr>
              <w:t>升降温速度：</w:t>
            </w:r>
            <w:r>
              <w:rPr>
                <w:rFonts w:ascii="宋体" w:hAnsi="宋体"/>
                <w:sz w:val="24"/>
              </w:rPr>
              <w:t>40min内可达到121℃°</w:t>
            </w:r>
          </w:p>
          <w:p>
            <w:pPr>
              <w:rPr>
                <w:rFonts w:ascii="宋体" w:hAnsi="宋体"/>
                <w:sz w:val="24"/>
              </w:rPr>
            </w:pPr>
            <w:r>
              <w:rPr>
                <w:rFonts w:hint="eastAsia" w:ascii="宋体" w:hAnsi="宋体"/>
                <w:sz w:val="24"/>
              </w:rPr>
              <w:t>灭菌温度：</w:t>
            </w:r>
            <w:r>
              <w:rPr>
                <w:rFonts w:ascii="宋体" w:hAnsi="宋体"/>
                <w:sz w:val="24"/>
              </w:rPr>
              <w:t>105-135℃</w:t>
            </w:r>
          </w:p>
          <w:p>
            <w:pPr>
              <w:rPr>
                <w:rFonts w:ascii="宋体" w:hAnsi="宋体"/>
                <w:sz w:val="24"/>
              </w:rPr>
            </w:pPr>
            <w:r>
              <w:rPr>
                <w:rFonts w:hint="eastAsia" w:ascii="宋体" w:hAnsi="宋体"/>
                <w:sz w:val="24"/>
              </w:rPr>
              <w:t>融化温度：</w:t>
            </w:r>
            <w:r>
              <w:rPr>
                <w:rFonts w:ascii="宋体" w:hAnsi="宋体"/>
                <w:sz w:val="24"/>
              </w:rPr>
              <w:t>60-100℃</w:t>
            </w:r>
          </w:p>
          <w:p>
            <w:pPr>
              <w:rPr>
                <w:rFonts w:ascii="宋体" w:hAnsi="宋体"/>
                <w:sz w:val="24"/>
              </w:rPr>
            </w:pPr>
            <w:r>
              <w:rPr>
                <w:rFonts w:hint="eastAsia" w:ascii="宋体" w:hAnsi="宋体"/>
                <w:sz w:val="24"/>
              </w:rPr>
              <w:t>保温温度：</w:t>
            </w:r>
            <w:r>
              <w:rPr>
                <w:rFonts w:ascii="宋体" w:hAnsi="宋体"/>
                <w:sz w:val="24"/>
              </w:rPr>
              <w:t>40-60℃</w:t>
            </w:r>
          </w:p>
          <w:p>
            <w:pPr>
              <w:rPr>
                <w:rFonts w:ascii="宋体" w:hAnsi="宋体"/>
                <w:sz w:val="24"/>
              </w:rPr>
            </w:pPr>
            <w:r>
              <w:rPr>
                <w:rFonts w:hint="eastAsia" w:ascii="宋体" w:hAnsi="宋体"/>
                <w:sz w:val="24"/>
              </w:rPr>
              <w:t>灭菌时间：</w:t>
            </w:r>
            <w:r>
              <w:rPr>
                <w:rFonts w:ascii="宋体" w:hAnsi="宋体"/>
                <w:sz w:val="24"/>
              </w:rPr>
              <w:t>0-240min</w:t>
            </w:r>
          </w:p>
          <w:p>
            <w:pPr>
              <w:rPr>
                <w:rFonts w:ascii="宋体" w:hAnsi="宋体"/>
                <w:sz w:val="24"/>
              </w:rPr>
            </w:pPr>
            <w:r>
              <w:rPr>
                <w:rFonts w:hint="eastAsia" w:ascii="宋体" w:hAnsi="宋体"/>
                <w:sz w:val="24"/>
              </w:rPr>
              <w:t>融化时间：</w:t>
            </w:r>
            <w:r>
              <w:rPr>
                <w:rFonts w:ascii="宋体" w:hAnsi="宋体"/>
                <w:sz w:val="24"/>
              </w:rPr>
              <w:t>0-999min</w:t>
            </w:r>
          </w:p>
          <w:p>
            <w:pPr>
              <w:rPr>
                <w:rFonts w:ascii="宋体" w:hAnsi="宋体"/>
                <w:sz w:val="24"/>
              </w:rPr>
            </w:pPr>
            <w:r>
              <w:rPr>
                <w:rFonts w:hint="eastAsia" w:ascii="宋体" w:hAnsi="宋体"/>
                <w:sz w:val="24"/>
              </w:rPr>
              <w:t>保温时间：</w:t>
            </w:r>
            <w:r>
              <w:rPr>
                <w:rFonts w:ascii="宋体" w:hAnsi="宋体"/>
                <w:sz w:val="24"/>
              </w:rPr>
              <w:t>0-1440min</w:t>
            </w:r>
          </w:p>
          <w:p>
            <w:pPr>
              <w:rPr>
                <w:rFonts w:ascii="宋体" w:hAnsi="宋体"/>
                <w:sz w:val="24"/>
              </w:rPr>
            </w:pPr>
            <w:r>
              <w:rPr>
                <w:rFonts w:hint="eastAsia" w:ascii="宋体" w:hAnsi="宋体"/>
                <w:sz w:val="24"/>
              </w:rPr>
              <w:t>分辨力：</w:t>
            </w:r>
            <w:r>
              <w:rPr>
                <w:rFonts w:ascii="宋体" w:hAnsi="宋体"/>
                <w:sz w:val="24"/>
              </w:rPr>
              <w:t>0.1℃</w:t>
            </w:r>
          </w:p>
          <w:p>
            <w:pPr>
              <w:rPr>
                <w:rFonts w:ascii="宋体" w:hAnsi="宋体"/>
                <w:sz w:val="24"/>
              </w:rPr>
            </w:pPr>
            <w:r>
              <w:rPr>
                <w:rFonts w:hint="eastAsia" w:ascii="宋体" w:hAnsi="宋体"/>
                <w:sz w:val="24"/>
              </w:rPr>
              <w:t>工作压力：</w:t>
            </w:r>
            <w:r>
              <w:rPr>
                <w:rFonts w:ascii="宋体" w:hAnsi="宋体"/>
                <w:sz w:val="24"/>
              </w:rPr>
              <w:t>0.22MPa</w:t>
            </w:r>
          </w:p>
          <w:p>
            <w:pPr>
              <w:rPr>
                <w:rFonts w:ascii="宋体" w:hAnsi="宋体"/>
                <w:sz w:val="24"/>
              </w:rPr>
            </w:pPr>
            <w:r>
              <w:rPr>
                <w:rFonts w:hint="eastAsia" w:ascii="宋体" w:hAnsi="宋体"/>
                <w:sz w:val="24"/>
              </w:rPr>
              <w:t>压力表显示范围：</w:t>
            </w:r>
            <w:r>
              <w:rPr>
                <w:rFonts w:ascii="宋体" w:hAnsi="宋体"/>
                <w:sz w:val="24"/>
              </w:rPr>
              <w:t>0~0.4MPa（1.6级）</w:t>
            </w:r>
          </w:p>
          <w:p>
            <w:pPr>
              <w:rPr>
                <w:rFonts w:ascii="宋体" w:hAnsi="宋体"/>
                <w:sz w:val="24"/>
              </w:rPr>
            </w:pPr>
            <w:r>
              <w:rPr>
                <w:rFonts w:hint="eastAsia" w:ascii="宋体" w:hAnsi="宋体"/>
                <w:sz w:val="24"/>
              </w:rPr>
              <w:t>三、主要配置</w:t>
            </w:r>
          </w:p>
          <w:p>
            <w:pPr>
              <w:rPr>
                <w:rFonts w:ascii="宋体" w:hAnsi="宋体"/>
                <w:sz w:val="24"/>
              </w:rPr>
            </w:pPr>
            <w:r>
              <w:rPr>
                <w:rFonts w:hint="eastAsia" w:ascii="宋体" w:hAnsi="宋体"/>
                <w:sz w:val="24"/>
              </w:rPr>
              <w:t>主机一台、网板一块、进水管一根、排水管一根。</w:t>
            </w:r>
          </w:p>
          <w:p>
            <w:pPr>
              <w:rPr>
                <w:rFonts w:ascii="宋体" w:hAnsi="宋体"/>
                <w:sz w:val="24"/>
              </w:rPr>
            </w:pPr>
            <w:r>
              <w:rPr>
                <w:rFonts w:hint="eastAsia" w:ascii="宋体" w:hAnsi="宋体"/>
                <w:sz w:val="24"/>
              </w:rPr>
              <w:t>四、售后服务</w:t>
            </w:r>
          </w:p>
          <w:p>
            <w:pPr>
              <w:rPr>
                <w:rFonts w:ascii="宋体" w:hAnsi="宋体"/>
                <w:sz w:val="24"/>
              </w:rPr>
            </w:pPr>
            <w:r>
              <w:rPr>
                <w:rFonts w:ascii="宋体" w:hAnsi="宋体"/>
                <w:sz w:val="24"/>
              </w:rPr>
              <w:t>1、免费质保期：提供整机保修三年，自用户签署验收合格报告单之日起计，质保期内免费保修。并保证5年的零配件供应。</w:t>
            </w:r>
          </w:p>
          <w:p>
            <w:pPr>
              <w:rPr>
                <w:rFonts w:ascii="宋体" w:hAnsi="宋体"/>
                <w:sz w:val="24"/>
              </w:rPr>
            </w:pPr>
            <w:r>
              <w:rPr>
                <w:rFonts w:ascii="宋体" w:hAnsi="宋体"/>
                <w:sz w:val="24"/>
              </w:rPr>
              <w:t>2、维修响应：并在接到故障维修后1小时内作出反应，售后工程师在4小时内到达现场。</w:t>
            </w:r>
          </w:p>
        </w:tc>
        <w:tc>
          <w:tcPr>
            <w:tcW w:w="567" w:type="dxa"/>
            <w:tcBorders>
              <w:top w:val="single" w:color="000000" w:sz="4" w:space="0"/>
              <w:left w:val="nil"/>
              <w:bottom w:val="single" w:color="000000" w:sz="4" w:space="0"/>
              <w:right w:val="single" w:color="000000" w:sz="4" w:space="0"/>
            </w:tcBorders>
            <w:vAlign w:val="center"/>
          </w:tcPr>
          <w:p>
            <w:r>
              <w:rPr>
                <w:rFonts w:hint="eastAsia" w:ascii="宋体" w:hAnsi="宋体"/>
                <w:szCs w:val="21"/>
              </w:rPr>
              <w:t>中国</w:t>
            </w:r>
          </w:p>
        </w:tc>
        <w:tc>
          <w:tcPr>
            <w:tcW w:w="770" w:type="dxa"/>
            <w:tcBorders>
              <w:top w:val="single" w:color="000000" w:sz="4" w:space="0"/>
              <w:left w:val="nil"/>
              <w:bottom w:val="single" w:color="000000" w:sz="4" w:space="0"/>
              <w:right w:val="single" w:color="000000" w:sz="4" w:space="0"/>
            </w:tcBorders>
            <w:vAlign w:val="center"/>
          </w:tcPr>
          <w:p>
            <w:r>
              <w:rPr>
                <w:rFonts w:ascii="宋体" w:hAnsi="宋体"/>
                <w:sz w:val="24"/>
              </w:rPr>
              <w:t>上海博</w:t>
            </w:r>
            <w:r>
              <w:rPr>
                <w:rFonts w:hint="eastAsia" w:ascii="宋体" w:hAnsi="宋体"/>
                <w:sz w:val="24"/>
              </w:rPr>
              <w:t>迅</w:t>
            </w:r>
            <w:r>
              <w:rPr>
                <w:rFonts w:ascii="宋体" w:hAnsi="宋体"/>
                <w:sz w:val="24"/>
              </w:rPr>
              <w:t>医疗生物仪器股份有限公司</w:t>
            </w:r>
          </w:p>
        </w:tc>
      </w:tr>
      <w:tr>
        <w:tblPrEx>
          <w:tblCellMar>
            <w:top w:w="0" w:type="dxa"/>
            <w:left w:w="108" w:type="dxa"/>
            <w:bottom w:w="0" w:type="dxa"/>
            <w:right w:w="108" w:type="dxa"/>
          </w:tblCellMar>
        </w:tblPrEx>
        <w:trPr>
          <w:trHeight w:val="954" w:hRule="atLeast"/>
          <w:jc w:val="center"/>
        </w:trPr>
        <w:tc>
          <w:tcPr>
            <w:tcW w:w="741" w:type="dxa"/>
            <w:tcBorders>
              <w:top w:val="single" w:color="000000" w:sz="4" w:space="0"/>
              <w:left w:val="single" w:color="000000" w:sz="4" w:space="0"/>
              <w:bottom w:val="single" w:color="000000" w:sz="4" w:space="0"/>
              <w:right w:val="single" w:color="000000" w:sz="4" w:space="0"/>
            </w:tcBorders>
            <w:vAlign w:val="center"/>
          </w:tcPr>
          <w:p>
            <w:r>
              <w:rPr>
                <w:rFonts w:hint="eastAsia" w:ascii="宋体" w:hAnsi="宋体"/>
                <w:sz w:val="24"/>
              </w:rPr>
              <w:t>立式压力蒸汽灭菌器</w:t>
            </w:r>
          </w:p>
        </w:tc>
        <w:tc>
          <w:tcPr>
            <w:tcW w:w="993" w:type="dxa"/>
            <w:tcBorders>
              <w:top w:val="single" w:color="000000" w:sz="4" w:space="0"/>
              <w:left w:val="nil"/>
              <w:bottom w:val="single" w:color="000000" w:sz="4" w:space="0"/>
              <w:right w:val="single" w:color="000000" w:sz="4" w:space="0"/>
            </w:tcBorders>
            <w:vAlign w:val="center"/>
          </w:tcPr>
          <w:p>
            <w:r>
              <w:rPr>
                <w:rFonts w:ascii="宋体" w:hAnsi="宋体"/>
                <w:sz w:val="24"/>
              </w:rPr>
              <w:t>GL85SA</w:t>
            </w:r>
          </w:p>
        </w:tc>
        <w:tc>
          <w:tcPr>
            <w:tcW w:w="7168" w:type="dxa"/>
            <w:tcBorders>
              <w:top w:val="single" w:color="000000" w:sz="4" w:space="0"/>
              <w:left w:val="nil"/>
              <w:bottom w:val="single" w:color="000000" w:sz="4" w:space="0"/>
              <w:right w:val="single" w:color="000000" w:sz="4" w:space="0"/>
            </w:tcBorders>
          </w:tcPr>
          <w:p>
            <w:pPr>
              <w:rPr>
                <w:rFonts w:ascii="宋体" w:hAnsi="宋体"/>
                <w:sz w:val="24"/>
              </w:rPr>
            </w:pPr>
            <w:r>
              <w:rPr>
                <w:rFonts w:hint="eastAsia" w:ascii="宋体" w:hAnsi="宋体"/>
                <w:sz w:val="24"/>
              </w:rPr>
              <w:t>一、</w:t>
            </w:r>
            <w:r>
              <w:rPr>
                <w:rFonts w:ascii="宋体" w:hAnsi="宋体"/>
                <w:sz w:val="24"/>
              </w:rPr>
              <w:t xml:space="preserve"> 设备功能</w:t>
            </w:r>
          </w:p>
          <w:p>
            <w:pPr>
              <w:rPr>
                <w:rFonts w:ascii="宋体" w:hAnsi="宋体"/>
                <w:sz w:val="24"/>
              </w:rPr>
            </w:pPr>
            <w:r>
              <w:rPr>
                <w:rFonts w:hint="eastAsia" w:ascii="宋体" w:hAnsi="宋体"/>
                <w:sz w:val="24"/>
              </w:rPr>
              <w:t>适用于科研，农业、医疗卫生事业等单位，对器械，敷料，玻璃器皿，溶液培养基等进行消毒灭菌。</w:t>
            </w:r>
          </w:p>
          <w:p>
            <w:pPr>
              <w:rPr>
                <w:rFonts w:ascii="宋体" w:hAnsi="宋体"/>
                <w:sz w:val="24"/>
              </w:rPr>
            </w:pPr>
            <w:r>
              <w:rPr>
                <w:rFonts w:hint="eastAsia" w:ascii="宋体" w:hAnsi="宋体"/>
                <w:sz w:val="24"/>
              </w:rPr>
              <w:t>二、设备参数</w:t>
            </w:r>
          </w:p>
          <w:p>
            <w:pPr>
              <w:rPr>
                <w:rFonts w:ascii="宋体" w:hAnsi="宋体"/>
                <w:sz w:val="24"/>
              </w:rPr>
            </w:pPr>
            <w:r>
              <w:rPr>
                <w:rFonts w:ascii="宋体" w:hAnsi="宋体"/>
                <w:sz w:val="24"/>
              </w:rPr>
              <w:t>1. 灭菌器厂家致微（厦门）仪器有限公司具有特种设备（压力容器）制造许可证（提供制造许可证）；</w:t>
            </w:r>
          </w:p>
          <w:p>
            <w:pPr>
              <w:rPr>
                <w:rFonts w:ascii="宋体" w:hAnsi="宋体"/>
                <w:sz w:val="24"/>
              </w:rPr>
            </w:pPr>
            <w:r>
              <w:rPr>
                <w:rFonts w:ascii="宋体" w:hAnsi="宋体"/>
                <w:sz w:val="24"/>
              </w:rPr>
              <w:t>2.容量:85升,立式结构,底部带脚轮；</w:t>
            </w:r>
          </w:p>
          <w:p>
            <w:pPr>
              <w:rPr>
                <w:rFonts w:ascii="宋体" w:hAnsi="宋体"/>
                <w:sz w:val="24"/>
              </w:rPr>
            </w:pPr>
            <w:r>
              <w:rPr>
                <w:rFonts w:ascii="宋体" w:hAnsi="宋体"/>
                <w:sz w:val="24"/>
              </w:rPr>
              <w:t>3压力容器设计温度153度</w:t>
            </w:r>
          </w:p>
          <w:p>
            <w:pPr>
              <w:rPr>
                <w:rFonts w:ascii="宋体" w:hAnsi="宋体"/>
                <w:sz w:val="24"/>
              </w:rPr>
            </w:pPr>
            <w:r>
              <w:rPr>
                <w:rFonts w:ascii="宋体" w:hAnsi="宋体"/>
                <w:sz w:val="24"/>
              </w:rPr>
              <w:t>4.灭菌工作温度105-138度；</w:t>
            </w:r>
          </w:p>
          <w:p>
            <w:pPr>
              <w:rPr>
                <w:rFonts w:ascii="宋体" w:hAnsi="宋体"/>
                <w:sz w:val="24"/>
              </w:rPr>
            </w:pPr>
            <w:r>
              <w:rPr>
                <w:rFonts w:ascii="宋体" w:hAnsi="宋体"/>
                <w:sz w:val="24"/>
              </w:rPr>
              <w:t>5.压力容器设计使用年限20年（生产厂家提供压力容器容器数据表）；</w:t>
            </w:r>
          </w:p>
          <w:p>
            <w:pPr>
              <w:rPr>
                <w:rFonts w:ascii="宋体" w:hAnsi="宋体"/>
                <w:sz w:val="24"/>
              </w:rPr>
            </w:pPr>
            <w:r>
              <w:rPr>
                <w:rFonts w:ascii="宋体" w:hAnsi="宋体"/>
                <w:sz w:val="24"/>
              </w:rPr>
              <w:t>6.干烧保护装置：灭菌腔底同时配备液胀式、铜质温度感应式、离子浓度式（水位传感器）三种不同干烧保护装置，避免了单一方式带来的误判；</w:t>
            </w:r>
          </w:p>
          <w:p>
            <w:pPr>
              <w:rPr>
                <w:rFonts w:ascii="宋体" w:hAnsi="宋体"/>
                <w:sz w:val="24"/>
              </w:rPr>
            </w:pPr>
            <w:r>
              <w:rPr>
                <w:rFonts w:ascii="宋体" w:hAnsi="宋体"/>
                <w:sz w:val="24"/>
              </w:rPr>
              <w:t>7.开关盖方式：触拨式开关，垂直向上打开腔门（上掀式开盖）下压式关盖，单手可实现开关盖；</w:t>
            </w:r>
          </w:p>
          <w:p>
            <w:pPr>
              <w:rPr>
                <w:rFonts w:ascii="宋体" w:hAnsi="宋体"/>
                <w:sz w:val="24"/>
              </w:rPr>
            </w:pPr>
            <w:r>
              <w:rPr>
                <w:rFonts w:ascii="宋体" w:hAnsi="宋体"/>
                <w:sz w:val="24"/>
              </w:rPr>
              <w:t>8.定时：灭菌时间1-6000分钟，保温时间1-9999分钟  预约灭菌时间0-10天，</w:t>
            </w:r>
          </w:p>
          <w:p>
            <w:pPr>
              <w:rPr>
                <w:rFonts w:ascii="宋体" w:hAnsi="宋体"/>
                <w:sz w:val="24"/>
              </w:rPr>
            </w:pPr>
            <w:r>
              <w:rPr>
                <w:rFonts w:ascii="宋体" w:hAnsi="宋体"/>
                <w:sz w:val="24"/>
              </w:rPr>
              <w:t>9.六级排汽方式，灭菌结束可设定6种不同的排汽速度，通过控制电磁阀的开关，液体培养基灭菌结束排气降温而培养基不会溢出来；</w:t>
            </w:r>
          </w:p>
          <w:p>
            <w:pPr>
              <w:rPr>
                <w:rFonts w:ascii="宋体" w:hAnsi="宋体"/>
                <w:sz w:val="24"/>
              </w:rPr>
            </w:pPr>
            <w:r>
              <w:rPr>
                <w:rFonts w:ascii="宋体" w:hAnsi="宋体"/>
                <w:sz w:val="24"/>
              </w:rPr>
              <w:t>10.集汽瓶：内部前置集汽瓶收集废水，倒水方便，同时节省仪器使用空间；</w:t>
            </w:r>
          </w:p>
          <w:p>
            <w:pPr>
              <w:rPr>
                <w:rFonts w:ascii="宋体" w:hAnsi="宋体"/>
                <w:sz w:val="24"/>
              </w:rPr>
            </w:pPr>
            <w:r>
              <w:rPr>
                <w:rFonts w:ascii="宋体" w:hAnsi="宋体"/>
                <w:sz w:val="24"/>
              </w:rPr>
              <w:t>11.标配冷却风扇，灭菌结束可快速降低腔体温度；</w:t>
            </w:r>
          </w:p>
          <w:p>
            <w:pPr>
              <w:rPr>
                <w:rFonts w:ascii="宋体" w:hAnsi="宋体"/>
                <w:sz w:val="24"/>
              </w:rPr>
            </w:pPr>
            <w:r>
              <w:rPr>
                <w:rFonts w:ascii="宋体" w:hAnsi="宋体"/>
                <w:sz w:val="24"/>
              </w:rPr>
              <w:t>12.压力保护装置：具有安全阀和压力开关两种以上压力保护装置；</w:t>
            </w:r>
          </w:p>
          <w:p>
            <w:pPr>
              <w:rPr>
                <w:rFonts w:ascii="宋体" w:hAnsi="宋体"/>
                <w:sz w:val="24"/>
              </w:rPr>
            </w:pPr>
            <w:r>
              <w:rPr>
                <w:rFonts w:ascii="宋体" w:hAnsi="宋体"/>
                <w:sz w:val="24"/>
              </w:rPr>
              <w:t>13.彩色液晶触摸屏：7英寸彩色液晶触摸屏，彩色（五种以上颜色）液晶显示灭菌器各种状态，戴上厚手套或用笔就可操作灭菌器，保护使用者安全；</w:t>
            </w:r>
          </w:p>
          <w:p>
            <w:pPr>
              <w:rPr>
                <w:rFonts w:ascii="宋体" w:hAnsi="宋体"/>
                <w:sz w:val="24"/>
              </w:rPr>
            </w:pPr>
            <w:r>
              <w:rPr>
                <w:rFonts w:ascii="宋体" w:hAnsi="宋体"/>
                <w:sz w:val="24"/>
              </w:rPr>
              <w:t>14.APP：预装灭菌器应用APP软件，手机通过下载APP，可以实时查看灭菌器温度.压力等情况，可查询历史灭菌记录，故障信息等状态（提供app软件下载地址）</w:t>
            </w:r>
          </w:p>
          <w:p>
            <w:pPr>
              <w:rPr>
                <w:rFonts w:ascii="宋体" w:hAnsi="宋体"/>
                <w:sz w:val="24"/>
              </w:rPr>
            </w:pPr>
            <w:r>
              <w:rPr>
                <w:rFonts w:ascii="宋体" w:hAnsi="宋体"/>
                <w:sz w:val="24"/>
              </w:rPr>
              <w:t>15.安全装置：八柱均分、闭盖检查系统、电动式双内锁、冷却锁OPEN温度、缺水保护、过压双重保护、自动故障检测系统、后台安全测试程序、温度监控、 漏电保护、过流与短路保护。</w:t>
            </w:r>
          </w:p>
          <w:p>
            <w:pPr>
              <w:rPr>
                <w:rFonts w:ascii="宋体" w:hAnsi="宋体"/>
                <w:sz w:val="24"/>
              </w:rPr>
            </w:pPr>
            <w:r>
              <w:rPr>
                <w:rFonts w:hint="eastAsia" w:ascii="宋体" w:hAnsi="宋体"/>
                <w:sz w:val="24"/>
              </w:rPr>
              <w:t>三、主要配置</w:t>
            </w:r>
          </w:p>
          <w:p>
            <w:pPr>
              <w:rPr>
                <w:rFonts w:ascii="宋体" w:hAnsi="宋体"/>
                <w:sz w:val="24"/>
              </w:rPr>
            </w:pPr>
            <w:r>
              <w:rPr>
                <w:rFonts w:hint="eastAsia" w:ascii="宋体" w:hAnsi="宋体"/>
                <w:sz w:val="24"/>
              </w:rPr>
              <w:t>主机一台；不锈钢提篮</w:t>
            </w:r>
            <w:r>
              <w:rPr>
                <w:rFonts w:ascii="宋体" w:hAnsi="宋体"/>
                <w:sz w:val="24"/>
              </w:rPr>
              <w:t>2个。</w:t>
            </w:r>
          </w:p>
          <w:p>
            <w:pPr>
              <w:rPr>
                <w:rFonts w:ascii="宋体" w:hAnsi="宋体"/>
                <w:sz w:val="24"/>
              </w:rPr>
            </w:pPr>
            <w:r>
              <w:rPr>
                <w:rFonts w:hint="eastAsia" w:ascii="宋体" w:hAnsi="宋体"/>
                <w:sz w:val="24"/>
              </w:rPr>
              <w:t>四、售后服务</w:t>
            </w:r>
          </w:p>
          <w:p>
            <w:pPr>
              <w:rPr>
                <w:rFonts w:ascii="宋体" w:hAnsi="宋体"/>
                <w:sz w:val="24"/>
              </w:rPr>
            </w:pPr>
            <w:r>
              <w:rPr>
                <w:rFonts w:ascii="宋体" w:hAnsi="宋体"/>
                <w:sz w:val="24"/>
              </w:rPr>
              <w:t>1、免费质保期：提供整机保修三年，自用户签署验收合格报告单之日起计，质保期内免费保修。并保证5年的零配件供应。</w:t>
            </w:r>
          </w:p>
          <w:p>
            <w:pPr>
              <w:rPr>
                <w:rFonts w:ascii="宋体" w:hAnsi="宋体"/>
                <w:sz w:val="24"/>
              </w:rPr>
            </w:pPr>
            <w:r>
              <w:rPr>
                <w:rFonts w:ascii="宋体" w:hAnsi="宋体"/>
                <w:sz w:val="24"/>
              </w:rPr>
              <w:t>2、维修响应：并在接到故障维修后1小时内作出反应，售后工程师在4小时内到达现场。</w:t>
            </w:r>
          </w:p>
          <w:p>
            <w:pPr>
              <w:rPr>
                <w:rFonts w:ascii="宋体" w:hAnsi="宋体"/>
                <w:sz w:val="24"/>
              </w:rPr>
            </w:pPr>
            <w:r>
              <w:rPr>
                <w:rFonts w:ascii="宋体" w:hAnsi="宋体"/>
                <w:sz w:val="24"/>
              </w:rPr>
              <w:t>3、验收：生产厂家免费办理特种设备使用登记证和另外单独配一套安全阀压力表方便送检</w:t>
            </w:r>
          </w:p>
        </w:tc>
        <w:tc>
          <w:tcPr>
            <w:tcW w:w="567" w:type="dxa"/>
            <w:tcBorders>
              <w:top w:val="single" w:color="000000" w:sz="4" w:space="0"/>
              <w:left w:val="nil"/>
              <w:bottom w:val="single" w:color="000000" w:sz="4" w:space="0"/>
              <w:right w:val="single" w:color="000000" w:sz="4" w:space="0"/>
            </w:tcBorders>
            <w:vAlign w:val="center"/>
          </w:tcPr>
          <w:p>
            <w:r>
              <w:rPr>
                <w:rFonts w:hint="eastAsia" w:ascii="宋体" w:hAnsi="宋体"/>
                <w:szCs w:val="21"/>
              </w:rPr>
              <w:t>中国</w:t>
            </w:r>
          </w:p>
        </w:tc>
        <w:tc>
          <w:tcPr>
            <w:tcW w:w="770" w:type="dxa"/>
            <w:tcBorders>
              <w:top w:val="single" w:color="000000" w:sz="4" w:space="0"/>
              <w:left w:val="nil"/>
              <w:bottom w:val="single" w:color="000000" w:sz="4" w:space="0"/>
              <w:right w:val="single" w:color="000000" w:sz="4" w:space="0"/>
            </w:tcBorders>
            <w:vAlign w:val="center"/>
          </w:tcPr>
          <w:p>
            <w:r>
              <w:rPr>
                <w:rFonts w:ascii="宋体" w:hAnsi="宋体"/>
                <w:sz w:val="24"/>
              </w:rPr>
              <w:t>致微（</w:t>
            </w:r>
            <w:r>
              <w:rPr>
                <w:rFonts w:hint="eastAsia" w:ascii="宋体" w:hAnsi="宋体"/>
                <w:sz w:val="24"/>
              </w:rPr>
              <w:t>厦门</w:t>
            </w:r>
            <w:r>
              <w:rPr>
                <w:rFonts w:ascii="宋体" w:hAnsi="宋体"/>
                <w:sz w:val="24"/>
              </w:rPr>
              <w:t>）</w:t>
            </w:r>
            <w:r>
              <w:rPr>
                <w:rFonts w:hint="eastAsia" w:ascii="宋体" w:hAnsi="宋体"/>
                <w:sz w:val="24"/>
              </w:rPr>
              <w:t>仪器有限公司</w:t>
            </w:r>
          </w:p>
        </w:tc>
      </w:tr>
      <w:tr>
        <w:tblPrEx>
          <w:tblCellMar>
            <w:top w:w="0" w:type="dxa"/>
            <w:left w:w="108" w:type="dxa"/>
            <w:bottom w:w="0" w:type="dxa"/>
            <w:right w:w="108" w:type="dxa"/>
          </w:tblCellMar>
        </w:tblPrEx>
        <w:trPr>
          <w:trHeight w:val="954" w:hRule="atLeast"/>
          <w:jc w:val="center"/>
        </w:trPr>
        <w:tc>
          <w:tcPr>
            <w:tcW w:w="741" w:type="dxa"/>
            <w:tcBorders>
              <w:top w:val="single" w:color="000000" w:sz="4" w:space="0"/>
              <w:left w:val="single" w:color="000000" w:sz="4" w:space="0"/>
              <w:bottom w:val="single" w:color="000000" w:sz="4" w:space="0"/>
              <w:right w:val="single" w:color="000000" w:sz="4" w:space="0"/>
            </w:tcBorders>
            <w:vAlign w:val="center"/>
          </w:tcPr>
          <w:p>
            <w:r>
              <w:rPr>
                <w:rFonts w:ascii="宋体" w:hAnsi="宋体"/>
                <w:sz w:val="24"/>
              </w:rPr>
              <w:t>梯度PCR仪</w:t>
            </w:r>
          </w:p>
        </w:tc>
        <w:tc>
          <w:tcPr>
            <w:tcW w:w="993" w:type="dxa"/>
            <w:tcBorders>
              <w:top w:val="single" w:color="000000" w:sz="4" w:space="0"/>
              <w:left w:val="nil"/>
              <w:bottom w:val="single" w:color="000000" w:sz="4" w:space="0"/>
              <w:right w:val="single" w:color="000000" w:sz="4" w:space="0"/>
            </w:tcBorders>
            <w:vAlign w:val="center"/>
          </w:tcPr>
          <w:p>
            <w:r>
              <w:rPr>
                <w:rFonts w:ascii="宋体" w:hAnsi="宋体"/>
                <w:sz w:val="24"/>
              </w:rPr>
              <w:t>Mastercycler nexus gradient</w:t>
            </w:r>
          </w:p>
        </w:tc>
        <w:tc>
          <w:tcPr>
            <w:tcW w:w="7168" w:type="dxa"/>
            <w:tcBorders>
              <w:top w:val="single" w:color="000000" w:sz="4" w:space="0"/>
              <w:left w:val="nil"/>
              <w:bottom w:val="single" w:color="000000" w:sz="4" w:space="0"/>
              <w:right w:val="single" w:color="000000" w:sz="4" w:space="0"/>
            </w:tcBorders>
          </w:tcPr>
          <w:p>
            <w:pPr>
              <w:rPr>
                <w:rFonts w:ascii="宋体" w:hAnsi="宋体"/>
                <w:sz w:val="24"/>
              </w:rPr>
            </w:pPr>
            <w:r>
              <w:rPr>
                <w:rFonts w:hint="eastAsia" w:ascii="宋体" w:hAnsi="宋体"/>
                <w:sz w:val="24"/>
              </w:rPr>
              <w:t>一、设备功能</w:t>
            </w:r>
          </w:p>
          <w:p>
            <w:pPr>
              <w:rPr>
                <w:rFonts w:ascii="宋体" w:hAnsi="宋体"/>
                <w:sz w:val="24"/>
              </w:rPr>
            </w:pPr>
            <w:r>
              <w:rPr>
                <w:rFonts w:hint="eastAsia" w:ascii="宋体" w:hAnsi="宋体"/>
                <w:sz w:val="24"/>
              </w:rPr>
              <w:t>应用范围，核酸的基础研究</w:t>
            </w:r>
            <w:r>
              <w:rPr>
                <w:rFonts w:ascii="宋体" w:hAnsi="宋体"/>
                <w:sz w:val="24"/>
              </w:rPr>
              <w:t>,基因组克隆等；</w:t>
            </w:r>
          </w:p>
          <w:p>
            <w:pPr>
              <w:rPr>
                <w:rFonts w:ascii="宋体" w:hAnsi="宋体"/>
                <w:sz w:val="24"/>
              </w:rPr>
            </w:pPr>
            <w:r>
              <w:rPr>
                <w:rFonts w:hint="eastAsia" w:ascii="宋体" w:hAnsi="宋体"/>
                <w:sz w:val="24"/>
              </w:rPr>
              <w:t>二、设备参数</w:t>
            </w:r>
          </w:p>
          <w:p>
            <w:pPr>
              <w:rPr>
                <w:rFonts w:ascii="宋体" w:hAnsi="宋体"/>
                <w:sz w:val="24"/>
              </w:rPr>
            </w:pPr>
            <w:r>
              <w:rPr>
                <w:rFonts w:ascii="宋体" w:hAnsi="宋体"/>
                <w:sz w:val="24"/>
              </w:rPr>
              <w:t>1.通用样品槽，无需更换模块，适用96×0.2mLPCR管、71×0.5mLPCR管或1块96孔PCR板</w:t>
            </w:r>
          </w:p>
          <w:p>
            <w:pPr>
              <w:rPr>
                <w:rFonts w:ascii="宋体" w:hAnsi="宋体"/>
                <w:sz w:val="24"/>
              </w:rPr>
            </w:pPr>
            <w:r>
              <w:rPr>
                <w:rFonts w:ascii="宋体" w:hAnsi="宋体"/>
                <w:sz w:val="24"/>
              </w:rPr>
              <w:t>2.升降温速率：升温3℃/秒，降温2℃/秒</w:t>
            </w:r>
          </w:p>
          <w:p>
            <w:pPr>
              <w:rPr>
                <w:rFonts w:ascii="宋体" w:hAnsi="宋体"/>
                <w:sz w:val="24"/>
              </w:rPr>
            </w:pPr>
            <w:r>
              <w:rPr>
                <w:rFonts w:ascii="宋体" w:hAnsi="宋体"/>
                <w:sz w:val="24"/>
              </w:rPr>
              <w:t>3.模块温控范围：覆盖4-99℃</w:t>
            </w:r>
          </w:p>
          <w:p>
            <w:pPr>
              <w:rPr>
                <w:rFonts w:ascii="宋体" w:hAnsi="宋体"/>
                <w:sz w:val="24"/>
              </w:rPr>
            </w:pPr>
            <w:r>
              <w:rPr>
                <w:rFonts w:ascii="宋体" w:hAnsi="宋体"/>
                <w:sz w:val="24"/>
              </w:rPr>
              <w:t>4.温控精确度：±0.2℃</w:t>
            </w:r>
          </w:p>
          <w:p>
            <w:pPr>
              <w:rPr>
                <w:rFonts w:ascii="宋体" w:hAnsi="宋体"/>
                <w:sz w:val="24"/>
              </w:rPr>
            </w:pPr>
            <w:r>
              <w:rPr>
                <w:rFonts w:ascii="宋体" w:hAnsi="宋体"/>
                <w:sz w:val="24"/>
              </w:rPr>
              <w:t>5.温度均一性：20-72℃±0.3℃；95℃±0.4℃</w:t>
            </w:r>
          </w:p>
          <w:p>
            <w:pPr>
              <w:rPr>
                <w:rFonts w:ascii="宋体" w:hAnsi="宋体"/>
                <w:sz w:val="24"/>
              </w:rPr>
            </w:pPr>
            <w:r>
              <w:rPr>
                <w:rFonts w:ascii="宋体" w:hAnsi="宋体"/>
                <w:sz w:val="24"/>
              </w:rPr>
              <w:t>6.梯度技术，12列自由梯度编程，梯度范围1-20℃</w:t>
            </w:r>
          </w:p>
          <w:p>
            <w:pPr>
              <w:rPr>
                <w:rFonts w:ascii="宋体" w:hAnsi="宋体"/>
                <w:sz w:val="24"/>
              </w:rPr>
            </w:pPr>
            <w:r>
              <w:rPr>
                <w:rFonts w:ascii="宋体" w:hAnsi="宋体"/>
                <w:sz w:val="24"/>
              </w:rPr>
              <w:t>7.温控模块6个，每个模块单独控制</w:t>
            </w:r>
          </w:p>
          <w:p>
            <w:pPr>
              <w:rPr>
                <w:rFonts w:ascii="宋体" w:hAnsi="宋体"/>
                <w:sz w:val="24"/>
              </w:rPr>
            </w:pPr>
            <w:r>
              <w:rPr>
                <w:rFonts w:ascii="宋体" w:hAnsi="宋体"/>
                <w:sz w:val="24"/>
              </w:rPr>
              <w:t>8.热盖可自动调节高度，适应不同耗材</w:t>
            </w:r>
          </w:p>
          <w:p>
            <w:pPr>
              <w:rPr>
                <w:rFonts w:ascii="宋体" w:hAnsi="宋体"/>
                <w:sz w:val="24"/>
              </w:rPr>
            </w:pPr>
            <w:r>
              <w:rPr>
                <w:rFonts w:ascii="宋体" w:hAnsi="宋体"/>
                <w:sz w:val="24"/>
              </w:rPr>
              <w:t>9.TSP样品温控保护技术，减少非特异性反应</w:t>
            </w:r>
          </w:p>
          <w:p>
            <w:pPr>
              <w:rPr>
                <w:rFonts w:ascii="宋体" w:hAnsi="宋体"/>
                <w:sz w:val="24"/>
              </w:rPr>
            </w:pPr>
            <w:r>
              <w:rPr>
                <w:rFonts w:ascii="宋体" w:hAnsi="宋体"/>
                <w:sz w:val="24"/>
              </w:rPr>
              <w:t>10.图形化程序编辑，直观简便，中文操作界面</w:t>
            </w:r>
          </w:p>
          <w:p>
            <w:pPr>
              <w:rPr>
                <w:rFonts w:ascii="宋体" w:hAnsi="宋体"/>
                <w:sz w:val="24"/>
              </w:rPr>
            </w:pPr>
            <w:r>
              <w:rPr>
                <w:rFonts w:ascii="宋体" w:hAnsi="宋体"/>
                <w:sz w:val="24"/>
              </w:rPr>
              <w:t>11.USB接口可连接鼠标、USB和打印机，方便数据传输</w:t>
            </w:r>
          </w:p>
          <w:p>
            <w:pPr>
              <w:rPr>
                <w:rFonts w:ascii="宋体" w:hAnsi="宋体"/>
                <w:sz w:val="24"/>
              </w:rPr>
            </w:pPr>
            <w:r>
              <w:rPr>
                <w:rFonts w:ascii="宋体" w:hAnsi="宋体"/>
                <w:sz w:val="24"/>
              </w:rPr>
              <w:t>12.具E-mail提醒功能</w:t>
            </w:r>
          </w:p>
          <w:p>
            <w:pPr>
              <w:rPr>
                <w:rFonts w:ascii="宋体" w:hAnsi="宋体"/>
                <w:sz w:val="24"/>
              </w:rPr>
            </w:pPr>
            <w:r>
              <w:rPr>
                <w:rFonts w:ascii="宋体" w:hAnsi="宋体"/>
                <w:sz w:val="24"/>
              </w:rPr>
              <w:t>13.仪器可存储700个应用程序，可通过USB无限扩展</w:t>
            </w:r>
          </w:p>
          <w:p>
            <w:pPr>
              <w:rPr>
                <w:rFonts w:ascii="宋体" w:hAnsi="宋体"/>
                <w:sz w:val="24"/>
              </w:rPr>
            </w:pPr>
            <w:r>
              <w:rPr>
                <w:rFonts w:ascii="宋体" w:hAnsi="宋体"/>
                <w:sz w:val="24"/>
              </w:rPr>
              <w:t>14.可选配USB加密狗，对半导体元件进行快速检测</w:t>
            </w:r>
          </w:p>
          <w:p>
            <w:pPr>
              <w:rPr>
                <w:rFonts w:ascii="宋体" w:hAnsi="宋体"/>
                <w:sz w:val="24"/>
              </w:rPr>
            </w:pPr>
            <w:r>
              <w:rPr>
                <w:rFonts w:ascii="宋体" w:hAnsi="宋体"/>
                <w:sz w:val="24"/>
              </w:rPr>
              <w:t>15.可连接两台PCR仪，提高样品处理通量</w:t>
            </w:r>
          </w:p>
          <w:p>
            <w:pPr>
              <w:rPr>
                <w:rFonts w:ascii="宋体" w:hAnsi="宋体"/>
                <w:sz w:val="24"/>
              </w:rPr>
            </w:pPr>
            <w:r>
              <w:rPr>
                <w:rFonts w:ascii="宋体" w:hAnsi="宋体"/>
                <w:sz w:val="24"/>
              </w:rPr>
              <w:t>16.体积小巧，耗电量少</w:t>
            </w:r>
          </w:p>
          <w:p>
            <w:pPr>
              <w:rPr>
                <w:rFonts w:ascii="宋体" w:hAnsi="宋体"/>
                <w:sz w:val="24"/>
              </w:rPr>
            </w:pPr>
            <w:r>
              <w:rPr>
                <w:rFonts w:ascii="宋体" w:hAnsi="宋体"/>
                <w:sz w:val="24"/>
              </w:rPr>
              <w:t>17.温度校准：按照国内或国际技术标准DKD/PTB(德国)，UKAS/NPL(英国)，NIST(美国)</w:t>
            </w:r>
          </w:p>
          <w:p>
            <w:pPr>
              <w:rPr>
                <w:rFonts w:ascii="宋体" w:hAnsi="宋体"/>
                <w:sz w:val="24"/>
              </w:rPr>
            </w:pPr>
            <w:r>
              <w:rPr>
                <w:rFonts w:ascii="宋体" w:hAnsi="宋体"/>
                <w:sz w:val="24"/>
              </w:rPr>
              <w:t>18.设有断电自动重启选项</w:t>
            </w:r>
          </w:p>
          <w:p>
            <w:pPr>
              <w:rPr>
                <w:rFonts w:ascii="宋体" w:hAnsi="宋体"/>
                <w:sz w:val="24"/>
              </w:rPr>
            </w:pPr>
            <w:r>
              <w:rPr>
                <w:rFonts w:hint="eastAsia" w:ascii="宋体" w:hAnsi="宋体"/>
                <w:sz w:val="24"/>
              </w:rPr>
              <w:t>三、主要配置</w:t>
            </w:r>
          </w:p>
          <w:p>
            <w:pPr>
              <w:rPr>
                <w:rFonts w:ascii="宋体" w:hAnsi="宋体"/>
                <w:sz w:val="24"/>
              </w:rPr>
            </w:pPr>
            <w:r>
              <w:rPr>
                <w:rFonts w:hint="eastAsia" w:ascii="宋体" w:hAnsi="宋体"/>
                <w:sz w:val="24"/>
              </w:rPr>
              <w:t>主机</w:t>
            </w:r>
            <w:r>
              <w:rPr>
                <w:rFonts w:ascii="宋体" w:hAnsi="宋体"/>
                <w:sz w:val="24"/>
              </w:rPr>
              <w:t>1台；通用样品槽1个；使用说明书1套。</w:t>
            </w:r>
          </w:p>
          <w:p>
            <w:pPr>
              <w:rPr>
                <w:rFonts w:ascii="宋体" w:hAnsi="宋体"/>
                <w:sz w:val="24"/>
              </w:rPr>
            </w:pPr>
            <w:r>
              <w:rPr>
                <w:rFonts w:hint="eastAsia" w:ascii="宋体" w:hAnsi="宋体"/>
                <w:sz w:val="24"/>
              </w:rPr>
              <w:t>四、售后服务</w:t>
            </w:r>
          </w:p>
          <w:p>
            <w:pPr>
              <w:rPr>
                <w:rFonts w:ascii="宋体" w:hAnsi="宋体"/>
                <w:sz w:val="24"/>
              </w:rPr>
            </w:pPr>
            <w:r>
              <w:rPr>
                <w:rFonts w:ascii="宋体" w:hAnsi="宋体"/>
                <w:sz w:val="24"/>
              </w:rPr>
              <w:t>1、免费质保期：提供整机保修三年，自用户签署验收合格报告单之日起计，质保期内免费保修。并保证5年的零配件供应。</w:t>
            </w:r>
          </w:p>
          <w:p>
            <w:pPr>
              <w:rPr>
                <w:rFonts w:ascii="宋体" w:hAnsi="宋体"/>
                <w:sz w:val="24"/>
              </w:rPr>
            </w:pPr>
            <w:r>
              <w:rPr>
                <w:rFonts w:ascii="宋体" w:hAnsi="宋体"/>
                <w:sz w:val="24"/>
              </w:rPr>
              <w:t>2、维修响应：并在接到故障维修后1小时内作出反应，售后工程师在4小时内到达现场。</w:t>
            </w:r>
          </w:p>
        </w:tc>
        <w:tc>
          <w:tcPr>
            <w:tcW w:w="567" w:type="dxa"/>
            <w:tcBorders>
              <w:top w:val="single" w:color="000000" w:sz="4" w:space="0"/>
              <w:left w:val="nil"/>
              <w:bottom w:val="single" w:color="000000" w:sz="4" w:space="0"/>
              <w:right w:val="single" w:color="000000" w:sz="4" w:space="0"/>
            </w:tcBorders>
            <w:vAlign w:val="center"/>
          </w:tcPr>
          <w:p>
            <w:r>
              <w:rPr>
                <w:rFonts w:hint="eastAsia" w:ascii="宋体" w:hAnsi="宋体"/>
                <w:szCs w:val="21"/>
              </w:rPr>
              <w:t>德国</w:t>
            </w:r>
          </w:p>
        </w:tc>
        <w:tc>
          <w:tcPr>
            <w:tcW w:w="770" w:type="dxa"/>
            <w:tcBorders>
              <w:top w:val="single" w:color="000000" w:sz="4" w:space="0"/>
              <w:left w:val="nil"/>
              <w:bottom w:val="single" w:color="000000" w:sz="4" w:space="0"/>
              <w:right w:val="single" w:color="000000" w:sz="4" w:space="0"/>
            </w:tcBorders>
            <w:vAlign w:val="center"/>
          </w:tcPr>
          <w:p>
            <w:r>
              <w:rPr>
                <w:rFonts w:ascii="宋体" w:hAnsi="宋体"/>
                <w:sz w:val="24"/>
              </w:rPr>
              <w:t>Eppendorf SE</w:t>
            </w:r>
          </w:p>
        </w:tc>
      </w:tr>
      <w:tr>
        <w:tblPrEx>
          <w:tblCellMar>
            <w:top w:w="0" w:type="dxa"/>
            <w:left w:w="108" w:type="dxa"/>
            <w:bottom w:w="0" w:type="dxa"/>
            <w:right w:w="108" w:type="dxa"/>
          </w:tblCellMar>
        </w:tblPrEx>
        <w:trPr>
          <w:trHeight w:val="954" w:hRule="atLeast"/>
          <w:jc w:val="center"/>
        </w:trPr>
        <w:tc>
          <w:tcPr>
            <w:tcW w:w="741" w:type="dxa"/>
            <w:tcBorders>
              <w:top w:val="single" w:color="000000" w:sz="4" w:space="0"/>
              <w:left w:val="single" w:color="000000" w:sz="4" w:space="0"/>
              <w:bottom w:val="single" w:color="000000" w:sz="4" w:space="0"/>
              <w:right w:val="single" w:color="000000" w:sz="4" w:space="0"/>
            </w:tcBorders>
            <w:vAlign w:val="center"/>
          </w:tcPr>
          <w:p>
            <w:r>
              <w:rPr>
                <w:rFonts w:ascii="宋体" w:hAnsi="宋体"/>
                <w:sz w:val="24"/>
              </w:rPr>
              <w:t>结晶培养箱</w:t>
            </w:r>
          </w:p>
        </w:tc>
        <w:tc>
          <w:tcPr>
            <w:tcW w:w="993" w:type="dxa"/>
            <w:tcBorders>
              <w:top w:val="single" w:color="000000" w:sz="4" w:space="0"/>
              <w:left w:val="nil"/>
              <w:bottom w:val="single" w:color="000000" w:sz="4" w:space="0"/>
              <w:right w:val="single" w:color="000000" w:sz="4" w:space="0"/>
            </w:tcBorders>
            <w:vAlign w:val="center"/>
          </w:tcPr>
          <w:p>
            <w:r>
              <w:rPr>
                <w:rFonts w:ascii="宋体" w:hAnsi="宋体"/>
                <w:sz w:val="24"/>
              </w:rPr>
              <w:t>IPP55</w:t>
            </w:r>
          </w:p>
        </w:tc>
        <w:tc>
          <w:tcPr>
            <w:tcW w:w="7168" w:type="dxa"/>
            <w:tcBorders>
              <w:top w:val="single" w:color="000000" w:sz="4" w:space="0"/>
              <w:left w:val="nil"/>
              <w:bottom w:val="single" w:color="000000" w:sz="4" w:space="0"/>
              <w:right w:val="single" w:color="000000" w:sz="4" w:space="0"/>
            </w:tcBorders>
          </w:tcPr>
          <w:p>
            <w:pPr>
              <w:rPr>
                <w:rFonts w:ascii="宋体" w:hAnsi="宋体"/>
                <w:sz w:val="24"/>
              </w:rPr>
            </w:pPr>
            <w:r>
              <w:rPr>
                <w:rFonts w:hint="eastAsia" w:ascii="宋体" w:hAnsi="宋体"/>
                <w:sz w:val="24"/>
              </w:rPr>
              <w:t>一、设备功能</w:t>
            </w:r>
          </w:p>
          <w:p>
            <w:pPr>
              <w:rPr>
                <w:rFonts w:ascii="宋体" w:hAnsi="宋体"/>
                <w:sz w:val="24"/>
              </w:rPr>
            </w:pPr>
            <w:r>
              <w:rPr>
                <w:rFonts w:hint="eastAsia" w:ascii="宋体" w:hAnsi="宋体"/>
                <w:sz w:val="24"/>
              </w:rPr>
              <w:t>应用于蛋白结晶的培养。</w:t>
            </w:r>
          </w:p>
          <w:p>
            <w:pPr>
              <w:rPr>
                <w:rFonts w:ascii="宋体" w:hAnsi="宋体"/>
                <w:sz w:val="24"/>
              </w:rPr>
            </w:pPr>
            <w:r>
              <w:rPr>
                <w:rFonts w:hint="eastAsia" w:ascii="宋体" w:hAnsi="宋体"/>
                <w:sz w:val="24"/>
              </w:rPr>
              <w:t>二、设备参数</w:t>
            </w:r>
          </w:p>
          <w:p>
            <w:pPr>
              <w:rPr>
                <w:rFonts w:ascii="宋体" w:hAnsi="宋体"/>
                <w:sz w:val="24"/>
              </w:rPr>
            </w:pPr>
            <w:r>
              <w:rPr>
                <w:rFonts w:ascii="宋体" w:hAnsi="宋体"/>
                <w:sz w:val="24"/>
              </w:rPr>
              <w:t>1.采用PID模糊控制器，触摸屏控制面板，所有参数均可轻松设置；</w:t>
            </w:r>
          </w:p>
          <w:p>
            <w:pPr>
              <w:rPr>
                <w:rFonts w:ascii="宋体" w:hAnsi="宋体"/>
                <w:sz w:val="24"/>
              </w:rPr>
            </w:pPr>
            <w:r>
              <w:rPr>
                <w:rFonts w:ascii="宋体" w:hAnsi="宋体"/>
                <w:sz w:val="24"/>
              </w:rPr>
              <w:t>2.箱体内外不锈钢设计，强化箱体，坚固耐用易清洁；</w:t>
            </w:r>
          </w:p>
          <w:p>
            <w:pPr>
              <w:rPr>
                <w:rFonts w:ascii="宋体" w:hAnsi="宋体"/>
                <w:sz w:val="24"/>
              </w:rPr>
            </w:pPr>
            <w:r>
              <w:rPr>
                <w:rFonts w:ascii="宋体" w:hAnsi="宋体"/>
                <w:sz w:val="24"/>
              </w:rPr>
              <w:t>3.内腔体积：53L；内部尺寸：400×400×330mm（W×H×D）；外部尺寸：585×784×586mm（W×H×D）；</w:t>
            </w:r>
          </w:p>
          <w:p>
            <w:pPr>
              <w:rPr>
                <w:rFonts w:ascii="宋体" w:hAnsi="宋体"/>
                <w:sz w:val="24"/>
              </w:rPr>
            </w:pPr>
            <w:r>
              <w:rPr>
                <w:rFonts w:ascii="宋体" w:hAnsi="宋体"/>
                <w:sz w:val="24"/>
              </w:rPr>
              <w:t>4.最大搁板数：4块，标配搁板数：1块；</w:t>
            </w:r>
          </w:p>
          <w:p>
            <w:pPr>
              <w:rPr>
                <w:rFonts w:ascii="宋体" w:hAnsi="宋体"/>
                <w:sz w:val="24"/>
              </w:rPr>
            </w:pPr>
            <w:r>
              <w:rPr>
                <w:rFonts w:ascii="宋体" w:hAnsi="宋体"/>
                <w:sz w:val="24"/>
              </w:rPr>
              <w:t>5.配有玻璃内门；</w:t>
            </w:r>
          </w:p>
          <w:p>
            <w:pPr>
              <w:rPr>
                <w:rFonts w:ascii="宋体" w:hAnsi="宋体"/>
                <w:sz w:val="24"/>
              </w:rPr>
            </w:pPr>
            <w:r>
              <w:rPr>
                <w:rFonts w:ascii="宋体" w:hAnsi="宋体"/>
                <w:sz w:val="24"/>
              </w:rPr>
              <w:t>6.采用Class A级PT100 温度传感器(IEC60751)；</w:t>
            </w:r>
          </w:p>
          <w:p>
            <w:pPr>
              <w:rPr>
                <w:rFonts w:ascii="宋体" w:hAnsi="宋体"/>
                <w:sz w:val="24"/>
              </w:rPr>
            </w:pPr>
            <w:r>
              <w:rPr>
                <w:rFonts w:ascii="宋体" w:hAnsi="宋体"/>
                <w:sz w:val="24"/>
              </w:rPr>
              <w:t>8.低能耗，额定功率275W；</w:t>
            </w:r>
          </w:p>
          <w:p>
            <w:pPr>
              <w:rPr>
                <w:rFonts w:ascii="宋体" w:hAnsi="宋体"/>
                <w:sz w:val="24"/>
              </w:rPr>
            </w:pPr>
            <w:r>
              <w:rPr>
                <w:rFonts w:ascii="宋体" w:hAnsi="宋体"/>
                <w:sz w:val="24"/>
              </w:rPr>
              <w:t>9.加热制冷：采用半导体加热制冷技术，制冷时无需制冷剂，对环境无污染；</w:t>
            </w:r>
          </w:p>
          <w:p>
            <w:pPr>
              <w:rPr>
                <w:rFonts w:ascii="宋体" w:hAnsi="宋体"/>
                <w:sz w:val="24"/>
              </w:rPr>
            </w:pPr>
            <w:r>
              <w:rPr>
                <w:rFonts w:ascii="宋体" w:hAnsi="宋体"/>
                <w:sz w:val="24"/>
              </w:rPr>
              <w:t>10.工作温度范围：0～70℃；</w:t>
            </w:r>
          </w:p>
          <w:p>
            <w:pPr>
              <w:rPr>
                <w:rFonts w:ascii="宋体" w:hAnsi="宋体"/>
                <w:sz w:val="24"/>
              </w:rPr>
            </w:pPr>
            <w:r>
              <w:rPr>
                <w:rFonts w:ascii="宋体" w:hAnsi="宋体"/>
                <w:sz w:val="24"/>
              </w:rPr>
              <w:t>11.温度波动度±0.3℃，温度均匀度±0.5℃@25℃；</w:t>
            </w:r>
          </w:p>
          <w:p>
            <w:pPr>
              <w:rPr>
                <w:rFonts w:ascii="宋体" w:hAnsi="宋体"/>
                <w:sz w:val="24"/>
              </w:rPr>
            </w:pPr>
            <w:r>
              <w:rPr>
                <w:rFonts w:ascii="宋体" w:hAnsi="宋体"/>
                <w:sz w:val="24"/>
              </w:rPr>
              <w:t>12.设置1分钟到99天的倒计时功能；</w:t>
            </w:r>
          </w:p>
          <w:p>
            <w:pPr>
              <w:rPr>
                <w:rFonts w:ascii="宋体" w:hAnsi="宋体"/>
                <w:sz w:val="24"/>
              </w:rPr>
            </w:pPr>
            <w:r>
              <w:rPr>
                <w:rFonts w:ascii="宋体" w:hAnsi="宋体"/>
                <w:sz w:val="24"/>
              </w:rPr>
              <w:t>13.控制面板内置4GB SD存储卡，可存储10年以上的数据；</w:t>
            </w:r>
          </w:p>
          <w:p>
            <w:pPr>
              <w:rPr>
                <w:rFonts w:ascii="宋体" w:hAnsi="宋体"/>
                <w:sz w:val="24"/>
              </w:rPr>
            </w:pPr>
            <w:r>
              <w:rPr>
                <w:rFonts w:ascii="宋体" w:hAnsi="宋体"/>
                <w:sz w:val="24"/>
              </w:rPr>
              <w:t>14.以太网接口，可实现数据的在线监控；</w:t>
            </w:r>
          </w:p>
          <w:p>
            <w:pPr>
              <w:rPr>
                <w:rFonts w:ascii="宋体" w:hAnsi="宋体"/>
                <w:sz w:val="24"/>
              </w:rPr>
            </w:pPr>
            <w:r>
              <w:rPr>
                <w:rFonts w:ascii="宋体" w:hAnsi="宋体"/>
                <w:sz w:val="24"/>
              </w:rPr>
              <w:t>15.双重过温保护：符合DIN12880 Class3.1的高低温报警；符合DIN 12880 Class1的TB温度限制器；声光报警；</w:t>
            </w:r>
          </w:p>
          <w:p>
            <w:pPr>
              <w:rPr>
                <w:rFonts w:ascii="宋体" w:hAnsi="宋体"/>
                <w:sz w:val="24"/>
              </w:rPr>
            </w:pPr>
            <w:r>
              <w:rPr>
                <w:rFonts w:ascii="宋体" w:hAnsi="宋体"/>
                <w:sz w:val="24"/>
              </w:rPr>
              <w:t>16.三点温度校准功能,无需电脑连接。</w:t>
            </w:r>
          </w:p>
          <w:p>
            <w:pPr>
              <w:rPr>
                <w:rFonts w:ascii="宋体" w:hAnsi="宋体"/>
                <w:sz w:val="24"/>
              </w:rPr>
            </w:pPr>
            <w:r>
              <w:rPr>
                <w:rFonts w:hint="eastAsia" w:ascii="宋体" w:hAnsi="宋体"/>
                <w:sz w:val="24"/>
              </w:rPr>
              <w:t>三、主要配置</w:t>
            </w:r>
          </w:p>
          <w:p>
            <w:pPr>
              <w:rPr>
                <w:rFonts w:ascii="宋体" w:hAnsi="宋体"/>
                <w:sz w:val="24"/>
              </w:rPr>
            </w:pPr>
            <w:r>
              <w:rPr>
                <w:rFonts w:hint="eastAsia" w:ascii="宋体" w:hAnsi="宋体"/>
                <w:sz w:val="24"/>
              </w:rPr>
              <w:t>培养箱主机一台；电源线一条；不锈钢搁板</w:t>
            </w:r>
            <w:r>
              <w:rPr>
                <w:rFonts w:ascii="宋体" w:hAnsi="宋体"/>
                <w:sz w:val="24"/>
              </w:rPr>
              <w:t xml:space="preserve"> 1块；说明书一份。</w:t>
            </w:r>
          </w:p>
          <w:p>
            <w:pPr>
              <w:rPr>
                <w:rFonts w:ascii="宋体" w:hAnsi="宋体"/>
                <w:sz w:val="24"/>
              </w:rPr>
            </w:pPr>
            <w:r>
              <w:rPr>
                <w:rFonts w:hint="eastAsia" w:ascii="宋体" w:hAnsi="宋体"/>
                <w:sz w:val="24"/>
              </w:rPr>
              <w:t>四、售后服务</w:t>
            </w:r>
          </w:p>
          <w:p>
            <w:pPr>
              <w:rPr>
                <w:rFonts w:ascii="宋体" w:hAnsi="宋体"/>
                <w:sz w:val="24"/>
              </w:rPr>
            </w:pPr>
            <w:r>
              <w:rPr>
                <w:rFonts w:ascii="宋体" w:hAnsi="宋体"/>
                <w:sz w:val="24"/>
              </w:rPr>
              <w:t>1、免费质保期：提供整机保修三年，自用户签署验收合格报告单之日起计，质保期内免费保修。并保证5年的零配件供应。</w:t>
            </w:r>
          </w:p>
          <w:p>
            <w:pPr>
              <w:rPr>
                <w:rFonts w:ascii="宋体" w:hAnsi="宋体"/>
                <w:sz w:val="24"/>
              </w:rPr>
            </w:pPr>
            <w:r>
              <w:rPr>
                <w:rFonts w:ascii="宋体" w:hAnsi="宋体"/>
                <w:sz w:val="24"/>
              </w:rPr>
              <w:t>2、维修响应：并在接到故障维修后1小时内作出反应，售后工程师在4小时内到达现场。</w:t>
            </w:r>
          </w:p>
        </w:tc>
        <w:tc>
          <w:tcPr>
            <w:tcW w:w="567" w:type="dxa"/>
            <w:tcBorders>
              <w:top w:val="single" w:color="000000" w:sz="4" w:space="0"/>
              <w:left w:val="nil"/>
              <w:bottom w:val="single" w:color="000000" w:sz="4" w:space="0"/>
              <w:right w:val="single" w:color="000000" w:sz="4" w:space="0"/>
            </w:tcBorders>
            <w:vAlign w:val="center"/>
          </w:tcPr>
          <w:p>
            <w:r>
              <w:rPr>
                <w:rFonts w:hint="eastAsia" w:ascii="宋体" w:hAnsi="宋体"/>
                <w:szCs w:val="21"/>
              </w:rPr>
              <w:t>德国</w:t>
            </w:r>
          </w:p>
        </w:tc>
        <w:tc>
          <w:tcPr>
            <w:tcW w:w="770" w:type="dxa"/>
            <w:tcBorders>
              <w:top w:val="single" w:color="000000" w:sz="4" w:space="0"/>
              <w:left w:val="nil"/>
              <w:bottom w:val="single" w:color="000000" w:sz="4" w:space="0"/>
              <w:right w:val="single" w:color="000000" w:sz="4" w:space="0"/>
            </w:tcBorders>
            <w:vAlign w:val="center"/>
          </w:tcPr>
          <w:p>
            <w:r>
              <w:rPr>
                <w:rFonts w:ascii="宋体" w:hAnsi="宋体"/>
                <w:sz w:val="24"/>
              </w:rPr>
              <w:t>Memmert GmbH</w:t>
            </w:r>
          </w:p>
        </w:tc>
      </w:tr>
    </w:tbl>
    <w:p>
      <w:pPr>
        <w:spacing w:line="320" w:lineRule="exact"/>
        <w:rPr>
          <w:rFonts w:ascii="宋体" w:hAnsi="宋体" w:cs="Calibri"/>
          <w:b/>
          <w:sz w:val="28"/>
          <w:szCs w:val="28"/>
        </w:rPr>
        <w:sectPr>
          <w:type w:val="continuous"/>
          <w:pgSz w:w="11906" w:h="16838"/>
          <w:pgMar w:top="1440" w:right="1797" w:bottom="1440" w:left="1797" w:header="851" w:footer="992" w:gutter="0"/>
          <w:cols w:space="720" w:num="1"/>
          <w:docGrid w:type="linesAndChars" w:linePitch="312" w:charSpace="0"/>
        </w:sectPr>
      </w:pPr>
    </w:p>
    <w:p>
      <w:pPr>
        <w:widowControl/>
        <w:jc w:val="left"/>
        <w:rPr>
          <w:rFonts w:ascii="宋体" w:hAnsi="宋体"/>
          <w:b/>
          <w:sz w:val="28"/>
          <w:szCs w:val="28"/>
        </w:rPr>
      </w:pPr>
      <w:r>
        <w:rPr>
          <w:rFonts w:ascii="宋体" w:hAnsi="宋体"/>
          <w:b/>
          <w:sz w:val="28"/>
          <w:szCs w:val="28"/>
        </w:rPr>
        <w:br w:type="page"/>
      </w:r>
    </w:p>
    <w:p>
      <w:pPr>
        <w:rPr>
          <w:rFonts w:ascii="宋体" w:hAnsi="宋体"/>
          <w:b/>
          <w:sz w:val="28"/>
          <w:szCs w:val="28"/>
        </w:rPr>
      </w:pPr>
      <w:r>
        <w:rPr>
          <w:rFonts w:hint="eastAsia" w:ascii="宋体" w:hAnsi="宋体"/>
          <w:b/>
          <w:sz w:val="28"/>
          <w:szCs w:val="28"/>
        </w:rPr>
        <w:t>附件（2）：售后服务计划</w:t>
      </w:r>
    </w:p>
    <w:p>
      <w:pPr>
        <w:numPr>
          <w:ilvl w:val="1"/>
          <w:numId w:val="0"/>
        </w:numPr>
        <w:spacing w:line="360" w:lineRule="auto"/>
        <w:outlineLvl w:val="1"/>
        <w:rPr>
          <w:rFonts w:ascii="宋体" w:hAnsi="宋体" w:cs="宋体"/>
          <w:b/>
          <w:bCs/>
          <w:sz w:val="24"/>
        </w:rPr>
      </w:pPr>
      <w:bookmarkStart w:id="2" w:name="_Toc30842"/>
      <w:r>
        <w:rPr>
          <w:rFonts w:hint="eastAsia" w:ascii="宋体" w:hAnsi="宋体" w:cs="宋体"/>
          <w:b/>
          <w:bCs/>
          <w:sz w:val="24"/>
        </w:rPr>
        <w:t>1、 投标人售后服务承诺</w:t>
      </w:r>
      <w:bookmarkEnd w:id="2"/>
    </w:p>
    <w:p>
      <w:pPr>
        <w:spacing w:line="480" w:lineRule="auto"/>
        <w:jc w:val="left"/>
        <w:rPr>
          <w:rFonts w:ascii="宋体" w:hAnsi="宋体"/>
          <w:sz w:val="24"/>
          <w:szCs w:val="20"/>
        </w:rPr>
      </w:pPr>
      <w:r>
        <w:rPr>
          <w:rFonts w:hint="eastAsia" w:ascii="宋体" w:hAnsi="宋体"/>
          <w:sz w:val="24"/>
          <w:szCs w:val="20"/>
        </w:rPr>
        <w:t>致：</w:t>
      </w:r>
      <w:r>
        <w:rPr>
          <w:rFonts w:hint="eastAsia" w:ascii="宋体" w:hAnsi="宋体"/>
          <w:sz w:val="24"/>
          <w:szCs w:val="20"/>
          <w:u w:val="single"/>
        </w:rPr>
        <w:t xml:space="preserve">    河南大学   </w:t>
      </w:r>
    </w:p>
    <w:p>
      <w:pPr>
        <w:spacing w:line="480" w:lineRule="auto"/>
        <w:jc w:val="left"/>
        <w:rPr>
          <w:rFonts w:ascii="宋体" w:hAnsi="宋体"/>
          <w:sz w:val="24"/>
          <w:szCs w:val="20"/>
        </w:rPr>
      </w:pPr>
      <w:r>
        <w:rPr>
          <w:rFonts w:hint="eastAsia" w:ascii="宋体" w:hAnsi="宋体"/>
          <w:sz w:val="24"/>
          <w:szCs w:val="20"/>
        </w:rPr>
        <w:t xml:space="preserve">    我单位参加</w:t>
      </w:r>
      <w:r>
        <w:rPr>
          <w:rFonts w:hint="eastAsia" w:ascii="宋体" w:hAnsi="宋体"/>
          <w:sz w:val="24"/>
          <w:szCs w:val="20"/>
          <w:u w:val="single"/>
        </w:rPr>
        <w:t xml:space="preserve"> （填写项目名称：河南大学农学院植物与微生物互作平台二期建设项目、采购编号：豫财磋商采购</w:t>
      </w:r>
      <w:r>
        <w:rPr>
          <w:rFonts w:ascii="宋体" w:hAnsi="宋体"/>
          <w:sz w:val="24"/>
          <w:szCs w:val="20"/>
          <w:u w:val="single"/>
        </w:rPr>
        <w:t>-2023-663</w:t>
      </w:r>
      <w:r>
        <w:rPr>
          <w:rFonts w:hint="eastAsia" w:ascii="宋体" w:hAnsi="宋体"/>
          <w:sz w:val="24"/>
          <w:szCs w:val="20"/>
          <w:u w:val="single"/>
        </w:rPr>
        <w:t>、包号：豫政采</w:t>
      </w:r>
      <w:r>
        <w:rPr>
          <w:rFonts w:ascii="宋体" w:hAnsi="宋体"/>
          <w:sz w:val="24"/>
          <w:szCs w:val="20"/>
          <w:u w:val="single"/>
        </w:rPr>
        <w:t>20230978</w:t>
      </w:r>
      <w:r>
        <w:rPr>
          <w:rFonts w:hint="eastAsia" w:ascii="宋体" w:hAnsi="宋体"/>
          <w:sz w:val="24"/>
          <w:szCs w:val="20"/>
          <w:u w:val="single"/>
        </w:rPr>
        <w:t>）</w:t>
      </w:r>
      <w:r>
        <w:rPr>
          <w:rFonts w:hint="eastAsia" w:ascii="宋体" w:hAnsi="宋体"/>
          <w:sz w:val="24"/>
          <w:szCs w:val="20"/>
        </w:rPr>
        <w:t>的磋商采购活动，</w:t>
      </w:r>
      <w:r>
        <w:rPr>
          <w:rFonts w:hint="eastAsia" w:ascii="宋体" w:hAnsi="宋体"/>
          <w:sz w:val="24"/>
        </w:rPr>
        <w:t>采购人为</w:t>
      </w:r>
      <w:r>
        <w:rPr>
          <w:rFonts w:hint="eastAsia" w:ascii="宋体" w:hAnsi="宋体"/>
          <w:sz w:val="24"/>
          <w:u w:val="single"/>
        </w:rPr>
        <w:t xml:space="preserve"> （河南大学）</w:t>
      </w:r>
      <w:r>
        <w:rPr>
          <w:rFonts w:hint="eastAsia" w:ascii="宋体" w:hAnsi="宋体"/>
          <w:sz w:val="24"/>
        </w:rPr>
        <w:t>。特承诺如下：</w:t>
      </w:r>
    </w:p>
    <w:p>
      <w:pPr>
        <w:spacing w:line="480" w:lineRule="auto"/>
        <w:ind w:firstLine="480" w:firstLineChars="200"/>
        <w:jc w:val="left"/>
        <w:rPr>
          <w:rFonts w:ascii="宋体" w:hAnsi="宋体"/>
          <w:sz w:val="24"/>
          <w:szCs w:val="20"/>
        </w:rPr>
      </w:pPr>
      <w:r>
        <w:rPr>
          <w:rFonts w:hint="eastAsia" w:ascii="宋体" w:hAnsi="宋体"/>
          <w:sz w:val="24"/>
          <w:szCs w:val="20"/>
        </w:rPr>
        <w:t>1、我单位郑重承诺在参加本次磋商采购活动中，所有提供货物质保期限均为验收合格后</w:t>
      </w:r>
      <w:r>
        <w:rPr>
          <w:rFonts w:hint="eastAsia" w:ascii="宋体" w:hAnsi="宋体"/>
          <w:sz w:val="24"/>
          <w:szCs w:val="20"/>
          <w:u w:val="single"/>
        </w:rPr>
        <w:t xml:space="preserve">   </w:t>
      </w:r>
      <w:r>
        <w:rPr>
          <w:rFonts w:ascii="宋体" w:hAnsi="宋体"/>
          <w:sz w:val="24"/>
          <w:szCs w:val="20"/>
          <w:u w:val="single"/>
        </w:rPr>
        <w:t>3</w:t>
      </w:r>
      <w:r>
        <w:rPr>
          <w:rFonts w:hint="eastAsia" w:ascii="宋体" w:hAnsi="宋体"/>
          <w:sz w:val="24"/>
          <w:szCs w:val="20"/>
          <w:u w:val="single"/>
        </w:rPr>
        <w:t xml:space="preserve">   </w:t>
      </w:r>
      <w:r>
        <w:rPr>
          <w:rFonts w:hint="eastAsia" w:ascii="宋体" w:hAnsi="宋体"/>
          <w:sz w:val="24"/>
          <w:szCs w:val="20"/>
        </w:rPr>
        <w:t>年（填写具体数据）。</w:t>
      </w:r>
    </w:p>
    <w:p>
      <w:pPr>
        <w:spacing w:line="480" w:lineRule="auto"/>
        <w:ind w:firstLine="480" w:firstLineChars="200"/>
        <w:jc w:val="left"/>
        <w:rPr>
          <w:rFonts w:ascii="宋体" w:hAnsi="宋体"/>
          <w:sz w:val="24"/>
          <w:szCs w:val="20"/>
        </w:rPr>
      </w:pPr>
      <w:r>
        <w:rPr>
          <w:rFonts w:hint="eastAsia" w:ascii="宋体" w:hAnsi="宋体"/>
          <w:sz w:val="24"/>
          <w:szCs w:val="20"/>
        </w:rPr>
        <w:t>2、所提供货物非人为损坏出现问题，我单位在接到正式通知后</w:t>
      </w:r>
      <w:r>
        <w:rPr>
          <w:rFonts w:hint="eastAsia" w:ascii="宋体" w:hAnsi="宋体"/>
          <w:sz w:val="24"/>
          <w:szCs w:val="20"/>
          <w:u w:val="single"/>
        </w:rPr>
        <w:t xml:space="preserve">  </w:t>
      </w:r>
      <w:r>
        <w:rPr>
          <w:rFonts w:ascii="宋体" w:hAnsi="宋体"/>
          <w:sz w:val="24"/>
          <w:szCs w:val="20"/>
          <w:u w:val="single"/>
        </w:rPr>
        <w:t>1</w:t>
      </w:r>
      <w:r>
        <w:rPr>
          <w:rFonts w:hint="eastAsia" w:ascii="宋体" w:hAnsi="宋体"/>
          <w:sz w:val="24"/>
          <w:szCs w:val="20"/>
          <w:u w:val="single"/>
        </w:rPr>
        <w:t xml:space="preserve"> </w:t>
      </w:r>
      <w:r>
        <w:rPr>
          <w:rFonts w:hint="eastAsia" w:ascii="宋体" w:hAnsi="宋体"/>
          <w:sz w:val="24"/>
          <w:szCs w:val="20"/>
        </w:rPr>
        <w:t>小时（填写具体数字，以下类同）内响应，</w:t>
      </w:r>
      <w:r>
        <w:rPr>
          <w:rFonts w:hint="eastAsia" w:ascii="宋体" w:hAnsi="宋体"/>
          <w:sz w:val="24"/>
          <w:szCs w:val="20"/>
          <w:u w:val="single"/>
        </w:rPr>
        <w:t xml:space="preserve">  </w:t>
      </w:r>
      <w:r>
        <w:rPr>
          <w:rFonts w:ascii="宋体" w:hAnsi="宋体"/>
          <w:sz w:val="24"/>
          <w:szCs w:val="20"/>
          <w:u w:val="single"/>
        </w:rPr>
        <w:t>4</w:t>
      </w:r>
      <w:r>
        <w:rPr>
          <w:rFonts w:hint="eastAsia" w:ascii="宋体" w:hAnsi="宋体"/>
          <w:sz w:val="24"/>
          <w:szCs w:val="20"/>
          <w:u w:val="single"/>
        </w:rPr>
        <w:t xml:space="preserve">  </w:t>
      </w:r>
      <w:r>
        <w:rPr>
          <w:rFonts w:hint="eastAsia" w:ascii="宋体" w:hAnsi="宋体"/>
          <w:sz w:val="24"/>
          <w:szCs w:val="20"/>
        </w:rPr>
        <w:t>小时内到达现场，解决问题时间不超过</w:t>
      </w:r>
      <w:r>
        <w:rPr>
          <w:rFonts w:hint="eastAsia" w:ascii="宋体" w:hAnsi="宋体"/>
          <w:sz w:val="24"/>
          <w:szCs w:val="20"/>
          <w:u w:val="single"/>
        </w:rPr>
        <w:t xml:space="preserve">  </w:t>
      </w:r>
      <w:r>
        <w:rPr>
          <w:rFonts w:ascii="宋体" w:hAnsi="宋体"/>
          <w:sz w:val="24"/>
          <w:szCs w:val="20"/>
          <w:u w:val="single"/>
        </w:rPr>
        <w:t>8</w:t>
      </w:r>
      <w:r>
        <w:rPr>
          <w:rFonts w:hint="eastAsia" w:ascii="宋体" w:hAnsi="宋体"/>
          <w:sz w:val="24"/>
          <w:szCs w:val="20"/>
          <w:u w:val="single"/>
        </w:rPr>
        <w:t xml:space="preserve">   </w:t>
      </w:r>
      <w:r>
        <w:rPr>
          <w:rFonts w:hint="eastAsia" w:ascii="宋体" w:hAnsi="宋体"/>
          <w:sz w:val="24"/>
          <w:szCs w:val="20"/>
        </w:rPr>
        <w:t>小时。若不能在上述承诺的时间内解决问题，则在</w:t>
      </w:r>
      <w:r>
        <w:rPr>
          <w:rFonts w:hint="eastAsia" w:ascii="宋体" w:hAnsi="宋体"/>
          <w:sz w:val="24"/>
          <w:szCs w:val="20"/>
          <w:u w:val="single"/>
        </w:rPr>
        <w:t xml:space="preserve">  </w:t>
      </w:r>
      <w:r>
        <w:rPr>
          <w:rFonts w:ascii="宋体" w:hAnsi="宋体"/>
          <w:sz w:val="24"/>
          <w:szCs w:val="20"/>
          <w:u w:val="single"/>
        </w:rPr>
        <w:t>3</w:t>
      </w:r>
      <w:r>
        <w:rPr>
          <w:rFonts w:hint="eastAsia" w:ascii="宋体" w:hAnsi="宋体"/>
          <w:sz w:val="24"/>
          <w:szCs w:val="20"/>
          <w:u w:val="single"/>
        </w:rPr>
        <w:t xml:space="preserve"> </w:t>
      </w:r>
      <w:r>
        <w:rPr>
          <w:rFonts w:hint="eastAsia" w:ascii="宋体" w:hAnsi="宋体"/>
          <w:sz w:val="24"/>
          <w:szCs w:val="20"/>
        </w:rPr>
        <w:t>个工作日内提供与原问题货物同品牌规格型号的全新货物，直到原货物修复，期间产生的所有费用均有我单位承担。原货物修复后的质保期限相应延长至新的保修期截止日，全新备件/备品在使用期间的质保及售后均按上述承诺执行。</w:t>
      </w:r>
    </w:p>
    <w:p>
      <w:pPr>
        <w:spacing w:line="480" w:lineRule="auto"/>
        <w:ind w:firstLine="480" w:firstLineChars="200"/>
        <w:jc w:val="left"/>
        <w:rPr>
          <w:rFonts w:ascii="宋体" w:hAnsi="宋体"/>
          <w:sz w:val="24"/>
          <w:szCs w:val="20"/>
        </w:rPr>
      </w:pPr>
      <w:r>
        <w:rPr>
          <w:rFonts w:hint="eastAsia" w:ascii="宋体" w:hAnsi="宋体"/>
          <w:sz w:val="24"/>
          <w:szCs w:val="20"/>
        </w:rPr>
        <w:t>3、售后</w:t>
      </w:r>
    </w:p>
    <w:p>
      <w:pPr>
        <w:spacing w:line="480" w:lineRule="auto"/>
        <w:ind w:firstLine="600" w:firstLineChars="250"/>
        <w:jc w:val="left"/>
        <w:rPr>
          <w:rFonts w:ascii="宋体" w:hAnsi="宋体"/>
          <w:sz w:val="24"/>
          <w:szCs w:val="20"/>
        </w:rPr>
      </w:pPr>
      <w:r>
        <w:rPr>
          <w:rFonts w:hint="eastAsia" w:ascii="宋体" w:hAnsi="宋体"/>
          <w:sz w:val="24"/>
          <w:szCs w:val="20"/>
        </w:rPr>
        <w:t>维修（售后）单位名称：</w:t>
      </w:r>
      <w:r>
        <w:rPr>
          <w:rFonts w:hint="eastAsia" w:ascii="宋体" w:hAnsi="宋体"/>
          <w:sz w:val="24"/>
          <w:szCs w:val="20"/>
          <w:u w:val="single"/>
        </w:rPr>
        <w:t xml:space="preserve">  河南瑞肯实业有限公司   </w:t>
      </w:r>
    </w:p>
    <w:p>
      <w:pPr>
        <w:spacing w:line="480" w:lineRule="auto"/>
        <w:ind w:firstLine="600" w:firstLineChars="250"/>
        <w:jc w:val="left"/>
        <w:rPr>
          <w:rFonts w:ascii="宋体" w:hAnsi="宋体"/>
          <w:sz w:val="24"/>
          <w:szCs w:val="20"/>
        </w:rPr>
      </w:pPr>
      <w:r>
        <w:rPr>
          <w:rFonts w:hint="eastAsia" w:ascii="宋体" w:hAnsi="宋体"/>
          <w:sz w:val="24"/>
          <w:szCs w:val="20"/>
        </w:rPr>
        <w:t>售后服务地点：</w:t>
      </w:r>
      <w:r>
        <w:rPr>
          <w:rFonts w:hint="eastAsia" w:ascii="宋体" w:hAnsi="宋体"/>
          <w:sz w:val="24"/>
          <w:szCs w:val="20"/>
          <w:u w:val="single"/>
        </w:rPr>
        <w:t xml:space="preserve">  河南省郑州市金水区花园路北段花园新村</w:t>
      </w:r>
      <w:r>
        <w:rPr>
          <w:rFonts w:ascii="宋体" w:hAnsi="宋体"/>
          <w:sz w:val="24"/>
          <w:szCs w:val="20"/>
          <w:u w:val="single"/>
        </w:rPr>
        <w:t>30号楼4号</w:t>
      </w:r>
      <w:r>
        <w:rPr>
          <w:rFonts w:hint="eastAsia" w:ascii="宋体" w:hAnsi="宋体"/>
          <w:sz w:val="24"/>
          <w:szCs w:val="20"/>
          <w:u w:val="single"/>
        </w:rPr>
        <w:t xml:space="preserve">  </w:t>
      </w:r>
      <w:r>
        <w:rPr>
          <w:rFonts w:hint="eastAsia" w:ascii="宋体" w:hAnsi="宋体"/>
          <w:sz w:val="24"/>
          <w:szCs w:val="20"/>
        </w:rPr>
        <w:t xml:space="preserve">    联系人： </w:t>
      </w:r>
      <w:r>
        <w:rPr>
          <w:rFonts w:hint="eastAsia" w:ascii="宋体" w:hAnsi="宋体"/>
          <w:sz w:val="24"/>
          <w:szCs w:val="20"/>
          <w:u w:val="single"/>
        </w:rPr>
        <w:t xml:space="preserve">  柳明辉 </w:t>
      </w:r>
      <w:r>
        <w:rPr>
          <w:rFonts w:hint="eastAsia" w:ascii="宋体" w:hAnsi="宋体"/>
          <w:sz w:val="24"/>
          <w:szCs w:val="20"/>
        </w:rPr>
        <w:t xml:space="preserve"> 联系电话：</w:t>
      </w:r>
      <w:r>
        <w:rPr>
          <w:rFonts w:hint="eastAsia" w:ascii="宋体" w:hAnsi="宋体"/>
          <w:sz w:val="24"/>
          <w:szCs w:val="20"/>
          <w:u w:val="single"/>
        </w:rPr>
        <w:t xml:space="preserve">  </w:t>
      </w:r>
      <w:r>
        <w:rPr>
          <w:rFonts w:ascii="宋体" w:hAnsi="宋体"/>
          <w:sz w:val="24"/>
          <w:szCs w:val="20"/>
          <w:u w:val="single"/>
        </w:rPr>
        <w:t>0371-61172979</w:t>
      </w:r>
      <w:r>
        <w:rPr>
          <w:rFonts w:hint="eastAsia" w:ascii="宋体" w:hAnsi="宋体"/>
          <w:sz w:val="24"/>
          <w:szCs w:val="20"/>
          <w:u w:val="single"/>
        </w:rPr>
        <w:t xml:space="preserve">  </w:t>
      </w:r>
      <w:r>
        <w:rPr>
          <w:rFonts w:hint="eastAsia" w:ascii="宋体" w:hAnsi="宋体"/>
          <w:sz w:val="24"/>
          <w:szCs w:val="20"/>
        </w:rPr>
        <w:t xml:space="preserve">           </w:t>
      </w:r>
    </w:p>
    <w:p>
      <w:pPr>
        <w:spacing w:line="480" w:lineRule="auto"/>
        <w:ind w:firstLine="480" w:firstLineChars="200"/>
        <w:jc w:val="left"/>
        <w:rPr>
          <w:rFonts w:ascii="宋体" w:hAnsi="宋体"/>
          <w:sz w:val="24"/>
          <w:szCs w:val="20"/>
        </w:rPr>
      </w:pPr>
      <w:r>
        <w:rPr>
          <w:rFonts w:hint="eastAsia" w:ascii="宋体" w:hAnsi="宋体"/>
          <w:sz w:val="24"/>
          <w:szCs w:val="20"/>
        </w:rPr>
        <w:t>4、我单位技术人员对所售货物定期巡防，免费进行货物的维护、保养服务，使货物使用率最大化，每年内不少于</w:t>
      </w:r>
      <w:r>
        <w:rPr>
          <w:rFonts w:hint="eastAsia" w:ascii="宋体" w:hAnsi="宋体"/>
          <w:sz w:val="24"/>
          <w:szCs w:val="20"/>
          <w:u w:val="single"/>
        </w:rPr>
        <w:t xml:space="preserve">  </w:t>
      </w:r>
      <w:r>
        <w:rPr>
          <w:rFonts w:ascii="宋体" w:hAnsi="宋体"/>
          <w:sz w:val="24"/>
          <w:szCs w:val="20"/>
          <w:u w:val="single"/>
        </w:rPr>
        <w:t>4</w:t>
      </w:r>
      <w:r>
        <w:rPr>
          <w:rFonts w:hint="eastAsia" w:ascii="宋体" w:hAnsi="宋体"/>
          <w:sz w:val="24"/>
          <w:szCs w:val="20"/>
          <w:u w:val="single"/>
        </w:rPr>
        <w:t xml:space="preserve">  </w:t>
      </w:r>
      <w:r>
        <w:rPr>
          <w:rFonts w:hint="eastAsia" w:ascii="宋体" w:hAnsi="宋体"/>
          <w:sz w:val="24"/>
          <w:szCs w:val="20"/>
        </w:rPr>
        <w:t>次上门保养服务。</w:t>
      </w:r>
    </w:p>
    <w:p>
      <w:pPr>
        <w:spacing w:line="480" w:lineRule="auto"/>
        <w:ind w:firstLine="480" w:firstLineChars="200"/>
        <w:jc w:val="left"/>
        <w:rPr>
          <w:rFonts w:ascii="宋体" w:hAnsi="宋体"/>
          <w:sz w:val="24"/>
          <w:szCs w:val="20"/>
        </w:rPr>
      </w:pPr>
      <w:r>
        <w:rPr>
          <w:rFonts w:hint="eastAsia" w:ascii="宋体" w:hAnsi="宋体"/>
          <w:sz w:val="24"/>
          <w:szCs w:val="20"/>
        </w:rPr>
        <w:t>5、安装/配送：我公司提供的安装/配送方案为：</w:t>
      </w:r>
      <w:r>
        <w:rPr>
          <w:rFonts w:hint="eastAsia" w:ascii="宋体" w:hAnsi="宋体"/>
          <w:sz w:val="24"/>
          <w:szCs w:val="20"/>
          <w:u w:val="single"/>
        </w:rPr>
        <w:t xml:space="preserve">  免费安装，免费送货上门。  </w:t>
      </w:r>
      <w:r>
        <w:rPr>
          <w:rFonts w:hint="eastAsia" w:ascii="宋体" w:hAnsi="宋体"/>
          <w:sz w:val="24"/>
          <w:szCs w:val="20"/>
        </w:rPr>
        <w:t xml:space="preserve"> </w:t>
      </w:r>
    </w:p>
    <w:p>
      <w:pPr>
        <w:spacing w:line="480" w:lineRule="auto"/>
        <w:ind w:firstLine="480" w:firstLineChars="200"/>
        <w:jc w:val="left"/>
        <w:rPr>
          <w:rFonts w:ascii="宋体" w:hAnsi="宋体"/>
          <w:sz w:val="24"/>
          <w:szCs w:val="20"/>
        </w:rPr>
      </w:pPr>
      <w:r>
        <w:rPr>
          <w:rFonts w:hint="eastAsia" w:ascii="宋体" w:hAnsi="宋体"/>
          <w:sz w:val="24"/>
          <w:szCs w:val="20"/>
        </w:rPr>
        <w:t xml:space="preserve">6、项目所提供的其它免费物品或服务  </w:t>
      </w:r>
      <w:r>
        <w:rPr>
          <w:rFonts w:hint="eastAsia" w:ascii="宋体" w:hAnsi="宋体"/>
          <w:sz w:val="24"/>
          <w:szCs w:val="20"/>
          <w:u w:val="single"/>
        </w:rPr>
        <w:t xml:space="preserve">  软件免费升级   </w:t>
      </w:r>
      <w:r>
        <w:rPr>
          <w:rFonts w:hint="eastAsia" w:ascii="宋体" w:hAnsi="宋体"/>
          <w:sz w:val="24"/>
          <w:szCs w:val="20"/>
        </w:rPr>
        <w:t xml:space="preserve">  ；</w:t>
      </w:r>
    </w:p>
    <w:p>
      <w:pPr>
        <w:spacing w:line="480" w:lineRule="auto"/>
        <w:ind w:firstLine="480" w:firstLineChars="200"/>
        <w:jc w:val="left"/>
        <w:rPr>
          <w:rFonts w:ascii="宋体" w:hAnsi="宋体"/>
          <w:sz w:val="24"/>
          <w:szCs w:val="20"/>
        </w:rPr>
      </w:pPr>
      <w:r>
        <w:rPr>
          <w:rFonts w:hint="eastAsia" w:ascii="宋体" w:hAnsi="宋体"/>
          <w:sz w:val="24"/>
          <w:szCs w:val="20"/>
        </w:rPr>
        <w:t>7、我单位保证本次所投货物均是全新合格产品。</w:t>
      </w:r>
    </w:p>
    <w:p>
      <w:pPr>
        <w:spacing w:line="480" w:lineRule="auto"/>
        <w:ind w:firstLine="480" w:firstLineChars="200"/>
        <w:jc w:val="left"/>
        <w:rPr>
          <w:rFonts w:ascii="宋体" w:hAnsi="宋体"/>
          <w:sz w:val="24"/>
          <w:szCs w:val="20"/>
          <w:u w:val="single"/>
        </w:rPr>
      </w:pPr>
      <w:r>
        <w:rPr>
          <w:rFonts w:hint="eastAsia" w:ascii="宋体" w:hAnsi="宋体"/>
          <w:sz w:val="24"/>
          <w:szCs w:val="20"/>
        </w:rPr>
        <w:t>8、质保期过后的售后服务计划及收费明细：</w:t>
      </w:r>
      <w:r>
        <w:rPr>
          <w:rFonts w:hint="eastAsia" w:ascii="宋体" w:hAnsi="宋体"/>
          <w:sz w:val="24"/>
          <w:szCs w:val="20"/>
          <w:u w:val="single"/>
        </w:rPr>
        <w:t xml:space="preserve">  对所供货物提供终身的技术、备品备件、维修服务和培训支持，质保期过后的维修只收取成本费用。免费为贵方提供技术培训维护人员，使其能够胜任使用、日常保养及维修、故障处理工作。 </w:t>
      </w:r>
      <w:r>
        <w:rPr>
          <w:rFonts w:hint="eastAsia" w:ascii="宋体" w:hAnsi="宋体"/>
          <w:sz w:val="24"/>
          <w:szCs w:val="20"/>
        </w:rPr>
        <w:t xml:space="preserve"> ；</w:t>
      </w:r>
    </w:p>
    <w:p>
      <w:pPr>
        <w:spacing w:line="480" w:lineRule="auto"/>
        <w:ind w:firstLine="480" w:firstLineChars="200"/>
        <w:jc w:val="left"/>
        <w:rPr>
          <w:rFonts w:ascii="宋体" w:hAnsi="宋体"/>
          <w:sz w:val="24"/>
          <w:szCs w:val="20"/>
        </w:rPr>
      </w:pPr>
      <w:r>
        <w:rPr>
          <w:rFonts w:hint="eastAsia" w:ascii="宋体" w:hAnsi="宋体"/>
          <w:sz w:val="24"/>
          <w:szCs w:val="20"/>
        </w:rPr>
        <w:t>9、响应本次采购项目均为交钥匙项目，所需的一切货物、材料、费用等，全部包含在投响应价之中，采购人无须再追加任何费用。</w:t>
      </w:r>
    </w:p>
    <w:p>
      <w:pPr>
        <w:spacing w:line="480" w:lineRule="auto"/>
        <w:ind w:firstLine="480" w:firstLineChars="200"/>
        <w:jc w:val="left"/>
        <w:rPr>
          <w:rFonts w:ascii="宋体" w:hAnsi="宋体"/>
          <w:sz w:val="24"/>
          <w:szCs w:val="20"/>
        </w:rPr>
      </w:pPr>
      <w:r>
        <w:rPr>
          <w:rFonts w:hint="eastAsia" w:ascii="宋体" w:hAnsi="宋体"/>
          <w:sz w:val="24"/>
          <w:szCs w:val="20"/>
        </w:rPr>
        <w:t>10、我单位对上述内容的真实性承担相应法律责任。</w:t>
      </w:r>
    </w:p>
    <w:p>
      <w:pPr>
        <w:spacing w:line="480" w:lineRule="auto"/>
        <w:ind w:left="1413" w:leftChars="273" w:hanging="840" w:hangingChars="350"/>
        <w:jc w:val="left"/>
        <w:rPr>
          <w:rFonts w:ascii="宋体" w:hAnsi="宋体"/>
          <w:sz w:val="24"/>
        </w:rPr>
      </w:pPr>
      <w:r>
        <w:rPr>
          <w:rFonts w:hint="eastAsia" w:ascii="宋体" w:hAnsi="宋体"/>
          <w:sz w:val="24"/>
        </w:rPr>
        <w:t>供应商：</w:t>
      </w:r>
      <w:r>
        <w:rPr>
          <w:rFonts w:ascii="宋体" w:hAnsi="宋体"/>
          <w:sz w:val="24"/>
          <w:u w:val="single"/>
        </w:rPr>
        <w:t>河南瑞肯实业有限公司</w:t>
      </w:r>
      <w:r>
        <w:rPr>
          <w:rFonts w:hint="eastAsia" w:ascii="宋体" w:hAnsi="宋体"/>
          <w:sz w:val="24"/>
          <w:u w:val="single"/>
        </w:rPr>
        <w:tab/>
      </w:r>
    </w:p>
    <w:p>
      <w:pPr>
        <w:spacing w:line="480" w:lineRule="auto"/>
        <w:ind w:left="1619" w:leftChars="257" w:hanging="1080"/>
        <w:jc w:val="left"/>
        <w:rPr>
          <w:rFonts w:ascii="宋体" w:hAnsi="宋体"/>
          <w:sz w:val="24"/>
          <w:u w:val="single" w:color="FFFFFF"/>
        </w:rPr>
      </w:pPr>
    </w:p>
    <w:p>
      <w:pPr>
        <w:widowControl/>
        <w:jc w:val="left"/>
        <w:rPr>
          <w:rFonts w:ascii="宋体" w:hAnsi="宋体"/>
          <w:sz w:val="28"/>
          <w:szCs w:val="28"/>
        </w:rPr>
      </w:pPr>
    </w:p>
    <w:p>
      <w:pPr>
        <w:pStyle w:val="2"/>
      </w:pPr>
    </w:p>
    <w:p>
      <w:pPr>
        <w:widowControl/>
        <w:jc w:val="left"/>
        <w:rPr>
          <w:rFonts w:ascii="宋体" w:hAnsi="宋体"/>
          <w:sz w:val="28"/>
          <w:szCs w:val="28"/>
        </w:rPr>
      </w:pPr>
      <w:r>
        <w:rPr>
          <w:rFonts w:ascii="宋体" w:hAnsi="宋体"/>
          <w:sz w:val="28"/>
          <w:szCs w:val="28"/>
        </w:rPr>
        <w:br w:type="page"/>
      </w:r>
    </w:p>
    <w:p>
      <w:pPr>
        <w:jc w:val="center"/>
        <w:rPr>
          <w:rFonts w:ascii="宋体" w:hAnsi="宋体"/>
          <w:sz w:val="28"/>
          <w:szCs w:val="28"/>
        </w:rPr>
      </w:pPr>
      <w:r>
        <w:rPr>
          <w:rFonts w:hint="eastAsia" w:ascii="宋体" w:hAnsi="宋体"/>
          <w:sz w:val="28"/>
          <w:szCs w:val="28"/>
        </w:rPr>
        <w:t>中标通知书</w:t>
      </w:r>
    </w:p>
    <w:p>
      <w:pPr>
        <w:ind w:right="108" w:firstLine="630" w:firstLineChars="300"/>
      </w:pPr>
      <w:r>
        <w:drawing>
          <wp:anchor distT="0" distB="0" distL="114300" distR="114300" simplePos="0" relativeHeight="251659264" behindDoc="0" locked="0" layoutInCell="1" allowOverlap="1">
            <wp:simplePos x="0" y="0"/>
            <wp:positionH relativeFrom="column">
              <wp:posOffset>-36195</wp:posOffset>
            </wp:positionH>
            <wp:positionV relativeFrom="paragraph">
              <wp:posOffset>35560</wp:posOffset>
            </wp:positionV>
            <wp:extent cx="5278120" cy="7523480"/>
            <wp:effectExtent l="0" t="0" r="0" b="1270"/>
            <wp:wrapNone/>
            <wp:docPr id="2906837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683712" name="图片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78120" cy="7523480"/>
                    </a:xfrm>
                    <a:prstGeom prst="rect">
                      <a:avLst/>
                    </a:prstGeom>
                  </pic:spPr>
                </pic:pic>
              </a:graphicData>
            </a:graphic>
          </wp:anchor>
        </w:drawing>
      </w:r>
    </w:p>
    <w:p>
      <w:pPr>
        <w:ind w:right="108"/>
        <w:jc w:val="center"/>
      </w:pPr>
    </w:p>
    <w:sectPr>
      <w:type w:val="continuous"/>
      <w:pgSz w:w="11906" w:h="16838"/>
      <w:pgMar w:top="1440" w:right="1797" w:bottom="1440" w:left="179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5"/>
      </w:rPr>
    </w:pPr>
    <w:r>
      <w:fldChar w:fldCharType="begin"/>
    </w:r>
    <w:r>
      <w:rPr>
        <w:rStyle w:val="15"/>
      </w:rPr>
      <w:instrText xml:space="preserve">PAGE  </w:instrTex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43292634"/>
      <w:docPartObj>
        <w:docPartGallery w:val="AutoText"/>
      </w:docPartObj>
    </w:sdtPr>
    <w:sdtContent>
      <w:p>
        <w:pPr>
          <w:pStyle w:val="7"/>
          <w:jc w:val="center"/>
        </w:pPr>
        <w:r>
          <w:fldChar w:fldCharType="begin"/>
        </w:r>
        <w:r>
          <w:instrText xml:space="preserve">PAGE   \* MERGEFORMAT</w:instrText>
        </w:r>
        <w:r>
          <w:fldChar w:fldCharType="separate"/>
        </w:r>
        <w:r>
          <w:rPr>
            <w:lang w:val="zh-CN"/>
          </w:rPr>
          <w:t>1</w:t>
        </w:r>
        <w:r>
          <w:fldChar w:fldCharType="end"/>
        </w:r>
      </w:p>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C437D5"/>
    <w:multiLevelType w:val="multilevel"/>
    <w:tmpl w:val="2BC437D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ZhNTFlY2IxNzA2MWZjZDk5ZDJiNjgyOTM1MDU3ODYifQ=="/>
  </w:docVars>
  <w:rsids>
    <w:rsidRoot w:val="00D44405"/>
    <w:rsid w:val="000008D8"/>
    <w:rsid w:val="000116A2"/>
    <w:rsid w:val="00012251"/>
    <w:rsid w:val="0001339A"/>
    <w:rsid w:val="000150D0"/>
    <w:rsid w:val="000165EA"/>
    <w:rsid w:val="0002027A"/>
    <w:rsid w:val="00022BB4"/>
    <w:rsid w:val="00025D5B"/>
    <w:rsid w:val="00026558"/>
    <w:rsid w:val="00031D6E"/>
    <w:rsid w:val="00051024"/>
    <w:rsid w:val="00070C64"/>
    <w:rsid w:val="000721FB"/>
    <w:rsid w:val="000869B2"/>
    <w:rsid w:val="000876AF"/>
    <w:rsid w:val="000A212F"/>
    <w:rsid w:val="000C5C59"/>
    <w:rsid w:val="000F2CAD"/>
    <w:rsid w:val="000F5DAA"/>
    <w:rsid w:val="001036FA"/>
    <w:rsid w:val="00105D47"/>
    <w:rsid w:val="001213A2"/>
    <w:rsid w:val="00124103"/>
    <w:rsid w:val="001328D5"/>
    <w:rsid w:val="001352C0"/>
    <w:rsid w:val="0015038A"/>
    <w:rsid w:val="00151A31"/>
    <w:rsid w:val="00180084"/>
    <w:rsid w:val="001B239F"/>
    <w:rsid w:val="001B5016"/>
    <w:rsid w:val="001C163B"/>
    <w:rsid w:val="001C639A"/>
    <w:rsid w:val="001D2607"/>
    <w:rsid w:val="001D2FC3"/>
    <w:rsid w:val="00202003"/>
    <w:rsid w:val="00217E50"/>
    <w:rsid w:val="002253E8"/>
    <w:rsid w:val="00235DB2"/>
    <w:rsid w:val="002422FC"/>
    <w:rsid w:val="00247D9A"/>
    <w:rsid w:val="00251159"/>
    <w:rsid w:val="002514FC"/>
    <w:rsid w:val="002609BB"/>
    <w:rsid w:val="00262749"/>
    <w:rsid w:val="00275458"/>
    <w:rsid w:val="00282D39"/>
    <w:rsid w:val="00286ABB"/>
    <w:rsid w:val="00287810"/>
    <w:rsid w:val="002A1A48"/>
    <w:rsid w:val="002A46FA"/>
    <w:rsid w:val="002A5E4F"/>
    <w:rsid w:val="002A74F4"/>
    <w:rsid w:val="002C5F43"/>
    <w:rsid w:val="002C5FAB"/>
    <w:rsid w:val="002D25B8"/>
    <w:rsid w:val="002E1012"/>
    <w:rsid w:val="002E3080"/>
    <w:rsid w:val="002E6092"/>
    <w:rsid w:val="002F10DA"/>
    <w:rsid w:val="002F5517"/>
    <w:rsid w:val="0030070A"/>
    <w:rsid w:val="0030327C"/>
    <w:rsid w:val="0032031B"/>
    <w:rsid w:val="00325F9E"/>
    <w:rsid w:val="003406A8"/>
    <w:rsid w:val="00340B92"/>
    <w:rsid w:val="003475DC"/>
    <w:rsid w:val="00370223"/>
    <w:rsid w:val="00373F3B"/>
    <w:rsid w:val="00377EE5"/>
    <w:rsid w:val="003848DF"/>
    <w:rsid w:val="00397EE8"/>
    <w:rsid w:val="003A20D8"/>
    <w:rsid w:val="003B28DD"/>
    <w:rsid w:val="003B3FDC"/>
    <w:rsid w:val="003B4BD0"/>
    <w:rsid w:val="003B5011"/>
    <w:rsid w:val="003B7EE9"/>
    <w:rsid w:val="003E1BF4"/>
    <w:rsid w:val="003F074B"/>
    <w:rsid w:val="00406062"/>
    <w:rsid w:val="0041162B"/>
    <w:rsid w:val="00414500"/>
    <w:rsid w:val="00435A31"/>
    <w:rsid w:val="00437333"/>
    <w:rsid w:val="004464B0"/>
    <w:rsid w:val="00453FC4"/>
    <w:rsid w:val="00457F56"/>
    <w:rsid w:val="004727B9"/>
    <w:rsid w:val="00472EEA"/>
    <w:rsid w:val="00483EE9"/>
    <w:rsid w:val="00494F5E"/>
    <w:rsid w:val="004B1BD9"/>
    <w:rsid w:val="004C2238"/>
    <w:rsid w:val="004D7C07"/>
    <w:rsid w:val="004E3383"/>
    <w:rsid w:val="005137D9"/>
    <w:rsid w:val="00523EBC"/>
    <w:rsid w:val="00541E60"/>
    <w:rsid w:val="00550065"/>
    <w:rsid w:val="0055067B"/>
    <w:rsid w:val="00580360"/>
    <w:rsid w:val="00580F21"/>
    <w:rsid w:val="005867A4"/>
    <w:rsid w:val="005A0DE4"/>
    <w:rsid w:val="005A3AD3"/>
    <w:rsid w:val="005A7345"/>
    <w:rsid w:val="005A7B8E"/>
    <w:rsid w:val="005B10E1"/>
    <w:rsid w:val="005C311A"/>
    <w:rsid w:val="005E2AD6"/>
    <w:rsid w:val="005F2202"/>
    <w:rsid w:val="006008B3"/>
    <w:rsid w:val="00601BC1"/>
    <w:rsid w:val="00603A1A"/>
    <w:rsid w:val="00604521"/>
    <w:rsid w:val="006113C6"/>
    <w:rsid w:val="006238C0"/>
    <w:rsid w:val="0064032A"/>
    <w:rsid w:val="00640A8E"/>
    <w:rsid w:val="00642EFC"/>
    <w:rsid w:val="006506D5"/>
    <w:rsid w:val="00655893"/>
    <w:rsid w:val="00655A56"/>
    <w:rsid w:val="00656DB1"/>
    <w:rsid w:val="00663BD1"/>
    <w:rsid w:val="006665AC"/>
    <w:rsid w:val="00670CE2"/>
    <w:rsid w:val="006740FF"/>
    <w:rsid w:val="00675867"/>
    <w:rsid w:val="00687874"/>
    <w:rsid w:val="00695F72"/>
    <w:rsid w:val="006B68E7"/>
    <w:rsid w:val="006D77CE"/>
    <w:rsid w:val="006E3550"/>
    <w:rsid w:val="006E48E2"/>
    <w:rsid w:val="006E585D"/>
    <w:rsid w:val="007005BA"/>
    <w:rsid w:val="00705352"/>
    <w:rsid w:val="00723C49"/>
    <w:rsid w:val="00736B35"/>
    <w:rsid w:val="00736DE6"/>
    <w:rsid w:val="00744B51"/>
    <w:rsid w:val="00753652"/>
    <w:rsid w:val="007642FC"/>
    <w:rsid w:val="00764CBF"/>
    <w:rsid w:val="0077527F"/>
    <w:rsid w:val="0078118B"/>
    <w:rsid w:val="007914C8"/>
    <w:rsid w:val="007B5737"/>
    <w:rsid w:val="007C0558"/>
    <w:rsid w:val="007C1C58"/>
    <w:rsid w:val="007C366C"/>
    <w:rsid w:val="007C3A23"/>
    <w:rsid w:val="007D3A9A"/>
    <w:rsid w:val="007E0B50"/>
    <w:rsid w:val="007E50B4"/>
    <w:rsid w:val="00801015"/>
    <w:rsid w:val="0080194D"/>
    <w:rsid w:val="00804551"/>
    <w:rsid w:val="0083296C"/>
    <w:rsid w:val="00856A00"/>
    <w:rsid w:val="00865A4E"/>
    <w:rsid w:val="00894653"/>
    <w:rsid w:val="008A0A57"/>
    <w:rsid w:val="008A2874"/>
    <w:rsid w:val="008B6819"/>
    <w:rsid w:val="008B7084"/>
    <w:rsid w:val="008B7238"/>
    <w:rsid w:val="008C65E7"/>
    <w:rsid w:val="008E01AA"/>
    <w:rsid w:val="008E5E73"/>
    <w:rsid w:val="00904359"/>
    <w:rsid w:val="0090449B"/>
    <w:rsid w:val="00912A18"/>
    <w:rsid w:val="00936264"/>
    <w:rsid w:val="00942887"/>
    <w:rsid w:val="00950789"/>
    <w:rsid w:val="0095139D"/>
    <w:rsid w:val="00973ABD"/>
    <w:rsid w:val="00993624"/>
    <w:rsid w:val="009936E3"/>
    <w:rsid w:val="009B20B7"/>
    <w:rsid w:val="009B618C"/>
    <w:rsid w:val="009C3FF2"/>
    <w:rsid w:val="009C7947"/>
    <w:rsid w:val="009E1353"/>
    <w:rsid w:val="009E4C44"/>
    <w:rsid w:val="00A01646"/>
    <w:rsid w:val="00A10095"/>
    <w:rsid w:val="00A10BBD"/>
    <w:rsid w:val="00A12F05"/>
    <w:rsid w:val="00A37EC4"/>
    <w:rsid w:val="00A44AF1"/>
    <w:rsid w:val="00A46E07"/>
    <w:rsid w:val="00A51682"/>
    <w:rsid w:val="00A5430F"/>
    <w:rsid w:val="00A622EC"/>
    <w:rsid w:val="00A72D4D"/>
    <w:rsid w:val="00A84A19"/>
    <w:rsid w:val="00AA2885"/>
    <w:rsid w:val="00AA4009"/>
    <w:rsid w:val="00AA72D7"/>
    <w:rsid w:val="00AB101B"/>
    <w:rsid w:val="00AB26EA"/>
    <w:rsid w:val="00AB66D1"/>
    <w:rsid w:val="00AD1F63"/>
    <w:rsid w:val="00AE1950"/>
    <w:rsid w:val="00AE4E99"/>
    <w:rsid w:val="00B01D46"/>
    <w:rsid w:val="00B02602"/>
    <w:rsid w:val="00B04C1A"/>
    <w:rsid w:val="00B117F7"/>
    <w:rsid w:val="00B13891"/>
    <w:rsid w:val="00B27C97"/>
    <w:rsid w:val="00B366C9"/>
    <w:rsid w:val="00B404D0"/>
    <w:rsid w:val="00B440BC"/>
    <w:rsid w:val="00B463F4"/>
    <w:rsid w:val="00B467D7"/>
    <w:rsid w:val="00B6603B"/>
    <w:rsid w:val="00B6631B"/>
    <w:rsid w:val="00B6645D"/>
    <w:rsid w:val="00B77150"/>
    <w:rsid w:val="00B9030E"/>
    <w:rsid w:val="00B958C9"/>
    <w:rsid w:val="00BB3845"/>
    <w:rsid w:val="00BC18CF"/>
    <w:rsid w:val="00BC2A44"/>
    <w:rsid w:val="00BD1BF3"/>
    <w:rsid w:val="00C035E0"/>
    <w:rsid w:val="00C27780"/>
    <w:rsid w:val="00C3121B"/>
    <w:rsid w:val="00C41D9B"/>
    <w:rsid w:val="00C50F85"/>
    <w:rsid w:val="00C5315D"/>
    <w:rsid w:val="00C55558"/>
    <w:rsid w:val="00C813A4"/>
    <w:rsid w:val="00C835C5"/>
    <w:rsid w:val="00C83ECF"/>
    <w:rsid w:val="00C93C9E"/>
    <w:rsid w:val="00CA0D57"/>
    <w:rsid w:val="00CA14BF"/>
    <w:rsid w:val="00CB7F7E"/>
    <w:rsid w:val="00CC30A1"/>
    <w:rsid w:val="00CD030D"/>
    <w:rsid w:val="00CD4F89"/>
    <w:rsid w:val="00D020A2"/>
    <w:rsid w:val="00D21194"/>
    <w:rsid w:val="00D23F68"/>
    <w:rsid w:val="00D269B4"/>
    <w:rsid w:val="00D317AB"/>
    <w:rsid w:val="00D4202D"/>
    <w:rsid w:val="00D44405"/>
    <w:rsid w:val="00D50AA1"/>
    <w:rsid w:val="00D55637"/>
    <w:rsid w:val="00D653DE"/>
    <w:rsid w:val="00D67C8B"/>
    <w:rsid w:val="00D76062"/>
    <w:rsid w:val="00D763BC"/>
    <w:rsid w:val="00D932AA"/>
    <w:rsid w:val="00DA0F55"/>
    <w:rsid w:val="00DA3C74"/>
    <w:rsid w:val="00DA48BE"/>
    <w:rsid w:val="00DA7852"/>
    <w:rsid w:val="00DB3EAE"/>
    <w:rsid w:val="00DD1538"/>
    <w:rsid w:val="00DD5BB1"/>
    <w:rsid w:val="00E00BFF"/>
    <w:rsid w:val="00E17DF7"/>
    <w:rsid w:val="00E20B82"/>
    <w:rsid w:val="00E25C95"/>
    <w:rsid w:val="00E302AE"/>
    <w:rsid w:val="00E33326"/>
    <w:rsid w:val="00E528C3"/>
    <w:rsid w:val="00E56376"/>
    <w:rsid w:val="00E65D3A"/>
    <w:rsid w:val="00E73FEF"/>
    <w:rsid w:val="00E74585"/>
    <w:rsid w:val="00E762A8"/>
    <w:rsid w:val="00EA439A"/>
    <w:rsid w:val="00EA480E"/>
    <w:rsid w:val="00EB0FB3"/>
    <w:rsid w:val="00EB7BC6"/>
    <w:rsid w:val="00ED3BE0"/>
    <w:rsid w:val="00ED7A5B"/>
    <w:rsid w:val="00EE3552"/>
    <w:rsid w:val="00EE3608"/>
    <w:rsid w:val="00EE4A27"/>
    <w:rsid w:val="00EE6142"/>
    <w:rsid w:val="00EF19A3"/>
    <w:rsid w:val="00EF2D81"/>
    <w:rsid w:val="00EF610A"/>
    <w:rsid w:val="00EF7C58"/>
    <w:rsid w:val="00F07B40"/>
    <w:rsid w:val="00F15176"/>
    <w:rsid w:val="00F16522"/>
    <w:rsid w:val="00F2315F"/>
    <w:rsid w:val="00F24046"/>
    <w:rsid w:val="00F35B8A"/>
    <w:rsid w:val="00F610C6"/>
    <w:rsid w:val="00F663EB"/>
    <w:rsid w:val="00F913F9"/>
    <w:rsid w:val="00FA0F48"/>
    <w:rsid w:val="00FB2FA0"/>
    <w:rsid w:val="00FC017E"/>
    <w:rsid w:val="00FC0F37"/>
    <w:rsid w:val="00FC5340"/>
    <w:rsid w:val="00FE2ACA"/>
    <w:rsid w:val="00FE3F2E"/>
    <w:rsid w:val="00FF37B3"/>
    <w:rsid w:val="00FF537D"/>
    <w:rsid w:val="11A70945"/>
    <w:rsid w:val="1B9F179F"/>
    <w:rsid w:val="291C2770"/>
    <w:rsid w:val="3BF9372C"/>
    <w:rsid w:val="65EF0036"/>
    <w:rsid w:val="7BFC22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2">
    <w:name w:val="Body Text"/>
    <w:basedOn w:val="1"/>
    <w:next w:val="3"/>
    <w:qFormat/>
    <w:uiPriority w:val="0"/>
    <w:rPr>
      <w:rFonts w:eastAsia="楷体_GB2312"/>
      <w:bCs/>
      <w:sz w:val="32"/>
    </w:rPr>
  </w:style>
  <w:style w:type="paragraph" w:customStyle="1" w:styleId="3">
    <w:name w:val="Default"/>
    <w:basedOn w:val="4"/>
    <w:next w:val="1"/>
    <w:qFormat/>
    <w:uiPriority w:val="99"/>
    <w:pPr>
      <w:autoSpaceDE w:val="0"/>
      <w:autoSpaceDN w:val="0"/>
      <w:adjustRightInd w:val="0"/>
    </w:pPr>
    <w:rPr>
      <w:rFonts w:hAnsi="Times New Roman"/>
      <w:color w:val="000000"/>
      <w:sz w:val="22"/>
    </w:rPr>
  </w:style>
  <w:style w:type="paragraph" w:styleId="4">
    <w:name w:val="Plain Text"/>
    <w:basedOn w:val="1"/>
    <w:next w:val="2"/>
    <w:qFormat/>
    <w:uiPriority w:val="0"/>
    <w:rPr>
      <w:rFonts w:ascii="宋体" w:hAnsi="Courier New"/>
    </w:rPr>
  </w:style>
  <w:style w:type="paragraph" w:styleId="5">
    <w:name w:val="Body Text Indent"/>
    <w:basedOn w:val="1"/>
    <w:link w:val="27"/>
    <w:semiHidden/>
    <w:unhideWhenUsed/>
    <w:qFormat/>
    <w:uiPriority w:val="0"/>
    <w:pPr>
      <w:spacing w:after="120"/>
      <w:ind w:left="420" w:leftChars="200"/>
    </w:pPr>
  </w:style>
  <w:style w:type="paragraph" w:styleId="6">
    <w:name w:val="Balloon Text"/>
    <w:basedOn w:val="1"/>
    <w:link w:val="26"/>
    <w:semiHidden/>
    <w:unhideWhenUsed/>
    <w:uiPriority w:val="0"/>
    <w:rPr>
      <w:sz w:val="18"/>
      <w:szCs w:val="18"/>
    </w:rPr>
  </w:style>
  <w:style w:type="paragraph" w:styleId="7">
    <w:name w:val="footer"/>
    <w:basedOn w:val="1"/>
    <w:link w:val="17"/>
    <w:qFormat/>
    <w:uiPriority w:val="99"/>
    <w:pPr>
      <w:tabs>
        <w:tab w:val="center" w:pos="4153"/>
        <w:tab w:val="right" w:pos="8306"/>
      </w:tabs>
      <w:snapToGrid w:val="0"/>
      <w:jc w:val="left"/>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0">
    <w:name w:val="Body Text First Indent"/>
    <w:basedOn w:val="2"/>
    <w:next w:val="1"/>
    <w:qFormat/>
    <w:uiPriority w:val="0"/>
    <w:pPr>
      <w:ind w:firstLine="420" w:firstLineChars="100"/>
    </w:pPr>
  </w:style>
  <w:style w:type="paragraph" w:styleId="11">
    <w:name w:val="Body Text First Indent 2"/>
    <w:basedOn w:val="5"/>
    <w:link w:val="28"/>
    <w:semiHidden/>
    <w:unhideWhenUsed/>
    <w:qFormat/>
    <w:uiPriority w:val="0"/>
    <w:pPr>
      <w:ind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customStyle="1" w:styleId="16">
    <w:name w:val="页眉 字符"/>
    <w:link w:val="8"/>
    <w:qFormat/>
    <w:uiPriority w:val="0"/>
    <w:rPr>
      <w:kern w:val="2"/>
      <w:sz w:val="18"/>
      <w:szCs w:val="18"/>
    </w:rPr>
  </w:style>
  <w:style w:type="character" w:customStyle="1" w:styleId="17">
    <w:name w:val="页脚 字符"/>
    <w:link w:val="7"/>
    <w:uiPriority w:val="99"/>
    <w:rPr>
      <w:kern w:val="2"/>
      <w:sz w:val="18"/>
      <w:szCs w:val="18"/>
    </w:rPr>
  </w:style>
  <w:style w:type="paragraph" w:customStyle="1" w:styleId="18">
    <w:name w:val="table_lines"/>
    <w:basedOn w:val="1"/>
    <w:qFormat/>
    <w:uiPriority w:val="0"/>
    <w:pPr>
      <w:widowControl/>
      <w:jc w:val="left"/>
    </w:pPr>
    <w:rPr>
      <w:kern w:val="0"/>
      <w:sz w:val="20"/>
      <w:szCs w:val="20"/>
      <w:lang w:val="de-DE" w:eastAsia="de-DE"/>
    </w:rPr>
  </w:style>
  <w:style w:type="paragraph" w:customStyle="1" w:styleId="19">
    <w:name w:val="Char Char Char1 Char Char Char Char"/>
    <w:basedOn w:val="1"/>
    <w:qFormat/>
    <w:uiPriority w:val="0"/>
    <w:pPr>
      <w:widowControl/>
      <w:snapToGrid w:val="0"/>
      <w:spacing w:after="160" w:line="300" w:lineRule="auto"/>
      <w:jc w:val="left"/>
    </w:pPr>
    <w:rPr>
      <w:rFonts w:ascii="仿宋_GB2312" w:hAnsi="Verdana" w:eastAsia="仿宋_GB2312"/>
      <w:b/>
      <w:kern w:val="0"/>
      <w:sz w:val="28"/>
      <w:szCs w:val="28"/>
      <w:lang w:eastAsia="en-US"/>
    </w:rPr>
  </w:style>
  <w:style w:type="paragraph" w:customStyle="1" w:styleId="20">
    <w:name w:val="table_1stline"/>
    <w:basedOn w:val="1"/>
    <w:qFormat/>
    <w:uiPriority w:val="0"/>
    <w:pPr>
      <w:widowControl/>
      <w:spacing w:before="120"/>
      <w:jc w:val="left"/>
    </w:pPr>
    <w:rPr>
      <w:bCs/>
      <w:kern w:val="0"/>
      <w:sz w:val="20"/>
      <w:szCs w:val="20"/>
      <w:lang w:val="de-DE" w:eastAsia="de-DE"/>
    </w:rPr>
  </w:style>
  <w:style w:type="paragraph" w:styleId="21">
    <w:name w:val="No Spacing"/>
    <w:qFormat/>
    <w:uiPriority w:val="0"/>
    <w:rPr>
      <w:rFonts w:ascii="Times New Roman" w:hAnsi="Times New Roman" w:eastAsia="宋体" w:cs="Times New Roman"/>
      <w:lang w:val="en-US" w:eastAsia="zh-CN" w:bidi="ar-SA"/>
    </w:rPr>
  </w:style>
  <w:style w:type="paragraph" w:customStyle="1" w:styleId="22">
    <w:name w:val="无间隔1"/>
    <w:basedOn w:val="1"/>
    <w:qFormat/>
    <w:uiPriority w:val="1"/>
    <w:pPr>
      <w:spacing w:line="400" w:lineRule="exact"/>
    </w:pPr>
    <w:rPr>
      <w:sz w:val="24"/>
    </w:rPr>
  </w:style>
  <w:style w:type="paragraph" w:customStyle="1" w:styleId="23">
    <w:name w:val="样式 首行缩进:  2 字符"/>
    <w:basedOn w:val="1"/>
    <w:qFormat/>
    <w:uiPriority w:val="0"/>
    <w:pPr>
      <w:spacing w:line="400" w:lineRule="exact"/>
      <w:ind w:firstLine="200" w:firstLineChars="200"/>
    </w:pPr>
    <w:rPr>
      <w:rFonts w:cs="宋体"/>
      <w:sz w:val="24"/>
    </w:rPr>
  </w:style>
  <w:style w:type="paragraph" w:styleId="24">
    <w:name w:val="List Paragraph"/>
    <w:basedOn w:val="1"/>
    <w:qFormat/>
    <w:uiPriority w:val="99"/>
    <w:pPr>
      <w:ind w:firstLine="420" w:firstLineChars="200"/>
    </w:pPr>
  </w:style>
  <w:style w:type="table" w:customStyle="1" w:styleId="25">
    <w:name w:val="Table Normal"/>
    <w:semiHidden/>
    <w:unhideWhenUsed/>
    <w:qFormat/>
    <w:uiPriority w:val="0"/>
    <w:tblPr>
      <w:tblCellMar>
        <w:top w:w="0" w:type="dxa"/>
        <w:left w:w="0" w:type="dxa"/>
        <w:bottom w:w="0" w:type="dxa"/>
        <w:right w:w="0" w:type="dxa"/>
      </w:tblCellMar>
    </w:tblPr>
  </w:style>
  <w:style w:type="character" w:customStyle="1" w:styleId="26">
    <w:name w:val="批注框文本 字符"/>
    <w:basedOn w:val="14"/>
    <w:link w:val="6"/>
    <w:semiHidden/>
    <w:uiPriority w:val="0"/>
    <w:rPr>
      <w:kern w:val="2"/>
      <w:sz w:val="18"/>
      <w:szCs w:val="18"/>
    </w:rPr>
  </w:style>
  <w:style w:type="character" w:customStyle="1" w:styleId="27">
    <w:name w:val="正文文本缩进 字符"/>
    <w:basedOn w:val="14"/>
    <w:link w:val="5"/>
    <w:semiHidden/>
    <w:qFormat/>
    <w:uiPriority w:val="0"/>
    <w:rPr>
      <w:kern w:val="2"/>
      <w:sz w:val="21"/>
      <w:szCs w:val="24"/>
    </w:rPr>
  </w:style>
  <w:style w:type="character" w:customStyle="1" w:styleId="28">
    <w:name w:val="正文文本首行缩进 2 字符"/>
    <w:basedOn w:val="27"/>
    <w:link w:val="11"/>
    <w:semiHidden/>
    <w:qFormat/>
    <w:uiPriority w:val="0"/>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6A8BF-DBBB-455E-B2CF-1A8A48520785}">
  <ds:schemaRefs/>
</ds:datastoreItem>
</file>

<file path=docProps/app.xml><?xml version="1.0" encoding="utf-8"?>
<Properties xmlns="http://schemas.openxmlformats.org/officeDocument/2006/extended-properties" xmlns:vt="http://schemas.openxmlformats.org/officeDocument/2006/docPropsVTypes">
  <Template>Normal.dotm</Template>
  <Pages>18</Pages>
  <Words>2025</Words>
  <Characters>11546</Characters>
  <Lines>96</Lines>
  <Paragraphs>27</Paragraphs>
  <TotalTime>1</TotalTime>
  <ScaleCrop>false</ScaleCrop>
  <LinksUpToDate>false</LinksUpToDate>
  <CharactersWithSpaces>13544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2023-08-14T00:58:00Z</dcterms:created>
  <dc:creator>lenovo</dc:creator>
  <cp:lastModifiedBy>赵祎</cp:lastModifiedBy>
  <cp:lastPrinted>2017-10-20T07:52:00Z</cp:lastPrinted>
  <dcterms:modified xsi:type="dcterms:W3CDTF">2023-08-22T08:15:52Z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14FD836C9F164DB6A4E7BCB3091EBB88_13</vt:lpwstr>
  </property>
</Properties>
</file>