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宋体" w:hAnsi="宋体" w:cs="宋体"/>
          <w:b/>
          <w:color w:val="auto"/>
          <w:sz w:val="24"/>
          <w:highlight w:val="none"/>
        </w:rPr>
      </w:pPr>
    </w:p>
    <w:p>
      <w:pPr>
        <w:spacing w:line="240" w:lineRule="atLeast"/>
        <w:ind w:left="1080" w:leftChars="257" w:hanging="540"/>
        <w:rPr>
          <w:rFonts w:ascii="宋体" w:hAnsi="宋体" w:cs="宋体"/>
          <w:color w:val="auto"/>
          <w:sz w:val="24"/>
          <w:highlight w:val="none"/>
        </w:rPr>
      </w:pPr>
    </w:p>
    <w:p>
      <w:pPr>
        <w:spacing w:line="360" w:lineRule="auto"/>
        <w:jc w:val="center"/>
        <w:rPr>
          <w:rFonts w:ascii="宋体" w:hAnsi="宋体" w:cs="宋体"/>
          <w:b/>
          <w:bCs/>
          <w:color w:val="auto"/>
          <w:sz w:val="38"/>
          <w:szCs w:val="38"/>
          <w:highlight w:val="none"/>
        </w:rPr>
      </w:pPr>
    </w:p>
    <w:p>
      <w:pPr>
        <w:spacing w:line="240" w:lineRule="atLeast"/>
        <w:ind w:left="1080" w:leftChars="257" w:hanging="540"/>
        <w:jc w:val="center"/>
        <w:rPr>
          <w:rFonts w:hint="eastAsia" w:ascii="宋体" w:hAnsi="宋体" w:eastAsia="宋体" w:cs="宋体"/>
          <w:b/>
          <w:color w:val="auto"/>
          <w:sz w:val="24"/>
          <w:highlight w:val="none"/>
          <w:lang w:eastAsia="zh-CN"/>
        </w:rPr>
      </w:pPr>
      <w:r>
        <w:rPr>
          <w:rFonts w:hint="eastAsia" w:ascii="宋体" w:hAnsi="宋体" w:cs="宋体"/>
          <w:b/>
          <w:bCs/>
          <w:color w:val="auto"/>
          <w:sz w:val="44"/>
          <w:szCs w:val="44"/>
          <w:highlight w:val="none"/>
          <w:lang w:eastAsia="zh-CN"/>
        </w:rPr>
        <w:t>河南医学高等专科学校职业卫生实训基地建设项目</w:t>
      </w:r>
    </w:p>
    <w:p>
      <w:pPr>
        <w:spacing w:line="240" w:lineRule="atLeast"/>
        <w:ind w:left="1080" w:leftChars="257" w:hanging="540"/>
        <w:rPr>
          <w:rFonts w:ascii="宋体" w:hAnsi="宋体" w:cs="宋体"/>
          <w:b/>
          <w:color w:val="auto"/>
          <w:sz w:val="24"/>
          <w:highlight w:val="none"/>
        </w:rPr>
      </w:pPr>
    </w:p>
    <w:p>
      <w:pPr>
        <w:pStyle w:val="4"/>
        <w:rPr>
          <w:rFonts w:ascii="宋体" w:hAnsi="宋体" w:cs="宋体"/>
          <w:color w:val="auto"/>
          <w:highlight w:val="none"/>
        </w:rPr>
      </w:pPr>
    </w:p>
    <w:p>
      <w:pPr>
        <w:pStyle w:val="4"/>
        <w:rPr>
          <w:rFonts w:ascii="宋体" w:hAnsi="宋体" w:cs="宋体"/>
          <w:color w:val="auto"/>
          <w:highlight w:val="none"/>
        </w:rPr>
      </w:pPr>
    </w:p>
    <w:p>
      <w:pPr>
        <w:rPr>
          <w:rFonts w:ascii="宋体" w:hAnsi="宋体" w:cs="宋体"/>
          <w:color w:val="auto"/>
          <w:highlight w:val="none"/>
        </w:rPr>
      </w:pPr>
    </w:p>
    <w:p>
      <w:pPr>
        <w:spacing w:line="240" w:lineRule="atLeast"/>
        <w:ind w:left="1080" w:leftChars="257" w:hanging="540"/>
        <w:jc w:val="center"/>
        <w:rPr>
          <w:rFonts w:ascii="宋体" w:hAnsi="宋体" w:cs="宋体"/>
          <w:color w:val="auto"/>
          <w:sz w:val="56"/>
          <w:szCs w:val="56"/>
          <w:highlight w:val="none"/>
        </w:rPr>
      </w:pPr>
      <w:r>
        <w:rPr>
          <w:rFonts w:hint="eastAsia" w:ascii="宋体" w:hAnsi="宋体" w:cs="宋体"/>
          <w:color w:val="auto"/>
          <w:sz w:val="56"/>
          <w:szCs w:val="56"/>
          <w:highlight w:val="none"/>
        </w:rPr>
        <w:t>竞争性磋商文件</w:t>
      </w:r>
    </w:p>
    <w:p>
      <w:pPr>
        <w:spacing w:line="240" w:lineRule="atLeast"/>
        <w:ind w:left="1080" w:leftChars="257" w:hanging="540"/>
        <w:jc w:val="center"/>
        <w:rPr>
          <w:rFonts w:ascii="宋体" w:hAnsi="宋体" w:cs="宋体"/>
          <w:color w:val="auto"/>
          <w:sz w:val="24"/>
          <w:highlight w:val="none"/>
        </w:rPr>
      </w:pPr>
      <w:r>
        <w:rPr>
          <w:rFonts w:hint="eastAsia" w:ascii="宋体" w:hAnsi="宋体" w:cs="宋体"/>
          <w:color w:val="auto"/>
          <w:sz w:val="24"/>
          <w:highlight w:val="none"/>
        </w:rPr>
        <w:t xml:space="preserve">                                               </w:t>
      </w:r>
    </w:p>
    <w:p>
      <w:pPr>
        <w:spacing w:line="240" w:lineRule="atLeast"/>
        <w:ind w:left="1080" w:leftChars="257" w:hanging="540"/>
        <w:jc w:val="center"/>
        <w:rPr>
          <w:rFonts w:ascii="宋体" w:hAnsi="宋体" w:cs="宋体"/>
          <w:bCs/>
          <w:color w:val="auto"/>
          <w:sz w:val="28"/>
          <w:szCs w:val="28"/>
          <w:highlight w:val="none"/>
        </w:rPr>
      </w:pPr>
    </w:p>
    <w:p>
      <w:pPr>
        <w:spacing w:line="240" w:lineRule="atLeast"/>
        <w:ind w:left="1080" w:leftChars="257" w:hanging="540"/>
        <w:jc w:val="center"/>
        <w:rPr>
          <w:rFonts w:ascii="宋体" w:hAnsi="宋体" w:cs="宋体"/>
          <w:bCs/>
          <w:color w:val="auto"/>
          <w:sz w:val="28"/>
          <w:szCs w:val="28"/>
          <w:highlight w:val="none"/>
        </w:rPr>
      </w:pPr>
      <w:r>
        <w:rPr>
          <w:rFonts w:hint="eastAsia" w:ascii="宋体" w:hAnsi="宋体" w:cs="宋体"/>
          <w:bCs/>
          <w:color w:val="auto"/>
          <w:sz w:val="28"/>
          <w:szCs w:val="28"/>
          <w:highlight w:val="none"/>
        </w:rPr>
        <w:t>项目编号：豫财磋商采购-2023-852</w:t>
      </w:r>
    </w:p>
    <w:p>
      <w:pPr>
        <w:spacing w:line="360" w:lineRule="auto"/>
        <w:ind w:left="1079" w:leftChars="257" w:hanging="539"/>
        <w:jc w:val="center"/>
        <w:rPr>
          <w:rFonts w:ascii="宋体" w:hAnsi="宋体" w:cs="宋体"/>
          <w:color w:val="auto"/>
          <w:sz w:val="24"/>
          <w:highlight w:val="none"/>
        </w:rPr>
      </w:pPr>
    </w:p>
    <w:p>
      <w:pPr>
        <w:spacing w:line="360" w:lineRule="auto"/>
        <w:ind w:left="1079" w:leftChars="257" w:hanging="539"/>
        <w:jc w:val="center"/>
        <w:rPr>
          <w:rFonts w:ascii="宋体" w:hAnsi="宋体" w:cs="宋体"/>
          <w:color w:val="auto"/>
          <w:sz w:val="24"/>
          <w:highlight w:val="none"/>
        </w:rPr>
      </w:pPr>
    </w:p>
    <w:p>
      <w:pPr>
        <w:spacing w:line="360" w:lineRule="auto"/>
        <w:ind w:left="1079" w:leftChars="257" w:hanging="539"/>
        <w:jc w:val="center"/>
        <w:rPr>
          <w:rFonts w:ascii="宋体" w:hAnsi="宋体" w:cs="宋体"/>
          <w:color w:val="auto"/>
          <w:sz w:val="24"/>
          <w:highlight w:val="none"/>
        </w:rPr>
      </w:pPr>
    </w:p>
    <w:p>
      <w:pPr>
        <w:pStyle w:val="49"/>
        <w:ind w:firstLine="200"/>
        <w:jc w:val="center"/>
        <w:rPr>
          <w:rFonts w:ascii="宋体" w:hAnsi="宋体" w:eastAsia="宋体" w:cs="宋体"/>
          <w:color w:val="auto"/>
          <w:highlight w:val="none"/>
          <w:lang w:eastAsia="zh-CN"/>
        </w:rPr>
      </w:pPr>
    </w:p>
    <w:p>
      <w:pPr>
        <w:widowControl/>
        <w:kinsoku w:val="0"/>
        <w:autoSpaceDE w:val="0"/>
        <w:autoSpaceDN w:val="0"/>
        <w:adjustRightInd w:val="0"/>
        <w:snapToGrid w:val="0"/>
        <w:spacing w:line="360" w:lineRule="auto"/>
        <w:ind w:firstLine="1245" w:firstLineChars="593"/>
        <w:textAlignment w:val="baseline"/>
        <w:rPr>
          <w:rFonts w:ascii="宋体" w:hAnsi="宋体" w:cs="宋体"/>
          <w:color w:val="auto"/>
          <w:sz w:val="36"/>
          <w:szCs w:val="36"/>
          <w:highlight w:val="none"/>
        </w:rPr>
      </w:pPr>
      <w:r>
        <w:rPr>
          <w:rFonts w:hint="eastAsia" w:ascii="宋体" w:hAnsi="宋体" w:cs="宋体"/>
          <w:color w:val="auto"/>
          <w:highlight w:val="none"/>
        </w:rPr>
        <w:drawing>
          <wp:anchor distT="0" distB="0" distL="114300" distR="114300" simplePos="0" relativeHeight="251661312" behindDoc="0" locked="0" layoutInCell="1" allowOverlap="1">
            <wp:simplePos x="0" y="0"/>
            <wp:positionH relativeFrom="column">
              <wp:posOffset>1452245</wp:posOffset>
            </wp:positionH>
            <wp:positionV relativeFrom="paragraph">
              <wp:posOffset>-703580</wp:posOffset>
            </wp:positionV>
            <wp:extent cx="2862580" cy="202057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862580" cy="2020570"/>
                    </a:xfrm>
                    <a:prstGeom prst="rect">
                      <a:avLst/>
                    </a:prstGeom>
                    <a:noFill/>
                    <a:ln>
                      <a:noFill/>
                    </a:ln>
                  </pic:spPr>
                </pic:pic>
              </a:graphicData>
            </a:graphic>
          </wp:anchor>
        </w:drawing>
      </w:r>
      <w:r>
        <w:rPr>
          <w:rFonts w:hint="eastAsia" w:ascii="宋体" w:hAnsi="宋体" w:cs="宋体"/>
          <w:color w:val="auto"/>
          <w:sz w:val="36"/>
          <w:szCs w:val="36"/>
          <w:highlight w:val="none"/>
        </w:rPr>
        <w:t xml:space="preserve">       </w:t>
      </w:r>
    </w:p>
    <w:p>
      <w:pPr>
        <w:widowControl/>
        <w:kinsoku w:val="0"/>
        <w:autoSpaceDE w:val="0"/>
        <w:autoSpaceDN w:val="0"/>
        <w:adjustRightInd w:val="0"/>
        <w:snapToGrid w:val="0"/>
        <w:spacing w:line="360" w:lineRule="auto"/>
        <w:ind w:firstLine="1897" w:firstLineChars="593"/>
        <w:textAlignment w:val="baseline"/>
        <w:rPr>
          <w:rFonts w:ascii="宋体" w:hAnsi="宋体" w:cs="宋体"/>
          <w:color w:val="auto"/>
          <w:sz w:val="32"/>
          <w:szCs w:val="32"/>
          <w:highlight w:val="none"/>
        </w:rPr>
      </w:pPr>
    </w:p>
    <w:p>
      <w:pPr>
        <w:widowControl/>
        <w:kinsoku w:val="0"/>
        <w:autoSpaceDE w:val="0"/>
        <w:autoSpaceDN w:val="0"/>
        <w:adjustRightInd w:val="0"/>
        <w:snapToGrid w:val="0"/>
        <w:spacing w:line="360" w:lineRule="auto"/>
        <w:ind w:firstLine="1897" w:firstLineChars="593"/>
        <w:textAlignment w:val="baseline"/>
        <w:rPr>
          <w:rFonts w:ascii="宋体" w:hAnsi="宋体" w:cs="宋体"/>
          <w:color w:val="auto"/>
          <w:sz w:val="32"/>
          <w:szCs w:val="32"/>
          <w:highlight w:val="none"/>
        </w:rPr>
      </w:pPr>
    </w:p>
    <w:p>
      <w:pPr>
        <w:widowControl/>
        <w:kinsoku w:val="0"/>
        <w:autoSpaceDE w:val="0"/>
        <w:autoSpaceDN w:val="0"/>
        <w:adjustRightInd w:val="0"/>
        <w:snapToGrid w:val="0"/>
        <w:spacing w:line="360" w:lineRule="auto"/>
        <w:ind w:firstLine="1897" w:firstLineChars="593"/>
        <w:textAlignment w:val="baseline"/>
        <w:rPr>
          <w:rFonts w:ascii="宋体" w:hAnsi="宋体" w:cs="宋体"/>
          <w:color w:val="auto"/>
          <w:sz w:val="32"/>
          <w:szCs w:val="32"/>
          <w:highlight w:val="none"/>
        </w:rPr>
      </w:pPr>
    </w:p>
    <w:p>
      <w:pPr>
        <w:widowControl/>
        <w:kinsoku w:val="0"/>
        <w:autoSpaceDE w:val="0"/>
        <w:autoSpaceDN w:val="0"/>
        <w:adjustRightInd w:val="0"/>
        <w:snapToGrid w:val="0"/>
        <w:spacing w:line="360" w:lineRule="auto"/>
        <w:ind w:firstLine="1897" w:firstLineChars="593"/>
        <w:textAlignment w:val="baseline"/>
        <w:rPr>
          <w:rFonts w:ascii="宋体" w:hAnsi="宋体" w:cs="宋体"/>
          <w:color w:val="auto"/>
          <w:sz w:val="32"/>
          <w:szCs w:val="32"/>
          <w:highlight w:val="none"/>
        </w:rPr>
      </w:pPr>
    </w:p>
    <w:p>
      <w:pPr>
        <w:widowControl/>
        <w:kinsoku w:val="0"/>
        <w:autoSpaceDE w:val="0"/>
        <w:autoSpaceDN w:val="0"/>
        <w:adjustRightInd w:val="0"/>
        <w:snapToGrid w:val="0"/>
        <w:spacing w:line="360" w:lineRule="auto"/>
        <w:ind w:firstLine="1897" w:firstLineChars="593"/>
        <w:textAlignment w:val="baseline"/>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采 购 人：</w:t>
      </w:r>
      <w:r>
        <w:rPr>
          <w:rFonts w:hint="eastAsia" w:ascii="宋体" w:hAnsi="宋体" w:cs="宋体"/>
          <w:color w:val="auto"/>
          <w:sz w:val="32"/>
          <w:szCs w:val="32"/>
          <w:highlight w:val="none"/>
          <w:lang w:eastAsia="zh-CN"/>
        </w:rPr>
        <w:t>河南医学高等专科学校</w:t>
      </w:r>
    </w:p>
    <w:p>
      <w:pPr>
        <w:widowControl/>
        <w:kinsoku w:val="0"/>
        <w:autoSpaceDE w:val="0"/>
        <w:autoSpaceDN w:val="0"/>
        <w:adjustRightInd w:val="0"/>
        <w:snapToGrid w:val="0"/>
        <w:spacing w:line="360" w:lineRule="auto"/>
        <w:ind w:firstLine="1897" w:firstLineChars="593"/>
        <w:textAlignment w:val="baseline"/>
        <w:rPr>
          <w:rFonts w:ascii="宋体" w:hAnsi="宋体" w:cs="宋体"/>
          <w:color w:val="auto"/>
          <w:sz w:val="32"/>
          <w:szCs w:val="32"/>
          <w:highlight w:val="none"/>
        </w:rPr>
      </w:pPr>
      <w:bookmarkStart w:id="0" w:name="_Toc6786"/>
      <w:r>
        <w:rPr>
          <w:rFonts w:hint="eastAsia" w:ascii="宋体" w:hAnsi="宋体" w:cs="宋体"/>
          <w:color w:val="auto"/>
          <w:sz w:val="32"/>
          <w:szCs w:val="32"/>
          <w:highlight w:val="none"/>
        </w:rPr>
        <w:t>代理机构：</w:t>
      </w:r>
      <w:bookmarkEnd w:id="0"/>
      <w:r>
        <w:rPr>
          <w:rFonts w:hint="eastAsia" w:ascii="宋体" w:hAnsi="宋体" w:cs="宋体"/>
          <w:color w:val="auto"/>
          <w:sz w:val="32"/>
          <w:szCs w:val="32"/>
          <w:highlight w:val="none"/>
        </w:rPr>
        <w:t xml:space="preserve">河南正禄招标代理有限公司 </w:t>
      </w:r>
    </w:p>
    <w:p>
      <w:pPr>
        <w:spacing w:line="360" w:lineRule="auto"/>
        <w:ind w:firstLine="1897" w:firstLineChars="593"/>
        <w:rPr>
          <w:rFonts w:ascii="宋体" w:hAnsi="宋体" w:cs="宋体"/>
          <w:color w:val="auto"/>
          <w:sz w:val="32"/>
          <w:szCs w:val="32"/>
          <w:highlight w:val="none"/>
        </w:rPr>
      </w:pPr>
      <w:r>
        <w:rPr>
          <w:rFonts w:hint="eastAsia" w:ascii="宋体" w:hAnsi="宋体" w:cs="宋体"/>
          <w:color w:val="auto"/>
          <w:sz w:val="32"/>
          <w:szCs w:val="32"/>
          <w:highlight w:val="none"/>
        </w:rPr>
        <w:t xml:space="preserve">日  </w:t>
      </w:r>
      <w:r>
        <w:rPr>
          <w:rFonts w:hint="eastAsia" w:ascii="宋体" w:hAnsi="宋体" w:cs="宋体"/>
          <w:color w:val="auto"/>
          <w:sz w:val="32"/>
          <w:szCs w:val="32"/>
          <w:highlight w:val="none"/>
        </w:rPr>
        <w:tab/>
      </w:r>
      <w:r>
        <w:rPr>
          <w:rFonts w:hint="eastAsia" w:ascii="宋体" w:hAnsi="宋体" w:cs="宋体"/>
          <w:color w:val="auto"/>
          <w:sz w:val="32"/>
          <w:szCs w:val="32"/>
          <w:highlight w:val="none"/>
        </w:rPr>
        <w:t>期：二零二三年</w:t>
      </w:r>
      <w:r>
        <w:rPr>
          <w:rFonts w:hint="eastAsia" w:ascii="宋体" w:hAnsi="宋体" w:cs="宋体"/>
          <w:color w:val="auto"/>
          <w:sz w:val="32"/>
          <w:szCs w:val="32"/>
          <w:highlight w:val="none"/>
          <w:lang w:eastAsia="zh-CN"/>
        </w:rPr>
        <w:t>八</w:t>
      </w:r>
      <w:r>
        <w:rPr>
          <w:rFonts w:hint="eastAsia" w:ascii="宋体" w:hAnsi="宋体" w:cs="宋体"/>
          <w:color w:val="auto"/>
          <w:sz w:val="32"/>
          <w:szCs w:val="32"/>
          <w:highlight w:val="none"/>
        </w:rPr>
        <w:t>月</w:t>
      </w:r>
    </w:p>
    <w:p>
      <w:pPr>
        <w:spacing w:line="360" w:lineRule="auto"/>
        <w:rPr>
          <w:rFonts w:ascii="宋体" w:hAnsi="宋体" w:cs="宋体"/>
          <w:color w:val="auto"/>
          <w:sz w:val="24"/>
          <w:highlight w:val="none"/>
        </w:rPr>
      </w:pPr>
    </w:p>
    <w:p>
      <w:pPr>
        <w:pStyle w:val="49"/>
        <w:ind w:firstLine="200"/>
        <w:rPr>
          <w:rFonts w:ascii="宋体" w:hAnsi="宋体" w:eastAsia="宋体" w:cs="宋体"/>
          <w:color w:val="auto"/>
          <w:highlight w:val="none"/>
          <w:lang w:eastAsia="zh-CN"/>
        </w:rPr>
      </w:pPr>
    </w:p>
    <w:p>
      <w:pPr>
        <w:spacing w:line="360" w:lineRule="auto"/>
        <w:jc w:val="center"/>
        <w:rPr>
          <w:rFonts w:ascii="宋体" w:hAnsi="宋体" w:cs="宋体"/>
          <w:b/>
          <w:bCs/>
          <w:color w:val="auto"/>
          <w:sz w:val="32"/>
          <w:szCs w:val="32"/>
          <w:highlight w:val="none"/>
        </w:rPr>
      </w:pPr>
    </w:p>
    <w:p>
      <w:pPr>
        <w:spacing w:line="360" w:lineRule="auto"/>
        <w:jc w:val="center"/>
        <w:rPr>
          <w:rFonts w:ascii="宋体" w:hAnsi="宋体" w:cs="宋体"/>
          <w:b/>
          <w:bCs/>
          <w:color w:val="auto"/>
          <w:sz w:val="32"/>
          <w:szCs w:val="32"/>
          <w:highlight w:val="none"/>
        </w:rPr>
      </w:pPr>
    </w:p>
    <w:p>
      <w:pPr>
        <w:spacing w:line="360" w:lineRule="auto"/>
        <w:jc w:val="center"/>
        <w:rPr>
          <w:rFonts w:ascii="宋体" w:hAnsi="宋体" w:cs="宋体"/>
          <w:color w:val="auto"/>
          <w:sz w:val="24"/>
          <w:highlight w:val="none"/>
        </w:rPr>
      </w:pPr>
      <w:r>
        <w:rPr>
          <w:rFonts w:hint="eastAsia" w:ascii="宋体" w:hAnsi="宋体" w:cs="宋体"/>
          <w:b/>
          <w:bCs/>
          <w:color w:val="auto"/>
          <w:sz w:val="32"/>
          <w:szCs w:val="32"/>
          <w:highlight w:val="none"/>
        </w:rPr>
        <w:t>目    录</w:t>
      </w:r>
    </w:p>
    <w:p>
      <w:pPr>
        <w:pStyle w:val="37"/>
        <w:tabs>
          <w:tab w:val="right" w:leader="dot" w:pos="8787"/>
          <w:tab w:val="clear" w:pos="8296"/>
        </w:tabs>
        <w:rPr>
          <w:rFonts w:ascii="宋体" w:hAnsi="宋体" w:cs="宋体"/>
          <w:b/>
          <w:bCs/>
          <w:color w:val="auto"/>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"1-4" \h \u </w:instrText>
      </w:r>
      <w:r>
        <w:rPr>
          <w:rFonts w:hint="eastAsia" w:ascii="宋体" w:hAnsi="宋体" w:cs="宋体"/>
          <w:color w:val="auto"/>
          <w:sz w:val="24"/>
          <w:highlight w:val="none"/>
        </w:rPr>
        <w:fldChar w:fldCharType="separate"/>
      </w:r>
      <w:r>
        <w:rPr>
          <w:color w:val="auto"/>
          <w:highlight w:val="none"/>
        </w:rPr>
        <w:fldChar w:fldCharType="begin"/>
      </w:r>
      <w:r>
        <w:rPr>
          <w:color w:val="auto"/>
          <w:highlight w:val="none"/>
        </w:rPr>
        <w:instrText xml:space="preserve"> HYPERLINK \l "_Toc25202" </w:instrText>
      </w:r>
      <w:r>
        <w:rPr>
          <w:color w:val="auto"/>
          <w:highlight w:val="none"/>
        </w:rPr>
        <w:fldChar w:fldCharType="separate"/>
      </w:r>
      <w:r>
        <w:rPr>
          <w:rFonts w:hint="eastAsia" w:ascii="宋体" w:hAnsi="宋体" w:cs="宋体"/>
          <w:b/>
          <w:bCs/>
          <w:color w:val="auto"/>
          <w:highlight w:val="none"/>
        </w:rPr>
        <w:t>特别提示</w:t>
      </w:r>
      <w:r>
        <w:rPr>
          <w:rFonts w:hint="eastAsia" w:ascii="宋体" w:hAnsi="宋体" w:cs="宋体"/>
          <w:b/>
          <w:bCs/>
          <w:color w:val="auto"/>
          <w:highlight w:val="none"/>
        </w:rPr>
        <w:tab/>
      </w:r>
      <w:r>
        <w:rPr>
          <w:rFonts w:hint="eastAsia" w:ascii="宋体" w:hAnsi="宋体" w:cs="宋体"/>
          <w:b/>
          <w:bCs/>
          <w:color w:val="auto"/>
          <w:highlight w:val="none"/>
        </w:rPr>
        <w:fldChar w:fldCharType="begin"/>
      </w:r>
      <w:r>
        <w:rPr>
          <w:rFonts w:hint="eastAsia" w:ascii="宋体" w:hAnsi="宋体" w:cs="宋体"/>
          <w:b/>
          <w:bCs/>
          <w:color w:val="auto"/>
          <w:highlight w:val="none"/>
        </w:rPr>
        <w:instrText xml:space="preserve"> PAGEREF _Toc25202 \h </w:instrText>
      </w:r>
      <w:r>
        <w:rPr>
          <w:rFonts w:hint="eastAsia" w:ascii="宋体" w:hAnsi="宋体" w:cs="宋体"/>
          <w:b/>
          <w:bCs/>
          <w:color w:val="auto"/>
          <w:highlight w:val="none"/>
        </w:rPr>
        <w:fldChar w:fldCharType="separate"/>
      </w:r>
      <w:r>
        <w:rPr>
          <w:rFonts w:hint="eastAsia" w:ascii="宋体" w:hAnsi="宋体" w:cs="宋体"/>
          <w:b/>
          <w:bCs/>
          <w:color w:val="auto"/>
          <w:highlight w:val="none"/>
        </w:rPr>
        <w:t>1</w:t>
      </w:r>
      <w:r>
        <w:rPr>
          <w:rFonts w:hint="eastAsia" w:ascii="宋体" w:hAnsi="宋体" w:cs="宋体"/>
          <w:b/>
          <w:bCs/>
          <w:color w:val="auto"/>
          <w:highlight w:val="none"/>
        </w:rPr>
        <w:fldChar w:fldCharType="end"/>
      </w:r>
      <w:r>
        <w:rPr>
          <w:rFonts w:hint="eastAsia" w:ascii="宋体" w:hAnsi="宋体" w:cs="宋体"/>
          <w:b/>
          <w:bCs/>
          <w:color w:val="auto"/>
          <w:highlight w:val="none"/>
        </w:rPr>
        <w:fldChar w:fldCharType="end"/>
      </w:r>
    </w:p>
    <w:p>
      <w:pPr>
        <w:pStyle w:val="37"/>
        <w:tabs>
          <w:tab w:val="right" w:leader="dot" w:pos="8787"/>
          <w:tab w:val="clear" w:pos="8296"/>
        </w:tabs>
        <w:rPr>
          <w:rFonts w:ascii="宋体" w:hAnsi="宋体" w:cs="宋体"/>
          <w:b/>
          <w:bCs/>
          <w:color w:val="auto"/>
          <w:highlight w:val="none"/>
        </w:rPr>
      </w:pPr>
      <w:r>
        <w:rPr>
          <w:color w:val="auto"/>
          <w:highlight w:val="none"/>
        </w:rPr>
        <w:fldChar w:fldCharType="begin"/>
      </w:r>
      <w:r>
        <w:rPr>
          <w:color w:val="auto"/>
          <w:highlight w:val="none"/>
        </w:rPr>
        <w:instrText xml:space="preserve"> HYPERLINK \l "_Toc15507" </w:instrText>
      </w:r>
      <w:r>
        <w:rPr>
          <w:color w:val="auto"/>
          <w:highlight w:val="none"/>
        </w:rPr>
        <w:fldChar w:fldCharType="separate"/>
      </w:r>
      <w:r>
        <w:rPr>
          <w:rFonts w:hint="eastAsia" w:ascii="宋体" w:hAnsi="宋体" w:cs="宋体"/>
          <w:b/>
          <w:bCs/>
          <w:color w:val="auto"/>
          <w:szCs w:val="32"/>
          <w:highlight w:val="none"/>
        </w:rPr>
        <w:t>第一章  竞争性磋商公告</w:t>
      </w:r>
      <w:r>
        <w:rPr>
          <w:rFonts w:hint="eastAsia" w:ascii="宋体" w:hAnsi="宋体" w:cs="宋体"/>
          <w:b/>
          <w:bCs/>
          <w:color w:val="auto"/>
          <w:highlight w:val="none"/>
        </w:rPr>
        <w:tab/>
      </w:r>
      <w:r>
        <w:rPr>
          <w:rFonts w:hint="eastAsia" w:ascii="宋体" w:hAnsi="宋体" w:cs="宋体"/>
          <w:b/>
          <w:bCs/>
          <w:color w:val="auto"/>
          <w:highlight w:val="none"/>
        </w:rPr>
        <w:fldChar w:fldCharType="begin"/>
      </w:r>
      <w:r>
        <w:rPr>
          <w:rFonts w:hint="eastAsia" w:ascii="宋体" w:hAnsi="宋体" w:cs="宋体"/>
          <w:b/>
          <w:bCs/>
          <w:color w:val="auto"/>
          <w:highlight w:val="none"/>
        </w:rPr>
        <w:instrText xml:space="preserve"> PAGEREF _Toc15507 \h </w:instrText>
      </w:r>
      <w:r>
        <w:rPr>
          <w:rFonts w:hint="eastAsia" w:ascii="宋体" w:hAnsi="宋体" w:cs="宋体"/>
          <w:b/>
          <w:bCs/>
          <w:color w:val="auto"/>
          <w:highlight w:val="none"/>
        </w:rPr>
        <w:fldChar w:fldCharType="separate"/>
      </w:r>
      <w:r>
        <w:rPr>
          <w:rFonts w:hint="eastAsia" w:ascii="宋体" w:hAnsi="宋体" w:cs="宋体"/>
          <w:b/>
          <w:bCs/>
          <w:color w:val="auto"/>
          <w:highlight w:val="none"/>
        </w:rPr>
        <w:t>5</w:t>
      </w:r>
      <w:r>
        <w:rPr>
          <w:rFonts w:hint="eastAsia" w:ascii="宋体" w:hAnsi="宋体" w:cs="宋体"/>
          <w:b/>
          <w:bCs/>
          <w:color w:val="auto"/>
          <w:highlight w:val="none"/>
        </w:rPr>
        <w:fldChar w:fldCharType="end"/>
      </w:r>
      <w:r>
        <w:rPr>
          <w:rFonts w:hint="eastAsia" w:ascii="宋体" w:hAnsi="宋体" w:cs="宋体"/>
          <w:b/>
          <w:bCs/>
          <w:color w:val="auto"/>
          <w:highlight w:val="none"/>
        </w:rPr>
        <w:fldChar w:fldCharType="end"/>
      </w:r>
    </w:p>
    <w:p>
      <w:pPr>
        <w:pStyle w:val="37"/>
        <w:tabs>
          <w:tab w:val="right" w:leader="dot" w:pos="8787"/>
          <w:tab w:val="clear" w:pos="8296"/>
        </w:tabs>
        <w:rPr>
          <w:rFonts w:ascii="宋体" w:hAnsi="宋体" w:cs="宋体"/>
          <w:b/>
          <w:bCs/>
          <w:color w:val="auto"/>
          <w:highlight w:val="none"/>
        </w:rPr>
      </w:pPr>
      <w:r>
        <w:rPr>
          <w:color w:val="auto"/>
          <w:highlight w:val="none"/>
        </w:rPr>
        <w:fldChar w:fldCharType="begin"/>
      </w:r>
      <w:r>
        <w:rPr>
          <w:color w:val="auto"/>
          <w:highlight w:val="none"/>
        </w:rPr>
        <w:instrText xml:space="preserve"> HYPERLINK \l "_Toc15845" </w:instrText>
      </w:r>
      <w:r>
        <w:rPr>
          <w:color w:val="auto"/>
          <w:highlight w:val="none"/>
        </w:rPr>
        <w:fldChar w:fldCharType="separate"/>
      </w:r>
      <w:r>
        <w:rPr>
          <w:rFonts w:hint="eastAsia" w:ascii="宋体" w:hAnsi="宋体" w:cs="宋体"/>
          <w:b/>
          <w:bCs/>
          <w:color w:val="auto"/>
          <w:szCs w:val="32"/>
          <w:highlight w:val="none"/>
        </w:rPr>
        <w:t>第二章  供应商须知</w:t>
      </w:r>
      <w:r>
        <w:rPr>
          <w:rFonts w:hint="eastAsia" w:ascii="宋体" w:hAnsi="宋体" w:cs="宋体"/>
          <w:b/>
          <w:bCs/>
          <w:color w:val="auto"/>
          <w:highlight w:val="none"/>
        </w:rPr>
        <w:tab/>
      </w:r>
      <w:r>
        <w:rPr>
          <w:rFonts w:hint="eastAsia" w:ascii="宋体" w:hAnsi="宋体" w:cs="宋体"/>
          <w:b/>
          <w:bCs/>
          <w:color w:val="auto"/>
          <w:highlight w:val="none"/>
        </w:rPr>
        <w:fldChar w:fldCharType="begin"/>
      </w:r>
      <w:r>
        <w:rPr>
          <w:rFonts w:hint="eastAsia" w:ascii="宋体" w:hAnsi="宋体" w:cs="宋体"/>
          <w:b/>
          <w:bCs/>
          <w:color w:val="auto"/>
          <w:highlight w:val="none"/>
        </w:rPr>
        <w:instrText xml:space="preserve"> PAGEREF _Toc15845 \h </w:instrText>
      </w:r>
      <w:r>
        <w:rPr>
          <w:rFonts w:hint="eastAsia" w:ascii="宋体" w:hAnsi="宋体" w:cs="宋体"/>
          <w:b/>
          <w:bCs/>
          <w:color w:val="auto"/>
          <w:highlight w:val="none"/>
        </w:rPr>
        <w:fldChar w:fldCharType="separate"/>
      </w:r>
      <w:r>
        <w:rPr>
          <w:rFonts w:hint="eastAsia" w:ascii="宋体" w:hAnsi="宋体" w:cs="宋体"/>
          <w:b/>
          <w:bCs/>
          <w:color w:val="auto"/>
          <w:highlight w:val="none"/>
        </w:rPr>
        <w:t>10</w:t>
      </w:r>
      <w:r>
        <w:rPr>
          <w:rFonts w:hint="eastAsia" w:ascii="宋体" w:hAnsi="宋体" w:cs="宋体"/>
          <w:b/>
          <w:bCs/>
          <w:color w:val="auto"/>
          <w:highlight w:val="none"/>
        </w:rPr>
        <w:fldChar w:fldCharType="end"/>
      </w:r>
      <w:r>
        <w:rPr>
          <w:rFonts w:hint="eastAsia" w:ascii="宋体" w:hAnsi="宋体" w:cs="宋体"/>
          <w:b/>
          <w:bCs/>
          <w:color w:val="auto"/>
          <w:highlight w:val="none"/>
        </w:rPr>
        <w:fldChar w:fldCharType="end"/>
      </w:r>
    </w:p>
    <w:p>
      <w:pPr>
        <w:pStyle w:val="37"/>
        <w:tabs>
          <w:tab w:val="right" w:leader="dot" w:pos="8787"/>
          <w:tab w:val="clear" w:pos="8296"/>
        </w:tabs>
        <w:rPr>
          <w:rFonts w:ascii="宋体" w:hAnsi="宋体" w:cs="宋体"/>
          <w:b/>
          <w:bCs/>
          <w:color w:val="auto"/>
          <w:highlight w:val="none"/>
        </w:rPr>
      </w:pPr>
      <w:r>
        <w:rPr>
          <w:color w:val="auto"/>
          <w:highlight w:val="none"/>
        </w:rPr>
        <w:fldChar w:fldCharType="begin"/>
      </w:r>
      <w:r>
        <w:rPr>
          <w:color w:val="auto"/>
          <w:highlight w:val="none"/>
        </w:rPr>
        <w:instrText xml:space="preserve"> HYPERLINK \l "_Toc939" </w:instrText>
      </w:r>
      <w:r>
        <w:rPr>
          <w:color w:val="auto"/>
          <w:highlight w:val="none"/>
        </w:rPr>
        <w:fldChar w:fldCharType="separate"/>
      </w:r>
      <w:r>
        <w:rPr>
          <w:rFonts w:hint="eastAsia" w:ascii="宋体" w:hAnsi="宋体" w:cs="宋体"/>
          <w:b/>
          <w:bCs/>
          <w:color w:val="auto"/>
          <w:szCs w:val="32"/>
          <w:highlight w:val="none"/>
        </w:rPr>
        <w:t>第三章  采购需求</w:t>
      </w:r>
      <w:r>
        <w:rPr>
          <w:rFonts w:hint="eastAsia" w:ascii="宋体" w:hAnsi="宋体" w:cs="宋体"/>
          <w:b/>
          <w:bCs/>
          <w:color w:val="auto"/>
          <w:highlight w:val="none"/>
        </w:rPr>
        <w:tab/>
      </w:r>
      <w:r>
        <w:rPr>
          <w:rFonts w:hint="eastAsia" w:ascii="宋体" w:hAnsi="宋体" w:cs="宋体"/>
          <w:b/>
          <w:bCs/>
          <w:color w:val="auto"/>
          <w:highlight w:val="none"/>
        </w:rPr>
        <w:fldChar w:fldCharType="begin"/>
      </w:r>
      <w:r>
        <w:rPr>
          <w:rFonts w:hint="eastAsia" w:ascii="宋体" w:hAnsi="宋体" w:cs="宋体"/>
          <w:b/>
          <w:bCs/>
          <w:color w:val="auto"/>
          <w:highlight w:val="none"/>
        </w:rPr>
        <w:instrText xml:space="preserve"> PAGEREF _Toc939 \h </w:instrText>
      </w:r>
      <w:r>
        <w:rPr>
          <w:rFonts w:hint="eastAsia" w:ascii="宋体" w:hAnsi="宋体" w:cs="宋体"/>
          <w:b/>
          <w:bCs/>
          <w:color w:val="auto"/>
          <w:highlight w:val="none"/>
        </w:rPr>
        <w:fldChar w:fldCharType="separate"/>
      </w:r>
      <w:r>
        <w:rPr>
          <w:rFonts w:hint="eastAsia" w:ascii="宋体" w:hAnsi="宋体" w:cs="宋体"/>
          <w:b/>
          <w:bCs/>
          <w:color w:val="auto"/>
          <w:highlight w:val="none"/>
        </w:rPr>
        <w:t>38</w:t>
      </w:r>
      <w:r>
        <w:rPr>
          <w:rFonts w:hint="eastAsia" w:ascii="宋体" w:hAnsi="宋体" w:cs="宋体"/>
          <w:b/>
          <w:bCs/>
          <w:color w:val="auto"/>
          <w:highlight w:val="none"/>
        </w:rPr>
        <w:fldChar w:fldCharType="end"/>
      </w:r>
      <w:r>
        <w:rPr>
          <w:rFonts w:hint="eastAsia" w:ascii="宋体" w:hAnsi="宋体" w:cs="宋体"/>
          <w:b/>
          <w:bCs/>
          <w:color w:val="auto"/>
          <w:highlight w:val="none"/>
        </w:rPr>
        <w:fldChar w:fldCharType="end"/>
      </w:r>
    </w:p>
    <w:p>
      <w:pPr>
        <w:pStyle w:val="37"/>
        <w:tabs>
          <w:tab w:val="right" w:leader="dot" w:pos="8787"/>
          <w:tab w:val="clear" w:pos="8296"/>
        </w:tabs>
        <w:rPr>
          <w:rFonts w:ascii="宋体" w:hAnsi="宋体" w:cs="宋体"/>
          <w:b/>
          <w:bCs/>
          <w:color w:val="auto"/>
          <w:highlight w:val="none"/>
        </w:rPr>
      </w:pPr>
      <w:r>
        <w:rPr>
          <w:color w:val="auto"/>
          <w:highlight w:val="none"/>
        </w:rPr>
        <w:fldChar w:fldCharType="begin"/>
      </w:r>
      <w:r>
        <w:rPr>
          <w:color w:val="auto"/>
          <w:highlight w:val="none"/>
        </w:rPr>
        <w:instrText xml:space="preserve"> HYPERLINK \l "_Toc26950" </w:instrText>
      </w:r>
      <w:r>
        <w:rPr>
          <w:color w:val="auto"/>
          <w:highlight w:val="none"/>
        </w:rPr>
        <w:fldChar w:fldCharType="separate"/>
      </w:r>
      <w:r>
        <w:rPr>
          <w:rFonts w:hint="eastAsia" w:ascii="宋体" w:hAnsi="宋体" w:cs="宋体"/>
          <w:b/>
          <w:bCs/>
          <w:color w:val="auto"/>
          <w:szCs w:val="32"/>
          <w:highlight w:val="none"/>
        </w:rPr>
        <w:t>第四章  评审方法及标准</w:t>
      </w:r>
      <w:r>
        <w:rPr>
          <w:rFonts w:hint="eastAsia" w:ascii="宋体" w:hAnsi="宋体" w:cs="宋体"/>
          <w:b/>
          <w:bCs/>
          <w:color w:val="auto"/>
          <w:highlight w:val="none"/>
        </w:rPr>
        <w:tab/>
      </w:r>
      <w:r>
        <w:rPr>
          <w:rFonts w:hint="eastAsia" w:ascii="宋体" w:hAnsi="宋体" w:cs="宋体"/>
          <w:b/>
          <w:bCs/>
          <w:color w:val="auto"/>
          <w:highlight w:val="none"/>
        </w:rPr>
        <w:fldChar w:fldCharType="begin"/>
      </w:r>
      <w:r>
        <w:rPr>
          <w:rFonts w:hint="eastAsia" w:ascii="宋体" w:hAnsi="宋体" w:cs="宋体"/>
          <w:b/>
          <w:bCs/>
          <w:color w:val="auto"/>
          <w:highlight w:val="none"/>
        </w:rPr>
        <w:instrText xml:space="preserve"> PAGEREF _Toc26950 \h </w:instrText>
      </w:r>
      <w:r>
        <w:rPr>
          <w:rFonts w:hint="eastAsia" w:ascii="宋体" w:hAnsi="宋体" w:cs="宋体"/>
          <w:b/>
          <w:bCs/>
          <w:color w:val="auto"/>
          <w:highlight w:val="none"/>
        </w:rPr>
        <w:fldChar w:fldCharType="separate"/>
      </w:r>
      <w:r>
        <w:rPr>
          <w:rFonts w:hint="eastAsia" w:ascii="宋体" w:hAnsi="宋体" w:cs="宋体"/>
          <w:b/>
          <w:bCs/>
          <w:color w:val="auto"/>
          <w:highlight w:val="none"/>
        </w:rPr>
        <w:t>60</w:t>
      </w:r>
      <w:r>
        <w:rPr>
          <w:rFonts w:hint="eastAsia" w:ascii="宋体" w:hAnsi="宋体" w:cs="宋体"/>
          <w:b/>
          <w:bCs/>
          <w:color w:val="auto"/>
          <w:highlight w:val="none"/>
        </w:rPr>
        <w:fldChar w:fldCharType="end"/>
      </w:r>
      <w:r>
        <w:rPr>
          <w:rFonts w:hint="eastAsia" w:ascii="宋体" w:hAnsi="宋体" w:cs="宋体"/>
          <w:b/>
          <w:bCs/>
          <w:color w:val="auto"/>
          <w:highlight w:val="none"/>
        </w:rPr>
        <w:fldChar w:fldCharType="end"/>
      </w:r>
    </w:p>
    <w:p>
      <w:pPr>
        <w:pStyle w:val="37"/>
        <w:tabs>
          <w:tab w:val="right" w:leader="dot" w:pos="8787"/>
          <w:tab w:val="clear" w:pos="8296"/>
        </w:tabs>
        <w:rPr>
          <w:rFonts w:ascii="宋体" w:hAnsi="宋体" w:cs="宋体"/>
          <w:b/>
          <w:bCs/>
          <w:color w:val="auto"/>
          <w:highlight w:val="none"/>
        </w:rPr>
      </w:pPr>
      <w:r>
        <w:rPr>
          <w:color w:val="auto"/>
          <w:highlight w:val="none"/>
        </w:rPr>
        <w:fldChar w:fldCharType="begin"/>
      </w:r>
      <w:r>
        <w:rPr>
          <w:color w:val="auto"/>
          <w:highlight w:val="none"/>
        </w:rPr>
        <w:instrText xml:space="preserve"> HYPERLINK \l "_Toc10047" </w:instrText>
      </w:r>
      <w:r>
        <w:rPr>
          <w:color w:val="auto"/>
          <w:highlight w:val="none"/>
        </w:rPr>
        <w:fldChar w:fldCharType="separate"/>
      </w:r>
      <w:r>
        <w:rPr>
          <w:rFonts w:hint="eastAsia" w:ascii="宋体" w:hAnsi="宋体" w:cs="宋体"/>
          <w:b/>
          <w:bCs/>
          <w:color w:val="auto"/>
          <w:szCs w:val="32"/>
          <w:highlight w:val="none"/>
        </w:rPr>
        <w:t>第五章  政府采购合同条款及格式</w:t>
      </w:r>
      <w:r>
        <w:rPr>
          <w:rFonts w:hint="eastAsia" w:ascii="宋体" w:hAnsi="宋体" w:cs="宋体"/>
          <w:b/>
          <w:bCs/>
          <w:color w:val="auto"/>
          <w:highlight w:val="none"/>
        </w:rPr>
        <w:tab/>
      </w:r>
      <w:r>
        <w:rPr>
          <w:rFonts w:hint="eastAsia" w:ascii="宋体" w:hAnsi="宋体" w:cs="宋体"/>
          <w:b/>
          <w:bCs/>
          <w:color w:val="auto"/>
          <w:highlight w:val="none"/>
        </w:rPr>
        <w:fldChar w:fldCharType="begin"/>
      </w:r>
      <w:r>
        <w:rPr>
          <w:rFonts w:hint="eastAsia" w:ascii="宋体" w:hAnsi="宋体" w:cs="宋体"/>
          <w:b/>
          <w:bCs/>
          <w:color w:val="auto"/>
          <w:highlight w:val="none"/>
        </w:rPr>
        <w:instrText xml:space="preserve"> PAGEREF _Toc10047 \h </w:instrText>
      </w:r>
      <w:r>
        <w:rPr>
          <w:rFonts w:hint="eastAsia" w:ascii="宋体" w:hAnsi="宋体" w:cs="宋体"/>
          <w:b/>
          <w:bCs/>
          <w:color w:val="auto"/>
          <w:highlight w:val="none"/>
        </w:rPr>
        <w:fldChar w:fldCharType="separate"/>
      </w:r>
      <w:r>
        <w:rPr>
          <w:rFonts w:hint="eastAsia" w:ascii="宋体" w:hAnsi="宋体" w:cs="宋体"/>
          <w:b/>
          <w:bCs/>
          <w:color w:val="auto"/>
          <w:highlight w:val="none"/>
        </w:rPr>
        <w:t>69</w:t>
      </w:r>
      <w:r>
        <w:rPr>
          <w:rFonts w:hint="eastAsia" w:ascii="宋体" w:hAnsi="宋体" w:cs="宋体"/>
          <w:b/>
          <w:bCs/>
          <w:color w:val="auto"/>
          <w:highlight w:val="none"/>
        </w:rPr>
        <w:fldChar w:fldCharType="end"/>
      </w:r>
      <w:r>
        <w:rPr>
          <w:rFonts w:hint="eastAsia" w:ascii="宋体" w:hAnsi="宋体" w:cs="宋体"/>
          <w:b/>
          <w:bCs/>
          <w:color w:val="auto"/>
          <w:highlight w:val="none"/>
        </w:rPr>
        <w:fldChar w:fldCharType="end"/>
      </w:r>
    </w:p>
    <w:p>
      <w:pPr>
        <w:pStyle w:val="37"/>
        <w:tabs>
          <w:tab w:val="right" w:leader="dot" w:pos="8787"/>
          <w:tab w:val="clear" w:pos="8296"/>
        </w:tabs>
        <w:rPr>
          <w:rFonts w:ascii="宋体" w:hAnsi="宋体" w:cs="宋体"/>
          <w:b/>
          <w:bCs/>
          <w:color w:val="auto"/>
          <w:highlight w:val="none"/>
        </w:rPr>
      </w:pPr>
      <w:r>
        <w:rPr>
          <w:color w:val="auto"/>
          <w:highlight w:val="none"/>
        </w:rPr>
        <w:fldChar w:fldCharType="begin"/>
      </w:r>
      <w:r>
        <w:rPr>
          <w:color w:val="auto"/>
          <w:highlight w:val="none"/>
        </w:rPr>
        <w:instrText xml:space="preserve"> HYPERLINK \l "_Toc4255" </w:instrText>
      </w:r>
      <w:r>
        <w:rPr>
          <w:color w:val="auto"/>
          <w:highlight w:val="none"/>
        </w:rPr>
        <w:fldChar w:fldCharType="separate"/>
      </w:r>
      <w:r>
        <w:rPr>
          <w:rFonts w:hint="eastAsia" w:ascii="宋体" w:hAnsi="宋体" w:cs="宋体"/>
          <w:b/>
          <w:bCs/>
          <w:color w:val="auto"/>
          <w:szCs w:val="32"/>
          <w:highlight w:val="none"/>
        </w:rPr>
        <w:t>第六章  响应文件格式</w:t>
      </w:r>
      <w:r>
        <w:rPr>
          <w:rFonts w:hint="eastAsia" w:ascii="宋体" w:hAnsi="宋体" w:cs="宋体"/>
          <w:b/>
          <w:bCs/>
          <w:color w:val="auto"/>
          <w:highlight w:val="none"/>
        </w:rPr>
        <w:tab/>
      </w:r>
      <w:r>
        <w:rPr>
          <w:rFonts w:hint="eastAsia" w:ascii="宋体" w:hAnsi="宋体" w:cs="宋体"/>
          <w:b/>
          <w:bCs/>
          <w:color w:val="auto"/>
          <w:highlight w:val="none"/>
        </w:rPr>
        <w:fldChar w:fldCharType="begin"/>
      </w:r>
      <w:r>
        <w:rPr>
          <w:rFonts w:hint="eastAsia" w:ascii="宋体" w:hAnsi="宋体" w:cs="宋体"/>
          <w:b/>
          <w:bCs/>
          <w:color w:val="auto"/>
          <w:highlight w:val="none"/>
        </w:rPr>
        <w:instrText xml:space="preserve"> PAGEREF _Toc4255 \h </w:instrText>
      </w:r>
      <w:r>
        <w:rPr>
          <w:rFonts w:hint="eastAsia" w:ascii="宋体" w:hAnsi="宋体" w:cs="宋体"/>
          <w:b/>
          <w:bCs/>
          <w:color w:val="auto"/>
          <w:highlight w:val="none"/>
        </w:rPr>
        <w:fldChar w:fldCharType="separate"/>
      </w:r>
      <w:r>
        <w:rPr>
          <w:rFonts w:hint="eastAsia" w:ascii="宋体" w:hAnsi="宋体" w:cs="宋体"/>
          <w:b/>
          <w:bCs/>
          <w:color w:val="auto"/>
          <w:highlight w:val="none"/>
        </w:rPr>
        <w:t>79</w:t>
      </w:r>
      <w:r>
        <w:rPr>
          <w:rFonts w:hint="eastAsia" w:ascii="宋体" w:hAnsi="宋体" w:cs="宋体"/>
          <w:b/>
          <w:bCs/>
          <w:color w:val="auto"/>
          <w:highlight w:val="none"/>
        </w:rPr>
        <w:fldChar w:fldCharType="end"/>
      </w:r>
      <w:r>
        <w:rPr>
          <w:rFonts w:hint="eastAsia" w:ascii="宋体" w:hAnsi="宋体" w:cs="宋体"/>
          <w:b/>
          <w:bCs/>
          <w:color w:val="auto"/>
          <w:highlight w:val="none"/>
        </w:rPr>
        <w:fldChar w:fldCharType="end"/>
      </w:r>
    </w:p>
    <w:p>
      <w:pPr>
        <w:pStyle w:val="42"/>
        <w:tabs>
          <w:tab w:val="right" w:leader="dot" w:pos="8787"/>
          <w:tab w:val="clear" w:pos="8301"/>
        </w:tabs>
        <w:rPr>
          <w:rFonts w:ascii="宋体" w:hAnsi="宋体" w:cs="宋体"/>
          <w:color w:val="auto"/>
          <w:highlight w:val="none"/>
        </w:rPr>
      </w:pPr>
    </w:p>
    <w:p>
      <w:pPr>
        <w:spacing w:line="336" w:lineRule="auto"/>
        <w:rPr>
          <w:rFonts w:ascii="宋体" w:hAnsi="宋体" w:cs="宋体"/>
          <w:b/>
          <w:color w:val="auto"/>
          <w:sz w:val="24"/>
          <w:highlight w:val="none"/>
        </w:rPr>
        <w:sectPr>
          <w:headerReference r:id="rId4" w:type="first"/>
          <w:headerReference r:id="rId3" w:type="default"/>
          <w:footerReference r:id="rId5" w:type="default"/>
          <w:pgSz w:w="11906" w:h="16838"/>
          <w:pgMar w:top="1134" w:right="1077" w:bottom="1134" w:left="1077" w:header="851" w:footer="992" w:gutter="0"/>
          <w:pgNumType w:start="1"/>
          <w:cols w:space="720" w:num="1"/>
          <w:docGrid w:linePitch="312" w:charSpace="0"/>
        </w:sectPr>
      </w:pPr>
      <w:r>
        <w:rPr>
          <w:rFonts w:hint="eastAsia" w:ascii="宋体" w:hAnsi="宋体" w:cs="宋体"/>
          <w:color w:val="auto"/>
          <w:highlight w:val="none"/>
        </w:rPr>
        <w:fldChar w:fldCharType="end"/>
      </w:r>
    </w:p>
    <w:p>
      <w:pPr>
        <w:pStyle w:val="10"/>
        <w:spacing w:before="120" w:after="120" w:line="400" w:lineRule="exact"/>
        <w:jc w:val="center"/>
        <w:rPr>
          <w:rFonts w:ascii="宋体" w:hAnsi="宋体" w:cs="宋体"/>
          <w:b w:val="0"/>
          <w:bCs w:val="0"/>
          <w:color w:val="auto"/>
          <w:sz w:val="32"/>
          <w:highlight w:val="none"/>
        </w:rPr>
      </w:pPr>
      <w:bookmarkStart w:id="1" w:name="_Toc25202"/>
      <w:bookmarkStart w:id="2" w:name="_Toc121902684"/>
      <w:bookmarkStart w:id="3" w:name="_Toc74727672"/>
      <w:r>
        <w:rPr>
          <w:rFonts w:hint="eastAsia" w:ascii="宋体" w:hAnsi="宋体" w:cs="宋体"/>
          <w:b w:val="0"/>
          <w:bCs w:val="0"/>
          <w:color w:val="auto"/>
          <w:sz w:val="32"/>
          <w:highlight w:val="none"/>
        </w:rPr>
        <w:t>特别提示</w:t>
      </w:r>
      <w:bookmarkEnd w:id="1"/>
    </w:p>
    <w:p>
      <w:pPr>
        <w:jc w:val="center"/>
        <w:rPr>
          <w:rFonts w:ascii="宋体" w:hAnsi="宋体" w:cs="宋体"/>
          <w:color w:val="auto"/>
          <w:highlight w:val="none"/>
        </w:rPr>
      </w:pPr>
    </w:p>
    <w:p>
      <w:pPr>
        <w:jc w:val="center"/>
        <w:rPr>
          <w:rFonts w:ascii="宋体" w:hAnsi="宋体" w:cs="宋体"/>
          <w:color w:val="auto"/>
          <w:highlight w:val="none"/>
        </w:rPr>
      </w:pPr>
    </w:p>
    <w:p>
      <w:pPr>
        <w:spacing w:line="360" w:lineRule="auto"/>
        <w:ind w:firstLine="482" w:firstLineChars="200"/>
        <w:jc w:val="left"/>
        <w:rPr>
          <w:rFonts w:ascii="宋体" w:hAnsi="宋体" w:cs="宋体"/>
          <w:b/>
          <w:color w:val="auto"/>
          <w:sz w:val="24"/>
          <w:highlight w:val="none"/>
        </w:rPr>
      </w:pPr>
      <w:bookmarkStart w:id="4" w:name="_Toc57012845"/>
      <w:r>
        <w:rPr>
          <w:rFonts w:hint="eastAsia" w:ascii="宋体" w:hAnsi="宋体" w:cs="宋体"/>
          <w:b/>
          <w:color w:val="auto"/>
          <w:sz w:val="24"/>
          <w:highlight w:val="none"/>
        </w:rPr>
        <w:t>1、投标人（供应商）注册及市场主体信息登记</w:t>
      </w:r>
      <w:bookmarkEnd w:id="4"/>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1.1投标人（供应商）需登陆河南省公共资源交易中心网站（</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"http://www.hnggzy.net/" </w:instrText>
      </w:r>
      <w:r>
        <w:rPr>
          <w:rFonts w:hint="eastAsia" w:ascii="宋体" w:hAnsi="宋体" w:cs="宋体"/>
          <w:color w:val="auto"/>
          <w:highlight w:val="none"/>
        </w:rPr>
        <w:fldChar w:fldCharType="separate"/>
      </w:r>
      <w:r>
        <w:rPr>
          <w:rFonts w:hint="eastAsia" w:ascii="宋体" w:hAnsi="宋体" w:cs="宋体"/>
          <w:color w:val="auto"/>
          <w:sz w:val="24"/>
          <w:highlight w:val="none"/>
        </w:rPr>
        <w:t>http://www.hnggzy.net/</w:t>
      </w:r>
      <w:r>
        <w:rPr>
          <w:rFonts w:hint="eastAsia" w:ascii="宋体" w:hAnsi="宋体" w:cs="宋体"/>
          <w:color w:val="auto"/>
          <w:sz w:val="24"/>
          <w:highlight w:val="none"/>
        </w:rPr>
        <w:fldChar w:fldCharType="end"/>
      </w:r>
      <w:r>
        <w:rPr>
          <w:rFonts w:hint="eastAsia" w:ascii="宋体" w:hAnsi="宋体" w:cs="宋体"/>
          <w:color w:val="auto"/>
          <w:sz w:val="24"/>
          <w:highlight w:val="none"/>
        </w:rPr>
        <w:t>），点击首页【市场主体登录】按钮进入河南省公共资源“智慧交易”系统－市场主体系统。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在“市场主体系统”界面点击“免费注册”，进入市场主体注册界面。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仔细阅读市场主体注册协议并点击“同意”。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选择注册身份，设置登录名、密码、单位名称以及联系人等信息。根据本单位的类型，选择相应的市场主体类型（进行勾选，可多选）。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首次入库单位需要选择对应的平台，需要参加河南省公共资源交易中心项目，首次入库平台请选择“河南省公共资源交易中心”。然后点击“立即注册”完成信息注册（备注：此时只完成登录名等基础信息注册，还不能进入系统登记信息，必须办理完CA数字证书后，才能通过CA数字证书进入系统登记和提交信息）。</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详情请查阅河南省公共资源交易中心网站→公共服务→办事指南（新交易平台使用手册（培训资料）</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网址：（http://www.hnggzy.net/ggfw/004003/20210909/834dab66-d4b5-4fde-b432-57f2a6cfbfed.html）</w:t>
      </w:r>
    </w:p>
    <w:p>
      <w:pPr>
        <w:spacing w:line="360" w:lineRule="auto"/>
        <w:ind w:firstLine="482" w:firstLineChars="200"/>
        <w:jc w:val="left"/>
        <w:rPr>
          <w:rFonts w:ascii="宋体" w:hAnsi="宋体" w:cs="宋体"/>
          <w:b/>
          <w:bCs/>
          <w:color w:val="auto"/>
          <w:sz w:val="24"/>
          <w:highlight w:val="none"/>
        </w:rPr>
      </w:pPr>
      <w:bookmarkStart w:id="5" w:name="_Toc57012846"/>
      <w:r>
        <w:rPr>
          <w:rFonts w:hint="eastAsia" w:ascii="宋体" w:hAnsi="宋体" w:cs="宋体"/>
          <w:b/>
          <w:color w:val="auto"/>
          <w:sz w:val="24"/>
          <w:highlight w:val="none"/>
        </w:rPr>
        <w:t>2、投标文件（响应文件）制作</w:t>
      </w:r>
      <w:bookmarkEnd w:id="5"/>
    </w:p>
    <w:p>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2.1</w:t>
      </w:r>
      <w:r>
        <w:rPr>
          <w:rFonts w:hint="eastAsia" w:ascii="宋体" w:hAnsi="宋体" w:cs="宋体"/>
          <w:color w:val="auto"/>
          <w:sz w:val="24"/>
          <w:highlight w:val="none"/>
        </w:rPr>
        <w:t>投标人（供应商）通过“河南省公共资源交易中心（http://www.hnggzy.net/）”网站公共服务（办事指南及下载专区）：下载最新版“投标文件制作工具安装包压缩文件下载”等。</w:t>
      </w:r>
    </w:p>
    <w:p>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2.2</w:t>
      </w:r>
      <w:r>
        <w:rPr>
          <w:rFonts w:hint="eastAsia" w:ascii="宋体" w:hAnsi="宋体" w:cs="宋体"/>
          <w:color w:val="auto"/>
          <w:sz w:val="24"/>
          <w:highlight w:val="none"/>
        </w:rPr>
        <w:t>投标人（供应商）凭CA密钥登陆市场主体并按网上提示自行下载每个项目所含格式(.hnzf)的竞争性磋商文件（采购文件）。</w:t>
      </w:r>
    </w:p>
    <w:p>
      <w:pPr>
        <w:tabs>
          <w:tab w:val="left" w:pos="720"/>
        </w:tabs>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2.3</w:t>
      </w:r>
      <w:r>
        <w:rPr>
          <w:rFonts w:hint="eastAsia" w:ascii="宋体" w:hAnsi="宋体" w:cs="宋体"/>
          <w:color w:val="auto"/>
          <w:sz w:val="24"/>
          <w:highlight w:val="none"/>
        </w:rPr>
        <w:t>投标人（供应商）须在</w:t>
      </w:r>
      <w:r>
        <w:rPr>
          <w:rFonts w:hint="eastAsia" w:ascii="宋体" w:hAnsi="宋体" w:cs="宋体"/>
          <w:color w:val="auto"/>
          <w:kern w:val="0"/>
          <w:sz w:val="24"/>
          <w:highlight w:val="none"/>
          <w:lang w:val="zh-CN"/>
        </w:rPr>
        <w:t>投标文件（响应文件）递交截止时间</w:t>
      </w:r>
      <w:r>
        <w:rPr>
          <w:rFonts w:hint="eastAsia" w:ascii="宋体" w:hAnsi="宋体" w:cs="宋体"/>
          <w:color w:val="auto"/>
          <w:sz w:val="24"/>
          <w:highlight w:val="none"/>
        </w:rPr>
        <w:t>前制作并上传：</w:t>
      </w:r>
    </w:p>
    <w:p>
      <w:pPr>
        <w:tabs>
          <w:tab w:val="left" w:pos="7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加密的电子投标文件（响应文件）,应在</w:t>
      </w:r>
      <w:r>
        <w:rPr>
          <w:rFonts w:hint="eastAsia" w:ascii="宋体" w:hAnsi="宋体" w:cs="宋体"/>
          <w:color w:val="auto"/>
          <w:kern w:val="0"/>
          <w:sz w:val="24"/>
          <w:highlight w:val="none"/>
          <w:lang w:val="zh-CN"/>
        </w:rPr>
        <w:t>投标文件</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响应文件</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递交截止时间</w:t>
      </w:r>
      <w:r>
        <w:rPr>
          <w:rFonts w:hint="eastAsia" w:ascii="宋体" w:hAnsi="宋体" w:cs="宋体"/>
          <w:color w:val="auto"/>
          <w:sz w:val="24"/>
          <w:highlight w:val="none"/>
        </w:rPr>
        <w:t>前通过“河南省公共资源交易中心网站（http://www.hnggzy.net/）”电子交易平台内上传并</w:t>
      </w:r>
      <w:r>
        <w:rPr>
          <w:rFonts w:hint="eastAsia" w:ascii="宋体" w:hAnsi="宋体" w:cs="宋体"/>
          <w:b/>
          <w:bCs/>
          <w:color w:val="auto"/>
          <w:sz w:val="24"/>
          <w:highlight w:val="none"/>
        </w:rPr>
        <w:t>确保上传成功</w:t>
      </w:r>
      <w:r>
        <w:rPr>
          <w:rFonts w:hint="eastAsia" w:ascii="宋体" w:hAnsi="宋体" w:cs="宋体"/>
          <w:color w:val="auto"/>
          <w:sz w:val="24"/>
          <w:highlight w:val="none"/>
        </w:rPr>
        <w:t>。</w:t>
      </w:r>
    </w:p>
    <w:p>
      <w:pPr>
        <w:spacing w:line="360" w:lineRule="auto"/>
        <w:ind w:firstLine="482" w:firstLineChars="200"/>
        <w:rPr>
          <w:rFonts w:ascii="宋体" w:hAnsi="宋体" w:cs="宋体"/>
          <w:color w:val="auto"/>
          <w:sz w:val="24"/>
          <w:highlight w:val="none"/>
        </w:rPr>
      </w:pPr>
      <w:r>
        <w:rPr>
          <w:rFonts w:hint="eastAsia" w:ascii="宋体" w:hAnsi="宋体" w:cs="宋体"/>
          <w:b/>
          <w:bCs/>
          <w:color w:val="auto"/>
          <w:kern w:val="0"/>
          <w:sz w:val="24"/>
          <w:highlight w:val="none"/>
        </w:rPr>
        <w:t>2.4</w:t>
      </w:r>
      <w:r>
        <w:rPr>
          <w:rFonts w:hint="eastAsia" w:ascii="宋体" w:hAnsi="宋体" w:cs="宋体"/>
          <w:color w:val="auto"/>
          <w:sz w:val="24"/>
          <w:highlight w:val="none"/>
        </w:rPr>
        <w:t>加密的电子投标文件（响应文件）为“河南省公共资源交易中心（http://www.hnggzy.net/）”网站提供的“投标文件制作工具”软件制作生成的加密版投标文件（响应文件）。</w:t>
      </w:r>
    </w:p>
    <w:p>
      <w:pPr>
        <w:spacing w:line="360" w:lineRule="auto"/>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2.5</w:t>
      </w:r>
      <w:r>
        <w:rPr>
          <w:rFonts w:hint="eastAsia" w:ascii="宋体" w:hAnsi="宋体" w:cs="宋体"/>
          <w:color w:val="auto"/>
          <w:sz w:val="24"/>
          <w:highlight w:val="none"/>
        </w:rPr>
        <w:t>投标人（供应商）制作电子投标文件（响应文件）时，根据竞争性磋商文件（采购文件）要求用法定代表人或负责人CA密钥和企业CA密钥进行签章制作；最后一步生成电子投标文件（响应文件）时，只能用本单位的企业CA密钥。</w:t>
      </w:r>
    </w:p>
    <w:p>
      <w:pPr>
        <w:spacing w:line="360" w:lineRule="auto"/>
        <w:ind w:firstLine="482" w:firstLineChars="200"/>
        <w:jc w:val="left"/>
        <w:rPr>
          <w:rFonts w:ascii="宋体" w:hAnsi="宋体" w:cs="宋体"/>
          <w:b/>
          <w:color w:val="auto"/>
          <w:sz w:val="24"/>
          <w:highlight w:val="none"/>
        </w:rPr>
      </w:pPr>
      <w:bookmarkStart w:id="6" w:name="_Toc57012847"/>
      <w:r>
        <w:rPr>
          <w:rFonts w:hint="eastAsia" w:ascii="宋体" w:hAnsi="宋体" w:cs="宋体"/>
          <w:b/>
          <w:bCs/>
          <w:color w:val="auto"/>
          <w:sz w:val="24"/>
          <w:highlight w:val="none"/>
        </w:rPr>
        <w:t>3、澄清与变更</w:t>
      </w:r>
      <w:bookmarkEnd w:id="6"/>
    </w:p>
    <w:p>
      <w:pPr>
        <w:spacing w:line="360" w:lineRule="auto"/>
        <w:ind w:firstLine="494" w:firstLineChars="206"/>
        <w:rPr>
          <w:rFonts w:ascii="宋体" w:hAnsi="宋体" w:cs="宋体"/>
          <w:b/>
          <w:bCs/>
          <w:color w:val="auto"/>
          <w:sz w:val="24"/>
          <w:highlight w:val="none"/>
        </w:rPr>
      </w:pPr>
      <w:r>
        <w:rPr>
          <w:rFonts w:hint="eastAsia" w:ascii="宋体" w:hAnsi="宋体" w:cs="宋体"/>
          <w:color w:val="auto"/>
          <w:sz w:val="24"/>
          <w:highlight w:val="none"/>
        </w:rPr>
        <w:t>采购人、采购代理购机构对已发出的竞争性磋商文件（采购文件）进行的澄清、更正或更改，澄清、更正或更改的内容将作为竞争性磋商文件（采购文件）的组成部分。采购代理购机构将通过网站“变更公告”或系统内部“答疑文件”告知投标人（供应商）。各投标人（供应商）须重新下载最新的竞争性磋商文件（采购文件）和答疑文件，依此编制投标文件（响应文件）。</w:t>
      </w:r>
    </w:p>
    <w:p>
      <w:pPr>
        <w:spacing w:line="360" w:lineRule="auto"/>
        <w:ind w:firstLine="602" w:firstLineChars="250"/>
        <w:jc w:val="left"/>
        <w:rPr>
          <w:rFonts w:ascii="宋体" w:hAnsi="宋体" w:cs="宋体"/>
          <w:b/>
          <w:bCs/>
          <w:color w:val="auto"/>
          <w:sz w:val="24"/>
          <w:highlight w:val="none"/>
        </w:rPr>
      </w:pPr>
      <w:r>
        <w:rPr>
          <w:rFonts w:hint="eastAsia" w:ascii="宋体" w:hAnsi="宋体" w:cs="宋体"/>
          <w:b/>
          <w:bCs/>
          <w:color w:val="auto"/>
          <w:sz w:val="24"/>
          <w:highlight w:val="none"/>
        </w:rPr>
        <w:t>4、因河南省公共资源交易中心平台在开标前对投标人（供应商）信息具有保密性，投标人（供应商）在投标文件（响应文件）递交截止时间前每天须自行查看项目进展、变更通知、澄清及回复等内容，因投标人（供应商）未及时查看而造成的后果由投标人（供应商）自行承担。</w:t>
      </w:r>
    </w:p>
    <w:p>
      <w:pPr>
        <w:spacing w:line="360" w:lineRule="auto"/>
        <w:ind w:firstLine="496" w:firstLineChars="206"/>
        <w:rPr>
          <w:rFonts w:ascii="宋体" w:hAnsi="宋体" w:cs="宋体"/>
          <w:b/>
          <w:color w:val="auto"/>
          <w:sz w:val="24"/>
          <w:highlight w:val="none"/>
        </w:rPr>
      </w:pPr>
      <w:r>
        <w:rPr>
          <w:rFonts w:hint="eastAsia" w:ascii="宋体" w:hAnsi="宋体" w:cs="宋体"/>
          <w:b/>
          <w:color w:val="auto"/>
          <w:sz w:val="24"/>
          <w:highlight w:val="none"/>
        </w:rPr>
        <w:t>5、评标（谈判、磋商）过程中的澄清</w:t>
      </w:r>
    </w:p>
    <w:p>
      <w:pPr>
        <w:spacing w:line="360" w:lineRule="auto"/>
        <w:ind w:firstLine="602" w:firstLineChars="250"/>
        <w:jc w:val="left"/>
        <w:rPr>
          <w:rFonts w:ascii="宋体" w:hAnsi="宋体" w:cs="宋体"/>
          <w:b/>
          <w:bCs/>
          <w:color w:val="auto"/>
          <w:sz w:val="24"/>
          <w:highlight w:val="none"/>
        </w:rPr>
      </w:pPr>
      <w:r>
        <w:rPr>
          <w:rFonts w:hint="eastAsia" w:ascii="宋体" w:hAnsi="宋体" w:cs="宋体"/>
          <w:b/>
          <w:color w:val="auto"/>
          <w:sz w:val="24"/>
          <w:highlight w:val="none"/>
        </w:rPr>
        <w:t>在评标（谈判、磋商）过程中，如果有必要，评标委员会（谈判小组、磋商小组）将通过河南省公共资源交易中心的交易系统要求投标人（供应商）对所提交投标文件（响应文件）中不明确的内容进行书面澄清或说明，或者对细微偏差进行补正。投标人（供应商）应当在评标结束前时刻关注系统内部发出的“澄清要求”，如果投标人（供应商）未在评标委员会（谈判小组、磋商小组）规定的时间内对要求澄清的内容进行回复，则一切不利后果均由该投标人（供应商）自行承担。</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6、根据《河南省公共资源交易中心关于推行全程不见面服务的通知》要求，除必须提交样品或现场演示情况外，所有项目均 </w:t>
      </w:r>
      <w:r>
        <w:rPr>
          <w:rFonts w:hint="eastAsia" w:ascii="宋体" w:hAnsi="宋体" w:cs="宋体"/>
          <w:b/>
          <w:bCs/>
          <w:color w:val="auto"/>
          <w:sz w:val="24"/>
          <w:highlight w:val="none"/>
          <w:u w:val="single"/>
        </w:rPr>
        <w:t>采用不见面磋商（谈判）</w:t>
      </w:r>
      <w:r>
        <w:rPr>
          <w:rFonts w:hint="eastAsia" w:ascii="宋体" w:hAnsi="宋体" w:cs="宋体"/>
          <w:b/>
          <w:bCs/>
          <w:color w:val="auto"/>
          <w:sz w:val="24"/>
          <w:highlight w:val="none"/>
        </w:rPr>
        <w:t>。供应商无需到河南省公共资源交易中心现场。供应商应当在采购文件确定的“响应文件递交截止时间前”，登录远程开标大厅，在线准时参加磋商活动并进行文件解密、答疑澄清、最后报价等。详情请查阅河南省公共资源交易中心网站→公共服务→办事指南（新交易平台使用手册（培训资料））。</w:t>
      </w:r>
    </w:p>
    <w:p>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网址：（http://www.hnggzy.net/ggfw/004003/20210909/834dab66-d4b5-4fde-b432-57f2a6cfbfed.html）</w:t>
      </w:r>
    </w:p>
    <w:p>
      <w:pPr>
        <w:spacing w:line="360" w:lineRule="auto"/>
        <w:ind w:firstLine="602" w:firstLineChars="250"/>
        <w:jc w:val="left"/>
        <w:rPr>
          <w:rFonts w:ascii="宋体" w:hAnsi="宋体" w:cs="宋体"/>
          <w:b/>
          <w:bCs/>
          <w:color w:val="auto"/>
          <w:sz w:val="24"/>
          <w:highlight w:val="none"/>
        </w:rPr>
      </w:pPr>
      <w:r>
        <w:rPr>
          <w:rFonts w:hint="eastAsia" w:ascii="宋体" w:hAnsi="宋体" w:cs="宋体"/>
          <w:b/>
          <w:bCs/>
          <w:color w:val="auto"/>
          <w:sz w:val="24"/>
          <w:highlight w:val="none"/>
          <w:u w:val="single"/>
        </w:rPr>
        <w:t>按照省交易中心的要求，为了不影响投标，交易主体（投标人、供应商）务必尽快根据自己的实际情况和竞争性磋商文件（采购文件）的要求，在网上添加市场主体类型，完善各投标人（供应商）主体库中的相应信息包括企业资质、业绩、人员、获奖、证书、纳税、社会保障、财务状况等竞争性磋商文件（采购文件）中要求的相应资料，并对新增主体类型进行CA证书激活，否则可能影响投标文件（响应文件）的制作，添加主体类型并激活证书后，新增主体类型的基本信息需要提交交易中心工作人员验证，验证时间为一个工作日，建议投标人（供应商）提前办理，以免影响下载竞争性磋商文件（采购文件）及投标。市场主体登记的信息在交易中心网站“市场主体库公示”专栏对外公开，接受社会监督，登记的信息必须真实准确、合法有效，如信息填写错误或者未及时更新信息或者弄虚作假的，自行承担相应的后果及责任</w:t>
      </w:r>
      <w:r>
        <w:rPr>
          <w:rFonts w:hint="eastAsia" w:ascii="宋体" w:hAnsi="宋体" w:cs="宋体"/>
          <w:b/>
          <w:bCs/>
          <w:color w:val="auto"/>
          <w:sz w:val="24"/>
          <w:highlight w:val="none"/>
        </w:rPr>
        <w:t>。</w:t>
      </w:r>
    </w:p>
    <w:p>
      <w:pPr>
        <w:spacing w:line="360" w:lineRule="auto"/>
        <w:ind w:firstLine="494" w:firstLineChars="206"/>
        <w:rPr>
          <w:rFonts w:ascii="宋体" w:hAnsi="宋体" w:cs="宋体"/>
          <w:color w:val="auto"/>
          <w:sz w:val="24"/>
          <w:highlight w:val="none"/>
        </w:rPr>
      </w:pPr>
      <w:r>
        <w:rPr>
          <w:rFonts w:hint="eastAsia" w:ascii="宋体" w:hAnsi="宋体" w:cs="宋体"/>
          <w:color w:val="auto"/>
          <w:sz w:val="24"/>
          <w:highlight w:val="none"/>
        </w:rPr>
        <w:t>河南省公共资源交易平台不见面服务系统使用指南（http://www.hnggzy.net/ggfw/004003/20210909/834dab66-d4b5-4fde-b432-57f2a6cfbfed.html）包括不见面服务操作手册-主体库信息（企业资质业绩人员等）补充、不见面服务操作手册-投标响应文件制作（投标人、供应商）、不见面服务操作手册-远程开标（投标人、供应商）、不见面服务操作手册-质疑异议（投标人、供应商）等，各投标人（供应商）一定要仔细研究。</w:t>
      </w:r>
    </w:p>
    <w:p>
      <w:pPr>
        <w:spacing w:line="360" w:lineRule="auto"/>
        <w:ind w:firstLine="496" w:firstLineChars="206"/>
        <w:jc w:val="left"/>
        <w:rPr>
          <w:rFonts w:ascii="宋体" w:hAnsi="宋体" w:cs="宋体"/>
          <w:b/>
          <w:bCs/>
          <w:color w:val="auto"/>
          <w:sz w:val="24"/>
          <w:highlight w:val="none"/>
        </w:rPr>
      </w:pPr>
      <w:r>
        <w:rPr>
          <w:rFonts w:hint="eastAsia" w:ascii="宋体" w:hAnsi="宋体" w:cs="宋体"/>
          <w:b/>
          <w:bCs/>
          <w:color w:val="auto"/>
          <w:sz w:val="24"/>
          <w:highlight w:val="none"/>
        </w:rPr>
        <w:t>竞争性磋商文件中“个人电子签章”是指个人的电子签名或个人电子章；“企业电子签章”是指企业（或单位）的电子章。</w:t>
      </w:r>
    </w:p>
    <w:p>
      <w:pPr>
        <w:spacing w:line="360" w:lineRule="auto"/>
        <w:ind w:firstLine="496" w:firstLineChars="206"/>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ind w:firstLine="579" w:firstLineChars="206"/>
        <w:jc w:val="center"/>
        <w:rPr>
          <w:rFonts w:ascii="宋体" w:hAnsi="宋体" w:cs="宋体"/>
          <w:color w:val="auto"/>
          <w:sz w:val="28"/>
          <w:szCs w:val="28"/>
          <w:highlight w:val="none"/>
        </w:rPr>
      </w:pPr>
      <w:r>
        <w:rPr>
          <w:rFonts w:hint="eastAsia" w:ascii="宋体" w:hAnsi="宋体" w:cs="宋体"/>
          <w:b/>
          <w:bCs/>
          <w:color w:val="auto"/>
          <w:sz w:val="28"/>
          <w:szCs w:val="28"/>
          <w:highlight w:val="none"/>
        </w:rPr>
        <w:t>河南省政府采购合同融资政策告知函</w:t>
      </w:r>
    </w:p>
    <w:p>
      <w:pPr>
        <w:spacing w:line="360" w:lineRule="auto"/>
        <w:ind w:firstLine="494" w:firstLineChars="206"/>
        <w:jc w:val="left"/>
        <w:rPr>
          <w:rFonts w:ascii="宋体" w:hAnsi="宋体" w:cs="宋体"/>
          <w:color w:val="auto"/>
          <w:sz w:val="24"/>
          <w:highlight w:val="none"/>
        </w:rPr>
      </w:pPr>
    </w:p>
    <w:p>
      <w:pPr>
        <w:spacing w:line="360" w:lineRule="auto"/>
        <w:ind w:firstLine="494" w:firstLineChars="206"/>
        <w:jc w:val="left"/>
        <w:rPr>
          <w:rFonts w:ascii="宋体" w:hAnsi="宋体" w:cs="宋体"/>
          <w:b/>
          <w:bCs/>
          <w:color w:val="auto"/>
          <w:sz w:val="24"/>
          <w:highlight w:val="none"/>
        </w:rPr>
      </w:pPr>
      <w:r>
        <w:rPr>
          <w:rFonts w:hint="eastAsia" w:ascii="宋体" w:hAnsi="宋体" w:cs="宋体"/>
          <w:color w:val="auto"/>
          <w:sz w:val="24"/>
          <w:highlight w:val="none"/>
        </w:rPr>
        <w:t>各供应商： 欢迎贵公司参与河南省政府采购活动! 政府采购合同融资是河南省财政厅支持中小微企业发展，针对参与政府采购活动的供应商融资难、融资贵问题推出的一项融资政策。贵公司若成为本次政府采购项目的成交成交供应商，可持政府采购合同向金融机构申请贷款，无需抵押、担保，融资机构将根据《河南省政府采购合同融资工作实施方案》（豫财【2017】10号)，按照双方自愿的原则提供便捷、优惠的贷款服务。 贷款渠道和提供贷款的金融机构，可在河南省政府采购网“河南省政府采购合同融资平台”查询联系。</w:t>
      </w:r>
    </w:p>
    <w:p>
      <w:pPr>
        <w:spacing w:line="360" w:lineRule="auto"/>
        <w:ind w:firstLine="662" w:firstLineChars="206"/>
        <w:jc w:val="center"/>
        <w:outlineLvl w:val="0"/>
        <w:rPr>
          <w:rFonts w:ascii="宋体" w:hAnsi="宋体" w:cs="宋体"/>
          <w:b/>
          <w:bCs/>
          <w:color w:val="auto"/>
          <w:sz w:val="32"/>
          <w:szCs w:val="32"/>
          <w:highlight w:val="none"/>
        </w:rPr>
        <w:sectPr>
          <w:headerReference r:id="rId6" w:type="default"/>
          <w:footerReference r:id="rId7" w:type="default"/>
          <w:pgSz w:w="11906" w:h="16839"/>
          <w:pgMar w:top="1134" w:right="1134" w:bottom="1134" w:left="1134" w:header="567" w:footer="567" w:gutter="0"/>
          <w:pgNumType w:start="1"/>
          <w:cols w:space="720" w:num="1"/>
        </w:sectPr>
      </w:pPr>
      <w:bookmarkStart w:id="7" w:name="_Toc15507"/>
    </w:p>
    <w:p>
      <w:pPr>
        <w:spacing w:line="360" w:lineRule="auto"/>
        <w:ind w:firstLine="662" w:firstLineChars="206"/>
        <w:jc w:val="center"/>
        <w:outlineLvl w:val="0"/>
        <w:rPr>
          <w:rFonts w:ascii="宋体" w:hAnsi="宋体" w:cs="宋体"/>
          <w:color w:val="auto"/>
          <w:sz w:val="32"/>
          <w:szCs w:val="32"/>
          <w:highlight w:val="none"/>
        </w:rPr>
      </w:pPr>
      <w:r>
        <w:rPr>
          <w:rFonts w:hint="eastAsia" w:ascii="宋体" w:hAnsi="宋体" w:cs="宋体"/>
          <w:b/>
          <w:bCs/>
          <w:color w:val="auto"/>
          <w:sz w:val="32"/>
          <w:szCs w:val="32"/>
          <w:highlight w:val="none"/>
        </w:rPr>
        <w:t xml:space="preserve">第一章   </w:t>
      </w:r>
      <w:bookmarkEnd w:id="2"/>
      <w:bookmarkStart w:id="8" w:name="_Toc376188785"/>
      <w:r>
        <w:rPr>
          <w:rFonts w:hint="eastAsia" w:ascii="宋体" w:hAnsi="宋体" w:cs="宋体"/>
          <w:b/>
          <w:bCs/>
          <w:color w:val="auto"/>
          <w:sz w:val="32"/>
          <w:szCs w:val="32"/>
          <w:highlight w:val="none"/>
        </w:rPr>
        <w:t>竞争性磋商公告</w:t>
      </w:r>
      <w:bookmarkEnd w:id="3"/>
      <w:bookmarkEnd w:id="7"/>
      <w:bookmarkEnd w:id="8"/>
    </w:p>
    <w:p>
      <w:pPr>
        <w:pBdr>
          <w:top w:val="single" w:color="auto" w:sz="4" w:space="1"/>
          <w:left w:val="single" w:color="auto" w:sz="4" w:space="4"/>
          <w:bottom w:val="single" w:color="auto" w:sz="4" w:space="1"/>
          <w:right w:val="single" w:color="auto" w:sz="4" w:space="4"/>
        </w:pBd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pPr>
        <w:pBdr>
          <w:top w:val="single" w:color="auto" w:sz="4" w:space="1"/>
          <w:left w:val="single" w:color="auto" w:sz="4" w:space="4"/>
          <w:bottom w:val="single" w:color="auto" w:sz="4" w:space="1"/>
          <w:right w:val="single" w:color="auto" w:sz="4" w:space="4"/>
        </w:pBdr>
        <w:spacing w:line="348"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lang w:eastAsia="zh-CN"/>
        </w:rPr>
        <w:t>河南医学高等专科学校职业卫生实训基地建设项目</w:t>
      </w:r>
      <w:r>
        <w:rPr>
          <w:rFonts w:hint="eastAsia" w:ascii="宋体" w:hAnsi="宋体" w:cs="宋体"/>
          <w:color w:val="auto"/>
          <w:sz w:val="24"/>
          <w:highlight w:val="none"/>
        </w:rPr>
        <w:t>的潜在供应商应登录“河南省公共资源交易中心网站（http://www.hnggzy.net）” 凭单位身份认证锁（CA数字证书）下载获取招标文件</w:t>
      </w:r>
      <w:r>
        <w:rPr>
          <w:rFonts w:hint="eastAsia" w:ascii="宋体" w:hAnsi="宋体" w:cs="宋体"/>
          <w:color w:val="auto"/>
          <w:kern w:val="0"/>
          <w:sz w:val="24"/>
          <w:highlight w:val="none"/>
        </w:rPr>
        <w:t>，</w:t>
      </w:r>
      <w:r>
        <w:rPr>
          <w:rFonts w:hint="eastAsia" w:ascii="宋体" w:hAnsi="宋体" w:cs="宋体"/>
          <w:color w:val="auto"/>
          <w:sz w:val="24"/>
          <w:highlight w:val="none"/>
        </w:rPr>
        <w:t>并</w:t>
      </w:r>
      <w:r>
        <w:rPr>
          <w:rFonts w:hint="eastAsia" w:ascii="宋体" w:hAnsi="宋体" w:cs="宋体"/>
          <w:color w:val="0000FF"/>
          <w:sz w:val="24"/>
          <w:highlight w:val="none"/>
        </w:rPr>
        <w:t>于2023</w:t>
      </w:r>
      <w:r>
        <w:rPr>
          <w:rFonts w:hint="eastAsia" w:ascii="宋体" w:hAnsi="宋体" w:cs="宋体"/>
          <w:bCs/>
          <w:color w:val="0000FF"/>
          <w:sz w:val="24"/>
          <w:highlight w:val="none"/>
        </w:rPr>
        <w:t>年</w:t>
      </w:r>
      <w:r>
        <w:rPr>
          <w:rFonts w:hint="eastAsia" w:ascii="宋体" w:hAnsi="宋体" w:cs="宋体"/>
          <w:bCs/>
          <w:color w:val="0000FF"/>
          <w:sz w:val="24"/>
          <w:highlight w:val="none"/>
          <w:lang w:val="en-US" w:eastAsia="zh-CN"/>
        </w:rPr>
        <w:t>09</w:t>
      </w:r>
      <w:r>
        <w:rPr>
          <w:rFonts w:hint="eastAsia" w:ascii="宋体" w:hAnsi="宋体" w:cs="宋体"/>
          <w:bCs/>
          <w:color w:val="0000FF"/>
          <w:sz w:val="24"/>
          <w:highlight w:val="none"/>
        </w:rPr>
        <w:t>月</w:t>
      </w:r>
      <w:r>
        <w:rPr>
          <w:rFonts w:hint="eastAsia" w:ascii="宋体" w:hAnsi="宋体" w:cs="宋体"/>
          <w:bCs/>
          <w:color w:val="0000FF"/>
          <w:sz w:val="24"/>
          <w:highlight w:val="none"/>
          <w:lang w:val="en-US" w:eastAsia="zh-CN"/>
        </w:rPr>
        <w:t>05</w:t>
      </w:r>
      <w:r>
        <w:rPr>
          <w:rFonts w:hint="eastAsia" w:ascii="宋体" w:hAnsi="宋体" w:cs="宋体"/>
          <w:bCs/>
          <w:color w:val="0000FF"/>
          <w:sz w:val="24"/>
          <w:highlight w:val="none"/>
        </w:rPr>
        <w:t>日09时00分（</w:t>
      </w:r>
      <w:r>
        <w:rPr>
          <w:rFonts w:hint="eastAsia" w:ascii="宋体" w:hAnsi="宋体" w:cs="宋体"/>
          <w:bCs/>
          <w:color w:val="auto"/>
          <w:sz w:val="24"/>
          <w:highlight w:val="none"/>
        </w:rPr>
        <w:t>北京时间）前提交响应文件。</w:t>
      </w:r>
    </w:p>
    <w:p>
      <w:pPr>
        <w:tabs>
          <w:tab w:val="left" w:pos="900"/>
        </w:tabs>
        <w:snapToGrid w:val="0"/>
        <w:spacing w:line="348" w:lineRule="auto"/>
        <w:rPr>
          <w:rFonts w:ascii="宋体" w:hAnsi="宋体" w:cs="宋体"/>
          <w:b/>
          <w:bCs/>
          <w:color w:val="auto"/>
          <w:kern w:val="0"/>
          <w:sz w:val="24"/>
          <w:highlight w:val="none"/>
        </w:rPr>
      </w:pPr>
      <w:r>
        <w:rPr>
          <w:rFonts w:hint="eastAsia" w:ascii="宋体" w:hAnsi="宋体" w:cs="宋体"/>
          <w:b/>
          <w:bCs/>
          <w:color w:val="auto"/>
          <w:sz w:val="24"/>
          <w:highlight w:val="none"/>
        </w:rPr>
        <w:t>一、</w:t>
      </w:r>
      <w:r>
        <w:rPr>
          <w:rFonts w:hint="eastAsia" w:ascii="宋体" w:hAnsi="宋体" w:cs="宋体"/>
          <w:b/>
          <w:bCs/>
          <w:color w:val="auto"/>
          <w:kern w:val="0"/>
          <w:sz w:val="24"/>
          <w:highlight w:val="none"/>
        </w:rPr>
        <w:t>项目基本情况</w:t>
      </w:r>
    </w:p>
    <w:p>
      <w:pPr>
        <w:tabs>
          <w:tab w:val="left" w:pos="900"/>
        </w:tabs>
        <w:snapToGrid w:val="0"/>
        <w:spacing w:line="348"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kern w:val="0"/>
          <w:sz w:val="24"/>
          <w:highlight w:val="none"/>
        </w:rPr>
        <w:t>项目编号：豫财磋商采购-2023-852</w:t>
      </w:r>
    </w:p>
    <w:p>
      <w:pPr>
        <w:tabs>
          <w:tab w:val="left" w:pos="900"/>
        </w:tabs>
        <w:snapToGrid w:val="0"/>
        <w:spacing w:line="348"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河南医学高等专科学校职业卫生实训基地建设项目</w:t>
      </w:r>
    </w:p>
    <w:p>
      <w:pPr>
        <w:tabs>
          <w:tab w:val="left" w:pos="900"/>
        </w:tabs>
        <w:snapToGrid w:val="0"/>
        <w:spacing w:line="348" w:lineRule="auto"/>
        <w:rPr>
          <w:rFonts w:ascii="宋体" w:hAnsi="宋体" w:cs="宋体"/>
          <w:color w:val="auto"/>
          <w:sz w:val="24"/>
          <w:highlight w:val="none"/>
        </w:rPr>
      </w:pPr>
      <w:r>
        <w:rPr>
          <w:rFonts w:hint="eastAsia" w:ascii="宋体" w:hAnsi="宋体" w:cs="宋体"/>
          <w:color w:val="auto"/>
          <w:sz w:val="24"/>
          <w:highlight w:val="none"/>
        </w:rPr>
        <w:t>3、采购方式：竞争性磋商</w:t>
      </w:r>
    </w:p>
    <w:p>
      <w:pPr>
        <w:tabs>
          <w:tab w:val="left" w:pos="900"/>
        </w:tabs>
        <w:snapToGrid w:val="0"/>
        <w:spacing w:line="348" w:lineRule="auto"/>
        <w:rPr>
          <w:rFonts w:ascii="宋体" w:hAnsi="宋体" w:cs="宋体"/>
          <w:bCs/>
          <w:color w:val="auto"/>
          <w:kern w:val="0"/>
          <w:sz w:val="24"/>
          <w:highlight w:val="none"/>
        </w:rPr>
      </w:pPr>
      <w:r>
        <w:rPr>
          <w:rFonts w:hint="eastAsia" w:ascii="宋体" w:hAnsi="宋体" w:cs="宋体"/>
          <w:bCs/>
          <w:color w:val="auto"/>
          <w:kern w:val="0"/>
          <w:sz w:val="24"/>
          <w:highlight w:val="none"/>
        </w:rPr>
        <w:t>4、预算金额：</w:t>
      </w:r>
      <w:r>
        <w:rPr>
          <w:rFonts w:hint="eastAsia" w:ascii="宋体" w:hAnsi="宋体" w:cs="宋体"/>
          <w:bCs/>
          <w:color w:val="auto"/>
          <w:kern w:val="0"/>
          <w:sz w:val="24"/>
          <w:highlight w:val="none"/>
          <w:lang w:eastAsia="zh-CN"/>
        </w:rPr>
        <w:t>1300000.00</w:t>
      </w:r>
      <w:r>
        <w:rPr>
          <w:rFonts w:hint="eastAsia" w:ascii="宋体" w:hAnsi="宋体" w:cs="宋体"/>
          <w:bCs/>
          <w:color w:val="auto"/>
          <w:kern w:val="0"/>
          <w:sz w:val="24"/>
          <w:highlight w:val="none"/>
        </w:rPr>
        <w:t>元</w:t>
      </w:r>
    </w:p>
    <w:p>
      <w:pPr>
        <w:pStyle w:val="4"/>
        <w:spacing w:line="348" w:lineRule="auto"/>
        <w:ind w:firstLine="420" w:firstLineChars="175"/>
        <w:rPr>
          <w:rFonts w:ascii="宋体" w:hAnsi="宋体" w:cs="宋体"/>
          <w:color w:val="auto"/>
          <w:highlight w:val="none"/>
        </w:rPr>
      </w:pPr>
      <w:r>
        <w:rPr>
          <w:rFonts w:hint="eastAsia" w:ascii="宋体" w:hAnsi="宋体" w:cs="宋体"/>
          <w:bCs/>
          <w:color w:val="auto"/>
          <w:kern w:val="0"/>
          <w:sz w:val="24"/>
          <w:szCs w:val="24"/>
          <w:highlight w:val="none"/>
        </w:rPr>
        <w:t>最高限价：</w:t>
      </w:r>
      <w:r>
        <w:rPr>
          <w:rFonts w:hint="eastAsia" w:ascii="宋体" w:hAnsi="宋体" w:cs="宋体"/>
          <w:bCs/>
          <w:color w:val="auto"/>
          <w:kern w:val="0"/>
          <w:sz w:val="24"/>
          <w:szCs w:val="24"/>
          <w:highlight w:val="none"/>
          <w:lang w:eastAsia="zh-CN"/>
        </w:rPr>
        <w:t>1300000.00</w:t>
      </w:r>
      <w:r>
        <w:rPr>
          <w:rFonts w:hint="eastAsia" w:ascii="宋体" w:hAnsi="宋体" w:cs="宋体"/>
          <w:bCs/>
          <w:color w:val="auto"/>
          <w:kern w:val="0"/>
          <w:sz w:val="24"/>
          <w:szCs w:val="24"/>
          <w:highlight w:val="none"/>
        </w:rPr>
        <w:t>元</w:t>
      </w:r>
    </w:p>
    <w:tbl>
      <w:tblPr>
        <w:tblStyle w:val="50"/>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091"/>
        <w:gridCol w:w="2753"/>
        <w:gridCol w:w="2019"/>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68" w:type="dxa"/>
            <w:shd w:val="clear" w:color="auto" w:fill="D7D7D7"/>
            <w:vAlign w:val="center"/>
          </w:tcPr>
          <w:p>
            <w:pPr>
              <w:tabs>
                <w:tab w:val="left" w:pos="900"/>
              </w:tabs>
              <w:snapToGrid w:val="0"/>
              <w:spacing w:line="348" w:lineRule="auto"/>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2091" w:type="dxa"/>
            <w:shd w:val="clear" w:color="auto" w:fill="D7D7D7"/>
            <w:vAlign w:val="center"/>
          </w:tcPr>
          <w:p>
            <w:pPr>
              <w:tabs>
                <w:tab w:val="left" w:pos="900"/>
              </w:tabs>
              <w:snapToGrid w:val="0"/>
              <w:spacing w:line="348" w:lineRule="auto"/>
              <w:jc w:val="center"/>
              <w:rPr>
                <w:rFonts w:ascii="宋体" w:hAnsi="宋体" w:cs="宋体"/>
                <w:bCs/>
                <w:color w:val="auto"/>
                <w:sz w:val="24"/>
                <w:highlight w:val="none"/>
              </w:rPr>
            </w:pPr>
            <w:r>
              <w:rPr>
                <w:rFonts w:hint="eastAsia" w:ascii="宋体" w:hAnsi="宋体" w:cs="宋体"/>
                <w:bCs/>
                <w:color w:val="auto"/>
                <w:sz w:val="24"/>
                <w:highlight w:val="none"/>
              </w:rPr>
              <w:t>包号</w:t>
            </w:r>
          </w:p>
        </w:tc>
        <w:tc>
          <w:tcPr>
            <w:tcW w:w="2753" w:type="dxa"/>
            <w:shd w:val="clear" w:color="auto" w:fill="D7D7D7"/>
            <w:vAlign w:val="center"/>
          </w:tcPr>
          <w:p>
            <w:pPr>
              <w:tabs>
                <w:tab w:val="left" w:pos="900"/>
              </w:tabs>
              <w:snapToGrid w:val="0"/>
              <w:spacing w:line="348" w:lineRule="auto"/>
              <w:jc w:val="center"/>
              <w:rPr>
                <w:rFonts w:ascii="宋体" w:hAnsi="宋体" w:cs="宋体"/>
                <w:bCs/>
                <w:color w:val="auto"/>
                <w:sz w:val="24"/>
                <w:highlight w:val="none"/>
              </w:rPr>
            </w:pPr>
            <w:r>
              <w:rPr>
                <w:rFonts w:hint="eastAsia" w:ascii="宋体" w:hAnsi="宋体" w:cs="宋体"/>
                <w:bCs/>
                <w:color w:val="auto"/>
                <w:sz w:val="24"/>
                <w:highlight w:val="none"/>
              </w:rPr>
              <w:t>包名称</w:t>
            </w:r>
          </w:p>
        </w:tc>
        <w:tc>
          <w:tcPr>
            <w:tcW w:w="2019" w:type="dxa"/>
            <w:shd w:val="clear" w:color="auto" w:fill="D7D7D7"/>
            <w:vAlign w:val="center"/>
          </w:tcPr>
          <w:p>
            <w:pPr>
              <w:tabs>
                <w:tab w:val="left" w:pos="900"/>
              </w:tabs>
              <w:snapToGrid w:val="0"/>
              <w:spacing w:line="348" w:lineRule="auto"/>
              <w:jc w:val="center"/>
              <w:rPr>
                <w:rFonts w:ascii="宋体" w:hAnsi="宋体" w:cs="宋体"/>
                <w:bCs/>
                <w:color w:val="auto"/>
                <w:sz w:val="24"/>
                <w:highlight w:val="none"/>
              </w:rPr>
            </w:pPr>
            <w:r>
              <w:rPr>
                <w:rFonts w:hint="eastAsia" w:ascii="宋体" w:hAnsi="宋体" w:cs="宋体"/>
                <w:bCs/>
                <w:color w:val="auto"/>
                <w:sz w:val="24"/>
                <w:highlight w:val="none"/>
              </w:rPr>
              <w:t>包预算（元）</w:t>
            </w:r>
          </w:p>
        </w:tc>
        <w:tc>
          <w:tcPr>
            <w:tcW w:w="1609" w:type="dxa"/>
            <w:shd w:val="clear" w:color="auto" w:fill="D7D7D7"/>
            <w:vAlign w:val="center"/>
          </w:tcPr>
          <w:p>
            <w:pPr>
              <w:kinsoku w:val="0"/>
              <w:overflowPunct w:val="0"/>
              <w:autoSpaceDE w:val="0"/>
              <w:autoSpaceDN w:val="0"/>
              <w:adjustRightInd w:val="0"/>
              <w:snapToGrid w:val="0"/>
              <w:spacing w:line="348" w:lineRule="auto"/>
              <w:jc w:val="center"/>
              <w:rPr>
                <w:rFonts w:ascii="宋体" w:hAnsi="宋体" w:cs="宋体"/>
                <w:color w:val="auto"/>
                <w:sz w:val="24"/>
                <w:highlight w:val="none"/>
              </w:rPr>
            </w:pPr>
            <w:r>
              <w:rPr>
                <w:rFonts w:hint="eastAsia" w:ascii="宋体" w:hAnsi="宋体" w:cs="宋体"/>
                <w:color w:val="auto"/>
                <w:sz w:val="24"/>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68" w:type="dxa"/>
            <w:vAlign w:val="center"/>
          </w:tcPr>
          <w:p>
            <w:pPr>
              <w:kinsoku w:val="0"/>
              <w:overflowPunct w:val="0"/>
              <w:autoSpaceDE w:val="0"/>
              <w:autoSpaceDN w:val="0"/>
              <w:adjustRightInd w:val="0"/>
              <w:snapToGrid w:val="0"/>
              <w:spacing w:line="348"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2091" w:type="dxa"/>
            <w:vAlign w:val="center"/>
          </w:tcPr>
          <w:p>
            <w:pPr>
              <w:tabs>
                <w:tab w:val="left" w:pos="900"/>
              </w:tabs>
              <w:snapToGrid w:val="0"/>
              <w:spacing w:line="348" w:lineRule="auto"/>
              <w:jc w:val="center"/>
              <w:rPr>
                <w:rFonts w:ascii="宋体" w:hAnsi="宋体" w:cs="宋体"/>
                <w:bCs/>
                <w:color w:val="auto"/>
                <w:sz w:val="24"/>
                <w:highlight w:val="none"/>
              </w:rPr>
            </w:pPr>
            <w:r>
              <w:rPr>
                <w:rFonts w:hint="default" w:ascii="宋体" w:hAnsi="宋体" w:cs="宋体"/>
                <w:bCs/>
                <w:color w:val="auto"/>
                <w:sz w:val="24"/>
                <w:highlight w:val="none"/>
              </w:rPr>
              <w:t>豫政采(2)20231279-1</w:t>
            </w:r>
          </w:p>
        </w:tc>
        <w:tc>
          <w:tcPr>
            <w:tcW w:w="2753" w:type="dxa"/>
            <w:vAlign w:val="center"/>
          </w:tcPr>
          <w:p>
            <w:pPr>
              <w:tabs>
                <w:tab w:val="left" w:pos="900"/>
              </w:tabs>
              <w:snapToGrid w:val="0"/>
              <w:spacing w:line="348"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河南医学高等专科学校职业卫生实训基地建设项目</w:t>
            </w:r>
          </w:p>
        </w:tc>
        <w:tc>
          <w:tcPr>
            <w:tcW w:w="2019" w:type="dxa"/>
            <w:vAlign w:val="center"/>
          </w:tcPr>
          <w:p>
            <w:pPr>
              <w:tabs>
                <w:tab w:val="left" w:pos="900"/>
              </w:tabs>
              <w:snapToGrid w:val="0"/>
              <w:spacing w:line="348"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1300000.00</w:t>
            </w:r>
          </w:p>
        </w:tc>
        <w:tc>
          <w:tcPr>
            <w:tcW w:w="1609" w:type="dxa"/>
            <w:vAlign w:val="center"/>
          </w:tcPr>
          <w:p>
            <w:pPr>
              <w:kinsoku w:val="0"/>
              <w:overflowPunct w:val="0"/>
              <w:autoSpaceDE w:val="0"/>
              <w:autoSpaceDN w:val="0"/>
              <w:adjustRightInd w:val="0"/>
              <w:snapToGrid w:val="0"/>
              <w:spacing w:line="348" w:lineRule="auto"/>
              <w:jc w:val="center"/>
              <w:rPr>
                <w:rFonts w:hint="eastAsia" w:ascii="宋体" w:hAnsi="宋体" w:eastAsia="宋体" w:cs="宋体"/>
                <w:color w:val="auto"/>
                <w:sz w:val="24"/>
                <w:highlight w:val="none"/>
                <w:lang w:eastAsia="zh-CN"/>
              </w:rPr>
            </w:pPr>
            <w:r>
              <w:rPr>
                <w:rFonts w:hint="eastAsia" w:ascii="宋体" w:hAnsi="宋体" w:cs="宋体"/>
                <w:bCs/>
                <w:color w:val="auto"/>
                <w:kern w:val="0"/>
                <w:sz w:val="24"/>
                <w:highlight w:val="none"/>
                <w:lang w:eastAsia="zh-CN"/>
              </w:rPr>
              <w:t>1300000.00</w:t>
            </w:r>
          </w:p>
        </w:tc>
      </w:tr>
    </w:tbl>
    <w:p>
      <w:pPr>
        <w:numPr>
          <w:ilvl w:val="0"/>
          <w:numId w:val="2"/>
        </w:numPr>
        <w:tabs>
          <w:tab w:val="left" w:pos="900"/>
        </w:tabs>
        <w:snapToGrid w:val="0"/>
        <w:spacing w:line="348" w:lineRule="auto"/>
        <w:rPr>
          <w:rFonts w:ascii="宋体" w:hAnsi="宋体" w:cs="宋体"/>
          <w:bCs/>
          <w:color w:val="auto"/>
          <w:kern w:val="0"/>
          <w:sz w:val="24"/>
          <w:highlight w:val="none"/>
        </w:rPr>
      </w:pPr>
      <w:r>
        <w:rPr>
          <w:rFonts w:hint="eastAsia" w:ascii="宋体" w:hAnsi="宋体" w:cs="宋体"/>
          <w:bCs/>
          <w:color w:val="auto"/>
          <w:kern w:val="0"/>
          <w:sz w:val="24"/>
          <w:highlight w:val="none"/>
        </w:rPr>
        <w:t>采购需求（包括但不限于标的的名称、数量、简要技术需求或服务要求等）</w:t>
      </w:r>
    </w:p>
    <w:p>
      <w:pPr>
        <w:tabs>
          <w:tab w:val="left" w:pos="900"/>
        </w:tabs>
        <w:snapToGrid w:val="0"/>
        <w:spacing w:line="348" w:lineRule="auto"/>
        <w:ind w:left="420"/>
        <w:rPr>
          <w:rFonts w:ascii="宋体" w:hAnsi="宋体" w:cs="宋体"/>
          <w:color w:val="auto"/>
          <w:sz w:val="24"/>
          <w:highlight w:val="none"/>
        </w:rPr>
      </w:pPr>
      <w:r>
        <w:rPr>
          <w:rFonts w:hint="eastAsia" w:ascii="宋体" w:hAnsi="宋体" w:cs="宋体"/>
          <w:color w:val="auto"/>
          <w:sz w:val="24"/>
          <w:highlight w:val="none"/>
        </w:rPr>
        <w:t>5.1采购内容：</w:t>
      </w:r>
    </w:p>
    <w:tbl>
      <w:tblPr>
        <w:tblStyle w:val="50"/>
        <w:tblW w:w="5256" w:type="pct"/>
        <w:jc w:val="center"/>
        <w:tblLayout w:type="autofit"/>
        <w:tblCellMar>
          <w:top w:w="0" w:type="dxa"/>
          <w:left w:w="108" w:type="dxa"/>
          <w:bottom w:w="0" w:type="dxa"/>
          <w:right w:w="108" w:type="dxa"/>
        </w:tblCellMar>
      </w:tblPr>
      <w:tblGrid>
        <w:gridCol w:w="1389"/>
        <w:gridCol w:w="5004"/>
        <w:gridCol w:w="1827"/>
        <w:gridCol w:w="1244"/>
      </w:tblGrid>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序号</w:t>
            </w:r>
          </w:p>
        </w:tc>
        <w:tc>
          <w:tcPr>
            <w:tcW w:w="2643"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设备名称</w:t>
            </w:r>
          </w:p>
        </w:tc>
        <w:tc>
          <w:tcPr>
            <w:tcW w:w="965" w:type="pct"/>
            <w:tcBorders>
              <w:top w:val="single" w:color="auto" w:sz="4" w:space="0"/>
              <w:left w:val="nil"/>
              <w:bottom w:val="nil"/>
              <w:right w:val="single" w:color="auto" w:sz="4" w:space="0"/>
            </w:tcBorders>
            <w:shd w:val="clear" w:color="auto" w:fill="D7D7D7" w:themeFill="background1" w:themeFillShade="D8"/>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单位</w:t>
            </w:r>
          </w:p>
        </w:tc>
        <w:tc>
          <w:tcPr>
            <w:tcW w:w="657" w:type="pct"/>
            <w:tcBorders>
              <w:top w:val="single" w:color="auto" w:sz="4" w:space="0"/>
              <w:left w:val="nil"/>
              <w:bottom w:val="nil"/>
              <w:right w:val="single" w:color="auto" w:sz="4" w:space="0"/>
            </w:tcBorders>
            <w:shd w:val="clear" w:color="auto" w:fill="D7D7D7" w:themeFill="background1" w:themeFillShade="D8"/>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r>
      <w:tr>
        <w:tblPrEx>
          <w:tblCellMar>
            <w:top w:w="0" w:type="dxa"/>
            <w:left w:w="108" w:type="dxa"/>
            <w:bottom w:w="0" w:type="dxa"/>
            <w:right w:w="108" w:type="dxa"/>
          </w:tblCellMar>
        </w:tblPrEx>
        <w:trPr>
          <w:trHeight w:val="90"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标准声源</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2</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黑球湿球温度计</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2</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紫外辐照计（多探头）</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4</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264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热球风速仪</w:t>
            </w:r>
          </w:p>
        </w:tc>
        <w:tc>
          <w:tcPr>
            <w:tcW w:w="96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5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2</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电磁场测定仪</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1</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通风多参数检测仪</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1</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机械式通风干湿表</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4</w:t>
            </w:r>
          </w:p>
        </w:tc>
      </w:tr>
      <w:tr>
        <w:tblPrEx>
          <w:tblCellMar>
            <w:top w:w="0" w:type="dxa"/>
            <w:left w:w="108" w:type="dxa"/>
            <w:bottom w:w="0" w:type="dxa"/>
            <w:right w:w="108" w:type="dxa"/>
          </w:tblCellMar>
        </w:tblPrEx>
        <w:trPr>
          <w:cantSplit/>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防爆采样器</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台</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cs="宋体"/>
                <w:kern w:val="0"/>
                <w:sz w:val="24"/>
                <w:szCs w:val="24"/>
                <w:highlight w:val="none"/>
              </w:rPr>
              <w:t>2</w:t>
            </w:r>
          </w:p>
        </w:tc>
      </w:tr>
      <w:tr>
        <w:tblPrEx>
          <w:tblCellMar>
            <w:top w:w="0" w:type="dxa"/>
            <w:left w:w="108" w:type="dxa"/>
            <w:bottom w:w="0" w:type="dxa"/>
            <w:right w:w="108" w:type="dxa"/>
          </w:tblCellMar>
        </w:tblPrEx>
        <w:trPr>
          <w:cantSplit/>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防爆粉尘采样器（定点）</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ascii="宋体" w:hAnsi="宋体" w:cs="宋体"/>
                <w:kern w:val="0"/>
                <w:sz w:val="24"/>
                <w:szCs w:val="24"/>
              </w:rPr>
              <w:t>4</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个体粉尘采样器</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台</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cs="宋体"/>
                <w:kern w:val="0"/>
                <w:sz w:val="24"/>
                <w:szCs w:val="24"/>
                <w:highlight w:val="none"/>
              </w:rPr>
              <w:t>4</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个体大气采样泵</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4</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电子皂膜流量计</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1</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自动烟尘气测试仪</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1</w:t>
            </w:r>
          </w:p>
        </w:tc>
      </w:tr>
      <w:tr>
        <w:tblPrEx>
          <w:tblCellMar>
            <w:top w:w="0" w:type="dxa"/>
            <w:left w:w="108" w:type="dxa"/>
            <w:bottom w:w="0" w:type="dxa"/>
            <w:right w:w="108" w:type="dxa"/>
          </w:tblCellMar>
        </w:tblPrEx>
        <w:trPr>
          <w:trHeight w:val="90"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14</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便携式红外线CO</w:t>
            </w:r>
            <w:r>
              <w:rPr>
                <w:rFonts w:hint="eastAsia" w:ascii="宋体" w:hAnsi="宋体" w:eastAsia="宋体" w:cs="宋体"/>
                <w:kern w:val="0"/>
                <w:sz w:val="24"/>
                <w:szCs w:val="24"/>
                <w:highlight w:val="none"/>
                <w:vertAlign w:val="subscript"/>
              </w:rPr>
              <w:t>2</w:t>
            </w:r>
            <w:r>
              <w:rPr>
                <w:rFonts w:hint="eastAsia" w:ascii="宋体" w:hAnsi="宋体" w:eastAsia="宋体" w:cs="宋体"/>
                <w:kern w:val="0"/>
                <w:sz w:val="24"/>
                <w:szCs w:val="24"/>
                <w:highlight w:val="none"/>
              </w:rPr>
              <w:t>分析器</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台</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cs="宋体"/>
                <w:kern w:val="0"/>
                <w:sz w:val="24"/>
                <w:szCs w:val="24"/>
                <w:highlight w:val="none"/>
              </w:rPr>
              <w:t>2</w:t>
            </w:r>
          </w:p>
        </w:tc>
      </w:tr>
      <w:tr>
        <w:tblPrEx>
          <w:tblCellMar>
            <w:top w:w="0" w:type="dxa"/>
            <w:left w:w="108" w:type="dxa"/>
            <w:bottom w:w="0" w:type="dxa"/>
            <w:right w:w="108" w:type="dxa"/>
          </w:tblCellMar>
        </w:tblPrEx>
        <w:trPr>
          <w:trHeight w:val="90"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紫外可见分光光度计</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2</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bookmarkStart w:id="9" w:name="_Hlk126911767"/>
            <w:r>
              <w:rPr>
                <w:rFonts w:hint="eastAsia" w:ascii="宋体" w:hAnsi="宋体" w:eastAsia="宋体" w:cs="宋体"/>
                <w:kern w:val="0"/>
                <w:sz w:val="24"/>
                <w:szCs w:val="24"/>
                <w:lang w:val="en-US" w:eastAsia="zh-CN"/>
              </w:rPr>
              <w:t>16</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原子吸收光谱仪</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1</w:t>
            </w:r>
          </w:p>
        </w:tc>
      </w:tr>
      <w:bookmarkEnd w:id="9"/>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bookmarkStart w:id="10" w:name="_Hlk126912326"/>
            <w:r>
              <w:rPr>
                <w:rFonts w:hint="eastAsia" w:ascii="宋体" w:hAnsi="宋体" w:eastAsia="宋体" w:cs="宋体"/>
                <w:kern w:val="0"/>
                <w:sz w:val="24"/>
                <w:szCs w:val="24"/>
                <w:lang w:val="en-US" w:eastAsia="zh-CN"/>
              </w:rPr>
              <w:t>17</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高效液相色谱仪</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1</w:t>
            </w:r>
          </w:p>
        </w:tc>
      </w:tr>
      <w:bookmarkEnd w:id="10"/>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十万分之一电子分析天平</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1</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可燃性气体报警系统</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1</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观片灯</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12</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尘肺病诊断标准片</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12</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电子血压计</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24</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实验室不锈钢推车</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4</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边台</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米</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8</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不锈钢一体水池柜</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米</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8.4</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26</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PP水槽柜</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米</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洗眼器</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11</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黄色危险化学品柜</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1</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29</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天平室</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平方米</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56</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天平台</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1</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正压式呼吸器</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4</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w:t>
            </w:r>
          </w:p>
        </w:tc>
        <w:tc>
          <w:tcPr>
            <w:tcW w:w="2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氧气呼吸器</w:t>
            </w:r>
          </w:p>
        </w:tc>
        <w:tc>
          <w:tcPr>
            <w:tcW w:w="9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65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szCs w:val="24"/>
              </w:rPr>
              <w:t>4</w:t>
            </w:r>
          </w:p>
        </w:tc>
      </w:tr>
      <w:tr>
        <w:tblPrEx>
          <w:tblCellMar>
            <w:top w:w="0" w:type="dxa"/>
            <w:left w:w="108" w:type="dxa"/>
            <w:bottom w:w="0" w:type="dxa"/>
            <w:right w:w="108" w:type="dxa"/>
          </w:tblCellMar>
        </w:tblPrEx>
        <w:trPr>
          <w:trHeight w:val="375" w:hRule="atLeast"/>
          <w:jc w:val="center"/>
        </w:trPr>
        <w:tc>
          <w:tcPr>
            <w:tcW w:w="7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w:t>
            </w:r>
          </w:p>
        </w:tc>
        <w:tc>
          <w:tcPr>
            <w:tcW w:w="26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背负式手动喷雾器</w:t>
            </w:r>
          </w:p>
        </w:tc>
        <w:tc>
          <w:tcPr>
            <w:tcW w:w="96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657"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kern w:val="0"/>
                <w:sz w:val="24"/>
                <w:szCs w:val="24"/>
              </w:rPr>
            </w:pPr>
            <w:r>
              <w:rPr>
                <w:rFonts w:ascii="宋体" w:hAnsi="宋体" w:cs="宋体"/>
                <w:kern w:val="0"/>
                <w:sz w:val="24"/>
                <w:szCs w:val="24"/>
              </w:rPr>
              <w:t>8</w:t>
            </w:r>
          </w:p>
        </w:tc>
      </w:tr>
    </w:tbl>
    <w:p>
      <w:pPr>
        <w:pStyle w:val="28"/>
        <w:ind w:left="1260"/>
        <w:rPr>
          <w:color w:val="auto"/>
          <w:highlight w:val="none"/>
        </w:rPr>
      </w:pPr>
    </w:p>
    <w:p>
      <w:pPr>
        <w:tabs>
          <w:tab w:val="left" w:pos="900"/>
        </w:tabs>
        <w:snapToGrid w:val="0"/>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注：包括安装、检测、调试、试运行、验收交付售后保修及相关伴随服务等。</w:t>
      </w:r>
    </w:p>
    <w:p>
      <w:pPr>
        <w:tabs>
          <w:tab w:val="left" w:pos="900"/>
        </w:tabs>
        <w:snapToGrid w:val="0"/>
        <w:spacing w:line="348" w:lineRule="auto"/>
        <w:ind w:left="420"/>
        <w:rPr>
          <w:rFonts w:ascii="宋体" w:hAnsi="宋体" w:cs="宋体"/>
          <w:color w:val="auto"/>
          <w:sz w:val="24"/>
          <w:highlight w:val="none"/>
        </w:rPr>
      </w:pPr>
      <w:r>
        <w:rPr>
          <w:rFonts w:hint="eastAsia" w:ascii="宋体" w:hAnsi="宋体" w:cs="宋体"/>
          <w:color w:val="auto"/>
          <w:sz w:val="24"/>
          <w:highlight w:val="none"/>
        </w:rPr>
        <w:t>5.2 质量标准：满足采购人要求。</w:t>
      </w:r>
    </w:p>
    <w:p>
      <w:pPr>
        <w:tabs>
          <w:tab w:val="left" w:pos="900"/>
        </w:tabs>
        <w:snapToGrid w:val="0"/>
        <w:spacing w:line="348" w:lineRule="auto"/>
        <w:ind w:firstLine="408" w:firstLineChars="170"/>
        <w:rPr>
          <w:rFonts w:ascii="宋体" w:hAnsi="宋体" w:cs="宋体"/>
          <w:color w:val="auto"/>
          <w:sz w:val="24"/>
          <w:highlight w:val="none"/>
        </w:rPr>
      </w:pPr>
      <w:r>
        <w:rPr>
          <w:rFonts w:hint="eastAsia" w:ascii="宋体" w:hAnsi="宋体" w:cs="宋体"/>
          <w:color w:val="auto"/>
          <w:sz w:val="24"/>
          <w:highlight w:val="none"/>
        </w:rPr>
        <w:t>5.3 交货期：</w:t>
      </w:r>
      <w:r>
        <w:rPr>
          <w:rFonts w:hint="eastAsia" w:ascii="宋体" w:hAnsi="宋体" w:cs="宋体"/>
          <w:color w:val="auto"/>
          <w:sz w:val="24"/>
          <w:highlight w:val="none"/>
          <w:lang w:eastAsia="zh-CN"/>
        </w:rPr>
        <w:t>合同</w:t>
      </w:r>
      <w:bookmarkStart w:id="905" w:name="_GoBack"/>
      <w:bookmarkEnd w:id="905"/>
      <w:r>
        <w:rPr>
          <w:rFonts w:hint="eastAsia" w:ascii="宋体" w:hAnsi="宋体" w:cs="宋体"/>
          <w:color w:val="auto"/>
          <w:sz w:val="24"/>
          <w:highlight w:val="none"/>
          <w:lang w:eastAsia="zh-CN"/>
        </w:rPr>
        <w:t>签订后10天内</w:t>
      </w:r>
      <w:r>
        <w:rPr>
          <w:rFonts w:hint="eastAsia" w:ascii="宋体" w:hAnsi="宋体" w:cs="宋体"/>
          <w:color w:val="auto"/>
          <w:sz w:val="24"/>
          <w:highlight w:val="none"/>
        </w:rPr>
        <w:t>。</w:t>
      </w:r>
    </w:p>
    <w:p>
      <w:pPr>
        <w:tabs>
          <w:tab w:val="left" w:pos="900"/>
        </w:tabs>
        <w:snapToGrid w:val="0"/>
        <w:spacing w:line="348" w:lineRule="auto"/>
        <w:ind w:firstLine="408" w:firstLineChars="170"/>
        <w:rPr>
          <w:rFonts w:ascii="宋体" w:hAnsi="宋体" w:cs="宋体"/>
          <w:color w:val="auto"/>
          <w:sz w:val="24"/>
          <w:highlight w:val="none"/>
        </w:rPr>
      </w:pPr>
      <w:r>
        <w:rPr>
          <w:rFonts w:hint="eastAsia" w:ascii="宋体" w:hAnsi="宋体" w:cs="宋体"/>
          <w:color w:val="auto"/>
          <w:sz w:val="24"/>
          <w:highlight w:val="none"/>
        </w:rPr>
        <w:t>5.4质量保证期：项目验收完成后3年。</w:t>
      </w:r>
    </w:p>
    <w:p>
      <w:pPr>
        <w:tabs>
          <w:tab w:val="left" w:pos="900"/>
        </w:tabs>
        <w:snapToGrid w:val="0"/>
        <w:spacing w:line="348" w:lineRule="auto"/>
        <w:rPr>
          <w:rFonts w:ascii="宋体" w:hAnsi="宋体" w:cs="宋体"/>
          <w:color w:val="auto"/>
          <w:sz w:val="24"/>
          <w:highlight w:val="none"/>
        </w:rPr>
      </w:pPr>
      <w:r>
        <w:rPr>
          <w:rFonts w:hint="eastAsia" w:ascii="宋体" w:hAnsi="宋体" w:cs="宋体"/>
          <w:color w:val="auto"/>
          <w:sz w:val="24"/>
          <w:highlight w:val="none"/>
        </w:rPr>
        <w:t>6、合同履行期限：自合同生效起至质保期结束。</w:t>
      </w:r>
    </w:p>
    <w:p>
      <w:pPr>
        <w:tabs>
          <w:tab w:val="left" w:pos="900"/>
        </w:tabs>
        <w:snapToGrid w:val="0"/>
        <w:spacing w:line="348" w:lineRule="auto"/>
        <w:rPr>
          <w:rFonts w:ascii="宋体" w:hAnsi="宋体" w:cs="宋体"/>
          <w:color w:val="auto"/>
          <w:sz w:val="24"/>
          <w:highlight w:val="none"/>
        </w:rPr>
      </w:pPr>
      <w:r>
        <w:rPr>
          <w:rFonts w:hint="eastAsia" w:ascii="宋体" w:hAnsi="宋体" w:cs="宋体"/>
          <w:color w:val="auto"/>
          <w:sz w:val="24"/>
          <w:highlight w:val="none"/>
        </w:rPr>
        <w:t>7、本项目是否接受联合体投标：否</w:t>
      </w:r>
    </w:p>
    <w:p>
      <w:pPr>
        <w:spacing w:line="348" w:lineRule="auto"/>
        <w:rPr>
          <w:rFonts w:ascii="宋体" w:hAnsi="宋体" w:cs="宋体"/>
          <w:color w:val="auto"/>
          <w:sz w:val="24"/>
          <w:highlight w:val="none"/>
        </w:rPr>
      </w:pPr>
      <w:r>
        <w:rPr>
          <w:rFonts w:hint="eastAsia" w:ascii="宋体" w:hAnsi="宋体" w:cs="宋体"/>
          <w:color w:val="auto"/>
          <w:sz w:val="24"/>
          <w:highlight w:val="none"/>
        </w:rPr>
        <w:t>8、是否接受进口产品：否</w:t>
      </w:r>
    </w:p>
    <w:p>
      <w:pPr>
        <w:spacing w:line="348" w:lineRule="auto"/>
        <w:rPr>
          <w:rFonts w:ascii="宋体" w:hAnsi="宋体" w:cs="宋体"/>
          <w:color w:val="auto"/>
          <w:sz w:val="24"/>
          <w:highlight w:val="none"/>
        </w:rPr>
      </w:pPr>
      <w:r>
        <w:rPr>
          <w:rFonts w:hint="eastAsia" w:ascii="宋体" w:hAnsi="宋体" w:cs="宋体"/>
          <w:color w:val="auto"/>
          <w:sz w:val="24"/>
          <w:highlight w:val="none"/>
        </w:rPr>
        <w:t>9、是否专门面向中小企业采购：否</w:t>
      </w:r>
    </w:p>
    <w:p>
      <w:pPr>
        <w:tabs>
          <w:tab w:val="left" w:pos="900"/>
        </w:tabs>
        <w:snapToGrid w:val="0"/>
        <w:spacing w:line="348" w:lineRule="auto"/>
        <w:rPr>
          <w:rFonts w:ascii="宋体" w:hAnsi="宋体" w:cs="宋体"/>
          <w:b/>
          <w:bCs/>
          <w:color w:val="auto"/>
          <w:sz w:val="24"/>
          <w:highlight w:val="none"/>
        </w:rPr>
      </w:pPr>
      <w:bookmarkStart w:id="11" w:name="_Toc35393622"/>
      <w:bookmarkStart w:id="12" w:name="_Toc28359003"/>
      <w:bookmarkStart w:id="13" w:name="_Toc28359080"/>
      <w:bookmarkStart w:id="14" w:name="_Toc35393791"/>
      <w:r>
        <w:rPr>
          <w:rFonts w:hint="eastAsia" w:ascii="宋体" w:hAnsi="宋体" w:cs="宋体"/>
          <w:b/>
          <w:bCs/>
          <w:color w:val="auto"/>
          <w:sz w:val="24"/>
          <w:highlight w:val="none"/>
        </w:rPr>
        <w:t>二、申请人资格要求：</w:t>
      </w:r>
      <w:bookmarkEnd w:id="11"/>
      <w:bookmarkEnd w:id="12"/>
      <w:bookmarkEnd w:id="13"/>
      <w:bookmarkEnd w:id="14"/>
    </w:p>
    <w:p>
      <w:pPr>
        <w:spacing w:line="348" w:lineRule="auto"/>
        <w:jc w:val="left"/>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pacing w:line="348" w:lineRule="auto"/>
        <w:jc w:val="left"/>
        <w:rPr>
          <w:rFonts w:ascii="宋体" w:hAnsi="宋体" w:cs="宋体"/>
          <w:color w:val="auto"/>
          <w:sz w:val="24"/>
          <w:highlight w:val="none"/>
        </w:rPr>
      </w:pPr>
      <w:r>
        <w:rPr>
          <w:rFonts w:hint="eastAsia" w:ascii="宋体" w:hAnsi="宋体" w:cs="宋体"/>
          <w:color w:val="auto"/>
          <w:sz w:val="24"/>
          <w:highlight w:val="none"/>
        </w:rPr>
        <w:t>2、落实政府采购政策满足的资格要求：无</w:t>
      </w:r>
    </w:p>
    <w:p>
      <w:pPr>
        <w:spacing w:line="348" w:lineRule="auto"/>
        <w:jc w:val="left"/>
        <w:rPr>
          <w:rFonts w:ascii="宋体" w:hAnsi="宋体" w:cs="宋体"/>
          <w:color w:val="auto"/>
          <w:sz w:val="24"/>
          <w:highlight w:val="none"/>
        </w:rPr>
      </w:pPr>
      <w:r>
        <w:rPr>
          <w:rFonts w:hint="eastAsia" w:ascii="宋体" w:hAnsi="宋体" w:cs="宋体"/>
          <w:color w:val="auto"/>
          <w:sz w:val="24"/>
          <w:highlight w:val="none"/>
        </w:rPr>
        <w:t>3、本项目的特定资格要求：</w:t>
      </w:r>
    </w:p>
    <w:p>
      <w:pPr>
        <w:spacing w:line="348"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3.1根据《关于在政府采购活动中查询及使用信用记录有关问题的通知》(财库[2016]125号)的规定，对列入失信被执行人、重大税收违法失信主体、政府采购严重违法失信行为记录名单的供应商，拒绝参与本项目政府采购活动；采购人或代理机构查询渠道：通过“信用中国”网站（http://www.creditchina.gov.cn/）“信用服务”→“失信被执行人”→跳转至“中国执行信息公开网（http://zxgk.court.gov.cn/shixin/）”查询企业，通过“信用中国”网站（http://www.creditchina.gov.cn/）“信用服务”→“重大税收违法失信主体”查询企业，通过“中国政府采购网”网站（www.ccgp.gov.cn）中查询“政府采购严重违法；</w:t>
      </w:r>
    </w:p>
    <w:p>
      <w:pPr>
        <w:spacing w:line="348"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3.2单位负责人为同一人或者存在直接控股、管理关系的不同供应商（投标人），不得参加同一合同项下的政府采购活动。供应商（投标人）需出具承诺函，格式自拟。</w:t>
      </w:r>
    </w:p>
    <w:p>
      <w:pPr>
        <w:widowControl/>
        <w:spacing w:line="348" w:lineRule="auto"/>
        <w:jc w:val="left"/>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p>
    <w:p>
      <w:pPr>
        <w:widowControl/>
        <w:spacing w:line="348" w:lineRule="auto"/>
        <w:jc w:val="left"/>
        <w:rPr>
          <w:rFonts w:ascii="宋体" w:hAnsi="宋体" w:cs="宋体"/>
          <w:color w:val="auto"/>
          <w:sz w:val="24"/>
          <w:highlight w:val="none"/>
        </w:rPr>
      </w:pPr>
      <w:r>
        <w:rPr>
          <w:rFonts w:hint="eastAsia" w:ascii="宋体" w:hAnsi="宋体" w:cs="宋体"/>
          <w:color w:val="auto"/>
          <w:sz w:val="24"/>
          <w:highlight w:val="none"/>
        </w:rPr>
        <w:t>1.时间：2023</w:t>
      </w:r>
      <w:r>
        <w:rPr>
          <w:rFonts w:hint="eastAsia" w:ascii="宋体" w:hAnsi="宋体" w:cs="宋体"/>
          <w:color w:val="0000FF"/>
          <w:sz w:val="24"/>
          <w:highlight w:val="none"/>
        </w:rPr>
        <w:t>年</w:t>
      </w:r>
      <w:r>
        <w:rPr>
          <w:rFonts w:hint="eastAsia" w:ascii="宋体" w:hAnsi="宋体" w:cs="宋体"/>
          <w:color w:val="0000FF"/>
          <w:sz w:val="24"/>
          <w:highlight w:val="none"/>
          <w:lang w:val="en-US" w:eastAsia="zh-CN"/>
        </w:rPr>
        <w:t>08</w:t>
      </w:r>
      <w:r>
        <w:rPr>
          <w:rFonts w:hint="eastAsia" w:ascii="宋体" w:hAnsi="宋体" w:cs="宋体"/>
          <w:color w:val="0000FF"/>
          <w:sz w:val="24"/>
          <w:highlight w:val="none"/>
        </w:rPr>
        <w:t>月</w:t>
      </w:r>
      <w:r>
        <w:rPr>
          <w:rFonts w:hint="eastAsia" w:ascii="宋体" w:hAnsi="宋体" w:cs="宋体"/>
          <w:color w:val="0000FF"/>
          <w:sz w:val="24"/>
          <w:highlight w:val="none"/>
          <w:lang w:val="en-US" w:eastAsia="zh-CN"/>
        </w:rPr>
        <w:t>24</w:t>
      </w:r>
      <w:r>
        <w:rPr>
          <w:rFonts w:hint="eastAsia" w:ascii="宋体" w:hAnsi="宋体" w:cs="宋体"/>
          <w:color w:val="0000FF"/>
          <w:sz w:val="24"/>
          <w:highlight w:val="none"/>
        </w:rPr>
        <w:t>日至2023年</w:t>
      </w:r>
      <w:r>
        <w:rPr>
          <w:rFonts w:hint="eastAsia" w:ascii="宋体" w:hAnsi="宋体" w:cs="宋体"/>
          <w:color w:val="0000FF"/>
          <w:sz w:val="24"/>
          <w:highlight w:val="none"/>
          <w:lang w:val="en-US" w:eastAsia="zh-CN"/>
        </w:rPr>
        <w:t>08</w:t>
      </w:r>
      <w:r>
        <w:rPr>
          <w:rFonts w:hint="eastAsia" w:ascii="宋体" w:hAnsi="宋体" w:cs="宋体"/>
          <w:color w:val="0000FF"/>
          <w:sz w:val="24"/>
          <w:highlight w:val="none"/>
        </w:rPr>
        <w:t>月</w:t>
      </w:r>
      <w:r>
        <w:rPr>
          <w:rFonts w:hint="eastAsia" w:ascii="宋体" w:hAnsi="宋体" w:cs="宋体"/>
          <w:color w:val="0000FF"/>
          <w:sz w:val="24"/>
          <w:highlight w:val="none"/>
          <w:lang w:val="en-US" w:eastAsia="zh-CN"/>
        </w:rPr>
        <w:t>30</w:t>
      </w:r>
      <w:r>
        <w:rPr>
          <w:rFonts w:hint="eastAsia" w:ascii="宋体" w:hAnsi="宋体" w:cs="宋体"/>
          <w:color w:val="0000FF"/>
          <w:sz w:val="24"/>
          <w:highlight w:val="none"/>
        </w:rPr>
        <w:t>日</w:t>
      </w:r>
      <w:r>
        <w:rPr>
          <w:rFonts w:hint="eastAsia" w:ascii="宋体" w:hAnsi="宋体" w:cs="宋体"/>
          <w:color w:val="auto"/>
          <w:sz w:val="24"/>
          <w:highlight w:val="none"/>
        </w:rPr>
        <w:t>，每天上午00:00至12:00，下午12:00至23:59（北京时间，法定节假日除外。）</w:t>
      </w:r>
    </w:p>
    <w:p>
      <w:pPr>
        <w:widowControl/>
        <w:spacing w:line="348" w:lineRule="auto"/>
        <w:jc w:val="left"/>
        <w:rPr>
          <w:rFonts w:ascii="宋体" w:hAnsi="宋体" w:cs="宋体"/>
          <w:color w:val="auto"/>
          <w:sz w:val="24"/>
          <w:highlight w:val="none"/>
        </w:rPr>
      </w:pPr>
      <w:r>
        <w:rPr>
          <w:rFonts w:hint="eastAsia" w:ascii="宋体" w:hAnsi="宋体" w:cs="宋体"/>
          <w:color w:val="auto"/>
          <w:sz w:val="24"/>
          <w:highlight w:val="none"/>
        </w:rPr>
        <w:t>2.地点：登录河南省公共资源交易中心（http://www.hnggzy.net/）。</w:t>
      </w:r>
    </w:p>
    <w:p>
      <w:pPr>
        <w:widowControl/>
        <w:spacing w:line="348" w:lineRule="auto"/>
        <w:jc w:val="left"/>
        <w:rPr>
          <w:rFonts w:ascii="宋体" w:hAnsi="宋体" w:cs="宋体"/>
          <w:color w:val="auto"/>
          <w:sz w:val="24"/>
          <w:highlight w:val="none"/>
        </w:rPr>
      </w:pPr>
      <w:r>
        <w:rPr>
          <w:rFonts w:hint="eastAsia" w:ascii="宋体" w:hAnsi="宋体" w:cs="宋体"/>
          <w:color w:val="auto"/>
          <w:sz w:val="24"/>
          <w:highlight w:val="none"/>
        </w:rPr>
        <w:t>3.方式：凭CA密钥市场主体登录并在规定时间内按网上提示下载竞争性磋商文件及资料；供应商需要完成信息登记及CA数字证书办理，才能通过省公共资源交易平台参与交易活动，具体办理事宜请查阅河南省公共资源交易中心网站“办事指南”专区的《河南省公共资源交易平台使用手册》。</w:t>
      </w:r>
    </w:p>
    <w:p>
      <w:pPr>
        <w:widowControl/>
        <w:spacing w:line="348" w:lineRule="auto"/>
        <w:jc w:val="left"/>
        <w:rPr>
          <w:rFonts w:ascii="宋体" w:hAnsi="宋体" w:cs="宋体"/>
          <w:color w:val="auto"/>
          <w:sz w:val="24"/>
          <w:highlight w:val="none"/>
        </w:rPr>
      </w:pPr>
      <w:r>
        <w:rPr>
          <w:rFonts w:hint="eastAsia" w:ascii="宋体" w:hAnsi="宋体" w:cs="宋体"/>
          <w:color w:val="auto"/>
          <w:sz w:val="24"/>
          <w:highlight w:val="none"/>
        </w:rPr>
        <w:t>4.售价：0元</w:t>
      </w:r>
    </w:p>
    <w:p>
      <w:pPr>
        <w:widowControl/>
        <w:spacing w:line="348" w:lineRule="auto"/>
        <w:jc w:val="left"/>
        <w:rPr>
          <w:rFonts w:ascii="宋体" w:hAnsi="宋体" w:cs="宋体"/>
          <w:b/>
          <w:bCs/>
          <w:color w:val="auto"/>
          <w:sz w:val="24"/>
          <w:highlight w:val="none"/>
        </w:rPr>
      </w:pPr>
      <w:r>
        <w:rPr>
          <w:rFonts w:hint="eastAsia" w:ascii="宋体" w:hAnsi="宋体" w:cs="宋体"/>
          <w:b/>
          <w:bCs/>
          <w:color w:val="auto"/>
          <w:sz w:val="24"/>
          <w:highlight w:val="none"/>
        </w:rPr>
        <w:t>四、响应文件提交</w:t>
      </w:r>
    </w:p>
    <w:p>
      <w:pPr>
        <w:widowControl/>
        <w:spacing w:line="348" w:lineRule="auto"/>
        <w:jc w:val="left"/>
        <w:rPr>
          <w:rFonts w:ascii="宋体" w:hAnsi="宋体" w:cs="宋体"/>
          <w:color w:val="auto"/>
          <w:sz w:val="24"/>
          <w:highlight w:val="none"/>
        </w:rPr>
      </w:pPr>
      <w:r>
        <w:rPr>
          <w:rFonts w:hint="eastAsia" w:ascii="宋体" w:hAnsi="宋体" w:cs="宋体"/>
          <w:color w:val="auto"/>
          <w:sz w:val="24"/>
          <w:highlight w:val="none"/>
        </w:rPr>
        <w:t>1.时间：2023</w:t>
      </w:r>
      <w:r>
        <w:rPr>
          <w:rFonts w:hint="eastAsia" w:ascii="宋体" w:hAnsi="宋体" w:cs="宋体"/>
          <w:color w:val="0000FF"/>
          <w:sz w:val="24"/>
          <w:highlight w:val="none"/>
        </w:rPr>
        <w:t>年</w:t>
      </w:r>
      <w:r>
        <w:rPr>
          <w:rFonts w:hint="eastAsia" w:ascii="宋体" w:hAnsi="宋体" w:cs="宋体"/>
          <w:color w:val="0000FF"/>
          <w:sz w:val="24"/>
          <w:highlight w:val="none"/>
          <w:lang w:val="en-US" w:eastAsia="zh-CN"/>
        </w:rPr>
        <w:t>09</w:t>
      </w:r>
      <w:r>
        <w:rPr>
          <w:rFonts w:hint="eastAsia" w:ascii="宋体" w:hAnsi="宋体" w:cs="宋体"/>
          <w:color w:val="0000FF"/>
          <w:sz w:val="24"/>
          <w:highlight w:val="none"/>
        </w:rPr>
        <w:t>月</w:t>
      </w:r>
      <w:r>
        <w:rPr>
          <w:rFonts w:hint="eastAsia" w:ascii="宋体" w:hAnsi="宋体" w:cs="宋体"/>
          <w:color w:val="0000FF"/>
          <w:sz w:val="24"/>
          <w:highlight w:val="none"/>
          <w:lang w:val="en-US" w:eastAsia="zh-CN"/>
        </w:rPr>
        <w:t>05</w:t>
      </w:r>
      <w:r>
        <w:rPr>
          <w:rFonts w:hint="eastAsia" w:ascii="宋体" w:hAnsi="宋体" w:cs="宋体"/>
          <w:color w:val="0000FF"/>
          <w:sz w:val="24"/>
          <w:highlight w:val="none"/>
        </w:rPr>
        <w:t>日</w:t>
      </w:r>
      <w:r>
        <w:rPr>
          <w:rFonts w:hint="eastAsia" w:ascii="宋体" w:hAnsi="宋体" w:cs="宋体"/>
          <w:color w:val="auto"/>
          <w:sz w:val="24"/>
          <w:highlight w:val="none"/>
        </w:rPr>
        <w:t>09时00分（北京时间）</w:t>
      </w:r>
    </w:p>
    <w:p>
      <w:pPr>
        <w:widowControl/>
        <w:spacing w:line="348" w:lineRule="auto"/>
        <w:jc w:val="left"/>
        <w:rPr>
          <w:rFonts w:ascii="宋体" w:hAnsi="宋体" w:cs="宋体"/>
          <w:color w:val="auto"/>
          <w:sz w:val="24"/>
          <w:highlight w:val="none"/>
        </w:rPr>
      </w:pPr>
      <w:r>
        <w:rPr>
          <w:rFonts w:hint="eastAsia" w:ascii="宋体" w:hAnsi="宋体" w:cs="宋体"/>
          <w:color w:val="auto"/>
          <w:sz w:val="24"/>
          <w:highlight w:val="none"/>
        </w:rPr>
        <w:t>2.地点：加密电子响应文件须在响应截止时间前上传至河南省公共资源交易中心交易系统。逾期上传的或者未上传至指定地点的响应文件，采购人不予受理。</w:t>
      </w:r>
    </w:p>
    <w:p>
      <w:pPr>
        <w:widowControl/>
        <w:spacing w:line="348" w:lineRule="auto"/>
        <w:jc w:val="left"/>
        <w:rPr>
          <w:rFonts w:ascii="宋体" w:hAnsi="宋体" w:cs="宋体"/>
          <w:b/>
          <w:bCs/>
          <w:color w:val="auto"/>
          <w:sz w:val="24"/>
          <w:highlight w:val="none"/>
        </w:rPr>
      </w:pPr>
      <w:r>
        <w:rPr>
          <w:rFonts w:hint="eastAsia" w:ascii="宋体" w:hAnsi="宋体" w:cs="宋体"/>
          <w:b/>
          <w:bCs/>
          <w:color w:val="auto"/>
          <w:sz w:val="24"/>
          <w:highlight w:val="none"/>
        </w:rPr>
        <w:t>五、响应文件开启</w:t>
      </w:r>
    </w:p>
    <w:p>
      <w:pPr>
        <w:widowControl/>
        <w:spacing w:line="348" w:lineRule="auto"/>
        <w:jc w:val="left"/>
        <w:rPr>
          <w:rFonts w:ascii="宋体" w:hAnsi="宋体" w:cs="宋体"/>
          <w:color w:val="auto"/>
          <w:sz w:val="24"/>
          <w:highlight w:val="none"/>
        </w:rPr>
      </w:pPr>
      <w:r>
        <w:rPr>
          <w:rFonts w:hint="eastAsia" w:ascii="宋体" w:hAnsi="宋体" w:cs="宋体"/>
          <w:color w:val="auto"/>
          <w:sz w:val="24"/>
          <w:highlight w:val="none"/>
        </w:rPr>
        <w:t>1.时间：2023</w:t>
      </w:r>
      <w:r>
        <w:rPr>
          <w:rFonts w:hint="eastAsia" w:ascii="宋体" w:hAnsi="宋体" w:cs="宋体"/>
          <w:color w:val="0000FF"/>
          <w:sz w:val="24"/>
          <w:highlight w:val="none"/>
        </w:rPr>
        <w:t>年</w:t>
      </w:r>
      <w:r>
        <w:rPr>
          <w:rFonts w:hint="eastAsia" w:ascii="宋体" w:hAnsi="宋体" w:cs="宋体"/>
          <w:color w:val="0000FF"/>
          <w:sz w:val="24"/>
          <w:highlight w:val="none"/>
          <w:lang w:val="en-US" w:eastAsia="zh-CN"/>
        </w:rPr>
        <w:t>09</w:t>
      </w:r>
      <w:r>
        <w:rPr>
          <w:rFonts w:hint="eastAsia" w:ascii="宋体" w:hAnsi="宋体" w:cs="宋体"/>
          <w:color w:val="0000FF"/>
          <w:sz w:val="24"/>
          <w:highlight w:val="none"/>
        </w:rPr>
        <w:t>月</w:t>
      </w:r>
      <w:r>
        <w:rPr>
          <w:rFonts w:hint="eastAsia" w:ascii="宋体" w:hAnsi="宋体" w:cs="宋体"/>
          <w:color w:val="0000FF"/>
          <w:sz w:val="24"/>
          <w:highlight w:val="none"/>
          <w:lang w:val="en-US" w:eastAsia="zh-CN"/>
        </w:rPr>
        <w:t>05</w:t>
      </w:r>
      <w:r>
        <w:rPr>
          <w:rFonts w:hint="eastAsia" w:ascii="宋体" w:hAnsi="宋体" w:cs="宋体"/>
          <w:color w:val="0000FF"/>
          <w:sz w:val="24"/>
          <w:highlight w:val="none"/>
        </w:rPr>
        <w:t>日</w:t>
      </w:r>
      <w:r>
        <w:rPr>
          <w:rFonts w:hint="eastAsia" w:ascii="宋体" w:hAnsi="宋体" w:cs="宋体"/>
          <w:color w:val="auto"/>
          <w:sz w:val="24"/>
          <w:highlight w:val="none"/>
        </w:rPr>
        <w:t>09时00分（北京时间）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ascii="宋体" w:hAnsi="宋体" w:cs="宋体"/>
          <w:color w:val="auto"/>
          <w:sz w:val="24"/>
          <w:highlight w:val="none"/>
        </w:rPr>
      </w:pPr>
      <w:r>
        <w:rPr>
          <w:rFonts w:hint="eastAsia" w:ascii="宋体" w:hAnsi="宋体" w:cs="宋体"/>
          <w:color w:val="auto"/>
          <w:sz w:val="24"/>
          <w:highlight w:val="none"/>
        </w:rPr>
        <w:t>2.地点：河南省公共资源交易中心</w:t>
      </w:r>
      <w:r>
        <w:rPr>
          <w:rFonts w:hint="default" w:ascii="宋体" w:hAnsi="宋体" w:cs="宋体"/>
          <w:color w:val="auto"/>
          <w:sz w:val="24"/>
          <w:highlight w:val="none"/>
          <w:lang w:val="en-US" w:eastAsia="zh-CN"/>
        </w:rPr>
        <w:t>开标室九</w:t>
      </w:r>
    </w:p>
    <w:p>
      <w:pPr>
        <w:widowControl/>
        <w:spacing w:line="348" w:lineRule="auto"/>
        <w:jc w:val="left"/>
        <w:rPr>
          <w:rFonts w:ascii="宋体" w:hAnsi="宋体" w:cs="宋体"/>
          <w:b/>
          <w:bCs/>
          <w:color w:val="auto"/>
          <w:sz w:val="24"/>
          <w:highlight w:val="none"/>
        </w:rPr>
      </w:pPr>
      <w:r>
        <w:rPr>
          <w:rFonts w:hint="eastAsia" w:ascii="宋体" w:hAnsi="宋体" w:cs="宋体"/>
          <w:b/>
          <w:bCs/>
          <w:color w:val="auto"/>
          <w:sz w:val="24"/>
          <w:highlight w:val="none"/>
        </w:rPr>
        <w:t>六、发布公告的媒介及招标公告期限</w:t>
      </w:r>
    </w:p>
    <w:p>
      <w:pPr>
        <w:widowControl/>
        <w:spacing w:line="348"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本次招标公告在《河南省政府采购网》、《河南省电子招标投标公共服务平台》、《中国招标投标公共服务平台》、《河南省公共资源交易中心门户网站》上发布，招标公告期限为三个工作日。</w:t>
      </w:r>
    </w:p>
    <w:p>
      <w:pPr>
        <w:widowControl/>
        <w:spacing w:line="348" w:lineRule="auto"/>
        <w:jc w:val="left"/>
        <w:rPr>
          <w:rFonts w:ascii="宋体" w:hAnsi="宋体" w:cs="宋体"/>
          <w:b/>
          <w:bCs/>
          <w:color w:val="auto"/>
          <w:sz w:val="24"/>
          <w:highlight w:val="none"/>
        </w:rPr>
      </w:pPr>
      <w:r>
        <w:rPr>
          <w:rFonts w:hint="eastAsia" w:ascii="宋体" w:hAnsi="宋体" w:cs="宋体"/>
          <w:b/>
          <w:bCs/>
          <w:color w:val="auto"/>
          <w:sz w:val="24"/>
          <w:highlight w:val="none"/>
        </w:rPr>
        <w:t>七、其他补充事宜</w:t>
      </w:r>
    </w:p>
    <w:p>
      <w:pPr>
        <w:pStyle w:val="21"/>
        <w:spacing w:line="348" w:lineRule="auto"/>
        <w:ind w:firstLine="480"/>
        <w:jc w:val="left"/>
        <w:rPr>
          <w:rFonts w:ascii="宋体" w:hAnsi="宋体" w:cs="宋体"/>
          <w:color w:val="auto"/>
          <w:sz w:val="24"/>
          <w:highlight w:val="none"/>
        </w:rPr>
      </w:pPr>
      <w:bookmarkStart w:id="15" w:name="_Hlk73027454"/>
      <w:bookmarkStart w:id="16" w:name="_Hlk86916341"/>
      <w:r>
        <w:rPr>
          <w:rFonts w:hint="eastAsia" w:ascii="宋体" w:hAnsi="宋体" w:cs="宋体"/>
          <w:color w:val="auto"/>
          <w:sz w:val="24"/>
          <w:highlight w:val="none"/>
        </w:rPr>
        <w:t>1.执行《政府采购促进中小企业发展管理办法》[财库（2020）46号]；</w:t>
      </w:r>
    </w:p>
    <w:p>
      <w:pPr>
        <w:pStyle w:val="21"/>
        <w:spacing w:line="348" w:lineRule="auto"/>
        <w:ind w:firstLine="480"/>
        <w:jc w:val="left"/>
        <w:rPr>
          <w:rFonts w:ascii="宋体" w:hAnsi="宋体" w:cs="宋体"/>
          <w:color w:val="auto"/>
          <w:sz w:val="24"/>
          <w:highlight w:val="none"/>
        </w:rPr>
      </w:pPr>
      <w:r>
        <w:rPr>
          <w:rFonts w:hint="eastAsia" w:ascii="宋体" w:hAnsi="宋体" w:cs="宋体"/>
          <w:color w:val="auto"/>
          <w:sz w:val="24"/>
          <w:highlight w:val="none"/>
        </w:rPr>
        <w:t>2.执行《财政部、司法部关于政府采购支持监狱企业发展有关问题的通知》（财库[2014]68号）；</w:t>
      </w:r>
    </w:p>
    <w:p>
      <w:pPr>
        <w:pStyle w:val="21"/>
        <w:spacing w:line="348" w:lineRule="auto"/>
        <w:ind w:firstLine="480" w:firstLineChars="0"/>
        <w:jc w:val="left"/>
        <w:rPr>
          <w:rFonts w:ascii="宋体" w:hAnsi="宋体" w:cs="宋体"/>
          <w:color w:val="auto"/>
          <w:sz w:val="24"/>
          <w:highlight w:val="none"/>
        </w:rPr>
      </w:pPr>
      <w:r>
        <w:rPr>
          <w:rFonts w:hint="eastAsia" w:ascii="宋体" w:hAnsi="宋体" w:cs="宋体"/>
          <w:color w:val="auto"/>
          <w:sz w:val="24"/>
          <w:highlight w:val="none"/>
        </w:rPr>
        <w:t>3.执行《三部门联合发布关于促进残疾人就业政府采购政策的通知》（财库[2017]141号）；</w:t>
      </w:r>
    </w:p>
    <w:p>
      <w:pPr>
        <w:pStyle w:val="21"/>
        <w:spacing w:line="348" w:lineRule="auto"/>
        <w:ind w:firstLine="480" w:firstLineChars="0"/>
        <w:jc w:val="left"/>
        <w:rPr>
          <w:rFonts w:ascii="宋体" w:hAnsi="宋体" w:cs="宋体"/>
          <w:color w:val="auto"/>
          <w:sz w:val="24"/>
          <w:highlight w:val="none"/>
        </w:rPr>
      </w:pPr>
      <w:r>
        <w:rPr>
          <w:rFonts w:hint="eastAsia" w:ascii="宋体" w:hAnsi="宋体" w:cs="宋体"/>
          <w:color w:val="auto"/>
          <w:sz w:val="24"/>
          <w:highlight w:val="none"/>
        </w:rPr>
        <w:t>4.执行《关于进一步加大政府采购支持中小企业力度的通知》（财库[2022]19号）；</w:t>
      </w:r>
    </w:p>
    <w:p>
      <w:pPr>
        <w:pStyle w:val="21"/>
        <w:spacing w:line="348" w:lineRule="auto"/>
        <w:ind w:firstLine="480"/>
        <w:jc w:val="left"/>
        <w:rPr>
          <w:rFonts w:ascii="宋体" w:hAnsi="宋体" w:cs="宋体"/>
          <w:color w:val="auto"/>
          <w:sz w:val="24"/>
          <w:highlight w:val="none"/>
        </w:rPr>
      </w:pPr>
      <w:r>
        <w:rPr>
          <w:rFonts w:hint="eastAsia" w:ascii="宋体" w:hAnsi="宋体" w:cs="宋体"/>
          <w:color w:val="auto"/>
          <w:sz w:val="24"/>
          <w:highlight w:val="none"/>
        </w:rPr>
        <w:t>5.执行关于印发节能产品政府采购品目清单的通知（财库〔2019〕19号）；</w:t>
      </w:r>
    </w:p>
    <w:p>
      <w:pP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6.执行关于印发环境标志产品政府采购品目清单的通知（财库〔2019〕18号）；</w:t>
      </w:r>
    </w:p>
    <w:p>
      <w:pP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编制响应文件时，应根据磋商文件相应要求，涉及营业执照、资质、业绩、获奖、人员、财务、社保、纳税、各类证书等内容，必须在河南省公共资源交易中心市场主体信息库中已登记的信息中选取。未在市场主体信息库中登记的上述内容，不作为评标依据。供应商应及时对河南省公共资源交易中心市场主体信息库的相关内容进行补充、更新。</w:t>
      </w:r>
    </w:p>
    <w:bookmarkEnd w:id="15"/>
    <w:bookmarkEnd w:id="16"/>
    <w:p>
      <w:pPr>
        <w:widowControl/>
        <w:spacing w:line="348" w:lineRule="auto"/>
        <w:jc w:val="left"/>
        <w:rPr>
          <w:rFonts w:ascii="宋体" w:hAnsi="宋体" w:cs="宋体"/>
          <w:b/>
          <w:bCs/>
          <w:color w:val="auto"/>
          <w:sz w:val="24"/>
          <w:highlight w:val="none"/>
        </w:rPr>
      </w:pPr>
      <w:r>
        <w:rPr>
          <w:rFonts w:hint="eastAsia" w:ascii="宋体" w:hAnsi="宋体" w:cs="宋体"/>
          <w:b/>
          <w:bCs/>
          <w:color w:val="auto"/>
          <w:sz w:val="24"/>
          <w:highlight w:val="none"/>
        </w:rPr>
        <w:t>八、凡对本次招标提出询问，请按照以下方式联系</w:t>
      </w:r>
    </w:p>
    <w:p>
      <w:pPr>
        <w:widowControl/>
        <w:adjustRightInd w:val="0"/>
        <w:snapToGrid w:val="0"/>
        <w:spacing w:line="348" w:lineRule="auto"/>
        <w:jc w:val="left"/>
        <w:rPr>
          <w:rFonts w:ascii="宋体" w:hAnsi="宋体" w:cs="宋体"/>
          <w:color w:val="auto"/>
          <w:sz w:val="24"/>
          <w:highlight w:val="none"/>
        </w:rPr>
      </w:pPr>
      <w:r>
        <w:rPr>
          <w:rFonts w:hint="eastAsia" w:ascii="宋体" w:hAnsi="宋体" w:cs="宋体"/>
          <w:color w:val="auto"/>
          <w:sz w:val="24"/>
          <w:highlight w:val="none"/>
        </w:rPr>
        <w:t>1. 采购人信息</w:t>
      </w:r>
    </w:p>
    <w:p>
      <w:pPr>
        <w:widowControl/>
        <w:adjustRightInd w:val="0"/>
        <w:snapToGrid w:val="0"/>
        <w:spacing w:line="348" w:lineRule="auto"/>
        <w:ind w:firstLine="360" w:firstLineChars="15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名称：</w:t>
      </w:r>
      <w:r>
        <w:rPr>
          <w:rFonts w:hint="eastAsia" w:ascii="宋体" w:hAnsi="宋体" w:cs="宋体"/>
          <w:color w:val="auto"/>
          <w:sz w:val="24"/>
          <w:highlight w:val="none"/>
          <w:lang w:eastAsia="zh-CN"/>
        </w:rPr>
        <w:t>河南医学高等专科学校</w:t>
      </w:r>
    </w:p>
    <w:p>
      <w:pPr>
        <w:widowControl/>
        <w:spacing w:line="348" w:lineRule="auto"/>
        <w:ind w:firstLine="360" w:firstLineChars="150"/>
        <w:jc w:val="left"/>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rPr>
        <w:t>地址：</w:t>
      </w:r>
      <w:r>
        <w:rPr>
          <w:rFonts w:hint="eastAsia" w:ascii="宋体" w:hAnsi="宋体" w:cs="宋体"/>
          <w:color w:val="auto"/>
          <w:kern w:val="0"/>
          <w:sz w:val="24"/>
          <w:highlight w:val="none"/>
          <w:lang w:eastAsia="zh-CN"/>
        </w:rPr>
        <w:t>郑州市金水区博颂路6号</w:t>
      </w:r>
    </w:p>
    <w:p>
      <w:pPr>
        <w:widowControl/>
        <w:spacing w:line="348" w:lineRule="auto"/>
        <w:ind w:firstLine="360" w:firstLineChars="15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lang w:eastAsia="zh-CN"/>
        </w:rPr>
        <w:t>杨老师</w:t>
      </w:r>
    </w:p>
    <w:p>
      <w:pPr>
        <w:widowControl/>
        <w:spacing w:line="348" w:lineRule="auto"/>
        <w:ind w:firstLine="360" w:firstLineChars="15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联系方式：</w:t>
      </w:r>
      <w:r>
        <w:rPr>
          <w:rFonts w:hint="eastAsia" w:ascii="宋体" w:hAnsi="宋体" w:cs="宋体"/>
          <w:color w:val="auto"/>
          <w:kern w:val="0"/>
          <w:sz w:val="24"/>
          <w:highlight w:val="none"/>
          <w:lang w:eastAsia="zh-CN"/>
        </w:rPr>
        <w:t>0371-63795361</w:t>
      </w:r>
    </w:p>
    <w:p>
      <w:pPr>
        <w:tabs>
          <w:tab w:val="left" w:pos="900"/>
        </w:tabs>
        <w:snapToGrid w:val="0"/>
        <w:spacing w:line="348" w:lineRule="auto"/>
        <w:ind w:firstLine="120" w:firstLineChars="50"/>
        <w:rPr>
          <w:rFonts w:ascii="宋体" w:hAnsi="宋体" w:cs="宋体"/>
          <w:color w:val="auto"/>
          <w:sz w:val="24"/>
          <w:highlight w:val="none"/>
        </w:rPr>
      </w:pPr>
      <w:r>
        <w:rPr>
          <w:rFonts w:hint="eastAsia" w:ascii="宋体" w:hAnsi="宋体" w:cs="宋体"/>
          <w:color w:val="auto"/>
          <w:sz w:val="24"/>
          <w:highlight w:val="none"/>
        </w:rPr>
        <w:t>2.采购代理机构信息（如有）</w:t>
      </w:r>
    </w:p>
    <w:p>
      <w:pPr>
        <w:tabs>
          <w:tab w:val="left" w:pos="900"/>
        </w:tabs>
        <w:snapToGrid w:val="0"/>
        <w:spacing w:line="348" w:lineRule="auto"/>
        <w:ind w:firstLine="360" w:firstLineChars="150"/>
        <w:rPr>
          <w:rFonts w:ascii="宋体" w:hAnsi="宋体" w:cs="宋体"/>
          <w:color w:val="auto"/>
          <w:sz w:val="24"/>
          <w:highlight w:val="none"/>
        </w:rPr>
      </w:pPr>
      <w:r>
        <w:rPr>
          <w:rFonts w:hint="eastAsia" w:ascii="宋体" w:hAnsi="宋体" w:cs="宋体"/>
          <w:color w:val="auto"/>
          <w:sz w:val="24"/>
          <w:highlight w:val="none"/>
        </w:rPr>
        <w:t xml:space="preserve">名称：河南正禄招标代理有限公司 </w:t>
      </w:r>
    </w:p>
    <w:p>
      <w:pPr>
        <w:tabs>
          <w:tab w:val="left" w:pos="900"/>
        </w:tabs>
        <w:snapToGrid w:val="0"/>
        <w:spacing w:line="348" w:lineRule="auto"/>
        <w:ind w:firstLine="360" w:firstLineChars="150"/>
        <w:rPr>
          <w:rFonts w:ascii="宋体" w:hAnsi="宋体" w:cs="宋体"/>
          <w:color w:val="auto"/>
          <w:sz w:val="24"/>
          <w:highlight w:val="none"/>
        </w:rPr>
      </w:pPr>
      <w:r>
        <w:rPr>
          <w:rFonts w:hint="eastAsia" w:ascii="宋体" w:hAnsi="宋体" w:cs="宋体"/>
          <w:color w:val="auto"/>
          <w:sz w:val="24"/>
          <w:highlight w:val="none"/>
        </w:rPr>
        <w:t>地址：郑州市郑东新区通惠路与白沙路交叉口东盛广场9层01号</w:t>
      </w:r>
    </w:p>
    <w:p>
      <w:pPr>
        <w:tabs>
          <w:tab w:val="left" w:pos="900"/>
        </w:tabs>
        <w:snapToGrid w:val="0"/>
        <w:spacing w:line="348" w:lineRule="auto"/>
        <w:ind w:firstLine="360" w:firstLineChars="150"/>
        <w:rPr>
          <w:rFonts w:ascii="宋体" w:hAnsi="宋体" w:cs="宋体"/>
          <w:color w:val="auto"/>
          <w:sz w:val="24"/>
          <w:highlight w:val="none"/>
        </w:rPr>
      </w:pPr>
      <w:r>
        <w:rPr>
          <w:rFonts w:hint="eastAsia" w:ascii="宋体" w:hAnsi="宋体" w:cs="宋体"/>
          <w:color w:val="auto"/>
          <w:sz w:val="24"/>
          <w:highlight w:val="none"/>
        </w:rPr>
        <w:t>联系人：张华</w:t>
      </w:r>
    </w:p>
    <w:p>
      <w:pPr>
        <w:tabs>
          <w:tab w:val="left" w:pos="900"/>
        </w:tabs>
        <w:snapToGrid w:val="0"/>
        <w:spacing w:line="348" w:lineRule="auto"/>
        <w:ind w:firstLine="360" w:firstLineChars="150"/>
        <w:rPr>
          <w:rFonts w:ascii="宋体" w:hAnsi="宋体" w:cs="宋体"/>
          <w:color w:val="auto"/>
          <w:sz w:val="24"/>
          <w:highlight w:val="none"/>
        </w:rPr>
      </w:pPr>
      <w:r>
        <w:rPr>
          <w:rFonts w:hint="eastAsia" w:ascii="宋体" w:hAnsi="宋体" w:cs="宋体"/>
          <w:color w:val="auto"/>
          <w:sz w:val="24"/>
          <w:highlight w:val="none"/>
        </w:rPr>
        <w:t>联系方式：0371-53301569  18237166651</w:t>
      </w:r>
    </w:p>
    <w:p>
      <w:pPr>
        <w:tabs>
          <w:tab w:val="left" w:pos="900"/>
        </w:tabs>
        <w:snapToGrid w:val="0"/>
        <w:spacing w:line="348" w:lineRule="auto"/>
        <w:ind w:firstLine="120" w:firstLineChars="50"/>
        <w:rPr>
          <w:rFonts w:ascii="宋体" w:hAnsi="宋体" w:cs="宋体"/>
          <w:color w:val="auto"/>
          <w:sz w:val="24"/>
          <w:highlight w:val="none"/>
        </w:rPr>
      </w:pPr>
      <w:r>
        <w:rPr>
          <w:rFonts w:hint="eastAsia" w:ascii="宋体" w:hAnsi="宋体" w:cs="宋体"/>
          <w:color w:val="auto"/>
          <w:sz w:val="24"/>
          <w:highlight w:val="none"/>
        </w:rPr>
        <w:t>3.项目联系方式</w:t>
      </w:r>
    </w:p>
    <w:p>
      <w:pPr>
        <w:tabs>
          <w:tab w:val="left" w:pos="900"/>
        </w:tabs>
        <w:snapToGrid w:val="0"/>
        <w:spacing w:line="348" w:lineRule="auto"/>
        <w:ind w:firstLine="360" w:firstLineChars="150"/>
        <w:rPr>
          <w:rFonts w:ascii="宋体" w:hAnsi="宋体" w:cs="宋体"/>
          <w:color w:val="auto"/>
          <w:sz w:val="24"/>
          <w:highlight w:val="none"/>
        </w:rPr>
      </w:pPr>
      <w:r>
        <w:rPr>
          <w:rFonts w:hint="eastAsia" w:ascii="宋体" w:hAnsi="宋体" w:cs="宋体"/>
          <w:color w:val="auto"/>
          <w:sz w:val="24"/>
          <w:highlight w:val="none"/>
        </w:rPr>
        <w:t xml:space="preserve">联系人：张华 </w:t>
      </w:r>
    </w:p>
    <w:p>
      <w:pPr>
        <w:widowControl/>
        <w:spacing w:line="348" w:lineRule="auto"/>
        <w:ind w:firstLine="360" w:firstLineChars="150"/>
        <w:jc w:val="left"/>
        <w:rPr>
          <w:rFonts w:ascii="宋体" w:hAnsi="宋体" w:cs="宋体"/>
          <w:color w:val="auto"/>
          <w:kern w:val="0"/>
          <w:sz w:val="24"/>
          <w:highlight w:val="none"/>
        </w:rPr>
      </w:pPr>
      <w:r>
        <w:rPr>
          <w:rFonts w:hint="eastAsia" w:ascii="宋体" w:hAnsi="宋体" w:cs="宋体"/>
          <w:color w:val="auto"/>
          <w:sz w:val="24"/>
          <w:highlight w:val="none"/>
        </w:rPr>
        <w:t>联系方式：</w:t>
      </w:r>
      <w:r>
        <w:rPr>
          <w:rFonts w:hint="eastAsia" w:ascii="宋体" w:hAnsi="宋体" w:cs="宋体"/>
          <w:color w:val="auto"/>
          <w:kern w:val="0"/>
          <w:sz w:val="24"/>
          <w:highlight w:val="none"/>
        </w:rPr>
        <w:t xml:space="preserve">0371-53301569   </w:t>
      </w:r>
      <w:r>
        <w:rPr>
          <w:rFonts w:hint="eastAsia" w:ascii="宋体" w:hAnsi="宋体" w:cs="宋体"/>
          <w:color w:val="auto"/>
          <w:sz w:val="24"/>
          <w:highlight w:val="none"/>
        </w:rPr>
        <w:t>18237166651</w:t>
      </w:r>
    </w:p>
    <w:p>
      <w:pPr>
        <w:tabs>
          <w:tab w:val="left" w:pos="900"/>
        </w:tabs>
        <w:snapToGrid w:val="0"/>
        <w:spacing w:line="360" w:lineRule="auto"/>
        <w:ind w:firstLine="482" w:firstLineChars="150"/>
        <w:jc w:val="center"/>
        <w:rPr>
          <w:rFonts w:ascii="宋体" w:hAnsi="宋体" w:cs="宋体"/>
          <w:color w:val="auto"/>
          <w:sz w:val="32"/>
          <w:szCs w:val="32"/>
          <w:highlight w:val="none"/>
        </w:rPr>
      </w:pPr>
      <w:bookmarkStart w:id="17" w:name="_Toc15845"/>
      <w:bookmarkStart w:id="18" w:name="_Toc57217225"/>
      <w:bookmarkStart w:id="19" w:name="_Toc15048358"/>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第二章  供应商须知</w:t>
      </w:r>
      <w:bookmarkEnd w:id="17"/>
      <w:bookmarkEnd w:id="18"/>
      <w:bookmarkEnd w:id="19"/>
    </w:p>
    <w:p>
      <w:pPr>
        <w:pStyle w:val="224"/>
        <w:spacing w:before="0" w:line="360" w:lineRule="auto"/>
        <w:jc w:val="center"/>
        <w:rPr>
          <w:rFonts w:ascii="宋体" w:hAnsi="宋体" w:eastAsia="宋体"/>
          <w:b/>
          <w:color w:val="auto"/>
          <w:sz w:val="24"/>
          <w:szCs w:val="24"/>
          <w:highlight w:val="none"/>
        </w:rPr>
      </w:pPr>
      <w:bookmarkStart w:id="20" w:name="_Toc13503"/>
      <w:bookmarkStart w:id="21" w:name="_Toc13246"/>
      <w:bookmarkStart w:id="22" w:name="_Toc57217226"/>
      <w:bookmarkStart w:id="23" w:name="_Toc122"/>
      <w:r>
        <w:rPr>
          <w:rFonts w:hint="eastAsia" w:ascii="宋体" w:hAnsi="宋体" w:eastAsia="宋体"/>
          <w:b/>
          <w:color w:val="auto"/>
          <w:sz w:val="24"/>
          <w:szCs w:val="24"/>
          <w:highlight w:val="none"/>
        </w:rPr>
        <w:t>供应商须知前附表</w:t>
      </w:r>
      <w:bookmarkEnd w:id="20"/>
      <w:bookmarkEnd w:id="21"/>
      <w:bookmarkEnd w:id="22"/>
      <w:bookmarkEnd w:id="23"/>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 xml:space="preserve"> 本表是本采购项目的具体资料，是对供应商须知的具体补充和修改，如有矛盾，应以本表为准。</w:t>
      </w:r>
    </w:p>
    <w:tbl>
      <w:tblPr>
        <w:tblStyle w:val="50"/>
        <w:tblW w:w="93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6"/>
        <w:gridCol w:w="2338"/>
        <w:gridCol w:w="59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blHeader/>
          <w:jc w:val="center"/>
        </w:trPr>
        <w:tc>
          <w:tcPr>
            <w:tcW w:w="1056" w:type="dxa"/>
            <w:tcBorders>
              <w:bottom w:val="single" w:color="auto" w:sz="4" w:space="0"/>
            </w:tcBorders>
            <w:vAlign w:val="center"/>
          </w:tcPr>
          <w:p>
            <w:pPr>
              <w:spacing w:line="360" w:lineRule="auto"/>
              <w:jc w:val="center"/>
              <w:rPr>
                <w:rFonts w:ascii="宋体" w:hAnsi="宋体" w:cs="宋体"/>
                <w:color w:val="auto"/>
                <w:sz w:val="24"/>
                <w:highlight w:val="none"/>
              </w:rPr>
            </w:pPr>
            <w:bookmarkStart w:id="24" w:name="sys_招标项目基本内容及要求其他：Block"/>
            <w:bookmarkEnd w:id="24"/>
            <w:bookmarkStart w:id="25" w:name="招标项目基本内容及要求其他：Block"/>
            <w:bookmarkEnd w:id="25"/>
            <w:bookmarkStart w:id="26" w:name="招标项目基本内容及要求：Block"/>
            <w:bookmarkEnd w:id="26"/>
            <w:bookmarkStart w:id="27" w:name="sys_招标项目基本内容及要求：Block"/>
            <w:bookmarkEnd w:id="27"/>
            <w:r>
              <w:rPr>
                <w:rFonts w:hint="eastAsia" w:ascii="宋体" w:hAnsi="宋体" w:cs="宋体"/>
                <w:color w:val="auto"/>
                <w:sz w:val="24"/>
                <w:highlight w:val="none"/>
              </w:rPr>
              <w:t>条款号</w:t>
            </w:r>
          </w:p>
        </w:tc>
        <w:tc>
          <w:tcPr>
            <w:tcW w:w="2338" w:type="dxa"/>
            <w:tcBorders>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   目</w:t>
            </w:r>
          </w:p>
        </w:tc>
        <w:tc>
          <w:tcPr>
            <w:tcW w:w="5912" w:type="dxa"/>
            <w:tcBorders>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3"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1.1.1</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w:t>
            </w:r>
          </w:p>
        </w:tc>
        <w:tc>
          <w:tcPr>
            <w:tcW w:w="5912" w:type="dxa"/>
            <w:tcBorders>
              <w:top w:val="single" w:color="auto" w:sz="4" w:space="0"/>
              <w:bottom w:val="single" w:color="auto" w:sz="4" w:space="0"/>
            </w:tcBorders>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名称： </w:t>
            </w:r>
            <w:r>
              <w:rPr>
                <w:rFonts w:hint="eastAsia" w:ascii="宋体" w:hAnsi="宋体" w:cs="宋体"/>
                <w:color w:val="auto"/>
                <w:sz w:val="24"/>
                <w:highlight w:val="none"/>
                <w:lang w:eastAsia="zh-CN"/>
              </w:rPr>
              <w:t>河南医学高等专科学校</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郑州市金水区博颂路6号</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杨老师</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0371-63795361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1.1.2</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采购代理机构</w:t>
            </w:r>
          </w:p>
        </w:tc>
        <w:tc>
          <w:tcPr>
            <w:tcW w:w="5912"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名称: 河南正禄招标代理有限公司 </w:t>
            </w:r>
          </w:p>
          <w:p>
            <w:pPr>
              <w:spacing w:line="360" w:lineRule="auto"/>
              <w:rPr>
                <w:rFonts w:ascii="宋体" w:hAnsi="宋体" w:cs="宋体"/>
                <w:color w:val="auto"/>
                <w:sz w:val="24"/>
                <w:highlight w:val="none"/>
              </w:rPr>
            </w:pPr>
            <w:r>
              <w:rPr>
                <w:rFonts w:hint="eastAsia" w:ascii="宋体" w:hAnsi="宋体" w:cs="宋体"/>
                <w:color w:val="auto"/>
                <w:sz w:val="24"/>
                <w:highlight w:val="none"/>
              </w:rPr>
              <w:t>地址: 郑州市郑东新区通惠路与白沙路交叉口东盛广场9层01号</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联系人: 张华 </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cs="宋体"/>
                <w:color w:val="auto"/>
                <w:kern w:val="0"/>
                <w:sz w:val="24"/>
                <w:highlight w:val="none"/>
              </w:rPr>
              <w:t>0371-53301569</w:t>
            </w:r>
            <w:r>
              <w:rPr>
                <w:rFonts w:hint="eastAsia" w:ascii="宋体" w:hAnsi="宋体" w:cs="宋体"/>
                <w:color w:val="auto"/>
                <w:sz w:val="24"/>
                <w:highlight w:val="none"/>
              </w:rPr>
              <w:t xml:space="preserve"> 18237166651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056" w:type="dxa"/>
            <w:tcBorders>
              <w:top w:val="single" w:color="auto" w:sz="4" w:space="0"/>
              <w:bottom w:val="single" w:color="auto" w:sz="4" w:space="0"/>
            </w:tcBorders>
            <w:vAlign w:val="center"/>
          </w:tcPr>
          <w:p>
            <w:pPr>
              <w:jc w:val="center"/>
              <w:rPr>
                <w:rFonts w:ascii="宋体" w:hAnsi="宋体" w:cs="宋体"/>
                <w:color w:val="auto"/>
                <w:highlight w:val="none"/>
              </w:rPr>
            </w:pPr>
            <w:r>
              <w:rPr>
                <w:rFonts w:hint="eastAsia" w:ascii="宋体" w:hAnsi="宋体" w:cs="宋体"/>
                <w:color w:val="auto"/>
                <w:sz w:val="24"/>
                <w:highlight w:val="none"/>
              </w:rPr>
              <w:t>1.1.3</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采购项目名称</w:t>
            </w:r>
          </w:p>
        </w:tc>
        <w:tc>
          <w:tcPr>
            <w:tcW w:w="5912" w:type="dxa"/>
            <w:tcBorders>
              <w:top w:val="single" w:color="auto" w:sz="4" w:space="0"/>
              <w:bottom w:val="single" w:color="auto" w:sz="4" w:space="0"/>
            </w:tcBorders>
            <w:vAlign w:val="center"/>
          </w:tcPr>
          <w:p>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河南医学高等专科学校职业卫生实训基地建设项目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1.1.4</w:t>
            </w:r>
          </w:p>
        </w:tc>
        <w:tc>
          <w:tcPr>
            <w:tcW w:w="2338" w:type="dxa"/>
            <w:tcBorders>
              <w:top w:val="single" w:color="auto" w:sz="4" w:space="0"/>
              <w:bottom w:val="single" w:color="auto" w:sz="4" w:space="0"/>
            </w:tcBorders>
            <w:vAlign w:val="bottom"/>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采购项目实施地点</w:t>
            </w:r>
          </w:p>
        </w:tc>
        <w:tc>
          <w:tcPr>
            <w:tcW w:w="5912" w:type="dxa"/>
            <w:tcBorders>
              <w:top w:val="single" w:color="auto" w:sz="4" w:space="0"/>
              <w:bottom w:val="single" w:color="auto" w:sz="4" w:space="0"/>
            </w:tcBorders>
            <w:vAlign w:val="bottom"/>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河南医学高等专科学校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056" w:type="dxa"/>
            <w:tcBorders>
              <w:top w:val="single" w:color="auto" w:sz="4" w:space="0"/>
              <w:bottom w:val="single" w:color="auto" w:sz="4" w:space="0"/>
            </w:tcBorders>
            <w:vAlign w:val="bottom"/>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1.1.5</w:t>
            </w:r>
          </w:p>
        </w:tc>
        <w:tc>
          <w:tcPr>
            <w:tcW w:w="2338" w:type="dxa"/>
            <w:tcBorders>
              <w:top w:val="single" w:color="auto" w:sz="4" w:space="0"/>
              <w:bottom w:val="single" w:color="auto" w:sz="4" w:space="0"/>
            </w:tcBorders>
            <w:vAlign w:val="bottom"/>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采购方式</w:t>
            </w:r>
          </w:p>
        </w:tc>
        <w:tc>
          <w:tcPr>
            <w:tcW w:w="5912" w:type="dxa"/>
            <w:tcBorders>
              <w:top w:val="single" w:color="auto" w:sz="4" w:space="0"/>
              <w:bottom w:val="single" w:color="auto" w:sz="4" w:space="0"/>
            </w:tcBorders>
            <w:vAlign w:val="bottom"/>
          </w:tcPr>
          <w:p>
            <w:pPr>
              <w:spacing w:line="360" w:lineRule="auto"/>
              <w:rPr>
                <w:rFonts w:ascii="宋体" w:hAnsi="宋体" w:cs="宋体"/>
                <w:color w:val="auto"/>
                <w:sz w:val="24"/>
                <w:highlight w:val="none"/>
              </w:rPr>
            </w:pPr>
            <w:r>
              <w:rPr>
                <w:rFonts w:hint="eastAsia" w:ascii="宋体" w:hAnsi="宋体" w:cs="宋体"/>
                <w:color w:val="auto"/>
                <w:sz w:val="24"/>
                <w:highlight w:val="none"/>
              </w:rPr>
              <w:t>竞争性磋商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1.1.6</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采购项目属性</w:t>
            </w:r>
          </w:p>
        </w:tc>
        <w:tc>
          <w:tcPr>
            <w:tcW w:w="5912" w:type="dxa"/>
            <w:tcBorders>
              <w:top w:val="single" w:color="auto" w:sz="4" w:space="0"/>
              <w:bottom w:val="single" w:color="auto" w:sz="4" w:space="0"/>
            </w:tcBorders>
            <w:vAlign w:val="center"/>
          </w:tcPr>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1.1.7</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标的物所属行业</w:t>
            </w:r>
          </w:p>
        </w:tc>
        <w:tc>
          <w:tcPr>
            <w:tcW w:w="5912" w:type="dxa"/>
            <w:tcBorders>
              <w:top w:val="single" w:color="auto" w:sz="4" w:space="0"/>
              <w:bottom w:val="single" w:color="auto" w:sz="4" w:space="0"/>
            </w:tcBorders>
            <w:vAlign w:val="bottom"/>
          </w:tcPr>
          <w:p>
            <w:pPr>
              <w:spacing w:line="360" w:lineRule="auto"/>
              <w:rPr>
                <w:rFonts w:ascii="宋体" w:hAnsi="宋体" w:cs="宋体"/>
                <w:color w:val="auto"/>
                <w:sz w:val="24"/>
                <w:highlight w:val="none"/>
              </w:rPr>
            </w:pPr>
            <w:r>
              <w:rPr>
                <w:rFonts w:hint="eastAsia" w:ascii="宋体" w:hAnsi="宋体" w:cs="宋体"/>
                <w:color w:val="auto"/>
                <w:sz w:val="24"/>
                <w:highlight w:val="none"/>
              </w:rPr>
              <w:t>根据“工信部联企业[2011]300 号”文件的划分标准，标的物所属行业为</w:t>
            </w:r>
            <w:r>
              <w:rPr>
                <w:rFonts w:hint="eastAsia" w:ascii="宋体" w:hAnsi="宋体" w:cs="宋体"/>
                <w:color w:val="auto"/>
                <w:sz w:val="24"/>
                <w:highlight w:val="none"/>
                <w:lang w:eastAsia="zh-CN"/>
              </w:rPr>
              <w:t>工</w:t>
            </w:r>
            <w:r>
              <w:rPr>
                <w:rFonts w:hint="eastAsia" w:ascii="宋体" w:hAnsi="宋体" w:cs="宋体"/>
                <w:color w:val="auto"/>
                <w:sz w:val="24"/>
                <w:highlight w:val="none"/>
              </w:rPr>
              <w:t>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1.2.2</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项目预算金额和最高限价</w:t>
            </w:r>
          </w:p>
        </w:tc>
        <w:tc>
          <w:tcPr>
            <w:tcW w:w="5912" w:type="dxa"/>
            <w:tcBorders>
              <w:top w:val="single" w:color="auto" w:sz="4" w:space="0"/>
              <w:bottom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项目预算金额：</w:t>
            </w:r>
            <w:r>
              <w:rPr>
                <w:rFonts w:hint="eastAsia" w:ascii="宋体" w:hAnsi="宋体" w:cs="宋体"/>
                <w:color w:val="auto"/>
                <w:sz w:val="24"/>
                <w:highlight w:val="none"/>
                <w:lang w:eastAsia="zh-CN"/>
              </w:rPr>
              <w:t>1300000.00</w:t>
            </w:r>
            <w:r>
              <w:rPr>
                <w:rFonts w:hint="eastAsia" w:ascii="宋体" w:hAnsi="宋体" w:cs="宋体"/>
                <w:color w:val="auto"/>
                <w:sz w:val="24"/>
                <w:highlight w:val="none"/>
              </w:rPr>
              <w:t>元；最高限价：</w:t>
            </w:r>
            <w:r>
              <w:rPr>
                <w:rFonts w:hint="eastAsia" w:ascii="宋体" w:hAnsi="宋体" w:cs="宋体"/>
                <w:color w:val="auto"/>
                <w:sz w:val="24"/>
                <w:highlight w:val="none"/>
                <w:lang w:eastAsia="zh-CN"/>
              </w:rPr>
              <w:t>1300000.00</w:t>
            </w:r>
            <w:r>
              <w:rPr>
                <w:rFonts w:hint="eastAsia" w:ascii="宋体" w:hAnsi="宋体" w:cs="宋体"/>
                <w:color w:val="auto"/>
                <w:sz w:val="24"/>
                <w:highlight w:val="none"/>
              </w:rPr>
              <w:t>元。</w:t>
            </w:r>
          </w:p>
          <w:p>
            <w:pPr>
              <w:spacing w:line="360" w:lineRule="auto"/>
              <w:rPr>
                <w:rFonts w:ascii="宋体" w:hAnsi="宋体" w:cs="宋体"/>
                <w:color w:val="auto"/>
                <w:sz w:val="24"/>
                <w:highlight w:val="none"/>
              </w:rPr>
            </w:pPr>
            <w:r>
              <w:rPr>
                <w:rFonts w:hint="eastAsia" w:ascii="宋体" w:hAnsi="宋体" w:cs="宋体"/>
                <w:color w:val="auto"/>
                <w:sz w:val="24"/>
                <w:highlight w:val="none"/>
              </w:rPr>
              <w:t>注：供应商的磋商报价不得超过预算金额或最高限价，否则按无效标处理。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1.3.2</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质量标准</w:t>
            </w:r>
          </w:p>
        </w:tc>
        <w:tc>
          <w:tcPr>
            <w:tcW w:w="5912"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满足采购人要求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1.3.3</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交货期</w:t>
            </w:r>
          </w:p>
        </w:tc>
        <w:tc>
          <w:tcPr>
            <w:tcW w:w="5912" w:type="dxa"/>
            <w:tcBorders>
              <w:top w:val="single" w:color="auto" w:sz="4" w:space="0"/>
              <w:bottom w:val="single" w:color="auto" w:sz="4" w:space="0"/>
            </w:tcBorders>
            <w:vAlign w:val="center"/>
          </w:tcPr>
          <w:p>
            <w:pPr>
              <w:spacing w:line="360" w:lineRule="auto"/>
              <w:jc w:val="left"/>
              <w:rPr>
                <w:rFonts w:ascii="宋体" w:hAnsi="宋体" w:cs="宋体"/>
                <w:color w:val="auto"/>
                <w:sz w:val="24"/>
                <w:highlight w:val="none"/>
              </w:rPr>
            </w:pPr>
            <w:r>
              <w:rPr>
                <w:rFonts w:hint="eastAsia" w:ascii="宋体" w:hAnsi="宋体" w:cs="宋体"/>
                <w:color w:val="auto"/>
                <w:sz w:val="24"/>
                <w:highlight w:val="none"/>
                <w:lang w:eastAsia="zh-CN"/>
              </w:rPr>
              <w:t>合同签订后10天内</w:t>
            </w:r>
            <w:r>
              <w:rPr>
                <w:rFonts w:hint="eastAsia" w:ascii="宋体" w:hAnsi="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1.3.4</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质量保证期</w:t>
            </w:r>
          </w:p>
        </w:tc>
        <w:tc>
          <w:tcPr>
            <w:tcW w:w="5912" w:type="dxa"/>
            <w:tcBorders>
              <w:top w:val="single" w:color="auto" w:sz="4" w:space="0"/>
              <w:bottom w:val="single" w:color="auto" w:sz="4" w:space="0"/>
            </w:tcBorders>
            <w:vAlign w:val="center"/>
          </w:tcPr>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项目验收完成后3年。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1.3.5</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交货地点</w:t>
            </w:r>
          </w:p>
        </w:tc>
        <w:tc>
          <w:tcPr>
            <w:tcW w:w="5912" w:type="dxa"/>
            <w:tcBorders>
              <w:top w:val="single" w:color="auto" w:sz="4" w:space="0"/>
              <w:bottom w:val="single" w:color="auto" w:sz="4" w:space="0"/>
            </w:tcBorders>
            <w:vAlign w:val="center"/>
          </w:tcPr>
          <w:p>
            <w:pPr>
              <w:spacing w:line="360" w:lineRule="auto"/>
              <w:jc w:val="left"/>
              <w:rPr>
                <w:rFonts w:ascii="宋体" w:hAnsi="宋体" w:cs="宋体"/>
                <w:color w:val="auto"/>
                <w:sz w:val="24"/>
                <w:highlight w:val="none"/>
              </w:rPr>
            </w:pPr>
            <w:r>
              <w:rPr>
                <w:rFonts w:hint="eastAsia" w:ascii="宋体" w:hAnsi="宋体" w:cs="宋体"/>
                <w:color w:val="auto"/>
                <w:sz w:val="24"/>
                <w:highlight w:val="none"/>
                <w:lang w:eastAsia="zh-CN"/>
              </w:rPr>
              <w:t>河南医学高等专科学校</w:t>
            </w:r>
            <w:r>
              <w:rPr>
                <w:rFonts w:hint="eastAsia" w:ascii="宋体" w:hAnsi="宋体" w:cs="宋体"/>
                <w:color w:val="auto"/>
                <w:sz w:val="24"/>
                <w:highlight w:val="none"/>
              </w:rPr>
              <w:t>财务处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3"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1.4.1</w:t>
            </w:r>
          </w:p>
        </w:tc>
        <w:tc>
          <w:tcPr>
            <w:tcW w:w="2338" w:type="dxa"/>
            <w:tcBorders>
              <w:top w:val="single" w:color="auto" w:sz="4" w:space="0"/>
              <w:bottom w:val="single" w:color="auto" w:sz="4" w:space="0"/>
            </w:tcBorders>
            <w:vAlign w:val="center"/>
          </w:tcPr>
          <w:p>
            <w:pPr>
              <w:spacing w:line="360" w:lineRule="auto"/>
              <w:jc w:val="center"/>
              <w:rPr>
                <w:rFonts w:ascii="宋体" w:hAnsi="宋体" w:cs="宋体"/>
                <w:bCs/>
                <w:color w:val="auto"/>
                <w:kern w:val="0"/>
                <w:sz w:val="24"/>
                <w:highlight w:val="none"/>
              </w:rPr>
            </w:pPr>
            <w:r>
              <w:rPr>
                <w:rFonts w:hint="eastAsia" w:ascii="宋体" w:hAnsi="宋体" w:cs="宋体"/>
                <w:color w:val="auto"/>
                <w:sz w:val="24"/>
                <w:highlight w:val="none"/>
              </w:rPr>
              <w:t>供应商（投标人）须具备的资格要求</w:t>
            </w:r>
          </w:p>
        </w:tc>
        <w:tc>
          <w:tcPr>
            <w:tcW w:w="5912"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需满足《中华人民共和国政府采购法》第二十二条规定：</w:t>
            </w:r>
          </w:p>
          <w:p>
            <w:pPr>
              <w:spacing w:line="360" w:lineRule="auto"/>
              <w:rPr>
                <w:rFonts w:ascii="宋体" w:hAnsi="宋体" w:cs="宋体"/>
                <w:color w:val="auto"/>
                <w:sz w:val="24"/>
                <w:highlight w:val="none"/>
              </w:rPr>
            </w:pPr>
            <w:r>
              <w:rPr>
                <w:rFonts w:hint="eastAsia" w:ascii="宋体" w:hAnsi="宋体" w:cs="宋体"/>
                <w:color w:val="auto"/>
                <w:sz w:val="24"/>
                <w:highlight w:val="none"/>
              </w:rPr>
              <w:t>1.具有独立承担民事责任的能力：具备有效的营业执照或其它相关证明材料）；</w:t>
            </w:r>
          </w:p>
          <w:p>
            <w:pPr>
              <w:spacing w:line="360" w:lineRule="auto"/>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2.具有良好的商业信誉和健全的财务会计制度：提供2022年经审计的财务状况报告或银行出具的资信证明（如有供应商成立时限不足要求时限的，由供应商根据自身成立时间提供证明资料）；</w:t>
            </w:r>
          </w:p>
          <w:p>
            <w:pPr>
              <w:spacing w:line="360" w:lineRule="auto"/>
              <w:rPr>
                <w:rFonts w:ascii="宋体" w:hAnsi="宋体" w:cs="宋体"/>
                <w:color w:val="auto"/>
                <w:sz w:val="24"/>
                <w:highlight w:val="none"/>
              </w:rPr>
            </w:pPr>
            <w:r>
              <w:rPr>
                <w:rFonts w:hint="eastAsia" w:ascii="宋体" w:hAnsi="宋体" w:cs="宋体"/>
                <w:color w:val="auto"/>
                <w:sz w:val="24"/>
                <w:highlight w:val="none"/>
              </w:rPr>
              <w:t>3.依法缴纳社会保障资金和依法缴纳税收证明：提供 2023年1月以来任意一个月份依法纳税和缴纳社会保障资金的证明材料，如有供应商成立时限不足要求时限的，由供应商根据自身成立时间提供证明材料。依法免税或不需要缴纳社会保障资金的供应商，应提供相应文件证明其依法免税或不需要缴纳社会保障资金；</w:t>
            </w:r>
          </w:p>
          <w:p>
            <w:pPr>
              <w:spacing w:line="360" w:lineRule="auto"/>
              <w:rPr>
                <w:rFonts w:ascii="宋体" w:hAnsi="宋体" w:cs="宋体"/>
                <w:color w:val="auto"/>
                <w:sz w:val="24"/>
                <w:highlight w:val="none"/>
              </w:rPr>
            </w:pPr>
            <w:r>
              <w:rPr>
                <w:rFonts w:hint="eastAsia" w:ascii="宋体" w:hAnsi="宋体" w:cs="宋体"/>
                <w:color w:val="auto"/>
                <w:sz w:val="24"/>
                <w:highlight w:val="none"/>
              </w:rPr>
              <w:t>4.具有履行合同所必需的设备和专业技术能力：自行承诺或提供相关证明材料；</w:t>
            </w:r>
          </w:p>
          <w:p>
            <w:pPr>
              <w:spacing w:line="360" w:lineRule="auto"/>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5.参加政府采购活动前三年内，在经营活动中没有重大违法记录的书面声明；</w:t>
            </w:r>
          </w:p>
          <w:p>
            <w:pPr>
              <w:spacing w:line="360" w:lineRule="auto"/>
              <w:rPr>
                <w:rFonts w:ascii="宋体" w:hAnsi="宋体" w:cs="宋体"/>
                <w:color w:val="auto"/>
                <w:sz w:val="24"/>
                <w:highlight w:val="none"/>
              </w:rPr>
            </w:pPr>
            <w:r>
              <w:rPr>
                <w:rFonts w:hint="eastAsia" w:ascii="宋体" w:hAnsi="宋体" w:cs="宋体"/>
                <w:color w:val="auto"/>
                <w:sz w:val="24"/>
                <w:highlight w:val="none"/>
              </w:rPr>
              <w:t>6.单位负责人为同一人或者存在直接控股、管理关系的不同供应商，不得参加同一合同项下的政府采购活动（供应商自行承诺）；</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7.信用查询：根据《关于在政府采购活动中查询及使用信用记录有关问题的通知》(财库[2016]125号)的规定，对列入失信被执行人、重大税收违法失信主体、政府采购严重违法失信行为记录名单的供应商，拒绝参与本项目政府采购活动；采购人或代理机构查询渠道：通过“信用中国”网站（http://www.creditchina.gov.cn/）“信用服务”→“失信被执行人”→跳转至“中国执行信息公开网（http://zxgk.court.gov.cn/shixin/）”查询企业，通过“信用中国”网站（http://www.creditchina.gov.cn/）“信用服务”→“重大税收违法失信主体”查询企业，通过“中国政府采购网”网站（www.ccgp.gov.cn）中查询“政府采购严重违法失信行为记录名单”的查询结果网页，递交响应文件截止时间后，由采购人或采购代理机构查询供应商的信用状况，并以此结果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1.4.2</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是否允许采购进口产品</w:t>
            </w:r>
          </w:p>
        </w:tc>
        <w:tc>
          <w:tcPr>
            <w:tcW w:w="5912"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1.4.3</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是否为专门面向中小企业采购</w:t>
            </w:r>
          </w:p>
        </w:tc>
        <w:tc>
          <w:tcPr>
            <w:tcW w:w="5912"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1.是否为专门面向中小企业的预留份额的采购项目或者采购包：否</w:t>
            </w:r>
          </w:p>
          <w:p>
            <w:pPr>
              <w:spacing w:line="360" w:lineRule="auto"/>
              <w:rPr>
                <w:rFonts w:ascii="宋体" w:hAnsi="宋体" w:cs="宋体"/>
                <w:color w:val="auto"/>
                <w:sz w:val="24"/>
                <w:highlight w:val="none"/>
              </w:rPr>
            </w:pPr>
            <w:r>
              <w:rPr>
                <w:rFonts w:hint="eastAsia" w:ascii="宋体" w:hAnsi="宋体" w:cs="宋体"/>
                <w:color w:val="auto"/>
                <w:sz w:val="24"/>
                <w:highlight w:val="none"/>
              </w:rPr>
              <w:t>2.依据《政府采购促进中小企业发展管理办法》规定享受扶持政策获得政府采购合同的，小微企业不得将合同分包给大中型企业，中型企业不得将合同分包给大型企业。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8"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1.4.4</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是否允许联合体参加政府采购活动</w:t>
            </w:r>
          </w:p>
        </w:tc>
        <w:tc>
          <w:tcPr>
            <w:tcW w:w="5912"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6"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1.4.5</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现场考察、磋商前答疑会</w:t>
            </w:r>
          </w:p>
        </w:tc>
        <w:tc>
          <w:tcPr>
            <w:tcW w:w="5912"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8" w:hRule="atLeast"/>
          <w:jc w:val="center"/>
        </w:trPr>
        <w:tc>
          <w:tcPr>
            <w:tcW w:w="105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2.1</w:t>
            </w:r>
          </w:p>
        </w:tc>
        <w:tc>
          <w:tcPr>
            <w:tcW w:w="2338"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供应商对竞争性磋商文件提出疑问的形式</w:t>
            </w:r>
          </w:p>
        </w:tc>
        <w:tc>
          <w:tcPr>
            <w:tcW w:w="5912" w:type="dxa"/>
            <w:tcBorders>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在河南省公共资源交易平台上进行提问，同时将问题的电子版（附加盖企业公章的扫描件和可编辑的Word电子版）上传。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2.2</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采购人书面澄清竞争性磋商文件的时间</w:t>
            </w:r>
          </w:p>
        </w:tc>
        <w:tc>
          <w:tcPr>
            <w:tcW w:w="5912"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澄清或者修改的内容可能影响响应文件编制的，将在递交首次响应文件截止时间至少5日前，</w:t>
            </w:r>
            <w:r>
              <w:rPr>
                <w:rFonts w:hint="eastAsia" w:ascii="宋体" w:hAnsi="宋体" w:cs="宋体"/>
                <w:bCs/>
                <w:color w:val="auto"/>
                <w:sz w:val="24"/>
                <w:highlight w:val="none"/>
              </w:rPr>
              <w:t>以公告形式</w:t>
            </w:r>
            <w:r>
              <w:rPr>
                <w:rFonts w:hint="eastAsia" w:ascii="宋体" w:hAnsi="宋体" w:cs="宋体"/>
                <w:color w:val="auto"/>
                <w:sz w:val="24"/>
                <w:highlight w:val="none"/>
              </w:rPr>
              <w:t>在原公告媒体上发布。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3.1</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签字和盖章要求</w:t>
            </w:r>
          </w:p>
        </w:tc>
        <w:tc>
          <w:tcPr>
            <w:tcW w:w="5912" w:type="dxa"/>
            <w:tcBorders>
              <w:top w:val="single" w:color="auto" w:sz="4" w:space="0"/>
              <w:bottom w:val="single" w:color="auto" w:sz="4" w:space="0"/>
            </w:tcBorders>
            <w:vAlign w:val="center"/>
          </w:tcPr>
          <w:p>
            <w:pPr>
              <w:autoSpaceDE w:val="0"/>
              <w:autoSpaceDN w:val="0"/>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按照竞争性磋商文件的要求进行签字或盖章。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3.2</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响应报价</w:t>
            </w:r>
          </w:p>
        </w:tc>
        <w:tc>
          <w:tcPr>
            <w:tcW w:w="5912"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1、供应商报价超过竞争性磋商文件规定的预算金额或者最高限价的，其响应文件将被认定为</w:t>
            </w:r>
            <w:r>
              <w:rPr>
                <w:rFonts w:hint="eastAsia" w:ascii="宋体" w:hAnsi="宋体" w:cs="宋体"/>
                <w:b/>
                <w:color w:val="auto"/>
                <w:sz w:val="24"/>
                <w:highlight w:val="none"/>
              </w:rPr>
              <w:t>无效响应文件</w:t>
            </w:r>
            <w:r>
              <w:rPr>
                <w:rFonts w:hint="eastAsia" w:ascii="宋体" w:hAnsi="宋体" w:cs="宋体"/>
                <w:color w:val="auto"/>
                <w:sz w:val="24"/>
                <w:highlight w:val="none"/>
              </w:rPr>
              <w:t>。</w:t>
            </w:r>
          </w:p>
          <w:p>
            <w:pPr>
              <w:autoSpaceDE w:val="0"/>
              <w:autoSpaceDN w:val="0"/>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供应商的报价应包括现场勘查及相关差旅费、全部货物、辅助材料、运输到指定地点的装运费用、安装调试、培训、售后服务、测试、验收以及其他有关交付使用前的所有费用。对采购项目履行过程中所需的而磋商文件中未列出的相关辅助材料和费用，也应包括在报价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3.3</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磋商保证金</w:t>
            </w:r>
          </w:p>
        </w:tc>
        <w:tc>
          <w:tcPr>
            <w:tcW w:w="5912" w:type="dxa"/>
            <w:tcBorders>
              <w:top w:val="single" w:color="auto" w:sz="4" w:space="0"/>
              <w:bottom w:val="single" w:color="auto" w:sz="4" w:space="0"/>
            </w:tcBorders>
            <w:vAlign w:val="center"/>
          </w:tcPr>
          <w:p>
            <w:pPr>
              <w:autoSpaceDE w:val="0"/>
              <w:autoSpaceDN w:val="0"/>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参加本项目采购活动的供应商无需提交磋商保证金。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3.4</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响应文件有效期</w:t>
            </w:r>
          </w:p>
        </w:tc>
        <w:tc>
          <w:tcPr>
            <w:tcW w:w="5912"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自响应文件递交截止之日起</w:t>
            </w:r>
            <w:r>
              <w:rPr>
                <w:rFonts w:hint="eastAsia" w:ascii="宋体" w:hAnsi="宋体" w:cs="宋体"/>
                <w:color w:val="auto"/>
                <w:sz w:val="24"/>
                <w:highlight w:val="none"/>
                <w:u w:val="single"/>
              </w:rPr>
              <w:t xml:space="preserve"> 60 </w:t>
            </w:r>
            <w:r>
              <w:rPr>
                <w:rFonts w:hint="eastAsia" w:ascii="宋体" w:hAnsi="宋体" w:cs="宋体"/>
                <w:color w:val="auto"/>
                <w:sz w:val="24"/>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056" w:type="dxa"/>
            <w:tcBorders>
              <w:top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4.1</w:t>
            </w:r>
          </w:p>
        </w:tc>
        <w:tc>
          <w:tcPr>
            <w:tcW w:w="2338" w:type="dxa"/>
            <w:tcBorders>
              <w:top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响应文件提交截止时间</w:t>
            </w:r>
          </w:p>
        </w:tc>
        <w:tc>
          <w:tcPr>
            <w:tcW w:w="5912" w:type="dxa"/>
            <w:tcBorders>
              <w:top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b/>
                <w:color w:val="auto"/>
                <w:sz w:val="24"/>
                <w:highlight w:val="none"/>
                <w:u w:val="single"/>
              </w:rPr>
              <w:t>2023</w:t>
            </w:r>
            <w:r>
              <w:rPr>
                <w:rFonts w:hint="eastAsia" w:ascii="宋体" w:hAnsi="宋体" w:cs="宋体"/>
                <w:b/>
                <w:color w:val="0000FF"/>
                <w:sz w:val="24"/>
                <w:highlight w:val="none"/>
              </w:rPr>
              <w:t>年</w:t>
            </w:r>
            <w:r>
              <w:rPr>
                <w:rFonts w:hint="eastAsia" w:ascii="宋体" w:hAnsi="宋体" w:cs="宋体"/>
                <w:b/>
                <w:color w:val="0000FF"/>
                <w:sz w:val="24"/>
                <w:highlight w:val="none"/>
                <w:u w:val="single"/>
              </w:rPr>
              <w:t xml:space="preserve"> </w:t>
            </w:r>
            <w:r>
              <w:rPr>
                <w:rFonts w:hint="eastAsia" w:ascii="宋体" w:hAnsi="宋体" w:cs="宋体"/>
                <w:b/>
                <w:color w:val="0000FF"/>
                <w:sz w:val="24"/>
                <w:highlight w:val="none"/>
                <w:u w:val="single"/>
                <w:lang w:val="en-US" w:eastAsia="zh-CN"/>
              </w:rPr>
              <w:t xml:space="preserve">09 </w:t>
            </w:r>
            <w:r>
              <w:rPr>
                <w:rFonts w:hint="eastAsia" w:ascii="宋体" w:hAnsi="宋体" w:cs="宋体"/>
                <w:b/>
                <w:color w:val="0000FF"/>
                <w:sz w:val="24"/>
                <w:highlight w:val="none"/>
              </w:rPr>
              <w:t>月</w:t>
            </w:r>
            <w:r>
              <w:rPr>
                <w:rFonts w:hint="eastAsia" w:ascii="宋体" w:hAnsi="宋体" w:cs="宋体"/>
                <w:b/>
                <w:color w:val="0000FF"/>
                <w:sz w:val="24"/>
                <w:highlight w:val="none"/>
                <w:u w:val="single"/>
                <w:lang w:val="en-US" w:eastAsia="zh-CN"/>
              </w:rPr>
              <w:t xml:space="preserve">05 </w:t>
            </w:r>
            <w:r>
              <w:rPr>
                <w:rFonts w:hint="eastAsia" w:ascii="宋体" w:hAnsi="宋体" w:cs="宋体"/>
                <w:b/>
                <w:color w:val="0000FF"/>
                <w:sz w:val="24"/>
                <w:highlight w:val="none"/>
              </w:rPr>
              <w:t>日</w:t>
            </w:r>
            <w:r>
              <w:rPr>
                <w:rFonts w:hint="eastAsia" w:ascii="宋体" w:hAnsi="宋体" w:cs="宋体"/>
                <w:b/>
                <w:color w:val="0000FF"/>
                <w:sz w:val="24"/>
                <w:highlight w:val="none"/>
                <w:u w:val="single"/>
              </w:rPr>
              <w:t xml:space="preserve"> 09</w:t>
            </w:r>
            <w:r>
              <w:rPr>
                <w:rFonts w:hint="eastAsia" w:ascii="宋体" w:hAnsi="宋体" w:cs="宋体"/>
                <w:b/>
                <w:color w:val="0000FF"/>
                <w:sz w:val="24"/>
                <w:highlight w:val="none"/>
              </w:rPr>
              <w:t>时</w:t>
            </w:r>
            <w:r>
              <w:rPr>
                <w:rFonts w:hint="eastAsia" w:ascii="宋体" w:hAnsi="宋体" w:cs="宋体"/>
                <w:b/>
                <w:color w:val="0000FF"/>
                <w:sz w:val="24"/>
                <w:highlight w:val="none"/>
                <w:u w:val="single"/>
              </w:rPr>
              <w:t xml:space="preserve"> 00</w:t>
            </w:r>
            <w:r>
              <w:rPr>
                <w:rFonts w:hint="eastAsia" w:ascii="宋体" w:hAnsi="宋体" w:cs="宋体"/>
                <w:b/>
                <w:color w:val="0000FF"/>
                <w:sz w:val="24"/>
                <w:highlight w:val="none"/>
              </w:rPr>
              <w:t>分（</w:t>
            </w:r>
            <w:r>
              <w:rPr>
                <w:rFonts w:hint="eastAsia" w:ascii="宋体" w:hAnsi="宋体" w:cs="宋体"/>
                <w:b/>
                <w:color w:val="auto"/>
                <w:sz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5.1.1</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磋商会议时间、地点</w:t>
            </w:r>
          </w:p>
        </w:tc>
        <w:tc>
          <w:tcPr>
            <w:tcW w:w="5912"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磋商会议开始时间：同响应文件提交截止时间；</w:t>
            </w:r>
          </w:p>
          <w:p>
            <w:pPr>
              <w:spacing w:line="360" w:lineRule="auto"/>
              <w:rPr>
                <w:rFonts w:ascii="宋体" w:hAnsi="宋体" w:cs="宋体"/>
                <w:color w:val="auto"/>
                <w:sz w:val="24"/>
                <w:highlight w:val="none"/>
              </w:rPr>
            </w:pPr>
            <w:r>
              <w:rPr>
                <w:rFonts w:hint="eastAsia" w:ascii="宋体" w:hAnsi="宋体" w:cs="宋体"/>
                <w:color w:val="auto"/>
                <w:sz w:val="24"/>
                <w:highlight w:val="none"/>
              </w:rPr>
              <w:t>开启地点：电子响应文件须在磋商响应文件递交截止时间前在《河南省公共资源交易中心》网站系统中加密上传。本项目采用“远程不见面”开标方式，投标人无需到河南省公共资源交易中心现场参加开标会议；投标人应当在开标时间前，登录远程开标大厅，在线准时参加开标活动并进行响应文件解密、答疑澄清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3"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5.1.2</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电子响应文件解密时间</w:t>
            </w:r>
          </w:p>
        </w:tc>
        <w:tc>
          <w:tcPr>
            <w:tcW w:w="5912"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在开始解密本单位电子响应文件后的30分钟内完成远程解密。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5.1.3</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磋商小组组成</w:t>
            </w:r>
          </w:p>
        </w:tc>
        <w:tc>
          <w:tcPr>
            <w:tcW w:w="5912" w:type="dxa"/>
            <w:tcBorders>
              <w:top w:val="single" w:color="auto" w:sz="4" w:space="0"/>
              <w:bottom w:val="single" w:color="auto" w:sz="4" w:space="0"/>
            </w:tcBorders>
            <w:vAlign w:val="center"/>
          </w:tcPr>
          <w:p>
            <w:pPr>
              <w:tabs>
                <w:tab w:val="left" w:pos="720"/>
              </w:tabs>
              <w:spacing w:line="360" w:lineRule="auto"/>
              <w:ind w:left="840" w:hanging="840" w:hangingChars="350"/>
              <w:rPr>
                <w:rFonts w:ascii="宋体" w:hAnsi="宋体" w:cs="宋体"/>
                <w:color w:val="auto"/>
                <w:sz w:val="24"/>
                <w:highlight w:val="none"/>
              </w:rPr>
            </w:pPr>
            <w:r>
              <w:rPr>
                <w:rFonts w:hint="eastAsia" w:ascii="宋体" w:hAnsi="宋体" w:cs="宋体"/>
                <w:color w:val="auto"/>
                <w:sz w:val="24"/>
                <w:highlight w:val="none"/>
              </w:rPr>
              <w:t>磋商小组人数：3人。</w:t>
            </w:r>
          </w:p>
          <w:p>
            <w:pPr>
              <w:spacing w:line="360" w:lineRule="auto"/>
              <w:rPr>
                <w:rFonts w:ascii="宋体" w:hAnsi="宋体" w:cs="宋体"/>
                <w:color w:val="auto"/>
                <w:sz w:val="24"/>
                <w:highlight w:val="none"/>
              </w:rPr>
            </w:pPr>
            <w:r>
              <w:rPr>
                <w:rFonts w:hint="eastAsia" w:ascii="宋体" w:hAnsi="宋体" w:cs="宋体"/>
                <w:color w:val="auto"/>
                <w:sz w:val="24"/>
                <w:highlight w:val="none"/>
              </w:rPr>
              <w:t>磋商小组由采购人代表和评审专家组成。</w:t>
            </w:r>
            <w:r>
              <w:rPr>
                <w:rFonts w:hint="eastAsia" w:ascii="宋体" w:hAnsi="宋体" w:cs="宋体"/>
                <w:bCs/>
                <w:color w:val="auto"/>
                <w:sz w:val="24"/>
                <w:highlight w:val="none"/>
              </w:rPr>
              <w:t>其中：采购人代表</w:t>
            </w:r>
            <w:r>
              <w:rPr>
                <w:rFonts w:hint="eastAsia" w:ascii="宋体" w:hAnsi="宋体" w:cs="宋体"/>
                <w:bCs/>
                <w:color w:val="auto"/>
                <w:sz w:val="24"/>
                <w:highlight w:val="none"/>
                <w:u w:val="single"/>
              </w:rPr>
              <w:t xml:space="preserve"> 1 </w:t>
            </w:r>
            <w:r>
              <w:rPr>
                <w:rFonts w:hint="eastAsia" w:ascii="宋体" w:hAnsi="宋体" w:cs="宋体"/>
                <w:bCs/>
                <w:color w:val="auto"/>
                <w:sz w:val="24"/>
                <w:highlight w:val="none"/>
              </w:rPr>
              <w:t>人，</w:t>
            </w:r>
            <w:r>
              <w:rPr>
                <w:rFonts w:hint="eastAsia" w:ascii="宋体" w:hAnsi="宋体" w:cs="宋体"/>
                <w:color w:val="auto"/>
                <w:sz w:val="24"/>
                <w:highlight w:val="none"/>
              </w:rPr>
              <w:t>评审专家</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人。评审专家产生方式：</w:t>
            </w:r>
            <w:r>
              <w:rPr>
                <w:rFonts w:hint="eastAsia" w:ascii="宋体" w:hAnsi="宋体" w:cs="宋体"/>
                <w:bCs/>
                <w:color w:val="auto"/>
                <w:sz w:val="24"/>
                <w:highlight w:val="none"/>
              </w:rPr>
              <w:t>从财政部门的政府采购专家库中随机抽取。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8"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5.1.4</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供应商信用记录查询</w:t>
            </w:r>
          </w:p>
        </w:tc>
        <w:tc>
          <w:tcPr>
            <w:tcW w:w="5912"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信用记录截止时间点：同响应文件提交截止时间；</w:t>
            </w:r>
          </w:p>
          <w:p>
            <w:pPr>
              <w:spacing w:line="360" w:lineRule="auto"/>
              <w:rPr>
                <w:rFonts w:ascii="宋体" w:hAnsi="宋体" w:cs="宋体"/>
                <w:color w:val="auto"/>
                <w:sz w:val="24"/>
                <w:highlight w:val="none"/>
              </w:rPr>
            </w:pPr>
            <w:r>
              <w:rPr>
                <w:rFonts w:hint="eastAsia" w:ascii="宋体" w:hAnsi="宋体" w:cs="宋体"/>
                <w:color w:val="auto"/>
                <w:sz w:val="24"/>
                <w:highlight w:val="none"/>
              </w:rPr>
              <w:t>信用记录查询时间：响应文件提交截止时间之后。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5.2</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评审办法</w:t>
            </w:r>
          </w:p>
        </w:tc>
        <w:tc>
          <w:tcPr>
            <w:tcW w:w="5912"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6.1</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推荐成交候选供应商的数量</w:t>
            </w:r>
          </w:p>
        </w:tc>
        <w:tc>
          <w:tcPr>
            <w:tcW w:w="5912"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b/>
                <w:color w:val="auto"/>
                <w:sz w:val="24"/>
                <w:highlight w:val="none"/>
              </w:rPr>
              <w:t>3名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9"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6.2</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确定成交供应商的方式</w:t>
            </w:r>
          </w:p>
        </w:tc>
        <w:tc>
          <w:tcPr>
            <w:tcW w:w="5912"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成交供应商数量：</w:t>
            </w:r>
            <w:r>
              <w:rPr>
                <w:rFonts w:hint="eastAsia" w:ascii="宋体" w:hAnsi="宋体" w:cs="宋体"/>
                <w:b/>
                <w:color w:val="auto"/>
                <w:sz w:val="24"/>
                <w:highlight w:val="none"/>
              </w:rPr>
              <w:t>1名</w:t>
            </w:r>
          </w:p>
          <w:p>
            <w:pPr>
              <w:spacing w:line="360" w:lineRule="auto"/>
              <w:rPr>
                <w:rFonts w:ascii="宋体" w:hAnsi="宋体" w:cs="宋体"/>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采购人确定成交供应商</w:t>
            </w:r>
          </w:p>
          <w:p>
            <w:pPr>
              <w:spacing w:line="360" w:lineRule="auto"/>
              <w:rPr>
                <w:rFonts w:ascii="宋体" w:hAnsi="宋体" w:cs="宋体"/>
                <w:color w:val="auto"/>
                <w:sz w:val="24"/>
                <w:highlight w:val="none"/>
              </w:rPr>
            </w:pPr>
            <w:r>
              <w:rPr>
                <w:rFonts w:hint="eastAsia" w:ascii="宋体" w:hAnsi="宋体" w:cs="宋体"/>
                <w:b/>
                <w:color w:val="auto"/>
                <w:sz w:val="24"/>
                <w:highlight w:val="none"/>
              </w:rPr>
              <w:sym w:font="Wingdings 2" w:char="00A3"/>
            </w:r>
            <w:r>
              <w:rPr>
                <w:rFonts w:hint="eastAsia" w:ascii="宋体" w:hAnsi="宋体" w:cs="宋体"/>
                <w:color w:val="auto"/>
                <w:sz w:val="24"/>
                <w:highlight w:val="none"/>
              </w:rPr>
              <w:t>采购人委托磋商小组直接确定成交供应商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5912" w:type="dxa"/>
            <w:tcBorders>
              <w:top w:val="single" w:color="auto" w:sz="4" w:space="0"/>
              <w:bottom w:val="single" w:color="auto" w:sz="4" w:space="0"/>
            </w:tcBorders>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1"/>
                <w:sz w:val="24"/>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056" w:type="dxa"/>
            <w:tcBorders>
              <w:top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2338" w:type="dxa"/>
            <w:tcBorders>
              <w:top w:val="single" w:color="auto" w:sz="4" w:space="0"/>
            </w:tcBorders>
            <w:vAlign w:val="center"/>
          </w:tcPr>
          <w:p>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采购代理服务费</w:t>
            </w:r>
          </w:p>
        </w:tc>
        <w:tc>
          <w:tcPr>
            <w:tcW w:w="5912" w:type="dxa"/>
            <w:tcBorders>
              <w:top w:val="single" w:color="auto" w:sz="4" w:space="0"/>
            </w:tcBorders>
            <w:vAlign w:val="center"/>
          </w:tcPr>
          <w:p>
            <w:pPr>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采购代理服务费:成交供应商须向采购代理机构按如下标准和规定交纳成交服务费。</w:t>
            </w:r>
          </w:p>
          <w:p>
            <w:pPr>
              <w:spacing w:line="360" w:lineRule="auto"/>
              <w:jc w:val="left"/>
              <w:rPr>
                <w:rFonts w:ascii="宋体" w:hAnsi="宋体" w:cs="宋体"/>
                <w:color w:val="auto"/>
                <w:sz w:val="24"/>
                <w:highlight w:val="none"/>
                <w:lang w:val="zh-CN"/>
              </w:rPr>
            </w:pPr>
            <w:r>
              <w:rPr>
                <w:rFonts w:hint="eastAsia" w:ascii="宋体" w:hAnsi="宋体" w:cs="宋体"/>
                <w:color w:val="auto"/>
                <w:sz w:val="24"/>
                <w:highlight w:val="none"/>
                <w:lang w:val="zh-CN"/>
              </w:rPr>
              <w:t>收费标准：参照《河南省招标代理服务收费指导意见》（豫招协〔2023〕002号）按预算金额的百分之一点七收取。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质疑的提出与接收</w:t>
            </w:r>
          </w:p>
        </w:tc>
        <w:tc>
          <w:tcPr>
            <w:tcW w:w="5912"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①供应商认为自己的权益受到损害的，可以在知道或者应该知道其权益受到损害之日起七个工作日内，向采购代理机构提出质疑。</w:t>
            </w:r>
          </w:p>
          <w:p>
            <w:pPr>
              <w:spacing w:line="360" w:lineRule="auto"/>
              <w:rPr>
                <w:rFonts w:ascii="宋体" w:hAnsi="宋体" w:cs="宋体"/>
                <w:color w:val="auto"/>
                <w:sz w:val="24"/>
                <w:highlight w:val="none"/>
              </w:rPr>
            </w:pPr>
            <w:r>
              <w:rPr>
                <w:rFonts w:hint="eastAsia" w:ascii="宋体" w:hAnsi="宋体" w:cs="宋体"/>
                <w:color w:val="auto"/>
                <w:sz w:val="24"/>
                <w:highlight w:val="none"/>
              </w:rPr>
              <w:t>②质疑函的内容、格式：应符合《政府采购质疑和投诉办法》相关规定和财政部门制定的《政府采购质疑函范本》格式。</w:t>
            </w:r>
          </w:p>
          <w:p>
            <w:pPr>
              <w:spacing w:line="360" w:lineRule="auto"/>
              <w:rPr>
                <w:rFonts w:ascii="宋体" w:hAnsi="宋体" w:cs="宋体"/>
                <w:color w:val="auto"/>
                <w:sz w:val="24"/>
                <w:highlight w:val="none"/>
              </w:rPr>
            </w:pPr>
            <w:r>
              <w:rPr>
                <w:rFonts w:hint="eastAsia" w:ascii="宋体" w:hAnsi="宋体" w:cs="宋体"/>
                <w:color w:val="auto"/>
                <w:sz w:val="24"/>
                <w:highlight w:val="none"/>
              </w:rPr>
              <w:t>③供应商应在法定质疑期内一次性针对同一采购程序环节提出质疑，否则针对再次提出质疑将不予接收。（采购程序环节分为：采购公告、竞争性磋商文件、采购过程、成交结果）</w:t>
            </w:r>
          </w:p>
          <w:p>
            <w:pPr>
              <w:spacing w:line="360" w:lineRule="auto"/>
              <w:rPr>
                <w:rFonts w:ascii="宋体" w:hAnsi="宋体" w:cs="宋体"/>
                <w:color w:val="auto"/>
                <w:sz w:val="24"/>
                <w:highlight w:val="none"/>
              </w:rPr>
            </w:pPr>
            <w:r>
              <w:rPr>
                <w:rFonts w:hint="eastAsia" w:ascii="宋体" w:hAnsi="宋体" w:cs="宋体"/>
                <w:color w:val="auto"/>
                <w:sz w:val="24"/>
                <w:highlight w:val="none"/>
              </w:rPr>
              <w:t>供应商应知其权益受到损害之日，是指：</w:t>
            </w:r>
          </w:p>
          <w:p>
            <w:pPr>
              <w:spacing w:line="360" w:lineRule="auto"/>
              <w:rPr>
                <w:rFonts w:ascii="宋体" w:hAnsi="宋体" w:cs="宋体"/>
                <w:color w:val="auto"/>
                <w:sz w:val="24"/>
                <w:highlight w:val="none"/>
              </w:rPr>
            </w:pPr>
            <w:r>
              <w:rPr>
                <w:rFonts w:hint="eastAsia" w:ascii="宋体" w:hAnsi="宋体" w:cs="宋体"/>
                <w:color w:val="auto"/>
                <w:sz w:val="24"/>
                <w:highlight w:val="none"/>
              </w:rPr>
              <w:t>(一)对可以质疑的采购文件提出质疑的，为收到采购文件之日或者采购文件公告期限届满之日;</w:t>
            </w:r>
          </w:p>
          <w:p>
            <w:pPr>
              <w:spacing w:line="360" w:lineRule="auto"/>
              <w:rPr>
                <w:rFonts w:ascii="宋体" w:hAnsi="宋体" w:cs="宋体"/>
                <w:color w:val="auto"/>
                <w:sz w:val="24"/>
                <w:highlight w:val="none"/>
              </w:rPr>
            </w:pPr>
            <w:r>
              <w:rPr>
                <w:rFonts w:hint="eastAsia" w:ascii="宋体" w:hAnsi="宋体" w:cs="宋体"/>
                <w:color w:val="auto"/>
                <w:sz w:val="24"/>
                <w:highlight w:val="none"/>
              </w:rPr>
              <w:t>(二)对采购过程提出质疑的，为各采购程序环节结束之日;</w:t>
            </w:r>
          </w:p>
          <w:p>
            <w:pPr>
              <w:spacing w:line="360" w:lineRule="auto"/>
              <w:rPr>
                <w:rFonts w:ascii="宋体" w:hAnsi="宋体" w:cs="宋体"/>
                <w:color w:val="auto"/>
                <w:sz w:val="24"/>
                <w:highlight w:val="none"/>
              </w:rPr>
            </w:pPr>
            <w:r>
              <w:rPr>
                <w:rFonts w:hint="eastAsia" w:ascii="宋体" w:hAnsi="宋体" w:cs="宋体"/>
                <w:color w:val="auto"/>
                <w:sz w:val="24"/>
                <w:highlight w:val="none"/>
              </w:rPr>
              <w:t>(三)对成交或者成交结果提出质疑的，为成交或者成交结果公告期限届满之日。</w:t>
            </w:r>
          </w:p>
          <w:p>
            <w:pPr>
              <w:spacing w:line="360" w:lineRule="auto"/>
              <w:rPr>
                <w:rFonts w:ascii="宋体" w:hAnsi="宋体" w:cs="宋体"/>
                <w:color w:val="auto"/>
                <w:sz w:val="24"/>
                <w:highlight w:val="none"/>
              </w:rPr>
            </w:pPr>
            <w:r>
              <w:rPr>
                <w:rFonts w:hint="eastAsia" w:ascii="宋体" w:hAnsi="宋体" w:cs="宋体"/>
                <w:color w:val="auto"/>
                <w:sz w:val="24"/>
                <w:highlight w:val="none"/>
              </w:rPr>
              <w:t>④接收质疑函的方式：接收加盖单位公章、法定的代表人签字（或加盖个人印章）的书面质疑函。</w:t>
            </w:r>
          </w:p>
          <w:p>
            <w:pPr>
              <w:spacing w:line="360" w:lineRule="auto"/>
              <w:rPr>
                <w:rFonts w:ascii="宋体" w:hAnsi="宋体" w:cs="宋体"/>
                <w:color w:val="auto"/>
                <w:sz w:val="24"/>
                <w:highlight w:val="none"/>
              </w:rPr>
            </w:pPr>
            <w:r>
              <w:rPr>
                <w:rFonts w:hint="eastAsia" w:ascii="宋体" w:hAnsi="宋体" w:cs="宋体"/>
                <w:color w:val="auto"/>
                <w:sz w:val="24"/>
                <w:highlight w:val="none"/>
              </w:rPr>
              <w:t>⑤质疑函接收信息</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单位：</w:t>
            </w:r>
            <w:r>
              <w:rPr>
                <w:rFonts w:hint="eastAsia" w:ascii="宋体" w:hAnsi="宋体" w:cs="宋体"/>
                <w:color w:val="auto"/>
                <w:kern w:val="0"/>
                <w:sz w:val="24"/>
                <w:highlight w:val="none"/>
              </w:rPr>
              <w:t>河南正禄招标代理有限公司</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联 系 人：</w:t>
            </w:r>
            <w:r>
              <w:rPr>
                <w:rFonts w:hint="eastAsia" w:ascii="宋体" w:hAnsi="宋体" w:cs="宋体"/>
                <w:color w:val="auto"/>
                <w:kern w:val="0"/>
                <w:sz w:val="24"/>
                <w:highlight w:val="none"/>
              </w:rPr>
              <w:t xml:space="preserve">张华 </w:t>
            </w:r>
            <w:r>
              <w:rPr>
                <w:rFonts w:hint="eastAsia" w:ascii="宋体" w:hAnsi="宋体" w:cs="宋体"/>
                <w:color w:val="auto"/>
                <w:sz w:val="24"/>
                <w:highlight w:val="none"/>
              </w:rPr>
              <w:t xml:space="preserve"> </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kern w:val="0"/>
                <w:sz w:val="24"/>
                <w:highlight w:val="none"/>
              </w:rPr>
              <w:t>0371-53301569</w:t>
            </w:r>
          </w:p>
          <w:p>
            <w:pPr>
              <w:spacing w:line="360" w:lineRule="auto"/>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kern w:val="0"/>
                <w:sz w:val="24"/>
                <w:highlight w:val="none"/>
              </w:rPr>
              <w:t xml:space="preserve">郑州市郑东新区通惠路与白沙路交叉口东盛广场9层01号 </w:t>
            </w:r>
            <w:r>
              <w:rPr>
                <w:rFonts w:hint="eastAsia" w:ascii="宋体" w:hAnsi="宋体" w:cs="宋体"/>
                <w:color w:val="auto"/>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9306" w:type="dxa"/>
            <w:gridSpan w:val="3"/>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t>需要补充的其它内容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付款方式</w:t>
            </w:r>
          </w:p>
        </w:tc>
        <w:tc>
          <w:tcPr>
            <w:tcW w:w="5912" w:type="dxa"/>
            <w:tcBorders>
              <w:top w:val="single" w:color="auto" w:sz="4" w:space="0"/>
              <w:bottom w:val="single" w:color="auto" w:sz="4" w:space="0"/>
            </w:tcBorders>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签订合同后甲方向乙方支付合同款的30%，最终验收合格后，甲方向乙方支付至合同款的100%。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数量増减范围</w:t>
            </w:r>
          </w:p>
        </w:tc>
        <w:tc>
          <w:tcPr>
            <w:tcW w:w="5912"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编制文件应注意的事项</w:t>
            </w:r>
          </w:p>
        </w:tc>
        <w:tc>
          <w:tcPr>
            <w:tcW w:w="5912" w:type="dxa"/>
            <w:tcBorders>
              <w:top w:val="single" w:color="auto" w:sz="4" w:space="0"/>
              <w:bottom w:val="single" w:color="auto" w:sz="4" w:space="0"/>
            </w:tcBorders>
            <w:vAlign w:val="center"/>
          </w:tcPr>
          <w:p>
            <w:pPr>
              <w:pStyle w:val="272"/>
              <w:autoSpaceDE w:val="0"/>
              <w:autoSpaceDN w:val="0"/>
              <w:spacing w:line="360" w:lineRule="auto"/>
              <w:jc w:val="left"/>
              <w:rPr>
                <w:rFonts w:ascii="宋体" w:hAnsi="宋体" w:cs="宋体"/>
                <w:color w:val="auto"/>
                <w:sz w:val="24"/>
                <w:highlight w:val="none"/>
              </w:rPr>
            </w:pPr>
            <w:r>
              <w:rPr>
                <w:rFonts w:hint="eastAsia" w:ascii="宋体" w:hAnsi="宋体" w:cs="宋体"/>
                <w:color w:val="auto"/>
                <w:sz w:val="24"/>
                <w:highlight w:val="none"/>
              </w:rPr>
              <w:t>各供应商在编制电子响应文件时，应避免因使用同一台计算机制作或同一台计算机上传或相同企业密钥（CA）上传电子响应文件等其他人为因素，造成响应文件制作机器码一致的，其磋商将被否决。由此造成的其他不良后果，均由供应商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9"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政府采购政策</w:t>
            </w:r>
          </w:p>
        </w:tc>
        <w:tc>
          <w:tcPr>
            <w:tcW w:w="5912"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1、根据《财政部发展改革委生态环境部市场监管总局关于调整优化节能产品、环境标志产品政府采购执行机制的通知》(财库〔2019〕9 号)、《关于印发节能产品政府采购品目清单的通知》(财库〔2019〕19 号) 、《关于印发环境标志产品政府采购品目清单的通知》(财库〔2019〕18 号) 文件规定，本项目如涉及到品目清单范围内的产品，将依据国家确定的认证机构出具的、处于有效期之内的节能产品、环境标志产品认证证书，对获得证书的产品实施优先采购或强制采购。(提供证明材料)</w:t>
            </w:r>
          </w:p>
          <w:p>
            <w:pPr>
              <w:spacing w:line="360" w:lineRule="auto"/>
              <w:rPr>
                <w:rFonts w:ascii="宋体" w:hAnsi="宋体" w:cs="宋体"/>
                <w:color w:val="auto"/>
                <w:sz w:val="24"/>
                <w:highlight w:val="none"/>
              </w:rPr>
            </w:pPr>
            <w:r>
              <w:rPr>
                <w:rFonts w:hint="eastAsia" w:ascii="宋体" w:hAnsi="宋体" w:cs="宋体"/>
                <w:color w:val="auto"/>
                <w:sz w:val="24"/>
                <w:highlight w:val="none"/>
              </w:rPr>
              <w:t>2.如供应商所投产品已列入国家强制性产品认证的产品，必须提供通过国家 3C 认证的有关证明材料(提供证明材料)。</w:t>
            </w:r>
          </w:p>
          <w:p>
            <w:pPr>
              <w:spacing w:line="360" w:lineRule="auto"/>
              <w:rPr>
                <w:rFonts w:ascii="宋体" w:hAnsi="宋体" w:cs="宋体"/>
                <w:color w:val="auto"/>
                <w:sz w:val="24"/>
                <w:highlight w:val="none"/>
              </w:rPr>
            </w:pPr>
            <w:r>
              <w:rPr>
                <w:rFonts w:hint="eastAsia" w:ascii="宋体" w:hAnsi="宋体" w:cs="宋体"/>
                <w:color w:val="auto"/>
                <w:sz w:val="24"/>
                <w:highlight w:val="none"/>
              </w:rPr>
              <w:t>注：财政部生态环境部关于印发节能产品政府采购品目清单的通知(财库〔2019〕19号) ★A02010104 台式计算机★A02010105 便携式计算机★A02010107 平板式微型计算机★A0201060102 激光打印机★A0201060104 针式打印机★A0201060401 液晶显示器★ A02052301 制冷压缩机★A02052305 空调机组★A02052309 专用制冷、空调设备★A020609 镇流器★A0206180203 空调机★电热水器★普通照明用双端荧光灯★A020910 电视设备★A020911 视频设备★A060805 便器★A060806 水嘴为政府强制采购产品，竞争性磋商文件货物需求如有上述产品，投标人（供应商）投报产品应当取得国家确定的认证机构出具的、处于有效期之内的节能产品认证证书。</w:t>
            </w:r>
          </w:p>
          <w:p>
            <w:pPr>
              <w:pStyle w:val="210"/>
              <w:tabs>
                <w:tab w:val="left" w:pos="495"/>
              </w:tabs>
              <w:spacing w:line="435" w:lineRule="exact"/>
              <w:ind w:firstLine="0"/>
              <w:rPr>
                <w:color w:val="auto"/>
                <w:sz w:val="24"/>
                <w:szCs w:val="24"/>
                <w:highlight w:val="none"/>
                <w:lang w:val="en-US" w:eastAsia="zh-CN" w:bidi="ar-SA"/>
              </w:rPr>
            </w:pPr>
            <w:r>
              <w:rPr>
                <w:rFonts w:hint="eastAsia"/>
                <w:color w:val="auto"/>
                <w:sz w:val="24"/>
                <w:szCs w:val="24"/>
                <w:highlight w:val="none"/>
                <w:lang w:val="en-US" w:eastAsia="zh-CN" w:bidi="ar-SA"/>
              </w:rPr>
              <w:t>3、对于同时获得节能产品（强制采购节能产品除外）和环境标志产品认证证书产品，只给予其中一种产品优先采购。</w:t>
            </w:r>
          </w:p>
          <w:p>
            <w:pPr>
              <w:pStyle w:val="49"/>
              <w:spacing w:line="360" w:lineRule="auto"/>
              <w:ind w:firstLine="0" w:firstLineChars="0"/>
              <w:rPr>
                <w:rFonts w:ascii="宋体" w:hAnsi="宋体" w:eastAsia="宋体" w:cs="宋体"/>
                <w:color w:val="auto"/>
                <w:highlight w:val="none"/>
                <w:lang w:eastAsia="zh-CN"/>
              </w:rPr>
            </w:pPr>
            <w:r>
              <w:rPr>
                <w:rFonts w:hint="eastAsia" w:ascii="宋体" w:hAnsi="宋体" w:eastAsia="宋体" w:cs="宋体"/>
                <w:color w:val="auto"/>
                <w:kern w:val="2"/>
                <w:sz w:val="24"/>
                <w:szCs w:val="24"/>
                <w:highlight w:val="none"/>
                <w:lang w:eastAsia="zh-CN"/>
              </w:rPr>
              <w:t>4、优先采购节能产品金额与环境标志产品金额之和占其投标总价的比例，比例高的优先。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扶持中小企业、监狱企业及残疾人企 业发展的相关政策</w:t>
            </w:r>
          </w:p>
        </w:tc>
        <w:tc>
          <w:tcPr>
            <w:tcW w:w="5912"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根据关于印发《政府采购促进中小企业发展管理办法》的通知{财库〔2020〕46号}、财政部印发《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并在投标文件中递交了《中小企业声明函》（声明内容需符合价格扣除条件）、《残疾人福利性单位声明函》或省级以上监狱管理局、戒毒管理局（含新疆生产建设兵团）出具的属于监狱企业的证明文件的供应商（投标人），其投标报价扣除</w:t>
            </w:r>
            <w:r>
              <w:rPr>
                <w:rFonts w:hint="eastAsia" w:ascii="宋体" w:hAnsi="宋体" w:cs="宋体"/>
                <w:b/>
                <w:bCs/>
                <w:color w:val="auto"/>
                <w:sz w:val="24"/>
                <w:highlight w:val="none"/>
              </w:rPr>
              <w:t>10%</w:t>
            </w:r>
            <w:r>
              <w:rPr>
                <w:rFonts w:hint="eastAsia" w:ascii="宋体" w:hAnsi="宋体" w:cs="宋体"/>
                <w:color w:val="auto"/>
                <w:sz w:val="24"/>
                <w:highlight w:val="none"/>
              </w:rPr>
              <w:t>后参与评审。对于同时属于小微企业、监狱企业或残疾人福利性单位的，不重复进行投标报价扣除。</w:t>
            </w:r>
          </w:p>
          <w:p>
            <w:pPr>
              <w:spacing w:line="360" w:lineRule="auto"/>
              <w:rPr>
                <w:rFonts w:ascii="宋体" w:hAnsi="宋体" w:cs="宋体"/>
                <w:color w:val="auto"/>
                <w:sz w:val="24"/>
                <w:highlight w:val="none"/>
              </w:rPr>
            </w:pPr>
            <w:r>
              <w:rPr>
                <w:rFonts w:hint="eastAsia" w:ascii="宋体" w:hAnsi="宋体" w:cs="宋体"/>
                <w:color w:val="auto"/>
                <w:sz w:val="24"/>
                <w:highlight w:val="none"/>
              </w:rPr>
              <w:t>2.联合协议中约定，小型、微型企业和监狱企业的协议合同金额占到联合体协议合同总金额 30%以上的，可给予联合体4%的价格扣除。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联合体各方均为小型、微型企业和监狱企业的，联合体视同为小型、微型企业和监狱企业。</w:t>
            </w:r>
          </w:p>
          <w:p>
            <w:pPr>
              <w:pStyle w:val="4"/>
              <w:spacing w:after="0" w:line="336"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3.根据财政部印发《关于进一步加大政府采购支持中小企业力度的通知》（财库[2022]19号）的规定，自2022年7月1日起，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pPr>
              <w:pStyle w:val="45"/>
              <w:spacing w:before="0" w:beforeAutospacing="0" w:after="0" w:afterAutospacing="0" w:line="360" w:lineRule="auto"/>
              <w:rPr>
                <w:rFonts w:cs="宋体"/>
                <w:color w:val="auto"/>
                <w:kern w:val="2"/>
                <w:szCs w:val="24"/>
                <w:highlight w:val="none"/>
              </w:rPr>
            </w:pPr>
            <w:r>
              <w:rPr>
                <w:rFonts w:hint="eastAsia" w:cs="宋体"/>
                <w:color w:val="auto"/>
                <w:kern w:val="2"/>
                <w:szCs w:val="24"/>
                <w:highlight w:val="none"/>
              </w:rPr>
              <w:t>4.根据关于印发《政府采购促进中小企业发展管理办法》的通知{财库〔2020〕46号}规定：在政府采购活动中，供应商提供的货物、工程或者服务符合下列情形的，享受本办法规定的中小企业扶持政策：</w:t>
            </w:r>
          </w:p>
          <w:p>
            <w:pPr>
              <w:pStyle w:val="36"/>
              <w:pBdr>
                <w:bottom w:val="thinThickSmallGap" w:color="auto" w:sz="12" w:space="1"/>
              </w:pBdr>
              <w:jc w:val="both"/>
            </w:pPr>
            <w:r>
              <w:rPr>
                <w:rFonts w:hint="eastAsia" w:cs="宋体"/>
                <w:color w:val="auto"/>
                <w:kern w:val="2"/>
                <w:szCs w:val="24"/>
                <w:highlight w:val="none"/>
              </w:rPr>
              <w:t>（一</w:t>
            </w:r>
            <w:r>
              <w:rPr>
                <w:rFonts w:hint="eastAsia" w:ascii="宋体" w:hAnsi="宋体" w:cs="宋体"/>
                <w:iCs/>
                <w:sz w:val="21"/>
                <w:szCs w:val="21"/>
                <w:lang w:eastAsia="zh-CN"/>
              </w:rPr>
              <w:t>河南医学高等专科学校职业卫生实训基地建设项目</w:t>
            </w:r>
            <w:r>
              <w:rPr>
                <w:rFonts w:hint="eastAsia" w:ascii="宋体" w:hAnsi="宋体" w:cs="宋体"/>
                <w:iCs/>
                <w:sz w:val="21"/>
                <w:szCs w:val="21"/>
              </w:rPr>
              <w:t xml:space="preserve">                  竞争性磋商文件</w:t>
            </w:r>
          </w:p>
          <w:p>
            <w:pPr>
              <w:pStyle w:val="45"/>
              <w:spacing w:before="0" w:beforeAutospacing="0" w:after="0" w:afterAutospacing="0" w:line="360" w:lineRule="auto"/>
              <w:ind w:firstLine="374"/>
              <w:rPr>
                <w:rFonts w:cs="宋体"/>
                <w:color w:val="auto"/>
                <w:kern w:val="2"/>
                <w:szCs w:val="24"/>
                <w:highlight w:val="none"/>
              </w:rPr>
            </w:pPr>
            <w:r>
              <w:rPr>
                <w:rFonts w:hint="eastAsia" w:cs="宋体"/>
                <w:color w:val="auto"/>
                <w:kern w:val="2"/>
                <w:szCs w:val="24"/>
                <w:highlight w:val="none"/>
              </w:rPr>
              <w:t>）在货物采购项目中，货物由中小企业制造，即货物由中小企业生产且使用该中小企业商号或者注册商标；</w:t>
            </w:r>
          </w:p>
          <w:p>
            <w:pPr>
              <w:pStyle w:val="45"/>
              <w:spacing w:before="0" w:beforeAutospacing="0" w:after="0" w:afterAutospacing="0" w:line="360" w:lineRule="auto"/>
              <w:ind w:firstLine="374"/>
              <w:rPr>
                <w:rFonts w:cs="宋体"/>
                <w:color w:val="auto"/>
                <w:kern w:val="2"/>
                <w:szCs w:val="24"/>
                <w:highlight w:val="none"/>
              </w:rPr>
            </w:pPr>
            <w:r>
              <w:rPr>
                <w:rFonts w:hint="eastAsia" w:cs="宋体"/>
                <w:color w:val="auto"/>
                <w:kern w:val="2"/>
                <w:szCs w:val="24"/>
                <w:highlight w:val="none"/>
              </w:rPr>
              <w:t>（二）在工程采购项目中，工程由中小企业承建，即工程施工单位为中小企业；</w:t>
            </w:r>
          </w:p>
          <w:p>
            <w:pPr>
              <w:pStyle w:val="45"/>
              <w:spacing w:before="0" w:beforeAutospacing="0" w:after="0" w:afterAutospacing="0" w:line="360" w:lineRule="auto"/>
              <w:ind w:firstLine="374"/>
              <w:rPr>
                <w:rFonts w:cs="宋体"/>
                <w:color w:val="auto"/>
                <w:kern w:val="2"/>
                <w:szCs w:val="24"/>
                <w:highlight w:val="none"/>
              </w:rPr>
            </w:pPr>
            <w:r>
              <w:rPr>
                <w:rFonts w:hint="eastAsia" w:cs="宋体"/>
                <w:color w:val="auto"/>
                <w:kern w:val="2"/>
                <w:szCs w:val="24"/>
                <w:highlight w:val="none"/>
              </w:rPr>
              <w:t>（三）在服务采购项目中，服务由中小企业承接，即提供服务的人员为中小企业依照《中华人民共和国劳动合同法》订立劳动合同的从业人员。</w:t>
            </w:r>
          </w:p>
          <w:p>
            <w:pPr>
              <w:pStyle w:val="45"/>
              <w:spacing w:before="0" w:beforeAutospacing="0" w:after="0" w:afterAutospacing="0" w:line="360" w:lineRule="auto"/>
              <w:ind w:firstLine="374"/>
              <w:rPr>
                <w:rFonts w:cs="宋体"/>
                <w:color w:val="auto"/>
                <w:kern w:val="2"/>
                <w:szCs w:val="24"/>
                <w:highlight w:val="none"/>
              </w:rPr>
            </w:pPr>
            <w:r>
              <w:rPr>
                <w:rFonts w:hint="eastAsia" w:cs="宋体"/>
                <w:color w:val="auto"/>
                <w:kern w:val="2"/>
                <w:szCs w:val="24"/>
                <w:highlight w:val="none"/>
              </w:rPr>
              <w:t>在货物采购项目中，供应商提供的货物既有中小企业制造货物，也有大型企业制造货物的，不享受本办法规定的中小企业扶持政策。</w:t>
            </w:r>
          </w:p>
          <w:p>
            <w:pPr>
              <w:pStyle w:val="45"/>
              <w:spacing w:before="0" w:beforeAutospacing="0" w:after="0" w:afterAutospacing="0" w:line="360" w:lineRule="auto"/>
              <w:ind w:firstLine="374"/>
              <w:rPr>
                <w:rFonts w:cs="宋体"/>
                <w:color w:val="auto"/>
                <w:kern w:val="2"/>
                <w:szCs w:val="24"/>
                <w:highlight w:val="none"/>
              </w:rPr>
            </w:pPr>
            <w:r>
              <w:rPr>
                <w:rFonts w:hint="eastAsia" w:cs="宋体"/>
                <w:color w:val="auto"/>
                <w:kern w:val="2"/>
                <w:szCs w:val="24"/>
                <w:highlight w:val="none"/>
              </w:rPr>
              <w:t>以联合体形式参加政府采购活动，联合体各方均为中小企业的，联合体视同中小企业。其中，联合体各方均为小微企业的，联合体视同小微企业。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2338"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解释权</w:t>
            </w:r>
          </w:p>
        </w:tc>
        <w:tc>
          <w:tcPr>
            <w:tcW w:w="5912" w:type="dxa"/>
            <w:tcBorders>
              <w:top w:val="single" w:color="auto" w:sz="4" w:space="0"/>
              <w:bottom w:val="single" w:color="auto" w:sz="4" w:space="0"/>
            </w:tcBorders>
            <w:vAlign w:val="center"/>
          </w:tcPr>
          <w:p>
            <w:pPr>
              <w:pStyle w:val="45"/>
              <w:spacing w:before="0" w:beforeAutospacing="0" w:after="0" w:afterAutospacing="0" w:line="360" w:lineRule="auto"/>
              <w:rPr>
                <w:rFonts w:cs="宋体"/>
                <w:color w:val="auto"/>
                <w:kern w:val="2"/>
                <w:szCs w:val="24"/>
                <w:highlight w:val="none"/>
              </w:rPr>
            </w:pPr>
            <w:r>
              <w:rPr>
                <w:rFonts w:hint="eastAsia" w:cs="宋体"/>
                <w:color w:val="auto"/>
                <w:szCs w:val="24"/>
                <w:highlight w:val="none"/>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招标公告（投标邀请书）、供应商须知、评标办法、响应文件格式的先后顺序解释；同一组成文件中就同一事项的规定或约定不一致的，以编排顺序在后者为准；同一组成文件不同版本之间有不一致的，以形成时间在后者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1056" w:type="dxa"/>
            <w:tcBorders>
              <w:top w:val="single" w:color="auto" w:sz="4" w:space="0"/>
              <w:bottom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2338" w:type="dxa"/>
            <w:tcBorders>
              <w:top w:val="single" w:color="auto" w:sz="4" w:space="0"/>
              <w:bottom w:val="single" w:color="auto" w:sz="4" w:space="0"/>
            </w:tcBorders>
            <w:vAlign w:val="center"/>
          </w:tcPr>
          <w:p>
            <w:pPr>
              <w:adjustRightIn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构成竞争性磋商文件的其他材料</w:t>
            </w:r>
          </w:p>
        </w:tc>
        <w:tc>
          <w:tcPr>
            <w:tcW w:w="5912" w:type="dxa"/>
            <w:tcBorders>
              <w:top w:val="single" w:color="auto" w:sz="4" w:space="0"/>
              <w:bottom w:val="single" w:color="auto" w:sz="4" w:space="0"/>
            </w:tcBorders>
            <w:vAlign w:val="center"/>
          </w:tcPr>
          <w:p>
            <w:pPr>
              <w:adjustRightIn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除竞争性磋商文件外，采购人在磋商期间发出的澄清、修改、补充、补遗和其他有效正式函件等内容均是竞争性磋商文件的组成部分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9306" w:type="dxa"/>
            <w:gridSpan w:val="3"/>
            <w:tcBorders>
              <w:top w:val="single" w:color="auto" w:sz="4" w:space="0"/>
              <w:bottom w:val="single" w:color="auto" w:sz="4" w:space="0"/>
            </w:tcBorders>
            <w:vAlign w:val="center"/>
          </w:tcPr>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本文件未尽事宜，参照现行有关的法律、法规、规章、办法等执行。</w:t>
            </w:r>
          </w:p>
        </w:tc>
      </w:tr>
    </w:tbl>
    <w:p>
      <w:pPr>
        <w:pStyle w:val="12"/>
        <w:spacing w:before="0" w:after="0" w:line="360" w:lineRule="auto"/>
        <w:rPr>
          <w:rFonts w:ascii="宋体" w:hAnsi="宋体" w:eastAsia="宋体" w:cs="宋体"/>
          <w:color w:val="auto"/>
          <w:sz w:val="24"/>
          <w:szCs w:val="24"/>
          <w:highlight w:val="none"/>
        </w:rPr>
      </w:pPr>
      <w:bookmarkStart w:id="28" w:name="_Toc15048288"/>
      <w:bookmarkStart w:id="29" w:name="_Toc532473449"/>
      <w:bookmarkStart w:id="30" w:name="_Toc21015"/>
      <w:bookmarkStart w:id="31" w:name="_Toc21215"/>
      <w:bookmarkStart w:id="32" w:name="_Toc57217227"/>
      <w:r>
        <w:rPr>
          <w:rFonts w:hint="eastAsia" w:ascii="宋体" w:hAnsi="宋体" w:eastAsia="宋体" w:cs="宋体"/>
          <w:color w:val="auto"/>
          <w:sz w:val="24"/>
          <w:szCs w:val="24"/>
          <w:highlight w:val="none"/>
        </w:rPr>
        <w:br w:type="page"/>
      </w:r>
      <w:bookmarkStart w:id="33" w:name="_Toc6109"/>
      <w:bookmarkStart w:id="34" w:name="_Toc10741"/>
      <w:bookmarkStart w:id="35" w:name="_Toc1353"/>
      <w:r>
        <w:rPr>
          <w:rFonts w:hint="eastAsia" w:ascii="宋体" w:hAnsi="宋体" w:eastAsia="宋体" w:cs="宋体"/>
          <w:color w:val="auto"/>
          <w:sz w:val="24"/>
          <w:szCs w:val="24"/>
          <w:highlight w:val="none"/>
        </w:rPr>
        <w:t>1、总 则</w:t>
      </w:r>
      <w:bookmarkEnd w:id="28"/>
      <w:bookmarkEnd w:id="29"/>
      <w:bookmarkEnd w:id="30"/>
      <w:bookmarkEnd w:id="31"/>
      <w:bookmarkEnd w:id="32"/>
      <w:bookmarkEnd w:id="33"/>
      <w:bookmarkEnd w:id="34"/>
      <w:bookmarkEnd w:id="35"/>
    </w:p>
    <w:p>
      <w:pPr>
        <w:pStyle w:val="14"/>
        <w:spacing w:before="0" w:after="0" w:line="360" w:lineRule="auto"/>
        <w:rPr>
          <w:rFonts w:ascii="宋体" w:hAnsi="宋体" w:eastAsia="宋体" w:cs="宋体"/>
          <w:color w:val="auto"/>
          <w:sz w:val="24"/>
          <w:szCs w:val="24"/>
          <w:highlight w:val="none"/>
        </w:rPr>
      </w:pPr>
      <w:bookmarkStart w:id="36" w:name="_Toc57217228"/>
      <w:bookmarkStart w:id="37" w:name="_Toc12413"/>
      <w:bookmarkStart w:id="38" w:name="_Toc8471"/>
      <w:bookmarkStart w:id="39" w:name="_Toc4704"/>
      <w:bookmarkStart w:id="40" w:name="_Toc32623"/>
      <w:bookmarkStart w:id="41" w:name="_Toc520356144"/>
      <w:bookmarkStart w:id="42" w:name="_Toc32189"/>
      <w:bookmarkStart w:id="43" w:name="_Toc515647758"/>
      <w:bookmarkStart w:id="44" w:name="_Toc532473450"/>
      <w:bookmarkStart w:id="45" w:name="_Toc15048289"/>
      <w:r>
        <w:rPr>
          <w:rFonts w:hint="eastAsia" w:ascii="宋体" w:hAnsi="宋体" w:eastAsia="宋体" w:cs="宋体"/>
          <w:color w:val="auto"/>
          <w:sz w:val="24"/>
          <w:szCs w:val="24"/>
          <w:highlight w:val="none"/>
        </w:rPr>
        <w:t>1.1 项目概况</w:t>
      </w:r>
      <w:bookmarkEnd w:id="36"/>
      <w:bookmarkEnd w:id="37"/>
      <w:bookmarkEnd w:id="38"/>
      <w:bookmarkEnd w:id="39"/>
    </w:p>
    <w:bookmarkEnd w:id="40"/>
    <w:bookmarkEnd w:id="41"/>
    <w:bookmarkEnd w:id="42"/>
    <w:bookmarkEnd w:id="43"/>
    <w:bookmarkEnd w:id="44"/>
    <w:bookmarkEnd w:id="45"/>
    <w:p>
      <w:pPr>
        <w:tabs>
          <w:tab w:val="left" w:pos="0"/>
        </w:tabs>
        <w:spacing w:line="360" w:lineRule="auto"/>
        <w:rPr>
          <w:rFonts w:ascii="宋体" w:hAnsi="宋体" w:cs="宋体"/>
          <w:color w:val="auto"/>
          <w:sz w:val="24"/>
          <w:highlight w:val="none"/>
        </w:rPr>
      </w:pPr>
      <w:r>
        <w:rPr>
          <w:rFonts w:hint="eastAsia" w:ascii="宋体" w:hAnsi="宋体" w:cs="宋体"/>
          <w:color w:val="auto"/>
          <w:sz w:val="24"/>
          <w:highlight w:val="none"/>
        </w:rPr>
        <w:t>1.1.1 采购人：是指依法进行政府采购的国家机关、事业单位、团体组织。</w:t>
      </w:r>
    </w:p>
    <w:p>
      <w:pPr>
        <w:tabs>
          <w:tab w:val="left" w:pos="0"/>
        </w:tabs>
        <w:spacing w:line="360" w:lineRule="auto"/>
        <w:rPr>
          <w:rFonts w:ascii="宋体" w:hAnsi="宋体" w:cs="宋体"/>
          <w:color w:val="auto"/>
          <w:sz w:val="24"/>
          <w:highlight w:val="none"/>
        </w:rPr>
      </w:pPr>
      <w:r>
        <w:rPr>
          <w:rFonts w:hint="eastAsia" w:ascii="宋体" w:hAnsi="宋体" w:cs="宋体"/>
          <w:color w:val="auto"/>
          <w:sz w:val="24"/>
          <w:highlight w:val="none"/>
        </w:rPr>
        <w:t>本项目的采购人见：</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1.1.2 采购代理机构是指：</w:t>
      </w:r>
      <w:r>
        <w:rPr>
          <w:rFonts w:hint="eastAsia" w:ascii="宋体" w:hAnsi="宋体" w:cs="宋体"/>
          <w:color w:val="auto"/>
          <w:kern w:val="0"/>
          <w:sz w:val="24"/>
          <w:highlight w:val="none"/>
        </w:rPr>
        <w:t>河南正禄招标代理有限公司</w:t>
      </w:r>
    </w:p>
    <w:p>
      <w:pPr>
        <w:tabs>
          <w:tab w:val="left" w:pos="142"/>
        </w:tabs>
        <w:spacing w:line="360" w:lineRule="auto"/>
        <w:rPr>
          <w:rFonts w:ascii="宋体" w:hAnsi="宋体" w:cs="宋体"/>
          <w:color w:val="auto"/>
          <w:sz w:val="24"/>
          <w:highlight w:val="none"/>
        </w:rPr>
      </w:pPr>
      <w:r>
        <w:rPr>
          <w:rFonts w:hint="eastAsia" w:ascii="宋体" w:hAnsi="宋体" w:cs="宋体"/>
          <w:color w:val="auto"/>
          <w:sz w:val="24"/>
          <w:highlight w:val="none"/>
        </w:rPr>
        <w:t>1.1.3 采购项目名称：</w:t>
      </w:r>
      <w:r>
        <w:rPr>
          <w:rFonts w:hint="eastAsia" w:ascii="宋体" w:hAnsi="宋体" w:cs="宋体"/>
          <w:b/>
          <w:color w:val="auto"/>
          <w:sz w:val="24"/>
          <w:highlight w:val="none"/>
          <w:u w:val="single"/>
        </w:rPr>
        <w:t>见供应商须知前附表</w:t>
      </w:r>
      <w:r>
        <w:rPr>
          <w:rFonts w:hint="eastAsia" w:ascii="宋体" w:hAnsi="宋体" w:cs="宋体"/>
          <w:color w:val="auto"/>
          <w:sz w:val="24"/>
          <w:highlight w:val="none"/>
        </w:rPr>
        <w:t>。</w:t>
      </w:r>
    </w:p>
    <w:p>
      <w:pPr>
        <w:tabs>
          <w:tab w:val="left" w:pos="142"/>
        </w:tabs>
        <w:spacing w:line="360" w:lineRule="auto"/>
        <w:rPr>
          <w:rFonts w:ascii="宋体" w:hAnsi="宋体" w:cs="宋体"/>
          <w:color w:val="auto"/>
          <w:sz w:val="24"/>
          <w:highlight w:val="none"/>
        </w:rPr>
      </w:pPr>
      <w:r>
        <w:rPr>
          <w:rFonts w:hint="eastAsia" w:ascii="宋体" w:hAnsi="宋体" w:cs="宋体"/>
          <w:color w:val="auto"/>
          <w:sz w:val="24"/>
          <w:highlight w:val="none"/>
        </w:rPr>
        <w:t>1.1.4 采购项目实施地点：</w:t>
      </w:r>
      <w:r>
        <w:rPr>
          <w:rFonts w:hint="eastAsia" w:ascii="宋体" w:hAnsi="宋体" w:cs="宋体"/>
          <w:b/>
          <w:color w:val="auto"/>
          <w:sz w:val="24"/>
          <w:highlight w:val="none"/>
          <w:u w:val="single"/>
        </w:rPr>
        <w:t>见供应商须知前附表</w:t>
      </w:r>
      <w:r>
        <w:rPr>
          <w:rFonts w:hint="eastAsia" w:ascii="宋体" w:hAnsi="宋体" w:cs="宋体"/>
          <w:color w:val="auto"/>
          <w:sz w:val="24"/>
          <w:highlight w:val="none"/>
        </w:rPr>
        <w:t>。</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1.1.5 采购方式：</w:t>
      </w:r>
      <w:r>
        <w:rPr>
          <w:rFonts w:hint="eastAsia" w:ascii="宋体" w:hAnsi="宋体" w:cs="宋体"/>
          <w:b/>
          <w:color w:val="auto"/>
          <w:sz w:val="24"/>
          <w:highlight w:val="none"/>
        </w:rPr>
        <w:t>竞争性磋商。</w:t>
      </w:r>
      <w:r>
        <w:rPr>
          <w:rFonts w:hint="eastAsia" w:ascii="宋体" w:hAnsi="宋体" w:cs="宋体"/>
          <w:color w:val="auto"/>
          <w:sz w:val="24"/>
          <w:highlight w:val="none"/>
        </w:rPr>
        <w:t>采购人、采购代理机构通过组建竞争性磋商小组（以下简称磋商小组）与符合条件的供应商就采购</w:t>
      </w:r>
      <w:r>
        <w:rPr>
          <w:rFonts w:hint="eastAsia" w:ascii="宋体" w:hAnsi="宋体" w:cs="宋体"/>
          <w:b/>
          <w:bCs/>
          <w:color w:val="auto"/>
          <w:sz w:val="24"/>
          <w:highlight w:val="none"/>
        </w:rPr>
        <w:t>货物（包括伴随的服务）/工程（伴随的服务）/服务</w:t>
      </w:r>
      <w:r>
        <w:rPr>
          <w:rFonts w:hint="eastAsia" w:ascii="宋体" w:hAnsi="宋体" w:cs="宋体"/>
          <w:color w:val="auto"/>
          <w:sz w:val="24"/>
          <w:highlight w:val="none"/>
        </w:rPr>
        <w:t>事宜进行磋商，供应商按照竞争性磋商文件的要求提交响应文件和报价，采购人从磋商小组评审后提出的候选供应商名单中确定成交供应商。</w:t>
      </w:r>
    </w:p>
    <w:p>
      <w:pPr>
        <w:tabs>
          <w:tab w:val="left" w:pos="142"/>
        </w:tabs>
        <w:spacing w:line="360" w:lineRule="auto"/>
        <w:rPr>
          <w:rFonts w:ascii="宋体" w:hAnsi="宋体" w:cs="宋体"/>
          <w:color w:val="auto"/>
          <w:sz w:val="24"/>
          <w:highlight w:val="none"/>
        </w:rPr>
      </w:pPr>
      <w:bookmarkStart w:id="46" w:name="_Toc57217229"/>
      <w:bookmarkStart w:id="47" w:name="_Toc15048290"/>
      <w:bookmarkStart w:id="48" w:name="_Toc12139"/>
      <w:bookmarkStart w:id="49" w:name="_Toc532473451"/>
      <w:bookmarkStart w:id="50" w:name="_Toc5286"/>
      <w:bookmarkStart w:id="51" w:name="_Toc515647759"/>
      <w:r>
        <w:rPr>
          <w:rFonts w:hint="eastAsia" w:ascii="宋体" w:hAnsi="宋体" w:cs="宋体"/>
          <w:color w:val="auto"/>
          <w:sz w:val="24"/>
          <w:highlight w:val="none"/>
        </w:rPr>
        <w:t>1.1.6 采购项目属性：</w:t>
      </w:r>
      <w:r>
        <w:rPr>
          <w:rFonts w:hint="eastAsia" w:ascii="宋体" w:hAnsi="宋体" w:cs="宋体"/>
          <w:b/>
          <w:color w:val="auto"/>
          <w:sz w:val="24"/>
          <w:highlight w:val="none"/>
          <w:u w:val="single"/>
        </w:rPr>
        <w:t>见供应商须知前附表</w:t>
      </w:r>
      <w:r>
        <w:rPr>
          <w:rFonts w:hint="eastAsia" w:ascii="宋体" w:hAnsi="宋体" w:cs="宋体"/>
          <w:color w:val="auto"/>
          <w:sz w:val="24"/>
          <w:highlight w:val="none"/>
        </w:rPr>
        <w:t>。</w:t>
      </w:r>
    </w:p>
    <w:p>
      <w:pPr>
        <w:tabs>
          <w:tab w:val="left" w:pos="142"/>
        </w:tabs>
        <w:spacing w:line="360" w:lineRule="auto"/>
        <w:rPr>
          <w:rFonts w:ascii="宋体" w:hAnsi="宋体" w:cs="宋体"/>
          <w:color w:val="auto"/>
          <w:sz w:val="24"/>
          <w:highlight w:val="none"/>
        </w:rPr>
      </w:pPr>
      <w:r>
        <w:rPr>
          <w:rFonts w:hint="eastAsia" w:ascii="宋体" w:hAnsi="宋体" w:cs="宋体"/>
          <w:color w:val="auto"/>
          <w:sz w:val="24"/>
          <w:highlight w:val="none"/>
        </w:rPr>
        <w:t>1.1.7 标的物所属行业：</w:t>
      </w:r>
      <w:r>
        <w:rPr>
          <w:rFonts w:hint="eastAsia" w:ascii="宋体" w:hAnsi="宋体" w:cs="宋体"/>
          <w:b/>
          <w:color w:val="auto"/>
          <w:sz w:val="24"/>
          <w:highlight w:val="none"/>
          <w:u w:val="single"/>
        </w:rPr>
        <w:t>见供应商须知前附表</w:t>
      </w:r>
      <w:r>
        <w:rPr>
          <w:rFonts w:hint="eastAsia" w:ascii="宋体" w:hAnsi="宋体" w:cs="宋体"/>
          <w:color w:val="auto"/>
          <w:sz w:val="24"/>
          <w:highlight w:val="none"/>
        </w:rPr>
        <w:t>。</w:t>
      </w:r>
    </w:p>
    <w:p>
      <w:pPr>
        <w:pStyle w:val="14"/>
        <w:spacing w:before="0" w:after="0" w:line="360" w:lineRule="auto"/>
        <w:rPr>
          <w:rFonts w:ascii="宋体" w:hAnsi="宋体" w:eastAsia="宋体" w:cs="宋体"/>
          <w:color w:val="auto"/>
          <w:sz w:val="24"/>
          <w:szCs w:val="24"/>
          <w:highlight w:val="none"/>
        </w:rPr>
      </w:pPr>
      <w:bookmarkStart w:id="52" w:name="_Toc24812"/>
      <w:bookmarkStart w:id="53" w:name="_Toc20497"/>
      <w:bookmarkStart w:id="54" w:name="_Toc11379"/>
      <w:r>
        <w:rPr>
          <w:rFonts w:hint="eastAsia" w:ascii="宋体" w:hAnsi="宋体" w:eastAsia="宋体" w:cs="宋体"/>
          <w:color w:val="auto"/>
          <w:sz w:val="24"/>
          <w:szCs w:val="24"/>
          <w:highlight w:val="none"/>
        </w:rPr>
        <w:t>1.2 资金来源</w:t>
      </w:r>
      <w:bookmarkEnd w:id="46"/>
      <w:bookmarkEnd w:id="47"/>
      <w:bookmarkEnd w:id="48"/>
      <w:bookmarkEnd w:id="49"/>
      <w:bookmarkEnd w:id="50"/>
      <w:bookmarkEnd w:id="51"/>
      <w:bookmarkEnd w:id="52"/>
      <w:bookmarkEnd w:id="53"/>
      <w:bookmarkEnd w:id="54"/>
    </w:p>
    <w:p>
      <w:pPr>
        <w:spacing w:line="360" w:lineRule="auto"/>
        <w:ind w:left="1"/>
        <w:rPr>
          <w:rFonts w:ascii="宋体" w:hAnsi="宋体" w:cs="宋体"/>
          <w:color w:val="auto"/>
          <w:sz w:val="24"/>
          <w:highlight w:val="none"/>
        </w:rPr>
      </w:pPr>
      <w:r>
        <w:rPr>
          <w:rFonts w:hint="eastAsia" w:ascii="宋体" w:hAnsi="宋体" w:cs="宋体"/>
          <w:color w:val="auto"/>
          <w:sz w:val="24"/>
          <w:highlight w:val="none"/>
        </w:rPr>
        <w:t>1.2.1 本项目的采购人已获得足以支付本次采购后所签订合同项下的资金（包括财政性资金和本项目采购中无法与财政性资金分割的非财政性资金）。</w:t>
      </w:r>
    </w:p>
    <w:p>
      <w:pPr>
        <w:spacing w:line="360" w:lineRule="auto"/>
        <w:rPr>
          <w:rFonts w:ascii="宋体" w:hAnsi="宋体" w:cs="宋体"/>
          <w:color w:val="auto"/>
          <w:sz w:val="24"/>
          <w:highlight w:val="none"/>
        </w:rPr>
      </w:pPr>
      <w:r>
        <w:rPr>
          <w:rFonts w:hint="eastAsia" w:ascii="宋体" w:hAnsi="宋体" w:cs="宋体"/>
          <w:color w:val="auto"/>
          <w:sz w:val="24"/>
          <w:highlight w:val="none"/>
        </w:rPr>
        <w:t>1.2.2 项目预算金额和最高限价（如有）见：</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1.2.3 供应商报价超过竞争性磋商文件规定的预算金额或者最高限价的，其响应文件将被认定为</w:t>
      </w:r>
      <w:r>
        <w:rPr>
          <w:rFonts w:hint="eastAsia" w:ascii="宋体" w:hAnsi="宋体" w:cs="宋体"/>
          <w:b/>
          <w:color w:val="auto"/>
          <w:sz w:val="24"/>
          <w:highlight w:val="none"/>
        </w:rPr>
        <w:t>无效响应文件</w:t>
      </w:r>
      <w:r>
        <w:rPr>
          <w:rFonts w:hint="eastAsia" w:ascii="宋体" w:hAnsi="宋体" w:cs="宋体"/>
          <w:color w:val="auto"/>
          <w:sz w:val="24"/>
          <w:highlight w:val="none"/>
        </w:rPr>
        <w:t>。</w:t>
      </w:r>
    </w:p>
    <w:p>
      <w:pPr>
        <w:pStyle w:val="14"/>
        <w:spacing w:before="0" w:after="0" w:line="360" w:lineRule="auto"/>
        <w:rPr>
          <w:rFonts w:ascii="宋体" w:hAnsi="宋体" w:eastAsia="宋体" w:cs="宋体"/>
          <w:b w:val="0"/>
          <w:color w:val="auto"/>
          <w:sz w:val="24"/>
          <w:szCs w:val="24"/>
          <w:highlight w:val="none"/>
        </w:rPr>
      </w:pPr>
      <w:bookmarkStart w:id="55" w:name="_Toc34733011"/>
      <w:bookmarkStart w:id="56" w:name="_Toc8660"/>
      <w:bookmarkStart w:id="57" w:name="_Toc57217230"/>
      <w:bookmarkStart w:id="58" w:name="_Toc34732543"/>
      <w:bookmarkStart w:id="59" w:name="_Toc19392"/>
      <w:bookmarkStart w:id="60" w:name="_Toc25832408"/>
      <w:bookmarkStart w:id="61" w:name="_Toc40972796"/>
      <w:bookmarkStart w:id="62" w:name="_Toc29158"/>
      <w:bookmarkStart w:id="63" w:name="_Toc36564721"/>
      <w:r>
        <w:rPr>
          <w:rFonts w:hint="eastAsia" w:ascii="宋体" w:hAnsi="宋体" w:eastAsia="宋体" w:cs="宋体"/>
          <w:color w:val="auto"/>
          <w:sz w:val="24"/>
          <w:szCs w:val="24"/>
          <w:highlight w:val="none"/>
        </w:rPr>
        <w:t>1.3 采购需求及其它相关要求</w:t>
      </w:r>
      <w:bookmarkEnd w:id="55"/>
      <w:bookmarkEnd w:id="56"/>
      <w:bookmarkEnd w:id="57"/>
      <w:bookmarkEnd w:id="58"/>
      <w:bookmarkEnd w:id="59"/>
      <w:bookmarkEnd w:id="60"/>
      <w:bookmarkEnd w:id="61"/>
      <w:bookmarkEnd w:id="62"/>
      <w:bookmarkEnd w:id="63"/>
    </w:p>
    <w:p>
      <w:pPr>
        <w:spacing w:line="360" w:lineRule="auto"/>
        <w:rPr>
          <w:rFonts w:ascii="宋体" w:hAnsi="宋体" w:cs="宋体"/>
          <w:color w:val="auto"/>
          <w:sz w:val="24"/>
          <w:highlight w:val="none"/>
        </w:rPr>
      </w:pPr>
      <w:r>
        <w:rPr>
          <w:rFonts w:hint="eastAsia" w:ascii="宋体" w:hAnsi="宋体" w:cs="宋体"/>
          <w:color w:val="auto"/>
          <w:sz w:val="24"/>
          <w:highlight w:val="none"/>
        </w:rPr>
        <w:t>1.3.1采购内容：</w:t>
      </w:r>
      <w:r>
        <w:rPr>
          <w:rFonts w:hint="eastAsia" w:ascii="宋体" w:hAnsi="宋体" w:cs="宋体"/>
          <w:b/>
          <w:color w:val="auto"/>
          <w:sz w:val="24"/>
          <w:highlight w:val="none"/>
          <w:u w:val="single"/>
        </w:rPr>
        <w:t>见竞争性磋商文件第三章</w:t>
      </w:r>
    </w:p>
    <w:p>
      <w:pPr>
        <w:tabs>
          <w:tab w:val="left" w:pos="142"/>
        </w:tabs>
        <w:spacing w:line="360" w:lineRule="auto"/>
        <w:rPr>
          <w:rFonts w:ascii="宋体" w:hAnsi="宋体" w:cs="宋体"/>
          <w:color w:val="auto"/>
          <w:sz w:val="24"/>
          <w:highlight w:val="none"/>
        </w:rPr>
      </w:pPr>
      <w:r>
        <w:rPr>
          <w:rFonts w:hint="eastAsia" w:ascii="宋体" w:hAnsi="宋体" w:cs="宋体"/>
          <w:color w:val="auto"/>
          <w:sz w:val="24"/>
          <w:highlight w:val="none"/>
        </w:rPr>
        <w:t>1.3.2 质量标准：</w:t>
      </w:r>
      <w:r>
        <w:rPr>
          <w:rFonts w:hint="eastAsia" w:ascii="宋体" w:hAnsi="宋体" w:cs="宋体"/>
          <w:b/>
          <w:color w:val="auto"/>
          <w:sz w:val="24"/>
          <w:highlight w:val="none"/>
          <w:u w:val="single"/>
        </w:rPr>
        <w:t>见供应商须知前附表</w:t>
      </w:r>
      <w:r>
        <w:rPr>
          <w:rFonts w:hint="eastAsia" w:ascii="宋体" w:hAnsi="宋体" w:cs="宋体"/>
          <w:color w:val="auto"/>
          <w:sz w:val="24"/>
          <w:highlight w:val="none"/>
        </w:rPr>
        <w:t>。</w:t>
      </w:r>
    </w:p>
    <w:p>
      <w:pPr>
        <w:tabs>
          <w:tab w:val="left" w:pos="142"/>
        </w:tabs>
        <w:spacing w:line="360" w:lineRule="auto"/>
        <w:rPr>
          <w:rFonts w:ascii="宋体" w:hAnsi="宋体" w:cs="宋体"/>
          <w:color w:val="auto"/>
          <w:sz w:val="24"/>
          <w:highlight w:val="none"/>
        </w:rPr>
      </w:pPr>
      <w:r>
        <w:rPr>
          <w:rFonts w:hint="eastAsia" w:ascii="宋体" w:hAnsi="宋体" w:cs="宋体"/>
          <w:color w:val="auto"/>
          <w:sz w:val="24"/>
          <w:highlight w:val="none"/>
        </w:rPr>
        <w:t>1.3.3 交货期：</w:t>
      </w:r>
      <w:r>
        <w:rPr>
          <w:rFonts w:hint="eastAsia" w:ascii="宋体" w:hAnsi="宋体" w:cs="宋体"/>
          <w:b/>
          <w:color w:val="auto"/>
          <w:sz w:val="24"/>
          <w:highlight w:val="none"/>
          <w:u w:val="single"/>
        </w:rPr>
        <w:t>见供应商须知前附表</w:t>
      </w:r>
      <w:r>
        <w:rPr>
          <w:rFonts w:hint="eastAsia" w:ascii="宋体" w:hAnsi="宋体" w:cs="宋体"/>
          <w:color w:val="auto"/>
          <w:sz w:val="24"/>
          <w:highlight w:val="none"/>
        </w:rPr>
        <w:t>。</w:t>
      </w:r>
    </w:p>
    <w:p>
      <w:pPr>
        <w:tabs>
          <w:tab w:val="left" w:pos="142"/>
        </w:tabs>
        <w:spacing w:line="360" w:lineRule="auto"/>
        <w:rPr>
          <w:rFonts w:ascii="宋体" w:hAnsi="宋体" w:cs="宋体"/>
          <w:color w:val="auto"/>
          <w:sz w:val="24"/>
          <w:highlight w:val="none"/>
        </w:rPr>
      </w:pPr>
      <w:r>
        <w:rPr>
          <w:rFonts w:hint="eastAsia" w:ascii="宋体" w:hAnsi="宋体" w:cs="宋体"/>
          <w:color w:val="auto"/>
          <w:sz w:val="24"/>
          <w:highlight w:val="none"/>
        </w:rPr>
        <w:t>1.3.4 质量保证期：</w:t>
      </w:r>
      <w:r>
        <w:rPr>
          <w:rFonts w:hint="eastAsia" w:ascii="宋体" w:hAnsi="宋体" w:cs="宋体"/>
          <w:b/>
          <w:color w:val="auto"/>
          <w:sz w:val="24"/>
          <w:highlight w:val="none"/>
          <w:u w:val="single"/>
        </w:rPr>
        <w:t>见供应商须知前附表</w:t>
      </w:r>
      <w:r>
        <w:rPr>
          <w:rFonts w:hint="eastAsia" w:ascii="宋体" w:hAnsi="宋体" w:cs="宋体"/>
          <w:color w:val="auto"/>
          <w:sz w:val="24"/>
          <w:highlight w:val="none"/>
        </w:rPr>
        <w:t>。</w:t>
      </w:r>
    </w:p>
    <w:p>
      <w:pPr>
        <w:pStyle w:val="14"/>
        <w:spacing w:before="0" w:after="0" w:line="360" w:lineRule="auto"/>
        <w:rPr>
          <w:rFonts w:ascii="宋体" w:hAnsi="宋体" w:eastAsia="宋体" w:cs="宋体"/>
          <w:color w:val="auto"/>
          <w:sz w:val="24"/>
          <w:szCs w:val="24"/>
          <w:highlight w:val="none"/>
        </w:rPr>
      </w:pPr>
      <w:bookmarkStart w:id="64" w:name="_Toc28411"/>
      <w:bookmarkStart w:id="65" w:name="_Toc5529"/>
      <w:bookmarkStart w:id="66" w:name="_Toc40972797"/>
      <w:bookmarkStart w:id="67" w:name="_Toc57217231"/>
      <w:bookmarkStart w:id="68" w:name="_Toc11681"/>
      <w:bookmarkStart w:id="69" w:name="_Toc34733012"/>
      <w:bookmarkStart w:id="70" w:name="_Toc25832409"/>
      <w:bookmarkStart w:id="71" w:name="_Toc36564722"/>
      <w:bookmarkStart w:id="72" w:name="_Toc34732544"/>
      <w:r>
        <w:rPr>
          <w:rFonts w:hint="eastAsia" w:ascii="宋体" w:hAnsi="宋体" w:eastAsia="宋体" w:cs="宋体"/>
          <w:color w:val="auto"/>
          <w:sz w:val="24"/>
          <w:szCs w:val="24"/>
          <w:highlight w:val="none"/>
        </w:rPr>
        <w:t>1.4 对供应商的要求</w:t>
      </w:r>
      <w:bookmarkEnd w:id="64"/>
      <w:bookmarkEnd w:id="65"/>
      <w:bookmarkEnd w:id="66"/>
      <w:bookmarkEnd w:id="67"/>
      <w:bookmarkEnd w:id="68"/>
      <w:bookmarkEnd w:id="69"/>
      <w:bookmarkEnd w:id="70"/>
      <w:bookmarkEnd w:id="71"/>
      <w:bookmarkEnd w:id="72"/>
    </w:p>
    <w:p>
      <w:pPr>
        <w:pStyle w:val="14"/>
        <w:spacing w:before="0" w:after="0" w:line="360" w:lineRule="auto"/>
        <w:rPr>
          <w:rFonts w:ascii="宋体" w:hAnsi="宋体" w:eastAsia="宋体" w:cs="宋体"/>
          <w:b w:val="0"/>
          <w:bCs/>
          <w:color w:val="auto"/>
          <w:sz w:val="24"/>
          <w:szCs w:val="24"/>
          <w:highlight w:val="none"/>
        </w:rPr>
      </w:pPr>
      <w:bookmarkStart w:id="73" w:name="_Toc8833"/>
      <w:bookmarkStart w:id="74" w:name="_Toc7330"/>
      <w:r>
        <w:rPr>
          <w:rFonts w:hint="eastAsia" w:ascii="宋体" w:hAnsi="宋体" w:eastAsia="宋体" w:cs="宋体"/>
          <w:b w:val="0"/>
          <w:bCs/>
          <w:color w:val="auto"/>
          <w:sz w:val="24"/>
          <w:szCs w:val="24"/>
          <w:highlight w:val="none"/>
        </w:rPr>
        <w:t xml:space="preserve">1.4.1 </w:t>
      </w:r>
      <w:r>
        <w:rPr>
          <w:rFonts w:hint="eastAsia" w:ascii="宋体" w:hAnsi="宋体" w:eastAsia="宋体" w:cs="宋体"/>
          <w:color w:val="auto"/>
          <w:sz w:val="24"/>
          <w:szCs w:val="24"/>
          <w:highlight w:val="none"/>
        </w:rPr>
        <w:t>供应商（申请人）</w:t>
      </w:r>
      <w:r>
        <w:rPr>
          <w:rFonts w:hint="eastAsia" w:ascii="宋体" w:hAnsi="宋体" w:eastAsia="宋体" w:cs="宋体"/>
          <w:b w:val="0"/>
          <w:bCs/>
          <w:color w:val="auto"/>
          <w:sz w:val="24"/>
          <w:szCs w:val="24"/>
          <w:highlight w:val="none"/>
        </w:rPr>
        <w:t>：是指向采购人提供货物（包括伴随的服务）/工程（伴随的服务）/服务的法人、非法人组织或者自然人。申请人与供应商含义相同，以下均称为供应商。</w:t>
      </w:r>
      <w:bookmarkEnd w:id="73"/>
      <w:bookmarkEnd w:id="74"/>
    </w:p>
    <w:p>
      <w:pPr>
        <w:spacing w:line="360" w:lineRule="auto"/>
        <w:ind w:left="240" w:hanging="240" w:hangingChars="100"/>
        <w:rPr>
          <w:rFonts w:ascii="宋体" w:hAnsi="宋体" w:cs="宋体"/>
          <w:bCs/>
          <w:color w:val="auto"/>
          <w:sz w:val="24"/>
          <w:highlight w:val="none"/>
        </w:rPr>
      </w:pPr>
      <w:r>
        <w:rPr>
          <w:rFonts w:hint="eastAsia" w:ascii="宋体" w:hAnsi="宋体" w:cs="宋体"/>
          <w:bCs/>
          <w:color w:val="auto"/>
          <w:sz w:val="24"/>
          <w:highlight w:val="none"/>
        </w:rPr>
        <w:t>1.4.2 本项目的供应商及其提供的货物（包括伴随的服务）/工程（伴随的服务）/服务须满足以下条件：</w:t>
      </w:r>
    </w:p>
    <w:p>
      <w:pPr>
        <w:spacing w:line="360" w:lineRule="auto"/>
        <w:rPr>
          <w:rFonts w:ascii="宋体" w:hAnsi="宋体" w:cs="宋体"/>
          <w:color w:val="auto"/>
          <w:sz w:val="24"/>
          <w:highlight w:val="none"/>
        </w:rPr>
      </w:pPr>
      <w:r>
        <w:rPr>
          <w:rFonts w:hint="eastAsia" w:ascii="宋体" w:hAnsi="宋体" w:cs="宋体"/>
          <w:color w:val="auto"/>
          <w:sz w:val="24"/>
          <w:highlight w:val="none"/>
        </w:rPr>
        <w:t>1.4.2.1 在中华人民共和国境内注册（或中华人民共和国公民），能够独立承担民事责任，有生产或供应能力的本国供应商。</w:t>
      </w:r>
    </w:p>
    <w:p>
      <w:pPr>
        <w:spacing w:line="360" w:lineRule="auto"/>
        <w:rPr>
          <w:rFonts w:ascii="宋体" w:hAnsi="宋体" w:cs="宋体"/>
          <w:color w:val="auto"/>
          <w:sz w:val="24"/>
          <w:highlight w:val="none"/>
        </w:rPr>
      </w:pPr>
      <w:r>
        <w:rPr>
          <w:rFonts w:hint="eastAsia" w:ascii="宋体" w:hAnsi="宋体" w:cs="宋体"/>
          <w:color w:val="auto"/>
          <w:sz w:val="24"/>
          <w:highlight w:val="none"/>
        </w:rPr>
        <w:t>1.4.2.2 符合《中华人民共和国政府采购法》第二十二条关于供应商条件的规定。</w:t>
      </w:r>
    </w:p>
    <w:p>
      <w:pPr>
        <w:spacing w:line="360" w:lineRule="auto"/>
        <w:ind w:left="239" w:leftChars="114" w:firstLine="717" w:firstLineChars="299"/>
        <w:rPr>
          <w:rFonts w:ascii="宋体" w:hAnsi="宋体" w:cs="宋体"/>
          <w:color w:val="auto"/>
          <w:sz w:val="24"/>
          <w:highlight w:val="none"/>
        </w:rPr>
      </w:pPr>
      <w:r>
        <w:rPr>
          <w:rFonts w:hint="eastAsia" w:ascii="宋体" w:hAnsi="宋体" w:cs="宋体"/>
          <w:color w:val="auto"/>
          <w:sz w:val="24"/>
          <w:highlight w:val="none"/>
        </w:rPr>
        <w:t>遵守本项目采购人本级和上级财政部门关于政府采购的有关规定。</w:t>
      </w:r>
    </w:p>
    <w:p>
      <w:pPr>
        <w:spacing w:line="360" w:lineRule="auto"/>
        <w:rPr>
          <w:rFonts w:ascii="宋体" w:hAnsi="宋体" w:cs="宋体"/>
          <w:color w:val="auto"/>
          <w:sz w:val="24"/>
          <w:highlight w:val="none"/>
        </w:rPr>
      </w:pPr>
      <w:r>
        <w:rPr>
          <w:rFonts w:hint="eastAsia" w:ascii="宋体" w:hAnsi="宋体" w:cs="宋体"/>
          <w:color w:val="auto"/>
          <w:sz w:val="24"/>
          <w:highlight w:val="none"/>
        </w:rPr>
        <w:t>1.4.2.3 以本项目竞争性磋商公告中规定的方式获取了本项目的竞争性磋商文件。</w:t>
      </w:r>
    </w:p>
    <w:p>
      <w:pPr>
        <w:spacing w:line="360" w:lineRule="auto"/>
        <w:rPr>
          <w:rFonts w:ascii="宋体" w:hAnsi="宋体" w:cs="宋体"/>
          <w:color w:val="auto"/>
          <w:sz w:val="24"/>
          <w:highlight w:val="none"/>
        </w:rPr>
      </w:pPr>
      <w:r>
        <w:rPr>
          <w:rFonts w:hint="eastAsia" w:ascii="宋体" w:hAnsi="宋体" w:cs="宋体"/>
          <w:color w:val="auto"/>
          <w:sz w:val="24"/>
          <w:highlight w:val="none"/>
        </w:rPr>
        <w:t>1.4.2.4 符合</w:t>
      </w:r>
      <w:r>
        <w:rPr>
          <w:rFonts w:hint="eastAsia" w:ascii="宋体" w:hAnsi="宋体" w:cs="宋体"/>
          <w:b/>
          <w:bCs/>
          <w:color w:val="auto"/>
          <w:sz w:val="24"/>
          <w:highlight w:val="none"/>
          <w:u w:val="single"/>
        </w:rPr>
        <w:t>供应商须知前附表</w:t>
      </w:r>
      <w:r>
        <w:rPr>
          <w:rFonts w:hint="eastAsia" w:ascii="宋体" w:hAnsi="宋体" w:cs="宋体"/>
          <w:color w:val="auto"/>
          <w:sz w:val="24"/>
          <w:highlight w:val="none"/>
        </w:rPr>
        <w:t>中规定的合格供应商（投标人）的其它资格要求。</w:t>
      </w:r>
    </w:p>
    <w:p>
      <w:pPr>
        <w:spacing w:line="360" w:lineRule="auto"/>
        <w:rPr>
          <w:rFonts w:ascii="宋体" w:hAnsi="宋体" w:cs="宋体"/>
          <w:color w:val="auto"/>
          <w:sz w:val="24"/>
          <w:highlight w:val="none"/>
        </w:rPr>
      </w:pPr>
      <w:r>
        <w:rPr>
          <w:rFonts w:hint="eastAsia" w:ascii="宋体" w:hAnsi="宋体" w:cs="宋体"/>
          <w:color w:val="auto"/>
          <w:sz w:val="24"/>
          <w:highlight w:val="none"/>
        </w:rPr>
        <w:t>1.4.2.5若</w:t>
      </w:r>
      <w:r>
        <w:rPr>
          <w:rFonts w:hint="eastAsia" w:ascii="宋体" w:hAnsi="宋体" w:cs="宋体"/>
          <w:b/>
          <w:bCs/>
          <w:color w:val="auto"/>
          <w:sz w:val="24"/>
          <w:highlight w:val="none"/>
          <w:u w:val="single"/>
        </w:rPr>
        <w:t>供应商须知前附表</w:t>
      </w:r>
      <w:r>
        <w:rPr>
          <w:rFonts w:hint="eastAsia" w:ascii="宋体" w:hAnsi="宋体" w:cs="宋体"/>
          <w:color w:val="auto"/>
          <w:sz w:val="24"/>
          <w:highlight w:val="none"/>
        </w:rPr>
        <w:t>中写明允许采购进口产品，但不限制满足竞争性磋商文件要求的国内产品参与采购活动。</w:t>
      </w:r>
    </w:p>
    <w:p>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若</w:t>
      </w:r>
      <w:r>
        <w:rPr>
          <w:rFonts w:hint="eastAsia" w:ascii="宋体" w:hAnsi="宋体" w:cs="宋体"/>
          <w:b/>
          <w:bCs/>
          <w:color w:val="auto"/>
          <w:sz w:val="24"/>
          <w:highlight w:val="none"/>
        </w:rPr>
        <w:t>供应商须知前附表</w:t>
      </w:r>
      <w:r>
        <w:rPr>
          <w:rFonts w:hint="eastAsia" w:ascii="宋体" w:hAnsi="宋体" w:cs="宋体"/>
          <w:color w:val="auto"/>
          <w:sz w:val="24"/>
          <w:highlight w:val="none"/>
        </w:rPr>
        <w:t>中未写明允许采购进口产品，如供应商提供产品为进口产品，其响应文件将被认定为</w:t>
      </w:r>
      <w:r>
        <w:rPr>
          <w:rFonts w:hint="eastAsia" w:ascii="宋体" w:hAnsi="宋体" w:cs="宋体"/>
          <w:b/>
          <w:color w:val="auto"/>
          <w:sz w:val="24"/>
          <w:highlight w:val="none"/>
        </w:rPr>
        <w:t>无效响应文件</w:t>
      </w:r>
      <w:r>
        <w:rPr>
          <w:rFonts w:hint="eastAsia" w:ascii="宋体" w:hAnsi="宋体" w:cs="宋体"/>
          <w:color w:val="auto"/>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1.4.2.6 若</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中写明专门面向中小企业采购的，如供应商为非中小企业或所提供产品为非中小企业产品，其响应文件将被认定为</w:t>
      </w:r>
      <w:r>
        <w:rPr>
          <w:rFonts w:hint="eastAsia" w:ascii="宋体" w:hAnsi="宋体" w:cs="宋体"/>
          <w:b/>
          <w:color w:val="auto"/>
          <w:sz w:val="24"/>
          <w:highlight w:val="none"/>
        </w:rPr>
        <w:t>无效响应文件</w:t>
      </w:r>
      <w:r>
        <w:rPr>
          <w:rFonts w:hint="eastAsia" w:ascii="宋体" w:hAnsi="宋体" w:cs="宋体"/>
          <w:color w:val="auto"/>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1.4.3不允许联合体参加政府采购活动。</w:t>
      </w:r>
    </w:p>
    <w:p>
      <w:pPr>
        <w:spacing w:line="360" w:lineRule="auto"/>
        <w:rPr>
          <w:rFonts w:ascii="宋体" w:hAnsi="宋体" w:cs="宋体"/>
          <w:color w:val="auto"/>
          <w:sz w:val="24"/>
          <w:highlight w:val="none"/>
        </w:rPr>
      </w:pPr>
      <w:r>
        <w:rPr>
          <w:rFonts w:hint="eastAsia" w:ascii="宋体" w:hAnsi="宋体" w:cs="宋体"/>
          <w:color w:val="auto"/>
          <w:sz w:val="24"/>
          <w:highlight w:val="none"/>
        </w:rPr>
        <w:t>1.4.4 单位负责人为同一人或者存在直接控股、管理关系的不同供应商参与本项目同一合同项下采购活动的，其相关响应文件将被认定为</w:t>
      </w:r>
      <w:r>
        <w:rPr>
          <w:rFonts w:hint="eastAsia" w:ascii="宋体" w:hAnsi="宋体" w:cs="宋体"/>
          <w:b/>
          <w:color w:val="auto"/>
          <w:sz w:val="24"/>
          <w:highlight w:val="none"/>
        </w:rPr>
        <w:t>无效响应文件</w:t>
      </w:r>
      <w:r>
        <w:rPr>
          <w:rFonts w:hint="eastAsia" w:ascii="宋体" w:hAnsi="宋体" w:cs="宋体"/>
          <w:color w:val="auto"/>
          <w:sz w:val="24"/>
          <w:highlight w:val="none"/>
        </w:rPr>
        <w:t>。</w:t>
      </w:r>
    </w:p>
    <w:p>
      <w:pPr>
        <w:spacing w:line="360" w:lineRule="auto"/>
        <w:ind w:left="2" w:leftChars="1"/>
        <w:rPr>
          <w:rFonts w:ascii="宋体" w:hAnsi="宋体" w:cs="宋体"/>
          <w:color w:val="auto"/>
          <w:sz w:val="24"/>
          <w:highlight w:val="none"/>
        </w:rPr>
      </w:pPr>
      <w:r>
        <w:rPr>
          <w:rFonts w:hint="eastAsia" w:ascii="宋体" w:hAnsi="宋体" w:cs="宋体"/>
          <w:color w:val="auto"/>
          <w:sz w:val="24"/>
          <w:highlight w:val="none"/>
        </w:rPr>
        <w:t>1.4.5 为本项目提供过整体设计、规范编制或者项目管理、监理、检测等服务的供应商，不得再参加本项目上述服务以外的其他采购活动。否则其相关响应文件将被认定为</w:t>
      </w:r>
      <w:r>
        <w:rPr>
          <w:rFonts w:hint="eastAsia" w:ascii="宋体" w:hAnsi="宋体" w:cs="宋体"/>
          <w:b/>
          <w:color w:val="auto"/>
          <w:sz w:val="24"/>
          <w:highlight w:val="none"/>
        </w:rPr>
        <w:t>无效响应文件</w:t>
      </w:r>
      <w:r>
        <w:rPr>
          <w:rFonts w:hint="eastAsia" w:ascii="宋体" w:hAnsi="宋体" w:cs="宋体"/>
          <w:color w:val="auto"/>
          <w:sz w:val="24"/>
          <w:highlight w:val="none"/>
        </w:rPr>
        <w:t>。</w:t>
      </w:r>
    </w:p>
    <w:p>
      <w:pPr>
        <w:spacing w:line="360" w:lineRule="auto"/>
        <w:ind w:left="2" w:leftChars="1"/>
        <w:rPr>
          <w:rFonts w:ascii="宋体" w:hAnsi="宋体" w:cs="宋体"/>
          <w:b/>
          <w:color w:val="auto"/>
          <w:sz w:val="24"/>
          <w:highlight w:val="none"/>
        </w:rPr>
      </w:pPr>
      <w:r>
        <w:rPr>
          <w:rFonts w:hint="eastAsia" w:ascii="宋体" w:hAnsi="宋体" w:cs="宋体"/>
          <w:color w:val="auto"/>
          <w:sz w:val="24"/>
          <w:highlight w:val="none"/>
        </w:rPr>
        <w:t>1.4.6 供应商在磋商过程中（在确定成交人之前）不得向采购人提供、给予任何有价值的物品，影响其正常决策行为。一经发现，其响应文件将被认定为</w:t>
      </w:r>
      <w:r>
        <w:rPr>
          <w:rFonts w:hint="eastAsia" w:ascii="宋体" w:hAnsi="宋体" w:cs="宋体"/>
          <w:b/>
          <w:color w:val="auto"/>
          <w:sz w:val="24"/>
          <w:highlight w:val="none"/>
        </w:rPr>
        <w:t>无效响应文件</w:t>
      </w:r>
      <w:r>
        <w:rPr>
          <w:rFonts w:hint="eastAsia" w:ascii="宋体" w:hAnsi="宋体" w:cs="宋体"/>
          <w:color w:val="auto"/>
          <w:sz w:val="24"/>
          <w:highlight w:val="none"/>
        </w:rPr>
        <w:t>。</w:t>
      </w:r>
    </w:p>
    <w:p>
      <w:pPr>
        <w:pStyle w:val="14"/>
        <w:spacing w:before="0" w:after="0" w:line="360" w:lineRule="auto"/>
        <w:rPr>
          <w:rFonts w:ascii="宋体" w:hAnsi="宋体" w:eastAsia="宋体" w:cs="宋体"/>
          <w:b w:val="0"/>
          <w:color w:val="auto"/>
          <w:sz w:val="24"/>
          <w:szCs w:val="24"/>
          <w:highlight w:val="none"/>
        </w:rPr>
      </w:pPr>
      <w:bookmarkStart w:id="75" w:name="_Toc5983"/>
      <w:bookmarkStart w:id="76" w:name="_Toc22355"/>
      <w:bookmarkStart w:id="77" w:name="_Toc57217232"/>
      <w:bookmarkStart w:id="78" w:name="_Toc17249"/>
      <w:r>
        <w:rPr>
          <w:rFonts w:hint="eastAsia" w:ascii="宋体" w:hAnsi="宋体" w:eastAsia="宋体" w:cs="宋体"/>
          <w:color w:val="auto"/>
          <w:sz w:val="24"/>
          <w:szCs w:val="24"/>
          <w:highlight w:val="none"/>
        </w:rPr>
        <w:t>1.5 监督管理部门</w:t>
      </w:r>
      <w:bookmarkEnd w:id="75"/>
      <w:bookmarkEnd w:id="76"/>
      <w:bookmarkEnd w:id="77"/>
      <w:bookmarkEnd w:id="78"/>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本次采购活动的政府采购监督管理部门为：本次采购项目的采购人所属预算级次的财政部门。</w:t>
      </w:r>
    </w:p>
    <w:p>
      <w:pPr>
        <w:pStyle w:val="14"/>
        <w:spacing w:before="0" w:after="0" w:line="360" w:lineRule="auto"/>
        <w:rPr>
          <w:rFonts w:ascii="宋体" w:hAnsi="宋体" w:eastAsia="宋体" w:cs="宋体"/>
          <w:color w:val="auto"/>
          <w:sz w:val="24"/>
          <w:szCs w:val="24"/>
          <w:highlight w:val="none"/>
        </w:rPr>
      </w:pPr>
      <w:bookmarkStart w:id="79" w:name="_Toc532473452"/>
      <w:bookmarkStart w:id="80" w:name="_Toc20526"/>
      <w:bookmarkStart w:id="81" w:name="_Toc57217233"/>
      <w:bookmarkStart w:id="82" w:name="_Toc4139"/>
      <w:bookmarkStart w:id="83" w:name="_Toc32474"/>
      <w:bookmarkStart w:id="84" w:name="_Toc15048291"/>
      <w:bookmarkStart w:id="85" w:name="_Toc15936"/>
      <w:bookmarkStart w:id="86" w:name="_Toc515647760"/>
      <w:bookmarkStart w:id="87" w:name="_Toc520356145"/>
      <w:bookmarkStart w:id="88" w:name="_Toc10669"/>
      <w:r>
        <w:rPr>
          <w:rFonts w:hint="eastAsia" w:ascii="宋体" w:hAnsi="宋体" w:eastAsia="宋体" w:cs="宋体"/>
          <w:color w:val="auto"/>
          <w:sz w:val="24"/>
          <w:szCs w:val="24"/>
          <w:highlight w:val="none"/>
        </w:rPr>
        <w:t>1.6 供应商参加磋商的费用</w:t>
      </w:r>
      <w:bookmarkEnd w:id="79"/>
      <w:bookmarkEnd w:id="80"/>
      <w:bookmarkEnd w:id="81"/>
      <w:bookmarkEnd w:id="82"/>
      <w:bookmarkEnd w:id="83"/>
      <w:bookmarkEnd w:id="84"/>
      <w:bookmarkEnd w:id="85"/>
      <w:bookmarkEnd w:id="86"/>
      <w:bookmarkEnd w:id="87"/>
      <w:bookmarkEnd w:id="88"/>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不论磋商的结果如何，供应商准备和参加本次政府采购活动发生的费用均应自行承担。</w:t>
      </w:r>
    </w:p>
    <w:p>
      <w:pPr>
        <w:pStyle w:val="14"/>
        <w:spacing w:before="0" w:after="0" w:line="360" w:lineRule="auto"/>
        <w:rPr>
          <w:rFonts w:ascii="宋体" w:hAnsi="宋体" w:eastAsia="宋体" w:cs="宋体"/>
          <w:color w:val="auto"/>
          <w:sz w:val="24"/>
          <w:szCs w:val="24"/>
          <w:highlight w:val="none"/>
        </w:rPr>
      </w:pPr>
      <w:bookmarkStart w:id="89" w:name="_Toc57217234"/>
      <w:bookmarkStart w:id="90" w:name="_Toc5596"/>
      <w:bookmarkStart w:id="91" w:name="_Toc1289"/>
      <w:bookmarkStart w:id="92" w:name="_Toc29824"/>
      <w:r>
        <w:rPr>
          <w:rFonts w:hint="eastAsia" w:ascii="宋体" w:hAnsi="宋体" w:eastAsia="宋体" w:cs="宋体"/>
          <w:color w:val="auto"/>
          <w:sz w:val="24"/>
          <w:szCs w:val="24"/>
          <w:highlight w:val="none"/>
        </w:rPr>
        <w:t>1.7现场考察、磋商前答疑会</w:t>
      </w:r>
      <w:bookmarkEnd w:id="89"/>
      <w:bookmarkEnd w:id="90"/>
      <w:bookmarkEnd w:id="91"/>
      <w:bookmarkEnd w:id="92"/>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color w:val="auto"/>
          <w:sz w:val="24"/>
          <w:highlight w:val="none"/>
          <w:u w:val="single"/>
        </w:rPr>
        <w:t>供应商须知前附表</w:t>
      </w:r>
      <w:r>
        <w:rPr>
          <w:rFonts w:hint="eastAsia" w:ascii="宋体" w:hAnsi="宋体" w:cs="宋体"/>
          <w:bCs/>
          <w:color w:val="auto"/>
          <w:sz w:val="24"/>
          <w:highlight w:val="none"/>
          <w:u w:val="single"/>
        </w:rPr>
        <w:t>的</w:t>
      </w:r>
      <w:r>
        <w:rPr>
          <w:rFonts w:hint="eastAsia" w:ascii="宋体" w:hAnsi="宋体" w:cs="宋体"/>
          <w:bCs/>
          <w:color w:val="auto"/>
          <w:sz w:val="24"/>
          <w:highlight w:val="none"/>
        </w:rPr>
        <w:t>规</w:t>
      </w:r>
      <w:r>
        <w:rPr>
          <w:rFonts w:hint="eastAsia" w:ascii="宋体" w:hAnsi="宋体" w:cs="宋体"/>
          <w:color w:val="auto"/>
          <w:sz w:val="24"/>
          <w:highlight w:val="none"/>
        </w:rPr>
        <w:t>定。</w:t>
      </w:r>
    </w:p>
    <w:p>
      <w:pPr>
        <w:pStyle w:val="14"/>
        <w:spacing w:before="0" w:after="0" w:line="360" w:lineRule="auto"/>
        <w:rPr>
          <w:rFonts w:ascii="宋体" w:hAnsi="宋体" w:eastAsia="宋体" w:cs="宋体"/>
          <w:color w:val="auto"/>
          <w:sz w:val="24"/>
          <w:szCs w:val="24"/>
          <w:highlight w:val="none"/>
        </w:rPr>
      </w:pPr>
      <w:bookmarkStart w:id="93" w:name="_Toc57217236"/>
      <w:bookmarkStart w:id="94" w:name="_Toc13754"/>
      <w:bookmarkStart w:id="95" w:name="_Toc532473453"/>
      <w:bookmarkStart w:id="96" w:name="_Toc18061"/>
      <w:bookmarkStart w:id="97" w:name="_Toc15048292"/>
      <w:bookmarkStart w:id="98" w:name="_Toc515647761"/>
      <w:bookmarkStart w:id="99" w:name="_Toc10544"/>
      <w:bookmarkStart w:id="100" w:name="_Toc4463"/>
      <w:bookmarkStart w:id="101" w:name="_Toc6116"/>
      <w:r>
        <w:rPr>
          <w:rFonts w:hint="eastAsia" w:ascii="宋体" w:hAnsi="宋体" w:eastAsia="宋体" w:cs="宋体"/>
          <w:color w:val="auto"/>
          <w:sz w:val="24"/>
          <w:szCs w:val="24"/>
          <w:highlight w:val="none"/>
        </w:rPr>
        <w:t>1.8 适用法律</w:t>
      </w:r>
      <w:bookmarkEnd w:id="93"/>
      <w:bookmarkEnd w:id="94"/>
      <w:bookmarkEnd w:id="95"/>
      <w:bookmarkEnd w:id="96"/>
      <w:bookmarkEnd w:id="97"/>
      <w:bookmarkEnd w:id="98"/>
      <w:bookmarkEnd w:id="99"/>
      <w:bookmarkEnd w:id="100"/>
      <w:bookmarkEnd w:id="101"/>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本项目采购人、采购代理机构、供应商、磋商小组的相关行为均受《中华人民共和国政府采购法》、《中华人民共和国政府采购法实施条例》、</w:t>
      </w:r>
      <w:bookmarkStart w:id="102" w:name="_Toc39851027"/>
      <w:r>
        <w:rPr>
          <w:rFonts w:hint="eastAsia" w:ascii="宋体" w:hAnsi="宋体" w:cs="宋体"/>
          <w:color w:val="auto"/>
          <w:sz w:val="24"/>
          <w:highlight w:val="none"/>
        </w:rPr>
        <w:t>《政府采购竞争性磋商采购方式管理暂行办法》财库〔2014〕214号</w:t>
      </w:r>
      <w:bookmarkEnd w:id="102"/>
      <w:r>
        <w:rPr>
          <w:rFonts w:hint="eastAsia" w:ascii="宋体" w:hAnsi="宋体" w:cs="宋体"/>
          <w:color w:val="auto"/>
          <w:sz w:val="24"/>
          <w:highlight w:val="none"/>
        </w:rPr>
        <w:t>文、《财政部关于政府采购竞争性磋商采购方式管理暂行办法有关问题的补充通知》财库〔2015〕124号文及本项目本级和上级财政部门政府采购有关规定的约束和保护。</w:t>
      </w:r>
    </w:p>
    <w:p>
      <w:pPr>
        <w:pStyle w:val="14"/>
        <w:spacing w:before="0" w:after="0" w:line="360" w:lineRule="auto"/>
        <w:rPr>
          <w:rFonts w:ascii="宋体" w:hAnsi="宋体" w:eastAsia="宋体" w:cs="宋体"/>
          <w:color w:val="auto"/>
          <w:sz w:val="24"/>
          <w:szCs w:val="24"/>
          <w:highlight w:val="none"/>
        </w:rPr>
      </w:pPr>
      <w:bookmarkStart w:id="103" w:name="_Toc14120"/>
      <w:bookmarkStart w:id="104" w:name="_Toc34733014"/>
      <w:bookmarkStart w:id="105" w:name="_Toc22586"/>
      <w:bookmarkStart w:id="106" w:name="_Toc40972799"/>
      <w:bookmarkStart w:id="107" w:name="_Toc34732546"/>
      <w:bookmarkStart w:id="108" w:name="_Toc36564724"/>
      <w:bookmarkStart w:id="109" w:name="_Toc14317"/>
      <w:bookmarkStart w:id="110" w:name="_Toc25832411"/>
      <w:bookmarkStart w:id="111" w:name="_Toc57217237"/>
      <w:r>
        <w:rPr>
          <w:rFonts w:hint="eastAsia" w:ascii="宋体" w:hAnsi="宋体" w:eastAsia="宋体" w:cs="宋体"/>
          <w:color w:val="auto"/>
          <w:sz w:val="24"/>
          <w:szCs w:val="24"/>
          <w:highlight w:val="none"/>
        </w:rPr>
        <w:t>1.9保密</w:t>
      </w:r>
      <w:bookmarkEnd w:id="103"/>
      <w:bookmarkEnd w:id="104"/>
      <w:bookmarkEnd w:id="105"/>
      <w:bookmarkEnd w:id="106"/>
      <w:bookmarkEnd w:id="107"/>
      <w:bookmarkEnd w:id="108"/>
      <w:bookmarkEnd w:id="109"/>
      <w:bookmarkEnd w:id="110"/>
      <w:bookmarkEnd w:id="111"/>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参与采购活动的各方应对竞争性磋商文件和响应文件中的商业和技术等秘密保密，违者应对由此造成的后果承担法律责任。 </w:t>
      </w:r>
    </w:p>
    <w:p>
      <w:pPr>
        <w:pStyle w:val="12"/>
        <w:spacing w:before="0" w:after="0" w:line="360" w:lineRule="auto"/>
        <w:rPr>
          <w:rFonts w:ascii="宋体" w:hAnsi="宋体" w:eastAsia="宋体" w:cs="宋体"/>
          <w:color w:val="auto"/>
          <w:sz w:val="24"/>
          <w:szCs w:val="24"/>
          <w:highlight w:val="none"/>
        </w:rPr>
      </w:pPr>
      <w:bookmarkStart w:id="112" w:name="_Toc4365"/>
      <w:bookmarkStart w:id="113" w:name="_Toc15048293"/>
      <w:bookmarkStart w:id="114" w:name="_Toc21566"/>
      <w:bookmarkStart w:id="115" w:name="_Toc57217238"/>
      <w:bookmarkStart w:id="116" w:name="_Toc532473454"/>
      <w:bookmarkStart w:id="117" w:name="_Toc515647762"/>
      <w:bookmarkStart w:id="118" w:name="_Toc520356146"/>
      <w:bookmarkStart w:id="119" w:name="_Toc216582806"/>
      <w:bookmarkStart w:id="120" w:name="_Toc6176"/>
      <w:bookmarkStart w:id="121" w:name="_Toc28646"/>
      <w:bookmarkStart w:id="122" w:name="_Toc21991"/>
      <w:r>
        <w:rPr>
          <w:rFonts w:hint="eastAsia" w:ascii="宋体" w:hAnsi="宋体" w:eastAsia="宋体" w:cs="宋体"/>
          <w:color w:val="auto"/>
          <w:sz w:val="24"/>
          <w:szCs w:val="24"/>
          <w:highlight w:val="none"/>
        </w:rPr>
        <w:t>2、</w:t>
      </w:r>
      <w:bookmarkEnd w:id="112"/>
      <w:bookmarkEnd w:id="113"/>
      <w:bookmarkEnd w:id="114"/>
      <w:bookmarkEnd w:id="115"/>
      <w:bookmarkEnd w:id="116"/>
      <w:bookmarkEnd w:id="117"/>
      <w:bookmarkEnd w:id="118"/>
      <w:bookmarkEnd w:id="119"/>
      <w:r>
        <w:rPr>
          <w:rFonts w:hint="eastAsia" w:ascii="宋体" w:hAnsi="宋体" w:eastAsia="宋体" w:cs="宋体"/>
          <w:color w:val="auto"/>
          <w:sz w:val="24"/>
          <w:szCs w:val="24"/>
          <w:highlight w:val="none"/>
        </w:rPr>
        <w:t>竞争性磋商文件</w:t>
      </w:r>
      <w:bookmarkEnd w:id="120"/>
      <w:bookmarkEnd w:id="121"/>
      <w:bookmarkEnd w:id="122"/>
    </w:p>
    <w:p>
      <w:pPr>
        <w:pStyle w:val="14"/>
        <w:spacing w:before="0" w:after="0" w:line="360" w:lineRule="auto"/>
        <w:rPr>
          <w:rFonts w:ascii="宋体" w:hAnsi="宋体" w:eastAsia="宋体" w:cs="宋体"/>
          <w:color w:val="auto"/>
          <w:sz w:val="24"/>
          <w:szCs w:val="24"/>
          <w:highlight w:val="none"/>
        </w:rPr>
      </w:pPr>
      <w:bookmarkStart w:id="123" w:name="_Toc520356147"/>
      <w:bookmarkStart w:id="124" w:name="_Toc8292"/>
      <w:bookmarkStart w:id="125" w:name="_Toc5225"/>
      <w:bookmarkStart w:id="126" w:name="_Toc14306"/>
      <w:bookmarkStart w:id="127" w:name="_Toc25743"/>
      <w:bookmarkStart w:id="128" w:name="_Toc57217239"/>
      <w:bookmarkStart w:id="129" w:name="_Toc15048294"/>
      <w:bookmarkStart w:id="130" w:name="_Toc14084"/>
      <w:bookmarkStart w:id="131" w:name="_Toc532473455"/>
      <w:bookmarkStart w:id="132" w:name="_Toc515647763"/>
      <w:r>
        <w:rPr>
          <w:rFonts w:hint="eastAsia" w:ascii="宋体" w:hAnsi="宋体" w:eastAsia="宋体" w:cs="宋体"/>
          <w:color w:val="auto"/>
          <w:sz w:val="24"/>
          <w:szCs w:val="24"/>
          <w:highlight w:val="none"/>
        </w:rPr>
        <w:t>2.1 竞争性磋商文件构成</w:t>
      </w:r>
      <w:bookmarkEnd w:id="123"/>
      <w:bookmarkEnd w:id="124"/>
      <w:bookmarkEnd w:id="125"/>
      <w:bookmarkEnd w:id="126"/>
      <w:bookmarkEnd w:id="127"/>
      <w:bookmarkEnd w:id="128"/>
      <w:bookmarkEnd w:id="129"/>
      <w:bookmarkEnd w:id="130"/>
      <w:bookmarkEnd w:id="131"/>
      <w:bookmarkEnd w:id="132"/>
    </w:p>
    <w:p>
      <w:pPr>
        <w:spacing w:line="360" w:lineRule="auto"/>
        <w:rPr>
          <w:rFonts w:ascii="宋体" w:hAnsi="宋体" w:cs="宋体"/>
          <w:color w:val="auto"/>
          <w:sz w:val="24"/>
          <w:highlight w:val="none"/>
        </w:rPr>
      </w:pPr>
      <w:r>
        <w:rPr>
          <w:rFonts w:hint="eastAsia" w:ascii="宋体" w:hAnsi="宋体" w:cs="宋体"/>
          <w:color w:val="auto"/>
          <w:sz w:val="24"/>
          <w:highlight w:val="none"/>
        </w:rPr>
        <w:t>2.1.1 竞争性磋商文件共六章，构成如下：</w:t>
      </w:r>
    </w:p>
    <w:p>
      <w:pPr>
        <w:spacing w:line="360" w:lineRule="auto"/>
        <w:rPr>
          <w:rFonts w:ascii="宋体" w:hAnsi="宋体" w:cs="宋体"/>
          <w:color w:val="auto"/>
          <w:sz w:val="24"/>
          <w:highlight w:val="none"/>
        </w:rPr>
      </w:pPr>
      <w:r>
        <w:rPr>
          <w:rFonts w:hint="eastAsia" w:ascii="宋体" w:hAnsi="宋体" w:cs="宋体"/>
          <w:color w:val="auto"/>
          <w:sz w:val="24"/>
          <w:highlight w:val="none"/>
        </w:rPr>
        <w:t>第一章  竞争性磋商公告</w:t>
      </w:r>
    </w:p>
    <w:p>
      <w:pPr>
        <w:spacing w:line="360" w:lineRule="auto"/>
        <w:rPr>
          <w:rFonts w:ascii="宋体" w:hAnsi="宋体" w:cs="宋体"/>
          <w:color w:val="auto"/>
          <w:sz w:val="24"/>
          <w:highlight w:val="none"/>
        </w:rPr>
      </w:pPr>
      <w:r>
        <w:rPr>
          <w:rFonts w:hint="eastAsia" w:ascii="宋体" w:hAnsi="宋体" w:cs="宋体"/>
          <w:color w:val="auto"/>
          <w:sz w:val="24"/>
          <w:highlight w:val="none"/>
        </w:rPr>
        <w:t>第二章  供应商须知</w:t>
      </w:r>
    </w:p>
    <w:p>
      <w:pPr>
        <w:spacing w:line="360" w:lineRule="auto"/>
        <w:rPr>
          <w:rFonts w:ascii="宋体" w:hAnsi="宋体" w:cs="宋体"/>
          <w:color w:val="auto"/>
          <w:sz w:val="24"/>
          <w:highlight w:val="none"/>
        </w:rPr>
      </w:pPr>
      <w:r>
        <w:rPr>
          <w:rFonts w:hint="eastAsia" w:ascii="宋体" w:hAnsi="宋体" w:cs="宋体"/>
          <w:color w:val="auto"/>
          <w:sz w:val="24"/>
          <w:highlight w:val="none"/>
        </w:rPr>
        <w:t>第三章  采购需求</w:t>
      </w:r>
    </w:p>
    <w:p>
      <w:pPr>
        <w:spacing w:line="360" w:lineRule="auto"/>
        <w:rPr>
          <w:rFonts w:ascii="宋体" w:hAnsi="宋体" w:cs="宋体"/>
          <w:color w:val="auto"/>
          <w:sz w:val="24"/>
          <w:highlight w:val="none"/>
        </w:rPr>
      </w:pPr>
      <w:r>
        <w:rPr>
          <w:rFonts w:hint="eastAsia" w:ascii="宋体" w:hAnsi="宋体" w:cs="宋体"/>
          <w:color w:val="auto"/>
          <w:sz w:val="24"/>
          <w:highlight w:val="none"/>
        </w:rPr>
        <w:t>第四章  评审方法及标准</w:t>
      </w:r>
    </w:p>
    <w:p>
      <w:pPr>
        <w:spacing w:line="360" w:lineRule="auto"/>
        <w:rPr>
          <w:rFonts w:ascii="宋体" w:hAnsi="宋体" w:cs="宋体"/>
          <w:color w:val="auto"/>
          <w:sz w:val="24"/>
          <w:highlight w:val="none"/>
        </w:rPr>
      </w:pPr>
      <w:r>
        <w:rPr>
          <w:rFonts w:hint="eastAsia" w:ascii="宋体" w:hAnsi="宋体" w:cs="宋体"/>
          <w:color w:val="auto"/>
          <w:sz w:val="24"/>
          <w:highlight w:val="none"/>
        </w:rPr>
        <w:t>第五章  政府采购合同条款及格式</w:t>
      </w:r>
    </w:p>
    <w:p>
      <w:pPr>
        <w:spacing w:line="360" w:lineRule="auto"/>
        <w:rPr>
          <w:rFonts w:ascii="宋体" w:hAnsi="宋体" w:cs="宋体"/>
          <w:color w:val="auto"/>
          <w:sz w:val="24"/>
          <w:highlight w:val="none"/>
        </w:rPr>
      </w:pPr>
      <w:r>
        <w:rPr>
          <w:rFonts w:hint="eastAsia" w:ascii="宋体" w:hAnsi="宋体" w:cs="宋体"/>
          <w:color w:val="auto"/>
          <w:sz w:val="24"/>
          <w:highlight w:val="none"/>
        </w:rPr>
        <w:t>第六章  响应文件格式</w:t>
      </w:r>
    </w:p>
    <w:p>
      <w:pPr>
        <w:tabs>
          <w:tab w:val="left" w:pos="627"/>
          <w:tab w:val="left" w:pos="1980"/>
        </w:tabs>
        <w:spacing w:line="360" w:lineRule="auto"/>
        <w:rPr>
          <w:rFonts w:ascii="宋体" w:hAnsi="宋体" w:cs="宋体"/>
          <w:color w:val="auto"/>
          <w:highlight w:val="none"/>
        </w:rPr>
      </w:pPr>
      <w:r>
        <w:rPr>
          <w:rFonts w:hint="eastAsia" w:ascii="宋体" w:hAnsi="宋体" w:cs="宋体"/>
          <w:color w:val="auto"/>
          <w:sz w:val="24"/>
          <w:highlight w:val="none"/>
        </w:rPr>
        <w:t>注：供应商应对5.7.3款内容作出响应性承诺并作为响应文件的一部分。</w:t>
      </w:r>
    </w:p>
    <w:p>
      <w:pPr>
        <w:spacing w:line="360" w:lineRule="auto"/>
        <w:ind w:left="2" w:leftChars="1"/>
        <w:rPr>
          <w:rFonts w:ascii="宋体" w:hAnsi="宋体" w:cs="宋体"/>
          <w:color w:val="auto"/>
          <w:sz w:val="24"/>
          <w:highlight w:val="none"/>
        </w:rPr>
      </w:pPr>
      <w:r>
        <w:rPr>
          <w:rFonts w:hint="eastAsia" w:ascii="宋体" w:hAnsi="宋体" w:cs="宋体"/>
          <w:color w:val="auto"/>
          <w:sz w:val="24"/>
          <w:highlight w:val="none"/>
        </w:rPr>
        <w:t>2.1.2 竞争性磋商文件中有不一致(或矛盾)的，有澄清的部分以最终的澄清更正内容为准；未澄清的，按照竞争性磋商公告、“磋商程序、评审方法和标准”、采购需求、供应商须知、政府采购合同、响应文件格式的顺序进行解释，排名在前的具有优先解释权。第二章供应商须知中，如果</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的内容与供应商须知中的内容有不一致(或矛盾)的</w:t>
      </w:r>
      <w:r>
        <w:rPr>
          <w:rFonts w:hint="eastAsia" w:ascii="宋体" w:hAnsi="宋体" w:cs="宋体"/>
          <w:b/>
          <w:color w:val="auto"/>
          <w:sz w:val="24"/>
          <w:highlight w:val="none"/>
        </w:rPr>
        <w:t>以</w:t>
      </w:r>
      <w:r>
        <w:rPr>
          <w:rFonts w:hint="eastAsia" w:ascii="宋体" w:hAnsi="宋体" w:cs="宋体"/>
          <w:b/>
          <w:color w:val="auto"/>
          <w:sz w:val="24"/>
          <w:highlight w:val="none"/>
          <w:u w:val="single"/>
        </w:rPr>
        <w:t>供应商须知前附表</w:t>
      </w:r>
      <w:r>
        <w:rPr>
          <w:rFonts w:hint="eastAsia" w:ascii="宋体" w:hAnsi="宋体" w:cs="宋体"/>
          <w:b/>
          <w:color w:val="auto"/>
          <w:sz w:val="24"/>
          <w:highlight w:val="none"/>
        </w:rPr>
        <w:t>为准。</w:t>
      </w:r>
    </w:p>
    <w:p>
      <w:pPr>
        <w:spacing w:line="360" w:lineRule="auto"/>
        <w:rPr>
          <w:rFonts w:ascii="宋体" w:hAnsi="宋体" w:cs="宋体"/>
          <w:color w:val="auto"/>
          <w:sz w:val="24"/>
          <w:highlight w:val="none"/>
        </w:rPr>
      </w:pPr>
      <w:r>
        <w:rPr>
          <w:rFonts w:hint="eastAsia" w:ascii="宋体" w:hAnsi="宋体" w:cs="宋体"/>
          <w:color w:val="auto"/>
          <w:sz w:val="24"/>
          <w:highlight w:val="none"/>
        </w:rPr>
        <w:t>2.1.3 供应商应认真阅读竞争性磋商文件中所有的事项、格式、条款和技术规范等。如供应商没有按照竞争性磋商文件要求提交全部资料，或者响应文件没有对竞争性磋商文件的实质性要求做出响应，其响应文件将被认定为</w:t>
      </w:r>
      <w:r>
        <w:rPr>
          <w:rFonts w:hint="eastAsia" w:ascii="宋体" w:hAnsi="宋体" w:cs="宋体"/>
          <w:b/>
          <w:bCs/>
          <w:color w:val="auto"/>
          <w:sz w:val="24"/>
          <w:highlight w:val="none"/>
        </w:rPr>
        <w:t>无效响应文件</w:t>
      </w:r>
      <w:r>
        <w:rPr>
          <w:rFonts w:hint="eastAsia" w:ascii="宋体" w:hAnsi="宋体" w:cs="宋体"/>
          <w:color w:val="auto"/>
          <w:sz w:val="24"/>
          <w:highlight w:val="none"/>
        </w:rPr>
        <w:t>。</w:t>
      </w:r>
    </w:p>
    <w:p>
      <w:pPr>
        <w:pStyle w:val="14"/>
        <w:spacing w:before="0" w:after="0" w:line="360" w:lineRule="auto"/>
        <w:rPr>
          <w:rFonts w:ascii="宋体" w:hAnsi="宋体" w:eastAsia="宋体" w:cs="宋体"/>
          <w:color w:val="auto"/>
          <w:sz w:val="24"/>
          <w:szCs w:val="24"/>
          <w:highlight w:val="none"/>
        </w:rPr>
      </w:pPr>
      <w:bookmarkStart w:id="133" w:name="_Toc515904805"/>
      <w:bookmarkStart w:id="134" w:name="_Toc520356148"/>
      <w:bookmarkStart w:id="135" w:name="_Toc15048295"/>
      <w:bookmarkStart w:id="136" w:name="_Toc9232"/>
      <w:bookmarkStart w:id="137" w:name="_Toc532473456"/>
      <w:bookmarkStart w:id="138" w:name="_Toc20155"/>
      <w:bookmarkStart w:id="139" w:name="_Toc5388"/>
      <w:bookmarkStart w:id="140" w:name="_Toc26044"/>
      <w:bookmarkStart w:id="141" w:name="_Toc20380"/>
      <w:bookmarkStart w:id="142" w:name="_Toc57217240"/>
      <w:r>
        <w:rPr>
          <w:rFonts w:hint="eastAsia" w:ascii="宋体" w:hAnsi="宋体" w:eastAsia="宋体" w:cs="宋体"/>
          <w:color w:val="auto"/>
          <w:sz w:val="24"/>
          <w:szCs w:val="24"/>
          <w:highlight w:val="none"/>
        </w:rPr>
        <w:t>2.2 竞争性磋商文件的澄清</w:t>
      </w:r>
      <w:bookmarkEnd w:id="133"/>
      <w:bookmarkEnd w:id="134"/>
      <w:r>
        <w:rPr>
          <w:rFonts w:hint="eastAsia" w:ascii="宋体" w:hAnsi="宋体" w:eastAsia="宋体" w:cs="宋体"/>
          <w:color w:val="auto"/>
          <w:sz w:val="24"/>
          <w:szCs w:val="24"/>
          <w:highlight w:val="none"/>
        </w:rPr>
        <w:t>与修改</w:t>
      </w:r>
      <w:bookmarkEnd w:id="135"/>
      <w:bookmarkEnd w:id="136"/>
      <w:bookmarkEnd w:id="137"/>
      <w:bookmarkEnd w:id="138"/>
      <w:bookmarkEnd w:id="139"/>
      <w:bookmarkEnd w:id="140"/>
      <w:bookmarkEnd w:id="141"/>
      <w:bookmarkEnd w:id="142"/>
    </w:p>
    <w:p>
      <w:pPr>
        <w:spacing w:line="360" w:lineRule="auto"/>
        <w:rPr>
          <w:rFonts w:ascii="宋体" w:hAnsi="宋体" w:cs="宋体"/>
          <w:color w:val="auto"/>
          <w:sz w:val="24"/>
          <w:highlight w:val="none"/>
        </w:rPr>
      </w:pPr>
      <w:r>
        <w:rPr>
          <w:rFonts w:hint="eastAsia" w:ascii="宋体" w:hAnsi="宋体" w:cs="宋体"/>
          <w:color w:val="auto"/>
          <w:sz w:val="24"/>
          <w:highlight w:val="none"/>
        </w:rPr>
        <w:t>2.2.1 供应商应仔细阅读和检查竞争性磋商文件的全部内容。如发现缺页或附件不全，应及时向采购人（或采购代理机构）提出，以便补齐。如有疑问，应在</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规定的方式在交易平台上进行提问，要求采购人对竞争性磋商文件予以澄清。</w:t>
      </w:r>
    </w:p>
    <w:p>
      <w:pPr>
        <w:spacing w:line="360" w:lineRule="auto"/>
        <w:rPr>
          <w:rFonts w:ascii="宋体" w:hAnsi="宋体" w:cs="宋体"/>
          <w:color w:val="auto"/>
          <w:sz w:val="24"/>
          <w:highlight w:val="none"/>
        </w:rPr>
      </w:pPr>
      <w:r>
        <w:rPr>
          <w:rFonts w:hint="eastAsia" w:ascii="宋体" w:hAnsi="宋体" w:cs="宋体"/>
          <w:color w:val="auto"/>
          <w:sz w:val="24"/>
          <w:highlight w:val="none"/>
        </w:rPr>
        <w:t>2.2.2 采购人或采购代理机构可主动地或在解答供应商提出的澄清问题时对竞争性磋商文件进行澄清或修改。采购代理机构将以发布澄清（更正）公告的方式，澄清或修改竞争性磋商文件，澄清或修改的内容作为竞争性磋商文件的组成部分。澄清或者修改的内容可能影响响应文件编制的，应当在递交首次响应文件截止时间至少5日前，在原公告发布媒体上发布变更公告（或澄清公告），不足5日的，应当顺延首次递交响应文件截止时间。</w:t>
      </w:r>
    </w:p>
    <w:p>
      <w:pPr>
        <w:spacing w:line="360" w:lineRule="auto"/>
        <w:rPr>
          <w:rFonts w:ascii="宋体" w:hAnsi="宋体" w:cs="宋体"/>
          <w:color w:val="auto"/>
          <w:sz w:val="24"/>
          <w:highlight w:val="none"/>
        </w:rPr>
      </w:pPr>
      <w:r>
        <w:rPr>
          <w:rFonts w:hint="eastAsia" w:ascii="宋体" w:hAnsi="宋体" w:cs="宋体"/>
          <w:color w:val="auto"/>
          <w:sz w:val="24"/>
          <w:highlight w:val="none"/>
        </w:rPr>
        <w:t>2.2.3 竞争性磋商文件的澄清将在</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规定的时间在交易平台上公布给供应商，但不指明澄清问题的来源。</w:t>
      </w:r>
    </w:p>
    <w:p>
      <w:pPr>
        <w:spacing w:line="360" w:lineRule="auto"/>
        <w:rPr>
          <w:rFonts w:ascii="宋体" w:hAnsi="宋体" w:cs="宋体"/>
          <w:color w:val="auto"/>
          <w:sz w:val="24"/>
          <w:highlight w:val="none"/>
        </w:rPr>
      </w:pPr>
      <w:r>
        <w:rPr>
          <w:rFonts w:hint="eastAsia" w:ascii="宋体" w:hAnsi="宋体" w:cs="宋体"/>
          <w:color w:val="auto"/>
          <w:sz w:val="24"/>
          <w:highlight w:val="none"/>
        </w:rPr>
        <w:t>2.2.4 采购人、采购代理机构对已发出的竞争性磋商文件进行的澄清、更正或修改，澄清、更正或修改的内容将作为竞争性磋商文件的组成部分。采购代理机构将通过发布竞争性磋商公告的相关网站“变更（澄清或更正）公告”和系统内部“答疑文件”告知供应商，各供应商须重新下载最新的答疑、变更（澄清或更正）文件，以此编制响应文件。</w:t>
      </w:r>
    </w:p>
    <w:p>
      <w:pPr>
        <w:spacing w:line="360" w:lineRule="auto"/>
        <w:rPr>
          <w:rFonts w:ascii="宋体" w:hAnsi="宋体" w:cs="宋体"/>
          <w:b/>
          <w:bCs/>
          <w:color w:val="auto"/>
          <w:sz w:val="24"/>
          <w:highlight w:val="none"/>
        </w:rPr>
      </w:pPr>
      <w:r>
        <w:rPr>
          <w:rFonts w:hint="eastAsia" w:ascii="宋体" w:hAnsi="宋体" w:cs="宋体"/>
          <w:color w:val="auto"/>
          <w:sz w:val="24"/>
          <w:highlight w:val="none"/>
        </w:rPr>
        <w:t>2.2.5</w:t>
      </w:r>
      <w:r>
        <w:rPr>
          <w:rFonts w:hint="eastAsia" w:ascii="宋体" w:hAnsi="宋体" w:cs="宋体"/>
          <w:b/>
          <w:bCs/>
          <w:color w:val="auto"/>
          <w:sz w:val="24"/>
          <w:highlight w:val="none"/>
        </w:rPr>
        <w:t>交易中心平台供应商信息在磋商开始前具有保密性，供应商在响应文件提交截止时间前应当自行查看项目进展、答疑、变更（澄清或更正）通知、澄清及回复，因供应商未及时查看而造成的后果自负。</w:t>
      </w:r>
    </w:p>
    <w:p>
      <w:pPr>
        <w:pStyle w:val="14"/>
        <w:tabs>
          <w:tab w:val="left" w:pos="900"/>
        </w:tabs>
        <w:spacing w:before="0" w:after="0" w:line="360" w:lineRule="auto"/>
        <w:rPr>
          <w:rFonts w:ascii="宋体" w:hAnsi="宋体" w:eastAsia="宋体" w:cs="宋体"/>
          <w:b w:val="0"/>
          <w:color w:val="auto"/>
          <w:sz w:val="24"/>
          <w:szCs w:val="24"/>
          <w:highlight w:val="none"/>
        </w:rPr>
      </w:pPr>
      <w:bookmarkStart w:id="143" w:name="_Toc36564736"/>
      <w:bookmarkStart w:id="144" w:name="_Toc30302"/>
      <w:bookmarkStart w:id="145" w:name="_Toc40972811"/>
      <w:bookmarkStart w:id="146" w:name="_Toc15204250"/>
      <w:bookmarkStart w:id="147" w:name="_Toc57217241"/>
      <w:bookmarkStart w:id="148" w:name="_Toc11650"/>
      <w:bookmarkStart w:id="149" w:name="_Toc25098"/>
      <w:r>
        <w:rPr>
          <w:rFonts w:hint="eastAsia" w:ascii="宋体" w:hAnsi="宋体" w:eastAsia="宋体" w:cs="宋体"/>
          <w:color w:val="auto"/>
          <w:sz w:val="24"/>
          <w:szCs w:val="24"/>
          <w:highlight w:val="none"/>
        </w:rPr>
        <w:t>2.3 竞争性磋商文件的解释</w:t>
      </w:r>
      <w:bookmarkEnd w:id="143"/>
      <w:bookmarkEnd w:id="144"/>
      <w:bookmarkEnd w:id="145"/>
      <w:bookmarkEnd w:id="146"/>
      <w:bookmarkEnd w:id="147"/>
      <w:bookmarkEnd w:id="148"/>
      <w:bookmarkEnd w:id="149"/>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竞争性磋商文件的最终解释权归采购人，所有解释均依据本竞争性磋商文件及有关的法律、法规；在磋商时，若出现竞争性磋商文件无明确说明和处理的情况时，由磋商小组讨论确定处理方案；磋商小组成员之间对处理方案有争议时，采取少数服从多数的投票方式确定。</w:t>
      </w:r>
    </w:p>
    <w:p>
      <w:pPr>
        <w:pStyle w:val="14"/>
        <w:tabs>
          <w:tab w:val="left" w:pos="900"/>
        </w:tabs>
        <w:spacing w:before="0" w:after="0" w:line="360" w:lineRule="auto"/>
        <w:rPr>
          <w:rFonts w:ascii="宋体" w:hAnsi="宋体" w:eastAsia="宋体" w:cs="宋体"/>
          <w:color w:val="auto"/>
          <w:sz w:val="24"/>
          <w:szCs w:val="24"/>
          <w:highlight w:val="none"/>
        </w:rPr>
      </w:pPr>
      <w:bookmarkStart w:id="150" w:name="_Toc15048296"/>
      <w:bookmarkStart w:id="151" w:name="_Toc532473457"/>
      <w:bookmarkStart w:id="152" w:name="_Toc23084"/>
      <w:bookmarkStart w:id="153" w:name="_Toc7598"/>
      <w:bookmarkStart w:id="154" w:name="_Toc57217242"/>
      <w:bookmarkStart w:id="155" w:name="_Toc25635"/>
      <w:bookmarkStart w:id="156" w:name="_Toc25578"/>
      <w:bookmarkStart w:id="157" w:name="_Toc14569"/>
      <w:r>
        <w:rPr>
          <w:rFonts w:hint="eastAsia" w:ascii="宋体" w:hAnsi="宋体" w:eastAsia="宋体" w:cs="宋体"/>
          <w:color w:val="auto"/>
          <w:sz w:val="24"/>
          <w:szCs w:val="24"/>
          <w:highlight w:val="none"/>
        </w:rPr>
        <w:t>2.4 响应文件提交截止时间的顺延</w:t>
      </w:r>
      <w:bookmarkEnd w:id="150"/>
      <w:bookmarkEnd w:id="151"/>
      <w:bookmarkEnd w:id="152"/>
      <w:bookmarkEnd w:id="153"/>
      <w:bookmarkEnd w:id="154"/>
      <w:bookmarkEnd w:id="155"/>
      <w:bookmarkEnd w:id="156"/>
      <w:bookmarkEnd w:id="157"/>
    </w:p>
    <w:p>
      <w:pPr>
        <w:spacing w:line="360" w:lineRule="auto"/>
        <w:ind w:left="1" w:firstLine="480" w:firstLineChars="200"/>
        <w:rPr>
          <w:rFonts w:ascii="宋体" w:hAnsi="宋体" w:cs="宋体"/>
          <w:color w:val="auto"/>
          <w:sz w:val="24"/>
          <w:highlight w:val="none"/>
        </w:rPr>
      </w:pPr>
      <w:r>
        <w:rPr>
          <w:rFonts w:hint="eastAsia" w:ascii="宋体" w:hAnsi="宋体" w:cs="宋体"/>
          <w:color w:val="auto"/>
          <w:sz w:val="24"/>
          <w:highlight w:val="none"/>
        </w:rPr>
        <w:t>为使供应商有足够的时间对竞争性磋商文件的澄清或者修改部分进行研究而准备编制响应文件或因其他原因，采购人将依法决定是否顺延响应文件提交截止时间。</w:t>
      </w:r>
    </w:p>
    <w:p>
      <w:pPr>
        <w:pStyle w:val="12"/>
        <w:tabs>
          <w:tab w:val="left" w:pos="900"/>
        </w:tabs>
        <w:spacing w:before="0" w:after="0" w:line="360" w:lineRule="auto"/>
        <w:rPr>
          <w:rFonts w:ascii="宋体" w:hAnsi="宋体" w:eastAsia="宋体" w:cs="宋体"/>
          <w:color w:val="auto"/>
          <w:sz w:val="24"/>
          <w:szCs w:val="24"/>
          <w:highlight w:val="none"/>
        </w:rPr>
      </w:pPr>
      <w:bookmarkStart w:id="158" w:name="_Toc520356150"/>
      <w:bookmarkStart w:id="159" w:name="_Toc30808"/>
      <w:bookmarkStart w:id="160" w:name="_Toc216582807"/>
      <w:bookmarkStart w:id="161" w:name="_Toc7636"/>
      <w:bookmarkStart w:id="162" w:name="_Toc532473458"/>
      <w:bookmarkStart w:id="163" w:name="_Toc515647766"/>
      <w:bookmarkStart w:id="164" w:name="_Toc15048297"/>
      <w:bookmarkStart w:id="165" w:name="_Toc516367020"/>
      <w:bookmarkStart w:id="166" w:name="_Toc57217243"/>
      <w:bookmarkStart w:id="167" w:name="_Toc10010"/>
      <w:bookmarkStart w:id="168" w:name="_Toc8285"/>
      <w:bookmarkStart w:id="169" w:name="_Toc9857"/>
      <w:r>
        <w:rPr>
          <w:rFonts w:hint="eastAsia" w:ascii="宋体" w:hAnsi="宋体" w:eastAsia="宋体" w:cs="宋体"/>
          <w:color w:val="auto"/>
          <w:sz w:val="24"/>
          <w:szCs w:val="24"/>
          <w:highlight w:val="none"/>
        </w:rPr>
        <w:t>3、响应文件</w:t>
      </w:r>
      <w:bookmarkEnd w:id="158"/>
      <w:bookmarkEnd w:id="159"/>
      <w:bookmarkEnd w:id="160"/>
      <w:bookmarkEnd w:id="161"/>
      <w:bookmarkEnd w:id="162"/>
      <w:bookmarkEnd w:id="163"/>
      <w:bookmarkEnd w:id="164"/>
      <w:bookmarkEnd w:id="165"/>
      <w:r>
        <w:rPr>
          <w:rFonts w:hint="eastAsia" w:ascii="宋体" w:hAnsi="宋体" w:eastAsia="宋体" w:cs="宋体"/>
          <w:color w:val="auto"/>
          <w:sz w:val="24"/>
          <w:szCs w:val="24"/>
          <w:highlight w:val="none"/>
        </w:rPr>
        <w:t>编制</w:t>
      </w:r>
      <w:bookmarkEnd w:id="166"/>
      <w:bookmarkEnd w:id="167"/>
      <w:bookmarkEnd w:id="168"/>
      <w:bookmarkEnd w:id="169"/>
    </w:p>
    <w:p>
      <w:pPr>
        <w:pStyle w:val="14"/>
        <w:tabs>
          <w:tab w:val="left" w:pos="900"/>
        </w:tabs>
        <w:spacing w:before="0" w:after="0" w:line="360" w:lineRule="auto"/>
        <w:rPr>
          <w:rFonts w:ascii="宋体" w:hAnsi="宋体" w:eastAsia="宋体" w:cs="宋体"/>
          <w:color w:val="auto"/>
          <w:sz w:val="24"/>
          <w:szCs w:val="24"/>
          <w:highlight w:val="none"/>
        </w:rPr>
      </w:pPr>
      <w:bookmarkStart w:id="170" w:name="_Toc57217244"/>
      <w:bookmarkStart w:id="171" w:name="_Toc13226"/>
      <w:bookmarkStart w:id="172" w:name="_Toc7786"/>
      <w:bookmarkStart w:id="173" w:name="_Toc12940"/>
      <w:bookmarkStart w:id="174" w:name="_Toc15048298"/>
      <w:bookmarkStart w:id="175" w:name="_Toc515647767"/>
      <w:bookmarkStart w:id="176" w:name="_Toc3553"/>
      <w:bookmarkStart w:id="177" w:name="_Toc532473459"/>
      <w:bookmarkStart w:id="178" w:name="_Toc520356151"/>
      <w:bookmarkStart w:id="179" w:name="_Toc516367021"/>
      <w:bookmarkStart w:id="180" w:name="_Toc27406"/>
      <w:r>
        <w:rPr>
          <w:rFonts w:hint="eastAsia" w:ascii="宋体" w:hAnsi="宋体" w:eastAsia="宋体" w:cs="宋体"/>
          <w:color w:val="auto"/>
          <w:sz w:val="24"/>
          <w:szCs w:val="24"/>
          <w:highlight w:val="none"/>
        </w:rPr>
        <w:t>3.1 响应范围及响应文件中的标准和计量单位的使用</w:t>
      </w:r>
      <w:bookmarkEnd w:id="170"/>
      <w:bookmarkEnd w:id="171"/>
      <w:bookmarkEnd w:id="172"/>
      <w:bookmarkEnd w:id="173"/>
      <w:bookmarkEnd w:id="174"/>
      <w:bookmarkEnd w:id="175"/>
      <w:bookmarkEnd w:id="176"/>
      <w:bookmarkEnd w:id="177"/>
      <w:bookmarkEnd w:id="178"/>
      <w:bookmarkEnd w:id="179"/>
      <w:bookmarkEnd w:id="180"/>
    </w:p>
    <w:p>
      <w:pPr>
        <w:spacing w:line="360" w:lineRule="auto"/>
        <w:rPr>
          <w:rFonts w:ascii="宋体" w:hAnsi="宋体" w:cs="宋体"/>
          <w:color w:val="auto"/>
          <w:sz w:val="24"/>
          <w:highlight w:val="none"/>
        </w:rPr>
      </w:pPr>
      <w:r>
        <w:rPr>
          <w:rFonts w:hint="eastAsia" w:ascii="宋体" w:hAnsi="宋体" w:cs="宋体"/>
          <w:color w:val="auto"/>
          <w:sz w:val="24"/>
          <w:highlight w:val="none"/>
        </w:rPr>
        <w:t>3.1.1无论竞争性磋商文件中是否要求，供应商所提供的货物（包括伴随的服务）/工程（伴随的服务）/服务均应符合国家强制性标准。</w:t>
      </w:r>
    </w:p>
    <w:p>
      <w:pPr>
        <w:spacing w:line="360" w:lineRule="auto"/>
        <w:rPr>
          <w:rFonts w:ascii="宋体" w:hAnsi="宋体" w:cs="宋体"/>
          <w:color w:val="auto"/>
          <w:sz w:val="24"/>
          <w:highlight w:val="none"/>
        </w:rPr>
      </w:pPr>
      <w:r>
        <w:rPr>
          <w:rFonts w:hint="eastAsia" w:ascii="宋体" w:hAnsi="宋体" w:cs="宋体"/>
          <w:color w:val="auto"/>
          <w:sz w:val="24"/>
          <w:highlight w:val="none"/>
        </w:rPr>
        <w:t>3.1.2 除竞争性磋商文件中有特殊要求外，响应文件中所使用的计量单位，应采用中华人民共和国法定计量单位。</w:t>
      </w:r>
    </w:p>
    <w:p>
      <w:pPr>
        <w:tabs>
          <w:tab w:val="left" w:pos="360"/>
          <w:tab w:val="left" w:pos="1904"/>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3.1.3 磋商语言文字：</w:t>
      </w:r>
      <w:r>
        <w:rPr>
          <w:rFonts w:hint="eastAsia" w:ascii="宋体" w:hAnsi="宋体" w:cs="宋体"/>
          <w:bCs/>
          <w:color w:val="auto"/>
          <w:sz w:val="24"/>
          <w:highlight w:val="none"/>
        </w:rPr>
        <w:t>响应</w:t>
      </w:r>
      <w:r>
        <w:rPr>
          <w:rFonts w:hint="eastAsia" w:ascii="宋体" w:hAnsi="宋体" w:cs="宋体"/>
          <w:color w:val="auto"/>
          <w:sz w:val="24"/>
          <w:highlight w:val="none"/>
        </w:rPr>
        <w:t>文件以及供应商所有与采购人及采购代理机构就磋商来往的文件、资料均使用中文。如果供应商提供有外文资料应附有相应的中文译本，并以中文译本为准。</w:t>
      </w:r>
    </w:p>
    <w:p>
      <w:pPr>
        <w:pStyle w:val="14"/>
        <w:tabs>
          <w:tab w:val="left" w:pos="900"/>
        </w:tabs>
        <w:spacing w:before="0" w:after="0" w:line="360" w:lineRule="auto"/>
        <w:rPr>
          <w:rFonts w:ascii="宋体" w:hAnsi="宋体" w:eastAsia="宋体" w:cs="宋体"/>
          <w:color w:val="auto"/>
          <w:sz w:val="24"/>
          <w:szCs w:val="24"/>
          <w:highlight w:val="none"/>
        </w:rPr>
      </w:pPr>
      <w:bookmarkStart w:id="181" w:name="_Ref467306676"/>
      <w:bookmarkStart w:id="182" w:name="_Ref467306195"/>
      <w:bookmarkStart w:id="183" w:name="_Toc516367022"/>
      <w:bookmarkStart w:id="184" w:name="_Toc26507"/>
      <w:bookmarkStart w:id="185" w:name="_Toc10364"/>
      <w:bookmarkStart w:id="186" w:name="_Toc520356152"/>
      <w:bookmarkStart w:id="187" w:name="_Toc2462"/>
      <w:bookmarkStart w:id="188" w:name="_Toc532473460"/>
      <w:bookmarkStart w:id="189" w:name="_Toc10451"/>
      <w:bookmarkStart w:id="190" w:name="_Toc515647768"/>
      <w:bookmarkStart w:id="191" w:name="_Toc28307"/>
      <w:bookmarkStart w:id="192" w:name="_Toc57217245"/>
      <w:bookmarkStart w:id="193" w:name="_Toc15048299"/>
      <w:r>
        <w:rPr>
          <w:rFonts w:hint="eastAsia" w:ascii="宋体" w:hAnsi="宋体" w:eastAsia="宋体" w:cs="宋体"/>
          <w:color w:val="auto"/>
          <w:sz w:val="24"/>
          <w:szCs w:val="24"/>
          <w:highlight w:val="none"/>
        </w:rPr>
        <w:t>3.2 响应文件</w:t>
      </w:r>
      <w:bookmarkEnd w:id="181"/>
      <w:bookmarkEnd w:id="182"/>
      <w:bookmarkEnd w:id="183"/>
      <w:r>
        <w:rPr>
          <w:rFonts w:hint="eastAsia" w:ascii="宋体" w:hAnsi="宋体" w:eastAsia="宋体" w:cs="宋体"/>
          <w:color w:val="auto"/>
          <w:sz w:val="24"/>
          <w:szCs w:val="24"/>
          <w:highlight w:val="none"/>
        </w:rPr>
        <w:t>组成</w:t>
      </w:r>
      <w:bookmarkEnd w:id="184"/>
      <w:bookmarkEnd w:id="185"/>
      <w:bookmarkEnd w:id="186"/>
      <w:bookmarkEnd w:id="187"/>
      <w:bookmarkEnd w:id="188"/>
      <w:bookmarkEnd w:id="189"/>
      <w:bookmarkEnd w:id="190"/>
      <w:bookmarkEnd w:id="191"/>
      <w:bookmarkEnd w:id="192"/>
      <w:bookmarkEnd w:id="193"/>
    </w:p>
    <w:p>
      <w:pPr>
        <w:tabs>
          <w:tab w:val="left" w:pos="900"/>
          <w:tab w:val="left" w:pos="5580"/>
        </w:tabs>
        <w:spacing w:line="360" w:lineRule="auto"/>
        <w:rPr>
          <w:rFonts w:ascii="宋体" w:hAnsi="宋体" w:cs="宋体"/>
          <w:color w:val="auto"/>
          <w:sz w:val="24"/>
          <w:highlight w:val="none"/>
        </w:rPr>
      </w:pPr>
      <w:bookmarkStart w:id="194" w:name="_Ref467052588"/>
      <w:r>
        <w:rPr>
          <w:rFonts w:hint="eastAsia" w:ascii="宋体" w:hAnsi="宋体" w:cs="宋体"/>
          <w:color w:val="auto"/>
          <w:sz w:val="24"/>
          <w:highlight w:val="none"/>
        </w:rPr>
        <w:t>3.2.1 供应商应完整地按照竞争性磋商文件第六章“响应文件格式”中提供的格式及要求编写响应文件，竞争性磋商文件提供标准格式的按标准格式填列，未提供标准格式的可自行拟定。具体详见竞争性磋商文件第六章“响应文件格式”。响应文件中资格审查和符合性审查涉及的事项不满足竞争性磋商文件要求的，其响应文件将被认定为</w:t>
      </w:r>
      <w:r>
        <w:rPr>
          <w:rFonts w:hint="eastAsia" w:ascii="宋体" w:hAnsi="宋体" w:cs="宋体"/>
          <w:b/>
          <w:color w:val="auto"/>
          <w:sz w:val="24"/>
          <w:highlight w:val="none"/>
        </w:rPr>
        <w:t>无效响应文件</w:t>
      </w:r>
      <w:r>
        <w:rPr>
          <w:rFonts w:hint="eastAsia" w:ascii="宋体" w:hAnsi="宋体" w:cs="宋体"/>
          <w:color w:val="auto"/>
          <w:sz w:val="24"/>
          <w:highlight w:val="none"/>
        </w:rPr>
        <w:t>。</w:t>
      </w:r>
    </w:p>
    <w:p>
      <w:pPr>
        <w:tabs>
          <w:tab w:val="left" w:pos="900"/>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3.2.2 电子响应文件的签字或盖章：供应商必须按照竞争性磋商文件的要求签字、盖章或加盖电子章。</w:t>
      </w:r>
    </w:p>
    <w:bookmarkEnd w:id="194"/>
    <w:p>
      <w:pPr>
        <w:pStyle w:val="14"/>
        <w:tabs>
          <w:tab w:val="left" w:pos="900"/>
        </w:tabs>
        <w:spacing w:before="0" w:after="0" w:line="360" w:lineRule="auto"/>
        <w:jc w:val="left"/>
        <w:rPr>
          <w:rFonts w:ascii="宋体" w:hAnsi="宋体" w:eastAsia="宋体" w:cs="宋体"/>
          <w:color w:val="auto"/>
          <w:sz w:val="24"/>
          <w:szCs w:val="24"/>
          <w:highlight w:val="none"/>
        </w:rPr>
      </w:pPr>
      <w:bookmarkStart w:id="195" w:name="_Toc516367023"/>
      <w:bookmarkStart w:id="196" w:name="_Toc15048300"/>
      <w:bookmarkStart w:id="197" w:name="_Toc10379"/>
      <w:bookmarkStart w:id="198" w:name="_Toc23068"/>
      <w:bookmarkStart w:id="199" w:name="_Toc4601"/>
      <w:bookmarkStart w:id="200" w:name="_Toc520356153"/>
      <w:bookmarkStart w:id="201" w:name="_Toc30134"/>
      <w:bookmarkStart w:id="202" w:name="_Toc5511"/>
      <w:bookmarkStart w:id="203" w:name="_Toc532473461"/>
      <w:bookmarkStart w:id="204" w:name="_Toc515647769"/>
      <w:bookmarkStart w:id="205" w:name="_Toc57217246"/>
      <w:r>
        <w:rPr>
          <w:rFonts w:hint="eastAsia" w:ascii="宋体" w:hAnsi="宋体" w:eastAsia="宋体" w:cs="宋体"/>
          <w:color w:val="auto"/>
          <w:sz w:val="24"/>
          <w:szCs w:val="24"/>
          <w:highlight w:val="none"/>
        </w:rPr>
        <w:t>3.3  供应商证明所提供标的的合格性和符合竞争性磋商文件规定的技术文件</w:t>
      </w:r>
      <w:bookmarkEnd w:id="195"/>
      <w:bookmarkEnd w:id="196"/>
      <w:bookmarkEnd w:id="197"/>
      <w:bookmarkEnd w:id="198"/>
      <w:bookmarkEnd w:id="199"/>
      <w:bookmarkEnd w:id="200"/>
      <w:bookmarkEnd w:id="201"/>
      <w:bookmarkEnd w:id="202"/>
      <w:bookmarkEnd w:id="203"/>
      <w:bookmarkEnd w:id="204"/>
      <w:bookmarkEnd w:id="205"/>
    </w:p>
    <w:p>
      <w:pPr>
        <w:spacing w:line="360" w:lineRule="auto"/>
        <w:rPr>
          <w:rFonts w:ascii="宋体" w:hAnsi="宋体" w:cs="宋体"/>
          <w:color w:val="auto"/>
          <w:sz w:val="24"/>
          <w:highlight w:val="none"/>
        </w:rPr>
      </w:pPr>
      <w:r>
        <w:rPr>
          <w:rFonts w:hint="eastAsia" w:ascii="宋体" w:hAnsi="宋体" w:cs="宋体"/>
          <w:color w:val="auto"/>
          <w:sz w:val="24"/>
          <w:highlight w:val="none"/>
        </w:rPr>
        <w:t>3.3.1 供应商应按竞争性磋商文件中的具体要求提交证明文件，证明所提供标的符合竞争性磋商文件的规定。该证明文件是响应文件的技术文件。</w:t>
      </w:r>
    </w:p>
    <w:p>
      <w:pPr>
        <w:spacing w:line="360" w:lineRule="auto"/>
        <w:rPr>
          <w:rFonts w:ascii="宋体" w:hAnsi="宋体" w:cs="宋体"/>
          <w:color w:val="auto"/>
          <w:sz w:val="24"/>
          <w:highlight w:val="none"/>
        </w:rPr>
      </w:pPr>
      <w:bookmarkStart w:id="206" w:name="_Ref467306244"/>
      <w:r>
        <w:rPr>
          <w:rFonts w:hint="eastAsia" w:ascii="宋体" w:hAnsi="宋体" w:cs="宋体"/>
          <w:color w:val="auto"/>
          <w:sz w:val="24"/>
          <w:highlight w:val="none"/>
        </w:rPr>
        <w:t>3.3.2 上款所述的证明文件，可以是文字资料、图纸和数据</w:t>
      </w:r>
      <w:bookmarkEnd w:id="206"/>
      <w:r>
        <w:rPr>
          <w:rFonts w:hint="eastAsia" w:ascii="宋体" w:hAnsi="宋体" w:cs="宋体"/>
          <w:color w:val="auto"/>
          <w:sz w:val="24"/>
          <w:highlight w:val="none"/>
        </w:rPr>
        <w:t>。</w:t>
      </w:r>
    </w:p>
    <w:p>
      <w:pPr>
        <w:pStyle w:val="14"/>
        <w:spacing w:before="0" w:after="0" w:line="360" w:lineRule="auto"/>
        <w:rPr>
          <w:rFonts w:ascii="宋体" w:hAnsi="宋体" w:eastAsia="宋体" w:cs="宋体"/>
          <w:color w:val="auto"/>
          <w:sz w:val="24"/>
          <w:szCs w:val="24"/>
          <w:highlight w:val="none"/>
        </w:rPr>
      </w:pPr>
      <w:bookmarkStart w:id="207" w:name="_Toc29896"/>
      <w:bookmarkStart w:id="208" w:name="_Toc532473462"/>
      <w:bookmarkStart w:id="209" w:name="_Toc515647770"/>
      <w:bookmarkStart w:id="210" w:name="_Toc2248"/>
      <w:bookmarkStart w:id="211" w:name="_Toc57217247"/>
      <w:bookmarkStart w:id="212" w:name="_Toc520356155"/>
      <w:bookmarkStart w:id="213" w:name="_Toc9242"/>
      <w:bookmarkStart w:id="214" w:name="_Toc15048301"/>
      <w:bookmarkStart w:id="215" w:name="_Toc23231"/>
      <w:bookmarkStart w:id="216" w:name="_Toc31269"/>
      <w:r>
        <w:rPr>
          <w:rFonts w:hint="eastAsia" w:ascii="宋体" w:hAnsi="宋体" w:eastAsia="宋体" w:cs="宋体"/>
          <w:color w:val="auto"/>
          <w:sz w:val="24"/>
          <w:szCs w:val="24"/>
          <w:highlight w:val="none"/>
        </w:rPr>
        <w:t>3.4响应报价</w:t>
      </w:r>
      <w:bookmarkEnd w:id="207"/>
      <w:bookmarkEnd w:id="208"/>
      <w:bookmarkEnd w:id="209"/>
      <w:bookmarkEnd w:id="210"/>
      <w:bookmarkEnd w:id="211"/>
      <w:bookmarkEnd w:id="212"/>
      <w:bookmarkEnd w:id="213"/>
      <w:bookmarkEnd w:id="214"/>
      <w:bookmarkEnd w:id="215"/>
      <w:bookmarkEnd w:id="216"/>
    </w:p>
    <w:p>
      <w:pPr>
        <w:spacing w:line="360" w:lineRule="auto"/>
        <w:rPr>
          <w:rFonts w:ascii="宋体" w:hAnsi="宋体" w:cs="宋体"/>
          <w:color w:val="auto"/>
          <w:sz w:val="24"/>
          <w:highlight w:val="none"/>
        </w:rPr>
      </w:pPr>
      <w:r>
        <w:rPr>
          <w:rFonts w:hint="eastAsia" w:ascii="宋体" w:hAnsi="宋体" w:cs="宋体"/>
          <w:color w:val="auto"/>
          <w:sz w:val="24"/>
          <w:highlight w:val="none"/>
        </w:rPr>
        <w:t>3.4.1 供应商的响应报价（及最后报价）均应以人民币报价。供应商的报价应遵守《中华人民共和国价格法》。</w:t>
      </w:r>
    </w:p>
    <w:p>
      <w:pPr>
        <w:spacing w:line="360" w:lineRule="auto"/>
        <w:rPr>
          <w:rFonts w:ascii="宋体" w:hAnsi="宋体" w:cs="宋体"/>
          <w:color w:val="auto"/>
          <w:sz w:val="24"/>
          <w:highlight w:val="none"/>
        </w:rPr>
      </w:pPr>
      <w:r>
        <w:rPr>
          <w:rFonts w:hint="eastAsia" w:ascii="宋体" w:hAnsi="宋体" w:cs="宋体"/>
          <w:color w:val="auto"/>
          <w:sz w:val="24"/>
          <w:highlight w:val="none"/>
        </w:rPr>
        <w:t>3.4.2 供应商应参考采购人所提供的采购范围及工作内容、质量要求、采购预算等全部内容，结合本项目实际情况和供应商自身成本、市场行情等因素，自主报价。不得低于企业成本报价，且不得高于采购人给定的预算价或最高限价，否则响应文件将被认定为无效响应文件。</w:t>
      </w:r>
    </w:p>
    <w:p>
      <w:pPr>
        <w:spacing w:line="360" w:lineRule="auto"/>
        <w:rPr>
          <w:rFonts w:ascii="宋体" w:hAnsi="宋体" w:cs="宋体"/>
          <w:color w:val="auto"/>
          <w:sz w:val="24"/>
          <w:highlight w:val="none"/>
        </w:rPr>
      </w:pPr>
      <w:r>
        <w:rPr>
          <w:rFonts w:hint="eastAsia" w:ascii="宋体" w:hAnsi="宋体" w:cs="宋体"/>
          <w:color w:val="auto"/>
          <w:sz w:val="24"/>
          <w:highlight w:val="none"/>
        </w:rPr>
        <w:t>3.4.3 供应商应当按照竞争性磋商文件提供的报价表格式如实填写各项货物（包括伴随的服务）/工程（伴随的服务）/服务的单价、分项总价和总报价。供应商应认真填报所有项目的单价和合价，响应文件中若有漏项、漏报，采购人视为供应商的报价在总报价中已经包括；供应商提交最后报价后，如果被确定为成交人，该供应商所报价格，在合同履行过程中是固定不变的，除因设计或是采购人原因引起的变更外，不予调整。供应商报价有算术错误的，其风险由供应商承担。</w:t>
      </w:r>
    </w:p>
    <w:p>
      <w:pPr>
        <w:spacing w:line="360" w:lineRule="auto"/>
        <w:rPr>
          <w:rFonts w:ascii="宋体" w:hAnsi="宋体" w:cs="宋体"/>
          <w:color w:val="auto"/>
          <w:sz w:val="24"/>
          <w:highlight w:val="none"/>
        </w:rPr>
      </w:pPr>
      <w:r>
        <w:rPr>
          <w:rFonts w:hint="eastAsia" w:ascii="宋体" w:hAnsi="宋体" w:cs="宋体"/>
          <w:color w:val="auto"/>
          <w:sz w:val="24"/>
          <w:highlight w:val="none"/>
        </w:rPr>
        <w:t>3.4.4 供应商的最后报价应当包括：所提供货物（包括伴随的服务、备品备件、专用工具等）和伴随服务需要缴纳的所有税费的价格（包括已在中国国内的进口货物完税后的仓库交货价、展室交货价或货架交货价），所提供货物的运输（含保险）、装卸、安装（如有）、调试、检验、技术服务、培训和竞争性磋商文件要求提供的所有伴随服务、安装等费用及交付采购人使用前发生的其它费用。</w:t>
      </w:r>
    </w:p>
    <w:p>
      <w:pPr>
        <w:tabs>
          <w:tab w:val="left" w:pos="720"/>
        </w:tabs>
        <w:spacing w:line="360" w:lineRule="auto"/>
        <w:rPr>
          <w:rFonts w:ascii="宋体" w:hAnsi="宋体" w:cs="宋体"/>
          <w:color w:val="auto"/>
          <w:sz w:val="24"/>
          <w:highlight w:val="none"/>
        </w:rPr>
      </w:pPr>
      <w:r>
        <w:rPr>
          <w:rFonts w:hint="eastAsia" w:ascii="宋体" w:hAnsi="宋体" w:cs="宋体"/>
          <w:snapToGrid w:val="0"/>
          <w:color w:val="auto"/>
          <w:kern w:val="0"/>
          <w:sz w:val="24"/>
          <w:highlight w:val="none"/>
        </w:rPr>
        <w:t>3.4.5 除非竞争性磋商文件另有规定，每一“包”或“标段”只允许有一个最后总报价，任何有选择的最后总报价或替代方案将导致响应文件无效。</w:t>
      </w:r>
    </w:p>
    <w:p>
      <w:pPr>
        <w:spacing w:line="360" w:lineRule="auto"/>
        <w:rPr>
          <w:rFonts w:ascii="宋体" w:hAnsi="宋体" w:cs="宋体"/>
          <w:color w:val="auto"/>
          <w:sz w:val="24"/>
          <w:highlight w:val="none"/>
        </w:rPr>
      </w:pPr>
      <w:r>
        <w:rPr>
          <w:rFonts w:hint="eastAsia" w:ascii="宋体" w:hAnsi="宋体" w:cs="宋体"/>
          <w:color w:val="auto"/>
          <w:sz w:val="24"/>
          <w:highlight w:val="none"/>
        </w:rPr>
        <w:t>3.4.6 供应商在提交最后总报价后，不得以任何理由再对最后总报价予以修改，最后总报价在响应文件有效期内是固定的，除竞争性磋商文件中约定的原因外，不能随意改变。</w:t>
      </w:r>
    </w:p>
    <w:p>
      <w:pPr>
        <w:spacing w:line="360" w:lineRule="auto"/>
        <w:rPr>
          <w:rFonts w:ascii="宋体" w:hAnsi="宋体" w:cs="宋体"/>
          <w:color w:val="auto"/>
          <w:sz w:val="24"/>
          <w:highlight w:val="none"/>
        </w:rPr>
      </w:pPr>
      <w:r>
        <w:rPr>
          <w:rFonts w:hint="eastAsia" w:ascii="宋体" w:hAnsi="宋体" w:cs="宋体"/>
          <w:color w:val="auto"/>
          <w:sz w:val="24"/>
          <w:highlight w:val="none"/>
        </w:rPr>
        <w:t>3.4.7 供应商在报价时应考虑期间的物价上涨，政策性调整等诸多因素以及由此引起的费用变动并计入总报价（包含最后总报价）。</w:t>
      </w:r>
    </w:p>
    <w:p>
      <w:pPr>
        <w:spacing w:line="360" w:lineRule="auto"/>
        <w:rPr>
          <w:rFonts w:ascii="宋体" w:hAnsi="宋体" w:cs="宋体"/>
          <w:color w:val="auto"/>
          <w:sz w:val="24"/>
          <w:highlight w:val="none"/>
        </w:rPr>
      </w:pPr>
      <w:r>
        <w:rPr>
          <w:rFonts w:hint="eastAsia" w:ascii="宋体" w:hAnsi="宋体" w:cs="宋体"/>
          <w:color w:val="auto"/>
          <w:sz w:val="24"/>
          <w:highlight w:val="none"/>
        </w:rPr>
        <w:t>3.4.8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spacing w:line="360" w:lineRule="auto"/>
        <w:rPr>
          <w:rFonts w:ascii="宋体" w:hAnsi="宋体" w:cs="宋体"/>
          <w:color w:val="auto"/>
          <w:sz w:val="24"/>
          <w:highlight w:val="none"/>
        </w:rPr>
      </w:pPr>
      <w:r>
        <w:rPr>
          <w:rFonts w:hint="eastAsia" w:ascii="宋体" w:hAnsi="宋体" w:cs="宋体"/>
          <w:color w:val="auto"/>
          <w:sz w:val="24"/>
          <w:highlight w:val="none"/>
        </w:rPr>
        <w:t>3.4.9 采购人不接受具有附加条件的最后总报价或多个方案的最后总报价。</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3.4.10 </w:t>
      </w:r>
      <w:r>
        <w:rPr>
          <w:rFonts w:hint="eastAsia" w:ascii="宋体" w:hAnsi="宋体" w:cs="宋体"/>
          <w:bCs/>
          <w:color w:val="auto"/>
          <w:sz w:val="24"/>
          <w:highlight w:val="none"/>
        </w:rPr>
        <w:t>供应商应对提供资料的真实性负责，若发现供应商有围标串标、互借资质的现象，采购人有权取消成交资格。</w:t>
      </w:r>
    </w:p>
    <w:p>
      <w:pP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3.4.11 </w:t>
      </w:r>
      <w:r>
        <w:rPr>
          <w:rFonts w:hint="eastAsia" w:ascii="宋体" w:hAnsi="宋体" w:cs="宋体"/>
          <w:b/>
          <w:bCs/>
          <w:color w:val="auto"/>
          <w:sz w:val="24"/>
          <w:highlight w:val="none"/>
        </w:rPr>
        <w:t>本项目</w:t>
      </w:r>
      <w:r>
        <w:rPr>
          <w:rFonts w:hint="eastAsia" w:ascii="宋体" w:hAnsi="宋体" w:cs="宋体"/>
          <w:b/>
          <w:bCs/>
          <w:color w:val="auto"/>
          <w:sz w:val="24"/>
          <w:highlight w:val="none"/>
          <w:u w:val="single"/>
        </w:rPr>
        <w:t>采用“远程不见面”开标方式</w:t>
      </w:r>
      <w:r>
        <w:rPr>
          <w:rFonts w:hint="eastAsia" w:ascii="宋体" w:hAnsi="宋体" w:cs="宋体"/>
          <w:b/>
          <w:bCs/>
          <w:color w:val="auto"/>
          <w:sz w:val="24"/>
          <w:highlight w:val="none"/>
        </w:rPr>
        <w:t>，所有响应人在规定时间内对响应文件进行解密，未解密的响应人，视为放弃投标。本项目二次报价采用远程报价（二次报价有时间限制，供应商如在交易平台系统规定时间内二次报价没有提交成功的，视为放弃竞标）。</w:t>
      </w:r>
    </w:p>
    <w:p>
      <w:pPr>
        <w:pStyle w:val="14"/>
        <w:spacing w:before="0" w:after="0" w:line="360" w:lineRule="auto"/>
        <w:rPr>
          <w:rFonts w:ascii="宋体" w:hAnsi="宋体" w:eastAsia="宋体" w:cs="宋体"/>
          <w:color w:val="auto"/>
          <w:sz w:val="24"/>
          <w:szCs w:val="24"/>
          <w:highlight w:val="none"/>
        </w:rPr>
      </w:pPr>
      <w:bookmarkStart w:id="217" w:name="_Ref467306513"/>
      <w:bookmarkStart w:id="218" w:name="_Toc28802"/>
      <w:bookmarkStart w:id="219" w:name="_Toc15048302"/>
      <w:bookmarkStart w:id="220" w:name="_Toc532473463"/>
      <w:bookmarkStart w:id="221" w:name="_Toc515647771"/>
      <w:bookmarkStart w:id="222" w:name="_Toc57217248"/>
      <w:bookmarkStart w:id="223" w:name="_Toc3020"/>
      <w:bookmarkStart w:id="224" w:name="_Toc11514"/>
      <w:bookmarkStart w:id="225" w:name="_Toc520356156"/>
      <w:bookmarkStart w:id="226" w:name="_Toc7535"/>
      <w:bookmarkStart w:id="227" w:name="_Toc17788"/>
      <w:r>
        <w:rPr>
          <w:rFonts w:hint="eastAsia" w:ascii="宋体" w:hAnsi="宋体" w:eastAsia="宋体" w:cs="宋体"/>
          <w:color w:val="auto"/>
          <w:sz w:val="24"/>
          <w:szCs w:val="24"/>
          <w:highlight w:val="none"/>
        </w:rPr>
        <w:t>3.5 磋商保证金</w:t>
      </w:r>
      <w:bookmarkEnd w:id="217"/>
      <w:bookmarkEnd w:id="218"/>
      <w:bookmarkEnd w:id="219"/>
      <w:bookmarkEnd w:id="220"/>
      <w:bookmarkEnd w:id="221"/>
      <w:bookmarkEnd w:id="222"/>
      <w:bookmarkEnd w:id="223"/>
      <w:bookmarkEnd w:id="224"/>
      <w:bookmarkEnd w:id="225"/>
      <w:bookmarkEnd w:id="226"/>
      <w:bookmarkEnd w:id="227"/>
    </w:p>
    <w:p>
      <w:pPr>
        <w:spacing w:line="360" w:lineRule="auto"/>
        <w:ind w:firstLine="480" w:firstLineChars="200"/>
        <w:rPr>
          <w:rFonts w:ascii="宋体" w:hAnsi="宋体" w:cs="宋体"/>
          <w:color w:val="auto"/>
          <w:sz w:val="24"/>
          <w:highlight w:val="none"/>
        </w:rPr>
      </w:pPr>
      <w:bookmarkStart w:id="228" w:name="_Ref467306302"/>
      <w:r>
        <w:rPr>
          <w:rFonts w:hint="eastAsia" w:ascii="宋体" w:hAnsi="宋体" w:cs="宋体"/>
          <w:color w:val="auto"/>
          <w:sz w:val="24"/>
          <w:highlight w:val="none"/>
        </w:rPr>
        <w:t>河南省财政厅发布关于优化政府采购营商环境有关问题的通知规定，自2019年8月1日起，在河南省全省政府采购货物和服务招投标活动中，不再向供应商收取投标保证金。</w:t>
      </w:r>
      <w:bookmarkEnd w:id="228"/>
    </w:p>
    <w:p>
      <w:pPr>
        <w:pStyle w:val="14"/>
        <w:spacing w:before="0" w:after="0" w:line="360" w:lineRule="auto"/>
        <w:rPr>
          <w:rFonts w:ascii="宋体" w:hAnsi="宋体" w:eastAsia="宋体" w:cs="宋体"/>
          <w:color w:val="auto"/>
          <w:sz w:val="24"/>
          <w:szCs w:val="24"/>
          <w:highlight w:val="none"/>
        </w:rPr>
      </w:pPr>
      <w:bookmarkStart w:id="229" w:name="_Toc32569"/>
      <w:bookmarkStart w:id="230" w:name="_Toc8719"/>
      <w:bookmarkStart w:id="231" w:name="_Toc57217249"/>
      <w:bookmarkStart w:id="232" w:name="_Toc520356157"/>
      <w:bookmarkStart w:id="233" w:name="_Toc6466"/>
      <w:bookmarkStart w:id="234" w:name="_Toc15048303"/>
      <w:bookmarkStart w:id="235" w:name="_Toc532473464"/>
      <w:bookmarkStart w:id="236" w:name="_Toc515647772"/>
      <w:bookmarkStart w:id="237" w:name="_Toc11633"/>
      <w:bookmarkStart w:id="238" w:name="_Toc23590"/>
      <w:r>
        <w:rPr>
          <w:rFonts w:hint="eastAsia" w:ascii="宋体" w:hAnsi="宋体" w:eastAsia="宋体" w:cs="宋体"/>
          <w:color w:val="auto"/>
          <w:sz w:val="24"/>
          <w:szCs w:val="24"/>
          <w:highlight w:val="none"/>
        </w:rPr>
        <w:t>3.6 响应文件有效期</w:t>
      </w:r>
      <w:bookmarkEnd w:id="229"/>
      <w:bookmarkEnd w:id="230"/>
      <w:bookmarkEnd w:id="231"/>
      <w:bookmarkEnd w:id="232"/>
      <w:bookmarkEnd w:id="233"/>
      <w:bookmarkEnd w:id="234"/>
      <w:bookmarkEnd w:id="235"/>
      <w:bookmarkEnd w:id="236"/>
      <w:bookmarkEnd w:id="237"/>
      <w:bookmarkEnd w:id="238"/>
    </w:p>
    <w:p>
      <w:pPr>
        <w:spacing w:line="360" w:lineRule="auto"/>
        <w:rPr>
          <w:rFonts w:ascii="宋体" w:hAnsi="宋体" w:cs="宋体"/>
          <w:color w:val="auto"/>
          <w:sz w:val="24"/>
          <w:highlight w:val="none"/>
        </w:rPr>
      </w:pPr>
      <w:r>
        <w:rPr>
          <w:rFonts w:hint="eastAsia" w:ascii="宋体" w:hAnsi="宋体" w:cs="宋体"/>
          <w:color w:val="auto"/>
          <w:sz w:val="24"/>
          <w:highlight w:val="none"/>
        </w:rPr>
        <w:t>3.6.1 响应文件应在</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中规定时间内保持有效。响应文件有效期不满足要求的响应文件，将被认定为</w:t>
      </w:r>
      <w:r>
        <w:rPr>
          <w:rFonts w:hint="eastAsia" w:ascii="宋体" w:hAnsi="宋体" w:cs="宋体"/>
          <w:b/>
          <w:bCs/>
          <w:color w:val="auto"/>
          <w:sz w:val="24"/>
          <w:highlight w:val="none"/>
        </w:rPr>
        <w:t>无效响应文件</w:t>
      </w:r>
      <w:r>
        <w:rPr>
          <w:rFonts w:hint="eastAsia" w:ascii="宋体" w:hAnsi="宋体" w:cs="宋体"/>
          <w:color w:val="auto"/>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3.6.2 因特殊原因，采购人或采购代理机构可在原响应文件有效期截止之前，要求供应商延长响应文件的有效期。接受该要求的供应商将不会被要求和允许修正其响应文件。供应商也可以拒绝延长响应文件有效期的要求，且不承担任何责任。上述要求和答复都应以书面形式提交。</w:t>
      </w:r>
    </w:p>
    <w:p>
      <w:pPr>
        <w:pStyle w:val="14"/>
        <w:spacing w:before="0" w:after="0" w:line="360" w:lineRule="auto"/>
        <w:rPr>
          <w:rFonts w:ascii="宋体" w:hAnsi="宋体" w:eastAsia="宋体" w:cs="宋体"/>
          <w:color w:val="auto"/>
          <w:sz w:val="24"/>
          <w:szCs w:val="24"/>
          <w:highlight w:val="none"/>
        </w:rPr>
      </w:pPr>
      <w:bookmarkStart w:id="239" w:name="_Toc520356158"/>
      <w:bookmarkStart w:id="240" w:name="_Toc17074"/>
      <w:bookmarkStart w:id="241" w:name="_Toc515647773"/>
      <w:bookmarkStart w:id="242" w:name="_Toc493"/>
      <w:bookmarkStart w:id="243" w:name="_Toc532473465"/>
      <w:bookmarkStart w:id="244" w:name="_Toc8849"/>
      <w:bookmarkStart w:id="245" w:name="_Toc2644"/>
      <w:bookmarkStart w:id="246" w:name="_Toc15048304"/>
      <w:bookmarkStart w:id="247" w:name="_Toc57217250"/>
      <w:bookmarkStart w:id="248" w:name="_Toc2016"/>
      <w:r>
        <w:rPr>
          <w:rFonts w:hint="eastAsia" w:ascii="宋体" w:hAnsi="宋体" w:eastAsia="宋体" w:cs="宋体"/>
          <w:color w:val="auto"/>
          <w:sz w:val="24"/>
          <w:szCs w:val="24"/>
          <w:highlight w:val="none"/>
        </w:rPr>
        <w:t>3.7 响应文件的</w:t>
      </w:r>
      <w:bookmarkEnd w:id="239"/>
      <w:bookmarkEnd w:id="240"/>
      <w:bookmarkEnd w:id="241"/>
      <w:bookmarkEnd w:id="242"/>
      <w:bookmarkEnd w:id="243"/>
      <w:r>
        <w:rPr>
          <w:rFonts w:hint="eastAsia" w:ascii="宋体" w:hAnsi="宋体" w:eastAsia="宋体" w:cs="宋体"/>
          <w:color w:val="auto"/>
          <w:sz w:val="24"/>
          <w:szCs w:val="24"/>
          <w:highlight w:val="none"/>
        </w:rPr>
        <w:t>制作</w:t>
      </w:r>
      <w:bookmarkEnd w:id="244"/>
      <w:bookmarkEnd w:id="245"/>
      <w:bookmarkEnd w:id="246"/>
      <w:bookmarkEnd w:id="247"/>
      <w:bookmarkEnd w:id="248"/>
    </w:p>
    <w:p>
      <w:pPr>
        <w:tabs>
          <w:tab w:val="left" w:pos="720"/>
        </w:tabs>
        <w:spacing w:line="360" w:lineRule="auto"/>
        <w:rPr>
          <w:rFonts w:ascii="宋体" w:hAnsi="宋体" w:cs="宋体"/>
          <w:color w:val="auto"/>
          <w:sz w:val="24"/>
          <w:highlight w:val="none"/>
        </w:rPr>
      </w:pPr>
      <w:r>
        <w:rPr>
          <w:rFonts w:hint="eastAsia" w:ascii="宋体" w:hAnsi="宋体" w:cs="宋体"/>
          <w:color w:val="auto"/>
          <w:sz w:val="24"/>
          <w:highlight w:val="none"/>
        </w:rPr>
        <w:t>3.7.1 供应商在制作电子响应文件时，按照河南省公共资源交易中心提供的“投标文件制作工具”制作电子响应文件。具体查询河南省公共资源交易中心网站主页→办事指南及下载专区。</w:t>
      </w:r>
    </w:p>
    <w:p>
      <w:pPr>
        <w:spacing w:line="360" w:lineRule="auto"/>
        <w:rPr>
          <w:rFonts w:ascii="宋体" w:hAnsi="宋体" w:cs="宋体"/>
          <w:b/>
          <w:bCs/>
          <w:color w:val="auto"/>
          <w:sz w:val="24"/>
          <w:highlight w:val="none"/>
        </w:rPr>
      </w:pPr>
      <w:r>
        <w:rPr>
          <w:rFonts w:hint="eastAsia" w:ascii="宋体" w:hAnsi="宋体" w:cs="宋体"/>
          <w:color w:val="auto"/>
          <w:sz w:val="24"/>
          <w:highlight w:val="none"/>
        </w:rPr>
        <w:t>3.7.2 响应文件格式所要求包含的全部资料应全部制作在响应文件内（格式中写明可以不提供的除外），严格按照本项目竞争性磋商文件中提供的所有格式如实填写（不涉及的内容除外），不应存在漏项或缺项，否则将存在响应文件被拒绝的风险。</w:t>
      </w:r>
      <w:r>
        <w:rPr>
          <w:rFonts w:hint="eastAsia" w:ascii="宋体" w:hAnsi="宋体" w:cs="宋体"/>
          <w:b/>
          <w:bCs/>
          <w:color w:val="auto"/>
          <w:sz w:val="24"/>
          <w:highlight w:val="none"/>
          <w:u w:val="single"/>
        </w:rPr>
        <w:t>响应函（磋商函）及报价一览表，须严格按照格式编辑，并作为电子评审系统上传的依据。</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3.7.3 </w:t>
      </w:r>
      <w:r>
        <w:rPr>
          <w:rFonts w:hint="eastAsia" w:ascii="宋体" w:hAnsi="宋体" w:cs="宋体"/>
          <w:b/>
          <w:bCs/>
          <w:color w:val="auto"/>
          <w:sz w:val="24"/>
          <w:highlight w:val="none"/>
        </w:rPr>
        <w:t>供应商编辑电子响应文件时，根据竞争性磋商文件要求用法人CA密钥和企业CA密钥进行签章制作；最后一步生成电子响应文件时，只能用本单位的企业CA密钥。</w:t>
      </w:r>
    </w:p>
    <w:p>
      <w:pPr>
        <w:spacing w:line="360" w:lineRule="auto"/>
        <w:rPr>
          <w:rFonts w:ascii="宋体" w:hAnsi="宋体" w:cs="宋体"/>
          <w:color w:val="auto"/>
          <w:sz w:val="24"/>
          <w:highlight w:val="none"/>
        </w:rPr>
      </w:pPr>
      <w:r>
        <w:rPr>
          <w:rFonts w:hint="eastAsia" w:ascii="宋体" w:hAnsi="宋体" w:cs="宋体"/>
          <w:color w:val="auto"/>
          <w:sz w:val="24"/>
          <w:highlight w:val="none"/>
        </w:rPr>
        <w:t>3.7.4 供应商须在响应</w:t>
      </w:r>
      <w:r>
        <w:rPr>
          <w:rFonts w:hint="eastAsia" w:ascii="宋体" w:hAnsi="宋体" w:cs="宋体"/>
          <w:color w:val="auto"/>
          <w:kern w:val="0"/>
          <w:sz w:val="24"/>
          <w:highlight w:val="none"/>
          <w:lang w:val="zh-CN"/>
        </w:rPr>
        <w:t>文件提交截止时间</w:t>
      </w:r>
      <w:r>
        <w:rPr>
          <w:rFonts w:hint="eastAsia" w:ascii="宋体" w:hAnsi="宋体" w:cs="宋体"/>
          <w:color w:val="auto"/>
          <w:sz w:val="24"/>
          <w:highlight w:val="none"/>
        </w:rPr>
        <w:t>前制作并提交响应文件。加密的电子响应文件,应在响应文件提交截止时间前通过“河南省公共资源交易中心”电子交易平台内上传。</w:t>
      </w:r>
    </w:p>
    <w:p>
      <w:pPr>
        <w:spacing w:line="360" w:lineRule="auto"/>
        <w:rPr>
          <w:rFonts w:ascii="宋体" w:hAnsi="宋体" w:cs="宋体"/>
          <w:color w:val="auto"/>
          <w:sz w:val="24"/>
          <w:highlight w:val="none"/>
        </w:rPr>
      </w:pPr>
      <w:r>
        <w:rPr>
          <w:rFonts w:hint="eastAsia" w:ascii="宋体" w:hAnsi="宋体" w:cs="宋体"/>
          <w:color w:val="auto"/>
          <w:sz w:val="24"/>
          <w:highlight w:val="none"/>
        </w:rPr>
        <w:t>3.7.5 加密的电子响应文件为“河南省公共资源交易中心” 网站提供的“投标文件制作工具”软件制作生成的加密版响应文件。</w:t>
      </w:r>
    </w:p>
    <w:p>
      <w:pPr>
        <w:spacing w:line="360" w:lineRule="auto"/>
        <w:rPr>
          <w:rFonts w:ascii="宋体" w:hAnsi="宋体" w:cs="宋体"/>
          <w:color w:val="auto"/>
          <w:sz w:val="24"/>
          <w:highlight w:val="none"/>
        </w:rPr>
      </w:pPr>
      <w:r>
        <w:rPr>
          <w:rFonts w:hint="eastAsia" w:ascii="宋体" w:hAnsi="宋体" w:cs="宋体"/>
          <w:color w:val="auto"/>
          <w:sz w:val="24"/>
          <w:highlight w:val="none"/>
        </w:rPr>
        <w:t>3.7.6响应文件的修改：供应商如果对响应文件进行了修改，则应在修改处加盖企业（单位）的电子签章。</w:t>
      </w:r>
    </w:p>
    <w:p>
      <w:pPr>
        <w:pStyle w:val="12"/>
        <w:spacing w:before="0" w:after="0" w:line="360" w:lineRule="auto"/>
        <w:rPr>
          <w:rFonts w:ascii="宋体" w:hAnsi="宋体" w:eastAsia="宋体" w:cs="宋体"/>
          <w:color w:val="auto"/>
          <w:sz w:val="24"/>
          <w:szCs w:val="24"/>
          <w:highlight w:val="none"/>
        </w:rPr>
      </w:pPr>
      <w:bookmarkStart w:id="249" w:name="_Toc515647774"/>
      <w:bookmarkStart w:id="250" w:name="_Toc6442"/>
      <w:bookmarkStart w:id="251" w:name="_Toc57217251"/>
      <w:bookmarkStart w:id="252" w:name="_Toc27916"/>
      <w:bookmarkStart w:id="253" w:name="_Toc532473466"/>
      <w:bookmarkStart w:id="254" w:name="_Toc520356159"/>
      <w:bookmarkStart w:id="255" w:name="_Toc18106"/>
      <w:bookmarkStart w:id="256" w:name="_Toc16865"/>
      <w:bookmarkStart w:id="257" w:name="_Toc11179"/>
      <w:bookmarkStart w:id="258" w:name="_Toc216582808"/>
      <w:bookmarkStart w:id="259" w:name="_Toc15048305"/>
      <w:r>
        <w:rPr>
          <w:rFonts w:hint="eastAsia" w:ascii="宋体" w:hAnsi="宋体" w:eastAsia="宋体" w:cs="宋体"/>
          <w:color w:val="auto"/>
          <w:sz w:val="24"/>
          <w:szCs w:val="24"/>
          <w:highlight w:val="none"/>
        </w:rPr>
        <w:t>4、响应文件的提交</w:t>
      </w:r>
      <w:bookmarkEnd w:id="249"/>
      <w:bookmarkEnd w:id="250"/>
      <w:bookmarkEnd w:id="251"/>
      <w:bookmarkEnd w:id="252"/>
      <w:bookmarkEnd w:id="253"/>
      <w:bookmarkEnd w:id="254"/>
      <w:bookmarkEnd w:id="255"/>
      <w:bookmarkEnd w:id="256"/>
      <w:bookmarkEnd w:id="257"/>
      <w:bookmarkEnd w:id="258"/>
      <w:bookmarkEnd w:id="259"/>
    </w:p>
    <w:p>
      <w:pPr>
        <w:pStyle w:val="14"/>
        <w:spacing w:before="0" w:after="0" w:line="360" w:lineRule="auto"/>
        <w:rPr>
          <w:rFonts w:ascii="宋体" w:hAnsi="宋体" w:eastAsia="宋体" w:cs="宋体"/>
          <w:color w:val="auto"/>
          <w:sz w:val="24"/>
          <w:szCs w:val="24"/>
          <w:highlight w:val="none"/>
        </w:rPr>
      </w:pPr>
      <w:bookmarkStart w:id="260" w:name="_Toc21645"/>
      <w:bookmarkStart w:id="261" w:name="_Toc25110"/>
      <w:bookmarkStart w:id="262" w:name="_Toc532473467"/>
      <w:bookmarkStart w:id="263" w:name="_Toc15048306"/>
      <w:bookmarkStart w:id="264" w:name="_Toc32337"/>
      <w:bookmarkStart w:id="265" w:name="_Toc57217252"/>
      <w:bookmarkStart w:id="266" w:name="_Toc520356160"/>
      <w:bookmarkStart w:id="267" w:name="_Toc25758"/>
      <w:bookmarkStart w:id="268" w:name="_Toc515647775"/>
      <w:bookmarkStart w:id="269" w:name="_Toc23152"/>
      <w:r>
        <w:rPr>
          <w:rFonts w:hint="eastAsia" w:ascii="宋体" w:hAnsi="宋体" w:eastAsia="宋体" w:cs="宋体"/>
          <w:color w:val="auto"/>
          <w:sz w:val="24"/>
          <w:szCs w:val="24"/>
          <w:highlight w:val="none"/>
        </w:rPr>
        <w:t>4.1 响应文件的密封和标记</w:t>
      </w:r>
      <w:bookmarkEnd w:id="260"/>
      <w:bookmarkEnd w:id="261"/>
      <w:bookmarkEnd w:id="262"/>
      <w:bookmarkEnd w:id="263"/>
      <w:bookmarkEnd w:id="264"/>
      <w:bookmarkEnd w:id="265"/>
      <w:bookmarkEnd w:id="266"/>
      <w:bookmarkEnd w:id="267"/>
      <w:bookmarkEnd w:id="268"/>
      <w:bookmarkEnd w:id="269"/>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因采用全程不见面磋商、评审方式，故电子响应文件按本竞争性磋商文件第4.2.2条要求加密上传到指定平台。</w:t>
      </w:r>
    </w:p>
    <w:p>
      <w:pPr>
        <w:pStyle w:val="14"/>
        <w:spacing w:before="0" w:after="0" w:line="360" w:lineRule="auto"/>
        <w:rPr>
          <w:rFonts w:ascii="宋体" w:hAnsi="宋体" w:eastAsia="宋体" w:cs="宋体"/>
          <w:color w:val="auto"/>
          <w:sz w:val="24"/>
          <w:szCs w:val="24"/>
          <w:highlight w:val="none"/>
        </w:rPr>
      </w:pPr>
      <w:bookmarkStart w:id="270" w:name="_Toc520356161"/>
      <w:bookmarkStart w:id="271" w:name="_Toc9840"/>
      <w:bookmarkStart w:id="272" w:name="_Toc12751"/>
      <w:bookmarkStart w:id="273" w:name="_Toc515647776"/>
      <w:bookmarkStart w:id="274" w:name="_Toc532473468"/>
      <w:bookmarkStart w:id="275" w:name="_Toc15048307"/>
      <w:bookmarkStart w:id="276" w:name="_Toc2005"/>
      <w:bookmarkStart w:id="277" w:name="_Toc57217253"/>
      <w:bookmarkStart w:id="278" w:name="_Toc13625"/>
      <w:bookmarkStart w:id="279" w:name="_Toc7534"/>
      <w:r>
        <w:rPr>
          <w:rFonts w:hint="eastAsia" w:ascii="宋体" w:hAnsi="宋体" w:eastAsia="宋体" w:cs="宋体"/>
          <w:color w:val="auto"/>
          <w:sz w:val="24"/>
          <w:szCs w:val="24"/>
          <w:highlight w:val="none"/>
        </w:rPr>
        <w:t>4.2 响应文件提交截止</w:t>
      </w:r>
      <w:bookmarkEnd w:id="270"/>
      <w:bookmarkEnd w:id="271"/>
      <w:bookmarkEnd w:id="272"/>
      <w:bookmarkEnd w:id="273"/>
      <w:bookmarkEnd w:id="274"/>
      <w:bookmarkEnd w:id="275"/>
      <w:r>
        <w:rPr>
          <w:rFonts w:hint="eastAsia" w:ascii="宋体" w:hAnsi="宋体" w:eastAsia="宋体" w:cs="宋体"/>
          <w:color w:val="auto"/>
          <w:sz w:val="24"/>
          <w:szCs w:val="24"/>
          <w:highlight w:val="none"/>
        </w:rPr>
        <w:t>时间</w:t>
      </w:r>
      <w:bookmarkEnd w:id="276"/>
      <w:bookmarkEnd w:id="277"/>
      <w:bookmarkEnd w:id="278"/>
      <w:bookmarkEnd w:id="279"/>
    </w:p>
    <w:p>
      <w:pPr>
        <w:tabs>
          <w:tab w:val="left" w:pos="360"/>
          <w:tab w:val="left" w:pos="720"/>
          <w:tab w:val="left" w:pos="1185"/>
        </w:tabs>
        <w:spacing w:line="360" w:lineRule="auto"/>
        <w:rPr>
          <w:rFonts w:ascii="宋体" w:hAnsi="宋体" w:cs="宋体"/>
          <w:color w:val="auto"/>
          <w:sz w:val="24"/>
          <w:highlight w:val="none"/>
        </w:rPr>
      </w:pPr>
      <w:r>
        <w:rPr>
          <w:rFonts w:hint="eastAsia" w:ascii="宋体" w:hAnsi="宋体" w:cs="宋体"/>
          <w:color w:val="auto"/>
          <w:sz w:val="24"/>
          <w:highlight w:val="none"/>
        </w:rPr>
        <w:t>4.2.1 响应文件提交截止时间</w:t>
      </w:r>
      <w:r>
        <w:rPr>
          <w:rFonts w:hint="eastAsia" w:ascii="宋体" w:hAnsi="宋体" w:cs="宋体"/>
          <w:b/>
          <w:color w:val="auto"/>
          <w:sz w:val="24"/>
          <w:highlight w:val="none"/>
          <w:u w:val="single"/>
        </w:rPr>
        <w:t>见供应商须知前附表</w:t>
      </w:r>
      <w:r>
        <w:rPr>
          <w:rFonts w:hint="eastAsia" w:ascii="宋体" w:hAnsi="宋体" w:cs="宋体"/>
          <w:color w:val="auto"/>
          <w:sz w:val="24"/>
          <w:highlight w:val="none"/>
        </w:rPr>
        <w:t>。</w:t>
      </w:r>
    </w:p>
    <w:p>
      <w:pPr>
        <w:tabs>
          <w:tab w:val="left" w:pos="360"/>
          <w:tab w:val="left" w:pos="720"/>
          <w:tab w:val="left" w:pos="1185"/>
        </w:tabs>
        <w:spacing w:line="360" w:lineRule="auto"/>
        <w:rPr>
          <w:rFonts w:ascii="宋体" w:hAnsi="宋体" w:cs="宋体"/>
          <w:color w:val="auto"/>
          <w:sz w:val="24"/>
          <w:highlight w:val="none"/>
        </w:rPr>
      </w:pPr>
      <w:r>
        <w:rPr>
          <w:rFonts w:hint="eastAsia" w:ascii="宋体" w:hAnsi="宋体" w:cs="宋体"/>
          <w:color w:val="auto"/>
          <w:sz w:val="24"/>
          <w:highlight w:val="none"/>
        </w:rPr>
        <w:t>4.2.2 加密的电子响应文件应在响应文件提交截止时间前通过“河南省公共资源交易中心（www.hnggzy.net）”电子交易平台上传。</w:t>
      </w:r>
    </w:p>
    <w:p>
      <w:pPr>
        <w:tabs>
          <w:tab w:val="left" w:pos="360"/>
          <w:tab w:val="left" w:pos="720"/>
          <w:tab w:val="left" w:pos="1185"/>
        </w:tabs>
        <w:spacing w:line="360" w:lineRule="auto"/>
        <w:rPr>
          <w:rFonts w:ascii="宋体" w:hAnsi="宋体" w:cs="宋体"/>
          <w:color w:val="auto"/>
          <w:sz w:val="24"/>
          <w:highlight w:val="none"/>
        </w:rPr>
      </w:pPr>
      <w:r>
        <w:rPr>
          <w:rFonts w:hint="eastAsia" w:ascii="宋体" w:hAnsi="宋体" w:cs="宋体"/>
          <w:color w:val="auto"/>
          <w:sz w:val="24"/>
          <w:highlight w:val="none"/>
        </w:rPr>
        <w:t>4.2.3 采购人和采购代理机构可以按本章第2.2.2条、2.4条的规定，通过修改竞争性磋商文件自行决定是否酌情延长响应文件提交截止时间的期限。如果采购人和采购代理机构延长了响应文件提交截止时间的期限，供应商提交响应文件的截止时间则以延长后的时间为准。</w:t>
      </w:r>
    </w:p>
    <w:p>
      <w:pPr>
        <w:tabs>
          <w:tab w:val="left" w:pos="360"/>
          <w:tab w:val="left" w:pos="720"/>
          <w:tab w:val="left" w:pos="1185"/>
        </w:tabs>
        <w:spacing w:line="360" w:lineRule="auto"/>
        <w:rPr>
          <w:rFonts w:ascii="宋体" w:hAnsi="宋体" w:cs="宋体"/>
          <w:color w:val="auto"/>
          <w:sz w:val="24"/>
          <w:highlight w:val="none"/>
        </w:rPr>
      </w:pPr>
      <w:r>
        <w:rPr>
          <w:rFonts w:hint="eastAsia" w:ascii="宋体" w:hAnsi="宋体" w:cs="宋体"/>
          <w:bCs/>
          <w:color w:val="auto"/>
          <w:sz w:val="24"/>
          <w:highlight w:val="none"/>
        </w:rPr>
        <w:t>4.2.4 迟交的响应文件</w:t>
      </w:r>
      <w:r>
        <w:rPr>
          <w:rFonts w:hint="eastAsia" w:ascii="宋体" w:hAnsi="宋体" w:cs="宋体"/>
          <w:color w:val="auto"/>
          <w:sz w:val="24"/>
          <w:highlight w:val="none"/>
        </w:rPr>
        <w:t>采购人和采购代理机构将拒绝在规定的时间内未上传、未解密的响应文件。</w:t>
      </w:r>
    </w:p>
    <w:p>
      <w:pPr>
        <w:pStyle w:val="14"/>
        <w:spacing w:before="0" w:after="0" w:line="360" w:lineRule="auto"/>
        <w:rPr>
          <w:rFonts w:ascii="宋体" w:hAnsi="宋体" w:eastAsia="宋体" w:cs="宋体"/>
          <w:color w:val="auto"/>
          <w:sz w:val="24"/>
          <w:szCs w:val="24"/>
          <w:highlight w:val="none"/>
        </w:rPr>
      </w:pPr>
      <w:bookmarkStart w:id="280" w:name="_Toc532473469"/>
      <w:bookmarkStart w:id="281" w:name="_Toc24275"/>
      <w:bookmarkStart w:id="282" w:name="_Toc7684"/>
      <w:bookmarkStart w:id="283" w:name="_Toc515647777"/>
      <w:bookmarkStart w:id="284" w:name="_Toc18537"/>
      <w:bookmarkStart w:id="285" w:name="_Toc18315"/>
      <w:bookmarkStart w:id="286" w:name="_Toc15048308"/>
      <w:bookmarkStart w:id="287" w:name="_Toc17112"/>
      <w:bookmarkStart w:id="288" w:name="_Toc57217254"/>
      <w:bookmarkStart w:id="289" w:name="_Toc520356162"/>
      <w:r>
        <w:rPr>
          <w:rFonts w:hint="eastAsia" w:ascii="宋体" w:hAnsi="宋体" w:eastAsia="宋体" w:cs="宋体"/>
          <w:color w:val="auto"/>
          <w:sz w:val="24"/>
          <w:szCs w:val="24"/>
          <w:highlight w:val="none"/>
        </w:rPr>
        <w:t>4.3  响应文件的提交、修改与撤回</w:t>
      </w:r>
      <w:bookmarkEnd w:id="280"/>
      <w:bookmarkEnd w:id="281"/>
      <w:bookmarkEnd w:id="282"/>
      <w:bookmarkEnd w:id="283"/>
      <w:bookmarkEnd w:id="284"/>
      <w:bookmarkEnd w:id="285"/>
      <w:bookmarkEnd w:id="286"/>
      <w:bookmarkEnd w:id="287"/>
      <w:bookmarkEnd w:id="288"/>
      <w:bookmarkEnd w:id="289"/>
    </w:p>
    <w:p>
      <w:pPr>
        <w:tabs>
          <w:tab w:val="left" w:pos="360"/>
          <w:tab w:val="left" w:pos="720"/>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4.3.1 响应文件的提交</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4.3.1.1 供应商应在响应文件提交截止时间前上传加密的电子响应文件到河南省公共资源交易中心系统的指定位置。请供应商在上传时认真检查上传的响应文件是否完整、正确。</w:t>
      </w:r>
    </w:p>
    <w:p>
      <w:pPr>
        <w:spacing w:line="360" w:lineRule="auto"/>
        <w:rPr>
          <w:rFonts w:ascii="宋体" w:hAnsi="宋体" w:cs="宋体"/>
          <w:color w:val="auto"/>
          <w:sz w:val="24"/>
          <w:highlight w:val="none"/>
        </w:rPr>
      </w:pPr>
      <w:r>
        <w:rPr>
          <w:rFonts w:hint="eastAsia" w:ascii="宋体" w:hAnsi="宋体" w:cs="宋体"/>
          <w:color w:val="auto"/>
          <w:sz w:val="24"/>
          <w:highlight w:val="none"/>
        </w:rPr>
        <w:t>4.3.1.2 供应商因交易中心投标系统问题无法上传电子响应文件时，请在工作时间与河南省公共资源交易中心联系。</w:t>
      </w:r>
    </w:p>
    <w:p>
      <w:pPr>
        <w:tabs>
          <w:tab w:val="left" w:pos="360"/>
          <w:tab w:val="left" w:pos="720"/>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4.3.2 响应文件的修改和撤回</w:t>
      </w:r>
    </w:p>
    <w:p>
      <w:pPr>
        <w:spacing w:line="360" w:lineRule="auto"/>
        <w:rPr>
          <w:rFonts w:ascii="宋体" w:hAnsi="宋体" w:cs="宋体"/>
          <w:color w:val="auto"/>
          <w:sz w:val="24"/>
          <w:highlight w:val="none"/>
        </w:rPr>
      </w:pPr>
      <w:r>
        <w:rPr>
          <w:rFonts w:hint="eastAsia" w:ascii="宋体" w:hAnsi="宋体" w:cs="宋体"/>
          <w:color w:val="auto"/>
          <w:sz w:val="24"/>
          <w:highlight w:val="none"/>
        </w:rPr>
        <w:t>4.3.2.1 供应商在提交响应文件后，在响应文件提交截止时间之前可以修改或撤回其响应文件。</w:t>
      </w:r>
    </w:p>
    <w:p>
      <w:pPr>
        <w:spacing w:line="360" w:lineRule="auto"/>
        <w:rPr>
          <w:rFonts w:ascii="宋体" w:hAnsi="宋体" w:cs="宋体"/>
          <w:color w:val="auto"/>
          <w:sz w:val="24"/>
          <w:highlight w:val="none"/>
        </w:rPr>
      </w:pPr>
      <w:r>
        <w:rPr>
          <w:rFonts w:hint="eastAsia" w:ascii="宋体" w:hAnsi="宋体" w:cs="宋体"/>
          <w:color w:val="auto"/>
          <w:sz w:val="24"/>
          <w:highlight w:val="none"/>
        </w:rPr>
        <w:t>4.3.2.2 供应商在提交了最后报价之后至供应商在响应文件中载明的响应文件有效期满期间，供应商不得撤回（撤销）其响应文件，否则应当向采购代理机构及采购人分别支付本项目预算金额（或最高限价）2%的违约赔偿金。</w:t>
      </w:r>
    </w:p>
    <w:p>
      <w:pPr>
        <w:pStyle w:val="12"/>
        <w:spacing w:before="0" w:after="0" w:line="360" w:lineRule="auto"/>
        <w:rPr>
          <w:rFonts w:ascii="宋体" w:hAnsi="宋体" w:eastAsia="宋体" w:cs="宋体"/>
          <w:color w:val="auto"/>
          <w:sz w:val="24"/>
          <w:szCs w:val="24"/>
          <w:highlight w:val="none"/>
        </w:rPr>
      </w:pPr>
      <w:bookmarkStart w:id="290" w:name="_Toc7306"/>
      <w:bookmarkStart w:id="291" w:name="_Toc15048309"/>
      <w:bookmarkStart w:id="292" w:name="_Toc28398"/>
      <w:bookmarkStart w:id="293" w:name="_Toc520356163"/>
      <w:bookmarkStart w:id="294" w:name="_Toc532473470"/>
      <w:bookmarkStart w:id="295" w:name="_Toc57217255"/>
      <w:bookmarkStart w:id="296" w:name="_Toc13251"/>
      <w:bookmarkStart w:id="297" w:name="_Toc515647778"/>
      <w:bookmarkStart w:id="298" w:name="_Toc27922"/>
      <w:bookmarkStart w:id="299" w:name="_Toc216582809"/>
      <w:bookmarkStart w:id="300" w:name="_Toc12436"/>
      <w:r>
        <w:rPr>
          <w:rFonts w:hint="eastAsia" w:ascii="宋体" w:hAnsi="宋体" w:eastAsia="宋体" w:cs="宋体"/>
          <w:color w:val="auto"/>
          <w:sz w:val="24"/>
          <w:szCs w:val="24"/>
          <w:highlight w:val="none"/>
        </w:rPr>
        <w:t>5、磋商及评审</w:t>
      </w:r>
      <w:bookmarkEnd w:id="290"/>
      <w:bookmarkEnd w:id="291"/>
      <w:bookmarkEnd w:id="292"/>
      <w:bookmarkEnd w:id="293"/>
      <w:bookmarkEnd w:id="294"/>
      <w:bookmarkEnd w:id="295"/>
      <w:bookmarkEnd w:id="296"/>
      <w:bookmarkEnd w:id="297"/>
      <w:bookmarkEnd w:id="298"/>
      <w:bookmarkEnd w:id="299"/>
      <w:bookmarkEnd w:id="300"/>
    </w:p>
    <w:p>
      <w:pPr>
        <w:pStyle w:val="14"/>
        <w:autoSpaceDE w:val="0"/>
        <w:autoSpaceDN w:val="0"/>
        <w:adjustRightInd w:val="0"/>
        <w:spacing w:before="0" w:after="0" w:line="360" w:lineRule="auto"/>
        <w:jc w:val="left"/>
        <w:rPr>
          <w:rFonts w:ascii="宋体" w:hAnsi="宋体" w:eastAsia="宋体" w:cs="宋体"/>
          <w:color w:val="auto"/>
          <w:sz w:val="24"/>
          <w:szCs w:val="24"/>
          <w:highlight w:val="none"/>
        </w:rPr>
      </w:pPr>
      <w:bookmarkStart w:id="301" w:name="_Toc515647779"/>
      <w:bookmarkStart w:id="302" w:name="_Toc520356164"/>
      <w:bookmarkStart w:id="303" w:name="_Toc7186"/>
      <w:bookmarkStart w:id="304" w:name="_Toc25345"/>
      <w:bookmarkStart w:id="305" w:name="_Toc15048310"/>
      <w:bookmarkStart w:id="306" w:name="_Toc532473471"/>
      <w:bookmarkStart w:id="307" w:name="_Toc17711"/>
      <w:bookmarkStart w:id="308" w:name="_Toc3952"/>
      <w:bookmarkStart w:id="309" w:name="_Toc57217256"/>
      <w:bookmarkStart w:id="310" w:name="_Toc10235"/>
      <w:r>
        <w:rPr>
          <w:rFonts w:hint="eastAsia" w:ascii="宋体" w:hAnsi="宋体" w:eastAsia="宋体" w:cs="宋体"/>
          <w:color w:val="auto"/>
          <w:sz w:val="24"/>
          <w:szCs w:val="24"/>
          <w:highlight w:val="none"/>
        </w:rPr>
        <w:t>5.1 磋商</w:t>
      </w:r>
      <w:bookmarkEnd w:id="301"/>
      <w:bookmarkEnd w:id="302"/>
      <w:bookmarkEnd w:id="303"/>
      <w:bookmarkEnd w:id="304"/>
      <w:bookmarkEnd w:id="305"/>
      <w:bookmarkEnd w:id="306"/>
      <w:r>
        <w:rPr>
          <w:rFonts w:hint="eastAsia" w:ascii="宋体" w:hAnsi="宋体" w:eastAsia="宋体" w:cs="宋体"/>
          <w:color w:val="auto"/>
          <w:sz w:val="24"/>
          <w:szCs w:val="24"/>
          <w:highlight w:val="none"/>
        </w:rPr>
        <w:t>会议</w:t>
      </w:r>
      <w:bookmarkEnd w:id="307"/>
      <w:bookmarkEnd w:id="308"/>
      <w:bookmarkEnd w:id="309"/>
      <w:bookmarkEnd w:id="310"/>
    </w:p>
    <w:p>
      <w:pPr>
        <w:spacing w:line="360" w:lineRule="auto"/>
        <w:rPr>
          <w:rFonts w:ascii="宋体" w:hAnsi="宋体" w:cs="宋体"/>
          <w:b/>
          <w:color w:val="auto"/>
          <w:sz w:val="24"/>
          <w:highlight w:val="none"/>
        </w:rPr>
      </w:pPr>
      <w:r>
        <w:rPr>
          <w:rFonts w:hint="eastAsia" w:ascii="宋体" w:hAnsi="宋体" w:cs="宋体"/>
          <w:color w:val="auto"/>
          <w:sz w:val="24"/>
          <w:highlight w:val="none"/>
        </w:rPr>
        <w:t>5.1.1 采购人和采购代理机构将在“</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 中规定的时间和地点组织磋商会议。</w:t>
      </w:r>
      <w:r>
        <w:rPr>
          <w:rFonts w:hint="eastAsia" w:ascii="宋体" w:hAnsi="宋体" w:cs="宋体"/>
          <w:b/>
          <w:color w:val="auto"/>
          <w:sz w:val="24"/>
          <w:highlight w:val="none"/>
        </w:rPr>
        <w:t>供应商无需到河南省交易中心现场参加磋商会议， 磋商会议采用“远程不见面”方式,供应商须在磋商文件规定的响应文件提交截止时间前,登录远程开标大厅,在线准时参加磋商会议活动，并在规定的时间内对响应文件进行解密、答疑澄清（如需要）、</w:t>
      </w:r>
      <w:bookmarkStart w:id="311" w:name="_Hlk57213779"/>
      <w:r>
        <w:rPr>
          <w:rFonts w:hint="eastAsia" w:ascii="宋体" w:hAnsi="宋体" w:cs="宋体"/>
          <w:b/>
          <w:color w:val="auto"/>
          <w:sz w:val="24"/>
          <w:highlight w:val="none"/>
        </w:rPr>
        <w:t>最后报价</w:t>
      </w:r>
      <w:bookmarkEnd w:id="311"/>
      <w:r>
        <w:rPr>
          <w:rFonts w:hint="eastAsia" w:ascii="宋体" w:hAnsi="宋体" w:cs="宋体"/>
          <w:b/>
          <w:color w:val="auto"/>
          <w:sz w:val="24"/>
          <w:highlight w:val="none"/>
        </w:rPr>
        <w:t>等。具体事宜请查阅河南省公共资源交易中心网站“办事指南”专区的《河南省公共资源交易平台不见面服务系统使用指南》。</w:t>
      </w:r>
    </w:p>
    <w:p>
      <w:pPr>
        <w:tabs>
          <w:tab w:val="left" w:pos="360"/>
          <w:tab w:val="left" w:pos="720"/>
        </w:tabs>
        <w:spacing w:line="360" w:lineRule="auto"/>
        <w:rPr>
          <w:rFonts w:ascii="宋体" w:hAnsi="宋体" w:cs="宋体"/>
          <w:color w:val="auto"/>
          <w:sz w:val="24"/>
          <w:highlight w:val="none"/>
        </w:rPr>
      </w:pPr>
      <w:r>
        <w:rPr>
          <w:rFonts w:hint="eastAsia" w:ascii="宋体" w:hAnsi="宋体" w:cs="宋体"/>
          <w:color w:val="auto"/>
          <w:sz w:val="24"/>
          <w:highlight w:val="none"/>
        </w:rPr>
        <w:t>5.1.2 供应商须在</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规定的时间内完成响应文件的解密。由于供应商的自身原因，在规定时间内解密不成功的，其响应文件将被拒绝。</w:t>
      </w:r>
    </w:p>
    <w:p>
      <w:pPr>
        <w:tabs>
          <w:tab w:val="left" w:pos="360"/>
          <w:tab w:val="left" w:pos="720"/>
        </w:tabs>
        <w:spacing w:line="360" w:lineRule="auto"/>
        <w:rPr>
          <w:rFonts w:ascii="宋体" w:hAnsi="宋体" w:cs="宋体"/>
          <w:color w:val="auto"/>
          <w:sz w:val="24"/>
          <w:highlight w:val="none"/>
        </w:rPr>
      </w:pPr>
      <w:r>
        <w:rPr>
          <w:rFonts w:hint="eastAsia" w:ascii="宋体" w:hAnsi="宋体" w:cs="宋体"/>
          <w:color w:val="auto"/>
          <w:sz w:val="24"/>
          <w:highlight w:val="none"/>
        </w:rPr>
        <w:t>5.1.3 供应商在“河南省公共资源交易中心（http://www.hnggzy.net/）”网站下载竞争性磋商文件成功后，如未在竞争性磋商文件规定的“响应文件提交截止时间”前成功上传或误传加密的响应文件，而导致的解密失败,其响应文件将被拒绝。</w:t>
      </w:r>
    </w:p>
    <w:p>
      <w:pPr>
        <w:spacing w:line="360" w:lineRule="auto"/>
        <w:rPr>
          <w:rFonts w:ascii="宋体" w:hAnsi="宋体" w:cs="宋体"/>
          <w:color w:val="auto"/>
          <w:sz w:val="24"/>
          <w:highlight w:val="none"/>
        </w:rPr>
      </w:pPr>
      <w:r>
        <w:rPr>
          <w:rFonts w:hint="eastAsia" w:ascii="宋体" w:hAnsi="宋体" w:cs="宋体"/>
          <w:color w:val="auto"/>
          <w:sz w:val="24"/>
          <w:highlight w:val="none"/>
        </w:rPr>
        <w:t>5.1.4 供应商代表对磋商会议过程有疑义的，应当在磋商开始前通过交易系统提出询问。</w:t>
      </w:r>
    </w:p>
    <w:p>
      <w:pPr>
        <w:spacing w:line="360" w:lineRule="auto"/>
        <w:rPr>
          <w:rFonts w:ascii="宋体" w:hAnsi="宋体" w:cs="宋体"/>
          <w:color w:val="auto"/>
          <w:sz w:val="24"/>
          <w:highlight w:val="none"/>
        </w:rPr>
      </w:pPr>
      <w:r>
        <w:rPr>
          <w:rFonts w:hint="eastAsia" w:ascii="宋体" w:hAnsi="宋体" w:cs="宋体"/>
          <w:color w:val="auto"/>
          <w:sz w:val="24"/>
          <w:highlight w:val="none"/>
        </w:rPr>
        <w:t>5.1.5 在供应商须知前附表规定的时间内完成响应文件解密的供应商不足3家的，将不再进行磋商。主持人按下列程序进行开标：</w:t>
      </w:r>
    </w:p>
    <w:p>
      <w:pPr>
        <w:spacing w:line="360" w:lineRule="auto"/>
        <w:rPr>
          <w:rFonts w:ascii="宋体" w:hAnsi="宋体" w:cs="宋体"/>
          <w:color w:val="auto"/>
          <w:sz w:val="24"/>
          <w:highlight w:val="none"/>
        </w:rPr>
      </w:pPr>
      <w:r>
        <w:rPr>
          <w:rFonts w:hint="eastAsia" w:ascii="宋体" w:hAnsi="宋体" w:cs="宋体"/>
          <w:color w:val="auto"/>
          <w:sz w:val="24"/>
          <w:highlight w:val="none"/>
        </w:rPr>
        <w:t>（1）宣布投标时间截止；</w:t>
      </w:r>
    </w:p>
    <w:p>
      <w:pPr>
        <w:spacing w:line="360" w:lineRule="auto"/>
        <w:rPr>
          <w:rFonts w:ascii="宋体" w:hAnsi="宋体" w:cs="宋体"/>
          <w:color w:val="auto"/>
          <w:sz w:val="24"/>
          <w:highlight w:val="none"/>
        </w:rPr>
      </w:pPr>
      <w:r>
        <w:rPr>
          <w:rFonts w:hint="eastAsia" w:ascii="宋体" w:hAnsi="宋体" w:cs="宋体"/>
          <w:color w:val="auto"/>
          <w:sz w:val="24"/>
          <w:highlight w:val="none"/>
        </w:rPr>
        <w:t>（2）公布在投标截止时间前递交响应文件的供应商名称；</w:t>
      </w:r>
    </w:p>
    <w:p>
      <w:pPr>
        <w:spacing w:line="360" w:lineRule="auto"/>
        <w:rPr>
          <w:rFonts w:ascii="宋体" w:hAnsi="宋体" w:cs="宋体"/>
          <w:color w:val="auto"/>
          <w:sz w:val="24"/>
          <w:highlight w:val="none"/>
        </w:rPr>
      </w:pPr>
      <w:r>
        <w:rPr>
          <w:rFonts w:hint="eastAsia" w:ascii="宋体" w:hAnsi="宋体" w:cs="宋体"/>
          <w:color w:val="auto"/>
          <w:sz w:val="24"/>
          <w:highlight w:val="none"/>
        </w:rPr>
        <w:t>（3）投标单位进行文件解密，因加密电子投标文件未能成功上传或误传等自身原因而导致的解密失败，投标将被拒绝（具体操作流程详见具体操纵流程详见河南省公共资源交易中心首页中办事指南流程）；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（4）批量导入；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（5）唱标；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（6）质疑及回复；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（7）开标结束；</w:t>
      </w:r>
    </w:p>
    <w:p>
      <w:pPr>
        <w:tabs>
          <w:tab w:val="left" w:pos="360"/>
          <w:tab w:val="left" w:pos="720"/>
        </w:tabs>
        <w:spacing w:line="360" w:lineRule="auto"/>
        <w:rPr>
          <w:rFonts w:ascii="宋体" w:hAnsi="宋体" w:cs="宋体"/>
          <w:b/>
          <w:color w:val="auto"/>
          <w:sz w:val="24"/>
          <w:highlight w:val="none"/>
        </w:rPr>
      </w:pPr>
      <w:r>
        <w:rPr>
          <w:rFonts w:hint="eastAsia" w:ascii="宋体" w:hAnsi="宋体" w:cs="宋体"/>
          <w:color w:val="auto"/>
          <w:sz w:val="24"/>
          <w:highlight w:val="none"/>
        </w:rPr>
        <w:t>备注：本项目为不见面电子开标，开标记录表显示后，各投标单位对自己的开标记录表进行核对，如有疑问及时系统提出，如未在规定时间内提出质疑视为认同开标结果，开标结束后，不再接受对开标记录的质疑。</w:t>
      </w:r>
    </w:p>
    <w:p>
      <w:pPr>
        <w:pStyle w:val="14"/>
        <w:spacing w:before="0" w:after="0" w:line="360" w:lineRule="auto"/>
        <w:rPr>
          <w:rFonts w:ascii="宋体" w:hAnsi="宋体" w:eastAsia="宋体" w:cs="宋体"/>
          <w:color w:val="auto"/>
          <w:sz w:val="24"/>
          <w:szCs w:val="24"/>
          <w:highlight w:val="none"/>
        </w:rPr>
      </w:pPr>
      <w:bookmarkStart w:id="312" w:name="_Toc19296"/>
      <w:bookmarkStart w:id="313" w:name="_Toc515647780"/>
      <w:bookmarkStart w:id="314" w:name="_Toc532473472"/>
      <w:bookmarkStart w:id="315" w:name="_Toc15048311"/>
      <w:bookmarkStart w:id="316" w:name="_Toc21372"/>
      <w:bookmarkStart w:id="317" w:name="_Toc15196"/>
      <w:bookmarkStart w:id="318" w:name="_Toc26691"/>
      <w:bookmarkStart w:id="319" w:name="_Toc57217257"/>
      <w:bookmarkStart w:id="320" w:name="_Toc29175"/>
      <w:r>
        <w:rPr>
          <w:rFonts w:hint="eastAsia" w:ascii="宋体" w:hAnsi="宋体" w:eastAsia="宋体" w:cs="宋体"/>
          <w:color w:val="auto"/>
          <w:sz w:val="24"/>
          <w:szCs w:val="24"/>
          <w:highlight w:val="none"/>
        </w:rPr>
        <w:t>5.2 组建</w:t>
      </w:r>
      <w:bookmarkEnd w:id="312"/>
      <w:bookmarkEnd w:id="313"/>
      <w:bookmarkEnd w:id="314"/>
      <w:bookmarkEnd w:id="315"/>
      <w:bookmarkEnd w:id="316"/>
      <w:r>
        <w:rPr>
          <w:rFonts w:hint="eastAsia" w:ascii="宋体" w:hAnsi="宋体" w:eastAsia="宋体" w:cs="宋体"/>
          <w:color w:val="auto"/>
          <w:sz w:val="24"/>
          <w:szCs w:val="24"/>
          <w:highlight w:val="none"/>
        </w:rPr>
        <w:t>磋商小组</w:t>
      </w:r>
      <w:bookmarkEnd w:id="317"/>
      <w:bookmarkEnd w:id="318"/>
      <w:bookmarkEnd w:id="319"/>
      <w:bookmarkEnd w:id="320"/>
    </w:p>
    <w:p>
      <w:pPr>
        <w:spacing w:line="360" w:lineRule="auto"/>
        <w:rPr>
          <w:rFonts w:ascii="宋体" w:hAnsi="宋体" w:cs="宋体"/>
          <w:color w:val="auto"/>
          <w:sz w:val="24"/>
          <w:highlight w:val="none"/>
        </w:rPr>
      </w:pPr>
      <w:r>
        <w:rPr>
          <w:rFonts w:hint="eastAsia" w:ascii="宋体" w:hAnsi="宋体" w:cs="宋体"/>
          <w:color w:val="auto"/>
          <w:sz w:val="24"/>
          <w:highlight w:val="none"/>
        </w:rPr>
        <w:t>5.2.1 采购人与采购代理机构将按照《中华人民共和国政府采购法》、《中华人民共和国政府采购法实施条例》、《政府采购竞争性磋商采购方式管理暂行办法》财库〔2014〕214号文及本项目本级和上级财政部门的有关规定依法组建竞争性磋商小组（以下简称磋商小组），负责本项目的磋商及评审工作。</w:t>
      </w:r>
    </w:p>
    <w:p>
      <w:pPr>
        <w:tabs>
          <w:tab w:val="left" w:pos="720"/>
        </w:tabs>
        <w:spacing w:line="360" w:lineRule="auto"/>
        <w:rPr>
          <w:rFonts w:ascii="宋体" w:hAnsi="宋体" w:cs="宋体"/>
          <w:color w:val="auto"/>
          <w:sz w:val="24"/>
          <w:highlight w:val="none"/>
        </w:rPr>
      </w:pPr>
      <w:r>
        <w:rPr>
          <w:rFonts w:hint="eastAsia" w:ascii="宋体" w:hAnsi="宋体" w:cs="宋体"/>
          <w:color w:val="auto"/>
          <w:sz w:val="24"/>
          <w:highlight w:val="none"/>
        </w:rPr>
        <w:t>5.2.2磋商小组由采购人代表和评审专家组成，成员人数为三人或以上单数。其中，评审专家不得少于成员总数的三分之二。具体成员人数见</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w:t>
      </w:r>
    </w:p>
    <w:p>
      <w:pPr>
        <w:pStyle w:val="14"/>
        <w:spacing w:before="0" w:after="0" w:line="360" w:lineRule="auto"/>
        <w:rPr>
          <w:rFonts w:ascii="宋体" w:hAnsi="宋体" w:eastAsia="宋体" w:cs="宋体"/>
          <w:color w:val="auto"/>
          <w:sz w:val="24"/>
          <w:szCs w:val="24"/>
          <w:highlight w:val="none"/>
        </w:rPr>
      </w:pPr>
      <w:bookmarkStart w:id="321" w:name="_Toc27725"/>
      <w:bookmarkStart w:id="322" w:name="_Toc11631"/>
      <w:bookmarkStart w:id="323" w:name="_Toc57217258"/>
      <w:bookmarkStart w:id="324" w:name="_Toc31150"/>
      <w:r>
        <w:rPr>
          <w:rFonts w:hint="eastAsia" w:ascii="宋体" w:hAnsi="宋体" w:eastAsia="宋体" w:cs="宋体"/>
          <w:color w:val="auto"/>
          <w:sz w:val="24"/>
          <w:szCs w:val="24"/>
          <w:highlight w:val="none"/>
        </w:rPr>
        <w:t>5.3资格审查</w:t>
      </w:r>
      <w:bookmarkEnd w:id="321"/>
      <w:bookmarkEnd w:id="322"/>
      <w:bookmarkEnd w:id="323"/>
      <w:bookmarkEnd w:id="324"/>
    </w:p>
    <w:p>
      <w:p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rPr>
        <w:t>5.3.1 磋商小组依据法律法规和竞争性磋商文件中规定的内容，对供应商的资格（提交的资格证明材料）进行审查。未通过资格审查的供应商不能进入下一阶段评审；通过资格审查的供应商不足3家的</w:t>
      </w:r>
      <w:r>
        <w:rPr>
          <w:rFonts w:hint="eastAsia" w:ascii="宋体" w:hAnsi="宋体" w:cs="宋体"/>
          <w:color w:val="auto"/>
          <w:sz w:val="24"/>
          <w:highlight w:val="none"/>
          <w:shd w:val="clear" w:color="auto" w:fill="FFFFFF"/>
        </w:rPr>
        <w:t>，不得进入下一阶段评审。</w:t>
      </w:r>
    </w:p>
    <w:p>
      <w:pPr>
        <w:spacing w:line="360" w:lineRule="auto"/>
        <w:ind w:left="-2" w:leftChars="-1"/>
        <w:rPr>
          <w:rFonts w:ascii="宋体" w:hAnsi="宋体" w:cs="宋体"/>
          <w:color w:val="auto"/>
          <w:sz w:val="24"/>
          <w:highlight w:val="none"/>
        </w:rPr>
      </w:pPr>
      <w:r>
        <w:rPr>
          <w:rFonts w:hint="eastAsia" w:ascii="宋体" w:hAnsi="宋体" w:cs="宋体"/>
          <w:color w:val="auto"/>
          <w:sz w:val="24"/>
          <w:highlight w:val="none"/>
        </w:rPr>
        <w:t>5.3.2采购人或采购代理机构将按照</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中规定的时间查询供应商的信用记录。供应商存在不良信用记录的，其响应文件将被认定为</w:t>
      </w:r>
      <w:r>
        <w:rPr>
          <w:rFonts w:hint="eastAsia" w:ascii="宋体" w:hAnsi="宋体" w:cs="宋体"/>
          <w:b/>
          <w:bCs/>
          <w:color w:val="auto"/>
          <w:sz w:val="24"/>
          <w:highlight w:val="none"/>
        </w:rPr>
        <w:t>无效响应文件</w:t>
      </w:r>
      <w:r>
        <w:rPr>
          <w:rFonts w:hint="eastAsia" w:ascii="宋体" w:hAnsi="宋体" w:cs="宋体"/>
          <w:color w:val="auto"/>
          <w:sz w:val="24"/>
          <w:highlight w:val="none"/>
        </w:rPr>
        <w:t>。</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shd w:val="clear" w:color="auto" w:fill="FFFFFF"/>
        </w:rPr>
        <w:t xml:space="preserve">5.3.2.1 </w:t>
      </w:r>
      <w:r>
        <w:rPr>
          <w:rFonts w:hint="eastAsia" w:ascii="宋体" w:hAnsi="宋体" w:cs="宋体"/>
          <w:color w:val="auto"/>
          <w:sz w:val="24"/>
          <w:highlight w:val="none"/>
        </w:rPr>
        <w:t>不良信用记录指：供应商在中国政府采购网（www.ccgp.gov.cn）被列入政府采购严重违法失信行为信息记录名单，或在“信用中国”网站（www.creditchina.gov.cn）被列入失信被执行人、重大税收违法失信主体，以及存在《中华人民共和国政府采购法实施条例》第十九条规定的行政处罚记录。</w:t>
      </w:r>
    </w:p>
    <w:p>
      <w:pPr>
        <w:spacing w:line="360" w:lineRule="auto"/>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以</w:t>
      </w:r>
      <w:r>
        <w:rPr>
          <w:rFonts w:hint="eastAsia" w:ascii="宋体" w:hAnsi="宋体" w:cs="宋体"/>
          <w:color w:val="auto"/>
          <w:sz w:val="24"/>
          <w:highlight w:val="none"/>
          <w:shd w:val="clear" w:color="auto" w:fill="FFFFFF"/>
        </w:rPr>
        <w:t>联合体形式参加政府采购活动的，联合体任何成员存在以上不良信用记录的，联合体响应文件将被认定为</w:t>
      </w:r>
      <w:r>
        <w:rPr>
          <w:rFonts w:hint="eastAsia" w:ascii="宋体" w:hAnsi="宋体" w:cs="宋体"/>
          <w:b/>
          <w:bCs/>
          <w:color w:val="auto"/>
          <w:sz w:val="24"/>
          <w:highlight w:val="none"/>
          <w:shd w:val="clear" w:color="auto" w:fill="FFFFFF"/>
        </w:rPr>
        <w:t>无效响应文件</w:t>
      </w:r>
      <w:r>
        <w:rPr>
          <w:rFonts w:hint="eastAsia" w:ascii="宋体" w:hAnsi="宋体" w:cs="宋体"/>
          <w:color w:val="auto"/>
          <w:sz w:val="24"/>
          <w:highlight w:val="none"/>
          <w:shd w:val="clear" w:color="auto" w:fill="FFFFFF"/>
        </w:rPr>
        <w:t>。</w:t>
      </w:r>
    </w:p>
    <w:p>
      <w:pPr>
        <w:pStyle w:val="21"/>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5.3.2.2 查询及记录方式：采购人或采购代理机构经办人将查询网页打印并存档备查。供应商不良信用记录以采购人或采购代理机构查询结果为准。供应商自行提供的与网站信息不一致的其他证明材料亦不作为资格审查依据。在磋商文件规定的查询时间之外，网站信息发生的任何变更均不作为资格审查依据。</w:t>
      </w:r>
    </w:p>
    <w:p>
      <w:pPr>
        <w:pStyle w:val="14"/>
        <w:spacing w:before="0" w:after="0" w:line="360" w:lineRule="auto"/>
        <w:rPr>
          <w:rFonts w:ascii="宋体" w:hAnsi="宋体" w:eastAsia="宋体" w:cs="宋体"/>
          <w:b w:val="0"/>
          <w:bCs/>
          <w:color w:val="auto"/>
          <w:sz w:val="24"/>
          <w:szCs w:val="24"/>
          <w:highlight w:val="none"/>
          <w:bdr w:val="single" w:color="auto" w:sz="4" w:space="0"/>
        </w:rPr>
      </w:pPr>
      <w:bookmarkStart w:id="325" w:name="_Toc515647781"/>
      <w:bookmarkStart w:id="326" w:name="_Toc15048312"/>
      <w:bookmarkStart w:id="327" w:name="_Toc28479"/>
      <w:bookmarkStart w:id="328" w:name="_Toc15269"/>
      <w:bookmarkStart w:id="329" w:name="_Toc612"/>
      <w:bookmarkStart w:id="330" w:name="_Toc57217259"/>
      <w:bookmarkStart w:id="331" w:name="_Toc19949"/>
      <w:bookmarkStart w:id="332" w:name="_Toc532473473"/>
      <w:bookmarkStart w:id="333" w:name="_Toc23324"/>
      <w:r>
        <w:rPr>
          <w:rFonts w:hint="eastAsia" w:ascii="宋体" w:hAnsi="宋体" w:eastAsia="宋体" w:cs="宋体"/>
          <w:color w:val="auto"/>
          <w:sz w:val="24"/>
          <w:szCs w:val="24"/>
          <w:highlight w:val="none"/>
        </w:rPr>
        <w:t>5.4 响应文件符合性审查与澄清</w:t>
      </w:r>
      <w:bookmarkEnd w:id="325"/>
      <w:bookmarkEnd w:id="326"/>
      <w:bookmarkEnd w:id="327"/>
      <w:bookmarkEnd w:id="328"/>
      <w:bookmarkEnd w:id="329"/>
      <w:bookmarkEnd w:id="330"/>
      <w:bookmarkEnd w:id="331"/>
      <w:bookmarkEnd w:id="332"/>
      <w:bookmarkEnd w:id="333"/>
    </w:p>
    <w:p>
      <w:pPr>
        <w:spacing w:line="360" w:lineRule="auto"/>
        <w:rPr>
          <w:rFonts w:ascii="宋体" w:hAnsi="宋体" w:cs="宋体"/>
          <w:color w:val="auto"/>
          <w:sz w:val="24"/>
          <w:highlight w:val="none"/>
        </w:rPr>
      </w:pPr>
      <w:r>
        <w:rPr>
          <w:rFonts w:hint="eastAsia" w:ascii="宋体" w:hAnsi="宋体" w:cs="宋体"/>
          <w:color w:val="auto"/>
          <w:sz w:val="24"/>
          <w:highlight w:val="none"/>
        </w:rPr>
        <w:t>5.4.1</w:t>
      </w:r>
      <w:bookmarkStart w:id="334" w:name="_Hlt522424701"/>
      <w:bookmarkEnd w:id="334"/>
      <w:r>
        <w:rPr>
          <w:rFonts w:hint="eastAsia" w:ascii="宋体" w:hAnsi="宋体" w:cs="宋体"/>
          <w:color w:val="auto"/>
          <w:sz w:val="24"/>
          <w:highlight w:val="none"/>
        </w:rPr>
        <w:t>符合性审查是指依据竞争性磋商文件的规定，从商务和技术角度对响应文件的有效性、完整性和响应程度进行审查，以确定是否对竞争性磋商文件的实质性要求做出响应。供应商应当按照竞争性磋商文件中的相关要求，提交符合性证明材料。未通过符合性审查的供应商不能进入下一阶段评审，其响应文件将被认定为无效响应文件；通过符合性审查的供应商数量不足3家的(特殊情况下不足2家的)，不得作进一步的比较和评价。</w:t>
      </w:r>
    </w:p>
    <w:p>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特殊情况：</w:t>
      </w:r>
      <w:r>
        <w:rPr>
          <w:rFonts w:hint="eastAsia" w:ascii="宋体" w:hAnsi="宋体" w:cs="宋体"/>
          <w:color w:val="auto"/>
          <w:sz w:val="24"/>
          <w:highlight w:val="none"/>
        </w:rPr>
        <w:t xml:space="preserve"> 采用竞争性磋商采购方式采购“市场竞争不充分的科研项目， 以及需 要扶持的科技成果转化项目”，通过符合性审查的供应商不足2家的，不得进入下一 阶段评审。采用竞争性磋商采购方式采购的政府购买服务项目(含政府和社会资本合 作项目)，在采购过程中符合要求的供应商(社会资本)只有2家的，竞争性磋商采 购活动可以继续进行。采购过程中符合要求的供应商(社会资本)只有1家的，采购 人(项目实施机构) 或者采购代理机构应当终止竞争性磋商采购活动， 发布项目终止公告并说明原因，重新开展采购活动。</w:t>
      </w:r>
    </w:p>
    <w:p>
      <w:pPr>
        <w:spacing w:line="360" w:lineRule="auto"/>
        <w:rPr>
          <w:rFonts w:ascii="宋体" w:hAnsi="宋体" w:cs="宋体"/>
          <w:color w:val="auto"/>
          <w:sz w:val="24"/>
          <w:highlight w:val="none"/>
        </w:rPr>
      </w:pPr>
      <w:r>
        <w:rPr>
          <w:rFonts w:hint="eastAsia" w:ascii="宋体" w:hAnsi="宋体" w:cs="宋体"/>
          <w:color w:val="auto"/>
          <w:sz w:val="24"/>
          <w:highlight w:val="none"/>
        </w:rPr>
        <w:t>5.4.2 响应文件的澄清</w:t>
      </w:r>
    </w:p>
    <w:p>
      <w:pPr>
        <w:spacing w:line="348" w:lineRule="auto"/>
        <w:rPr>
          <w:rFonts w:ascii="宋体" w:hAnsi="宋体" w:cs="宋体"/>
          <w:color w:val="auto"/>
          <w:sz w:val="24"/>
          <w:highlight w:val="none"/>
        </w:rPr>
      </w:pPr>
      <w:r>
        <w:rPr>
          <w:rFonts w:hint="eastAsia" w:ascii="宋体" w:hAnsi="宋体" w:cs="宋体"/>
          <w:color w:val="auto"/>
          <w:sz w:val="24"/>
          <w:highlight w:val="none"/>
        </w:rPr>
        <w:t>5.4.2.1在磋商期间，磋商小组可以书面要求供应商对其响应文件中含义不明确、同类问题表述不一致或者有明显文字和计算错误的内容等作必要的澄清、说明或更正。供应商的澄清、说明或更正应在磋商小组规定的时间内以书面方式进行，并不得超出响应文件范围或者改变响应文件的实质性内容。供应商拒不进行澄清、说明、更正的，或者不能在规定时间内作出书面澄清、说明、更正的，其响应文件将被作为无效响应文件处理。</w:t>
      </w:r>
    </w:p>
    <w:p>
      <w:pP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小组要求供应商澄清、说明或者更正响应文件将以书面形式作出，并在交易系统中向供应商发出，供应商在收到该要求后，应在磋商小组规定时间内在交易系统中做出相应的回复，如果磋商小组在规定时间内没有收到供应商的回复则视为该供应商没有回复。</w:t>
      </w:r>
    </w:p>
    <w:p>
      <w:pPr>
        <w:spacing w:line="348" w:lineRule="auto"/>
        <w:rPr>
          <w:rFonts w:ascii="宋体" w:hAnsi="宋体" w:cs="宋体"/>
          <w:color w:val="auto"/>
          <w:sz w:val="24"/>
          <w:highlight w:val="none"/>
        </w:rPr>
      </w:pPr>
      <w:r>
        <w:rPr>
          <w:rFonts w:hint="eastAsia" w:ascii="宋体" w:hAnsi="宋体" w:cs="宋体"/>
          <w:color w:val="auto"/>
          <w:sz w:val="24"/>
          <w:highlight w:val="none"/>
        </w:rPr>
        <w:t>5.4.2.2 供应商应当在竞争性磋商文件中确定的响应文件递交截止时间前,登录远程开标大厅,在线准时参加磋商活动并根据需要进行文件答疑澄清等。</w:t>
      </w:r>
    </w:p>
    <w:p>
      <w:pPr>
        <w:spacing w:line="348" w:lineRule="auto"/>
        <w:rPr>
          <w:rFonts w:ascii="宋体" w:hAnsi="宋体" w:cs="宋体"/>
          <w:color w:val="auto"/>
          <w:sz w:val="24"/>
          <w:highlight w:val="none"/>
        </w:rPr>
      </w:pPr>
      <w:r>
        <w:rPr>
          <w:rFonts w:hint="eastAsia" w:ascii="宋体" w:hAnsi="宋体" w:cs="宋体"/>
          <w:color w:val="auto"/>
          <w:sz w:val="24"/>
          <w:highlight w:val="none"/>
        </w:rPr>
        <w:t>5.4.2.3供应商的澄清、说明或者更正应当加盖单位的电子签章及法定代表人（或单位负责人）的电子签章。供应商为自然人的，应当由本人签字并附身份证明。</w:t>
      </w:r>
    </w:p>
    <w:p>
      <w:pPr>
        <w:tabs>
          <w:tab w:val="left" w:pos="360"/>
          <w:tab w:val="left" w:pos="720"/>
        </w:tabs>
        <w:spacing w:line="348" w:lineRule="auto"/>
        <w:rPr>
          <w:rFonts w:ascii="宋体" w:hAnsi="宋体" w:cs="宋体"/>
          <w:color w:val="auto"/>
          <w:sz w:val="24"/>
          <w:highlight w:val="none"/>
        </w:rPr>
      </w:pPr>
      <w:r>
        <w:rPr>
          <w:rFonts w:hint="eastAsia" w:ascii="宋体" w:hAnsi="宋体" w:cs="宋体"/>
          <w:color w:val="auto"/>
          <w:sz w:val="24"/>
          <w:highlight w:val="none"/>
        </w:rPr>
        <w:t>5.4.2.4 响应文件的澄清、说明或者更正不得对响应文件的内容进行实质性修改。</w:t>
      </w:r>
    </w:p>
    <w:p>
      <w:pPr>
        <w:spacing w:line="348" w:lineRule="auto"/>
        <w:rPr>
          <w:rFonts w:ascii="宋体" w:hAnsi="宋体" w:cs="宋体"/>
          <w:color w:val="auto"/>
          <w:sz w:val="24"/>
          <w:highlight w:val="none"/>
        </w:rPr>
      </w:pPr>
      <w:r>
        <w:rPr>
          <w:rFonts w:hint="eastAsia" w:ascii="宋体" w:hAnsi="宋体" w:cs="宋体"/>
          <w:color w:val="auto"/>
          <w:sz w:val="24"/>
          <w:highlight w:val="none"/>
        </w:rPr>
        <w:t>5.4.2.5 供应商的澄清、说明或更正将作为响应文件的一部分并取代响应文件中被澄清的部分。</w:t>
      </w:r>
    </w:p>
    <w:p>
      <w:pPr>
        <w:pStyle w:val="14"/>
        <w:spacing w:before="0" w:after="0" w:line="348" w:lineRule="auto"/>
        <w:rPr>
          <w:rFonts w:ascii="宋体" w:hAnsi="宋体" w:eastAsia="宋体" w:cs="宋体"/>
          <w:color w:val="auto"/>
          <w:sz w:val="24"/>
          <w:szCs w:val="24"/>
          <w:highlight w:val="none"/>
        </w:rPr>
      </w:pPr>
      <w:bookmarkStart w:id="335" w:name="_Toc57217260"/>
      <w:bookmarkStart w:id="336" w:name="_Toc297"/>
      <w:bookmarkStart w:id="337" w:name="_Toc18189"/>
      <w:bookmarkStart w:id="338" w:name="_Toc30062"/>
      <w:r>
        <w:rPr>
          <w:rFonts w:hint="eastAsia" w:ascii="宋体" w:hAnsi="宋体" w:eastAsia="宋体" w:cs="宋体"/>
          <w:color w:val="auto"/>
          <w:sz w:val="24"/>
          <w:szCs w:val="24"/>
          <w:highlight w:val="none"/>
        </w:rPr>
        <w:t>5.5磋商</w:t>
      </w:r>
      <w:bookmarkEnd w:id="335"/>
      <w:bookmarkEnd w:id="336"/>
      <w:bookmarkEnd w:id="337"/>
      <w:bookmarkEnd w:id="338"/>
    </w:p>
    <w:p>
      <w:pPr>
        <w:spacing w:line="348" w:lineRule="auto"/>
        <w:rPr>
          <w:rFonts w:ascii="宋体" w:hAnsi="宋体" w:cs="宋体"/>
          <w:color w:val="auto"/>
          <w:sz w:val="24"/>
          <w:highlight w:val="none"/>
        </w:rPr>
      </w:pPr>
      <w:r>
        <w:rPr>
          <w:rFonts w:hint="eastAsia" w:ascii="宋体" w:hAnsi="宋体" w:cs="宋体"/>
          <w:color w:val="auto"/>
          <w:sz w:val="24"/>
          <w:highlight w:val="none"/>
        </w:rPr>
        <w:t>5.5.1若有必要，磋商小组所有成员应当集中与单一供应商分别进行磋商。磋商小组将根据竞争性磋商文件规定的程序、评定成交的标准等事项与实质性响应竞争性磋商文件要求的供应商分别进行磋商。在磋商中，磋商的任何一方不得透露与磋商有关的其他供应商的技术资料、价格和其他信息。</w:t>
      </w:r>
    </w:p>
    <w:p>
      <w:pPr>
        <w:spacing w:line="348" w:lineRule="auto"/>
        <w:rPr>
          <w:rFonts w:ascii="宋体" w:hAnsi="宋体" w:cs="宋体"/>
          <w:color w:val="auto"/>
          <w:sz w:val="24"/>
          <w:highlight w:val="none"/>
        </w:rPr>
      </w:pPr>
      <w:r>
        <w:rPr>
          <w:rFonts w:hint="eastAsia" w:ascii="宋体" w:hAnsi="宋体" w:cs="宋体"/>
          <w:color w:val="auto"/>
          <w:sz w:val="24"/>
          <w:highlight w:val="none"/>
        </w:rPr>
        <w:t>5.5.2在磋商过程中，磋商小组可以根据竞争性磋商文件和磋商情况，经采购人代表确认后变动采购需求中的技术、服务要求以及合同草案条款等实质性内容，但不得变动磋商文件中的其他内容。</w:t>
      </w:r>
    </w:p>
    <w:p>
      <w:pPr>
        <w:spacing w:line="348" w:lineRule="auto"/>
        <w:rPr>
          <w:rFonts w:ascii="宋体" w:hAnsi="宋体" w:cs="宋体"/>
          <w:color w:val="auto"/>
          <w:sz w:val="24"/>
          <w:highlight w:val="none"/>
        </w:rPr>
      </w:pPr>
      <w:r>
        <w:rPr>
          <w:rFonts w:hint="eastAsia" w:ascii="宋体" w:hAnsi="宋体" w:cs="宋体"/>
          <w:color w:val="auto"/>
          <w:sz w:val="24"/>
          <w:highlight w:val="none"/>
        </w:rPr>
        <w:t>5.5.3对竞争性磋商文件作出实质性变动是竞争性磋商文件的有效组成部分，磋商小组将及时以书面形式同时通知所有参加磋商的供应商。</w:t>
      </w:r>
    </w:p>
    <w:p>
      <w:pPr>
        <w:spacing w:line="348" w:lineRule="auto"/>
        <w:rPr>
          <w:rFonts w:ascii="宋体" w:hAnsi="宋体" w:cs="宋体"/>
          <w:color w:val="auto"/>
          <w:sz w:val="24"/>
          <w:highlight w:val="none"/>
        </w:rPr>
      </w:pPr>
      <w:r>
        <w:rPr>
          <w:rFonts w:hint="eastAsia" w:ascii="宋体" w:hAnsi="宋体" w:cs="宋体"/>
          <w:color w:val="auto"/>
          <w:sz w:val="24"/>
          <w:highlight w:val="none"/>
        </w:rPr>
        <w:t>5.5.4如果竞争性磋商文件作出实质性变动，供应商应当按照竞争性磋商文件的变动情况和磋商小组的要求重新提交响应文件，并按要求加盖电子签章，供应商为自然人的，应当由本人签字并附身份证明。</w:t>
      </w:r>
    </w:p>
    <w:p>
      <w:pPr>
        <w:pStyle w:val="14"/>
        <w:spacing w:before="0" w:after="0" w:line="348" w:lineRule="auto"/>
        <w:rPr>
          <w:rFonts w:ascii="宋体" w:hAnsi="宋体" w:eastAsia="宋体" w:cs="宋体"/>
          <w:color w:val="auto"/>
          <w:sz w:val="24"/>
          <w:szCs w:val="24"/>
          <w:highlight w:val="none"/>
        </w:rPr>
      </w:pPr>
      <w:bookmarkStart w:id="339" w:name="_Toc23460"/>
      <w:bookmarkStart w:id="340" w:name="_Toc21447"/>
      <w:bookmarkStart w:id="341" w:name="_Toc57217261"/>
      <w:bookmarkStart w:id="342" w:name="_Toc9708"/>
      <w:r>
        <w:rPr>
          <w:rFonts w:hint="eastAsia" w:ascii="宋体" w:hAnsi="宋体" w:eastAsia="宋体" w:cs="宋体"/>
          <w:color w:val="auto"/>
          <w:sz w:val="24"/>
          <w:szCs w:val="24"/>
          <w:highlight w:val="none"/>
        </w:rPr>
        <w:t>5.6最后报价</w:t>
      </w:r>
      <w:bookmarkEnd w:id="339"/>
      <w:bookmarkEnd w:id="340"/>
      <w:bookmarkEnd w:id="341"/>
      <w:bookmarkEnd w:id="342"/>
    </w:p>
    <w:p>
      <w:pPr>
        <w:spacing w:line="348" w:lineRule="auto"/>
        <w:rPr>
          <w:rFonts w:ascii="宋体" w:hAnsi="宋体" w:cs="宋体"/>
          <w:b/>
          <w:bCs/>
          <w:color w:val="auto"/>
          <w:sz w:val="24"/>
          <w:highlight w:val="none"/>
        </w:rPr>
      </w:pPr>
      <w:r>
        <w:rPr>
          <w:rFonts w:hint="eastAsia" w:ascii="宋体" w:hAnsi="宋体" w:cs="宋体"/>
          <w:color w:val="auto"/>
          <w:sz w:val="24"/>
          <w:highlight w:val="none"/>
        </w:rPr>
        <w:t>5.6.1</w:t>
      </w:r>
      <w:r>
        <w:rPr>
          <w:rFonts w:hint="eastAsia" w:ascii="宋体" w:hAnsi="宋体" w:cs="宋体"/>
          <w:b/>
          <w:bCs/>
          <w:color w:val="auto"/>
          <w:sz w:val="24"/>
          <w:highlight w:val="none"/>
        </w:rPr>
        <w:t>竞争性磋商文件能够详细列明采购标的的技术、服务要求的，磋商结束后，磋商小组将要求所有实质性响应的供应商在规定时间内提交最后报价，供应商在接到磋商小组的通知后，未在规定的时间内提交最后报价的，视为该供应商退出磋商。磋商小组将不再评审该供应商递交的响应文件。</w:t>
      </w:r>
    </w:p>
    <w:p>
      <w:pPr>
        <w:pStyle w:val="49"/>
        <w:spacing w:line="360" w:lineRule="auto"/>
        <w:ind w:firstLine="241"/>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本次采购项目采用远程不见面开标方式，请各供应商在磋商文件确定的投标截止时间前，登录远程开标大厅，在规定时间内提交二次报价（最终报价）。未在规定时间内提交二次报价（最终报价）的投标报价无效，其投标将被拒绝。具体步骤请查阅河南省公共资源交易中心《不见面服务操作手册远程开标（供应商）。</w:t>
      </w:r>
    </w:p>
    <w:p>
      <w:pPr>
        <w:spacing w:line="348" w:lineRule="auto"/>
        <w:rPr>
          <w:rFonts w:ascii="宋体" w:hAnsi="宋体" w:cs="宋体"/>
          <w:color w:val="auto"/>
          <w:sz w:val="24"/>
          <w:highlight w:val="none"/>
        </w:rPr>
      </w:pPr>
      <w:r>
        <w:rPr>
          <w:rFonts w:hint="eastAsia" w:ascii="宋体" w:hAnsi="宋体" w:cs="宋体"/>
          <w:color w:val="auto"/>
          <w:sz w:val="24"/>
          <w:highlight w:val="none"/>
        </w:rPr>
        <w:t>　　竞争性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提交最后报价的供应商不得少于3家，本须知第5.6.2条规定的情形除外。</w:t>
      </w:r>
    </w:p>
    <w:p>
      <w:pPr>
        <w:spacing w:line="348" w:lineRule="auto"/>
        <w:rPr>
          <w:rFonts w:ascii="宋体" w:hAnsi="宋体" w:cs="宋体"/>
          <w:color w:val="auto"/>
          <w:sz w:val="24"/>
          <w:highlight w:val="none"/>
        </w:rPr>
      </w:pPr>
      <w:r>
        <w:rPr>
          <w:rFonts w:hint="eastAsia" w:ascii="宋体" w:hAnsi="宋体" w:cs="宋体"/>
          <w:color w:val="auto"/>
          <w:sz w:val="24"/>
          <w:highlight w:val="none"/>
        </w:rPr>
        <w:t>5.6.2 采用竞争性磋商方式开展采购的“市场竞争不充分的科研项目，以及需要扶持的科技成果转化项目”，提交最后报价的供应商可以为2家。</w:t>
      </w:r>
    </w:p>
    <w:p>
      <w:pP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348" w:lineRule="auto"/>
        <w:rPr>
          <w:rFonts w:ascii="宋体" w:hAnsi="宋体" w:cs="宋体"/>
          <w:color w:val="auto"/>
          <w:sz w:val="24"/>
          <w:highlight w:val="none"/>
        </w:rPr>
      </w:pPr>
      <w:r>
        <w:rPr>
          <w:rFonts w:hint="eastAsia" w:ascii="宋体" w:hAnsi="宋体" w:cs="宋体"/>
          <w:color w:val="auto"/>
          <w:sz w:val="24"/>
          <w:highlight w:val="none"/>
        </w:rPr>
        <w:t>5.6.3最后报价是供应商响应文件的有效组成部分，且以最后报价为准。大写金额和小写金额不一致的，以大写金额为准；报价有算术错误的，其风险由供应商承担。</w:t>
      </w:r>
    </w:p>
    <w:p>
      <w:pPr>
        <w:spacing w:line="360" w:lineRule="auto"/>
        <w:rPr>
          <w:rFonts w:ascii="宋体" w:hAnsi="宋体" w:cs="宋体"/>
          <w:color w:val="auto"/>
          <w:sz w:val="24"/>
          <w:highlight w:val="none"/>
        </w:rPr>
      </w:pPr>
      <w:r>
        <w:rPr>
          <w:rFonts w:hint="eastAsia" w:ascii="宋体" w:hAnsi="宋体" w:cs="宋体"/>
          <w:color w:val="auto"/>
          <w:sz w:val="24"/>
          <w:highlight w:val="none"/>
        </w:rPr>
        <w:t>5.6.4</w:t>
      </w:r>
      <w:r>
        <w:rPr>
          <w:rFonts w:hint="eastAsia" w:ascii="宋体" w:hAnsi="宋体" w:cs="宋体"/>
          <w:color w:val="auto"/>
          <w:kern w:val="0"/>
          <w:sz w:val="24"/>
          <w:highlight w:val="none"/>
        </w:rPr>
        <w:t>磋商小组</w:t>
      </w:r>
      <w:r>
        <w:rPr>
          <w:rFonts w:hint="eastAsia" w:ascii="宋体" w:hAnsi="宋体" w:cs="宋体"/>
          <w:color w:val="auto"/>
          <w:sz w:val="24"/>
          <w:highlight w:val="none"/>
        </w:rPr>
        <w:t>认为某供应商的报价明显低于其他通过符合性审查供应商的报价，有可能影响产品质量或者不能诚信履约的，磋商小组将通过交易系统向该供应商发出通知，要求该供应商通过交易系统（</w:t>
      </w:r>
      <w:r>
        <w:rPr>
          <w:rFonts w:hint="eastAsia" w:ascii="宋体" w:hAnsi="宋体" w:cs="宋体"/>
          <w:color w:val="auto"/>
          <w:kern w:val="0"/>
          <w:sz w:val="24"/>
          <w:highlight w:val="none"/>
        </w:rPr>
        <w:t>接到通知后</w:t>
      </w:r>
      <w:r>
        <w:rPr>
          <w:rFonts w:hint="eastAsia" w:ascii="宋体" w:hAnsi="宋体" w:cs="宋体"/>
          <w:color w:val="auto"/>
          <w:kern w:val="0"/>
          <w:sz w:val="24"/>
          <w:highlight w:val="none"/>
          <w:u w:val="single"/>
        </w:rPr>
        <w:t>30</w:t>
      </w:r>
      <w:r>
        <w:rPr>
          <w:rFonts w:hint="eastAsia" w:ascii="宋体" w:hAnsi="宋体" w:cs="宋体"/>
          <w:color w:val="auto"/>
          <w:kern w:val="0"/>
          <w:sz w:val="24"/>
          <w:highlight w:val="none"/>
        </w:rPr>
        <w:t>分钟</w:t>
      </w:r>
      <w:r>
        <w:rPr>
          <w:rFonts w:hint="eastAsia" w:ascii="宋体" w:hAnsi="宋体" w:cs="宋体"/>
          <w:color w:val="auto"/>
          <w:sz w:val="24"/>
          <w:highlight w:val="none"/>
        </w:rPr>
        <w:t>内）提供书面说明，并提交相关证明材料，</w:t>
      </w:r>
      <w:r>
        <w:rPr>
          <w:rFonts w:hint="eastAsia" w:ascii="宋体" w:hAnsi="宋体" w:cs="宋体"/>
          <w:color w:val="auto"/>
          <w:kern w:val="0"/>
          <w:sz w:val="24"/>
          <w:highlight w:val="none"/>
        </w:rPr>
        <w:t>供应商不能证明其报价合理性的，磋商小组将</w:t>
      </w:r>
      <w:r>
        <w:rPr>
          <w:rFonts w:hint="eastAsia" w:ascii="宋体" w:hAnsi="宋体" w:cs="宋体"/>
          <w:color w:val="auto"/>
          <w:sz w:val="24"/>
          <w:highlight w:val="none"/>
        </w:rPr>
        <w:t>其响应文件作为</w:t>
      </w:r>
      <w:r>
        <w:rPr>
          <w:rFonts w:hint="eastAsia" w:ascii="宋体" w:hAnsi="宋体" w:cs="宋体"/>
          <w:b/>
          <w:bCs/>
          <w:color w:val="auto"/>
          <w:sz w:val="24"/>
          <w:highlight w:val="none"/>
        </w:rPr>
        <w:t>无效响应文件处理</w:t>
      </w:r>
      <w:r>
        <w:rPr>
          <w:rFonts w:hint="eastAsia" w:ascii="宋体" w:hAnsi="宋体" w:cs="宋体"/>
          <w:color w:val="auto"/>
          <w:sz w:val="24"/>
          <w:highlight w:val="none"/>
        </w:rPr>
        <w:t>。</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供应商的书面说明材料包含货物（包括伴随的服务）/工程（伴随的服务）本身成本、人工费用、运输、税费等，以及最后报价不会影响产品质量或诚信履约能力的说明等。</w:t>
      </w:r>
    </w:p>
    <w:p>
      <w:pPr>
        <w:adjustRightInd w:val="0"/>
        <w:snapToGrid w:val="0"/>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供应商的书面说明材料应当加盖供应商单位及法定代表人（或负责人）的电子签章，否则无效。</w:t>
      </w:r>
    </w:p>
    <w:p>
      <w:pPr>
        <w:adjustRightInd w:val="0"/>
        <w:snapToGrid w:val="0"/>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提供书面说明后，磋商小组应当结合采购项目采购需求、专业实际情况、供应商财务状况、与其他供应商比较情况等就供应商的书面说明进行审查评价。供应商如有下列情况的，磋商小组将其响应文件作为无效处理：</w:t>
      </w:r>
    </w:p>
    <w:p>
      <w:pPr>
        <w:adjustRightInd w:val="0"/>
        <w:snapToGrid w:val="0"/>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（1）拒绝或者变相拒绝提供有效书面说明；</w:t>
      </w:r>
    </w:p>
    <w:p>
      <w:pPr>
        <w:adjustRightInd w:val="0"/>
        <w:snapToGrid w:val="0"/>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（2）书面说明不能证明其报价合理性的；</w:t>
      </w:r>
    </w:p>
    <w:p>
      <w:pPr>
        <w:adjustRightInd w:val="0"/>
        <w:snapToGrid w:val="0"/>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（3）书面说明或相关证明材料不被磋商小组认可的；</w:t>
      </w:r>
    </w:p>
    <w:p>
      <w:pPr>
        <w:pStyle w:val="4"/>
        <w:spacing w:after="0" w:line="34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（4）未在规定时间内提供书面说明或相关证明材料的。</w:t>
      </w:r>
    </w:p>
    <w:p>
      <w:pPr>
        <w:pStyle w:val="14"/>
        <w:spacing w:before="0" w:after="0" w:line="348" w:lineRule="auto"/>
        <w:rPr>
          <w:rFonts w:ascii="宋体" w:hAnsi="宋体" w:eastAsia="宋体" w:cs="宋体"/>
          <w:b w:val="0"/>
          <w:bCs/>
          <w:color w:val="auto"/>
          <w:sz w:val="24"/>
          <w:szCs w:val="24"/>
          <w:highlight w:val="none"/>
          <w:bdr w:val="single" w:color="auto" w:sz="4" w:space="0"/>
        </w:rPr>
      </w:pPr>
      <w:bookmarkStart w:id="343" w:name="_Toc4950"/>
      <w:bookmarkStart w:id="344" w:name="_Toc30993"/>
      <w:bookmarkStart w:id="345" w:name="_Toc15048314"/>
      <w:bookmarkStart w:id="346" w:name="_Toc57217262"/>
      <w:bookmarkStart w:id="347" w:name="_Toc13396"/>
      <w:bookmarkStart w:id="348" w:name="_Toc11925"/>
      <w:bookmarkStart w:id="349" w:name="_Toc515647783"/>
      <w:bookmarkStart w:id="350" w:name="_Toc532473475"/>
      <w:bookmarkStart w:id="351" w:name="_Toc6092"/>
      <w:r>
        <w:rPr>
          <w:rFonts w:hint="eastAsia" w:ascii="宋体" w:hAnsi="宋体" w:eastAsia="宋体" w:cs="宋体"/>
          <w:color w:val="auto"/>
          <w:sz w:val="24"/>
          <w:szCs w:val="24"/>
          <w:highlight w:val="none"/>
        </w:rPr>
        <w:t>5.7 无效响应文件的规定</w:t>
      </w:r>
      <w:bookmarkEnd w:id="343"/>
      <w:bookmarkEnd w:id="344"/>
      <w:bookmarkEnd w:id="345"/>
      <w:bookmarkEnd w:id="346"/>
      <w:bookmarkEnd w:id="347"/>
      <w:bookmarkEnd w:id="348"/>
      <w:bookmarkEnd w:id="349"/>
      <w:bookmarkEnd w:id="350"/>
      <w:bookmarkEnd w:id="351"/>
    </w:p>
    <w:p>
      <w:pPr>
        <w:spacing w:line="348" w:lineRule="auto"/>
        <w:rPr>
          <w:rFonts w:ascii="宋体" w:hAnsi="宋体" w:cs="宋体"/>
          <w:b/>
          <w:color w:val="auto"/>
          <w:sz w:val="24"/>
          <w:highlight w:val="none"/>
        </w:rPr>
      </w:pPr>
      <w:r>
        <w:rPr>
          <w:rFonts w:hint="eastAsia" w:ascii="宋体" w:hAnsi="宋体" w:cs="宋体"/>
          <w:color w:val="auto"/>
          <w:sz w:val="24"/>
          <w:highlight w:val="none"/>
        </w:rPr>
        <w:t>5.7.1 在评审之前，根据竞争性磋商文件的规定，磋商小组将审查每份响应文件是否实质性响应了竞争性磋商文件的要求。供应商不得通过修正或撤销不符合要求的偏离，从而使其响应文件成为实质上响应竞争性磋商文件。</w:t>
      </w:r>
      <w:r>
        <w:rPr>
          <w:rFonts w:hint="eastAsia" w:ascii="宋体" w:hAnsi="宋体" w:cs="宋体"/>
          <w:b/>
          <w:color w:val="auto"/>
          <w:sz w:val="24"/>
          <w:highlight w:val="none"/>
        </w:rPr>
        <w:t>磋商小组决定响应文件是否符合要求是否实质性响应只根据竞争性磋商文件要求、响应文件内容及政府采购的相关法律法规、财政主管部门的相关文件。</w:t>
      </w:r>
    </w:p>
    <w:p>
      <w:pPr>
        <w:spacing w:line="348" w:lineRule="auto"/>
        <w:rPr>
          <w:rFonts w:ascii="宋体" w:hAnsi="宋体" w:cs="宋体"/>
          <w:b/>
          <w:color w:val="auto"/>
          <w:sz w:val="24"/>
          <w:highlight w:val="none"/>
        </w:rPr>
      </w:pPr>
      <w:r>
        <w:rPr>
          <w:rFonts w:hint="eastAsia" w:ascii="宋体" w:hAnsi="宋体" w:cs="宋体"/>
          <w:color w:val="auto"/>
          <w:sz w:val="24"/>
          <w:highlight w:val="none"/>
        </w:rPr>
        <w:t>5.7.2</w:t>
      </w:r>
      <w:r>
        <w:rPr>
          <w:rFonts w:hint="eastAsia" w:ascii="宋体" w:hAnsi="宋体" w:cs="宋体"/>
          <w:b/>
          <w:color w:val="auto"/>
          <w:sz w:val="24"/>
          <w:highlight w:val="none"/>
        </w:rPr>
        <w:t>如果响应文件没有对竞争性磋商文件的实质性要求进行响应，将作为无效响应处理，供应商不得再对响应文件进行任何修正从而使其响应成为实质上响应。</w:t>
      </w:r>
    </w:p>
    <w:p>
      <w:pPr>
        <w:spacing w:line="348" w:lineRule="auto"/>
        <w:rPr>
          <w:rFonts w:ascii="宋体" w:hAnsi="宋体" w:cs="宋体"/>
          <w:color w:val="auto"/>
          <w:sz w:val="24"/>
          <w:highlight w:val="none"/>
        </w:rPr>
      </w:pPr>
      <w:r>
        <w:rPr>
          <w:rFonts w:hint="eastAsia" w:ascii="宋体" w:hAnsi="宋体" w:cs="宋体"/>
          <w:color w:val="auto"/>
          <w:sz w:val="24"/>
          <w:highlight w:val="none"/>
        </w:rPr>
        <w:t>5.7.3如发现下列情况之一的，其响应文件将被认定为无效响应文件：</w:t>
      </w:r>
    </w:p>
    <w:p>
      <w:pPr>
        <w:spacing w:line="348" w:lineRule="auto"/>
        <w:rPr>
          <w:rFonts w:ascii="宋体" w:hAnsi="宋体" w:cs="宋体"/>
          <w:color w:val="auto"/>
          <w:sz w:val="24"/>
          <w:highlight w:val="none"/>
        </w:rPr>
      </w:pPr>
      <w:r>
        <w:rPr>
          <w:rFonts w:hint="eastAsia" w:ascii="宋体" w:hAnsi="宋体" w:cs="宋体"/>
          <w:color w:val="auto"/>
          <w:sz w:val="24"/>
          <w:highlight w:val="none"/>
        </w:rPr>
        <w:t>5.7.3.1 供应商未按磋商文件要求签字或加盖电子签章的；</w:t>
      </w:r>
    </w:p>
    <w:p>
      <w:pPr>
        <w:spacing w:line="348" w:lineRule="auto"/>
        <w:rPr>
          <w:rFonts w:ascii="宋体" w:hAnsi="宋体" w:cs="宋体"/>
          <w:color w:val="auto"/>
          <w:sz w:val="24"/>
          <w:highlight w:val="none"/>
        </w:rPr>
      </w:pPr>
      <w:r>
        <w:rPr>
          <w:rFonts w:hint="eastAsia" w:ascii="宋体" w:hAnsi="宋体" w:cs="宋体"/>
          <w:color w:val="auto"/>
          <w:sz w:val="24"/>
          <w:highlight w:val="none"/>
        </w:rPr>
        <w:t>5.7.3.2 供应商的报价超过了竞争性磋商文件中规定的预算金额或者最高限价的；</w:t>
      </w:r>
    </w:p>
    <w:p>
      <w:pPr>
        <w:spacing w:line="348" w:lineRule="auto"/>
        <w:rPr>
          <w:rFonts w:ascii="宋体" w:hAnsi="宋体" w:cs="宋体"/>
          <w:color w:val="auto"/>
          <w:sz w:val="24"/>
          <w:highlight w:val="none"/>
        </w:rPr>
      </w:pPr>
      <w:r>
        <w:rPr>
          <w:rFonts w:hint="eastAsia" w:ascii="宋体" w:hAnsi="宋体" w:cs="宋体"/>
          <w:color w:val="auto"/>
          <w:sz w:val="24"/>
          <w:highlight w:val="none"/>
        </w:rPr>
        <w:t>5.7.3.3 不具备竞争性磋商文件中规定的资格要求的；</w:t>
      </w:r>
    </w:p>
    <w:p>
      <w:pPr>
        <w:spacing w:line="348" w:lineRule="auto"/>
        <w:rPr>
          <w:rFonts w:ascii="宋体" w:hAnsi="宋体" w:cs="宋体"/>
          <w:color w:val="auto"/>
          <w:sz w:val="24"/>
          <w:highlight w:val="none"/>
        </w:rPr>
      </w:pPr>
      <w:r>
        <w:rPr>
          <w:rFonts w:hint="eastAsia" w:ascii="宋体" w:hAnsi="宋体" w:cs="宋体"/>
          <w:color w:val="auto"/>
          <w:sz w:val="24"/>
          <w:highlight w:val="none"/>
        </w:rPr>
        <w:t>5.7.3.4 不同供应商递交的响应文件制作机器码一致的；</w:t>
      </w:r>
    </w:p>
    <w:p>
      <w:pPr>
        <w:spacing w:line="348" w:lineRule="auto"/>
        <w:rPr>
          <w:rFonts w:ascii="宋体" w:hAnsi="宋体" w:cs="宋体"/>
          <w:color w:val="auto"/>
          <w:sz w:val="24"/>
          <w:highlight w:val="none"/>
        </w:rPr>
      </w:pPr>
      <w:r>
        <w:rPr>
          <w:rFonts w:hint="eastAsia" w:ascii="宋体" w:hAnsi="宋体" w:cs="宋体"/>
          <w:color w:val="auto"/>
          <w:sz w:val="24"/>
          <w:highlight w:val="none"/>
        </w:rPr>
        <w:t>5.7.3.5 未满足竞争性磋商文件中商务和技术条款的实质性要求；</w:t>
      </w:r>
    </w:p>
    <w:p>
      <w:pPr>
        <w:spacing w:line="348" w:lineRule="auto"/>
        <w:rPr>
          <w:rFonts w:ascii="宋体" w:hAnsi="宋体" w:cs="宋体"/>
          <w:color w:val="auto"/>
          <w:sz w:val="24"/>
          <w:highlight w:val="none"/>
        </w:rPr>
      </w:pPr>
      <w:r>
        <w:rPr>
          <w:rFonts w:hint="eastAsia" w:ascii="宋体" w:hAnsi="宋体" w:cs="宋体"/>
          <w:color w:val="auto"/>
          <w:sz w:val="24"/>
          <w:highlight w:val="none"/>
        </w:rPr>
        <w:t>5.7.3.6 属于供应商之间串通，或者依法被视为供应商之间串通；</w:t>
      </w:r>
    </w:p>
    <w:p>
      <w:pPr>
        <w:spacing w:line="348" w:lineRule="auto"/>
        <w:rPr>
          <w:rFonts w:ascii="宋体" w:hAnsi="宋体" w:cs="宋体"/>
          <w:color w:val="auto"/>
          <w:sz w:val="24"/>
          <w:highlight w:val="none"/>
        </w:rPr>
      </w:pPr>
      <w:r>
        <w:rPr>
          <w:rFonts w:hint="eastAsia" w:ascii="宋体" w:hAnsi="宋体" w:cs="宋体"/>
          <w:color w:val="auto"/>
          <w:sz w:val="24"/>
          <w:highlight w:val="none"/>
        </w:rPr>
        <w:t>5.7.3.7 磋商小组认为供应商的报价明显低于其他符合要求供应商的报价，有可能影响履约的，且供应商未按照磋商小组要求提供证明其报价合理性的相关材料；</w:t>
      </w:r>
    </w:p>
    <w:p>
      <w:pPr>
        <w:spacing w:line="348" w:lineRule="auto"/>
        <w:rPr>
          <w:rFonts w:ascii="宋体" w:hAnsi="宋体" w:cs="宋体"/>
          <w:color w:val="auto"/>
          <w:sz w:val="24"/>
          <w:highlight w:val="none"/>
        </w:rPr>
      </w:pPr>
      <w:r>
        <w:rPr>
          <w:rFonts w:hint="eastAsia" w:ascii="宋体" w:hAnsi="宋体" w:cs="宋体"/>
          <w:color w:val="auto"/>
          <w:sz w:val="24"/>
          <w:highlight w:val="none"/>
        </w:rPr>
        <w:t>5.7.3.8 响应文件含有采购人不能接受的附加条件的；</w:t>
      </w:r>
    </w:p>
    <w:p>
      <w:pPr>
        <w:spacing w:line="348" w:lineRule="auto"/>
        <w:rPr>
          <w:rFonts w:ascii="宋体" w:hAnsi="宋体" w:cs="宋体"/>
          <w:color w:val="auto"/>
          <w:sz w:val="24"/>
          <w:highlight w:val="none"/>
        </w:rPr>
      </w:pPr>
      <w:r>
        <w:rPr>
          <w:rFonts w:hint="eastAsia" w:ascii="宋体" w:hAnsi="宋体" w:cs="宋体"/>
          <w:color w:val="auto"/>
          <w:sz w:val="24"/>
          <w:highlight w:val="none"/>
        </w:rPr>
        <w:t>5.7.3.9 属于法律、法规和竞争性磋商文件中规定的其他无效响应情形的。</w:t>
      </w:r>
    </w:p>
    <w:p>
      <w:pPr>
        <w:spacing w:line="348" w:lineRule="auto"/>
        <w:outlineLvl w:val="3"/>
        <w:rPr>
          <w:rFonts w:ascii="宋体" w:hAnsi="宋体" w:cs="宋体"/>
          <w:bCs/>
          <w:color w:val="auto"/>
          <w:sz w:val="24"/>
          <w:highlight w:val="none"/>
        </w:rPr>
      </w:pPr>
      <w:bookmarkStart w:id="352" w:name="_Toc6737"/>
      <w:bookmarkStart w:id="353" w:name="_Toc21854"/>
      <w:bookmarkStart w:id="354" w:name="_Toc12151"/>
      <w:bookmarkStart w:id="355" w:name="_Toc13652"/>
      <w:bookmarkStart w:id="356" w:name="_Toc57217263"/>
      <w:bookmarkStart w:id="357" w:name="_Toc532473476"/>
      <w:bookmarkStart w:id="358" w:name="_Toc22941"/>
      <w:bookmarkStart w:id="359" w:name="_Toc15048315"/>
      <w:bookmarkStart w:id="360" w:name="_Toc515647784"/>
      <w:r>
        <w:rPr>
          <w:rFonts w:hint="eastAsia" w:ascii="宋体" w:hAnsi="宋体" w:cs="宋体"/>
          <w:b/>
          <w:bCs/>
          <w:color w:val="auto"/>
          <w:sz w:val="24"/>
          <w:highlight w:val="none"/>
        </w:rPr>
        <w:t>5.8</w:t>
      </w:r>
      <w:r>
        <w:rPr>
          <w:rFonts w:hint="eastAsia" w:ascii="宋体" w:hAnsi="宋体" w:cs="宋体"/>
          <w:color w:val="auto"/>
          <w:sz w:val="24"/>
          <w:highlight w:val="none"/>
        </w:rPr>
        <w:t xml:space="preserve"> </w:t>
      </w:r>
      <w:r>
        <w:rPr>
          <w:rFonts w:hint="eastAsia" w:ascii="宋体" w:hAnsi="宋体" w:cs="宋体"/>
          <w:b/>
          <w:bCs/>
          <w:color w:val="auto"/>
          <w:sz w:val="24"/>
          <w:highlight w:val="none"/>
        </w:rPr>
        <w:t>依据《河南省财政厅关于防范投标人串通投标促进政府采购公平竞争的通知》</w:t>
      </w:r>
      <w:r>
        <w:rPr>
          <w:rFonts w:hint="eastAsia" w:ascii="宋体" w:hAnsi="宋体" w:cs="宋体"/>
          <w:color w:val="auto"/>
          <w:sz w:val="24"/>
          <w:highlight w:val="none"/>
        </w:rPr>
        <w:t>{豫</w:t>
      </w:r>
      <w:r>
        <w:rPr>
          <w:rFonts w:hint="eastAsia" w:ascii="宋体" w:hAnsi="宋体" w:cs="宋体"/>
          <w:bCs/>
          <w:color w:val="auto"/>
          <w:sz w:val="24"/>
          <w:highlight w:val="none"/>
        </w:rPr>
        <w:t>财购﹝2021﹞6号}文件中的相关规定，参与同一个标段（包）的投标人存在下列情形之一的，其投标（响应）文件无效：</w:t>
      </w:r>
      <w:bookmarkEnd w:id="352"/>
      <w:bookmarkEnd w:id="353"/>
      <w:bookmarkEnd w:id="354"/>
    </w:p>
    <w:p>
      <w:pPr>
        <w:spacing w:line="348" w:lineRule="auto"/>
        <w:ind w:firstLine="240" w:firstLineChars="100"/>
        <w:rPr>
          <w:rFonts w:ascii="宋体" w:hAnsi="宋体" w:cs="宋体"/>
          <w:bCs/>
          <w:color w:val="auto"/>
          <w:sz w:val="24"/>
          <w:highlight w:val="none"/>
        </w:rPr>
      </w:pPr>
      <w:r>
        <w:rPr>
          <w:rFonts w:hint="eastAsia" w:ascii="宋体" w:hAnsi="宋体" w:cs="宋体"/>
          <w:bCs/>
          <w:color w:val="auto"/>
          <w:sz w:val="24"/>
          <w:highlight w:val="none"/>
        </w:rPr>
        <w:t>（1）不同投标人的电子投标（响应）文件上传计算机的网卡MAC地址、CPU序列号和硬盘序列号等硬件信息相同的；</w:t>
      </w:r>
    </w:p>
    <w:p>
      <w:pPr>
        <w:spacing w:line="348" w:lineRule="auto"/>
        <w:ind w:firstLine="240" w:firstLineChars="100"/>
        <w:rPr>
          <w:rFonts w:ascii="宋体" w:hAnsi="宋体" w:cs="宋体"/>
          <w:bCs/>
          <w:color w:val="auto"/>
          <w:sz w:val="24"/>
          <w:highlight w:val="none"/>
        </w:rPr>
      </w:pPr>
      <w:r>
        <w:rPr>
          <w:rFonts w:hint="eastAsia" w:ascii="宋体" w:hAnsi="宋体" w:cs="宋体"/>
          <w:bCs/>
          <w:color w:val="auto"/>
          <w:sz w:val="24"/>
          <w:highlight w:val="none"/>
        </w:rPr>
        <w:t>（2）不同投标人的投标（响应）文件由同一电子设备编制、打印加密或者上传；</w:t>
      </w:r>
    </w:p>
    <w:p>
      <w:pPr>
        <w:spacing w:line="348" w:lineRule="auto"/>
        <w:ind w:firstLine="240" w:firstLineChars="100"/>
        <w:rPr>
          <w:rFonts w:ascii="宋体" w:hAnsi="宋体" w:cs="宋体"/>
          <w:bCs/>
          <w:color w:val="auto"/>
          <w:sz w:val="24"/>
          <w:highlight w:val="none"/>
        </w:rPr>
      </w:pPr>
      <w:r>
        <w:rPr>
          <w:rFonts w:hint="eastAsia" w:ascii="宋体" w:hAnsi="宋体" w:cs="宋体"/>
          <w:bCs/>
          <w:color w:val="auto"/>
          <w:sz w:val="24"/>
          <w:highlight w:val="none"/>
        </w:rPr>
        <w:t>（3）不同投标人的投标（响应）文件由同一电子设备打印、复印；</w:t>
      </w:r>
    </w:p>
    <w:p>
      <w:pPr>
        <w:spacing w:line="348" w:lineRule="auto"/>
        <w:ind w:firstLine="240" w:firstLineChars="100"/>
        <w:rPr>
          <w:rFonts w:ascii="宋体" w:hAnsi="宋体" w:cs="宋体"/>
          <w:bCs/>
          <w:color w:val="auto"/>
          <w:sz w:val="24"/>
          <w:highlight w:val="none"/>
        </w:rPr>
      </w:pPr>
      <w:r>
        <w:rPr>
          <w:rFonts w:hint="eastAsia" w:ascii="宋体" w:hAnsi="宋体" w:cs="宋体"/>
          <w:bCs/>
          <w:color w:val="auto"/>
          <w:sz w:val="24"/>
          <w:highlight w:val="none"/>
        </w:rPr>
        <w:t>（4）不同投标人的投标（响应）文件由同一人送达或者分发，或者不同投标人联系人为同一人或不同联系人的联系电话一致的；</w:t>
      </w:r>
    </w:p>
    <w:p>
      <w:pPr>
        <w:spacing w:line="348" w:lineRule="auto"/>
        <w:ind w:firstLine="240" w:firstLineChars="100"/>
        <w:rPr>
          <w:rFonts w:ascii="宋体" w:hAnsi="宋体" w:cs="宋体"/>
          <w:bCs/>
          <w:color w:val="auto"/>
          <w:sz w:val="24"/>
          <w:highlight w:val="none"/>
        </w:rPr>
      </w:pPr>
      <w:r>
        <w:rPr>
          <w:rFonts w:hint="eastAsia" w:ascii="宋体" w:hAnsi="宋体" w:cs="宋体"/>
          <w:bCs/>
          <w:color w:val="auto"/>
          <w:sz w:val="24"/>
          <w:highlight w:val="none"/>
        </w:rPr>
        <w:t>（5）不同投标人的投标（响应）文件的内容存在两处以上细节错误一致；</w:t>
      </w:r>
    </w:p>
    <w:p>
      <w:pPr>
        <w:spacing w:line="348" w:lineRule="auto"/>
        <w:ind w:firstLine="240" w:firstLineChars="100"/>
        <w:rPr>
          <w:rFonts w:ascii="宋体" w:hAnsi="宋体" w:cs="宋体"/>
          <w:bCs/>
          <w:color w:val="auto"/>
          <w:sz w:val="24"/>
          <w:highlight w:val="none"/>
        </w:rPr>
      </w:pPr>
      <w:r>
        <w:rPr>
          <w:rFonts w:hint="eastAsia" w:ascii="宋体" w:hAnsi="宋体" w:cs="宋体"/>
          <w:bCs/>
          <w:color w:val="auto"/>
          <w:sz w:val="24"/>
          <w:highlight w:val="none"/>
        </w:rPr>
        <w:t>（6）不同投标人的法定代表人、委托代理人、项目经理、项目负责人等由同一个单位缴纳社会保险或者领取报酬的；</w:t>
      </w:r>
    </w:p>
    <w:p>
      <w:pPr>
        <w:spacing w:line="348" w:lineRule="auto"/>
        <w:ind w:firstLine="240" w:firstLineChars="100"/>
        <w:rPr>
          <w:rFonts w:ascii="宋体" w:hAnsi="宋体" w:cs="宋体"/>
          <w:bCs/>
          <w:color w:val="auto"/>
          <w:sz w:val="24"/>
          <w:highlight w:val="none"/>
        </w:rPr>
      </w:pPr>
      <w:r>
        <w:rPr>
          <w:rFonts w:hint="eastAsia" w:ascii="宋体" w:hAnsi="宋体" w:cs="宋体"/>
          <w:bCs/>
          <w:color w:val="auto"/>
          <w:sz w:val="24"/>
          <w:highlight w:val="none"/>
        </w:rPr>
        <w:t>（7）不同投标人投标（响应）文件中法定代表人或者负责人签字出自同一人之手；</w:t>
      </w:r>
    </w:p>
    <w:p>
      <w:pPr>
        <w:spacing w:line="348" w:lineRule="auto"/>
        <w:ind w:firstLine="240" w:firstLineChars="100"/>
        <w:rPr>
          <w:rFonts w:ascii="宋体" w:hAnsi="宋体" w:cs="宋体"/>
          <w:color w:val="auto"/>
          <w:sz w:val="24"/>
          <w:highlight w:val="none"/>
        </w:rPr>
      </w:pPr>
      <w:r>
        <w:rPr>
          <w:rFonts w:hint="eastAsia" w:ascii="宋体" w:hAnsi="宋体" w:cs="宋体"/>
          <w:bCs/>
          <w:color w:val="auto"/>
          <w:sz w:val="24"/>
          <w:highlight w:val="none"/>
        </w:rPr>
        <w:t>（8）其它涉嫌串通的情形。</w:t>
      </w:r>
    </w:p>
    <w:p>
      <w:pPr>
        <w:pStyle w:val="14"/>
        <w:spacing w:before="0" w:after="0" w:line="348" w:lineRule="auto"/>
        <w:rPr>
          <w:rFonts w:ascii="宋体" w:hAnsi="宋体" w:eastAsia="宋体" w:cs="宋体"/>
          <w:color w:val="auto"/>
          <w:sz w:val="24"/>
          <w:szCs w:val="24"/>
          <w:highlight w:val="none"/>
        </w:rPr>
      </w:pPr>
      <w:bookmarkStart w:id="361" w:name="_Toc24878"/>
      <w:bookmarkStart w:id="362" w:name="_Toc24679"/>
      <w:bookmarkStart w:id="363" w:name="_Toc9572"/>
      <w:r>
        <w:rPr>
          <w:rFonts w:hint="eastAsia" w:ascii="宋体" w:hAnsi="宋体" w:eastAsia="宋体" w:cs="宋体"/>
          <w:color w:val="auto"/>
          <w:sz w:val="24"/>
          <w:szCs w:val="24"/>
          <w:highlight w:val="none"/>
        </w:rPr>
        <w:t>5.9 响应文件的评审</w:t>
      </w:r>
      <w:bookmarkEnd w:id="355"/>
      <w:bookmarkEnd w:id="356"/>
      <w:bookmarkEnd w:id="357"/>
      <w:bookmarkEnd w:id="358"/>
      <w:bookmarkEnd w:id="359"/>
      <w:bookmarkEnd w:id="360"/>
      <w:bookmarkEnd w:id="361"/>
      <w:bookmarkEnd w:id="362"/>
      <w:bookmarkEnd w:id="363"/>
    </w:p>
    <w:p>
      <w:pPr>
        <w:spacing w:line="348" w:lineRule="auto"/>
        <w:rPr>
          <w:rFonts w:ascii="宋体" w:hAnsi="宋体" w:cs="宋体"/>
          <w:color w:val="auto"/>
          <w:sz w:val="24"/>
          <w:highlight w:val="none"/>
        </w:rPr>
      </w:pPr>
      <w:r>
        <w:rPr>
          <w:rFonts w:hint="eastAsia" w:ascii="宋体" w:hAnsi="宋体" w:cs="宋体"/>
          <w:color w:val="auto"/>
          <w:sz w:val="24"/>
          <w:highlight w:val="none"/>
        </w:rPr>
        <w:t>5.3.1磋商小组依据法律法规和采购文件中规定的内容，对供应商的资格（提交的资格证明材料见供应商须知前附表）进行审查。未通过资格审查的供应商不能进入下一阶段评审；通过资格审查的供应商不足3家的（特殊情况下不足2家的），不得进入下一阶段评审。 特殊情况：采用竞争性磋商采购方式采购“市场竞争不充分的科研项目，以及需 要扶持的科技成果转化项目”，通过资格审查的供应商不足2家的，不得进入下一阶段评审。采用竞争性磋商采购方式采购的政府购买服务项目（含政府和社会资本合作 项目），在采购过程中符合要求的供应商（社会资本）只有2家的，竞争性磋商采购 活动可以继续进行。采购过程中符合要求的供应商（社会资本）只有1家的，采购人 （项目实施机构）或者采购代理机构应当终止竞争性磋商采购活动，发布项目终止公 告并说明原因，重新开展采购活动。</w:t>
      </w:r>
    </w:p>
    <w:p>
      <w:pPr>
        <w:spacing w:line="348" w:lineRule="auto"/>
        <w:rPr>
          <w:rFonts w:ascii="宋体" w:hAnsi="宋体" w:cs="宋体"/>
          <w:color w:val="auto"/>
          <w:sz w:val="24"/>
          <w:highlight w:val="none"/>
        </w:rPr>
      </w:pPr>
      <w:r>
        <w:rPr>
          <w:rFonts w:hint="eastAsia" w:ascii="宋体" w:hAnsi="宋体" w:cs="宋体"/>
          <w:color w:val="auto"/>
          <w:sz w:val="24"/>
          <w:highlight w:val="none"/>
        </w:rPr>
        <w:t>5.9.1磋商小组成员将按照客观、公正、审慎的原则，根据竞争性磋商文件规定的评审程序、评审方法和评审标准进行独立评审。经符合性审查合格的响应文件，磋商小组将对其技术部分和商务部分作进一步的评审。未实质性响应竞争性磋商文件的响应文件按无效响应处理。</w:t>
      </w:r>
    </w:p>
    <w:p>
      <w:pPr>
        <w:pStyle w:val="4"/>
        <w:spacing w:after="0" w:line="348"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经磋商确定最终采购需求和提交最后报价的供应商后，由磋商小组采用综合评分法对提交最后报价的供应商的响应文件和最后报价进行综合评分。</w:t>
      </w:r>
    </w:p>
    <w:p>
      <w:pPr>
        <w:spacing w:line="348"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评审时，磋商小组各成员应当独立对每个有效响应的文件进行评价、打分，然后汇总每个供应商每项评分因素的得分。</w:t>
      </w:r>
      <w:r>
        <w:rPr>
          <w:rFonts w:hint="eastAsia" w:ascii="宋体" w:hAnsi="宋体" w:cs="宋体"/>
          <w:color w:val="auto"/>
          <w:sz w:val="24"/>
          <w:highlight w:val="none"/>
        </w:rPr>
        <w:t>以磋商小组所有成员打分的算数平均值作为供应商的最终得分，按最终得分由高到低的序顺推荐成交候选人。分值计算保留小数点后两位，第三位四舍五入。</w:t>
      </w:r>
    </w:p>
    <w:p>
      <w:pPr>
        <w:spacing w:line="348" w:lineRule="auto"/>
        <w:rPr>
          <w:rFonts w:ascii="宋体" w:hAnsi="宋体" w:cs="宋体"/>
          <w:color w:val="auto"/>
          <w:sz w:val="24"/>
          <w:highlight w:val="none"/>
        </w:rPr>
      </w:pPr>
      <w:r>
        <w:rPr>
          <w:rFonts w:hint="eastAsia" w:ascii="宋体" w:hAnsi="宋体" w:cs="宋体"/>
          <w:color w:val="auto"/>
          <w:sz w:val="24"/>
          <w:highlight w:val="none"/>
        </w:rPr>
        <w:t>5.9.2 评审严格按照竞争性磋商文件的要求和标准进行，采用综合评分法进行评审。详细评审标准见竞争性磋商文件；</w:t>
      </w:r>
    </w:p>
    <w:p>
      <w:pP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综合评分法，是指响应文件满足磋商文件全部实质性要求且按评审因素的量化指标评审得分最高的供应商为成交候选供应商的评审方法。</w:t>
      </w:r>
    </w:p>
    <w:p>
      <w:pPr>
        <w:pStyle w:val="14"/>
        <w:spacing w:before="0" w:after="0" w:line="348" w:lineRule="auto"/>
        <w:rPr>
          <w:rFonts w:ascii="宋体" w:hAnsi="宋体" w:eastAsia="宋体" w:cs="宋体"/>
          <w:color w:val="auto"/>
          <w:sz w:val="24"/>
          <w:szCs w:val="24"/>
          <w:highlight w:val="none"/>
        </w:rPr>
      </w:pPr>
      <w:bookmarkStart w:id="364" w:name="_Toc15459"/>
      <w:bookmarkStart w:id="365" w:name="_Toc25994"/>
      <w:bookmarkStart w:id="366" w:name="_Toc57217264"/>
      <w:bookmarkStart w:id="367" w:name="_Toc13800"/>
      <w:r>
        <w:rPr>
          <w:rFonts w:hint="eastAsia" w:ascii="宋体" w:hAnsi="宋体" w:eastAsia="宋体" w:cs="宋体"/>
          <w:color w:val="auto"/>
          <w:sz w:val="24"/>
          <w:szCs w:val="24"/>
          <w:highlight w:val="none"/>
        </w:rPr>
        <w:t>5.10 竞争性磋商文件执行的政府采购政策</w:t>
      </w:r>
      <w:bookmarkEnd w:id="364"/>
      <w:bookmarkEnd w:id="365"/>
      <w:bookmarkEnd w:id="366"/>
      <w:bookmarkEnd w:id="367"/>
    </w:p>
    <w:p>
      <w:pPr>
        <w:spacing w:line="348" w:lineRule="auto"/>
        <w:ind w:firstLine="480" w:firstLineChars="200"/>
        <w:rPr>
          <w:rFonts w:ascii="宋体" w:hAnsi="宋体" w:cs="宋体"/>
          <w:color w:val="auto"/>
          <w:sz w:val="24"/>
          <w:highlight w:val="none"/>
        </w:rPr>
      </w:pPr>
      <w:bookmarkStart w:id="368" w:name="_Hlk56096905"/>
      <w:r>
        <w:rPr>
          <w:rFonts w:hint="eastAsia" w:ascii="宋体" w:hAnsi="宋体" w:cs="宋体"/>
          <w:color w:val="auto"/>
          <w:sz w:val="24"/>
          <w:highlight w:val="none"/>
        </w:rPr>
        <w:t>本项目需要执行的政府采购政策：详见竞争性磋商文件。</w:t>
      </w:r>
      <w:bookmarkEnd w:id="368"/>
    </w:p>
    <w:p>
      <w:pPr>
        <w:pStyle w:val="14"/>
        <w:spacing w:before="0" w:after="0" w:line="348" w:lineRule="auto"/>
        <w:rPr>
          <w:rFonts w:ascii="宋体" w:hAnsi="宋体" w:eastAsia="宋体" w:cs="宋体"/>
          <w:color w:val="auto"/>
          <w:sz w:val="24"/>
          <w:szCs w:val="24"/>
          <w:highlight w:val="none"/>
        </w:rPr>
      </w:pPr>
      <w:bookmarkStart w:id="369" w:name="_Toc57217265"/>
      <w:bookmarkStart w:id="370" w:name="_Toc16490"/>
      <w:bookmarkStart w:id="371" w:name="_Toc23655"/>
      <w:bookmarkStart w:id="372" w:name="_Toc23160"/>
      <w:r>
        <w:rPr>
          <w:rFonts w:hint="eastAsia" w:ascii="宋体" w:hAnsi="宋体" w:eastAsia="宋体" w:cs="宋体"/>
          <w:color w:val="auto"/>
          <w:sz w:val="24"/>
          <w:szCs w:val="24"/>
          <w:highlight w:val="none"/>
        </w:rPr>
        <w:t>5.11终止本次磋商</w:t>
      </w:r>
      <w:bookmarkEnd w:id="369"/>
      <w:bookmarkEnd w:id="370"/>
      <w:bookmarkEnd w:id="371"/>
      <w:bookmarkEnd w:id="372"/>
    </w:p>
    <w:p>
      <w:pP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出现下列情形之一的，采购人或采购代理机构应当终止本次竞争性磋商。</w:t>
      </w:r>
    </w:p>
    <w:p>
      <w:pPr>
        <w:spacing w:line="348" w:lineRule="auto"/>
        <w:ind w:firstLine="360" w:firstLineChars="150"/>
        <w:rPr>
          <w:rFonts w:ascii="宋体" w:hAnsi="宋体" w:cs="宋体"/>
          <w:color w:val="auto"/>
          <w:sz w:val="24"/>
          <w:highlight w:val="none"/>
        </w:rPr>
      </w:pPr>
      <w:r>
        <w:rPr>
          <w:rFonts w:hint="eastAsia" w:ascii="宋体" w:hAnsi="宋体" w:cs="宋体"/>
          <w:color w:val="auto"/>
          <w:sz w:val="24"/>
          <w:highlight w:val="none"/>
        </w:rPr>
        <w:t>（1）因情况变化，不再符合规定的竞争性磋商采购方式适用情形的；</w:t>
      </w:r>
    </w:p>
    <w:p>
      <w:pPr>
        <w:spacing w:line="348" w:lineRule="auto"/>
        <w:ind w:firstLine="360" w:firstLineChars="15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pPr>
        <w:spacing w:line="348" w:lineRule="auto"/>
        <w:ind w:firstLine="360" w:firstLineChars="150"/>
        <w:rPr>
          <w:rFonts w:ascii="宋体" w:hAnsi="宋体" w:cs="宋体"/>
          <w:color w:val="auto"/>
          <w:sz w:val="24"/>
          <w:highlight w:val="none"/>
        </w:rPr>
      </w:pPr>
      <w:r>
        <w:rPr>
          <w:rFonts w:hint="eastAsia" w:ascii="宋体" w:hAnsi="宋体" w:cs="宋体"/>
          <w:color w:val="auto"/>
          <w:sz w:val="24"/>
          <w:highlight w:val="none"/>
        </w:rPr>
        <w:t>（3）在采购过程中符合要求的供应商不足3家的（特殊情况下为不足2的）。</w:t>
      </w:r>
    </w:p>
    <w:p>
      <w:pPr>
        <w:spacing w:line="348" w:lineRule="auto"/>
        <w:ind w:firstLine="360" w:firstLineChars="150"/>
        <w:rPr>
          <w:rFonts w:ascii="宋体" w:hAnsi="宋体" w:cs="宋体"/>
          <w:color w:val="auto"/>
          <w:sz w:val="24"/>
          <w:highlight w:val="none"/>
        </w:rPr>
      </w:pPr>
      <w:r>
        <w:rPr>
          <w:rFonts w:hint="eastAsia" w:ascii="宋体" w:hAnsi="宋体" w:cs="宋体"/>
          <w:color w:val="auto"/>
          <w:sz w:val="24"/>
          <w:highlight w:val="none"/>
        </w:rPr>
        <w:t>（4）因重大变故，采购任务取消的。</w:t>
      </w:r>
    </w:p>
    <w:p>
      <w:pPr>
        <w:pStyle w:val="14"/>
        <w:spacing w:before="0" w:after="0" w:line="348" w:lineRule="auto"/>
        <w:rPr>
          <w:rFonts w:ascii="宋体" w:hAnsi="宋体" w:eastAsia="宋体" w:cs="宋体"/>
          <w:color w:val="auto"/>
          <w:sz w:val="24"/>
          <w:szCs w:val="24"/>
          <w:highlight w:val="none"/>
        </w:rPr>
      </w:pPr>
      <w:bookmarkStart w:id="373" w:name="_Toc515647786"/>
      <w:bookmarkStart w:id="374" w:name="_Toc31289"/>
      <w:bookmarkStart w:id="375" w:name="_Toc24972"/>
      <w:bookmarkStart w:id="376" w:name="_Toc15048317"/>
      <w:bookmarkStart w:id="377" w:name="_Toc32658"/>
      <w:bookmarkStart w:id="378" w:name="_Toc11981"/>
      <w:bookmarkStart w:id="379" w:name="_Toc57217266"/>
      <w:bookmarkStart w:id="380" w:name="_Toc29508"/>
      <w:bookmarkStart w:id="381" w:name="_Toc532473478"/>
      <w:bookmarkStart w:id="382" w:name="_Toc520356169"/>
      <w:r>
        <w:rPr>
          <w:rFonts w:hint="eastAsia" w:ascii="宋体" w:hAnsi="宋体" w:eastAsia="宋体" w:cs="宋体"/>
          <w:color w:val="auto"/>
          <w:sz w:val="24"/>
          <w:szCs w:val="24"/>
          <w:highlight w:val="none"/>
        </w:rPr>
        <w:t>5.12保密</w:t>
      </w:r>
      <w:bookmarkEnd w:id="373"/>
      <w:bookmarkEnd w:id="374"/>
      <w:bookmarkEnd w:id="375"/>
      <w:r>
        <w:rPr>
          <w:rFonts w:hint="eastAsia" w:ascii="宋体" w:hAnsi="宋体" w:eastAsia="宋体" w:cs="宋体"/>
          <w:color w:val="auto"/>
          <w:sz w:val="24"/>
          <w:szCs w:val="24"/>
          <w:highlight w:val="none"/>
        </w:rPr>
        <w:t>要求</w:t>
      </w:r>
      <w:bookmarkEnd w:id="376"/>
      <w:bookmarkEnd w:id="377"/>
      <w:bookmarkEnd w:id="378"/>
      <w:bookmarkEnd w:id="379"/>
      <w:bookmarkEnd w:id="380"/>
      <w:bookmarkEnd w:id="381"/>
    </w:p>
    <w:p>
      <w:pPr>
        <w:spacing w:line="348" w:lineRule="auto"/>
        <w:rPr>
          <w:rFonts w:ascii="宋体" w:hAnsi="宋体" w:cs="宋体"/>
          <w:color w:val="auto"/>
          <w:sz w:val="24"/>
          <w:highlight w:val="none"/>
        </w:rPr>
      </w:pPr>
      <w:r>
        <w:rPr>
          <w:rFonts w:hint="eastAsia" w:ascii="宋体" w:hAnsi="宋体" w:cs="宋体"/>
          <w:color w:val="auto"/>
          <w:sz w:val="24"/>
          <w:highlight w:val="none"/>
        </w:rPr>
        <w:t>5.12.1评审将在严格保密的情况下进行。</w:t>
      </w:r>
    </w:p>
    <w:p>
      <w:pPr>
        <w:spacing w:line="348" w:lineRule="auto"/>
        <w:rPr>
          <w:rFonts w:ascii="宋体" w:hAnsi="宋体" w:cs="宋体"/>
          <w:color w:val="auto"/>
          <w:sz w:val="24"/>
          <w:highlight w:val="none"/>
        </w:rPr>
      </w:pPr>
      <w:r>
        <w:rPr>
          <w:rFonts w:hint="eastAsia" w:ascii="宋体" w:hAnsi="宋体" w:cs="宋体"/>
          <w:color w:val="auto"/>
          <w:sz w:val="24"/>
          <w:highlight w:val="none"/>
        </w:rPr>
        <w:t>5.12.2 有关人员应当遵守评审工作纪律，不得泄露评审文件、评审情况和评审过程中获悉的国家秘密、商业秘密。</w:t>
      </w:r>
    </w:p>
    <w:bookmarkEnd w:id="382"/>
    <w:p>
      <w:pPr>
        <w:pStyle w:val="12"/>
        <w:spacing w:before="0" w:after="0" w:line="348" w:lineRule="auto"/>
        <w:rPr>
          <w:rFonts w:ascii="宋体" w:hAnsi="宋体" w:eastAsia="宋体" w:cs="宋体"/>
          <w:color w:val="auto"/>
          <w:sz w:val="24"/>
          <w:szCs w:val="24"/>
          <w:highlight w:val="none"/>
        </w:rPr>
      </w:pPr>
      <w:bookmarkStart w:id="383" w:name="_Toc23904"/>
      <w:bookmarkStart w:id="384" w:name="_Toc532473479"/>
      <w:bookmarkStart w:id="385" w:name="_Toc15048318"/>
      <w:bookmarkStart w:id="386" w:name="_Toc12143"/>
      <w:bookmarkStart w:id="387" w:name="_Toc216582810"/>
      <w:bookmarkStart w:id="388" w:name="_Toc515647787"/>
      <w:bookmarkStart w:id="389" w:name="_Toc13758"/>
      <w:bookmarkStart w:id="390" w:name="_Toc24135"/>
      <w:bookmarkStart w:id="391" w:name="_Toc6145"/>
      <w:bookmarkStart w:id="392" w:name="_Toc57217267"/>
      <w:r>
        <w:rPr>
          <w:rFonts w:hint="eastAsia" w:ascii="宋体" w:hAnsi="宋体" w:eastAsia="宋体" w:cs="宋体"/>
          <w:color w:val="auto"/>
          <w:sz w:val="24"/>
          <w:szCs w:val="24"/>
          <w:highlight w:val="none"/>
        </w:rPr>
        <w:t>6、确定成交</w:t>
      </w:r>
      <w:bookmarkEnd w:id="383"/>
      <w:bookmarkEnd w:id="384"/>
      <w:bookmarkEnd w:id="385"/>
      <w:bookmarkEnd w:id="386"/>
      <w:bookmarkEnd w:id="387"/>
      <w:bookmarkEnd w:id="388"/>
      <w:r>
        <w:rPr>
          <w:rFonts w:hint="eastAsia" w:ascii="宋体" w:hAnsi="宋体" w:eastAsia="宋体" w:cs="宋体"/>
          <w:color w:val="auto"/>
          <w:sz w:val="24"/>
          <w:szCs w:val="24"/>
          <w:highlight w:val="none"/>
        </w:rPr>
        <w:t>供应商</w:t>
      </w:r>
      <w:bookmarkEnd w:id="389"/>
      <w:bookmarkEnd w:id="390"/>
      <w:bookmarkEnd w:id="391"/>
      <w:bookmarkEnd w:id="392"/>
    </w:p>
    <w:p>
      <w:pPr>
        <w:pStyle w:val="14"/>
        <w:spacing w:before="0" w:after="0" w:line="348" w:lineRule="auto"/>
        <w:rPr>
          <w:rFonts w:ascii="宋体" w:hAnsi="宋体" w:eastAsia="宋体" w:cs="宋体"/>
          <w:color w:val="auto"/>
          <w:sz w:val="24"/>
          <w:szCs w:val="24"/>
          <w:highlight w:val="none"/>
        </w:rPr>
      </w:pPr>
      <w:bookmarkStart w:id="393" w:name="_Ref467307010"/>
      <w:bookmarkStart w:id="394" w:name="_Toc515647788"/>
      <w:bookmarkStart w:id="395" w:name="_Toc23762"/>
      <w:bookmarkStart w:id="396" w:name="_Toc20323"/>
      <w:bookmarkStart w:id="397" w:name="_Toc532473480"/>
      <w:bookmarkStart w:id="398" w:name="_Toc15048319"/>
      <w:bookmarkStart w:id="399" w:name="_Toc57217268"/>
      <w:bookmarkStart w:id="400" w:name="_Toc23617"/>
      <w:bookmarkStart w:id="401" w:name="_Toc5111"/>
      <w:bookmarkStart w:id="402" w:name="_Toc25206"/>
      <w:bookmarkStart w:id="403" w:name="_Toc520356170"/>
      <w:r>
        <w:rPr>
          <w:rFonts w:hint="eastAsia" w:ascii="宋体" w:hAnsi="宋体" w:eastAsia="宋体" w:cs="宋体"/>
          <w:color w:val="auto"/>
          <w:sz w:val="24"/>
          <w:szCs w:val="24"/>
          <w:highlight w:val="none"/>
        </w:rPr>
        <w:t>6.1 成交候选供应商的确定原则及标准</w:t>
      </w:r>
      <w:bookmarkEnd w:id="393"/>
      <w:bookmarkEnd w:id="394"/>
      <w:bookmarkEnd w:id="395"/>
      <w:bookmarkEnd w:id="396"/>
      <w:bookmarkEnd w:id="397"/>
      <w:bookmarkEnd w:id="398"/>
      <w:bookmarkEnd w:id="399"/>
      <w:bookmarkEnd w:id="400"/>
      <w:bookmarkEnd w:id="401"/>
      <w:bookmarkEnd w:id="402"/>
      <w:bookmarkEnd w:id="403"/>
    </w:p>
    <w:p>
      <w:pPr>
        <w:spacing w:line="348" w:lineRule="auto"/>
        <w:rPr>
          <w:rFonts w:ascii="宋体" w:hAnsi="宋体" w:cs="宋体"/>
          <w:color w:val="auto"/>
          <w:sz w:val="24"/>
          <w:highlight w:val="none"/>
        </w:rPr>
      </w:pPr>
      <w:r>
        <w:rPr>
          <w:rFonts w:hint="eastAsia" w:ascii="宋体" w:hAnsi="宋体" w:cs="宋体"/>
          <w:color w:val="auto"/>
          <w:sz w:val="24"/>
          <w:highlight w:val="none"/>
        </w:rPr>
        <w:t>6.1.1除第6.3条规定外，磋商结束后，除了算数修正和落实政府采购政策需进行的价格扣除外，不对供应商的最后报价进行任何调整。评审结果按照得分由高至低的顺序排序。得分相同的，按修正和扣除后的最后报价由低到高顺序排列。具体处理办法详见评审方法。</w:t>
      </w:r>
    </w:p>
    <w:p>
      <w:pPr>
        <w:spacing w:line="348" w:lineRule="auto"/>
        <w:rPr>
          <w:rFonts w:ascii="宋体" w:hAnsi="宋体" w:cs="宋体"/>
          <w:color w:val="auto"/>
          <w:sz w:val="24"/>
          <w:highlight w:val="none"/>
        </w:rPr>
      </w:pPr>
      <w:r>
        <w:rPr>
          <w:rFonts w:hint="eastAsia" w:ascii="宋体" w:hAnsi="宋体" w:cs="宋体"/>
          <w:color w:val="auto"/>
          <w:sz w:val="24"/>
          <w:highlight w:val="none"/>
        </w:rPr>
        <w:t>6.1.2磋商小组将按</w:t>
      </w:r>
      <w:r>
        <w:rPr>
          <w:rFonts w:hint="eastAsia" w:ascii="宋体" w:hAnsi="宋体" w:cs="宋体"/>
          <w:b/>
          <w:bCs/>
          <w:color w:val="auto"/>
          <w:sz w:val="24"/>
          <w:highlight w:val="none"/>
          <w:u w:val="single"/>
        </w:rPr>
        <w:t>供应商须知表</w:t>
      </w:r>
      <w:r>
        <w:rPr>
          <w:rFonts w:hint="eastAsia" w:ascii="宋体" w:hAnsi="宋体" w:cs="宋体"/>
          <w:color w:val="auto"/>
          <w:sz w:val="24"/>
          <w:highlight w:val="none"/>
        </w:rPr>
        <w:t>中规定的数量推荐成交候选供应商或按</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中规定，由磋商小组直接确定成交供应商。</w:t>
      </w:r>
    </w:p>
    <w:p>
      <w:pPr>
        <w:spacing w:line="348" w:lineRule="auto"/>
        <w:rPr>
          <w:rFonts w:ascii="宋体" w:hAnsi="宋体" w:cs="宋体"/>
          <w:color w:val="auto"/>
          <w:sz w:val="24"/>
          <w:highlight w:val="none"/>
        </w:rPr>
      </w:pPr>
      <w:r>
        <w:rPr>
          <w:rFonts w:hint="eastAsia" w:ascii="宋体" w:hAnsi="宋体" w:cs="宋体"/>
          <w:color w:val="auto"/>
          <w:sz w:val="24"/>
          <w:highlight w:val="none"/>
        </w:rPr>
        <w:t>6.1.3因推荐成交候选供应商名单产生其他问题，由磋商小组集体研究处理。</w:t>
      </w:r>
    </w:p>
    <w:p>
      <w:pPr>
        <w:pStyle w:val="14"/>
        <w:tabs>
          <w:tab w:val="left" w:pos="900"/>
        </w:tabs>
        <w:spacing w:before="0" w:after="0" w:line="348" w:lineRule="auto"/>
        <w:rPr>
          <w:rFonts w:ascii="宋体" w:hAnsi="宋体" w:eastAsia="宋体" w:cs="宋体"/>
          <w:color w:val="auto"/>
          <w:sz w:val="24"/>
          <w:szCs w:val="24"/>
          <w:highlight w:val="none"/>
        </w:rPr>
      </w:pPr>
      <w:bookmarkStart w:id="404" w:name="_Toc15048320"/>
      <w:bookmarkStart w:id="405" w:name="_Toc31442"/>
      <w:bookmarkStart w:id="406" w:name="_Toc15465"/>
      <w:bookmarkStart w:id="407" w:name="_Toc9653"/>
      <w:bookmarkStart w:id="408" w:name="_Toc23951"/>
      <w:bookmarkStart w:id="409" w:name="_Toc22134"/>
      <w:bookmarkStart w:id="410" w:name="_Toc57217269"/>
      <w:bookmarkStart w:id="411" w:name="_Toc532473481"/>
      <w:r>
        <w:rPr>
          <w:rFonts w:hint="eastAsia" w:ascii="宋体" w:hAnsi="宋体" w:eastAsia="宋体" w:cs="宋体"/>
          <w:color w:val="auto"/>
          <w:sz w:val="24"/>
          <w:szCs w:val="24"/>
          <w:highlight w:val="none"/>
        </w:rPr>
        <w:t>6.2 确定成交供应商</w:t>
      </w:r>
      <w:bookmarkEnd w:id="404"/>
      <w:bookmarkEnd w:id="405"/>
      <w:bookmarkEnd w:id="406"/>
      <w:bookmarkEnd w:id="407"/>
      <w:bookmarkEnd w:id="408"/>
      <w:bookmarkEnd w:id="409"/>
      <w:bookmarkEnd w:id="410"/>
      <w:bookmarkEnd w:id="411"/>
    </w:p>
    <w:p>
      <w:pP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在收到评审报告5个工作日内,从评审报告提出的成交候选供应商中,根据质量和服务均能满足竞争性磋商文件实质性响应要求且综合得分最高的原则确定成交供应商,也可以书面授权磋商小组直接确定成交供应商。</w:t>
      </w:r>
    </w:p>
    <w:p>
      <w:pPr>
        <w:pStyle w:val="14"/>
        <w:tabs>
          <w:tab w:val="left" w:pos="900"/>
        </w:tabs>
        <w:spacing w:before="0" w:after="0" w:line="348" w:lineRule="auto"/>
        <w:rPr>
          <w:rFonts w:ascii="宋体" w:hAnsi="宋体" w:eastAsia="宋体" w:cs="宋体"/>
          <w:color w:val="auto"/>
          <w:sz w:val="24"/>
          <w:szCs w:val="24"/>
          <w:highlight w:val="none"/>
        </w:rPr>
      </w:pPr>
      <w:bookmarkStart w:id="412" w:name="_Toc57217270"/>
      <w:bookmarkStart w:id="413" w:name="_Toc15400"/>
      <w:bookmarkStart w:id="414" w:name="_Toc18495"/>
      <w:bookmarkStart w:id="415" w:name="_Toc29118"/>
      <w:r>
        <w:rPr>
          <w:rFonts w:hint="eastAsia" w:ascii="宋体" w:hAnsi="宋体" w:eastAsia="宋体" w:cs="宋体"/>
          <w:color w:val="auto"/>
          <w:sz w:val="24"/>
          <w:szCs w:val="24"/>
          <w:highlight w:val="none"/>
        </w:rPr>
        <w:t>6.3采购任务取消</w:t>
      </w:r>
      <w:bookmarkEnd w:id="412"/>
      <w:bookmarkEnd w:id="413"/>
      <w:bookmarkEnd w:id="414"/>
      <w:bookmarkEnd w:id="415"/>
    </w:p>
    <w:p>
      <w:pP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因重大变故采购任务取消时，采购人有权拒绝任何供应商成交，且对受影响的供应商不承担任何责任。</w:t>
      </w:r>
    </w:p>
    <w:p>
      <w:pPr>
        <w:pStyle w:val="14"/>
        <w:tabs>
          <w:tab w:val="left" w:pos="900"/>
        </w:tabs>
        <w:spacing w:before="0" w:after="0" w:line="348" w:lineRule="auto"/>
        <w:rPr>
          <w:rFonts w:ascii="宋体" w:hAnsi="宋体" w:eastAsia="宋体" w:cs="宋体"/>
          <w:color w:val="auto"/>
          <w:sz w:val="24"/>
          <w:szCs w:val="24"/>
          <w:highlight w:val="none"/>
        </w:rPr>
      </w:pPr>
      <w:bookmarkStart w:id="416" w:name="_Toc19052"/>
      <w:bookmarkStart w:id="417" w:name="_Toc15048321"/>
      <w:bookmarkStart w:id="418" w:name="_Toc23352"/>
      <w:bookmarkStart w:id="419" w:name="_Toc57217271"/>
      <w:bookmarkStart w:id="420" w:name="_Toc5998"/>
      <w:bookmarkStart w:id="421" w:name="_Toc532473483"/>
      <w:bookmarkStart w:id="422" w:name="_Toc515647791"/>
      <w:bookmarkStart w:id="423" w:name="_Toc520356174"/>
      <w:bookmarkStart w:id="424" w:name="_Toc30170"/>
      <w:bookmarkStart w:id="425" w:name="_Toc31099"/>
      <w:r>
        <w:rPr>
          <w:rFonts w:hint="eastAsia" w:ascii="宋体" w:hAnsi="宋体" w:eastAsia="宋体" w:cs="宋体"/>
          <w:color w:val="auto"/>
          <w:sz w:val="24"/>
          <w:szCs w:val="24"/>
          <w:highlight w:val="none"/>
        </w:rPr>
        <w:t>6.4 发出成交通知书</w:t>
      </w:r>
      <w:bookmarkEnd w:id="416"/>
      <w:bookmarkEnd w:id="417"/>
      <w:bookmarkEnd w:id="418"/>
      <w:bookmarkEnd w:id="419"/>
      <w:bookmarkEnd w:id="420"/>
    </w:p>
    <w:p>
      <w:pP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或者采购代理机构应当在成交供应商确定之日起2个工作日内，在《河南省政府采购网》、《河南省电子招标投标公共服务平台》、《中国招标投标公共服务平台》、《河南省公共资源交易中心门户网站》上公告成交结果，同时向成交供应商发出成交通知书，成交通知书是合同的组成部分。</w:t>
      </w:r>
    </w:p>
    <w:bookmarkEnd w:id="421"/>
    <w:bookmarkEnd w:id="422"/>
    <w:bookmarkEnd w:id="423"/>
    <w:bookmarkEnd w:id="424"/>
    <w:bookmarkEnd w:id="425"/>
    <w:p>
      <w:pPr>
        <w:pStyle w:val="12"/>
        <w:spacing w:before="0" w:after="0" w:line="348" w:lineRule="auto"/>
        <w:rPr>
          <w:rFonts w:ascii="宋体" w:hAnsi="宋体" w:eastAsia="宋体" w:cs="宋体"/>
          <w:color w:val="auto"/>
          <w:sz w:val="24"/>
          <w:szCs w:val="24"/>
          <w:highlight w:val="none"/>
        </w:rPr>
      </w:pPr>
      <w:bookmarkStart w:id="426" w:name="_Ref467307204"/>
      <w:bookmarkStart w:id="427" w:name="_Toc15048323"/>
      <w:bookmarkStart w:id="428" w:name="_Ref467307062"/>
      <w:bookmarkStart w:id="429" w:name="_Toc790"/>
      <w:bookmarkStart w:id="430" w:name="_Toc8240"/>
      <w:bookmarkStart w:id="431" w:name="_Toc7779"/>
      <w:bookmarkStart w:id="432" w:name="_Toc13372"/>
      <w:bookmarkStart w:id="433" w:name="_Toc515647792"/>
      <w:bookmarkStart w:id="434" w:name="_Ref467306978"/>
      <w:bookmarkStart w:id="435" w:name="_Toc520356175"/>
      <w:bookmarkStart w:id="436" w:name="_Ref467306377"/>
      <w:bookmarkStart w:id="437" w:name="_Toc4429"/>
      <w:bookmarkStart w:id="438" w:name="_Toc57217272"/>
      <w:bookmarkStart w:id="439" w:name="_Toc532473484"/>
      <w:r>
        <w:rPr>
          <w:rFonts w:hint="eastAsia" w:ascii="宋体" w:hAnsi="宋体" w:eastAsia="宋体" w:cs="宋体"/>
          <w:color w:val="auto"/>
          <w:sz w:val="24"/>
          <w:szCs w:val="24"/>
          <w:highlight w:val="none"/>
        </w:rPr>
        <w:t>7、签订合同</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pPr>
        <w:spacing w:line="348" w:lineRule="auto"/>
        <w:rPr>
          <w:rFonts w:ascii="宋体" w:hAnsi="宋体" w:cs="宋体"/>
          <w:color w:val="auto"/>
          <w:sz w:val="24"/>
          <w:highlight w:val="none"/>
        </w:rPr>
      </w:pPr>
      <w:r>
        <w:rPr>
          <w:rFonts w:hint="eastAsia" w:ascii="宋体" w:hAnsi="宋体" w:cs="宋体"/>
          <w:color w:val="auto"/>
          <w:sz w:val="24"/>
          <w:highlight w:val="none"/>
        </w:rPr>
        <w:t>7.1成交供应商应当自发出成交通知书之日起15日内，按照竞争性磋商文件确定的合同文本以及采购标的、规格型号、采购金额、采购数量、技术和服务要求等事项与采购人签订政府采购合同。</w:t>
      </w:r>
    </w:p>
    <w:p>
      <w:pPr>
        <w:spacing w:line="348" w:lineRule="auto"/>
        <w:rPr>
          <w:rFonts w:ascii="宋体" w:hAnsi="宋体" w:cs="宋体"/>
          <w:color w:val="auto"/>
          <w:sz w:val="24"/>
          <w:highlight w:val="none"/>
        </w:rPr>
      </w:pPr>
      <w:r>
        <w:rPr>
          <w:rFonts w:hint="eastAsia" w:ascii="宋体" w:hAnsi="宋体" w:cs="宋体"/>
          <w:color w:val="auto"/>
          <w:sz w:val="24"/>
          <w:highlight w:val="none"/>
        </w:rPr>
        <w:t>7.2除不可抗力等因素外，成交通知书发出后，采购人改变成交结果，或者成交供应商拒绝签订政府采购合同的，应当承担相应的法律责任。</w:t>
      </w:r>
    </w:p>
    <w:p>
      <w:pPr>
        <w:spacing w:line="348" w:lineRule="auto"/>
        <w:rPr>
          <w:rFonts w:ascii="宋体" w:hAnsi="宋体" w:cs="宋体"/>
          <w:color w:val="auto"/>
          <w:sz w:val="24"/>
          <w:highlight w:val="none"/>
        </w:rPr>
      </w:pPr>
      <w:r>
        <w:rPr>
          <w:rFonts w:hint="eastAsia" w:ascii="宋体" w:hAnsi="宋体" w:cs="宋体"/>
          <w:color w:val="auto"/>
          <w:sz w:val="24"/>
          <w:highlight w:val="none"/>
        </w:rPr>
        <w:t>7.3竞争性磋商文件、成交供应商的响应文件及其澄清文件等，均为签订合同的依据。所签订的合同不得对竞争性磋商文件确定的事项和成交供应商响应文件作实质性修改。采购人不得向成交供应商提出超出竞争性磋商文件以外的任何不合理的要求，作为签订合同的条件，不得与成交供应商订立背离竞争性磋商文件确定的合同文本以及采购标的、规格型号、采购金额、采购数量、技术和服务要求等实质性内容的协议。</w:t>
      </w:r>
    </w:p>
    <w:p>
      <w:pPr>
        <w:spacing w:line="348" w:lineRule="auto"/>
        <w:rPr>
          <w:rFonts w:ascii="宋体" w:hAnsi="宋体" w:cs="宋体"/>
          <w:color w:val="auto"/>
          <w:sz w:val="24"/>
          <w:highlight w:val="none"/>
        </w:rPr>
      </w:pPr>
      <w:r>
        <w:rPr>
          <w:rFonts w:hint="eastAsia" w:ascii="宋体" w:hAnsi="宋体" w:cs="宋体"/>
          <w:color w:val="auto"/>
          <w:sz w:val="24"/>
          <w:highlight w:val="none"/>
        </w:rPr>
        <w:t>7.4如成交供应商拒绝与采购人签订合同的，成交供应商须按“供应商参加磋商采购活动的承诺书”中的承诺内容向采购人和采购代理机构支付赔偿；采购人可以按照评审报告推荐的成交候选供应商名单排序，确定下一成交候选供应商为成交供应商，也可以重新开展政府采购活动。拒绝签订政府采购合同的成交供应商不得参加对该项目重新开展的采购活动。</w:t>
      </w:r>
    </w:p>
    <w:p>
      <w:pPr>
        <w:spacing w:line="348" w:lineRule="auto"/>
        <w:rPr>
          <w:rFonts w:ascii="宋体" w:hAnsi="宋体" w:cs="宋体"/>
          <w:color w:val="auto"/>
          <w:sz w:val="24"/>
          <w:highlight w:val="none"/>
        </w:rPr>
      </w:pPr>
      <w:bookmarkStart w:id="440" w:name="_Ref467307090"/>
      <w:bookmarkStart w:id="441" w:name="_Toc520356176"/>
      <w:bookmarkStart w:id="442" w:name="_Ref467306425"/>
      <w:r>
        <w:rPr>
          <w:rFonts w:hint="eastAsia" w:ascii="宋体" w:hAnsi="宋体" w:cs="宋体"/>
          <w:color w:val="auto"/>
          <w:sz w:val="24"/>
          <w:highlight w:val="none"/>
        </w:rPr>
        <w:t>7.5当出现法律法规规定的成交无效或成交结果无效情形时，采购人可以按照评审报告推荐的成交候选供应商名单排序，确定下一成交候选供应商为成交供应商，也可以重新开展政府采购活动。</w:t>
      </w:r>
    </w:p>
    <w:p>
      <w:pPr>
        <w:pStyle w:val="12"/>
        <w:spacing w:before="0" w:after="0" w:line="348" w:lineRule="auto"/>
        <w:rPr>
          <w:rFonts w:ascii="宋体" w:hAnsi="宋体" w:eastAsia="宋体" w:cs="宋体"/>
          <w:color w:val="auto"/>
          <w:sz w:val="24"/>
          <w:szCs w:val="24"/>
          <w:highlight w:val="none"/>
        </w:rPr>
      </w:pPr>
      <w:bookmarkStart w:id="443" w:name="_Toc14080"/>
      <w:bookmarkStart w:id="444" w:name="_Toc3300"/>
      <w:bookmarkStart w:id="445" w:name="_Toc15048324"/>
      <w:bookmarkStart w:id="446" w:name="_Toc532473485"/>
      <w:bookmarkStart w:id="447" w:name="_Toc22799"/>
      <w:bookmarkStart w:id="448" w:name="_Toc515647793"/>
      <w:bookmarkStart w:id="449" w:name="_Toc21142"/>
      <w:bookmarkStart w:id="450" w:name="_Toc22555"/>
      <w:bookmarkStart w:id="451" w:name="_Toc57217273"/>
      <w:r>
        <w:rPr>
          <w:rFonts w:hint="eastAsia" w:ascii="宋体" w:hAnsi="宋体" w:eastAsia="宋体" w:cs="宋体"/>
          <w:color w:val="auto"/>
          <w:sz w:val="24"/>
          <w:szCs w:val="24"/>
          <w:highlight w:val="none"/>
        </w:rPr>
        <w:t>8、履约保证金</w:t>
      </w:r>
      <w:bookmarkEnd w:id="440"/>
      <w:bookmarkEnd w:id="441"/>
      <w:bookmarkEnd w:id="442"/>
      <w:bookmarkEnd w:id="443"/>
      <w:bookmarkEnd w:id="444"/>
      <w:bookmarkEnd w:id="445"/>
      <w:bookmarkEnd w:id="446"/>
      <w:bookmarkEnd w:id="447"/>
      <w:bookmarkEnd w:id="448"/>
      <w:bookmarkEnd w:id="449"/>
      <w:bookmarkEnd w:id="450"/>
      <w:bookmarkEnd w:id="451"/>
    </w:p>
    <w:p>
      <w:pP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中的规定。</w:t>
      </w:r>
    </w:p>
    <w:p>
      <w:pPr>
        <w:pStyle w:val="12"/>
        <w:spacing w:before="0" w:after="0" w:line="348" w:lineRule="auto"/>
        <w:rPr>
          <w:rFonts w:ascii="宋体" w:hAnsi="宋体" w:eastAsia="宋体" w:cs="宋体"/>
          <w:color w:val="auto"/>
          <w:sz w:val="24"/>
          <w:szCs w:val="24"/>
          <w:highlight w:val="none"/>
        </w:rPr>
      </w:pPr>
      <w:bookmarkStart w:id="452" w:name="_Toc5262"/>
      <w:bookmarkStart w:id="453" w:name="_Toc2583659"/>
      <w:bookmarkStart w:id="454" w:name="_Toc57217275"/>
      <w:bookmarkStart w:id="455" w:name="_Toc7623"/>
      <w:bookmarkStart w:id="456" w:name="_Toc15048326"/>
      <w:bookmarkStart w:id="457" w:name="_Toc6212"/>
      <w:r>
        <w:rPr>
          <w:rFonts w:hint="eastAsia" w:ascii="宋体" w:hAnsi="宋体" w:eastAsia="宋体" w:cs="宋体"/>
          <w:color w:val="auto"/>
          <w:sz w:val="24"/>
          <w:szCs w:val="24"/>
          <w:highlight w:val="none"/>
        </w:rPr>
        <w:t>9、采购代理服务费</w:t>
      </w:r>
      <w:bookmarkEnd w:id="452"/>
      <w:bookmarkEnd w:id="453"/>
      <w:bookmarkEnd w:id="454"/>
      <w:bookmarkEnd w:id="455"/>
      <w:bookmarkEnd w:id="456"/>
      <w:bookmarkEnd w:id="457"/>
    </w:p>
    <w:p>
      <w:pP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成交供应商须按照供应商须知表的规定，向采购代理机构支付采购代理服务费。</w:t>
      </w:r>
    </w:p>
    <w:p>
      <w:pPr>
        <w:pStyle w:val="12"/>
        <w:spacing w:before="0" w:after="0" w:line="348" w:lineRule="auto"/>
        <w:rPr>
          <w:rFonts w:ascii="宋体" w:hAnsi="宋体" w:eastAsia="宋体" w:cs="宋体"/>
          <w:color w:val="auto"/>
          <w:sz w:val="24"/>
          <w:szCs w:val="24"/>
          <w:highlight w:val="none"/>
        </w:rPr>
      </w:pPr>
      <w:bookmarkStart w:id="458" w:name="_Toc5159"/>
      <w:bookmarkStart w:id="459" w:name="_Toc15048330"/>
      <w:bookmarkStart w:id="460" w:name="_Toc11313"/>
      <w:bookmarkStart w:id="461" w:name="_Toc518923102"/>
      <w:bookmarkStart w:id="462" w:name="_Toc2583663"/>
      <w:bookmarkStart w:id="463" w:name="_Toc57217277"/>
      <w:bookmarkStart w:id="464" w:name="_Toc8744"/>
      <w:r>
        <w:rPr>
          <w:rFonts w:hint="eastAsia" w:ascii="宋体" w:hAnsi="宋体" w:eastAsia="宋体" w:cs="宋体"/>
          <w:color w:val="auto"/>
          <w:sz w:val="24"/>
          <w:szCs w:val="24"/>
          <w:highlight w:val="none"/>
        </w:rPr>
        <w:t>10、质疑的提出与接收</w:t>
      </w:r>
      <w:bookmarkEnd w:id="458"/>
      <w:bookmarkEnd w:id="459"/>
      <w:bookmarkEnd w:id="460"/>
      <w:bookmarkEnd w:id="461"/>
      <w:bookmarkEnd w:id="462"/>
      <w:bookmarkEnd w:id="463"/>
      <w:bookmarkEnd w:id="464"/>
    </w:p>
    <w:p>
      <w:pPr>
        <w:spacing w:line="348" w:lineRule="auto"/>
        <w:rPr>
          <w:rFonts w:ascii="宋体" w:hAnsi="宋体" w:cs="宋体"/>
          <w:color w:val="auto"/>
          <w:sz w:val="24"/>
          <w:highlight w:val="none"/>
        </w:rPr>
      </w:pPr>
      <w:r>
        <w:rPr>
          <w:rFonts w:hint="eastAsia" w:ascii="宋体" w:hAnsi="宋体" w:cs="宋体"/>
          <w:color w:val="auto"/>
          <w:sz w:val="24"/>
          <w:highlight w:val="none"/>
        </w:rPr>
        <w:t>10.1供应商认为竞争性磋商文件、采购过程和成交结果使自己的权益受到损害的，可以根据《中华人民共和国政府采购法》、《中华人民共和国政府采购法实施条例》、《政府采购竞争性磋商采购方式暂行办法》和《政府采购质疑和投诉办法》等有关规定，依法向采购人或其委托的采购代理机构提出质疑。</w:t>
      </w:r>
    </w:p>
    <w:p>
      <w:pPr>
        <w:spacing w:line="348" w:lineRule="auto"/>
        <w:rPr>
          <w:rFonts w:ascii="宋体" w:hAnsi="宋体" w:cs="宋体"/>
          <w:color w:val="auto"/>
          <w:sz w:val="24"/>
          <w:highlight w:val="none"/>
        </w:rPr>
      </w:pPr>
      <w:r>
        <w:rPr>
          <w:rFonts w:hint="eastAsia" w:ascii="宋体" w:hAnsi="宋体" w:cs="宋体"/>
          <w:color w:val="auto"/>
          <w:sz w:val="24"/>
          <w:highlight w:val="none"/>
        </w:rPr>
        <w:t>10.2质疑供应商应按照财政部门制定的《政府采购质疑函范本》格式（可从财政部官方网站下载）和《政府采购质疑和投诉办法》的要求，在法定质疑期内以书面形式提出质疑，针对同一采购程序环节的质疑应一次性提出。超出法定质疑期的、重复提出的、分次提出的或内容、形式不符合《政府采购质疑和投诉办法》的，质疑供应商将依法承担不利后果。</w:t>
      </w:r>
    </w:p>
    <w:p>
      <w:pPr>
        <w:spacing w:line="348" w:lineRule="auto"/>
        <w:rPr>
          <w:rFonts w:ascii="宋体" w:hAnsi="宋体" w:cs="宋体"/>
          <w:color w:val="auto"/>
          <w:sz w:val="24"/>
          <w:highlight w:val="none"/>
        </w:rPr>
      </w:pPr>
      <w:r>
        <w:rPr>
          <w:rFonts w:hint="eastAsia" w:ascii="宋体" w:hAnsi="宋体" w:cs="宋体"/>
          <w:color w:val="auto"/>
          <w:sz w:val="24"/>
          <w:highlight w:val="none"/>
        </w:rPr>
        <w:t>10.3采购代理机构质疑函接收部门、联系电话和通讯地址, 见</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w:t>
      </w:r>
    </w:p>
    <w:p>
      <w:pPr>
        <w:pStyle w:val="12"/>
        <w:spacing w:before="0" w:after="0" w:line="348" w:lineRule="auto"/>
        <w:rPr>
          <w:rFonts w:ascii="宋体" w:hAnsi="宋体" w:eastAsia="宋体" w:cs="宋体"/>
          <w:color w:val="auto"/>
          <w:sz w:val="24"/>
          <w:szCs w:val="24"/>
          <w:highlight w:val="none"/>
        </w:rPr>
      </w:pPr>
      <w:bookmarkStart w:id="465" w:name="_Toc57217278"/>
      <w:bookmarkStart w:id="466" w:name="_Toc29673"/>
      <w:bookmarkStart w:id="467" w:name="_Toc6422"/>
      <w:bookmarkStart w:id="468" w:name="_Toc15660"/>
      <w:r>
        <w:rPr>
          <w:rFonts w:hint="eastAsia" w:ascii="宋体" w:hAnsi="宋体" w:eastAsia="宋体" w:cs="宋体"/>
          <w:color w:val="auto"/>
          <w:sz w:val="24"/>
          <w:szCs w:val="24"/>
          <w:highlight w:val="none"/>
        </w:rPr>
        <w:t>11、知识产权</w:t>
      </w:r>
      <w:bookmarkEnd w:id="465"/>
      <w:bookmarkEnd w:id="466"/>
      <w:bookmarkEnd w:id="467"/>
      <w:bookmarkEnd w:id="468"/>
    </w:p>
    <w:p>
      <w:pPr>
        <w:tabs>
          <w:tab w:val="left" w:pos="360"/>
        </w:tabs>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须保证采购人在中华人民共和国境内使用供应商所提供的货物（包括伴随的服务）/工程（伴随的服务）或其任何一部分时，不会产生因第三方提出侵犯其专利权、商标权或其它知识产权而引起的法律或经济纠纷。如供应商不拥有相应的知识产权，则在响应报价中必须包括合法获取该知识产权的一切相关费用。如因此导致采购人损失的，供应商须承担全部赔偿责任。</w:t>
      </w:r>
    </w:p>
    <w:p>
      <w:pPr>
        <w:pStyle w:val="12"/>
        <w:spacing w:before="0" w:after="0" w:line="348" w:lineRule="auto"/>
        <w:rPr>
          <w:rFonts w:ascii="宋体" w:hAnsi="宋体" w:eastAsia="宋体" w:cs="宋体"/>
          <w:color w:val="auto"/>
          <w:sz w:val="24"/>
          <w:szCs w:val="24"/>
          <w:highlight w:val="none"/>
        </w:rPr>
      </w:pPr>
      <w:bookmarkStart w:id="469" w:name="_Toc3866"/>
      <w:bookmarkStart w:id="470" w:name="_Toc17992"/>
      <w:bookmarkStart w:id="471" w:name="_Toc20611"/>
      <w:bookmarkStart w:id="472" w:name="_Toc57217279"/>
      <w:r>
        <w:rPr>
          <w:rFonts w:hint="eastAsia" w:ascii="宋体" w:hAnsi="宋体" w:eastAsia="宋体" w:cs="宋体"/>
          <w:color w:val="auto"/>
          <w:sz w:val="24"/>
          <w:szCs w:val="24"/>
          <w:highlight w:val="none"/>
        </w:rPr>
        <w:t>12、供应商的赔偿责任</w:t>
      </w:r>
      <w:bookmarkEnd w:id="469"/>
      <w:bookmarkEnd w:id="470"/>
      <w:bookmarkEnd w:id="471"/>
      <w:bookmarkEnd w:id="472"/>
    </w:p>
    <w:p>
      <w:pP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有下列情形之一的，供应商应当向采购代理机构及采购人支付本项目预算金额（或最高限价）的2%的违约赔偿金。</w:t>
      </w:r>
    </w:p>
    <w:p>
      <w:pPr>
        <w:spacing w:line="348"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（1）供应商在提交响应文件截止时间后撤回（撤销）响应文件的（不包括在提交最后报价之前退出磋商的）；</w:t>
      </w:r>
    </w:p>
    <w:p>
      <w:pPr>
        <w:spacing w:line="348" w:lineRule="auto"/>
        <w:rPr>
          <w:rFonts w:ascii="宋体" w:hAnsi="宋体" w:cs="宋体"/>
          <w:color w:val="auto"/>
          <w:sz w:val="24"/>
          <w:highlight w:val="none"/>
        </w:rPr>
      </w:pPr>
      <w:r>
        <w:rPr>
          <w:rFonts w:hint="eastAsia" w:ascii="宋体" w:hAnsi="宋体" w:cs="宋体"/>
          <w:color w:val="auto"/>
          <w:sz w:val="24"/>
          <w:highlight w:val="none"/>
        </w:rPr>
        <w:t>　　（2）供应商在响应文件中提供虚假材料的；</w:t>
      </w:r>
    </w:p>
    <w:p>
      <w:pPr>
        <w:spacing w:line="348" w:lineRule="auto"/>
        <w:rPr>
          <w:rFonts w:ascii="宋体" w:hAnsi="宋体" w:cs="宋体"/>
          <w:color w:val="auto"/>
          <w:sz w:val="24"/>
          <w:highlight w:val="none"/>
        </w:rPr>
      </w:pPr>
      <w:r>
        <w:rPr>
          <w:rFonts w:hint="eastAsia" w:ascii="宋体" w:hAnsi="宋体" w:cs="宋体"/>
          <w:color w:val="auto"/>
          <w:sz w:val="24"/>
          <w:highlight w:val="none"/>
        </w:rPr>
        <w:t>　　（3）除因不可抗力或竞争性磋商文件认可的情形以外，成交供应商不与采购人签订合同的；</w:t>
      </w:r>
    </w:p>
    <w:p>
      <w:pPr>
        <w:spacing w:line="348" w:lineRule="auto"/>
        <w:rPr>
          <w:rFonts w:ascii="宋体" w:hAnsi="宋体" w:cs="宋体"/>
          <w:color w:val="auto"/>
          <w:sz w:val="24"/>
          <w:highlight w:val="none"/>
        </w:rPr>
      </w:pPr>
      <w:r>
        <w:rPr>
          <w:rFonts w:hint="eastAsia" w:ascii="宋体" w:hAnsi="宋体" w:cs="宋体"/>
          <w:color w:val="auto"/>
          <w:sz w:val="24"/>
          <w:highlight w:val="none"/>
        </w:rPr>
        <w:t>　　（4）供应商与采购人、其他供应商或者采购代理机构恶意串通的；</w:t>
      </w:r>
    </w:p>
    <w:p>
      <w:pPr>
        <w:spacing w:line="348" w:lineRule="auto"/>
        <w:rPr>
          <w:rFonts w:ascii="宋体" w:hAnsi="宋体" w:cs="宋体"/>
          <w:color w:val="auto"/>
          <w:sz w:val="24"/>
          <w:highlight w:val="none"/>
        </w:rPr>
      </w:pPr>
      <w:r>
        <w:rPr>
          <w:rFonts w:hint="eastAsia" w:ascii="宋体" w:hAnsi="宋体" w:cs="宋体"/>
          <w:color w:val="auto"/>
          <w:sz w:val="24"/>
          <w:highlight w:val="none"/>
        </w:rPr>
        <w:t>　　（5）磋商文件规定的其他情形。</w:t>
      </w:r>
    </w:p>
    <w:p>
      <w:pPr>
        <w:pStyle w:val="12"/>
        <w:spacing w:before="0" w:after="0" w:line="348" w:lineRule="auto"/>
        <w:rPr>
          <w:rFonts w:ascii="宋体" w:hAnsi="宋体" w:eastAsia="宋体" w:cs="宋体"/>
          <w:color w:val="auto"/>
          <w:sz w:val="24"/>
          <w:szCs w:val="24"/>
          <w:highlight w:val="none"/>
        </w:rPr>
      </w:pPr>
      <w:bookmarkStart w:id="473" w:name="_Toc2583661"/>
      <w:bookmarkStart w:id="474" w:name="_Toc28211"/>
      <w:bookmarkStart w:id="475" w:name="_Toc57217280"/>
      <w:bookmarkStart w:id="476" w:name="_Toc15048328"/>
      <w:bookmarkStart w:id="477" w:name="_Toc32255"/>
      <w:bookmarkStart w:id="478" w:name="_Toc518923100"/>
      <w:bookmarkStart w:id="479" w:name="_Toc18941"/>
      <w:r>
        <w:rPr>
          <w:rFonts w:hint="eastAsia" w:ascii="宋体" w:hAnsi="宋体" w:eastAsia="宋体" w:cs="宋体"/>
          <w:color w:val="auto"/>
          <w:sz w:val="24"/>
          <w:szCs w:val="24"/>
          <w:highlight w:val="none"/>
        </w:rPr>
        <w:t>13、廉洁自律规定</w:t>
      </w:r>
      <w:bookmarkEnd w:id="473"/>
      <w:bookmarkEnd w:id="474"/>
      <w:bookmarkEnd w:id="475"/>
      <w:bookmarkEnd w:id="476"/>
      <w:bookmarkEnd w:id="477"/>
      <w:bookmarkEnd w:id="478"/>
      <w:bookmarkEnd w:id="479"/>
    </w:p>
    <w:p>
      <w:pPr>
        <w:spacing w:line="348" w:lineRule="auto"/>
        <w:rPr>
          <w:rFonts w:ascii="宋体" w:hAnsi="宋体" w:cs="宋体"/>
          <w:color w:val="auto"/>
          <w:sz w:val="24"/>
          <w:highlight w:val="none"/>
        </w:rPr>
      </w:pPr>
      <w:r>
        <w:rPr>
          <w:rFonts w:hint="eastAsia" w:ascii="宋体" w:hAnsi="宋体" w:cs="宋体"/>
          <w:color w:val="auto"/>
          <w:sz w:val="24"/>
          <w:highlight w:val="none"/>
        </w:rPr>
        <w:t>13.1采购代理机构工作人员不得以不正当手段获取政府采购代理业务，不得与采购人、供应商恶意串通操纵政府采购活动。</w:t>
      </w:r>
    </w:p>
    <w:p>
      <w:pPr>
        <w:spacing w:line="348" w:lineRule="auto"/>
        <w:rPr>
          <w:rFonts w:ascii="宋体" w:hAnsi="宋体" w:cs="宋体"/>
          <w:color w:val="auto"/>
          <w:sz w:val="24"/>
          <w:highlight w:val="none"/>
        </w:rPr>
      </w:pPr>
      <w:r>
        <w:rPr>
          <w:rFonts w:hint="eastAsia" w:ascii="宋体" w:hAnsi="宋体" w:cs="宋体"/>
          <w:color w:val="auto"/>
          <w:sz w:val="24"/>
          <w:highlight w:val="none"/>
        </w:rPr>
        <w:t>13.2采购代理机构工作人员不得接受采购人或者供应商组织的宴请、旅游、娱乐，不得收受礼品、现金、有价证券等，不得向采购人或者供应商报销应当由个人承担的费用。</w:t>
      </w:r>
    </w:p>
    <w:p>
      <w:pPr>
        <w:pStyle w:val="12"/>
        <w:spacing w:before="0" w:after="0" w:line="348" w:lineRule="auto"/>
        <w:rPr>
          <w:rFonts w:ascii="宋体" w:hAnsi="宋体" w:eastAsia="宋体" w:cs="宋体"/>
          <w:color w:val="auto"/>
          <w:sz w:val="24"/>
          <w:szCs w:val="24"/>
          <w:highlight w:val="none"/>
        </w:rPr>
      </w:pPr>
      <w:bookmarkStart w:id="480" w:name="_Toc518923101"/>
      <w:bookmarkStart w:id="481" w:name="_Toc30625"/>
      <w:bookmarkStart w:id="482" w:name="_Toc18167"/>
      <w:bookmarkStart w:id="483" w:name="_Toc57217281"/>
      <w:bookmarkStart w:id="484" w:name="_Toc15048329"/>
      <w:bookmarkStart w:id="485" w:name="_Toc2583662"/>
      <w:bookmarkStart w:id="486" w:name="_Toc31517"/>
      <w:r>
        <w:rPr>
          <w:rFonts w:hint="eastAsia" w:ascii="宋体" w:hAnsi="宋体" w:eastAsia="宋体" w:cs="宋体"/>
          <w:color w:val="auto"/>
          <w:sz w:val="24"/>
          <w:szCs w:val="24"/>
          <w:highlight w:val="none"/>
        </w:rPr>
        <w:t>14、人员回避</w:t>
      </w:r>
      <w:bookmarkEnd w:id="480"/>
      <w:bookmarkEnd w:id="481"/>
      <w:bookmarkEnd w:id="482"/>
      <w:bookmarkEnd w:id="483"/>
      <w:bookmarkEnd w:id="484"/>
      <w:bookmarkEnd w:id="485"/>
      <w:bookmarkEnd w:id="486"/>
    </w:p>
    <w:p>
      <w:pP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供应商认为采购人员及其相关人员有法律法规所列与其他供应商有利害关系的，可以向采购人或采购代理机构书面提出回避申请，并说明理由。</w:t>
      </w:r>
    </w:p>
    <w:p>
      <w:pPr>
        <w:pStyle w:val="12"/>
        <w:spacing w:before="0" w:after="0" w:line="348" w:lineRule="auto"/>
        <w:rPr>
          <w:rFonts w:ascii="宋体" w:hAnsi="宋体" w:eastAsia="宋体" w:cs="宋体"/>
          <w:color w:val="auto"/>
          <w:sz w:val="24"/>
          <w:szCs w:val="24"/>
          <w:highlight w:val="none"/>
        </w:rPr>
      </w:pPr>
      <w:bookmarkStart w:id="487" w:name="_Toc25832449"/>
      <w:bookmarkStart w:id="488" w:name="_Toc34733052"/>
      <w:bookmarkStart w:id="489" w:name="_Toc34732664"/>
      <w:bookmarkStart w:id="490" w:name="_Toc27862"/>
      <w:bookmarkStart w:id="491" w:name="_Toc34732584"/>
      <w:bookmarkStart w:id="492" w:name="_Toc57217282"/>
      <w:bookmarkStart w:id="493" w:name="_Toc40972840"/>
      <w:bookmarkStart w:id="494" w:name="_Toc36564765"/>
      <w:bookmarkStart w:id="495" w:name="_Toc8185"/>
      <w:bookmarkStart w:id="496" w:name="_Toc26809"/>
      <w:r>
        <w:rPr>
          <w:rFonts w:hint="eastAsia" w:ascii="宋体" w:hAnsi="宋体" w:eastAsia="宋体" w:cs="宋体"/>
          <w:color w:val="auto"/>
          <w:sz w:val="24"/>
          <w:szCs w:val="24"/>
          <w:highlight w:val="none"/>
        </w:rPr>
        <w:t>15、纪律和监督</w:t>
      </w:r>
      <w:bookmarkEnd w:id="487"/>
      <w:bookmarkEnd w:id="488"/>
      <w:bookmarkEnd w:id="489"/>
      <w:bookmarkEnd w:id="490"/>
      <w:bookmarkEnd w:id="491"/>
      <w:bookmarkEnd w:id="492"/>
      <w:bookmarkEnd w:id="493"/>
      <w:bookmarkEnd w:id="494"/>
      <w:bookmarkEnd w:id="495"/>
      <w:bookmarkEnd w:id="496"/>
    </w:p>
    <w:p>
      <w:pPr>
        <w:keepNext/>
        <w:keepLines/>
        <w:spacing w:line="348" w:lineRule="auto"/>
        <w:outlineLvl w:val="3"/>
        <w:rPr>
          <w:rFonts w:ascii="宋体" w:hAnsi="宋体" w:cs="宋体"/>
          <w:b/>
          <w:color w:val="auto"/>
          <w:sz w:val="24"/>
          <w:highlight w:val="none"/>
        </w:rPr>
      </w:pPr>
      <w:bookmarkStart w:id="497" w:name="_Toc34733053"/>
      <w:bookmarkStart w:id="498" w:name="_Toc25832450"/>
      <w:bookmarkStart w:id="499" w:name="_Toc18705"/>
      <w:bookmarkStart w:id="500" w:name="_Toc40972841"/>
      <w:bookmarkStart w:id="501" w:name="_Toc34732585"/>
      <w:bookmarkStart w:id="502" w:name="_Toc57217283"/>
      <w:bookmarkStart w:id="503" w:name="_Toc16546"/>
      <w:bookmarkStart w:id="504" w:name="_Toc36564766"/>
      <w:bookmarkStart w:id="505" w:name="_Toc31357"/>
      <w:r>
        <w:rPr>
          <w:rFonts w:hint="eastAsia" w:ascii="宋体" w:hAnsi="宋体" w:cs="宋体"/>
          <w:b/>
          <w:color w:val="auto"/>
          <w:sz w:val="24"/>
          <w:highlight w:val="none"/>
        </w:rPr>
        <w:t>15.1对采购人的纪律要求</w:t>
      </w:r>
      <w:bookmarkEnd w:id="497"/>
      <w:bookmarkEnd w:id="498"/>
      <w:bookmarkEnd w:id="499"/>
      <w:bookmarkEnd w:id="500"/>
      <w:bookmarkEnd w:id="501"/>
      <w:bookmarkEnd w:id="502"/>
      <w:bookmarkEnd w:id="503"/>
      <w:bookmarkEnd w:id="504"/>
      <w:bookmarkEnd w:id="505"/>
    </w:p>
    <w:p>
      <w:pP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采购人不得泄漏采购活动中应当保密的情况和资料，不得与供应商串通损害国家利益、社会公共利益或者他人合法权益。</w:t>
      </w:r>
    </w:p>
    <w:p>
      <w:pPr>
        <w:keepNext/>
        <w:keepLines/>
        <w:spacing w:line="348" w:lineRule="auto"/>
        <w:outlineLvl w:val="3"/>
        <w:rPr>
          <w:rFonts w:ascii="宋体" w:hAnsi="宋体" w:cs="宋体"/>
          <w:b/>
          <w:color w:val="auto"/>
          <w:sz w:val="24"/>
          <w:highlight w:val="none"/>
        </w:rPr>
      </w:pPr>
      <w:bookmarkStart w:id="506" w:name="_Toc36564767"/>
      <w:bookmarkStart w:id="507" w:name="_Toc57217284"/>
      <w:bookmarkStart w:id="508" w:name="_Toc34733054"/>
      <w:bookmarkStart w:id="509" w:name="_Toc17739"/>
      <w:bookmarkStart w:id="510" w:name="_Toc11902"/>
      <w:bookmarkStart w:id="511" w:name="_Toc25832451"/>
      <w:bookmarkStart w:id="512" w:name="_Toc7708"/>
      <w:bookmarkStart w:id="513" w:name="_Toc34732586"/>
      <w:bookmarkStart w:id="514" w:name="_Toc40972842"/>
      <w:r>
        <w:rPr>
          <w:rFonts w:hint="eastAsia" w:ascii="宋体" w:hAnsi="宋体" w:cs="宋体"/>
          <w:b/>
          <w:color w:val="auto"/>
          <w:sz w:val="24"/>
          <w:highlight w:val="none"/>
        </w:rPr>
        <w:t>15.2对供应商的纪律要求</w:t>
      </w:r>
      <w:bookmarkEnd w:id="506"/>
      <w:bookmarkEnd w:id="507"/>
      <w:bookmarkEnd w:id="508"/>
      <w:bookmarkEnd w:id="509"/>
      <w:bookmarkEnd w:id="510"/>
      <w:bookmarkEnd w:id="511"/>
      <w:bookmarkEnd w:id="512"/>
      <w:bookmarkEnd w:id="513"/>
      <w:bookmarkEnd w:id="514"/>
    </w:p>
    <w:p>
      <w:pP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供应商不得相互串通或者与采购人串通，不得向采购人或者磋商小组成员行贿谋取成交，不得以他人名义参加采购活动或者以其他方式弄虚作假骗取成交；供应商不得以任何方式干扰、影响采购工作。</w:t>
      </w:r>
    </w:p>
    <w:p>
      <w:pPr>
        <w:keepNext/>
        <w:keepLines/>
        <w:spacing w:line="348" w:lineRule="auto"/>
        <w:outlineLvl w:val="3"/>
        <w:rPr>
          <w:rFonts w:ascii="宋体" w:hAnsi="宋体" w:cs="宋体"/>
          <w:b/>
          <w:color w:val="auto"/>
          <w:sz w:val="24"/>
          <w:highlight w:val="none"/>
        </w:rPr>
      </w:pPr>
      <w:bookmarkStart w:id="515" w:name="_Toc25832452"/>
      <w:bookmarkStart w:id="516" w:name="_Toc40972843"/>
      <w:bookmarkStart w:id="517" w:name="_Toc34733055"/>
      <w:bookmarkStart w:id="518" w:name="_Toc10230"/>
      <w:bookmarkStart w:id="519" w:name="_Toc57217285"/>
      <w:bookmarkStart w:id="520" w:name="_Toc19777"/>
      <w:bookmarkStart w:id="521" w:name="_Toc1620"/>
      <w:bookmarkStart w:id="522" w:name="_Toc36564768"/>
      <w:bookmarkStart w:id="523" w:name="_Toc34732587"/>
      <w:r>
        <w:rPr>
          <w:rFonts w:hint="eastAsia" w:ascii="宋体" w:hAnsi="宋体" w:cs="宋体"/>
          <w:b/>
          <w:color w:val="auto"/>
          <w:sz w:val="24"/>
          <w:highlight w:val="none"/>
        </w:rPr>
        <w:t>15.3对磋商小组成员的纪律要求</w:t>
      </w:r>
      <w:bookmarkEnd w:id="515"/>
      <w:bookmarkEnd w:id="516"/>
      <w:bookmarkEnd w:id="517"/>
      <w:bookmarkEnd w:id="518"/>
      <w:bookmarkEnd w:id="519"/>
      <w:bookmarkEnd w:id="520"/>
      <w:bookmarkEnd w:id="521"/>
      <w:bookmarkEnd w:id="522"/>
      <w:bookmarkEnd w:id="523"/>
    </w:p>
    <w:p>
      <w:pP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小组成员不得收受他人的财物或者其他好处，不得向他人透漏对响应文件的评审和比较、成交候选人的推荐情况以及评审有关的其他情况。在评审过程中，磋商小组成员不得擅离职守，影响评审程序正常进行，不得使用第四章“评审方法及标准”没有规定的评审因素和标准进行评审。</w:t>
      </w:r>
    </w:p>
    <w:p>
      <w:pPr>
        <w:keepNext/>
        <w:keepLines/>
        <w:spacing w:line="348" w:lineRule="auto"/>
        <w:outlineLvl w:val="3"/>
        <w:rPr>
          <w:rFonts w:ascii="宋体" w:hAnsi="宋体" w:cs="宋体"/>
          <w:b/>
          <w:color w:val="auto"/>
          <w:sz w:val="24"/>
          <w:highlight w:val="none"/>
        </w:rPr>
      </w:pPr>
      <w:bookmarkStart w:id="524" w:name="_Toc36564769"/>
      <w:bookmarkStart w:id="525" w:name="_Toc25832453"/>
      <w:bookmarkStart w:id="526" w:name="_Toc34733056"/>
      <w:bookmarkStart w:id="527" w:name="_Toc34732588"/>
      <w:bookmarkStart w:id="528" w:name="_Toc3421"/>
      <w:bookmarkStart w:id="529" w:name="_Toc7318"/>
      <w:bookmarkStart w:id="530" w:name="_Toc57217286"/>
      <w:bookmarkStart w:id="531" w:name="_Toc23778"/>
      <w:bookmarkStart w:id="532" w:name="_Toc40972844"/>
      <w:r>
        <w:rPr>
          <w:rFonts w:hint="eastAsia" w:ascii="宋体" w:hAnsi="宋体" w:cs="宋体"/>
          <w:b/>
          <w:color w:val="auto"/>
          <w:sz w:val="24"/>
          <w:highlight w:val="none"/>
        </w:rPr>
        <w:t>15.4对与评审活动有关的工作人员的纪律要求</w:t>
      </w:r>
      <w:bookmarkEnd w:id="524"/>
      <w:bookmarkEnd w:id="525"/>
      <w:bookmarkEnd w:id="526"/>
      <w:bookmarkEnd w:id="527"/>
      <w:bookmarkEnd w:id="528"/>
      <w:bookmarkEnd w:id="529"/>
      <w:bookmarkEnd w:id="530"/>
      <w:bookmarkEnd w:id="531"/>
      <w:bookmarkEnd w:id="532"/>
    </w:p>
    <w:p>
      <w:pP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评审活动有关的工作人员不得收受他人的财物或者其他好处，不得向他人透漏对响应文件的评审和比较、成交候选人的推荐情况以及评审有关的其他情况。在评审过程中，与评审活动有关的工作人员不得擅离职守，影响评审程序正常进行。</w:t>
      </w:r>
    </w:p>
    <w:p>
      <w:pPr>
        <w:pStyle w:val="12"/>
        <w:spacing w:before="0" w:after="0" w:line="348" w:lineRule="auto"/>
        <w:rPr>
          <w:rFonts w:ascii="宋体" w:hAnsi="宋体" w:eastAsia="宋体" w:cs="宋体"/>
          <w:color w:val="auto"/>
          <w:sz w:val="24"/>
          <w:szCs w:val="24"/>
          <w:highlight w:val="none"/>
        </w:rPr>
      </w:pPr>
      <w:bookmarkStart w:id="533" w:name="_Toc22511"/>
      <w:bookmarkStart w:id="534" w:name="_Toc15968"/>
      <w:bookmarkStart w:id="535" w:name="_Toc13383"/>
      <w:bookmarkStart w:id="536" w:name="_Toc57217287"/>
      <w:r>
        <w:rPr>
          <w:rFonts w:hint="eastAsia" w:ascii="宋体" w:hAnsi="宋体" w:eastAsia="宋体" w:cs="宋体"/>
          <w:color w:val="auto"/>
          <w:sz w:val="24"/>
          <w:szCs w:val="24"/>
          <w:highlight w:val="none"/>
        </w:rPr>
        <w:t>16、履约验收</w:t>
      </w:r>
      <w:bookmarkEnd w:id="533"/>
      <w:bookmarkEnd w:id="534"/>
      <w:bookmarkEnd w:id="535"/>
      <w:bookmarkEnd w:id="536"/>
    </w:p>
    <w:p>
      <w:pPr>
        <w:spacing w:line="360" w:lineRule="auto"/>
        <w:rPr>
          <w:rFonts w:ascii="宋体" w:hAnsi="宋体" w:cs="宋体"/>
          <w:color w:val="auto"/>
          <w:sz w:val="24"/>
          <w:highlight w:val="none"/>
        </w:rPr>
      </w:pPr>
      <w:r>
        <w:rPr>
          <w:rFonts w:hint="eastAsia" w:ascii="宋体" w:hAnsi="宋体" w:cs="宋体"/>
          <w:color w:val="auto"/>
          <w:sz w:val="24"/>
          <w:highlight w:val="none"/>
        </w:rPr>
        <w:t>本项目采购人将严格按照政府采购相关法律法规的要求进行验收。</w:t>
      </w:r>
    </w:p>
    <w:p>
      <w:pPr>
        <w:pStyle w:val="12"/>
        <w:spacing w:before="0" w:after="0" w:line="34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17、扶持中小企业、监狱企业及残疾人企业发展的相关政策</w:t>
      </w:r>
    </w:p>
    <w:p>
      <w:pPr>
        <w:spacing w:line="360" w:lineRule="auto"/>
        <w:rPr>
          <w:rFonts w:ascii="宋体" w:hAnsi="宋体" w:cs="宋体"/>
          <w:color w:val="auto"/>
          <w:sz w:val="24"/>
          <w:highlight w:val="none"/>
        </w:rPr>
      </w:pPr>
      <w:r>
        <w:rPr>
          <w:rFonts w:hint="eastAsia" w:ascii="宋体" w:hAnsi="宋体" w:cs="宋体"/>
          <w:color w:val="auto"/>
          <w:sz w:val="24"/>
          <w:highlight w:val="none"/>
        </w:rPr>
        <w:t>17.1根据关于印发《政府采购促进中小企业发展管理办法》的通知{财库〔2020〕46号}、财政部印发《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并在投标文件中递交了《中小企业声明函》（声明内容需符合价格扣除条件）、《残疾人福利性单位声明函》或省级以上监狱管理局、戒毒管理局（含新疆生产建设兵团）出具的属于监狱企业的证明文件的供应商（投标人），其投标报价扣除</w:t>
      </w:r>
      <w:r>
        <w:rPr>
          <w:rFonts w:hint="eastAsia" w:ascii="宋体" w:hAnsi="宋体" w:cs="宋体"/>
          <w:b/>
          <w:bCs/>
          <w:color w:val="auto"/>
          <w:sz w:val="24"/>
          <w:highlight w:val="none"/>
        </w:rPr>
        <w:t>10%</w:t>
      </w:r>
      <w:r>
        <w:rPr>
          <w:rFonts w:hint="eastAsia" w:ascii="宋体" w:hAnsi="宋体" w:cs="宋体"/>
          <w:color w:val="auto"/>
          <w:sz w:val="24"/>
          <w:highlight w:val="none"/>
        </w:rPr>
        <w:t>后参与评审。对于同时属于小微企业、监狱企业或残疾人福利性单位的，不重复进行投标报价扣除。</w:t>
      </w:r>
    </w:p>
    <w:p>
      <w:pPr>
        <w:spacing w:line="360" w:lineRule="auto"/>
        <w:rPr>
          <w:rFonts w:ascii="宋体" w:hAnsi="宋体" w:cs="宋体"/>
          <w:color w:val="auto"/>
          <w:sz w:val="24"/>
          <w:highlight w:val="none"/>
        </w:rPr>
      </w:pPr>
      <w:r>
        <w:rPr>
          <w:rFonts w:hint="eastAsia" w:ascii="宋体" w:hAnsi="宋体" w:cs="宋体"/>
          <w:color w:val="auto"/>
          <w:sz w:val="24"/>
          <w:highlight w:val="none"/>
        </w:rPr>
        <w:t>17.2联合协议中约定，小型、微型企业和监狱企业的协议合同金额占到联合体协议合同总金额 30%以上的，可给予联合体4%的价格扣除。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联合体各方均为小型、微型企业和监狱企业的，联合体视同为小型、微型企业和监狱企业。</w:t>
      </w:r>
    </w:p>
    <w:p>
      <w:pPr>
        <w:pStyle w:val="4"/>
        <w:spacing w:after="0" w:line="336"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17.3根据财政部印发《关于进一步加大政府采购支持中小企业力度的通知》（财库[2022]19号）的规定，自2022年7月1日起，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pPr>
        <w:pStyle w:val="45"/>
        <w:spacing w:before="0" w:beforeAutospacing="0" w:after="0" w:afterAutospacing="0" w:line="360" w:lineRule="auto"/>
        <w:rPr>
          <w:rFonts w:cs="宋体"/>
          <w:color w:val="auto"/>
          <w:kern w:val="2"/>
          <w:szCs w:val="24"/>
          <w:highlight w:val="none"/>
        </w:rPr>
      </w:pPr>
      <w:r>
        <w:rPr>
          <w:rFonts w:hint="eastAsia" w:cs="宋体"/>
          <w:color w:val="auto"/>
          <w:kern w:val="2"/>
          <w:szCs w:val="24"/>
          <w:highlight w:val="none"/>
        </w:rPr>
        <w:t>17.4根据关于印发《政府采购促进中小企业发展管理办法》的通知{财库〔2020〕46号}规定：在政府采购活动中，供应商提供的货物、工程或者服务符合下列情形的，享受本办法规定的中小企业扶持政策：</w:t>
      </w:r>
    </w:p>
    <w:p>
      <w:pPr>
        <w:pStyle w:val="45"/>
        <w:spacing w:before="0" w:beforeAutospacing="0" w:after="0" w:afterAutospacing="0" w:line="360" w:lineRule="auto"/>
        <w:ind w:firstLine="374"/>
        <w:rPr>
          <w:rFonts w:cs="宋体"/>
          <w:color w:val="auto"/>
          <w:kern w:val="2"/>
          <w:szCs w:val="24"/>
          <w:highlight w:val="none"/>
        </w:rPr>
      </w:pPr>
      <w:r>
        <w:rPr>
          <w:rFonts w:hint="eastAsia" w:cs="宋体"/>
          <w:color w:val="auto"/>
          <w:kern w:val="2"/>
          <w:szCs w:val="24"/>
          <w:highlight w:val="none"/>
        </w:rPr>
        <w:t>（一）在货物采购项目中，货物由中小企业制造，即货物由中小企业生产且使用该中小企业商号或者注册商标；</w:t>
      </w:r>
    </w:p>
    <w:p>
      <w:pPr>
        <w:pStyle w:val="45"/>
        <w:spacing w:before="0" w:beforeAutospacing="0" w:after="0" w:afterAutospacing="0" w:line="360" w:lineRule="auto"/>
        <w:ind w:firstLine="374"/>
        <w:rPr>
          <w:rFonts w:cs="宋体"/>
          <w:color w:val="auto"/>
          <w:kern w:val="2"/>
          <w:szCs w:val="24"/>
          <w:highlight w:val="none"/>
        </w:rPr>
      </w:pPr>
      <w:r>
        <w:rPr>
          <w:rFonts w:hint="eastAsia" w:cs="宋体"/>
          <w:color w:val="auto"/>
          <w:kern w:val="2"/>
          <w:szCs w:val="24"/>
          <w:highlight w:val="none"/>
        </w:rPr>
        <w:t>（二）在工程采购项目中，工程由中小企业承建，即工程施工单位为中小企业；</w:t>
      </w:r>
    </w:p>
    <w:p>
      <w:pPr>
        <w:pStyle w:val="45"/>
        <w:spacing w:before="0" w:beforeAutospacing="0" w:after="0" w:afterAutospacing="0" w:line="360" w:lineRule="auto"/>
        <w:ind w:firstLine="374"/>
        <w:rPr>
          <w:rFonts w:cs="宋体"/>
          <w:color w:val="auto"/>
          <w:kern w:val="2"/>
          <w:szCs w:val="24"/>
          <w:highlight w:val="none"/>
        </w:rPr>
      </w:pPr>
      <w:r>
        <w:rPr>
          <w:rFonts w:hint="eastAsia" w:cs="宋体"/>
          <w:color w:val="auto"/>
          <w:kern w:val="2"/>
          <w:szCs w:val="24"/>
          <w:highlight w:val="none"/>
        </w:rPr>
        <w:t>（三）在服务采购项目中，服务由中小企业承接，即提供服务的人员为中小企业依照《中华人民共和国劳动合同法》订立劳动合同的从业人员。</w:t>
      </w:r>
    </w:p>
    <w:p>
      <w:pPr>
        <w:pStyle w:val="45"/>
        <w:spacing w:before="0" w:beforeAutospacing="0" w:after="0" w:afterAutospacing="0" w:line="360" w:lineRule="auto"/>
        <w:ind w:firstLine="374"/>
        <w:rPr>
          <w:rFonts w:cs="宋体"/>
          <w:color w:val="auto"/>
          <w:kern w:val="2"/>
          <w:szCs w:val="24"/>
          <w:highlight w:val="none"/>
        </w:rPr>
      </w:pPr>
      <w:r>
        <w:rPr>
          <w:rFonts w:hint="eastAsia" w:cs="宋体"/>
          <w:color w:val="auto"/>
          <w:kern w:val="2"/>
          <w:szCs w:val="24"/>
          <w:highlight w:val="none"/>
        </w:rPr>
        <w:t>在货物采购项目中，供应商提供的货物既有中小企业制造货物，也有大型企业制造货物的，不享受本办法规定的中小企业扶持政策。</w:t>
      </w:r>
    </w:p>
    <w:p>
      <w:pPr>
        <w:adjustRightInd w:val="0"/>
        <w:snapToGrid w:val="0"/>
        <w:spacing w:line="348" w:lineRule="auto"/>
        <w:ind w:firstLine="420"/>
        <w:rPr>
          <w:rFonts w:ascii="宋体" w:hAnsi="宋体" w:cs="宋体"/>
          <w:color w:val="auto"/>
          <w:sz w:val="24"/>
          <w:highlight w:val="none"/>
        </w:rPr>
      </w:pPr>
      <w:r>
        <w:rPr>
          <w:rFonts w:hint="eastAsia" w:ascii="宋体" w:hAnsi="宋体" w:cs="宋体"/>
          <w:color w:val="auto"/>
          <w:sz w:val="24"/>
          <w:highlight w:val="none"/>
        </w:rPr>
        <w:t>以联合体形式参加政府采购活动，联合体各方均为中小企业的，联合体视同中小企业。其中，联合体各方均为小微企业的，联合体视同小微企业。</w:t>
      </w:r>
    </w:p>
    <w:p>
      <w:pPr>
        <w:pStyle w:val="12"/>
        <w:spacing w:before="0" w:after="0" w:line="348" w:lineRule="auto"/>
        <w:rPr>
          <w:rFonts w:ascii="宋体" w:hAnsi="宋体" w:eastAsia="宋体" w:cs="宋体"/>
          <w:color w:val="auto"/>
          <w:sz w:val="24"/>
          <w:szCs w:val="24"/>
          <w:highlight w:val="none"/>
        </w:rPr>
      </w:pPr>
      <w:bookmarkStart w:id="537" w:name="_Toc31785"/>
      <w:bookmarkStart w:id="538" w:name="_Toc34732665"/>
      <w:bookmarkStart w:id="539" w:name="_Toc34732590"/>
      <w:bookmarkStart w:id="540" w:name="_Toc34733058"/>
      <w:bookmarkStart w:id="541" w:name="_Toc29202"/>
      <w:bookmarkStart w:id="542" w:name="_Toc25832455"/>
      <w:bookmarkStart w:id="543" w:name="_Toc36564771"/>
      <w:bookmarkStart w:id="544" w:name="_Toc57217288"/>
      <w:bookmarkStart w:id="545" w:name="_Toc25930"/>
      <w:bookmarkStart w:id="546" w:name="_Toc40972846"/>
      <w:r>
        <w:rPr>
          <w:rFonts w:hint="eastAsia" w:ascii="宋体" w:hAnsi="宋体" w:eastAsia="宋体" w:cs="宋体"/>
          <w:color w:val="auto"/>
          <w:sz w:val="24"/>
          <w:szCs w:val="24"/>
          <w:highlight w:val="none"/>
        </w:rPr>
        <w:t>18、需要补充的其他内容</w:t>
      </w:r>
      <w:bookmarkEnd w:id="537"/>
      <w:bookmarkEnd w:id="538"/>
      <w:bookmarkEnd w:id="539"/>
      <w:bookmarkEnd w:id="540"/>
      <w:bookmarkEnd w:id="541"/>
      <w:bookmarkEnd w:id="542"/>
      <w:bookmarkEnd w:id="543"/>
      <w:bookmarkEnd w:id="544"/>
      <w:bookmarkEnd w:id="545"/>
      <w:bookmarkEnd w:id="546"/>
    </w:p>
    <w:p>
      <w:pP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需要补充的其他内容：</w:t>
      </w:r>
      <w:r>
        <w:rPr>
          <w:rFonts w:hint="eastAsia" w:ascii="宋体" w:hAnsi="宋体" w:cs="宋体"/>
          <w:b/>
          <w:color w:val="auto"/>
          <w:sz w:val="24"/>
          <w:highlight w:val="none"/>
          <w:u w:val="single"/>
        </w:rPr>
        <w:t>见供应商须知前附表</w:t>
      </w:r>
      <w:r>
        <w:rPr>
          <w:rFonts w:hint="eastAsia" w:ascii="宋体" w:hAnsi="宋体" w:cs="宋体"/>
          <w:color w:val="auto"/>
          <w:sz w:val="24"/>
          <w:highlight w:val="none"/>
        </w:rPr>
        <w:t>。</w:t>
      </w:r>
    </w:p>
    <w:p>
      <w:pPr>
        <w:spacing w:line="348"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br w:type="page"/>
      </w:r>
    </w:p>
    <w:p>
      <w:pPr>
        <w:pStyle w:val="10"/>
        <w:numPr>
          <w:ilvl w:val="0"/>
          <w:numId w:val="3"/>
        </w:numPr>
        <w:tabs>
          <w:tab w:val="left" w:pos="3282"/>
          <w:tab w:val="center" w:pos="5156"/>
        </w:tabs>
        <w:spacing w:line="360" w:lineRule="auto"/>
        <w:jc w:val="left"/>
        <w:rPr>
          <w:rFonts w:ascii="宋体" w:hAnsi="宋体" w:cs="宋体"/>
          <w:color w:val="auto"/>
          <w:sz w:val="32"/>
          <w:szCs w:val="32"/>
          <w:highlight w:val="none"/>
        </w:rPr>
      </w:pPr>
      <w:bookmarkStart w:id="547" w:name="_Toc939"/>
      <w:r>
        <w:rPr>
          <w:rFonts w:hint="eastAsia" w:ascii="宋体" w:hAnsi="宋体" w:cs="宋体"/>
          <w:color w:val="auto"/>
          <w:sz w:val="32"/>
          <w:szCs w:val="32"/>
          <w:highlight w:val="none"/>
        </w:rPr>
        <w:t>采购需求</w:t>
      </w:r>
      <w:bookmarkEnd w:id="547"/>
      <w:bookmarkStart w:id="548" w:name="_Toc436327328"/>
    </w:p>
    <w:bookmarkEnd w:id="548"/>
    <w:tbl>
      <w:tblPr>
        <w:tblStyle w:val="50"/>
        <w:tblW w:w="5443" w:type="pct"/>
        <w:jc w:val="center"/>
        <w:tblLayout w:type="fixed"/>
        <w:tblCellMar>
          <w:top w:w="0" w:type="dxa"/>
          <w:left w:w="108" w:type="dxa"/>
          <w:bottom w:w="0" w:type="dxa"/>
          <w:right w:w="108" w:type="dxa"/>
        </w:tblCellMar>
      </w:tblPr>
      <w:tblGrid>
        <w:gridCol w:w="1596"/>
        <w:gridCol w:w="7216"/>
        <w:gridCol w:w="500"/>
        <w:gridCol w:w="489"/>
      </w:tblGrid>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设备名称／支出项目</w:t>
            </w:r>
          </w:p>
        </w:tc>
        <w:tc>
          <w:tcPr>
            <w:tcW w:w="3681" w:type="pct"/>
            <w:tcBorders>
              <w:top w:val="single" w:color="auto" w:sz="4" w:space="0"/>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型号规格／支出用途概述</w:t>
            </w:r>
          </w:p>
        </w:tc>
        <w:tc>
          <w:tcPr>
            <w:tcW w:w="254" w:type="pct"/>
            <w:tcBorders>
              <w:top w:val="single" w:color="auto" w:sz="4" w:space="0"/>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单位</w:t>
            </w:r>
          </w:p>
        </w:tc>
        <w:tc>
          <w:tcPr>
            <w:tcW w:w="249" w:type="pct"/>
            <w:tcBorders>
              <w:top w:val="single" w:color="auto" w:sz="4" w:space="0"/>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r>
      <w:tr>
        <w:tblPrEx>
          <w:tblCellMar>
            <w:top w:w="0" w:type="dxa"/>
            <w:left w:w="108" w:type="dxa"/>
            <w:bottom w:w="0" w:type="dxa"/>
            <w:right w:w="108" w:type="dxa"/>
          </w:tblCellMar>
        </w:tblPrEx>
        <w:trPr>
          <w:trHeight w:val="90"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标准声源</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噪声测定仪校准  </w:t>
            </w:r>
          </w:p>
          <w:p>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333333"/>
                <w:sz w:val="24"/>
                <w:szCs w:val="24"/>
                <w:shd w:val="clear" w:color="auto" w:fill="FFFFFF"/>
              </w:rPr>
              <w:t>声压级：114.0dB和94.0dB（以2×10-5 Pa为参考）</w:t>
            </w:r>
          </w:p>
          <w:p>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333333"/>
                <w:sz w:val="24"/>
                <w:szCs w:val="24"/>
                <w:shd w:val="clear" w:color="auto" w:fill="FFFFFF"/>
              </w:rPr>
              <w:t>声压级误差：±0.25 dB</w:t>
            </w:r>
          </w:p>
          <w:p>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333333"/>
                <w:sz w:val="24"/>
                <w:szCs w:val="24"/>
                <w:shd w:val="clear" w:color="auto" w:fill="FFFFFF"/>
              </w:rPr>
              <w:t>频率：1000.0Hz±1 Hz</w:t>
            </w:r>
          </w:p>
          <w:p>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333333"/>
                <w:sz w:val="24"/>
                <w:szCs w:val="24"/>
                <w:shd w:val="clear" w:color="auto" w:fill="FFFFFF"/>
              </w:rPr>
              <w:t>谐波失真：≤1.0 %</w:t>
            </w:r>
          </w:p>
          <w:p>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333333"/>
                <w:sz w:val="24"/>
                <w:szCs w:val="24"/>
                <w:shd w:val="clear" w:color="auto" w:fill="FFFFFF"/>
              </w:rPr>
              <w:t>总失真：≤2.5 %</w:t>
            </w:r>
          </w:p>
          <w:p>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333333"/>
                <w:sz w:val="24"/>
                <w:szCs w:val="24"/>
                <w:shd w:val="clear" w:color="auto" w:fill="FFFFFF"/>
              </w:rPr>
              <w:t>使用电压范围：2.2 V ~ 3.4 V</w:t>
            </w:r>
          </w:p>
          <w:p>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333333"/>
                <w:sz w:val="24"/>
                <w:szCs w:val="24"/>
                <w:shd w:val="clear" w:color="auto" w:fill="FFFFFF"/>
              </w:rPr>
              <w:t>电池：2×1.5V 碱性电池 LR6（5号），最长连续使用时间7小时</w:t>
            </w:r>
          </w:p>
          <w:p>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333333"/>
                <w:sz w:val="24"/>
                <w:szCs w:val="24"/>
                <w:shd w:val="clear" w:color="auto" w:fill="FFFFFF"/>
              </w:rPr>
              <w:t>稳定时间：小于15s</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黑球湿球温度计</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评价高温车间气象条件，包括空气温度、湿球温度、辐射温度</w:t>
            </w:r>
          </w:p>
          <w:p>
            <w:pPr>
              <w:keepNext w:val="0"/>
              <w:keepLines w:val="0"/>
              <w:pageBreakBefore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sz w:val="24"/>
                <w:szCs w:val="24"/>
              </w:rPr>
              <w:t>空气温度传感器（干</w:t>
            </w:r>
            <w:r>
              <w:rPr>
                <w:rFonts w:hint="eastAsia" w:ascii="宋体" w:hAnsi="宋体" w:eastAsia="宋体" w:cs="宋体"/>
                <w:color w:val="auto"/>
                <w:sz w:val="24"/>
                <w:szCs w:val="24"/>
              </w:rPr>
              <w:t>球）</w:t>
            </w:r>
          </w:p>
          <w:p>
            <w:pPr>
              <w:keepNext w:val="0"/>
              <w:keepLines w:val="0"/>
              <w:pageBreakBefore w:val="0"/>
              <w:kinsoku/>
              <w:wordWrap/>
              <w:overflowPunct/>
              <w:topLinePunct w:val="0"/>
              <w:autoSpaceDE/>
              <w:autoSpaceDN/>
              <w:bidi w:val="0"/>
              <w:adjustRightInd/>
              <w:snapToGrid/>
              <w:spacing w:line="360" w:lineRule="auto"/>
              <w:ind w:left="3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测量范围：0-120℃ </w:t>
            </w:r>
          </w:p>
          <w:p>
            <w:pPr>
              <w:keepNext w:val="0"/>
              <w:keepLines w:val="0"/>
              <w:pageBreakBefore w:val="0"/>
              <w:kinsoku/>
              <w:wordWrap/>
              <w:overflowPunct/>
              <w:topLinePunct w:val="0"/>
              <w:autoSpaceDE/>
              <w:autoSpaceDN/>
              <w:bidi w:val="0"/>
              <w:adjustRightInd/>
              <w:snapToGrid/>
              <w:spacing w:line="360" w:lineRule="auto"/>
              <w:ind w:left="3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精度：</w:t>
            </w:r>
            <w:r>
              <w:rPr>
                <w:rFonts w:hint="eastAsia" w:ascii="宋体" w:hAnsi="宋体" w:eastAsia="宋体" w:cs="宋体"/>
                <w:color w:val="auto"/>
                <w:sz w:val="24"/>
                <w:szCs w:val="24"/>
                <w:shd w:val="clear" w:color="auto" w:fill="FFFFFF"/>
              </w:rPr>
              <w:t>≤</w:t>
            </w:r>
            <w:r>
              <w:rPr>
                <w:rFonts w:hint="eastAsia" w:ascii="宋体" w:hAnsi="宋体" w:eastAsia="宋体" w:cs="宋体"/>
                <w:color w:val="auto"/>
                <w:sz w:val="24"/>
                <w:szCs w:val="24"/>
              </w:rPr>
              <w:t>0.5℃（</w:t>
            </w:r>
            <w:r>
              <w:rPr>
                <w:rFonts w:hint="eastAsia" w:ascii="宋体" w:hAnsi="宋体" w:eastAsia="宋体" w:cs="宋体"/>
                <w:color w:val="auto"/>
                <w:sz w:val="24"/>
                <w:szCs w:val="24"/>
                <w:shd w:val="clear" w:color="auto" w:fill="FFFFFF"/>
              </w:rPr>
              <w:t>≤</w:t>
            </w:r>
            <w:r>
              <w:rPr>
                <w:rFonts w:hint="eastAsia" w:ascii="宋体" w:hAnsi="宋体" w:eastAsia="宋体" w:cs="宋体"/>
                <w:color w:val="auto"/>
                <w:sz w:val="24"/>
                <w:szCs w:val="24"/>
              </w:rPr>
              <w:t>0.2℃@10℃-40℃）</w:t>
            </w:r>
          </w:p>
          <w:p>
            <w:pPr>
              <w:keepNext w:val="0"/>
              <w:keepLines w:val="0"/>
              <w:pageBreakBefore w:val="0"/>
              <w:kinsoku/>
              <w:wordWrap/>
              <w:overflowPunct/>
              <w:topLinePunct w:val="0"/>
              <w:autoSpaceDE/>
              <w:autoSpaceDN/>
              <w:bidi w:val="0"/>
              <w:adjustRightInd/>
              <w:snapToGrid/>
              <w:spacing w:line="360" w:lineRule="auto"/>
              <w:ind w:left="3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分辨率：</w:t>
            </w:r>
            <w:r>
              <w:rPr>
                <w:rFonts w:hint="eastAsia" w:ascii="宋体" w:hAnsi="宋体" w:eastAsia="宋体" w:cs="宋体"/>
                <w:color w:val="auto"/>
                <w:sz w:val="24"/>
                <w:szCs w:val="24"/>
                <w:shd w:val="clear" w:color="auto" w:fill="FFFFFF"/>
              </w:rPr>
              <w:t>≤</w:t>
            </w:r>
            <w:r>
              <w:rPr>
                <w:rFonts w:hint="eastAsia" w:ascii="宋体" w:hAnsi="宋体" w:eastAsia="宋体" w:cs="宋体"/>
                <w:color w:val="auto"/>
                <w:sz w:val="24"/>
                <w:szCs w:val="24"/>
              </w:rPr>
              <w:t>0.1℃（PT1000）</w:t>
            </w:r>
          </w:p>
          <w:p>
            <w:pPr>
              <w:keepNext w:val="0"/>
              <w:keepLines w:val="0"/>
              <w:pageBreakBefore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黑球温度传感器</w:t>
            </w:r>
          </w:p>
          <w:p>
            <w:pPr>
              <w:keepNext w:val="0"/>
              <w:keepLines w:val="0"/>
              <w:pageBreakBefore w:val="0"/>
              <w:kinsoku/>
              <w:wordWrap/>
              <w:overflowPunct/>
              <w:topLinePunct w:val="0"/>
              <w:autoSpaceDE/>
              <w:autoSpaceDN/>
              <w:bidi w:val="0"/>
              <w:adjustRightInd/>
              <w:snapToGrid/>
              <w:spacing w:line="360" w:lineRule="auto"/>
              <w:ind w:left="360"/>
              <w:textAlignment w:val="auto"/>
              <w:rPr>
                <w:rFonts w:hint="eastAsia" w:ascii="宋体" w:hAnsi="宋体" w:eastAsia="宋体" w:cs="宋体"/>
                <w:sz w:val="24"/>
                <w:szCs w:val="24"/>
              </w:rPr>
            </w:pPr>
            <w:r>
              <w:rPr>
                <w:rFonts w:hint="eastAsia" w:ascii="宋体" w:hAnsi="宋体" w:eastAsia="宋体" w:cs="宋体"/>
                <w:sz w:val="24"/>
                <w:szCs w:val="24"/>
              </w:rPr>
              <w:t xml:space="preserve">测量范围：0-120℃ </w:t>
            </w:r>
          </w:p>
          <w:p>
            <w:pPr>
              <w:keepNext w:val="0"/>
              <w:keepLines w:val="0"/>
              <w:pageBreakBefore w:val="0"/>
              <w:kinsoku/>
              <w:wordWrap/>
              <w:overflowPunct/>
              <w:topLinePunct w:val="0"/>
              <w:autoSpaceDE/>
              <w:autoSpaceDN/>
              <w:bidi w:val="0"/>
              <w:adjustRightInd/>
              <w:snapToGrid/>
              <w:spacing w:line="360" w:lineRule="auto"/>
              <w:ind w:left="360"/>
              <w:textAlignment w:val="auto"/>
              <w:rPr>
                <w:rFonts w:hint="eastAsia" w:ascii="宋体" w:hAnsi="宋体" w:eastAsia="宋体" w:cs="宋体"/>
                <w:sz w:val="24"/>
                <w:szCs w:val="24"/>
              </w:rPr>
            </w:pPr>
            <w:r>
              <w:rPr>
                <w:rFonts w:hint="eastAsia" w:ascii="宋体" w:hAnsi="宋体" w:eastAsia="宋体" w:cs="宋体"/>
                <w:sz w:val="24"/>
                <w:szCs w:val="24"/>
              </w:rPr>
              <w:t>精度：</w:t>
            </w:r>
            <w:r>
              <w:rPr>
                <w:rFonts w:hint="eastAsia" w:ascii="宋体" w:hAnsi="宋体" w:eastAsia="宋体" w:cs="宋体"/>
                <w:color w:val="333333"/>
                <w:sz w:val="24"/>
                <w:szCs w:val="24"/>
                <w:shd w:val="clear" w:color="auto" w:fill="FFFFFF"/>
              </w:rPr>
              <w:t>≤</w:t>
            </w:r>
            <w:r>
              <w:rPr>
                <w:rFonts w:hint="eastAsia" w:ascii="宋体" w:hAnsi="宋体" w:eastAsia="宋体" w:cs="宋体"/>
                <w:sz w:val="24"/>
                <w:szCs w:val="24"/>
              </w:rPr>
              <w:t>0.5℃（</w:t>
            </w:r>
            <w:r>
              <w:rPr>
                <w:rFonts w:hint="eastAsia" w:ascii="宋体" w:hAnsi="宋体" w:eastAsia="宋体" w:cs="宋体"/>
                <w:color w:val="333333"/>
                <w:sz w:val="24"/>
                <w:szCs w:val="24"/>
                <w:shd w:val="clear" w:color="auto" w:fill="FFFFFF"/>
              </w:rPr>
              <w:t>≤</w:t>
            </w:r>
            <w:r>
              <w:rPr>
                <w:rFonts w:hint="eastAsia" w:ascii="宋体" w:hAnsi="宋体" w:eastAsia="宋体" w:cs="宋体"/>
                <w:sz w:val="24"/>
                <w:szCs w:val="24"/>
              </w:rPr>
              <w:t>0.2℃@10℃-40℃）</w:t>
            </w:r>
          </w:p>
          <w:p>
            <w:pPr>
              <w:keepNext w:val="0"/>
              <w:keepLines w:val="0"/>
              <w:pageBreakBefore w:val="0"/>
              <w:kinsoku/>
              <w:wordWrap/>
              <w:overflowPunct/>
              <w:topLinePunct w:val="0"/>
              <w:autoSpaceDE/>
              <w:autoSpaceDN/>
              <w:bidi w:val="0"/>
              <w:adjustRightInd/>
              <w:snapToGrid/>
              <w:spacing w:line="360" w:lineRule="auto"/>
              <w:ind w:left="360"/>
              <w:textAlignment w:val="auto"/>
              <w:rPr>
                <w:rFonts w:hint="eastAsia" w:ascii="宋体" w:hAnsi="宋体" w:eastAsia="宋体" w:cs="宋体"/>
                <w:sz w:val="24"/>
                <w:szCs w:val="24"/>
              </w:rPr>
            </w:pPr>
            <w:r>
              <w:rPr>
                <w:rFonts w:hint="eastAsia" w:ascii="宋体" w:hAnsi="宋体" w:eastAsia="宋体" w:cs="宋体"/>
                <w:sz w:val="24"/>
                <w:szCs w:val="24"/>
              </w:rPr>
              <w:t>分辨率：</w:t>
            </w:r>
            <w:r>
              <w:rPr>
                <w:rFonts w:hint="eastAsia" w:ascii="宋体" w:hAnsi="宋体" w:eastAsia="宋体" w:cs="宋体"/>
                <w:color w:val="333333"/>
                <w:sz w:val="24"/>
                <w:szCs w:val="24"/>
                <w:shd w:val="clear" w:color="auto" w:fill="FFFFFF"/>
              </w:rPr>
              <w:t>≤</w:t>
            </w:r>
            <w:r>
              <w:rPr>
                <w:rFonts w:hint="eastAsia" w:ascii="宋体" w:hAnsi="宋体" w:eastAsia="宋体" w:cs="宋体"/>
                <w:sz w:val="24"/>
                <w:szCs w:val="24"/>
              </w:rPr>
              <w:t>0.1℃（PT1000）</w:t>
            </w:r>
          </w:p>
          <w:p>
            <w:pPr>
              <w:keepNext w:val="0"/>
              <w:keepLines w:val="0"/>
              <w:pageBreakBefore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湿球温度传感器</w:t>
            </w:r>
          </w:p>
          <w:p>
            <w:pPr>
              <w:keepNext w:val="0"/>
              <w:keepLines w:val="0"/>
              <w:pageBreakBefore w:val="0"/>
              <w:kinsoku/>
              <w:wordWrap/>
              <w:overflowPunct/>
              <w:topLinePunct w:val="0"/>
              <w:autoSpaceDE/>
              <w:autoSpaceDN/>
              <w:bidi w:val="0"/>
              <w:adjustRightInd/>
              <w:snapToGrid/>
              <w:spacing w:line="360" w:lineRule="auto"/>
              <w:ind w:left="360"/>
              <w:textAlignment w:val="auto"/>
              <w:rPr>
                <w:rFonts w:hint="eastAsia" w:ascii="宋体" w:hAnsi="宋体" w:eastAsia="宋体" w:cs="宋体"/>
                <w:sz w:val="24"/>
                <w:szCs w:val="24"/>
              </w:rPr>
            </w:pPr>
            <w:r>
              <w:rPr>
                <w:rFonts w:hint="eastAsia" w:ascii="宋体" w:hAnsi="宋体" w:eastAsia="宋体" w:cs="宋体"/>
                <w:sz w:val="24"/>
                <w:szCs w:val="24"/>
              </w:rPr>
              <w:t>范围：0-120℃</w:t>
            </w:r>
          </w:p>
          <w:p>
            <w:pPr>
              <w:keepNext w:val="0"/>
              <w:keepLines w:val="0"/>
              <w:pageBreakBefore w:val="0"/>
              <w:kinsoku/>
              <w:wordWrap/>
              <w:overflowPunct/>
              <w:topLinePunct w:val="0"/>
              <w:autoSpaceDE/>
              <w:autoSpaceDN/>
              <w:bidi w:val="0"/>
              <w:adjustRightInd/>
              <w:snapToGrid/>
              <w:spacing w:line="360" w:lineRule="auto"/>
              <w:ind w:left="360"/>
              <w:textAlignment w:val="auto"/>
              <w:rPr>
                <w:rFonts w:hint="eastAsia" w:ascii="宋体" w:hAnsi="宋体" w:eastAsia="宋体" w:cs="宋体"/>
                <w:sz w:val="24"/>
                <w:szCs w:val="24"/>
              </w:rPr>
            </w:pPr>
            <w:r>
              <w:rPr>
                <w:rFonts w:hint="eastAsia" w:ascii="宋体" w:hAnsi="宋体" w:eastAsia="宋体" w:cs="宋体"/>
                <w:sz w:val="24"/>
                <w:szCs w:val="24"/>
              </w:rPr>
              <w:t>精度：</w:t>
            </w:r>
            <w:r>
              <w:rPr>
                <w:rFonts w:hint="eastAsia" w:ascii="宋体" w:hAnsi="宋体" w:eastAsia="宋体" w:cs="宋体"/>
                <w:color w:val="333333"/>
                <w:sz w:val="24"/>
                <w:szCs w:val="24"/>
                <w:shd w:val="clear" w:color="auto" w:fill="FFFFFF"/>
              </w:rPr>
              <w:t>≤</w:t>
            </w:r>
            <w:r>
              <w:rPr>
                <w:rFonts w:hint="eastAsia" w:ascii="宋体" w:hAnsi="宋体" w:eastAsia="宋体" w:cs="宋体"/>
                <w:sz w:val="24"/>
                <w:szCs w:val="24"/>
              </w:rPr>
              <w:t>0.5℃  分辨率：</w:t>
            </w:r>
            <w:r>
              <w:rPr>
                <w:rFonts w:hint="eastAsia" w:ascii="宋体" w:hAnsi="宋体" w:eastAsia="宋体" w:cs="宋体"/>
                <w:color w:val="333333"/>
                <w:sz w:val="24"/>
                <w:szCs w:val="24"/>
                <w:shd w:val="clear" w:color="auto" w:fill="FFFFFF"/>
              </w:rPr>
              <w:t>≤</w:t>
            </w:r>
            <w:r>
              <w:rPr>
                <w:rFonts w:hint="eastAsia" w:ascii="宋体" w:hAnsi="宋体" w:eastAsia="宋体" w:cs="宋体"/>
                <w:sz w:val="24"/>
                <w:szCs w:val="24"/>
              </w:rPr>
              <w:t>0.1℃</w:t>
            </w:r>
          </w:p>
          <w:p>
            <w:pPr>
              <w:keepNext w:val="0"/>
              <w:keepLines w:val="0"/>
              <w:pageBreakBefore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相对湿度传感器：</w:t>
            </w:r>
          </w:p>
          <w:p>
            <w:pPr>
              <w:keepNext w:val="0"/>
              <w:keepLines w:val="0"/>
              <w:pageBreakBefore w:val="0"/>
              <w:kinsoku/>
              <w:wordWrap/>
              <w:overflowPunct/>
              <w:topLinePunct w:val="0"/>
              <w:autoSpaceDE/>
              <w:autoSpaceDN/>
              <w:bidi w:val="0"/>
              <w:adjustRightInd/>
              <w:snapToGrid/>
              <w:spacing w:line="360" w:lineRule="auto"/>
              <w:ind w:left="360"/>
              <w:textAlignment w:val="auto"/>
              <w:rPr>
                <w:rFonts w:hint="eastAsia" w:ascii="宋体" w:hAnsi="宋体" w:eastAsia="宋体" w:cs="宋体"/>
                <w:sz w:val="24"/>
                <w:szCs w:val="24"/>
              </w:rPr>
            </w:pPr>
            <w:r>
              <w:rPr>
                <w:rFonts w:hint="eastAsia" w:ascii="宋体" w:hAnsi="宋体" w:eastAsia="宋体" w:cs="宋体"/>
                <w:sz w:val="24"/>
                <w:szCs w:val="24"/>
              </w:rPr>
              <w:t>范围：0-100%RH</w:t>
            </w:r>
          </w:p>
          <w:p>
            <w:pPr>
              <w:keepNext w:val="0"/>
              <w:keepLines w:val="0"/>
              <w:pageBreakBefore w:val="0"/>
              <w:kinsoku/>
              <w:wordWrap/>
              <w:overflowPunct/>
              <w:topLinePunct w:val="0"/>
              <w:autoSpaceDE/>
              <w:autoSpaceDN/>
              <w:bidi w:val="0"/>
              <w:adjustRightInd/>
              <w:snapToGrid/>
              <w:spacing w:line="360" w:lineRule="auto"/>
              <w:ind w:left="360"/>
              <w:textAlignment w:val="auto"/>
              <w:rPr>
                <w:rFonts w:hint="eastAsia" w:ascii="宋体" w:hAnsi="宋体" w:eastAsia="宋体" w:cs="宋体"/>
                <w:sz w:val="24"/>
                <w:szCs w:val="24"/>
              </w:rPr>
            </w:pPr>
            <w:r>
              <w:rPr>
                <w:rFonts w:hint="eastAsia" w:ascii="宋体" w:hAnsi="宋体" w:eastAsia="宋体" w:cs="宋体"/>
                <w:sz w:val="24"/>
                <w:szCs w:val="24"/>
              </w:rPr>
              <w:t>精度：±3%读数</w:t>
            </w:r>
          </w:p>
          <w:p>
            <w:pPr>
              <w:keepNext w:val="0"/>
              <w:keepLines w:val="0"/>
              <w:pageBreakBefore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仪器存储：SD存储卡</w:t>
            </w:r>
          </w:p>
          <w:p>
            <w:pPr>
              <w:keepNext w:val="0"/>
              <w:keepLines w:val="0"/>
              <w:pageBreakBefore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显示：2.8英寸液晶显示屏</w:t>
            </w:r>
          </w:p>
          <w:p>
            <w:pPr>
              <w:keepNext w:val="0"/>
              <w:keepLines w:val="0"/>
              <w:pageBreakBefore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存储间隔：1~60分钟可调</w:t>
            </w:r>
          </w:p>
          <w:p>
            <w:pPr>
              <w:keepNext w:val="0"/>
              <w:keepLines w:val="0"/>
              <w:pageBreakBefore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供电/电池：4节AA级碱性电池或可充电电池</w:t>
            </w:r>
          </w:p>
          <w:p>
            <w:pPr>
              <w:keepNext w:val="0"/>
              <w:keepLines w:val="0"/>
              <w:pageBreakBefore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传感器扩散（梯度）：可扩展三梯度测量（可选配三组WBGT传感器组同时测量）</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紫外辐照计</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（多探头）</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紫外辐照计主机</w:t>
            </w:r>
          </w:p>
          <w:p>
            <w:pPr>
              <w:keepNext w:val="0"/>
              <w:keepLines w:val="0"/>
              <w:pageBreakBefore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仪器重量：约194克</w:t>
            </w:r>
          </w:p>
          <w:p>
            <w:pPr>
              <w:keepNext w:val="0"/>
              <w:keepLines w:val="0"/>
              <w:pageBreakBefore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显示屏：240*160点阵LCD</w:t>
            </w:r>
          </w:p>
          <w:p>
            <w:pPr>
              <w:keepNext w:val="0"/>
              <w:keepLines w:val="0"/>
              <w:pageBreakBefore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供电方式：4节AAA碱性干电池</w:t>
            </w:r>
          </w:p>
          <w:p>
            <w:pPr>
              <w:keepNext w:val="0"/>
              <w:keepLines w:val="0"/>
              <w:pageBreakBefore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探头连接方式：推拉自锁（卡扣式）连接器，1主机可智能匹配9种探头</w:t>
            </w:r>
          </w:p>
          <w:p>
            <w:pPr>
              <w:keepNext w:val="0"/>
              <w:keepLines w:val="0"/>
              <w:pageBreakBefore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b/>
                <w:bCs/>
                <w:sz w:val="24"/>
                <w:szCs w:val="24"/>
              </w:rPr>
              <w:t>数据统计：智能统计测试数据的最大值、最小值、平均值、均方差值</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UVA探头</w:t>
            </w:r>
          </w:p>
          <w:p>
            <w:pPr>
              <w:keepNext w:val="0"/>
              <w:keepLines w:val="0"/>
              <w:pageBreakBefore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光谱响应: 315nm-400nm，λp = 365nm</w:t>
            </w:r>
          </w:p>
          <w:p>
            <w:pPr>
              <w:keepNext w:val="0"/>
              <w:keepLines w:val="0"/>
              <w:pageBreakBefore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功率测量范围：0 - 200000μW /cm²</w:t>
            </w:r>
          </w:p>
          <w:p>
            <w:pPr>
              <w:keepNext w:val="0"/>
              <w:keepLines w:val="0"/>
              <w:pageBreakBefore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功率分辨率：0.1μW /cm²</w:t>
            </w:r>
          </w:p>
          <w:p>
            <w:pPr>
              <w:keepNext w:val="0"/>
              <w:keepLines w:val="0"/>
              <w:pageBreakBefore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b/>
                <w:bCs/>
                <w:sz w:val="24"/>
                <w:szCs w:val="24"/>
              </w:rPr>
              <w:t>能量测量范围：0~9999999μJ/cm²</w:t>
            </w:r>
          </w:p>
          <w:p>
            <w:pPr>
              <w:keepNext w:val="0"/>
              <w:keepLines w:val="0"/>
              <w:pageBreakBefore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记录时间：0~99999秒</w:t>
            </w:r>
          </w:p>
          <w:p>
            <w:pPr>
              <w:keepNext w:val="0"/>
              <w:keepLines w:val="0"/>
              <w:pageBreakBefore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测量精度：±10 %</w:t>
            </w:r>
          </w:p>
          <w:p>
            <w:pPr>
              <w:keepNext w:val="0"/>
              <w:keepLines w:val="0"/>
              <w:pageBreakBefore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b/>
                <w:bCs/>
                <w:sz w:val="24"/>
                <w:szCs w:val="24"/>
              </w:rPr>
              <w:t>可选单位：μW/cm² (默认)，mW/cm²，W/m²</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UVB探头</w:t>
            </w:r>
          </w:p>
          <w:p>
            <w:pPr>
              <w:keepNext w:val="0"/>
              <w:keepLines w:val="0"/>
              <w:pageBreakBefore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光谱响应：280nm-315nm，适用于297nm,308nm,313nm 等波长的UVB光源测量</w:t>
            </w:r>
          </w:p>
          <w:p>
            <w:pPr>
              <w:keepNext w:val="0"/>
              <w:keepLines w:val="0"/>
              <w:pageBreakBefore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功率测量范围：0 - 200000μW /cm²</w:t>
            </w:r>
          </w:p>
          <w:p>
            <w:pPr>
              <w:keepNext w:val="0"/>
              <w:keepLines w:val="0"/>
              <w:pageBreakBefore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功率分辨率： 0.1 μW /cm²</w:t>
            </w:r>
          </w:p>
          <w:p>
            <w:pPr>
              <w:keepNext w:val="0"/>
              <w:keepLines w:val="0"/>
              <w:pageBreakBefore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b/>
                <w:bCs/>
                <w:sz w:val="24"/>
                <w:szCs w:val="24"/>
              </w:rPr>
              <w:t>能量测量范围：0 - 9999999μJ/cm²</w:t>
            </w:r>
          </w:p>
          <w:p>
            <w:pPr>
              <w:keepNext w:val="0"/>
              <w:keepLines w:val="0"/>
              <w:pageBreakBefore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b/>
                <w:bCs/>
                <w:sz w:val="24"/>
                <w:szCs w:val="24"/>
              </w:rPr>
              <w:t>记录时间：0~99999秒</w:t>
            </w:r>
          </w:p>
          <w:p>
            <w:pPr>
              <w:keepNext w:val="0"/>
              <w:keepLines w:val="0"/>
              <w:pageBreakBefore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测量精度：±10 %</w:t>
            </w:r>
          </w:p>
          <w:p>
            <w:pPr>
              <w:keepNext w:val="0"/>
              <w:keepLines w:val="0"/>
              <w:pageBreakBefore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b/>
                <w:bCs/>
                <w:sz w:val="24"/>
                <w:szCs w:val="24"/>
              </w:rPr>
              <w:t>可选单位：μW/cm² (默认)，mW/cm²，W/m²</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UVC探头</w:t>
            </w:r>
          </w:p>
          <w:p>
            <w:pPr>
              <w:keepNext w:val="0"/>
              <w:keepLines w:val="0"/>
              <w:pageBreakBefore w:val="0"/>
              <w:numPr>
                <w:ilvl w:val="0"/>
                <w:numId w:val="9"/>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光谱响应：230nm-280nm，λp = 254nm</w:t>
            </w:r>
          </w:p>
          <w:p>
            <w:pPr>
              <w:keepNext w:val="0"/>
              <w:keepLines w:val="0"/>
              <w:pageBreakBefore w:val="0"/>
              <w:numPr>
                <w:ilvl w:val="0"/>
                <w:numId w:val="9"/>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功率测量范围：0 - 200000 μW/cm²</w:t>
            </w:r>
          </w:p>
          <w:p>
            <w:pPr>
              <w:keepNext w:val="0"/>
              <w:keepLines w:val="0"/>
              <w:pageBreakBefore w:val="0"/>
              <w:numPr>
                <w:ilvl w:val="0"/>
                <w:numId w:val="9"/>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功率分辨率：0.1 μW/cm²</w:t>
            </w:r>
          </w:p>
          <w:p>
            <w:pPr>
              <w:keepNext w:val="0"/>
              <w:keepLines w:val="0"/>
              <w:pageBreakBefore w:val="0"/>
              <w:numPr>
                <w:ilvl w:val="0"/>
                <w:numId w:val="9"/>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b/>
                <w:bCs/>
                <w:sz w:val="24"/>
                <w:szCs w:val="24"/>
              </w:rPr>
              <w:t>能量测量范围：0~9999999μJ/cm²</w:t>
            </w:r>
          </w:p>
          <w:p>
            <w:pPr>
              <w:keepNext w:val="0"/>
              <w:keepLines w:val="0"/>
              <w:pageBreakBefore w:val="0"/>
              <w:numPr>
                <w:ilvl w:val="0"/>
                <w:numId w:val="9"/>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b/>
                <w:bCs/>
                <w:sz w:val="24"/>
                <w:szCs w:val="24"/>
              </w:rPr>
              <w:t>记录时间：0~99999秒</w:t>
            </w:r>
          </w:p>
          <w:p>
            <w:pPr>
              <w:keepNext w:val="0"/>
              <w:keepLines w:val="0"/>
              <w:pageBreakBefore w:val="0"/>
              <w:numPr>
                <w:ilvl w:val="0"/>
                <w:numId w:val="9"/>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测量精度：±10 %</w:t>
            </w:r>
          </w:p>
          <w:p>
            <w:pPr>
              <w:keepNext w:val="0"/>
              <w:keepLines w:val="0"/>
              <w:pageBreakBefore w:val="0"/>
              <w:numPr>
                <w:ilvl w:val="0"/>
                <w:numId w:val="9"/>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b/>
                <w:bCs/>
                <w:sz w:val="24"/>
                <w:szCs w:val="24"/>
              </w:rPr>
              <w:t>可选单位：μW/cm² (默认)，mW/cm²，W/m²</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热球风速仪</w:t>
            </w:r>
          </w:p>
        </w:tc>
        <w:tc>
          <w:tcPr>
            <w:tcW w:w="368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热敏式风速仪</w:t>
            </w:r>
          </w:p>
          <w:p>
            <w:pPr>
              <w:keepNext w:val="0"/>
              <w:keepLines w:val="0"/>
              <w:pageBreakBefore w:val="0"/>
              <w:numPr>
                <w:ilvl w:val="0"/>
                <w:numId w:val="1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测量范围：0~30 m/s</w:t>
            </w:r>
          </w:p>
          <w:p>
            <w:pPr>
              <w:keepNext w:val="0"/>
              <w:keepLines w:val="0"/>
              <w:pageBreakBefore w:val="0"/>
              <w:numPr>
                <w:ilvl w:val="0"/>
                <w:numId w:val="1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测量精度：≤3%（满量程）</w:t>
            </w:r>
          </w:p>
          <w:p>
            <w:pPr>
              <w:keepNext w:val="0"/>
              <w:keepLines w:val="0"/>
              <w:pageBreakBefore w:val="0"/>
              <w:numPr>
                <w:ilvl w:val="0"/>
                <w:numId w:val="1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反应时间：≤3s</w:t>
            </w:r>
          </w:p>
          <w:p>
            <w:pPr>
              <w:keepNext w:val="0"/>
              <w:keepLines w:val="0"/>
              <w:pageBreakBefore w:val="0"/>
              <w:numPr>
                <w:ilvl w:val="0"/>
                <w:numId w:val="1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显示：四位数字显示</w:t>
            </w:r>
          </w:p>
          <w:p>
            <w:pPr>
              <w:keepNext w:val="0"/>
              <w:keepLines w:val="0"/>
              <w:pageBreakBefore w:val="0"/>
              <w:numPr>
                <w:ilvl w:val="0"/>
                <w:numId w:val="1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分辨率：</w:t>
            </w:r>
            <w:r>
              <w:rPr>
                <w:rFonts w:hint="eastAsia" w:ascii="宋体" w:hAnsi="宋体" w:eastAsia="宋体" w:cs="宋体"/>
                <w:color w:val="333333"/>
                <w:sz w:val="24"/>
                <w:szCs w:val="24"/>
                <w:shd w:val="clear" w:color="auto" w:fill="FFFFFF"/>
              </w:rPr>
              <w:t>≤</w:t>
            </w:r>
            <w:r>
              <w:rPr>
                <w:rFonts w:hint="eastAsia" w:ascii="宋体" w:hAnsi="宋体" w:eastAsia="宋体" w:cs="宋体"/>
                <w:sz w:val="24"/>
                <w:szCs w:val="24"/>
              </w:rPr>
              <w:t>0.01m/s</w:t>
            </w:r>
          </w:p>
          <w:p>
            <w:pPr>
              <w:keepNext w:val="0"/>
              <w:keepLines w:val="0"/>
              <w:pageBreakBefore w:val="0"/>
              <w:numPr>
                <w:ilvl w:val="0"/>
                <w:numId w:val="1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电源:： 直流5~6V(可充电)</w:t>
            </w:r>
          </w:p>
          <w:p>
            <w:pPr>
              <w:keepNext w:val="0"/>
              <w:keepLines w:val="0"/>
              <w:pageBreakBefore w:val="0"/>
              <w:numPr>
                <w:ilvl w:val="0"/>
                <w:numId w:val="1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重量：</w:t>
            </w:r>
            <w:r>
              <w:rPr>
                <w:rFonts w:hint="eastAsia" w:ascii="宋体" w:hAnsi="宋体" w:eastAsia="宋体" w:cs="宋体"/>
                <w:color w:val="333333"/>
                <w:sz w:val="24"/>
                <w:szCs w:val="24"/>
                <w:shd w:val="clear" w:color="auto" w:fill="FFFFFF"/>
              </w:rPr>
              <w:t>≤</w:t>
            </w:r>
            <w:r>
              <w:rPr>
                <w:rFonts w:hint="eastAsia" w:ascii="宋体" w:hAnsi="宋体" w:eastAsia="宋体" w:cs="宋体"/>
                <w:sz w:val="24"/>
                <w:szCs w:val="24"/>
              </w:rPr>
              <w:t>380g</w:t>
            </w:r>
          </w:p>
        </w:tc>
        <w:tc>
          <w:tcPr>
            <w:tcW w:w="25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24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电磁场测定仪</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测量电磁辐射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1.应用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能测量高压输变电设施、配电柜、地铁、电车等工频场所的工频电场和磁场强度</w:t>
            </w:r>
            <w:r>
              <w:rPr>
                <w:rFonts w:hint="eastAsia" w:ascii="宋体" w:hAnsi="宋体" w:eastAsia="宋体" w:cs="宋体"/>
                <w:sz w:val="24"/>
                <w:szCs w:val="24"/>
                <w:lang w:eastAsia="zh-CN"/>
              </w:rPr>
              <w:t>。</w:t>
            </w:r>
            <w:r>
              <w:rPr>
                <w:rFonts w:hint="eastAsia" w:ascii="宋体" w:hAnsi="宋体" w:eastAsia="宋体" w:cs="宋体"/>
                <w:sz w:val="24"/>
                <w:szCs w:val="24"/>
              </w:rPr>
              <w:t>能测量通信基站、雷达、广播电视等发射设施的射频电场强度和功率密度</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2.技术规格</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2.1性能</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2.1.1 主机频率范围1Hz-300GHz，可选配不同频段的全向电磁场探头，自动探头识别。</w:t>
            </w:r>
          </w:p>
          <w:p>
            <w:pPr>
              <w:keepNext w:val="0"/>
              <w:keepLines w:val="0"/>
              <w:pageBreakBefore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2.1.2 *主机配不同探头可扩展测量频率范围不小于1Hz～70GHz，需提供生产厂家出具的、相应的功能证明材料（包括但不仅限于测试报告或官网截图或功能截图等）</w:t>
            </w:r>
            <w:r>
              <w:rPr>
                <w:rFonts w:hint="eastAsia" w:ascii="宋体" w:hAnsi="宋体" w:eastAsia="宋体" w:cs="宋体"/>
                <w:b/>
                <w:bCs/>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2.1.3 实时值、算术平均值、方均根值、最大值、最小值、统计场强及相应的算术偏差和标准偏差等数据模式</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2.1.4 具有简易法、标准法和自定义测量功能，自动测量和数据存储</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2.1.5 IP55防护级（防水、防尘）</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2.1.6 *</w:t>
            </w:r>
            <w:r>
              <w:rPr>
                <w:rFonts w:hint="eastAsia" w:ascii="宋体" w:hAnsi="宋体" w:eastAsia="宋体" w:cs="宋体"/>
                <w:b/>
                <w:bCs/>
                <w:sz w:val="24"/>
                <w:szCs w:val="24"/>
              </w:rPr>
              <w:t>工频电磁场测量支持FFT频谱分析，12次谐波分析，计权（曝露比）功能，需提供生产厂家出具的、相应的功能证明材料（包括但不仅限于测试报告或官网截图或功能截图等）。</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2.1.7 符合《工作场所有害因素职业接触限值 第2部分 物理因素》（GBZ2.2-2007）</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2.1.8 *</w:t>
            </w:r>
            <w:r>
              <w:rPr>
                <w:rFonts w:hint="eastAsia" w:ascii="宋体" w:hAnsi="宋体" w:eastAsia="宋体" w:cs="宋体"/>
                <w:b/>
                <w:bCs/>
                <w:sz w:val="24"/>
                <w:szCs w:val="24"/>
              </w:rPr>
              <w:t>主机内置打印模块，直接连接便携打印机，现场打印原始数据。能同步测量环境温度、湿度、GPS定位，方便监测数据溯源，需</w:t>
            </w:r>
            <w:r>
              <w:rPr>
                <w:rFonts w:hint="eastAsia" w:ascii="宋体" w:hAnsi="宋体" w:eastAsia="宋体" w:cs="宋体"/>
                <w:b/>
                <w:bCs/>
                <w:sz w:val="24"/>
                <w:szCs w:val="24"/>
                <w:lang w:eastAsia="zh-CN"/>
              </w:rPr>
              <w:t>提供生产厂家出具的、相应的功能证明材料（包括但不仅限于测试报告或官网截图或功能截图等）</w:t>
            </w:r>
            <w:r>
              <w:rPr>
                <w:rFonts w:hint="eastAsia" w:ascii="宋体" w:hAnsi="宋体" w:eastAsia="宋体" w:cs="宋体"/>
                <w:b/>
                <w:bCs/>
                <w:sz w:val="24"/>
                <w:szCs w:val="24"/>
              </w:rPr>
              <w:t>。</w:t>
            </w:r>
          </w:p>
          <w:p>
            <w:pPr>
              <w:keepNext w:val="0"/>
              <w:keepLines w:val="0"/>
              <w:pageBreakBefore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2.1.9 *主机电磁兼容性满足GB/T17626.3-2006和GB/T17626.6-2008标准，辐射抗扰度试验等级不小于25V/m，需</w:t>
            </w:r>
            <w:r>
              <w:rPr>
                <w:rFonts w:hint="eastAsia" w:ascii="宋体" w:hAnsi="宋体" w:eastAsia="宋体" w:cs="宋体"/>
                <w:b/>
                <w:bCs/>
                <w:sz w:val="24"/>
                <w:szCs w:val="24"/>
                <w:lang w:eastAsia="zh-CN"/>
              </w:rPr>
              <w:t>提供生产厂家出具的、相应的功能证明材料（包括但不仅限于测试报告或官网截图或功能截图等）。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2.2技术参数</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2.2.1 电磁辐射分析仪主机：</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★频率范围：1Hz-300GHz</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显示类型：4.1英寸彩色液晶</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更新速率：</w:t>
            </w:r>
            <w:r>
              <w:rPr>
                <w:rFonts w:hint="eastAsia" w:ascii="宋体" w:hAnsi="宋体" w:eastAsia="宋体" w:cs="宋体"/>
                <w:color w:val="333333"/>
                <w:sz w:val="24"/>
                <w:szCs w:val="24"/>
                <w:shd w:val="clear" w:color="auto" w:fill="FFFFFF"/>
              </w:rPr>
              <w:t>≤</w:t>
            </w:r>
            <w:r>
              <w:rPr>
                <w:rFonts w:hint="eastAsia" w:ascii="宋体" w:hAnsi="宋体" w:eastAsia="宋体" w:cs="宋体"/>
                <w:sz w:val="24"/>
                <w:szCs w:val="24"/>
              </w:rPr>
              <w:t>1s</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显示单位：V/m , kV/m , µW/cm2, W/m2, mW/cm2,mA/m, A/m,nT， µT，mT，根据监测结果自动切换V/m 和 kV/m，µT和mT。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结果类型：三维全向实时值，最大值，最小值，平均值，实时XYZ分量值，总场强值</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*时间平均：可选平均时间1s~24小时</w:t>
            </w:r>
            <w:r>
              <w:rPr>
                <w:rFonts w:hint="eastAsia" w:ascii="宋体" w:hAnsi="宋体" w:eastAsia="宋体" w:cs="宋体"/>
                <w:b/>
                <w:bCs/>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*统计场强：E5，E50，E80，E95</w:t>
            </w:r>
            <w:r>
              <w:rPr>
                <w:rFonts w:hint="eastAsia" w:ascii="宋体" w:hAnsi="宋体" w:eastAsia="宋体" w:cs="宋体"/>
                <w:b/>
                <w:bCs/>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采样间隔：</w:t>
            </w:r>
            <w:r>
              <w:rPr>
                <w:rFonts w:hint="eastAsia" w:ascii="宋体" w:hAnsi="宋体" w:eastAsia="宋体" w:cs="宋体"/>
                <w:color w:val="333333"/>
                <w:sz w:val="24"/>
                <w:szCs w:val="24"/>
                <w:shd w:val="clear" w:color="auto" w:fill="FFFFFF"/>
              </w:rPr>
              <w:t>≤</w:t>
            </w:r>
            <w:r>
              <w:rPr>
                <w:rFonts w:hint="eastAsia" w:ascii="宋体" w:hAnsi="宋体" w:eastAsia="宋体" w:cs="宋体"/>
                <w:sz w:val="24"/>
                <w:szCs w:val="24"/>
              </w:rPr>
              <w:t>1s，自定义</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测量模式：算术平均值，方均根值（严格符合GB8002-2014标准要求），统计场强，时域分析</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可计算统计误差：算术偏差(±ΔE)；标准偏差(±σE)</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数据存储和处理：直接存数结果，科学计数法数据存储</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存储：</w:t>
            </w:r>
            <w:r>
              <w:rPr>
                <w:rFonts w:hint="eastAsia" w:ascii="宋体" w:hAnsi="宋体" w:cs="宋体"/>
                <w:sz w:val="24"/>
                <w:szCs w:val="24"/>
                <w:lang w:val="en-US" w:eastAsia="zh-CN"/>
              </w:rPr>
              <w:t>≥</w:t>
            </w:r>
            <w:r>
              <w:rPr>
                <w:rFonts w:hint="eastAsia" w:ascii="宋体" w:hAnsi="宋体" w:eastAsia="宋体" w:cs="宋体"/>
                <w:sz w:val="24"/>
                <w:szCs w:val="24"/>
              </w:rPr>
              <w:t>8G闪存，可存储大于100万个数据，可存储大于10万个文档</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*温度测量：-40 °C ～ +80 °C ；精度：±0.4°C；分辨率：0.04°C</w:t>
            </w:r>
            <w:r>
              <w:rPr>
                <w:rFonts w:hint="eastAsia" w:ascii="宋体" w:hAnsi="宋体" w:eastAsia="宋体" w:cs="宋体"/>
                <w:b/>
                <w:bCs/>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*湿度测量：0-100%；精度：±3%；分辨率：0.05%</w:t>
            </w:r>
            <w:r>
              <w:rPr>
                <w:rFonts w:hint="eastAsia" w:ascii="宋体" w:hAnsi="宋体" w:eastAsia="宋体" w:cs="宋体"/>
                <w:b/>
                <w:bCs/>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电池：内置6800mAh可充电锂电池，充电时间小于8小时，运行时间大于14小时</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防护级别：不低于IP55</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2.2.2 工频电磁场探头</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频率范围：包含1Hz-100KHz</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*量程：电场不小于0.01V/m-100KV/m ；磁场不小于1nT-10mT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最大过载：电场不小于200KV/m；磁场不小于20mT</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分辨率：电场</w:t>
            </w:r>
            <w:r>
              <w:rPr>
                <w:rFonts w:hint="eastAsia" w:ascii="宋体" w:hAnsi="宋体" w:eastAsia="宋体" w:cs="宋体"/>
                <w:color w:val="333333"/>
                <w:sz w:val="24"/>
                <w:szCs w:val="24"/>
                <w:shd w:val="clear" w:color="auto" w:fill="FFFFFF"/>
              </w:rPr>
              <w:t>≤</w:t>
            </w:r>
            <w:r>
              <w:rPr>
                <w:rFonts w:hint="eastAsia" w:ascii="宋体" w:hAnsi="宋体" w:eastAsia="宋体" w:cs="宋体"/>
                <w:sz w:val="24"/>
                <w:szCs w:val="24"/>
              </w:rPr>
              <w:t>0.01V/m；磁场1nT</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灵敏度：电场</w:t>
            </w:r>
            <w:r>
              <w:rPr>
                <w:rFonts w:hint="eastAsia" w:ascii="宋体" w:hAnsi="宋体" w:eastAsia="宋体" w:cs="宋体"/>
                <w:color w:val="333333"/>
                <w:sz w:val="24"/>
                <w:szCs w:val="24"/>
                <w:shd w:val="clear" w:color="auto" w:fill="FFFFFF"/>
              </w:rPr>
              <w:t>≤</w:t>
            </w:r>
            <w:r>
              <w:rPr>
                <w:rFonts w:hint="eastAsia" w:ascii="宋体" w:hAnsi="宋体" w:eastAsia="宋体" w:cs="宋体"/>
                <w:sz w:val="24"/>
                <w:szCs w:val="24"/>
              </w:rPr>
              <w:t>0.01V/m；磁场1nT</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各向同性：不大于±0.4dB</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线性误差：不大于±0.4dB</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电池：内置可充电锂电池，充电时间小于4小时，运行时间大于10小时</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工频探头与主机采用不小于5米长的光纤连接，以满足GBZ/T 189.3-2018中手持主机的测量者距离探头2.5米以外的要求。为消除探头内部搭载无线收发模组带来的自干扰，禁止探头采用WIFI等无线方式和主机进行通讯</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*输电线路空间电磁场仿真计算软件，软件须具有软件著作权证书和软件测评证书</w:t>
            </w:r>
            <w:r>
              <w:rPr>
                <w:rFonts w:hint="eastAsia" w:ascii="宋体" w:hAnsi="宋体" w:eastAsia="宋体" w:cs="宋体"/>
                <w:b/>
                <w:bCs/>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2.2.3 射频电场探头</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频率范围：不小于100KHz-6GHz</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量程：不小于0.2V/m-680V/m；1nW/cm² ~ 122.7mW/cm²</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动态范围：不低于70dB</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方向性：各向同性</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典型频响：±1.2dB(200KHz～5GHz)；±2.8dB(5GHz～6GHz)</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线性误差：不大于±0.6dB</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各向同性误差：不大于±0.8dB(100KHz～5GHz)，不大于±1dB(5GHz～6GHz)，包含主机在内的整套监测系统的各向同性。</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3.配置要求</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电磁辐射分析仪主机、工频电磁场合一探头、射频电场探头、光纤、木质抗干扰三脚架、工频电磁场测量软件（工频电磁场探头可直接通过光纤连接PC进行监测）、国家法定计量机构计量证书（工频电磁场、射频6个G）、操作手册、便携式蓝牙打印机、专用便携箱。</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通风多参数检测仪</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numPr>
                <w:ilvl w:val="0"/>
                <w:numId w:val="1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具有自动和手动两种测试模式；</w:t>
            </w:r>
          </w:p>
          <w:p>
            <w:pPr>
              <w:keepNext w:val="0"/>
              <w:keepLines w:val="0"/>
              <w:pageBreakBefore w:val="0"/>
              <w:numPr>
                <w:ilvl w:val="0"/>
                <w:numId w:val="1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全中文高清彩色液晶屏；</w:t>
            </w:r>
          </w:p>
          <w:p>
            <w:pPr>
              <w:keepNext w:val="0"/>
              <w:keepLines w:val="0"/>
              <w:pageBreakBefore w:val="0"/>
              <w:numPr>
                <w:ilvl w:val="0"/>
                <w:numId w:val="1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kern w:val="0"/>
                <w:sz w:val="24"/>
                <w:szCs w:val="24"/>
              </w:rPr>
              <w:t>采用‘气压计基点测定法’，对矿井巷道的通风阻力及相关通风参数进行测定</w:t>
            </w:r>
            <w:r>
              <w:rPr>
                <w:rFonts w:hint="eastAsia" w:ascii="宋体" w:hAnsi="宋体" w:eastAsia="宋体" w:cs="宋体"/>
                <w:kern w:val="0"/>
                <w:sz w:val="24"/>
                <w:szCs w:val="24"/>
                <w:lang w:eastAsia="zh-CN"/>
              </w:rPr>
              <w:t>；</w:t>
            </w:r>
          </w:p>
          <w:p>
            <w:pPr>
              <w:keepNext w:val="0"/>
              <w:keepLines w:val="0"/>
              <w:pageBreakBefore w:val="0"/>
              <w:numPr>
                <w:ilvl w:val="0"/>
                <w:numId w:val="1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kern w:val="0"/>
                <w:sz w:val="24"/>
                <w:szCs w:val="24"/>
              </w:rPr>
              <w:t>可以对矿井基点、节点的绝压（大气压）、差压、温度、湿度、风速进行测量和存储，并结合配套的软件自动计算通风阻力相关数据、分析测算结果，生成阻力分布图和总结报告。</w:t>
            </w:r>
          </w:p>
          <w:p>
            <w:pPr>
              <w:keepNext w:val="0"/>
              <w:keepLines w:val="0"/>
              <w:pageBreakBefore w:val="0"/>
              <w:numPr>
                <w:ilvl w:val="0"/>
                <w:numId w:val="1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kern w:val="0"/>
                <w:sz w:val="24"/>
                <w:szCs w:val="24"/>
              </w:rPr>
              <w:t>自动校零功能</w:t>
            </w:r>
            <w:r>
              <w:rPr>
                <w:rFonts w:hint="eastAsia" w:ascii="宋体" w:hAnsi="宋体" w:eastAsia="宋体" w:cs="宋体"/>
                <w:kern w:val="0"/>
                <w:sz w:val="24"/>
                <w:szCs w:val="24"/>
                <w:lang w:eastAsia="zh-CN"/>
              </w:rPr>
              <w:t>；</w:t>
            </w:r>
          </w:p>
          <w:p>
            <w:pPr>
              <w:keepNext w:val="0"/>
              <w:keepLines w:val="0"/>
              <w:pageBreakBefore w:val="0"/>
              <w:numPr>
                <w:ilvl w:val="0"/>
                <w:numId w:val="1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多点测风并计算平均风速，单个测量断面测量点数可达40个；</w:t>
            </w:r>
          </w:p>
          <w:p>
            <w:pPr>
              <w:keepNext w:val="0"/>
              <w:keepLines w:val="0"/>
              <w:pageBreakBefore w:val="0"/>
              <w:numPr>
                <w:ilvl w:val="0"/>
                <w:numId w:val="1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配套软件获得国家软件著作权，可自动计算两点间通风阻力、生成巷道通风阻力分布图及测试报告</w:t>
            </w:r>
            <w:r>
              <w:rPr>
                <w:rFonts w:hint="eastAsia" w:ascii="宋体" w:hAnsi="宋体" w:eastAsia="宋体" w:cs="宋体"/>
                <w:sz w:val="24"/>
                <w:szCs w:val="24"/>
                <w:lang w:eastAsia="zh-CN"/>
              </w:rPr>
              <w:t>；</w:t>
            </w:r>
          </w:p>
          <w:p>
            <w:pPr>
              <w:keepNext w:val="0"/>
              <w:keepLines w:val="0"/>
              <w:pageBreakBefore w:val="0"/>
              <w:numPr>
                <w:ilvl w:val="0"/>
                <w:numId w:val="1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可同时测量风速、绝压、压差、温度和湿度</w:t>
            </w:r>
            <w:r>
              <w:rPr>
                <w:rFonts w:hint="eastAsia" w:ascii="宋体" w:hAnsi="宋体" w:eastAsia="宋体" w:cs="宋体"/>
                <w:sz w:val="24"/>
                <w:szCs w:val="24"/>
                <w:lang w:eastAsia="zh-CN"/>
              </w:rPr>
              <w:t>；</w:t>
            </w:r>
          </w:p>
          <w:p>
            <w:pPr>
              <w:keepNext w:val="0"/>
              <w:keepLines w:val="0"/>
              <w:pageBreakBefore w:val="0"/>
              <w:numPr>
                <w:ilvl w:val="0"/>
                <w:numId w:val="11"/>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*仪器需取得安标证书、防爆合格证,并提供加盖公章的证书复印件</w:t>
            </w:r>
          </w:p>
          <w:p>
            <w:pPr>
              <w:keepNext w:val="0"/>
              <w:keepLines w:val="0"/>
              <w:pageBreakBefore w:val="0"/>
              <w:numPr>
                <w:ilvl w:val="0"/>
                <w:numId w:val="11"/>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*配套软件需取得软件著作权登记证书</w:t>
            </w:r>
          </w:p>
          <w:p>
            <w:pPr>
              <w:keepNext w:val="0"/>
              <w:keepLines w:val="0"/>
              <w:pageBreakBefore w:val="0"/>
              <w:numPr>
                <w:ilvl w:val="0"/>
                <w:numId w:val="11"/>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sz w:val="24"/>
                <w:szCs w:val="24"/>
              </w:rPr>
              <w:t>测量参数</w:t>
            </w:r>
          </w:p>
          <w:p>
            <w:pPr>
              <w:keepNext w:val="0"/>
              <w:keepLines w:val="0"/>
              <w:pageBreakBefore w:val="0"/>
              <w:kinsoku/>
              <w:wordWrap/>
              <w:overflowPunct/>
              <w:topLinePunct w:val="0"/>
              <w:autoSpaceDE/>
              <w:autoSpaceDN/>
              <w:bidi w:val="0"/>
              <w:adjustRightInd/>
              <w:snapToGrid/>
              <w:spacing w:line="360" w:lineRule="auto"/>
              <w:ind w:left="317"/>
              <w:textAlignment w:val="auto"/>
              <w:rPr>
                <w:rFonts w:hint="eastAsia" w:ascii="宋体" w:hAnsi="宋体" w:eastAsia="宋体" w:cs="宋体"/>
                <w:sz w:val="24"/>
                <w:szCs w:val="24"/>
              </w:rPr>
            </w:pPr>
            <w:r>
              <w:rPr>
                <w:rFonts w:hint="eastAsia" w:ascii="宋体" w:hAnsi="宋体" w:eastAsia="宋体" w:cs="宋体"/>
                <w:sz w:val="24"/>
                <w:szCs w:val="24"/>
              </w:rPr>
              <w:t>风速测量范围（m/s）：0.20~5.00，精度±0.20、＞5.00～20.00，精度±0.30</w:t>
            </w:r>
          </w:p>
          <w:p>
            <w:pPr>
              <w:keepNext w:val="0"/>
              <w:keepLines w:val="0"/>
              <w:pageBreakBefore w:val="0"/>
              <w:kinsoku/>
              <w:wordWrap/>
              <w:overflowPunct/>
              <w:topLinePunct w:val="0"/>
              <w:autoSpaceDE/>
              <w:autoSpaceDN/>
              <w:bidi w:val="0"/>
              <w:adjustRightInd/>
              <w:snapToGrid/>
              <w:spacing w:line="360" w:lineRule="auto"/>
              <w:ind w:left="317"/>
              <w:textAlignment w:val="auto"/>
              <w:rPr>
                <w:rFonts w:hint="eastAsia" w:ascii="宋体" w:hAnsi="宋体" w:eastAsia="宋体" w:cs="宋体"/>
                <w:sz w:val="24"/>
                <w:szCs w:val="24"/>
              </w:rPr>
            </w:pPr>
            <w:r>
              <w:rPr>
                <w:rFonts w:hint="eastAsia" w:ascii="宋体" w:hAnsi="宋体" w:eastAsia="宋体" w:cs="宋体"/>
                <w:sz w:val="24"/>
                <w:szCs w:val="24"/>
              </w:rPr>
              <w:t>绝压测量范围（hPa）：100.00～1200.00，精度±0.35</w:t>
            </w:r>
          </w:p>
          <w:p>
            <w:pPr>
              <w:keepNext w:val="0"/>
              <w:keepLines w:val="0"/>
              <w:pageBreakBefore w:val="0"/>
              <w:kinsoku/>
              <w:wordWrap/>
              <w:overflowPunct/>
              <w:topLinePunct w:val="0"/>
              <w:autoSpaceDE/>
              <w:autoSpaceDN/>
              <w:bidi w:val="0"/>
              <w:adjustRightInd/>
              <w:snapToGrid/>
              <w:spacing w:line="360" w:lineRule="auto"/>
              <w:ind w:left="317"/>
              <w:textAlignment w:val="auto"/>
              <w:rPr>
                <w:rFonts w:hint="eastAsia" w:ascii="宋体" w:hAnsi="宋体" w:eastAsia="宋体" w:cs="宋体"/>
                <w:sz w:val="24"/>
                <w:szCs w:val="24"/>
              </w:rPr>
            </w:pPr>
            <w:r>
              <w:rPr>
                <w:rFonts w:hint="eastAsia" w:ascii="宋体" w:hAnsi="宋体" w:eastAsia="宋体" w:cs="宋体"/>
                <w:sz w:val="24"/>
                <w:szCs w:val="24"/>
              </w:rPr>
              <w:t>压差（hPa）：-1100.00～1100.00，精度±0.35</w:t>
            </w:r>
          </w:p>
          <w:p>
            <w:pPr>
              <w:keepNext w:val="0"/>
              <w:keepLines w:val="0"/>
              <w:pageBreakBefore w:val="0"/>
              <w:kinsoku/>
              <w:wordWrap/>
              <w:overflowPunct/>
              <w:topLinePunct w:val="0"/>
              <w:autoSpaceDE/>
              <w:autoSpaceDN/>
              <w:bidi w:val="0"/>
              <w:adjustRightInd/>
              <w:snapToGrid/>
              <w:spacing w:line="360" w:lineRule="auto"/>
              <w:ind w:left="317"/>
              <w:textAlignment w:val="auto"/>
              <w:rPr>
                <w:rFonts w:hint="eastAsia" w:ascii="宋体" w:hAnsi="宋体" w:eastAsia="宋体" w:cs="宋体"/>
                <w:sz w:val="24"/>
                <w:szCs w:val="24"/>
              </w:rPr>
            </w:pPr>
            <w:r>
              <w:rPr>
                <w:rFonts w:hint="eastAsia" w:ascii="宋体" w:hAnsi="宋体" w:eastAsia="宋体" w:cs="宋体"/>
                <w:sz w:val="24"/>
                <w:szCs w:val="24"/>
              </w:rPr>
              <w:t>温度(℃)：-10.0～50.0，精度±0.3</w:t>
            </w:r>
          </w:p>
          <w:p>
            <w:pPr>
              <w:keepNext w:val="0"/>
              <w:keepLines w:val="0"/>
              <w:pageBreakBefore w:val="0"/>
              <w:kinsoku/>
              <w:wordWrap/>
              <w:overflowPunct/>
              <w:topLinePunct w:val="0"/>
              <w:autoSpaceDE/>
              <w:autoSpaceDN/>
              <w:bidi w:val="0"/>
              <w:adjustRightInd/>
              <w:snapToGrid/>
              <w:spacing w:line="360" w:lineRule="auto"/>
              <w:ind w:left="317"/>
              <w:textAlignment w:val="auto"/>
              <w:rPr>
                <w:rFonts w:hint="eastAsia" w:ascii="宋体" w:hAnsi="宋体" w:eastAsia="宋体" w:cs="宋体"/>
                <w:sz w:val="24"/>
                <w:szCs w:val="24"/>
              </w:rPr>
            </w:pPr>
            <w:r>
              <w:rPr>
                <w:rFonts w:hint="eastAsia" w:ascii="宋体" w:hAnsi="宋体" w:eastAsia="宋体" w:cs="宋体"/>
                <w:sz w:val="24"/>
                <w:szCs w:val="24"/>
              </w:rPr>
              <w:t>湿度(%RH)：20.0～98.0，精度：±5.0</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机械式通风干湿表</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numPr>
                <w:ilvl w:val="0"/>
                <w:numId w:val="1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湿度测量范围：10%RH～100%RH</w:t>
            </w:r>
          </w:p>
          <w:p>
            <w:pPr>
              <w:keepNext w:val="0"/>
              <w:keepLines w:val="0"/>
              <w:pageBreakBefore w:val="0"/>
              <w:numPr>
                <w:ilvl w:val="0"/>
                <w:numId w:val="1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温度测量范围：-36℃～46℃和-26℃～51℃两种</w:t>
            </w:r>
          </w:p>
          <w:p>
            <w:pPr>
              <w:keepNext w:val="0"/>
              <w:keepLines w:val="0"/>
              <w:pageBreakBefore w:val="0"/>
              <w:numPr>
                <w:ilvl w:val="0"/>
                <w:numId w:val="1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温度表刻度的最小分度值：0.2℃</w:t>
            </w:r>
          </w:p>
          <w:p>
            <w:pPr>
              <w:keepNext w:val="0"/>
              <w:keepLines w:val="0"/>
              <w:pageBreakBefore w:val="0"/>
              <w:numPr>
                <w:ilvl w:val="0"/>
                <w:numId w:val="1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环境温度：-10℃～45℃</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p>
        </w:tc>
      </w:tr>
      <w:tr>
        <w:tblPrEx>
          <w:tblCellMar>
            <w:top w:w="0" w:type="dxa"/>
            <w:left w:w="108" w:type="dxa"/>
            <w:bottom w:w="0" w:type="dxa"/>
            <w:right w:w="108" w:type="dxa"/>
          </w:tblCellMar>
        </w:tblPrEx>
        <w:trPr>
          <w:cantSplit/>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防爆采样器</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用于室内、环境空气采样</w:t>
            </w:r>
          </w:p>
          <w:p>
            <w:pPr>
              <w:keepNext w:val="0"/>
              <w:keepLines w:val="0"/>
              <w:pageBreakBefore w:val="0"/>
              <w:numPr>
                <w:ilvl w:val="0"/>
                <w:numId w:val="13"/>
              </w:numPr>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流量范围：全流量范围采样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低流量不高于20 mL/min，高流量不低于4500 mL/min</w:t>
            </w:r>
          </w:p>
          <w:p>
            <w:pPr>
              <w:keepNext w:val="0"/>
              <w:keepLines w:val="0"/>
              <w:pageBreakBefore w:val="0"/>
              <w:numPr>
                <w:ilvl w:val="0"/>
                <w:numId w:val="1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采样流量误差：≤5.0%FS</w:t>
            </w:r>
          </w:p>
          <w:p>
            <w:pPr>
              <w:keepNext w:val="0"/>
              <w:keepLines w:val="0"/>
              <w:pageBreakBefore w:val="0"/>
              <w:numPr>
                <w:ilvl w:val="0"/>
                <w:numId w:val="1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采样流量稳定性：≤3.0%FS </w:t>
            </w:r>
          </w:p>
          <w:p>
            <w:pPr>
              <w:keepNext w:val="0"/>
              <w:keepLines w:val="0"/>
              <w:pageBreakBefore w:val="0"/>
              <w:numPr>
                <w:ilvl w:val="0"/>
                <w:numId w:val="1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负载能力：≥4000Pa</w:t>
            </w:r>
          </w:p>
          <w:p>
            <w:pPr>
              <w:keepNext w:val="0"/>
              <w:keepLines w:val="0"/>
              <w:pageBreakBefore w:val="0"/>
              <w:numPr>
                <w:ilvl w:val="0"/>
                <w:numId w:val="1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连续工作时间：≥8h</w:t>
            </w:r>
          </w:p>
          <w:p>
            <w:pPr>
              <w:keepNext w:val="0"/>
              <w:keepLines w:val="0"/>
              <w:pageBreakBefore w:val="0"/>
              <w:numPr>
                <w:ilvl w:val="0"/>
                <w:numId w:val="1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工作方式：可正计时采样、可倒计时采样</w:t>
            </w:r>
          </w:p>
          <w:p>
            <w:pPr>
              <w:keepNext w:val="0"/>
              <w:keepLines w:val="0"/>
              <w:pageBreakBefore w:val="0"/>
              <w:numPr>
                <w:ilvl w:val="0"/>
                <w:numId w:val="1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电源类型：完全切断，安全待机3个月</w:t>
            </w:r>
          </w:p>
          <w:p>
            <w:pPr>
              <w:keepNext w:val="0"/>
              <w:keepLines w:val="0"/>
              <w:pageBreakBefore w:val="0"/>
              <w:numPr>
                <w:ilvl w:val="0"/>
                <w:numId w:val="1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工作噪声：≤65dB (A)</w:t>
            </w:r>
          </w:p>
          <w:p>
            <w:pPr>
              <w:keepNext w:val="0"/>
              <w:keepLines w:val="0"/>
              <w:pageBreakBefore w:val="0"/>
              <w:numPr>
                <w:ilvl w:val="0"/>
                <w:numId w:val="1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防护性能：IP54</w:t>
            </w:r>
          </w:p>
          <w:p>
            <w:pPr>
              <w:keepNext w:val="0"/>
              <w:keepLines w:val="0"/>
              <w:pageBreakBefore w:val="0"/>
              <w:numPr>
                <w:ilvl w:val="0"/>
                <w:numId w:val="1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采样时间误差: 5min内不超过1.0 s</w:t>
            </w:r>
          </w:p>
          <w:p>
            <w:pPr>
              <w:keepNext w:val="0"/>
              <w:keepLines w:val="0"/>
              <w:pageBreakBefore w:val="0"/>
              <w:numPr>
                <w:ilvl w:val="0"/>
                <w:numId w:val="1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采样口平均流速:（0.5～4.0）m/s</w:t>
            </w:r>
          </w:p>
          <w:p>
            <w:pPr>
              <w:keepNext w:val="0"/>
              <w:keepLines w:val="0"/>
              <w:pageBreakBefore w:val="0"/>
              <w:numPr>
                <w:ilvl w:val="0"/>
                <w:numId w:val="1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采样效能：符合“BMRC”采样效能曲线</w:t>
            </w:r>
          </w:p>
          <w:p>
            <w:pPr>
              <w:keepNext w:val="0"/>
              <w:keepLines w:val="0"/>
              <w:pageBreakBefore w:val="0"/>
              <w:numPr>
                <w:ilvl w:val="0"/>
                <w:numId w:val="1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工作环境：</w:t>
            </w:r>
          </w:p>
          <w:p>
            <w:pPr>
              <w:keepNext w:val="0"/>
              <w:keepLines w:val="0"/>
              <w:pageBreakBefore w:val="0"/>
              <w:kinsoku/>
              <w:wordWrap/>
              <w:overflowPunct/>
              <w:topLinePunct w:val="0"/>
              <w:autoSpaceDE/>
              <w:autoSpaceDN/>
              <w:bidi w:val="0"/>
              <w:adjustRightInd/>
              <w:snapToGrid/>
              <w:spacing w:line="360" w:lineRule="auto"/>
              <w:ind w:left="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工作温度：0～40℃  贮存温度：-40℃～60℃</w:t>
            </w:r>
          </w:p>
          <w:p>
            <w:pPr>
              <w:keepNext w:val="0"/>
              <w:keepLines w:val="0"/>
              <w:pageBreakBefore w:val="0"/>
              <w:kinsoku/>
              <w:wordWrap/>
              <w:overflowPunct/>
              <w:topLinePunct w:val="0"/>
              <w:autoSpaceDE/>
              <w:autoSpaceDN/>
              <w:bidi w:val="0"/>
              <w:adjustRightInd/>
              <w:snapToGrid/>
              <w:spacing w:line="360" w:lineRule="auto"/>
              <w:ind w:left="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相对湿度：≤95% 环境大气压：80KPa～110KPa</w:t>
            </w:r>
          </w:p>
          <w:p>
            <w:pPr>
              <w:keepNext w:val="0"/>
              <w:keepLines w:val="0"/>
              <w:pageBreakBefore w:val="0"/>
              <w:numPr>
                <w:ilvl w:val="0"/>
                <w:numId w:val="1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采样器电池为充电电池；电池符合GB/T22084.2-2008的要求，充放电次数大于500次。</w:t>
            </w:r>
          </w:p>
          <w:p>
            <w:pPr>
              <w:keepNext w:val="0"/>
              <w:keepLines w:val="0"/>
              <w:pageBreakBefore w:val="0"/>
              <w:numPr>
                <w:ilvl w:val="0"/>
                <w:numId w:val="13"/>
              </w:numPr>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仪器防爆类型：矿用本质安全型、防爆标志：ExibⅠMb。</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台</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r>
      <w:tr>
        <w:tblPrEx>
          <w:tblCellMar>
            <w:top w:w="0" w:type="dxa"/>
            <w:left w:w="108" w:type="dxa"/>
            <w:bottom w:w="0" w:type="dxa"/>
            <w:right w:w="108" w:type="dxa"/>
          </w:tblCellMar>
        </w:tblPrEx>
        <w:trPr>
          <w:cantSplit/>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防爆粉尘采样器（定点）</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numPr>
                <w:ilvl w:val="0"/>
                <w:numId w:val="1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仪器根据GB/T 20964-2007《粉尘采样器通用技术条件》、JJG520—2005《粉尘采样器检定规程》、Q/320581SXYB002-2017矿用粉尘采样器产品技术条件及GB3836.1-2010、GB3836.4-2010标准中ExibI Mb等级（矿用本质安全型）防爆设计。</w:t>
            </w:r>
          </w:p>
          <w:p>
            <w:pPr>
              <w:keepNext w:val="0"/>
              <w:keepLines w:val="0"/>
              <w:pageBreakBefore w:val="0"/>
              <w:numPr>
                <w:ilvl w:val="0"/>
                <w:numId w:val="1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配有两种粉尘预捕集器，该预捕集器通过GB/T13813-2008规定的摩擦火花试验，一种是测定总粉尘浓度的全尘预捕集器；另一种是测定呼吸性粉尘浓度的预捕集器，其分离效率符合 “BMRC”曲线标准</w:t>
            </w:r>
          </w:p>
          <w:p>
            <w:pPr>
              <w:keepNext w:val="0"/>
              <w:keepLines w:val="0"/>
              <w:pageBreakBefore w:val="0"/>
              <w:numPr>
                <w:ilvl w:val="0"/>
                <w:numId w:val="1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采样流量：5～30L/min（可调）</w:t>
            </w:r>
          </w:p>
          <w:p>
            <w:pPr>
              <w:keepNext w:val="0"/>
              <w:keepLines w:val="0"/>
              <w:pageBreakBefore w:val="0"/>
              <w:numPr>
                <w:ilvl w:val="0"/>
                <w:numId w:val="1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采样流量误差：≤5%FS</w:t>
            </w:r>
          </w:p>
          <w:p>
            <w:pPr>
              <w:keepNext w:val="0"/>
              <w:keepLines w:val="0"/>
              <w:pageBreakBefore w:val="0"/>
              <w:numPr>
                <w:ilvl w:val="0"/>
                <w:numId w:val="1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流量调节：按钮调节（粗调）、旋钮编码器调节（微调）</w:t>
            </w:r>
          </w:p>
          <w:p>
            <w:pPr>
              <w:keepNext w:val="0"/>
              <w:keepLines w:val="0"/>
              <w:pageBreakBefore w:val="0"/>
              <w:numPr>
                <w:ilvl w:val="0"/>
                <w:numId w:val="1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采样流量稳定性：采样器30min内采样流量稳定性≤3.0%FS</w:t>
            </w:r>
          </w:p>
          <w:p>
            <w:pPr>
              <w:keepNext w:val="0"/>
              <w:keepLines w:val="0"/>
              <w:pageBreakBefore w:val="0"/>
              <w:numPr>
                <w:ilvl w:val="0"/>
                <w:numId w:val="1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负载能力：≥200Pa  抽气负压：≥3000Pa </w:t>
            </w:r>
          </w:p>
          <w:p>
            <w:pPr>
              <w:keepNext w:val="0"/>
              <w:keepLines w:val="0"/>
              <w:pageBreakBefore w:val="0"/>
              <w:numPr>
                <w:ilvl w:val="0"/>
                <w:numId w:val="1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定时范围：0-99分钟内任意设定</w:t>
            </w:r>
          </w:p>
          <w:p>
            <w:pPr>
              <w:keepNext w:val="0"/>
              <w:keepLines w:val="0"/>
              <w:pageBreakBefore w:val="0"/>
              <w:numPr>
                <w:ilvl w:val="0"/>
                <w:numId w:val="1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连续工作时间：≥300min</w:t>
            </w:r>
          </w:p>
          <w:p>
            <w:pPr>
              <w:keepNext w:val="0"/>
              <w:keepLines w:val="0"/>
              <w:pageBreakBefore w:val="0"/>
              <w:numPr>
                <w:ilvl w:val="0"/>
                <w:numId w:val="1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气密性：在1000Pa压力下，1min内其压力变化值不得超过100Pa。</w:t>
            </w:r>
          </w:p>
          <w:p>
            <w:pPr>
              <w:keepNext w:val="0"/>
              <w:keepLines w:val="0"/>
              <w:pageBreakBefore w:val="0"/>
              <w:numPr>
                <w:ilvl w:val="0"/>
                <w:numId w:val="1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工作电源：采用A 3400Ah镍氢电池6节串联；电池符合GB/T22084.2-2008的要求。</w:t>
            </w:r>
          </w:p>
          <w:p>
            <w:pPr>
              <w:keepNext w:val="0"/>
              <w:keepLines w:val="0"/>
              <w:pageBreakBefore w:val="0"/>
              <w:numPr>
                <w:ilvl w:val="0"/>
                <w:numId w:val="1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防爆型式：矿用本质安全型、防爆标志：ExibⅠ Mb。</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个体粉尘采样器</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采样流量：500-5000mL/min（采用电子恒流技术，流量不受电压波动和气阻变化影响，流量持续恒流）</w:t>
            </w:r>
          </w:p>
          <w:p>
            <w:pPr>
              <w:keepNext w:val="0"/>
              <w:keepLines w:val="0"/>
              <w:pageBreakBefore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采样流量误差：≤±5.0%FS。</w:t>
            </w:r>
          </w:p>
          <w:p>
            <w:pPr>
              <w:keepNext w:val="0"/>
              <w:keepLines w:val="0"/>
              <w:pageBreakBefore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流量分辨率：1 mL/min</w:t>
            </w:r>
          </w:p>
          <w:p>
            <w:pPr>
              <w:keepNext w:val="0"/>
              <w:keepLines w:val="0"/>
              <w:pageBreakBefore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采样模式：定时、定容、循环</w:t>
            </w:r>
          </w:p>
          <w:p>
            <w:pPr>
              <w:keepNext w:val="0"/>
              <w:keepLines w:val="0"/>
              <w:pageBreakBefore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采样流量稳定性:连续采样8小时内流量稳定性≤±3.0%FS</w:t>
            </w:r>
          </w:p>
          <w:p>
            <w:pPr>
              <w:keepNext w:val="0"/>
              <w:keepLines w:val="0"/>
              <w:pageBreakBefore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流量重复性: ≤±2.0%FS</w:t>
            </w:r>
          </w:p>
          <w:p>
            <w:pPr>
              <w:keepNext w:val="0"/>
              <w:keepLines w:val="0"/>
              <w:pageBreakBefore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USB功能：充电采用USB功能，同时可以提供软件版本升级。</w:t>
            </w:r>
          </w:p>
          <w:p>
            <w:pPr>
              <w:keepNext w:val="0"/>
              <w:keepLines w:val="0"/>
              <w:pageBreakBefore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负载能力：≥5000Pa</w:t>
            </w:r>
          </w:p>
          <w:p>
            <w:pPr>
              <w:keepNext w:val="0"/>
              <w:keepLines w:val="0"/>
              <w:pageBreakBefore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连续工作时间：≥10小时</w:t>
            </w:r>
          </w:p>
          <w:p>
            <w:pPr>
              <w:keepNext w:val="0"/>
              <w:keepLines w:val="0"/>
              <w:pageBreakBefore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采样时间误差：计时误差不超过1.0s。</w:t>
            </w:r>
          </w:p>
          <w:p>
            <w:pPr>
              <w:keepNext w:val="0"/>
              <w:keepLines w:val="0"/>
              <w:pageBreakBefore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气密性:在仪器运转状态下，将系统入口密封，采样器显示的流量逐渐下降到零。</w:t>
            </w:r>
          </w:p>
          <w:p>
            <w:pPr>
              <w:keepNext w:val="0"/>
              <w:keepLines w:val="0"/>
              <w:pageBreakBefore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噪声:采样器运行时距离采样器1m的距离，噪声不大于60dB(A) 。</w:t>
            </w:r>
          </w:p>
          <w:p>
            <w:pPr>
              <w:keepNext w:val="0"/>
              <w:keepLines w:val="0"/>
              <w:pageBreakBefore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温度示值误差：≤±2℃</w:t>
            </w:r>
          </w:p>
          <w:p>
            <w:pPr>
              <w:keepNext w:val="0"/>
              <w:keepLines w:val="0"/>
              <w:pageBreakBefore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控温稳定性：≤±2℃</w:t>
            </w:r>
          </w:p>
          <w:p>
            <w:pPr>
              <w:keepNext w:val="0"/>
              <w:keepLines w:val="0"/>
              <w:pageBreakBefore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采样器电池采用锰酸锂电池2节串联，外接二级限流保护电流板保护电路，电池符合MT/T1051-2007的要求，充放电次数大于500次（在电池无过充、过放状态下）。</w:t>
            </w:r>
          </w:p>
          <w:p>
            <w:pPr>
              <w:keepNext w:val="0"/>
              <w:keepLines w:val="0"/>
              <w:pageBreakBefore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外壳防护性能应符合GB4208-2008中IP54防护等级规定</w:t>
            </w:r>
          </w:p>
          <w:p>
            <w:pPr>
              <w:keepNext w:val="0"/>
              <w:keepLines w:val="0"/>
              <w:pageBreakBefore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矿用本质安全型、防爆标志：ExibⅠ Mb。取得矿用产品安全标志证书，同时又有工厂气体防爆标志：ExibⅡB T4 GB</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台</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个体大气采样泵</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采样流量：最低流量不高于200 mL/min，最高流量不低于1200 mL/min</w:t>
            </w:r>
          </w:p>
          <w:p>
            <w:pPr>
              <w:keepNext w:val="0"/>
              <w:keepLines w:val="0"/>
              <w:pageBreakBefore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采样流量误差：≤±5.0%FS。</w:t>
            </w:r>
          </w:p>
          <w:p>
            <w:pPr>
              <w:keepNext w:val="0"/>
              <w:keepLines w:val="0"/>
              <w:pageBreakBefore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流量分辨率：1 mL/min</w:t>
            </w:r>
          </w:p>
          <w:p>
            <w:pPr>
              <w:keepNext w:val="0"/>
              <w:keepLines w:val="0"/>
              <w:pageBreakBefore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采样模式：定时、定容、循环</w:t>
            </w:r>
          </w:p>
          <w:p>
            <w:pPr>
              <w:keepNext w:val="0"/>
              <w:keepLines w:val="0"/>
              <w:pageBreakBefore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采样流量稳定性:连续采样8小时内流量稳定性≤±3.0%FS</w:t>
            </w:r>
          </w:p>
          <w:p>
            <w:pPr>
              <w:keepNext w:val="0"/>
              <w:keepLines w:val="0"/>
              <w:pageBreakBefore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流量重复性: ≤±2.0%FS</w:t>
            </w:r>
          </w:p>
          <w:p>
            <w:pPr>
              <w:keepNext w:val="0"/>
              <w:keepLines w:val="0"/>
              <w:pageBreakBefore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负载能力：≥5000Pa</w:t>
            </w:r>
          </w:p>
          <w:p>
            <w:pPr>
              <w:keepNext w:val="0"/>
              <w:keepLines w:val="0"/>
              <w:pageBreakBefore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连续工作时间：≥10小时</w:t>
            </w:r>
          </w:p>
          <w:p>
            <w:pPr>
              <w:keepNext w:val="0"/>
              <w:keepLines w:val="0"/>
              <w:pageBreakBefore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采样时间误差：计时误差不超过1.0s。</w:t>
            </w:r>
          </w:p>
          <w:p>
            <w:pPr>
              <w:keepNext w:val="0"/>
              <w:keepLines w:val="0"/>
              <w:pageBreakBefore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气密性:在仪器运转状态下，将系统入口密封，采样器显示的流量逐渐下降到零。</w:t>
            </w:r>
          </w:p>
          <w:p>
            <w:pPr>
              <w:keepNext w:val="0"/>
              <w:keepLines w:val="0"/>
              <w:pageBreakBefore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噪声:采样器运行时距离采样器1m的距离，噪声不大于60dB(A) 。</w:t>
            </w:r>
          </w:p>
          <w:p>
            <w:pPr>
              <w:keepNext w:val="0"/>
              <w:keepLines w:val="0"/>
              <w:pageBreakBefore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温度示值误差：≤±2℃</w:t>
            </w:r>
          </w:p>
          <w:p>
            <w:pPr>
              <w:keepNext w:val="0"/>
              <w:keepLines w:val="0"/>
              <w:pageBreakBefore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控温稳定性：≤±2℃</w:t>
            </w:r>
          </w:p>
          <w:p>
            <w:pPr>
              <w:keepNext w:val="0"/>
              <w:keepLines w:val="0"/>
              <w:pageBreakBefore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采样器电池采用锰酸锂电池2节串联，电池符合MT/T1051-2007的要求，充放电次数大于500次。</w:t>
            </w:r>
          </w:p>
          <w:p>
            <w:pPr>
              <w:keepNext w:val="0"/>
              <w:keepLines w:val="0"/>
              <w:pageBreakBefore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外壳防护性能应符合GB4208-2008中IP54防护等级规定</w:t>
            </w:r>
          </w:p>
          <w:p>
            <w:pPr>
              <w:keepNext w:val="0"/>
              <w:keepLines w:val="0"/>
              <w:pageBreakBefore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矿用本质安全型、防爆标志：ExibⅠ Mb。取得矿用产品安全标志证书；同时又有工厂气体防爆标志：ExibⅡB T4 GB</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电子皂膜流量计</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numPr>
                <w:ilvl w:val="0"/>
                <w:numId w:val="1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配有三个流量罐</w:t>
            </w:r>
          </w:p>
          <w:p>
            <w:pPr>
              <w:keepNext w:val="0"/>
              <w:keepLines w:val="0"/>
              <w:pageBreakBefore w:val="0"/>
              <w:kinsoku/>
              <w:wordWrap/>
              <w:overflowPunct/>
              <w:topLinePunct w:val="0"/>
              <w:autoSpaceDE/>
              <w:autoSpaceDN/>
              <w:bidi w:val="0"/>
              <w:adjustRightInd/>
              <w:snapToGrid/>
              <w:spacing w:line="360" w:lineRule="auto"/>
              <w:ind w:left="360"/>
              <w:textAlignment w:val="auto"/>
              <w:rPr>
                <w:rFonts w:hint="eastAsia" w:ascii="宋体" w:hAnsi="宋体" w:eastAsia="宋体" w:cs="宋体"/>
                <w:sz w:val="24"/>
                <w:szCs w:val="24"/>
              </w:rPr>
            </w:pPr>
            <w:r>
              <w:rPr>
                <w:rFonts w:hint="eastAsia" w:ascii="宋体" w:hAnsi="宋体" w:eastAsia="宋体" w:cs="宋体"/>
                <w:sz w:val="24"/>
                <w:szCs w:val="24"/>
              </w:rPr>
              <w:t>低流量测定槽：0.3~300mL/min</w:t>
            </w:r>
          </w:p>
          <w:p>
            <w:pPr>
              <w:keepNext w:val="0"/>
              <w:keepLines w:val="0"/>
              <w:pageBreakBefore w:val="0"/>
              <w:kinsoku/>
              <w:wordWrap/>
              <w:overflowPunct/>
              <w:topLinePunct w:val="0"/>
              <w:autoSpaceDE/>
              <w:autoSpaceDN/>
              <w:bidi w:val="0"/>
              <w:adjustRightInd/>
              <w:snapToGrid/>
              <w:spacing w:line="360" w:lineRule="auto"/>
              <w:ind w:left="360"/>
              <w:textAlignment w:val="auto"/>
              <w:rPr>
                <w:rFonts w:hint="eastAsia" w:ascii="宋体" w:hAnsi="宋体" w:eastAsia="宋体" w:cs="宋体"/>
                <w:sz w:val="24"/>
                <w:szCs w:val="24"/>
              </w:rPr>
            </w:pPr>
            <w:r>
              <w:rPr>
                <w:rFonts w:hint="eastAsia" w:ascii="宋体" w:hAnsi="宋体" w:eastAsia="宋体" w:cs="宋体"/>
                <w:sz w:val="24"/>
                <w:szCs w:val="24"/>
              </w:rPr>
              <w:t>中流量测定槽：20~6000mL/min</w:t>
            </w:r>
          </w:p>
          <w:p>
            <w:pPr>
              <w:keepNext w:val="0"/>
              <w:keepLines w:val="0"/>
              <w:pageBreakBefore w:val="0"/>
              <w:kinsoku/>
              <w:wordWrap/>
              <w:overflowPunct/>
              <w:topLinePunct w:val="0"/>
              <w:autoSpaceDE/>
              <w:autoSpaceDN/>
              <w:bidi w:val="0"/>
              <w:adjustRightInd/>
              <w:snapToGrid/>
              <w:spacing w:line="360" w:lineRule="auto"/>
              <w:ind w:left="360"/>
              <w:textAlignment w:val="auto"/>
              <w:rPr>
                <w:rFonts w:hint="eastAsia" w:ascii="宋体" w:hAnsi="宋体" w:eastAsia="宋体" w:cs="宋体"/>
                <w:sz w:val="24"/>
                <w:szCs w:val="24"/>
              </w:rPr>
            </w:pPr>
            <w:r>
              <w:rPr>
                <w:rFonts w:hint="eastAsia" w:ascii="宋体" w:hAnsi="宋体" w:eastAsia="宋体" w:cs="宋体"/>
                <w:sz w:val="24"/>
                <w:szCs w:val="24"/>
              </w:rPr>
              <w:t>高流量测定槽：1~30 L/min</w:t>
            </w:r>
          </w:p>
          <w:p>
            <w:pPr>
              <w:keepNext w:val="0"/>
              <w:keepLines w:val="0"/>
              <w:pageBreakBefore w:val="0"/>
              <w:numPr>
                <w:ilvl w:val="0"/>
                <w:numId w:val="1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精确度：≤±1%</w:t>
            </w:r>
          </w:p>
          <w:p>
            <w:pPr>
              <w:keepNext w:val="0"/>
              <w:keepLines w:val="0"/>
              <w:pageBreakBefore w:val="0"/>
              <w:numPr>
                <w:ilvl w:val="0"/>
                <w:numId w:val="1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显示参数：测量流量，平均流量</w:t>
            </w:r>
          </w:p>
          <w:p>
            <w:pPr>
              <w:keepNext w:val="0"/>
              <w:keepLines w:val="0"/>
              <w:pageBreakBefore w:val="0"/>
              <w:numPr>
                <w:ilvl w:val="0"/>
                <w:numId w:val="1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测量方式：湿式</w:t>
            </w:r>
          </w:p>
          <w:p>
            <w:pPr>
              <w:keepNext w:val="0"/>
              <w:keepLines w:val="0"/>
              <w:pageBreakBefore w:val="0"/>
              <w:numPr>
                <w:ilvl w:val="0"/>
                <w:numId w:val="1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数据显示：流量（五位数）</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自动烟尘气测试仪</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一、技术特点：</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7.0寸高亮彩色宽温触摸显示屏，界面美观，人机界面采用触摸屏和按键双操作模式</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烟气分析部分可选配紫外差分吸收光谱法（DOAS）或非分散红外法（NDIR）</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搭配烟尘多功能取样管，可同时实现烟尘滤筒采样、低浓度滤膜采样、烟气取样、油烟采样、阻容法湿度测量功能</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多功能取样管配有显示屏、可独立进行烟气流速、温度、湿度等工况参数的测量</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多功能取样管支持有线和无线双通信模式传输工况参数，减少现场管线连接</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采样器主机具有烟尘采样、烟气测量、溶液吸收烟气采样同步运行功能</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高性能大流量烟尘采样泵，采样流量可达110L/min，等速跟踪流量40L/min</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宽压输入（AC:80~260V），具有过压、过流保护</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钛合金材质，耐高温、耐腐蚀，防吸附、重量轻</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烟温线、通讯线、取样管电源线、气路连接管四合一，气路连接采用快速接头</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内置气体交叉干扰自动修正算法，最大限度避免了交叉干扰对测量结果的影响</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采用工业级嵌入式控制设计，抗静电能力强</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精确电子流量计控制，实时监测计温、计压，自动调节流量</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微电脑控制等速跟踪采样，专有调节方式，响应时间快</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仪器内置气流缓冲器，提高采样流量稳定性</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具有防倒吸功能，可防止采样结束后采集的烟尘被倒吸入烟道，影响测量数据</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内置排水泵，气体过滤及储水装置透明式设计，烟尘、烟气采样具有自动排水功能</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实时记录设备工作状态数据，具有采样过程停电记忆功能</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具备气密性自动检测功能、故障自检功能，可对仪器功能进行检测并故障报警</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设备支持出入库管理操作系统，方便用户管理设备</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采用高效粉尘过滤器，提高过滤效率，降低了流量传感器和采样泵系统的故障率</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选用大容量存储器数据存储量达10万组，测量数据可通过U盘导出</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实时查询检测数据，标配蓝牙高速打印机，可现场打印数据</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交直流两用，内置可充电锂电池，电池组设有独立电池仓方便快捷插拔更换。电池自带电量显示</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采样过程中断电数据自动保护，来电后继续采样</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可选配物联网模块，可拓展联网功能，实现远程数据传输和物联网组网</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仪器内置GPS和北斗卫星定位模块，实现GPS+北斗双定位模式和日期时钟授时功能</w:t>
            </w:r>
            <w:r>
              <w:rPr>
                <w:rFonts w:hint="eastAsia" w:ascii="宋体" w:hAnsi="宋体" w:eastAsia="宋体" w:cs="宋体"/>
                <w:sz w:val="24"/>
                <w:szCs w:val="24"/>
                <w:lang w:eastAsia="zh-CN"/>
              </w:rPr>
              <w:t>；</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可通过手机APP查看设备工作状态、可通过手机获取文件和转存数据；</w:t>
            </w:r>
          </w:p>
          <w:p>
            <w:pPr>
              <w:pStyle w:val="315"/>
              <w:keepNext w:val="0"/>
              <w:keepLines w:val="0"/>
              <w:pageBreakBefore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采样文件支持二维码转存，通过软件扫一扫即可实现文件获取并转存</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二.仪器技术指标</w:t>
            </w:r>
          </w:p>
          <w:p>
            <w:pPr>
              <w:pStyle w:val="306"/>
              <w:keepNext w:val="0"/>
              <w:keepLines w:val="0"/>
              <w:pageBreakBefore w:val="0"/>
              <w:numPr>
                <w:ilvl w:val="0"/>
                <w:numId w:val="19"/>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烟尘采样流量≥100L/min  </w:t>
            </w:r>
          </w:p>
          <w:p>
            <w:pPr>
              <w:pStyle w:val="306"/>
              <w:keepNext w:val="0"/>
              <w:keepLines w:val="0"/>
              <w:pageBreakBefore w:val="0"/>
              <w:numPr>
                <w:ilvl w:val="0"/>
                <w:numId w:val="19"/>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烟气动压：(0～2000)Pa；分辨率1Pa；最大允许误差±1.0%FS。</w:t>
            </w:r>
          </w:p>
          <w:p>
            <w:pPr>
              <w:pStyle w:val="306"/>
              <w:keepNext w:val="0"/>
              <w:keepLines w:val="0"/>
              <w:pageBreakBefore w:val="0"/>
              <w:numPr>
                <w:ilvl w:val="0"/>
                <w:numId w:val="19"/>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烟气静压：(-30～30)kPa；分辨率0.01Pa；最大允许误差±1.0%FS。</w:t>
            </w:r>
          </w:p>
          <w:p>
            <w:pPr>
              <w:pStyle w:val="306"/>
              <w:keepNext w:val="0"/>
              <w:keepLines w:val="0"/>
              <w:pageBreakBefore w:val="0"/>
              <w:numPr>
                <w:ilvl w:val="0"/>
                <w:numId w:val="19"/>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烟气全压：(-30～30)kPa；分辨率0.01Pa；最大允许误差±1.0%FS。</w:t>
            </w:r>
          </w:p>
          <w:p>
            <w:pPr>
              <w:pStyle w:val="306"/>
              <w:keepNext w:val="0"/>
              <w:keepLines w:val="0"/>
              <w:pageBreakBefore w:val="0"/>
              <w:numPr>
                <w:ilvl w:val="0"/>
                <w:numId w:val="19"/>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流量计前压力：(-30～0)kPa；分辨率0.01Pa；最大允许误差±1.0%FS。</w:t>
            </w:r>
          </w:p>
          <w:p>
            <w:pPr>
              <w:pStyle w:val="306"/>
              <w:keepNext w:val="0"/>
              <w:keepLines w:val="0"/>
              <w:pageBreakBefore w:val="0"/>
              <w:numPr>
                <w:ilvl w:val="0"/>
                <w:numId w:val="19"/>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流量计前温度：(-55～125)℃；分辨率0.1℃；最大允许误差±2.5℃。</w:t>
            </w:r>
          </w:p>
          <w:p>
            <w:pPr>
              <w:pStyle w:val="306"/>
              <w:keepNext w:val="0"/>
              <w:keepLines w:val="0"/>
              <w:pageBreakBefore w:val="0"/>
              <w:numPr>
                <w:ilvl w:val="0"/>
                <w:numId w:val="19"/>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烟气温度：(0～800)℃；分辨率0.1℃；最大允许误差±3℃。</w:t>
            </w:r>
          </w:p>
          <w:p>
            <w:pPr>
              <w:pStyle w:val="306"/>
              <w:keepNext w:val="0"/>
              <w:keepLines w:val="0"/>
              <w:pageBreakBefore w:val="0"/>
              <w:numPr>
                <w:ilvl w:val="0"/>
                <w:numId w:val="19"/>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等速吸引流速：(1～45)m/s；分辨率0.1m/s；最大允许误差±4%。</w:t>
            </w:r>
          </w:p>
          <w:p>
            <w:pPr>
              <w:pStyle w:val="306"/>
              <w:keepNext w:val="0"/>
              <w:keepLines w:val="0"/>
              <w:pageBreakBefore w:val="0"/>
              <w:numPr>
                <w:ilvl w:val="0"/>
                <w:numId w:val="19"/>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大气压：(60～130)kPa；分辨率0.1kPa；最大允许误差±0.5kPa。</w:t>
            </w:r>
          </w:p>
          <w:p>
            <w:pPr>
              <w:pStyle w:val="306"/>
              <w:keepNext w:val="0"/>
              <w:keepLines w:val="0"/>
              <w:pageBreakBefore w:val="0"/>
              <w:numPr>
                <w:ilvl w:val="0"/>
                <w:numId w:val="19"/>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采样泵负载能力：≥50L/min(阻力为20kPa时)。</w:t>
            </w:r>
          </w:p>
          <w:p>
            <w:pPr>
              <w:pStyle w:val="306"/>
              <w:keepNext w:val="0"/>
              <w:keepLines w:val="0"/>
              <w:pageBreakBefore w:val="0"/>
              <w:numPr>
                <w:ilvl w:val="0"/>
                <w:numId w:val="19"/>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烟气采样流量：1.0L/min，含湿量：（0~40）VOL%</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三、仪器配置：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烟尘采样器主机 1台，多功能取样管  1个，蓝牙打印机 1个，U盘 1个，仪器防护箱 2个，其它仪器必备的连接管路、耗材、配件1套。</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90"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便携式红外线CO</w:t>
            </w:r>
            <w:r>
              <w:rPr>
                <w:rFonts w:hint="eastAsia" w:ascii="宋体" w:hAnsi="宋体" w:eastAsia="宋体" w:cs="宋体"/>
                <w:kern w:val="0"/>
                <w:sz w:val="24"/>
                <w:szCs w:val="24"/>
                <w:highlight w:val="none"/>
                <w:vertAlign w:val="subscript"/>
              </w:rPr>
              <w:t>2</w:t>
            </w:r>
            <w:r>
              <w:rPr>
                <w:rFonts w:hint="eastAsia" w:ascii="宋体" w:hAnsi="宋体" w:eastAsia="宋体" w:cs="宋体"/>
                <w:kern w:val="0"/>
                <w:sz w:val="24"/>
                <w:szCs w:val="24"/>
                <w:highlight w:val="none"/>
              </w:rPr>
              <w:t>分析器</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1.配置：主机1台；电源适配器1套；专用手提箱1个，取样管一个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.原理：不分光红外分析法/非分散红外法（NDIR）。</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.采样方式：内置泵吸式；</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.测量范围：0～5000.0×10</w:t>
            </w:r>
            <w:r>
              <w:rPr>
                <w:rFonts w:hint="eastAsia" w:ascii="宋体" w:hAnsi="宋体" w:eastAsia="宋体" w:cs="宋体"/>
                <w:sz w:val="24"/>
                <w:szCs w:val="24"/>
                <w:highlight w:val="none"/>
                <w:vertAlign w:val="superscript"/>
              </w:rPr>
              <w:t>-6</w:t>
            </w:r>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.分辨率：</w:t>
            </w:r>
            <w:r>
              <w:rPr>
                <w:rFonts w:hint="eastAsia" w:ascii="宋体" w:hAnsi="宋体" w:eastAsia="宋体" w:cs="宋体"/>
                <w:color w:val="333333"/>
                <w:sz w:val="24"/>
                <w:szCs w:val="24"/>
                <w:shd w:val="clear" w:color="auto" w:fill="FFFFFF"/>
              </w:rPr>
              <w:t>≤</w:t>
            </w:r>
            <w:r>
              <w:rPr>
                <w:rFonts w:hint="eastAsia" w:ascii="宋体" w:hAnsi="宋体" w:eastAsia="宋体" w:cs="宋体"/>
                <w:sz w:val="24"/>
                <w:szCs w:val="24"/>
                <w:highlight w:val="none"/>
              </w:rPr>
              <w:t>1×10</w:t>
            </w:r>
            <w:r>
              <w:rPr>
                <w:rFonts w:hint="eastAsia" w:ascii="宋体" w:hAnsi="宋体" w:eastAsia="宋体" w:cs="宋体"/>
                <w:sz w:val="24"/>
                <w:szCs w:val="24"/>
                <w:highlight w:val="none"/>
                <w:vertAlign w:val="superscript"/>
              </w:rPr>
              <w:t>-6</w:t>
            </w:r>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.重复性：≤1%；</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.具有定时测量功能,仪器自带1小时均值、8小时均值和24小时均值测量存储功能；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.零点漂移：≤±2% FS/h；</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.跨度漂移：≤±2% FS/3h；</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.线性偏差：≤±2% FS；</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.响应时间：t0～t90＜15S；</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.流量范围：（0.5-2.0）L/min；</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.防爆等级：具备防爆功能，防爆级别不低于 EXd ib IIB T4 Gb，需提供防爆证书扫描件</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.测量数据输出模式包括U盘导出和蓝牙打印机打印两种</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.取得计量器具型式批准证书(CPA)，其执行标准应包含JJG635-2011《一氧化碳、二氧化碳红外线气体分析器》，主要的技术指标符合国家二级仪表的技术要求；</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台</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r>
      <w:tr>
        <w:tblPrEx>
          <w:tblCellMar>
            <w:top w:w="0" w:type="dxa"/>
            <w:left w:w="108" w:type="dxa"/>
            <w:bottom w:w="0" w:type="dxa"/>
            <w:right w:w="108" w:type="dxa"/>
          </w:tblCellMar>
        </w:tblPrEx>
        <w:trPr>
          <w:trHeight w:val="90"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紫外可见分光光度计</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光源：进口12V 20W卤钨灯和长寿命氘灯</w:t>
            </w:r>
          </w:p>
          <w:p>
            <w:pPr>
              <w:keepNext w:val="0"/>
              <w:keepLines w:val="0"/>
              <w:pageBreakBefore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电源电压：AC220V±22V 50Hz±1Hz</w:t>
            </w:r>
          </w:p>
          <w:p>
            <w:pPr>
              <w:keepNext w:val="0"/>
              <w:keepLines w:val="0"/>
              <w:pageBreakBefore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功率：120W</w:t>
            </w:r>
          </w:p>
          <w:p>
            <w:pPr>
              <w:keepNext w:val="0"/>
              <w:keepLines w:val="0"/>
              <w:pageBreakBefore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标配：1cm比色皿架</w:t>
            </w:r>
          </w:p>
          <w:p>
            <w:pPr>
              <w:keepNext w:val="0"/>
              <w:keepLines w:val="0"/>
              <w:pageBreakBefore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显示器：液晶显示屏</w:t>
            </w:r>
          </w:p>
          <w:p>
            <w:pPr>
              <w:keepNext w:val="0"/>
              <w:keepLines w:val="0"/>
              <w:pageBreakBefore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测光方式：单光束</w:t>
            </w:r>
          </w:p>
          <w:p>
            <w:pPr>
              <w:keepNext w:val="0"/>
              <w:keepLines w:val="0"/>
              <w:pageBreakBefore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单色器：自准直</w:t>
            </w:r>
          </w:p>
          <w:p>
            <w:pPr>
              <w:keepNext w:val="0"/>
              <w:keepLines w:val="0"/>
              <w:pageBreakBefore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焦距：160mm</w:t>
            </w:r>
          </w:p>
          <w:p>
            <w:pPr>
              <w:keepNext w:val="0"/>
              <w:keepLines w:val="0"/>
              <w:pageBreakBefore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光栅：1200 线/mm</w:t>
            </w:r>
          </w:p>
          <w:p>
            <w:pPr>
              <w:keepNext w:val="0"/>
              <w:keepLines w:val="0"/>
              <w:pageBreakBefore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光谱带宽：4nm</w:t>
            </w:r>
          </w:p>
          <w:p>
            <w:pPr>
              <w:keepNext w:val="0"/>
              <w:keepLines w:val="0"/>
              <w:pageBreakBefore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波长设定：手动</w:t>
            </w:r>
          </w:p>
          <w:p>
            <w:pPr>
              <w:keepNext w:val="0"/>
              <w:keepLines w:val="0"/>
              <w:pageBreakBefore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波长范围：200 ~ 1000nm</w:t>
            </w:r>
          </w:p>
          <w:p>
            <w:pPr>
              <w:keepNext w:val="0"/>
              <w:keepLines w:val="0"/>
              <w:pageBreakBefore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波长准确度： ±2nm</w:t>
            </w:r>
          </w:p>
          <w:p>
            <w:pPr>
              <w:keepNext w:val="0"/>
              <w:keepLines w:val="0"/>
              <w:pageBreakBefore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波长重复性： ≤1nm</w:t>
            </w:r>
          </w:p>
          <w:p>
            <w:pPr>
              <w:keepNext w:val="0"/>
              <w:keepLines w:val="0"/>
              <w:pageBreakBefore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光源切换波长：340nm</w:t>
            </w:r>
          </w:p>
          <w:p>
            <w:pPr>
              <w:keepNext w:val="0"/>
              <w:keepLines w:val="0"/>
              <w:pageBreakBefore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杂散光： ≤0.1% (T)，(在220nm处，以Nal测定)，(在360nm处，以NaNO2测定)</w:t>
            </w:r>
          </w:p>
          <w:p>
            <w:pPr>
              <w:keepNext w:val="0"/>
              <w:keepLines w:val="0"/>
              <w:pageBreakBefore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光度范围：</w:t>
            </w:r>
          </w:p>
          <w:p>
            <w:pPr>
              <w:keepNext w:val="0"/>
              <w:keepLines w:val="0"/>
              <w:pageBreakBefore w:val="0"/>
              <w:kinsoku/>
              <w:wordWrap/>
              <w:overflowPunct/>
              <w:topLinePunct w:val="0"/>
              <w:autoSpaceDE/>
              <w:autoSpaceDN/>
              <w:bidi w:val="0"/>
              <w:adjustRightInd/>
              <w:snapToGrid/>
              <w:spacing w:line="360" w:lineRule="auto"/>
              <w:ind w:left="420"/>
              <w:textAlignment w:val="auto"/>
              <w:rPr>
                <w:rFonts w:hint="eastAsia" w:ascii="宋体" w:hAnsi="宋体" w:eastAsia="宋体" w:cs="宋体"/>
                <w:sz w:val="24"/>
                <w:szCs w:val="24"/>
              </w:rPr>
            </w:pPr>
            <w:r>
              <w:rPr>
                <w:rFonts w:hint="eastAsia" w:ascii="宋体" w:hAnsi="宋体" w:eastAsia="宋体" w:cs="宋体"/>
                <w:sz w:val="24"/>
                <w:szCs w:val="24"/>
              </w:rPr>
              <w:t>0.0~ 200.0% T</w:t>
            </w:r>
          </w:p>
          <w:p>
            <w:pPr>
              <w:keepNext w:val="0"/>
              <w:keepLines w:val="0"/>
              <w:pageBreakBefore w:val="0"/>
              <w:kinsoku/>
              <w:wordWrap/>
              <w:overflowPunct/>
              <w:topLinePunct w:val="0"/>
              <w:autoSpaceDE/>
              <w:autoSpaceDN/>
              <w:bidi w:val="0"/>
              <w:adjustRightInd/>
              <w:snapToGrid/>
              <w:spacing w:line="360" w:lineRule="auto"/>
              <w:ind w:left="420"/>
              <w:textAlignment w:val="auto"/>
              <w:rPr>
                <w:rFonts w:hint="eastAsia" w:ascii="宋体" w:hAnsi="宋体" w:eastAsia="宋体" w:cs="宋体"/>
                <w:sz w:val="24"/>
                <w:szCs w:val="24"/>
              </w:rPr>
            </w:pPr>
            <w:r>
              <w:rPr>
                <w:rFonts w:hint="eastAsia" w:ascii="宋体" w:hAnsi="宋体" w:eastAsia="宋体" w:cs="宋体"/>
                <w:sz w:val="24"/>
                <w:szCs w:val="24"/>
              </w:rPr>
              <w:t>0~ 2.000A</w:t>
            </w:r>
          </w:p>
          <w:p>
            <w:pPr>
              <w:keepNext w:val="0"/>
              <w:keepLines w:val="0"/>
              <w:pageBreakBefore w:val="0"/>
              <w:kinsoku/>
              <w:wordWrap/>
              <w:overflowPunct/>
              <w:topLinePunct w:val="0"/>
              <w:autoSpaceDE/>
              <w:autoSpaceDN/>
              <w:bidi w:val="0"/>
              <w:adjustRightInd/>
              <w:snapToGrid/>
              <w:spacing w:line="360" w:lineRule="auto"/>
              <w:ind w:left="420"/>
              <w:textAlignment w:val="auto"/>
              <w:rPr>
                <w:rFonts w:hint="eastAsia" w:ascii="宋体" w:hAnsi="宋体" w:eastAsia="宋体" w:cs="宋体"/>
                <w:sz w:val="24"/>
                <w:szCs w:val="24"/>
              </w:rPr>
            </w:pPr>
            <w:r>
              <w:rPr>
                <w:rFonts w:hint="eastAsia" w:ascii="宋体" w:hAnsi="宋体" w:eastAsia="宋体" w:cs="宋体"/>
                <w:sz w:val="24"/>
                <w:szCs w:val="24"/>
              </w:rPr>
              <w:t>0.000~ 9999C</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原子吸收光谱仪</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1、技术特点</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*1.1全反射消色差光学系统。（提供</w:t>
            </w:r>
            <w:r>
              <w:rPr>
                <w:rFonts w:hint="eastAsia" w:ascii="宋体" w:hAnsi="宋体" w:eastAsia="宋体" w:cs="宋体"/>
                <w:b/>
                <w:bCs/>
                <w:sz w:val="24"/>
                <w:szCs w:val="24"/>
                <w:lang w:eastAsia="zh-CN"/>
              </w:rPr>
              <w:t>提供生产厂家出具的、相应的功能证明材料（包括但不仅限于测试报告或官网截图或功能截图等）</w:t>
            </w:r>
            <w:r>
              <w:rPr>
                <w:rFonts w:hint="eastAsia" w:ascii="宋体" w:hAnsi="宋体" w:eastAsia="宋体" w:cs="宋体"/>
                <w:b/>
                <w:bCs/>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1.2光学降噪技术和光学元件紫外增强技术。</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1.3间隙控灯技术，使用普通空心阴极灯用于自吸背景校正，灯的使用寿命延长，降低使用成本。</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1.4“汞灯-试剂”梯度测量技术。</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*1.5采用与地面垂直式8灯架系统，自动换灯，两维自动微调对光灯架。（</w:t>
            </w:r>
            <w:r>
              <w:rPr>
                <w:rFonts w:hint="eastAsia" w:ascii="宋体" w:hAnsi="宋体" w:eastAsia="宋体" w:cs="宋体"/>
                <w:b/>
                <w:bCs/>
                <w:sz w:val="24"/>
                <w:szCs w:val="24"/>
                <w:lang w:eastAsia="zh-CN"/>
              </w:rPr>
              <w:t>提供生产厂家出具的、相应的功能证明材料（包括但不仅限于测试报告或官网截图或功能截图等）</w:t>
            </w:r>
            <w:r>
              <w:rPr>
                <w:rFonts w:hint="eastAsia" w:ascii="宋体" w:hAnsi="宋体" w:eastAsia="宋体" w:cs="宋体"/>
                <w:b/>
                <w:bCs/>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*1.6原子吸收火焰石墨炉一体机，内置式石墨炉，原子化器快速自动定位切换。（</w:t>
            </w:r>
            <w:r>
              <w:rPr>
                <w:rFonts w:hint="eastAsia" w:ascii="宋体" w:hAnsi="宋体" w:eastAsia="宋体" w:cs="宋体"/>
                <w:b/>
                <w:bCs/>
                <w:sz w:val="24"/>
                <w:szCs w:val="24"/>
                <w:lang w:eastAsia="zh-CN"/>
              </w:rPr>
              <w:t>提供生产厂家出具的、相应的功能证明材料（包括但不仅限于测试报告或官网截图或功能截图等）</w:t>
            </w:r>
            <w:r>
              <w:rPr>
                <w:rFonts w:hint="eastAsia" w:ascii="宋体" w:hAnsi="宋体" w:eastAsia="宋体" w:cs="宋体"/>
                <w:b/>
                <w:bCs/>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2、技术指标</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2.1主机系统</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2.1.1波长范围：180nm-900nm</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2.1.2 单色器：消象差C-T型单色器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2.1.3 光谱带宽：0.1nm、0.2nm、0.4nm、0.7nm、1.4nm、2.0nm六档自动切换</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2.1.4 波长准确度：±0.20nm</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2.1.5 波长重复性：0.05nm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2.1.6 光谱带宽偏差：≤±0.02nm</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2.1.7基线漂移：(Cu)0.003A/30min（静态）；基线稳定性(Cu)：≤±0.004A/30min（动态）</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2.1.8 背景校正：氘灯&gt;40倍（1Abs），校正波长可延伸到500nm以上；自吸&gt;80倍</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2.2火焰系统：</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2.2.1燃烧器：金属钛燃烧器。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2.2.2 喷雾器：高效玻璃雾化器。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2.2.3 雾化室：耐腐蚀高分子材料雾化室</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2.2.4 特征浓度(Cu)：≤0.03ug/ml/1%；检出限(Cu)：≤0.002ug/ml；精密度(Cu)：RSD≤0.7％</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2.2.5 安全控制：火焰燃气、助燃气异常压力保护等多种自动保护功能。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2.3石墨炉分析系统：</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2.3.1 进口石墨锥、石墨管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*2.3.2 特征量：Cd≤0.6pg；检出限：Cd≤0.5pg；重复性（RSD）：≤2%。</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2.3.2  原子化升温方式：光控升温、时控升温、一般升温。</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2.3.4  石墨炉原子化器位置水平、垂直、转位全部免调。</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2.3.5  安全控制：冷却水流量、保护气压力、炉体温度、石墨管安装自动报警和安全保护。</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2.3.6 石墨炉自动进样器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2.3.6.1 样品位：≥80个(2ml样品位)，≥4个（7ml试剂位），均可随意编排。</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*2.3.6.2 功能：标准溶液自动在线稀释并建立标准曲线功能，样品浓度自动稀释功能，自动同时添加基体改进剂。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2.3.6.3 原子化器切换时自动进样器无需移动。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2.3.6.4 进样量：2-100微升。</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 数据处理：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2.4.1 测量方式：火焰法，石墨炉法，氢化物法。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2.4.2 浓度计算方式：标准曲线法（共6种线性、非线性拟合方法），标准加入法，内标法。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2.4.3 重复测量次数：1－30次，计算平均值，给出标准偏差和相对标准偏差。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2.4.4 结果打印：参数打印、数据结果打印、图形打印。</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3、配置清单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3.1 原子吸收分光光度计主机1台；</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 进口石墨管2只；</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3.3 低噪空气压缩机1台；</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3.4 原子吸收操作软件1套</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3.5石墨炉冷却循环水机1台；</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3.6 空心阴极元素灯8只；</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3.7 品牌电脑（WIN10专业版）及打印机1套；</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3.8 高纯氩气，高纯乙炔钢瓶、气体、减压阀各1套；</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高效液相色谱仪</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技术参数</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1、高压恒流泵：</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1.1、泵工作类型：高压恒流泵</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1.2、液体输送原理：小凸轮驱动，双柱塞往复式并联泵，全电脑控制及自动报警保护功能，具有流量精度高，压力脉动小，使用寿命长。</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1.3、最大工作压力：42Mpa，时间为10min, 压力线性和准确度：显示压力误差小于±0.5 MPa(0～42MPa)可设定上下限，压力超限自动报警功能，当压力超过上下限时，都能够自动报警并自动采取相应的措施。</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1.4、流量设定范围：0.001~9.999mL/min，0.001mL/min步长调节流量</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1.5、流量准确度：≤±0.3%，流量设定值误差Ss:小于±2%</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 xml:space="preserve">1.6、流量精确度：RSD&lt;0.06%，（纯水做流动相，流速设为1ml/min,， </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1.7、压力脉动：小于0.1MPa(流量1ml/min, 压力0～42MPa)　</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1.8、电源：110V/220V，±10V</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2、紫外检测器：</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2.1、光源：氘灯</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 xml:space="preserve">2.2、波长范围：190~680nm </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2.3、波长准确度：±1nm，线性范围：优于104</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2.4、波长精密度：优于0.1nm</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2.5、基线噪音：基线噪音：≤±0.25×10-5AU（空池，响应时间1秒，20℃）</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2.6、基线漂移：≤0.4×10-4AU/hr（空池，响应时间1秒，20℃）</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2.7、流通池体积：8μL，</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2.8、光谱带宽：8nm，光 程：8mm</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2.9、最小检测浓度：3×10-9g/mL，（萘/甲醇溶液）具有极佳的检测灵敏度</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2.10、流通池采用平行双锥孔设计，信噪比相对传统流通池大幅提高，检测效果更佳</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2.11、电源：110V/220V，±10V</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2.12. 耗材更换全面人性化：氘灯安装定位模块，无需调整光路即可实现新灯的更换</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3、自动进样器：</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3.1、样品装载：基本托盘  （1）2ml×54 位（出厂标准配置）；</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 xml:space="preserve">     扩展托盘  （2）10ml×15 位  （3）4ml×35 位 </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3.2、样品瓶高度：H≤ 52mm（包括隔垫和瓶盖）；</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3.3、计量泵体积：200ul；</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3.4、取样模式：全定量环取样方式，部分定量环进样方式，样品无损耗进样方式</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3.5、取样体积：全定量环取样方式：0.1～1200ul（根据定量环体积确定）,50ul（标配）</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部分定量环取样方式：0.1～100μL（可扩展到200ul）</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无损样品取样方式：0.1～100ul（可扩展到200ul）</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3.6、定量重复性：全定量环进样：RSD6≤0.3%</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部分定量环进样：RSD6≤0.5%（进样量≥10ul）</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无损耗进样：RSD6≤1.0%（进样量≥10ul）</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3.7、样品残留：≤0.005%（按指定清洗程序）</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3.8、最大压力：40MPa</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3.9、自动保护功能：缺瓶报警，顶针报警，管路阻塞报警，泄漏报警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4、色谱柱：</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4.1、美国Exformma  C18色谱柱，5µm，4.6×250 mm</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5、柱温箱： 采用温控部分与溶剂托盘一体设计。可以容纳2根色谱柱。</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5.1、温度控制范围：室温上5℃到 80℃(1℃步进量)</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5.2、设定值误差：不超过±2℃</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5.3、控温精度：±0.1℃</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5.4、电源：110V/220V</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6、工作站软件：</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6.1、信号传输方式:全数字信号。</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6.2、操作方式:可反控并监测仪器各个单元运行(可进行编辑梯度程度,变波长扫描,事件程序设置,光谱扫描,谱图比较等功能) 实现系统的全自动一体化。全面反控各单元操作（某些特种检测器除外），实时显示各部件运作情况</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6.3、界面:全中文界面。</w:t>
            </w:r>
          </w:p>
          <w:p>
            <w:pPr>
              <w:keepNext w:val="0"/>
              <w:keepLines w:val="0"/>
              <w:pageBreakBefore w:val="0"/>
              <w:kinsoku/>
              <w:wordWrap/>
              <w:overflowPunct/>
              <w:topLinePunct w:val="0"/>
              <w:autoSpaceDE/>
              <w:autoSpaceDN/>
              <w:bidi w:val="0"/>
              <w:adjustRightInd/>
              <w:snapToGrid/>
              <w:spacing w:line="360" w:lineRule="auto"/>
              <w:ind w:firstLine="422" w:firstLineChars="176"/>
              <w:textAlignment w:val="auto"/>
              <w:rPr>
                <w:rFonts w:hint="eastAsia" w:ascii="宋体" w:hAnsi="宋体" w:eastAsia="宋体" w:cs="宋体"/>
                <w:sz w:val="24"/>
                <w:szCs w:val="24"/>
              </w:rPr>
            </w:pPr>
            <w:r>
              <w:rPr>
                <w:rFonts w:hint="eastAsia" w:ascii="宋体" w:hAnsi="宋体" w:eastAsia="宋体" w:cs="宋体"/>
                <w:sz w:val="24"/>
                <w:szCs w:val="24"/>
              </w:rPr>
              <w:t>6.4、安装方式:内置式。</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七、仪器配置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高压恒流泵2台、紫外检测器1台、自动进样器1 套、C18色谱柱1支（4.6mm*250mm，5um）柱温箱1台、有机过滤头 1包（0.45um（包）100个）</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水系机过滤头 1包（0.45um（包）100个）</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有机过滤膜1盒（0.45um（盒）100个）</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水系过滤膜1盒（0.45um（盒）100个）</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九、附件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溶剂过滤器1套（1000ml过滤器、无油隔膜真空泵）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超声波清洗器1台（6升）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电脑、打印机1套</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十万分之一电子分析天平</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用于称量采样器采集粉尘的重量</w:t>
            </w:r>
          </w:p>
          <w:p>
            <w:pPr>
              <w:keepNext w:val="0"/>
              <w:keepLines w:val="0"/>
              <w:pageBreakBefore w:val="0"/>
              <w:numPr>
                <w:ilvl w:val="0"/>
                <w:numId w:val="21"/>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*最大量程：82g/220g</w:t>
            </w:r>
          </w:p>
          <w:p>
            <w:pPr>
              <w:keepNext w:val="0"/>
              <w:keepLines w:val="0"/>
              <w:pageBreakBefore w:val="0"/>
              <w:numPr>
                <w:ilvl w:val="0"/>
                <w:numId w:val="2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最小加载：1mg</w:t>
            </w:r>
          </w:p>
          <w:p>
            <w:pPr>
              <w:keepNext w:val="0"/>
              <w:keepLines w:val="0"/>
              <w:pageBreakBefore w:val="0"/>
              <w:numPr>
                <w:ilvl w:val="0"/>
                <w:numId w:val="21"/>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*可读性：0.01mg/0.1mg</w:t>
            </w:r>
          </w:p>
          <w:p>
            <w:pPr>
              <w:keepNext w:val="0"/>
              <w:keepLines w:val="0"/>
              <w:pageBreakBefore w:val="0"/>
              <w:numPr>
                <w:ilvl w:val="0"/>
                <w:numId w:val="21"/>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*重复性：0.015mg（Rt≤2 g）；0.02mg（2g&lt; Rt≤50g）；</w:t>
            </w:r>
          </w:p>
          <w:p>
            <w:pPr>
              <w:keepNext w:val="0"/>
              <w:keepLines w:val="0"/>
              <w:pageBreakBefore w:val="0"/>
              <w:kinsoku/>
              <w:wordWrap/>
              <w:overflowPunct/>
              <w:topLinePunct w:val="0"/>
              <w:autoSpaceDE/>
              <w:autoSpaceDN/>
              <w:bidi w:val="0"/>
              <w:adjustRightInd/>
              <w:snapToGrid/>
              <w:spacing w:line="360" w:lineRule="auto"/>
              <w:ind w:left="420" w:firstLine="964" w:firstLineChars="400"/>
              <w:textAlignment w:val="auto"/>
              <w:rPr>
                <w:rFonts w:hint="eastAsia" w:ascii="宋体" w:hAnsi="宋体" w:eastAsia="宋体" w:cs="宋体"/>
                <w:b/>
                <w:bCs/>
                <w:sz w:val="24"/>
                <w:szCs w:val="24"/>
              </w:rPr>
            </w:pPr>
            <w:r>
              <w:rPr>
                <w:rFonts w:hint="eastAsia" w:ascii="宋体" w:hAnsi="宋体" w:eastAsia="宋体" w:cs="宋体"/>
                <w:b/>
                <w:bCs/>
                <w:sz w:val="24"/>
                <w:szCs w:val="24"/>
              </w:rPr>
              <w:t>0.03 mg（50g&lt; Rt≤82g）；0.1mg（82g&lt; Rt≤220）</w:t>
            </w:r>
          </w:p>
          <w:p>
            <w:pPr>
              <w:keepNext w:val="0"/>
              <w:keepLines w:val="0"/>
              <w:pageBreakBefore w:val="0"/>
              <w:numPr>
                <w:ilvl w:val="0"/>
                <w:numId w:val="2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线性：±0.6mg / ±0.2mg</w:t>
            </w:r>
          </w:p>
          <w:p>
            <w:pPr>
              <w:keepNext w:val="0"/>
              <w:keepLines w:val="0"/>
              <w:pageBreakBefore w:val="0"/>
              <w:numPr>
                <w:ilvl w:val="0"/>
                <w:numId w:val="2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稳定时间：6 / 3.5S</w:t>
            </w:r>
          </w:p>
          <w:p>
            <w:pPr>
              <w:keepNext w:val="0"/>
              <w:keepLines w:val="0"/>
              <w:pageBreakBefore w:val="0"/>
              <w:numPr>
                <w:ilvl w:val="0"/>
                <w:numId w:val="2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最小样品称量（USP）：30mg</w:t>
            </w:r>
          </w:p>
          <w:p>
            <w:pPr>
              <w:keepNext w:val="0"/>
              <w:keepLines w:val="0"/>
              <w:pageBreakBefore w:val="0"/>
              <w:numPr>
                <w:ilvl w:val="0"/>
                <w:numId w:val="2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最小称量（U=1%,K=2）：3mg </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可燃性气体报警系统</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1.包含一可燃性气体探头和一报警主机</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2.测量范围：0~100% LEL</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观片灯</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屏幕色温；7000K</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调光方式；触摸无极调光</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尘肺病诊断标准片</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GBZ70-2015《职业性尘肺病的诊断》 配套尘肺病诊断标准片</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电子血压计</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医用级，</w:t>
            </w:r>
            <w:r>
              <w:rPr>
                <w:rFonts w:hint="eastAsia" w:ascii="宋体" w:hAnsi="宋体" w:eastAsia="宋体" w:cs="宋体"/>
                <w:kern w:val="0"/>
                <w:sz w:val="24"/>
                <w:szCs w:val="24"/>
                <w:lang w:val="en-US" w:eastAsia="zh-CN"/>
              </w:rPr>
              <w:t>测量方式：臂式/示波测定法；</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显示方式：LCD数字显示</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记忆组数：50组记忆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测量范围</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300</w:t>
            </w:r>
            <w:r>
              <w:rPr>
                <w:rFonts w:hint="eastAsia" w:ascii="宋体" w:hAnsi="宋体" w:eastAsia="宋体" w:cs="宋体"/>
                <w:kern w:val="0"/>
                <w:sz w:val="24"/>
                <w:szCs w:val="24"/>
              </w:rPr>
              <w:t>mmHg</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压力精度：±3</w:t>
            </w:r>
            <w:r>
              <w:rPr>
                <w:rFonts w:hint="eastAsia" w:ascii="宋体" w:hAnsi="宋体" w:eastAsia="宋体" w:cs="宋体"/>
                <w:kern w:val="0"/>
                <w:sz w:val="24"/>
                <w:szCs w:val="24"/>
              </w:rPr>
              <w:t>mmHg</w:t>
            </w:r>
            <w:r>
              <w:rPr>
                <w:rFonts w:hint="eastAsia" w:ascii="宋体" w:hAnsi="宋体" w:eastAsia="宋体" w:cs="宋体"/>
                <w:kern w:val="0"/>
                <w:sz w:val="24"/>
                <w:szCs w:val="24"/>
                <w:lang w:val="en-US" w:eastAsia="zh-CN"/>
              </w:rPr>
              <w:t>以内</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一键自动启动测量，自动纠正测量</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24</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实验室不锈钢推车</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承重：每层160KG</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脚轮：3寸静音万向轮</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边台</w:t>
            </w:r>
          </w:p>
        </w:tc>
        <w:tc>
          <w:tcPr>
            <w:tcW w:w="3681" w:type="pct"/>
            <w:tcBorders>
              <w:top w:val="single" w:color="auto" w:sz="4" w:space="0"/>
              <w:left w:val="single" w:color="auto" w:sz="4" w:space="0"/>
              <w:bottom w:val="single" w:color="auto" w:sz="4" w:space="0"/>
              <w:right w:val="single" w:color="auto" w:sz="4" w:space="0"/>
            </w:tcBorders>
            <w:noWrap/>
            <w:vAlign w:val="center"/>
          </w:tcPr>
          <w:p>
            <w:pPr>
              <w:pStyle w:val="4"/>
              <w:keepNext w:val="0"/>
              <w:keepLines w:val="0"/>
              <w:pageBreakBefore w:val="0"/>
              <w:numPr>
                <w:ilvl w:val="0"/>
                <w:numId w:val="2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台面:采用12.7mm厚实芯(双面)理化板台面，台面边缘用同质材料板双层加厚25.4mm， 用CNC机械加工而成。</w:t>
            </w:r>
          </w:p>
          <w:p>
            <w:pPr>
              <w:pStyle w:val="4"/>
              <w:keepNext w:val="0"/>
              <w:keepLines w:val="0"/>
              <w:pageBreakBefore w:val="0"/>
              <w:numPr>
                <w:ilvl w:val="0"/>
                <w:numId w:val="2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柜体:全钢结构，冷轧钢板。柜体表面经过喷涂≥50um环氧树脂静电处理，对酸碱盐具有良好的防护作用，且耐磨，防潮，耐高温</w:t>
            </w:r>
            <w:r>
              <w:rPr>
                <w:rFonts w:hint="eastAsia" w:ascii="宋体" w:hAnsi="宋体" w:eastAsia="宋体" w:cs="宋体"/>
                <w:sz w:val="24"/>
                <w:szCs w:val="24"/>
                <w:lang w:eastAsia="zh-CN"/>
              </w:rPr>
              <w:t>。</w:t>
            </w:r>
          </w:p>
          <w:p>
            <w:pPr>
              <w:pStyle w:val="4"/>
              <w:keepNext w:val="0"/>
              <w:keepLines w:val="0"/>
              <w:pageBreakBefore w:val="0"/>
              <w:numPr>
                <w:ilvl w:val="0"/>
                <w:numId w:val="2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柜门:采用双层板结构设计，柜门内有橡胶缓冲材料，拉手为一体成型结构。铰链采用DTC定位合页， 开合时无噪音，防腐。</w:t>
            </w:r>
          </w:p>
          <w:p>
            <w:pPr>
              <w:pStyle w:val="4"/>
              <w:keepNext w:val="0"/>
              <w:keepLines w:val="0"/>
              <w:pageBreakBefore w:val="0"/>
              <w:numPr>
                <w:ilvl w:val="0"/>
                <w:numId w:val="2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背板:活动式背板，采用1mm厚镀锌冷轧钢板。</w:t>
            </w:r>
          </w:p>
          <w:p>
            <w:pPr>
              <w:pStyle w:val="4"/>
              <w:keepNext w:val="0"/>
              <w:keepLines w:val="0"/>
              <w:pageBreakBefore w:val="0"/>
              <w:numPr>
                <w:ilvl w:val="0"/>
                <w:numId w:val="2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抽屉:钢板采用1mm厚优质冷轧钢板，抽屉面板与拉手为一体成型结构，滑轨采用DTC三节钢珠承重滑 轨，承载重量≥25kg，耐腐蚀、承重，并保证抽屉拉出2/3，下垂度不大于20mm，抽拉次数大于20万次。</w:t>
            </w:r>
          </w:p>
          <w:p>
            <w:pPr>
              <w:pStyle w:val="4"/>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6、地脚:每个柜体均配有金属调整脚，可自由调节高度10mm，采用ABS塑料套，内有橡胶减震垫、承重好、防滑、防潮，耐蚀。</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3.含全钢水槽柜两个（尺寸依实际情况定制）</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米</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8</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不锈钢一体水池柜</w:t>
            </w:r>
          </w:p>
        </w:tc>
        <w:tc>
          <w:tcPr>
            <w:tcW w:w="3681" w:type="pct"/>
            <w:tcBorders>
              <w:top w:val="single" w:color="auto" w:sz="4" w:space="0"/>
              <w:left w:val="single" w:color="auto" w:sz="4" w:space="0"/>
              <w:bottom w:val="single" w:color="auto" w:sz="4" w:space="0"/>
              <w:right w:val="single" w:color="auto" w:sz="4" w:space="0"/>
            </w:tcBorders>
            <w:noWrap/>
            <w:vAlign w:val="center"/>
          </w:tcPr>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采用</w:t>
            </w:r>
            <w:r>
              <w:rPr>
                <w:rFonts w:hint="eastAsia" w:ascii="宋体" w:hAnsi="宋体" w:eastAsia="宋体" w:cs="宋体"/>
                <w:color w:val="auto"/>
                <w:sz w:val="24"/>
                <w:szCs w:val="24"/>
              </w:rPr>
              <w:t>304不锈钢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厚度1.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mm。</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尺寸依实际情况定制</w:t>
            </w:r>
            <w:r>
              <w:rPr>
                <w:rFonts w:hint="eastAsia" w:ascii="宋体" w:hAnsi="宋体" w:eastAsia="宋体" w:cs="宋体"/>
                <w:color w:val="auto"/>
                <w:sz w:val="24"/>
                <w:szCs w:val="24"/>
                <w:lang w:eastAsia="zh-CN"/>
              </w:rPr>
              <w:t>）</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米</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8.4</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PP水槽柜</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24"/>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柜体及</w:t>
            </w:r>
            <w:r>
              <w:rPr>
                <w:rFonts w:hint="eastAsia" w:ascii="宋体" w:hAnsi="宋体" w:eastAsia="宋体" w:cs="宋体"/>
                <w:color w:val="auto"/>
                <w:kern w:val="0"/>
                <w:sz w:val="24"/>
                <w:szCs w:val="24"/>
              </w:rPr>
              <w:t>水槽</w:t>
            </w:r>
            <w:r>
              <w:rPr>
                <w:rFonts w:hint="eastAsia" w:ascii="宋体" w:hAnsi="宋体" w:eastAsia="宋体" w:cs="宋体"/>
                <w:color w:val="auto"/>
                <w:kern w:val="0"/>
                <w:sz w:val="24"/>
                <w:szCs w:val="24"/>
                <w:lang w:val="en-US" w:eastAsia="zh-CN"/>
              </w:rPr>
              <w:t>均</w:t>
            </w:r>
            <w:r>
              <w:rPr>
                <w:rFonts w:hint="eastAsia" w:ascii="宋体" w:hAnsi="宋体" w:eastAsia="宋体" w:cs="宋体"/>
                <w:color w:val="auto"/>
                <w:kern w:val="0"/>
                <w:sz w:val="24"/>
                <w:szCs w:val="24"/>
              </w:rPr>
              <w:t>采用高密度PP新料注塑成型，耐腐蚀、耐酸碱和有机物，如王水等;</w:t>
            </w:r>
          </w:p>
          <w:p>
            <w:pPr>
              <w:keepNext w:val="0"/>
              <w:keepLines w:val="0"/>
              <w:pageBreakBefore w:val="0"/>
              <w:widowControl/>
              <w:numPr>
                <w:ilvl w:val="0"/>
                <w:numId w:val="24"/>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厚度:根据强度要求设计厚度为5mm-8mm.溢水管:新款溢水管与水盆一体注塑成型。附件:高密度PP去水;含阻水盖、PP提笼。三个独立控制的阀门和三个出水口，出水嘴设计为可以插皮管的尖嘴型，直管:采用ø26*1.2 mm管径的H63 铜管制造。臂管:采用ø22*1.2mm 管径的H63铜管制造。鹅颈弯管:采ø19*1.0mm管径的H63铜管制造，可 360°旋转。涂层: 高亮度环氧树脂涂层,耐腐蚀、耐热,防紫外线辐射陶瓷阀芯: 90°旋转,使用寿命开关 50万次,静态最大耐压10 bar，符合GB18145-2014标开关旋钮</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高密度PP,人体工学设计</w:t>
            </w:r>
            <w:r>
              <w:rPr>
                <w:rFonts w:hint="eastAsia" w:ascii="宋体" w:hAnsi="宋体" w:eastAsia="宋体" w:cs="宋体"/>
                <w:color w:val="auto"/>
                <w:kern w:val="0"/>
                <w:sz w:val="24"/>
                <w:szCs w:val="24"/>
                <w:lang w:eastAsia="zh-CN"/>
              </w:rPr>
              <w:t>。</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米</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洗眼器</w:t>
            </w:r>
          </w:p>
        </w:tc>
        <w:tc>
          <w:tcPr>
            <w:tcW w:w="3681" w:type="pct"/>
            <w:tcBorders>
              <w:top w:val="single" w:color="auto" w:sz="4" w:space="0"/>
              <w:left w:val="single" w:color="auto" w:sz="4" w:space="0"/>
              <w:bottom w:val="single" w:color="auto" w:sz="4" w:space="0"/>
              <w:right w:val="single" w:color="auto" w:sz="4" w:space="0"/>
            </w:tcBorders>
            <w:noWrap/>
            <w:vAlign w:val="center"/>
          </w:tcPr>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1.配有过滤网，可形成柔和的汽泡式水流，更为有效的对眼睛内有害物质快速冲洗，同时降低对眼睛的再次伤害</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2.水压：0.2MPA～0.8MPA</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3.可选配脚踏装置</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11</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黄色危险化学品柜</w:t>
            </w:r>
          </w:p>
        </w:tc>
        <w:tc>
          <w:tcPr>
            <w:tcW w:w="3681" w:type="pct"/>
            <w:tcBorders>
              <w:top w:val="single" w:color="auto" w:sz="4" w:space="0"/>
              <w:left w:val="single" w:color="auto" w:sz="4" w:space="0"/>
              <w:bottom w:val="single" w:color="auto" w:sz="4" w:space="0"/>
              <w:right w:val="single" w:color="auto" w:sz="4" w:space="0"/>
            </w:tcBorders>
            <w:noWrap/>
            <w:vAlign w:val="center"/>
          </w:tcPr>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1.柜体全部采用</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1.2mm的冷轧钢板，底座采用</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2.0mm的冷轧钢板，内外表面经酸洗磷化环氧树脂粉末喷涂；</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2.柜体内胆（上、下、左、右内衬板）全部采用瓷白pp（聚丙烯树脂）板；</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3.柜体右侧设有可调进风口，设有可调风阀；</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4.柜体内部最下层留有120mm厚黄沙填埋腔（漏液槽）；</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5.柜底装有四个φ50mm的移动脚轮；</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6.柜中设3块三层pp阶梯式聚丙烯树脂活动搁板，层板设有10mm的通气孔</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7.柜顶部中间配有24V风机，配置七英寸液晶触摸屏微电脑控制系统，实时温湿度环境监控、风机监控、VOC浓度环境监测及一体化报警系统。</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8.顶部设有过滤系统，针对实验室各种危化品专门研发。</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天平室</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玻璃隔断（注：天平室尺寸依据实验室情况定制）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材质：双层</w:t>
            </w:r>
            <w:r>
              <w:rPr>
                <w:rFonts w:hint="eastAsia" w:ascii="宋体" w:hAnsi="宋体" w:eastAsia="宋体" w:cs="宋体"/>
                <w:kern w:val="0"/>
                <w:sz w:val="24"/>
                <w:szCs w:val="24"/>
                <w:lang w:val="en-US" w:eastAsia="zh-CN"/>
              </w:rPr>
              <w:t>5mm钢化玻璃，内置铝合金百叶，金属旋钮调节</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铝型材框架，主龙骨国标2mm厚，门框国标2.0mm厚，转角柱国标1.4mm厚，装饰扣板国标1.0mm厚；</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电动门 10mm厚玉沙钢化玻璃门，精磨四边，含广东品牌五金锁具，墙体厚度8.5公分。</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平方米</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56</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天平台</w:t>
            </w:r>
          </w:p>
        </w:tc>
        <w:tc>
          <w:tcPr>
            <w:tcW w:w="36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定制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台面:采用12.7mm厚实芯(双面)理化板台面，台面边缘用同质材料板双层加厚25.4mm， 由CNC机械加工而成。</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正压式呼吸器</w:t>
            </w:r>
          </w:p>
        </w:tc>
        <w:tc>
          <w:tcPr>
            <w:tcW w:w="3681" w:type="pct"/>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主要技术参数：</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1.输入压力：0-300bar</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2.减压阀供气流量：1000L/min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3.需气阀供气流量：500L/min</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4.呼吸阻力：&lt;687Pa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5.气瓶水容积：6.8L/9L</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6.理论使用时间：单瓶68分钟(6.8L) 90分钟(9L)（按需气量30L/min计算）</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7.背带、面罩阻燃特性：符合EN136、EN137及国家阻燃检测标准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8.重量（背板和背负系统）：2.7公斤</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9.操作温度：-32℃-70℃</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氧气呼吸器</w:t>
            </w:r>
          </w:p>
        </w:tc>
        <w:tc>
          <w:tcPr>
            <w:tcW w:w="3681" w:type="pct"/>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在呼吸量 30L/min时的性能如下：</w:t>
            </w:r>
          </w:p>
          <w:p>
            <w:pPr>
              <w:pStyle w:val="306"/>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1.呼气阻力：≤600Pa</w:t>
            </w:r>
          </w:p>
          <w:p>
            <w:pPr>
              <w:pStyle w:val="306"/>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2.吸气阻力：0～600Pa</w:t>
            </w:r>
          </w:p>
          <w:p>
            <w:pPr>
              <w:pStyle w:val="306"/>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3.定量供氧量：≥1.4 L/min</w:t>
            </w:r>
          </w:p>
          <w:p>
            <w:pPr>
              <w:pStyle w:val="306"/>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4.自动补给供氧量：≥80L/min</w:t>
            </w:r>
          </w:p>
          <w:p>
            <w:pPr>
              <w:pStyle w:val="306"/>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5.手动补给供氧量：≥80L/min</w:t>
            </w:r>
          </w:p>
          <w:p>
            <w:pPr>
              <w:pStyle w:val="306"/>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6.自动补给阀开启压力：10～245Pa</w:t>
            </w:r>
          </w:p>
          <w:p>
            <w:pPr>
              <w:pStyle w:val="306"/>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7.排气阀开启压力：400～700 Pa</w:t>
            </w:r>
          </w:p>
          <w:p>
            <w:pPr>
              <w:pStyle w:val="306"/>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8.吸气中二氧化碳浓度：≤1%</w:t>
            </w:r>
          </w:p>
          <w:p>
            <w:pPr>
              <w:pStyle w:val="306"/>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9.吸气中氧气浓度：≥21%</w:t>
            </w:r>
          </w:p>
          <w:p>
            <w:pPr>
              <w:pStyle w:val="306"/>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10.报警器声响：≥70dBA</w:t>
            </w:r>
          </w:p>
          <w:p>
            <w:pPr>
              <w:pStyle w:val="306"/>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11.报警时间：30～60s</w:t>
            </w:r>
          </w:p>
          <w:p>
            <w:pPr>
              <w:pStyle w:val="306"/>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12.额定防护时间：</w:t>
            </w:r>
          </w:p>
          <w:p>
            <w:pPr>
              <w:pStyle w:val="306"/>
              <w:keepNext w:val="0"/>
              <w:keepLines w:val="0"/>
              <w:pageBreakBefore w:val="0"/>
              <w:kinsoku/>
              <w:wordWrap/>
              <w:overflowPunct/>
              <w:topLinePunct w:val="0"/>
              <w:autoSpaceDE/>
              <w:autoSpaceDN/>
              <w:bidi w:val="0"/>
              <w:adjustRightInd/>
              <w:snapToGrid/>
              <w:spacing w:line="360" w:lineRule="auto"/>
              <w:ind w:left="42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中等劳动强度4 h</w:t>
            </w:r>
          </w:p>
          <w:p>
            <w:pPr>
              <w:pStyle w:val="306"/>
              <w:keepNext w:val="0"/>
              <w:keepLines w:val="0"/>
              <w:pageBreakBefore w:val="0"/>
              <w:kinsoku/>
              <w:wordWrap/>
              <w:overflowPunct/>
              <w:topLinePunct w:val="0"/>
              <w:autoSpaceDE/>
              <w:autoSpaceDN/>
              <w:bidi w:val="0"/>
              <w:adjustRightInd/>
              <w:snapToGrid/>
              <w:spacing w:line="360" w:lineRule="auto"/>
              <w:ind w:left="42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重度劳动强度1 h</w:t>
            </w:r>
          </w:p>
          <w:p>
            <w:pPr>
              <w:pStyle w:val="306"/>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13.氧气瓶额定工作压力：20MPa</w:t>
            </w:r>
          </w:p>
        </w:tc>
        <w:tc>
          <w:tcPr>
            <w:tcW w:w="2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2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p>
        </w:tc>
      </w:tr>
      <w:tr>
        <w:tblPrEx>
          <w:tblCellMar>
            <w:top w:w="0" w:type="dxa"/>
            <w:left w:w="108" w:type="dxa"/>
            <w:bottom w:w="0" w:type="dxa"/>
            <w:right w:w="108" w:type="dxa"/>
          </w:tblCellMar>
        </w:tblPrEx>
        <w:trPr>
          <w:trHeight w:val="375" w:hRule="atLeast"/>
          <w:jc w:val="center"/>
        </w:trPr>
        <w:tc>
          <w:tcPr>
            <w:tcW w:w="8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背负式手动喷雾器</w:t>
            </w:r>
          </w:p>
        </w:tc>
        <w:tc>
          <w:tcPr>
            <w:tcW w:w="3681" w:type="pct"/>
            <w:tcBorders>
              <w:top w:val="single" w:color="auto" w:sz="4" w:space="0"/>
              <w:left w:val="single" w:color="auto" w:sz="4" w:space="0"/>
              <w:bottom w:val="single" w:color="auto" w:sz="4" w:space="0"/>
              <w:right w:val="single" w:color="auto" w:sz="4" w:space="0"/>
            </w:tcBorders>
            <w:noWrap w:val="0"/>
            <w:vAlign w:val="top"/>
          </w:tcPr>
          <w:p>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16L</w:t>
            </w:r>
          </w:p>
        </w:tc>
        <w:tc>
          <w:tcPr>
            <w:tcW w:w="25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24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8</w:t>
            </w: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说明：</w:t>
      </w:r>
    </w:p>
    <w:p>
      <w:pPr>
        <w:widowControl/>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1.磋商文件中描述的产品名称（如有）、基本性能指标仅供投标人选择货物时在质量水平上进行参考，不具有限制性，投标人可提供品质相同的或优于同类的产品。</w:t>
      </w:r>
    </w:p>
    <w:p>
      <w:pPr>
        <w:widowControl/>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采购需求中除有特殊说明之外，本项目中所有指定的具体技术参数或参数范围，均应理解为是采购人可接受的最低要求。也即，当对应技术参数或参数范围是越小越好时，则指定的具体技术参数或参数范围应理解为是上限值或最大允许范围；当对应技术参数或参数范围是越大越好时，则指定的具体技术参数或参数范围应理解为是下限值或最小允许范围。供应商所投产品须符合国家和项目所在地的技术规范，在满足采购人所提要求的前提下提供与采购人要求的性能相当或更优的设备。</w:t>
      </w:r>
    </w:p>
    <w:p>
      <w:pPr>
        <w:widowControl/>
        <w:spacing w:line="348" w:lineRule="auto"/>
        <w:ind w:firstLine="480" w:firstLineChars="200"/>
        <w:rPr>
          <w:rFonts w:ascii="宋体" w:hAnsi="宋体" w:cs="宋体"/>
          <w:color w:val="auto"/>
          <w:kern w:val="0"/>
          <w:sz w:val="24"/>
          <w:highlight w:val="none"/>
        </w:rPr>
      </w:pPr>
      <w:bookmarkStart w:id="549" w:name="_Toc515647832"/>
      <w:bookmarkStart w:id="550" w:name="_Toc532473756"/>
      <w:bookmarkStart w:id="551" w:name="_Toc15048360"/>
      <w:bookmarkStart w:id="552" w:name="_Toc507399907"/>
      <w:bookmarkStart w:id="553" w:name="_Toc32647"/>
      <w:bookmarkStart w:id="554" w:name="_Toc532044540"/>
      <w:bookmarkStart w:id="555" w:name="_Toc57217293"/>
      <w:bookmarkStart w:id="556" w:name="_Toc7971"/>
      <w:bookmarkStart w:id="557" w:name="_Toc26950"/>
      <w:r>
        <w:rPr>
          <w:rFonts w:hint="eastAsia" w:ascii="宋体" w:hAnsi="宋体" w:cs="宋体"/>
          <w:color w:val="auto"/>
          <w:sz w:val="24"/>
          <w:highlight w:val="none"/>
        </w:rPr>
        <w:t>3.本项目核心产品为：</w:t>
      </w:r>
      <w:r>
        <w:rPr>
          <w:rFonts w:hint="eastAsia" w:ascii="宋体" w:hAnsi="宋体" w:cs="宋体"/>
          <w:b/>
          <w:bCs/>
          <w:color w:val="auto"/>
          <w:sz w:val="24"/>
          <w:highlight w:val="none"/>
          <w:u w:val="single"/>
        </w:rPr>
        <w:t xml:space="preserve"> </w:t>
      </w:r>
      <w:r>
        <w:rPr>
          <w:rFonts w:hint="eastAsia" w:ascii="宋体" w:hAnsi="宋体" w:cs="宋体"/>
          <w:b/>
          <w:bCs/>
          <w:color w:val="auto"/>
          <w:kern w:val="0"/>
          <w:sz w:val="24"/>
          <w:highlight w:val="none"/>
          <w:u w:val="single"/>
          <w:lang w:val="en-US" w:eastAsia="zh-CN" w:bidi="ar"/>
        </w:rPr>
        <w:t xml:space="preserve"> 高效液相色谱仪</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核心产品为同一品牌且通过资格审查、符合性审查的不同供应商，按一家供应商计算。评标后得分最高的同品牌供应商获得成交人推荐资格；评审得分相同的，报价得分最高的获得成交人推荐资格，其他同品牌供应商不作为成交候选人。</w:t>
      </w:r>
    </w:p>
    <w:p>
      <w:pPr>
        <w:rPr>
          <w:rFonts w:ascii="宋体" w:hAnsi="宋体" w:cs="宋体"/>
          <w:color w:val="auto"/>
          <w:sz w:val="32"/>
          <w:szCs w:val="32"/>
          <w:highlight w:val="none"/>
        </w:rPr>
      </w:pPr>
    </w:p>
    <w:p>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pPr>
        <w:pStyle w:val="10"/>
        <w:tabs>
          <w:tab w:val="left" w:pos="0"/>
        </w:tabs>
        <w:autoSpaceDE w:val="0"/>
        <w:autoSpaceDN w:val="0"/>
        <w:adjustRightInd w:val="0"/>
        <w:spacing w:before="0" w:after="0"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第四章 </w:t>
      </w:r>
      <w:bookmarkEnd w:id="549"/>
      <w:bookmarkEnd w:id="550"/>
      <w:bookmarkEnd w:id="551"/>
      <w:bookmarkEnd w:id="552"/>
      <w:bookmarkEnd w:id="553"/>
      <w:bookmarkEnd w:id="554"/>
      <w:bookmarkEnd w:id="555"/>
      <w:bookmarkEnd w:id="556"/>
      <w:r>
        <w:rPr>
          <w:rFonts w:hint="eastAsia" w:ascii="宋体" w:hAnsi="宋体" w:cs="宋体"/>
          <w:color w:val="auto"/>
          <w:sz w:val="32"/>
          <w:szCs w:val="32"/>
          <w:highlight w:val="none"/>
        </w:rPr>
        <w:t>评审方法及标准</w:t>
      </w:r>
      <w:bookmarkEnd w:id="557"/>
    </w:p>
    <w:p>
      <w:pPr>
        <w:pStyle w:val="4"/>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磋商小组将按照本项目竞争性磋商文件及相关法律法规的规定进行磋商及评审工作，采购代理机构负责磋商的组织工作。</w:t>
      </w:r>
    </w:p>
    <w:p>
      <w:pPr>
        <w:pStyle w:val="4"/>
        <w:snapToGrid w:val="0"/>
        <w:spacing w:after="0" w:line="360" w:lineRule="auto"/>
        <w:jc w:val="left"/>
        <w:outlineLvl w:val="2"/>
        <w:rPr>
          <w:rFonts w:ascii="宋体" w:hAnsi="宋体" w:cs="宋体"/>
          <w:bCs/>
          <w:color w:val="auto"/>
          <w:sz w:val="24"/>
          <w:szCs w:val="24"/>
          <w:highlight w:val="none"/>
        </w:rPr>
      </w:pPr>
      <w:bookmarkStart w:id="558" w:name="_Toc18414"/>
      <w:bookmarkStart w:id="559" w:name="_Toc32541"/>
      <w:bookmarkStart w:id="560" w:name="_Toc131"/>
      <w:r>
        <w:rPr>
          <w:rFonts w:hint="eastAsia" w:ascii="宋体" w:hAnsi="宋体" w:cs="宋体"/>
          <w:bCs/>
          <w:color w:val="auto"/>
          <w:sz w:val="24"/>
          <w:szCs w:val="24"/>
          <w:highlight w:val="none"/>
        </w:rPr>
        <w:t>（一）磋商及评审依据</w:t>
      </w:r>
      <w:bookmarkEnd w:id="558"/>
      <w:bookmarkEnd w:id="559"/>
      <w:bookmarkEnd w:id="560"/>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1、法律法规的相关规定；</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2、本级或上级政府采购主管部门的相关规定；</w:t>
      </w:r>
    </w:p>
    <w:p>
      <w:pPr>
        <w:pStyle w:val="4"/>
        <w:snapToGrid w:val="0"/>
        <w:spacing w:after="0" w:line="360" w:lineRule="auto"/>
        <w:ind w:firstLine="480" w:firstLineChars="200"/>
        <w:jc w:val="left"/>
        <w:rPr>
          <w:rFonts w:ascii="宋体" w:hAnsi="宋体" w:cs="宋体"/>
          <w:bCs/>
          <w:color w:val="auto"/>
          <w:sz w:val="24"/>
          <w:szCs w:val="24"/>
          <w:highlight w:val="none"/>
        </w:rPr>
      </w:pPr>
      <w:r>
        <w:rPr>
          <w:rFonts w:hint="eastAsia" w:ascii="宋体" w:hAnsi="宋体" w:cs="宋体"/>
          <w:bCs/>
          <w:color w:val="auto"/>
          <w:sz w:val="24"/>
          <w:szCs w:val="24"/>
          <w:highlight w:val="none"/>
        </w:rPr>
        <w:t>3、本项目竞争性磋商文件。</w:t>
      </w:r>
    </w:p>
    <w:p>
      <w:pPr>
        <w:snapToGrid w:val="0"/>
        <w:spacing w:line="360" w:lineRule="auto"/>
        <w:outlineLvl w:val="2"/>
        <w:rPr>
          <w:rFonts w:ascii="宋体" w:hAnsi="宋体" w:cs="宋体"/>
          <w:bCs/>
          <w:color w:val="auto"/>
          <w:sz w:val="24"/>
          <w:highlight w:val="none"/>
        </w:rPr>
      </w:pPr>
      <w:bookmarkStart w:id="561" w:name="_Toc28215"/>
      <w:bookmarkStart w:id="562" w:name="_Toc16740"/>
      <w:bookmarkStart w:id="563" w:name="_Toc8573"/>
      <w:r>
        <w:rPr>
          <w:rFonts w:hint="eastAsia" w:ascii="宋体" w:hAnsi="宋体" w:cs="宋体"/>
          <w:bCs/>
          <w:color w:val="auto"/>
          <w:sz w:val="24"/>
          <w:highlight w:val="none"/>
        </w:rPr>
        <w:t>（二）磋商原则</w:t>
      </w:r>
      <w:bookmarkEnd w:id="561"/>
      <w:bookmarkEnd w:id="562"/>
      <w:bookmarkEnd w:id="563"/>
    </w:p>
    <w:p>
      <w:pPr>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磋商小组成员应当按照客观、公正、审慎的原则，根据磋商文件规定的评审程序、评审方法和评审标准进行独立评审。</w:t>
      </w:r>
    </w:p>
    <w:p>
      <w:pPr>
        <w:snapToGrid w:val="0"/>
        <w:spacing w:line="360" w:lineRule="auto"/>
        <w:rPr>
          <w:rFonts w:ascii="宋体" w:hAnsi="宋体" w:cs="宋体"/>
          <w:bCs/>
          <w:color w:val="auto"/>
          <w:sz w:val="24"/>
          <w:highlight w:val="none"/>
        </w:rPr>
      </w:pPr>
      <w:bookmarkStart w:id="564" w:name="_Toc14594"/>
      <w:bookmarkStart w:id="565" w:name="_Toc17689"/>
      <w:bookmarkStart w:id="566" w:name="_Toc2155"/>
      <w:r>
        <w:rPr>
          <w:rFonts w:hint="eastAsia" w:ascii="宋体" w:hAnsi="宋体" w:cs="宋体"/>
          <w:bCs/>
          <w:color w:val="auto"/>
          <w:sz w:val="24"/>
          <w:highlight w:val="none"/>
        </w:rPr>
        <w:t>（三）组建磋商小组</w:t>
      </w:r>
      <w:bookmarkEnd w:id="564"/>
      <w:bookmarkEnd w:id="565"/>
      <w:bookmarkEnd w:id="566"/>
    </w:p>
    <w:p>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1、采购人与采购代理机构将按照相关法律法规及财政部门的有关规定依法组建竞争性磋商小组（以下简称磋商小组），负责本项目的磋商及评审工作。</w:t>
      </w:r>
    </w:p>
    <w:p>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磋商小组由采购人代表和评审专家组成，成员人数为三人或以上单数。其中，评审专家不得少于成员总数的三分之二。具体成员人数见供应商须知前附表。评审专家于磋商开始前在《河南省财政厅政府采购专家库》中随机抽取，并依法组建磋商小组。在成交人确定前，有关人员对磋商小组成员名单必须严格保密，与供应商有利害关系的人员不得进入磋商小组；</w:t>
      </w:r>
    </w:p>
    <w:p>
      <w:pPr>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3、参加评审的人员应严格遵守国家有关保密的法</w:t>
      </w:r>
      <w:r>
        <w:rPr>
          <w:rFonts w:hint="eastAsia" w:ascii="宋体" w:hAnsi="宋体" w:cs="宋体"/>
          <w:color w:val="auto"/>
          <w:sz w:val="24"/>
          <w:highlight w:val="none"/>
        </w:rPr>
        <w:t>律、法规和规定，并接受有关部门的监督；</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4、根据相关法律法规的规定，参加评审的有关人员应对整个磋商、评审过程保密，不得泄露；</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5、磋商小组成员应按规定的程序进行磋商及评审；</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6、磋商小组将对确定为实质上响应磋商文件要求的供应商进行磋商并对其响应文件进行评审。</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7、供应商对评审专家施加影响的任何行为，都将被取消成交资格。</w:t>
      </w:r>
    </w:p>
    <w:p>
      <w:pPr>
        <w:pStyle w:val="21"/>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（四）评审标准中应考虑下列因素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1、扶持中小企业、监狱企业及残疾人企业发展的相关政策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根据关于印发《政府采购促进中小企业发展管理办法》的通知{财库〔2020〕46号}、财政部印发《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并在投标文件中递交了《中小企业声明函》（声明内容需符合价格扣除条件）、《残疾人福利性单位声明函》或省级以上监狱管理局、戒毒管理局（含新疆生产建设兵团）出具的属于监狱企业的证明文件的供应商（投标人），其投标报价扣除</w:t>
      </w:r>
      <w:r>
        <w:rPr>
          <w:rFonts w:hint="eastAsia" w:ascii="宋体" w:hAnsi="宋体" w:cs="宋体"/>
          <w:b/>
          <w:bCs/>
          <w:color w:val="auto"/>
          <w:sz w:val="24"/>
          <w:highlight w:val="none"/>
        </w:rPr>
        <w:t>10%</w:t>
      </w:r>
      <w:r>
        <w:rPr>
          <w:rFonts w:hint="eastAsia" w:ascii="宋体" w:hAnsi="宋体" w:cs="宋体"/>
          <w:color w:val="auto"/>
          <w:sz w:val="24"/>
          <w:highlight w:val="none"/>
        </w:rPr>
        <w:t>后参与评审。对于同时属于小微企业、监狱企业或残疾人福利性单位的，不重复进行投标报价扣除。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1.2联合协议中约定，小型、微型企业和监狱企业的协议合同金额占到联合体协议合同总金额 30%以上的，可给予联合体4%的价格扣除。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联合体各方均为小型、微型企业和监狱企业的，联合体视同为小型、微型企业和监狱企业。</w:t>
      </w:r>
    </w:p>
    <w:p>
      <w:pPr>
        <w:pStyle w:val="4"/>
        <w:spacing w:after="0" w:line="336"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1.3根据财政部印发《关于进一步加大政府采购支持中小企业力度的通知》（财库[2022]19号）的规定，自2022年7月1日起，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pPr>
        <w:pStyle w:val="45"/>
        <w:spacing w:before="0" w:beforeAutospacing="0" w:after="0" w:afterAutospacing="0" w:line="360" w:lineRule="auto"/>
        <w:ind w:firstLine="480" w:firstLineChars="200"/>
        <w:rPr>
          <w:rFonts w:cs="宋体"/>
          <w:color w:val="auto"/>
          <w:kern w:val="2"/>
          <w:szCs w:val="24"/>
          <w:highlight w:val="none"/>
        </w:rPr>
      </w:pPr>
      <w:r>
        <w:rPr>
          <w:rFonts w:hint="eastAsia" w:cs="宋体"/>
          <w:color w:val="auto"/>
          <w:kern w:val="2"/>
          <w:szCs w:val="24"/>
          <w:highlight w:val="none"/>
        </w:rPr>
        <w:t>1.4根据关于印发《政府采购促进中小企业发展管理办法》的通知{财库〔2020〕46号}规定：在政府采购活动中，供应商提供的货物、工程或者服务符合下列情形的，享受本办法规定的中小企业扶持政策：</w:t>
      </w:r>
    </w:p>
    <w:p>
      <w:pPr>
        <w:pStyle w:val="45"/>
        <w:spacing w:before="0" w:beforeAutospacing="0" w:after="0" w:afterAutospacing="0" w:line="360" w:lineRule="auto"/>
        <w:ind w:firstLine="374"/>
        <w:rPr>
          <w:rFonts w:cs="宋体"/>
          <w:color w:val="auto"/>
          <w:kern w:val="2"/>
          <w:szCs w:val="24"/>
          <w:highlight w:val="none"/>
        </w:rPr>
      </w:pPr>
      <w:r>
        <w:rPr>
          <w:rFonts w:hint="eastAsia" w:cs="宋体"/>
          <w:color w:val="auto"/>
          <w:kern w:val="2"/>
          <w:szCs w:val="24"/>
          <w:highlight w:val="none"/>
        </w:rPr>
        <w:t>（一）在货物采购项目中，货物由中小企业制造，即货物由中小企业生产且使用该中小企业商号或者注册商标；</w:t>
      </w:r>
    </w:p>
    <w:p>
      <w:pPr>
        <w:pStyle w:val="45"/>
        <w:spacing w:before="0" w:beforeAutospacing="0" w:after="0" w:afterAutospacing="0" w:line="360" w:lineRule="auto"/>
        <w:ind w:firstLine="374"/>
        <w:rPr>
          <w:rFonts w:cs="宋体"/>
          <w:color w:val="auto"/>
          <w:kern w:val="2"/>
          <w:szCs w:val="24"/>
          <w:highlight w:val="none"/>
        </w:rPr>
      </w:pPr>
      <w:r>
        <w:rPr>
          <w:rFonts w:hint="eastAsia" w:cs="宋体"/>
          <w:color w:val="auto"/>
          <w:kern w:val="2"/>
          <w:szCs w:val="24"/>
          <w:highlight w:val="none"/>
        </w:rPr>
        <w:t>（二）在工程采购项目中，工程由中小企业承建，即工程施工单位为中小企业；</w:t>
      </w:r>
    </w:p>
    <w:p>
      <w:pPr>
        <w:pStyle w:val="45"/>
        <w:spacing w:before="0" w:beforeAutospacing="0" w:after="0" w:afterAutospacing="0" w:line="360" w:lineRule="auto"/>
        <w:ind w:firstLine="374"/>
        <w:rPr>
          <w:rFonts w:cs="宋体"/>
          <w:color w:val="auto"/>
          <w:kern w:val="2"/>
          <w:szCs w:val="24"/>
          <w:highlight w:val="none"/>
        </w:rPr>
      </w:pPr>
      <w:r>
        <w:rPr>
          <w:rFonts w:hint="eastAsia" w:cs="宋体"/>
          <w:color w:val="auto"/>
          <w:kern w:val="2"/>
          <w:szCs w:val="24"/>
          <w:highlight w:val="none"/>
        </w:rPr>
        <w:t>（三）在服务采购项目中，服务由中小企业承接，即提供服务的人员为中小企业依照《中华人民共和国劳动合同法》订立劳动合同的从业人员。</w:t>
      </w:r>
    </w:p>
    <w:p>
      <w:pPr>
        <w:pStyle w:val="45"/>
        <w:spacing w:before="0" w:beforeAutospacing="0" w:after="0" w:afterAutospacing="0" w:line="360" w:lineRule="auto"/>
        <w:ind w:firstLine="374"/>
        <w:rPr>
          <w:rFonts w:cs="宋体"/>
          <w:color w:val="auto"/>
          <w:kern w:val="2"/>
          <w:szCs w:val="24"/>
          <w:highlight w:val="none"/>
        </w:rPr>
      </w:pPr>
      <w:r>
        <w:rPr>
          <w:rFonts w:hint="eastAsia" w:cs="宋体"/>
          <w:color w:val="auto"/>
          <w:kern w:val="2"/>
          <w:szCs w:val="24"/>
          <w:highlight w:val="none"/>
        </w:rPr>
        <w:t>在货物采购项目中，供应商提供的货物既有中小企业制造货物，也有大型企业制造货物的，不享受本办法规定的中小企业扶持政策。</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2、国家相关部委针对节能产品、环境标志产品出台了相关调整优化政府采购执行机制，并于近期相继颁布《财政部发展改革委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根据要求，投标产品中如有属于“节能清单”成交记“</w:t>
      </w:r>
      <w:r>
        <w:rPr>
          <w:rFonts w:hint="eastAsia" w:ascii="宋体" w:hAnsi="宋体" w:cs="宋体"/>
          <w:color w:val="auto"/>
          <w:kern w:val="0"/>
          <w:sz w:val="24"/>
          <w:highlight w:val="none"/>
        </w:rPr>
        <w:t>★</w:t>
      </w:r>
      <w:r>
        <w:rPr>
          <w:rFonts w:hint="eastAsia" w:ascii="宋体" w:hAnsi="宋体" w:cs="宋体"/>
          <w:color w:val="auto"/>
          <w:sz w:val="24"/>
          <w:highlight w:val="none"/>
        </w:rPr>
        <w:t>”产品的，必须提供经过国家确定的认证机构出具的“节能产品认证证书及相关附件”，未提供的按无效投标处理。</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对于投标产品属于“节能清单”中非标记“</w:t>
      </w:r>
      <w:r>
        <w:rPr>
          <w:rFonts w:hint="eastAsia" w:ascii="宋体" w:hAnsi="宋体" w:cs="宋体"/>
          <w:color w:val="auto"/>
          <w:kern w:val="0"/>
          <w:sz w:val="24"/>
          <w:highlight w:val="none"/>
        </w:rPr>
        <w:t>★</w:t>
      </w:r>
      <w:r>
        <w:rPr>
          <w:rFonts w:hint="eastAsia" w:ascii="宋体" w:hAnsi="宋体" w:cs="宋体"/>
          <w:color w:val="auto"/>
          <w:sz w:val="24"/>
          <w:highlight w:val="none"/>
        </w:rPr>
        <w:t>”产品的以及属于 “环保清单”产品并经国家确定的认证机构出具相应的产品认证证书的给于优先采购体现（详见采购需求及评审标准）。采购人采购产品属于节能产品或环境标志产品品目清单范围内，且供应商（投标人）所投产品具有有效期内的产品认证证书，在评标时予以优先采购，具体优惠措施为：如果采购项目包有多种设备，在技术部分打分项中给于优先采购体现（详见采购需求及评标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3.供应商（投标人）所投产品列入无线局域网产品清单，应提供相关证明，在评标时予以优先采购，具体优惠措施为：如果采购项目包有多种设备，在技术部分打分项中给于优先采购体现（详见评审标准）。</w:t>
      </w:r>
    </w:p>
    <w:p>
      <w:pP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4.其他政府采购政策要求：</w:t>
      </w:r>
      <w:r>
        <w:rPr>
          <w:rFonts w:hint="eastAsia" w:ascii="宋体" w:hAnsi="宋体" w:cs="宋体"/>
          <w:color w:val="auto"/>
          <w:sz w:val="24"/>
          <w:highlight w:val="none"/>
          <w:u w:val="single"/>
        </w:rPr>
        <w:t>无；</w:t>
      </w:r>
    </w:p>
    <w:p>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5.同品牌处理办法：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如采用最低评标办法，则</w:t>
      </w:r>
      <w:r>
        <w:rPr>
          <w:rFonts w:hint="eastAsia" w:ascii="宋体" w:hAnsi="宋体" w:cs="宋体"/>
          <w:color w:val="auto"/>
          <w:sz w:val="24"/>
          <w:highlight w:val="none"/>
          <w:u w:val="single"/>
        </w:rPr>
        <w:t>：提供相同品牌产品的不同</w:t>
      </w:r>
      <w:r>
        <w:rPr>
          <w:rFonts w:hint="eastAsia" w:ascii="宋体" w:hAnsi="宋体" w:cs="宋体"/>
          <w:color w:val="auto"/>
          <w:sz w:val="24"/>
          <w:highlight w:val="none"/>
        </w:rPr>
        <w:t>供应商（投标人）</w:t>
      </w:r>
      <w:r>
        <w:rPr>
          <w:rFonts w:hint="eastAsia" w:ascii="宋体" w:hAnsi="宋体" w:cs="宋体"/>
          <w:color w:val="auto"/>
          <w:sz w:val="24"/>
          <w:highlight w:val="none"/>
          <w:u w:val="single"/>
        </w:rPr>
        <w:t>参加同一合同项下投标的，以其中通过资格审查、符合性审查且报价最低的参加评标；报价相同的，由采购人委托磋商小组按照举手表决方式确定一个参加评标的</w:t>
      </w:r>
      <w:r>
        <w:rPr>
          <w:rFonts w:hint="eastAsia" w:ascii="宋体" w:hAnsi="宋体" w:cs="宋体"/>
          <w:color w:val="auto"/>
          <w:sz w:val="24"/>
          <w:highlight w:val="none"/>
        </w:rPr>
        <w:t>供应商（投标人）</w:t>
      </w:r>
      <w:r>
        <w:rPr>
          <w:rFonts w:hint="eastAsia" w:ascii="宋体" w:hAnsi="宋体" w:cs="宋体"/>
          <w:color w:val="auto"/>
          <w:sz w:val="24"/>
          <w:highlight w:val="none"/>
          <w:u w:val="single"/>
        </w:rPr>
        <w:t>，其他投标无效。</w:t>
      </w:r>
      <w:r>
        <w:rPr>
          <w:rFonts w:hint="eastAsia" w:ascii="宋体" w:hAnsi="宋体" w:cs="宋体"/>
          <w:color w:val="auto"/>
          <w:sz w:val="24"/>
          <w:highlight w:val="none"/>
        </w:rPr>
        <w:t>；</w:t>
      </w:r>
    </w:p>
    <w:p>
      <w:pPr>
        <w:spacing w:line="360" w:lineRule="auto"/>
        <w:ind w:firstLine="480" w:firstLineChars="200"/>
        <w:jc w:val="left"/>
        <w:rPr>
          <w:rFonts w:ascii="宋体" w:hAnsi="宋体" w:cs="宋体"/>
          <w:b/>
          <w:color w:val="auto"/>
          <w:sz w:val="24"/>
          <w:highlight w:val="none"/>
          <w:u w:val="single"/>
        </w:rPr>
      </w:pPr>
      <w:r>
        <w:rPr>
          <w:rFonts w:hint="eastAsia" w:ascii="宋体" w:hAnsi="宋体" w:cs="宋体"/>
          <w:color w:val="auto"/>
          <w:sz w:val="24"/>
          <w:highlight w:val="none"/>
        </w:rPr>
        <w:t>如采用综合评标法，则</w:t>
      </w:r>
      <w:r>
        <w:rPr>
          <w:rFonts w:hint="eastAsia" w:ascii="宋体" w:hAnsi="宋体" w:cs="宋体"/>
          <w:color w:val="auto"/>
          <w:sz w:val="24"/>
          <w:highlight w:val="none"/>
          <w:u w:val="single"/>
        </w:rPr>
        <w:t>：（1）</w:t>
      </w:r>
      <w:r>
        <w:rPr>
          <w:rFonts w:hint="eastAsia" w:ascii="宋体" w:hAnsi="宋体" w:cs="宋体"/>
          <w:b/>
          <w:color w:val="auto"/>
          <w:sz w:val="24"/>
          <w:highlight w:val="none"/>
          <w:u w:val="single"/>
        </w:rPr>
        <w:t>如果为单一产品采购项目，提供相同品牌产品且通过资格审查、符合性审查的不同</w:t>
      </w:r>
      <w:r>
        <w:rPr>
          <w:rFonts w:hint="eastAsia" w:ascii="宋体" w:hAnsi="宋体" w:cs="宋体"/>
          <w:color w:val="auto"/>
          <w:sz w:val="24"/>
          <w:highlight w:val="none"/>
        </w:rPr>
        <w:t>供应商（投标人）</w:t>
      </w:r>
      <w:r>
        <w:rPr>
          <w:rFonts w:hint="eastAsia" w:ascii="宋体" w:hAnsi="宋体" w:cs="宋体"/>
          <w:b/>
          <w:color w:val="auto"/>
          <w:sz w:val="24"/>
          <w:highlight w:val="none"/>
          <w:u w:val="single"/>
        </w:rPr>
        <w:t>参加同一合同项下投标的，按一家</w:t>
      </w:r>
      <w:r>
        <w:rPr>
          <w:rFonts w:hint="eastAsia" w:ascii="宋体" w:hAnsi="宋体" w:cs="宋体"/>
          <w:color w:val="auto"/>
          <w:sz w:val="24"/>
          <w:highlight w:val="none"/>
        </w:rPr>
        <w:t>供应商（投标人）</w:t>
      </w:r>
      <w:r>
        <w:rPr>
          <w:rFonts w:hint="eastAsia" w:ascii="宋体" w:hAnsi="宋体" w:cs="宋体"/>
          <w:b/>
          <w:color w:val="auto"/>
          <w:sz w:val="24"/>
          <w:highlight w:val="none"/>
          <w:u w:val="single"/>
        </w:rPr>
        <w:t>计算，评审后得分最高的同品牌</w:t>
      </w:r>
      <w:r>
        <w:rPr>
          <w:rFonts w:hint="eastAsia" w:ascii="宋体" w:hAnsi="宋体" w:cs="宋体"/>
          <w:color w:val="auto"/>
          <w:sz w:val="24"/>
          <w:highlight w:val="none"/>
        </w:rPr>
        <w:t>供应商（投标人）</w:t>
      </w:r>
      <w:r>
        <w:rPr>
          <w:rFonts w:hint="eastAsia" w:ascii="宋体" w:hAnsi="宋体" w:cs="宋体"/>
          <w:b/>
          <w:color w:val="auto"/>
          <w:sz w:val="24"/>
          <w:highlight w:val="none"/>
          <w:u w:val="single"/>
        </w:rPr>
        <w:t xml:space="preserve">获得成交人推荐资格；评审得分相同的，报价得分最高的获得成交人推荐资格，其他同品牌 </w:t>
      </w:r>
      <w:r>
        <w:rPr>
          <w:rFonts w:hint="eastAsia" w:ascii="宋体" w:hAnsi="宋体" w:cs="宋体"/>
          <w:color w:val="auto"/>
          <w:sz w:val="24"/>
          <w:highlight w:val="none"/>
        </w:rPr>
        <w:t>供应商（投标人）</w:t>
      </w:r>
      <w:r>
        <w:rPr>
          <w:rFonts w:hint="eastAsia" w:ascii="宋体" w:hAnsi="宋体" w:cs="宋体"/>
          <w:b/>
          <w:color w:val="auto"/>
          <w:sz w:val="24"/>
          <w:highlight w:val="none"/>
          <w:u w:val="single"/>
        </w:rPr>
        <w:t>不作为成交候选人。</w:t>
      </w:r>
    </w:p>
    <w:p>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u w:val="single"/>
        </w:rPr>
        <w:t>（2）</w:t>
      </w:r>
      <w:r>
        <w:rPr>
          <w:rFonts w:hint="eastAsia" w:ascii="宋体" w:hAnsi="宋体" w:cs="宋体"/>
          <w:b/>
          <w:color w:val="auto"/>
          <w:sz w:val="24"/>
          <w:highlight w:val="none"/>
          <w:u w:val="single"/>
        </w:rPr>
        <w:t>非单一产品采购项目，将在磋商文件中载明核心产品。多家</w:t>
      </w:r>
      <w:r>
        <w:rPr>
          <w:rFonts w:hint="eastAsia" w:ascii="宋体" w:hAnsi="宋体" w:cs="宋体"/>
          <w:color w:val="auto"/>
          <w:sz w:val="24"/>
          <w:highlight w:val="none"/>
        </w:rPr>
        <w:t>供应商（投标人）</w:t>
      </w:r>
      <w:r>
        <w:rPr>
          <w:rFonts w:hint="eastAsia" w:ascii="宋体" w:hAnsi="宋体" w:cs="宋体"/>
          <w:b/>
          <w:color w:val="auto"/>
          <w:sz w:val="24"/>
          <w:highlight w:val="none"/>
          <w:u w:val="single"/>
        </w:rPr>
        <w:t>提供的核心产品品牌相同的，按（1）“单一产品采购项目”规定处理。</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6.成交候选人并列时的处理方式：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如采用最低评标办法，则：由采购人采取随机抽取的方式确定。</w:t>
      </w:r>
    </w:p>
    <w:p>
      <w:pPr>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如采用综合评标法，则：</w:t>
      </w:r>
      <w:r>
        <w:rPr>
          <w:rFonts w:hint="eastAsia" w:ascii="宋体" w:hAnsi="宋体" w:cs="宋体"/>
          <w:bCs/>
          <w:color w:val="auto"/>
          <w:sz w:val="24"/>
          <w:highlight w:val="none"/>
        </w:rPr>
        <w:t>根据采购需要、商务、技术均能满足磋商文件要求，按磋商小组评出的综合得分，由高到低顺序排列，推荐3名成交候选人，如得分相同的，按扣除后的投标报价由低到高顺序排列；</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按前款不能区分的，按投标报价由低至高顺序排序；</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按前款不能区分的，优先采购节能产品、环保产品；</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按前款不能区分的，按技术指标优劣排序；</w:t>
      </w:r>
    </w:p>
    <w:p>
      <w:pPr>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其他情况，由磋商小组集体研究处理</w:t>
      </w:r>
      <w:r>
        <w:rPr>
          <w:rFonts w:hint="eastAsia" w:ascii="宋体" w:hAnsi="宋体" w:cs="宋体"/>
          <w:color w:val="auto"/>
          <w:sz w:val="24"/>
          <w:highlight w:val="none"/>
        </w:rPr>
        <w:t>。</w:t>
      </w:r>
    </w:p>
    <w:p>
      <w:pPr>
        <w:pStyle w:val="21"/>
        <w:ind w:firstLine="0" w:firstLineChars="0"/>
        <w:outlineLvl w:val="2"/>
        <w:rPr>
          <w:rFonts w:ascii="宋体" w:hAnsi="宋体" w:cs="宋体"/>
          <w:color w:val="auto"/>
          <w:sz w:val="24"/>
          <w:highlight w:val="none"/>
        </w:rPr>
      </w:pPr>
      <w:bookmarkStart w:id="567" w:name="_Toc14237"/>
      <w:bookmarkStart w:id="568" w:name="_Toc27343"/>
      <w:bookmarkStart w:id="569" w:name="_Toc15425"/>
      <w:r>
        <w:rPr>
          <w:rFonts w:hint="eastAsia" w:ascii="宋体" w:hAnsi="宋体" w:cs="宋体"/>
          <w:color w:val="auto"/>
          <w:sz w:val="24"/>
          <w:highlight w:val="none"/>
        </w:rPr>
        <w:t>（五）初步评审（资格性审查、符合性审查表）</w:t>
      </w:r>
      <w:bookmarkEnd w:id="567"/>
      <w:bookmarkEnd w:id="568"/>
      <w:bookmarkEnd w:id="569"/>
    </w:p>
    <w:tbl>
      <w:tblPr>
        <w:tblStyle w:val="50"/>
        <w:tblW w:w="90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3691"/>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4610" w:type="dxa"/>
            <w:gridSpan w:val="2"/>
            <w:tcBorders>
              <w:bottom w:val="single" w:color="auto" w:sz="4" w:space="0"/>
            </w:tcBorders>
            <w:tcMar>
              <w:left w:w="57" w:type="dxa"/>
              <w:right w:w="57" w:type="dxa"/>
            </w:tcMar>
            <w:vAlign w:val="center"/>
          </w:tcPr>
          <w:p>
            <w:pPr>
              <w:spacing w:line="360" w:lineRule="auto"/>
              <w:ind w:firstLine="723" w:firstLineChars="300"/>
              <w:jc w:val="center"/>
              <w:rPr>
                <w:rFonts w:ascii="宋体" w:hAnsi="宋体" w:cs="宋体"/>
                <w:b/>
                <w:color w:val="auto"/>
                <w:sz w:val="24"/>
                <w:highlight w:val="none"/>
              </w:rPr>
            </w:pPr>
            <w:r>
              <w:rPr>
                <w:rFonts w:hint="eastAsia" w:ascii="宋体" w:hAnsi="宋体" w:cs="宋体"/>
                <w:b/>
                <w:color w:val="auto"/>
                <w:sz w:val="24"/>
                <w:highlight w:val="none"/>
              </w:rPr>
              <w:t>评审因素</w:t>
            </w:r>
          </w:p>
        </w:tc>
        <w:tc>
          <w:tcPr>
            <w:tcW w:w="4410" w:type="dxa"/>
            <w:tcBorders>
              <w:bottom w:val="single" w:color="auto" w:sz="4" w:space="0"/>
            </w:tcBorders>
            <w:tcMar>
              <w:left w:w="57" w:type="dxa"/>
              <w:right w:w="57" w:type="dxa"/>
            </w:tcMar>
            <w:vAlign w:val="center"/>
          </w:tcPr>
          <w:p>
            <w:pPr>
              <w:spacing w:line="360" w:lineRule="auto"/>
              <w:ind w:firstLine="964" w:firstLineChars="400"/>
              <w:jc w:val="center"/>
              <w:rPr>
                <w:rFonts w:ascii="宋体" w:hAnsi="宋体" w:cs="宋体"/>
                <w:b/>
                <w:color w:val="auto"/>
                <w:sz w:val="24"/>
                <w:highlight w:val="none"/>
              </w:rPr>
            </w:pPr>
            <w:r>
              <w:rPr>
                <w:rFonts w:hint="eastAsia" w:ascii="宋体" w:hAnsi="宋体" w:cs="宋体"/>
                <w:b/>
                <w:color w:val="auto"/>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919" w:type="dxa"/>
            <w:vMerge w:val="restart"/>
            <w:tcMar>
              <w:left w:w="57" w:type="dxa"/>
              <w:right w:w="57" w:type="dxa"/>
            </w:tcMar>
            <w:vAlign w:val="center"/>
          </w:tcPr>
          <w:p>
            <w:pPr>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t>资格性审查</w:t>
            </w:r>
          </w:p>
        </w:tc>
        <w:tc>
          <w:tcPr>
            <w:tcW w:w="3691" w:type="dxa"/>
            <w:tcMar>
              <w:left w:w="57" w:type="dxa"/>
              <w:right w:w="57" w:type="dxa"/>
            </w:tcMar>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具有独立承担民事责任的能力</w:t>
            </w:r>
          </w:p>
        </w:tc>
        <w:tc>
          <w:tcPr>
            <w:tcW w:w="4410" w:type="dxa"/>
            <w:vAlign w:val="center"/>
          </w:tcPr>
          <w:p>
            <w:pPr>
              <w:spacing w:line="360" w:lineRule="auto"/>
              <w:jc w:val="left"/>
              <w:rPr>
                <w:rFonts w:ascii="宋体" w:hAnsi="宋体" w:cs="宋体"/>
                <w:color w:val="auto"/>
                <w:sz w:val="24"/>
                <w:highlight w:val="none"/>
              </w:rPr>
            </w:pPr>
            <w:r>
              <w:rPr>
                <w:rFonts w:hint="eastAsia" w:ascii="宋体" w:hAnsi="宋体" w:cs="宋体"/>
                <w:color w:val="auto"/>
                <w:kern w:val="0"/>
                <w:sz w:val="24"/>
                <w:highlight w:val="none"/>
              </w:rPr>
              <w:t>具备有效的营业执照或其它相关证明材料。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919" w:type="dxa"/>
            <w:vMerge w:val="continue"/>
            <w:tcMar>
              <w:left w:w="57" w:type="dxa"/>
              <w:right w:w="57" w:type="dxa"/>
            </w:tcMar>
            <w:vAlign w:val="center"/>
          </w:tcPr>
          <w:p>
            <w:pPr>
              <w:spacing w:line="360" w:lineRule="auto"/>
              <w:jc w:val="center"/>
              <w:rPr>
                <w:rFonts w:ascii="宋体" w:hAnsi="宋体" w:cs="宋体"/>
                <w:color w:val="auto"/>
                <w:sz w:val="24"/>
                <w:highlight w:val="none"/>
              </w:rPr>
            </w:pPr>
          </w:p>
        </w:tc>
        <w:tc>
          <w:tcPr>
            <w:tcW w:w="3691" w:type="dxa"/>
            <w:tcMar>
              <w:left w:w="57" w:type="dxa"/>
              <w:right w:w="57" w:type="dxa"/>
            </w:tcMar>
            <w:vAlign w:val="center"/>
          </w:tcPr>
          <w:p>
            <w:pPr>
              <w:pStyle w:val="45"/>
              <w:spacing w:line="360" w:lineRule="auto"/>
              <w:ind w:firstLine="240" w:firstLineChars="100"/>
              <w:jc w:val="center"/>
              <w:rPr>
                <w:rFonts w:cs="宋体"/>
                <w:color w:val="auto"/>
                <w:kern w:val="2"/>
                <w:szCs w:val="24"/>
                <w:highlight w:val="none"/>
              </w:rPr>
            </w:pPr>
            <w:r>
              <w:rPr>
                <w:rFonts w:hint="eastAsia" w:cs="宋体"/>
                <w:color w:val="auto"/>
                <w:kern w:val="2"/>
                <w:szCs w:val="24"/>
                <w:highlight w:val="none"/>
              </w:rPr>
              <w:t>具有良好的商业信誉和健全的财务会计制度</w:t>
            </w:r>
          </w:p>
          <w:p>
            <w:pPr>
              <w:spacing w:line="360" w:lineRule="auto"/>
              <w:jc w:val="center"/>
              <w:rPr>
                <w:rFonts w:ascii="宋体" w:hAnsi="宋体" w:cs="宋体"/>
                <w:color w:val="auto"/>
                <w:sz w:val="24"/>
                <w:highlight w:val="none"/>
              </w:rPr>
            </w:pPr>
          </w:p>
        </w:tc>
        <w:tc>
          <w:tcPr>
            <w:tcW w:w="4410" w:type="dxa"/>
            <w:vAlign w:val="center"/>
          </w:tcPr>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符合竞争性磋商文件“第二章 供应商须知  供应商须知前附表”1.4.1要求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trPr>
        <w:tc>
          <w:tcPr>
            <w:tcW w:w="919" w:type="dxa"/>
            <w:vMerge w:val="continue"/>
            <w:tcMar>
              <w:left w:w="57" w:type="dxa"/>
              <w:right w:w="57" w:type="dxa"/>
            </w:tcMar>
            <w:vAlign w:val="center"/>
          </w:tcPr>
          <w:p>
            <w:pPr>
              <w:spacing w:line="360" w:lineRule="auto"/>
              <w:jc w:val="center"/>
              <w:rPr>
                <w:rFonts w:ascii="宋体" w:hAnsi="宋体" w:cs="宋体"/>
                <w:color w:val="auto"/>
                <w:sz w:val="24"/>
                <w:highlight w:val="none"/>
              </w:rPr>
            </w:pPr>
          </w:p>
        </w:tc>
        <w:tc>
          <w:tcPr>
            <w:tcW w:w="3691" w:type="dxa"/>
            <w:tcMar>
              <w:left w:w="57" w:type="dxa"/>
              <w:right w:w="57" w:type="dxa"/>
            </w:tcMar>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社保证明材料</w:t>
            </w:r>
          </w:p>
        </w:tc>
        <w:tc>
          <w:tcPr>
            <w:tcW w:w="4410" w:type="dxa"/>
            <w:vAlign w:val="center"/>
          </w:tcPr>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符合竞争性磋商文件“第二章 供应商须知  供应商须知前附表”1.4.1要求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trPr>
        <w:tc>
          <w:tcPr>
            <w:tcW w:w="919" w:type="dxa"/>
            <w:vMerge w:val="continue"/>
            <w:tcMar>
              <w:left w:w="57" w:type="dxa"/>
              <w:right w:w="57" w:type="dxa"/>
            </w:tcMar>
            <w:vAlign w:val="center"/>
          </w:tcPr>
          <w:p>
            <w:pPr>
              <w:spacing w:line="360" w:lineRule="auto"/>
              <w:ind w:firstLine="720" w:firstLineChars="300"/>
              <w:jc w:val="center"/>
              <w:rPr>
                <w:rFonts w:ascii="宋体" w:hAnsi="宋体" w:cs="宋体"/>
                <w:color w:val="auto"/>
                <w:sz w:val="24"/>
                <w:highlight w:val="none"/>
              </w:rPr>
            </w:pPr>
          </w:p>
        </w:tc>
        <w:tc>
          <w:tcPr>
            <w:tcW w:w="3691" w:type="dxa"/>
            <w:tcMar>
              <w:left w:w="57" w:type="dxa"/>
              <w:right w:w="57" w:type="dxa"/>
            </w:tcMar>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纳税证明材料</w:t>
            </w:r>
          </w:p>
        </w:tc>
        <w:tc>
          <w:tcPr>
            <w:tcW w:w="4410" w:type="dxa"/>
            <w:vAlign w:val="center"/>
          </w:tcPr>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符合竞争性磋商文件“第二章 供应商须知  供应商须知前附表”1.4.1要求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trPr>
        <w:tc>
          <w:tcPr>
            <w:tcW w:w="919" w:type="dxa"/>
            <w:vMerge w:val="continue"/>
            <w:tcMar>
              <w:left w:w="57" w:type="dxa"/>
              <w:right w:w="57" w:type="dxa"/>
            </w:tcMar>
            <w:vAlign w:val="center"/>
          </w:tcPr>
          <w:p>
            <w:pPr>
              <w:spacing w:line="360" w:lineRule="auto"/>
              <w:ind w:firstLine="720" w:firstLineChars="300"/>
              <w:jc w:val="center"/>
              <w:rPr>
                <w:rFonts w:ascii="宋体" w:hAnsi="宋体" w:cs="宋体"/>
                <w:color w:val="auto"/>
                <w:sz w:val="24"/>
                <w:highlight w:val="none"/>
              </w:rPr>
            </w:pPr>
          </w:p>
        </w:tc>
        <w:tc>
          <w:tcPr>
            <w:tcW w:w="3691" w:type="dxa"/>
            <w:tcMar>
              <w:left w:w="57" w:type="dxa"/>
              <w:right w:w="57" w:type="dxa"/>
            </w:tcMar>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具有履行合同所必需的设备和专业技术能力</w:t>
            </w:r>
          </w:p>
        </w:tc>
        <w:tc>
          <w:tcPr>
            <w:tcW w:w="4410" w:type="dxa"/>
            <w:vAlign w:val="center"/>
          </w:tcPr>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符合竞争性磋商文件“第二章 供应商须知  供应商须知前附表”1.4.1要求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exact"/>
        </w:trPr>
        <w:tc>
          <w:tcPr>
            <w:tcW w:w="919" w:type="dxa"/>
            <w:vMerge w:val="continue"/>
            <w:tcMar>
              <w:left w:w="57" w:type="dxa"/>
              <w:right w:w="57" w:type="dxa"/>
            </w:tcMar>
            <w:vAlign w:val="center"/>
          </w:tcPr>
          <w:p>
            <w:pPr>
              <w:spacing w:line="360" w:lineRule="auto"/>
              <w:ind w:firstLine="720" w:firstLineChars="300"/>
              <w:jc w:val="center"/>
              <w:rPr>
                <w:rFonts w:ascii="宋体" w:hAnsi="宋体" w:cs="宋体"/>
                <w:color w:val="auto"/>
                <w:sz w:val="24"/>
                <w:highlight w:val="none"/>
              </w:rPr>
            </w:pPr>
          </w:p>
        </w:tc>
        <w:tc>
          <w:tcPr>
            <w:tcW w:w="3691" w:type="dxa"/>
            <w:tcMar>
              <w:left w:w="57" w:type="dxa"/>
              <w:right w:w="57" w:type="dxa"/>
            </w:tcMar>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参加本次采购活动前三年内在经营活动中没有重大违法记录的书面声明</w:t>
            </w:r>
          </w:p>
        </w:tc>
        <w:tc>
          <w:tcPr>
            <w:tcW w:w="4410" w:type="dxa"/>
            <w:vAlign w:val="center"/>
          </w:tcPr>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符合竞争性磋商文件“第二章 供应商须知  供应商须知前附表”1.4.1要求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exact"/>
        </w:trPr>
        <w:tc>
          <w:tcPr>
            <w:tcW w:w="919" w:type="dxa"/>
            <w:vMerge w:val="continue"/>
            <w:tcMar>
              <w:left w:w="57" w:type="dxa"/>
              <w:right w:w="57" w:type="dxa"/>
            </w:tcMar>
            <w:vAlign w:val="center"/>
          </w:tcPr>
          <w:p>
            <w:pPr>
              <w:spacing w:line="360" w:lineRule="auto"/>
              <w:ind w:firstLine="720" w:firstLineChars="300"/>
              <w:jc w:val="center"/>
              <w:rPr>
                <w:rFonts w:ascii="宋体" w:hAnsi="宋体" w:cs="宋体"/>
                <w:color w:val="auto"/>
                <w:sz w:val="24"/>
                <w:highlight w:val="none"/>
              </w:rPr>
            </w:pPr>
          </w:p>
        </w:tc>
        <w:tc>
          <w:tcPr>
            <w:tcW w:w="3691" w:type="dxa"/>
            <w:tcMar>
              <w:left w:w="57" w:type="dxa"/>
              <w:right w:w="57" w:type="dxa"/>
            </w:tcMar>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单位负责人为同一人或者存在直接控股、管理关系的不同供应商（投标人），不得参加同一合同项下的政府采购活动</w:t>
            </w:r>
          </w:p>
        </w:tc>
        <w:tc>
          <w:tcPr>
            <w:tcW w:w="4410" w:type="dxa"/>
            <w:vAlign w:val="center"/>
          </w:tcPr>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符合竞争性磋商文件“第二章 供应商须知  供应商须知前附表”1.4.1要求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exact"/>
        </w:trPr>
        <w:tc>
          <w:tcPr>
            <w:tcW w:w="919" w:type="dxa"/>
            <w:vMerge w:val="continue"/>
            <w:tcMar>
              <w:left w:w="57" w:type="dxa"/>
              <w:right w:w="57" w:type="dxa"/>
            </w:tcMar>
            <w:vAlign w:val="center"/>
          </w:tcPr>
          <w:p>
            <w:pPr>
              <w:spacing w:line="360" w:lineRule="auto"/>
              <w:ind w:firstLine="720" w:firstLineChars="300"/>
              <w:jc w:val="center"/>
              <w:rPr>
                <w:rFonts w:ascii="宋体" w:hAnsi="宋体" w:cs="宋体"/>
                <w:color w:val="auto"/>
                <w:sz w:val="24"/>
                <w:highlight w:val="none"/>
              </w:rPr>
            </w:pPr>
          </w:p>
        </w:tc>
        <w:tc>
          <w:tcPr>
            <w:tcW w:w="3691" w:type="dxa"/>
            <w:tcMar>
              <w:left w:w="57" w:type="dxa"/>
              <w:right w:w="57" w:type="dxa"/>
            </w:tcMar>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信用查询</w:t>
            </w:r>
          </w:p>
        </w:tc>
        <w:tc>
          <w:tcPr>
            <w:tcW w:w="4410" w:type="dxa"/>
            <w:vAlign w:val="center"/>
          </w:tcPr>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递交响应文件截止时间后，由采购人或采购代理机构查询供应商的信用状况，并以此结果为准。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919" w:type="dxa"/>
            <w:vMerge w:val="restart"/>
            <w:tcMar>
              <w:left w:w="57" w:type="dxa"/>
              <w:right w:w="57" w:type="dxa"/>
            </w:tcMar>
            <w:vAlign w:val="center"/>
          </w:tcPr>
          <w:p>
            <w:pPr>
              <w:spacing w:line="360" w:lineRule="auto"/>
              <w:rPr>
                <w:rFonts w:ascii="宋体" w:hAnsi="宋体" w:cs="宋体"/>
                <w:color w:val="auto"/>
                <w:sz w:val="24"/>
                <w:highlight w:val="none"/>
              </w:rPr>
            </w:pPr>
            <w:r>
              <w:rPr>
                <w:rFonts w:hint="eastAsia" w:ascii="宋体" w:hAnsi="宋体" w:cs="宋体"/>
                <w:b/>
                <w:bCs/>
                <w:color w:val="auto"/>
                <w:sz w:val="24"/>
                <w:highlight w:val="none"/>
              </w:rPr>
              <w:t>符合性审查</w:t>
            </w:r>
          </w:p>
        </w:tc>
        <w:tc>
          <w:tcPr>
            <w:tcW w:w="3691" w:type="dxa"/>
            <w:tcMar>
              <w:left w:w="57" w:type="dxa"/>
              <w:right w:w="57" w:type="dxa"/>
            </w:tcMar>
            <w:vAlign w:val="center"/>
          </w:tcPr>
          <w:p>
            <w:pPr>
              <w:spacing w:line="360" w:lineRule="auto"/>
              <w:jc w:val="center"/>
              <w:rPr>
                <w:rFonts w:ascii="宋体" w:hAnsi="宋体" w:cs="宋体"/>
                <w:color w:val="auto"/>
                <w:sz w:val="24"/>
                <w:highlight w:val="none"/>
              </w:rPr>
            </w:pPr>
            <w:r>
              <w:rPr>
                <w:rFonts w:hint="eastAsia" w:ascii="宋体" w:hAnsi="宋体" w:cs="宋体"/>
                <w:bCs/>
                <w:color w:val="auto"/>
                <w:sz w:val="24"/>
                <w:highlight w:val="none"/>
              </w:rPr>
              <w:t>供应商名称</w:t>
            </w:r>
          </w:p>
        </w:tc>
        <w:tc>
          <w:tcPr>
            <w:tcW w:w="4410" w:type="dxa"/>
            <w:vAlign w:val="center"/>
          </w:tcPr>
          <w:p>
            <w:pPr>
              <w:spacing w:line="360" w:lineRule="auto"/>
              <w:jc w:val="left"/>
              <w:rPr>
                <w:rFonts w:ascii="宋体" w:hAnsi="宋体" w:cs="宋体"/>
                <w:color w:val="auto"/>
                <w:sz w:val="24"/>
                <w:highlight w:val="none"/>
              </w:rPr>
            </w:pPr>
            <w:r>
              <w:rPr>
                <w:rFonts w:hint="eastAsia" w:ascii="宋体" w:hAnsi="宋体" w:cs="宋体"/>
                <w:bCs/>
                <w:color w:val="auto"/>
                <w:sz w:val="24"/>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919" w:type="dxa"/>
            <w:vMerge w:val="continue"/>
            <w:tcMar>
              <w:left w:w="57" w:type="dxa"/>
              <w:right w:w="57" w:type="dxa"/>
            </w:tcMar>
            <w:vAlign w:val="center"/>
          </w:tcPr>
          <w:p>
            <w:pPr>
              <w:spacing w:line="360" w:lineRule="auto"/>
              <w:rPr>
                <w:rFonts w:ascii="宋体" w:hAnsi="宋体" w:cs="宋体"/>
                <w:color w:val="auto"/>
                <w:sz w:val="24"/>
                <w:highlight w:val="none"/>
              </w:rPr>
            </w:pPr>
          </w:p>
        </w:tc>
        <w:tc>
          <w:tcPr>
            <w:tcW w:w="3691" w:type="dxa"/>
            <w:tcMar>
              <w:left w:w="57" w:type="dxa"/>
              <w:right w:w="57" w:type="dxa"/>
            </w:tcMar>
            <w:vAlign w:val="center"/>
          </w:tcPr>
          <w:p>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磋商响应文件签字、盖章</w:t>
            </w:r>
          </w:p>
        </w:tc>
        <w:tc>
          <w:tcPr>
            <w:tcW w:w="4410" w:type="dxa"/>
            <w:vAlign w:val="center"/>
          </w:tcPr>
          <w:p>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919" w:type="dxa"/>
            <w:vMerge w:val="continue"/>
            <w:tcMar>
              <w:left w:w="57" w:type="dxa"/>
              <w:right w:w="57" w:type="dxa"/>
            </w:tcMar>
            <w:vAlign w:val="center"/>
          </w:tcPr>
          <w:p>
            <w:pPr>
              <w:spacing w:line="360" w:lineRule="auto"/>
              <w:rPr>
                <w:rFonts w:ascii="宋体" w:hAnsi="宋体" w:cs="宋体"/>
                <w:color w:val="auto"/>
                <w:sz w:val="24"/>
                <w:highlight w:val="none"/>
              </w:rPr>
            </w:pPr>
          </w:p>
        </w:tc>
        <w:tc>
          <w:tcPr>
            <w:tcW w:w="3691" w:type="dxa"/>
            <w:tcMar>
              <w:left w:w="57" w:type="dxa"/>
              <w:right w:w="57" w:type="dxa"/>
            </w:tcMar>
            <w:vAlign w:val="center"/>
          </w:tcPr>
          <w:p>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磋商报价</w:t>
            </w:r>
          </w:p>
        </w:tc>
        <w:tc>
          <w:tcPr>
            <w:tcW w:w="4410" w:type="dxa"/>
            <w:vAlign w:val="center"/>
          </w:tcPr>
          <w:p>
            <w:pPr>
              <w:spacing w:line="360" w:lineRule="auto"/>
              <w:jc w:val="left"/>
              <w:rPr>
                <w:rFonts w:ascii="宋体" w:hAnsi="宋体" w:cs="宋体"/>
                <w:bCs/>
                <w:color w:val="auto"/>
                <w:sz w:val="24"/>
                <w:highlight w:val="none"/>
              </w:rPr>
            </w:pPr>
            <w:r>
              <w:rPr>
                <w:rFonts w:hint="eastAsia" w:ascii="宋体" w:hAnsi="宋体" w:cs="宋体"/>
                <w:color w:val="auto"/>
                <w:sz w:val="24"/>
                <w:highlight w:val="none"/>
              </w:rPr>
              <w:t>供应商的磋商报价不得超过最高限价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919" w:type="dxa"/>
            <w:vMerge w:val="continue"/>
            <w:tcMar>
              <w:left w:w="57" w:type="dxa"/>
              <w:right w:w="57" w:type="dxa"/>
            </w:tcMar>
            <w:vAlign w:val="center"/>
          </w:tcPr>
          <w:p>
            <w:pPr>
              <w:spacing w:line="360" w:lineRule="auto"/>
              <w:rPr>
                <w:rFonts w:ascii="宋体" w:hAnsi="宋体" w:cs="宋体"/>
                <w:color w:val="auto"/>
                <w:sz w:val="24"/>
                <w:highlight w:val="none"/>
              </w:rPr>
            </w:pPr>
          </w:p>
        </w:tc>
        <w:tc>
          <w:tcPr>
            <w:tcW w:w="3691" w:type="dxa"/>
            <w:tcMar>
              <w:left w:w="57" w:type="dxa"/>
              <w:right w:w="57" w:type="dxa"/>
            </w:tcMar>
            <w:vAlign w:val="center"/>
          </w:tcPr>
          <w:p>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响应文件有效期</w:t>
            </w:r>
          </w:p>
        </w:tc>
        <w:tc>
          <w:tcPr>
            <w:tcW w:w="4410" w:type="dxa"/>
            <w:vAlign w:val="center"/>
          </w:tcPr>
          <w:p>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trPr>
        <w:tc>
          <w:tcPr>
            <w:tcW w:w="919" w:type="dxa"/>
            <w:vMerge w:val="continue"/>
            <w:tcMar>
              <w:left w:w="57" w:type="dxa"/>
              <w:right w:w="57" w:type="dxa"/>
            </w:tcMar>
            <w:vAlign w:val="center"/>
          </w:tcPr>
          <w:p>
            <w:pPr>
              <w:spacing w:line="360" w:lineRule="auto"/>
              <w:rPr>
                <w:rFonts w:ascii="宋体" w:hAnsi="宋体" w:cs="宋体"/>
                <w:color w:val="auto"/>
                <w:sz w:val="24"/>
                <w:highlight w:val="none"/>
              </w:rPr>
            </w:pPr>
          </w:p>
        </w:tc>
        <w:tc>
          <w:tcPr>
            <w:tcW w:w="3691" w:type="dxa"/>
            <w:tcMar>
              <w:left w:w="57" w:type="dxa"/>
              <w:right w:w="57" w:type="dxa"/>
            </w:tcMar>
            <w:vAlign w:val="center"/>
          </w:tcPr>
          <w:p>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不同供应商的磋商响应文件制作机器码</w:t>
            </w:r>
          </w:p>
        </w:tc>
        <w:tc>
          <w:tcPr>
            <w:tcW w:w="4410" w:type="dxa"/>
            <w:vAlign w:val="center"/>
          </w:tcPr>
          <w:p>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trPr>
        <w:tc>
          <w:tcPr>
            <w:tcW w:w="919" w:type="dxa"/>
            <w:vMerge w:val="continue"/>
            <w:tcMar>
              <w:left w:w="57" w:type="dxa"/>
              <w:right w:w="57" w:type="dxa"/>
            </w:tcMar>
            <w:vAlign w:val="center"/>
          </w:tcPr>
          <w:p>
            <w:pPr>
              <w:spacing w:line="360" w:lineRule="auto"/>
              <w:rPr>
                <w:rFonts w:ascii="宋体" w:hAnsi="宋体" w:cs="宋体"/>
                <w:color w:val="auto"/>
                <w:sz w:val="24"/>
                <w:highlight w:val="none"/>
              </w:rPr>
            </w:pPr>
          </w:p>
        </w:tc>
        <w:tc>
          <w:tcPr>
            <w:tcW w:w="3691" w:type="dxa"/>
            <w:tcMar>
              <w:left w:w="57" w:type="dxa"/>
              <w:right w:w="57" w:type="dxa"/>
            </w:tcMar>
            <w:vAlign w:val="center"/>
          </w:tcPr>
          <w:p>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质量标准</w:t>
            </w:r>
          </w:p>
        </w:tc>
        <w:tc>
          <w:tcPr>
            <w:tcW w:w="4410" w:type="dxa"/>
            <w:vAlign w:val="center"/>
          </w:tcPr>
          <w:p>
            <w:pPr>
              <w:spacing w:line="360" w:lineRule="auto"/>
              <w:jc w:val="left"/>
              <w:rPr>
                <w:rFonts w:ascii="宋体" w:hAnsi="宋体" w:cs="宋体"/>
                <w:bCs/>
                <w:color w:val="auto"/>
                <w:sz w:val="24"/>
                <w:highlight w:val="none"/>
              </w:rPr>
            </w:pPr>
            <w:r>
              <w:rPr>
                <w:rFonts w:hint="eastAsia" w:ascii="宋体" w:hAnsi="宋体" w:cs="宋体"/>
                <w:color w:val="auto"/>
                <w:sz w:val="24"/>
                <w:highlight w:val="none"/>
              </w:rPr>
              <w:t>符合竞争性磋商文件“第二章 供应商须知  供应商须知前附表”1.3.2要求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919" w:type="dxa"/>
            <w:vMerge w:val="continue"/>
            <w:tcMar>
              <w:left w:w="57" w:type="dxa"/>
              <w:right w:w="57" w:type="dxa"/>
            </w:tcMar>
            <w:vAlign w:val="center"/>
          </w:tcPr>
          <w:p>
            <w:pPr>
              <w:spacing w:line="360" w:lineRule="auto"/>
              <w:rPr>
                <w:rFonts w:ascii="宋体" w:hAnsi="宋体" w:cs="宋体"/>
                <w:color w:val="auto"/>
                <w:sz w:val="24"/>
                <w:highlight w:val="none"/>
              </w:rPr>
            </w:pPr>
          </w:p>
        </w:tc>
        <w:tc>
          <w:tcPr>
            <w:tcW w:w="3691" w:type="dxa"/>
            <w:tcMar>
              <w:left w:w="57" w:type="dxa"/>
              <w:right w:w="57" w:type="dxa"/>
            </w:tcMar>
            <w:vAlign w:val="center"/>
          </w:tcPr>
          <w:p>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交货期</w:t>
            </w:r>
          </w:p>
        </w:tc>
        <w:tc>
          <w:tcPr>
            <w:tcW w:w="4410" w:type="dxa"/>
            <w:vAlign w:val="center"/>
          </w:tcPr>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符合竞争性磋商文件“第二章 供应商须知  供应商须知前附表”1.3.3要求</w:t>
            </w:r>
          </w:p>
          <w:p>
            <w:pPr>
              <w:spacing w:line="360" w:lineRule="auto"/>
              <w:jc w:val="left"/>
              <w:rPr>
                <w:rFonts w:ascii="宋体" w:hAnsi="宋体" w:cs="宋体"/>
                <w:bCs/>
                <w:color w:val="auto"/>
                <w:sz w:val="24"/>
                <w:highlight w:val="none"/>
              </w:rPr>
            </w:pPr>
            <w:r>
              <w:rPr>
                <w:rFonts w:hint="eastAsia" w:ascii="宋体" w:hAnsi="宋体" w:cs="宋体"/>
                <w:color w:val="auto"/>
                <w:sz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919" w:type="dxa"/>
            <w:vMerge w:val="continue"/>
            <w:tcMar>
              <w:left w:w="57" w:type="dxa"/>
              <w:right w:w="57" w:type="dxa"/>
            </w:tcMar>
            <w:vAlign w:val="center"/>
          </w:tcPr>
          <w:p>
            <w:pPr>
              <w:spacing w:line="360" w:lineRule="auto"/>
              <w:rPr>
                <w:rFonts w:ascii="宋体" w:hAnsi="宋体" w:cs="宋体"/>
                <w:color w:val="auto"/>
                <w:sz w:val="24"/>
                <w:highlight w:val="none"/>
              </w:rPr>
            </w:pPr>
          </w:p>
        </w:tc>
        <w:tc>
          <w:tcPr>
            <w:tcW w:w="3691" w:type="dxa"/>
            <w:tcMar>
              <w:left w:w="57" w:type="dxa"/>
              <w:right w:w="57" w:type="dxa"/>
            </w:tcMar>
            <w:vAlign w:val="center"/>
          </w:tcPr>
          <w:p>
            <w:pPr>
              <w:spacing w:line="360" w:lineRule="auto"/>
              <w:jc w:val="center"/>
              <w:rPr>
                <w:rFonts w:ascii="宋体" w:hAnsi="宋体" w:cs="宋体"/>
                <w:bCs/>
                <w:color w:val="auto"/>
                <w:sz w:val="24"/>
                <w:highlight w:val="none"/>
              </w:rPr>
            </w:pPr>
            <w:r>
              <w:rPr>
                <w:rFonts w:hint="eastAsia" w:ascii="宋体" w:hAnsi="宋体" w:cs="宋体"/>
                <w:color w:val="auto"/>
                <w:sz w:val="24"/>
                <w:highlight w:val="none"/>
              </w:rPr>
              <w:t>质量保证期</w:t>
            </w:r>
          </w:p>
        </w:tc>
        <w:tc>
          <w:tcPr>
            <w:tcW w:w="4410" w:type="dxa"/>
            <w:vAlign w:val="center"/>
          </w:tcPr>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符合竞争性磋商文件“第二章 供应商须知  供应商须知前附表”1.3.4要求</w:t>
            </w:r>
          </w:p>
          <w:p>
            <w:pPr>
              <w:spacing w:line="360" w:lineRule="auto"/>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trPr>
        <w:tc>
          <w:tcPr>
            <w:tcW w:w="919" w:type="dxa"/>
            <w:vMerge w:val="continue"/>
            <w:tcMar>
              <w:left w:w="57" w:type="dxa"/>
              <w:right w:w="57" w:type="dxa"/>
            </w:tcMar>
            <w:vAlign w:val="center"/>
          </w:tcPr>
          <w:p>
            <w:pPr>
              <w:spacing w:line="360" w:lineRule="auto"/>
              <w:rPr>
                <w:rFonts w:ascii="宋体" w:hAnsi="宋体" w:cs="宋体"/>
                <w:color w:val="auto"/>
                <w:sz w:val="24"/>
                <w:highlight w:val="none"/>
              </w:rPr>
            </w:pPr>
          </w:p>
        </w:tc>
        <w:tc>
          <w:tcPr>
            <w:tcW w:w="3691" w:type="dxa"/>
            <w:tcMar>
              <w:left w:w="57" w:type="dxa"/>
              <w:right w:w="57" w:type="dxa"/>
            </w:tcMar>
            <w:vAlign w:val="center"/>
          </w:tcPr>
          <w:p>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其他实质性要求</w:t>
            </w:r>
          </w:p>
        </w:tc>
        <w:tc>
          <w:tcPr>
            <w:tcW w:w="4410" w:type="dxa"/>
            <w:vAlign w:val="center"/>
          </w:tcPr>
          <w:p>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符合竞争性磋商文件的其他实质性要求。</w:t>
            </w:r>
          </w:p>
        </w:tc>
      </w:tr>
    </w:tbl>
    <w:p>
      <w:pPr>
        <w:rPr>
          <w:rFonts w:ascii="宋体" w:hAnsi="宋体" w:cs="宋体"/>
          <w:color w:val="auto"/>
          <w:highlight w:val="none"/>
        </w:rPr>
      </w:pPr>
      <w:bookmarkStart w:id="570" w:name="_Toc3786"/>
    </w:p>
    <w:p>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注：（1）根据《民法总则》第七十四条规定，法人可以依法设立分支机构。法律、行政法规规定分支机构应当登记的，依照其规定。分支机构以自己的名义从事民事活动，产生的民事责任由法人承担；也可以先以该分支机构管理的财产承担，不足以承担的，由法人承担。</w:t>
      </w:r>
    </w:p>
    <w:p>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2）根据《〈政府采购法实施条例〉释义》，石油石化、电力、通信、银行、金融、保险、法律事务、咨询服务等有行业特殊情况的采购项目，取得营业执照的分支机构可以分公司名义参与投标，使用总公司的相关证明材料和资格文件，须提供总公司的针对本项目的资格授权文件。</w:t>
      </w:r>
    </w:p>
    <w:p>
      <w:pPr>
        <w:rPr>
          <w:rFonts w:ascii="宋体" w:hAnsi="宋体" w:cs="宋体"/>
          <w:color w:val="auto"/>
          <w:highlight w:val="none"/>
        </w:rPr>
      </w:pPr>
    </w:p>
    <w:p>
      <w:pPr>
        <w:spacing w:line="312" w:lineRule="auto"/>
        <w:jc w:val="left"/>
        <w:rPr>
          <w:rFonts w:ascii="宋体" w:hAnsi="宋体" w:cs="宋体"/>
          <w:bCs/>
          <w:color w:val="auto"/>
          <w:sz w:val="24"/>
          <w:highlight w:val="none"/>
        </w:rPr>
      </w:pPr>
      <w:bookmarkStart w:id="571" w:name="_Toc23690"/>
      <w:bookmarkStart w:id="572" w:name="_Toc30175"/>
      <w:r>
        <w:rPr>
          <w:rFonts w:hint="eastAsia" w:ascii="宋体" w:hAnsi="宋体" w:cs="宋体"/>
          <w:bCs/>
          <w:color w:val="auto"/>
          <w:sz w:val="24"/>
          <w:highlight w:val="none"/>
        </w:rPr>
        <w:t>（六）评审标准</w:t>
      </w:r>
      <w:bookmarkEnd w:id="570"/>
      <w:bookmarkEnd w:id="571"/>
      <w:bookmarkEnd w:id="572"/>
    </w:p>
    <w:p>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磋商小组将根据综合评分标准，分别对通过资格性审查、符合性审查且提交最后报价的供应商进行综合评分。具体评分标准如下：</w:t>
      </w:r>
    </w:p>
    <w:tbl>
      <w:tblPr>
        <w:tblStyle w:val="50"/>
        <w:tblW w:w="47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342"/>
        <w:gridCol w:w="6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2" w:type="pct"/>
            <w:vAlign w:val="center"/>
          </w:tcPr>
          <w:p>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Cs/>
                <w:color w:val="auto"/>
                <w:sz w:val="24"/>
                <w:highlight w:val="none"/>
              </w:rPr>
              <w:br w:type="page"/>
            </w:r>
            <w:r>
              <w:rPr>
                <w:rFonts w:hint="eastAsia" w:ascii="宋体" w:hAnsi="宋体" w:eastAsia="宋体" w:cs="宋体"/>
                <w:b/>
                <w:color w:val="auto"/>
                <w:sz w:val="24"/>
                <w:szCs w:val="24"/>
                <w:highlight w:val="none"/>
              </w:rPr>
              <w:t>评审因素</w:t>
            </w:r>
          </w:p>
        </w:tc>
        <w:tc>
          <w:tcPr>
            <w:tcW w:w="780" w:type="pct"/>
            <w:vAlign w:val="center"/>
          </w:tcPr>
          <w:p>
            <w:pPr>
              <w:pStyle w:val="302"/>
              <w:keepNext w:val="0"/>
              <w:keepLines w:val="0"/>
              <w:pageBreakBefore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3667" w:type="pct"/>
            <w:vAlign w:val="center"/>
          </w:tcPr>
          <w:p>
            <w:pPr>
              <w:pStyle w:val="302"/>
              <w:keepNext w:val="0"/>
              <w:keepLines w:val="0"/>
              <w:pageBreakBefore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52" w:type="pct"/>
            <w:vAlign w:val="center"/>
          </w:tcPr>
          <w:p>
            <w:pPr>
              <w:pStyle w:val="302"/>
              <w:keepNext w:val="0"/>
              <w:keepLines w:val="0"/>
              <w:pageBreakBefore w:val="0"/>
              <w:kinsoku/>
              <w:overflowPunct/>
              <w:autoSpaceDE/>
              <w:autoSpaceDN/>
              <w:bidi w:val="0"/>
              <w:adjustRightInd/>
              <w:snapToGrid/>
              <w:spacing w:line="360" w:lineRule="auto"/>
              <w:ind w:firstLine="0" w:firstLineChars="0"/>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投标报价部分（</w:t>
            </w:r>
            <w:r>
              <w:rPr>
                <w:rFonts w:hint="eastAsia" w:ascii="宋体" w:hAnsi="宋体" w:cs="宋体"/>
                <w:color w:val="auto"/>
                <w:spacing w:val="11"/>
                <w:sz w:val="24"/>
                <w:szCs w:val="24"/>
                <w:highlight w:val="none"/>
                <w:lang w:val="en-US" w:eastAsia="zh-CN"/>
              </w:rPr>
              <w:t>30</w:t>
            </w:r>
            <w:r>
              <w:rPr>
                <w:rFonts w:hint="eastAsia" w:ascii="宋体" w:hAnsi="宋体" w:eastAsia="宋体" w:cs="宋体"/>
                <w:color w:val="auto"/>
                <w:spacing w:val="11"/>
                <w:sz w:val="24"/>
                <w:szCs w:val="24"/>
                <w:highlight w:val="none"/>
              </w:rPr>
              <w:t>分）</w:t>
            </w:r>
          </w:p>
        </w:tc>
        <w:tc>
          <w:tcPr>
            <w:tcW w:w="780" w:type="pct"/>
            <w:vAlign w:val="center"/>
          </w:tcPr>
          <w:p>
            <w:pPr>
              <w:pStyle w:val="302"/>
              <w:keepNext w:val="0"/>
              <w:keepLines w:val="0"/>
              <w:pageBreakBefore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投标报价（</w:t>
            </w:r>
            <w:r>
              <w:rPr>
                <w:rFonts w:hint="eastAsia" w:ascii="宋体" w:hAnsi="宋体" w:cs="宋体"/>
                <w:color w:val="auto"/>
                <w:spacing w:val="11"/>
                <w:sz w:val="24"/>
                <w:szCs w:val="24"/>
                <w:highlight w:val="none"/>
                <w:lang w:val="en-US" w:eastAsia="zh-CN"/>
              </w:rPr>
              <w:t>3</w:t>
            </w:r>
            <w:r>
              <w:rPr>
                <w:rFonts w:hint="eastAsia" w:ascii="宋体" w:hAnsi="宋体" w:eastAsia="宋体" w:cs="宋体"/>
                <w:color w:val="auto"/>
                <w:spacing w:val="11"/>
                <w:sz w:val="24"/>
                <w:szCs w:val="24"/>
                <w:highlight w:val="none"/>
              </w:rPr>
              <w:t>0分）</w:t>
            </w:r>
          </w:p>
        </w:tc>
        <w:tc>
          <w:tcPr>
            <w:tcW w:w="3667" w:type="pct"/>
            <w:vAlign w:val="center"/>
          </w:tcPr>
          <w:p>
            <w:pPr>
              <w:keepNext w:val="0"/>
              <w:keepLines w:val="0"/>
              <w:pageBreakBefore w:val="0"/>
              <w:widowControl/>
              <w:kinsoku/>
              <w:overflowPunct/>
              <w:autoSpaceDE/>
              <w:autoSpaceDN/>
              <w:bidi w:val="0"/>
              <w:adjustRightInd/>
              <w:snapToGrid/>
              <w:spacing w:line="360" w:lineRule="auto"/>
              <w:jc w:val="left"/>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综合评分法中的价格分统一采用低价优先法计算，即满足竞争性磋商文件要求且最终报价最低的供应商的价格为磋商基准价，其价格分为满分</w:t>
            </w:r>
            <w:r>
              <w:rPr>
                <w:rFonts w:hint="eastAsia" w:ascii="宋体" w:hAnsi="宋体" w:cs="宋体"/>
                <w:color w:val="auto"/>
                <w:spacing w:val="11"/>
                <w:sz w:val="24"/>
                <w:szCs w:val="24"/>
                <w:highlight w:val="none"/>
                <w:lang w:val="en-US" w:eastAsia="zh-CN"/>
              </w:rPr>
              <w:t>3</w:t>
            </w:r>
            <w:r>
              <w:rPr>
                <w:rFonts w:hint="eastAsia" w:ascii="宋体" w:hAnsi="宋体" w:eastAsia="宋体" w:cs="宋体"/>
                <w:color w:val="auto"/>
                <w:spacing w:val="11"/>
                <w:sz w:val="24"/>
                <w:szCs w:val="24"/>
                <w:highlight w:val="none"/>
              </w:rPr>
              <w:t>0分。其他供应商的价格分统一按照下列公式计算：</w:t>
            </w:r>
          </w:p>
          <w:p>
            <w:pPr>
              <w:pStyle w:val="302"/>
              <w:keepNext w:val="0"/>
              <w:keepLines w:val="0"/>
              <w:pageBreakBefore w:val="0"/>
              <w:kinsoku/>
              <w:overflowPunct/>
              <w:autoSpaceDE/>
              <w:autoSpaceDN/>
              <w:bidi w:val="0"/>
              <w:adjustRightInd/>
              <w:snapToGrid/>
              <w:spacing w:line="360" w:lineRule="auto"/>
              <w:ind w:firstLine="524" w:firstLineChars="200"/>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投标报价得分=(评标基准价／最终报价)×</w:t>
            </w:r>
            <w:r>
              <w:rPr>
                <w:rFonts w:hint="eastAsia" w:ascii="宋体" w:hAnsi="宋体" w:cs="宋体"/>
                <w:color w:val="auto"/>
                <w:spacing w:val="11"/>
                <w:sz w:val="24"/>
                <w:szCs w:val="24"/>
                <w:highlight w:val="none"/>
                <w:lang w:val="en-US" w:eastAsia="zh-CN"/>
              </w:rPr>
              <w:t>3</w:t>
            </w:r>
            <w:r>
              <w:rPr>
                <w:rFonts w:hint="eastAsia" w:ascii="宋体" w:hAnsi="宋体" w:eastAsia="宋体" w:cs="宋体"/>
                <w:color w:val="auto"/>
                <w:spacing w:val="11"/>
                <w:sz w:val="24"/>
                <w:szCs w:val="24"/>
                <w:highlight w:val="none"/>
              </w:rPr>
              <w:t>0。</w:t>
            </w:r>
          </w:p>
          <w:p>
            <w:pPr>
              <w:pStyle w:val="302"/>
              <w:keepNext w:val="0"/>
              <w:keepLines w:val="0"/>
              <w:pageBreakBefore w:val="0"/>
              <w:kinsoku/>
              <w:overflowPunct/>
              <w:autoSpaceDE/>
              <w:autoSpaceDN/>
              <w:bidi w:val="0"/>
              <w:adjustRightInd/>
              <w:snapToGrid/>
              <w:spacing w:line="360" w:lineRule="auto"/>
              <w:ind w:firstLine="0" w:firstLineChars="0"/>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注：</w:t>
            </w:r>
          </w:p>
          <w:p>
            <w:pPr>
              <w:pStyle w:val="302"/>
              <w:keepNext w:val="0"/>
              <w:keepLines w:val="0"/>
              <w:pageBreakBefore w:val="0"/>
              <w:kinsoku/>
              <w:overflowPunct/>
              <w:autoSpaceDE/>
              <w:autoSpaceDN/>
              <w:bidi w:val="0"/>
              <w:adjustRightInd/>
              <w:snapToGrid/>
              <w:spacing w:line="360" w:lineRule="auto"/>
              <w:ind w:firstLine="0" w:firstLineChars="0"/>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lang w:val="en-US" w:eastAsia="zh-CN"/>
              </w:rPr>
              <w:t>1</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项目评审过程中，不得去掉最后报价中的最高报价和最低报价。</w:t>
            </w:r>
          </w:p>
          <w:p>
            <w:pPr>
              <w:pStyle w:val="302"/>
              <w:keepNext w:val="0"/>
              <w:keepLines w:val="0"/>
              <w:pageBreakBefore w:val="0"/>
              <w:kinsoku/>
              <w:overflowPunct/>
              <w:autoSpaceDE/>
              <w:autoSpaceDN/>
              <w:bidi w:val="0"/>
              <w:adjustRightInd/>
              <w:snapToGrid/>
              <w:spacing w:line="360" w:lineRule="auto"/>
              <w:ind w:firstLine="0" w:firstLineChars="0"/>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lang w:val="en-US" w:eastAsia="zh-CN"/>
              </w:rPr>
              <w:t>2</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计算按四舍五入法则。保留小数点后两位。</w:t>
            </w:r>
          </w:p>
          <w:p>
            <w:pPr>
              <w:pStyle w:val="302"/>
              <w:keepNext w:val="0"/>
              <w:keepLines w:val="0"/>
              <w:pageBreakBefore w:val="0"/>
              <w:kinsoku/>
              <w:overflowPunct/>
              <w:autoSpaceDE/>
              <w:autoSpaceDN/>
              <w:bidi w:val="0"/>
              <w:adjustRightInd/>
              <w:snapToGrid/>
              <w:spacing w:line="360" w:lineRule="auto"/>
              <w:ind w:firstLine="0" w:firstLineChars="0"/>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lang w:val="en-US" w:eastAsia="zh-CN"/>
              </w:rPr>
              <w:t>3</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根据《关于进一步加大政府采购支持中小企业力度的通知》（财库[2022]19号）的规定，对符合规定的小型和微型企业产品的价格给予</w:t>
            </w:r>
            <w:r>
              <w:rPr>
                <w:rFonts w:hint="eastAsia" w:ascii="宋体" w:hAnsi="宋体" w:eastAsia="宋体" w:cs="宋体"/>
                <w:b/>
                <w:bCs/>
                <w:color w:val="auto"/>
                <w:spacing w:val="11"/>
                <w:sz w:val="24"/>
                <w:szCs w:val="24"/>
                <w:highlight w:val="none"/>
              </w:rPr>
              <w:t>10%</w:t>
            </w:r>
            <w:r>
              <w:rPr>
                <w:rFonts w:hint="eastAsia" w:ascii="宋体" w:hAnsi="宋体" w:eastAsia="宋体" w:cs="宋体"/>
                <w:color w:val="auto"/>
                <w:spacing w:val="11"/>
                <w:sz w:val="24"/>
                <w:szCs w:val="24"/>
                <w:highlight w:val="none"/>
              </w:rPr>
              <w:t>的扣除，用扣除后的价格参与评审。小微企业必须提供《中小企业声明函》，否则评审时不予认可。（监狱、残疾人福利性企业视同小微企业，价格扣除优惠只享受一次，不得重复享受。）</w:t>
            </w:r>
          </w:p>
          <w:p>
            <w:pPr>
              <w:pStyle w:val="302"/>
              <w:keepNext w:val="0"/>
              <w:keepLines w:val="0"/>
              <w:pageBreakBefore w:val="0"/>
              <w:kinsoku/>
              <w:overflowPunct/>
              <w:autoSpaceDE/>
              <w:autoSpaceDN/>
              <w:bidi w:val="0"/>
              <w:adjustRightInd/>
              <w:snapToGrid/>
              <w:spacing w:line="360" w:lineRule="auto"/>
              <w:ind w:firstLine="0" w:firstLineChars="0"/>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lang w:val="en-US" w:eastAsia="zh-CN"/>
              </w:rPr>
              <w:t>4)</w:t>
            </w:r>
            <w:r>
              <w:rPr>
                <w:rFonts w:hint="eastAsia" w:ascii="宋体" w:hAnsi="宋体" w:eastAsia="宋体" w:cs="宋体"/>
                <w:color w:val="auto"/>
                <w:spacing w:val="11"/>
                <w:sz w:val="24"/>
                <w:szCs w:val="24"/>
                <w:highlight w:val="none"/>
              </w:rPr>
              <w:t>评审小组认为供应商的报价明显低于其他通过初步评审的供应商的报价，有可能影响产品质量或者不能诚信履约的，应当要求其在评审过程合理的时间内提供书面说明或相关证明材料；供应商不能证明其报价合理性的，评审小组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52" w:type="pct"/>
            <w:vMerge w:val="restart"/>
            <w:vAlign w:val="center"/>
          </w:tcPr>
          <w:p>
            <w:pPr>
              <w:pStyle w:val="302"/>
              <w:keepNext w:val="0"/>
              <w:keepLines w:val="0"/>
              <w:pageBreakBefore w:val="0"/>
              <w:kinsoku/>
              <w:overflowPunct/>
              <w:autoSpaceDE/>
              <w:autoSpaceDN/>
              <w:bidi w:val="0"/>
              <w:adjustRightInd/>
              <w:snapToGrid/>
              <w:spacing w:line="360" w:lineRule="auto"/>
              <w:ind w:firstLine="0" w:firstLineChars="0"/>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商务部分(</w:t>
            </w:r>
            <w:r>
              <w:rPr>
                <w:rFonts w:hint="eastAsia" w:ascii="宋体" w:hAnsi="宋体" w:cs="宋体"/>
                <w:color w:val="auto"/>
                <w:spacing w:val="11"/>
                <w:sz w:val="24"/>
                <w:szCs w:val="24"/>
                <w:highlight w:val="none"/>
                <w:lang w:val="en-US" w:eastAsia="zh-CN"/>
              </w:rPr>
              <w:t>20</w:t>
            </w:r>
            <w:r>
              <w:rPr>
                <w:rFonts w:hint="eastAsia" w:ascii="宋体" w:hAnsi="宋体" w:eastAsia="宋体" w:cs="宋体"/>
                <w:color w:val="auto"/>
                <w:spacing w:val="11"/>
                <w:sz w:val="24"/>
                <w:szCs w:val="24"/>
                <w:highlight w:val="none"/>
              </w:rPr>
              <w:t>分)</w:t>
            </w:r>
          </w:p>
        </w:tc>
        <w:tc>
          <w:tcPr>
            <w:tcW w:w="780" w:type="pct"/>
            <w:vAlign w:val="center"/>
          </w:tcPr>
          <w:p>
            <w:pPr>
              <w:keepNext w:val="0"/>
              <w:keepLines w:val="0"/>
              <w:pageBreakBefore w:val="0"/>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w:t>
            </w:r>
          </w:p>
          <w:p>
            <w:pPr>
              <w:keepNext w:val="0"/>
              <w:keepLines w:val="0"/>
              <w:pageBreakBefore w:val="0"/>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pPr>
              <w:keepNext w:val="0"/>
              <w:keepLines w:val="0"/>
              <w:pageBreakBefore w:val="0"/>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r>
              <w:rPr>
                <w:rFonts w:hint="eastAsia" w:ascii="宋体" w:hAnsi="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分）</w:t>
            </w:r>
          </w:p>
        </w:tc>
        <w:tc>
          <w:tcPr>
            <w:tcW w:w="3667" w:type="pct"/>
            <w:vAlign w:val="center"/>
          </w:tcPr>
          <w:p>
            <w:pPr>
              <w:keepNext w:val="0"/>
              <w:keepLines w:val="0"/>
              <w:pageBreakBefore w:val="0"/>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20</w:t>
            </w:r>
            <w:r>
              <w:rPr>
                <w:rFonts w:hint="eastAsia" w:ascii="宋体" w:hAnsi="宋体" w:cs="宋体"/>
                <w:color w:val="auto"/>
                <w:spacing w:val="11"/>
                <w:sz w:val="24"/>
                <w:szCs w:val="24"/>
                <w:highlight w:val="none"/>
                <w:lang w:val="en-US" w:eastAsia="zh-CN"/>
              </w:rPr>
              <w:t>18</w:t>
            </w:r>
            <w:r>
              <w:rPr>
                <w:rFonts w:hint="eastAsia" w:ascii="宋体" w:hAnsi="宋体" w:eastAsia="宋体" w:cs="宋体"/>
                <w:color w:val="auto"/>
                <w:spacing w:val="11"/>
                <w:sz w:val="24"/>
                <w:szCs w:val="24"/>
                <w:highlight w:val="none"/>
                <w:lang w:val="en-US" w:eastAsia="zh-CN"/>
              </w:rPr>
              <w:t>年1月1日以来（以合同签订时间为准），签订</w:t>
            </w:r>
            <w:r>
              <w:rPr>
                <w:rFonts w:hint="eastAsia" w:ascii="宋体" w:hAnsi="宋体" w:cs="宋体"/>
                <w:color w:val="auto"/>
                <w:spacing w:val="11"/>
                <w:sz w:val="24"/>
                <w:szCs w:val="24"/>
                <w:highlight w:val="none"/>
                <w:lang w:val="en-US" w:eastAsia="zh-CN"/>
              </w:rPr>
              <w:t>类似项目</w:t>
            </w:r>
            <w:r>
              <w:rPr>
                <w:rFonts w:hint="eastAsia" w:ascii="宋体" w:hAnsi="宋体" w:eastAsia="宋体" w:cs="宋体"/>
                <w:color w:val="auto"/>
                <w:spacing w:val="11"/>
                <w:sz w:val="24"/>
                <w:szCs w:val="24"/>
                <w:highlight w:val="none"/>
                <w:lang w:val="en-US" w:eastAsia="zh-CN"/>
              </w:rPr>
              <w:t>业绩的，每提供一份完整业绩合同得</w:t>
            </w:r>
            <w:r>
              <w:rPr>
                <w:rFonts w:hint="eastAsia" w:ascii="宋体" w:hAnsi="宋体" w:cs="宋体"/>
                <w:color w:val="auto"/>
                <w:spacing w:val="11"/>
                <w:sz w:val="24"/>
                <w:szCs w:val="24"/>
                <w:highlight w:val="none"/>
                <w:lang w:val="en-US" w:eastAsia="zh-CN"/>
              </w:rPr>
              <w:t>3</w:t>
            </w:r>
            <w:r>
              <w:rPr>
                <w:rFonts w:hint="eastAsia" w:ascii="宋体" w:hAnsi="宋体" w:eastAsia="宋体" w:cs="宋体"/>
                <w:color w:val="auto"/>
                <w:spacing w:val="11"/>
                <w:sz w:val="24"/>
                <w:szCs w:val="24"/>
                <w:highlight w:val="none"/>
                <w:lang w:val="en-US" w:eastAsia="zh-CN"/>
              </w:rPr>
              <w:t>分，最多得</w:t>
            </w:r>
            <w:r>
              <w:rPr>
                <w:rFonts w:hint="eastAsia" w:ascii="宋体" w:hAnsi="宋体" w:cs="宋体"/>
                <w:color w:val="auto"/>
                <w:spacing w:val="11"/>
                <w:sz w:val="24"/>
                <w:szCs w:val="24"/>
                <w:highlight w:val="none"/>
                <w:lang w:val="en-US" w:eastAsia="zh-CN"/>
              </w:rPr>
              <w:t>12</w:t>
            </w:r>
            <w:r>
              <w:rPr>
                <w:rFonts w:hint="eastAsia" w:ascii="宋体" w:hAnsi="宋体" w:eastAsia="宋体" w:cs="宋体"/>
                <w:color w:val="auto"/>
                <w:spacing w:val="11"/>
                <w:sz w:val="24"/>
                <w:szCs w:val="24"/>
                <w:highlight w:val="none"/>
                <w:lang w:val="en-US" w:eastAsia="zh-CN"/>
              </w:rPr>
              <w:t>分。</w:t>
            </w:r>
          </w:p>
          <w:p>
            <w:pPr>
              <w:keepNext w:val="0"/>
              <w:keepLines w:val="0"/>
              <w:pageBreakBefore w:val="0"/>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lang w:val="en-US" w:eastAsia="zh-CN"/>
              </w:rPr>
              <w:t>注：</w:t>
            </w:r>
            <w:r>
              <w:rPr>
                <w:rFonts w:hint="eastAsia" w:ascii="宋体" w:hAnsi="宋体" w:cs="宋体"/>
                <w:color w:val="auto"/>
                <w:spacing w:val="11"/>
                <w:sz w:val="24"/>
                <w:szCs w:val="24"/>
                <w:highlight w:val="none"/>
                <w:lang w:val="en-US" w:eastAsia="zh-CN"/>
              </w:rPr>
              <w:t>响应</w:t>
            </w:r>
            <w:r>
              <w:rPr>
                <w:rFonts w:hint="eastAsia" w:ascii="宋体" w:hAnsi="宋体" w:eastAsia="宋体" w:cs="宋体"/>
                <w:color w:val="auto"/>
                <w:spacing w:val="11"/>
                <w:sz w:val="24"/>
                <w:szCs w:val="24"/>
                <w:highlight w:val="none"/>
                <w:lang w:val="en-US" w:eastAsia="zh-CN"/>
              </w:rPr>
              <w:t>文件中附中标通知书+业绩合同复印件，否则不得分。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52" w:type="pct"/>
            <w:vMerge w:val="continue"/>
            <w:vAlign w:val="center"/>
          </w:tcPr>
          <w:p>
            <w:pPr>
              <w:pStyle w:val="302"/>
              <w:keepNext w:val="0"/>
              <w:keepLines w:val="0"/>
              <w:pageBreakBefore w:val="0"/>
              <w:kinsoku/>
              <w:overflowPunct/>
              <w:autoSpaceDE/>
              <w:autoSpaceDN/>
              <w:bidi w:val="0"/>
              <w:adjustRightInd/>
              <w:snapToGrid/>
              <w:spacing w:line="360" w:lineRule="auto"/>
              <w:ind w:firstLine="0" w:firstLineChars="0"/>
              <w:textAlignment w:val="auto"/>
              <w:rPr>
                <w:rFonts w:hint="eastAsia" w:ascii="宋体" w:hAnsi="宋体" w:eastAsia="宋体" w:cs="宋体"/>
                <w:color w:val="auto"/>
                <w:spacing w:val="11"/>
                <w:sz w:val="24"/>
                <w:szCs w:val="24"/>
                <w:highlight w:val="none"/>
              </w:rPr>
            </w:pPr>
          </w:p>
        </w:tc>
        <w:tc>
          <w:tcPr>
            <w:tcW w:w="78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售后服务</w:t>
            </w:r>
            <w:r>
              <w:rPr>
                <w:rFonts w:hint="eastAsia" w:ascii="宋体" w:hAnsi="宋体" w:cs="宋体"/>
                <w:color w:val="auto"/>
                <w:sz w:val="24"/>
                <w:szCs w:val="24"/>
                <w:highlight w:val="none"/>
                <w:lang w:val="en-US" w:eastAsia="zh-CN"/>
              </w:rPr>
              <w:t>（8分）</w:t>
            </w:r>
          </w:p>
        </w:tc>
        <w:tc>
          <w:tcPr>
            <w:tcW w:w="3667" w:type="pc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pacing w:val="11"/>
                <w:sz w:val="24"/>
                <w:szCs w:val="24"/>
                <w:highlight w:val="none"/>
                <w:lang w:val="en-US" w:eastAsia="zh-CN"/>
              </w:rPr>
            </w:pPr>
            <w:r>
              <w:rPr>
                <w:rFonts w:hint="eastAsia" w:ascii="宋体" w:hAnsi="宋体" w:cs="宋体"/>
                <w:color w:val="auto"/>
                <w:spacing w:val="11"/>
                <w:sz w:val="24"/>
                <w:szCs w:val="24"/>
                <w:highlight w:val="none"/>
                <w:lang w:val="en-US" w:eastAsia="zh-CN"/>
              </w:rPr>
              <w:t>根据供应商的售后服务包括但不仅限于售后服务方案、售后人员配备情况、技术服务保障、培训计划、售后服务响应时间等内容进行打分：</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textAlignment w:val="auto"/>
              <w:rPr>
                <w:rStyle w:val="180"/>
                <w:rFonts w:ascii="宋体" w:hAnsi="宋体" w:cs="宋体"/>
                <w:sz w:val="24"/>
              </w:rPr>
            </w:pPr>
            <w:r>
              <w:rPr>
                <w:rStyle w:val="180"/>
                <w:rFonts w:ascii="宋体" w:hAnsi="宋体" w:cs="宋体"/>
                <w:sz w:val="24"/>
              </w:rPr>
              <w:t>解决问题时间及时，售后服务人员配置完善，</w:t>
            </w:r>
            <w:r>
              <w:rPr>
                <w:rStyle w:val="180"/>
                <w:rFonts w:hint="eastAsia" w:ascii="宋体" w:hAnsi="宋体" w:cs="宋体"/>
                <w:sz w:val="24"/>
              </w:rPr>
              <w:t>技术</w:t>
            </w:r>
            <w:r>
              <w:rPr>
                <w:rStyle w:val="180"/>
                <w:rFonts w:ascii="宋体" w:hAnsi="宋体" w:cs="宋体"/>
                <w:sz w:val="24"/>
              </w:rPr>
              <w:t>服务内容齐全，可行性高，得</w:t>
            </w:r>
            <w:r>
              <w:rPr>
                <w:rStyle w:val="180"/>
                <w:rFonts w:hint="eastAsia" w:ascii="宋体" w:hAnsi="宋体" w:cs="宋体"/>
                <w:sz w:val="24"/>
              </w:rPr>
              <w:t>8</w:t>
            </w:r>
            <w:r>
              <w:rPr>
                <w:rStyle w:val="180"/>
                <w:rFonts w:ascii="宋体" w:hAnsi="宋体" w:cs="宋体"/>
                <w:sz w:val="24"/>
              </w:rPr>
              <w:t xml:space="preserve">分； </w:t>
            </w:r>
          </w:p>
          <w:p>
            <w:pPr>
              <w:numPr>
                <w:ilvl w:val="0"/>
                <w:numId w:val="25"/>
              </w:numPr>
              <w:spacing w:line="360" w:lineRule="auto"/>
              <w:rPr>
                <w:rStyle w:val="180"/>
                <w:rFonts w:ascii="宋体" w:hAnsi="宋体" w:cs="宋体"/>
                <w:sz w:val="24"/>
              </w:rPr>
            </w:pPr>
            <w:r>
              <w:rPr>
                <w:rStyle w:val="180"/>
                <w:rFonts w:ascii="宋体" w:hAnsi="宋体" w:cs="宋体"/>
                <w:sz w:val="24"/>
              </w:rPr>
              <w:t>解决问题时间、售后服务人员配置、</w:t>
            </w:r>
            <w:r>
              <w:rPr>
                <w:rStyle w:val="180"/>
                <w:rFonts w:hint="eastAsia" w:ascii="宋体" w:hAnsi="宋体" w:cs="宋体"/>
                <w:sz w:val="24"/>
              </w:rPr>
              <w:t>技术</w:t>
            </w:r>
            <w:r>
              <w:rPr>
                <w:rStyle w:val="180"/>
                <w:rFonts w:ascii="宋体" w:hAnsi="宋体" w:cs="宋体"/>
                <w:sz w:val="24"/>
              </w:rPr>
              <w:t>服务服务内容可行性较高，得</w:t>
            </w:r>
            <w:r>
              <w:rPr>
                <w:rStyle w:val="180"/>
                <w:rFonts w:hint="eastAsia" w:ascii="宋体" w:hAnsi="宋体" w:cs="宋体"/>
                <w:sz w:val="24"/>
              </w:rPr>
              <w:t>5</w:t>
            </w:r>
            <w:r>
              <w:rPr>
                <w:rStyle w:val="180"/>
                <w:rFonts w:ascii="宋体" w:hAnsi="宋体" w:cs="宋体"/>
                <w:sz w:val="24"/>
              </w:rPr>
              <w:t xml:space="preserve">分； </w:t>
            </w:r>
          </w:p>
          <w:p>
            <w:pPr>
              <w:numPr>
                <w:ilvl w:val="0"/>
                <w:numId w:val="25"/>
              </w:numPr>
              <w:spacing w:line="360" w:lineRule="auto"/>
              <w:rPr>
                <w:rStyle w:val="180"/>
                <w:rFonts w:ascii="宋体" w:hAnsi="宋体" w:cs="宋体"/>
                <w:sz w:val="24"/>
              </w:rPr>
            </w:pPr>
            <w:r>
              <w:rPr>
                <w:rStyle w:val="180"/>
                <w:rFonts w:ascii="宋体" w:hAnsi="宋体" w:cs="宋体"/>
                <w:sz w:val="24"/>
              </w:rPr>
              <w:t>解决问题时间、售后服务人员配置、</w:t>
            </w:r>
            <w:r>
              <w:rPr>
                <w:rStyle w:val="180"/>
                <w:rFonts w:hint="eastAsia" w:ascii="宋体" w:hAnsi="宋体" w:cs="宋体"/>
                <w:sz w:val="24"/>
              </w:rPr>
              <w:t>技术</w:t>
            </w:r>
            <w:r>
              <w:rPr>
                <w:rStyle w:val="180"/>
                <w:rFonts w:ascii="宋体" w:hAnsi="宋体" w:cs="宋体"/>
                <w:sz w:val="24"/>
              </w:rPr>
              <w:t>服务服务内容可行性</w:t>
            </w:r>
            <w:r>
              <w:rPr>
                <w:rStyle w:val="180"/>
                <w:rFonts w:hint="eastAsia" w:ascii="宋体" w:hAnsi="宋体" w:cs="宋体"/>
                <w:sz w:val="24"/>
              </w:rPr>
              <w:t>一般</w:t>
            </w:r>
            <w:r>
              <w:rPr>
                <w:rStyle w:val="180"/>
                <w:rFonts w:ascii="宋体" w:hAnsi="宋体" w:cs="宋体"/>
                <w:sz w:val="24"/>
              </w:rPr>
              <w:t>，得</w:t>
            </w:r>
            <w:r>
              <w:rPr>
                <w:rStyle w:val="180"/>
                <w:rFonts w:hint="eastAsia" w:ascii="宋体" w:hAnsi="宋体" w:cs="宋体"/>
                <w:sz w:val="24"/>
              </w:rPr>
              <w:t>3</w:t>
            </w:r>
            <w:r>
              <w:rPr>
                <w:rStyle w:val="180"/>
                <w:rFonts w:ascii="宋体" w:hAnsi="宋体" w:cs="宋体"/>
                <w:sz w:val="24"/>
              </w:rPr>
              <w:t xml:space="preserve">分； </w:t>
            </w:r>
          </w:p>
          <w:p>
            <w:pPr>
              <w:numPr>
                <w:ilvl w:val="0"/>
                <w:numId w:val="25"/>
              </w:numPr>
              <w:spacing w:line="360" w:lineRule="auto"/>
              <w:rPr>
                <w:rStyle w:val="180"/>
                <w:rFonts w:ascii="宋体" w:hAnsi="宋体" w:cs="宋体"/>
                <w:sz w:val="24"/>
              </w:rPr>
            </w:pPr>
            <w:r>
              <w:rPr>
                <w:rStyle w:val="180"/>
                <w:rFonts w:ascii="宋体" w:hAnsi="宋体" w:cs="宋体"/>
                <w:sz w:val="24"/>
              </w:rPr>
              <w:t>解决问题时间、售后服务人员配置、</w:t>
            </w:r>
            <w:r>
              <w:rPr>
                <w:rStyle w:val="180"/>
                <w:rFonts w:hint="eastAsia" w:ascii="宋体" w:hAnsi="宋体" w:cs="宋体"/>
                <w:sz w:val="24"/>
              </w:rPr>
              <w:t>技术</w:t>
            </w:r>
            <w:r>
              <w:rPr>
                <w:rStyle w:val="180"/>
                <w:rFonts w:ascii="宋体" w:hAnsi="宋体" w:cs="宋体"/>
                <w:sz w:val="24"/>
              </w:rPr>
              <w:t>服务服务内容可行性差，得</w:t>
            </w:r>
            <w:r>
              <w:rPr>
                <w:rStyle w:val="180"/>
                <w:rFonts w:hint="eastAsia" w:ascii="宋体" w:hAnsi="宋体" w:cs="宋体"/>
                <w:sz w:val="24"/>
              </w:rPr>
              <w:t>1</w:t>
            </w:r>
            <w:r>
              <w:rPr>
                <w:rStyle w:val="180"/>
                <w:rFonts w:ascii="宋体" w:hAnsi="宋体" w:cs="宋体"/>
                <w:sz w:val="24"/>
              </w:rPr>
              <w:t xml:space="preserve">分；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rPr>
            </w:pPr>
            <w:r>
              <w:rPr>
                <w:rStyle w:val="180"/>
                <w:rFonts w:hint="eastAsia" w:ascii="宋体" w:hAnsi="宋体" w:cs="宋体"/>
                <w:sz w:val="24"/>
              </w:rPr>
              <w:t>4</w:t>
            </w:r>
            <w:r>
              <w:rPr>
                <w:rStyle w:val="180"/>
                <w:rFonts w:ascii="宋体" w:hAnsi="宋体" w:cs="宋体"/>
                <w:sz w:val="24"/>
              </w:rPr>
              <w:t>.未提供售后服务方案的不得分。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2" w:type="pct"/>
            <w:vMerge w:val="restart"/>
            <w:vAlign w:val="center"/>
          </w:tcPr>
          <w:p>
            <w:pPr>
              <w:keepNext w:val="0"/>
              <w:keepLines w:val="0"/>
              <w:pageBreakBefore w:val="0"/>
              <w:kinsoku/>
              <w:overflowPunct/>
              <w:autoSpaceDE/>
              <w:autoSpaceDN/>
              <w:bidi w:val="0"/>
              <w:adjustRightInd/>
              <w:snapToGrid/>
              <w:spacing w:line="360" w:lineRule="auto"/>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技术部分（</w:t>
            </w:r>
            <w:r>
              <w:rPr>
                <w:rFonts w:hint="eastAsia" w:ascii="宋体" w:hAnsi="宋体" w:cs="宋体"/>
                <w:color w:val="auto"/>
                <w:spacing w:val="11"/>
                <w:sz w:val="24"/>
                <w:szCs w:val="24"/>
                <w:highlight w:val="none"/>
                <w:lang w:val="en-US" w:eastAsia="zh-CN"/>
              </w:rPr>
              <w:t>50</w:t>
            </w:r>
            <w:r>
              <w:rPr>
                <w:rFonts w:hint="eastAsia" w:ascii="宋体" w:hAnsi="宋体" w:eastAsia="宋体" w:cs="宋体"/>
                <w:color w:val="auto"/>
                <w:spacing w:val="11"/>
                <w:sz w:val="24"/>
                <w:szCs w:val="24"/>
                <w:highlight w:val="none"/>
              </w:rPr>
              <w:t>分）</w:t>
            </w:r>
          </w:p>
        </w:tc>
        <w:tc>
          <w:tcPr>
            <w:tcW w:w="780" w:type="pct"/>
            <w:vAlign w:val="center"/>
          </w:tcPr>
          <w:p>
            <w:pPr>
              <w:pStyle w:val="302"/>
              <w:keepNext w:val="0"/>
              <w:keepLines w:val="0"/>
              <w:pageBreakBefore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技术指标响</w:t>
            </w:r>
          </w:p>
          <w:p>
            <w:pPr>
              <w:pStyle w:val="302"/>
              <w:keepNext w:val="0"/>
              <w:keepLines w:val="0"/>
              <w:pageBreakBefore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1"/>
                <w:sz w:val="24"/>
                <w:szCs w:val="24"/>
                <w:highlight w:val="none"/>
                <w:lang w:val="en-US" w:eastAsia="zh-CN"/>
              </w:rPr>
              <w:t>4</w:t>
            </w:r>
            <w:r>
              <w:rPr>
                <w:rFonts w:hint="eastAsia" w:ascii="宋体" w:hAnsi="宋体" w:cs="宋体"/>
                <w:color w:val="auto"/>
                <w:spacing w:val="11"/>
                <w:sz w:val="24"/>
                <w:szCs w:val="24"/>
                <w:highlight w:val="none"/>
                <w:lang w:val="en-US" w:eastAsia="zh-CN"/>
              </w:rPr>
              <w:t>5</w:t>
            </w:r>
            <w:r>
              <w:rPr>
                <w:rFonts w:hint="eastAsia" w:ascii="宋体" w:hAnsi="宋体" w:eastAsia="宋体" w:cs="宋体"/>
                <w:color w:val="auto"/>
                <w:spacing w:val="11"/>
                <w:sz w:val="24"/>
                <w:szCs w:val="24"/>
                <w:highlight w:val="none"/>
              </w:rPr>
              <w:t>分）</w:t>
            </w:r>
          </w:p>
        </w:tc>
        <w:tc>
          <w:tcPr>
            <w:tcW w:w="3667" w:type="pct"/>
            <w:vAlign w:val="center"/>
          </w:tcPr>
          <w:p>
            <w:pPr>
              <w:pStyle w:val="302"/>
              <w:keepNext w:val="0"/>
              <w:keepLines w:val="0"/>
              <w:pageBreakBefore w:val="0"/>
              <w:kinsoku/>
              <w:overflowPunct/>
              <w:autoSpaceDE/>
              <w:autoSpaceDN/>
              <w:bidi w:val="0"/>
              <w:adjustRightInd/>
              <w:snapToGrid/>
              <w:spacing w:line="360" w:lineRule="auto"/>
              <w:ind w:firstLine="0" w:firstLineChars="0"/>
              <w:textAlignment w:val="auto"/>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评标委员会将根据供应商的提供的相关证明资料，如不满足竞争性磋商文件要求，扣除相应的分值。</w:t>
            </w:r>
          </w:p>
          <w:p>
            <w:pPr>
              <w:pStyle w:val="302"/>
              <w:keepNext w:val="0"/>
              <w:keepLines w:val="0"/>
              <w:pageBreakBefore w:val="0"/>
              <w:kinsoku/>
              <w:overflowPunct/>
              <w:autoSpaceDE/>
              <w:autoSpaceDN/>
              <w:bidi w:val="0"/>
              <w:adjustRightInd/>
              <w:snapToGrid/>
              <w:spacing w:line="360" w:lineRule="auto"/>
              <w:ind w:firstLine="0" w:firstLineChars="0"/>
              <w:textAlignment w:val="auto"/>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1.完全满足或优于采购需求各项技术参数要求的得</w:t>
            </w:r>
            <w:r>
              <w:rPr>
                <w:rFonts w:hint="eastAsia" w:ascii="宋体" w:hAnsi="宋体" w:cs="宋体"/>
                <w:color w:val="auto"/>
                <w:spacing w:val="11"/>
                <w:sz w:val="24"/>
                <w:szCs w:val="24"/>
                <w:highlight w:val="none"/>
                <w:lang w:val="en-US" w:eastAsia="zh-CN"/>
              </w:rPr>
              <w:t>45</w:t>
            </w:r>
            <w:r>
              <w:rPr>
                <w:rFonts w:hint="eastAsia" w:ascii="宋体" w:hAnsi="宋体" w:eastAsia="宋体" w:cs="宋体"/>
                <w:color w:val="auto"/>
                <w:spacing w:val="11"/>
                <w:sz w:val="24"/>
                <w:szCs w:val="24"/>
                <w:highlight w:val="none"/>
                <w:lang w:val="en-US" w:eastAsia="zh-CN"/>
              </w:rPr>
              <w:t>分。</w:t>
            </w:r>
          </w:p>
          <w:p>
            <w:pPr>
              <w:pStyle w:val="302"/>
              <w:keepNext w:val="0"/>
              <w:keepLines w:val="0"/>
              <w:pageBreakBefore w:val="0"/>
              <w:kinsoku/>
              <w:overflowPunct/>
              <w:autoSpaceDE/>
              <w:autoSpaceDN/>
              <w:bidi w:val="0"/>
              <w:adjustRightInd/>
              <w:snapToGrid/>
              <w:spacing w:line="360" w:lineRule="auto"/>
              <w:ind w:firstLine="0" w:firstLineChars="0"/>
              <w:textAlignment w:val="auto"/>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2.采购需求技术参数中标记“</w:t>
            </w:r>
            <w:r>
              <w:rPr>
                <w:rFonts w:hint="eastAsia" w:ascii="宋体" w:hAnsi="宋体" w:cs="宋体"/>
                <w:color w:val="auto"/>
                <w:spacing w:val="11"/>
                <w:sz w:val="24"/>
                <w:szCs w:val="24"/>
                <w:highlight w:val="none"/>
                <w:lang w:val="en-US" w:eastAsia="zh-CN"/>
              </w:rPr>
              <w:t>*</w:t>
            </w:r>
            <w:r>
              <w:rPr>
                <w:rFonts w:hint="eastAsia" w:ascii="宋体" w:hAnsi="宋体" w:eastAsia="宋体" w:cs="宋体"/>
                <w:color w:val="auto"/>
                <w:spacing w:val="11"/>
                <w:sz w:val="24"/>
                <w:szCs w:val="24"/>
                <w:highlight w:val="none"/>
                <w:lang w:val="en-US" w:eastAsia="zh-CN"/>
              </w:rPr>
              <w:t>”的条款，一项不满足扣</w:t>
            </w:r>
            <w:r>
              <w:rPr>
                <w:rFonts w:hint="eastAsia" w:ascii="宋体" w:hAnsi="宋体" w:cs="宋体"/>
                <w:color w:val="auto"/>
                <w:spacing w:val="11"/>
                <w:sz w:val="24"/>
                <w:szCs w:val="24"/>
                <w:highlight w:val="none"/>
                <w:lang w:val="en-US" w:eastAsia="zh-CN"/>
              </w:rPr>
              <w:t>2</w:t>
            </w:r>
            <w:r>
              <w:rPr>
                <w:rFonts w:hint="eastAsia" w:ascii="宋体" w:hAnsi="宋体" w:eastAsia="宋体" w:cs="宋体"/>
                <w:color w:val="auto"/>
                <w:spacing w:val="11"/>
                <w:sz w:val="24"/>
                <w:szCs w:val="24"/>
                <w:highlight w:val="none"/>
                <w:lang w:val="en-US" w:eastAsia="zh-CN"/>
              </w:rPr>
              <w:t>分。</w:t>
            </w:r>
          </w:p>
          <w:p>
            <w:pPr>
              <w:pStyle w:val="302"/>
              <w:keepNext w:val="0"/>
              <w:keepLines w:val="0"/>
              <w:pageBreakBefore w:val="0"/>
              <w:kinsoku/>
              <w:overflowPunct/>
              <w:autoSpaceDE/>
              <w:autoSpaceDN/>
              <w:bidi w:val="0"/>
              <w:adjustRightInd/>
              <w:snapToGrid/>
              <w:spacing w:line="360" w:lineRule="auto"/>
              <w:ind w:firstLine="0" w:firstLineChars="0"/>
              <w:textAlignment w:val="auto"/>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3.采购需求技术参数未标记“</w:t>
            </w:r>
            <w:r>
              <w:rPr>
                <w:rFonts w:hint="eastAsia" w:ascii="宋体" w:hAnsi="宋体" w:cs="宋体"/>
                <w:color w:val="auto"/>
                <w:spacing w:val="11"/>
                <w:sz w:val="24"/>
                <w:szCs w:val="24"/>
                <w:highlight w:val="none"/>
                <w:lang w:val="en-US" w:eastAsia="zh-CN"/>
              </w:rPr>
              <w:t>*</w:t>
            </w:r>
            <w:r>
              <w:rPr>
                <w:rFonts w:hint="eastAsia" w:ascii="宋体" w:hAnsi="宋体" w:eastAsia="宋体" w:cs="宋体"/>
                <w:color w:val="auto"/>
                <w:spacing w:val="11"/>
                <w:sz w:val="24"/>
                <w:szCs w:val="24"/>
                <w:highlight w:val="none"/>
                <w:lang w:val="en-US" w:eastAsia="zh-CN"/>
              </w:rPr>
              <w:t>”号的条款，一项不满足扣</w:t>
            </w:r>
            <w:r>
              <w:rPr>
                <w:rFonts w:hint="eastAsia" w:ascii="宋体" w:hAnsi="宋体" w:cs="宋体"/>
                <w:color w:val="auto"/>
                <w:spacing w:val="11"/>
                <w:sz w:val="24"/>
                <w:szCs w:val="24"/>
                <w:highlight w:val="none"/>
                <w:lang w:val="en-US" w:eastAsia="zh-CN"/>
              </w:rPr>
              <w:t>1</w:t>
            </w:r>
            <w:r>
              <w:rPr>
                <w:rFonts w:hint="eastAsia" w:ascii="宋体" w:hAnsi="宋体" w:eastAsia="宋体" w:cs="宋体"/>
                <w:color w:val="auto"/>
                <w:spacing w:val="11"/>
                <w:sz w:val="24"/>
                <w:szCs w:val="24"/>
                <w:highlight w:val="none"/>
                <w:lang w:val="en-US" w:eastAsia="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2" w:type="pct"/>
            <w:vMerge w:val="continue"/>
            <w:vAlign w:val="center"/>
          </w:tcPr>
          <w:p>
            <w:pPr>
              <w:keepNext w:val="0"/>
              <w:keepLines w:val="0"/>
              <w:pageBreakBefore w:val="0"/>
              <w:kinsoku/>
              <w:overflowPunct/>
              <w:autoSpaceDE/>
              <w:autoSpaceDN/>
              <w:bidi w:val="0"/>
              <w:adjustRightInd/>
              <w:snapToGrid/>
              <w:spacing w:line="360" w:lineRule="auto"/>
              <w:textAlignment w:val="auto"/>
              <w:rPr>
                <w:rFonts w:hint="eastAsia" w:ascii="宋体" w:hAnsi="宋体" w:eastAsia="宋体" w:cs="宋体"/>
                <w:color w:val="auto"/>
                <w:spacing w:val="11"/>
                <w:sz w:val="24"/>
                <w:szCs w:val="24"/>
                <w:highlight w:val="none"/>
              </w:rPr>
            </w:pPr>
          </w:p>
        </w:tc>
        <w:tc>
          <w:tcPr>
            <w:tcW w:w="78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z w:val="24"/>
                <w:szCs w:val="24"/>
                <w:highlight w:val="none"/>
                <w:lang w:eastAsia="zh-CN"/>
              </w:rPr>
              <w:t>实施</w:t>
            </w:r>
            <w:r>
              <w:rPr>
                <w:rFonts w:hint="eastAsia" w:ascii="宋体" w:hAnsi="宋体" w:eastAsia="宋体" w:cs="宋体"/>
                <w:color w:val="auto"/>
                <w:sz w:val="24"/>
                <w:szCs w:val="24"/>
                <w:highlight w:val="none"/>
              </w:rPr>
              <w:t>方案</w:t>
            </w:r>
            <w:r>
              <w:rPr>
                <w:rFonts w:hint="eastAsia" w:ascii="宋体" w:hAnsi="宋体" w:cs="宋体"/>
                <w:color w:val="auto"/>
                <w:sz w:val="24"/>
                <w:szCs w:val="24"/>
                <w:highlight w:val="none"/>
                <w:lang w:val="en-US" w:eastAsia="zh-CN"/>
              </w:rPr>
              <w:t>（5分）</w:t>
            </w:r>
          </w:p>
        </w:tc>
        <w:tc>
          <w:tcPr>
            <w:tcW w:w="3667" w:type="pct"/>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eastAsia="zh-CN"/>
              </w:rPr>
              <w:t>实施</w:t>
            </w:r>
            <w:r>
              <w:rPr>
                <w:rFonts w:hint="eastAsia" w:ascii="宋体" w:hAnsi="宋体" w:eastAsia="宋体" w:cs="宋体"/>
                <w:color w:val="auto"/>
                <w:sz w:val="24"/>
                <w:szCs w:val="24"/>
                <w:highlight w:val="none"/>
              </w:rPr>
              <w:t>方案，包括但不仅限于</w:t>
            </w:r>
            <w:r>
              <w:rPr>
                <w:rFonts w:hint="eastAsia" w:ascii="宋体" w:hAnsi="宋体" w:eastAsia="宋体" w:cs="宋体"/>
                <w:color w:val="auto"/>
                <w:sz w:val="24"/>
                <w:szCs w:val="24"/>
                <w:highlight w:val="none"/>
                <w:lang w:eastAsia="zh-CN"/>
              </w:rPr>
              <w:t>实施计划</w:t>
            </w:r>
            <w:r>
              <w:rPr>
                <w:rFonts w:hint="eastAsia" w:ascii="宋体" w:hAnsi="宋体" w:eastAsia="宋体" w:cs="宋体"/>
                <w:color w:val="auto"/>
                <w:sz w:val="24"/>
                <w:szCs w:val="24"/>
                <w:highlight w:val="none"/>
              </w:rPr>
              <w:t>、人员及资源配备计划、质量监督与控制计划、</w:t>
            </w:r>
            <w:r>
              <w:rPr>
                <w:rFonts w:hint="eastAsia" w:ascii="宋体" w:hAnsi="宋体" w:cs="宋体"/>
                <w:color w:val="auto"/>
                <w:spacing w:val="11"/>
                <w:sz w:val="24"/>
                <w:highlight w:val="none"/>
              </w:rPr>
              <w:t>整体应急响应方案</w:t>
            </w:r>
            <w:r>
              <w:rPr>
                <w:rFonts w:hint="eastAsia" w:ascii="宋体" w:hAnsi="宋体" w:eastAsia="宋体" w:cs="宋体"/>
                <w:color w:val="auto"/>
                <w:sz w:val="24"/>
                <w:szCs w:val="24"/>
                <w:highlight w:val="none"/>
                <w:lang w:eastAsia="zh-CN"/>
              </w:rPr>
              <w:t>、项目管理措施，</w:t>
            </w:r>
            <w:r>
              <w:rPr>
                <w:rFonts w:hint="eastAsia" w:ascii="宋体" w:hAnsi="宋体" w:eastAsia="宋体" w:cs="宋体"/>
                <w:color w:val="auto"/>
                <w:sz w:val="24"/>
                <w:szCs w:val="24"/>
                <w:highlight w:val="none"/>
              </w:rPr>
              <w:t>按以下标准进行打分：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lang w:val="en-US" w:eastAsia="zh-CN" w:bidi="ar"/>
              </w:rPr>
              <w:t>以上 5 项内容齐全且专门针对本项目、符合本项目实际需求的 ，得5分；每缺少一项内容扣1分，扣完为止；每有一处有缺陷扣 0.5 分，扣完为止。（缺陷是指： 存在不适用项目实际情况的情形、凭空编造、套用其他项目方案、内容前后不一致、 前后逻辑错误、涉及的规范及标准错误、地点区域错误、科学原理错误、内容缺失、 不符合采购需求、不可能实现的夸大情形等任意一种情形）</w:t>
            </w:r>
          </w:p>
        </w:tc>
      </w:tr>
    </w:tbl>
    <w:p>
      <w:pPr>
        <w:rPr>
          <w:rFonts w:ascii="宋体" w:hAnsi="宋体" w:cs="宋体"/>
          <w:color w:val="auto"/>
          <w:highlight w:val="none"/>
        </w:rPr>
      </w:pPr>
      <w:r>
        <w:rPr>
          <w:rFonts w:hint="eastAsia" w:ascii="宋体" w:hAnsi="宋体" w:cs="宋体"/>
          <w:color w:val="auto"/>
          <w:highlight w:val="none"/>
        </w:rPr>
        <w:br w:type="page"/>
      </w:r>
    </w:p>
    <w:p>
      <w:pPr>
        <w:pStyle w:val="10"/>
        <w:tabs>
          <w:tab w:val="left" w:pos="0"/>
        </w:tabs>
        <w:autoSpaceDE w:val="0"/>
        <w:autoSpaceDN w:val="0"/>
        <w:adjustRightInd w:val="0"/>
        <w:spacing w:before="0" w:after="0" w:line="360" w:lineRule="auto"/>
        <w:jc w:val="center"/>
        <w:rPr>
          <w:rFonts w:ascii="宋体" w:hAnsi="宋体" w:cs="宋体"/>
          <w:color w:val="auto"/>
          <w:sz w:val="32"/>
          <w:szCs w:val="32"/>
          <w:highlight w:val="none"/>
        </w:rPr>
      </w:pPr>
      <w:bookmarkStart w:id="573" w:name="_Toc10047"/>
      <w:bookmarkStart w:id="574" w:name="_Toc57217294"/>
      <w:r>
        <w:rPr>
          <w:rFonts w:hint="eastAsia" w:ascii="宋体" w:hAnsi="宋体" w:cs="宋体"/>
          <w:color w:val="auto"/>
          <w:sz w:val="32"/>
          <w:szCs w:val="32"/>
          <w:highlight w:val="none"/>
        </w:rPr>
        <w:t>第五章 政府采购合同条款及格式</w:t>
      </w:r>
      <w:bookmarkEnd w:id="573"/>
      <w:bookmarkEnd w:id="574"/>
      <w:bookmarkStart w:id="575" w:name="_Hlt487972895"/>
      <w:bookmarkEnd w:id="575"/>
    </w:p>
    <w:p>
      <w:pPr>
        <w:pStyle w:val="21"/>
        <w:ind w:firstLine="480"/>
        <w:rPr>
          <w:rFonts w:ascii="宋体" w:hAnsi="宋体" w:cs="宋体"/>
          <w:color w:val="auto"/>
          <w:sz w:val="24"/>
          <w:highlight w:val="none"/>
        </w:rPr>
      </w:pPr>
    </w:p>
    <w:p>
      <w:pPr>
        <w:keepNext w:val="0"/>
        <w:keepLines w:val="0"/>
        <w:pageBreakBefore w:val="0"/>
        <w:widowControl w:val="0"/>
        <w:kinsoku/>
        <w:wordWrap/>
        <w:overflowPunct/>
        <w:topLinePunct w:val="0"/>
        <w:bidi w:val="0"/>
        <w:snapToGrid w:val="0"/>
        <w:spacing w:line="360" w:lineRule="auto"/>
        <w:jc w:val="center"/>
        <w:textAlignment w:val="auto"/>
        <w:outlineLvl w:val="0"/>
        <w:rPr>
          <w:rFonts w:hint="eastAsia" w:ascii="宋体" w:hAnsi="宋体" w:eastAsia="宋体" w:cs="宋体"/>
          <w:b/>
          <w:bCs/>
          <w:sz w:val="24"/>
          <w:szCs w:val="24"/>
        </w:rPr>
      </w:pPr>
      <w:r>
        <w:rPr>
          <w:rFonts w:hint="eastAsia" w:ascii="宋体" w:hAnsi="宋体" w:cs="宋体"/>
          <w:b/>
          <w:color w:val="auto"/>
          <w:sz w:val="24"/>
          <w:highlight w:val="none"/>
        </w:rPr>
        <w:t xml:space="preserve">                        </w:t>
      </w:r>
      <w:r>
        <w:rPr>
          <w:rFonts w:hint="eastAsia" w:ascii="宋体" w:hAnsi="宋体" w:eastAsia="宋体" w:cs="宋体"/>
          <w:b/>
          <w:sz w:val="24"/>
          <w:szCs w:val="24"/>
        </w:rPr>
        <w:t xml:space="preserve">                        合同编号</w:t>
      </w:r>
      <w:r>
        <w:rPr>
          <w:rFonts w:hint="eastAsia" w:ascii="宋体" w:hAnsi="宋体" w:eastAsia="宋体" w:cs="宋体"/>
          <w:b/>
          <w:sz w:val="24"/>
          <w:szCs w:val="24"/>
          <w:u w:val="single"/>
        </w:rPr>
        <w:t>：（中标项目编号）</w:t>
      </w:r>
    </w:p>
    <w:p>
      <w:pPr>
        <w:keepNext w:val="0"/>
        <w:keepLines w:val="0"/>
        <w:pageBreakBefore w:val="0"/>
        <w:widowControl w:val="0"/>
        <w:kinsoku/>
        <w:wordWrap/>
        <w:overflowPunct/>
        <w:topLinePunct w:val="0"/>
        <w:bidi w:val="0"/>
        <w:snapToGrid w:val="0"/>
        <w:spacing w:line="360" w:lineRule="auto"/>
        <w:jc w:val="center"/>
        <w:textAlignment w:val="auto"/>
        <w:outlineLvl w:val="0"/>
        <w:rPr>
          <w:rFonts w:hint="eastAsia" w:ascii="宋体" w:hAnsi="宋体" w:eastAsia="宋体" w:cs="宋体"/>
          <w:b/>
          <w:bCs/>
          <w:sz w:val="24"/>
          <w:szCs w:val="24"/>
        </w:rPr>
      </w:pPr>
      <w:r>
        <w:rPr>
          <w:rFonts w:hint="eastAsia" w:ascii="宋体" w:hAnsi="宋体" w:eastAsia="宋体" w:cs="宋体"/>
          <w:b/>
          <w:bCs/>
          <w:sz w:val="24"/>
          <w:szCs w:val="24"/>
          <w:lang w:eastAsia="zh-CN"/>
        </w:rPr>
        <w:t>河南医学高等专科学校</w:t>
      </w:r>
      <w:r>
        <w:rPr>
          <w:rFonts w:hint="eastAsia" w:ascii="宋体" w:hAnsi="宋体" w:eastAsia="宋体" w:cs="宋体"/>
          <w:b/>
          <w:bCs/>
          <w:sz w:val="24"/>
          <w:szCs w:val="24"/>
        </w:rPr>
        <w:t>政府采购货物合同</w:t>
      </w:r>
    </w:p>
    <w:p>
      <w:pPr>
        <w:keepNext w:val="0"/>
        <w:keepLines w:val="0"/>
        <w:pageBreakBefore w:val="0"/>
        <w:widowControl w:val="0"/>
        <w:kinsoku/>
        <w:wordWrap/>
        <w:overflowPunct/>
        <w:topLinePunct w:val="0"/>
        <w:bidi w:val="0"/>
        <w:snapToGrid w:val="0"/>
        <w:spacing w:line="360" w:lineRule="auto"/>
        <w:jc w:val="center"/>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（10万元</w:t>
      </w:r>
      <w:r>
        <w:rPr>
          <w:rFonts w:hint="eastAsia" w:ascii="宋体" w:hAnsi="宋体" w:eastAsia="宋体" w:cs="宋体"/>
          <w:b/>
          <w:bCs/>
          <w:sz w:val="24"/>
          <w:szCs w:val="24"/>
          <w:lang w:val="en-US" w:eastAsia="zh-CN"/>
        </w:rPr>
        <w:t>及</w:t>
      </w:r>
      <w:r>
        <w:rPr>
          <w:rFonts w:hint="eastAsia" w:ascii="宋体" w:hAnsi="宋体" w:eastAsia="宋体" w:cs="宋体"/>
          <w:b/>
          <w:bCs/>
          <w:sz w:val="24"/>
          <w:szCs w:val="24"/>
        </w:rPr>
        <w:t>以上模板）</w:t>
      </w:r>
    </w:p>
    <w:p>
      <w:pPr>
        <w:keepNext w:val="0"/>
        <w:keepLines w:val="0"/>
        <w:pageBreakBefore w:val="0"/>
        <w:widowControl w:val="0"/>
        <w:kinsoku/>
        <w:wordWrap/>
        <w:overflowPunct/>
        <w:topLinePunct w:val="0"/>
        <w:bidi w:val="0"/>
        <w:spacing w:line="360" w:lineRule="auto"/>
        <w:ind w:firstLine="4604" w:firstLineChars="1911"/>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甲方</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全称</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河南医学高等专科学校</w:t>
      </w:r>
      <w:r>
        <w:rPr>
          <w:rFonts w:hint="eastAsia" w:ascii="宋体" w:hAnsi="宋体" w:eastAsia="宋体" w:cs="宋体"/>
          <w:b/>
          <w:bCs/>
          <w:sz w:val="24"/>
          <w:szCs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乙方</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全称</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r>
        <w:rPr>
          <w:rFonts w:hint="eastAsia" w:ascii="宋体" w:hAnsi="宋体" w:eastAsia="宋体" w:cs="宋体"/>
          <w:b/>
          <w:bCs/>
          <w:sz w:val="24"/>
          <w:szCs w:val="24"/>
          <w:u w:val="single"/>
        </w:rPr>
        <w:t xml:space="preserve">    </w:t>
      </w:r>
      <w:r>
        <w:rPr>
          <w:rFonts w:hint="eastAsia" w:ascii="宋体" w:hAnsi="宋体" w:eastAsia="宋体" w:cs="宋体"/>
          <w:b/>
          <w:bCs/>
          <w:color w:val="000000"/>
          <w:spacing w:val="10"/>
          <w:kern w:val="0"/>
          <w:sz w:val="24"/>
          <w:szCs w:val="24"/>
          <w:u w:val="single"/>
        </w:rPr>
        <w:t xml:space="preserve">             </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rPr>
        <w:t>根据《中华人民共和国民法典》《中华人民共和国政府采购法》及有关法律规定，遵循平等、自愿、公平和诚实信用的原则，</w:t>
      </w:r>
      <w:r>
        <w:rPr>
          <w:rFonts w:hint="eastAsia" w:ascii="宋体" w:hAnsi="宋体" w:eastAsia="宋体" w:cs="宋体"/>
          <w:sz w:val="24"/>
          <w:szCs w:val="24"/>
          <w:lang w:val="en-US" w:eastAsia="zh-CN"/>
        </w:rPr>
        <w:t>双方同意按照下述条款订立本合同，共同信守。</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一、供货范围及分项价格表（详见附件1、附件2）</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eastAsia="宋体" w:cs="宋体"/>
          <w:sz w:val="24"/>
          <w:szCs w:val="24"/>
        </w:rPr>
      </w:pPr>
      <w:r>
        <w:rPr>
          <w:rFonts w:hint="eastAsia" w:ascii="宋体" w:hAnsi="宋体" w:eastAsia="宋体" w:cs="宋体"/>
          <w:sz w:val="24"/>
          <w:szCs w:val="24"/>
        </w:rPr>
        <w:t>1.本合同所指</w:t>
      </w:r>
      <w:r>
        <w:rPr>
          <w:rFonts w:hint="eastAsia" w:ascii="宋体" w:hAnsi="宋体" w:eastAsia="宋体" w:cs="宋体"/>
          <w:sz w:val="24"/>
          <w:szCs w:val="24"/>
          <w:lang w:val="en-US" w:eastAsia="zh-CN"/>
        </w:rPr>
        <w:t>货物包括原材料、燃料、设备、产品、硬件、软件、安装材料、备件及专用器具、文件资料等，</w:t>
      </w:r>
      <w:r>
        <w:rPr>
          <w:rFonts w:hint="eastAsia" w:ascii="宋体" w:hAnsi="宋体" w:eastAsia="宋体" w:cs="宋体"/>
          <w:sz w:val="24"/>
          <w:szCs w:val="24"/>
        </w:rPr>
        <w:t>详见附件1、附件2 ，此附件是合同中不可分割的部分。</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val="en-US" w:eastAsia="zh-CN"/>
        </w:rPr>
        <w:t>本合同</w:t>
      </w:r>
      <w:r>
        <w:rPr>
          <w:rFonts w:hint="eastAsia" w:ascii="宋体" w:hAnsi="宋体" w:eastAsia="宋体" w:cs="宋体"/>
          <w:sz w:val="24"/>
          <w:szCs w:val="24"/>
        </w:rPr>
        <w:t>总价包括</w:t>
      </w:r>
      <w:r>
        <w:rPr>
          <w:rFonts w:hint="eastAsia" w:ascii="宋体" w:hAnsi="宋体" w:eastAsia="宋体" w:cs="宋体"/>
          <w:sz w:val="24"/>
          <w:szCs w:val="24"/>
          <w:lang w:val="en-US" w:eastAsia="zh-CN"/>
        </w:rPr>
        <w:t>但不限于货物价款</w:t>
      </w:r>
      <w:r>
        <w:rPr>
          <w:rFonts w:hint="eastAsia" w:ascii="宋体" w:hAnsi="宋体" w:eastAsia="宋体" w:cs="宋体"/>
          <w:sz w:val="24"/>
          <w:szCs w:val="24"/>
          <w:lang w:eastAsia="zh-CN"/>
        </w:rPr>
        <w:t>、</w:t>
      </w:r>
      <w:r>
        <w:rPr>
          <w:rFonts w:hint="eastAsia" w:ascii="宋体" w:hAnsi="宋体" w:eastAsia="宋体" w:cs="宋体"/>
          <w:sz w:val="24"/>
          <w:szCs w:val="24"/>
        </w:rPr>
        <w:t>包装、运输、装卸</w:t>
      </w:r>
      <w:r>
        <w:rPr>
          <w:rFonts w:hint="eastAsia" w:ascii="宋体" w:hAnsi="宋体" w:eastAsia="宋体" w:cs="宋体"/>
          <w:sz w:val="24"/>
          <w:szCs w:val="24"/>
          <w:lang w:eastAsia="zh-CN"/>
        </w:rPr>
        <w:t>、</w:t>
      </w:r>
      <w:r>
        <w:rPr>
          <w:rFonts w:hint="eastAsia" w:ascii="宋体" w:hAnsi="宋体" w:eastAsia="宋体" w:cs="宋体"/>
          <w:sz w:val="24"/>
          <w:szCs w:val="24"/>
        </w:rPr>
        <w:t>保险</w:t>
      </w:r>
      <w:r>
        <w:rPr>
          <w:rFonts w:hint="eastAsia" w:ascii="宋体" w:hAnsi="宋体" w:eastAsia="宋体" w:cs="宋体"/>
          <w:sz w:val="24"/>
          <w:szCs w:val="24"/>
          <w:lang w:val="en-US" w:eastAsia="zh-CN"/>
        </w:rPr>
        <w:t>费</w:t>
      </w:r>
      <w:r>
        <w:rPr>
          <w:rFonts w:hint="eastAsia" w:ascii="宋体" w:hAnsi="宋体" w:eastAsia="宋体" w:cs="宋体"/>
          <w:sz w:val="24"/>
          <w:szCs w:val="24"/>
          <w:lang w:eastAsia="zh-CN"/>
        </w:rPr>
        <w:t>、</w:t>
      </w:r>
      <w:r>
        <w:rPr>
          <w:rFonts w:hint="eastAsia" w:ascii="宋体" w:hAnsi="宋体" w:eastAsia="宋体" w:cs="宋体"/>
          <w:sz w:val="24"/>
          <w:szCs w:val="24"/>
        </w:rPr>
        <w:t>安装及相关材料</w:t>
      </w:r>
      <w:r>
        <w:rPr>
          <w:rFonts w:hint="eastAsia" w:ascii="宋体" w:hAnsi="宋体" w:eastAsia="宋体" w:cs="宋体"/>
          <w:sz w:val="24"/>
          <w:szCs w:val="24"/>
          <w:lang w:val="en-US" w:eastAsia="zh-CN"/>
        </w:rPr>
        <w:t>费</w:t>
      </w:r>
      <w:r>
        <w:rPr>
          <w:rFonts w:hint="eastAsia" w:ascii="宋体" w:hAnsi="宋体" w:eastAsia="宋体" w:cs="宋体"/>
          <w:sz w:val="24"/>
          <w:szCs w:val="24"/>
        </w:rPr>
        <w:t>、调试</w:t>
      </w:r>
      <w:r>
        <w:rPr>
          <w:rFonts w:hint="eastAsia" w:ascii="宋体" w:hAnsi="宋体" w:eastAsia="宋体" w:cs="宋体"/>
          <w:sz w:val="24"/>
          <w:szCs w:val="24"/>
          <w:lang w:val="en-US" w:eastAsia="zh-CN"/>
        </w:rPr>
        <w:t>费</w:t>
      </w:r>
      <w:r>
        <w:rPr>
          <w:rFonts w:hint="eastAsia" w:ascii="宋体" w:hAnsi="宋体" w:eastAsia="宋体" w:cs="宋体"/>
          <w:sz w:val="24"/>
          <w:szCs w:val="24"/>
        </w:rPr>
        <w:t>、软件费</w:t>
      </w:r>
      <w:r>
        <w:rPr>
          <w:rFonts w:hint="eastAsia" w:ascii="宋体" w:hAnsi="宋体" w:eastAsia="宋体" w:cs="宋体"/>
          <w:sz w:val="24"/>
          <w:szCs w:val="24"/>
          <w:lang w:eastAsia="zh-CN"/>
        </w:rPr>
        <w:t>、</w:t>
      </w:r>
      <w:r>
        <w:rPr>
          <w:rFonts w:hint="eastAsia" w:ascii="宋体" w:hAnsi="宋体" w:eastAsia="宋体" w:cs="宋体"/>
          <w:sz w:val="24"/>
          <w:szCs w:val="24"/>
        </w:rPr>
        <w:t>检验费</w:t>
      </w:r>
      <w:r>
        <w:rPr>
          <w:rFonts w:hint="eastAsia" w:ascii="宋体" w:hAnsi="宋体" w:eastAsia="宋体" w:cs="宋体"/>
          <w:sz w:val="24"/>
          <w:szCs w:val="24"/>
          <w:lang w:val="en-US" w:eastAsia="zh-CN"/>
        </w:rPr>
        <w:t>、</w:t>
      </w:r>
      <w:r>
        <w:rPr>
          <w:rFonts w:hint="eastAsia" w:ascii="宋体" w:hAnsi="宋体" w:eastAsia="宋体" w:cs="宋体"/>
          <w:sz w:val="24"/>
          <w:szCs w:val="24"/>
        </w:rPr>
        <w:t>培训</w:t>
      </w:r>
      <w:r>
        <w:rPr>
          <w:rFonts w:hint="eastAsia" w:ascii="宋体" w:hAnsi="宋体" w:eastAsia="宋体" w:cs="宋体"/>
          <w:sz w:val="24"/>
          <w:szCs w:val="24"/>
          <w:lang w:val="en-US" w:eastAsia="zh-CN"/>
        </w:rPr>
        <w:t>费</w:t>
      </w:r>
      <w:r>
        <w:rPr>
          <w:rFonts w:hint="eastAsia" w:ascii="宋体" w:hAnsi="宋体" w:eastAsia="宋体" w:cs="宋体"/>
          <w:sz w:val="24"/>
          <w:szCs w:val="24"/>
        </w:rPr>
        <w:t>等</w:t>
      </w:r>
      <w:r>
        <w:rPr>
          <w:rFonts w:hint="eastAsia" w:ascii="宋体" w:hAnsi="宋体" w:eastAsia="宋体" w:cs="宋体"/>
          <w:sz w:val="24"/>
          <w:szCs w:val="24"/>
          <w:lang w:val="en-US" w:eastAsia="zh-CN"/>
        </w:rPr>
        <w:t>各种</w:t>
      </w:r>
      <w:r>
        <w:rPr>
          <w:rFonts w:hint="eastAsia" w:ascii="宋体" w:hAnsi="宋体" w:eastAsia="宋体" w:cs="宋体"/>
          <w:sz w:val="24"/>
          <w:szCs w:val="24"/>
        </w:rPr>
        <w:t>伴随服务</w:t>
      </w:r>
      <w:r>
        <w:rPr>
          <w:rFonts w:hint="eastAsia" w:ascii="宋体" w:hAnsi="宋体" w:eastAsia="宋体" w:cs="宋体"/>
          <w:sz w:val="24"/>
          <w:szCs w:val="24"/>
          <w:lang w:val="en-US" w:eastAsia="zh-CN"/>
        </w:rPr>
        <w:t>的</w:t>
      </w:r>
      <w:r>
        <w:rPr>
          <w:rFonts w:hint="eastAsia" w:ascii="宋体" w:hAnsi="宋体" w:eastAsia="宋体" w:cs="宋体"/>
          <w:sz w:val="24"/>
          <w:szCs w:val="24"/>
        </w:rPr>
        <w:t>费用</w:t>
      </w:r>
      <w:r>
        <w:rPr>
          <w:rFonts w:hint="eastAsia" w:ascii="宋体" w:hAnsi="宋体" w:eastAsia="宋体" w:cs="宋体"/>
          <w:sz w:val="24"/>
          <w:szCs w:val="24"/>
          <w:lang w:val="en-US" w:eastAsia="zh-CN"/>
        </w:rPr>
        <w:t>以及</w:t>
      </w:r>
      <w:r>
        <w:rPr>
          <w:rFonts w:hint="eastAsia" w:ascii="宋体" w:hAnsi="宋体" w:eastAsia="宋体" w:cs="宋体"/>
          <w:sz w:val="24"/>
          <w:szCs w:val="24"/>
        </w:rPr>
        <w:t>税金等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合同总价之外</w:t>
      </w:r>
      <w:r>
        <w:rPr>
          <w:rFonts w:hint="eastAsia" w:ascii="宋体" w:hAnsi="宋体" w:eastAsia="宋体" w:cs="宋体"/>
          <w:sz w:val="24"/>
          <w:szCs w:val="24"/>
        </w:rPr>
        <w:t>，甲方不再另行支付任何费用。</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二、质量及技术规格要求</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eastAsia="宋体" w:cs="宋体"/>
          <w:sz w:val="24"/>
          <w:szCs w:val="24"/>
        </w:rPr>
      </w:pPr>
      <w:r>
        <w:rPr>
          <w:rFonts w:hint="eastAsia" w:ascii="宋体" w:hAnsi="宋体" w:eastAsia="宋体" w:cs="宋体"/>
          <w:sz w:val="24"/>
          <w:szCs w:val="24"/>
        </w:rPr>
        <w:t>乙方须按合同要求提供全新</w:t>
      </w:r>
      <w:r>
        <w:rPr>
          <w:rFonts w:hint="eastAsia" w:ascii="宋体" w:hAnsi="宋体" w:eastAsia="宋体" w:cs="宋体"/>
          <w:sz w:val="24"/>
          <w:szCs w:val="24"/>
          <w:lang w:val="en-US" w:eastAsia="zh-CN"/>
        </w:rPr>
        <w:t>货物</w:t>
      </w:r>
      <w:r>
        <w:rPr>
          <w:rFonts w:hint="eastAsia" w:ascii="宋体" w:hAnsi="宋体" w:eastAsia="宋体" w:cs="宋体"/>
          <w:sz w:val="24"/>
          <w:szCs w:val="24"/>
        </w:rPr>
        <w:t>（包括零部件、附件、备品备件等）</w:t>
      </w:r>
      <w:r>
        <w:rPr>
          <w:rFonts w:hint="eastAsia" w:ascii="宋体" w:hAnsi="宋体" w:eastAsia="宋体" w:cs="宋体"/>
          <w:sz w:val="24"/>
          <w:szCs w:val="24"/>
          <w:lang w:val="en-US" w:eastAsia="zh-CN"/>
        </w:rPr>
        <w:t>货物</w:t>
      </w:r>
      <w:r>
        <w:rPr>
          <w:rFonts w:hint="eastAsia" w:ascii="宋体" w:hAnsi="宋体" w:eastAsia="宋体" w:cs="宋体"/>
          <w:sz w:val="24"/>
          <w:szCs w:val="24"/>
        </w:rPr>
        <w:t>的质量标准、规格型号、具体配置、数量等</w:t>
      </w:r>
      <w:r>
        <w:rPr>
          <w:rFonts w:hint="eastAsia" w:ascii="宋体" w:hAnsi="宋体" w:eastAsia="宋体" w:cs="宋体"/>
          <w:sz w:val="24"/>
          <w:szCs w:val="24"/>
          <w:lang w:val="en-US" w:eastAsia="zh-CN"/>
        </w:rPr>
        <w:t>应</w:t>
      </w:r>
      <w:r>
        <w:rPr>
          <w:rFonts w:hint="eastAsia" w:ascii="宋体" w:hAnsi="宋体" w:eastAsia="宋体" w:cs="宋体"/>
          <w:sz w:val="24"/>
          <w:szCs w:val="24"/>
        </w:rPr>
        <w:t>符合招标</w:t>
      </w:r>
      <w:r>
        <w:rPr>
          <w:rFonts w:hint="eastAsia" w:ascii="宋体" w:hAnsi="宋体" w:eastAsia="宋体" w:cs="宋体"/>
          <w:sz w:val="24"/>
          <w:szCs w:val="24"/>
          <w:lang w:val="en-US" w:eastAsia="zh-CN"/>
        </w:rPr>
        <w:t>文件</w:t>
      </w:r>
      <w:r>
        <w:rPr>
          <w:rFonts w:hint="eastAsia" w:ascii="宋体" w:hAnsi="宋体" w:eastAsia="宋体" w:cs="宋体"/>
          <w:sz w:val="24"/>
          <w:szCs w:val="24"/>
        </w:rPr>
        <w:t>要求，其产品为原厂生产，且应达到乙方投标文件及澄清文件中</w:t>
      </w:r>
      <w:r>
        <w:rPr>
          <w:rFonts w:hint="eastAsia" w:ascii="宋体" w:hAnsi="宋体" w:eastAsia="宋体" w:cs="宋体"/>
          <w:sz w:val="24"/>
          <w:szCs w:val="24"/>
          <w:lang w:val="en-US" w:eastAsia="zh-CN"/>
        </w:rPr>
        <w:t>承诺</w:t>
      </w:r>
      <w:r>
        <w:rPr>
          <w:rFonts w:hint="eastAsia" w:ascii="宋体" w:hAnsi="宋体" w:eastAsia="宋体" w:cs="宋体"/>
          <w:sz w:val="24"/>
          <w:szCs w:val="24"/>
        </w:rPr>
        <w:t>的技术标准。</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eastAsia="宋体" w:cs="宋体"/>
          <w:sz w:val="24"/>
          <w:szCs w:val="24"/>
        </w:rPr>
      </w:pPr>
      <w:r>
        <w:rPr>
          <w:rFonts w:hint="eastAsia" w:ascii="宋体" w:hAnsi="宋体" w:eastAsia="宋体" w:cs="宋体"/>
          <w:sz w:val="24"/>
          <w:szCs w:val="24"/>
        </w:rPr>
        <w:t>乙方应在本合同生效后7个工作日内向甲方提供安装计划及质量控制规范；并于</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日前进驻安装现场；所有</w:t>
      </w:r>
      <w:r>
        <w:rPr>
          <w:rFonts w:hint="eastAsia" w:ascii="宋体" w:hAnsi="宋体" w:eastAsia="宋体" w:cs="宋体"/>
          <w:sz w:val="24"/>
          <w:szCs w:val="24"/>
          <w:lang w:val="en-US" w:eastAsia="zh-CN"/>
        </w:rPr>
        <w:t>货物</w:t>
      </w:r>
      <w:r>
        <w:rPr>
          <w:rFonts w:hint="eastAsia" w:ascii="宋体" w:hAnsi="宋体" w:eastAsia="宋体" w:cs="宋体"/>
          <w:sz w:val="24"/>
          <w:szCs w:val="24"/>
        </w:rPr>
        <w:t>运送到甲方指定地点后，双方在</w:t>
      </w:r>
      <w:r>
        <w:rPr>
          <w:rFonts w:hint="eastAsia" w:ascii="宋体" w:hAnsi="宋体" w:eastAsia="宋体" w:cs="宋体"/>
          <w:sz w:val="24"/>
          <w:szCs w:val="24"/>
          <w:u w:val="single"/>
        </w:rPr>
        <w:t xml:space="preserve">     </w:t>
      </w:r>
      <w:r>
        <w:rPr>
          <w:rFonts w:hint="eastAsia" w:ascii="宋体" w:hAnsi="宋体" w:eastAsia="宋体" w:cs="宋体"/>
          <w:sz w:val="24"/>
          <w:szCs w:val="24"/>
        </w:rPr>
        <w:t>日内共同验收并签署验收意见。如甲方无正当理由，不得拒绝接收；在安装调试过程中，甲方有权采取适当的方式对乙方</w:t>
      </w:r>
      <w:r>
        <w:rPr>
          <w:rFonts w:hint="eastAsia" w:ascii="宋体" w:hAnsi="宋体" w:eastAsia="宋体" w:cs="宋体"/>
          <w:sz w:val="24"/>
          <w:szCs w:val="24"/>
          <w:lang w:val="en-US" w:eastAsia="zh-CN"/>
        </w:rPr>
        <w:t>货物</w:t>
      </w:r>
      <w:r>
        <w:rPr>
          <w:rFonts w:hint="eastAsia" w:ascii="宋体" w:hAnsi="宋体" w:eastAsia="宋体" w:cs="宋体"/>
          <w:sz w:val="24"/>
          <w:szCs w:val="24"/>
        </w:rPr>
        <w:t>质量标准、规格型号、具体配置、数量以及安装质量和进度等进行检查。甲方如果发现乙方所供</w:t>
      </w:r>
      <w:r>
        <w:rPr>
          <w:rFonts w:hint="eastAsia" w:ascii="宋体" w:hAnsi="宋体" w:eastAsia="宋体" w:cs="宋体"/>
          <w:sz w:val="24"/>
          <w:szCs w:val="24"/>
          <w:lang w:val="en-US" w:eastAsia="zh-CN"/>
        </w:rPr>
        <w:t>货物</w:t>
      </w:r>
      <w:r>
        <w:rPr>
          <w:rFonts w:hint="eastAsia" w:ascii="宋体" w:hAnsi="宋体" w:eastAsia="宋体" w:cs="宋体"/>
          <w:sz w:val="24"/>
          <w:szCs w:val="24"/>
        </w:rPr>
        <w:t>不符合合同约定，甲方有权单方解除合同，由此产生的一切费用由乙方承担。</w:t>
      </w:r>
    </w:p>
    <w:p>
      <w:pPr>
        <w:keepNext w:val="0"/>
        <w:keepLines w:val="0"/>
        <w:pageBreakBefore w:val="0"/>
        <w:widowControl w:val="0"/>
        <w:numPr>
          <w:ilvl w:val="0"/>
          <w:numId w:val="26"/>
        </w:numPr>
        <w:kinsoku/>
        <w:wordWrap/>
        <w:overflowPunct/>
        <w:topLinePunct w:val="0"/>
        <w:bidi w:val="0"/>
        <w:adjustRightInd w:val="0"/>
        <w:snapToGrid w:val="0"/>
        <w:spacing w:line="360" w:lineRule="auto"/>
        <w:ind w:firstLine="482" w:firstLineChars="200"/>
        <w:textAlignment w:val="auto"/>
        <w:outlineLvl w:val="0"/>
        <w:rPr>
          <w:rFonts w:hint="eastAsia" w:ascii="宋体" w:hAnsi="宋体" w:eastAsia="宋体" w:cs="宋体"/>
          <w:color w:val="000000"/>
          <w:sz w:val="24"/>
          <w:szCs w:val="24"/>
        </w:rPr>
      </w:pPr>
      <w:r>
        <w:rPr>
          <w:rFonts w:hint="eastAsia" w:ascii="宋体" w:hAnsi="宋体" w:eastAsia="宋体" w:cs="宋体"/>
          <w:b/>
          <w:bCs/>
          <w:sz w:val="24"/>
          <w:szCs w:val="24"/>
        </w:rPr>
        <w:t>包装与运输</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货物</w:t>
      </w:r>
      <w:r>
        <w:rPr>
          <w:rFonts w:hint="eastAsia" w:ascii="宋体" w:hAnsi="宋体" w:eastAsia="宋体" w:cs="宋体"/>
          <w:sz w:val="24"/>
          <w:szCs w:val="24"/>
        </w:rPr>
        <w:t>交付使用前发生的所有与</w:t>
      </w:r>
      <w:r>
        <w:rPr>
          <w:rFonts w:hint="eastAsia" w:ascii="宋体" w:hAnsi="宋体" w:eastAsia="宋体" w:cs="宋体"/>
          <w:sz w:val="24"/>
          <w:szCs w:val="24"/>
          <w:lang w:val="en-US" w:eastAsia="zh-CN"/>
        </w:rPr>
        <w:t>货物</w:t>
      </w:r>
      <w:r>
        <w:rPr>
          <w:rFonts w:hint="eastAsia" w:ascii="宋体" w:hAnsi="宋体" w:eastAsia="宋体" w:cs="宋体"/>
          <w:sz w:val="24"/>
          <w:szCs w:val="24"/>
        </w:rPr>
        <w:t>相关的运输、安装及安全保障事项等均由乙方负责；</w:t>
      </w:r>
      <w:r>
        <w:rPr>
          <w:rFonts w:hint="eastAsia" w:ascii="宋体" w:hAnsi="宋体" w:eastAsia="宋体" w:cs="宋体"/>
          <w:sz w:val="24"/>
          <w:szCs w:val="24"/>
          <w:lang w:val="en-US" w:eastAsia="zh-CN"/>
        </w:rPr>
        <w:t>货物</w:t>
      </w:r>
      <w:r>
        <w:rPr>
          <w:rFonts w:hint="eastAsia" w:ascii="宋体" w:hAnsi="宋体" w:eastAsia="宋体" w:cs="宋体"/>
          <w:sz w:val="24"/>
          <w:szCs w:val="24"/>
        </w:rPr>
        <w:t>包装应符合抗震、防潮、防冻、防锈以及长途运输等要求，对由于包装不当或防护措施不力而导致的</w:t>
      </w:r>
      <w:r>
        <w:rPr>
          <w:rFonts w:hint="eastAsia" w:ascii="宋体" w:hAnsi="宋体" w:eastAsia="宋体" w:cs="宋体"/>
          <w:sz w:val="24"/>
          <w:szCs w:val="24"/>
          <w:lang w:val="en-US" w:eastAsia="zh-CN"/>
        </w:rPr>
        <w:t>货物</w:t>
      </w:r>
      <w:r>
        <w:rPr>
          <w:rFonts w:hint="eastAsia" w:ascii="宋体" w:hAnsi="宋体" w:eastAsia="宋体" w:cs="宋体"/>
          <w:sz w:val="24"/>
          <w:szCs w:val="24"/>
        </w:rPr>
        <w:t>损坏、损失、腐蚀等损失均由乙方承担；在</w:t>
      </w:r>
      <w:r>
        <w:rPr>
          <w:rFonts w:hint="eastAsia" w:ascii="宋体" w:hAnsi="宋体" w:eastAsia="宋体" w:cs="宋体"/>
          <w:sz w:val="24"/>
          <w:szCs w:val="24"/>
          <w:lang w:val="en-US" w:eastAsia="zh-CN"/>
        </w:rPr>
        <w:t>货物</w:t>
      </w:r>
      <w:r>
        <w:rPr>
          <w:rFonts w:hint="eastAsia" w:ascii="宋体" w:hAnsi="宋体" w:eastAsia="宋体" w:cs="宋体"/>
          <w:sz w:val="24"/>
          <w:szCs w:val="24"/>
        </w:rPr>
        <w:t>备交付使用前所发生的所有与</w:t>
      </w:r>
      <w:r>
        <w:rPr>
          <w:rFonts w:hint="eastAsia" w:ascii="宋体" w:hAnsi="宋体" w:eastAsia="宋体" w:cs="宋体"/>
          <w:sz w:val="24"/>
          <w:szCs w:val="24"/>
          <w:lang w:val="en-US" w:eastAsia="zh-CN"/>
        </w:rPr>
        <w:t>货物</w:t>
      </w:r>
      <w:r>
        <w:rPr>
          <w:rFonts w:hint="eastAsia" w:ascii="宋体" w:hAnsi="宋体" w:eastAsia="宋体" w:cs="宋体"/>
          <w:sz w:val="24"/>
          <w:szCs w:val="24"/>
        </w:rPr>
        <w:t>相关的经济纠纷及法律责任均与甲方无关。</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四、质保期与售后服务（详见附件3）</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1.所有设备</w:t>
      </w:r>
      <w:r>
        <w:rPr>
          <w:rFonts w:hint="eastAsia" w:ascii="宋体" w:hAnsi="宋体" w:eastAsia="宋体" w:cs="宋体"/>
          <w:sz w:val="24"/>
          <w:szCs w:val="24"/>
        </w:rPr>
        <w:t>免费质保期为</w:t>
      </w:r>
      <w:r>
        <w:rPr>
          <w:rFonts w:hint="eastAsia" w:ascii="宋体" w:hAnsi="宋体" w:eastAsia="宋体" w:cs="宋体"/>
          <w:b/>
          <w:bCs/>
          <w:sz w:val="24"/>
          <w:szCs w:val="24"/>
          <w:u w:val="single"/>
        </w:rPr>
        <w:t xml:space="preserve">      </w:t>
      </w:r>
      <w:r>
        <w:rPr>
          <w:rFonts w:hint="eastAsia" w:ascii="宋体" w:hAnsi="宋体" w:eastAsia="宋体" w:cs="宋体"/>
          <w:sz w:val="24"/>
          <w:szCs w:val="24"/>
        </w:rPr>
        <w:t>年（自验收合格并交付给甲方之日起计算），</w:t>
      </w:r>
      <w:r>
        <w:rPr>
          <w:rFonts w:hint="eastAsia" w:ascii="宋体" w:hAnsi="宋体" w:eastAsia="宋体" w:cs="宋体"/>
          <w:color w:val="000000"/>
          <w:sz w:val="24"/>
          <w:szCs w:val="24"/>
        </w:rPr>
        <w:t>终身维护、维修。</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2.在质保期内，因产品质量造成的问题，</w:t>
      </w:r>
      <w:r>
        <w:rPr>
          <w:rFonts w:hint="eastAsia" w:ascii="宋体" w:hAnsi="宋体" w:eastAsia="宋体" w:cs="宋体"/>
          <w:color w:val="000000"/>
          <w:sz w:val="24"/>
          <w:szCs w:val="24"/>
          <w:lang w:val="en-US" w:eastAsia="zh-CN"/>
        </w:rPr>
        <w:t>乙</w:t>
      </w:r>
      <w:r>
        <w:rPr>
          <w:rFonts w:hint="eastAsia" w:ascii="宋体" w:hAnsi="宋体" w:eastAsia="宋体" w:cs="宋体"/>
          <w:color w:val="000000"/>
          <w:sz w:val="24"/>
          <w:szCs w:val="24"/>
        </w:rPr>
        <w:t>方免费提供配件并现场维修，且所提供的任何零配件必须是其原设备厂家生产的或经其认可的。产品存在质量问题，甲方有权要求乙方换货。</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3.乙方须提供一年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次全免费（配件+人力）对产品设备的维护保养。</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4.乙方承诺凡设备出现故障，自接到甲方报修电话1小时内响应，3小时内到达现场，24小时内解决故障问题。保修期外只收取甲方零配件成本费，其他免费。</w:t>
      </w:r>
    </w:p>
    <w:p>
      <w:pPr>
        <w:keepNext w:val="0"/>
        <w:keepLines w:val="0"/>
        <w:pageBreakBefore w:val="0"/>
        <w:widowControl w:val="0"/>
        <w:kinsoku/>
        <w:wordWrap/>
        <w:overflowPunct/>
        <w:topLinePunct w:val="0"/>
        <w:bidi w:val="0"/>
        <w:adjustRightInd w:val="0"/>
        <w:snapToGrid w:val="0"/>
        <w:spacing w:line="360" w:lineRule="auto"/>
        <w:ind w:firstLine="48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5.乙方未在规定时间内提供原配件或认可的替代配件，甲方有权自行购买，费用由乙方承担。</w:t>
      </w:r>
      <w:r>
        <w:rPr>
          <w:rFonts w:hint="eastAsia" w:ascii="宋体" w:hAnsi="宋体" w:eastAsia="宋体" w:cs="宋体"/>
          <w:color w:val="000000"/>
          <w:sz w:val="24"/>
          <w:szCs w:val="24"/>
        </w:rPr>
        <w:t xml:space="preserve">                                                                                                                 </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6.其它：</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color w:val="000000"/>
          <w:sz w:val="24"/>
          <w:szCs w:val="24"/>
          <w:u w:val="single"/>
        </w:rPr>
      </w:pP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五、技术服务</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1.乙方向甲方免费提供标准安装调试及</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人次国内操作培训。</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2.乙方向甲方提供设备详细技术、维修及使用资料。</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3.软件免费升级和使用。</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 xml:space="preserve">.乙方有责任对甲方相关人员实施免费的现场培训或集中培训措施，保证甲方相关人员能够独立操作、熟练使用、维护和管理有关设备。  </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六、</w:t>
      </w:r>
      <w:r>
        <w:rPr>
          <w:rFonts w:hint="eastAsia" w:ascii="宋体" w:hAnsi="宋体" w:eastAsia="宋体" w:cs="宋体"/>
          <w:b/>
          <w:bCs/>
          <w:sz w:val="24"/>
          <w:szCs w:val="24"/>
          <w:lang w:val="en-US" w:eastAsia="zh-CN"/>
        </w:rPr>
        <w:t>知识产</w:t>
      </w:r>
      <w:r>
        <w:rPr>
          <w:rFonts w:hint="eastAsia" w:ascii="宋体" w:hAnsi="宋体" w:eastAsia="宋体" w:cs="宋体"/>
          <w:b/>
          <w:bCs/>
          <w:sz w:val="24"/>
          <w:szCs w:val="24"/>
        </w:rPr>
        <w:t>权</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乙方应保证甲方在使用该货物或货物的任何一部分时免受第三方提出的侵犯其知识产权、商业秘密权或其他任何权利的起诉。如因此</w:t>
      </w:r>
      <w:r>
        <w:rPr>
          <w:rFonts w:hint="eastAsia" w:ascii="宋体" w:hAnsi="宋体" w:eastAsia="宋体" w:cs="宋体"/>
          <w:color w:val="000000"/>
          <w:sz w:val="24"/>
          <w:szCs w:val="24"/>
          <w:lang w:val="en-US" w:eastAsia="zh-CN"/>
        </w:rPr>
        <w:t>给</w:t>
      </w:r>
      <w:r>
        <w:rPr>
          <w:rFonts w:hint="eastAsia" w:ascii="宋体" w:hAnsi="宋体" w:eastAsia="宋体" w:cs="宋体"/>
          <w:color w:val="000000"/>
          <w:sz w:val="24"/>
          <w:szCs w:val="24"/>
        </w:rPr>
        <w:t>甲方造成损失，已方承诺赔付甲方遭受的一切损失。</w:t>
      </w:r>
    </w:p>
    <w:p>
      <w:pPr>
        <w:keepNext w:val="0"/>
        <w:keepLines w:val="0"/>
        <w:pageBreakBefore w:val="0"/>
        <w:widowControl w:val="0"/>
        <w:numPr>
          <w:ilvl w:val="0"/>
          <w:numId w:val="27"/>
        </w:numPr>
        <w:kinsoku/>
        <w:wordWrap/>
        <w:overflowPunct/>
        <w:topLinePunct w:val="0"/>
        <w:bidi w:val="0"/>
        <w:adjustRightInd w:val="0"/>
        <w:snapToGrid w:val="0"/>
        <w:spacing w:line="360" w:lineRule="auto"/>
        <w:ind w:firstLine="482"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免税</w:t>
      </w:r>
    </w:p>
    <w:p>
      <w:pPr>
        <w:keepNext w:val="0"/>
        <w:keepLines w:val="0"/>
        <w:pageBreakBefore w:val="0"/>
        <w:widowControl w:val="0"/>
        <w:kinsoku/>
        <w:wordWrap/>
        <w:overflowPunct/>
        <w:topLinePunct w:val="0"/>
        <w:bidi w:val="0"/>
        <w:adjustRightInd w:val="0"/>
        <w:snapToGrid w:val="0"/>
        <w:spacing w:line="360" w:lineRule="auto"/>
        <w:textAlignment w:val="auto"/>
        <w:outlineLvl w:val="0"/>
        <w:rPr>
          <w:rFonts w:hint="eastAsia" w:ascii="宋体" w:hAnsi="宋体" w:eastAsia="宋体" w:cs="宋体"/>
          <w:color w:val="000000"/>
          <w:sz w:val="24"/>
          <w:szCs w:val="24"/>
        </w:rPr>
      </w:pPr>
      <w:r>
        <w:rPr>
          <w:rFonts w:hint="eastAsia" w:ascii="宋体" w:hAnsi="宋体" w:eastAsia="宋体" w:cs="宋体"/>
          <w:b/>
          <w:bCs/>
          <w:sz w:val="24"/>
          <w:szCs w:val="24"/>
        </w:rPr>
        <w:t xml:space="preserve">  </w:t>
      </w:r>
      <w:r>
        <w:rPr>
          <w:rFonts w:hint="eastAsia" w:ascii="宋体" w:hAnsi="宋体" w:eastAsia="宋体" w:cs="宋体"/>
          <w:color w:val="000000"/>
          <w:sz w:val="24"/>
          <w:szCs w:val="24"/>
        </w:rPr>
        <w:t xml:space="preserve"> 1.属于进口产品，用于教学和科研目的的，中标价为免税价格。</w:t>
      </w:r>
    </w:p>
    <w:p>
      <w:pPr>
        <w:keepNext w:val="0"/>
        <w:keepLines w:val="0"/>
        <w:pageBreakBefore w:val="0"/>
        <w:widowControl w:val="0"/>
        <w:kinsoku/>
        <w:wordWrap/>
        <w:overflowPunct/>
        <w:topLinePunct w:val="0"/>
        <w:bidi w:val="0"/>
        <w:adjustRightInd w:val="0"/>
        <w:snapToGrid w:val="0"/>
        <w:spacing w:line="360" w:lineRule="auto"/>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2.免税产品应由甲乙双方依据海关的要求签订委托进口代理协议，确认甲乙双方的责任与义务。委托进口代理协议作为本合同的不可分割部分。</w:t>
      </w:r>
    </w:p>
    <w:p>
      <w:pPr>
        <w:keepNext w:val="0"/>
        <w:keepLines w:val="0"/>
        <w:pageBreakBefore w:val="0"/>
        <w:widowControl w:val="0"/>
        <w:kinsoku/>
        <w:wordWrap/>
        <w:overflowPunct/>
        <w:topLinePunct w:val="0"/>
        <w:bidi w:val="0"/>
        <w:adjustRightInd w:val="0"/>
        <w:snapToGrid w:val="0"/>
        <w:spacing w:line="360" w:lineRule="auto"/>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3.免税产品通关时乙方必须进行商检，未商检的，造成的损失由乙方承担。</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八、交货时间、地点与方式</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1.乙方于</w:t>
      </w:r>
      <w:r>
        <w:rPr>
          <w:rFonts w:hint="eastAsia" w:ascii="宋体" w:hAnsi="宋体" w:eastAsia="宋体" w:cs="宋体"/>
          <w:sz w:val="24"/>
          <w:szCs w:val="24"/>
          <w:u w:val="single"/>
        </w:rPr>
        <w:t xml:space="preserve">    </w:t>
      </w:r>
      <w:r>
        <w:rPr>
          <w:rFonts w:hint="eastAsia" w:ascii="宋体" w:hAnsi="宋体" w:eastAsia="宋体" w:cs="宋体"/>
          <w:b/>
          <w:bCs/>
          <w:sz w:val="24"/>
          <w:szCs w:val="24"/>
        </w:rPr>
        <w:t>年</w:t>
      </w:r>
      <w:r>
        <w:rPr>
          <w:rFonts w:hint="eastAsia" w:ascii="宋体" w:hAnsi="宋体" w:eastAsia="宋体" w:cs="宋体"/>
          <w:b/>
          <w:bCs/>
          <w:color w:val="000000"/>
          <w:sz w:val="24"/>
          <w:szCs w:val="24"/>
          <w:u w:val="single"/>
        </w:rPr>
        <w:t xml:space="preserve">  </w:t>
      </w:r>
      <w:r>
        <w:rPr>
          <w:rFonts w:hint="eastAsia" w:ascii="宋体" w:hAnsi="宋体" w:eastAsia="宋体" w:cs="宋体"/>
          <w:b/>
          <w:bCs/>
          <w:sz w:val="24"/>
          <w:szCs w:val="24"/>
        </w:rPr>
        <w:t>月</w:t>
      </w:r>
      <w:r>
        <w:rPr>
          <w:rFonts w:hint="eastAsia" w:ascii="宋体" w:hAnsi="宋体" w:eastAsia="宋体" w:cs="宋体"/>
          <w:b/>
          <w:bCs/>
          <w:color w:val="000000"/>
          <w:sz w:val="24"/>
          <w:szCs w:val="24"/>
          <w:u w:val="single"/>
        </w:rPr>
        <w:t xml:space="preserve">  </w:t>
      </w:r>
      <w:r>
        <w:rPr>
          <w:rFonts w:hint="eastAsia" w:ascii="宋体" w:hAnsi="宋体" w:eastAsia="宋体" w:cs="宋体"/>
          <w:b/>
          <w:bCs/>
          <w:sz w:val="24"/>
          <w:szCs w:val="24"/>
        </w:rPr>
        <w:t>日</w:t>
      </w:r>
      <w:r>
        <w:rPr>
          <w:rFonts w:hint="eastAsia" w:ascii="宋体" w:hAnsi="宋体" w:eastAsia="宋体" w:cs="宋体"/>
          <w:sz w:val="24"/>
          <w:szCs w:val="24"/>
        </w:rPr>
        <w:t>之前将货物按甲方要求在甲</w:t>
      </w:r>
      <w:r>
        <w:rPr>
          <w:rFonts w:hint="eastAsia" w:ascii="宋体" w:hAnsi="宋体" w:eastAsia="宋体" w:cs="宋体"/>
          <w:color w:val="auto"/>
          <w:sz w:val="24"/>
          <w:szCs w:val="24"/>
        </w:rPr>
        <w:t>方指定地点交货、安装、调试完毕，并具备使用条件，未经甲方允许每推迟一天，按合同总额的千分之五</w:t>
      </w:r>
      <w:r>
        <w:rPr>
          <w:rFonts w:hint="eastAsia" w:ascii="宋体" w:hAnsi="宋体" w:eastAsia="宋体" w:cs="宋体"/>
          <w:color w:val="auto"/>
          <w:sz w:val="24"/>
          <w:szCs w:val="24"/>
          <w:lang w:val="en-US" w:eastAsia="zh-CN"/>
        </w:rPr>
        <w:t>支付</w:t>
      </w:r>
      <w:r>
        <w:rPr>
          <w:rFonts w:hint="eastAsia" w:ascii="宋体" w:hAnsi="宋体" w:eastAsia="宋体" w:cs="宋体"/>
          <w:color w:val="auto"/>
          <w:sz w:val="24"/>
          <w:szCs w:val="24"/>
        </w:rPr>
        <w:t>违约金。</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2.乙方负责所供货物包装、运输、安装和调试，并承担所发生的费用；甲方为乙方现场安装提供水、电等便利条件。</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3.安装过程中若发生安全事故由乙方承担。</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4.乙方安装人员应服从甲方的管理，遵守国家法律法规和学校相关制度，否则一切后果均由乙方承担。</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5.货物交付使用前，乙方负责对提供货物进行看管，并承担货物的丢失、损毁等风险。</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九、验收方式</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1.初步验收。甲方按合同所列质量标准、规格型号、技术参数以及数量等在现场验收，并填写初步验收单（详见附件4）。验收时，甲方有权提出采用技术和破坏相结合的方法。</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乙方应向甲方移交所供设备完整的使用说明书、合格证及相关资料。乙方在所有设备（工程）安装调试、软件安装完毕后，开展现场培训，使用户能够独立熟练操作使用仪器或设备，尔后由供需双方共同初步验收；甲乙双方如产生异议，由第三方重新进行验收。如果乙方提供的货物与合同不符，甲方有权拒绝验收，由此所产生的一切费用由乙方承担。</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正式验收：依据河南省财政厅“《关于加强政府采购合同监督管理工作的通知》【豫财购（2010）24号】”文件要求，政府采购合同金额50万元以上的货物采购项目，由使用单位初验合格后，向国有资产管理处提出验收申请，由采购单位领导牵头，会同财务、审计、资产管理及专家成立验收专家组进行正式验收。学校验收通过后，才能支付合同款项。</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十、付款方式</w:t>
      </w:r>
      <w:r>
        <w:rPr>
          <w:rFonts w:hint="eastAsia" w:ascii="宋体" w:hAnsi="宋体" w:eastAsia="宋体" w:cs="宋体"/>
          <w:b/>
          <w:bCs/>
          <w:color w:val="auto"/>
          <w:sz w:val="24"/>
          <w:szCs w:val="24"/>
          <w:lang w:val="en-US" w:eastAsia="zh-CN"/>
        </w:rPr>
        <w:t>及条件</w:t>
      </w:r>
    </w:p>
    <w:p>
      <w:pPr>
        <w:keepNext w:val="0"/>
        <w:keepLines w:val="0"/>
        <w:pageBreakBefore w:val="0"/>
        <w:widowControl w:val="0"/>
        <w:kinsoku/>
        <w:wordWrap/>
        <w:overflowPunct/>
        <w:topLinePunct w:val="0"/>
        <w:bidi w:val="0"/>
        <w:adjustRightInd w:val="0"/>
        <w:snapToGrid w:val="0"/>
        <w:spacing w:line="360" w:lineRule="auto"/>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1.本合同总价款（大写）为：</w:t>
      </w:r>
      <w:r>
        <w:rPr>
          <w:rFonts w:hint="eastAsia" w:ascii="宋体" w:hAnsi="宋体" w:eastAsia="宋体" w:cs="宋体"/>
          <w:b/>
          <w:bCs/>
          <w:color w:val="auto"/>
          <w:kern w:val="0"/>
          <w:sz w:val="24"/>
          <w:szCs w:val="24"/>
          <w:u w:val="single"/>
        </w:rPr>
        <w:t xml:space="preserve">                 （小写：¥     元）</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bidi w:val="0"/>
        <w:adjustRightInd w:val="0"/>
        <w:snapToGrid w:val="0"/>
        <w:spacing w:line="360" w:lineRule="auto"/>
        <w:ind w:left="1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2.付款方式：</w:t>
      </w:r>
      <w:r>
        <w:rPr>
          <w:rFonts w:hint="eastAsia" w:ascii="宋体" w:hAnsi="宋体" w:cs="宋体"/>
          <w:color w:val="auto"/>
          <w:sz w:val="24"/>
          <w:highlight w:val="none"/>
          <w:lang w:eastAsia="zh-CN"/>
        </w:rPr>
        <w:t>签订合同后甲方向乙方支付合同款的30%，最终验收合格后，甲方向乙方支付至合同款的100%</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十一、履约担保</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outlineLvl w:val="0"/>
        <w:rPr>
          <w:rFonts w:hint="eastAsia" w:ascii="宋体" w:hAnsi="宋体" w:eastAsia="宋体" w:cs="宋体"/>
          <w:b/>
          <w:color w:val="auto"/>
          <w:sz w:val="24"/>
          <w:szCs w:val="24"/>
          <w:highlight w:val="none"/>
          <w:u w:val="none"/>
          <w:lang w:val="en-US" w:eastAsia="zh-CN"/>
        </w:rPr>
      </w:pPr>
      <w:r>
        <w:rPr>
          <w:rFonts w:hint="eastAsia" w:ascii="宋体" w:hAnsi="宋体" w:eastAsia="宋体" w:cs="宋体"/>
          <w:b/>
          <w:color w:val="auto"/>
          <w:sz w:val="24"/>
          <w:szCs w:val="24"/>
          <w:highlight w:val="none"/>
          <w:u w:val="none"/>
          <w:lang w:val="en-US" w:eastAsia="zh-CN"/>
        </w:rPr>
        <w:t>无</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十二、违约责任</w:t>
      </w:r>
    </w:p>
    <w:p>
      <w:pPr>
        <w:keepNext w:val="0"/>
        <w:keepLines w:val="0"/>
        <w:pageBreakBefore w:val="0"/>
        <w:widowControl w:val="0"/>
        <w:kinsoku/>
        <w:wordWrap/>
        <w:overflowPunct/>
        <w:topLinePunct w:val="0"/>
        <w:bidi w:val="0"/>
        <w:adjustRightInd w:val="0"/>
        <w:snapToGrid w:val="0"/>
        <w:spacing w:line="360" w:lineRule="auto"/>
        <w:ind w:firstLine="460" w:firstLineChars="19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所交的货物产地、品牌、型号、规格、质量以及技术标准、数量等不符合合同要求，甲方有权拒收，由此产生的一切费用由乙方负责；因货物更换而造成逾期交货，则按逾期交货处理，乙方应向甲方每天支付合同标总额日千分之五的违约金。</w:t>
      </w:r>
    </w:p>
    <w:p>
      <w:pPr>
        <w:keepNext w:val="0"/>
        <w:keepLines w:val="0"/>
        <w:pageBreakBefore w:val="0"/>
        <w:widowControl w:val="0"/>
        <w:kinsoku/>
        <w:wordWrap/>
        <w:overflowPunct/>
        <w:topLinePunct w:val="0"/>
        <w:bidi w:val="0"/>
        <w:adjustRightInd w:val="0"/>
        <w:snapToGrid w:val="0"/>
        <w:spacing w:line="360" w:lineRule="auto"/>
        <w:ind w:firstLine="460" w:firstLineChars="192"/>
        <w:textAlignment w:val="auto"/>
        <w:rPr>
          <w:rFonts w:hint="eastAsia" w:ascii="宋体" w:hAnsi="宋体" w:eastAsia="宋体" w:cs="宋体"/>
          <w:sz w:val="24"/>
          <w:szCs w:val="24"/>
        </w:rPr>
      </w:pPr>
      <w:r>
        <w:rPr>
          <w:rFonts w:hint="eastAsia" w:ascii="宋体" w:hAnsi="宋体" w:eastAsia="宋体" w:cs="宋体"/>
          <w:color w:val="auto"/>
          <w:sz w:val="24"/>
          <w:szCs w:val="24"/>
        </w:rPr>
        <w:t>甲方无正当理由拒收设备，</w:t>
      </w:r>
      <w:r>
        <w:rPr>
          <w:rFonts w:hint="eastAsia" w:ascii="宋体" w:hAnsi="宋体" w:eastAsia="宋体" w:cs="宋体"/>
          <w:sz w:val="24"/>
          <w:szCs w:val="24"/>
        </w:rPr>
        <w:t>应向</w:t>
      </w:r>
      <w:r>
        <w:rPr>
          <w:rFonts w:hint="eastAsia" w:ascii="宋体" w:hAnsi="宋体" w:eastAsia="宋体" w:cs="宋体"/>
          <w:sz w:val="24"/>
          <w:szCs w:val="24"/>
          <w:lang w:val="en-US" w:eastAsia="zh-CN"/>
        </w:rPr>
        <w:t>乙</w:t>
      </w:r>
      <w:r>
        <w:rPr>
          <w:rFonts w:hint="eastAsia" w:ascii="宋体" w:hAnsi="宋体" w:eastAsia="宋体" w:cs="宋体"/>
          <w:sz w:val="24"/>
          <w:szCs w:val="24"/>
        </w:rPr>
        <w:t>方偿付拒收设备款额百分之五的违约金。甲方逾期付款，应向乙方支付本合同标的总额的日万分之四的违约金。</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十三、其它</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1.组成本合同的文件及解释顺序为：本合同及</w:t>
      </w:r>
      <w:r>
        <w:rPr>
          <w:rFonts w:hint="eastAsia" w:ascii="宋体" w:hAnsi="宋体" w:eastAsia="宋体" w:cs="宋体"/>
          <w:sz w:val="24"/>
          <w:szCs w:val="24"/>
          <w:lang w:val="en-US" w:eastAsia="zh-CN"/>
        </w:rPr>
        <w:t>其附件、双方签字并盖章的补充协议和文件</w:t>
      </w:r>
      <w:r>
        <w:rPr>
          <w:rFonts w:hint="eastAsia" w:ascii="宋体" w:hAnsi="宋体" w:eastAsia="宋体" w:cs="宋体"/>
          <w:sz w:val="24"/>
          <w:szCs w:val="24"/>
          <w:lang w:eastAsia="zh-CN"/>
        </w:rPr>
        <w:t>；</w:t>
      </w:r>
      <w:r>
        <w:rPr>
          <w:rFonts w:hint="eastAsia" w:ascii="宋体" w:hAnsi="宋体" w:eastAsia="宋体" w:cs="宋体"/>
          <w:sz w:val="24"/>
          <w:szCs w:val="24"/>
        </w:rPr>
        <w:t>投标书及其附件；招标文件及补充通知；中标通知书；国家、行业或企业（以最高的为准）标准、规范及有关技术文件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投标书及其附件</w:t>
      </w:r>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val="0"/>
        <w:snapToGrid w:val="0"/>
        <w:spacing w:line="360"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2.双方在执行合同时产生纠纷，协商解决；协商不成，向甲方所在地人民法院提起诉讼。</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3.本合同共</w:t>
      </w:r>
      <w:r>
        <w:rPr>
          <w:rFonts w:hint="eastAsia" w:ascii="宋体" w:hAnsi="宋体" w:eastAsia="宋体" w:cs="宋体"/>
          <w:sz w:val="24"/>
          <w:szCs w:val="24"/>
          <w:u w:val="single"/>
        </w:rPr>
        <w:t xml:space="preserve">    </w:t>
      </w:r>
      <w:r>
        <w:rPr>
          <w:rFonts w:hint="eastAsia" w:ascii="宋体" w:hAnsi="宋体" w:eastAsia="宋体" w:cs="宋体"/>
          <w:sz w:val="24"/>
          <w:szCs w:val="24"/>
        </w:rPr>
        <w:t>页，一式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份，甲方执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（用于合同备案、进口产品免税、验收、报账等事项）</w:t>
      </w:r>
      <w:r>
        <w:rPr>
          <w:rFonts w:hint="eastAsia" w:ascii="宋体" w:hAnsi="宋体" w:eastAsia="宋体" w:cs="宋体"/>
          <w:sz w:val="24"/>
          <w:szCs w:val="24"/>
        </w:rPr>
        <w:t>，乙方执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份，招标公司执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份。</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4.本合同未尽事宜，</w:t>
      </w:r>
      <w:r>
        <w:rPr>
          <w:rFonts w:hint="eastAsia" w:ascii="宋体" w:hAnsi="宋体" w:eastAsia="宋体" w:cs="宋体"/>
          <w:sz w:val="24"/>
          <w:szCs w:val="24"/>
          <w:lang w:val="en-US" w:eastAsia="zh-CN"/>
        </w:rPr>
        <w:t>甲方</w:t>
      </w:r>
      <w:r>
        <w:rPr>
          <w:rFonts w:hint="eastAsia" w:ascii="宋体" w:hAnsi="宋体" w:eastAsia="宋体" w:cs="宋体"/>
          <w:sz w:val="24"/>
          <w:szCs w:val="24"/>
        </w:rPr>
        <w:t>双方可签订补充协议，与本合同具有同等法律效力。</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本合同经</w:t>
      </w:r>
      <w:r>
        <w:rPr>
          <w:rFonts w:hint="eastAsia" w:ascii="宋体" w:hAnsi="宋体" w:eastAsia="宋体" w:cs="宋体"/>
          <w:sz w:val="24"/>
          <w:szCs w:val="24"/>
        </w:rPr>
        <w:t>双方法定代表人或其授权代理人签字</w:t>
      </w:r>
      <w:r>
        <w:rPr>
          <w:rFonts w:hint="eastAsia" w:ascii="宋体" w:hAnsi="宋体" w:eastAsia="宋体" w:cs="宋体"/>
          <w:sz w:val="24"/>
          <w:szCs w:val="24"/>
          <w:lang w:val="en-US" w:eastAsia="zh-CN"/>
        </w:rPr>
        <w:t>并</w:t>
      </w:r>
      <w:r>
        <w:rPr>
          <w:rFonts w:hint="eastAsia" w:ascii="宋体" w:hAnsi="宋体" w:eastAsia="宋体" w:cs="宋体"/>
          <w:sz w:val="24"/>
          <w:szCs w:val="24"/>
        </w:rPr>
        <w:t>加盖</w:t>
      </w:r>
      <w:r>
        <w:rPr>
          <w:rFonts w:hint="eastAsia" w:ascii="宋体" w:hAnsi="宋体" w:eastAsia="宋体" w:cs="宋体"/>
          <w:sz w:val="24"/>
          <w:szCs w:val="24"/>
          <w:lang w:val="en-US" w:eastAsia="zh-CN"/>
        </w:rPr>
        <w:t>单位</w:t>
      </w:r>
      <w:r>
        <w:rPr>
          <w:rFonts w:hint="eastAsia" w:ascii="宋体" w:hAnsi="宋体" w:eastAsia="宋体" w:cs="宋体"/>
          <w:sz w:val="24"/>
          <w:szCs w:val="24"/>
        </w:rPr>
        <w:t>公章后生效。</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6.法律文书接收地址（乙方）：</w:t>
      </w:r>
    </w:p>
    <w:p>
      <w:pPr>
        <w:keepNext w:val="0"/>
        <w:keepLines w:val="0"/>
        <w:pageBreakBefore w:val="0"/>
        <w:widowControl w:val="0"/>
        <w:tabs>
          <w:tab w:val="left" w:pos="5020"/>
        </w:tabs>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甲方：                               乙方： </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地址：                               地址: </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签字代表（或委托代理人）：            签字代表：</w:t>
      </w:r>
    </w:p>
    <w:p>
      <w:pPr>
        <w:keepNext w:val="0"/>
        <w:keepLines w:val="0"/>
        <w:pageBreakBefore w:val="0"/>
        <w:widowControl w:val="0"/>
        <w:tabs>
          <w:tab w:val="left" w:pos="486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sz w:val="24"/>
          <w:szCs w:val="24"/>
        </w:rPr>
        <w:t>电话：                              电话：</w:t>
      </w:r>
    </w:p>
    <w:p>
      <w:pPr>
        <w:keepNext w:val="0"/>
        <w:keepLines w:val="0"/>
        <w:pageBreakBefore w:val="0"/>
        <w:widowControl w:val="0"/>
        <w:kinsoku/>
        <w:wordWrap/>
        <w:overflowPunct/>
        <w:topLinePunct w:val="0"/>
        <w:bidi w:val="0"/>
        <w:snapToGrid w:val="0"/>
        <w:spacing w:line="360" w:lineRule="auto"/>
        <w:ind w:firstLine="0" w:firstLineChars="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开户银行：</w:t>
      </w:r>
      <w:r>
        <w:rPr>
          <w:rFonts w:hint="eastAsia" w:ascii="宋体" w:hAnsi="宋体" w:eastAsia="宋体" w:cs="宋体"/>
          <w:b/>
          <w:bCs/>
          <w:color w:val="000000"/>
          <w:kern w:val="0"/>
          <w:sz w:val="24"/>
          <w:szCs w:val="24"/>
        </w:rPr>
        <w:t xml:space="preserve">                          开户银行：</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账号：</w:t>
      </w:r>
      <w:r>
        <w:rPr>
          <w:rFonts w:hint="eastAsia" w:ascii="宋体" w:hAnsi="宋体" w:eastAsia="宋体" w:cs="宋体"/>
          <w:b/>
          <w:bCs/>
          <w:color w:val="000000"/>
          <w:kern w:val="0"/>
          <w:sz w:val="24"/>
          <w:szCs w:val="24"/>
        </w:rPr>
        <w:t xml:space="preserve">                              账号：</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 xml:space="preserve">合同签署日期：       年    月    日                </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bCs/>
          <w:sz w:val="24"/>
          <w:szCs w:val="24"/>
        </w:rPr>
        <w:sectPr>
          <w:headerReference r:id="rId8" w:type="default"/>
          <w:footerReference r:id="rId9" w:type="default"/>
          <w:pgSz w:w="11906" w:h="16838"/>
          <w:pgMar w:top="1418" w:right="1418" w:bottom="1418" w:left="1701" w:header="851" w:footer="992" w:gutter="0"/>
          <w:cols w:space="720" w:num="1"/>
          <w:docGrid w:type="lines" w:linePitch="312" w:charSpace="0"/>
        </w:sectPr>
      </w:pPr>
    </w:p>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附件1</w:t>
      </w:r>
      <w:r>
        <w:rPr>
          <w:rFonts w:hint="eastAsia" w:ascii="宋体" w:hAnsi="宋体" w:eastAsia="宋体" w:cs="宋体"/>
          <w:color w:val="000000"/>
          <w:kern w:val="0"/>
          <w:sz w:val="24"/>
          <w:szCs w:val="24"/>
        </w:rPr>
        <w:t xml:space="preserve">： </w:t>
      </w:r>
    </w:p>
    <w:tbl>
      <w:tblPr>
        <w:tblStyle w:val="50"/>
        <w:tblpPr w:leftFromText="180" w:rightFromText="180" w:vertAnchor="text" w:horzAnchor="page" w:tblpX="1436" w:tblpY="956"/>
        <w:tblOverlap w:val="never"/>
        <w:tblW w:w="13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462"/>
        <w:gridCol w:w="1209"/>
        <w:gridCol w:w="1260"/>
        <w:gridCol w:w="1620"/>
        <w:gridCol w:w="2160"/>
        <w:gridCol w:w="1182"/>
        <w:gridCol w:w="970"/>
        <w:gridCol w:w="1050"/>
        <w:gridCol w:w="126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trPr>
        <w:tc>
          <w:tcPr>
            <w:tcW w:w="777"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671" w:type="dxa"/>
            <w:gridSpan w:val="2"/>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设备名称</w:t>
            </w:r>
          </w:p>
        </w:tc>
        <w:tc>
          <w:tcPr>
            <w:tcW w:w="126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品牌型号</w:t>
            </w:r>
          </w:p>
        </w:tc>
        <w:tc>
          <w:tcPr>
            <w:tcW w:w="162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制造厂（商）</w:t>
            </w:r>
          </w:p>
        </w:tc>
        <w:tc>
          <w:tcPr>
            <w:tcW w:w="216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原产地（国）</w:t>
            </w:r>
          </w:p>
        </w:tc>
        <w:tc>
          <w:tcPr>
            <w:tcW w:w="1182"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w:t>
            </w:r>
          </w:p>
        </w:tc>
        <w:tc>
          <w:tcPr>
            <w:tcW w:w="97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单位</w:t>
            </w:r>
          </w:p>
        </w:tc>
        <w:tc>
          <w:tcPr>
            <w:tcW w:w="105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单价</w:t>
            </w:r>
          </w:p>
        </w:tc>
        <w:tc>
          <w:tcPr>
            <w:tcW w:w="126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合价</w:t>
            </w:r>
          </w:p>
        </w:tc>
        <w:tc>
          <w:tcPr>
            <w:tcW w:w="171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77" w:type="dxa"/>
            <w:noWrap w:val="0"/>
            <w:vAlign w:val="center"/>
          </w:tcPr>
          <w:p>
            <w:pPr>
              <w:keepNext w:val="0"/>
              <w:keepLines w:val="0"/>
              <w:pageBreakBefore w:val="0"/>
              <w:widowControl w:val="0"/>
              <w:kinsoku/>
              <w:wordWrap/>
              <w:overflowPunct/>
              <w:topLinePunct w:val="0"/>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671" w:type="dxa"/>
            <w:gridSpan w:val="2"/>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260" w:type="dxa"/>
            <w:noWrap w:val="0"/>
            <w:vAlign w:val="center"/>
          </w:tcPr>
          <w:p>
            <w:pPr>
              <w:keepNext w:val="0"/>
              <w:keepLines w:val="0"/>
              <w:pageBreakBefore w:val="0"/>
              <w:widowControl w:val="0"/>
              <w:kinsoku/>
              <w:wordWrap/>
              <w:overflowPunct/>
              <w:topLinePunct w:val="0"/>
              <w:bidi w:val="0"/>
              <w:spacing w:line="360" w:lineRule="auto"/>
              <w:ind w:firstLine="210"/>
              <w:textAlignment w:val="auto"/>
              <w:rPr>
                <w:rFonts w:hint="eastAsia" w:ascii="宋体" w:hAnsi="宋体" w:eastAsia="宋体" w:cs="宋体"/>
                <w:sz w:val="24"/>
                <w:szCs w:val="24"/>
              </w:rPr>
            </w:pPr>
          </w:p>
        </w:tc>
        <w:tc>
          <w:tcPr>
            <w:tcW w:w="1620" w:type="dxa"/>
            <w:noWrap w:val="0"/>
            <w:vAlign w:val="center"/>
          </w:tcPr>
          <w:p>
            <w:pPr>
              <w:keepNext w:val="0"/>
              <w:keepLines w:val="0"/>
              <w:pageBreakBefore w:val="0"/>
              <w:widowControl w:val="0"/>
              <w:kinsoku/>
              <w:wordWrap/>
              <w:overflowPunct/>
              <w:topLinePunct w:val="0"/>
              <w:bidi w:val="0"/>
              <w:spacing w:line="360" w:lineRule="auto"/>
              <w:ind w:firstLine="210"/>
              <w:textAlignment w:val="auto"/>
              <w:rPr>
                <w:rFonts w:hint="eastAsia" w:ascii="宋体" w:hAnsi="宋体" w:eastAsia="宋体" w:cs="宋体"/>
                <w:sz w:val="24"/>
                <w:szCs w:val="24"/>
              </w:rPr>
            </w:pPr>
          </w:p>
        </w:tc>
        <w:tc>
          <w:tcPr>
            <w:tcW w:w="2160" w:type="dxa"/>
            <w:noWrap w:val="0"/>
            <w:vAlign w:val="center"/>
          </w:tcPr>
          <w:p>
            <w:pPr>
              <w:keepNext w:val="0"/>
              <w:keepLines w:val="0"/>
              <w:pageBreakBefore w:val="0"/>
              <w:widowControl w:val="0"/>
              <w:kinsoku/>
              <w:wordWrap/>
              <w:overflowPunct/>
              <w:topLinePunct w:val="0"/>
              <w:bidi w:val="0"/>
              <w:spacing w:line="360" w:lineRule="auto"/>
              <w:ind w:firstLine="210"/>
              <w:textAlignment w:val="auto"/>
              <w:rPr>
                <w:rFonts w:hint="eastAsia" w:ascii="宋体" w:hAnsi="宋体" w:eastAsia="宋体" w:cs="宋体"/>
                <w:sz w:val="24"/>
                <w:szCs w:val="24"/>
              </w:rPr>
            </w:pPr>
          </w:p>
        </w:tc>
        <w:tc>
          <w:tcPr>
            <w:tcW w:w="1182"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000000"/>
                <w:sz w:val="24"/>
                <w:szCs w:val="24"/>
              </w:rPr>
            </w:pPr>
          </w:p>
        </w:tc>
        <w:tc>
          <w:tcPr>
            <w:tcW w:w="97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05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26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71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是否免税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77" w:type="dxa"/>
            <w:noWrap w:val="0"/>
            <w:vAlign w:val="center"/>
          </w:tcPr>
          <w:p>
            <w:pPr>
              <w:keepNext w:val="0"/>
              <w:keepLines w:val="0"/>
              <w:pageBreakBefore w:val="0"/>
              <w:widowControl w:val="0"/>
              <w:kinsoku/>
              <w:wordWrap/>
              <w:overflowPunct/>
              <w:topLinePunct w:val="0"/>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671" w:type="dxa"/>
            <w:gridSpan w:val="2"/>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260" w:type="dxa"/>
            <w:noWrap w:val="0"/>
            <w:vAlign w:val="center"/>
          </w:tcPr>
          <w:p>
            <w:pPr>
              <w:keepNext w:val="0"/>
              <w:keepLines w:val="0"/>
              <w:pageBreakBefore w:val="0"/>
              <w:widowControl w:val="0"/>
              <w:kinsoku/>
              <w:wordWrap/>
              <w:overflowPunct/>
              <w:topLinePunct w:val="0"/>
              <w:bidi w:val="0"/>
              <w:spacing w:line="360" w:lineRule="auto"/>
              <w:ind w:firstLine="210"/>
              <w:textAlignment w:val="auto"/>
              <w:rPr>
                <w:rFonts w:hint="eastAsia" w:ascii="宋体" w:hAnsi="宋体" w:eastAsia="宋体" w:cs="宋体"/>
                <w:sz w:val="24"/>
                <w:szCs w:val="24"/>
              </w:rPr>
            </w:pPr>
          </w:p>
        </w:tc>
        <w:tc>
          <w:tcPr>
            <w:tcW w:w="1620" w:type="dxa"/>
            <w:noWrap w:val="0"/>
            <w:vAlign w:val="center"/>
          </w:tcPr>
          <w:p>
            <w:pPr>
              <w:keepNext w:val="0"/>
              <w:keepLines w:val="0"/>
              <w:pageBreakBefore w:val="0"/>
              <w:widowControl w:val="0"/>
              <w:kinsoku/>
              <w:wordWrap/>
              <w:overflowPunct/>
              <w:topLinePunct w:val="0"/>
              <w:bidi w:val="0"/>
              <w:spacing w:line="360" w:lineRule="auto"/>
              <w:ind w:firstLine="210"/>
              <w:textAlignment w:val="auto"/>
              <w:rPr>
                <w:rFonts w:hint="eastAsia" w:ascii="宋体" w:hAnsi="宋体" w:eastAsia="宋体" w:cs="宋体"/>
                <w:sz w:val="24"/>
                <w:szCs w:val="24"/>
              </w:rPr>
            </w:pPr>
          </w:p>
        </w:tc>
        <w:tc>
          <w:tcPr>
            <w:tcW w:w="2160" w:type="dxa"/>
            <w:noWrap w:val="0"/>
            <w:vAlign w:val="center"/>
          </w:tcPr>
          <w:p>
            <w:pPr>
              <w:keepNext w:val="0"/>
              <w:keepLines w:val="0"/>
              <w:pageBreakBefore w:val="0"/>
              <w:widowControl w:val="0"/>
              <w:kinsoku/>
              <w:wordWrap/>
              <w:overflowPunct/>
              <w:topLinePunct w:val="0"/>
              <w:bidi w:val="0"/>
              <w:spacing w:line="360" w:lineRule="auto"/>
              <w:ind w:firstLine="210"/>
              <w:textAlignment w:val="auto"/>
              <w:rPr>
                <w:rFonts w:hint="eastAsia" w:ascii="宋体" w:hAnsi="宋体" w:eastAsia="宋体" w:cs="宋体"/>
                <w:sz w:val="24"/>
                <w:szCs w:val="24"/>
              </w:rPr>
            </w:pPr>
          </w:p>
        </w:tc>
        <w:tc>
          <w:tcPr>
            <w:tcW w:w="1182"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000000"/>
                <w:sz w:val="24"/>
                <w:szCs w:val="24"/>
              </w:rPr>
            </w:pPr>
          </w:p>
        </w:tc>
        <w:tc>
          <w:tcPr>
            <w:tcW w:w="97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05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26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71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77" w:type="dxa"/>
            <w:noWrap w:val="0"/>
            <w:vAlign w:val="center"/>
          </w:tcPr>
          <w:p>
            <w:pPr>
              <w:keepNext w:val="0"/>
              <w:keepLines w:val="0"/>
              <w:pageBreakBefore w:val="0"/>
              <w:widowControl w:val="0"/>
              <w:kinsoku/>
              <w:wordWrap/>
              <w:overflowPunct/>
              <w:topLinePunct w:val="0"/>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671" w:type="dxa"/>
            <w:gridSpan w:val="2"/>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260" w:type="dxa"/>
            <w:noWrap w:val="0"/>
            <w:vAlign w:val="center"/>
          </w:tcPr>
          <w:p>
            <w:pPr>
              <w:keepNext w:val="0"/>
              <w:keepLines w:val="0"/>
              <w:pageBreakBefore w:val="0"/>
              <w:widowControl w:val="0"/>
              <w:kinsoku/>
              <w:wordWrap/>
              <w:overflowPunct/>
              <w:topLinePunct w:val="0"/>
              <w:bidi w:val="0"/>
              <w:spacing w:line="360" w:lineRule="auto"/>
              <w:ind w:firstLine="210"/>
              <w:textAlignment w:val="auto"/>
              <w:rPr>
                <w:rFonts w:hint="eastAsia" w:ascii="宋体" w:hAnsi="宋体" w:eastAsia="宋体" w:cs="宋体"/>
                <w:sz w:val="24"/>
                <w:szCs w:val="24"/>
              </w:rPr>
            </w:pPr>
          </w:p>
        </w:tc>
        <w:tc>
          <w:tcPr>
            <w:tcW w:w="1620" w:type="dxa"/>
            <w:noWrap w:val="0"/>
            <w:vAlign w:val="center"/>
          </w:tcPr>
          <w:p>
            <w:pPr>
              <w:keepNext w:val="0"/>
              <w:keepLines w:val="0"/>
              <w:pageBreakBefore w:val="0"/>
              <w:widowControl w:val="0"/>
              <w:kinsoku/>
              <w:wordWrap/>
              <w:overflowPunct/>
              <w:topLinePunct w:val="0"/>
              <w:bidi w:val="0"/>
              <w:spacing w:line="360" w:lineRule="auto"/>
              <w:ind w:firstLine="210"/>
              <w:textAlignment w:val="auto"/>
              <w:rPr>
                <w:rFonts w:hint="eastAsia" w:ascii="宋体" w:hAnsi="宋体" w:eastAsia="宋体" w:cs="宋体"/>
                <w:sz w:val="24"/>
                <w:szCs w:val="24"/>
              </w:rPr>
            </w:pPr>
          </w:p>
        </w:tc>
        <w:tc>
          <w:tcPr>
            <w:tcW w:w="2160" w:type="dxa"/>
            <w:noWrap w:val="0"/>
            <w:vAlign w:val="center"/>
          </w:tcPr>
          <w:p>
            <w:pPr>
              <w:keepNext w:val="0"/>
              <w:keepLines w:val="0"/>
              <w:pageBreakBefore w:val="0"/>
              <w:widowControl w:val="0"/>
              <w:kinsoku/>
              <w:wordWrap/>
              <w:overflowPunct/>
              <w:topLinePunct w:val="0"/>
              <w:bidi w:val="0"/>
              <w:spacing w:line="360" w:lineRule="auto"/>
              <w:ind w:firstLine="210"/>
              <w:textAlignment w:val="auto"/>
              <w:rPr>
                <w:rFonts w:hint="eastAsia" w:ascii="宋体" w:hAnsi="宋体" w:eastAsia="宋体" w:cs="宋体"/>
                <w:sz w:val="24"/>
                <w:szCs w:val="24"/>
              </w:rPr>
            </w:pPr>
          </w:p>
        </w:tc>
        <w:tc>
          <w:tcPr>
            <w:tcW w:w="1182"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000000"/>
                <w:sz w:val="24"/>
                <w:szCs w:val="24"/>
              </w:rPr>
            </w:pPr>
          </w:p>
        </w:tc>
        <w:tc>
          <w:tcPr>
            <w:tcW w:w="97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05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26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71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77" w:type="dxa"/>
            <w:noWrap w:val="0"/>
            <w:vAlign w:val="center"/>
          </w:tcPr>
          <w:p>
            <w:pPr>
              <w:keepNext w:val="0"/>
              <w:keepLines w:val="0"/>
              <w:pageBreakBefore w:val="0"/>
              <w:widowControl w:val="0"/>
              <w:kinsoku/>
              <w:wordWrap/>
              <w:overflowPunct/>
              <w:topLinePunct w:val="0"/>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671" w:type="dxa"/>
            <w:gridSpan w:val="2"/>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260" w:type="dxa"/>
            <w:noWrap w:val="0"/>
            <w:vAlign w:val="center"/>
          </w:tcPr>
          <w:p>
            <w:pPr>
              <w:keepNext w:val="0"/>
              <w:keepLines w:val="0"/>
              <w:pageBreakBefore w:val="0"/>
              <w:widowControl w:val="0"/>
              <w:kinsoku/>
              <w:wordWrap/>
              <w:overflowPunct/>
              <w:topLinePunct w:val="0"/>
              <w:bidi w:val="0"/>
              <w:spacing w:line="360" w:lineRule="auto"/>
              <w:ind w:firstLine="210"/>
              <w:textAlignment w:val="auto"/>
              <w:rPr>
                <w:rFonts w:hint="eastAsia" w:ascii="宋体" w:hAnsi="宋体" w:eastAsia="宋体" w:cs="宋体"/>
                <w:sz w:val="24"/>
                <w:szCs w:val="24"/>
              </w:rPr>
            </w:pPr>
          </w:p>
        </w:tc>
        <w:tc>
          <w:tcPr>
            <w:tcW w:w="1620" w:type="dxa"/>
            <w:noWrap w:val="0"/>
            <w:vAlign w:val="center"/>
          </w:tcPr>
          <w:p>
            <w:pPr>
              <w:keepNext w:val="0"/>
              <w:keepLines w:val="0"/>
              <w:pageBreakBefore w:val="0"/>
              <w:widowControl w:val="0"/>
              <w:kinsoku/>
              <w:wordWrap/>
              <w:overflowPunct/>
              <w:topLinePunct w:val="0"/>
              <w:bidi w:val="0"/>
              <w:spacing w:line="360" w:lineRule="auto"/>
              <w:ind w:firstLine="210"/>
              <w:textAlignment w:val="auto"/>
              <w:rPr>
                <w:rFonts w:hint="eastAsia" w:ascii="宋体" w:hAnsi="宋体" w:eastAsia="宋体" w:cs="宋体"/>
                <w:sz w:val="24"/>
                <w:szCs w:val="24"/>
              </w:rPr>
            </w:pPr>
          </w:p>
        </w:tc>
        <w:tc>
          <w:tcPr>
            <w:tcW w:w="2160" w:type="dxa"/>
            <w:noWrap w:val="0"/>
            <w:vAlign w:val="center"/>
          </w:tcPr>
          <w:p>
            <w:pPr>
              <w:keepNext w:val="0"/>
              <w:keepLines w:val="0"/>
              <w:pageBreakBefore w:val="0"/>
              <w:widowControl w:val="0"/>
              <w:kinsoku/>
              <w:wordWrap/>
              <w:overflowPunct/>
              <w:topLinePunct w:val="0"/>
              <w:bidi w:val="0"/>
              <w:spacing w:line="360" w:lineRule="auto"/>
              <w:ind w:firstLine="210"/>
              <w:textAlignment w:val="auto"/>
              <w:rPr>
                <w:rFonts w:hint="eastAsia" w:ascii="宋体" w:hAnsi="宋体" w:eastAsia="宋体" w:cs="宋体"/>
                <w:sz w:val="24"/>
                <w:szCs w:val="24"/>
              </w:rPr>
            </w:pPr>
          </w:p>
        </w:tc>
        <w:tc>
          <w:tcPr>
            <w:tcW w:w="1182"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000000"/>
                <w:sz w:val="24"/>
                <w:szCs w:val="24"/>
              </w:rPr>
            </w:pPr>
          </w:p>
        </w:tc>
        <w:tc>
          <w:tcPr>
            <w:tcW w:w="97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05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26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71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77"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1671" w:type="dxa"/>
            <w:gridSpan w:val="2"/>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260" w:type="dxa"/>
            <w:noWrap w:val="0"/>
            <w:vAlign w:val="center"/>
          </w:tcPr>
          <w:p>
            <w:pPr>
              <w:keepNext w:val="0"/>
              <w:keepLines w:val="0"/>
              <w:pageBreakBefore w:val="0"/>
              <w:widowControl w:val="0"/>
              <w:kinsoku/>
              <w:wordWrap/>
              <w:overflowPunct/>
              <w:topLinePunct w:val="0"/>
              <w:bidi w:val="0"/>
              <w:spacing w:line="360" w:lineRule="auto"/>
              <w:ind w:firstLine="210"/>
              <w:textAlignment w:val="auto"/>
              <w:rPr>
                <w:rFonts w:hint="eastAsia" w:ascii="宋体" w:hAnsi="宋体" w:eastAsia="宋体" w:cs="宋体"/>
                <w:sz w:val="24"/>
                <w:szCs w:val="24"/>
              </w:rPr>
            </w:pPr>
          </w:p>
        </w:tc>
        <w:tc>
          <w:tcPr>
            <w:tcW w:w="1620" w:type="dxa"/>
            <w:noWrap w:val="0"/>
            <w:vAlign w:val="center"/>
          </w:tcPr>
          <w:p>
            <w:pPr>
              <w:keepNext w:val="0"/>
              <w:keepLines w:val="0"/>
              <w:pageBreakBefore w:val="0"/>
              <w:widowControl w:val="0"/>
              <w:kinsoku/>
              <w:wordWrap/>
              <w:overflowPunct/>
              <w:topLinePunct w:val="0"/>
              <w:bidi w:val="0"/>
              <w:spacing w:line="360" w:lineRule="auto"/>
              <w:ind w:firstLine="210"/>
              <w:textAlignment w:val="auto"/>
              <w:rPr>
                <w:rFonts w:hint="eastAsia" w:ascii="宋体" w:hAnsi="宋体" w:eastAsia="宋体" w:cs="宋体"/>
                <w:sz w:val="24"/>
                <w:szCs w:val="24"/>
              </w:rPr>
            </w:pPr>
          </w:p>
        </w:tc>
        <w:tc>
          <w:tcPr>
            <w:tcW w:w="2160" w:type="dxa"/>
            <w:noWrap w:val="0"/>
            <w:vAlign w:val="center"/>
          </w:tcPr>
          <w:p>
            <w:pPr>
              <w:keepNext w:val="0"/>
              <w:keepLines w:val="0"/>
              <w:pageBreakBefore w:val="0"/>
              <w:widowControl w:val="0"/>
              <w:kinsoku/>
              <w:wordWrap/>
              <w:overflowPunct/>
              <w:topLinePunct w:val="0"/>
              <w:bidi w:val="0"/>
              <w:spacing w:line="360" w:lineRule="auto"/>
              <w:ind w:firstLine="210"/>
              <w:textAlignment w:val="auto"/>
              <w:rPr>
                <w:rFonts w:hint="eastAsia" w:ascii="宋体" w:hAnsi="宋体" w:eastAsia="宋体" w:cs="宋体"/>
                <w:sz w:val="24"/>
                <w:szCs w:val="24"/>
              </w:rPr>
            </w:pPr>
          </w:p>
        </w:tc>
        <w:tc>
          <w:tcPr>
            <w:tcW w:w="1182"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000000"/>
                <w:sz w:val="24"/>
                <w:szCs w:val="24"/>
              </w:rPr>
            </w:pPr>
          </w:p>
        </w:tc>
        <w:tc>
          <w:tcPr>
            <w:tcW w:w="97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05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26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71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39" w:type="dxa"/>
            <w:gridSpan w:val="2"/>
            <w:noWrap w:val="0"/>
            <w:vAlign w:val="center"/>
          </w:tcPr>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rPr>
            </w:pPr>
          </w:p>
        </w:tc>
        <w:tc>
          <w:tcPr>
            <w:tcW w:w="12421" w:type="dxa"/>
            <w:gridSpan w:val="9"/>
            <w:noWrap w:val="0"/>
            <w:vAlign w:val="center"/>
          </w:tcPr>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合计：  小写：</w:t>
            </w:r>
            <w:r>
              <w:rPr>
                <w:rFonts w:hint="eastAsia" w:ascii="宋体" w:hAnsi="宋体" w:eastAsia="宋体" w:cs="宋体"/>
                <w:color w:val="000000"/>
                <w:sz w:val="24"/>
                <w:szCs w:val="24"/>
              </w:rPr>
              <w:t xml:space="preserve">￥         </w:t>
            </w:r>
            <w:r>
              <w:rPr>
                <w:rFonts w:hint="eastAsia" w:ascii="宋体" w:hAnsi="宋体" w:eastAsia="宋体" w:cs="宋体"/>
                <w:sz w:val="24"/>
                <w:szCs w:val="24"/>
              </w:rPr>
              <w:t>元     大写：人民币</w:t>
            </w:r>
            <w:r>
              <w:rPr>
                <w:rFonts w:hint="eastAsia" w:ascii="宋体" w:hAnsi="宋体" w:eastAsia="宋体" w:cs="宋体"/>
                <w:b/>
                <w:bCs/>
                <w:color w:val="000000"/>
                <w:kern w:val="0"/>
                <w:sz w:val="24"/>
                <w:szCs w:val="24"/>
              </w:rPr>
              <w:t xml:space="preserve">         </w:t>
            </w:r>
            <w:r>
              <w:rPr>
                <w:rFonts w:hint="eastAsia" w:ascii="宋体" w:hAnsi="宋体" w:eastAsia="宋体" w:cs="宋体"/>
                <w:sz w:val="24"/>
                <w:szCs w:val="24"/>
              </w:rPr>
              <w:t>元整</w:t>
            </w:r>
          </w:p>
        </w:tc>
      </w:tr>
    </w:tbl>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b/>
          <w:bCs/>
          <w:color w:val="000000"/>
          <w:kern w:val="0"/>
          <w:sz w:val="24"/>
          <w:szCs w:val="24"/>
        </w:rPr>
        <w:t xml:space="preserve">               供货范围及分项价格表</w:t>
      </w:r>
      <w:r>
        <w:rPr>
          <w:rFonts w:hint="eastAsia" w:ascii="宋体" w:hAnsi="宋体" w:eastAsia="宋体" w:cs="宋体"/>
          <w:color w:val="000000"/>
          <w:sz w:val="24"/>
          <w:szCs w:val="24"/>
        </w:rPr>
        <w:t xml:space="preserve">                          单位：元</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000000"/>
          <w:kern w:val="0"/>
          <w:sz w:val="24"/>
          <w:szCs w:val="24"/>
        </w:rPr>
        <w:sectPr>
          <w:pgSz w:w="16838" w:h="11906" w:orient="landscape"/>
          <w:pgMar w:top="1797" w:right="1440" w:bottom="1797" w:left="1440" w:header="851" w:footer="992" w:gutter="0"/>
          <w:cols w:space="720" w:num="1"/>
          <w:docGrid w:type="linesAndChars" w:linePitch="312" w:charSpace="0"/>
        </w:sectPr>
      </w:pPr>
    </w:p>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附件2：</w:t>
      </w:r>
    </w:p>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w:t>
      </w:r>
      <w:r>
        <w:rPr>
          <w:rFonts w:hint="eastAsia" w:ascii="宋体" w:hAnsi="宋体" w:eastAsia="宋体" w:cs="宋体"/>
          <w:b/>
          <w:bCs/>
          <w:sz w:val="24"/>
          <w:szCs w:val="24"/>
        </w:rPr>
        <w:t>技术规格参数、功能描述及</w:t>
      </w:r>
      <w:r>
        <w:rPr>
          <w:rFonts w:hint="eastAsia" w:ascii="宋体" w:hAnsi="宋体" w:eastAsia="宋体" w:cs="宋体"/>
          <w:b/>
          <w:bCs/>
          <w:color w:val="000000"/>
          <w:kern w:val="0"/>
          <w:sz w:val="24"/>
          <w:szCs w:val="24"/>
        </w:rPr>
        <w:t>配置清单表</w:t>
      </w:r>
    </w:p>
    <w:tbl>
      <w:tblPr>
        <w:tblStyle w:val="5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346"/>
        <w:gridCol w:w="837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 号</w:t>
            </w:r>
          </w:p>
        </w:tc>
        <w:tc>
          <w:tcPr>
            <w:tcW w:w="1346" w:type="dxa"/>
            <w:noWrap w:val="0"/>
            <w:vAlign w:val="top"/>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设备名称</w:t>
            </w:r>
          </w:p>
        </w:tc>
        <w:tc>
          <w:tcPr>
            <w:tcW w:w="8374"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具体</w:t>
            </w:r>
            <w:r>
              <w:rPr>
                <w:rFonts w:hint="eastAsia" w:ascii="宋体" w:hAnsi="宋体" w:eastAsia="宋体" w:cs="宋体"/>
                <w:b/>
                <w:bCs/>
                <w:sz w:val="24"/>
                <w:szCs w:val="24"/>
              </w:rPr>
              <w:t>技术规格参数、功能描述及</w:t>
            </w:r>
            <w:r>
              <w:rPr>
                <w:rFonts w:hint="eastAsia" w:ascii="宋体" w:hAnsi="宋体" w:eastAsia="宋体" w:cs="宋体"/>
                <w:b/>
                <w:bCs/>
                <w:color w:val="000000"/>
                <w:kern w:val="0"/>
                <w:sz w:val="24"/>
                <w:szCs w:val="24"/>
              </w:rPr>
              <w:t>配置清单描述</w:t>
            </w:r>
          </w:p>
        </w:tc>
        <w:tc>
          <w:tcPr>
            <w:tcW w:w="1260"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单 位</w:t>
            </w:r>
          </w:p>
        </w:tc>
        <w:tc>
          <w:tcPr>
            <w:tcW w:w="1980"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1346" w:type="dxa"/>
            <w:noWrap w:val="0"/>
            <w:vAlign w:val="top"/>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p>
        </w:tc>
        <w:tc>
          <w:tcPr>
            <w:tcW w:w="8374"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c>
          <w:tcPr>
            <w:tcW w:w="1260"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c>
          <w:tcPr>
            <w:tcW w:w="1980"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p>
        </w:tc>
        <w:tc>
          <w:tcPr>
            <w:tcW w:w="1346" w:type="dxa"/>
            <w:noWrap w:val="0"/>
            <w:vAlign w:val="top"/>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p>
        </w:tc>
        <w:tc>
          <w:tcPr>
            <w:tcW w:w="8374"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c>
          <w:tcPr>
            <w:tcW w:w="1260"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c>
          <w:tcPr>
            <w:tcW w:w="1980"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3</w:t>
            </w:r>
          </w:p>
        </w:tc>
        <w:tc>
          <w:tcPr>
            <w:tcW w:w="1346" w:type="dxa"/>
            <w:noWrap w:val="0"/>
            <w:vAlign w:val="top"/>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p>
        </w:tc>
        <w:tc>
          <w:tcPr>
            <w:tcW w:w="8374"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c>
          <w:tcPr>
            <w:tcW w:w="1260"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c>
          <w:tcPr>
            <w:tcW w:w="1980"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4</w:t>
            </w:r>
          </w:p>
        </w:tc>
        <w:tc>
          <w:tcPr>
            <w:tcW w:w="1346" w:type="dxa"/>
            <w:noWrap w:val="0"/>
            <w:vAlign w:val="top"/>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p>
        </w:tc>
        <w:tc>
          <w:tcPr>
            <w:tcW w:w="8374"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c>
          <w:tcPr>
            <w:tcW w:w="1260"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c>
          <w:tcPr>
            <w:tcW w:w="1980"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5</w:t>
            </w:r>
          </w:p>
        </w:tc>
        <w:tc>
          <w:tcPr>
            <w:tcW w:w="1346" w:type="dxa"/>
            <w:noWrap w:val="0"/>
            <w:vAlign w:val="top"/>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p>
        </w:tc>
        <w:tc>
          <w:tcPr>
            <w:tcW w:w="8374"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c>
          <w:tcPr>
            <w:tcW w:w="1260"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c>
          <w:tcPr>
            <w:tcW w:w="1980"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6</w:t>
            </w:r>
          </w:p>
        </w:tc>
        <w:tc>
          <w:tcPr>
            <w:tcW w:w="1346" w:type="dxa"/>
            <w:noWrap w:val="0"/>
            <w:vAlign w:val="top"/>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p>
        </w:tc>
        <w:tc>
          <w:tcPr>
            <w:tcW w:w="8374"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c>
          <w:tcPr>
            <w:tcW w:w="1260"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c>
          <w:tcPr>
            <w:tcW w:w="1980"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7</w:t>
            </w:r>
          </w:p>
        </w:tc>
        <w:tc>
          <w:tcPr>
            <w:tcW w:w="1346" w:type="dxa"/>
            <w:noWrap w:val="0"/>
            <w:vAlign w:val="top"/>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p>
        </w:tc>
        <w:tc>
          <w:tcPr>
            <w:tcW w:w="8374"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c>
          <w:tcPr>
            <w:tcW w:w="1260"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c>
          <w:tcPr>
            <w:tcW w:w="1980"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8</w:t>
            </w:r>
          </w:p>
        </w:tc>
        <w:tc>
          <w:tcPr>
            <w:tcW w:w="1346" w:type="dxa"/>
            <w:noWrap w:val="0"/>
            <w:vAlign w:val="top"/>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p>
        </w:tc>
        <w:tc>
          <w:tcPr>
            <w:tcW w:w="8374"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c>
          <w:tcPr>
            <w:tcW w:w="1260"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c>
          <w:tcPr>
            <w:tcW w:w="1980"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w:t>
            </w:r>
          </w:p>
        </w:tc>
        <w:tc>
          <w:tcPr>
            <w:tcW w:w="1346" w:type="dxa"/>
            <w:noWrap w:val="0"/>
            <w:vAlign w:val="top"/>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color w:val="000000"/>
                <w:kern w:val="0"/>
                <w:sz w:val="24"/>
                <w:szCs w:val="24"/>
              </w:rPr>
            </w:pPr>
          </w:p>
        </w:tc>
        <w:tc>
          <w:tcPr>
            <w:tcW w:w="8374"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c>
          <w:tcPr>
            <w:tcW w:w="1260"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c>
          <w:tcPr>
            <w:tcW w:w="1980" w:type="dxa"/>
            <w:noWrap w:val="0"/>
            <w:vAlign w:val="top"/>
          </w:tcPr>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color w:val="000000"/>
                <w:kern w:val="0"/>
                <w:sz w:val="24"/>
                <w:szCs w:val="24"/>
              </w:rPr>
            </w:pPr>
          </w:p>
        </w:tc>
      </w:tr>
    </w:tbl>
    <w:p>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bCs/>
          <w:sz w:val="24"/>
          <w:szCs w:val="24"/>
        </w:rPr>
        <w:sectPr>
          <w:pgSz w:w="16838" w:h="11906" w:orient="landscape"/>
          <w:pgMar w:top="1797" w:right="1440" w:bottom="1797" w:left="1440" w:header="851" w:footer="992" w:gutter="0"/>
          <w:cols w:space="720" w:num="1"/>
          <w:docGrid w:type="linesAndChars" w:linePitch="312" w:charSpace="0"/>
        </w:sectPr>
      </w:pPr>
      <w:r>
        <w:rPr>
          <w:rFonts w:hint="eastAsia" w:ascii="宋体" w:hAnsi="宋体" w:eastAsia="宋体" w:cs="宋体"/>
          <w:b/>
          <w:bCs/>
          <w:sz w:val="24"/>
          <w:szCs w:val="24"/>
        </w:rPr>
        <w:t xml:space="preserve">           </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附件3：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售后服务计划及保障措施</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（由制造商及中标商签字盖章确认）</w:t>
      </w:r>
      <w:r>
        <w:rPr>
          <w:rFonts w:hint="eastAsia" w:ascii="宋体" w:hAnsi="宋体" w:eastAsia="宋体" w:cs="宋体"/>
          <w:b/>
          <w:bCs/>
          <w:sz w:val="24"/>
          <w:szCs w:val="24"/>
        </w:rPr>
        <w:br w:type="page"/>
      </w:r>
      <w:r>
        <w:rPr>
          <w:rFonts w:hint="eastAsia" w:ascii="宋体" w:hAnsi="宋体" w:eastAsia="宋体" w:cs="宋体"/>
          <w:sz w:val="24"/>
          <w:szCs w:val="24"/>
        </w:rPr>
        <w:t>附件4：</w:t>
      </w:r>
      <w:r>
        <w:rPr>
          <w:rFonts w:hint="eastAsia" w:ascii="宋体" w:hAnsi="宋体" w:eastAsia="宋体" w:cs="宋体"/>
          <w:b/>
          <w:bCs/>
          <w:sz w:val="24"/>
          <w:szCs w:val="24"/>
        </w:rPr>
        <w:t xml:space="preserve">       </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szCs w:val="24"/>
          <w:lang w:eastAsia="zh-CN"/>
        </w:rPr>
        <w:t>河南医学高等专科学校</w:t>
      </w:r>
      <w:r>
        <w:rPr>
          <w:rFonts w:hint="eastAsia" w:ascii="宋体" w:hAnsi="宋体" w:eastAsia="宋体" w:cs="宋体"/>
          <w:b/>
          <w:bCs/>
          <w:sz w:val="24"/>
          <w:szCs w:val="24"/>
        </w:rPr>
        <w:t>仪器设备初步验收单</w:t>
      </w:r>
    </w:p>
    <w:p>
      <w:pPr>
        <w:keepNext w:val="0"/>
        <w:keepLines w:val="0"/>
        <w:pageBreakBefore w:val="0"/>
        <w:widowControl w:val="0"/>
        <w:kinsoku/>
        <w:wordWrap/>
        <w:overflowPunct/>
        <w:topLinePunct w:val="0"/>
        <w:bidi w:val="0"/>
        <w:spacing w:line="360" w:lineRule="auto"/>
        <w:ind w:firstLine="354" w:firstLineChars="147"/>
        <w:textAlignment w:val="auto"/>
        <w:rPr>
          <w:rFonts w:hint="eastAsia" w:ascii="宋体" w:hAnsi="宋体" w:eastAsia="宋体" w:cs="宋体"/>
          <w:b/>
          <w:bCs/>
          <w:sz w:val="24"/>
          <w:szCs w:val="24"/>
        </w:rPr>
      </w:pPr>
      <w:r>
        <w:rPr>
          <w:rFonts w:hint="eastAsia" w:ascii="宋体" w:hAnsi="宋体" w:eastAsia="宋体" w:cs="宋体"/>
          <w:b/>
          <w:bCs/>
          <w:sz w:val="24"/>
          <w:szCs w:val="24"/>
        </w:rPr>
        <w:t>No.                                         年   月   日</w:t>
      </w:r>
    </w:p>
    <w:tbl>
      <w:tblPr>
        <w:tblStyle w:val="5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538"/>
        <w:gridCol w:w="91"/>
        <w:gridCol w:w="1038"/>
        <w:gridCol w:w="452"/>
        <w:gridCol w:w="1249"/>
        <w:gridCol w:w="696"/>
        <w:gridCol w:w="789"/>
        <w:gridCol w:w="6"/>
        <w:gridCol w:w="564"/>
        <w:gridCol w:w="371"/>
        <w:gridCol w:w="325"/>
        <w:gridCol w:w="382"/>
        <w:gridCol w:w="498"/>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06" w:type="dxa"/>
            <w:gridSpan w:val="2"/>
            <w:tcBorders>
              <w:top w:val="single" w:color="auto" w:sz="12" w:space="0"/>
              <w:left w:val="single" w:color="auto" w:sz="1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使用单位</w:t>
            </w:r>
          </w:p>
        </w:tc>
        <w:tc>
          <w:tcPr>
            <w:tcW w:w="1581" w:type="dxa"/>
            <w:gridSpan w:val="3"/>
            <w:tcBorders>
              <w:top w:val="single" w:color="auto" w:sz="1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249" w:type="dxa"/>
            <w:tcBorders>
              <w:top w:val="single" w:color="auto" w:sz="1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使用人</w:t>
            </w:r>
          </w:p>
        </w:tc>
        <w:tc>
          <w:tcPr>
            <w:tcW w:w="1485" w:type="dxa"/>
            <w:gridSpan w:val="2"/>
            <w:tcBorders>
              <w:top w:val="single" w:color="auto" w:sz="1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648" w:type="dxa"/>
            <w:gridSpan w:val="5"/>
            <w:tcBorders>
              <w:top w:val="single" w:color="auto" w:sz="1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合同编号</w:t>
            </w:r>
          </w:p>
        </w:tc>
        <w:tc>
          <w:tcPr>
            <w:tcW w:w="1684" w:type="dxa"/>
            <w:gridSpan w:val="2"/>
            <w:tcBorders>
              <w:top w:val="single" w:color="auto" w:sz="12" w:space="0"/>
              <w:left w:val="single" w:color="auto" w:sz="2" w:space="0"/>
              <w:bottom w:val="single" w:color="auto" w:sz="2" w:space="0"/>
              <w:right w:val="single" w:color="auto" w:sz="1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06" w:type="dxa"/>
            <w:gridSpan w:val="2"/>
            <w:tcBorders>
              <w:left w:val="single" w:color="auto" w:sz="12" w:space="0"/>
              <w:right w:val="single" w:color="auto" w:sz="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供货商</w:t>
            </w:r>
          </w:p>
        </w:tc>
        <w:tc>
          <w:tcPr>
            <w:tcW w:w="4321" w:type="dxa"/>
            <w:gridSpan w:val="7"/>
            <w:tcBorders>
              <w:left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642" w:type="dxa"/>
            <w:gridSpan w:val="4"/>
            <w:tcBorders>
              <w:left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合同总金额   </w:t>
            </w:r>
          </w:p>
        </w:tc>
        <w:tc>
          <w:tcPr>
            <w:tcW w:w="1684" w:type="dxa"/>
            <w:gridSpan w:val="2"/>
            <w:tcBorders>
              <w:left w:val="single" w:color="auto" w:sz="2" w:space="0"/>
              <w:right w:val="single" w:color="auto" w:sz="1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853" w:type="dxa"/>
            <w:gridSpan w:val="15"/>
            <w:tcBorders>
              <w:left w:val="single" w:color="auto" w:sz="12" w:space="0"/>
              <w:right w:val="single" w:color="auto" w:sz="1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设备明细（品名、型号、规格、生产厂家、数量、金额等，不够可另附表）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8" w:type="dxa"/>
            <w:tcBorders>
              <w:left w:val="single" w:color="auto" w:sz="1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667" w:type="dxa"/>
            <w:gridSpan w:val="3"/>
            <w:tcBorders>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品名</w:t>
            </w:r>
          </w:p>
        </w:tc>
        <w:tc>
          <w:tcPr>
            <w:tcW w:w="2397" w:type="dxa"/>
            <w:gridSpan w:val="3"/>
            <w:tcBorders>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技术参数</w:t>
            </w:r>
          </w:p>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（规格型号）</w:t>
            </w:r>
          </w:p>
        </w:tc>
        <w:tc>
          <w:tcPr>
            <w:tcW w:w="1359" w:type="dxa"/>
            <w:gridSpan w:val="3"/>
            <w:tcBorders>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生产厂家（产地）</w:t>
            </w:r>
          </w:p>
        </w:tc>
        <w:tc>
          <w:tcPr>
            <w:tcW w:w="696"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w:t>
            </w:r>
          </w:p>
        </w:tc>
        <w:tc>
          <w:tcPr>
            <w:tcW w:w="880" w:type="dxa"/>
            <w:gridSpan w:val="2"/>
            <w:tcBorders>
              <w:top w:val="single" w:color="auto" w:sz="2" w:space="0"/>
              <w:left w:val="single" w:color="auto" w:sz="2" w:space="0"/>
              <w:bottom w:val="single" w:color="auto" w:sz="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186" w:type="dxa"/>
            <w:tcBorders>
              <w:bottom w:val="single" w:color="auto" w:sz="2" w:space="0"/>
              <w:right w:val="single" w:color="auto" w:sz="1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68" w:type="dxa"/>
            <w:tcBorders>
              <w:top w:val="single" w:color="auto" w:sz="2" w:space="0"/>
              <w:left w:val="single" w:color="auto" w:sz="12" w:space="0"/>
              <w:bottom w:val="single" w:color="auto" w:sz="2" w:space="0"/>
              <w:right w:val="single" w:color="auto" w:sz="2" w:space="0"/>
            </w:tcBorders>
            <w:noWrap w:val="0"/>
            <w:vAlign w:val="center"/>
          </w:tcPr>
          <w:p>
            <w:pPr>
              <w:keepNext w:val="0"/>
              <w:keepLines w:val="0"/>
              <w:pageBreakBefore w:val="0"/>
              <w:widowControl w:val="0"/>
              <w:tabs>
                <w:tab w:val="left" w:pos="2880"/>
              </w:tabs>
              <w:kinsoku/>
              <w:wordWrap/>
              <w:overflowPunct/>
              <w:topLinePunct w:val="0"/>
              <w:bidi w:val="0"/>
              <w:snapToGrid w:val="0"/>
              <w:spacing w:line="360" w:lineRule="auto"/>
              <w:jc w:val="center"/>
              <w:textAlignment w:val="auto"/>
              <w:rPr>
                <w:rFonts w:hint="eastAsia" w:ascii="宋体" w:hAnsi="宋体" w:eastAsia="宋体" w:cs="宋体"/>
                <w:sz w:val="24"/>
                <w:szCs w:val="24"/>
              </w:rPr>
            </w:pPr>
          </w:p>
        </w:tc>
        <w:tc>
          <w:tcPr>
            <w:tcW w:w="1667"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4"/>
                <w:szCs w:val="24"/>
              </w:rPr>
            </w:pPr>
          </w:p>
        </w:tc>
        <w:tc>
          <w:tcPr>
            <w:tcW w:w="2397"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kern w:val="0"/>
                <w:sz w:val="24"/>
                <w:szCs w:val="24"/>
              </w:rPr>
            </w:pPr>
          </w:p>
        </w:tc>
        <w:tc>
          <w:tcPr>
            <w:tcW w:w="1359"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000000"/>
                <w:sz w:val="24"/>
                <w:szCs w:val="24"/>
              </w:rPr>
            </w:pPr>
          </w:p>
        </w:tc>
        <w:tc>
          <w:tcPr>
            <w:tcW w:w="696"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4"/>
                <w:szCs w:val="24"/>
              </w:rPr>
            </w:pPr>
          </w:p>
        </w:tc>
        <w:tc>
          <w:tcPr>
            <w:tcW w:w="880"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tabs>
                <w:tab w:val="left" w:pos="2880"/>
              </w:tabs>
              <w:kinsoku/>
              <w:wordWrap/>
              <w:overflowPunct/>
              <w:topLinePunct w:val="0"/>
              <w:bidi w:val="0"/>
              <w:snapToGrid w:val="0"/>
              <w:spacing w:line="360" w:lineRule="auto"/>
              <w:jc w:val="center"/>
              <w:textAlignment w:val="auto"/>
              <w:rPr>
                <w:rFonts w:hint="eastAsia" w:ascii="宋体" w:hAnsi="宋体" w:eastAsia="宋体" w:cs="宋体"/>
                <w:sz w:val="24"/>
                <w:szCs w:val="24"/>
              </w:rPr>
            </w:pPr>
          </w:p>
        </w:tc>
        <w:tc>
          <w:tcPr>
            <w:tcW w:w="118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tabs>
                <w:tab w:val="left" w:pos="2880"/>
              </w:tabs>
              <w:kinsoku/>
              <w:wordWrap/>
              <w:overflowPunct/>
              <w:topLinePunct w:val="0"/>
              <w:bidi w:val="0"/>
              <w:snapToGrid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68" w:type="dxa"/>
            <w:tcBorders>
              <w:top w:val="single" w:color="auto" w:sz="2" w:space="0"/>
              <w:left w:val="single" w:color="auto" w:sz="12" w:space="0"/>
              <w:bottom w:val="single" w:color="auto" w:sz="2" w:space="0"/>
              <w:right w:val="single" w:color="auto" w:sz="2" w:space="0"/>
            </w:tcBorders>
            <w:noWrap w:val="0"/>
            <w:vAlign w:val="center"/>
          </w:tcPr>
          <w:p>
            <w:pPr>
              <w:keepNext w:val="0"/>
              <w:keepLines w:val="0"/>
              <w:pageBreakBefore w:val="0"/>
              <w:widowControl w:val="0"/>
              <w:tabs>
                <w:tab w:val="left" w:pos="2880"/>
              </w:tabs>
              <w:kinsoku/>
              <w:wordWrap/>
              <w:overflowPunct/>
              <w:topLinePunct w:val="0"/>
              <w:bidi w:val="0"/>
              <w:snapToGrid w:val="0"/>
              <w:spacing w:line="360" w:lineRule="auto"/>
              <w:jc w:val="center"/>
              <w:textAlignment w:val="auto"/>
              <w:rPr>
                <w:rFonts w:hint="eastAsia" w:ascii="宋体" w:hAnsi="宋体" w:eastAsia="宋体" w:cs="宋体"/>
                <w:sz w:val="24"/>
                <w:szCs w:val="24"/>
              </w:rPr>
            </w:pPr>
          </w:p>
        </w:tc>
        <w:tc>
          <w:tcPr>
            <w:tcW w:w="1667"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4"/>
                <w:szCs w:val="24"/>
              </w:rPr>
            </w:pPr>
          </w:p>
        </w:tc>
        <w:tc>
          <w:tcPr>
            <w:tcW w:w="2397"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kern w:val="0"/>
                <w:sz w:val="24"/>
                <w:szCs w:val="24"/>
              </w:rPr>
            </w:pPr>
          </w:p>
        </w:tc>
        <w:tc>
          <w:tcPr>
            <w:tcW w:w="1359"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000000"/>
                <w:sz w:val="24"/>
                <w:szCs w:val="24"/>
              </w:rPr>
            </w:pPr>
          </w:p>
        </w:tc>
        <w:tc>
          <w:tcPr>
            <w:tcW w:w="696"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4"/>
                <w:szCs w:val="24"/>
              </w:rPr>
            </w:pPr>
          </w:p>
        </w:tc>
        <w:tc>
          <w:tcPr>
            <w:tcW w:w="880"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tabs>
                <w:tab w:val="left" w:pos="2880"/>
              </w:tabs>
              <w:kinsoku/>
              <w:wordWrap/>
              <w:overflowPunct/>
              <w:topLinePunct w:val="0"/>
              <w:bidi w:val="0"/>
              <w:snapToGrid w:val="0"/>
              <w:spacing w:line="360" w:lineRule="auto"/>
              <w:jc w:val="center"/>
              <w:textAlignment w:val="auto"/>
              <w:rPr>
                <w:rFonts w:hint="eastAsia" w:ascii="宋体" w:hAnsi="宋体" w:eastAsia="宋体" w:cs="宋体"/>
                <w:sz w:val="24"/>
                <w:szCs w:val="24"/>
              </w:rPr>
            </w:pPr>
          </w:p>
        </w:tc>
        <w:tc>
          <w:tcPr>
            <w:tcW w:w="118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tabs>
                <w:tab w:val="left" w:pos="2880"/>
              </w:tabs>
              <w:kinsoku/>
              <w:wordWrap/>
              <w:overflowPunct/>
              <w:topLinePunct w:val="0"/>
              <w:bidi w:val="0"/>
              <w:snapToGrid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68" w:type="dxa"/>
            <w:tcBorders>
              <w:top w:val="single" w:color="auto" w:sz="2" w:space="0"/>
              <w:left w:val="single" w:color="auto" w:sz="12" w:space="0"/>
              <w:bottom w:val="single" w:color="auto" w:sz="2" w:space="0"/>
              <w:right w:val="single" w:color="auto" w:sz="2" w:space="0"/>
            </w:tcBorders>
            <w:noWrap w:val="0"/>
            <w:vAlign w:val="center"/>
          </w:tcPr>
          <w:p>
            <w:pPr>
              <w:keepNext w:val="0"/>
              <w:keepLines w:val="0"/>
              <w:pageBreakBefore w:val="0"/>
              <w:widowControl w:val="0"/>
              <w:tabs>
                <w:tab w:val="left" w:pos="2880"/>
              </w:tabs>
              <w:kinsoku/>
              <w:wordWrap/>
              <w:overflowPunct/>
              <w:topLinePunct w:val="0"/>
              <w:bidi w:val="0"/>
              <w:snapToGrid w:val="0"/>
              <w:spacing w:line="360" w:lineRule="auto"/>
              <w:textAlignment w:val="auto"/>
              <w:rPr>
                <w:rFonts w:hint="eastAsia" w:ascii="宋体" w:hAnsi="宋体" w:eastAsia="宋体" w:cs="宋体"/>
                <w:sz w:val="24"/>
                <w:szCs w:val="24"/>
              </w:rPr>
            </w:pPr>
          </w:p>
        </w:tc>
        <w:tc>
          <w:tcPr>
            <w:tcW w:w="1667"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4"/>
                <w:szCs w:val="24"/>
              </w:rPr>
            </w:pPr>
          </w:p>
        </w:tc>
        <w:tc>
          <w:tcPr>
            <w:tcW w:w="2397"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kern w:val="0"/>
                <w:sz w:val="24"/>
                <w:szCs w:val="24"/>
              </w:rPr>
            </w:pPr>
          </w:p>
        </w:tc>
        <w:tc>
          <w:tcPr>
            <w:tcW w:w="1359"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000000"/>
                <w:sz w:val="24"/>
                <w:szCs w:val="24"/>
              </w:rPr>
            </w:pPr>
          </w:p>
        </w:tc>
        <w:tc>
          <w:tcPr>
            <w:tcW w:w="696"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4"/>
                <w:szCs w:val="24"/>
              </w:rPr>
            </w:pPr>
          </w:p>
        </w:tc>
        <w:tc>
          <w:tcPr>
            <w:tcW w:w="880"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tabs>
                <w:tab w:val="left" w:pos="2880"/>
              </w:tabs>
              <w:kinsoku/>
              <w:wordWrap/>
              <w:overflowPunct/>
              <w:topLinePunct w:val="0"/>
              <w:bidi w:val="0"/>
              <w:snapToGrid w:val="0"/>
              <w:spacing w:line="360" w:lineRule="auto"/>
              <w:jc w:val="center"/>
              <w:textAlignment w:val="auto"/>
              <w:rPr>
                <w:rFonts w:hint="eastAsia" w:ascii="宋体" w:hAnsi="宋体" w:eastAsia="宋体" w:cs="宋体"/>
                <w:sz w:val="24"/>
                <w:szCs w:val="24"/>
              </w:rPr>
            </w:pPr>
          </w:p>
        </w:tc>
        <w:tc>
          <w:tcPr>
            <w:tcW w:w="118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tabs>
                <w:tab w:val="left" w:pos="2880"/>
              </w:tabs>
              <w:kinsoku/>
              <w:wordWrap/>
              <w:overflowPunct/>
              <w:topLinePunct w:val="0"/>
              <w:bidi w:val="0"/>
              <w:snapToGrid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8" w:type="dxa"/>
            <w:vMerge w:val="restart"/>
            <w:tcBorders>
              <w:top w:val="single" w:color="auto" w:sz="12" w:space="0"/>
              <w:left w:val="single" w:color="auto" w:sz="12" w:space="0"/>
            </w:tcBorders>
            <w:noWrap w:val="0"/>
            <w:textDirection w:val="tbRlV"/>
            <w:vAlign w:val="center"/>
          </w:tcPr>
          <w:p>
            <w:pPr>
              <w:keepNext w:val="0"/>
              <w:keepLines w:val="0"/>
              <w:pageBreakBefore w:val="0"/>
              <w:widowControl w:val="0"/>
              <w:kinsoku/>
              <w:wordWrap/>
              <w:overflowPunct/>
              <w:topLinePunct w:val="0"/>
              <w:bidi w:val="0"/>
              <w:spacing w:line="360" w:lineRule="auto"/>
              <w:ind w:left="113" w:right="113"/>
              <w:jc w:val="center"/>
              <w:textAlignment w:val="auto"/>
              <w:rPr>
                <w:rFonts w:hint="eastAsia" w:ascii="宋体" w:hAnsi="宋体" w:eastAsia="宋体" w:cs="宋体"/>
                <w:sz w:val="24"/>
                <w:szCs w:val="24"/>
              </w:rPr>
            </w:pPr>
            <w:r>
              <w:rPr>
                <w:rFonts w:hint="eastAsia" w:ascii="宋体" w:hAnsi="宋体" w:eastAsia="宋体" w:cs="宋体"/>
                <w:sz w:val="24"/>
                <w:szCs w:val="24"/>
              </w:rPr>
              <w:t>实 物 验 收 情 况</w:t>
            </w:r>
          </w:p>
        </w:tc>
        <w:tc>
          <w:tcPr>
            <w:tcW w:w="8185" w:type="dxa"/>
            <w:gridSpan w:val="14"/>
            <w:tcBorders>
              <w:top w:val="single" w:color="auto" w:sz="12" w:space="0"/>
              <w:right w:val="single" w:color="auto" w:sz="12" w:space="0"/>
            </w:tcBorders>
            <w:noWrap w:val="0"/>
            <w:vAlign w:val="top"/>
          </w:tcPr>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外观质量（有无残损，程度如何）。</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668" w:type="dxa"/>
            <w:vMerge w:val="continue"/>
            <w:tcBorders>
              <w:left w:val="single" w:color="auto" w:sz="1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8185" w:type="dxa"/>
            <w:gridSpan w:val="14"/>
            <w:tcBorders>
              <w:right w:val="single" w:color="auto" w:sz="12" w:space="0"/>
            </w:tcBorders>
            <w:noWrap w:val="0"/>
            <w:vAlign w:val="top"/>
          </w:tcPr>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清点数量（主机、配件、型号、规格、产地是否与招投标文件、合同、发票、装箱单的数量相同，若有出入，说明缺件名称、规格、数量、金额）。</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668" w:type="dxa"/>
            <w:vMerge w:val="continue"/>
            <w:tcBorders>
              <w:left w:val="single" w:color="auto" w:sz="1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8185" w:type="dxa"/>
            <w:gridSpan w:val="14"/>
            <w:tcBorders>
              <w:right w:val="single" w:color="auto" w:sz="12" w:space="0"/>
            </w:tcBorders>
            <w:noWrap w:val="0"/>
            <w:vAlign w:val="top"/>
          </w:tcPr>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仪器设备安装调试及使用人员培训情况（是否完成整套设备安装、有无安装缺陷，使用人员是否经过培训）。</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668" w:type="dxa"/>
            <w:tcBorders>
              <w:top w:val="single" w:color="auto" w:sz="12" w:space="0"/>
              <w:left w:val="single" w:color="auto" w:sz="12" w:space="0"/>
            </w:tcBorders>
            <w:noWrap w:val="0"/>
            <w:textDirection w:val="tbRlV"/>
            <w:vAlign w:val="center"/>
          </w:tcPr>
          <w:p>
            <w:pPr>
              <w:keepNext w:val="0"/>
              <w:keepLines w:val="0"/>
              <w:pageBreakBefore w:val="0"/>
              <w:widowControl w:val="0"/>
              <w:kinsoku/>
              <w:wordWrap/>
              <w:overflowPunct/>
              <w:topLinePunct w:val="0"/>
              <w:bidi w:val="0"/>
              <w:spacing w:line="360" w:lineRule="auto"/>
              <w:ind w:left="113" w:right="113"/>
              <w:jc w:val="center"/>
              <w:textAlignment w:val="auto"/>
              <w:rPr>
                <w:rFonts w:hint="eastAsia" w:ascii="宋体" w:hAnsi="宋体" w:eastAsia="宋体" w:cs="宋体"/>
                <w:sz w:val="24"/>
                <w:szCs w:val="24"/>
              </w:rPr>
            </w:pPr>
            <w:r>
              <w:rPr>
                <w:rFonts w:hint="eastAsia" w:ascii="宋体" w:hAnsi="宋体" w:eastAsia="宋体" w:cs="宋体"/>
                <w:sz w:val="24"/>
                <w:szCs w:val="24"/>
              </w:rPr>
              <w:t>技术验收情况</w:t>
            </w:r>
          </w:p>
        </w:tc>
        <w:tc>
          <w:tcPr>
            <w:tcW w:w="8185" w:type="dxa"/>
            <w:gridSpan w:val="14"/>
            <w:tcBorders>
              <w:top w:val="single" w:color="auto" w:sz="12" w:space="0"/>
              <w:right w:val="single" w:color="auto" w:sz="12" w:space="0"/>
            </w:tcBorders>
            <w:noWrap w:val="0"/>
            <w:vAlign w:val="top"/>
          </w:tcPr>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依据合同约定技术条款逐一测定设备的性能和各项技术指标，所测结果是否与合同约定技术条款规定的一样，性能是否稳定，配件是否齐全，是否有安全隐患，具体说明。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trPr>
        <w:tc>
          <w:tcPr>
            <w:tcW w:w="668" w:type="dxa"/>
            <w:tcBorders>
              <w:top w:val="single" w:color="auto" w:sz="12" w:space="0"/>
              <w:left w:val="single" w:color="auto" w:sz="12" w:space="0"/>
              <w:bottom w:val="single" w:color="auto" w:sz="12" w:space="0"/>
            </w:tcBorders>
            <w:noWrap w:val="0"/>
            <w:textDirection w:val="tbRlV"/>
            <w:vAlign w:val="center"/>
          </w:tcPr>
          <w:p>
            <w:pPr>
              <w:keepNext w:val="0"/>
              <w:keepLines w:val="0"/>
              <w:pageBreakBefore w:val="0"/>
              <w:widowControl w:val="0"/>
              <w:kinsoku/>
              <w:wordWrap/>
              <w:overflowPunct/>
              <w:topLinePunct w:val="0"/>
              <w:bidi w:val="0"/>
              <w:spacing w:after="120" w:line="360" w:lineRule="auto"/>
              <w:ind w:left="113" w:right="113"/>
              <w:jc w:val="center"/>
              <w:textAlignment w:val="auto"/>
              <w:rPr>
                <w:rFonts w:hint="eastAsia" w:ascii="宋体" w:hAnsi="宋体" w:eastAsia="宋体" w:cs="宋体"/>
                <w:sz w:val="24"/>
                <w:szCs w:val="24"/>
              </w:rPr>
            </w:pPr>
            <w:r>
              <w:rPr>
                <w:rFonts w:hint="eastAsia" w:ascii="宋体" w:hAnsi="宋体" w:eastAsia="宋体" w:cs="宋体"/>
                <w:sz w:val="24"/>
                <w:szCs w:val="24"/>
              </w:rPr>
              <w:t>初步验收情况</w:t>
            </w:r>
          </w:p>
        </w:tc>
        <w:tc>
          <w:tcPr>
            <w:tcW w:w="8185" w:type="dxa"/>
            <w:gridSpan w:val="14"/>
            <w:tcBorders>
              <w:top w:val="single" w:color="auto" w:sz="12"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□通过验收                  □整改后再组织验收</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□不通过验收  索赔要求      □其他结论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trPr>
        <w:tc>
          <w:tcPr>
            <w:tcW w:w="1297" w:type="dxa"/>
            <w:gridSpan w:val="3"/>
            <w:tcBorders>
              <w:top w:val="single" w:color="auto" w:sz="12" w:space="0"/>
              <w:left w:val="single" w:color="auto" w:sz="12" w:space="0"/>
              <w:right w:val="single" w:color="auto" w:sz="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验收小组</w:t>
            </w:r>
          </w:p>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成员签字</w:t>
            </w:r>
          </w:p>
        </w:tc>
        <w:tc>
          <w:tcPr>
            <w:tcW w:w="3435" w:type="dxa"/>
            <w:gridSpan w:val="4"/>
            <w:tcBorders>
              <w:top w:val="single" w:color="auto" w:sz="12" w:space="0"/>
              <w:left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c>
          <w:tcPr>
            <w:tcW w:w="1730" w:type="dxa"/>
            <w:gridSpan w:val="4"/>
            <w:tcBorders>
              <w:top w:val="single" w:color="auto" w:sz="12" w:space="0"/>
              <w:left w:val="single" w:color="auto" w:sz="2" w:space="0"/>
              <w:right w:val="single" w:color="auto" w:sz="2" w:space="0"/>
            </w:tcBorders>
            <w:noWrap w:val="0"/>
            <w:vAlign w:val="center"/>
          </w:tcPr>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供货商</w:t>
            </w:r>
          </w:p>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授权代表签字</w:t>
            </w:r>
          </w:p>
        </w:tc>
        <w:tc>
          <w:tcPr>
            <w:tcW w:w="2391" w:type="dxa"/>
            <w:gridSpan w:val="4"/>
            <w:tcBorders>
              <w:top w:val="single" w:color="auto" w:sz="12" w:space="0"/>
              <w:left w:val="single" w:color="auto" w:sz="2"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rPr>
            </w:pPr>
          </w:p>
        </w:tc>
      </w:tr>
    </w:tbl>
    <w:p>
      <w:pPr>
        <w:rPr>
          <w:rFonts w:hint="eastAsia" w:ascii="宋体" w:hAnsi="宋体" w:eastAsia="宋体" w:cs="宋体"/>
          <w:sz w:val="24"/>
          <w:szCs w:val="24"/>
        </w:rPr>
      </w:pPr>
      <w:r>
        <w:rPr>
          <w:rFonts w:hint="eastAsia" w:ascii="宋体" w:hAnsi="宋体" w:eastAsia="宋体" w:cs="宋体"/>
          <w:sz w:val="24"/>
          <w:szCs w:val="24"/>
        </w:rPr>
        <w:br w:type="page"/>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附件5：                </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中标通知书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333333"/>
          <w:sz w:val="24"/>
          <w:szCs w:val="24"/>
        </w:rPr>
      </w:pPr>
    </w:p>
    <w:p>
      <w:pPr>
        <w:spacing w:line="360" w:lineRule="auto"/>
        <w:jc w:val="center"/>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pStyle w:val="304"/>
        <w:spacing w:after="340" w:line="360" w:lineRule="auto"/>
        <w:ind w:firstLine="0"/>
        <w:jc w:val="left"/>
        <w:rPr>
          <w:color w:val="auto"/>
          <w:sz w:val="24"/>
          <w:highlight w:val="none"/>
        </w:rPr>
      </w:pPr>
    </w:p>
    <w:p>
      <w:pPr>
        <w:spacing w:line="360" w:lineRule="auto"/>
        <w:rPr>
          <w:rFonts w:ascii="宋体" w:hAnsi="宋体" w:cs="宋体"/>
          <w:color w:val="auto"/>
          <w:sz w:val="24"/>
          <w:highlight w:val="none"/>
        </w:rPr>
      </w:pPr>
    </w:p>
    <w:p>
      <w:pPr>
        <w:rPr>
          <w:rFonts w:ascii="宋体" w:hAnsi="宋体" w:cs="宋体"/>
          <w:color w:val="auto"/>
          <w:sz w:val="32"/>
          <w:szCs w:val="32"/>
          <w:highlight w:val="none"/>
        </w:rPr>
      </w:pPr>
      <w:bookmarkStart w:id="576" w:name="_Toc515647802"/>
      <w:bookmarkStart w:id="577" w:name="_Toc15048333"/>
      <w:bookmarkStart w:id="578" w:name="_Toc4255"/>
      <w:bookmarkStart w:id="579" w:name="_Toc702"/>
      <w:bookmarkStart w:id="580" w:name="_Toc57217295"/>
      <w:bookmarkStart w:id="581" w:name="_Toc728"/>
      <w:bookmarkStart w:id="582" w:name="_Toc216582812"/>
      <w:bookmarkStart w:id="583" w:name="_Toc532473493"/>
      <w:r>
        <w:rPr>
          <w:rFonts w:hint="eastAsia" w:ascii="宋体" w:hAnsi="宋体" w:cs="宋体"/>
          <w:color w:val="auto"/>
          <w:sz w:val="32"/>
          <w:szCs w:val="32"/>
          <w:highlight w:val="none"/>
        </w:rPr>
        <w:br w:type="page"/>
      </w:r>
    </w:p>
    <w:p>
      <w:pPr>
        <w:pStyle w:val="10"/>
        <w:tabs>
          <w:tab w:val="left" w:pos="0"/>
        </w:tabs>
        <w:autoSpaceDE w:val="0"/>
        <w:autoSpaceDN w:val="0"/>
        <w:adjustRightInd w:val="0"/>
        <w:spacing w:before="0" w:after="0"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第六章  响应文件格式</w:t>
      </w:r>
      <w:bookmarkEnd w:id="576"/>
      <w:bookmarkEnd w:id="577"/>
      <w:bookmarkEnd w:id="578"/>
      <w:bookmarkEnd w:id="579"/>
      <w:bookmarkEnd w:id="580"/>
      <w:bookmarkEnd w:id="581"/>
      <w:bookmarkEnd w:id="582"/>
      <w:bookmarkEnd w:id="583"/>
    </w:p>
    <w:p>
      <w:pPr>
        <w:spacing w:line="360" w:lineRule="auto"/>
        <w:rPr>
          <w:rFonts w:ascii="宋体" w:hAnsi="宋体" w:cs="宋体"/>
          <w:b/>
          <w:color w:val="auto"/>
          <w:sz w:val="24"/>
          <w:highlight w:val="none"/>
        </w:rPr>
      </w:pPr>
    </w:p>
    <w:p>
      <w:pPr>
        <w:tabs>
          <w:tab w:val="left" w:pos="360"/>
        </w:tabs>
        <w:spacing w:line="360" w:lineRule="auto"/>
        <w:jc w:val="center"/>
        <w:rPr>
          <w:rFonts w:ascii="宋体" w:hAnsi="宋体" w:cs="宋体"/>
          <w:b/>
          <w:color w:val="auto"/>
          <w:sz w:val="24"/>
          <w:highlight w:val="none"/>
        </w:rPr>
      </w:pPr>
    </w:p>
    <w:p>
      <w:pPr>
        <w:tabs>
          <w:tab w:val="left" w:pos="55"/>
        </w:tabs>
        <w:jc w:val="center"/>
        <w:rPr>
          <w:rFonts w:ascii="宋体" w:hAnsi="宋体" w:cs="宋体"/>
          <w:b/>
          <w:color w:val="auto"/>
          <w:w w:val="150"/>
          <w:sz w:val="24"/>
          <w:highlight w:val="none"/>
        </w:rPr>
      </w:pPr>
      <w:r>
        <w:rPr>
          <w:rFonts w:hint="eastAsia" w:ascii="宋体" w:hAnsi="宋体" w:cs="宋体"/>
          <w:b/>
          <w:color w:val="auto"/>
          <w:sz w:val="32"/>
          <w:szCs w:val="32"/>
          <w:highlight w:val="none"/>
          <w:u w:val="single"/>
        </w:rPr>
        <w:t xml:space="preserve">                     （项目名称）</w:t>
      </w:r>
    </w:p>
    <w:p>
      <w:pPr>
        <w:pStyle w:val="7"/>
        <w:ind w:firstLine="480"/>
        <w:rPr>
          <w:rFonts w:ascii="宋体" w:hAnsi="宋体" w:cs="宋体"/>
          <w:color w:val="auto"/>
          <w:sz w:val="24"/>
          <w:szCs w:val="24"/>
          <w:highlight w:val="none"/>
        </w:rPr>
      </w:pPr>
    </w:p>
    <w:p>
      <w:pPr>
        <w:pStyle w:val="7"/>
        <w:ind w:firstLine="480"/>
        <w:rPr>
          <w:rFonts w:ascii="宋体" w:hAnsi="宋体" w:cs="宋体"/>
          <w:color w:val="auto"/>
          <w:sz w:val="24"/>
          <w:szCs w:val="24"/>
          <w:highlight w:val="none"/>
        </w:rPr>
      </w:pPr>
    </w:p>
    <w:p>
      <w:pPr>
        <w:pStyle w:val="7"/>
        <w:ind w:firstLine="480"/>
        <w:rPr>
          <w:rFonts w:ascii="宋体" w:hAnsi="宋体" w:cs="宋体"/>
          <w:color w:val="auto"/>
          <w:sz w:val="24"/>
          <w:szCs w:val="24"/>
          <w:highlight w:val="none"/>
        </w:rPr>
      </w:pPr>
    </w:p>
    <w:p>
      <w:pPr>
        <w:rPr>
          <w:rFonts w:ascii="宋体" w:hAnsi="宋体" w:cs="宋体"/>
          <w:color w:val="auto"/>
          <w:sz w:val="24"/>
          <w:highlight w:val="none"/>
        </w:rPr>
      </w:pPr>
    </w:p>
    <w:p>
      <w:pPr>
        <w:pStyle w:val="11"/>
        <w:rPr>
          <w:rFonts w:ascii="宋体" w:hAnsi="宋体" w:eastAsia="宋体" w:cs="宋体"/>
          <w:color w:val="auto"/>
          <w:highlight w:val="none"/>
        </w:rPr>
      </w:pPr>
    </w:p>
    <w:p>
      <w:pPr>
        <w:pStyle w:val="7"/>
        <w:ind w:firstLine="480"/>
        <w:rPr>
          <w:rFonts w:ascii="宋体" w:hAnsi="宋体" w:cs="宋体"/>
          <w:color w:val="auto"/>
          <w:sz w:val="24"/>
          <w:szCs w:val="24"/>
          <w:highlight w:val="none"/>
        </w:rPr>
      </w:pPr>
    </w:p>
    <w:p>
      <w:pPr>
        <w:tabs>
          <w:tab w:val="left" w:pos="360"/>
        </w:tabs>
        <w:spacing w:line="360"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磋商响应文件</w:t>
      </w:r>
    </w:p>
    <w:p>
      <w:pPr>
        <w:spacing w:line="360" w:lineRule="auto"/>
        <w:jc w:val="center"/>
        <w:rPr>
          <w:rFonts w:ascii="宋体" w:hAnsi="宋体" w:cs="宋体"/>
          <w:b/>
          <w:color w:val="auto"/>
          <w:sz w:val="24"/>
          <w:highlight w:val="none"/>
        </w:rPr>
      </w:pPr>
      <w:r>
        <w:rPr>
          <w:rFonts w:hint="eastAsia" w:ascii="宋体" w:hAnsi="宋体" w:cs="宋体"/>
          <w:b/>
          <w:bCs/>
          <w:color w:val="auto"/>
          <w:sz w:val="24"/>
          <w:highlight w:val="none"/>
        </w:rPr>
        <w:t>项目编号：</w:t>
      </w:r>
    </w:p>
    <w:p>
      <w:pPr>
        <w:pStyle w:val="7"/>
        <w:ind w:firstLine="482"/>
        <w:rPr>
          <w:rFonts w:ascii="宋体" w:hAnsi="宋体" w:cs="宋体"/>
          <w:b/>
          <w:color w:val="auto"/>
          <w:sz w:val="24"/>
          <w:szCs w:val="24"/>
          <w:highlight w:val="none"/>
        </w:rPr>
      </w:pPr>
    </w:p>
    <w:p>
      <w:pPr>
        <w:pStyle w:val="4"/>
        <w:rPr>
          <w:rFonts w:ascii="宋体" w:hAnsi="宋体" w:cs="宋体"/>
          <w:color w:val="auto"/>
          <w:sz w:val="24"/>
          <w:szCs w:val="24"/>
          <w:highlight w:val="none"/>
        </w:rPr>
      </w:pPr>
    </w:p>
    <w:p>
      <w:pPr>
        <w:pStyle w:val="7"/>
        <w:ind w:firstLine="482"/>
        <w:rPr>
          <w:rFonts w:ascii="宋体" w:hAnsi="宋体" w:cs="宋体"/>
          <w:b/>
          <w:color w:val="auto"/>
          <w:sz w:val="24"/>
          <w:szCs w:val="24"/>
          <w:highlight w:val="none"/>
        </w:rPr>
      </w:pPr>
    </w:p>
    <w:p>
      <w:pPr>
        <w:rPr>
          <w:rFonts w:ascii="宋体" w:hAnsi="宋体" w:cs="宋体"/>
          <w:color w:val="auto"/>
          <w:highlight w:val="none"/>
        </w:rPr>
      </w:pPr>
    </w:p>
    <w:p>
      <w:pPr>
        <w:rPr>
          <w:rFonts w:ascii="宋体" w:hAnsi="宋体" w:cs="宋体"/>
          <w:color w:val="auto"/>
          <w:sz w:val="24"/>
          <w:highlight w:val="none"/>
        </w:rPr>
      </w:pPr>
    </w:p>
    <w:p>
      <w:pPr>
        <w:pStyle w:val="7"/>
        <w:ind w:firstLine="480"/>
        <w:rPr>
          <w:rFonts w:ascii="宋体" w:hAnsi="宋体" w:cs="宋体"/>
          <w:color w:val="auto"/>
          <w:sz w:val="24"/>
          <w:szCs w:val="24"/>
          <w:highlight w:val="none"/>
        </w:rPr>
      </w:pPr>
    </w:p>
    <w:p>
      <w:pPr>
        <w:rPr>
          <w:rFonts w:ascii="宋体" w:hAnsi="宋体" w:cs="宋体"/>
          <w:color w:val="auto"/>
          <w:sz w:val="24"/>
          <w:highlight w:val="none"/>
        </w:rPr>
      </w:pPr>
    </w:p>
    <w:p>
      <w:pPr>
        <w:pStyle w:val="7"/>
        <w:ind w:firstLine="480"/>
        <w:rPr>
          <w:rFonts w:ascii="宋体" w:hAnsi="宋体" w:cs="宋体"/>
          <w:color w:val="auto"/>
          <w:sz w:val="24"/>
          <w:szCs w:val="24"/>
          <w:highlight w:val="none"/>
        </w:rPr>
      </w:pPr>
    </w:p>
    <w:p>
      <w:pPr>
        <w:rPr>
          <w:rFonts w:ascii="宋体" w:hAnsi="宋体" w:cs="宋体"/>
          <w:color w:val="auto"/>
          <w:highlight w:val="none"/>
        </w:rPr>
      </w:pPr>
    </w:p>
    <w:p>
      <w:pPr>
        <w:pStyle w:val="7"/>
        <w:ind w:firstLine="482"/>
        <w:rPr>
          <w:rFonts w:ascii="宋体" w:hAnsi="宋体" w:cs="宋体"/>
          <w:b/>
          <w:color w:val="auto"/>
          <w:sz w:val="24"/>
          <w:szCs w:val="24"/>
          <w:highlight w:val="none"/>
        </w:rPr>
      </w:pPr>
    </w:p>
    <w:p>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（加盖企业电子签章或盖章）</w:t>
      </w:r>
    </w:p>
    <w:p>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法定代表人（或非法人组织负责人）：</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（加盖个人电子签章或签字或盖章）</w:t>
      </w:r>
    </w:p>
    <w:p>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     年    月    日</w:t>
      </w:r>
    </w:p>
    <w:p>
      <w:pPr>
        <w:spacing w:line="480" w:lineRule="auto"/>
        <w:ind w:left="735" w:leftChars="350" w:firstLine="120" w:firstLineChars="50"/>
        <w:rPr>
          <w:rFonts w:ascii="宋体" w:hAnsi="宋体" w:cs="宋体"/>
          <w:color w:val="auto"/>
          <w:sz w:val="24"/>
          <w:highlight w:val="none"/>
        </w:rPr>
      </w:pPr>
    </w:p>
    <w:p>
      <w:pPr>
        <w:tabs>
          <w:tab w:val="left" w:pos="4135"/>
        </w:tabs>
        <w:spacing w:line="360" w:lineRule="auto"/>
        <w:ind w:left="735" w:leftChars="350" w:firstLine="120" w:firstLineChars="50"/>
        <w:rPr>
          <w:rFonts w:ascii="宋体" w:hAnsi="宋体" w:cs="宋体"/>
          <w:color w:val="auto"/>
          <w:sz w:val="24"/>
          <w:highlight w:val="none"/>
        </w:rPr>
      </w:pPr>
      <w:r>
        <w:rPr>
          <w:rFonts w:hint="eastAsia" w:ascii="宋体" w:hAnsi="宋体" w:cs="宋体"/>
          <w:color w:val="auto"/>
          <w:sz w:val="24"/>
          <w:highlight w:val="none"/>
        </w:rPr>
        <w:tab/>
      </w:r>
    </w:p>
    <w:p>
      <w:pPr>
        <w:rPr>
          <w:rFonts w:ascii="宋体" w:hAnsi="宋体" w:cs="宋体"/>
          <w:color w:val="auto"/>
          <w:highlight w:val="none"/>
        </w:rPr>
      </w:pPr>
      <w:r>
        <w:rPr>
          <w:rFonts w:hint="eastAsia" w:ascii="宋体" w:hAnsi="宋体" w:cs="宋体"/>
          <w:color w:val="auto"/>
          <w:highlight w:val="none"/>
        </w:rPr>
        <w:tab/>
      </w:r>
    </w:p>
    <w:p>
      <w:pPr>
        <w:rPr>
          <w:rFonts w:ascii="宋体" w:hAnsi="宋体" w:cs="宋体"/>
          <w:color w:val="auto"/>
          <w:highlight w:val="none"/>
        </w:rPr>
      </w:pPr>
      <w:bookmarkStart w:id="584" w:name="_Toc482379078"/>
      <w:bookmarkStart w:id="585" w:name="_Toc90713372"/>
      <w:bookmarkStart w:id="586" w:name="_Toc16089980"/>
      <w:bookmarkStart w:id="587" w:name="_Toc48142257"/>
      <w:bookmarkStart w:id="588" w:name="_Toc90712553"/>
      <w:bookmarkStart w:id="589" w:name="_Hlk450146465"/>
      <w:bookmarkStart w:id="590" w:name="_Toc50558562"/>
      <w:bookmarkStart w:id="591" w:name="_Toc44924412"/>
      <w:bookmarkStart w:id="592" w:name="_Toc482378985"/>
      <w:bookmarkStart w:id="593" w:name="_Toc16089922"/>
      <w:bookmarkStart w:id="594" w:name="_Toc50557448"/>
      <w:bookmarkStart w:id="595" w:name="_Toc15912361"/>
      <w:bookmarkStart w:id="596" w:name="_Toc87621073"/>
    </w:p>
    <w:p>
      <w:pPr>
        <w:rPr>
          <w:rFonts w:ascii="宋体" w:hAnsi="宋体" w:cs="宋体"/>
          <w:color w:val="auto"/>
          <w:highlight w:val="none"/>
        </w:rPr>
      </w:pPr>
    </w:p>
    <w:p>
      <w:pPr>
        <w:spacing w:line="360" w:lineRule="auto"/>
        <w:jc w:val="center"/>
        <w:outlineLvl w:val="2"/>
        <w:rPr>
          <w:rFonts w:ascii="宋体" w:hAnsi="宋体" w:cs="宋体"/>
          <w:b/>
          <w:color w:val="auto"/>
          <w:sz w:val="28"/>
          <w:szCs w:val="28"/>
          <w:highlight w:val="none"/>
        </w:rPr>
      </w:pPr>
      <w:bookmarkStart w:id="597" w:name="_Toc14486"/>
      <w:bookmarkStart w:id="598" w:name="_Toc23483"/>
      <w:r>
        <w:rPr>
          <w:rFonts w:hint="eastAsia" w:ascii="宋体" w:hAnsi="宋体" w:cs="宋体"/>
          <w:b/>
          <w:color w:val="auto"/>
          <w:sz w:val="28"/>
          <w:szCs w:val="28"/>
          <w:highlight w:val="none"/>
        </w:rPr>
        <w:t>一、磋商响应函格式</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pPr>
        <w:pStyle w:val="4"/>
        <w:rPr>
          <w:rFonts w:ascii="宋体" w:hAnsi="宋体" w:cs="宋体"/>
          <w:color w:val="auto"/>
          <w:sz w:val="24"/>
          <w:szCs w:val="24"/>
          <w:highlight w:val="none"/>
        </w:rPr>
      </w:pPr>
    </w:p>
    <w:p>
      <w:pPr>
        <w:pStyle w:val="4"/>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我方已仔细阅读并研究了项目编号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（项目名称）磋商文件的全部内容（包含本项目的所有补遗、澄清和变更资料），我们完全熟悉其中的要求、条款和条件。愿意以磋商报价（大写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元）的磋商价格，交货期：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，质量保证期_______，质量标准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；按磋商文件要求对完成本项目的相应工作。同时做出以下声明：</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1.我方磋商有效期为</w:t>
      </w:r>
      <w:r>
        <w:rPr>
          <w:rFonts w:hint="eastAsia" w:ascii="宋体" w:hAnsi="宋体" w:cs="宋体"/>
          <w:color w:val="auto"/>
          <w:sz w:val="24"/>
          <w:highlight w:val="none"/>
          <w:u w:val="single"/>
        </w:rPr>
        <w:t>自响应文件递交截止之日起60天</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2.我方承诺与采购人聘请的为此项目提供咨询服务的公司及任何附属机构均无关联，我方不是采购人的附属机构。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3.我方将按磋商文件的规定履行合同责任和义务。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4.我方同意提供贵方可能要求的与其磋商有关的一切数据或资料。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5.我方完全理解贵方不一定接受最低价的响应或收到的任何响应。</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6.我方承诺不泄露磋商活动中获取的项目信息、商业秘密。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7.我方严格按磋商文件的要求，向采购代理机构支付本次招标代理服务费。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8.我方在此声明，所递交的响应文件及有关资料内容完整、真实和准确。</w:t>
      </w:r>
    </w:p>
    <w:p>
      <w:pPr>
        <w:tabs>
          <w:tab w:val="left" w:pos="0"/>
          <w:tab w:val="left" w:pos="84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9.在质量、性能和服务相等情况下，我方完全理解并认可贵单位不一定将合同授予最低报价的供应商。</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pacing w:line="360" w:lineRule="auto"/>
        <w:jc w:val="left"/>
        <w:rPr>
          <w:rFonts w:ascii="宋体" w:hAnsi="宋体" w:cs="宋体"/>
          <w:bCs/>
          <w:color w:val="auto"/>
          <w:sz w:val="24"/>
          <w:highlight w:val="none"/>
        </w:rPr>
      </w:pPr>
      <w:bookmarkStart w:id="599" w:name="_Toc5727"/>
      <w:bookmarkStart w:id="600" w:name="_Toc10621"/>
      <w:r>
        <w:rPr>
          <w:rFonts w:hint="eastAsia" w:ascii="宋体" w:hAnsi="宋体" w:cs="宋体"/>
          <w:bCs/>
          <w:color w:val="auto"/>
          <w:sz w:val="24"/>
          <w:highlight w:val="none"/>
        </w:rPr>
        <w:t>日  期：</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日</w:t>
      </w:r>
      <w:bookmarkEnd w:id="599"/>
      <w:bookmarkEnd w:id="600"/>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通讯地址：                </w:t>
      </w:r>
    </w:p>
    <w:p>
      <w:pPr>
        <w:spacing w:line="360" w:lineRule="auto"/>
        <w:rPr>
          <w:rFonts w:ascii="宋体" w:hAnsi="宋体" w:cs="宋体"/>
          <w:color w:val="auto"/>
          <w:sz w:val="24"/>
          <w:highlight w:val="none"/>
        </w:rPr>
      </w:pPr>
      <w:r>
        <w:rPr>
          <w:rFonts w:hint="eastAsia" w:ascii="宋体" w:hAnsi="宋体" w:cs="宋体"/>
          <w:color w:val="auto"/>
          <w:sz w:val="24"/>
          <w:highlight w:val="none"/>
        </w:rPr>
        <w:t>电话：</w:t>
      </w:r>
    </w:p>
    <w:p>
      <w:pPr>
        <w:pStyle w:val="4"/>
        <w:rPr>
          <w:rFonts w:ascii="宋体" w:hAnsi="宋体" w:cs="宋体"/>
          <w:color w:val="auto"/>
          <w:sz w:val="24"/>
          <w:szCs w:val="24"/>
          <w:highlight w:val="none"/>
        </w:rPr>
      </w:pPr>
    </w:p>
    <w:p>
      <w:pPr>
        <w:rPr>
          <w:rFonts w:ascii="宋体" w:hAnsi="宋体" w:cs="宋体"/>
          <w:color w:val="auto"/>
          <w:sz w:val="24"/>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bookmarkStart w:id="601" w:name="_Toc482378986"/>
      <w:bookmarkStart w:id="602" w:name="_Toc482379079"/>
      <w:bookmarkStart w:id="603" w:name="_Toc16089981"/>
      <w:bookmarkStart w:id="604" w:name="_Toc50558563"/>
      <w:bookmarkStart w:id="605" w:name="_Toc16089923"/>
      <w:bookmarkStart w:id="606" w:name="_Toc48142258"/>
      <w:bookmarkStart w:id="607" w:name="_Toc50557449"/>
      <w:bookmarkStart w:id="608" w:name="_Toc15912362"/>
      <w:bookmarkStart w:id="609" w:name="_Toc44924413"/>
    </w:p>
    <w:p>
      <w:pPr>
        <w:rPr>
          <w:rFonts w:ascii="宋体" w:hAnsi="宋体" w:cs="宋体"/>
          <w:color w:val="auto"/>
          <w:highlight w:val="none"/>
        </w:rPr>
      </w:pPr>
    </w:p>
    <w:p>
      <w:pPr>
        <w:spacing w:line="360" w:lineRule="auto"/>
        <w:jc w:val="center"/>
        <w:outlineLvl w:val="2"/>
        <w:rPr>
          <w:rFonts w:ascii="宋体" w:hAnsi="宋体" w:cs="宋体"/>
          <w:b/>
          <w:color w:val="auto"/>
          <w:sz w:val="28"/>
          <w:szCs w:val="28"/>
          <w:highlight w:val="none"/>
        </w:rPr>
      </w:pPr>
      <w:bookmarkStart w:id="610" w:name="_Toc9361"/>
      <w:bookmarkStart w:id="611" w:name="_Toc16702"/>
      <w:r>
        <w:rPr>
          <w:rFonts w:hint="eastAsia" w:ascii="宋体" w:hAnsi="宋体" w:cs="宋体"/>
          <w:b/>
          <w:color w:val="auto"/>
          <w:sz w:val="28"/>
          <w:szCs w:val="28"/>
          <w:highlight w:val="none"/>
        </w:rPr>
        <w:t>二、法定代表人</w:t>
      </w:r>
      <w:bookmarkEnd w:id="601"/>
      <w:bookmarkEnd w:id="602"/>
      <w:r>
        <w:rPr>
          <w:rFonts w:hint="eastAsia" w:ascii="宋体" w:hAnsi="宋体" w:cs="宋体"/>
          <w:b/>
          <w:color w:val="auto"/>
          <w:sz w:val="28"/>
          <w:szCs w:val="28"/>
          <w:highlight w:val="none"/>
        </w:rPr>
        <w:t>身份证明</w:t>
      </w:r>
      <w:bookmarkEnd w:id="603"/>
      <w:bookmarkEnd w:id="604"/>
      <w:bookmarkEnd w:id="605"/>
      <w:bookmarkEnd w:id="606"/>
      <w:bookmarkEnd w:id="607"/>
      <w:bookmarkEnd w:id="608"/>
      <w:bookmarkEnd w:id="609"/>
      <w:bookmarkEnd w:id="610"/>
      <w:bookmarkEnd w:id="611"/>
    </w:p>
    <w:p>
      <w:pPr>
        <w:spacing w:line="360" w:lineRule="auto"/>
        <w:jc w:val="center"/>
        <w:rPr>
          <w:rFonts w:ascii="宋体" w:hAnsi="宋体" w:cs="宋体"/>
          <w:color w:val="auto"/>
          <w:sz w:val="24"/>
          <w:highlight w:val="none"/>
        </w:rPr>
      </w:pPr>
    </w:p>
    <w:p>
      <w:pPr>
        <w:spacing w:line="360" w:lineRule="auto"/>
        <w:jc w:val="left"/>
        <w:rPr>
          <w:rFonts w:ascii="宋体" w:hAnsi="宋体" w:cs="宋体"/>
          <w:color w:val="auto"/>
          <w:sz w:val="24"/>
          <w:highlight w:val="none"/>
        </w:rPr>
      </w:pPr>
      <w:bookmarkStart w:id="612" w:name="_Toc26046"/>
      <w:bookmarkStart w:id="613" w:name="_Toc1309"/>
      <w:r>
        <w:rPr>
          <w:rFonts w:hint="eastAsia" w:ascii="宋体" w:hAnsi="宋体" w:cs="宋体"/>
          <w:color w:val="auto"/>
          <w:sz w:val="24"/>
          <w:highlight w:val="none"/>
        </w:rPr>
        <w:t>供应商名称：</w:t>
      </w:r>
      <w:bookmarkEnd w:id="612"/>
      <w:bookmarkEnd w:id="613"/>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jc w:val="left"/>
        <w:rPr>
          <w:rFonts w:ascii="宋体" w:hAnsi="宋体" w:cs="宋体"/>
          <w:color w:val="auto"/>
          <w:sz w:val="24"/>
          <w:highlight w:val="none"/>
        </w:rPr>
      </w:pPr>
      <w:bookmarkStart w:id="614" w:name="_Toc21953"/>
      <w:bookmarkStart w:id="615" w:name="_Toc20800"/>
      <w:r>
        <w:rPr>
          <w:rFonts w:hint="eastAsia" w:ascii="宋体" w:hAnsi="宋体" w:cs="宋体"/>
          <w:color w:val="auto"/>
          <w:sz w:val="24"/>
          <w:highlight w:val="none"/>
        </w:rPr>
        <w:t>单位性质：</w:t>
      </w:r>
      <w:bookmarkEnd w:id="614"/>
      <w:bookmarkEnd w:id="615"/>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jc w:val="left"/>
        <w:rPr>
          <w:rFonts w:ascii="宋体" w:hAnsi="宋体" w:cs="宋体"/>
          <w:color w:val="auto"/>
          <w:sz w:val="24"/>
          <w:highlight w:val="none"/>
        </w:rPr>
      </w:pPr>
      <w:bookmarkStart w:id="616" w:name="_Toc18087"/>
      <w:bookmarkStart w:id="617" w:name="_Toc14879"/>
      <w:r>
        <w:rPr>
          <w:rFonts w:hint="eastAsia" w:ascii="宋体" w:hAnsi="宋体" w:cs="宋体"/>
          <w:color w:val="auto"/>
          <w:sz w:val="24"/>
          <w:highlight w:val="none"/>
        </w:rPr>
        <w:t>地    址：</w:t>
      </w:r>
      <w:bookmarkEnd w:id="616"/>
      <w:bookmarkEnd w:id="617"/>
      <w:r>
        <w:rPr>
          <w:rFonts w:hint="eastAsia" w:ascii="宋体" w:hAnsi="宋体" w:cs="宋体"/>
          <w:color w:val="auto"/>
          <w:sz w:val="24"/>
          <w:highlight w:val="none"/>
          <w:u w:val="single"/>
        </w:rPr>
        <w:t xml:space="preserve">                                   </w:t>
      </w:r>
    </w:p>
    <w:p>
      <w:pPr>
        <w:spacing w:line="360" w:lineRule="auto"/>
        <w:jc w:val="left"/>
        <w:rPr>
          <w:rFonts w:ascii="宋体" w:hAnsi="宋体" w:cs="宋体"/>
          <w:color w:val="auto"/>
          <w:sz w:val="24"/>
          <w:highlight w:val="none"/>
        </w:rPr>
      </w:pPr>
      <w:bookmarkStart w:id="618" w:name="_Toc16223"/>
      <w:bookmarkStart w:id="619" w:name="_Toc25620"/>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年  月   日</w:t>
      </w:r>
      <w:bookmarkEnd w:id="618"/>
      <w:bookmarkEnd w:id="619"/>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jc w:val="left"/>
        <w:rPr>
          <w:rFonts w:ascii="宋体" w:hAnsi="宋体" w:cs="宋体"/>
          <w:color w:val="auto"/>
          <w:sz w:val="24"/>
          <w:highlight w:val="none"/>
        </w:rPr>
      </w:pPr>
      <w:bookmarkStart w:id="620" w:name="_Toc14581"/>
      <w:bookmarkStart w:id="621" w:name="_Toc25247"/>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年  月   日</w:t>
      </w:r>
      <w:bookmarkEnd w:id="620"/>
      <w:bookmarkEnd w:id="621"/>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jc w:val="left"/>
        <w:rPr>
          <w:rFonts w:ascii="宋体" w:hAnsi="宋体" w:cs="宋体"/>
          <w:color w:val="auto"/>
          <w:sz w:val="24"/>
          <w:highlight w:val="none"/>
        </w:rPr>
      </w:pPr>
      <w:bookmarkStart w:id="622" w:name="_Toc11519"/>
      <w:bookmarkStart w:id="623" w:name="_Toc5468"/>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w:t>
      </w:r>
      <w:bookmarkEnd w:id="622"/>
      <w:bookmarkEnd w:id="623"/>
    </w:p>
    <w:p>
      <w:pPr>
        <w:spacing w:line="360" w:lineRule="auto"/>
        <w:jc w:val="left"/>
        <w:rPr>
          <w:rFonts w:ascii="宋体" w:hAnsi="宋体" w:cs="宋体"/>
          <w:color w:val="auto"/>
          <w:sz w:val="24"/>
          <w:highlight w:val="none"/>
        </w:rPr>
      </w:pPr>
      <w:bookmarkStart w:id="624" w:name="_Toc13595"/>
      <w:bookmarkStart w:id="625" w:name="_Toc23693"/>
      <w:r>
        <w:rPr>
          <w:rFonts w:hint="eastAsia" w:ascii="宋体" w:hAnsi="宋体" w:cs="宋体"/>
          <w:color w:val="auto"/>
          <w:sz w:val="24"/>
          <w:highlight w:val="none"/>
        </w:rPr>
        <w:t>特此证明。</w:t>
      </w:r>
      <w:bookmarkEnd w:id="624"/>
      <w:bookmarkEnd w:id="625"/>
    </w:p>
    <w:p>
      <w:pPr>
        <w:rPr>
          <w:rFonts w:ascii="宋体" w:hAnsi="宋体" w:cs="宋体"/>
          <w:color w:val="auto"/>
          <w:highlight w:val="none"/>
        </w:rPr>
      </w:pPr>
    </w:p>
    <w:p>
      <w:pPr>
        <w:spacing w:line="360" w:lineRule="auto"/>
        <w:rPr>
          <w:rFonts w:ascii="宋体" w:hAnsi="宋体" w:cs="宋体"/>
          <w:color w:val="auto"/>
          <w:sz w:val="24"/>
          <w:highlight w:val="none"/>
          <w:u w:val="single"/>
        </w:rPr>
      </w:pPr>
      <w:bookmarkStart w:id="626" w:name="_Toc16325"/>
      <w:bookmarkStart w:id="627" w:name="_Toc17843"/>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日  期：</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日</w:t>
      </w:r>
      <w:bookmarkEnd w:id="626"/>
      <w:bookmarkEnd w:id="627"/>
    </w:p>
    <w:p>
      <w:pPr>
        <w:rPr>
          <w:rFonts w:ascii="宋体" w:hAnsi="宋体" w:cs="宋体"/>
          <w:color w:val="auto"/>
          <w:highlight w:val="none"/>
        </w:rPr>
      </w:pPr>
    </w:p>
    <w:p>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注:后附法定代表人身份证正反面复印件或扫描件</w:t>
      </w:r>
    </w:p>
    <w:p>
      <w:pPr>
        <w:rPr>
          <w:rFonts w:ascii="宋体" w:hAnsi="宋体" w:cs="宋体"/>
          <w:color w:val="auto"/>
          <w:highlight w:val="none"/>
        </w:rPr>
      </w:pPr>
    </w:p>
    <w:p>
      <w:pPr>
        <w:rPr>
          <w:rFonts w:ascii="宋体" w:hAnsi="宋体" w:cs="宋体"/>
          <w:color w:val="auto"/>
          <w:highlight w:val="none"/>
        </w:rPr>
      </w:pPr>
      <w:bookmarkStart w:id="628" w:name="_资格证明文件"/>
      <w:bookmarkEnd w:id="628"/>
    </w:p>
    <w:p>
      <w:pPr>
        <w:pStyle w:val="4"/>
        <w:spacing w:line="360" w:lineRule="auto"/>
        <w:rPr>
          <w:rFonts w:ascii="宋体" w:hAnsi="宋体" w:cs="宋体"/>
          <w:b/>
          <w:color w:val="auto"/>
          <w:sz w:val="24"/>
          <w:szCs w:val="24"/>
          <w:highlight w:val="none"/>
        </w:rPr>
      </w:pPr>
    </w:p>
    <w:p>
      <w:pPr>
        <w:rPr>
          <w:rFonts w:ascii="宋体" w:hAnsi="宋体" w:cs="宋体"/>
          <w:color w:val="auto"/>
          <w:highlight w:val="none"/>
        </w:rPr>
      </w:pPr>
      <w:r>
        <w:rPr>
          <w:rFonts w:hint="eastAsia" w:ascii="宋体" w:hAnsi="宋体" w:cs="宋体"/>
          <w:color w:val="auto"/>
          <w:highlight w:val="none"/>
        </w:rPr>
        <w:br w:type="page"/>
      </w:r>
      <w:bookmarkStart w:id="629" w:name="_Toc56699210"/>
    </w:p>
    <w:p>
      <w:pPr>
        <w:pStyle w:val="12"/>
        <w:spacing w:line="240" w:lineRule="auto"/>
        <w:jc w:val="center"/>
        <w:rPr>
          <w:rFonts w:ascii="宋体" w:hAnsi="宋体" w:eastAsia="宋体" w:cs="宋体"/>
          <w:color w:val="auto"/>
          <w:sz w:val="28"/>
          <w:szCs w:val="28"/>
          <w:highlight w:val="none"/>
        </w:rPr>
      </w:pPr>
      <w:bookmarkStart w:id="630" w:name="_Toc14424"/>
      <w:bookmarkStart w:id="631" w:name="_Toc2872"/>
      <w:r>
        <w:rPr>
          <w:rFonts w:hint="eastAsia" w:ascii="宋体" w:hAnsi="宋体" w:eastAsia="宋体" w:cs="宋体"/>
          <w:color w:val="auto"/>
          <w:sz w:val="28"/>
          <w:szCs w:val="28"/>
          <w:highlight w:val="none"/>
        </w:rPr>
        <w:t>三、法人授权委托书</w:t>
      </w:r>
      <w:bookmarkEnd w:id="629"/>
      <w:bookmarkEnd w:id="630"/>
      <w:bookmarkEnd w:id="631"/>
    </w:p>
    <w:p>
      <w:pPr>
        <w:spacing w:line="420" w:lineRule="auto"/>
        <w:rPr>
          <w:rFonts w:ascii="宋体" w:hAnsi="宋体" w:cs="宋体"/>
          <w:color w:val="auto"/>
          <w:sz w:val="24"/>
          <w:highlight w:val="none"/>
        </w:rPr>
      </w:pPr>
    </w:p>
    <w:p>
      <w:pPr>
        <w:spacing w:line="420" w:lineRule="auto"/>
        <w:ind w:firstLine="480"/>
        <w:jc w:val="left"/>
        <w:rPr>
          <w:rFonts w:ascii="宋体" w:hAnsi="宋体" w:cs="宋体"/>
          <w:color w:val="auto"/>
          <w:sz w:val="24"/>
          <w:highlight w:val="none"/>
        </w:rPr>
      </w:pPr>
      <w:r>
        <w:rPr>
          <w:rFonts w:hint="eastAsia" w:ascii="宋体" w:hAnsi="宋体" w:cs="宋体"/>
          <w:color w:val="auto"/>
          <w:sz w:val="24"/>
          <w:highlight w:val="none"/>
        </w:rPr>
        <w:t>本人 _______（姓名）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（身份证号）系____________（供应商名称）的法定代表人，现委托______（姓名）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（身份证号）为我方代理人。代理人根据授权，以我方名义签署、澄清、说明、补正、递交、撤回、修改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（项目名称及包号）响应文件、签订合同和处理有关事宜，其法律后果由我方承担。</w:t>
      </w:r>
    </w:p>
    <w:p>
      <w:pPr>
        <w:spacing w:line="420" w:lineRule="auto"/>
        <w:ind w:firstLine="480"/>
        <w:jc w:val="left"/>
        <w:rPr>
          <w:rFonts w:ascii="宋体" w:hAnsi="宋体" w:cs="宋体"/>
          <w:color w:val="auto"/>
          <w:sz w:val="24"/>
          <w:highlight w:val="none"/>
        </w:rPr>
      </w:pPr>
      <w:r>
        <w:rPr>
          <w:rFonts w:hint="eastAsia" w:ascii="宋体" w:hAnsi="宋体" w:cs="宋体"/>
          <w:color w:val="auto"/>
          <w:sz w:val="24"/>
          <w:highlight w:val="none"/>
        </w:rPr>
        <w:t>委托期限：___________。</w:t>
      </w:r>
    </w:p>
    <w:p>
      <w:pPr>
        <w:spacing w:line="420" w:lineRule="auto"/>
        <w:ind w:firstLine="480"/>
        <w:jc w:val="left"/>
        <w:rPr>
          <w:rFonts w:ascii="宋体" w:hAnsi="宋体" w:cs="宋体"/>
          <w:color w:val="auto"/>
          <w:sz w:val="24"/>
          <w:highlight w:val="none"/>
        </w:rPr>
      </w:pPr>
      <w:r>
        <w:rPr>
          <w:rFonts w:hint="eastAsia" w:ascii="宋体" w:hAnsi="宋体" w:cs="宋体"/>
          <w:color w:val="auto"/>
          <w:sz w:val="24"/>
          <w:highlight w:val="none"/>
        </w:rPr>
        <w:t>代理人无转委托权。</w:t>
      </w:r>
    </w:p>
    <w:p>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注:后附被授权人身份证正反面复印件或扫描件</w:t>
      </w:r>
    </w:p>
    <w:p>
      <w:pPr>
        <w:spacing w:line="420" w:lineRule="auto"/>
        <w:ind w:firstLine="480"/>
        <w:jc w:val="left"/>
        <w:rPr>
          <w:rFonts w:ascii="宋体" w:hAnsi="宋体" w:cs="宋体"/>
          <w:color w:val="auto"/>
          <w:sz w:val="24"/>
          <w:highlight w:val="none"/>
        </w:rPr>
      </w:pPr>
    </w:p>
    <w:p>
      <w:pPr>
        <w:spacing w:line="420" w:lineRule="auto"/>
        <w:ind w:firstLine="480"/>
        <w:jc w:val="left"/>
        <w:rPr>
          <w:rFonts w:ascii="宋体" w:hAnsi="宋体" w:cs="宋体"/>
          <w:color w:val="auto"/>
          <w:sz w:val="24"/>
          <w:highlight w:val="none"/>
        </w:rPr>
      </w:pPr>
    </w:p>
    <w:p>
      <w:pPr>
        <w:rPr>
          <w:rFonts w:ascii="宋体" w:hAnsi="宋体" w:cs="宋体"/>
          <w:color w:val="auto"/>
          <w:highlight w:val="none"/>
        </w:rPr>
      </w:pPr>
    </w:p>
    <w:p>
      <w:pPr>
        <w:rPr>
          <w:rFonts w:ascii="宋体" w:hAnsi="宋体" w:cs="宋体"/>
          <w:color w:val="auto"/>
          <w:sz w:val="24"/>
          <w:highlight w:val="none"/>
        </w:rPr>
      </w:pP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pacing w:line="480" w:lineRule="auto"/>
        <w:jc w:val="left"/>
        <w:rPr>
          <w:rFonts w:ascii="宋体" w:hAnsi="宋体" w:cs="宋体"/>
          <w:color w:val="auto"/>
          <w:sz w:val="24"/>
          <w:highlight w:val="none"/>
        </w:rPr>
      </w:pPr>
      <w:r>
        <w:rPr>
          <w:rFonts w:hint="eastAsia" w:ascii="宋体" w:hAnsi="宋体" w:cs="宋体"/>
          <w:color w:val="auto"/>
          <w:kern w:val="1"/>
          <w:sz w:val="24"/>
          <w:highlight w:val="none"/>
        </w:rPr>
        <w:t>日期： ____年____月_____日</w:t>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spacing w:line="360" w:lineRule="auto"/>
        <w:jc w:val="center"/>
        <w:outlineLvl w:val="2"/>
        <w:rPr>
          <w:rFonts w:ascii="宋体" w:hAnsi="宋体" w:cs="宋体"/>
          <w:b/>
          <w:color w:val="auto"/>
          <w:sz w:val="28"/>
          <w:szCs w:val="28"/>
          <w:highlight w:val="none"/>
        </w:rPr>
      </w:pPr>
      <w:bookmarkStart w:id="632" w:name="_Toc30256"/>
      <w:bookmarkStart w:id="633" w:name="_Toc2340"/>
      <w:r>
        <w:rPr>
          <w:rFonts w:hint="eastAsia" w:ascii="宋体" w:hAnsi="宋体" w:cs="宋体"/>
          <w:b/>
          <w:color w:val="auto"/>
          <w:sz w:val="28"/>
          <w:szCs w:val="28"/>
          <w:highlight w:val="none"/>
        </w:rPr>
        <w:t>四、资格证明文件</w:t>
      </w:r>
      <w:bookmarkEnd w:id="632"/>
      <w:bookmarkEnd w:id="633"/>
    </w:p>
    <w:p>
      <w:pPr>
        <w:spacing w:line="360" w:lineRule="auto"/>
        <w:jc w:val="center"/>
        <w:outlineLvl w:val="3"/>
        <w:rPr>
          <w:rFonts w:ascii="宋体" w:hAnsi="宋体" w:cs="宋体"/>
          <w:color w:val="auto"/>
          <w:sz w:val="24"/>
          <w:highlight w:val="none"/>
        </w:rPr>
      </w:pPr>
      <w:bookmarkStart w:id="634" w:name="_Toc5057"/>
      <w:bookmarkStart w:id="635" w:name="_Toc17162"/>
      <w:bookmarkStart w:id="636" w:name="_Toc20773"/>
      <w:bookmarkStart w:id="637" w:name="_Toc17753"/>
      <w:r>
        <w:rPr>
          <w:rFonts w:hint="eastAsia" w:ascii="宋体" w:hAnsi="宋体" w:cs="宋体"/>
          <w:b/>
          <w:color w:val="auto"/>
          <w:sz w:val="24"/>
          <w:highlight w:val="none"/>
        </w:rPr>
        <w:t>4.1供应商基本情况表</w:t>
      </w:r>
      <w:bookmarkEnd w:id="634"/>
      <w:bookmarkEnd w:id="635"/>
      <w:bookmarkEnd w:id="636"/>
      <w:bookmarkEnd w:id="637"/>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1025"/>
        <w:gridCol w:w="59"/>
        <w:gridCol w:w="1201"/>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55" w:type="dxa"/>
            <w:vAlign w:val="center"/>
          </w:tcPr>
          <w:p>
            <w:pPr>
              <w:spacing w:line="360" w:lineRule="auto"/>
              <w:jc w:val="left"/>
              <w:outlineLvl w:val="1"/>
              <w:rPr>
                <w:rFonts w:ascii="宋体" w:hAnsi="宋体" w:cs="宋体"/>
                <w:bCs/>
                <w:color w:val="auto"/>
                <w:sz w:val="24"/>
                <w:highlight w:val="none"/>
              </w:rPr>
            </w:pPr>
            <w:bookmarkStart w:id="638" w:name="_Toc26554"/>
            <w:bookmarkStart w:id="639" w:name="_Toc32355"/>
            <w:bookmarkStart w:id="640" w:name="_Toc31224"/>
            <w:bookmarkStart w:id="641" w:name="_Toc26462"/>
            <w:bookmarkStart w:id="642" w:name="_Toc32755"/>
            <w:r>
              <w:rPr>
                <w:rFonts w:hint="eastAsia" w:ascii="宋体" w:hAnsi="宋体" w:cs="宋体"/>
                <w:bCs/>
                <w:color w:val="auto"/>
                <w:sz w:val="24"/>
                <w:highlight w:val="none"/>
              </w:rPr>
              <w:t>供应商名称</w:t>
            </w:r>
            <w:bookmarkEnd w:id="638"/>
            <w:bookmarkEnd w:id="639"/>
            <w:bookmarkEnd w:id="640"/>
            <w:bookmarkEnd w:id="641"/>
            <w:bookmarkEnd w:id="642"/>
          </w:p>
        </w:tc>
        <w:tc>
          <w:tcPr>
            <w:tcW w:w="7325" w:type="dxa"/>
            <w:gridSpan w:val="11"/>
            <w:vAlign w:val="center"/>
          </w:tcPr>
          <w:p>
            <w:pP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855" w:type="dxa"/>
            <w:vAlign w:val="center"/>
          </w:tcPr>
          <w:p>
            <w:pPr>
              <w:spacing w:line="360" w:lineRule="auto"/>
              <w:jc w:val="left"/>
              <w:outlineLvl w:val="1"/>
              <w:rPr>
                <w:rFonts w:ascii="宋体" w:hAnsi="宋体" w:cs="宋体"/>
                <w:bCs/>
                <w:color w:val="auto"/>
                <w:sz w:val="24"/>
                <w:highlight w:val="none"/>
              </w:rPr>
            </w:pPr>
            <w:bookmarkStart w:id="643" w:name="_Toc828"/>
            <w:bookmarkStart w:id="644" w:name="_Toc7641"/>
            <w:bookmarkStart w:id="645" w:name="_Toc21028"/>
            <w:bookmarkStart w:id="646" w:name="_Toc31875"/>
            <w:bookmarkStart w:id="647" w:name="_Toc23787"/>
            <w:r>
              <w:rPr>
                <w:rFonts w:hint="eastAsia" w:ascii="宋体" w:hAnsi="宋体" w:cs="宋体"/>
                <w:bCs/>
                <w:color w:val="auto"/>
                <w:sz w:val="24"/>
                <w:highlight w:val="none"/>
              </w:rPr>
              <w:t>注册地址</w:t>
            </w:r>
            <w:bookmarkEnd w:id="643"/>
            <w:bookmarkEnd w:id="644"/>
            <w:bookmarkEnd w:id="645"/>
            <w:bookmarkEnd w:id="646"/>
            <w:bookmarkEnd w:id="647"/>
          </w:p>
        </w:tc>
        <w:tc>
          <w:tcPr>
            <w:tcW w:w="4445" w:type="dxa"/>
            <w:gridSpan w:val="6"/>
            <w:vAlign w:val="center"/>
          </w:tcPr>
          <w:p>
            <w:pPr>
              <w:spacing w:line="360" w:lineRule="auto"/>
              <w:jc w:val="left"/>
              <w:outlineLvl w:val="1"/>
              <w:rPr>
                <w:rFonts w:ascii="宋体" w:hAnsi="宋体" w:cs="宋体"/>
                <w:bCs/>
                <w:color w:val="auto"/>
                <w:sz w:val="24"/>
                <w:highlight w:val="none"/>
              </w:rPr>
            </w:pPr>
          </w:p>
        </w:tc>
        <w:tc>
          <w:tcPr>
            <w:tcW w:w="1260" w:type="dxa"/>
            <w:gridSpan w:val="3"/>
            <w:vAlign w:val="center"/>
          </w:tcPr>
          <w:p>
            <w:pPr>
              <w:spacing w:line="360" w:lineRule="auto"/>
              <w:jc w:val="left"/>
              <w:outlineLvl w:val="1"/>
              <w:rPr>
                <w:rFonts w:ascii="宋体" w:hAnsi="宋体" w:cs="宋体"/>
                <w:bCs/>
                <w:color w:val="auto"/>
                <w:sz w:val="24"/>
                <w:highlight w:val="none"/>
              </w:rPr>
            </w:pPr>
            <w:bookmarkStart w:id="648" w:name="_Toc3687"/>
            <w:bookmarkStart w:id="649" w:name="_Toc18676"/>
            <w:bookmarkStart w:id="650" w:name="_Toc7468"/>
            <w:bookmarkStart w:id="651" w:name="_Toc14391"/>
            <w:bookmarkStart w:id="652" w:name="_Toc14201"/>
            <w:r>
              <w:rPr>
                <w:rFonts w:hint="eastAsia" w:ascii="宋体" w:hAnsi="宋体" w:cs="宋体"/>
                <w:bCs/>
                <w:color w:val="auto"/>
                <w:sz w:val="24"/>
                <w:highlight w:val="none"/>
              </w:rPr>
              <w:t>邮政编码</w:t>
            </w:r>
            <w:bookmarkEnd w:id="648"/>
            <w:bookmarkEnd w:id="649"/>
            <w:bookmarkEnd w:id="650"/>
            <w:bookmarkEnd w:id="651"/>
            <w:bookmarkEnd w:id="652"/>
          </w:p>
        </w:tc>
        <w:tc>
          <w:tcPr>
            <w:tcW w:w="1620" w:type="dxa"/>
            <w:gridSpan w:val="2"/>
            <w:vAlign w:val="center"/>
          </w:tcPr>
          <w:p>
            <w:pP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55" w:type="dxa"/>
            <w:vAlign w:val="center"/>
          </w:tcPr>
          <w:p>
            <w:pPr>
              <w:spacing w:line="360" w:lineRule="auto"/>
              <w:jc w:val="left"/>
              <w:outlineLvl w:val="1"/>
              <w:rPr>
                <w:rFonts w:ascii="宋体" w:hAnsi="宋体" w:cs="宋体"/>
                <w:bCs/>
                <w:color w:val="auto"/>
                <w:sz w:val="24"/>
                <w:highlight w:val="none"/>
              </w:rPr>
            </w:pPr>
            <w:bookmarkStart w:id="653" w:name="_Toc23535"/>
            <w:bookmarkStart w:id="654" w:name="_Toc11090"/>
            <w:bookmarkStart w:id="655" w:name="_Toc6319"/>
            <w:bookmarkStart w:id="656" w:name="_Toc28971"/>
            <w:bookmarkStart w:id="657" w:name="_Toc2840"/>
            <w:r>
              <w:rPr>
                <w:rFonts w:hint="eastAsia" w:ascii="宋体" w:hAnsi="宋体" w:cs="宋体"/>
                <w:bCs/>
                <w:color w:val="auto"/>
                <w:sz w:val="24"/>
                <w:highlight w:val="none"/>
              </w:rPr>
              <w:t>联系方式</w:t>
            </w:r>
            <w:bookmarkEnd w:id="653"/>
            <w:bookmarkEnd w:id="654"/>
            <w:bookmarkEnd w:id="655"/>
            <w:bookmarkEnd w:id="656"/>
            <w:bookmarkEnd w:id="657"/>
          </w:p>
        </w:tc>
        <w:tc>
          <w:tcPr>
            <w:tcW w:w="1084" w:type="dxa"/>
            <w:gridSpan w:val="2"/>
            <w:vAlign w:val="center"/>
          </w:tcPr>
          <w:p>
            <w:pPr>
              <w:spacing w:line="360" w:lineRule="auto"/>
              <w:jc w:val="left"/>
              <w:outlineLvl w:val="1"/>
              <w:rPr>
                <w:rFonts w:ascii="宋体" w:hAnsi="宋体" w:cs="宋体"/>
                <w:bCs/>
                <w:color w:val="auto"/>
                <w:sz w:val="24"/>
                <w:highlight w:val="none"/>
              </w:rPr>
            </w:pPr>
            <w:bookmarkStart w:id="658" w:name="_Toc13675"/>
            <w:bookmarkStart w:id="659" w:name="_Toc1178"/>
            <w:bookmarkStart w:id="660" w:name="_Toc18391"/>
            <w:bookmarkStart w:id="661" w:name="_Toc5151"/>
            <w:bookmarkStart w:id="662" w:name="_Toc17453"/>
            <w:r>
              <w:rPr>
                <w:rFonts w:hint="eastAsia" w:ascii="宋体" w:hAnsi="宋体" w:cs="宋体"/>
                <w:bCs/>
                <w:color w:val="auto"/>
                <w:sz w:val="24"/>
                <w:highlight w:val="none"/>
              </w:rPr>
              <w:t>联系人</w:t>
            </w:r>
            <w:bookmarkEnd w:id="658"/>
            <w:bookmarkEnd w:id="659"/>
            <w:bookmarkEnd w:id="660"/>
            <w:bookmarkEnd w:id="661"/>
            <w:bookmarkEnd w:id="662"/>
          </w:p>
        </w:tc>
        <w:tc>
          <w:tcPr>
            <w:tcW w:w="3361" w:type="dxa"/>
            <w:gridSpan w:val="4"/>
            <w:vAlign w:val="center"/>
          </w:tcPr>
          <w:p>
            <w:pPr>
              <w:spacing w:line="360" w:lineRule="auto"/>
              <w:jc w:val="left"/>
              <w:outlineLvl w:val="1"/>
              <w:rPr>
                <w:rFonts w:ascii="宋体" w:hAnsi="宋体" w:cs="宋体"/>
                <w:bCs/>
                <w:color w:val="auto"/>
                <w:sz w:val="24"/>
                <w:highlight w:val="none"/>
              </w:rPr>
            </w:pPr>
          </w:p>
        </w:tc>
        <w:tc>
          <w:tcPr>
            <w:tcW w:w="1260" w:type="dxa"/>
            <w:gridSpan w:val="3"/>
            <w:vAlign w:val="center"/>
          </w:tcPr>
          <w:p>
            <w:pPr>
              <w:spacing w:line="360" w:lineRule="auto"/>
              <w:jc w:val="left"/>
              <w:outlineLvl w:val="1"/>
              <w:rPr>
                <w:rFonts w:ascii="宋体" w:hAnsi="宋体" w:cs="宋体"/>
                <w:bCs/>
                <w:color w:val="auto"/>
                <w:sz w:val="24"/>
                <w:highlight w:val="none"/>
              </w:rPr>
            </w:pPr>
            <w:bookmarkStart w:id="663" w:name="_Toc20462"/>
            <w:bookmarkStart w:id="664" w:name="_Toc1641"/>
            <w:bookmarkStart w:id="665" w:name="_Toc24628"/>
            <w:bookmarkStart w:id="666" w:name="_Toc18853"/>
            <w:bookmarkStart w:id="667" w:name="_Toc2216"/>
            <w:r>
              <w:rPr>
                <w:rFonts w:hint="eastAsia" w:ascii="宋体" w:hAnsi="宋体" w:cs="宋体"/>
                <w:bCs/>
                <w:color w:val="auto"/>
                <w:sz w:val="24"/>
                <w:highlight w:val="none"/>
              </w:rPr>
              <w:t>联系电话</w:t>
            </w:r>
            <w:bookmarkEnd w:id="663"/>
            <w:bookmarkEnd w:id="664"/>
            <w:bookmarkEnd w:id="665"/>
            <w:bookmarkEnd w:id="666"/>
            <w:bookmarkEnd w:id="667"/>
          </w:p>
        </w:tc>
        <w:tc>
          <w:tcPr>
            <w:tcW w:w="1620" w:type="dxa"/>
            <w:gridSpan w:val="2"/>
            <w:vAlign w:val="center"/>
          </w:tcPr>
          <w:p>
            <w:pP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55" w:type="dxa"/>
            <w:vAlign w:val="center"/>
          </w:tcPr>
          <w:p>
            <w:pPr>
              <w:spacing w:line="360" w:lineRule="auto"/>
              <w:jc w:val="left"/>
              <w:outlineLvl w:val="1"/>
              <w:rPr>
                <w:rFonts w:ascii="宋体" w:hAnsi="宋体" w:cs="宋体"/>
                <w:bCs/>
                <w:color w:val="auto"/>
                <w:sz w:val="24"/>
                <w:highlight w:val="none"/>
              </w:rPr>
            </w:pPr>
            <w:bookmarkStart w:id="668" w:name="_Toc11412"/>
            <w:bookmarkStart w:id="669" w:name="_Toc4241"/>
            <w:bookmarkStart w:id="670" w:name="_Toc2097"/>
            <w:bookmarkStart w:id="671" w:name="_Toc446"/>
            <w:bookmarkStart w:id="672" w:name="_Toc28023"/>
            <w:r>
              <w:rPr>
                <w:rFonts w:hint="eastAsia" w:ascii="宋体" w:hAnsi="宋体" w:cs="宋体"/>
                <w:bCs/>
                <w:color w:val="auto"/>
                <w:sz w:val="24"/>
                <w:highlight w:val="none"/>
              </w:rPr>
              <w:t>组织结构</w:t>
            </w:r>
            <w:bookmarkEnd w:id="668"/>
            <w:bookmarkEnd w:id="669"/>
            <w:bookmarkEnd w:id="670"/>
            <w:bookmarkEnd w:id="671"/>
            <w:bookmarkEnd w:id="672"/>
          </w:p>
        </w:tc>
        <w:tc>
          <w:tcPr>
            <w:tcW w:w="7325" w:type="dxa"/>
            <w:gridSpan w:val="11"/>
            <w:vAlign w:val="center"/>
          </w:tcPr>
          <w:p>
            <w:pP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55" w:type="dxa"/>
            <w:vAlign w:val="center"/>
          </w:tcPr>
          <w:p>
            <w:pPr>
              <w:spacing w:line="360" w:lineRule="auto"/>
              <w:jc w:val="left"/>
              <w:outlineLvl w:val="1"/>
              <w:rPr>
                <w:rFonts w:ascii="宋体" w:hAnsi="宋体" w:cs="宋体"/>
                <w:bCs/>
                <w:color w:val="auto"/>
                <w:sz w:val="24"/>
                <w:highlight w:val="none"/>
              </w:rPr>
            </w:pPr>
            <w:bookmarkStart w:id="673" w:name="_Toc3182"/>
            <w:bookmarkStart w:id="674" w:name="_Toc20295"/>
            <w:bookmarkStart w:id="675" w:name="_Toc2430"/>
            <w:bookmarkStart w:id="676" w:name="_Toc24561"/>
            <w:bookmarkStart w:id="677" w:name="_Toc12455"/>
            <w:r>
              <w:rPr>
                <w:rFonts w:hint="eastAsia" w:ascii="宋体" w:hAnsi="宋体" w:cs="宋体"/>
                <w:bCs/>
                <w:color w:val="auto"/>
                <w:sz w:val="24"/>
                <w:highlight w:val="none"/>
              </w:rPr>
              <w:t>法定代表人</w:t>
            </w:r>
            <w:bookmarkEnd w:id="673"/>
            <w:bookmarkEnd w:id="674"/>
            <w:bookmarkEnd w:id="675"/>
            <w:bookmarkEnd w:id="676"/>
            <w:bookmarkEnd w:id="677"/>
          </w:p>
        </w:tc>
        <w:tc>
          <w:tcPr>
            <w:tcW w:w="1025" w:type="dxa"/>
            <w:vAlign w:val="center"/>
          </w:tcPr>
          <w:p>
            <w:pPr>
              <w:spacing w:line="360" w:lineRule="auto"/>
              <w:jc w:val="left"/>
              <w:outlineLvl w:val="1"/>
              <w:rPr>
                <w:rFonts w:ascii="宋体" w:hAnsi="宋体" w:cs="宋体"/>
                <w:bCs/>
                <w:color w:val="auto"/>
                <w:sz w:val="24"/>
                <w:highlight w:val="none"/>
              </w:rPr>
            </w:pPr>
            <w:bookmarkStart w:id="678" w:name="_Toc27675"/>
            <w:bookmarkStart w:id="679" w:name="_Toc15827"/>
            <w:bookmarkStart w:id="680" w:name="_Toc6045"/>
            <w:bookmarkStart w:id="681" w:name="_Toc20886"/>
            <w:bookmarkStart w:id="682" w:name="_Toc20175"/>
            <w:r>
              <w:rPr>
                <w:rFonts w:hint="eastAsia" w:ascii="宋体" w:hAnsi="宋体" w:cs="宋体"/>
                <w:bCs/>
                <w:color w:val="auto"/>
                <w:sz w:val="24"/>
                <w:highlight w:val="none"/>
              </w:rPr>
              <w:t>姓名</w:t>
            </w:r>
            <w:bookmarkEnd w:id="678"/>
            <w:bookmarkEnd w:id="679"/>
            <w:bookmarkEnd w:id="680"/>
            <w:bookmarkEnd w:id="681"/>
            <w:bookmarkEnd w:id="682"/>
          </w:p>
        </w:tc>
        <w:tc>
          <w:tcPr>
            <w:tcW w:w="1260" w:type="dxa"/>
            <w:gridSpan w:val="2"/>
            <w:vAlign w:val="center"/>
          </w:tcPr>
          <w:p>
            <w:pPr>
              <w:spacing w:line="360" w:lineRule="auto"/>
              <w:jc w:val="left"/>
              <w:outlineLvl w:val="1"/>
              <w:rPr>
                <w:rFonts w:ascii="宋体" w:hAnsi="宋体" w:cs="宋体"/>
                <w:bCs/>
                <w:color w:val="auto"/>
                <w:sz w:val="24"/>
                <w:highlight w:val="none"/>
              </w:rPr>
            </w:pPr>
          </w:p>
        </w:tc>
        <w:tc>
          <w:tcPr>
            <w:tcW w:w="1260" w:type="dxa"/>
            <w:vAlign w:val="center"/>
          </w:tcPr>
          <w:p>
            <w:pPr>
              <w:spacing w:line="360" w:lineRule="auto"/>
              <w:jc w:val="left"/>
              <w:outlineLvl w:val="1"/>
              <w:rPr>
                <w:rFonts w:ascii="宋体" w:hAnsi="宋体" w:cs="宋体"/>
                <w:bCs/>
                <w:color w:val="auto"/>
                <w:sz w:val="24"/>
                <w:highlight w:val="none"/>
              </w:rPr>
            </w:pPr>
            <w:bookmarkStart w:id="683" w:name="_Toc3689"/>
            <w:bookmarkStart w:id="684" w:name="_Toc20228"/>
            <w:bookmarkStart w:id="685" w:name="_Toc284"/>
            <w:bookmarkStart w:id="686" w:name="_Toc7870"/>
            <w:bookmarkStart w:id="687" w:name="_Toc22984"/>
            <w:r>
              <w:rPr>
                <w:rFonts w:hint="eastAsia" w:ascii="宋体" w:hAnsi="宋体" w:cs="宋体"/>
                <w:bCs/>
                <w:color w:val="auto"/>
                <w:sz w:val="24"/>
                <w:highlight w:val="none"/>
              </w:rPr>
              <w:t>技术职称</w:t>
            </w:r>
            <w:bookmarkEnd w:id="683"/>
            <w:bookmarkEnd w:id="684"/>
            <w:bookmarkEnd w:id="685"/>
            <w:bookmarkEnd w:id="686"/>
            <w:bookmarkEnd w:id="687"/>
          </w:p>
        </w:tc>
        <w:tc>
          <w:tcPr>
            <w:tcW w:w="1260" w:type="dxa"/>
            <w:gridSpan w:val="3"/>
            <w:vAlign w:val="center"/>
          </w:tcPr>
          <w:p>
            <w:pPr>
              <w:spacing w:line="360" w:lineRule="auto"/>
              <w:jc w:val="left"/>
              <w:outlineLvl w:val="1"/>
              <w:rPr>
                <w:rFonts w:ascii="宋体" w:hAnsi="宋体" w:cs="宋体"/>
                <w:bCs/>
                <w:color w:val="auto"/>
                <w:sz w:val="24"/>
                <w:highlight w:val="none"/>
              </w:rPr>
            </w:pPr>
          </w:p>
        </w:tc>
        <w:tc>
          <w:tcPr>
            <w:tcW w:w="1260" w:type="dxa"/>
            <w:gridSpan w:val="3"/>
            <w:vAlign w:val="center"/>
          </w:tcPr>
          <w:p>
            <w:pPr>
              <w:spacing w:line="360" w:lineRule="auto"/>
              <w:jc w:val="left"/>
              <w:outlineLvl w:val="1"/>
              <w:rPr>
                <w:rFonts w:ascii="宋体" w:hAnsi="宋体" w:cs="宋体"/>
                <w:bCs/>
                <w:color w:val="auto"/>
                <w:sz w:val="24"/>
                <w:highlight w:val="none"/>
              </w:rPr>
            </w:pPr>
            <w:bookmarkStart w:id="688" w:name="_Toc15659"/>
            <w:bookmarkStart w:id="689" w:name="_Toc27999"/>
            <w:bookmarkStart w:id="690" w:name="_Toc28908"/>
            <w:bookmarkStart w:id="691" w:name="_Toc31965"/>
            <w:bookmarkStart w:id="692" w:name="_Toc5922"/>
            <w:r>
              <w:rPr>
                <w:rFonts w:hint="eastAsia" w:ascii="宋体" w:hAnsi="宋体" w:cs="宋体"/>
                <w:bCs/>
                <w:color w:val="auto"/>
                <w:sz w:val="24"/>
                <w:highlight w:val="none"/>
              </w:rPr>
              <w:t>联系电话</w:t>
            </w:r>
            <w:bookmarkEnd w:id="688"/>
            <w:bookmarkEnd w:id="689"/>
            <w:bookmarkEnd w:id="690"/>
            <w:bookmarkEnd w:id="691"/>
            <w:bookmarkEnd w:id="692"/>
          </w:p>
        </w:tc>
        <w:tc>
          <w:tcPr>
            <w:tcW w:w="1260" w:type="dxa"/>
            <w:vAlign w:val="center"/>
          </w:tcPr>
          <w:p>
            <w:pP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55" w:type="dxa"/>
            <w:vAlign w:val="center"/>
          </w:tcPr>
          <w:p>
            <w:pPr>
              <w:spacing w:line="360" w:lineRule="auto"/>
              <w:jc w:val="left"/>
              <w:outlineLvl w:val="1"/>
              <w:rPr>
                <w:rFonts w:ascii="宋体" w:hAnsi="宋体" w:cs="宋体"/>
                <w:bCs/>
                <w:color w:val="auto"/>
                <w:sz w:val="24"/>
                <w:highlight w:val="none"/>
              </w:rPr>
            </w:pPr>
            <w:bookmarkStart w:id="693" w:name="_Toc11807"/>
            <w:bookmarkStart w:id="694" w:name="_Toc18636"/>
            <w:bookmarkStart w:id="695" w:name="_Toc32587"/>
            <w:bookmarkStart w:id="696" w:name="_Toc14114"/>
            <w:bookmarkStart w:id="697" w:name="_Toc25674"/>
            <w:r>
              <w:rPr>
                <w:rFonts w:hint="eastAsia" w:ascii="宋体" w:hAnsi="宋体" w:cs="宋体"/>
                <w:bCs/>
                <w:color w:val="auto"/>
                <w:sz w:val="24"/>
                <w:highlight w:val="none"/>
              </w:rPr>
              <w:t>技术负责人</w:t>
            </w:r>
            <w:bookmarkEnd w:id="693"/>
            <w:bookmarkEnd w:id="694"/>
            <w:bookmarkEnd w:id="695"/>
            <w:bookmarkEnd w:id="696"/>
            <w:bookmarkEnd w:id="697"/>
          </w:p>
        </w:tc>
        <w:tc>
          <w:tcPr>
            <w:tcW w:w="1025" w:type="dxa"/>
            <w:vAlign w:val="center"/>
          </w:tcPr>
          <w:p>
            <w:pPr>
              <w:spacing w:line="360" w:lineRule="auto"/>
              <w:jc w:val="left"/>
              <w:outlineLvl w:val="1"/>
              <w:rPr>
                <w:rFonts w:ascii="宋体" w:hAnsi="宋体" w:cs="宋体"/>
                <w:bCs/>
                <w:color w:val="auto"/>
                <w:sz w:val="24"/>
                <w:highlight w:val="none"/>
              </w:rPr>
            </w:pPr>
            <w:bookmarkStart w:id="698" w:name="_Toc19819"/>
            <w:bookmarkStart w:id="699" w:name="_Toc843"/>
            <w:bookmarkStart w:id="700" w:name="_Toc22736"/>
            <w:bookmarkStart w:id="701" w:name="_Toc20028"/>
            <w:bookmarkStart w:id="702" w:name="_Toc14628"/>
            <w:r>
              <w:rPr>
                <w:rFonts w:hint="eastAsia" w:ascii="宋体" w:hAnsi="宋体" w:cs="宋体"/>
                <w:bCs/>
                <w:color w:val="auto"/>
                <w:sz w:val="24"/>
                <w:highlight w:val="none"/>
              </w:rPr>
              <w:t>姓名</w:t>
            </w:r>
            <w:bookmarkEnd w:id="698"/>
            <w:bookmarkEnd w:id="699"/>
            <w:bookmarkEnd w:id="700"/>
            <w:bookmarkEnd w:id="701"/>
            <w:bookmarkEnd w:id="702"/>
          </w:p>
        </w:tc>
        <w:tc>
          <w:tcPr>
            <w:tcW w:w="1260" w:type="dxa"/>
            <w:gridSpan w:val="2"/>
            <w:vAlign w:val="center"/>
          </w:tcPr>
          <w:p>
            <w:pPr>
              <w:spacing w:line="360" w:lineRule="auto"/>
              <w:jc w:val="left"/>
              <w:outlineLvl w:val="1"/>
              <w:rPr>
                <w:rFonts w:ascii="宋体" w:hAnsi="宋体" w:cs="宋体"/>
                <w:bCs/>
                <w:color w:val="auto"/>
                <w:sz w:val="24"/>
                <w:highlight w:val="none"/>
              </w:rPr>
            </w:pPr>
          </w:p>
        </w:tc>
        <w:tc>
          <w:tcPr>
            <w:tcW w:w="1260" w:type="dxa"/>
            <w:vAlign w:val="center"/>
          </w:tcPr>
          <w:p>
            <w:pPr>
              <w:spacing w:line="360" w:lineRule="auto"/>
              <w:jc w:val="left"/>
              <w:outlineLvl w:val="1"/>
              <w:rPr>
                <w:rFonts w:ascii="宋体" w:hAnsi="宋体" w:cs="宋体"/>
                <w:bCs/>
                <w:color w:val="auto"/>
                <w:sz w:val="24"/>
                <w:highlight w:val="none"/>
              </w:rPr>
            </w:pPr>
            <w:bookmarkStart w:id="703" w:name="_Toc12424"/>
            <w:bookmarkStart w:id="704" w:name="_Toc15800"/>
            <w:bookmarkStart w:id="705" w:name="_Toc27749"/>
            <w:bookmarkStart w:id="706" w:name="_Toc28765"/>
            <w:bookmarkStart w:id="707" w:name="_Toc24293"/>
            <w:r>
              <w:rPr>
                <w:rFonts w:hint="eastAsia" w:ascii="宋体" w:hAnsi="宋体" w:cs="宋体"/>
                <w:bCs/>
                <w:color w:val="auto"/>
                <w:sz w:val="24"/>
                <w:highlight w:val="none"/>
              </w:rPr>
              <w:t>技术职称</w:t>
            </w:r>
            <w:bookmarkEnd w:id="703"/>
            <w:bookmarkEnd w:id="704"/>
            <w:bookmarkEnd w:id="705"/>
            <w:bookmarkEnd w:id="706"/>
            <w:bookmarkEnd w:id="707"/>
          </w:p>
        </w:tc>
        <w:tc>
          <w:tcPr>
            <w:tcW w:w="1260" w:type="dxa"/>
            <w:gridSpan w:val="3"/>
            <w:vAlign w:val="center"/>
          </w:tcPr>
          <w:p>
            <w:pPr>
              <w:spacing w:line="360" w:lineRule="auto"/>
              <w:jc w:val="left"/>
              <w:outlineLvl w:val="1"/>
              <w:rPr>
                <w:rFonts w:ascii="宋体" w:hAnsi="宋体" w:cs="宋体"/>
                <w:bCs/>
                <w:color w:val="auto"/>
                <w:sz w:val="24"/>
                <w:highlight w:val="none"/>
              </w:rPr>
            </w:pPr>
          </w:p>
        </w:tc>
        <w:tc>
          <w:tcPr>
            <w:tcW w:w="1260" w:type="dxa"/>
            <w:gridSpan w:val="3"/>
            <w:vAlign w:val="center"/>
          </w:tcPr>
          <w:p>
            <w:pPr>
              <w:spacing w:line="360" w:lineRule="auto"/>
              <w:jc w:val="left"/>
              <w:outlineLvl w:val="1"/>
              <w:rPr>
                <w:rFonts w:ascii="宋体" w:hAnsi="宋体" w:cs="宋体"/>
                <w:bCs/>
                <w:color w:val="auto"/>
                <w:sz w:val="24"/>
                <w:highlight w:val="none"/>
              </w:rPr>
            </w:pPr>
            <w:bookmarkStart w:id="708" w:name="_Toc11554"/>
            <w:bookmarkStart w:id="709" w:name="_Toc15388"/>
            <w:bookmarkStart w:id="710" w:name="_Toc23531"/>
            <w:bookmarkStart w:id="711" w:name="_Toc26117"/>
            <w:bookmarkStart w:id="712" w:name="_Toc22214"/>
            <w:r>
              <w:rPr>
                <w:rFonts w:hint="eastAsia" w:ascii="宋体" w:hAnsi="宋体" w:cs="宋体"/>
                <w:bCs/>
                <w:color w:val="auto"/>
                <w:sz w:val="24"/>
                <w:highlight w:val="none"/>
              </w:rPr>
              <w:t>联系电话</w:t>
            </w:r>
            <w:bookmarkEnd w:id="708"/>
            <w:bookmarkEnd w:id="709"/>
            <w:bookmarkEnd w:id="710"/>
            <w:bookmarkEnd w:id="711"/>
            <w:bookmarkEnd w:id="712"/>
          </w:p>
        </w:tc>
        <w:tc>
          <w:tcPr>
            <w:tcW w:w="1260" w:type="dxa"/>
            <w:vAlign w:val="center"/>
          </w:tcPr>
          <w:p>
            <w:pP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55" w:type="dxa"/>
            <w:vAlign w:val="center"/>
          </w:tcPr>
          <w:p>
            <w:pPr>
              <w:spacing w:line="360" w:lineRule="auto"/>
              <w:jc w:val="left"/>
              <w:outlineLvl w:val="1"/>
              <w:rPr>
                <w:rFonts w:ascii="宋体" w:hAnsi="宋体" w:cs="宋体"/>
                <w:bCs/>
                <w:color w:val="auto"/>
                <w:sz w:val="24"/>
                <w:highlight w:val="none"/>
              </w:rPr>
            </w:pPr>
            <w:bookmarkStart w:id="713" w:name="_Toc4143"/>
            <w:bookmarkStart w:id="714" w:name="_Toc18125"/>
            <w:bookmarkStart w:id="715" w:name="_Toc23893"/>
            <w:bookmarkStart w:id="716" w:name="_Toc21459"/>
            <w:bookmarkStart w:id="717" w:name="_Toc4649"/>
            <w:r>
              <w:rPr>
                <w:rFonts w:hint="eastAsia" w:ascii="宋体" w:hAnsi="宋体" w:cs="宋体"/>
                <w:bCs/>
                <w:color w:val="auto"/>
                <w:sz w:val="24"/>
                <w:highlight w:val="none"/>
              </w:rPr>
              <w:t>成立时间</w:t>
            </w:r>
            <w:bookmarkEnd w:id="713"/>
            <w:bookmarkEnd w:id="714"/>
            <w:bookmarkEnd w:id="715"/>
            <w:bookmarkEnd w:id="716"/>
            <w:bookmarkEnd w:id="717"/>
          </w:p>
        </w:tc>
        <w:tc>
          <w:tcPr>
            <w:tcW w:w="2285" w:type="dxa"/>
            <w:gridSpan w:val="3"/>
            <w:vAlign w:val="center"/>
          </w:tcPr>
          <w:p>
            <w:pPr>
              <w:spacing w:line="360" w:lineRule="auto"/>
              <w:jc w:val="left"/>
              <w:outlineLvl w:val="1"/>
              <w:rPr>
                <w:rFonts w:ascii="宋体" w:hAnsi="宋体" w:cs="宋体"/>
                <w:bCs/>
                <w:color w:val="auto"/>
                <w:sz w:val="24"/>
                <w:highlight w:val="none"/>
              </w:rPr>
            </w:pPr>
          </w:p>
        </w:tc>
        <w:tc>
          <w:tcPr>
            <w:tcW w:w="5040" w:type="dxa"/>
            <w:gridSpan w:val="8"/>
            <w:vAlign w:val="center"/>
          </w:tcPr>
          <w:p>
            <w:pPr>
              <w:spacing w:line="360" w:lineRule="auto"/>
              <w:jc w:val="left"/>
              <w:outlineLvl w:val="1"/>
              <w:rPr>
                <w:rFonts w:ascii="宋体" w:hAnsi="宋体" w:cs="宋体"/>
                <w:bCs/>
                <w:color w:val="auto"/>
                <w:sz w:val="24"/>
                <w:highlight w:val="none"/>
              </w:rPr>
            </w:pPr>
            <w:bookmarkStart w:id="718" w:name="_Toc11113"/>
            <w:bookmarkStart w:id="719" w:name="_Toc484"/>
            <w:bookmarkStart w:id="720" w:name="_Toc25194"/>
            <w:bookmarkStart w:id="721" w:name="_Toc21254"/>
            <w:bookmarkStart w:id="722" w:name="_Toc4072"/>
            <w:r>
              <w:rPr>
                <w:rFonts w:hint="eastAsia" w:ascii="宋体" w:hAnsi="宋体" w:cs="宋体"/>
                <w:bCs/>
                <w:color w:val="auto"/>
                <w:sz w:val="24"/>
                <w:highlight w:val="none"/>
              </w:rPr>
              <w:t>员工总人数：</w:t>
            </w:r>
            <w:bookmarkEnd w:id="718"/>
            <w:bookmarkEnd w:id="719"/>
            <w:bookmarkEnd w:id="720"/>
            <w:bookmarkEnd w:id="721"/>
            <w:bookmarkEnd w:id="7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55" w:type="dxa"/>
            <w:vAlign w:val="center"/>
          </w:tcPr>
          <w:p>
            <w:pPr>
              <w:spacing w:line="360" w:lineRule="auto"/>
              <w:jc w:val="left"/>
              <w:outlineLvl w:val="1"/>
              <w:rPr>
                <w:rFonts w:ascii="宋体" w:hAnsi="宋体" w:cs="宋体"/>
                <w:bCs/>
                <w:color w:val="auto"/>
                <w:sz w:val="24"/>
                <w:highlight w:val="none"/>
              </w:rPr>
            </w:pPr>
            <w:bookmarkStart w:id="723" w:name="_Toc24901"/>
            <w:bookmarkStart w:id="724" w:name="_Toc18561"/>
            <w:bookmarkStart w:id="725" w:name="_Toc21607"/>
            <w:bookmarkStart w:id="726" w:name="_Toc17356"/>
            <w:bookmarkStart w:id="727" w:name="_Toc31406"/>
            <w:r>
              <w:rPr>
                <w:rFonts w:hint="eastAsia" w:ascii="宋体" w:hAnsi="宋体" w:cs="宋体"/>
                <w:bCs/>
                <w:color w:val="auto"/>
                <w:sz w:val="24"/>
                <w:highlight w:val="none"/>
              </w:rPr>
              <w:t>企业资质等级</w:t>
            </w:r>
            <w:bookmarkEnd w:id="723"/>
            <w:bookmarkEnd w:id="724"/>
            <w:bookmarkEnd w:id="725"/>
            <w:bookmarkEnd w:id="726"/>
            <w:bookmarkEnd w:id="727"/>
          </w:p>
        </w:tc>
        <w:tc>
          <w:tcPr>
            <w:tcW w:w="2285" w:type="dxa"/>
            <w:gridSpan w:val="3"/>
            <w:vAlign w:val="center"/>
          </w:tcPr>
          <w:p>
            <w:pPr>
              <w:spacing w:line="360" w:lineRule="auto"/>
              <w:jc w:val="left"/>
              <w:outlineLvl w:val="1"/>
              <w:rPr>
                <w:rFonts w:ascii="宋体" w:hAnsi="宋体" w:cs="宋体"/>
                <w:bCs/>
                <w:color w:val="auto"/>
                <w:sz w:val="24"/>
                <w:highlight w:val="none"/>
              </w:rPr>
            </w:pPr>
          </w:p>
        </w:tc>
        <w:tc>
          <w:tcPr>
            <w:tcW w:w="1680" w:type="dxa"/>
            <w:gridSpan w:val="2"/>
            <w:vMerge w:val="restart"/>
            <w:vAlign w:val="center"/>
          </w:tcPr>
          <w:p>
            <w:pPr>
              <w:spacing w:line="360" w:lineRule="auto"/>
              <w:jc w:val="center"/>
              <w:outlineLvl w:val="1"/>
              <w:rPr>
                <w:rFonts w:ascii="宋体" w:hAnsi="宋体" w:cs="宋体"/>
                <w:bCs/>
                <w:color w:val="auto"/>
                <w:sz w:val="24"/>
                <w:highlight w:val="none"/>
              </w:rPr>
            </w:pPr>
            <w:bookmarkStart w:id="728" w:name="_Toc15138"/>
            <w:bookmarkStart w:id="729" w:name="_Toc13485"/>
            <w:bookmarkStart w:id="730" w:name="_Toc8691"/>
            <w:bookmarkStart w:id="731" w:name="_Toc25379"/>
            <w:bookmarkStart w:id="732" w:name="_Toc2847"/>
            <w:r>
              <w:rPr>
                <w:rFonts w:hint="eastAsia" w:ascii="宋体" w:hAnsi="宋体" w:cs="宋体"/>
                <w:bCs/>
                <w:color w:val="auto"/>
                <w:sz w:val="24"/>
                <w:highlight w:val="none"/>
              </w:rPr>
              <w:t>其中</w:t>
            </w:r>
            <w:bookmarkEnd w:id="728"/>
            <w:bookmarkEnd w:id="729"/>
            <w:bookmarkEnd w:id="730"/>
            <w:bookmarkEnd w:id="731"/>
            <w:bookmarkEnd w:id="732"/>
          </w:p>
        </w:tc>
        <w:tc>
          <w:tcPr>
            <w:tcW w:w="1680" w:type="dxa"/>
            <w:gridSpan w:val="3"/>
            <w:vAlign w:val="center"/>
          </w:tcPr>
          <w:p>
            <w:pPr>
              <w:spacing w:line="360" w:lineRule="auto"/>
              <w:jc w:val="left"/>
              <w:outlineLvl w:val="1"/>
              <w:rPr>
                <w:rFonts w:ascii="宋体" w:hAnsi="宋体" w:cs="宋体"/>
                <w:bCs/>
                <w:color w:val="auto"/>
                <w:sz w:val="24"/>
                <w:highlight w:val="none"/>
              </w:rPr>
            </w:pPr>
            <w:bookmarkStart w:id="733" w:name="_Toc7888"/>
            <w:bookmarkStart w:id="734" w:name="_Toc12503"/>
            <w:bookmarkStart w:id="735" w:name="_Toc31031"/>
            <w:bookmarkStart w:id="736" w:name="_Toc8707"/>
            <w:bookmarkStart w:id="737" w:name="_Toc22414"/>
            <w:r>
              <w:rPr>
                <w:rFonts w:hint="eastAsia" w:ascii="宋体" w:hAnsi="宋体" w:cs="宋体"/>
                <w:bCs/>
                <w:color w:val="auto"/>
                <w:sz w:val="24"/>
                <w:highlight w:val="none"/>
              </w:rPr>
              <w:t>项目经理</w:t>
            </w:r>
            <w:bookmarkEnd w:id="733"/>
            <w:bookmarkEnd w:id="734"/>
            <w:bookmarkEnd w:id="735"/>
            <w:bookmarkEnd w:id="736"/>
            <w:bookmarkEnd w:id="737"/>
          </w:p>
        </w:tc>
        <w:tc>
          <w:tcPr>
            <w:tcW w:w="1680" w:type="dxa"/>
            <w:gridSpan w:val="3"/>
            <w:vAlign w:val="center"/>
          </w:tcPr>
          <w:p>
            <w:pP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55" w:type="dxa"/>
            <w:vAlign w:val="center"/>
          </w:tcPr>
          <w:p>
            <w:pPr>
              <w:spacing w:line="360" w:lineRule="auto"/>
              <w:jc w:val="left"/>
              <w:outlineLvl w:val="1"/>
              <w:rPr>
                <w:rFonts w:ascii="宋体" w:hAnsi="宋体" w:cs="宋体"/>
                <w:bCs/>
                <w:color w:val="auto"/>
                <w:sz w:val="24"/>
                <w:highlight w:val="none"/>
              </w:rPr>
            </w:pPr>
            <w:bookmarkStart w:id="738" w:name="_Toc13410"/>
            <w:bookmarkStart w:id="739" w:name="_Toc28460"/>
            <w:bookmarkStart w:id="740" w:name="_Toc6095"/>
            <w:bookmarkStart w:id="741" w:name="_Toc28574"/>
            <w:bookmarkStart w:id="742" w:name="_Toc6300"/>
            <w:r>
              <w:rPr>
                <w:rFonts w:hint="eastAsia" w:ascii="宋体" w:hAnsi="宋体" w:cs="宋体"/>
                <w:bCs/>
                <w:color w:val="auto"/>
                <w:sz w:val="24"/>
                <w:highlight w:val="none"/>
              </w:rPr>
              <w:t>营业执照</w:t>
            </w:r>
            <w:r>
              <w:rPr>
                <w:rFonts w:hint="eastAsia" w:ascii="宋体" w:hAnsi="宋体" w:cs="宋体"/>
                <w:color w:val="auto"/>
                <w:sz w:val="24"/>
                <w:highlight w:val="none"/>
              </w:rPr>
              <w:t>号</w:t>
            </w:r>
            <w:bookmarkEnd w:id="738"/>
            <w:bookmarkEnd w:id="739"/>
            <w:bookmarkEnd w:id="740"/>
            <w:bookmarkEnd w:id="741"/>
            <w:bookmarkEnd w:id="742"/>
          </w:p>
        </w:tc>
        <w:tc>
          <w:tcPr>
            <w:tcW w:w="2285" w:type="dxa"/>
            <w:gridSpan w:val="3"/>
            <w:vAlign w:val="center"/>
          </w:tcPr>
          <w:p>
            <w:pPr>
              <w:spacing w:line="360" w:lineRule="auto"/>
              <w:jc w:val="left"/>
              <w:outlineLvl w:val="1"/>
              <w:rPr>
                <w:rFonts w:ascii="宋体" w:hAnsi="宋体" w:cs="宋体"/>
                <w:bCs/>
                <w:color w:val="auto"/>
                <w:sz w:val="24"/>
                <w:highlight w:val="none"/>
              </w:rPr>
            </w:pPr>
          </w:p>
        </w:tc>
        <w:tc>
          <w:tcPr>
            <w:tcW w:w="1680" w:type="dxa"/>
            <w:gridSpan w:val="2"/>
            <w:vMerge w:val="continue"/>
            <w:vAlign w:val="center"/>
          </w:tcPr>
          <w:p>
            <w:pPr>
              <w:spacing w:line="360" w:lineRule="auto"/>
              <w:jc w:val="left"/>
              <w:outlineLvl w:val="1"/>
              <w:rPr>
                <w:rFonts w:ascii="宋体" w:hAnsi="宋体" w:cs="宋体"/>
                <w:bCs/>
                <w:color w:val="auto"/>
                <w:sz w:val="24"/>
                <w:highlight w:val="none"/>
              </w:rPr>
            </w:pPr>
          </w:p>
        </w:tc>
        <w:tc>
          <w:tcPr>
            <w:tcW w:w="1680" w:type="dxa"/>
            <w:gridSpan w:val="3"/>
            <w:vAlign w:val="center"/>
          </w:tcPr>
          <w:p>
            <w:pPr>
              <w:spacing w:line="360" w:lineRule="auto"/>
              <w:jc w:val="left"/>
              <w:outlineLvl w:val="1"/>
              <w:rPr>
                <w:rFonts w:ascii="宋体" w:hAnsi="宋体" w:cs="宋体"/>
                <w:bCs/>
                <w:color w:val="auto"/>
                <w:sz w:val="24"/>
                <w:highlight w:val="none"/>
              </w:rPr>
            </w:pPr>
            <w:bookmarkStart w:id="743" w:name="_Toc32213"/>
            <w:bookmarkStart w:id="744" w:name="_Toc25265"/>
            <w:bookmarkStart w:id="745" w:name="_Toc17693"/>
            <w:bookmarkStart w:id="746" w:name="_Toc25287"/>
            <w:bookmarkStart w:id="747" w:name="_Toc21677"/>
            <w:r>
              <w:rPr>
                <w:rFonts w:hint="eastAsia" w:ascii="宋体" w:hAnsi="宋体" w:cs="宋体"/>
                <w:bCs/>
                <w:color w:val="auto"/>
                <w:sz w:val="24"/>
                <w:highlight w:val="none"/>
              </w:rPr>
              <w:t>高级职称人员</w:t>
            </w:r>
            <w:bookmarkEnd w:id="743"/>
            <w:bookmarkEnd w:id="744"/>
            <w:bookmarkEnd w:id="745"/>
            <w:bookmarkEnd w:id="746"/>
            <w:bookmarkEnd w:id="747"/>
          </w:p>
        </w:tc>
        <w:tc>
          <w:tcPr>
            <w:tcW w:w="1680" w:type="dxa"/>
            <w:gridSpan w:val="3"/>
            <w:vAlign w:val="center"/>
          </w:tcPr>
          <w:p>
            <w:pP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55" w:type="dxa"/>
            <w:vAlign w:val="center"/>
          </w:tcPr>
          <w:p>
            <w:pPr>
              <w:spacing w:line="360" w:lineRule="auto"/>
              <w:jc w:val="left"/>
              <w:outlineLvl w:val="1"/>
              <w:rPr>
                <w:rFonts w:ascii="宋体" w:hAnsi="宋体" w:cs="宋体"/>
                <w:bCs/>
                <w:color w:val="auto"/>
                <w:sz w:val="24"/>
                <w:highlight w:val="none"/>
              </w:rPr>
            </w:pPr>
            <w:bookmarkStart w:id="748" w:name="_Toc20577"/>
            <w:bookmarkStart w:id="749" w:name="_Toc24290"/>
            <w:bookmarkStart w:id="750" w:name="_Toc668"/>
            <w:bookmarkStart w:id="751" w:name="_Toc690"/>
            <w:bookmarkStart w:id="752" w:name="_Toc2828"/>
            <w:r>
              <w:rPr>
                <w:rFonts w:hint="eastAsia" w:ascii="宋体" w:hAnsi="宋体" w:cs="宋体"/>
                <w:bCs/>
                <w:color w:val="auto"/>
                <w:sz w:val="24"/>
                <w:highlight w:val="none"/>
              </w:rPr>
              <w:t>注册资金</w:t>
            </w:r>
            <w:bookmarkEnd w:id="748"/>
            <w:bookmarkEnd w:id="749"/>
            <w:bookmarkEnd w:id="750"/>
            <w:bookmarkEnd w:id="751"/>
            <w:bookmarkEnd w:id="752"/>
          </w:p>
        </w:tc>
        <w:tc>
          <w:tcPr>
            <w:tcW w:w="2285" w:type="dxa"/>
            <w:gridSpan w:val="3"/>
            <w:vAlign w:val="center"/>
          </w:tcPr>
          <w:p>
            <w:pPr>
              <w:spacing w:line="360" w:lineRule="auto"/>
              <w:jc w:val="left"/>
              <w:outlineLvl w:val="1"/>
              <w:rPr>
                <w:rFonts w:ascii="宋体" w:hAnsi="宋体" w:cs="宋体"/>
                <w:bCs/>
                <w:color w:val="auto"/>
                <w:sz w:val="24"/>
                <w:highlight w:val="none"/>
              </w:rPr>
            </w:pPr>
          </w:p>
        </w:tc>
        <w:tc>
          <w:tcPr>
            <w:tcW w:w="1680" w:type="dxa"/>
            <w:gridSpan w:val="2"/>
            <w:vMerge w:val="continue"/>
            <w:vAlign w:val="center"/>
          </w:tcPr>
          <w:p>
            <w:pPr>
              <w:spacing w:line="360" w:lineRule="auto"/>
              <w:jc w:val="left"/>
              <w:outlineLvl w:val="1"/>
              <w:rPr>
                <w:rFonts w:ascii="宋体" w:hAnsi="宋体" w:cs="宋体"/>
                <w:bCs/>
                <w:color w:val="auto"/>
                <w:sz w:val="24"/>
                <w:highlight w:val="none"/>
              </w:rPr>
            </w:pPr>
          </w:p>
        </w:tc>
        <w:tc>
          <w:tcPr>
            <w:tcW w:w="1680" w:type="dxa"/>
            <w:gridSpan w:val="3"/>
            <w:vAlign w:val="center"/>
          </w:tcPr>
          <w:p>
            <w:pPr>
              <w:spacing w:line="360" w:lineRule="auto"/>
              <w:jc w:val="left"/>
              <w:outlineLvl w:val="1"/>
              <w:rPr>
                <w:rFonts w:ascii="宋体" w:hAnsi="宋体" w:cs="宋体"/>
                <w:bCs/>
                <w:color w:val="auto"/>
                <w:sz w:val="24"/>
                <w:highlight w:val="none"/>
              </w:rPr>
            </w:pPr>
            <w:bookmarkStart w:id="753" w:name="_Toc30047"/>
            <w:bookmarkStart w:id="754" w:name="_Toc9461"/>
            <w:bookmarkStart w:id="755" w:name="_Toc2839"/>
            <w:bookmarkStart w:id="756" w:name="_Toc23800"/>
            <w:bookmarkStart w:id="757" w:name="_Toc8130"/>
            <w:r>
              <w:rPr>
                <w:rFonts w:hint="eastAsia" w:ascii="宋体" w:hAnsi="宋体" w:cs="宋体"/>
                <w:bCs/>
                <w:color w:val="auto"/>
                <w:sz w:val="24"/>
                <w:highlight w:val="none"/>
              </w:rPr>
              <w:t>中级职称人员</w:t>
            </w:r>
            <w:bookmarkEnd w:id="753"/>
            <w:bookmarkEnd w:id="754"/>
            <w:bookmarkEnd w:id="755"/>
            <w:bookmarkEnd w:id="756"/>
            <w:bookmarkEnd w:id="757"/>
          </w:p>
        </w:tc>
        <w:tc>
          <w:tcPr>
            <w:tcW w:w="1680" w:type="dxa"/>
            <w:gridSpan w:val="3"/>
            <w:vAlign w:val="center"/>
          </w:tcPr>
          <w:p>
            <w:pP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55" w:type="dxa"/>
            <w:vAlign w:val="center"/>
          </w:tcPr>
          <w:p>
            <w:pPr>
              <w:spacing w:line="360" w:lineRule="auto"/>
              <w:jc w:val="left"/>
              <w:outlineLvl w:val="1"/>
              <w:rPr>
                <w:rFonts w:ascii="宋体" w:hAnsi="宋体" w:cs="宋体"/>
                <w:bCs/>
                <w:color w:val="auto"/>
                <w:sz w:val="24"/>
                <w:highlight w:val="none"/>
              </w:rPr>
            </w:pPr>
            <w:bookmarkStart w:id="758" w:name="_Toc10906"/>
            <w:bookmarkStart w:id="759" w:name="_Toc22245"/>
            <w:bookmarkStart w:id="760" w:name="_Toc29170"/>
            <w:bookmarkStart w:id="761" w:name="_Toc23484"/>
            <w:bookmarkStart w:id="762" w:name="_Toc27134"/>
            <w:r>
              <w:rPr>
                <w:rFonts w:hint="eastAsia" w:ascii="宋体" w:hAnsi="宋体" w:cs="宋体"/>
                <w:bCs/>
                <w:color w:val="auto"/>
                <w:sz w:val="24"/>
                <w:highlight w:val="none"/>
              </w:rPr>
              <w:t>开户银行</w:t>
            </w:r>
            <w:bookmarkEnd w:id="758"/>
            <w:bookmarkEnd w:id="759"/>
            <w:bookmarkEnd w:id="760"/>
            <w:bookmarkEnd w:id="761"/>
            <w:bookmarkEnd w:id="762"/>
          </w:p>
        </w:tc>
        <w:tc>
          <w:tcPr>
            <w:tcW w:w="2285" w:type="dxa"/>
            <w:gridSpan w:val="3"/>
            <w:vAlign w:val="center"/>
          </w:tcPr>
          <w:p>
            <w:pPr>
              <w:spacing w:line="360" w:lineRule="auto"/>
              <w:jc w:val="left"/>
              <w:outlineLvl w:val="1"/>
              <w:rPr>
                <w:rFonts w:ascii="宋体" w:hAnsi="宋体" w:cs="宋体"/>
                <w:bCs/>
                <w:color w:val="auto"/>
                <w:sz w:val="24"/>
                <w:highlight w:val="none"/>
              </w:rPr>
            </w:pPr>
          </w:p>
        </w:tc>
        <w:tc>
          <w:tcPr>
            <w:tcW w:w="1680" w:type="dxa"/>
            <w:gridSpan w:val="2"/>
            <w:vMerge w:val="continue"/>
            <w:vAlign w:val="center"/>
          </w:tcPr>
          <w:p>
            <w:pPr>
              <w:spacing w:line="360" w:lineRule="auto"/>
              <w:jc w:val="left"/>
              <w:outlineLvl w:val="1"/>
              <w:rPr>
                <w:rFonts w:ascii="宋体" w:hAnsi="宋体" w:cs="宋体"/>
                <w:bCs/>
                <w:color w:val="auto"/>
                <w:sz w:val="24"/>
                <w:highlight w:val="none"/>
              </w:rPr>
            </w:pPr>
          </w:p>
        </w:tc>
        <w:tc>
          <w:tcPr>
            <w:tcW w:w="1680" w:type="dxa"/>
            <w:gridSpan w:val="3"/>
            <w:vAlign w:val="center"/>
          </w:tcPr>
          <w:p>
            <w:pPr>
              <w:spacing w:line="360" w:lineRule="auto"/>
              <w:jc w:val="left"/>
              <w:outlineLvl w:val="1"/>
              <w:rPr>
                <w:rFonts w:ascii="宋体" w:hAnsi="宋体" w:cs="宋体"/>
                <w:bCs/>
                <w:color w:val="auto"/>
                <w:sz w:val="24"/>
                <w:highlight w:val="none"/>
              </w:rPr>
            </w:pPr>
            <w:bookmarkStart w:id="763" w:name="_Toc20484"/>
            <w:bookmarkStart w:id="764" w:name="_Toc17189"/>
            <w:bookmarkStart w:id="765" w:name="_Toc32001"/>
            <w:bookmarkStart w:id="766" w:name="_Toc13039"/>
            <w:bookmarkStart w:id="767" w:name="_Toc7243"/>
            <w:r>
              <w:rPr>
                <w:rFonts w:hint="eastAsia" w:ascii="宋体" w:hAnsi="宋体" w:cs="宋体"/>
                <w:bCs/>
                <w:color w:val="auto"/>
                <w:sz w:val="24"/>
                <w:highlight w:val="none"/>
              </w:rPr>
              <w:t>初级职称人员</w:t>
            </w:r>
            <w:bookmarkEnd w:id="763"/>
            <w:bookmarkEnd w:id="764"/>
            <w:bookmarkEnd w:id="765"/>
            <w:bookmarkEnd w:id="766"/>
            <w:bookmarkEnd w:id="767"/>
          </w:p>
        </w:tc>
        <w:tc>
          <w:tcPr>
            <w:tcW w:w="1680" w:type="dxa"/>
            <w:gridSpan w:val="3"/>
            <w:vAlign w:val="center"/>
          </w:tcPr>
          <w:p>
            <w:pP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855" w:type="dxa"/>
            <w:vAlign w:val="center"/>
          </w:tcPr>
          <w:p>
            <w:pPr>
              <w:spacing w:line="360" w:lineRule="auto"/>
              <w:jc w:val="left"/>
              <w:outlineLvl w:val="1"/>
              <w:rPr>
                <w:rFonts w:ascii="宋体" w:hAnsi="宋体" w:cs="宋体"/>
                <w:bCs/>
                <w:color w:val="auto"/>
                <w:sz w:val="24"/>
                <w:highlight w:val="none"/>
              </w:rPr>
            </w:pPr>
            <w:bookmarkStart w:id="768" w:name="_Toc13847"/>
            <w:bookmarkStart w:id="769" w:name="_Toc5147"/>
            <w:bookmarkStart w:id="770" w:name="_Toc18052"/>
            <w:bookmarkStart w:id="771" w:name="_Toc2500"/>
            <w:bookmarkStart w:id="772" w:name="_Toc27641"/>
            <w:r>
              <w:rPr>
                <w:rFonts w:hint="eastAsia" w:ascii="宋体" w:hAnsi="宋体" w:cs="宋体"/>
                <w:bCs/>
                <w:color w:val="auto"/>
                <w:sz w:val="24"/>
                <w:highlight w:val="none"/>
              </w:rPr>
              <w:t>账号</w:t>
            </w:r>
            <w:bookmarkEnd w:id="768"/>
            <w:bookmarkEnd w:id="769"/>
            <w:bookmarkEnd w:id="770"/>
            <w:bookmarkEnd w:id="771"/>
            <w:bookmarkEnd w:id="772"/>
          </w:p>
        </w:tc>
        <w:tc>
          <w:tcPr>
            <w:tcW w:w="2285" w:type="dxa"/>
            <w:gridSpan w:val="3"/>
            <w:vAlign w:val="center"/>
          </w:tcPr>
          <w:p>
            <w:pPr>
              <w:spacing w:line="360" w:lineRule="auto"/>
              <w:jc w:val="left"/>
              <w:outlineLvl w:val="1"/>
              <w:rPr>
                <w:rFonts w:ascii="宋体" w:hAnsi="宋体" w:cs="宋体"/>
                <w:bCs/>
                <w:color w:val="auto"/>
                <w:sz w:val="24"/>
                <w:highlight w:val="none"/>
              </w:rPr>
            </w:pPr>
          </w:p>
        </w:tc>
        <w:tc>
          <w:tcPr>
            <w:tcW w:w="1680" w:type="dxa"/>
            <w:gridSpan w:val="2"/>
            <w:vMerge w:val="continue"/>
            <w:vAlign w:val="center"/>
          </w:tcPr>
          <w:p>
            <w:pPr>
              <w:spacing w:line="360" w:lineRule="auto"/>
              <w:jc w:val="left"/>
              <w:outlineLvl w:val="1"/>
              <w:rPr>
                <w:rFonts w:ascii="宋体" w:hAnsi="宋体" w:cs="宋体"/>
                <w:bCs/>
                <w:color w:val="auto"/>
                <w:sz w:val="24"/>
                <w:highlight w:val="none"/>
              </w:rPr>
            </w:pPr>
          </w:p>
        </w:tc>
        <w:tc>
          <w:tcPr>
            <w:tcW w:w="1680" w:type="dxa"/>
            <w:gridSpan w:val="3"/>
            <w:vAlign w:val="center"/>
          </w:tcPr>
          <w:p>
            <w:pPr>
              <w:spacing w:line="360" w:lineRule="auto"/>
              <w:jc w:val="left"/>
              <w:outlineLvl w:val="1"/>
              <w:rPr>
                <w:rFonts w:ascii="宋体" w:hAnsi="宋体" w:cs="宋体"/>
                <w:bCs/>
                <w:color w:val="auto"/>
                <w:sz w:val="24"/>
                <w:highlight w:val="none"/>
              </w:rPr>
            </w:pPr>
            <w:bookmarkStart w:id="773" w:name="_Toc8122"/>
            <w:bookmarkStart w:id="774" w:name="_Toc9795"/>
            <w:bookmarkStart w:id="775" w:name="_Toc19"/>
            <w:bookmarkStart w:id="776" w:name="_Toc1971"/>
            <w:bookmarkStart w:id="777" w:name="_Toc30406"/>
            <w:r>
              <w:rPr>
                <w:rFonts w:hint="eastAsia" w:ascii="宋体" w:hAnsi="宋体" w:cs="宋体"/>
                <w:bCs/>
                <w:color w:val="auto"/>
                <w:sz w:val="24"/>
                <w:highlight w:val="none"/>
              </w:rPr>
              <w:t>技工</w:t>
            </w:r>
            <w:bookmarkEnd w:id="773"/>
            <w:bookmarkEnd w:id="774"/>
            <w:bookmarkEnd w:id="775"/>
            <w:bookmarkEnd w:id="776"/>
            <w:bookmarkEnd w:id="777"/>
          </w:p>
        </w:tc>
        <w:tc>
          <w:tcPr>
            <w:tcW w:w="1680" w:type="dxa"/>
            <w:gridSpan w:val="3"/>
            <w:vAlign w:val="center"/>
          </w:tcPr>
          <w:p>
            <w:pP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855" w:type="dxa"/>
            <w:vAlign w:val="center"/>
          </w:tcPr>
          <w:p>
            <w:pPr>
              <w:spacing w:line="360" w:lineRule="auto"/>
              <w:jc w:val="left"/>
              <w:outlineLvl w:val="1"/>
              <w:rPr>
                <w:rFonts w:ascii="宋体" w:hAnsi="宋体" w:cs="宋体"/>
                <w:bCs/>
                <w:color w:val="auto"/>
                <w:sz w:val="24"/>
                <w:highlight w:val="none"/>
              </w:rPr>
            </w:pPr>
            <w:bookmarkStart w:id="778" w:name="_Toc30415"/>
            <w:bookmarkStart w:id="779" w:name="_Toc8404"/>
            <w:bookmarkStart w:id="780" w:name="_Toc27240"/>
            <w:bookmarkStart w:id="781" w:name="_Toc4265"/>
            <w:bookmarkStart w:id="782" w:name="_Toc17988"/>
            <w:r>
              <w:rPr>
                <w:rFonts w:hint="eastAsia" w:ascii="宋体" w:hAnsi="宋体" w:cs="宋体"/>
                <w:bCs/>
                <w:color w:val="auto"/>
                <w:sz w:val="24"/>
                <w:highlight w:val="none"/>
              </w:rPr>
              <w:t>经营范围</w:t>
            </w:r>
            <w:bookmarkEnd w:id="778"/>
            <w:bookmarkEnd w:id="779"/>
            <w:bookmarkEnd w:id="780"/>
            <w:bookmarkEnd w:id="781"/>
            <w:bookmarkEnd w:id="782"/>
          </w:p>
        </w:tc>
        <w:tc>
          <w:tcPr>
            <w:tcW w:w="7325" w:type="dxa"/>
            <w:gridSpan w:val="11"/>
            <w:vAlign w:val="center"/>
          </w:tcPr>
          <w:p>
            <w:pP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55" w:type="dxa"/>
            <w:vAlign w:val="center"/>
          </w:tcPr>
          <w:p>
            <w:pPr>
              <w:spacing w:line="360" w:lineRule="auto"/>
              <w:jc w:val="left"/>
              <w:outlineLvl w:val="1"/>
              <w:rPr>
                <w:rFonts w:ascii="宋体" w:hAnsi="宋体" w:cs="宋体"/>
                <w:bCs/>
                <w:color w:val="auto"/>
                <w:sz w:val="24"/>
                <w:highlight w:val="none"/>
              </w:rPr>
            </w:pPr>
            <w:bookmarkStart w:id="783" w:name="_Toc32567"/>
            <w:bookmarkStart w:id="784" w:name="_Toc3796"/>
            <w:bookmarkStart w:id="785" w:name="_Toc19702"/>
            <w:bookmarkStart w:id="786" w:name="_Toc27438"/>
            <w:bookmarkStart w:id="787" w:name="_Toc28693"/>
            <w:r>
              <w:rPr>
                <w:rFonts w:hint="eastAsia" w:ascii="宋体" w:hAnsi="宋体" w:cs="宋体"/>
                <w:bCs/>
                <w:color w:val="auto"/>
                <w:sz w:val="24"/>
                <w:highlight w:val="none"/>
              </w:rPr>
              <w:t>备注</w:t>
            </w:r>
            <w:bookmarkEnd w:id="783"/>
            <w:bookmarkEnd w:id="784"/>
            <w:bookmarkEnd w:id="785"/>
            <w:bookmarkEnd w:id="786"/>
            <w:bookmarkEnd w:id="787"/>
          </w:p>
        </w:tc>
        <w:tc>
          <w:tcPr>
            <w:tcW w:w="7325" w:type="dxa"/>
            <w:gridSpan w:val="11"/>
            <w:vAlign w:val="center"/>
          </w:tcPr>
          <w:p>
            <w:pPr>
              <w:spacing w:line="360" w:lineRule="auto"/>
              <w:jc w:val="left"/>
              <w:outlineLvl w:val="1"/>
              <w:rPr>
                <w:rFonts w:ascii="宋体" w:hAnsi="宋体" w:cs="宋体"/>
                <w:bCs/>
                <w:color w:val="auto"/>
                <w:sz w:val="24"/>
                <w:highlight w:val="none"/>
              </w:rPr>
            </w:pPr>
          </w:p>
        </w:tc>
      </w:tr>
    </w:tbl>
    <w:p>
      <w:pPr>
        <w:rPr>
          <w:rFonts w:ascii="宋体" w:hAnsi="宋体" w:cs="宋体"/>
          <w:color w:val="auto"/>
          <w:highlight w:val="none"/>
        </w:rPr>
      </w:pPr>
    </w:p>
    <w:p>
      <w:pPr>
        <w:spacing w:line="360" w:lineRule="auto"/>
        <w:jc w:val="left"/>
        <w:rPr>
          <w:rFonts w:ascii="宋体" w:hAnsi="宋体" w:cs="宋体"/>
          <w:b/>
          <w:color w:val="auto"/>
          <w:sz w:val="24"/>
          <w:highlight w:val="none"/>
        </w:rPr>
      </w:pPr>
      <w:bookmarkStart w:id="788" w:name="_Toc8107"/>
      <w:bookmarkStart w:id="789" w:name="_Toc31054"/>
      <w:r>
        <w:rPr>
          <w:rFonts w:hint="eastAsia" w:ascii="宋体" w:hAnsi="宋体" w:cs="宋体"/>
          <w:b/>
          <w:color w:val="auto"/>
          <w:sz w:val="24"/>
          <w:highlight w:val="none"/>
        </w:rPr>
        <w:t>备注：</w:t>
      </w:r>
      <w:r>
        <w:rPr>
          <w:rFonts w:hint="eastAsia" w:ascii="宋体" w:hAnsi="宋体" w:cs="宋体"/>
          <w:b/>
          <w:bCs/>
          <w:color w:val="auto"/>
          <w:sz w:val="24"/>
          <w:highlight w:val="none"/>
        </w:rPr>
        <w:t>表后附营业执照及供应商认为有必要提供的相关证书</w:t>
      </w:r>
      <w:bookmarkEnd w:id="788"/>
      <w:bookmarkEnd w:id="789"/>
      <w:r>
        <w:rPr>
          <w:rFonts w:hint="eastAsia" w:ascii="宋体" w:hAnsi="宋体" w:cs="宋体"/>
          <w:b/>
          <w:bCs/>
          <w:color w:val="auto"/>
          <w:sz w:val="24"/>
          <w:highlight w:val="none"/>
        </w:rPr>
        <w:t>。</w:t>
      </w:r>
    </w:p>
    <w:p>
      <w:pPr>
        <w:rPr>
          <w:rFonts w:ascii="宋体" w:hAnsi="宋体" w:cs="宋体"/>
          <w:color w:val="auto"/>
          <w:highlight w:val="none"/>
        </w:rPr>
      </w:pP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pacing w:line="480" w:lineRule="auto"/>
        <w:jc w:val="left"/>
        <w:rPr>
          <w:rFonts w:ascii="宋体" w:hAnsi="宋体" w:cs="宋体"/>
          <w:color w:val="auto"/>
          <w:sz w:val="24"/>
          <w:highlight w:val="none"/>
        </w:rPr>
      </w:pPr>
      <w:r>
        <w:rPr>
          <w:rFonts w:hint="eastAsia" w:ascii="宋体" w:hAnsi="宋体" w:cs="宋体"/>
          <w:color w:val="auto"/>
          <w:kern w:val="1"/>
          <w:sz w:val="24"/>
          <w:highlight w:val="none"/>
        </w:rPr>
        <w:t>日期： ____年____月_____日</w:t>
      </w:r>
    </w:p>
    <w:p>
      <w:pPr>
        <w:rPr>
          <w:rFonts w:ascii="宋体" w:hAnsi="宋体" w:cs="宋体"/>
          <w:color w:val="auto"/>
          <w:highlight w:val="none"/>
        </w:rPr>
      </w:pPr>
    </w:p>
    <w:p>
      <w:pPr>
        <w:rPr>
          <w:rFonts w:ascii="宋体" w:hAnsi="宋体" w:cs="宋体"/>
          <w:color w:val="auto"/>
          <w:highlight w:val="none"/>
        </w:rPr>
      </w:pPr>
    </w:p>
    <w:p>
      <w:pPr>
        <w:pStyle w:val="4"/>
        <w:rPr>
          <w:rFonts w:ascii="宋体" w:hAnsi="宋体" w:cs="宋体"/>
          <w:color w:val="auto"/>
          <w:sz w:val="24"/>
          <w:szCs w:val="24"/>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b/>
          <w:bCs/>
          <w:color w:val="auto"/>
          <w:sz w:val="24"/>
          <w:highlight w:val="none"/>
        </w:rPr>
      </w:pPr>
      <w:bookmarkStart w:id="790" w:name="_Toc20999"/>
      <w:bookmarkStart w:id="791" w:name="_Toc29785"/>
      <w:bookmarkStart w:id="792" w:name="_Toc21010"/>
      <w:bookmarkStart w:id="793" w:name="_Toc6938"/>
      <w:r>
        <w:rPr>
          <w:rFonts w:hint="eastAsia" w:ascii="宋体" w:hAnsi="宋体" w:cs="宋体"/>
          <w:b/>
          <w:bCs/>
          <w:color w:val="auto"/>
          <w:sz w:val="24"/>
          <w:highlight w:val="none"/>
        </w:rPr>
        <w:br w:type="page"/>
      </w:r>
    </w:p>
    <w:p>
      <w:pPr>
        <w:spacing w:line="360" w:lineRule="auto"/>
        <w:jc w:val="center"/>
        <w:outlineLvl w:val="3"/>
        <w:rPr>
          <w:rFonts w:ascii="宋体" w:hAnsi="宋体" w:cs="宋体"/>
          <w:b/>
          <w:bCs/>
          <w:color w:val="auto"/>
          <w:sz w:val="24"/>
          <w:highlight w:val="none"/>
        </w:rPr>
      </w:pPr>
      <w:r>
        <w:rPr>
          <w:rFonts w:hint="eastAsia" w:ascii="宋体" w:hAnsi="宋体" w:cs="宋体"/>
          <w:b/>
          <w:bCs/>
          <w:color w:val="auto"/>
          <w:sz w:val="24"/>
          <w:highlight w:val="none"/>
        </w:rPr>
        <w:t>4.2参加政府采购活动前三年内在经营活动中没有重大违法记录的</w:t>
      </w:r>
      <w:bookmarkEnd w:id="790"/>
      <w:bookmarkEnd w:id="791"/>
      <w:r>
        <w:rPr>
          <w:rFonts w:hint="eastAsia" w:ascii="宋体" w:hAnsi="宋体" w:cs="宋体"/>
          <w:b/>
          <w:bCs/>
          <w:color w:val="auto"/>
          <w:sz w:val="24"/>
          <w:highlight w:val="none"/>
        </w:rPr>
        <w:t>承诺书</w:t>
      </w:r>
      <w:bookmarkEnd w:id="792"/>
      <w:bookmarkEnd w:id="793"/>
    </w:p>
    <w:p>
      <w:pPr>
        <w:rPr>
          <w:rFonts w:ascii="宋体" w:hAnsi="宋体" w:cs="宋体"/>
          <w:color w:val="auto"/>
          <w:highlight w:val="none"/>
        </w:rPr>
      </w:pPr>
    </w:p>
    <w:p>
      <w:pPr>
        <w:spacing w:line="600" w:lineRule="auto"/>
        <w:jc w:val="left"/>
        <w:rPr>
          <w:rFonts w:ascii="宋体" w:hAnsi="宋体" w:cs="宋体"/>
          <w:color w:val="auto"/>
          <w:sz w:val="24"/>
          <w:highlight w:val="none"/>
        </w:rPr>
      </w:pPr>
      <w:bookmarkStart w:id="794" w:name="_Toc12989"/>
      <w:bookmarkStart w:id="795" w:name="_Toc24624"/>
      <w:r>
        <w:rPr>
          <w:rFonts w:hint="eastAsia" w:ascii="宋体" w:hAnsi="宋体" w:cs="宋体"/>
          <w:color w:val="auto"/>
          <w:sz w:val="24"/>
          <w:highlight w:val="none"/>
        </w:rPr>
        <w:t>我公司承诺：</w:t>
      </w:r>
      <w:bookmarkEnd w:id="794"/>
      <w:bookmarkEnd w:id="795"/>
    </w:p>
    <w:p>
      <w:pPr>
        <w:spacing w:line="600" w:lineRule="auto"/>
        <w:ind w:firstLine="480" w:firstLineChars="200"/>
        <w:jc w:val="left"/>
        <w:rPr>
          <w:rFonts w:ascii="宋体" w:hAnsi="宋体" w:cs="宋体"/>
          <w:color w:val="auto"/>
          <w:sz w:val="24"/>
          <w:highlight w:val="none"/>
        </w:rPr>
      </w:pPr>
      <w:bookmarkStart w:id="796" w:name="_Toc30872"/>
      <w:bookmarkStart w:id="797" w:name="_Toc22986"/>
      <w:r>
        <w:rPr>
          <w:rFonts w:hint="eastAsia" w:ascii="宋体" w:hAnsi="宋体" w:cs="宋体"/>
          <w:color w:val="auto"/>
          <w:sz w:val="24"/>
          <w:highlight w:val="none"/>
        </w:rPr>
        <w:t>我公司参加政府采购活动前三年内在经营活动中没有重大违法记录。</w:t>
      </w:r>
      <w:bookmarkEnd w:id="796"/>
      <w:bookmarkEnd w:id="797"/>
    </w:p>
    <w:p>
      <w:pPr>
        <w:spacing w:line="600" w:lineRule="auto"/>
        <w:ind w:firstLine="360" w:firstLineChars="150"/>
        <w:jc w:val="left"/>
        <w:rPr>
          <w:rFonts w:ascii="宋体" w:hAnsi="宋体" w:cs="宋体"/>
          <w:color w:val="auto"/>
          <w:sz w:val="24"/>
          <w:highlight w:val="none"/>
        </w:rPr>
      </w:pPr>
      <w:bookmarkStart w:id="798" w:name="_Toc10306"/>
      <w:bookmarkStart w:id="799" w:name="_Toc7332"/>
      <w:r>
        <w:rPr>
          <w:rFonts w:hint="eastAsia" w:ascii="宋体" w:hAnsi="宋体" w:cs="宋体"/>
          <w:color w:val="auto"/>
          <w:sz w:val="24"/>
          <w:highlight w:val="none"/>
        </w:rPr>
        <w:t>若我公司承诺不属实，同意取消本项目参加资格，并将承担相关法律责任，接受处理。</w:t>
      </w:r>
      <w:bookmarkEnd w:id="798"/>
      <w:bookmarkEnd w:id="799"/>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pacing w:line="480" w:lineRule="auto"/>
        <w:jc w:val="left"/>
        <w:rPr>
          <w:rFonts w:ascii="宋体" w:hAnsi="宋体" w:cs="宋体"/>
          <w:color w:val="auto"/>
          <w:sz w:val="24"/>
          <w:highlight w:val="none"/>
        </w:rPr>
      </w:pPr>
      <w:r>
        <w:rPr>
          <w:rFonts w:hint="eastAsia" w:ascii="宋体" w:hAnsi="宋体" w:cs="宋体"/>
          <w:color w:val="auto"/>
          <w:kern w:val="1"/>
          <w:sz w:val="24"/>
          <w:highlight w:val="none"/>
        </w:rPr>
        <w:t>日期： ____年____月_____日</w:t>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t xml:space="preserve"> </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tab/>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bookmarkStart w:id="800" w:name="_Toc28365"/>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bookmarkEnd w:id="800"/>
    <w:p>
      <w:pPr>
        <w:spacing w:line="360" w:lineRule="auto"/>
        <w:jc w:val="center"/>
        <w:outlineLvl w:val="3"/>
        <w:rPr>
          <w:rFonts w:ascii="宋体" w:hAnsi="宋体" w:cs="宋体"/>
          <w:b/>
          <w:bCs/>
          <w:color w:val="auto"/>
          <w:sz w:val="24"/>
          <w:highlight w:val="none"/>
        </w:rPr>
      </w:pPr>
      <w:bookmarkStart w:id="801" w:name="_Toc2240"/>
      <w:bookmarkStart w:id="802" w:name="_Toc24156"/>
      <w:bookmarkStart w:id="803" w:name="_Toc8549"/>
      <w:bookmarkStart w:id="804" w:name="_Toc11108"/>
    </w:p>
    <w:p>
      <w:pPr>
        <w:spacing w:line="360" w:lineRule="auto"/>
        <w:jc w:val="center"/>
        <w:outlineLvl w:val="3"/>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4.3 依法缴纳税收凭证及社会保障资金证明</w:t>
      </w:r>
      <w:bookmarkEnd w:id="801"/>
      <w:bookmarkEnd w:id="802"/>
      <w:bookmarkEnd w:id="803"/>
      <w:bookmarkEnd w:id="804"/>
    </w:p>
    <w:p>
      <w:pPr>
        <w:ind w:firstLine="480" w:firstLineChars="200"/>
        <w:rPr>
          <w:rFonts w:ascii="宋体" w:hAnsi="宋体" w:cs="宋体"/>
          <w:color w:val="auto"/>
          <w:sz w:val="24"/>
          <w:highlight w:val="none"/>
        </w:rPr>
      </w:pPr>
    </w:p>
    <w:p>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提供 2023 年1月份以来任意一个月份依法纳税和缴纳社会保障资金的证明材料，如有供应商成立时限不足要求时限的，由供应商根据自身成立时间提供证明材料。依法免税或不需要缴纳社会保障资金的供应商，应提供相应文件证明其依法免税或不需要缴纳社会保障资金</w:t>
      </w:r>
      <w:bookmarkStart w:id="805" w:name="_Toc30280"/>
      <w:bookmarkStart w:id="806" w:name="_Toc23270"/>
      <w:r>
        <w:rPr>
          <w:rFonts w:hint="eastAsia" w:ascii="宋体" w:hAnsi="宋体" w:cs="宋体"/>
          <w:color w:val="auto"/>
          <w:sz w:val="24"/>
          <w:highlight w:val="none"/>
        </w:rPr>
        <w:t>。</w:t>
      </w:r>
    </w:p>
    <w:p>
      <w:pPr>
        <w:spacing w:line="360" w:lineRule="auto"/>
        <w:jc w:val="center"/>
        <w:outlineLvl w:val="3"/>
        <w:rPr>
          <w:rFonts w:ascii="宋体" w:hAnsi="宋体" w:cs="宋体"/>
          <w:b/>
          <w:bCs/>
          <w:color w:val="auto"/>
          <w:sz w:val="24"/>
          <w:highlight w:val="none"/>
        </w:rPr>
      </w:pPr>
      <w:bookmarkStart w:id="807" w:name="_Toc10109"/>
      <w:bookmarkStart w:id="808" w:name="_Toc10005"/>
    </w:p>
    <w:p>
      <w:pPr>
        <w:spacing w:line="360" w:lineRule="auto"/>
        <w:jc w:val="center"/>
        <w:outlineLvl w:val="3"/>
        <w:rPr>
          <w:rFonts w:ascii="宋体" w:hAnsi="宋体" w:cs="宋体"/>
          <w:b/>
          <w:bCs/>
          <w:color w:val="auto"/>
          <w:sz w:val="24"/>
          <w:highlight w:val="none"/>
        </w:rPr>
      </w:pPr>
      <w:r>
        <w:rPr>
          <w:rFonts w:hint="eastAsia" w:ascii="宋体" w:hAnsi="宋体" w:cs="宋体"/>
          <w:b/>
          <w:bCs/>
          <w:color w:val="auto"/>
          <w:sz w:val="24"/>
          <w:highlight w:val="none"/>
        </w:rPr>
        <w:t>4.4 财务状况报告</w:t>
      </w:r>
      <w:bookmarkEnd w:id="805"/>
      <w:bookmarkEnd w:id="806"/>
      <w:bookmarkEnd w:id="807"/>
      <w:bookmarkEnd w:id="808"/>
    </w:p>
    <w:p>
      <w:pPr>
        <w:tabs>
          <w:tab w:val="left" w:pos="152"/>
          <w:tab w:val="left" w:pos="588"/>
        </w:tabs>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提供2022年经审计的财务状况报告或银行出具的资信证明（如有供应商成立时限不足要求时限的，由供应商根据自身成立时间提供证明资料）</w:t>
      </w:r>
    </w:p>
    <w:p>
      <w:pPr>
        <w:tabs>
          <w:tab w:val="left" w:pos="152"/>
          <w:tab w:val="left" w:pos="588"/>
        </w:tabs>
        <w:spacing w:line="360" w:lineRule="auto"/>
        <w:jc w:val="center"/>
        <w:outlineLvl w:val="3"/>
        <w:rPr>
          <w:rFonts w:ascii="宋体" w:hAnsi="宋体" w:cs="宋体"/>
          <w:b/>
          <w:bCs/>
          <w:color w:val="auto"/>
          <w:sz w:val="24"/>
          <w:highlight w:val="none"/>
        </w:rPr>
      </w:pPr>
      <w:bookmarkStart w:id="809" w:name="_Toc31241"/>
      <w:bookmarkStart w:id="810" w:name="_Toc13350"/>
    </w:p>
    <w:p>
      <w:pPr>
        <w:tabs>
          <w:tab w:val="left" w:pos="152"/>
          <w:tab w:val="left" w:pos="588"/>
        </w:tabs>
        <w:spacing w:line="360" w:lineRule="auto"/>
        <w:jc w:val="center"/>
        <w:outlineLvl w:val="3"/>
        <w:rPr>
          <w:rFonts w:ascii="宋体" w:hAnsi="宋体" w:cs="宋体"/>
          <w:color w:val="auto"/>
          <w:sz w:val="24"/>
          <w:highlight w:val="none"/>
        </w:rPr>
      </w:pPr>
      <w:bookmarkStart w:id="811" w:name="_Toc1907"/>
      <w:bookmarkStart w:id="812" w:name="_Toc14116"/>
      <w:r>
        <w:rPr>
          <w:rFonts w:hint="eastAsia" w:ascii="宋体" w:hAnsi="宋体" w:cs="宋体"/>
          <w:b/>
          <w:bCs/>
          <w:color w:val="auto"/>
          <w:sz w:val="24"/>
          <w:highlight w:val="none"/>
        </w:rPr>
        <w:t>4.5 履行合同所必需的设备和专业技术能力</w:t>
      </w:r>
      <w:bookmarkEnd w:id="809"/>
      <w:bookmarkEnd w:id="810"/>
      <w:bookmarkEnd w:id="811"/>
      <w:bookmarkEnd w:id="812"/>
    </w:p>
    <w:p>
      <w:pPr>
        <w:tabs>
          <w:tab w:val="left" w:pos="152"/>
          <w:tab w:val="left" w:pos="588"/>
        </w:tabs>
        <w:spacing w:line="360" w:lineRule="auto"/>
        <w:jc w:val="center"/>
        <w:outlineLvl w:val="3"/>
        <w:rPr>
          <w:rFonts w:ascii="宋体" w:hAnsi="宋体" w:cs="宋体"/>
          <w:color w:val="auto"/>
          <w:sz w:val="24"/>
          <w:highlight w:val="none"/>
        </w:rPr>
      </w:pPr>
      <w:bookmarkStart w:id="813" w:name="_Toc3707"/>
      <w:bookmarkStart w:id="814" w:name="_Toc7349"/>
    </w:p>
    <w:p>
      <w:pPr>
        <w:tabs>
          <w:tab w:val="left" w:pos="152"/>
          <w:tab w:val="left" w:pos="588"/>
        </w:tabs>
        <w:spacing w:line="360" w:lineRule="auto"/>
        <w:jc w:val="center"/>
        <w:outlineLvl w:val="3"/>
        <w:rPr>
          <w:rFonts w:ascii="宋体" w:hAnsi="宋体" w:cs="宋体"/>
          <w:b/>
          <w:bCs/>
          <w:color w:val="auto"/>
          <w:sz w:val="24"/>
          <w:highlight w:val="none"/>
        </w:rPr>
      </w:pPr>
      <w:r>
        <w:rPr>
          <w:rFonts w:hint="eastAsia" w:ascii="宋体" w:hAnsi="宋体" w:cs="宋体"/>
          <w:color w:val="auto"/>
          <w:sz w:val="24"/>
          <w:highlight w:val="none"/>
        </w:rPr>
        <w:t>自行承诺或提供相关证明材料</w:t>
      </w:r>
    </w:p>
    <w:p>
      <w:pPr>
        <w:tabs>
          <w:tab w:val="left" w:pos="152"/>
          <w:tab w:val="left" w:pos="588"/>
        </w:tabs>
        <w:spacing w:line="360" w:lineRule="auto"/>
        <w:jc w:val="center"/>
        <w:outlineLvl w:val="3"/>
        <w:rPr>
          <w:rFonts w:ascii="宋体" w:hAnsi="宋体" w:cs="宋体"/>
          <w:b/>
          <w:bCs/>
          <w:color w:val="auto"/>
          <w:sz w:val="24"/>
          <w:highlight w:val="none"/>
        </w:rPr>
      </w:pPr>
    </w:p>
    <w:p>
      <w:pPr>
        <w:tabs>
          <w:tab w:val="left" w:pos="152"/>
          <w:tab w:val="left" w:pos="588"/>
        </w:tabs>
        <w:spacing w:line="360" w:lineRule="auto"/>
        <w:jc w:val="center"/>
        <w:outlineLvl w:val="3"/>
        <w:rPr>
          <w:rFonts w:ascii="宋体" w:hAnsi="宋体" w:cs="宋体"/>
          <w:b/>
          <w:bCs/>
          <w:color w:val="auto"/>
          <w:sz w:val="24"/>
          <w:highlight w:val="none"/>
        </w:rPr>
      </w:pPr>
      <w:bookmarkStart w:id="815" w:name="_Toc9016"/>
      <w:bookmarkStart w:id="816" w:name="_Toc25988"/>
    </w:p>
    <w:p>
      <w:pPr>
        <w:tabs>
          <w:tab w:val="left" w:pos="152"/>
          <w:tab w:val="left" w:pos="588"/>
        </w:tabs>
        <w:spacing w:line="360" w:lineRule="auto"/>
        <w:jc w:val="center"/>
        <w:outlineLvl w:val="3"/>
        <w:rPr>
          <w:rFonts w:ascii="宋体" w:hAnsi="宋体" w:cs="宋体"/>
          <w:b/>
          <w:bCs/>
          <w:color w:val="auto"/>
          <w:sz w:val="24"/>
          <w:highlight w:val="none"/>
        </w:rPr>
      </w:pPr>
      <w:r>
        <w:rPr>
          <w:rFonts w:hint="eastAsia" w:ascii="宋体" w:hAnsi="宋体" w:cs="宋体"/>
          <w:b/>
          <w:bCs/>
          <w:color w:val="auto"/>
          <w:sz w:val="24"/>
          <w:highlight w:val="none"/>
        </w:rPr>
        <w:t>4.6 其他</w:t>
      </w:r>
      <w:bookmarkEnd w:id="813"/>
      <w:bookmarkEnd w:id="814"/>
      <w:bookmarkEnd w:id="815"/>
      <w:bookmarkEnd w:id="816"/>
    </w:p>
    <w:p>
      <w:pPr>
        <w:pStyle w:val="3"/>
        <w:spacing w:line="360" w:lineRule="auto"/>
        <w:rPr>
          <w:rFonts w:hAnsi="宋体" w:cs="宋体"/>
          <w:color w:val="auto"/>
          <w:kern w:val="0"/>
          <w:sz w:val="24"/>
          <w:szCs w:val="24"/>
          <w:highlight w:val="none"/>
        </w:rPr>
      </w:pPr>
      <w:r>
        <w:rPr>
          <w:rFonts w:hint="eastAsia" w:hAnsi="宋体" w:cs="宋体"/>
          <w:color w:val="auto"/>
          <w:kern w:val="0"/>
          <w:sz w:val="24"/>
          <w:szCs w:val="24"/>
          <w:highlight w:val="none"/>
        </w:rPr>
        <w:t>4.6.1</w:t>
      </w:r>
      <w:r>
        <w:rPr>
          <w:rFonts w:hint="eastAsia" w:hAnsi="宋体" w:cs="宋体"/>
          <w:color w:val="auto"/>
          <w:sz w:val="24"/>
          <w:highlight w:val="none"/>
        </w:rPr>
        <w:t>单位负责人为同一人或者存在直接控股、管理关系的不同供应商（投标人），不得参加同一合同项下的政府采购活动。供应商（投标人）需出具承诺函，格式自拟。</w:t>
      </w:r>
    </w:p>
    <w:p>
      <w:pPr>
        <w:pStyle w:val="3"/>
        <w:spacing w:line="360" w:lineRule="auto"/>
        <w:rPr>
          <w:rFonts w:hAnsi="宋体" w:cs="宋体"/>
          <w:color w:val="auto"/>
          <w:kern w:val="0"/>
          <w:sz w:val="24"/>
          <w:szCs w:val="24"/>
          <w:highlight w:val="none"/>
        </w:rPr>
      </w:pPr>
      <w:r>
        <w:rPr>
          <w:rFonts w:hint="eastAsia" w:hAnsi="宋体" w:cs="宋体"/>
          <w:color w:val="auto"/>
          <w:kern w:val="0"/>
          <w:sz w:val="24"/>
          <w:szCs w:val="24"/>
          <w:highlight w:val="none"/>
        </w:rPr>
        <w:t>4.6.2信用查询及供应商认为有必要提供的其他证明文件。</w:t>
      </w:r>
    </w:p>
    <w:p>
      <w:pPr>
        <w:rPr>
          <w:rFonts w:ascii="宋体" w:hAnsi="宋体" w:cs="宋体"/>
          <w:color w:val="auto"/>
          <w:sz w:val="24"/>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pStyle w:val="4"/>
        <w:rPr>
          <w:rFonts w:ascii="宋体" w:hAnsi="宋体" w:cs="宋体"/>
          <w:color w:val="auto"/>
          <w:highlight w:val="none"/>
        </w:rPr>
      </w:pPr>
    </w:p>
    <w:p>
      <w:pPr>
        <w:spacing w:line="360" w:lineRule="auto"/>
        <w:jc w:val="center"/>
        <w:outlineLvl w:val="2"/>
        <w:rPr>
          <w:rFonts w:ascii="宋体" w:hAnsi="宋体" w:cs="宋体"/>
          <w:b/>
          <w:color w:val="auto"/>
          <w:sz w:val="32"/>
          <w:szCs w:val="32"/>
          <w:highlight w:val="none"/>
        </w:rPr>
      </w:pPr>
      <w:r>
        <w:rPr>
          <w:rFonts w:hint="eastAsia" w:ascii="宋体" w:hAnsi="宋体" w:cs="宋体"/>
          <w:b/>
          <w:color w:val="auto"/>
          <w:sz w:val="32"/>
          <w:szCs w:val="32"/>
          <w:highlight w:val="none"/>
        </w:rPr>
        <w:br w:type="page"/>
      </w:r>
      <w:bookmarkStart w:id="817" w:name="_Toc8551"/>
      <w:bookmarkStart w:id="818" w:name="_Toc14693"/>
      <w:r>
        <w:rPr>
          <w:rFonts w:hint="eastAsia" w:ascii="宋体" w:hAnsi="宋体" w:cs="宋体"/>
          <w:b/>
          <w:color w:val="auto"/>
          <w:sz w:val="32"/>
          <w:szCs w:val="32"/>
          <w:highlight w:val="none"/>
        </w:rPr>
        <w:t>五、竞争性磋商报价表</w:t>
      </w:r>
      <w:bookmarkEnd w:id="817"/>
      <w:bookmarkEnd w:id="818"/>
    </w:p>
    <w:p>
      <w:pPr>
        <w:spacing w:line="360" w:lineRule="auto"/>
        <w:jc w:val="center"/>
        <w:outlineLvl w:val="3"/>
        <w:rPr>
          <w:rFonts w:ascii="宋体" w:hAnsi="宋体" w:cs="宋体"/>
          <w:b/>
          <w:color w:val="auto"/>
          <w:sz w:val="24"/>
          <w:highlight w:val="none"/>
        </w:rPr>
      </w:pPr>
      <w:bookmarkStart w:id="819" w:name="_Toc23076"/>
      <w:bookmarkStart w:id="820" w:name="_Toc6674"/>
      <w:bookmarkStart w:id="821" w:name="_Toc25651"/>
      <w:bookmarkStart w:id="822" w:name="_Toc15275"/>
      <w:r>
        <w:rPr>
          <w:rFonts w:hint="eastAsia" w:ascii="宋体" w:hAnsi="宋体" w:cs="宋体"/>
          <w:b/>
          <w:color w:val="auto"/>
          <w:sz w:val="24"/>
          <w:highlight w:val="none"/>
        </w:rPr>
        <w:t>5.1  报价表</w:t>
      </w:r>
      <w:bookmarkEnd w:id="819"/>
      <w:bookmarkEnd w:id="820"/>
      <w:bookmarkEnd w:id="821"/>
      <w:bookmarkEnd w:id="822"/>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6"/>
        <w:gridCol w:w="69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6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924" w:type="dxa"/>
            <w:vAlign w:val="center"/>
          </w:tcPr>
          <w:p>
            <w:pPr>
              <w:spacing w:line="360" w:lineRule="auto"/>
              <w:rPr>
                <w:rFonts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6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供应商名称</w:t>
            </w:r>
          </w:p>
        </w:tc>
        <w:tc>
          <w:tcPr>
            <w:tcW w:w="6924" w:type="dxa"/>
            <w:vAlign w:val="center"/>
          </w:tcPr>
          <w:p>
            <w:pPr>
              <w:spacing w:line="360" w:lineRule="auto"/>
              <w:rPr>
                <w:rFonts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1866" w:type="dxa"/>
            <w:vAlign w:val="center"/>
          </w:tcPr>
          <w:p>
            <w:pPr>
              <w:pStyle w:val="3"/>
              <w:spacing w:line="400" w:lineRule="exact"/>
              <w:jc w:val="center"/>
              <w:rPr>
                <w:rFonts w:hAnsi="宋体" w:cs="宋体"/>
                <w:color w:val="auto"/>
                <w:sz w:val="24"/>
                <w:szCs w:val="24"/>
                <w:highlight w:val="none"/>
              </w:rPr>
            </w:pPr>
            <w:r>
              <w:rPr>
                <w:rFonts w:hint="eastAsia" w:hAnsi="宋体" w:cs="宋体"/>
                <w:color w:val="auto"/>
                <w:sz w:val="24"/>
                <w:szCs w:val="24"/>
                <w:highlight w:val="none"/>
              </w:rPr>
              <w:t>磋商报价（大写）</w:t>
            </w:r>
          </w:p>
        </w:tc>
        <w:tc>
          <w:tcPr>
            <w:tcW w:w="6924" w:type="dxa"/>
            <w:vAlign w:val="center"/>
          </w:tcPr>
          <w:p>
            <w:pPr>
              <w:spacing w:line="360" w:lineRule="auto"/>
              <w:rPr>
                <w:rFonts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1866" w:type="dxa"/>
            <w:vAlign w:val="center"/>
          </w:tcPr>
          <w:p>
            <w:pPr>
              <w:pStyle w:val="3"/>
              <w:spacing w:line="400" w:lineRule="exact"/>
              <w:jc w:val="center"/>
              <w:rPr>
                <w:rFonts w:hAnsi="宋体" w:cs="宋体"/>
                <w:color w:val="auto"/>
                <w:sz w:val="24"/>
                <w:szCs w:val="24"/>
                <w:highlight w:val="none"/>
              </w:rPr>
            </w:pPr>
            <w:r>
              <w:rPr>
                <w:rFonts w:hint="eastAsia" w:hAnsi="宋体" w:cs="宋体"/>
                <w:color w:val="auto"/>
                <w:sz w:val="24"/>
                <w:szCs w:val="24"/>
                <w:highlight w:val="none"/>
              </w:rPr>
              <w:t>磋商报价（小写）</w:t>
            </w:r>
          </w:p>
        </w:tc>
        <w:tc>
          <w:tcPr>
            <w:tcW w:w="6924" w:type="dxa"/>
            <w:vAlign w:val="center"/>
          </w:tcPr>
          <w:p>
            <w:pPr>
              <w:spacing w:line="360" w:lineRule="auto"/>
              <w:rPr>
                <w:rFonts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86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交货期</w:t>
            </w:r>
          </w:p>
        </w:tc>
        <w:tc>
          <w:tcPr>
            <w:tcW w:w="6924" w:type="dxa"/>
            <w:vAlign w:val="center"/>
          </w:tcPr>
          <w:p>
            <w:pPr>
              <w:spacing w:line="360" w:lineRule="auto"/>
              <w:rPr>
                <w:rFonts w:ascii="宋体" w:hAnsi="宋体" w:cs="宋体"/>
                <w:color w:val="auto"/>
                <w:sz w:val="24"/>
                <w:highlight w:val="none"/>
              </w:rPr>
            </w:pPr>
            <w:r>
              <w:rPr>
                <w:rFonts w:hint="eastAsia" w:ascii="宋体" w:hAnsi="宋体" w:cs="宋体"/>
                <w:bCs/>
                <w:color w:val="auto"/>
                <w:sz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86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质量标准</w:t>
            </w:r>
          </w:p>
        </w:tc>
        <w:tc>
          <w:tcPr>
            <w:tcW w:w="6924" w:type="dxa"/>
            <w:vAlign w:val="center"/>
          </w:tcPr>
          <w:p>
            <w:pPr>
              <w:spacing w:line="360" w:lineRule="auto"/>
              <w:rPr>
                <w:rFonts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86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质量保证期</w:t>
            </w:r>
          </w:p>
        </w:tc>
        <w:tc>
          <w:tcPr>
            <w:tcW w:w="6924" w:type="dxa"/>
            <w:vAlign w:val="center"/>
          </w:tcPr>
          <w:p>
            <w:pPr>
              <w:spacing w:line="360" w:lineRule="auto"/>
              <w:rPr>
                <w:rFonts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86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保证金</w:t>
            </w:r>
          </w:p>
        </w:tc>
        <w:tc>
          <w:tcPr>
            <w:tcW w:w="692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86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有效期</w:t>
            </w:r>
          </w:p>
        </w:tc>
        <w:tc>
          <w:tcPr>
            <w:tcW w:w="692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186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其他声明</w:t>
            </w:r>
          </w:p>
        </w:tc>
        <w:tc>
          <w:tcPr>
            <w:tcW w:w="692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tc>
      </w:tr>
    </w:tbl>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bCs/>
          <w:color w:val="auto"/>
          <w:kern w:val="1"/>
          <w:sz w:val="24"/>
          <w:highlight w:val="none"/>
        </w:rPr>
        <w:t>所有供应商的投标报价均保留至小数点后两位。</w:t>
      </w: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pacing w:line="480" w:lineRule="auto"/>
        <w:jc w:val="left"/>
        <w:rPr>
          <w:rFonts w:ascii="宋体" w:hAnsi="宋体" w:cs="宋体"/>
          <w:color w:val="auto"/>
          <w:sz w:val="24"/>
          <w:highlight w:val="none"/>
        </w:rPr>
      </w:pPr>
      <w:r>
        <w:rPr>
          <w:rFonts w:hint="eastAsia" w:ascii="宋体" w:hAnsi="宋体" w:cs="宋体"/>
          <w:color w:val="auto"/>
          <w:kern w:val="1"/>
          <w:sz w:val="24"/>
          <w:highlight w:val="none"/>
        </w:rPr>
        <w:t>日期： ____年____月_____日</w:t>
      </w:r>
    </w:p>
    <w:p>
      <w:pPr>
        <w:spacing w:line="360" w:lineRule="auto"/>
        <w:jc w:val="left"/>
        <w:rPr>
          <w:rFonts w:ascii="宋体" w:hAnsi="宋体" w:cs="宋体"/>
          <w:color w:val="auto"/>
          <w:sz w:val="24"/>
          <w:highlight w:val="none"/>
        </w:rPr>
      </w:pPr>
    </w:p>
    <w:p>
      <w:pPr>
        <w:rPr>
          <w:rFonts w:ascii="宋体" w:hAnsi="宋体" w:cs="宋体"/>
          <w:color w:val="auto"/>
          <w:highlight w:val="none"/>
        </w:rPr>
      </w:pPr>
      <w:r>
        <w:rPr>
          <w:rFonts w:hint="eastAsia" w:ascii="宋体" w:hAnsi="宋体" w:cs="宋体"/>
          <w:color w:val="auto"/>
          <w:highlight w:val="none"/>
        </w:rPr>
        <w:t xml:space="preserve"> </w:t>
      </w:r>
    </w:p>
    <w:p>
      <w:pPr>
        <w:rPr>
          <w:rFonts w:ascii="宋体" w:hAnsi="宋体" w:cs="宋体"/>
          <w:b/>
          <w:color w:val="auto"/>
          <w:sz w:val="24"/>
          <w:highlight w:val="none"/>
        </w:rPr>
      </w:pPr>
      <w:r>
        <w:rPr>
          <w:rFonts w:hint="eastAsia" w:ascii="宋体" w:hAnsi="宋体" w:cs="宋体"/>
          <w:b/>
          <w:color w:val="auto"/>
          <w:sz w:val="24"/>
          <w:highlight w:val="none"/>
        </w:rPr>
        <w:br w:type="page"/>
      </w:r>
    </w:p>
    <w:p>
      <w:pPr>
        <w:rPr>
          <w:rFonts w:ascii="宋体" w:hAnsi="宋体" w:cs="宋体"/>
          <w:color w:val="auto"/>
          <w:highlight w:val="none"/>
        </w:rPr>
      </w:pPr>
      <w:bookmarkStart w:id="823" w:name="_Toc417491272"/>
    </w:p>
    <w:p>
      <w:pPr>
        <w:rPr>
          <w:rFonts w:ascii="宋体" w:hAnsi="宋体" w:cs="宋体"/>
          <w:color w:val="auto"/>
          <w:highlight w:val="none"/>
        </w:rPr>
      </w:pPr>
      <w:bookmarkStart w:id="824" w:name="_Toc31158"/>
    </w:p>
    <w:p>
      <w:pPr>
        <w:spacing w:line="360" w:lineRule="auto"/>
        <w:jc w:val="center"/>
        <w:outlineLvl w:val="3"/>
        <w:rPr>
          <w:rFonts w:ascii="宋体" w:hAnsi="宋体" w:cs="宋体"/>
          <w:b/>
          <w:color w:val="auto"/>
          <w:sz w:val="24"/>
          <w:highlight w:val="none"/>
        </w:rPr>
      </w:pPr>
      <w:bookmarkStart w:id="825" w:name="_Toc21127"/>
      <w:bookmarkStart w:id="826" w:name="_Toc395"/>
      <w:bookmarkStart w:id="827" w:name="_Toc14115"/>
      <w:r>
        <w:rPr>
          <w:rFonts w:hint="eastAsia" w:ascii="宋体" w:hAnsi="宋体" w:cs="宋体"/>
          <w:b/>
          <w:color w:val="auto"/>
          <w:sz w:val="24"/>
          <w:highlight w:val="none"/>
        </w:rPr>
        <w:t>5.2  分项报价一览表</w:t>
      </w:r>
      <w:bookmarkEnd w:id="824"/>
      <w:bookmarkEnd w:id="825"/>
      <w:bookmarkEnd w:id="826"/>
      <w:bookmarkEnd w:id="827"/>
    </w:p>
    <w:p>
      <w:pPr>
        <w:pStyle w:val="33"/>
        <w:rPr>
          <w:rFonts w:ascii="宋体" w:hAnsi="宋体" w:cs="宋体"/>
          <w:b/>
          <w:color w:val="auto"/>
          <w:sz w:val="24"/>
          <w:szCs w:val="24"/>
          <w:highlight w:val="none"/>
        </w:rPr>
      </w:pPr>
    </w:p>
    <w:p>
      <w:pPr>
        <w:pStyle w:val="21"/>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项目名称： </w:t>
      </w:r>
    </w:p>
    <w:p>
      <w:pPr>
        <w:rPr>
          <w:rFonts w:ascii="宋体" w:hAnsi="宋体" w:cs="宋体"/>
          <w:b/>
          <w:color w:val="auto"/>
          <w:sz w:val="24"/>
          <w:highlight w:val="none"/>
          <w:lang w:val="zh-CN"/>
        </w:rPr>
      </w:pPr>
      <w:r>
        <w:rPr>
          <w:rFonts w:hint="eastAsia" w:ascii="宋体" w:hAnsi="宋体" w:cs="宋体"/>
          <w:color w:val="auto"/>
          <w:sz w:val="24"/>
          <w:highlight w:val="none"/>
        </w:rPr>
        <w:t xml:space="preserve">          金额单位：元人民币</w:t>
      </w:r>
      <w:r>
        <w:rPr>
          <w:rFonts w:hint="eastAsia" w:ascii="宋体" w:hAnsi="宋体" w:cs="宋体"/>
          <w:b/>
          <w:color w:val="auto"/>
          <w:sz w:val="24"/>
          <w:highlight w:val="none"/>
          <w:lang w:val="zh-CN"/>
        </w:rPr>
        <w:t xml:space="preserve">  </w:t>
      </w:r>
    </w:p>
    <w:p>
      <w:pPr>
        <w:rPr>
          <w:rFonts w:ascii="宋体" w:hAnsi="宋体" w:cs="宋体"/>
          <w:color w:val="auto"/>
          <w:sz w:val="24"/>
          <w:highlight w:val="none"/>
        </w:rPr>
      </w:pPr>
      <w:r>
        <w:rPr>
          <w:rFonts w:hint="eastAsia" w:ascii="宋体" w:hAnsi="宋体" w:cs="宋体"/>
          <w:b/>
          <w:color w:val="auto"/>
          <w:sz w:val="24"/>
          <w:highlight w:val="none"/>
          <w:lang w:val="zh-CN"/>
        </w:rPr>
        <w:t xml:space="preserve">                                            </w:t>
      </w:r>
    </w:p>
    <w:tbl>
      <w:tblPr>
        <w:tblStyle w:val="50"/>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238"/>
        <w:gridCol w:w="1244"/>
        <w:gridCol w:w="1228"/>
        <w:gridCol w:w="756"/>
        <w:gridCol w:w="913"/>
        <w:gridCol w:w="756"/>
        <w:gridCol w:w="850"/>
        <w:gridCol w:w="80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2"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1238"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名称</w:t>
            </w:r>
          </w:p>
        </w:tc>
        <w:tc>
          <w:tcPr>
            <w:tcW w:w="1244" w:type="dxa"/>
            <w:vAlign w:val="center"/>
          </w:tcPr>
          <w:p>
            <w:pPr>
              <w:ind w:firstLine="240" w:firstLineChars="100"/>
              <w:rPr>
                <w:rFonts w:ascii="宋体" w:hAnsi="宋体" w:cs="宋体"/>
                <w:bCs/>
                <w:color w:val="auto"/>
                <w:sz w:val="24"/>
                <w:highlight w:val="none"/>
              </w:rPr>
            </w:pPr>
            <w:r>
              <w:rPr>
                <w:rFonts w:hint="eastAsia" w:ascii="宋体" w:hAnsi="宋体" w:cs="宋体"/>
                <w:bCs/>
                <w:color w:val="auto"/>
                <w:sz w:val="24"/>
                <w:highlight w:val="none"/>
              </w:rPr>
              <w:t>品牌</w:t>
            </w:r>
          </w:p>
        </w:tc>
        <w:tc>
          <w:tcPr>
            <w:tcW w:w="1228"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规格型号</w:t>
            </w:r>
          </w:p>
        </w:tc>
        <w:tc>
          <w:tcPr>
            <w:tcW w:w="756"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单位</w:t>
            </w:r>
          </w:p>
        </w:tc>
        <w:tc>
          <w:tcPr>
            <w:tcW w:w="913"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数量</w:t>
            </w:r>
          </w:p>
        </w:tc>
        <w:tc>
          <w:tcPr>
            <w:tcW w:w="756"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单价</w:t>
            </w:r>
          </w:p>
        </w:tc>
        <w:tc>
          <w:tcPr>
            <w:tcW w:w="850"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小计</w:t>
            </w:r>
          </w:p>
        </w:tc>
        <w:tc>
          <w:tcPr>
            <w:tcW w:w="803"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产地</w:t>
            </w:r>
          </w:p>
        </w:tc>
        <w:tc>
          <w:tcPr>
            <w:tcW w:w="756"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2" w:type="dxa"/>
          </w:tcPr>
          <w:p>
            <w:pPr>
              <w:rPr>
                <w:rFonts w:ascii="宋体" w:hAnsi="宋体" w:cs="宋体"/>
                <w:color w:val="auto"/>
                <w:sz w:val="24"/>
                <w:highlight w:val="none"/>
              </w:rPr>
            </w:pPr>
          </w:p>
        </w:tc>
        <w:tc>
          <w:tcPr>
            <w:tcW w:w="1238" w:type="dxa"/>
          </w:tcPr>
          <w:p>
            <w:pPr>
              <w:rPr>
                <w:rFonts w:ascii="宋体" w:hAnsi="宋体" w:cs="宋体"/>
                <w:color w:val="auto"/>
                <w:sz w:val="24"/>
                <w:highlight w:val="none"/>
              </w:rPr>
            </w:pPr>
          </w:p>
        </w:tc>
        <w:tc>
          <w:tcPr>
            <w:tcW w:w="1244" w:type="dxa"/>
          </w:tcPr>
          <w:p>
            <w:pPr>
              <w:rPr>
                <w:rFonts w:ascii="宋体" w:hAnsi="宋体" w:cs="宋体"/>
                <w:color w:val="auto"/>
                <w:sz w:val="24"/>
                <w:highlight w:val="none"/>
              </w:rPr>
            </w:pPr>
          </w:p>
        </w:tc>
        <w:tc>
          <w:tcPr>
            <w:tcW w:w="1228"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c>
          <w:tcPr>
            <w:tcW w:w="913"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c>
          <w:tcPr>
            <w:tcW w:w="850" w:type="dxa"/>
          </w:tcPr>
          <w:p>
            <w:pPr>
              <w:rPr>
                <w:rFonts w:ascii="宋体" w:hAnsi="宋体" w:cs="宋体"/>
                <w:color w:val="auto"/>
                <w:sz w:val="24"/>
                <w:highlight w:val="none"/>
              </w:rPr>
            </w:pPr>
          </w:p>
        </w:tc>
        <w:tc>
          <w:tcPr>
            <w:tcW w:w="803"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2" w:type="dxa"/>
          </w:tcPr>
          <w:p>
            <w:pPr>
              <w:rPr>
                <w:rFonts w:ascii="宋体" w:hAnsi="宋体" w:cs="宋体"/>
                <w:color w:val="auto"/>
                <w:sz w:val="24"/>
                <w:highlight w:val="none"/>
              </w:rPr>
            </w:pPr>
          </w:p>
        </w:tc>
        <w:tc>
          <w:tcPr>
            <w:tcW w:w="1238" w:type="dxa"/>
          </w:tcPr>
          <w:p>
            <w:pPr>
              <w:rPr>
                <w:rFonts w:ascii="宋体" w:hAnsi="宋体" w:cs="宋体"/>
                <w:color w:val="auto"/>
                <w:sz w:val="24"/>
                <w:highlight w:val="none"/>
              </w:rPr>
            </w:pPr>
          </w:p>
        </w:tc>
        <w:tc>
          <w:tcPr>
            <w:tcW w:w="1244" w:type="dxa"/>
          </w:tcPr>
          <w:p>
            <w:pPr>
              <w:rPr>
                <w:rFonts w:ascii="宋体" w:hAnsi="宋体" w:cs="宋体"/>
                <w:color w:val="auto"/>
                <w:sz w:val="24"/>
                <w:highlight w:val="none"/>
              </w:rPr>
            </w:pPr>
          </w:p>
        </w:tc>
        <w:tc>
          <w:tcPr>
            <w:tcW w:w="1228"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c>
          <w:tcPr>
            <w:tcW w:w="913"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c>
          <w:tcPr>
            <w:tcW w:w="850" w:type="dxa"/>
          </w:tcPr>
          <w:p>
            <w:pPr>
              <w:rPr>
                <w:rFonts w:ascii="宋体" w:hAnsi="宋体" w:cs="宋体"/>
                <w:color w:val="auto"/>
                <w:sz w:val="24"/>
                <w:highlight w:val="none"/>
              </w:rPr>
            </w:pPr>
          </w:p>
        </w:tc>
        <w:tc>
          <w:tcPr>
            <w:tcW w:w="803"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2" w:type="dxa"/>
          </w:tcPr>
          <w:p>
            <w:pPr>
              <w:rPr>
                <w:rFonts w:ascii="宋体" w:hAnsi="宋体" w:cs="宋体"/>
                <w:color w:val="auto"/>
                <w:sz w:val="24"/>
                <w:highlight w:val="none"/>
              </w:rPr>
            </w:pPr>
          </w:p>
        </w:tc>
        <w:tc>
          <w:tcPr>
            <w:tcW w:w="1238" w:type="dxa"/>
          </w:tcPr>
          <w:p>
            <w:pPr>
              <w:rPr>
                <w:rFonts w:ascii="宋体" w:hAnsi="宋体" w:cs="宋体"/>
                <w:color w:val="auto"/>
                <w:sz w:val="24"/>
                <w:highlight w:val="none"/>
              </w:rPr>
            </w:pPr>
          </w:p>
        </w:tc>
        <w:tc>
          <w:tcPr>
            <w:tcW w:w="1244" w:type="dxa"/>
          </w:tcPr>
          <w:p>
            <w:pPr>
              <w:rPr>
                <w:rFonts w:ascii="宋体" w:hAnsi="宋体" w:cs="宋体"/>
                <w:color w:val="auto"/>
                <w:sz w:val="24"/>
                <w:highlight w:val="none"/>
              </w:rPr>
            </w:pPr>
          </w:p>
        </w:tc>
        <w:tc>
          <w:tcPr>
            <w:tcW w:w="1228"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c>
          <w:tcPr>
            <w:tcW w:w="913"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c>
          <w:tcPr>
            <w:tcW w:w="850" w:type="dxa"/>
          </w:tcPr>
          <w:p>
            <w:pPr>
              <w:rPr>
                <w:rFonts w:ascii="宋体" w:hAnsi="宋体" w:cs="宋体"/>
                <w:color w:val="auto"/>
                <w:sz w:val="24"/>
                <w:highlight w:val="none"/>
              </w:rPr>
            </w:pPr>
          </w:p>
        </w:tc>
        <w:tc>
          <w:tcPr>
            <w:tcW w:w="803"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12" w:type="dxa"/>
          </w:tcPr>
          <w:p>
            <w:pPr>
              <w:rPr>
                <w:rFonts w:ascii="宋体" w:hAnsi="宋体" w:cs="宋体"/>
                <w:color w:val="auto"/>
                <w:sz w:val="24"/>
                <w:highlight w:val="none"/>
              </w:rPr>
            </w:pPr>
          </w:p>
        </w:tc>
        <w:tc>
          <w:tcPr>
            <w:tcW w:w="1238" w:type="dxa"/>
          </w:tcPr>
          <w:p>
            <w:pPr>
              <w:rPr>
                <w:rFonts w:ascii="宋体" w:hAnsi="宋体" w:cs="宋体"/>
                <w:color w:val="auto"/>
                <w:sz w:val="24"/>
                <w:highlight w:val="none"/>
              </w:rPr>
            </w:pPr>
          </w:p>
        </w:tc>
        <w:tc>
          <w:tcPr>
            <w:tcW w:w="1244" w:type="dxa"/>
          </w:tcPr>
          <w:p>
            <w:pPr>
              <w:rPr>
                <w:rFonts w:ascii="宋体" w:hAnsi="宋体" w:cs="宋体"/>
                <w:color w:val="auto"/>
                <w:sz w:val="24"/>
                <w:highlight w:val="none"/>
              </w:rPr>
            </w:pPr>
          </w:p>
        </w:tc>
        <w:tc>
          <w:tcPr>
            <w:tcW w:w="1228"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c>
          <w:tcPr>
            <w:tcW w:w="913"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c>
          <w:tcPr>
            <w:tcW w:w="850" w:type="dxa"/>
          </w:tcPr>
          <w:p>
            <w:pPr>
              <w:rPr>
                <w:rFonts w:ascii="宋体" w:hAnsi="宋体" w:cs="宋体"/>
                <w:color w:val="auto"/>
                <w:sz w:val="24"/>
                <w:highlight w:val="none"/>
              </w:rPr>
            </w:pPr>
          </w:p>
        </w:tc>
        <w:tc>
          <w:tcPr>
            <w:tcW w:w="803"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2" w:type="dxa"/>
          </w:tcPr>
          <w:p>
            <w:pPr>
              <w:rPr>
                <w:rFonts w:ascii="宋体" w:hAnsi="宋体" w:cs="宋体"/>
                <w:color w:val="auto"/>
                <w:sz w:val="24"/>
                <w:highlight w:val="none"/>
              </w:rPr>
            </w:pPr>
          </w:p>
        </w:tc>
        <w:tc>
          <w:tcPr>
            <w:tcW w:w="1238" w:type="dxa"/>
          </w:tcPr>
          <w:p>
            <w:pPr>
              <w:rPr>
                <w:rFonts w:ascii="宋体" w:hAnsi="宋体" w:cs="宋体"/>
                <w:color w:val="auto"/>
                <w:sz w:val="24"/>
                <w:highlight w:val="none"/>
              </w:rPr>
            </w:pPr>
          </w:p>
        </w:tc>
        <w:tc>
          <w:tcPr>
            <w:tcW w:w="1244" w:type="dxa"/>
          </w:tcPr>
          <w:p>
            <w:pPr>
              <w:rPr>
                <w:rFonts w:ascii="宋体" w:hAnsi="宋体" w:cs="宋体"/>
                <w:color w:val="auto"/>
                <w:sz w:val="24"/>
                <w:highlight w:val="none"/>
              </w:rPr>
            </w:pPr>
          </w:p>
        </w:tc>
        <w:tc>
          <w:tcPr>
            <w:tcW w:w="1228"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c>
          <w:tcPr>
            <w:tcW w:w="913"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c>
          <w:tcPr>
            <w:tcW w:w="850" w:type="dxa"/>
          </w:tcPr>
          <w:p>
            <w:pPr>
              <w:rPr>
                <w:rFonts w:ascii="宋体" w:hAnsi="宋体" w:cs="宋体"/>
                <w:color w:val="auto"/>
                <w:sz w:val="24"/>
                <w:highlight w:val="none"/>
              </w:rPr>
            </w:pPr>
          </w:p>
        </w:tc>
        <w:tc>
          <w:tcPr>
            <w:tcW w:w="803"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2" w:type="dxa"/>
          </w:tcPr>
          <w:p>
            <w:pPr>
              <w:rPr>
                <w:rFonts w:ascii="宋体" w:hAnsi="宋体" w:cs="宋体"/>
                <w:color w:val="auto"/>
                <w:sz w:val="24"/>
                <w:highlight w:val="none"/>
              </w:rPr>
            </w:pPr>
          </w:p>
        </w:tc>
        <w:tc>
          <w:tcPr>
            <w:tcW w:w="1238" w:type="dxa"/>
          </w:tcPr>
          <w:p>
            <w:pPr>
              <w:rPr>
                <w:rFonts w:ascii="宋体" w:hAnsi="宋体" w:cs="宋体"/>
                <w:color w:val="auto"/>
                <w:sz w:val="24"/>
                <w:highlight w:val="none"/>
              </w:rPr>
            </w:pPr>
          </w:p>
        </w:tc>
        <w:tc>
          <w:tcPr>
            <w:tcW w:w="1244" w:type="dxa"/>
          </w:tcPr>
          <w:p>
            <w:pPr>
              <w:rPr>
                <w:rFonts w:ascii="宋体" w:hAnsi="宋体" w:cs="宋体"/>
                <w:color w:val="auto"/>
                <w:sz w:val="24"/>
                <w:highlight w:val="none"/>
              </w:rPr>
            </w:pPr>
          </w:p>
        </w:tc>
        <w:tc>
          <w:tcPr>
            <w:tcW w:w="1228"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c>
          <w:tcPr>
            <w:tcW w:w="913"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c>
          <w:tcPr>
            <w:tcW w:w="850" w:type="dxa"/>
          </w:tcPr>
          <w:p>
            <w:pPr>
              <w:rPr>
                <w:rFonts w:ascii="宋体" w:hAnsi="宋体" w:cs="宋体"/>
                <w:color w:val="auto"/>
                <w:sz w:val="24"/>
                <w:highlight w:val="none"/>
              </w:rPr>
            </w:pPr>
          </w:p>
        </w:tc>
        <w:tc>
          <w:tcPr>
            <w:tcW w:w="803"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2" w:type="dxa"/>
          </w:tcPr>
          <w:p>
            <w:pPr>
              <w:rPr>
                <w:rFonts w:ascii="宋体" w:hAnsi="宋体" w:cs="宋体"/>
                <w:color w:val="auto"/>
                <w:sz w:val="24"/>
                <w:highlight w:val="none"/>
              </w:rPr>
            </w:pPr>
          </w:p>
        </w:tc>
        <w:tc>
          <w:tcPr>
            <w:tcW w:w="1238" w:type="dxa"/>
          </w:tcPr>
          <w:p>
            <w:pPr>
              <w:rPr>
                <w:rFonts w:ascii="宋体" w:hAnsi="宋体" w:cs="宋体"/>
                <w:color w:val="auto"/>
                <w:sz w:val="24"/>
                <w:highlight w:val="none"/>
              </w:rPr>
            </w:pPr>
          </w:p>
        </w:tc>
        <w:tc>
          <w:tcPr>
            <w:tcW w:w="1244" w:type="dxa"/>
          </w:tcPr>
          <w:p>
            <w:pPr>
              <w:rPr>
                <w:rFonts w:ascii="宋体" w:hAnsi="宋体" w:cs="宋体"/>
                <w:color w:val="auto"/>
                <w:sz w:val="24"/>
                <w:highlight w:val="none"/>
              </w:rPr>
            </w:pPr>
          </w:p>
        </w:tc>
        <w:tc>
          <w:tcPr>
            <w:tcW w:w="1228"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c>
          <w:tcPr>
            <w:tcW w:w="913"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c>
          <w:tcPr>
            <w:tcW w:w="850" w:type="dxa"/>
          </w:tcPr>
          <w:p>
            <w:pPr>
              <w:rPr>
                <w:rFonts w:ascii="宋体" w:hAnsi="宋体" w:cs="宋体"/>
                <w:color w:val="auto"/>
                <w:sz w:val="24"/>
                <w:highlight w:val="none"/>
              </w:rPr>
            </w:pPr>
          </w:p>
        </w:tc>
        <w:tc>
          <w:tcPr>
            <w:tcW w:w="803"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12" w:type="dxa"/>
          </w:tcPr>
          <w:p>
            <w:pPr>
              <w:rPr>
                <w:rFonts w:ascii="宋体" w:hAnsi="宋体" w:cs="宋体"/>
                <w:color w:val="auto"/>
                <w:sz w:val="24"/>
                <w:highlight w:val="none"/>
              </w:rPr>
            </w:pPr>
          </w:p>
        </w:tc>
        <w:tc>
          <w:tcPr>
            <w:tcW w:w="1238" w:type="dxa"/>
          </w:tcPr>
          <w:p>
            <w:pPr>
              <w:rPr>
                <w:rFonts w:ascii="宋体" w:hAnsi="宋体" w:cs="宋体"/>
                <w:color w:val="auto"/>
                <w:sz w:val="24"/>
                <w:highlight w:val="none"/>
              </w:rPr>
            </w:pPr>
          </w:p>
        </w:tc>
        <w:tc>
          <w:tcPr>
            <w:tcW w:w="1244" w:type="dxa"/>
          </w:tcPr>
          <w:p>
            <w:pPr>
              <w:rPr>
                <w:rFonts w:ascii="宋体" w:hAnsi="宋体" w:cs="宋体"/>
                <w:color w:val="auto"/>
                <w:sz w:val="24"/>
                <w:highlight w:val="none"/>
              </w:rPr>
            </w:pPr>
          </w:p>
        </w:tc>
        <w:tc>
          <w:tcPr>
            <w:tcW w:w="1228"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c>
          <w:tcPr>
            <w:tcW w:w="913"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c>
          <w:tcPr>
            <w:tcW w:w="850" w:type="dxa"/>
          </w:tcPr>
          <w:p>
            <w:pPr>
              <w:rPr>
                <w:rFonts w:ascii="宋体" w:hAnsi="宋体" w:cs="宋体"/>
                <w:color w:val="auto"/>
                <w:sz w:val="24"/>
                <w:highlight w:val="none"/>
              </w:rPr>
            </w:pPr>
          </w:p>
        </w:tc>
        <w:tc>
          <w:tcPr>
            <w:tcW w:w="803"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2" w:type="dxa"/>
          </w:tcPr>
          <w:p>
            <w:pPr>
              <w:rPr>
                <w:rFonts w:ascii="宋体" w:hAnsi="宋体" w:cs="宋体"/>
                <w:color w:val="auto"/>
                <w:sz w:val="24"/>
                <w:highlight w:val="none"/>
              </w:rPr>
            </w:pPr>
          </w:p>
        </w:tc>
        <w:tc>
          <w:tcPr>
            <w:tcW w:w="1238" w:type="dxa"/>
          </w:tcPr>
          <w:p>
            <w:pPr>
              <w:rPr>
                <w:rFonts w:ascii="宋体" w:hAnsi="宋体" w:cs="宋体"/>
                <w:color w:val="auto"/>
                <w:sz w:val="24"/>
                <w:highlight w:val="none"/>
              </w:rPr>
            </w:pPr>
          </w:p>
        </w:tc>
        <w:tc>
          <w:tcPr>
            <w:tcW w:w="1244" w:type="dxa"/>
          </w:tcPr>
          <w:p>
            <w:pPr>
              <w:rPr>
                <w:rFonts w:ascii="宋体" w:hAnsi="宋体" w:cs="宋体"/>
                <w:color w:val="auto"/>
                <w:sz w:val="24"/>
                <w:highlight w:val="none"/>
              </w:rPr>
            </w:pPr>
          </w:p>
        </w:tc>
        <w:tc>
          <w:tcPr>
            <w:tcW w:w="1228"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c>
          <w:tcPr>
            <w:tcW w:w="913"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c>
          <w:tcPr>
            <w:tcW w:w="850" w:type="dxa"/>
          </w:tcPr>
          <w:p>
            <w:pPr>
              <w:rPr>
                <w:rFonts w:ascii="宋体" w:hAnsi="宋体" w:cs="宋体"/>
                <w:color w:val="auto"/>
                <w:sz w:val="24"/>
                <w:highlight w:val="none"/>
              </w:rPr>
            </w:pPr>
          </w:p>
        </w:tc>
        <w:tc>
          <w:tcPr>
            <w:tcW w:w="803" w:type="dxa"/>
          </w:tcPr>
          <w:p>
            <w:pPr>
              <w:rPr>
                <w:rFonts w:ascii="宋体" w:hAnsi="宋体" w:cs="宋体"/>
                <w:color w:val="auto"/>
                <w:sz w:val="24"/>
                <w:highlight w:val="none"/>
              </w:rPr>
            </w:pPr>
          </w:p>
        </w:tc>
        <w:tc>
          <w:tcPr>
            <w:tcW w:w="756" w:type="dxa"/>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356" w:type="dxa"/>
            <w:gridSpan w:val="10"/>
          </w:tcPr>
          <w:p>
            <w:pPr>
              <w:rPr>
                <w:rFonts w:ascii="宋体" w:hAnsi="宋体" w:cs="宋体"/>
                <w:color w:val="auto"/>
                <w:sz w:val="24"/>
                <w:highlight w:val="none"/>
              </w:rPr>
            </w:pPr>
            <w:r>
              <w:rPr>
                <w:rFonts w:hint="eastAsia" w:ascii="宋体" w:hAnsi="宋体" w:cs="宋体"/>
                <w:color w:val="auto"/>
                <w:sz w:val="24"/>
                <w:highlight w:val="none"/>
              </w:rPr>
              <w:t>合计：</w:t>
            </w:r>
          </w:p>
        </w:tc>
      </w:tr>
    </w:tbl>
    <w:p>
      <w:pPr>
        <w:rPr>
          <w:rFonts w:ascii="宋体" w:hAnsi="宋体" w:cs="宋体"/>
          <w:color w:val="auto"/>
          <w:highlight w:val="none"/>
        </w:rPr>
      </w:pPr>
    </w:p>
    <w:p>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注：1、所有价格以人民币表示；</w:t>
      </w:r>
    </w:p>
    <w:p>
      <w:pPr>
        <w:autoSpaceDE w:val="0"/>
        <w:autoSpaceDN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2、若总价与单价不符，以单价汇总为准；</w:t>
      </w:r>
    </w:p>
    <w:p>
      <w:pPr>
        <w:rPr>
          <w:rFonts w:ascii="宋体" w:hAnsi="宋体" w:cs="宋体"/>
          <w:color w:val="auto"/>
          <w:highlight w:val="none"/>
        </w:rPr>
      </w:pP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pacing w:line="480" w:lineRule="auto"/>
        <w:jc w:val="left"/>
        <w:rPr>
          <w:rFonts w:ascii="宋体" w:hAnsi="宋体" w:cs="宋体"/>
          <w:color w:val="auto"/>
          <w:sz w:val="24"/>
          <w:highlight w:val="none"/>
        </w:rPr>
      </w:pPr>
      <w:r>
        <w:rPr>
          <w:rFonts w:hint="eastAsia" w:ascii="宋体" w:hAnsi="宋体" w:cs="宋体"/>
          <w:color w:val="auto"/>
          <w:kern w:val="1"/>
          <w:sz w:val="24"/>
          <w:highlight w:val="none"/>
        </w:rPr>
        <w:t>日期： ____年____月_____日</w:t>
      </w:r>
    </w:p>
    <w:p>
      <w:pPr>
        <w:rPr>
          <w:rFonts w:ascii="宋体" w:hAnsi="宋体" w:cs="宋体"/>
          <w:b/>
          <w:color w:val="auto"/>
          <w:sz w:val="24"/>
          <w:highlight w:val="none"/>
        </w:rPr>
      </w:pP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rPr>
          <w:rFonts w:ascii="宋体" w:hAnsi="宋体" w:cs="宋体"/>
          <w:color w:val="auto"/>
          <w:highlight w:val="none"/>
        </w:rPr>
      </w:pPr>
    </w:p>
    <w:p>
      <w:pPr>
        <w:rPr>
          <w:rFonts w:ascii="宋体" w:hAnsi="宋体" w:cs="宋体"/>
          <w:color w:val="auto"/>
          <w:highlight w:val="none"/>
        </w:rPr>
      </w:pPr>
    </w:p>
    <w:p>
      <w:pPr>
        <w:spacing w:line="360" w:lineRule="auto"/>
        <w:jc w:val="center"/>
        <w:outlineLvl w:val="2"/>
        <w:rPr>
          <w:rFonts w:ascii="宋体" w:hAnsi="宋体" w:cs="宋体"/>
          <w:b/>
          <w:color w:val="auto"/>
          <w:sz w:val="24"/>
          <w:highlight w:val="none"/>
        </w:rPr>
      </w:pPr>
      <w:bookmarkStart w:id="828" w:name="_Toc11944"/>
      <w:bookmarkStart w:id="829" w:name="_Toc26773"/>
      <w:r>
        <w:rPr>
          <w:rFonts w:hint="eastAsia" w:ascii="宋体" w:hAnsi="宋体" w:cs="宋体"/>
          <w:b/>
          <w:color w:val="auto"/>
          <w:sz w:val="32"/>
          <w:szCs w:val="32"/>
          <w:highlight w:val="none"/>
        </w:rPr>
        <w:t>六、技术规格和商务条款偏差表</w:t>
      </w:r>
      <w:bookmarkEnd w:id="828"/>
      <w:bookmarkEnd w:id="829"/>
    </w:p>
    <w:p>
      <w:pPr>
        <w:spacing w:line="360" w:lineRule="auto"/>
        <w:jc w:val="center"/>
        <w:outlineLvl w:val="3"/>
        <w:rPr>
          <w:rFonts w:ascii="宋体" w:hAnsi="宋体" w:cs="宋体"/>
          <w:color w:val="auto"/>
          <w:sz w:val="24"/>
          <w:highlight w:val="none"/>
        </w:rPr>
      </w:pPr>
      <w:bookmarkStart w:id="830" w:name="_Toc3418"/>
      <w:bookmarkStart w:id="831" w:name="_Toc10367"/>
      <w:bookmarkStart w:id="832" w:name="_Toc788"/>
      <w:bookmarkStart w:id="833" w:name="_Toc5280"/>
      <w:r>
        <w:rPr>
          <w:rFonts w:hint="eastAsia" w:ascii="宋体" w:hAnsi="宋体" w:cs="宋体"/>
          <w:b/>
          <w:color w:val="auto"/>
          <w:sz w:val="24"/>
          <w:highlight w:val="none"/>
        </w:rPr>
        <w:t>6.1  技术条款响应表</w:t>
      </w:r>
      <w:bookmarkEnd w:id="830"/>
      <w:bookmarkEnd w:id="831"/>
      <w:bookmarkEnd w:id="832"/>
      <w:bookmarkEnd w:id="833"/>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57"/>
        <w:gridCol w:w="1696"/>
        <w:gridCol w:w="1881"/>
        <w:gridCol w:w="1437"/>
        <w:gridCol w:w="1030"/>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648" w:type="dxa"/>
            <w:vMerge w:val="restart"/>
            <w:vAlign w:val="center"/>
          </w:tcPr>
          <w:p>
            <w:pPr>
              <w:spacing w:line="48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157" w:type="dxa"/>
            <w:vMerge w:val="restart"/>
            <w:vAlign w:val="center"/>
          </w:tcPr>
          <w:p>
            <w:pPr>
              <w:spacing w:line="480" w:lineRule="auto"/>
              <w:jc w:val="center"/>
              <w:rPr>
                <w:rFonts w:ascii="宋体" w:hAnsi="宋体" w:cs="宋体"/>
                <w:b/>
                <w:bCs/>
                <w:color w:val="auto"/>
                <w:sz w:val="24"/>
                <w:highlight w:val="none"/>
              </w:rPr>
            </w:pPr>
            <w:r>
              <w:rPr>
                <w:rFonts w:hint="eastAsia" w:ascii="宋体" w:hAnsi="宋体" w:cs="宋体"/>
                <w:b/>
                <w:bCs/>
                <w:color w:val="auto"/>
                <w:sz w:val="24"/>
                <w:highlight w:val="none"/>
              </w:rPr>
              <w:t>名称或条款号</w:t>
            </w:r>
          </w:p>
        </w:tc>
        <w:tc>
          <w:tcPr>
            <w:tcW w:w="3577" w:type="dxa"/>
            <w:gridSpan w:val="2"/>
            <w:vAlign w:val="bottom"/>
          </w:tcPr>
          <w:p>
            <w:pPr>
              <w:spacing w:line="480" w:lineRule="auto"/>
              <w:jc w:val="center"/>
              <w:rPr>
                <w:rFonts w:ascii="宋体" w:hAnsi="宋体" w:cs="宋体"/>
                <w:b/>
                <w:bCs/>
                <w:color w:val="auto"/>
                <w:sz w:val="24"/>
                <w:highlight w:val="none"/>
              </w:rPr>
            </w:pPr>
            <w:r>
              <w:rPr>
                <w:rFonts w:hint="eastAsia" w:ascii="宋体" w:hAnsi="宋体" w:cs="宋体"/>
                <w:b/>
                <w:bCs/>
                <w:color w:val="auto"/>
                <w:kern w:val="0"/>
                <w:sz w:val="24"/>
                <w:highlight w:val="none"/>
              </w:rPr>
              <w:t>技术规格或系统功能要求</w:t>
            </w:r>
          </w:p>
        </w:tc>
        <w:tc>
          <w:tcPr>
            <w:tcW w:w="1437" w:type="dxa"/>
            <w:vMerge w:val="restart"/>
            <w:vAlign w:val="center"/>
          </w:tcPr>
          <w:p>
            <w:pPr>
              <w:spacing w:line="480" w:lineRule="auto"/>
              <w:jc w:val="center"/>
              <w:rPr>
                <w:rFonts w:ascii="宋体" w:hAnsi="宋体" w:cs="宋体"/>
                <w:b/>
                <w:bCs/>
                <w:color w:val="auto"/>
                <w:sz w:val="24"/>
                <w:highlight w:val="none"/>
              </w:rPr>
            </w:pPr>
            <w:r>
              <w:rPr>
                <w:rFonts w:hint="eastAsia" w:ascii="宋体" w:hAnsi="宋体" w:cs="宋体"/>
                <w:b/>
                <w:bCs/>
                <w:color w:val="auto"/>
                <w:sz w:val="24"/>
                <w:highlight w:val="none"/>
              </w:rPr>
              <w:t>对磋商文件  偏离</w:t>
            </w:r>
          </w:p>
        </w:tc>
        <w:tc>
          <w:tcPr>
            <w:tcW w:w="1030" w:type="dxa"/>
            <w:vMerge w:val="restart"/>
            <w:vAlign w:val="center"/>
          </w:tcPr>
          <w:p>
            <w:pPr>
              <w:spacing w:line="480" w:lineRule="auto"/>
              <w:jc w:val="center"/>
              <w:rPr>
                <w:rFonts w:ascii="宋体" w:hAnsi="宋体" w:cs="宋体"/>
                <w:b/>
                <w:bCs/>
                <w:color w:val="auto"/>
                <w:sz w:val="24"/>
                <w:highlight w:val="none"/>
              </w:rPr>
            </w:pPr>
            <w:r>
              <w:rPr>
                <w:rFonts w:hint="eastAsia" w:ascii="宋体" w:hAnsi="宋体" w:cs="宋体"/>
                <w:b/>
                <w:bCs/>
                <w:color w:val="auto"/>
                <w:sz w:val="24"/>
                <w:highlight w:val="none"/>
              </w:rPr>
              <w:t>描述</w:t>
            </w:r>
          </w:p>
        </w:tc>
        <w:tc>
          <w:tcPr>
            <w:tcW w:w="987" w:type="dxa"/>
            <w:vMerge w:val="restart"/>
            <w:vAlign w:val="center"/>
          </w:tcPr>
          <w:p>
            <w:pPr>
              <w:spacing w:line="48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648" w:type="dxa"/>
            <w:vMerge w:val="continue"/>
          </w:tcPr>
          <w:p>
            <w:pPr>
              <w:spacing w:line="480" w:lineRule="auto"/>
              <w:rPr>
                <w:rFonts w:ascii="宋体" w:hAnsi="宋体" w:cs="宋体"/>
                <w:color w:val="auto"/>
                <w:sz w:val="24"/>
                <w:highlight w:val="none"/>
              </w:rPr>
            </w:pPr>
          </w:p>
        </w:tc>
        <w:tc>
          <w:tcPr>
            <w:tcW w:w="2157" w:type="dxa"/>
            <w:vMerge w:val="continue"/>
          </w:tcPr>
          <w:p>
            <w:pPr>
              <w:spacing w:line="480" w:lineRule="auto"/>
              <w:rPr>
                <w:rFonts w:ascii="宋体" w:hAnsi="宋体" w:cs="宋体"/>
                <w:color w:val="auto"/>
                <w:sz w:val="24"/>
                <w:highlight w:val="none"/>
              </w:rPr>
            </w:pPr>
          </w:p>
        </w:tc>
        <w:tc>
          <w:tcPr>
            <w:tcW w:w="1696" w:type="dxa"/>
            <w:vAlign w:val="bottom"/>
          </w:tcPr>
          <w:p>
            <w:pPr>
              <w:spacing w:line="480" w:lineRule="auto"/>
              <w:jc w:val="center"/>
              <w:rPr>
                <w:rFonts w:ascii="宋体" w:hAnsi="宋体" w:cs="宋体"/>
                <w:b/>
                <w:bCs/>
                <w:color w:val="auto"/>
                <w:sz w:val="24"/>
                <w:highlight w:val="none"/>
              </w:rPr>
            </w:pPr>
            <w:r>
              <w:rPr>
                <w:rFonts w:hint="eastAsia" w:ascii="宋体" w:hAnsi="宋体" w:cs="宋体"/>
                <w:b/>
                <w:bCs/>
                <w:color w:val="auto"/>
                <w:sz w:val="24"/>
                <w:highlight w:val="none"/>
              </w:rPr>
              <w:t>磋商文件</w:t>
            </w:r>
          </w:p>
        </w:tc>
        <w:tc>
          <w:tcPr>
            <w:tcW w:w="1881" w:type="dxa"/>
            <w:vAlign w:val="bottom"/>
          </w:tcPr>
          <w:p>
            <w:pPr>
              <w:spacing w:line="480" w:lineRule="auto"/>
              <w:jc w:val="center"/>
              <w:rPr>
                <w:rFonts w:ascii="宋体" w:hAnsi="宋体" w:cs="宋体"/>
                <w:b/>
                <w:bCs/>
                <w:color w:val="auto"/>
                <w:sz w:val="24"/>
                <w:highlight w:val="none"/>
              </w:rPr>
            </w:pPr>
            <w:r>
              <w:rPr>
                <w:rFonts w:hint="eastAsia" w:ascii="宋体" w:hAnsi="宋体" w:cs="宋体"/>
                <w:b/>
                <w:bCs/>
                <w:color w:val="auto"/>
                <w:sz w:val="24"/>
                <w:highlight w:val="none"/>
              </w:rPr>
              <w:t>响应文件</w:t>
            </w:r>
          </w:p>
        </w:tc>
        <w:tc>
          <w:tcPr>
            <w:tcW w:w="1437" w:type="dxa"/>
            <w:vMerge w:val="continue"/>
          </w:tcPr>
          <w:p>
            <w:pPr>
              <w:spacing w:line="480" w:lineRule="auto"/>
              <w:rPr>
                <w:rFonts w:ascii="宋体" w:hAnsi="宋体" w:cs="宋体"/>
                <w:color w:val="auto"/>
                <w:sz w:val="24"/>
                <w:highlight w:val="none"/>
              </w:rPr>
            </w:pPr>
          </w:p>
        </w:tc>
        <w:tc>
          <w:tcPr>
            <w:tcW w:w="1030" w:type="dxa"/>
            <w:vMerge w:val="continue"/>
          </w:tcPr>
          <w:p>
            <w:pPr>
              <w:spacing w:line="480" w:lineRule="auto"/>
              <w:rPr>
                <w:rFonts w:ascii="宋体" w:hAnsi="宋体" w:cs="宋体"/>
                <w:color w:val="auto"/>
                <w:sz w:val="24"/>
                <w:highlight w:val="none"/>
              </w:rPr>
            </w:pPr>
          </w:p>
        </w:tc>
        <w:tc>
          <w:tcPr>
            <w:tcW w:w="987" w:type="dxa"/>
            <w:vMerge w:val="continue"/>
          </w:tcPr>
          <w:p>
            <w:pPr>
              <w:spacing w:line="48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648" w:type="dxa"/>
            <w:vMerge w:val="restart"/>
          </w:tcPr>
          <w:p>
            <w:pPr>
              <w:spacing w:line="480" w:lineRule="auto"/>
              <w:rPr>
                <w:rFonts w:ascii="宋体" w:hAnsi="宋体" w:cs="宋体"/>
                <w:color w:val="auto"/>
                <w:sz w:val="24"/>
                <w:highlight w:val="none"/>
              </w:rPr>
            </w:pPr>
            <w:r>
              <w:rPr>
                <w:rFonts w:hint="eastAsia" w:ascii="宋体" w:hAnsi="宋体" w:cs="宋体"/>
                <w:color w:val="auto"/>
                <w:sz w:val="24"/>
                <w:highlight w:val="none"/>
              </w:rPr>
              <w:t>1</w:t>
            </w:r>
          </w:p>
        </w:tc>
        <w:tc>
          <w:tcPr>
            <w:tcW w:w="2157" w:type="dxa"/>
          </w:tcPr>
          <w:p>
            <w:pPr>
              <w:spacing w:line="480" w:lineRule="auto"/>
              <w:rPr>
                <w:rFonts w:ascii="宋体" w:hAnsi="宋体" w:cs="宋体"/>
                <w:color w:val="auto"/>
                <w:sz w:val="24"/>
                <w:highlight w:val="none"/>
              </w:rPr>
            </w:pPr>
            <w:r>
              <w:rPr>
                <w:rFonts w:hint="eastAsia" w:ascii="宋体" w:hAnsi="宋体" w:cs="宋体"/>
                <w:color w:val="auto"/>
                <w:sz w:val="24"/>
                <w:highlight w:val="none"/>
              </w:rPr>
              <w:t>名称1</w:t>
            </w:r>
          </w:p>
        </w:tc>
        <w:tc>
          <w:tcPr>
            <w:tcW w:w="1696" w:type="dxa"/>
          </w:tcPr>
          <w:p>
            <w:pPr>
              <w:spacing w:line="480" w:lineRule="auto"/>
              <w:rPr>
                <w:rFonts w:ascii="宋体" w:hAnsi="宋体" w:cs="宋体"/>
                <w:color w:val="auto"/>
                <w:sz w:val="24"/>
                <w:highlight w:val="none"/>
              </w:rPr>
            </w:pPr>
          </w:p>
        </w:tc>
        <w:tc>
          <w:tcPr>
            <w:tcW w:w="1881" w:type="dxa"/>
          </w:tcPr>
          <w:p>
            <w:pPr>
              <w:spacing w:line="480" w:lineRule="auto"/>
              <w:rPr>
                <w:rFonts w:ascii="宋体" w:hAnsi="宋体" w:cs="宋体"/>
                <w:color w:val="auto"/>
                <w:sz w:val="24"/>
                <w:highlight w:val="none"/>
              </w:rPr>
            </w:pPr>
          </w:p>
        </w:tc>
        <w:tc>
          <w:tcPr>
            <w:tcW w:w="1437" w:type="dxa"/>
          </w:tcPr>
          <w:p>
            <w:pPr>
              <w:spacing w:line="480" w:lineRule="auto"/>
              <w:rPr>
                <w:rFonts w:ascii="宋体" w:hAnsi="宋体" w:cs="宋体"/>
                <w:color w:val="auto"/>
                <w:sz w:val="24"/>
                <w:highlight w:val="none"/>
              </w:rPr>
            </w:pPr>
          </w:p>
        </w:tc>
        <w:tc>
          <w:tcPr>
            <w:tcW w:w="1030" w:type="dxa"/>
          </w:tcPr>
          <w:p>
            <w:pPr>
              <w:spacing w:line="480" w:lineRule="auto"/>
              <w:rPr>
                <w:rFonts w:ascii="宋体" w:hAnsi="宋体" w:cs="宋体"/>
                <w:color w:val="auto"/>
                <w:sz w:val="24"/>
                <w:highlight w:val="none"/>
              </w:rPr>
            </w:pPr>
          </w:p>
        </w:tc>
        <w:tc>
          <w:tcPr>
            <w:tcW w:w="987" w:type="dxa"/>
          </w:tcPr>
          <w:p>
            <w:pPr>
              <w:spacing w:line="48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648" w:type="dxa"/>
            <w:vMerge w:val="continue"/>
          </w:tcPr>
          <w:p>
            <w:pPr>
              <w:spacing w:line="480" w:lineRule="auto"/>
              <w:rPr>
                <w:rFonts w:ascii="宋体" w:hAnsi="宋体" w:cs="宋体"/>
                <w:color w:val="auto"/>
                <w:sz w:val="24"/>
                <w:highlight w:val="none"/>
              </w:rPr>
            </w:pPr>
          </w:p>
        </w:tc>
        <w:tc>
          <w:tcPr>
            <w:tcW w:w="2157" w:type="dxa"/>
          </w:tcPr>
          <w:p>
            <w:pPr>
              <w:spacing w:line="480" w:lineRule="auto"/>
              <w:rPr>
                <w:rFonts w:ascii="宋体" w:hAnsi="宋体" w:cs="宋体"/>
                <w:color w:val="auto"/>
                <w:sz w:val="24"/>
                <w:highlight w:val="none"/>
              </w:rPr>
            </w:pPr>
            <w:r>
              <w:rPr>
                <w:rFonts w:hint="eastAsia" w:ascii="宋体" w:hAnsi="宋体" w:cs="宋体"/>
                <w:color w:val="auto"/>
                <w:sz w:val="24"/>
                <w:highlight w:val="none"/>
              </w:rPr>
              <w:t>参数名称1</w:t>
            </w:r>
          </w:p>
        </w:tc>
        <w:tc>
          <w:tcPr>
            <w:tcW w:w="1696" w:type="dxa"/>
          </w:tcPr>
          <w:p>
            <w:pPr>
              <w:spacing w:line="480" w:lineRule="auto"/>
              <w:rPr>
                <w:rFonts w:ascii="宋体" w:hAnsi="宋体" w:cs="宋体"/>
                <w:color w:val="auto"/>
                <w:sz w:val="24"/>
                <w:highlight w:val="none"/>
              </w:rPr>
            </w:pPr>
          </w:p>
        </w:tc>
        <w:tc>
          <w:tcPr>
            <w:tcW w:w="1881" w:type="dxa"/>
          </w:tcPr>
          <w:p>
            <w:pPr>
              <w:spacing w:line="480" w:lineRule="auto"/>
              <w:rPr>
                <w:rFonts w:ascii="宋体" w:hAnsi="宋体" w:cs="宋体"/>
                <w:color w:val="auto"/>
                <w:sz w:val="24"/>
                <w:highlight w:val="none"/>
              </w:rPr>
            </w:pPr>
          </w:p>
        </w:tc>
        <w:tc>
          <w:tcPr>
            <w:tcW w:w="1437" w:type="dxa"/>
          </w:tcPr>
          <w:p>
            <w:pPr>
              <w:spacing w:line="480" w:lineRule="auto"/>
              <w:rPr>
                <w:rFonts w:ascii="宋体" w:hAnsi="宋体" w:cs="宋体"/>
                <w:color w:val="auto"/>
                <w:sz w:val="24"/>
                <w:highlight w:val="none"/>
              </w:rPr>
            </w:pPr>
          </w:p>
        </w:tc>
        <w:tc>
          <w:tcPr>
            <w:tcW w:w="1030" w:type="dxa"/>
          </w:tcPr>
          <w:p>
            <w:pPr>
              <w:spacing w:line="480" w:lineRule="auto"/>
              <w:rPr>
                <w:rFonts w:ascii="宋体" w:hAnsi="宋体" w:cs="宋体"/>
                <w:color w:val="auto"/>
                <w:sz w:val="24"/>
                <w:highlight w:val="none"/>
              </w:rPr>
            </w:pPr>
          </w:p>
        </w:tc>
        <w:tc>
          <w:tcPr>
            <w:tcW w:w="987" w:type="dxa"/>
          </w:tcPr>
          <w:p>
            <w:pPr>
              <w:spacing w:line="48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648" w:type="dxa"/>
            <w:vMerge w:val="continue"/>
          </w:tcPr>
          <w:p>
            <w:pPr>
              <w:spacing w:line="480" w:lineRule="auto"/>
              <w:rPr>
                <w:rFonts w:ascii="宋体" w:hAnsi="宋体" w:cs="宋体"/>
                <w:color w:val="auto"/>
                <w:sz w:val="24"/>
                <w:highlight w:val="none"/>
              </w:rPr>
            </w:pPr>
          </w:p>
        </w:tc>
        <w:tc>
          <w:tcPr>
            <w:tcW w:w="2157" w:type="dxa"/>
          </w:tcPr>
          <w:p>
            <w:pPr>
              <w:spacing w:line="480" w:lineRule="auto"/>
              <w:rPr>
                <w:rFonts w:ascii="宋体" w:hAnsi="宋体" w:cs="宋体"/>
                <w:color w:val="auto"/>
                <w:sz w:val="24"/>
                <w:highlight w:val="none"/>
              </w:rPr>
            </w:pPr>
            <w:r>
              <w:rPr>
                <w:rFonts w:hint="eastAsia" w:ascii="宋体" w:hAnsi="宋体" w:cs="宋体"/>
                <w:color w:val="auto"/>
                <w:sz w:val="24"/>
                <w:highlight w:val="none"/>
              </w:rPr>
              <w:t>参数名称2</w:t>
            </w:r>
          </w:p>
        </w:tc>
        <w:tc>
          <w:tcPr>
            <w:tcW w:w="1696" w:type="dxa"/>
          </w:tcPr>
          <w:p>
            <w:pPr>
              <w:spacing w:line="480" w:lineRule="auto"/>
              <w:rPr>
                <w:rFonts w:ascii="宋体" w:hAnsi="宋体" w:cs="宋体"/>
                <w:color w:val="auto"/>
                <w:sz w:val="24"/>
                <w:highlight w:val="none"/>
              </w:rPr>
            </w:pPr>
          </w:p>
        </w:tc>
        <w:tc>
          <w:tcPr>
            <w:tcW w:w="1881" w:type="dxa"/>
          </w:tcPr>
          <w:p>
            <w:pPr>
              <w:spacing w:line="480" w:lineRule="auto"/>
              <w:rPr>
                <w:rFonts w:ascii="宋体" w:hAnsi="宋体" w:cs="宋体"/>
                <w:color w:val="auto"/>
                <w:sz w:val="24"/>
                <w:highlight w:val="none"/>
              </w:rPr>
            </w:pPr>
          </w:p>
        </w:tc>
        <w:tc>
          <w:tcPr>
            <w:tcW w:w="1437" w:type="dxa"/>
          </w:tcPr>
          <w:p>
            <w:pPr>
              <w:spacing w:line="480" w:lineRule="auto"/>
              <w:rPr>
                <w:rFonts w:ascii="宋体" w:hAnsi="宋体" w:cs="宋体"/>
                <w:color w:val="auto"/>
                <w:sz w:val="24"/>
                <w:highlight w:val="none"/>
              </w:rPr>
            </w:pPr>
          </w:p>
        </w:tc>
        <w:tc>
          <w:tcPr>
            <w:tcW w:w="1030" w:type="dxa"/>
          </w:tcPr>
          <w:p>
            <w:pPr>
              <w:spacing w:line="480" w:lineRule="auto"/>
              <w:rPr>
                <w:rFonts w:ascii="宋体" w:hAnsi="宋体" w:cs="宋体"/>
                <w:color w:val="auto"/>
                <w:sz w:val="24"/>
                <w:highlight w:val="none"/>
              </w:rPr>
            </w:pPr>
          </w:p>
        </w:tc>
        <w:tc>
          <w:tcPr>
            <w:tcW w:w="987" w:type="dxa"/>
          </w:tcPr>
          <w:p>
            <w:pPr>
              <w:spacing w:line="48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8" w:type="dxa"/>
          </w:tcPr>
          <w:p>
            <w:pPr>
              <w:spacing w:line="480" w:lineRule="auto"/>
              <w:rPr>
                <w:rFonts w:ascii="宋体" w:hAnsi="宋体" w:cs="宋体"/>
                <w:color w:val="auto"/>
                <w:sz w:val="24"/>
                <w:highlight w:val="none"/>
              </w:rPr>
            </w:pPr>
          </w:p>
        </w:tc>
        <w:tc>
          <w:tcPr>
            <w:tcW w:w="2157" w:type="dxa"/>
          </w:tcPr>
          <w:p>
            <w:pPr>
              <w:spacing w:line="480" w:lineRule="auto"/>
              <w:rPr>
                <w:rFonts w:ascii="宋体" w:hAnsi="宋体" w:cs="宋体"/>
                <w:color w:val="auto"/>
                <w:sz w:val="24"/>
                <w:highlight w:val="none"/>
              </w:rPr>
            </w:pPr>
            <w:r>
              <w:rPr>
                <w:rFonts w:hint="eastAsia" w:ascii="宋体" w:hAnsi="宋体" w:cs="宋体"/>
                <w:color w:val="auto"/>
                <w:sz w:val="24"/>
                <w:highlight w:val="none"/>
              </w:rPr>
              <w:t>……</w:t>
            </w:r>
          </w:p>
        </w:tc>
        <w:tc>
          <w:tcPr>
            <w:tcW w:w="1696" w:type="dxa"/>
          </w:tcPr>
          <w:p>
            <w:pPr>
              <w:spacing w:line="480" w:lineRule="auto"/>
              <w:rPr>
                <w:rFonts w:ascii="宋体" w:hAnsi="宋体" w:cs="宋体"/>
                <w:color w:val="auto"/>
                <w:sz w:val="24"/>
                <w:highlight w:val="none"/>
              </w:rPr>
            </w:pPr>
          </w:p>
        </w:tc>
        <w:tc>
          <w:tcPr>
            <w:tcW w:w="1881" w:type="dxa"/>
          </w:tcPr>
          <w:p>
            <w:pPr>
              <w:spacing w:line="480" w:lineRule="auto"/>
              <w:rPr>
                <w:rFonts w:ascii="宋体" w:hAnsi="宋体" w:cs="宋体"/>
                <w:color w:val="auto"/>
                <w:sz w:val="24"/>
                <w:highlight w:val="none"/>
              </w:rPr>
            </w:pPr>
          </w:p>
        </w:tc>
        <w:tc>
          <w:tcPr>
            <w:tcW w:w="1437" w:type="dxa"/>
          </w:tcPr>
          <w:p>
            <w:pPr>
              <w:spacing w:line="480" w:lineRule="auto"/>
              <w:rPr>
                <w:rFonts w:ascii="宋体" w:hAnsi="宋体" w:cs="宋体"/>
                <w:color w:val="auto"/>
                <w:sz w:val="24"/>
                <w:highlight w:val="none"/>
              </w:rPr>
            </w:pPr>
          </w:p>
        </w:tc>
        <w:tc>
          <w:tcPr>
            <w:tcW w:w="1030" w:type="dxa"/>
          </w:tcPr>
          <w:p>
            <w:pPr>
              <w:spacing w:line="480" w:lineRule="auto"/>
              <w:rPr>
                <w:rFonts w:ascii="宋体" w:hAnsi="宋体" w:cs="宋体"/>
                <w:color w:val="auto"/>
                <w:sz w:val="24"/>
                <w:highlight w:val="none"/>
              </w:rPr>
            </w:pPr>
          </w:p>
        </w:tc>
        <w:tc>
          <w:tcPr>
            <w:tcW w:w="987" w:type="dxa"/>
          </w:tcPr>
          <w:p>
            <w:pPr>
              <w:spacing w:line="48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648" w:type="dxa"/>
            <w:vMerge w:val="restart"/>
          </w:tcPr>
          <w:p>
            <w:pPr>
              <w:spacing w:line="480" w:lineRule="auto"/>
              <w:rPr>
                <w:rFonts w:ascii="宋体" w:hAnsi="宋体" w:cs="宋体"/>
                <w:color w:val="auto"/>
                <w:sz w:val="24"/>
                <w:highlight w:val="none"/>
              </w:rPr>
            </w:pPr>
            <w:r>
              <w:rPr>
                <w:rFonts w:hint="eastAsia" w:ascii="宋体" w:hAnsi="宋体" w:cs="宋体"/>
                <w:color w:val="auto"/>
                <w:sz w:val="24"/>
                <w:highlight w:val="none"/>
              </w:rPr>
              <w:t>2</w:t>
            </w:r>
          </w:p>
        </w:tc>
        <w:tc>
          <w:tcPr>
            <w:tcW w:w="2157" w:type="dxa"/>
          </w:tcPr>
          <w:p>
            <w:pPr>
              <w:spacing w:line="480" w:lineRule="auto"/>
              <w:rPr>
                <w:rFonts w:ascii="宋体" w:hAnsi="宋体" w:cs="宋体"/>
                <w:color w:val="auto"/>
                <w:sz w:val="24"/>
                <w:highlight w:val="none"/>
              </w:rPr>
            </w:pPr>
            <w:r>
              <w:rPr>
                <w:rFonts w:hint="eastAsia" w:ascii="宋体" w:hAnsi="宋体" w:cs="宋体"/>
                <w:color w:val="auto"/>
                <w:sz w:val="24"/>
                <w:highlight w:val="none"/>
              </w:rPr>
              <w:t>名称2</w:t>
            </w:r>
          </w:p>
        </w:tc>
        <w:tc>
          <w:tcPr>
            <w:tcW w:w="1696" w:type="dxa"/>
          </w:tcPr>
          <w:p>
            <w:pPr>
              <w:spacing w:line="480" w:lineRule="auto"/>
              <w:rPr>
                <w:rFonts w:ascii="宋体" w:hAnsi="宋体" w:cs="宋体"/>
                <w:color w:val="auto"/>
                <w:sz w:val="24"/>
                <w:highlight w:val="none"/>
              </w:rPr>
            </w:pPr>
          </w:p>
        </w:tc>
        <w:tc>
          <w:tcPr>
            <w:tcW w:w="1881" w:type="dxa"/>
          </w:tcPr>
          <w:p>
            <w:pPr>
              <w:spacing w:line="480" w:lineRule="auto"/>
              <w:rPr>
                <w:rFonts w:ascii="宋体" w:hAnsi="宋体" w:cs="宋体"/>
                <w:color w:val="auto"/>
                <w:sz w:val="24"/>
                <w:highlight w:val="none"/>
              </w:rPr>
            </w:pPr>
          </w:p>
        </w:tc>
        <w:tc>
          <w:tcPr>
            <w:tcW w:w="1437" w:type="dxa"/>
          </w:tcPr>
          <w:p>
            <w:pPr>
              <w:spacing w:line="480" w:lineRule="auto"/>
              <w:rPr>
                <w:rFonts w:ascii="宋体" w:hAnsi="宋体" w:cs="宋体"/>
                <w:color w:val="auto"/>
                <w:sz w:val="24"/>
                <w:highlight w:val="none"/>
              </w:rPr>
            </w:pPr>
          </w:p>
        </w:tc>
        <w:tc>
          <w:tcPr>
            <w:tcW w:w="1030" w:type="dxa"/>
          </w:tcPr>
          <w:p>
            <w:pPr>
              <w:spacing w:line="480" w:lineRule="auto"/>
              <w:rPr>
                <w:rFonts w:ascii="宋体" w:hAnsi="宋体" w:cs="宋体"/>
                <w:color w:val="auto"/>
                <w:sz w:val="24"/>
                <w:highlight w:val="none"/>
              </w:rPr>
            </w:pPr>
          </w:p>
        </w:tc>
        <w:tc>
          <w:tcPr>
            <w:tcW w:w="987" w:type="dxa"/>
          </w:tcPr>
          <w:p>
            <w:pPr>
              <w:spacing w:line="48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648" w:type="dxa"/>
            <w:vMerge w:val="continue"/>
          </w:tcPr>
          <w:p>
            <w:pPr>
              <w:spacing w:line="480" w:lineRule="auto"/>
              <w:rPr>
                <w:rFonts w:ascii="宋体" w:hAnsi="宋体" w:cs="宋体"/>
                <w:color w:val="auto"/>
                <w:sz w:val="24"/>
                <w:highlight w:val="none"/>
              </w:rPr>
            </w:pPr>
          </w:p>
        </w:tc>
        <w:tc>
          <w:tcPr>
            <w:tcW w:w="2157" w:type="dxa"/>
          </w:tcPr>
          <w:p>
            <w:pPr>
              <w:spacing w:line="480" w:lineRule="auto"/>
              <w:rPr>
                <w:rFonts w:ascii="宋体" w:hAnsi="宋体" w:cs="宋体"/>
                <w:color w:val="auto"/>
                <w:sz w:val="24"/>
                <w:highlight w:val="none"/>
              </w:rPr>
            </w:pPr>
            <w:r>
              <w:rPr>
                <w:rFonts w:hint="eastAsia" w:ascii="宋体" w:hAnsi="宋体" w:cs="宋体"/>
                <w:color w:val="auto"/>
                <w:sz w:val="24"/>
                <w:highlight w:val="none"/>
              </w:rPr>
              <w:t>参数名称1</w:t>
            </w:r>
          </w:p>
        </w:tc>
        <w:tc>
          <w:tcPr>
            <w:tcW w:w="1696" w:type="dxa"/>
          </w:tcPr>
          <w:p>
            <w:pPr>
              <w:spacing w:line="480" w:lineRule="auto"/>
              <w:rPr>
                <w:rFonts w:ascii="宋体" w:hAnsi="宋体" w:cs="宋体"/>
                <w:color w:val="auto"/>
                <w:sz w:val="24"/>
                <w:highlight w:val="none"/>
              </w:rPr>
            </w:pPr>
          </w:p>
        </w:tc>
        <w:tc>
          <w:tcPr>
            <w:tcW w:w="1881" w:type="dxa"/>
          </w:tcPr>
          <w:p>
            <w:pPr>
              <w:spacing w:line="480" w:lineRule="auto"/>
              <w:rPr>
                <w:rFonts w:ascii="宋体" w:hAnsi="宋体" w:cs="宋体"/>
                <w:color w:val="auto"/>
                <w:sz w:val="24"/>
                <w:highlight w:val="none"/>
              </w:rPr>
            </w:pPr>
          </w:p>
        </w:tc>
        <w:tc>
          <w:tcPr>
            <w:tcW w:w="1437" w:type="dxa"/>
          </w:tcPr>
          <w:p>
            <w:pPr>
              <w:spacing w:line="480" w:lineRule="auto"/>
              <w:rPr>
                <w:rFonts w:ascii="宋体" w:hAnsi="宋体" w:cs="宋体"/>
                <w:color w:val="auto"/>
                <w:sz w:val="24"/>
                <w:highlight w:val="none"/>
              </w:rPr>
            </w:pPr>
          </w:p>
        </w:tc>
        <w:tc>
          <w:tcPr>
            <w:tcW w:w="1030" w:type="dxa"/>
          </w:tcPr>
          <w:p>
            <w:pPr>
              <w:spacing w:line="480" w:lineRule="auto"/>
              <w:rPr>
                <w:rFonts w:ascii="宋体" w:hAnsi="宋体" w:cs="宋体"/>
                <w:color w:val="auto"/>
                <w:sz w:val="24"/>
                <w:highlight w:val="none"/>
              </w:rPr>
            </w:pPr>
          </w:p>
        </w:tc>
        <w:tc>
          <w:tcPr>
            <w:tcW w:w="987" w:type="dxa"/>
          </w:tcPr>
          <w:p>
            <w:pPr>
              <w:spacing w:line="48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648" w:type="dxa"/>
            <w:vMerge w:val="continue"/>
          </w:tcPr>
          <w:p>
            <w:pPr>
              <w:spacing w:line="480" w:lineRule="auto"/>
              <w:rPr>
                <w:rFonts w:ascii="宋体" w:hAnsi="宋体" w:cs="宋体"/>
                <w:color w:val="auto"/>
                <w:sz w:val="24"/>
                <w:highlight w:val="none"/>
              </w:rPr>
            </w:pPr>
          </w:p>
        </w:tc>
        <w:tc>
          <w:tcPr>
            <w:tcW w:w="2157" w:type="dxa"/>
          </w:tcPr>
          <w:p>
            <w:pPr>
              <w:spacing w:line="480" w:lineRule="auto"/>
              <w:rPr>
                <w:rFonts w:ascii="宋体" w:hAnsi="宋体" w:cs="宋体"/>
                <w:color w:val="auto"/>
                <w:sz w:val="24"/>
                <w:highlight w:val="none"/>
              </w:rPr>
            </w:pPr>
            <w:r>
              <w:rPr>
                <w:rFonts w:hint="eastAsia" w:ascii="宋体" w:hAnsi="宋体" w:cs="宋体"/>
                <w:color w:val="auto"/>
                <w:sz w:val="24"/>
                <w:highlight w:val="none"/>
              </w:rPr>
              <w:t>参数名称2</w:t>
            </w:r>
          </w:p>
        </w:tc>
        <w:tc>
          <w:tcPr>
            <w:tcW w:w="1696" w:type="dxa"/>
          </w:tcPr>
          <w:p>
            <w:pPr>
              <w:spacing w:line="480" w:lineRule="auto"/>
              <w:rPr>
                <w:rFonts w:ascii="宋体" w:hAnsi="宋体" w:cs="宋体"/>
                <w:color w:val="auto"/>
                <w:sz w:val="24"/>
                <w:highlight w:val="none"/>
              </w:rPr>
            </w:pPr>
          </w:p>
        </w:tc>
        <w:tc>
          <w:tcPr>
            <w:tcW w:w="1881" w:type="dxa"/>
          </w:tcPr>
          <w:p>
            <w:pPr>
              <w:spacing w:line="480" w:lineRule="auto"/>
              <w:rPr>
                <w:rFonts w:ascii="宋体" w:hAnsi="宋体" w:cs="宋体"/>
                <w:color w:val="auto"/>
                <w:sz w:val="24"/>
                <w:highlight w:val="none"/>
              </w:rPr>
            </w:pPr>
          </w:p>
        </w:tc>
        <w:tc>
          <w:tcPr>
            <w:tcW w:w="1437" w:type="dxa"/>
          </w:tcPr>
          <w:p>
            <w:pPr>
              <w:spacing w:line="480" w:lineRule="auto"/>
              <w:rPr>
                <w:rFonts w:ascii="宋体" w:hAnsi="宋体" w:cs="宋体"/>
                <w:color w:val="auto"/>
                <w:sz w:val="24"/>
                <w:highlight w:val="none"/>
              </w:rPr>
            </w:pPr>
          </w:p>
        </w:tc>
        <w:tc>
          <w:tcPr>
            <w:tcW w:w="1030" w:type="dxa"/>
          </w:tcPr>
          <w:p>
            <w:pPr>
              <w:spacing w:line="480" w:lineRule="auto"/>
              <w:rPr>
                <w:rFonts w:ascii="宋体" w:hAnsi="宋体" w:cs="宋体"/>
                <w:color w:val="auto"/>
                <w:sz w:val="24"/>
                <w:highlight w:val="none"/>
              </w:rPr>
            </w:pPr>
          </w:p>
        </w:tc>
        <w:tc>
          <w:tcPr>
            <w:tcW w:w="987" w:type="dxa"/>
          </w:tcPr>
          <w:p>
            <w:pPr>
              <w:spacing w:line="48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8" w:type="dxa"/>
          </w:tcPr>
          <w:p>
            <w:pPr>
              <w:spacing w:line="480" w:lineRule="auto"/>
              <w:rPr>
                <w:rFonts w:ascii="宋体" w:hAnsi="宋体" w:cs="宋体"/>
                <w:color w:val="auto"/>
                <w:sz w:val="24"/>
                <w:highlight w:val="none"/>
              </w:rPr>
            </w:pPr>
          </w:p>
        </w:tc>
        <w:tc>
          <w:tcPr>
            <w:tcW w:w="2157" w:type="dxa"/>
          </w:tcPr>
          <w:p>
            <w:pPr>
              <w:spacing w:line="480" w:lineRule="auto"/>
              <w:rPr>
                <w:rFonts w:ascii="宋体" w:hAnsi="宋体" w:cs="宋体"/>
                <w:color w:val="auto"/>
                <w:sz w:val="24"/>
                <w:highlight w:val="none"/>
              </w:rPr>
            </w:pPr>
            <w:r>
              <w:rPr>
                <w:rFonts w:hint="eastAsia" w:ascii="宋体" w:hAnsi="宋体" w:cs="宋体"/>
                <w:color w:val="auto"/>
                <w:sz w:val="24"/>
                <w:highlight w:val="none"/>
              </w:rPr>
              <w:t>……</w:t>
            </w:r>
          </w:p>
        </w:tc>
        <w:tc>
          <w:tcPr>
            <w:tcW w:w="1696" w:type="dxa"/>
          </w:tcPr>
          <w:p>
            <w:pPr>
              <w:spacing w:line="480" w:lineRule="auto"/>
              <w:rPr>
                <w:rFonts w:ascii="宋体" w:hAnsi="宋体" w:cs="宋体"/>
                <w:color w:val="auto"/>
                <w:sz w:val="24"/>
                <w:highlight w:val="none"/>
              </w:rPr>
            </w:pPr>
          </w:p>
        </w:tc>
        <w:tc>
          <w:tcPr>
            <w:tcW w:w="1881" w:type="dxa"/>
          </w:tcPr>
          <w:p>
            <w:pPr>
              <w:spacing w:line="480" w:lineRule="auto"/>
              <w:rPr>
                <w:rFonts w:ascii="宋体" w:hAnsi="宋体" w:cs="宋体"/>
                <w:color w:val="auto"/>
                <w:sz w:val="24"/>
                <w:highlight w:val="none"/>
              </w:rPr>
            </w:pPr>
          </w:p>
        </w:tc>
        <w:tc>
          <w:tcPr>
            <w:tcW w:w="1437" w:type="dxa"/>
          </w:tcPr>
          <w:p>
            <w:pPr>
              <w:spacing w:line="480" w:lineRule="auto"/>
              <w:rPr>
                <w:rFonts w:ascii="宋体" w:hAnsi="宋体" w:cs="宋体"/>
                <w:color w:val="auto"/>
                <w:sz w:val="24"/>
                <w:highlight w:val="none"/>
              </w:rPr>
            </w:pPr>
          </w:p>
        </w:tc>
        <w:tc>
          <w:tcPr>
            <w:tcW w:w="1030" w:type="dxa"/>
          </w:tcPr>
          <w:p>
            <w:pPr>
              <w:spacing w:line="480" w:lineRule="auto"/>
              <w:rPr>
                <w:rFonts w:ascii="宋体" w:hAnsi="宋体" w:cs="宋体"/>
                <w:color w:val="auto"/>
                <w:sz w:val="24"/>
                <w:highlight w:val="none"/>
              </w:rPr>
            </w:pPr>
          </w:p>
        </w:tc>
        <w:tc>
          <w:tcPr>
            <w:tcW w:w="987" w:type="dxa"/>
          </w:tcPr>
          <w:p>
            <w:pPr>
              <w:spacing w:line="480" w:lineRule="auto"/>
              <w:rPr>
                <w:rFonts w:ascii="宋体" w:hAnsi="宋体" w:cs="宋体"/>
                <w:color w:val="auto"/>
                <w:sz w:val="24"/>
                <w:highlight w:val="none"/>
              </w:rPr>
            </w:pPr>
          </w:p>
        </w:tc>
      </w:tr>
    </w:tbl>
    <w:p>
      <w:pPr>
        <w:spacing w:line="360" w:lineRule="auto"/>
        <w:jc w:val="left"/>
        <w:rPr>
          <w:rFonts w:ascii="宋体" w:hAnsi="宋体" w:cs="宋体"/>
          <w:color w:val="auto"/>
          <w:sz w:val="24"/>
          <w:highlight w:val="none"/>
        </w:rPr>
      </w:pP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pacing w:line="480" w:lineRule="auto"/>
        <w:jc w:val="left"/>
        <w:rPr>
          <w:rFonts w:ascii="宋体" w:hAnsi="宋体" w:cs="宋体"/>
          <w:color w:val="auto"/>
          <w:sz w:val="24"/>
          <w:highlight w:val="none"/>
        </w:rPr>
      </w:pPr>
      <w:r>
        <w:rPr>
          <w:rFonts w:hint="eastAsia" w:ascii="宋体" w:hAnsi="宋体" w:cs="宋体"/>
          <w:color w:val="auto"/>
          <w:kern w:val="1"/>
          <w:sz w:val="24"/>
          <w:highlight w:val="none"/>
        </w:rPr>
        <w:t>日期： ____年____月_____日</w:t>
      </w:r>
    </w:p>
    <w:p>
      <w:pPr>
        <w:pStyle w:val="27"/>
        <w:spacing w:line="480" w:lineRule="auto"/>
        <w:rPr>
          <w:rFonts w:hAnsi="宋体" w:cs="宋体"/>
          <w:color w:val="auto"/>
          <w:szCs w:val="24"/>
          <w:highlight w:val="none"/>
        </w:rPr>
      </w:pPr>
    </w:p>
    <w:p>
      <w:pPr>
        <w:pStyle w:val="3"/>
        <w:spacing w:line="360" w:lineRule="auto"/>
        <w:rPr>
          <w:rFonts w:hAnsi="宋体" w:cs="宋体"/>
          <w:color w:val="auto"/>
          <w:sz w:val="24"/>
          <w:highlight w:val="none"/>
        </w:rPr>
      </w:pPr>
      <w:r>
        <w:rPr>
          <w:rFonts w:hint="eastAsia" w:hAnsi="宋体" w:cs="宋体"/>
          <w:color w:val="auto"/>
          <w:sz w:val="24"/>
          <w:szCs w:val="24"/>
          <w:highlight w:val="none"/>
        </w:rPr>
        <w:t>注明：</w:t>
      </w:r>
      <w:r>
        <w:rPr>
          <w:rFonts w:hint="eastAsia" w:hAnsi="宋体" w:cs="宋体"/>
          <w:color w:val="auto"/>
          <w:sz w:val="24"/>
          <w:highlight w:val="none"/>
        </w:rPr>
        <w:t>1、名称的排列顺序应与磋商文件中提供的货物或服务名称排列顺序一致；</w:t>
      </w:r>
    </w:p>
    <w:p>
      <w:pPr>
        <w:adjustRightInd w:val="0"/>
        <w:snapToGrid w:val="0"/>
        <w:spacing w:line="360" w:lineRule="auto"/>
        <w:ind w:firstLine="720" w:firstLineChars="300"/>
        <w:rPr>
          <w:rFonts w:ascii="宋体" w:hAnsi="宋体" w:cs="宋体"/>
          <w:color w:val="auto"/>
          <w:sz w:val="24"/>
          <w:szCs w:val="20"/>
          <w:highlight w:val="none"/>
        </w:rPr>
      </w:pPr>
      <w:r>
        <w:rPr>
          <w:rFonts w:hint="eastAsia" w:ascii="宋体" w:hAnsi="宋体" w:cs="宋体"/>
          <w:color w:val="auto"/>
          <w:sz w:val="24"/>
          <w:highlight w:val="none"/>
        </w:rPr>
        <w:t>2、</w:t>
      </w:r>
      <w:r>
        <w:rPr>
          <w:rFonts w:hint="eastAsia" w:ascii="宋体" w:hAnsi="宋体" w:cs="宋体"/>
          <w:color w:val="auto"/>
          <w:sz w:val="24"/>
          <w:szCs w:val="20"/>
          <w:highlight w:val="none"/>
        </w:rPr>
        <w:t>偏离必须用 “正偏离、负偏离或无偏离”三个名称中的一种进行标注，并在描述一栏中做出详细描述。</w:t>
      </w:r>
    </w:p>
    <w:p>
      <w:pPr>
        <w:pStyle w:val="27"/>
        <w:spacing w:line="480" w:lineRule="auto"/>
        <w:rPr>
          <w:rFonts w:hAnsi="宋体" w:cs="宋体"/>
          <w:color w:val="auto"/>
          <w:szCs w:val="24"/>
          <w:highlight w:val="none"/>
        </w:rPr>
      </w:pPr>
    </w:p>
    <w:p>
      <w:pPr>
        <w:tabs>
          <w:tab w:val="left" w:pos="877"/>
        </w:tabs>
        <w:rPr>
          <w:rFonts w:ascii="宋体" w:hAnsi="宋体" w:cs="宋体"/>
          <w:color w:val="auto"/>
          <w:highlight w:val="none"/>
        </w:rPr>
      </w:pPr>
      <w:bookmarkStart w:id="834" w:name="_Toc451931391"/>
      <w:bookmarkStart w:id="835" w:name="_Toc395181599"/>
      <w:bookmarkStart w:id="836" w:name="_Toc99423354"/>
      <w:r>
        <w:rPr>
          <w:rFonts w:hint="eastAsia" w:ascii="宋体" w:hAnsi="宋体" w:cs="宋体"/>
          <w:color w:val="auto"/>
          <w:highlight w:val="none"/>
        </w:rPr>
        <w:tab/>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spacing w:line="480" w:lineRule="auto"/>
        <w:jc w:val="center"/>
        <w:outlineLvl w:val="3"/>
        <w:rPr>
          <w:rFonts w:ascii="宋体" w:hAnsi="宋体" w:cs="宋体"/>
          <w:b/>
          <w:color w:val="auto"/>
          <w:sz w:val="24"/>
          <w:highlight w:val="none"/>
        </w:rPr>
      </w:pPr>
      <w:bookmarkStart w:id="837" w:name="_Toc10903"/>
      <w:bookmarkStart w:id="838" w:name="_Toc7088"/>
      <w:bookmarkStart w:id="839" w:name="_Toc17024"/>
      <w:bookmarkStart w:id="840" w:name="_Toc24948"/>
      <w:r>
        <w:rPr>
          <w:rFonts w:hint="eastAsia" w:ascii="宋体" w:hAnsi="宋体" w:cs="宋体"/>
          <w:b/>
          <w:color w:val="auto"/>
          <w:sz w:val="24"/>
          <w:highlight w:val="none"/>
        </w:rPr>
        <w:t>6.2  商务条款响应表</w:t>
      </w:r>
      <w:bookmarkEnd w:id="834"/>
      <w:bookmarkEnd w:id="835"/>
      <w:bookmarkEnd w:id="836"/>
      <w:bookmarkEnd w:id="837"/>
      <w:bookmarkEnd w:id="838"/>
      <w:bookmarkEnd w:id="839"/>
      <w:bookmarkEnd w:id="840"/>
    </w:p>
    <w:p>
      <w:pPr>
        <w:rPr>
          <w:rFonts w:ascii="宋体" w:hAnsi="宋体" w:cs="宋体"/>
          <w:color w:val="auto"/>
          <w:sz w:val="24"/>
          <w:highlight w:val="none"/>
        </w:rPr>
      </w:pPr>
      <w:r>
        <w:rPr>
          <w:rFonts w:hint="eastAsia" w:ascii="宋体" w:hAnsi="宋体" w:cs="宋体"/>
          <w:color w:val="auto"/>
          <w:sz w:val="24"/>
          <w:highlight w:val="none"/>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3112"/>
        <w:gridCol w:w="1791"/>
        <w:gridCol w:w="903"/>
        <w:gridCol w:w="133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24" w:type="dxa"/>
            <w:vAlign w:val="center"/>
          </w:tcPr>
          <w:p>
            <w:pPr>
              <w:jc w:val="center"/>
              <w:rPr>
                <w:rFonts w:ascii="宋体" w:hAnsi="宋体" w:cs="宋体"/>
                <w:color w:val="auto"/>
                <w:sz w:val="24"/>
                <w:highlight w:val="none"/>
              </w:rPr>
            </w:pPr>
            <w:bookmarkStart w:id="841" w:name="_Toc32238"/>
            <w:bookmarkStart w:id="842" w:name="_Toc1931"/>
            <w:r>
              <w:rPr>
                <w:rFonts w:hint="eastAsia" w:ascii="宋体" w:hAnsi="宋体" w:cs="宋体"/>
                <w:color w:val="auto"/>
                <w:sz w:val="24"/>
                <w:highlight w:val="none"/>
              </w:rPr>
              <w:t>序号</w:t>
            </w:r>
            <w:bookmarkEnd w:id="841"/>
            <w:bookmarkEnd w:id="842"/>
          </w:p>
        </w:tc>
        <w:tc>
          <w:tcPr>
            <w:tcW w:w="3112" w:type="dxa"/>
            <w:vAlign w:val="center"/>
          </w:tcPr>
          <w:p>
            <w:pPr>
              <w:jc w:val="center"/>
              <w:rPr>
                <w:rFonts w:ascii="宋体" w:hAnsi="宋体" w:cs="宋体"/>
                <w:color w:val="auto"/>
                <w:sz w:val="24"/>
                <w:highlight w:val="none"/>
              </w:rPr>
            </w:pPr>
            <w:bookmarkStart w:id="843" w:name="_Toc5174"/>
            <w:bookmarkStart w:id="844" w:name="_Toc15930"/>
            <w:r>
              <w:rPr>
                <w:rFonts w:hint="eastAsia" w:ascii="宋体" w:hAnsi="宋体" w:cs="宋体"/>
                <w:color w:val="auto"/>
                <w:sz w:val="24"/>
                <w:highlight w:val="none"/>
              </w:rPr>
              <w:t>内容</w:t>
            </w:r>
            <w:bookmarkEnd w:id="843"/>
            <w:bookmarkEnd w:id="844"/>
          </w:p>
        </w:tc>
        <w:tc>
          <w:tcPr>
            <w:tcW w:w="1791" w:type="dxa"/>
            <w:vAlign w:val="center"/>
          </w:tcPr>
          <w:p>
            <w:pPr>
              <w:jc w:val="center"/>
              <w:rPr>
                <w:rFonts w:ascii="宋体" w:hAnsi="宋体" w:cs="宋体"/>
                <w:color w:val="auto"/>
                <w:sz w:val="24"/>
                <w:highlight w:val="none"/>
              </w:rPr>
            </w:pPr>
            <w:bookmarkStart w:id="845" w:name="_Toc32537"/>
            <w:bookmarkStart w:id="846" w:name="_Toc31060"/>
            <w:r>
              <w:rPr>
                <w:rFonts w:hint="eastAsia" w:ascii="宋体" w:hAnsi="宋体" w:cs="宋体"/>
                <w:color w:val="auto"/>
                <w:sz w:val="24"/>
                <w:highlight w:val="none"/>
              </w:rPr>
              <w:t>磋商文件要求</w:t>
            </w:r>
            <w:bookmarkEnd w:id="845"/>
            <w:bookmarkEnd w:id="846"/>
          </w:p>
        </w:tc>
        <w:tc>
          <w:tcPr>
            <w:tcW w:w="903" w:type="dxa"/>
            <w:vAlign w:val="center"/>
          </w:tcPr>
          <w:p>
            <w:pPr>
              <w:jc w:val="center"/>
              <w:rPr>
                <w:rFonts w:ascii="宋体" w:hAnsi="宋体" w:cs="宋体"/>
                <w:color w:val="auto"/>
                <w:sz w:val="24"/>
                <w:highlight w:val="none"/>
              </w:rPr>
            </w:pPr>
            <w:bookmarkStart w:id="847" w:name="_Toc21157"/>
            <w:bookmarkStart w:id="848" w:name="_Toc30855"/>
            <w:r>
              <w:rPr>
                <w:rFonts w:hint="eastAsia" w:ascii="宋体" w:hAnsi="宋体" w:cs="宋体"/>
                <w:color w:val="auto"/>
                <w:sz w:val="24"/>
                <w:highlight w:val="none"/>
              </w:rPr>
              <w:t>响应</w:t>
            </w:r>
            <w:bookmarkEnd w:id="847"/>
            <w:bookmarkEnd w:id="848"/>
          </w:p>
        </w:tc>
        <w:tc>
          <w:tcPr>
            <w:tcW w:w="133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偏离情况</w:t>
            </w:r>
          </w:p>
        </w:tc>
        <w:tc>
          <w:tcPr>
            <w:tcW w:w="99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pPr>
              <w:jc w:val="center"/>
              <w:rPr>
                <w:rFonts w:ascii="宋体" w:hAnsi="宋体" w:cs="宋体"/>
                <w:color w:val="auto"/>
                <w:sz w:val="24"/>
                <w:highlight w:val="none"/>
              </w:rPr>
            </w:pPr>
            <w:bookmarkStart w:id="849" w:name="_Toc22484"/>
            <w:bookmarkStart w:id="850" w:name="_Toc4357"/>
            <w:r>
              <w:rPr>
                <w:rFonts w:hint="eastAsia" w:ascii="宋体" w:hAnsi="宋体" w:cs="宋体"/>
                <w:color w:val="auto"/>
                <w:sz w:val="24"/>
                <w:highlight w:val="none"/>
              </w:rPr>
              <w:t>1</w:t>
            </w:r>
            <w:bookmarkEnd w:id="849"/>
            <w:bookmarkEnd w:id="850"/>
          </w:p>
        </w:tc>
        <w:tc>
          <w:tcPr>
            <w:tcW w:w="3112"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交货期</w:t>
            </w:r>
          </w:p>
        </w:tc>
        <w:tc>
          <w:tcPr>
            <w:tcW w:w="1791" w:type="dxa"/>
            <w:vAlign w:val="center"/>
          </w:tcPr>
          <w:p>
            <w:pPr>
              <w:jc w:val="center"/>
              <w:rPr>
                <w:rFonts w:ascii="宋体" w:hAnsi="宋体" w:cs="宋体"/>
                <w:color w:val="auto"/>
                <w:sz w:val="24"/>
                <w:highlight w:val="none"/>
              </w:rPr>
            </w:pPr>
          </w:p>
        </w:tc>
        <w:tc>
          <w:tcPr>
            <w:tcW w:w="903" w:type="dxa"/>
            <w:vAlign w:val="center"/>
          </w:tcPr>
          <w:p>
            <w:pPr>
              <w:jc w:val="center"/>
              <w:rPr>
                <w:rFonts w:ascii="宋体" w:hAnsi="宋体" w:cs="宋体"/>
                <w:color w:val="auto"/>
                <w:sz w:val="24"/>
                <w:highlight w:val="none"/>
              </w:rPr>
            </w:pPr>
          </w:p>
        </w:tc>
        <w:tc>
          <w:tcPr>
            <w:tcW w:w="1333" w:type="dxa"/>
            <w:vAlign w:val="center"/>
          </w:tcPr>
          <w:p>
            <w:pPr>
              <w:jc w:val="center"/>
              <w:rPr>
                <w:rFonts w:ascii="宋体" w:hAnsi="宋体" w:cs="宋体"/>
                <w:color w:val="auto"/>
                <w:sz w:val="24"/>
                <w:highlight w:val="none"/>
              </w:rPr>
            </w:pPr>
          </w:p>
        </w:tc>
        <w:tc>
          <w:tcPr>
            <w:tcW w:w="993"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pPr>
              <w:jc w:val="center"/>
              <w:rPr>
                <w:rFonts w:ascii="宋体" w:hAnsi="宋体" w:cs="宋体"/>
                <w:color w:val="auto"/>
                <w:sz w:val="24"/>
                <w:highlight w:val="none"/>
              </w:rPr>
            </w:pPr>
            <w:bookmarkStart w:id="851" w:name="_Toc10532"/>
            <w:bookmarkStart w:id="852" w:name="_Toc9584"/>
            <w:r>
              <w:rPr>
                <w:rFonts w:hint="eastAsia" w:ascii="宋体" w:hAnsi="宋体" w:cs="宋体"/>
                <w:color w:val="auto"/>
                <w:sz w:val="24"/>
                <w:highlight w:val="none"/>
              </w:rPr>
              <w:t>2</w:t>
            </w:r>
          </w:p>
        </w:tc>
        <w:tc>
          <w:tcPr>
            <w:tcW w:w="3112"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质量保证期</w:t>
            </w:r>
          </w:p>
        </w:tc>
        <w:tc>
          <w:tcPr>
            <w:tcW w:w="1791" w:type="dxa"/>
            <w:vAlign w:val="center"/>
          </w:tcPr>
          <w:p>
            <w:pPr>
              <w:jc w:val="center"/>
              <w:rPr>
                <w:rFonts w:ascii="宋体" w:hAnsi="宋体" w:cs="宋体"/>
                <w:color w:val="auto"/>
                <w:sz w:val="24"/>
                <w:highlight w:val="none"/>
              </w:rPr>
            </w:pPr>
          </w:p>
        </w:tc>
        <w:tc>
          <w:tcPr>
            <w:tcW w:w="903" w:type="dxa"/>
            <w:vAlign w:val="center"/>
          </w:tcPr>
          <w:p>
            <w:pPr>
              <w:jc w:val="center"/>
              <w:rPr>
                <w:rFonts w:ascii="宋体" w:hAnsi="宋体" w:cs="宋体"/>
                <w:color w:val="auto"/>
                <w:sz w:val="24"/>
                <w:highlight w:val="none"/>
              </w:rPr>
            </w:pPr>
          </w:p>
        </w:tc>
        <w:tc>
          <w:tcPr>
            <w:tcW w:w="1333" w:type="dxa"/>
            <w:vAlign w:val="center"/>
          </w:tcPr>
          <w:p>
            <w:pPr>
              <w:jc w:val="center"/>
              <w:rPr>
                <w:rFonts w:ascii="宋体" w:hAnsi="宋体" w:cs="宋体"/>
                <w:color w:val="auto"/>
                <w:sz w:val="24"/>
                <w:highlight w:val="none"/>
              </w:rPr>
            </w:pPr>
          </w:p>
        </w:tc>
        <w:tc>
          <w:tcPr>
            <w:tcW w:w="993" w:type="dxa"/>
            <w:vAlign w:val="center"/>
          </w:tcPr>
          <w:p>
            <w:pPr>
              <w:jc w:val="center"/>
              <w:rPr>
                <w:rFonts w:ascii="宋体" w:hAnsi="宋体" w:cs="宋体"/>
                <w:color w:val="auto"/>
                <w:sz w:val="24"/>
                <w:highlight w:val="none"/>
              </w:rPr>
            </w:pPr>
          </w:p>
        </w:tc>
      </w:tr>
      <w:bookmarkEnd w:id="851"/>
      <w:bookmarkEnd w:id="8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3112"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质量标准</w:t>
            </w:r>
          </w:p>
        </w:tc>
        <w:tc>
          <w:tcPr>
            <w:tcW w:w="1791" w:type="dxa"/>
            <w:vAlign w:val="center"/>
          </w:tcPr>
          <w:p>
            <w:pPr>
              <w:jc w:val="center"/>
              <w:rPr>
                <w:rFonts w:ascii="宋体" w:hAnsi="宋体" w:cs="宋体"/>
                <w:color w:val="auto"/>
                <w:sz w:val="24"/>
                <w:highlight w:val="none"/>
              </w:rPr>
            </w:pPr>
          </w:p>
        </w:tc>
        <w:tc>
          <w:tcPr>
            <w:tcW w:w="903" w:type="dxa"/>
            <w:vAlign w:val="center"/>
          </w:tcPr>
          <w:p>
            <w:pPr>
              <w:jc w:val="center"/>
              <w:rPr>
                <w:rFonts w:ascii="宋体" w:hAnsi="宋体" w:cs="宋体"/>
                <w:color w:val="auto"/>
                <w:sz w:val="24"/>
                <w:highlight w:val="none"/>
              </w:rPr>
            </w:pPr>
          </w:p>
        </w:tc>
        <w:tc>
          <w:tcPr>
            <w:tcW w:w="1333" w:type="dxa"/>
            <w:vAlign w:val="center"/>
          </w:tcPr>
          <w:p>
            <w:pPr>
              <w:jc w:val="center"/>
              <w:rPr>
                <w:rFonts w:ascii="宋体" w:hAnsi="宋体" w:cs="宋体"/>
                <w:color w:val="auto"/>
                <w:sz w:val="24"/>
                <w:highlight w:val="none"/>
              </w:rPr>
            </w:pPr>
          </w:p>
        </w:tc>
        <w:tc>
          <w:tcPr>
            <w:tcW w:w="993"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4</w:t>
            </w:r>
          </w:p>
        </w:tc>
        <w:tc>
          <w:tcPr>
            <w:tcW w:w="3112"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付款方式</w:t>
            </w:r>
          </w:p>
        </w:tc>
        <w:tc>
          <w:tcPr>
            <w:tcW w:w="1791" w:type="dxa"/>
            <w:vAlign w:val="center"/>
          </w:tcPr>
          <w:p>
            <w:pPr>
              <w:jc w:val="center"/>
              <w:rPr>
                <w:rFonts w:ascii="宋体" w:hAnsi="宋体" w:cs="宋体"/>
                <w:color w:val="auto"/>
                <w:sz w:val="24"/>
                <w:highlight w:val="none"/>
              </w:rPr>
            </w:pPr>
          </w:p>
        </w:tc>
        <w:tc>
          <w:tcPr>
            <w:tcW w:w="903" w:type="dxa"/>
            <w:vAlign w:val="center"/>
          </w:tcPr>
          <w:p>
            <w:pPr>
              <w:jc w:val="center"/>
              <w:rPr>
                <w:rFonts w:ascii="宋体" w:hAnsi="宋体" w:cs="宋体"/>
                <w:color w:val="auto"/>
                <w:sz w:val="24"/>
                <w:highlight w:val="none"/>
              </w:rPr>
            </w:pPr>
          </w:p>
        </w:tc>
        <w:tc>
          <w:tcPr>
            <w:tcW w:w="1333" w:type="dxa"/>
            <w:vAlign w:val="center"/>
          </w:tcPr>
          <w:p>
            <w:pPr>
              <w:jc w:val="center"/>
              <w:rPr>
                <w:rFonts w:ascii="宋体" w:hAnsi="宋体" w:cs="宋体"/>
                <w:color w:val="auto"/>
                <w:sz w:val="24"/>
                <w:highlight w:val="none"/>
              </w:rPr>
            </w:pPr>
          </w:p>
        </w:tc>
        <w:tc>
          <w:tcPr>
            <w:tcW w:w="993"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5</w:t>
            </w:r>
          </w:p>
        </w:tc>
        <w:tc>
          <w:tcPr>
            <w:tcW w:w="3112"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响应文件有效期</w:t>
            </w:r>
          </w:p>
        </w:tc>
        <w:tc>
          <w:tcPr>
            <w:tcW w:w="1791" w:type="dxa"/>
            <w:vAlign w:val="center"/>
          </w:tcPr>
          <w:p>
            <w:pPr>
              <w:jc w:val="center"/>
              <w:rPr>
                <w:rFonts w:ascii="宋体" w:hAnsi="宋体" w:cs="宋体"/>
                <w:color w:val="auto"/>
                <w:sz w:val="24"/>
                <w:highlight w:val="none"/>
              </w:rPr>
            </w:pPr>
          </w:p>
        </w:tc>
        <w:tc>
          <w:tcPr>
            <w:tcW w:w="903" w:type="dxa"/>
            <w:vAlign w:val="center"/>
          </w:tcPr>
          <w:p>
            <w:pPr>
              <w:jc w:val="center"/>
              <w:rPr>
                <w:rFonts w:ascii="宋体" w:hAnsi="宋体" w:cs="宋体"/>
                <w:color w:val="auto"/>
                <w:sz w:val="24"/>
                <w:highlight w:val="none"/>
              </w:rPr>
            </w:pPr>
          </w:p>
        </w:tc>
        <w:tc>
          <w:tcPr>
            <w:tcW w:w="1333" w:type="dxa"/>
            <w:vAlign w:val="center"/>
          </w:tcPr>
          <w:p>
            <w:pPr>
              <w:jc w:val="center"/>
              <w:rPr>
                <w:rFonts w:ascii="宋体" w:hAnsi="宋体" w:cs="宋体"/>
                <w:color w:val="auto"/>
                <w:sz w:val="24"/>
                <w:highlight w:val="none"/>
              </w:rPr>
            </w:pPr>
          </w:p>
        </w:tc>
        <w:tc>
          <w:tcPr>
            <w:tcW w:w="993"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6</w:t>
            </w:r>
          </w:p>
        </w:tc>
        <w:tc>
          <w:tcPr>
            <w:tcW w:w="3112" w:type="dxa"/>
            <w:vAlign w:val="center"/>
          </w:tcPr>
          <w:p>
            <w:pPr>
              <w:jc w:val="center"/>
              <w:rPr>
                <w:rFonts w:ascii="宋体" w:hAnsi="宋体" w:cs="宋体"/>
                <w:color w:val="auto"/>
                <w:sz w:val="24"/>
                <w:highlight w:val="none"/>
              </w:rPr>
            </w:pPr>
            <w:bookmarkStart w:id="853" w:name="_Toc29342"/>
            <w:bookmarkStart w:id="854" w:name="_Toc28001"/>
            <w:r>
              <w:rPr>
                <w:rFonts w:hint="eastAsia" w:ascii="宋体" w:hAnsi="宋体" w:cs="宋体"/>
                <w:color w:val="auto"/>
                <w:sz w:val="24"/>
                <w:highlight w:val="none"/>
              </w:rPr>
              <w:t>…</w:t>
            </w:r>
            <w:bookmarkEnd w:id="853"/>
            <w:bookmarkEnd w:id="854"/>
          </w:p>
        </w:tc>
        <w:tc>
          <w:tcPr>
            <w:tcW w:w="1791" w:type="dxa"/>
            <w:vAlign w:val="center"/>
          </w:tcPr>
          <w:p>
            <w:pPr>
              <w:jc w:val="center"/>
              <w:rPr>
                <w:rFonts w:ascii="宋体" w:hAnsi="宋体" w:cs="宋体"/>
                <w:color w:val="auto"/>
                <w:sz w:val="24"/>
                <w:highlight w:val="none"/>
              </w:rPr>
            </w:pPr>
          </w:p>
        </w:tc>
        <w:tc>
          <w:tcPr>
            <w:tcW w:w="903" w:type="dxa"/>
            <w:vAlign w:val="center"/>
          </w:tcPr>
          <w:p>
            <w:pPr>
              <w:jc w:val="center"/>
              <w:rPr>
                <w:rFonts w:ascii="宋体" w:hAnsi="宋体" w:cs="宋体"/>
                <w:color w:val="auto"/>
                <w:sz w:val="24"/>
                <w:highlight w:val="none"/>
              </w:rPr>
            </w:pPr>
          </w:p>
        </w:tc>
        <w:tc>
          <w:tcPr>
            <w:tcW w:w="1333" w:type="dxa"/>
            <w:vAlign w:val="center"/>
          </w:tcPr>
          <w:p>
            <w:pPr>
              <w:jc w:val="center"/>
              <w:rPr>
                <w:rFonts w:ascii="宋体" w:hAnsi="宋体" w:cs="宋体"/>
                <w:color w:val="auto"/>
                <w:sz w:val="24"/>
                <w:highlight w:val="none"/>
              </w:rPr>
            </w:pPr>
          </w:p>
        </w:tc>
        <w:tc>
          <w:tcPr>
            <w:tcW w:w="993"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24" w:type="dxa"/>
            <w:vAlign w:val="center"/>
          </w:tcPr>
          <w:p>
            <w:pPr>
              <w:jc w:val="center"/>
              <w:rPr>
                <w:rFonts w:ascii="宋体" w:hAnsi="宋体" w:cs="宋体"/>
                <w:color w:val="auto"/>
                <w:sz w:val="24"/>
                <w:highlight w:val="none"/>
              </w:rPr>
            </w:pPr>
            <w:bookmarkStart w:id="855" w:name="_Toc15914"/>
            <w:bookmarkStart w:id="856" w:name="_Toc6477"/>
            <w:r>
              <w:rPr>
                <w:rFonts w:hint="eastAsia" w:ascii="宋体" w:hAnsi="宋体" w:cs="宋体"/>
                <w:color w:val="auto"/>
                <w:sz w:val="24"/>
                <w:highlight w:val="none"/>
              </w:rPr>
              <w:t>…</w:t>
            </w:r>
            <w:bookmarkEnd w:id="855"/>
            <w:bookmarkEnd w:id="856"/>
          </w:p>
        </w:tc>
        <w:tc>
          <w:tcPr>
            <w:tcW w:w="3112" w:type="dxa"/>
            <w:vAlign w:val="center"/>
          </w:tcPr>
          <w:p>
            <w:pPr>
              <w:jc w:val="center"/>
              <w:rPr>
                <w:rFonts w:ascii="宋体" w:hAnsi="宋体" w:cs="宋体"/>
                <w:color w:val="auto"/>
                <w:sz w:val="24"/>
                <w:highlight w:val="none"/>
              </w:rPr>
            </w:pPr>
            <w:bookmarkStart w:id="857" w:name="_Toc7308"/>
            <w:bookmarkStart w:id="858" w:name="_Toc10399"/>
            <w:r>
              <w:rPr>
                <w:rFonts w:hint="eastAsia" w:ascii="宋体" w:hAnsi="宋体" w:cs="宋体"/>
                <w:color w:val="auto"/>
                <w:sz w:val="24"/>
                <w:highlight w:val="none"/>
              </w:rPr>
              <w:t>其他</w:t>
            </w:r>
            <w:bookmarkEnd w:id="857"/>
            <w:bookmarkEnd w:id="858"/>
          </w:p>
        </w:tc>
        <w:tc>
          <w:tcPr>
            <w:tcW w:w="1791" w:type="dxa"/>
            <w:vAlign w:val="center"/>
          </w:tcPr>
          <w:p>
            <w:pPr>
              <w:jc w:val="center"/>
              <w:rPr>
                <w:rFonts w:ascii="宋体" w:hAnsi="宋体" w:cs="宋体"/>
                <w:color w:val="auto"/>
                <w:sz w:val="24"/>
                <w:highlight w:val="none"/>
              </w:rPr>
            </w:pPr>
            <w:bookmarkStart w:id="859" w:name="_Toc24839"/>
            <w:bookmarkStart w:id="860" w:name="_Toc9110"/>
            <w:r>
              <w:rPr>
                <w:rFonts w:hint="eastAsia" w:ascii="宋体" w:hAnsi="宋体" w:cs="宋体"/>
                <w:color w:val="auto"/>
                <w:sz w:val="24"/>
                <w:highlight w:val="none"/>
              </w:rPr>
              <w:t>…</w:t>
            </w:r>
            <w:bookmarkEnd w:id="859"/>
            <w:bookmarkEnd w:id="860"/>
          </w:p>
        </w:tc>
        <w:tc>
          <w:tcPr>
            <w:tcW w:w="903" w:type="dxa"/>
            <w:vAlign w:val="center"/>
          </w:tcPr>
          <w:p>
            <w:pPr>
              <w:jc w:val="center"/>
              <w:rPr>
                <w:rFonts w:ascii="宋体" w:hAnsi="宋体" w:cs="宋体"/>
                <w:color w:val="auto"/>
                <w:sz w:val="24"/>
                <w:highlight w:val="none"/>
              </w:rPr>
            </w:pPr>
            <w:bookmarkStart w:id="861" w:name="_Toc14357"/>
            <w:bookmarkStart w:id="862" w:name="_Toc26089"/>
            <w:r>
              <w:rPr>
                <w:rFonts w:hint="eastAsia" w:ascii="宋体" w:hAnsi="宋体" w:cs="宋体"/>
                <w:color w:val="auto"/>
                <w:sz w:val="24"/>
                <w:highlight w:val="none"/>
              </w:rPr>
              <w:t>…</w:t>
            </w:r>
            <w:bookmarkEnd w:id="861"/>
            <w:bookmarkEnd w:id="862"/>
          </w:p>
        </w:tc>
        <w:tc>
          <w:tcPr>
            <w:tcW w:w="1333" w:type="dxa"/>
            <w:vAlign w:val="center"/>
          </w:tcPr>
          <w:p>
            <w:pPr>
              <w:jc w:val="center"/>
              <w:rPr>
                <w:rFonts w:ascii="宋体" w:hAnsi="宋体" w:cs="宋体"/>
                <w:color w:val="auto"/>
                <w:sz w:val="24"/>
                <w:highlight w:val="none"/>
              </w:rPr>
            </w:pPr>
            <w:bookmarkStart w:id="863" w:name="_Toc10738"/>
            <w:bookmarkStart w:id="864" w:name="_Toc19614"/>
            <w:r>
              <w:rPr>
                <w:rFonts w:hint="eastAsia" w:ascii="宋体" w:hAnsi="宋体" w:cs="宋体"/>
                <w:color w:val="auto"/>
                <w:sz w:val="24"/>
                <w:highlight w:val="none"/>
              </w:rPr>
              <w:t>…</w:t>
            </w:r>
            <w:bookmarkEnd w:id="863"/>
            <w:bookmarkEnd w:id="864"/>
          </w:p>
        </w:tc>
        <w:tc>
          <w:tcPr>
            <w:tcW w:w="993" w:type="dxa"/>
            <w:vAlign w:val="center"/>
          </w:tcPr>
          <w:p>
            <w:pPr>
              <w:jc w:val="center"/>
              <w:rPr>
                <w:rFonts w:ascii="宋体" w:hAnsi="宋体" w:cs="宋体"/>
                <w:color w:val="auto"/>
                <w:sz w:val="24"/>
                <w:highlight w:val="none"/>
              </w:rPr>
            </w:pPr>
            <w:bookmarkStart w:id="865" w:name="_Toc31070"/>
            <w:bookmarkStart w:id="866" w:name="_Toc450"/>
            <w:r>
              <w:rPr>
                <w:rFonts w:hint="eastAsia" w:ascii="宋体" w:hAnsi="宋体" w:cs="宋体"/>
                <w:color w:val="auto"/>
                <w:sz w:val="24"/>
                <w:highlight w:val="none"/>
              </w:rPr>
              <w:t>…</w:t>
            </w:r>
            <w:bookmarkEnd w:id="865"/>
            <w:bookmarkEnd w:id="866"/>
          </w:p>
        </w:tc>
      </w:tr>
    </w:tbl>
    <w:p>
      <w:pPr>
        <w:rPr>
          <w:rFonts w:ascii="宋体" w:hAnsi="宋体" w:cs="宋体"/>
          <w:color w:val="auto"/>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pacing w:line="480" w:lineRule="auto"/>
        <w:jc w:val="left"/>
        <w:rPr>
          <w:rFonts w:ascii="宋体" w:hAnsi="宋体" w:cs="宋体"/>
          <w:color w:val="auto"/>
          <w:sz w:val="24"/>
          <w:highlight w:val="none"/>
        </w:rPr>
      </w:pPr>
      <w:r>
        <w:rPr>
          <w:rFonts w:hint="eastAsia" w:ascii="宋体" w:hAnsi="宋体" w:cs="宋体"/>
          <w:color w:val="auto"/>
          <w:kern w:val="1"/>
          <w:sz w:val="24"/>
          <w:highlight w:val="none"/>
        </w:rPr>
        <w:t>日期： ____年____月_____日</w:t>
      </w:r>
    </w:p>
    <w:p>
      <w:pPr>
        <w:rPr>
          <w:rFonts w:ascii="宋体" w:hAnsi="宋体" w:cs="宋体"/>
          <w:color w:val="auto"/>
          <w:highlight w:val="none"/>
        </w:rPr>
      </w:pPr>
    </w:p>
    <w:p>
      <w:pPr>
        <w:pStyle w:val="3"/>
        <w:spacing w:line="360" w:lineRule="auto"/>
        <w:rPr>
          <w:rFonts w:hAnsi="宋体" w:cs="宋体"/>
          <w:color w:val="auto"/>
          <w:sz w:val="24"/>
          <w:highlight w:val="none"/>
        </w:rPr>
      </w:pPr>
      <w:r>
        <w:rPr>
          <w:rFonts w:hint="eastAsia" w:hAnsi="宋体" w:cs="宋体"/>
          <w:color w:val="auto"/>
          <w:sz w:val="24"/>
          <w:highlight w:val="none"/>
        </w:rPr>
        <w:t>注;偏离情况必须用 “正偏离、负偏离或无偏离”三个名称中的一种进行标注，并在说明一栏中做出详细描述。</w:t>
      </w:r>
    </w:p>
    <w:p>
      <w:pPr>
        <w:rPr>
          <w:rFonts w:ascii="宋体" w:hAnsi="宋体" w:cs="宋体"/>
          <w:color w:val="auto"/>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highlight w:val="none"/>
        </w:rPr>
      </w:pPr>
      <w:r>
        <w:rPr>
          <w:rFonts w:hint="eastAsia" w:ascii="宋体" w:hAnsi="宋体" w:cs="宋体"/>
          <w:color w:val="auto"/>
          <w:highlight w:val="none"/>
        </w:rPr>
        <w:t>说明：</w:t>
      </w:r>
    </w:p>
    <w:p>
      <w:pPr>
        <w:pStyle w:val="3"/>
        <w:spacing w:line="360" w:lineRule="auto"/>
        <w:ind w:firstLine="638" w:firstLineChars="266"/>
        <w:rPr>
          <w:rFonts w:hAnsi="宋体" w:cs="宋体"/>
          <w:color w:val="auto"/>
          <w:sz w:val="24"/>
          <w:highlight w:val="none"/>
        </w:rPr>
      </w:pPr>
      <w:r>
        <w:rPr>
          <w:rFonts w:hint="eastAsia" w:hAnsi="宋体" w:cs="宋体"/>
          <w:color w:val="auto"/>
          <w:sz w:val="24"/>
          <w:highlight w:val="none"/>
        </w:rPr>
        <w:t>1.供应商要如实填写技术及商务偏离表。</w:t>
      </w:r>
    </w:p>
    <w:p>
      <w:pPr>
        <w:pStyle w:val="3"/>
        <w:spacing w:line="360" w:lineRule="auto"/>
        <w:ind w:firstLine="638" w:firstLineChars="266"/>
        <w:rPr>
          <w:rFonts w:hAnsi="宋体" w:cs="宋体"/>
          <w:color w:val="auto"/>
          <w:sz w:val="24"/>
          <w:highlight w:val="none"/>
        </w:rPr>
      </w:pPr>
      <w:r>
        <w:rPr>
          <w:rFonts w:hint="eastAsia" w:hAnsi="宋体" w:cs="宋体"/>
          <w:color w:val="auto"/>
          <w:sz w:val="24"/>
          <w:highlight w:val="none"/>
        </w:rPr>
        <w:t>2.响应文件中的技术、商务要求偏离表应当按照磋商文件中的要求、商务要求条款逐条对照，逐条描述是否响应磋商文件中的货物或服务指标要求、商务要求。</w:t>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pStyle w:val="12"/>
        <w:jc w:val="center"/>
        <w:rPr>
          <w:rFonts w:ascii="宋体" w:hAnsi="宋体" w:eastAsia="宋体" w:cs="宋体"/>
          <w:color w:val="auto"/>
          <w:highlight w:val="none"/>
        </w:rPr>
      </w:pPr>
      <w:bookmarkStart w:id="867" w:name="_Toc26667"/>
      <w:bookmarkStart w:id="868" w:name="_Toc11305"/>
      <w:r>
        <w:rPr>
          <w:rFonts w:hint="eastAsia" w:ascii="宋体" w:hAnsi="宋体" w:eastAsia="宋体" w:cs="宋体"/>
          <w:color w:val="auto"/>
          <w:highlight w:val="none"/>
        </w:rPr>
        <w:t>七</w:t>
      </w:r>
      <w:bookmarkEnd w:id="823"/>
      <w:bookmarkEnd w:id="867"/>
      <w:bookmarkEnd w:id="868"/>
      <w:bookmarkStart w:id="869" w:name="_Toc13994"/>
      <w:bookmarkStart w:id="870" w:name="_Toc1173"/>
      <w:r>
        <w:rPr>
          <w:rFonts w:hint="eastAsia" w:ascii="宋体" w:hAnsi="宋体" w:eastAsia="宋体" w:cs="宋体"/>
          <w:color w:val="auto"/>
          <w:highlight w:val="none"/>
        </w:rPr>
        <w:t>、技术部分（格式自拟）</w:t>
      </w:r>
      <w:bookmarkEnd w:id="869"/>
      <w:bookmarkEnd w:id="870"/>
    </w:p>
    <w:p>
      <w:pPr>
        <w:autoSpaceDE w:val="0"/>
        <w:autoSpaceDN w:val="0"/>
        <w:adjustRightInd w:val="0"/>
        <w:spacing w:line="360" w:lineRule="auto"/>
        <w:jc w:val="center"/>
        <w:rPr>
          <w:rFonts w:ascii="宋体" w:hAnsi="宋体" w:cs="宋体"/>
          <w:b/>
          <w:color w:val="auto"/>
          <w:spacing w:val="10"/>
          <w:kern w:val="0"/>
          <w:sz w:val="24"/>
          <w:highlight w:val="none"/>
        </w:rPr>
      </w:pPr>
    </w:p>
    <w:p>
      <w:pPr>
        <w:spacing w:line="600" w:lineRule="auto"/>
        <w:rPr>
          <w:rFonts w:ascii="宋体" w:hAnsi="宋体" w:cs="宋体"/>
          <w:color w:val="auto"/>
          <w:sz w:val="24"/>
          <w:highlight w:val="none"/>
        </w:rPr>
      </w:pPr>
    </w:p>
    <w:p>
      <w:pPr>
        <w:spacing w:line="600" w:lineRule="auto"/>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highlight w:val="none"/>
        </w:rPr>
      </w:pPr>
      <w:r>
        <w:rPr>
          <w:rFonts w:hint="eastAsia" w:ascii="宋体" w:hAnsi="宋体" w:cs="宋体"/>
          <w:color w:val="auto"/>
          <w:highlight w:val="none"/>
        </w:rPr>
        <w:br w:type="page"/>
      </w:r>
    </w:p>
    <w:p>
      <w:pPr>
        <w:pStyle w:val="12"/>
        <w:jc w:val="center"/>
        <w:rPr>
          <w:rFonts w:ascii="宋体" w:hAnsi="宋体" w:eastAsia="宋体" w:cs="宋体"/>
          <w:color w:val="auto"/>
          <w:highlight w:val="none"/>
        </w:rPr>
      </w:pPr>
      <w:bookmarkStart w:id="871" w:name="_Toc2975"/>
      <w:bookmarkStart w:id="872" w:name="_Toc18621"/>
      <w:r>
        <w:rPr>
          <w:rFonts w:hint="eastAsia" w:ascii="宋体" w:hAnsi="宋体" w:eastAsia="宋体" w:cs="宋体"/>
          <w:color w:val="auto"/>
          <w:highlight w:val="none"/>
        </w:rPr>
        <w:t>八、商务部分（格式自拟）</w:t>
      </w:r>
      <w:bookmarkEnd w:id="871"/>
      <w:bookmarkEnd w:id="872"/>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pStyle w:val="12"/>
        <w:spacing w:before="0" w:line="360" w:lineRule="auto"/>
        <w:jc w:val="center"/>
        <w:rPr>
          <w:rFonts w:ascii="宋体" w:hAnsi="宋体" w:eastAsia="宋体" w:cs="宋体"/>
          <w:color w:val="auto"/>
          <w:highlight w:val="none"/>
        </w:rPr>
      </w:pPr>
      <w:bookmarkStart w:id="873" w:name="_Toc26207"/>
      <w:bookmarkStart w:id="874" w:name="_Toc25510"/>
      <w:r>
        <w:rPr>
          <w:rFonts w:hint="eastAsia" w:ascii="宋体" w:hAnsi="宋体" w:eastAsia="宋体" w:cs="宋体"/>
          <w:color w:val="auto"/>
          <w:highlight w:val="none"/>
        </w:rPr>
        <w:t>九、供应商参加磋商采购活动的承诺书</w:t>
      </w:r>
      <w:bookmarkEnd w:id="873"/>
      <w:bookmarkEnd w:id="874"/>
    </w:p>
    <w:p>
      <w:pPr>
        <w:spacing w:line="360" w:lineRule="auto"/>
        <w:jc w:val="center"/>
        <w:rPr>
          <w:rFonts w:ascii="宋体" w:hAnsi="宋体"/>
          <w:color w:val="auto"/>
          <w:sz w:val="24"/>
          <w:highlight w:val="none"/>
        </w:rPr>
      </w:pPr>
      <w:r>
        <w:rPr>
          <w:rFonts w:hint="eastAsia" w:ascii="宋体" w:hAnsi="宋体" w:cs="宋体"/>
          <w:b/>
          <w:bCs/>
          <w:color w:val="auto"/>
          <w:sz w:val="24"/>
          <w:highlight w:val="none"/>
        </w:rPr>
        <w:t>（一）磋商承诺函</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（填写采购人及采购代理机构名称）</w:t>
      </w:r>
    </w:p>
    <w:p>
      <w:pPr>
        <w:spacing w:line="360" w:lineRule="auto"/>
        <w:ind w:firstLine="600"/>
        <w:rPr>
          <w:rFonts w:ascii="宋体" w:hAnsi="宋体" w:cs="宋体"/>
          <w:color w:val="auto"/>
          <w:sz w:val="24"/>
          <w:highlight w:val="none"/>
        </w:rPr>
      </w:pPr>
      <w:r>
        <w:rPr>
          <w:rFonts w:hint="eastAsia" w:ascii="宋体" w:hAnsi="宋体" w:cs="宋体"/>
          <w:color w:val="auto"/>
          <w:sz w:val="24"/>
          <w:highlight w:val="none"/>
        </w:rPr>
        <w:t>我（单位/本人，以下统称我单位）自愿参加</w:t>
      </w:r>
      <w:r>
        <w:rPr>
          <w:rFonts w:hint="eastAsia" w:ascii="宋体" w:hAnsi="宋体" w:cs="宋体"/>
          <w:color w:val="auto"/>
          <w:sz w:val="24"/>
          <w:highlight w:val="none"/>
          <w:u w:val="single"/>
        </w:rPr>
        <w:t xml:space="preserve">              （项目名称、项目编号、包号、包名称）</w:t>
      </w:r>
      <w:r>
        <w:rPr>
          <w:rFonts w:hint="eastAsia" w:ascii="宋体" w:hAnsi="宋体" w:cs="宋体"/>
          <w:color w:val="auto"/>
          <w:sz w:val="24"/>
          <w:highlight w:val="none"/>
        </w:rPr>
        <w:t>的磋商采购活动,</w:t>
      </w:r>
      <w:r>
        <w:rPr>
          <w:rFonts w:hint="eastAsia" w:ascii="宋体" w:hAnsi="宋体" w:cs="宋体"/>
          <w:color w:val="auto"/>
          <w:spacing w:val="8"/>
          <w:kern w:val="0"/>
          <w:sz w:val="24"/>
          <w:highlight w:val="none"/>
        </w:rPr>
        <w:t xml:space="preserve"> 作为参加本次采购活动的供应商，根据竞争性磋商文件的要求，现郑重承诺如下：</w:t>
      </w:r>
    </w:p>
    <w:p>
      <w:pPr>
        <w:widowControl/>
        <w:shd w:val="clear" w:color="auto" w:fill="FFFFFF"/>
        <w:spacing w:line="360" w:lineRule="auto"/>
        <w:ind w:firstLine="480"/>
        <w:jc w:val="left"/>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一、我单位完全接受和满足本项目竞争性磋商文件中规定的实质性要求，如对采购（磋商）文件有异议，已经在收到采购（磋商）文件之日起或采购（磋商）文件公告期限届满之日起七个工作日内依法进行维权救济，不存在对采购（磋商）文件有异议的同时又参加本项目的磋商采购活动以求侥幸成为成交人或者为实现其他非法目的的行为。</w:t>
      </w:r>
    </w:p>
    <w:p>
      <w:pPr>
        <w:widowControl/>
        <w:shd w:val="clear" w:color="auto" w:fill="FFFFFF"/>
        <w:spacing w:line="360" w:lineRule="auto"/>
        <w:ind w:firstLine="480"/>
        <w:jc w:val="left"/>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二、我单位参加本次磋商采购活动，不存在和其他供应商在同一合同项下的采购项目中，同时委托同一个自然人、同一家庭的人员、同一单位的人员作为代理人的行为。</w:t>
      </w:r>
    </w:p>
    <w:p>
      <w:pPr>
        <w:widowControl/>
        <w:shd w:val="clear" w:color="auto" w:fill="FFFFFF"/>
        <w:spacing w:line="360" w:lineRule="auto"/>
        <w:ind w:firstLine="480"/>
        <w:jc w:val="left"/>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四、参加本次磋商采购活动前，在近三年内我单位和其法定代表人（或负责人）没有行贿犯罪行为。</w:t>
      </w:r>
    </w:p>
    <w:p>
      <w:pPr>
        <w:widowControl/>
        <w:shd w:val="clear" w:color="auto" w:fill="FFFFFF"/>
        <w:spacing w:line="360" w:lineRule="auto"/>
        <w:ind w:firstLine="480" w:firstLineChars="200"/>
        <w:jc w:val="left"/>
        <w:rPr>
          <w:rFonts w:ascii="宋体" w:hAnsi="宋体" w:cs="宋体"/>
          <w:color w:val="auto"/>
          <w:spacing w:val="8"/>
          <w:kern w:val="0"/>
          <w:sz w:val="24"/>
          <w:highlight w:val="none"/>
        </w:rPr>
      </w:pPr>
      <w:r>
        <w:rPr>
          <w:rFonts w:hint="eastAsia" w:ascii="宋体" w:hAnsi="宋体" w:cs="宋体"/>
          <w:color w:val="auto"/>
          <w:sz w:val="24"/>
          <w:highlight w:val="none"/>
        </w:rPr>
        <w:t>五、我单位在此申明：保证本次响应文件中提供的所有内容、资料、陈述是正确的、真实的、有效的、合法的，并愿意承担相关法律责任。</w:t>
      </w:r>
    </w:p>
    <w:p>
      <w:pPr>
        <w:widowControl/>
        <w:shd w:val="clear" w:color="auto" w:fill="FFFFFF"/>
        <w:spacing w:line="360" w:lineRule="auto"/>
        <w:ind w:firstLine="512" w:firstLineChars="200"/>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六、如本项目磋商采购过程中需要提供样品，则我单位提供的样品即为成交后将要提供的成交产品，我单位对提供样品的性能和质量负责，因样品存在缺陷或者不符合竞争性磋商文件要求导致未能成交的，我单位愿意承担相应不利后果。</w:t>
      </w:r>
    </w:p>
    <w:p>
      <w:pPr>
        <w:widowControl/>
        <w:shd w:val="clear" w:color="auto" w:fill="FFFFFF"/>
        <w:spacing w:line="360" w:lineRule="auto"/>
        <w:ind w:firstLine="512" w:firstLineChars="200"/>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七、如果存在以下行为之一的愿意接受相关部门的处理：</w:t>
      </w:r>
    </w:p>
    <w:p>
      <w:pPr>
        <w:widowControl/>
        <w:shd w:val="clear" w:color="auto" w:fill="FFFFFF"/>
        <w:spacing w:line="360" w:lineRule="auto"/>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   1、我单位在响应文件有效期内撤销响应文件的（不包括在提交最后报价前推出磋商的情况）；</w:t>
      </w:r>
    </w:p>
    <w:p>
      <w:pPr>
        <w:widowControl/>
        <w:shd w:val="clear" w:color="auto" w:fill="FFFFFF"/>
        <w:spacing w:line="360" w:lineRule="auto"/>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   2、我单位在采购人确定成交人以前放弃成交候选人资格的；</w:t>
      </w:r>
    </w:p>
    <w:p>
      <w:pPr>
        <w:widowControl/>
        <w:shd w:val="clear" w:color="auto" w:fill="FFFFFF"/>
        <w:spacing w:line="360" w:lineRule="auto"/>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   3、由于我单位的原因未能按照竞争性磋商文件的规定与采购人签订合同；</w:t>
      </w:r>
    </w:p>
    <w:p>
      <w:pPr>
        <w:widowControl/>
        <w:shd w:val="clear" w:color="auto" w:fill="FFFFFF"/>
        <w:spacing w:line="360" w:lineRule="auto"/>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   4、由于我单位的原因未能按照竞争性磋商文件的规定交纳履约保证金；</w:t>
      </w:r>
    </w:p>
    <w:p>
      <w:pPr>
        <w:widowControl/>
        <w:shd w:val="clear" w:color="auto" w:fill="FFFFFF"/>
        <w:spacing w:line="360" w:lineRule="auto"/>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   5、我单位在响应文件中提供虚假材料；</w:t>
      </w:r>
    </w:p>
    <w:p>
      <w:pPr>
        <w:widowControl/>
        <w:shd w:val="clear" w:color="auto" w:fill="FFFFFF"/>
        <w:spacing w:line="360" w:lineRule="auto"/>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   6、我单位与采购人、其他供应商或者采购代理机构恶意串通的；</w:t>
      </w:r>
    </w:p>
    <w:p>
      <w:pPr>
        <w:widowControl/>
        <w:shd w:val="clear" w:color="auto" w:fill="FFFFFF"/>
        <w:spacing w:line="360" w:lineRule="auto"/>
        <w:ind w:firstLine="640" w:firstLineChars="250"/>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7、在响应文件有效期内，我单位在政府采购活动中有违法、违规、违纪行为。</w:t>
      </w:r>
    </w:p>
    <w:p>
      <w:pPr>
        <w:widowControl/>
        <w:shd w:val="clear" w:color="auto" w:fill="FFFFFF"/>
        <w:spacing w:line="360" w:lineRule="auto"/>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 xml:space="preserve">   我单位如果发生以上任意一条行为，将在行为发生的5个工作日内，向采购人及招标代理公司分别支付本竞争性磋商文件公布的预算金额或最高限价（如无预算金额或最高限价的话，以我单位的响应报价为基准）的 2%作为赔偿金。 </w:t>
      </w:r>
    </w:p>
    <w:p>
      <w:pPr>
        <w:widowControl/>
        <w:shd w:val="clear" w:color="auto" w:fill="FFFFFF"/>
        <w:spacing w:line="360" w:lineRule="auto"/>
        <w:ind w:firstLine="480" w:firstLineChars="200"/>
        <w:rPr>
          <w:rFonts w:ascii="宋体" w:hAnsi="宋体" w:cs="宋体"/>
          <w:color w:val="auto"/>
          <w:spacing w:val="8"/>
          <w:kern w:val="0"/>
          <w:sz w:val="24"/>
          <w:highlight w:val="none"/>
        </w:rPr>
      </w:pPr>
      <w:r>
        <w:rPr>
          <w:rFonts w:hint="eastAsia" w:ascii="宋体" w:hAnsi="宋体" w:cs="宋体"/>
          <w:color w:val="auto"/>
          <w:sz w:val="24"/>
          <w:highlight w:val="none"/>
        </w:rPr>
        <w:t>八、我单位知晓上述行为的法律后果，承认本承诺书作为采购人及采购代理机构要求我单位履行违约赔偿义务的依据作用。</w:t>
      </w:r>
    </w:p>
    <w:p>
      <w:pPr>
        <w:widowControl/>
        <w:shd w:val="clear" w:color="auto" w:fill="FFFFFF"/>
        <w:spacing w:line="360" w:lineRule="auto"/>
        <w:ind w:firstLine="512" w:firstLineChars="200"/>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由此产生的一切法律后果和责任由我单位承担。我单位声明放弃对此提出任何异议和追索的权利。</w:t>
      </w:r>
    </w:p>
    <w:p>
      <w:pPr>
        <w:widowControl/>
        <w:shd w:val="clear" w:color="auto" w:fill="FFFFFF"/>
        <w:spacing w:line="360" w:lineRule="auto"/>
        <w:ind w:firstLine="512" w:firstLineChars="200"/>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我单位对上述承诺的内容事项真实性负责。如经查实上述承诺的内容事项存在虚假，我单位愿意接受以提供虚假材料谋取成交而被追究法律责任。</w:t>
      </w:r>
    </w:p>
    <w:p>
      <w:pPr>
        <w:widowControl/>
        <w:shd w:val="clear" w:color="auto" w:fill="FFFFFF"/>
        <w:spacing w:line="360" w:lineRule="auto"/>
        <w:jc w:val="left"/>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pacing w:line="360" w:lineRule="auto"/>
        <w:ind w:left="1620" w:leftChars="257" w:hanging="1080"/>
        <w:rPr>
          <w:rFonts w:ascii="宋体" w:hAnsi="宋体" w:cs="宋体"/>
          <w:color w:val="auto"/>
          <w:sz w:val="24"/>
          <w:highlight w:val="none"/>
        </w:rPr>
      </w:pPr>
    </w:p>
    <w:p>
      <w:pPr>
        <w:spacing w:line="360" w:lineRule="auto"/>
        <w:ind w:left="1620" w:leftChars="257" w:hanging="1080"/>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left="1620" w:leftChars="257" w:hanging="1080"/>
        <w:rPr>
          <w:rFonts w:ascii="宋体" w:hAnsi="宋体" w:cs="宋体"/>
          <w:color w:val="auto"/>
          <w:sz w:val="24"/>
          <w:highlight w:val="none"/>
        </w:rPr>
      </w:pPr>
      <w:r>
        <w:rPr>
          <w:rFonts w:hint="eastAsia" w:ascii="宋体" w:hAnsi="宋体" w:cs="宋体"/>
          <w:color w:val="auto"/>
          <w:sz w:val="24"/>
          <w:highlight w:val="none"/>
        </w:rPr>
        <w:t>邮编：</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left="1620" w:leftChars="257" w:hanging="1080"/>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ab/>
      </w:r>
      <w:r>
        <w:rPr>
          <w:rFonts w:hint="eastAsia" w:ascii="宋体" w:hAnsi="宋体" w:cs="宋体"/>
          <w:color w:val="auto"/>
          <w:sz w:val="24"/>
          <w:highlight w:val="none"/>
        </w:rPr>
        <w:t>电子邮箱：</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pPr>
        <w:spacing w:line="360" w:lineRule="auto"/>
        <w:ind w:firstLine="544" w:firstLineChars="227"/>
        <w:rPr>
          <w:rFonts w:ascii="宋体" w:hAnsi="宋体" w:cs="宋体"/>
          <w:color w:val="auto"/>
          <w:sz w:val="24"/>
          <w:highlight w:val="none"/>
        </w:rPr>
      </w:pPr>
      <w:r>
        <w:rPr>
          <w:rFonts w:hint="eastAsia" w:ascii="宋体" w:hAnsi="宋体" w:cs="宋体"/>
          <w:color w:val="auto"/>
          <w:sz w:val="24"/>
          <w:highlight w:val="none"/>
        </w:rPr>
        <w:t>日期：　　 　年　　月 　日</w:t>
      </w:r>
    </w:p>
    <w:p>
      <w:pPr>
        <w:rPr>
          <w:rFonts w:ascii="宋体" w:hAnsi="宋体" w:cs="宋体"/>
          <w:color w:val="auto"/>
          <w:highlight w:val="none"/>
        </w:rPr>
      </w:pPr>
    </w:p>
    <w:p>
      <w:pPr>
        <w:rPr>
          <w:rFonts w:ascii="宋体" w:hAnsi="宋体" w:cs="宋体"/>
          <w:color w:val="auto"/>
          <w:highlight w:val="none"/>
        </w:rPr>
      </w:pPr>
    </w:p>
    <w:p>
      <w:pPr>
        <w:pStyle w:val="49"/>
        <w:ind w:firstLine="200"/>
        <w:rPr>
          <w:rFonts w:ascii="宋体" w:hAnsi="宋体" w:eastAsia="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spacing w:line="480" w:lineRule="exact"/>
        <w:jc w:val="center"/>
        <w:rPr>
          <w:rFonts w:ascii="宋体" w:hAnsi="宋体" w:cs="宋体"/>
          <w:color w:val="auto"/>
          <w:szCs w:val="28"/>
          <w:highlight w:val="none"/>
        </w:rPr>
      </w:pPr>
      <w:bookmarkStart w:id="875" w:name="_Toc23836"/>
      <w:bookmarkStart w:id="876" w:name="_Toc28685"/>
      <w:r>
        <w:rPr>
          <w:rFonts w:hint="eastAsia" w:ascii="宋体" w:hAnsi="宋体" w:cs="宋体"/>
          <w:color w:val="auto"/>
          <w:highlight w:val="none"/>
        </w:rPr>
        <w:br w:type="page"/>
      </w:r>
      <w:r>
        <w:rPr>
          <w:rFonts w:hint="eastAsia"/>
          <w:b/>
          <w:bCs/>
          <w:color w:val="auto"/>
          <w:sz w:val="24"/>
          <w:highlight w:val="none"/>
        </w:rPr>
        <w:t>（二）</w:t>
      </w:r>
      <w:r>
        <w:rPr>
          <w:rFonts w:hint="eastAsia" w:ascii="宋体" w:hAnsi="宋体" w:cs="宋体"/>
          <w:b/>
          <w:bCs/>
          <w:color w:val="auto"/>
          <w:sz w:val="24"/>
          <w:highlight w:val="none"/>
        </w:rPr>
        <w:t>代理服务费承诺函</w:t>
      </w: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致（采购人及采购代理机构）：</w:t>
      </w: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我们在贵公司组织的（采购项目名称： ，采购项目编号：    ）采购中若获成交，我们保证在成交公告发布后5个工作日内，按竞争性磋商文件的规定，以银行转账形式，向贵公司一次性支付代理服务费用（中标服务费或成交服务费），并且按照规定和业主签订合同。否则，由此产生的一切法律后果和责任由我公司承担。我公司声明放弃对此提出任何异议和追索的权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pPr>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firstLine="720" w:firstLineChars="300"/>
        <w:jc w:val="right"/>
        <w:rPr>
          <w:rFonts w:ascii="宋体" w:hAnsi="宋体" w:cs="宋体"/>
          <w:color w:val="auto"/>
          <w:kern w:val="0"/>
          <w:sz w:val="24"/>
          <w:highlight w:val="none"/>
        </w:rPr>
      </w:pPr>
      <w:r>
        <w:rPr>
          <w:rFonts w:hint="eastAsia" w:ascii="宋体" w:hAnsi="宋体" w:cs="宋体"/>
          <w:color w:val="auto"/>
          <w:kern w:val="0"/>
          <w:sz w:val="24"/>
          <w:highlight w:val="none"/>
        </w:rPr>
        <w:t>供应商名称（</w:t>
      </w:r>
      <w:r>
        <w:rPr>
          <w:rFonts w:hint="eastAsia" w:ascii="宋体" w:hAnsi="宋体" w:cs="宋体"/>
          <w:color w:val="auto"/>
          <w:sz w:val="24"/>
          <w:highlight w:val="none"/>
        </w:rPr>
        <w:t>企业电子签章或盖章</w:t>
      </w:r>
      <w:r>
        <w:rPr>
          <w:rFonts w:hint="eastAsia" w:ascii="宋体" w:hAnsi="宋体" w:cs="宋体"/>
          <w:color w:val="auto"/>
          <w:kern w:val="0"/>
          <w:sz w:val="24"/>
          <w:highlight w:val="none"/>
        </w:rPr>
        <w:t>）：</w:t>
      </w:r>
    </w:p>
    <w:p>
      <w:pPr>
        <w:spacing w:line="360" w:lineRule="auto"/>
        <w:jc w:val="right"/>
        <w:rPr>
          <w:rFonts w:ascii="宋体" w:hAnsi="宋体" w:cs="宋体"/>
          <w:b/>
          <w:color w:val="auto"/>
          <w:sz w:val="24"/>
          <w:highlight w:val="none"/>
        </w:rPr>
      </w:pPr>
      <w:r>
        <w:rPr>
          <w:rFonts w:hint="eastAsia" w:ascii="宋体" w:hAnsi="宋体" w:cs="宋体"/>
          <w:color w:val="auto"/>
          <w:kern w:val="0"/>
          <w:sz w:val="24"/>
          <w:highlight w:val="none"/>
        </w:rPr>
        <w:t>日      期：    年     月    日</w:t>
      </w:r>
    </w:p>
    <w:p>
      <w:pPr>
        <w:keepNext/>
        <w:tabs>
          <w:tab w:val="left" w:pos="4592"/>
        </w:tabs>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p>
    <w:p>
      <w:pPr>
        <w:keepNext/>
        <w:tabs>
          <w:tab w:val="left" w:pos="4592"/>
        </w:tabs>
        <w:spacing w:line="360" w:lineRule="auto"/>
        <w:jc w:val="center"/>
        <w:rPr>
          <w:b/>
          <w:bCs/>
          <w:color w:val="auto"/>
          <w:sz w:val="24"/>
          <w:highlight w:val="none"/>
        </w:rPr>
      </w:pPr>
      <w:r>
        <w:rPr>
          <w:rFonts w:hint="eastAsia"/>
          <w:b/>
          <w:bCs/>
          <w:color w:val="auto"/>
          <w:sz w:val="24"/>
          <w:highlight w:val="none"/>
        </w:rPr>
        <w:t>（三）竞争性磋商文件内容确认书</w:t>
      </w:r>
    </w:p>
    <w:p>
      <w:pPr>
        <w:spacing w:line="360" w:lineRule="auto"/>
        <w:rPr>
          <w:rFonts w:ascii="宋体" w:hAnsi="宋体" w:cs="宋体"/>
          <w:color w:val="auto"/>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致（采购人及采购代理机构）：</w:t>
      </w:r>
    </w:p>
    <w:p>
      <w:pPr>
        <w:pStyle w:val="49"/>
        <w:spacing w:line="360" w:lineRule="auto"/>
        <w:ind w:firstLine="240"/>
        <w:rPr>
          <w:color w:val="auto"/>
          <w:sz w:val="24"/>
          <w:szCs w:val="24"/>
          <w:highlight w:val="none"/>
          <w:lang w:eastAsia="zh-CN"/>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我单位已经详细阅读整个竞争性磋商文件的所有内容，对本竞争性磋商文件的所有内容没有任何异议，全部同意并接受且我单位保证在磋商活动结束后不再对本竞争性磋商文件的任何内容提出异议。</w:t>
      </w:r>
    </w:p>
    <w:p>
      <w:pPr>
        <w:spacing w:line="360" w:lineRule="auto"/>
        <w:jc w:val="left"/>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ind w:firstLine="720" w:firstLineChars="300"/>
        <w:jc w:val="right"/>
        <w:rPr>
          <w:rFonts w:ascii="宋体" w:hAnsi="宋体" w:cs="宋体"/>
          <w:color w:val="auto"/>
          <w:kern w:val="0"/>
          <w:sz w:val="24"/>
          <w:highlight w:val="none"/>
        </w:rPr>
      </w:pPr>
      <w:r>
        <w:rPr>
          <w:rFonts w:hint="eastAsia" w:ascii="宋体" w:hAnsi="宋体" w:cs="宋体"/>
          <w:color w:val="auto"/>
          <w:kern w:val="0"/>
          <w:sz w:val="24"/>
          <w:highlight w:val="none"/>
        </w:rPr>
        <w:t>供应商名称：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r>
        <w:rPr>
          <w:rFonts w:hint="eastAsia" w:ascii="宋体" w:hAnsi="宋体" w:cs="宋体"/>
          <w:color w:val="auto"/>
          <w:sz w:val="24"/>
          <w:highlight w:val="none"/>
        </w:rPr>
        <w:t>企业电子签章或盖章</w:t>
      </w:r>
      <w:r>
        <w:rPr>
          <w:rFonts w:hint="eastAsia" w:ascii="宋体" w:hAnsi="宋体" w:cs="宋体"/>
          <w:color w:val="auto"/>
          <w:kern w:val="0"/>
          <w:sz w:val="24"/>
          <w:highlight w:val="none"/>
        </w:rPr>
        <w:t>）</w:t>
      </w:r>
    </w:p>
    <w:p>
      <w:pPr>
        <w:spacing w:line="360" w:lineRule="auto"/>
        <w:jc w:val="right"/>
        <w:rPr>
          <w:rFonts w:ascii="宋体" w:hAnsi="宋体" w:cs="宋体"/>
          <w:b/>
          <w:color w:val="auto"/>
          <w:sz w:val="24"/>
          <w:highlight w:val="none"/>
        </w:rPr>
      </w:pPr>
      <w:r>
        <w:rPr>
          <w:rFonts w:hint="eastAsia" w:ascii="宋体" w:hAnsi="宋体" w:cs="宋体"/>
          <w:color w:val="auto"/>
          <w:kern w:val="0"/>
          <w:sz w:val="24"/>
          <w:highlight w:val="none"/>
        </w:rPr>
        <w:t>日      期：</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pStyle w:val="12"/>
        <w:spacing w:before="0" w:line="360" w:lineRule="auto"/>
        <w:rPr>
          <w:rFonts w:ascii="宋体" w:hAnsi="宋体" w:eastAsia="宋体" w:cs="宋体"/>
          <w:color w:val="auto"/>
          <w:highlight w:val="none"/>
        </w:rPr>
      </w:pPr>
      <w:r>
        <w:rPr>
          <w:rFonts w:hint="eastAsia" w:ascii="宋体" w:hAnsi="宋体" w:eastAsia="宋体" w:cs="宋体"/>
          <w:color w:val="auto"/>
          <w:highlight w:val="none"/>
        </w:rPr>
        <w:t>十、符合《政府采购促进中小企业发展管理办法》、《关于政府采购支持监狱企业发展有关问题的通知》和《三部门联合发布关于促进残疾人就业政府采购政策的通知》价格扣减条件的供应商须提交资料</w:t>
      </w:r>
      <w:bookmarkEnd w:id="875"/>
      <w:bookmarkEnd w:id="876"/>
    </w:p>
    <w:p>
      <w:pPr>
        <w:spacing w:line="400" w:lineRule="exact"/>
        <w:jc w:val="center"/>
        <w:outlineLvl w:val="3"/>
        <w:rPr>
          <w:rFonts w:ascii="宋体" w:hAnsi="宋体" w:cs="宋体"/>
          <w:b/>
          <w:color w:val="auto"/>
          <w:spacing w:val="10"/>
          <w:kern w:val="0"/>
          <w:sz w:val="24"/>
          <w:highlight w:val="none"/>
        </w:rPr>
      </w:pPr>
      <w:bookmarkStart w:id="877" w:name="_Toc515647823"/>
      <w:bookmarkStart w:id="878" w:name="_Toc532473511"/>
      <w:bookmarkStart w:id="879" w:name="_Toc10725"/>
      <w:bookmarkStart w:id="880" w:name="_Toc14934315"/>
      <w:bookmarkStart w:id="881" w:name="_Toc21312"/>
      <w:bookmarkStart w:id="882" w:name="_Toc4646"/>
      <w:bookmarkStart w:id="883" w:name="_Toc26726"/>
      <w:bookmarkStart w:id="884" w:name="_Toc14737"/>
      <w:r>
        <w:rPr>
          <w:rFonts w:hint="eastAsia" w:ascii="宋体" w:hAnsi="宋体" w:cs="宋体"/>
          <w:b/>
          <w:color w:val="auto"/>
          <w:kern w:val="0"/>
          <w:sz w:val="24"/>
          <w:highlight w:val="none"/>
        </w:rPr>
        <w:t xml:space="preserve">11-1 </w:t>
      </w:r>
      <w:r>
        <w:rPr>
          <w:rFonts w:hint="eastAsia" w:ascii="宋体" w:hAnsi="宋体" w:cs="宋体"/>
          <w:b/>
          <w:color w:val="auto"/>
          <w:sz w:val="24"/>
          <w:highlight w:val="none"/>
        </w:rPr>
        <w:t xml:space="preserve"> </w:t>
      </w:r>
      <w:bookmarkEnd w:id="877"/>
      <w:bookmarkEnd w:id="878"/>
      <w:bookmarkEnd w:id="879"/>
      <w:bookmarkEnd w:id="880"/>
      <w:bookmarkEnd w:id="881"/>
      <w:bookmarkStart w:id="885" w:name="_Toc14934316"/>
      <w:bookmarkStart w:id="886" w:name="_Toc532473512"/>
      <w:bookmarkStart w:id="887" w:name="_Toc11803"/>
      <w:bookmarkStart w:id="888" w:name="_Toc515647824"/>
      <w:bookmarkStart w:id="889" w:name="_Toc10977"/>
      <w:r>
        <w:rPr>
          <w:rFonts w:hint="eastAsia" w:ascii="宋体" w:hAnsi="宋体" w:cs="宋体"/>
          <w:b/>
          <w:color w:val="auto"/>
          <w:spacing w:val="10"/>
          <w:kern w:val="0"/>
          <w:sz w:val="24"/>
          <w:highlight w:val="none"/>
        </w:rPr>
        <w:t>中小企业声明函</w:t>
      </w:r>
      <w:bookmarkEnd w:id="882"/>
      <w:bookmarkEnd w:id="883"/>
      <w:bookmarkEnd w:id="884"/>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（供应商属于中小企业的填写，不属于的无需填写此项内容）</w:t>
      </w:r>
    </w:p>
    <w:p>
      <w:pPr>
        <w:autoSpaceDE w:val="0"/>
        <w:autoSpaceDN w:val="0"/>
        <w:adjustRightInd w:val="0"/>
        <w:spacing w:line="312" w:lineRule="auto"/>
        <w:ind w:firstLine="480" w:firstLineChars="200"/>
        <w:jc w:val="left"/>
        <w:rPr>
          <w:rFonts w:ascii="宋体" w:hAnsi="宋体" w:cs="宋体"/>
          <w:color w:val="auto"/>
          <w:sz w:val="24"/>
          <w:highlight w:val="none"/>
        </w:rPr>
      </w:pPr>
    </w:p>
    <w:p>
      <w:pPr>
        <w:autoSpaceDE w:val="0"/>
        <w:autoSpaceDN w:val="0"/>
        <w:adjustRightIn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和</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采购活动，提供的货物全部由符合政策要求的中小企业制造。相关企业（含联合体中的中小企业、签订分包意向协议的中小企业）的具体情况如下：</w:t>
      </w:r>
    </w:p>
    <w:p>
      <w:pPr>
        <w:numPr>
          <w:ilvl w:val="0"/>
          <w:numId w:val="28"/>
        </w:numPr>
        <w:autoSpaceDE w:val="0"/>
        <w:autoSpaceDN w:val="0"/>
        <w:adjustRightIn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（采购文件中明确的所属行业）行业</w:t>
      </w:r>
      <w:r>
        <w:rPr>
          <w:rFonts w:hint="eastAsia" w:ascii="宋体" w:hAnsi="宋体" w:cs="宋体"/>
          <w:color w:val="auto"/>
          <w:sz w:val="24"/>
          <w:highlight w:val="none"/>
        </w:rPr>
        <w:t>；制造商为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pPr>
        <w:numPr>
          <w:ilvl w:val="0"/>
          <w:numId w:val="28"/>
        </w:numPr>
        <w:autoSpaceDE w:val="0"/>
        <w:autoSpaceDN w:val="0"/>
        <w:adjustRightIn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（采购文件中明确的所属行业）行业</w:t>
      </w:r>
      <w:r>
        <w:rPr>
          <w:rFonts w:hint="eastAsia" w:ascii="宋体" w:hAnsi="宋体" w:cs="宋体"/>
          <w:color w:val="auto"/>
          <w:sz w:val="24"/>
          <w:highlight w:val="none"/>
        </w:rPr>
        <w:t>；制造商为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pPr>
        <w:autoSpaceDE w:val="0"/>
        <w:autoSpaceDN w:val="0"/>
        <w:adjustRightIn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pPr>
        <w:autoSpaceDE w:val="0"/>
        <w:autoSpaceDN w:val="0"/>
        <w:adjustRightIn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本企业对上述声明内容的真实性负责。如有虚假，将依法承担相应责任。 </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pacing w:line="480" w:lineRule="auto"/>
        <w:jc w:val="left"/>
        <w:rPr>
          <w:rFonts w:ascii="宋体" w:hAnsi="宋体" w:cs="宋体"/>
          <w:color w:val="auto"/>
          <w:sz w:val="24"/>
          <w:highlight w:val="none"/>
        </w:rPr>
      </w:pPr>
      <w:r>
        <w:rPr>
          <w:rFonts w:hint="eastAsia" w:ascii="宋体" w:hAnsi="宋体" w:cs="宋体"/>
          <w:color w:val="auto"/>
          <w:kern w:val="1"/>
          <w:sz w:val="24"/>
          <w:highlight w:val="none"/>
        </w:rPr>
        <w:t>日期： ___年____月_____日</w:t>
      </w:r>
    </w:p>
    <w:p>
      <w:pPr>
        <w:spacing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从业人员、营业收入、资产总额填报上一年度数据，无上一年度数据的新成立企业可不填报。</w:t>
      </w:r>
    </w:p>
    <w:p>
      <w:pPr>
        <w:spacing w:line="360" w:lineRule="auto"/>
        <w:jc w:val="left"/>
        <w:rPr>
          <w:rFonts w:ascii="宋体" w:hAnsi="宋体" w:cs="宋体"/>
          <w:color w:val="auto"/>
          <w:sz w:val="24"/>
          <w:highlight w:val="none"/>
        </w:rPr>
      </w:pPr>
    </w:p>
    <w:p>
      <w:pPr>
        <w:pStyle w:val="14"/>
        <w:spacing w:before="0" w:line="360" w:lineRule="auto"/>
        <w:jc w:val="center"/>
        <w:rPr>
          <w:rFonts w:ascii="宋体" w:hAnsi="宋体" w:eastAsia="宋体" w:cs="宋体"/>
          <w:color w:val="auto"/>
          <w:kern w:val="0"/>
          <w:sz w:val="24"/>
          <w:szCs w:val="24"/>
          <w:highlight w:val="none"/>
        </w:rPr>
      </w:pPr>
      <w:bookmarkStart w:id="890" w:name="_Toc4326"/>
      <w:bookmarkStart w:id="891" w:name="_Toc19533"/>
      <w:bookmarkStart w:id="892" w:name="_Toc20278"/>
      <w:r>
        <w:rPr>
          <w:rFonts w:hint="eastAsia" w:ascii="宋体" w:hAnsi="宋体" w:eastAsia="宋体" w:cs="宋体"/>
          <w:color w:val="auto"/>
          <w:kern w:val="0"/>
          <w:sz w:val="24"/>
          <w:szCs w:val="24"/>
          <w:highlight w:val="none"/>
        </w:rPr>
        <w:t>11-2  供应商监狱企业声明函</w:t>
      </w:r>
      <w:bookmarkEnd w:id="885"/>
      <w:bookmarkEnd w:id="886"/>
      <w:bookmarkEnd w:id="890"/>
      <w:bookmarkEnd w:id="891"/>
      <w:bookmarkEnd w:id="892"/>
    </w:p>
    <w:p>
      <w:pPr>
        <w:rPr>
          <w:rFonts w:ascii="宋体" w:hAnsi="宋体" w:cs="宋体"/>
          <w:color w:val="auto"/>
          <w:sz w:val="24"/>
          <w:highlight w:val="none"/>
        </w:rPr>
      </w:pPr>
    </w:p>
    <w:p>
      <w:pPr>
        <w:widowControl/>
        <w:spacing w:before="100" w:beforeAutospacing="1" w:after="100" w:afterAutospacing="1"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本企业（单位）郑重声明下列事项（按照实际情况勾选或填空）：</w:t>
      </w:r>
    </w:p>
    <w:p>
      <w:pPr>
        <w:widowControl/>
        <w:spacing w:before="100" w:beforeAutospacing="1" w:after="100" w:afterAutospacing="1" w:line="360" w:lineRule="auto"/>
        <w:ind w:firstLine="360" w:firstLineChars="150"/>
        <w:jc w:val="left"/>
        <w:rPr>
          <w:rFonts w:ascii="宋体" w:hAnsi="宋体" w:cs="宋体"/>
          <w:color w:val="auto"/>
          <w:kern w:val="0"/>
          <w:sz w:val="24"/>
          <w:highlight w:val="none"/>
        </w:rPr>
      </w:pPr>
      <w:r>
        <w:rPr>
          <w:rFonts w:hint="eastAsia" w:ascii="宋体" w:hAnsi="宋体" w:cs="宋体"/>
          <w:color w:val="auto"/>
          <w:kern w:val="0"/>
          <w:sz w:val="24"/>
          <w:highlight w:val="none"/>
        </w:rPr>
        <w:t>（1）本企业（单位）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（2）本企业（单位）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widowControl/>
        <w:spacing w:before="100" w:beforeAutospacing="1" w:after="100" w:afterAutospacing="1" w:line="360" w:lineRule="auto"/>
        <w:ind w:firstLine="475"/>
        <w:jc w:val="left"/>
        <w:rPr>
          <w:rFonts w:ascii="宋体" w:hAnsi="宋体" w:cs="宋体"/>
          <w:color w:val="auto"/>
          <w:kern w:val="0"/>
          <w:sz w:val="24"/>
          <w:highlight w:val="none"/>
        </w:rPr>
      </w:pPr>
      <w:r>
        <w:rPr>
          <w:rFonts w:hint="eastAsia" w:ascii="宋体" w:hAnsi="宋体" w:cs="宋体"/>
          <w:color w:val="auto"/>
          <w:kern w:val="0"/>
          <w:sz w:val="24"/>
          <w:highlight w:val="none"/>
        </w:rPr>
        <w:t>本企业（单位）对上述声明的真实性负责。如有虚假，将依法承担相应责任。</w:t>
      </w:r>
    </w:p>
    <w:p>
      <w:pPr>
        <w:widowControl/>
        <w:spacing w:before="100" w:beforeAutospacing="1" w:after="100" w:afterAutospacing="1"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100" w:beforeAutospacing="1" w:after="100" w:afterAutospacing="1" w:line="360" w:lineRule="auto"/>
        <w:jc w:val="left"/>
        <w:rPr>
          <w:rFonts w:ascii="宋体" w:hAnsi="宋体" w:cs="宋体"/>
          <w:color w:val="auto"/>
          <w:kern w:val="0"/>
          <w:sz w:val="24"/>
          <w:highlight w:val="none"/>
        </w:rPr>
      </w:pP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pacing w:line="480" w:lineRule="auto"/>
        <w:jc w:val="left"/>
        <w:rPr>
          <w:rFonts w:ascii="宋体" w:hAnsi="宋体" w:cs="宋体"/>
          <w:color w:val="auto"/>
          <w:sz w:val="24"/>
          <w:highlight w:val="none"/>
        </w:rPr>
      </w:pPr>
      <w:r>
        <w:rPr>
          <w:rFonts w:hint="eastAsia" w:ascii="宋体" w:hAnsi="宋体" w:cs="宋体"/>
          <w:color w:val="auto"/>
          <w:kern w:val="1"/>
          <w:sz w:val="24"/>
          <w:highlight w:val="none"/>
        </w:rPr>
        <w:t>日期： ____年____月_____日</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jc w:val="center"/>
        <w:rPr>
          <w:rFonts w:ascii="宋体" w:hAnsi="宋体" w:cs="宋体"/>
          <w:color w:val="auto"/>
          <w:sz w:val="24"/>
          <w:highlight w:val="none"/>
        </w:rPr>
      </w:pPr>
      <w:r>
        <w:rPr>
          <w:rFonts w:hint="eastAsia" w:ascii="宋体" w:hAnsi="宋体" w:cs="宋体"/>
          <w:b/>
          <w:color w:val="auto"/>
          <w:sz w:val="24"/>
          <w:highlight w:val="none"/>
        </w:rPr>
        <w:t>说明：符合要求的单位，按照上述格式进行填写；不属于监狱企业的不需要提供。</w:t>
      </w:r>
    </w:p>
    <w:p>
      <w:pPr>
        <w:widowControl/>
        <w:spacing w:before="100" w:beforeAutospacing="1" w:after="100" w:afterAutospacing="1" w:line="360" w:lineRule="auto"/>
        <w:jc w:val="center"/>
        <w:outlineLvl w:val="3"/>
        <w:rPr>
          <w:rFonts w:ascii="宋体" w:hAnsi="宋体" w:cs="宋体"/>
          <w:color w:val="auto"/>
          <w:kern w:val="0"/>
          <w:sz w:val="24"/>
          <w:highlight w:val="none"/>
        </w:rPr>
      </w:pPr>
      <w:r>
        <w:rPr>
          <w:rFonts w:hint="eastAsia" w:ascii="宋体" w:hAnsi="宋体" w:cs="宋体"/>
          <w:color w:val="auto"/>
          <w:sz w:val="24"/>
          <w:highlight w:val="none"/>
        </w:rPr>
        <w:br w:type="page"/>
      </w:r>
      <w:bookmarkStart w:id="893" w:name="_Toc21490"/>
      <w:bookmarkStart w:id="894" w:name="_Toc17512"/>
      <w:bookmarkStart w:id="895" w:name="_Toc532473513"/>
      <w:bookmarkStart w:id="896" w:name="_Toc14934317"/>
      <w:bookmarkStart w:id="897" w:name="_Toc5019"/>
      <w:r>
        <w:rPr>
          <w:rFonts w:hint="eastAsia" w:ascii="宋体" w:hAnsi="宋体" w:cs="宋体"/>
          <w:b/>
          <w:bCs/>
          <w:color w:val="auto"/>
          <w:kern w:val="0"/>
          <w:sz w:val="24"/>
          <w:highlight w:val="none"/>
        </w:rPr>
        <w:t>11-3  残疾人福利性单位声明函</w:t>
      </w:r>
      <w:bookmarkEnd w:id="893"/>
      <w:bookmarkEnd w:id="894"/>
      <w:bookmarkEnd w:id="895"/>
      <w:bookmarkEnd w:id="896"/>
      <w:bookmarkEnd w:id="897"/>
    </w:p>
    <w:p>
      <w:pPr>
        <w:pStyle w:val="4"/>
        <w:rPr>
          <w:rFonts w:ascii="宋体" w:hAnsi="宋体" w:cs="宋体"/>
          <w:color w:val="auto"/>
          <w:sz w:val="24"/>
          <w:szCs w:val="24"/>
          <w:highlight w:val="none"/>
        </w:rPr>
      </w:pPr>
    </w:p>
    <w:p>
      <w:pPr>
        <w:spacing w:line="480" w:lineRule="auto"/>
        <w:ind w:firstLine="567"/>
        <w:rPr>
          <w:rFonts w:ascii="宋体" w:hAnsi="宋体" w:cs="宋体"/>
          <w:color w:val="auto"/>
          <w:kern w:val="0"/>
          <w:sz w:val="24"/>
          <w:highlight w:val="none"/>
        </w:rPr>
      </w:pPr>
      <w:r>
        <w:rPr>
          <w:rFonts w:hint="eastAsia" w:ascii="宋体" w:hAnsi="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单位的_____项目采购活动提供本单位制造的货物（由本单位承担工程/提供服务），或者提供其他残疾人福利性单位制造的货物（不包括使用非残疾人福利性单位注册商标的货物）。</w:t>
      </w:r>
    </w:p>
    <w:p>
      <w:pPr>
        <w:spacing w:line="480" w:lineRule="auto"/>
        <w:ind w:left="1080" w:leftChars="257" w:hanging="540"/>
        <w:rPr>
          <w:rFonts w:ascii="宋体" w:hAnsi="宋体" w:cs="宋体"/>
          <w:color w:val="auto"/>
          <w:kern w:val="0"/>
          <w:sz w:val="24"/>
          <w:highlight w:val="none"/>
        </w:rPr>
      </w:pPr>
      <w:r>
        <w:rPr>
          <w:rFonts w:hint="eastAsia" w:ascii="宋体" w:hAnsi="宋体" w:cs="宋体"/>
          <w:color w:val="auto"/>
          <w:kern w:val="0"/>
          <w:sz w:val="24"/>
          <w:highlight w:val="none"/>
        </w:rPr>
        <w:t>本单位对上述声明的真实性负责。如有虚假，将依法承担相应责任。</w:t>
      </w:r>
    </w:p>
    <w:p>
      <w:pPr>
        <w:spacing w:line="480" w:lineRule="auto"/>
        <w:ind w:left="1080" w:leftChars="257" w:hanging="540"/>
        <w:jc w:val="center"/>
        <w:rPr>
          <w:rFonts w:ascii="宋体" w:hAnsi="宋体" w:cs="宋体"/>
          <w:color w:val="auto"/>
          <w:kern w:val="0"/>
          <w:sz w:val="24"/>
          <w:highlight w:val="none"/>
        </w:rPr>
      </w:pPr>
    </w:p>
    <w:p>
      <w:pPr>
        <w:spacing w:line="480" w:lineRule="auto"/>
        <w:ind w:left="1080" w:leftChars="257" w:hanging="540"/>
        <w:jc w:val="center"/>
        <w:rPr>
          <w:rFonts w:ascii="宋体" w:hAnsi="宋体" w:cs="宋体"/>
          <w:color w:val="auto"/>
          <w:kern w:val="0"/>
          <w:sz w:val="24"/>
          <w:highlight w:val="none"/>
        </w:rPr>
      </w:pP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pacing w:line="480" w:lineRule="auto"/>
        <w:jc w:val="left"/>
        <w:rPr>
          <w:rFonts w:ascii="宋体" w:hAnsi="宋体" w:cs="宋体"/>
          <w:color w:val="auto"/>
          <w:sz w:val="24"/>
          <w:highlight w:val="none"/>
        </w:rPr>
      </w:pPr>
      <w:r>
        <w:rPr>
          <w:rFonts w:hint="eastAsia" w:ascii="宋体" w:hAnsi="宋体" w:cs="宋体"/>
          <w:color w:val="auto"/>
          <w:kern w:val="1"/>
          <w:sz w:val="24"/>
          <w:highlight w:val="none"/>
        </w:rPr>
        <w:t>日期： ____年____月_____日</w:t>
      </w:r>
    </w:p>
    <w:p>
      <w:pPr>
        <w:widowControl/>
        <w:spacing w:before="100" w:beforeAutospacing="1" w:after="100" w:afterAutospacing="1" w:line="480" w:lineRule="auto"/>
        <w:ind w:firstLine="3720" w:firstLineChars="1550"/>
        <w:jc w:val="left"/>
        <w:rPr>
          <w:rFonts w:ascii="宋体" w:hAnsi="宋体" w:cs="宋体"/>
          <w:color w:val="auto"/>
          <w:kern w:val="0"/>
          <w:sz w:val="24"/>
          <w:highlight w:val="none"/>
          <w:u w:val="single"/>
        </w:rPr>
      </w:pPr>
    </w:p>
    <w:p>
      <w:pPr>
        <w:spacing w:line="360" w:lineRule="auto"/>
        <w:ind w:left="645" w:leftChars="307" w:firstLine="3480" w:firstLineChars="1450"/>
        <w:rPr>
          <w:rFonts w:ascii="宋体" w:hAnsi="宋体" w:cs="宋体"/>
          <w:color w:val="auto"/>
          <w:kern w:val="0"/>
          <w:sz w:val="24"/>
          <w:highlight w:val="none"/>
          <w:u w:val="single"/>
        </w:rPr>
      </w:pPr>
    </w:p>
    <w:bookmarkEnd w:id="887"/>
    <w:bookmarkEnd w:id="888"/>
    <w:bookmarkEnd w:id="889"/>
    <w:p>
      <w:pPr>
        <w:spacing w:line="360" w:lineRule="auto"/>
        <w:rPr>
          <w:rFonts w:ascii="宋体" w:hAnsi="宋体" w:cs="宋体"/>
          <w:b/>
          <w:color w:val="auto"/>
          <w:sz w:val="24"/>
          <w:highlight w:val="none"/>
        </w:rPr>
      </w:pPr>
      <w:bookmarkStart w:id="898" w:name="_Toc515647827"/>
      <w:bookmarkStart w:id="899" w:name="_Toc30795"/>
      <w:bookmarkStart w:id="900" w:name="_Toc14934319"/>
      <w:bookmarkStart w:id="901" w:name="_Toc532473515"/>
      <w:bookmarkStart w:id="902" w:name="_Toc28099"/>
      <w:r>
        <w:rPr>
          <w:rFonts w:hint="eastAsia" w:ascii="宋体" w:hAnsi="宋体" w:cs="宋体"/>
          <w:b/>
          <w:color w:val="auto"/>
          <w:sz w:val="24"/>
          <w:highlight w:val="none"/>
        </w:rPr>
        <w:t>说明：符合要求的单位，按照上述格式进行填写并提供相关证明材料；不属于残疾人福利性单位的不需要提供。</w:t>
      </w:r>
    </w:p>
    <w:p>
      <w:pPr>
        <w:pStyle w:val="45"/>
        <w:shd w:val="clear" w:color="auto" w:fill="FFFFFF"/>
        <w:spacing w:before="0" w:beforeAutospacing="0" w:after="0" w:afterAutospacing="0" w:line="360" w:lineRule="auto"/>
        <w:jc w:val="center"/>
        <w:rPr>
          <w:rFonts w:cs="宋体"/>
          <w:b/>
          <w:bCs/>
          <w:color w:val="auto"/>
          <w:spacing w:val="8"/>
          <w:szCs w:val="24"/>
          <w:highlight w:val="none"/>
          <w:shd w:val="clear" w:color="auto" w:fill="FFFFFF"/>
        </w:rPr>
      </w:pPr>
      <w:r>
        <w:rPr>
          <w:rFonts w:hint="eastAsia" w:cs="宋体"/>
          <w:color w:val="auto"/>
          <w:szCs w:val="24"/>
          <w:highlight w:val="none"/>
        </w:rPr>
        <w:br w:type="page"/>
      </w:r>
      <w:r>
        <w:rPr>
          <w:rFonts w:hint="eastAsia" w:cs="宋体"/>
          <w:b/>
          <w:bCs/>
          <w:color w:val="auto"/>
          <w:spacing w:val="8"/>
          <w:szCs w:val="24"/>
          <w:highlight w:val="none"/>
          <w:shd w:val="clear" w:color="auto" w:fill="FFFFFF"/>
        </w:rPr>
        <w:t>工信部联企业[2011]300号 大中小微型企业划分标准</w:t>
      </w:r>
    </w:p>
    <w:tbl>
      <w:tblPr>
        <w:tblStyle w:val="50"/>
        <w:tblW w:w="4996" w:type="pct"/>
        <w:jc w:val="center"/>
        <w:shd w:val="clear" w:color="auto" w:fill="FFFFFF"/>
        <w:tblLayout w:type="autofit"/>
        <w:tblCellMar>
          <w:top w:w="0" w:type="dxa"/>
          <w:left w:w="0" w:type="dxa"/>
          <w:bottom w:w="0" w:type="dxa"/>
          <w:right w:w="0" w:type="dxa"/>
        </w:tblCellMar>
      </w:tblPr>
      <w:tblGrid>
        <w:gridCol w:w="1602"/>
        <w:gridCol w:w="1641"/>
        <w:gridCol w:w="827"/>
        <w:gridCol w:w="1094"/>
        <w:gridCol w:w="1648"/>
        <w:gridCol w:w="1386"/>
        <w:gridCol w:w="963"/>
      </w:tblGrid>
      <w:tr>
        <w:tblPrEx>
          <w:shd w:val="clear" w:color="auto" w:fill="FFFFFF"/>
          <w:tblCellMar>
            <w:top w:w="0" w:type="dxa"/>
            <w:left w:w="0" w:type="dxa"/>
            <w:bottom w:w="0" w:type="dxa"/>
            <w:right w:w="0" w:type="dxa"/>
          </w:tblCellMar>
        </w:tblPrEx>
        <w:trPr>
          <w:trHeight w:val="615" w:hRule="atLeast"/>
          <w:jc w:val="center"/>
        </w:trPr>
        <w:tc>
          <w:tcPr>
            <w:tcW w:w="874" w:type="pct"/>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Style w:val="53"/>
                <w:rFonts w:hint="eastAsia" w:cs="宋体"/>
                <w:color w:val="auto"/>
                <w:spacing w:val="8"/>
                <w:szCs w:val="24"/>
                <w:highlight w:val="none"/>
              </w:rPr>
              <w:t>行业名称</w:t>
            </w:r>
          </w:p>
        </w:tc>
        <w:tc>
          <w:tcPr>
            <w:tcW w:w="895" w:type="pct"/>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Style w:val="53"/>
                <w:rFonts w:hint="eastAsia" w:cs="宋体"/>
                <w:color w:val="auto"/>
                <w:spacing w:val="8"/>
                <w:szCs w:val="24"/>
                <w:highlight w:val="none"/>
              </w:rPr>
              <w:t>指标名称</w:t>
            </w:r>
          </w:p>
        </w:tc>
        <w:tc>
          <w:tcPr>
            <w:tcW w:w="451" w:type="pct"/>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Style w:val="53"/>
                <w:rFonts w:hint="eastAsia" w:cs="宋体"/>
                <w:color w:val="auto"/>
                <w:spacing w:val="8"/>
                <w:szCs w:val="24"/>
                <w:highlight w:val="none"/>
              </w:rPr>
              <w:t>计量单位</w:t>
            </w:r>
          </w:p>
        </w:tc>
        <w:tc>
          <w:tcPr>
            <w:tcW w:w="597" w:type="pct"/>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Style w:val="53"/>
                <w:rFonts w:hint="eastAsia" w:cs="宋体"/>
                <w:color w:val="auto"/>
                <w:spacing w:val="8"/>
                <w:szCs w:val="24"/>
                <w:highlight w:val="none"/>
              </w:rPr>
              <w:t>大型</w:t>
            </w:r>
          </w:p>
        </w:tc>
        <w:tc>
          <w:tcPr>
            <w:tcW w:w="899" w:type="pct"/>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Style w:val="53"/>
                <w:rFonts w:hint="eastAsia" w:cs="宋体"/>
                <w:color w:val="auto"/>
                <w:spacing w:val="8"/>
                <w:szCs w:val="24"/>
                <w:highlight w:val="none"/>
              </w:rPr>
              <w:t>中型</w:t>
            </w:r>
          </w:p>
        </w:tc>
        <w:tc>
          <w:tcPr>
            <w:tcW w:w="756" w:type="pct"/>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Style w:val="53"/>
                <w:rFonts w:hint="eastAsia" w:cs="宋体"/>
                <w:color w:val="auto"/>
                <w:spacing w:val="8"/>
                <w:szCs w:val="24"/>
                <w:highlight w:val="none"/>
              </w:rPr>
              <w:t>小型</w:t>
            </w:r>
          </w:p>
        </w:tc>
        <w:tc>
          <w:tcPr>
            <w:tcW w:w="525" w:type="pct"/>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Style w:val="53"/>
                <w:rFonts w:hint="eastAsia" w:cs="宋体"/>
                <w:color w:val="auto"/>
                <w:spacing w:val="8"/>
                <w:szCs w:val="24"/>
                <w:highlight w:val="none"/>
              </w:rPr>
              <w:t>微型</w:t>
            </w:r>
          </w:p>
        </w:tc>
      </w:tr>
      <w:tr>
        <w:tblPrEx>
          <w:shd w:val="clear" w:color="auto" w:fill="FFFFFF"/>
          <w:tblCellMar>
            <w:top w:w="0" w:type="dxa"/>
            <w:left w:w="0" w:type="dxa"/>
            <w:bottom w:w="0" w:type="dxa"/>
            <w:right w:w="0" w:type="dxa"/>
          </w:tblCellMar>
        </w:tblPrEx>
        <w:trPr>
          <w:trHeight w:val="390" w:hRule="atLeast"/>
          <w:jc w:val="center"/>
        </w:trPr>
        <w:tc>
          <w:tcPr>
            <w:tcW w:w="874" w:type="pct"/>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农、林、牧、渔业</w:t>
            </w: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Y≥20000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500≤Y＜20000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50≤Y＜500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Y＜50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工业 *</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300≤X＜1000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20≤X＜300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X＜20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Y≥40000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2000≤Y＜40000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300≤Y＜2000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Y＜300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建筑业</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Y≥80000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6000≤Y＜80000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300≤Y＜6000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Y＜300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资产总额(Z)</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Z≥80000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5000≤Z＜80000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300≤Z＜5000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Z＜300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批发业</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X≥200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20≤X＜200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5≤X＜20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X＜5</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Y≥40000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5000≤Y＜40000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1000≤Y＜5000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零售业</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X≥300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50≤X＜300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10≤X＜50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Y≥20000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500≤Y＜20000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100≤Y＜500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交通运输业 *</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300≤X＜1000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20≤X＜300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X＜20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Y≥30000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3000≤Y＜30000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200≤Y＜3000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Y＜200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仓储业*</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X≥200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100≤X＜200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20≤X＜100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X＜20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Y≥30000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1000≤Y＜30000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100≤Y＜1000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邮政业</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300≤X＜1000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20≤X＜300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X＜20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Y≥30000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2000≤Y＜30000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100≤Y＜2000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住宿业</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X≥300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100≤X＜300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10≤X＜100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2000≤Y＜10000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100≤Y＜2000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餐饮业</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X≥300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100≤X＜300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10≤X＜100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2000≤Y＜10000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100≤Y＜2000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信息传输业 *</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X≥2000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100≤X＜2000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10≤X＜100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1000≤Y＜100000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100≤Y＜1000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w:t>
            </w:r>
          </w:p>
        </w:tc>
      </w:tr>
      <w:tr>
        <w:tblPrEx>
          <w:tblCellMar>
            <w:top w:w="0" w:type="dxa"/>
            <w:left w:w="0" w:type="dxa"/>
            <w:bottom w:w="0" w:type="dxa"/>
            <w:right w:w="0" w:type="dxa"/>
          </w:tblCellMar>
        </w:tblPrEx>
        <w:trPr>
          <w:trHeight w:val="345"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both"/>
              <w:rPr>
                <w:rFonts w:cs="宋体"/>
                <w:color w:val="auto"/>
                <w:szCs w:val="24"/>
                <w:highlight w:val="none"/>
              </w:rPr>
            </w:pPr>
            <w:r>
              <w:rPr>
                <w:rFonts w:hint="eastAsia" w:cs="宋体"/>
                <w:color w:val="auto"/>
                <w:spacing w:val="-15"/>
                <w:szCs w:val="24"/>
                <w:highlight w:val="none"/>
              </w:rPr>
              <w:t>软件和信息技术服</w:t>
            </w:r>
            <w:r>
              <w:rPr>
                <w:rFonts w:hint="eastAsia" w:cs="宋体"/>
                <w:color w:val="auto"/>
                <w:spacing w:val="8"/>
                <w:szCs w:val="24"/>
                <w:highlight w:val="none"/>
              </w:rPr>
              <w:t>务业</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X≥300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100≤X＜300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10≤X＜100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w:t>
            </w:r>
          </w:p>
        </w:tc>
      </w:tr>
      <w:tr>
        <w:tblPrEx>
          <w:tblCellMar>
            <w:top w:w="0" w:type="dxa"/>
            <w:left w:w="0" w:type="dxa"/>
            <w:bottom w:w="0" w:type="dxa"/>
            <w:right w:w="0" w:type="dxa"/>
          </w:tblCellMar>
        </w:tblPrEx>
        <w:trPr>
          <w:trHeight w:val="345"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1000≤Y＜10000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50≤Y＜1000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Y＜50</w:t>
            </w:r>
          </w:p>
        </w:tc>
      </w:tr>
      <w:tr>
        <w:tblPrEx>
          <w:tblCellMar>
            <w:top w:w="0" w:type="dxa"/>
            <w:left w:w="0" w:type="dxa"/>
            <w:bottom w:w="0" w:type="dxa"/>
            <w:right w:w="0" w:type="dxa"/>
          </w:tblCellMar>
        </w:tblPrEx>
        <w:trPr>
          <w:trHeight w:val="345"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房地产开发经营</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Y≥200000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1000≤Y＜200000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100≤Y＜1000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w:t>
            </w:r>
          </w:p>
        </w:tc>
      </w:tr>
      <w:tr>
        <w:tblPrEx>
          <w:tblCellMar>
            <w:top w:w="0" w:type="dxa"/>
            <w:left w:w="0" w:type="dxa"/>
            <w:bottom w:w="0" w:type="dxa"/>
            <w:right w:w="0" w:type="dxa"/>
          </w:tblCellMar>
        </w:tblPrEx>
        <w:trPr>
          <w:trHeight w:val="345"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资产总额(Z)</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Z≥10000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5000≤Z＜10000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2000≤Z＜5000   </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Z＜2000</w:t>
            </w:r>
          </w:p>
        </w:tc>
      </w:tr>
      <w:tr>
        <w:tblPrEx>
          <w:shd w:val="clear" w:color="auto" w:fill="FFFFFF"/>
          <w:tblCellMar>
            <w:top w:w="0" w:type="dxa"/>
            <w:left w:w="0" w:type="dxa"/>
            <w:bottom w:w="0" w:type="dxa"/>
            <w:right w:w="0" w:type="dxa"/>
          </w:tblCellMar>
        </w:tblPrEx>
        <w:trPr>
          <w:trHeight w:val="345"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物业管理</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300≤X＜1000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100≤X＜300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X＜100</w:t>
            </w:r>
          </w:p>
        </w:tc>
      </w:tr>
      <w:tr>
        <w:tblPrEx>
          <w:shd w:val="clear" w:color="auto" w:fill="FFFFFF"/>
          <w:tblCellMar>
            <w:top w:w="0" w:type="dxa"/>
            <w:left w:w="0" w:type="dxa"/>
            <w:bottom w:w="0" w:type="dxa"/>
            <w:right w:w="0" w:type="dxa"/>
          </w:tblCellMar>
        </w:tblPrEx>
        <w:trPr>
          <w:trHeight w:val="345"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Y≥5000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1000≤Y＜5000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500≤Y＜1000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Y＜500</w:t>
            </w:r>
          </w:p>
        </w:tc>
      </w:tr>
      <w:tr>
        <w:tblPrEx>
          <w:shd w:val="clear" w:color="auto" w:fill="FFFFFF"/>
          <w:tblCellMar>
            <w:top w:w="0" w:type="dxa"/>
            <w:left w:w="0" w:type="dxa"/>
            <w:bottom w:w="0" w:type="dxa"/>
            <w:right w:w="0" w:type="dxa"/>
          </w:tblCellMar>
        </w:tblPrEx>
        <w:trPr>
          <w:trHeight w:val="345"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租赁和商务服务业</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X≥300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100≤X＜300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10≤X＜100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w:t>
            </w:r>
          </w:p>
        </w:tc>
      </w:tr>
      <w:tr>
        <w:tblPrEx>
          <w:shd w:val="clear" w:color="auto" w:fill="FFFFFF"/>
          <w:tblCellMar>
            <w:top w:w="0" w:type="dxa"/>
            <w:left w:w="0" w:type="dxa"/>
            <w:bottom w:w="0" w:type="dxa"/>
            <w:right w:w="0" w:type="dxa"/>
          </w:tblCellMar>
        </w:tblPrEx>
        <w:trPr>
          <w:trHeight w:val="345"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资产总额(Z)</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Z≥120000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8000≤Z＜120000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100≤Z＜8000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Z＜100</w:t>
            </w:r>
          </w:p>
        </w:tc>
      </w:tr>
      <w:tr>
        <w:tblPrEx>
          <w:shd w:val="clear" w:color="auto" w:fill="FFFFFF"/>
          <w:tblCellMar>
            <w:top w:w="0" w:type="dxa"/>
            <w:left w:w="0" w:type="dxa"/>
            <w:bottom w:w="0" w:type="dxa"/>
            <w:right w:w="0" w:type="dxa"/>
          </w:tblCellMar>
        </w:tblPrEx>
        <w:trPr>
          <w:trHeight w:val="390" w:hRule="atLeast"/>
          <w:jc w:val="center"/>
        </w:trPr>
        <w:tc>
          <w:tcPr>
            <w:tcW w:w="874" w:type="pc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其他未列明行业 *</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X≥300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100≤X＜300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10≤X＜100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5"/>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w:t>
            </w:r>
          </w:p>
        </w:tc>
      </w:tr>
    </w:tbl>
    <w:p>
      <w:pPr>
        <w:spacing w:line="360" w:lineRule="auto"/>
        <w:rPr>
          <w:rFonts w:ascii="宋体" w:hAnsi="宋体" w:cs="宋体"/>
          <w:color w:val="auto"/>
          <w:spacing w:val="15"/>
          <w:sz w:val="24"/>
          <w:highlight w:val="none"/>
        </w:rPr>
      </w:pPr>
    </w:p>
    <w:p>
      <w:pPr>
        <w:spacing w:line="360" w:lineRule="auto"/>
        <w:ind w:firstLine="540" w:firstLineChars="200"/>
        <w:rPr>
          <w:rFonts w:ascii="宋体" w:hAnsi="宋体" w:cs="宋体"/>
          <w:color w:val="auto"/>
          <w:spacing w:val="15"/>
          <w:sz w:val="24"/>
          <w:highlight w:val="none"/>
        </w:rPr>
      </w:pPr>
      <w:r>
        <w:rPr>
          <w:rFonts w:hint="eastAsia" w:ascii="宋体" w:hAnsi="宋体" w:cs="宋体"/>
          <w:color w:val="auto"/>
          <w:spacing w:val="15"/>
          <w:sz w:val="24"/>
          <w:highlight w:val="none"/>
        </w:rPr>
        <w:t>说明：1.大型、中型和小型企业须同时满足所列指标的下限，否则下划一档；微型企业只须满足所列指标中的一项即可。</w:t>
      </w:r>
    </w:p>
    <w:p>
      <w:pPr>
        <w:numPr>
          <w:ilvl w:val="0"/>
          <w:numId w:val="29"/>
        </w:numPr>
        <w:spacing w:line="360" w:lineRule="auto"/>
        <w:ind w:firstLine="540" w:firstLineChars="200"/>
        <w:rPr>
          <w:rFonts w:ascii="宋体" w:hAnsi="宋体" w:cs="宋体"/>
          <w:color w:val="auto"/>
          <w:spacing w:val="15"/>
          <w:sz w:val="24"/>
          <w:highlight w:val="none"/>
        </w:rPr>
      </w:pPr>
      <w:r>
        <w:rPr>
          <w:rFonts w:hint="eastAsia" w:ascii="宋体" w:hAnsi="宋体" w:cs="宋体"/>
          <w:color w:val="auto"/>
          <w:spacing w:val="15"/>
          <w:sz w:val="24"/>
          <w:highlight w:val="none"/>
        </w:rPr>
        <w:t>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numPr>
          <w:ilvl w:val="0"/>
          <w:numId w:val="29"/>
        </w:numPr>
        <w:spacing w:line="360" w:lineRule="auto"/>
        <w:ind w:firstLine="540" w:firstLineChars="200"/>
        <w:rPr>
          <w:rFonts w:ascii="宋体" w:hAnsi="宋体" w:cs="宋体"/>
          <w:color w:val="auto"/>
          <w:spacing w:val="15"/>
          <w:sz w:val="24"/>
          <w:highlight w:val="none"/>
        </w:rPr>
      </w:pPr>
      <w:r>
        <w:rPr>
          <w:rFonts w:hint="eastAsia" w:ascii="宋体" w:hAnsi="宋体" w:cs="宋体"/>
          <w:color w:val="auto"/>
          <w:spacing w:val="15"/>
          <w:sz w:val="24"/>
          <w:highlight w:val="none"/>
        </w:rPr>
        <w:t>企业划分指标以现行统计制度为准。</w:t>
      </w:r>
    </w:p>
    <w:p>
      <w:pPr>
        <w:spacing w:line="360" w:lineRule="auto"/>
        <w:ind w:firstLine="540" w:firstLineChars="200"/>
        <w:rPr>
          <w:rFonts w:ascii="宋体" w:hAnsi="宋体" w:cs="宋体"/>
          <w:color w:val="auto"/>
          <w:spacing w:val="15"/>
          <w:sz w:val="24"/>
          <w:highlight w:val="none"/>
        </w:rPr>
      </w:pPr>
      <w:r>
        <w:rPr>
          <w:rFonts w:hint="eastAsia" w:ascii="宋体" w:hAnsi="宋体" w:cs="宋体"/>
          <w:color w:val="auto"/>
          <w:spacing w:val="15"/>
          <w:sz w:val="24"/>
          <w:highlight w:val="none"/>
        </w:rPr>
        <w:t>（1）从业人员，是指期末从业人员数，没有期末从业人员数的，采用全年平均人员数代替。</w:t>
      </w:r>
    </w:p>
    <w:p>
      <w:pPr>
        <w:spacing w:line="360" w:lineRule="auto"/>
        <w:ind w:firstLine="540" w:firstLineChars="200"/>
        <w:rPr>
          <w:rFonts w:ascii="宋体" w:hAnsi="宋体" w:cs="宋体"/>
          <w:color w:val="auto"/>
          <w:spacing w:val="15"/>
          <w:sz w:val="24"/>
          <w:highlight w:val="none"/>
        </w:rPr>
      </w:pPr>
      <w:r>
        <w:rPr>
          <w:rFonts w:hint="eastAsia" w:ascii="宋体" w:hAnsi="宋体" w:cs="宋体"/>
          <w:color w:val="auto"/>
          <w:spacing w:val="15"/>
          <w:sz w:val="24"/>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pPr>
        <w:spacing w:line="360" w:lineRule="auto"/>
        <w:ind w:firstLine="540" w:firstLineChars="200"/>
        <w:rPr>
          <w:rFonts w:ascii="宋体" w:hAnsi="宋体" w:cs="宋体"/>
          <w:color w:val="auto"/>
          <w:sz w:val="24"/>
          <w:highlight w:val="none"/>
        </w:rPr>
      </w:pPr>
      <w:r>
        <w:rPr>
          <w:rFonts w:hint="eastAsia" w:ascii="宋体" w:hAnsi="宋体" w:cs="宋体"/>
          <w:color w:val="auto"/>
          <w:spacing w:val="15"/>
          <w:sz w:val="24"/>
          <w:highlight w:val="none"/>
        </w:rPr>
        <w:t>（3）资产总额，采用资产总计代替。</w:t>
      </w:r>
    </w:p>
    <w:p>
      <w:pPr>
        <w:pStyle w:val="3"/>
        <w:jc w:val="center"/>
        <w:rPr>
          <w:rFonts w:hAnsi="宋体" w:cs="宋体"/>
          <w:b/>
          <w:color w:val="auto"/>
          <w:sz w:val="24"/>
          <w:szCs w:val="24"/>
          <w:highlight w:val="none"/>
        </w:rPr>
      </w:pPr>
      <w:r>
        <w:rPr>
          <w:rFonts w:hint="eastAsia" w:hAnsi="宋体" w:cs="宋体"/>
          <w:color w:val="auto"/>
          <w:sz w:val="24"/>
          <w:szCs w:val="24"/>
          <w:highlight w:val="none"/>
        </w:rPr>
        <w:br w:type="page"/>
      </w:r>
      <w:bookmarkEnd w:id="898"/>
      <w:bookmarkEnd w:id="899"/>
      <w:bookmarkEnd w:id="900"/>
      <w:bookmarkEnd w:id="901"/>
      <w:bookmarkEnd w:id="902"/>
    </w:p>
    <w:p>
      <w:pPr>
        <w:pStyle w:val="11"/>
        <w:tabs>
          <w:tab w:val="left" w:pos="840"/>
        </w:tabs>
        <w:spacing w:line="360" w:lineRule="auto"/>
        <w:jc w:val="center"/>
        <w:rPr>
          <w:rFonts w:ascii="宋体" w:hAnsi="宋体" w:eastAsia="宋体" w:cs="宋体"/>
          <w:color w:val="auto"/>
          <w:highlight w:val="none"/>
          <w:lang w:val="en-GB"/>
        </w:rPr>
      </w:pPr>
      <w:bookmarkStart w:id="903" w:name="_Toc18443"/>
      <w:bookmarkStart w:id="904" w:name="_Toc17709"/>
      <w:r>
        <w:rPr>
          <w:rFonts w:hint="eastAsia" w:ascii="宋体" w:hAnsi="宋体" w:eastAsia="宋体" w:cs="宋体"/>
          <w:color w:val="auto"/>
          <w:highlight w:val="none"/>
          <w:lang w:val="en-GB"/>
        </w:rPr>
        <w:t>十</w:t>
      </w:r>
      <w:r>
        <w:rPr>
          <w:rFonts w:hint="eastAsia" w:ascii="宋体" w:hAnsi="宋体" w:eastAsia="宋体" w:cs="宋体"/>
          <w:color w:val="auto"/>
          <w:highlight w:val="none"/>
        </w:rPr>
        <w:t>一</w:t>
      </w:r>
      <w:r>
        <w:rPr>
          <w:rFonts w:hint="eastAsia" w:ascii="宋体" w:hAnsi="宋体" w:eastAsia="宋体" w:cs="宋体"/>
          <w:color w:val="auto"/>
          <w:highlight w:val="none"/>
          <w:lang w:val="en-GB"/>
        </w:rPr>
        <w:t>、评审办法中所要求提供的</w:t>
      </w:r>
      <w:r>
        <w:rPr>
          <w:rFonts w:hint="eastAsia" w:ascii="宋体" w:hAnsi="宋体" w:eastAsia="宋体" w:cs="宋体"/>
          <w:color w:val="auto"/>
          <w:highlight w:val="none"/>
        </w:rPr>
        <w:t>其它</w:t>
      </w:r>
      <w:r>
        <w:rPr>
          <w:rFonts w:hint="eastAsia" w:ascii="宋体" w:hAnsi="宋体" w:eastAsia="宋体" w:cs="宋体"/>
          <w:color w:val="auto"/>
          <w:highlight w:val="none"/>
          <w:lang w:val="en-GB"/>
        </w:rPr>
        <w:t>相关材料</w:t>
      </w:r>
      <w:bookmarkEnd w:id="903"/>
      <w:bookmarkEnd w:id="904"/>
    </w:p>
    <w:p>
      <w:pPr>
        <w:pStyle w:val="3"/>
        <w:jc w:val="center"/>
        <w:rPr>
          <w:rFonts w:hAnsi="宋体" w:cs="宋体"/>
          <w:b/>
          <w:color w:val="auto"/>
          <w:sz w:val="24"/>
          <w:szCs w:val="24"/>
          <w:highlight w:val="none"/>
        </w:rPr>
      </w:pP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1、磋商文件及评标办法中要求的与本项目相关的所有资料的复印件或扫描件；</w:t>
      </w:r>
    </w:p>
    <w:p>
      <w:pPr>
        <w:spacing w:line="360" w:lineRule="auto"/>
        <w:rPr>
          <w:rFonts w:ascii="宋体" w:hAnsi="宋体" w:cs="宋体"/>
          <w:color w:val="auto"/>
          <w:sz w:val="24"/>
          <w:highlight w:val="none"/>
        </w:rPr>
      </w:pPr>
      <w:r>
        <w:rPr>
          <w:rFonts w:hint="eastAsia" w:ascii="宋体" w:hAnsi="宋体" w:cs="宋体"/>
          <w:color w:val="auto"/>
          <w:sz w:val="24"/>
          <w:highlight w:val="none"/>
        </w:rPr>
        <w:t>2、供应商认为与本项目有关其他必要的内容及承诺。</w:t>
      </w:r>
    </w:p>
    <w:p>
      <w:pPr>
        <w:spacing w:line="360" w:lineRule="auto"/>
        <w:rPr>
          <w:rFonts w:ascii="宋体" w:hAnsi="宋体" w:cs="宋体"/>
          <w:color w:val="auto"/>
          <w:kern w:val="1"/>
          <w:sz w:val="24"/>
          <w:highlight w:val="none"/>
        </w:rPr>
      </w:pPr>
    </w:p>
    <w:p>
      <w:pPr>
        <w:pStyle w:val="3"/>
        <w:spacing w:line="480" w:lineRule="auto"/>
        <w:jc w:val="left"/>
        <w:rPr>
          <w:rFonts w:hAnsi="宋体" w:cs="宋体"/>
          <w:color w:val="auto"/>
          <w:kern w:val="1"/>
          <w:sz w:val="24"/>
          <w:szCs w:val="24"/>
          <w:highlight w:val="none"/>
        </w:rPr>
      </w:pPr>
      <w:r>
        <w:rPr>
          <w:rFonts w:hint="eastAsia" w:hAnsi="宋体" w:cs="宋体"/>
          <w:color w:val="auto"/>
          <w:kern w:val="1"/>
          <w:sz w:val="24"/>
          <w:szCs w:val="24"/>
          <w:highlight w:val="none"/>
        </w:rPr>
        <w:t>注：</w:t>
      </w:r>
    </w:p>
    <w:p>
      <w:pPr>
        <w:pStyle w:val="3"/>
        <w:numPr>
          <w:ilvl w:val="0"/>
          <w:numId w:val="30"/>
        </w:numPr>
        <w:spacing w:line="480" w:lineRule="auto"/>
        <w:jc w:val="left"/>
        <w:rPr>
          <w:rFonts w:hAnsi="宋体" w:cs="宋体"/>
          <w:color w:val="auto"/>
          <w:kern w:val="1"/>
          <w:sz w:val="24"/>
          <w:szCs w:val="24"/>
          <w:highlight w:val="none"/>
        </w:rPr>
      </w:pPr>
      <w:r>
        <w:rPr>
          <w:rFonts w:hint="eastAsia" w:hAnsi="宋体" w:cs="宋体"/>
          <w:color w:val="auto"/>
          <w:kern w:val="1"/>
          <w:sz w:val="24"/>
          <w:szCs w:val="24"/>
          <w:highlight w:val="none"/>
        </w:rPr>
        <w:t>文件中已放过的资料可不重复放。</w:t>
      </w:r>
    </w:p>
    <w:p>
      <w:pPr>
        <w:pStyle w:val="3"/>
        <w:spacing w:line="480" w:lineRule="auto"/>
        <w:jc w:val="left"/>
        <w:rPr>
          <w:rFonts w:hAnsi="宋体" w:cs="宋体"/>
          <w:b/>
          <w:color w:val="auto"/>
          <w:sz w:val="24"/>
          <w:szCs w:val="24"/>
          <w:highlight w:val="none"/>
        </w:rPr>
      </w:pPr>
      <w:r>
        <w:rPr>
          <w:rFonts w:hint="eastAsia" w:hAnsi="宋体" w:cs="宋体"/>
          <w:color w:val="auto"/>
          <w:kern w:val="1"/>
          <w:sz w:val="24"/>
          <w:szCs w:val="24"/>
          <w:highlight w:val="none"/>
        </w:rPr>
        <w:t>2、磋商文件中没有给出固定格式的，格式自拟。</w:t>
      </w:r>
    </w:p>
    <w:p>
      <w:pPr>
        <w:pStyle w:val="3"/>
        <w:spacing w:line="480" w:lineRule="auto"/>
        <w:jc w:val="left"/>
        <w:rPr>
          <w:rFonts w:hAnsi="宋体" w:cs="宋体"/>
          <w:b/>
          <w:color w:val="auto"/>
          <w:sz w:val="24"/>
          <w:szCs w:val="24"/>
          <w:highlight w:val="none"/>
        </w:rPr>
      </w:pPr>
    </w:p>
    <w:p>
      <w:pPr>
        <w:pStyle w:val="3"/>
        <w:jc w:val="center"/>
        <w:rPr>
          <w:rFonts w:hAnsi="宋体" w:cs="宋体"/>
          <w:b/>
          <w:color w:val="auto"/>
          <w:sz w:val="24"/>
          <w:szCs w:val="24"/>
          <w:highlight w:val="none"/>
        </w:rPr>
      </w:pPr>
    </w:p>
    <w:p>
      <w:pPr>
        <w:pStyle w:val="3"/>
        <w:jc w:val="center"/>
        <w:rPr>
          <w:rFonts w:hAnsi="宋体" w:cs="宋体"/>
          <w:b/>
          <w:color w:val="auto"/>
          <w:sz w:val="24"/>
          <w:szCs w:val="24"/>
          <w:highlight w:val="none"/>
        </w:rPr>
      </w:pPr>
    </w:p>
    <w:p>
      <w:pPr>
        <w:pStyle w:val="3"/>
        <w:jc w:val="center"/>
        <w:rPr>
          <w:rFonts w:hAnsi="宋体" w:cs="宋体"/>
          <w:b/>
          <w:color w:val="auto"/>
          <w:sz w:val="24"/>
          <w:szCs w:val="24"/>
          <w:highlight w:val="none"/>
        </w:rPr>
      </w:pPr>
    </w:p>
    <w:p>
      <w:pPr>
        <w:pStyle w:val="3"/>
        <w:jc w:val="center"/>
        <w:rPr>
          <w:rFonts w:hAnsi="宋体" w:cs="宋体"/>
          <w:b/>
          <w:color w:val="auto"/>
          <w:sz w:val="24"/>
          <w:szCs w:val="24"/>
          <w:highlight w:val="none"/>
        </w:rPr>
      </w:pPr>
    </w:p>
    <w:p>
      <w:pPr>
        <w:pStyle w:val="3"/>
        <w:jc w:val="center"/>
        <w:rPr>
          <w:rFonts w:hAnsi="宋体" w:cs="宋体"/>
          <w:b/>
          <w:color w:val="auto"/>
          <w:sz w:val="24"/>
          <w:szCs w:val="24"/>
          <w:highlight w:val="none"/>
        </w:rPr>
      </w:pPr>
    </w:p>
    <w:p>
      <w:pPr>
        <w:pStyle w:val="3"/>
        <w:jc w:val="center"/>
        <w:rPr>
          <w:rFonts w:hAnsi="宋体" w:cs="宋体"/>
          <w:b/>
          <w:color w:val="auto"/>
          <w:sz w:val="24"/>
          <w:szCs w:val="24"/>
          <w:highlight w:val="none"/>
        </w:rPr>
      </w:pPr>
    </w:p>
    <w:p>
      <w:pPr>
        <w:pStyle w:val="3"/>
        <w:jc w:val="center"/>
        <w:rPr>
          <w:rFonts w:hAnsi="宋体" w:cs="宋体"/>
          <w:b/>
          <w:color w:val="auto"/>
          <w:sz w:val="24"/>
          <w:szCs w:val="24"/>
          <w:highlight w:val="none"/>
        </w:rPr>
      </w:pPr>
    </w:p>
    <w:p>
      <w:pPr>
        <w:pStyle w:val="3"/>
        <w:jc w:val="center"/>
        <w:rPr>
          <w:rFonts w:hAnsi="宋体" w:cs="宋体"/>
          <w:b/>
          <w:color w:val="auto"/>
          <w:sz w:val="24"/>
          <w:szCs w:val="24"/>
          <w:highlight w:val="none"/>
        </w:rPr>
      </w:pPr>
    </w:p>
    <w:p>
      <w:pPr>
        <w:pStyle w:val="3"/>
        <w:jc w:val="center"/>
        <w:rPr>
          <w:rFonts w:hAnsi="宋体" w:cs="宋体"/>
          <w:b/>
          <w:color w:val="auto"/>
          <w:sz w:val="24"/>
          <w:szCs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sectPr>
      <w:footerReference r:id="rId12" w:type="first"/>
      <w:headerReference r:id="rId10" w:type="default"/>
      <w:footerReference r:id="rId11" w:type="default"/>
      <w:pgSz w:w="11907" w:h="16840"/>
      <w:pgMar w:top="1418" w:right="1418" w:bottom="1304" w:left="1531" w:header="1077" w:footer="102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体">
    <w:altName w:val="仿宋"/>
    <w:panose1 w:val="00000000000000000000"/>
    <w:charset w:val="86"/>
    <w:family w:val="modern"/>
    <w:pitch w:val="default"/>
    <w:sig w:usb0="00000000" w:usb1="00000000" w:usb2="0000001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苹方 常规">
    <w:altName w:val="宋体"/>
    <w:panose1 w:val="00000000000000000000"/>
    <w:charset w:val="86"/>
    <w:family w:val="roman"/>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ヒラギノ角ゴ Pro W3">
    <w:altName w:val="MS Gothic"/>
    <w:panose1 w:val="00000000000000000000"/>
    <w:charset w:val="80"/>
    <w:family w:val="auto"/>
    <w:pitch w:val="default"/>
    <w:sig w:usb0="00000000" w:usb1="00000000" w:usb2="01000407" w:usb3="00000000" w:csb0="0002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fldChar w:fldCharType="begin"/>
    </w:r>
    <w:r>
      <w:instrText xml:space="preserve"> PAGE   \* MERGEFORMAT </w:instrText>
    </w:r>
    <w:r>
      <w:fldChar w:fldCharType="separate"/>
    </w:r>
    <w:r>
      <w:rPr>
        <w:lang w:val="zh-CN"/>
      </w:rPr>
      <w:t>4</w:t>
    </w:r>
    <w:r>
      <w:fldChar w:fldCharType="end"/>
    </w:r>
  </w:p>
  <w:p>
    <w:pPr>
      <w:pStyle w:val="3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93</w:t>
                    </w:r>
                    <w:r>
                      <w:fldChar w:fldCharType="end"/>
                    </w:r>
                  </w:p>
                </w:txbxContent>
              </v:textbox>
            </v:shape>
          </w:pict>
        </mc:Fallback>
      </mc:AlternateContent>
    </w:r>
    <w:r>
      <w:rPr>
        <w:rFonts w:cs="宋体"/>
      </w:rPr>
      <w:t xml:space="preserve">                                                                    </w:t>
    </w:r>
    <w:r>
      <w:rPr>
        <w:rFonts w:hint="eastAsia" w:cs="宋体"/>
      </w:rPr>
      <w:t xml:space="preserve">   </w:t>
    </w:r>
    <w:r>
      <w:rPr>
        <w:rFonts w:cs="宋体"/>
      </w:rPr>
      <w:t xml:space="preserve">                             </w:t>
    </w:r>
  </w:p>
  <w:p>
    <w:pPr>
      <w:pStyle w:val="35"/>
      <w:rPr>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92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thinThickSmallGap" w:color="auto" w:sz="12" w:space="1"/>
      </w:pBdr>
      <w:jc w:val="both"/>
    </w:pPr>
    <w:r>
      <w:rPr>
        <w:rFonts w:hint="eastAsia" w:ascii="宋体" w:hAnsi="宋体" w:cs="宋体"/>
        <w:iCs/>
        <w:sz w:val="21"/>
        <w:szCs w:val="21"/>
        <w:lang w:eastAsia="zh-CN"/>
      </w:rPr>
      <w:t>河南医学高等专科学校职业卫生实训基地建设项目</w:t>
    </w:r>
    <w:r>
      <w:rPr>
        <w:rFonts w:hint="eastAsia" w:ascii="宋体" w:hAnsi="宋体" w:cs="宋体"/>
        <w:iCs/>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thinThickSmallGap" w:color="auto" w:sz="12" w:space="1"/>
      </w:pBdr>
      <w:jc w:val="left"/>
    </w:pPr>
    <w:r>
      <w:rPr>
        <w:rFonts w:hint="eastAsia" w:ascii="宋体" w:hAnsi="宋体" w:cs="宋体"/>
        <w:iCs/>
        <w:sz w:val="21"/>
        <w:szCs w:val="21"/>
        <w:lang w:eastAsia="zh-CN"/>
      </w:rPr>
      <w:t>河南医学高等专科学校职业卫生实训基地建设项目</w:t>
    </w:r>
    <w:r>
      <w:rPr>
        <w:rFonts w:hint="eastAsia" w:ascii="宋体" w:hAnsi="宋体" w:cs="宋体"/>
        <w:iCs/>
        <w:sz w:val="21"/>
        <w:szCs w:val="21"/>
      </w:rPr>
      <w:t xml:space="preserve">                     竞争性磋商文件</w:t>
    </w:r>
  </w:p>
  <w:p>
    <w:pPr>
      <w:pStyle w:val="3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jc w:val="both"/>
      <w:rPr>
        <w:rFonts w:ascii="宋体" w:hAnsi="宋体" w:cs="宋体"/>
        <w:iCs/>
        <w:sz w:val="21"/>
        <w:szCs w:val="21"/>
      </w:rPr>
    </w:pPr>
  </w:p>
  <w:p>
    <w:pPr>
      <w:pStyle w:val="36"/>
      <w:pBdr>
        <w:bottom w:val="thinThickSmallGap" w:color="993300" w:sz="12" w:space="1"/>
      </w:pBdr>
      <w:jc w:val="both"/>
    </w:pPr>
    <w:r>
      <w:rPr>
        <w:rFonts w:hint="eastAsia" w:ascii="宋体" w:hAnsi="宋体" w:cs="宋体"/>
        <w:iCs/>
        <w:sz w:val="21"/>
        <w:szCs w:val="21"/>
        <w:lang w:eastAsia="zh-CN"/>
      </w:rPr>
      <w:t>河南医学高等专科学校职业卫生实训基地建设项目</w:t>
    </w:r>
    <w:r>
      <w:rPr>
        <w:rFonts w:hint="eastAsia" w:ascii="宋体" w:hAnsi="宋体" w:cs="宋体"/>
        <w:iCs/>
        <w:sz w:val="21"/>
        <w:szCs w:val="21"/>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thinThickSmallGap" w:color="auto" w:sz="12" w:space="1"/>
      </w:pBdr>
      <w:jc w:val="both"/>
    </w:pPr>
    <w:r>
      <w:rPr>
        <w:rFonts w:hint="eastAsia" w:ascii="宋体" w:hAnsi="宋体" w:cs="宋体"/>
        <w:iCs/>
        <w:sz w:val="21"/>
        <w:szCs w:val="21"/>
        <w:lang w:eastAsia="zh-CN"/>
      </w:rPr>
      <w:t>河南医学高等专科学校职业卫生实训基地建设项目</w:t>
    </w:r>
    <w:r>
      <w:rPr>
        <w:rFonts w:hint="eastAsia" w:ascii="宋体" w:hAnsi="宋体" w:cs="宋体"/>
        <w:iCs/>
        <w:sz w:val="21"/>
        <w:szCs w:val="21"/>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thinThickSmallGap" w:color="993300" w:sz="12" w:space="1"/>
      </w:pBdr>
      <w:jc w:val="left"/>
      <w:rPr>
        <w:rFonts w:ascii="宋体" w:hAnsi="宋体" w:cs="宋体"/>
        <w:sz w:val="21"/>
        <w:szCs w:val="21"/>
      </w:rPr>
    </w:pPr>
    <w:r>
      <w:rPr>
        <w:rFonts w:hint="eastAsia" w:ascii="宋体" w:hAnsi="宋体" w:cs="宋体"/>
        <w:iCs/>
        <w:sz w:val="21"/>
        <w:szCs w:val="21"/>
        <w:lang w:eastAsia="zh-CN"/>
      </w:rPr>
      <w:t>河南医学高等专科学校职业卫生实训基地建设项目</w:t>
    </w:r>
    <w:r>
      <w:rPr>
        <w:rFonts w:hint="eastAsia" w:ascii="宋体" w:hAnsi="宋体" w:cs="宋体"/>
        <w:iCs/>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D3925"/>
    <w:multiLevelType w:val="singleLevel"/>
    <w:tmpl w:val="A40D3925"/>
    <w:lvl w:ilvl="0" w:tentative="0">
      <w:start w:val="1"/>
      <w:numFmt w:val="decimal"/>
      <w:lvlText w:val="%1."/>
      <w:lvlJc w:val="left"/>
      <w:pPr>
        <w:tabs>
          <w:tab w:val="left" w:pos="312"/>
        </w:tabs>
      </w:pPr>
    </w:lvl>
  </w:abstractNum>
  <w:abstractNum w:abstractNumId="1">
    <w:nsid w:val="C401838A"/>
    <w:multiLevelType w:val="singleLevel"/>
    <w:tmpl w:val="C401838A"/>
    <w:lvl w:ilvl="0" w:tentative="0">
      <w:start w:val="3"/>
      <w:numFmt w:val="chineseCounting"/>
      <w:suff w:val="space"/>
      <w:lvlText w:val="第%1章"/>
      <w:lvlJc w:val="left"/>
      <w:pPr>
        <w:ind w:left="3780"/>
      </w:pPr>
      <w:rPr>
        <w:rFonts w:hint="eastAsia"/>
      </w:rPr>
    </w:lvl>
  </w:abstractNum>
  <w:abstractNum w:abstractNumId="2">
    <w:nsid w:val="C7ED9771"/>
    <w:multiLevelType w:val="singleLevel"/>
    <w:tmpl w:val="C7ED9771"/>
    <w:lvl w:ilvl="0" w:tentative="0">
      <w:start w:val="1"/>
      <w:numFmt w:val="decimal"/>
      <w:suff w:val="nothing"/>
      <w:lvlText w:val="%1、"/>
      <w:lvlJc w:val="left"/>
    </w:lvl>
  </w:abstractNum>
  <w:abstractNum w:abstractNumId="3">
    <w:nsid w:val="D993C15E"/>
    <w:multiLevelType w:val="singleLevel"/>
    <w:tmpl w:val="D993C15E"/>
    <w:lvl w:ilvl="0" w:tentative="0">
      <w:start w:val="5"/>
      <w:numFmt w:val="decimal"/>
      <w:suff w:val="nothing"/>
      <w:lvlText w:val="%1、"/>
      <w:lvlJc w:val="left"/>
    </w:lvl>
  </w:abstractNum>
  <w:abstractNum w:abstractNumId="4">
    <w:nsid w:val="E252B85A"/>
    <w:multiLevelType w:val="singleLevel"/>
    <w:tmpl w:val="E252B85A"/>
    <w:lvl w:ilvl="0" w:tentative="0">
      <w:start w:val="2"/>
      <w:numFmt w:val="decimal"/>
      <w:suff w:val="nothing"/>
      <w:lvlText w:val="%1、"/>
      <w:lvlJc w:val="left"/>
    </w:lvl>
  </w:abstractNum>
  <w:abstractNum w:abstractNumId="5">
    <w:nsid w:val="E6AE8C14"/>
    <w:multiLevelType w:val="singleLevel"/>
    <w:tmpl w:val="E6AE8C14"/>
    <w:lvl w:ilvl="0" w:tentative="0">
      <w:start w:val="1"/>
      <w:numFmt w:val="decimal"/>
      <w:lvlText w:val="%1."/>
      <w:lvlJc w:val="left"/>
      <w:pPr>
        <w:tabs>
          <w:tab w:val="left" w:pos="312"/>
        </w:tabs>
      </w:pPr>
    </w:lvl>
  </w:abstractNum>
  <w:abstractNum w:abstractNumId="6">
    <w:nsid w:val="FF641F79"/>
    <w:multiLevelType w:val="singleLevel"/>
    <w:tmpl w:val="FF641F79"/>
    <w:lvl w:ilvl="0" w:tentative="0">
      <w:start w:val="1"/>
      <w:numFmt w:val="decimal"/>
      <w:lvlText w:val="%1."/>
      <w:lvlJc w:val="left"/>
      <w:pPr>
        <w:tabs>
          <w:tab w:val="left" w:pos="312"/>
        </w:tabs>
      </w:pPr>
    </w:lvl>
  </w:abstractNum>
  <w:abstractNum w:abstractNumId="7">
    <w:nsid w:val="148E3FC8"/>
    <w:multiLevelType w:val="multilevel"/>
    <w:tmpl w:val="148E3F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9DE1A93"/>
    <w:multiLevelType w:val="multilevel"/>
    <w:tmpl w:val="19DE1A9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CAC2A56"/>
    <w:multiLevelType w:val="multilevel"/>
    <w:tmpl w:val="1CAC2A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BE11676"/>
    <w:multiLevelType w:val="multilevel"/>
    <w:tmpl w:val="2BE1167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3964382"/>
    <w:multiLevelType w:val="multilevel"/>
    <w:tmpl w:val="339643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D4B2444"/>
    <w:multiLevelType w:val="multilevel"/>
    <w:tmpl w:val="3D4B2444"/>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FFA212E"/>
    <w:multiLevelType w:val="multilevel"/>
    <w:tmpl w:val="3FFA21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1EF30BC"/>
    <w:multiLevelType w:val="multilevel"/>
    <w:tmpl w:val="41EF30BC"/>
    <w:lvl w:ilvl="0" w:tentative="0">
      <w:start w:val="1"/>
      <w:numFmt w:val="chineseCountingThousand"/>
      <w:pStyle w:val="307"/>
      <w:suff w:val="space"/>
      <w:lvlText w:val="第%1条"/>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3CA5541"/>
    <w:multiLevelType w:val="multilevel"/>
    <w:tmpl w:val="43CA5541"/>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F3FF634"/>
    <w:multiLevelType w:val="singleLevel"/>
    <w:tmpl w:val="4F3FF634"/>
    <w:lvl w:ilvl="0" w:tentative="0">
      <w:start w:val="2"/>
      <w:numFmt w:val="decimal"/>
      <w:lvlText w:val="%1."/>
      <w:lvlJc w:val="left"/>
      <w:pPr>
        <w:tabs>
          <w:tab w:val="left" w:pos="312"/>
        </w:tabs>
      </w:pPr>
    </w:lvl>
  </w:abstractNum>
  <w:abstractNum w:abstractNumId="17">
    <w:nsid w:val="504B0542"/>
    <w:multiLevelType w:val="multilevel"/>
    <w:tmpl w:val="504B05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20F4B3C"/>
    <w:multiLevelType w:val="multilevel"/>
    <w:tmpl w:val="520F4B3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535C9C0"/>
    <w:multiLevelType w:val="singleLevel"/>
    <w:tmpl w:val="5535C9C0"/>
    <w:lvl w:ilvl="0" w:tentative="0">
      <w:start w:val="3"/>
      <w:numFmt w:val="chineseCounting"/>
      <w:suff w:val="nothing"/>
      <w:lvlText w:val="%1、"/>
      <w:lvlJc w:val="left"/>
    </w:lvl>
  </w:abstractNum>
  <w:abstractNum w:abstractNumId="20">
    <w:nsid w:val="5536FE69"/>
    <w:multiLevelType w:val="singleLevel"/>
    <w:tmpl w:val="5536FE69"/>
    <w:lvl w:ilvl="0" w:tentative="0">
      <w:start w:val="7"/>
      <w:numFmt w:val="chineseCounting"/>
      <w:suff w:val="nothing"/>
      <w:lvlText w:val="%1、"/>
      <w:lvlJc w:val="left"/>
    </w:lvl>
  </w:abstractNum>
  <w:abstractNum w:abstractNumId="21">
    <w:nsid w:val="5A8F6B19"/>
    <w:multiLevelType w:val="multilevel"/>
    <w:tmpl w:val="5A8F6B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AAD6271"/>
    <w:multiLevelType w:val="multilevel"/>
    <w:tmpl w:val="5AAD627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C5C7600"/>
    <w:multiLevelType w:val="multilevel"/>
    <w:tmpl w:val="5C5C76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E737B40"/>
    <w:multiLevelType w:val="singleLevel"/>
    <w:tmpl w:val="5E737B40"/>
    <w:lvl w:ilvl="0" w:tentative="0">
      <w:start w:val="1"/>
      <w:numFmt w:val="decimal"/>
      <w:lvlText w:val="%1."/>
      <w:lvlJc w:val="left"/>
      <w:pPr>
        <w:tabs>
          <w:tab w:val="left" w:pos="312"/>
        </w:tabs>
      </w:pPr>
    </w:lvl>
  </w:abstractNum>
  <w:abstractNum w:abstractNumId="25">
    <w:nsid w:val="5E7E63C6"/>
    <w:multiLevelType w:val="multilevel"/>
    <w:tmpl w:val="5E7E63C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7AE44F8"/>
    <w:multiLevelType w:val="multilevel"/>
    <w:tmpl w:val="67AE44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F0D1992"/>
    <w:multiLevelType w:val="multilevel"/>
    <w:tmpl w:val="6F0D199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2A02431"/>
    <w:multiLevelType w:val="multilevel"/>
    <w:tmpl w:val="72A0243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7CF93076"/>
    <w:multiLevelType w:val="multilevel"/>
    <w:tmpl w:val="7CF9307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4"/>
  </w:num>
  <w:num w:numId="2">
    <w:abstractNumId w:val="3"/>
  </w:num>
  <w:num w:numId="3">
    <w:abstractNumId w:val="1"/>
  </w:num>
  <w:num w:numId="4">
    <w:abstractNumId w:val="28"/>
  </w:num>
  <w:num w:numId="5">
    <w:abstractNumId w:val="9"/>
  </w:num>
  <w:num w:numId="6">
    <w:abstractNumId w:val="26"/>
  </w:num>
  <w:num w:numId="7">
    <w:abstractNumId w:val="21"/>
  </w:num>
  <w:num w:numId="8">
    <w:abstractNumId w:val="22"/>
  </w:num>
  <w:num w:numId="9">
    <w:abstractNumId w:val="23"/>
  </w:num>
  <w:num w:numId="10">
    <w:abstractNumId w:val="29"/>
  </w:num>
  <w:num w:numId="11">
    <w:abstractNumId w:val="17"/>
  </w:num>
  <w:num w:numId="12">
    <w:abstractNumId w:val="25"/>
  </w:num>
  <w:num w:numId="13">
    <w:abstractNumId w:val="8"/>
  </w:num>
  <w:num w:numId="14">
    <w:abstractNumId w:val="11"/>
  </w:num>
  <w:num w:numId="15">
    <w:abstractNumId w:val="18"/>
  </w:num>
  <w:num w:numId="16">
    <w:abstractNumId w:val="15"/>
  </w:num>
  <w:num w:numId="17">
    <w:abstractNumId w:val="12"/>
  </w:num>
  <w:num w:numId="18">
    <w:abstractNumId w:val="27"/>
  </w:num>
  <w:num w:numId="19">
    <w:abstractNumId w:val="10"/>
  </w:num>
  <w:num w:numId="20">
    <w:abstractNumId w:val="7"/>
  </w:num>
  <w:num w:numId="21">
    <w:abstractNumId w:val="13"/>
  </w:num>
  <w:num w:numId="22">
    <w:abstractNumId w:val="5"/>
  </w:num>
  <w:num w:numId="23">
    <w:abstractNumId w:val="4"/>
  </w:num>
  <w:num w:numId="24">
    <w:abstractNumId w:val="24"/>
  </w:num>
  <w:num w:numId="25">
    <w:abstractNumId w:val="6"/>
  </w:num>
  <w:num w:numId="26">
    <w:abstractNumId w:val="19"/>
  </w:num>
  <w:num w:numId="27">
    <w:abstractNumId w:val="20"/>
  </w:num>
  <w:num w:numId="28">
    <w:abstractNumId w:val="0"/>
  </w:num>
  <w:num w:numId="29">
    <w:abstractNumId w:val="1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iOThkMzc2ZTVhYjJlN2ExYjAxNzg2YjQ1Zjk2MTkifQ=="/>
  </w:docVars>
  <w:rsids>
    <w:rsidRoot w:val="0020087F"/>
    <w:rsid w:val="00001D30"/>
    <w:rsid w:val="00002327"/>
    <w:rsid w:val="00002EEE"/>
    <w:rsid w:val="000044A9"/>
    <w:rsid w:val="00004ABE"/>
    <w:rsid w:val="000052B2"/>
    <w:rsid w:val="000063DC"/>
    <w:rsid w:val="00010E22"/>
    <w:rsid w:val="000115D5"/>
    <w:rsid w:val="00011FA7"/>
    <w:rsid w:val="00012376"/>
    <w:rsid w:val="000125BB"/>
    <w:rsid w:val="00012E23"/>
    <w:rsid w:val="00014662"/>
    <w:rsid w:val="00014F0D"/>
    <w:rsid w:val="000201A3"/>
    <w:rsid w:val="00022E1F"/>
    <w:rsid w:val="00023412"/>
    <w:rsid w:val="00024ABA"/>
    <w:rsid w:val="00024B65"/>
    <w:rsid w:val="00024BD6"/>
    <w:rsid w:val="00025934"/>
    <w:rsid w:val="000260B5"/>
    <w:rsid w:val="00026B21"/>
    <w:rsid w:val="00026DA1"/>
    <w:rsid w:val="00030380"/>
    <w:rsid w:val="000305EE"/>
    <w:rsid w:val="00030F30"/>
    <w:rsid w:val="0003236F"/>
    <w:rsid w:val="000327F0"/>
    <w:rsid w:val="00032B1A"/>
    <w:rsid w:val="0003562E"/>
    <w:rsid w:val="00035913"/>
    <w:rsid w:val="00036670"/>
    <w:rsid w:val="00037EB7"/>
    <w:rsid w:val="00040613"/>
    <w:rsid w:val="00040B77"/>
    <w:rsid w:val="00040E07"/>
    <w:rsid w:val="00043A06"/>
    <w:rsid w:val="0004404F"/>
    <w:rsid w:val="00045769"/>
    <w:rsid w:val="000461C4"/>
    <w:rsid w:val="00046CA8"/>
    <w:rsid w:val="00051510"/>
    <w:rsid w:val="00052029"/>
    <w:rsid w:val="0005293D"/>
    <w:rsid w:val="0005588D"/>
    <w:rsid w:val="00056B6C"/>
    <w:rsid w:val="00060C9D"/>
    <w:rsid w:val="00062D47"/>
    <w:rsid w:val="00063172"/>
    <w:rsid w:val="00063AEB"/>
    <w:rsid w:val="0006509F"/>
    <w:rsid w:val="000664BA"/>
    <w:rsid w:val="00067DA0"/>
    <w:rsid w:val="000712E3"/>
    <w:rsid w:val="000714A4"/>
    <w:rsid w:val="000724AC"/>
    <w:rsid w:val="00073D36"/>
    <w:rsid w:val="00073D65"/>
    <w:rsid w:val="00074522"/>
    <w:rsid w:val="000748E9"/>
    <w:rsid w:val="00075C0F"/>
    <w:rsid w:val="00076DC4"/>
    <w:rsid w:val="000778EA"/>
    <w:rsid w:val="00077A06"/>
    <w:rsid w:val="00077A86"/>
    <w:rsid w:val="00080DDB"/>
    <w:rsid w:val="000818DC"/>
    <w:rsid w:val="00085F50"/>
    <w:rsid w:val="00086102"/>
    <w:rsid w:val="00086D72"/>
    <w:rsid w:val="00087A7A"/>
    <w:rsid w:val="00090759"/>
    <w:rsid w:val="00090853"/>
    <w:rsid w:val="00090C01"/>
    <w:rsid w:val="000911B6"/>
    <w:rsid w:val="0009121A"/>
    <w:rsid w:val="00092623"/>
    <w:rsid w:val="00095756"/>
    <w:rsid w:val="00097E09"/>
    <w:rsid w:val="000A0CD7"/>
    <w:rsid w:val="000A1FC6"/>
    <w:rsid w:val="000A4138"/>
    <w:rsid w:val="000A5136"/>
    <w:rsid w:val="000A5CBF"/>
    <w:rsid w:val="000A6C95"/>
    <w:rsid w:val="000A70C4"/>
    <w:rsid w:val="000B138E"/>
    <w:rsid w:val="000B148C"/>
    <w:rsid w:val="000B14DA"/>
    <w:rsid w:val="000B1B23"/>
    <w:rsid w:val="000B237F"/>
    <w:rsid w:val="000B3589"/>
    <w:rsid w:val="000B3D9D"/>
    <w:rsid w:val="000B5022"/>
    <w:rsid w:val="000B5279"/>
    <w:rsid w:val="000B5AF3"/>
    <w:rsid w:val="000B6E02"/>
    <w:rsid w:val="000B768E"/>
    <w:rsid w:val="000B7B1B"/>
    <w:rsid w:val="000B7E0E"/>
    <w:rsid w:val="000B7F2A"/>
    <w:rsid w:val="000C0406"/>
    <w:rsid w:val="000C0A86"/>
    <w:rsid w:val="000C0FBB"/>
    <w:rsid w:val="000C229D"/>
    <w:rsid w:val="000C3183"/>
    <w:rsid w:val="000C366C"/>
    <w:rsid w:val="000C3F14"/>
    <w:rsid w:val="000C554C"/>
    <w:rsid w:val="000C5D7E"/>
    <w:rsid w:val="000C5FF4"/>
    <w:rsid w:val="000C6AF0"/>
    <w:rsid w:val="000C7B95"/>
    <w:rsid w:val="000D037D"/>
    <w:rsid w:val="000D159A"/>
    <w:rsid w:val="000D1EBA"/>
    <w:rsid w:val="000D372D"/>
    <w:rsid w:val="000D3991"/>
    <w:rsid w:val="000D4687"/>
    <w:rsid w:val="000D50D2"/>
    <w:rsid w:val="000D5276"/>
    <w:rsid w:val="000D7DA2"/>
    <w:rsid w:val="000E0778"/>
    <w:rsid w:val="000E2AF1"/>
    <w:rsid w:val="000E54ED"/>
    <w:rsid w:val="000E6134"/>
    <w:rsid w:val="000E6CCA"/>
    <w:rsid w:val="000E72D0"/>
    <w:rsid w:val="000E7F89"/>
    <w:rsid w:val="000F070A"/>
    <w:rsid w:val="000F0C57"/>
    <w:rsid w:val="000F11D1"/>
    <w:rsid w:val="000F26B4"/>
    <w:rsid w:val="000F30CA"/>
    <w:rsid w:val="000F36E9"/>
    <w:rsid w:val="000F442C"/>
    <w:rsid w:val="000F5505"/>
    <w:rsid w:val="00100DBA"/>
    <w:rsid w:val="0010100C"/>
    <w:rsid w:val="00101A71"/>
    <w:rsid w:val="00102F1E"/>
    <w:rsid w:val="001045F5"/>
    <w:rsid w:val="00105239"/>
    <w:rsid w:val="00105317"/>
    <w:rsid w:val="0010565E"/>
    <w:rsid w:val="001063C0"/>
    <w:rsid w:val="00106CA7"/>
    <w:rsid w:val="001070A0"/>
    <w:rsid w:val="0010719C"/>
    <w:rsid w:val="001072CB"/>
    <w:rsid w:val="001073D6"/>
    <w:rsid w:val="0010799C"/>
    <w:rsid w:val="00111D5E"/>
    <w:rsid w:val="00112175"/>
    <w:rsid w:val="0011220A"/>
    <w:rsid w:val="00112ECE"/>
    <w:rsid w:val="00113BD4"/>
    <w:rsid w:val="0011463D"/>
    <w:rsid w:val="0011619C"/>
    <w:rsid w:val="0011633B"/>
    <w:rsid w:val="00116B65"/>
    <w:rsid w:val="0011723E"/>
    <w:rsid w:val="001220A6"/>
    <w:rsid w:val="001222B9"/>
    <w:rsid w:val="0012246F"/>
    <w:rsid w:val="00123518"/>
    <w:rsid w:val="001235AF"/>
    <w:rsid w:val="00123ECB"/>
    <w:rsid w:val="00123EDF"/>
    <w:rsid w:val="00124D4E"/>
    <w:rsid w:val="001253A7"/>
    <w:rsid w:val="00127869"/>
    <w:rsid w:val="00130248"/>
    <w:rsid w:val="00130D74"/>
    <w:rsid w:val="00130F59"/>
    <w:rsid w:val="00131E35"/>
    <w:rsid w:val="00132131"/>
    <w:rsid w:val="0013243F"/>
    <w:rsid w:val="001347E5"/>
    <w:rsid w:val="00136832"/>
    <w:rsid w:val="00136C58"/>
    <w:rsid w:val="001372D0"/>
    <w:rsid w:val="00137EC2"/>
    <w:rsid w:val="00137F36"/>
    <w:rsid w:val="001436A2"/>
    <w:rsid w:val="0014390F"/>
    <w:rsid w:val="0014408E"/>
    <w:rsid w:val="0014455A"/>
    <w:rsid w:val="001467D7"/>
    <w:rsid w:val="00147303"/>
    <w:rsid w:val="001479D4"/>
    <w:rsid w:val="00147BF4"/>
    <w:rsid w:val="0015227D"/>
    <w:rsid w:val="001529D0"/>
    <w:rsid w:val="00153E6B"/>
    <w:rsid w:val="0015542F"/>
    <w:rsid w:val="00155FC3"/>
    <w:rsid w:val="00156E9A"/>
    <w:rsid w:val="001572DE"/>
    <w:rsid w:val="0016198F"/>
    <w:rsid w:val="00164AE1"/>
    <w:rsid w:val="001662B4"/>
    <w:rsid w:val="001664E0"/>
    <w:rsid w:val="00166673"/>
    <w:rsid w:val="001673FE"/>
    <w:rsid w:val="00172247"/>
    <w:rsid w:val="00176A15"/>
    <w:rsid w:val="00176DB9"/>
    <w:rsid w:val="0017705D"/>
    <w:rsid w:val="00177B5B"/>
    <w:rsid w:val="001805ED"/>
    <w:rsid w:val="00180E0D"/>
    <w:rsid w:val="001817C5"/>
    <w:rsid w:val="00181A91"/>
    <w:rsid w:val="0018320C"/>
    <w:rsid w:val="00183ED6"/>
    <w:rsid w:val="00186930"/>
    <w:rsid w:val="00186FEC"/>
    <w:rsid w:val="0018758E"/>
    <w:rsid w:val="00190F61"/>
    <w:rsid w:val="00193701"/>
    <w:rsid w:val="0019441F"/>
    <w:rsid w:val="001947C4"/>
    <w:rsid w:val="001956FC"/>
    <w:rsid w:val="0019591F"/>
    <w:rsid w:val="00196875"/>
    <w:rsid w:val="00196FE5"/>
    <w:rsid w:val="001972DA"/>
    <w:rsid w:val="00197340"/>
    <w:rsid w:val="00197EF5"/>
    <w:rsid w:val="001A01B7"/>
    <w:rsid w:val="001A0529"/>
    <w:rsid w:val="001A1316"/>
    <w:rsid w:val="001A209F"/>
    <w:rsid w:val="001A27A1"/>
    <w:rsid w:val="001A2A54"/>
    <w:rsid w:val="001A36EA"/>
    <w:rsid w:val="001A4180"/>
    <w:rsid w:val="001A4DEB"/>
    <w:rsid w:val="001A66D9"/>
    <w:rsid w:val="001A67B3"/>
    <w:rsid w:val="001A7D02"/>
    <w:rsid w:val="001B0473"/>
    <w:rsid w:val="001B0762"/>
    <w:rsid w:val="001B114A"/>
    <w:rsid w:val="001B18F0"/>
    <w:rsid w:val="001B2298"/>
    <w:rsid w:val="001B2D8C"/>
    <w:rsid w:val="001B42D7"/>
    <w:rsid w:val="001B44B4"/>
    <w:rsid w:val="001B522B"/>
    <w:rsid w:val="001B629E"/>
    <w:rsid w:val="001B7290"/>
    <w:rsid w:val="001B77C2"/>
    <w:rsid w:val="001C01F1"/>
    <w:rsid w:val="001C2732"/>
    <w:rsid w:val="001C2818"/>
    <w:rsid w:val="001C2D90"/>
    <w:rsid w:val="001C3896"/>
    <w:rsid w:val="001C3FE6"/>
    <w:rsid w:val="001C4A82"/>
    <w:rsid w:val="001C5133"/>
    <w:rsid w:val="001C553D"/>
    <w:rsid w:val="001C65B0"/>
    <w:rsid w:val="001C7AAB"/>
    <w:rsid w:val="001D097D"/>
    <w:rsid w:val="001D1534"/>
    <w:rsid w:val="001D1CE4"/>
    <w:rsid w:val="001D2966"/>
    <w:rsid w:val="001D2AD9"/>
    <w:rsid w:val="001D30C3"/>
    <w:rsid w:val="001D4C07"/>
    <w:rsid w:val="001D4C86"/>
    <w:rsid w:val="001D4F31"/>
    <w:rsid w:val="001D5950"/>
    <w:rsid w:val="001E159C"/>
    <w:rsid w:val="001E1660"/>
    <w:rsid w:val="001E1BEB"/>
    <w:rsid w:val="001E2456"/>
    <w:rsid w:val="001E260C"/>
    <w:rsid w:val="001E2B1D"/>
    <w:rsid w:val="001E41A6"/>
    <w:rsid w:val="001E6267"/>
    <w:rsid w:val="001F1791"/>
    <w:rsid w:val="001F22CB"/>
    <w:rsid w:val="001F42A1"/>
    <w:rsid w:val="001F48F0"/>
    <w:rsid w:val="001F4E3A"/>
    <w:rsid w:val="001F68DD"/>
    <w:rsid w:val="002007D7"/>
    <w:rsid w:val="0020087F"/>
    <w:rsid w:val="0020110B"/>
    <w:rsid w:val="00201AB9"/>
    <w:rsid w:val="00203232"/>
    <w:rsid w:val="0020433C"/>
    <w:rsid w:val="002055B6"/>
    <w:rsid w:val="00206A13"/>
    <w:rsid w:val="00206F70"/>
    <w:rsid w:val="0021219F"/>
    <w:rsid w:val="00212C7E"/>
    <w:rsid w:val="00213491"/>
    <w:rsid w:val="00214346"/>
    <w:rsid w:val="00214720"/>
    <w:rsid w:val="00216CB6"/>
    <w:rsid w:val="00217220"/>
    <w:rsid w:val="002178F3"/>
    <w:rsid w:val="00217E95"/>
    <w:rsid w:val="00220041"/>
    <w:rsid w:val="002201A3"/>
    <w:rsid w:val="0022042C"/>
    <w:rsid w:val="00223BA9"/>
    <w:rsid w:val="00224E6D"/>
    <w:rsid w:val="0022551F"/>
    <w:rsid w:val="002263F7"/>
    <w:rsid w:val="00230803"/>
    <w:rsid w:val="00230D16"/>
    <w:rsid w:val="002315E4"/>
    <w:rsid w:val="00231A8C"/>
    <w:rsid w:val="00232DBF"/>
    <w:rsid w:val="0023399D"/>
    <w:rsid w:val="00233DF2"/>
    <w:rsid w:val="0023477D"/>
    <w:rsid w:val="002349F5"/>
    <w:rsid w:val="00234EEE"/>
    <w:rsid w:val="00235DFC"/>
    <w:rsid w:val="00236436"/>
    <w:rsid w:val="00236C55"/>
    <w:rsid w:val="00242570"/>
    <w:rsid w:val="00243066"/>
    <w:rsid w:val="002442BF"/>
    <w:rsid w:val="00244E82"/>
    <w:rsid w:val="00245216"/>
    <w:rsid w:val="002454B9"/>
    <w:rsid w:val="00245E01"/>
    <w:rsid w:val="0025134E"/>
    <w:rsid w:val="00251532"/>
    <w:rsid w:val="00252C5C"/>
    <w:rsid w:val="00254A82"/>
    <w:rsid w:val="00254F63"/>
    <w:rsid w:val="00255FBD"/>
    <w:rsid w:val="002570F8"/>
    <w:rsid w:val="002579C0"/>
    <w:rsid w:val="00257EAF"/>
    <w:rsid w:val="002606B0"/>
    <w:rsid w:val="002607B6"/>
    <w:rsid w:val="002619F6"/>
    <w:rsid w:val="00262915"/>
    <w:rsid w:val="002640CE"/>
    <w:rsid w:val="0026521F"/>
    <w:rsid w:val="00266667"/>
    <w:rsid w:val="00266945"/>
    <w:rsid w:val="0027027F"/>
    <w:rsid w:val="00270C7C"/>
    <w:rsid w:val="00271176"/>
    <w:rsid w:val="00271B37"/>
    <w:rsid w:val="0027221C"/>
    <w:rsid w:val="0027242D"/>
    <w:rsid w:val="002724EB"/>
    <w:rsid w:val="00272941"/>
    <w:rsid w:val="002737F5"/>
    <w:rsid w:val="00274823"/>
    <w:rsid w:val="002770FB"/>
    <w:rsid w:val="0027787E"/>
    <w:rsid w:val="002810A8"/>
    <w:rsid w:val="002818AF"/>
    <w:rsid w:val="00281DB6"/>
    <w:rsid w:val="00282035"/>
    <w:rsid w:val="002821E3"/>
    <w:rsid w:val="00282443"/>
    <w:rsid w:val="00283A1B"/>
    <w:rsid w:val="0028430F"/>
    <w:rsid w:val="00284C0A"/>
    <w:rsid w:val="002853BC"/>
    <w:rsid w:val="00285FBC"/>
    <w:rsid w:val="00286107"/>
    <w:rsid w:val="0028654C"/>
    <w:rsid w:val="00287605"/>
    <w:rsid w:val="0029272C"/>
    <w:rsid w:val="00294445"/>
    <w:rsid w:val="0029480C"/>
    <w:rsid w:val="002949FF"/>
    <w:rsid w:val="00294BFF"/>
    <w:rsid w:val="002953E9"/>
    <w:rsid w:val="00295D4E"/>
    <w:rsid w:val="00295F80"/>
    <w:rsid w:val="0029627B"/>
    <w:rsid w:val="00297E3A"/>
    <w:rsid w:val="002A12F1"/>
    <w:rsid w:val="002A27E4"/>
    <w:rsid w:val="002A368E"/>
    <w:rsid w:val="002A4E27"/>
    <w:rsid w:val="002A7F57"/>
    <w:rsid w:val="002B0A7E"/>
    <w:rsid w:val="002B17A7"/>
    <w:rsid w:val="002B246C"/>
    <w:rsid w:val="002B4557"/>
    <w:rsid w:val="002B4832"/>
    <w:rsid w:val="002B5498"/>
    <w:rsid w:val="002B618C"/>
    <w:rsid w:val="002B620C"/>
    <w:rsid w:val="002C03D1"/>
    <w:rsid w:val="002C0A53"/>
    <w:rsid w:val="002C0CCE"/>
    <w:rsid w:val="002C0F68"/>
    <w:rsid w:val="002C244E"/>
    <w:rsid w:val="002C3306"/>
    <w:rsid w:val="002C632C"/>
    <w:rsid w:val="002C693B"/>
    <w:rsid w:val="002C6B42"/>
    <w:rsid w:val="002C6FCF"/>
    <w:rsid w:val="002C70EB"/>
    <w:rsid w:val="002D01DF"/>
    <w:rsid w:val="002D2457"/>
    <w:rsid w:val="002D2D19"/>
    <w:rsid w:val="002D31FF"/>
    <w:rsid w:val="002D53A4"/>
    <w:rsid w:val="002D6864"/>
    <w:rsid w:val="002D743A"/>
    <w:rsid w:val="002D787C"/>
    <w:rsid w:val="002E121C"/>
    <w:rsid w:val="002E2A41"/>
    <w:rsid w:val="002E2B9A"/>
    <w:rsid w:val="002E31EF"/>
    <w:rsid w:val="002E4391"/>
    <w:rsid w:val="002E4C0A"/>
    <w:rsid w:val="002E652E"/>
    <w:rsid w:val="002F0384"/>
    <w:rsid w:val="002F0C57"/>
    <w:rsid w:val="002F1A5C"/>
    <w:rsid w:val="002F419D"/>
    <w:rsid w:val="002F4ECE"/>
    <w:rsid w:val="002F5677"/>
    <w:rsid w:val="002F578B"/>
    <w:rsid w:val="002F6183"/>
    <w:rsid w:val="002F63ED"/>
    <w:rsid w:val="002F734C"/>
    <w:rsid w:val="00301760"/>
    <w:rsid w:val="0030485D"/>
    <w:rsid w:val="00305F95"/>
    <w:rsid w:val="00305FDE"/>
    <w:rsid w:val="00306EB0"/>
    <w:rsid w:val="00306EC4"/>
    <w:rsid w:val="00306F80"/>
    <w:rsid w:val="00307742"/>
    <w:rsid w:val="003101AD"/>
    <w:rsid w:val="0031250C"/>
    <w:rsid w:val="00313203"/>
    <w:rsid w:val="0031332F"/>
    <w:rsid w:val="003140B7"/>
    <w:rsid w:val="003145D8"/>
    <w:rsid w:val="00315382"/>
    <w:rsid w:val="00315DE2"/>
    <w:rsid w:val="003164E7"/>
    <w:rsid w:val="003171A4"/>
    <w:rsid w:val="00317623"/>
    <w:rsid w:val="003177F3"/>
    <w:rsid w:val="0032098D"/>
    <w:rsid w:val="0032260F"/>
    <w:rsid w:val="003230F3"/>
    <w:rsid w:val="0032346B"/>
    <w:rsid w:val="00324908"/>
    <w:rsid w:val="003251E0"/>
    <w:rsid w:val="0032546E"/>
    <w:rsid w:val="00330C7B"/>
    <w:rsid w:val="00331F4F"/>
    <w:rsid w:val="00332646"/>
    <w:rsid w:val="003327B7"/>
    <w:rsid w:val="00334652"/>
    <w:rsid w:val="00334912"/>
    <w:rsid w:val="00334DC7"/>
    <w:rsid w:val="00334E57"/>
    <w:rsid w:val="003355C8"/>
    <w:rsid w:val="00335EEF"/>
    <w:rsid w:val="00336FB7"/>
    <w:rsid w:val="003404FE"/>
    <w:rsid w:val="00340FC2"/>
    <w:rsid w:val="003428C8"/>
    <w:rsid w:val="00342B44"/>
    <w:rsid w:val="00342CD1"/>
    <w:rsid w:val="00342CE1"/>
    <w:rsid w:val="00342D0D"/>
    <w:rsid w:val="00343FE4"/>
    <w:rsid w:val="00345D14"/>
    <w:rsid w:val="0034686B"/>
    <w:rsid w:val="003468D2"/>
    <w:rsid w:val="003477CA"/>
    <w:rsid w:val="00354DC6"/>
    <w:rsid w:val="00355EDC"/>
    <w:rsid w:val="00356130"/>
    <w:rsid w:val="00357630"/>
    <w:rsid w:val="00357F56"/>
    <w:rsid w:val="00360EAF"/>
    <w:rsid w:val="00360FC5"/>
    <w:rsid w:val="00362DE1"/>
    <w:rsid w:val="00363186"/>
    <w:rsid w:val="0036371E"/>
    <w:rsid w:val="00363E52"/>
    <w:rsid w:val="00364D0B"/>
    <w:rsid w:val="00364FF7"/>
    <w:rsid w:val="003657AD"/>
    <w:rsid w:val="0037128D"/>
    <w:rsid w:val="003717AE"/>
    <w:rsid w:val="003727C8"/>
    <w:rsid w:val="003728CA"/>
    <w:rsid w:val="00372CA7"/>
    <w:rsid w:val="00372D79"/>
    <w:rsid w:val="00373DE4"/>
    <w:rsid w:val="00374A86"/>
    <w:rsid w:val="00374C21"/>
    <w:rsid w:val="00374EC9"/>
    <w:rsid w:val="00380253"/>
    <w:rsid w:val="003811E8"/>
    <w:rsid w:val="0038179C"/>
    <w:rsid w:val="003817B3"/>
    <w:rsid w:val="00381B7F"/>
    <w:rsid w:val="00381C2E"/>
    <w:rsid w:val="00381CC4"/>
    <w:rsid w:val="00382113"/>
    <w:rsid w:val="003845C0"/>
    <w:rsid w:val="00384D75"/>
    <w:rsid w:val="003858C2"/>
    <w:rsid w:val="00385D72"/>
    <w:rsid w:val="0038621F"/>
    <w:rsid w:val="00387A0B"/>
    <w:rsid w:val="003942F1"/>
    <w:rsid w:val="003950C6"/>
    <w:rsid w:val="00395BF2"/>
    <w:rsid w:val="003A107A"/>
    <w:rsid w:val="003A14CC"/>
    <w:rsid w:val="003A2885"/>
    <w:rsid w:val="003A2CC8"/>
    <w:rsid w:val="003A2F4A"/>
    <w:rsid w:val="003A3437"/>
    <w:rsid w:val="003A4839"/>
    <w:rsid w:val="003A48B4"/>
    <w:rsid w:val="003A5C4F"/>
    <w:rsid w:val="003A622A"/>
    <w:rsid w:val="003A6C7C"/>
    <w:rsid w:val="003A7C16"/>
    <w:rsid w:val="003B1B74"/>
    <w:rsid w:val="003B1CB5"/>
    <w:rsid w:val="003B3B73"/>
    <w:rsid w:val="003B4492"/>
    <w:rsid w:val="003B5FB4"/>
    <w:rsid w:val="003B6D70"/>
    <w:rsid w:val="003B6F06"/>
    <w:rsid w:val="003B7978"/>
    <w:rsid w:val="003B7B25"/>
    <w:rsid w:val="003B7DA0"/>
    <w:rsid w:val="003C05F1"/>
    <w:rsid w:val="003C20F2"/>
    <w:rsid w:val="003C24C1"/>
    <w:rsid w:val="003C29FB"/>
    <w:rsid w:val="003C2DA8"/>
    <w:rsid w:val="003C3E32"/>
    <w:rsid w:val="003C46D6"/>
    <w:rsid w:val="003C5247"/>
    <w:rsid w:val="003C7E53"/>
    <w:rsid w:val="003D00D9"/>
    <w:rsid w:val="003D0125"/>
    <w:rsid w:val="003D0AC0"/>
    <w:rsid w:val="003D111B"/>
    <w:rsid w:val="003D180D"/>
    <w:rsid w:val="003D2290"/>
    <w:rsid w:val="003D26A6"/>
    <w:rsid w:val="003D3962"/>
    <w:rsid w:val="003D4470"/>
    <w:rsid w:val="003D7BA2"/>
    <w:rsid w:val="003E03FA"/>
    <w:rsid w:val="003E3344"/>
    <w:rsid w:val="003E4AFB"/>
    <w:rsid w:val="003E6D7A"/>
    <w:rsid w:val="003F1D05"/>
    <w:rsid w:val="003F24E1"/>
    <w:rsid w:val="003F4135"/>
    <w:rsid w:val="003F4BA3"/>
    <w:rsid w:val="003F6B79"/>
    <w:rsid w:val="003F72FF"/>
    <w:rsid w:val="003F7EDD"/>
    <w:rsid w:val="004022BD"/>
    <w:rsid w:val="00404562"/>
    <w:rsid w:val="00404737"/>
    <w:rsid w:val="004062BB"/>
    <w:rsid w:val="00407105"/>
    <w:rsid w:val="0040781C"/>
    <w:rsid w:val="00407B50"/>
    <w:rsid w:val="0041009A"/>
    <w:rsid w:val="00410592"/>
    <w:rsid w:val="00411391"/>
    <w:rsid w:val="004119BF"/>
    <w:rsid w:val="0041237B"/>
    <w:rsid w:val="00412451"/>
    <w:rsid w:val="00414E5F"/>
    <w:rsid w:val="004156BA"/>
    <w:rsid w:val="00420EE4"/>
    <w:rsid w:val="00422146"/>
    <w:rsid w:val="00422C9E"/>
    <w:rsid w:val="00425481"/>
    <w:rsid w:val="00425DB9"/>
    <w:rsid w:val="004269B3"/>
    <w:rsid w:val="00427AD2"/>
    <w:rsid w:val="00430244"/>
    <w:rsid w:val="00430924"/>
    <w:rsid w:val="004315E2"/>
    <w:rsid w:val="00433D42"/>
    <w:rsid w:val="00434DEF"/>
    <w:rsid w:val="0043602F"/>
    <w:rsid w:val="004364FF"/>
    <w:rsid w:val="004366FC"/>
    <w:rsid w:val="00436799"/>
    <w:rsid w:val="00436B1B"/>
    <w:rsid w:val="00436B9C"/>
    <w:rsid w:val="00437C70"/>
    <w:rsid w:val="00437D4F"/>
    <w:rsid w:val="00440843"/>
    <w:rsid w:val="00443897"/>
    <w:rsid w:val="00443913"/>
    <w:rsid w:val="00445085"/>
    <w:rsid w:val="00445F68"/>
    <w:rsid w:val="004470E3"/>
    <w:rsid w:val="00447304"/>
    <w:rsid w:val="00450DBE"/>
    <w:rsid w:val="00452F09"/>
    <w:rsid w:val="00453F83"/>
    <w:rsid w:val="0045413A"/>
    <w:rsid w:val="0045504E"/>
    <w:rsid w:val="004554AC"/>
    <w:rsid w:val="004555CA"/>
    <w:rsid w:val="004557E6"/>
    <w:rsid w:val="0045681E"/>
    <w:rsid w:val="00456A37"/>
    <w:rsid w:val="00460F69"/>
    <w:rsid w:val="00461160"/>
    <w:rsid w:val="00461E70"/>
    <w:rsid w:val="0046271D"/>
    <w:rsid w:val="00464E52"/>
    <w:rsid w:val="004655D1"/>
    <w:rsid w:val="0047039A"/>
    <w:rsid w:val="00470CF5"/>
    <w:rsid w:val="0047470B"/>
    <w:rsid w:val="00477553"/>
    <w:rsid w:val="004801BB"/>
    <w:rsid w:val="00481972"/>
    <w:rsid w:val="00481C85"/>
    <w:rsid w:val="00481DFC"/>
    <w:rsid w:val="00481E5F"/>
    <w:rsid w:val="00482AC8"/>
    <w:rsid w:val="00482B36"/>
    <w:rsid w:val="00482C9E"/>
    <w:rsid w:val="00483CE4"/>
    <w:rsid w:val="004842AA"/>
    <w:rsid w:val="004847FB"/>
    <w:rsid w:val="00484829"/>
    <w:rsid w:val="00485021"/>
    <w:rsid w:val="00487049"/>
    <w:rsid w:val="0048726C"/>
    <w:rsid w:val="00487635"/>
    <w:rsid w:val="00490326"/>
    <w:rsid w:val="004908DA"/>
    <w:rsid w:val="00490B4F"/>
    <w:rsid w:val="00490FFD"/>
    <w:rsid w:val="00491A5D"/>
    <w:rsid w:val="00491FAC"/>
    <w:rsid w:val="00492A58"/>
    <w:rsid w:val="00492ACD"/>
    <w:rsid w:val="00493A5E"/>
    <w:rsid w:val="00493A63"/>
    <w:rsid w:val="00495054"/>
    <w:rsid w:val="00497414"/>
    <w:rsid w:val="00497993"/>
    <w:rsid w:val="004A2729"/>
    <w:rsid w:val="004A28CD"/>
    <w:rsid w:val="004A3799"/>
    <w:rsid w:val="004A5B30"/>
    <w:rsid w:val="004A65C9"/>
    <w:rsid w:val="004A666C"/>
    <w:rsid w:val="004A69A2"/>
    <w:rsid w:val="004A7E6C"/>
    <w:rsid w:val="004A7EDF"/>
    <w:rsid w:val="004B065D"/>
    <w:rsid w:val="004B0CC4"/>
    <w:rsid w:val="004B1ABD"/>
    <w:rsid w:val="004B1C00"/>
    <w:rsid w:val="004B2A50"/>
    <w:rsid w:val="004B2E4B"/>
    <w:rsid w:val="004B37D6"/>
    <w:rsid w:val="004B3BFA"/>
    <w:rsid w:val="004B4FE0"/>
    <w:rsid w:val="004B7565"/>
    <w:rsid w:val="004B7DC9"/>
    <w:rsid w:val="004C03D1"/>
    <w:rsid w:val="004C05DF"/>
    <w:rsid w:val="004C0815"/>
    <w:rsid w:val="004C1D9F"/>
    <w:rsid w:val="004C1F06"/>
    <w:rsid w:val="004C2EE5"/>
    <w:rsid w:val="004C330A"/>
    <w:rsid w:val="004C3658"/>
    <w:rsid w:val="004C4B74"/>
    <w:rsid w:val="004C52BD"/>
    <w:rsid w:val="004C5311"/>
    <w:rsid w:val="004C575F"/>
    <w:rsid w:val="004C5F12"/>
    <w:rsid w:val="004C73CA"/>
    <w:rsid w:val="004D11E6"/>
    <w:rsid w:val="004D220B"/>
    <w:rsid w:val="004D44E3"/>
    <w:rsid w:val="004D46CF"/>
    <w:rsid w:val="004D4EAE"/>
    <w:rsid w:val="004D5420"/>
    <w:rsid w:val="004D56FD"/>
    <w:rsid w:val="004D5EBF"/>
    <w:rsid w:val="004D69F1"/>
    <w:rsid w:val="004E0DAA"/>
    <w:rsid w:val="004E185F"/>
    <w:rsid w:val="004E2698"/>
    <w:rsid w:val="004E2726"/>
    <w:rsid w:val="004E2A50"/>
    <w:rsid w:val="004E322B"/>
    <w:rsid w:val="004E4CD7"/>
    <w:rsid w:val="004E5293"/>
    <w:rsid w:val="004E66D7"/>
    <w:rsid w:val="004E733A"/>
    <w:rsid w:val="004E7478"/>
    <w:rsid w:val="004F024B"/>
    <w:rsid w:val="004F0327"/>
    <w:rsid w:val="004F08FD"/>
    <w:rsid w:val="004F0F95"/>
    <w:rsid w:val="004F0FED"/>
    <w:rsid w:val="004F15B7"/>
    <w:rsid w:val="004F34BB"/>
    <w:rsid w:val="004F3F7B"/>
    <w:rsid w:val="004F47D4"/>
    <w:rsid w:val="004F4DD4"/>
    <w:rsid w:val="004F5D35"/>
    <w:rsid w:val="004F6FE8"/>
    <w:rsid w:val="005002E7"/>
    <w:rsid w:val="00500564"/>
    <w:rsid w:val="005009ED"/>
    <w:rsid w:val="00503B50"/>
    <w:rsid w:val="00506E79"/>
    <w:rsid w:val="00507EB3"/>
    <w:rsid w:val="005105B4"/>
    <w:rsid w:val="00511A08"/>
    <w:rsid w:val="00511B7A"/>
    <w:rsid w:val="005138AC"/>
    <w:rsid w:val="0051543C"/>
    <w:rsid w:val="0051580D"/>
    <w:rsid w:val="00516293"/>
    <w:rsid w:val="005165DA"/>
    <w:rsid w:val="00517132"/>
    <w:rsid w:val="005178CE"/>
    <w:rsid w:val="00517A86"/>
    <w:rsid w:val="0052182D"/>
    <w:rsid w:val="00521940"/>
    <w:rsid w:val="00522953"/>
    <w:rsid w:val="00523535"/>
    <w:rsid w:val="0052564F"/>
    <w:rsid w:val="0052626C"/>
    <w:rsid w:val="00526B3C"/>
    <w:rsid w:val="00527A34"/>
    <w:rsid w:val="00531225"/>
    <w:rsid w:val="0053231D"/>
    <w:rsid w:val="00532546"/>
    <w:rsid w:val="005328CC"/>
    <w:rsid w:val="00532DED"/>
    <w:rsid w:val="00532E0F"/>
    <w:rsid w:val="005336EC"/>
    <w:rsid w:val="005337BF"/>
    <w:rsid w:val="00533BB5"/>
    <w:rsid w:val="00533F89"/>
    <w:rsid w:val="00534923"/>
    <w:rsid w:val="00534939"/>
    <w:rsid w:val="00534C2A"/>
    <w:rsid w:val="00535DF2"/>
    <w:rsid w:val="0053729F"/>
    <w:rsid w:val="00537AB3"/>
    <w:rsid w:val="00537CA3"/>
    <w:rsid w:val="0054121E"/>
    <w:rsid w:val="00542224"/>
    <w:rsid w:val="005426F9"/>
    <w:rsid w:val="00542C80"/>
    <w:rsid w:val="005456B2"/>
    <w:rsid w:val="00546A29"/>
    <w:rsid w:val="0055036F"/>
    <w:rsid w:val="0055057D"/>
    <w:rsid w:val="005512DE"/>
    <w:rsid w:val="005521B6"/>
    <w:rsid w:val="00553457"/>
    <w:rsid w:val="005555C3"/>
    <w:rsid w:val="005556C2"/>
    <w:rsid w:val="005565E9"/>
    <w:rsid w:val="005568E8"/>
    <w:rsid w:val="00556A85"/>
    <w:rsid w:val="00556B88"/>
    <w:rsid w:val="005571C0"/>
    <w:rsid w:val="005633D4"/>
    <w:rsid w:val="00563B8C"/>
    <w:rsid w:val="00564896"/>
    <w:rsid w:val="0056608F"/>
    <w:rsid w:val="00566401"/>
    <w:rsid w:val="00566AEC"/>
    <w:rsid w:val="00567526"/>
    <w:rsid w:val="005703C7"/>
    <w:rsid w:val="00570616"/>
    <w:rsid w:val="00571BCD"/>
    <w:rsid w:val="0057315F"/>
    <w:rsid w:val="005757D6"/>
    <w:rsid w:val="00577DE3"/>
    <w:rsid w:val="00577E6E"/>
    <w:rsid w:val="005818E9"/>
    <w:rsid w:val="00582363"/>
    <w:rsid w:val="005829A2"/>
    <w:rsid w:val="00583F19"/>
    <w:rsid w:val="00584BAB"/>
    <w:rsid w:val="00584E47"/>
    <w:rsid w:val="005862D1"/>
    <w:rsid w:val="00586541"/>
    <w:rsid w:val="00586872"/>
    <w:rsid w:val="005869E5"/>
    <w:rsid w:val="00591426"/>
    <w:rsid w:val="005915E2"/>
    <w:rsid w:val="00593017"/>
    <w:rsid w:val="005939CC"/>
    <w:rsid w:val="005948BA"/>
    <w:rsid w:val="00595A5B"/>
    <w:rsid w:val="00595A9F"/>
    <w:rsid w:val="005966C8"/>
    <w:rsid w:val="005A01F5"/>
    <w:rsid w:val="005A0D2E"/>
    <w:rsid w:val="005A25C8"/>
    <w:rsid w:val="005A2EEA"/>
    <w:rsid w:val="005A4258"/>
    <w:rsid w:val="005A4957"/>
    <w:rsid w:val="005A6162"/>
    <w:rsid w:val="005A61B3"/>
    <w:rsid w:val="005A6DA4"/>
    <w:rsid w:val="005A6E7F"/>
    <w:rsid w:val="005A79B1"/>
    <w:rsid w:val="005B1947"/>
    <w:rsid w:val="005B2EC1"/>
    <w:rsid w:val="005B373B"/>
    <w:rsid w:val="005B4D61"/>
    <w:rsid w:val="005B575D"/>
    <w:rsid w:val="005B698D"/>
    <w:rsid w:val="005B7535"/>
    <w:rsid w:val="005C08B1"/>
    <w:rsid w:val="005C264A"/>
    <w:rsid w:val="005C5048"/>
    <w:rsid w:val="005C5356"/>
    <w:rsid w:val="005C5C2C"/>
    <w:rsid w:val="005C6FA7"/>
    <w:rsid w:val="005C7C5B"/>
    <w:rsid w:val="005D0505"/>
    <w:rsid w:val="005D0B7E"/>
    <w:rsid w:val="005D1732"/>
    <w:rsid w:val="005D177A"/>
    <w:rsid w:val="005D4150"/>
    <w:rsid w:val="005D5091"/>
    <w:rsid w:val="005D59AF"/>
    <w:rsid w:val="005D5BE6"/>
    <w:rsid w:val="005D63C9"/>
    <w:rsid w:val="005D6D3F"/>
    <w:rsid w:val="005D7404"/>
    <w:rsid w:val="005E0023"/>
    <w:rsid w:val="005E023A"/>
    <w:rsid w:val="005E0365"/>
    <w:rsid w:val="005E05CC"/>
    <w:rsid w:val="005E0A31"/>
    <w:rsid w:val="005E165A"/>
    <w:rsid w:val="005E6C42"/>
    <w:rsid w:val="005E720D"/>
    <w:rsid w:val="005F0039"/>
    <w:rsid w:val="005F061F"/>
    <w:rsid w:val="005F3002"/>
    <w:rsid w:val="005F596C"/>
    <w:rsid w:val="005F7113"/>
    <w:rsid w:val="005F76F8"/>
    <w:rsid w:val="005F7C70"/>
    <w:rsid w:val="005F7D23"/>
    <w:rsid w:val="005F7ED4"/>
    <w:rsid w:val="0060092B"/>
    <w:rsid w:val="006009F0"/>
    <w:rsid w:val="00602887"/>
    <w:rsid w:val="00602D22"/>
    <w:rsid w:val="006030FB"/>
    <w:rsid w:val="00603E15"/>
    <w:rsid w:val="00605713"/>
    <w:rsid w:val="00607949"/>
    <w:rsid w:val="006126D6"/>
    <w:rsid w:val="0061276A"/>
    <w:rsid w:val="00612792"/>
    <w:rsid w:val="00612D35"/>
    <w:rsid w:val="00615716"/>
    <w:rsid w:val="00615DFE"/>
    <w:rsid w:val="00622EF3"/>
    <w:rsid w:val="00623353"/>
    <w:rsid w:val="00623B2B"/>
    <w:rsid w:val="006240C3"/>
    <w:rsid w:val="00624441"/>
    <w:rsid w:val="006247C3"/>
    <w:rsid w:val="0062760F"/>
    <w:rsid w:val="00630FC2"/>
    <w:rsid w:val="0063217B"/>
    <w:rsid w:val="00633D83"/>
    <w:rsid w:val="006343DE"/>
    <w:rsid w:val="00636D81"/>
    <w:rsid w:val="0063756A"/>
    <w:rsid w:val="00637DA2"/>
    <w:rsid w:val="00640AD7"/>
    <w:rsid w:val="006413FA"/>
    <w:rsid w:val="00641F63"/>
    <w:rsid w:val="006425AC"/>
    <w:rsid w:val="006454C5"/>
    <w:rsid w:val="0064591C"/>
    <w:rsid w:val="00645C44"/>
    <w:rsid w:val="0064608E"/>
    <w:rsid w:val="006501F5"/>
    <w:rsid w:val="006515C8"/>
    <w:rsid w:val="00653374"/>
    <w:rsid w:val="0065376B"/>
    <w:rsid w:val="006539C0"/>
    <w:rsid w:val="00653EE3"/>
    <w:rsid w:val="00653EFE"/>
    <w:rsid w:val="0065477F"/>
    <w:rsid w:val="00654BBD"/>
    <w:rsid w:val="00654D9D"/>
    <w:rsid w:val="006617D7"/>
    <w:rsid w:val="00661E23"/>
    <w:rsid w:val="00664280"/>
    <w:rsid w:val="0066449F"/>
    <w:rsid w:val="0066465B"/>
    <w:rsid w:val="00665310"/>
    <w:rsid w:val="00665F5E"/>
    <w:rsid w:val="006666D7"/>
    <w:rsid w:val="00667DA4"/>
    <w:rsid w:val="00670265"/>
    <w:rsid w:val="00671819"/>
    <w:rsid w:val="0067200F"/>
    <w:rsid w:val="00672BDD"/>
    <w:rsid w:val="00673C9C"/>
    <w:rsid w:val="0067432A"/>
    <w:rsid w:val="00674D3F"/>
    <w:rsid w:val="0067518E"/>
    <w:rsid w:val="006765E2"/>
    <w:rsid w:val="006775FA"/>
    <w:rsid w:val="006804B9"/>
    <w:rsid w:val="006811E7"/>
    <w:rsid w:val="00684A96"/>
    <w:rsid w:val="00686038"/>
    <w:rsid w:val="00687D51"/>
    <w:rsid w:val="00687EBF"/>
    <w:rsid w:val="00691845"/>
    <w:rsid w:val="00691FBB"/>
    <w:rsid w:val="006943F5"/>
    <w:rsid w:val="00694AF2"/>
    <w:rsid w:val="006960B5"/>
    <w:rsid w:val="00696F07"/>
    <w:rsid w:val="006975B1"/>
    <w:rsid w:val="00697D03"/>
    <w:rsid w:val="006A05FD"/>
    <w:rsid w:val="006A217F"/>
    <w:rsid w:val="006A311D"/>
    <w:rsid w:val="006A3D32"/>
    <w:rsid w:val="006A4B4B"/>
    <w:rsid w:val="006A6D4D"/>
    <w:rsid w:val="006B103F"/>
    <w:rsid w:val="006B2975"/>
    <w:rsid w:val="006B2C44"/>
    <w:rsid w:val="006B3016"/>
    <w:rsid w:val="006B34AD"/>
    <w:rsid w:val="006B35B4"/>
    <w:rsid w:val="006B37AE"/>
    <w:rsid w:val="006B3AF3"/>
    <w:rsid w:val="006B3B3F"/>
    <w:rsid w:val="006B42A5"/>
    <w:rsid w:val="006B43B7"/>
    <w:rsid w:val="006B458B"/>
    <w:rsid w:val="006B5F3C"/>
    <w:rsid w:val="006B61C3"/>
    <w:rsid w:val="006B6620"/>
    <w:rsid w:val="006B70F0"/>
    <w:rsid w:val="006B7F69"/>
    <w:rsid w:val="006C0A53"/>
    <w:rsid w:val="006C1557"/>
    <w:rsid w:val="006C1FAB"/>
    <w:rsid w:val="006C34C7"/>
    <w:rsid w:val="006C36E2"/>
    <w:rsid w:val="006C531F"/>
    <w:rsid w:val="006C572C"/>
    <w:rsid w:val="006C65C0"/>
    <w:rsid w:val="006C6783"/>
    <w:rsid w:val="006C6F66"/>
    <w:rsid w:val="006C7D62"/>
    <w:rsid w:val="006D0D7A"/>
    <w:rsid w:val="006D1924"/>
    <w:rsid w:val="006D2766"/>
    <w:rsid w:val="006D38BA"/>
    <w:rsid w:val="006D56DF"/>
    <w:rsid w:val="006D6498"/>
    <w:rsid w:val="006D670D"/>
    <w:rsid w:val="006D688F"/>
    <w:rsid w:val="006D6ADD"/>
    <w:rsid w:val="006D75CE"/>
    <w:rsid w:val="006D7DC2"/>
    <w:rsid w:val="006E152F"/>
    <w:rsid w:val="006E222D"/>
    <w:rsid w:val="006E31FE"/>
    <w:rsid w:val="006E3A6B"/>
    <w:rsid w:val="006E4C7F"/>
    <w:rsid w:val="006E505D"/>
    <w:rsid w:val="006E6BCE"/>
    <w:rsid w:val="006E6F1F"/>
    <w:rsid w:val="006E7637"/>
    <w:rsid w:val="006E7798"/>
    <w:rsid w:val="006E7D2E"/>
    <w:rsid w:val="006F00B5"/>
    <w:rsid w:val="006F021A"/>
    <w:rsid w:val="006F07BA"/>
    <w:rsid w:val="006F3221"/>
    <w:rsid w:val="006F4F67"/>
    <w:rsid w:val="006F6C9B"/>
    <w:rsid w:val="00701CC1"/>
    <w:rsid w:val="00704650"/>
    <w:rsid w:val="00706153"/>
    <w:rsid w:val="0070634A"/>
    <w:rsid w:val="007073B5"/>
    <w:rsid w:val="0071043E"/>
    <w:rsid w:val="00710ABA"/>
    <w:rsid w:val="00710CDB"/>
    <w:rsid w:val="007132DF"/>
    <w:rsid w:val="00714693"/>
    <w:rsid w:val="0072020F"/>
    <w:rsid w:val="0072058A"/>
    <w:rsid w:val="007223FA"/>
    <w:rsid w:val="00723111"/>
    <w:rsid w:val="007242C7"/>
    <w:rsid w:val="007248CA"/>
    <w:rsid w:val="00724CE9"/>
    <w:rsid w:val="0072504E"/>
    <w:rsid w:val="0072619D"/>
    <w:rsid w:val="0072688B"/>
    <w:rsid w:val="00726AA0"/>
    <w:rsid w:val="00727776"/>
    <w:rsid w:val="00727C81"/>
    <w:rsid w:val="00730ADC"/>
    <w:rsid w:val="00731F2D"/>
    <w:rsid w:val="00733386"/>
    <w:rsid w:val="00733529"/>
    <w:rsid w:val="007335D5"/>
    <w:rsid w:val="00734B07"/>
    <w:rsid w:val="00735F5E"/>
    <w:rsid w:val="00736AF0"/>
    <w:rsid w:val="0074319F"/>
    <w:rsid w:val="00743A55"/>
    <w:rsid w:val="0074497B"/>
    <w:rsid w:val="007451DF"/>
    <w:rsid w:val="00745AD3"/>
    <w:rsid w:val="00745C40"/>
    <w:rsid w:val="00747DCB"/>
    <w:rsid w:val="00752417"/>
    <w:rsid w:val="00752E88"/>
    <w:rsid w:val="00754549"/>
    <w:rsid w:val="007556C1"/>
    <w:rsid w:val="007558D4"/>
    <w:rsid w:val="00756995"/>
    <w:rsid w:val="007575B3"/>
    <w:rsid w:val="007578BD"/>
    <w:rsid w:val="00760B95"/>
    <w:rsid w:val="0076182C"/>
    <w:rsid w:val="00762378"/>
    <w:rsid w:val="00762828"/>
    <w:rsid w:val="007634B8"/>
    <w:rsid w:val="0076463A"/>
    <w:rsid w:val="00765686"/>
    <w:rsid w:val="00766101"/>
    <w:rsid w:val="00766D53"/>
    <w:rsid w:val="007707A2"/>
    <w:rsid w:val="0077094F"/>
    <w:rsid w:val="0077107B"/>
    <w:rsid w:val="00771546"/>
    <w:rsid w:val="00771AA4"/>
    <w:rsid w:val="00771EA9"/>
    <w:rsid w:val="00771EC4"/>
    <w:rsid w:val="00772767"/>
    <w:rsid w:val="00773856"/>
    <w:rsid w:val="00773F9D"/>
    <w:rsid w:val="007749AD"/>
    <w:rsid w:val="00774BFA"/>
    <w:rsid w:val="00775CBF"/>
    <w:rsid w:val="00775FEF"/>
    <w:rsid w:val="0077740D"/>
    <w:rsid w:val="00780943"/>
    <w:rsid w:val="00781545"/>
    <w:rsid w:val="00781F48"/>
    <w:rsid w:val="00782180"/>
    <w:rsid w:val="0078324F"/>
    <w:rsid w:val="00783B94"/>
    <w:rsid w:val="00783C33"/>
    <w:rsid w:val="00784B63"/>
    <w:rsid w:val="00784D01"/>
    <w:rsid w:val="00792169"/>
    <w:rsid w:val="00792D3B"/>
    <w:rsid w:val="007940AD"/>
    <w:rsid w:val="0079461D"/>
    <w:rsid w:val="007946FD"/>
    <w:rsid w:val="0079499D"/>
    <w:rsid w:val="00795740"/>
    <w:rsid w:val="00795E8A"/>
    <w:rsid w:val="007963E6"/>
    <w:rsid w:val="00796F6D"/>
    <w:rsid w:val="007971D8"/>
    <w:rsid w:val="007972F9"/>
    <w:rsid w:val="007A04F5"/>
    <w:rsid w:val="007A0F15"/>
    <w:rsid w:val="007A115D"/>
    <w:rsid w:val="007A2C58"/>
    <w:rsid w:val="007A34BA"/>
    <w:rsid w:val="007A5985"/>
    <w:rsid w:val="007A6856"/>
    <w:rsid w:val="007A720C"/>
    <w:rsid w:val="007B0352"/>
    <w:rsid w:val="007B1A98"/>
    <w:rsid w:val="007B2B90"/>
    <w:rsid w:val="007B355F"/>
    <w:rsid w:val="007B3C83"/>
    <w:rsid w:val="007B4A2F"/>
    <w:rsid w:val="007B59DF"/>
    <w:rsid w:val="007B6551"/>
    <w:rsid w:val="007B6C50"/>
    <w:rsid w:val="007B7E27"/>
    <w:rsid w:val="007C0CEF"/>
    <w:rsid w:val="007C1288"/>
    <w:rsid w:val="007C153E"/>
    <w:rsid w:val="007C18C5"/>
    <w:rsid w:val="007C357A"/>
    <w:rsid w:val="007C4009"/>
    <w:rsid w:val="007C57D4"/>
    <w:rsid w:val="007C7AF0"/>
    <w:rsid w:val="007D0FF5"/>
    <w:rsid w:val="007D2473"/>
    <w:rsid w:val="007D3EC5"/>
    <w:rsid w:val="007D4C76"/>
    <w:rsid w:val="007D4E3C"/>
    <w:rsid w:val="007D4EFB"/>
    <w:rsid w:val="007D6142"/>
    <w:rsid w:val="007D617E"/>
    <w:rsid w:val="007D64E5"/>
    <w:rsid w:val="007D7A32"/>
    <w:rsid w:val="007D7DD1"/>
    <w:rsid w:val="007E052C"/>
    <w:rsid w:val="007E0D6F"/>
    <w:rsid w:val="007E0F40"/>
    <w:rsid w:val="007E102E"/>
    <w:rsid w:val="007E2E59"/>
    <w:rsid w:val="007E2F95"/>
    <w:rsid w:val="007E34FF"/>
    <w:rsid w:val="007E3B66"/>
    <w:rsid w:val="007E3C94"/>
    <w:rsid w:val="007E5150"/>
    <w:rsid w:val="007E5FFB"/>
    <w:rsid w:val="007E6264"/>
    <w:rsid w:val="007E6E0C"/>
    <w:rsid w:val="007F05D6"/>
    <w:rsid w:val="007F08B0"/>
    <w:rsid w:val="007F207B"/>
    <w:rsid w:val="007F394A"/>
    <w:rsid w:val="007F4BDB"/>
    <w:rsid w:val="007F5391"/>
    <w:rsid w:val="0080176C"/>
    <w:rsid w:val="0080219D"/>
    <w:rsid w:val="0080252A"/>
    <w:rsid w:val="008026C9"/>
    <w:rsid w:val="008027BE"/>
    <w:rsid w:val="00802970"/>
    <w:rsid w:val="0080314E"/>
    <w:rsid w:val="00803AC3"/>
    <w:rsid w:val="0080601C"/>
    <w:rsid w:val="00806274"/>
    <w:rsid w:val="00806FE0"/>
    <w:rsid w:val="0081012F"/>
    <w:rsid w:val="0081161B"/>
    <w:rsid w:val="00811824"/>
    <w:rsid w:val="0081509D"/>
    <w:rsid w:val="00815171"/>
    <w:rsid w:val="0081605A"/>
    <w:rsid w:val="00816968"/>
    <w:rsid w:val="0082011D"/>
    <w:rsid w:val="008202E7"/>
    <w:rsid w:val="008208EC"/>
    <w:rsid w:val="00822200"/>
    <w:rsid w:val="008225A8"/>
    <w:rsid w:val="0082354F"/>
    <w:rsid w:val="00823AC6"/>
    <w:rsid w:val="0082777B"/>
    <w:rsid w:val="00830B23"/>
    <w:rsid w:val="00831267"/>
    <w:rsid w:val="008314FB"/>
    <w:rsid w:val="0083270B"/>
    <w:rsid w:val="008327F2"/>
    <w:rsid w:val="00832E2F"/>
    <w:rsid w:val="0083300B"/>
    <w:rsid w:val="00834C3D"/>
    <w:rsid w:val="00834ED1"/>
    <w:rsid w:val="00835D6C"/>
    <w:rsid w:val="00836DD3"/>
    <w:rsid w:val="008372BC"/>
    <w:rsid w:val="00840CDE"/>
    <w:rsid w:val="00841EA8"/>
    <w:rsid w:val="00842483"/>
    <w:rsid w:val="00842F7C"/>
    <w:rsid w:val="0084319E"/>
    <w:rsid w:val="00844298"/>
    <w:rsid w:val="00844BE2"/>
    <w:rsid w:val="00847291"/>
    <w:rsid w:val="008508DD"/>
    <w:rsid w:val="00853140"/>
    <w:rsid w:val="00853329"/>
    <w:rsid w:val="00853B48"/>
    <w:rsid w:val="0086254C"/>
    <w:rsid w:val="008632B9"/>
    <w:rsid w:val="00863518"/>
    <w:rsid w:val="00863738"/>
    <w:rsid w:val="008670C2"/>
    <w:rsid w:val="008675FB"/>
    <w:rsid w:val="0087061B"/>
    <w:rsid w:val="00872209"/>
    <w:rsid w:val="00872FD7"/>
    <w:rsid w:val="008744CB"/>
    <w:rsid w:val="00874653"/>
    <w:rsid w:val="00875EFC"/>
    <w:rsid w:val="0087666B"/>
    <w:rsid w:val="0087778F"/>
    <w:rsid w:val="0088067F"/>
    <w:rsid w:val="00880EAD"/>
    <w:rsid w:val="00881B97"/>
    <w:rsid w:val="0088217C"/>
    <w:rsid w:val="00882323"/>
    <w:rsid w:val="008829A3"/>
    <w:rsid w:val="00882CAE"/>
    <w:rsid w:val="008833B3"/>
    <w:rsid w:val="00883DD1"/>
    <w:rsid w:val="00886311"/>
    <w:rsid w:val="0088636B"/>
    <w:rsid w:val="00886851"/>
    <w:rsid w:val="0088746E"/>
    <w:rsid w:val="0089044F"/>
    <w:rsid w:val="008935C8"/>
    <w:rsid w:val="0089377F"/>
    <w:rsid w:val="008939F7"/>
    <w:rsid w:val="0089693E"/>
    <w:rsid w:val="00897899"/>
    <w:rsid w:val="008A04F5"/>
    <w:rsid w:val="008A093E"/>
    <w:rsid w:val="008A1423"/>
    <w:rsid w:val="008A3288"/>
    <w:rsid w:val="008A35CD"/>
    <w:rsid w:val="008A39D6"/>
    <w:rsid w:val="008A3ACF"/>
    <w:rsid w:val="008A42FF"/>
    <w:rsid w:val="008A4459"/>
    <w:rsid w:val="008A6EDD"/>
    <w:rsid w:val="008A794A"/>
    <w:rsid w:val="008A7D8B"/>
    <w:rsid w:val="008B15E2"/>
    <w:rsid w:val="008B2BB1"/>
    <w:rsid w:val="008B2E69"/>
    <w:rsid w:val="008B3E97"/>
    <w:rsid w:val="008B497C"/>
    <w:rsid w:val="008B49CF"/>
    <w:rsid w:val="008B4F0C"/>
    <w:rsid w:val="008B6BF0"/>
    <w:rsid w:val="008B6D10"/>
    <w:rsid w:val="008B6F3D"/>
    <w:rsid w:val="008C040A"/>
    <w:rsid w:val="008C497D"/>
    <w:rsid w:val="008C4BF8"/>
    <w:rsid w:val="008C4DA8"/>
    <w:rsid w:val="008C6323"/>
    <w:rsid w:val="008C75CE"/>
    <w:rsid w:val="008D00A2"/>
    <w:rsid w:val="008D0873"/>
    <w:rsid w:val="008D24DE"/>
    <w:rsid w:val="008D31E4"/>
    <w:rsid w:val="008D4459"/>
    <w:rsid w:val="008D465C"/>
    <w:rsid w:val="008D4DB1"/>
    <w:rsid w:val="008D531E"/>
    <w:rsid w:val="008D5842"/>
    <w:rsid w:val="008D5E8E"/>
    <w:rsid w:val="008D6AEB"/>
    <w:rsid w:val="008D6E75"/>
    <w:rsid w:val="008D7476"/>
    <w:rsid w:val="008E07E8"/>
    <w:rsid w:val="008E0BB1"/>
    <w:rsid w:val="008E0D73"/>
    <w:rsid w:val="008E1686"/>
    <w:rsid w:val="008E220A"/>
    <w:rsid w:val="008E2F74"/>
    <w:rsid w:val="008E347E"/>
    <w:rsid w:val="008E3B87"/>
    <w:rsid w:val="008E488A"/>
    <w:rsid w:val="008E74EA"/>
    <w:rsid w:val="008E7AEC"/>
    <w:rsid w:val="008F0067"/>
    <w:rsid w:val="008F095F"/>
    <w:rsid w:val="008F0EE0"/>
    <w:rsid w:val="008F1D48"/>
    <w:rsid w:val="008F232A"/>
    <w:rsid w:val="008F2EF5"/>
    <w:rsid w:val="008F39CB"/>
    <w:rsid w:val="008F51FA"/>
    <w:rsid w:val="008F5277"/>
    <w:rsid w:val="008F6E35"/>
    <w:rsid w:val="008F785F"/>
    <w:rsid w:val="00901AE2"/>
    <w:rsid w:val="00901B50"/>
    <w:rsid w:val="0090370F"/>
    <w:rsid w:val="00904CB5"/>
    <w:rsid w:val="009051C2"/>
    <w:rsid w:val="0090654A"/>
    <w:rsid w:val="00907C16"/>
    <w:rsid w:val="009100C3"/>
    <w:rsid w:val="00910917"/>
    <w:rsid w:val="00911954"/>
    <w:rsid w:val="00912674"/>
    <w:rsid w:val="009132EA"/>
    <w:rsid w:val="0091352F"/>
    <w:rsid w:val="00913907"/>
    <w:rsid w:val="00913D4E"/>
    <w:rsid w:val="009144AA"/>
    <w:rsid w:val="00915BB1"/>
    <w:rsid w:val="00915F27"/>
    <w:rsid w:val="0092021B"/>
    <w:rsid w:val="00920A7B"/>
    <w:rsid w:val="00921D4C"/>
    <w:rsid w:val="00923B73"/>
    <w:rsid w:val="00923F38"/>
    <w:rsid w:val="0092412A"/>
    <w:rsid w:val="00924696"/>
    <w:rsid w:val="00925336"/>
    <w:rsid w:val="00925391"/>
    <w:rsid w:val="00927CE7"/>
    <w:rsid w:val="009305AF"/>
    <w:rsid w:val="009307C7"/>
    <w:rsid w:val="00930FE8"/>
    <w:rsid w:val="00930FF5"/>
    <w:rsid w:val="00932EC2"/>
    <w:rsid w:val="00934377"/>
    <w:rsid w:val="0093488A"/>
    <w:rsid w:val="00935568"/>
    <w:rsid w:val="00935BED"/>
    <w:rsid w:val="00936A46"/>
    <w:rsid w:val="0093798D"/>
    <w:rsid w:val="009405D1"/>
    <w:rsid w:val="00940BF2"/>
    <w:rsid w:val="00941B3A"/>
    <w:rsid w:val="0094241C"/>
    <w:rsid w:val="009439AD"/>
    <w:rsid w:val="00943C66"/>
    <w:rsid w:val="00945A5F"/>
    <w:rsid w:val="009469ED"/>
    <w:rsid w:val="0094794A"/>
    <w:rsid w:val="00947CC0"/>
    <w:rsid w:val="009526D8"/>
    <w:rsid w:val="00952A7B"/>
    <w:rsid w:val="009539AB"/>
    <w:rsid w:val="00953E01"/>
    <w:rsid w:val="0095529A"/>
    <w:rsid w:val="00955DC6"/>
    <w:rsid w:val="00957824"/>
    <w:rsid w:val="00957B82"/>
    <w:rsid w:val="0096282A"/>
    <w:rsid w:val="00962E2F"/>
    <w:rsid w:val="0096590B"/>
    <w:rsid w:val="009660CE"/>
    <w:rsid w:val="00966729"/>
    <w:rsid w:val="009669A6"/>
    <w:rsid w:val="00966EFE"/>
    <w:rsid w:val="009676B0"/>
    <w:rsid w:val="00967AFA"/>
    <w:rsid w:val="00972239"/>
    <w:rsid w:val="00972CAE"/>
    <w:rsid w:val="00972FCE"/>
    <w:rsid w:val="00972FD3"/>
    <w:rsid w:val="0097369A"/>
    <w:rsid w:val="00973870"/>
    <w:rsid w:val="00974A49"/>
    <w:rsid w:val="00975821"/>
    <w:rsid w:val="00977973"/>
    <w:rsid w:val="00977C37"/>
    <w:rsid w:val="00980EFB"/>
    <w:rsid w:val="0098172C"/>
    <w:rsid w:val="009831B8"/>
    <w:rsid w:val="00983FF7"/>
    <w:rsid w:val="00984847"/>
    <w:rsid w:val="00985418"/>
    <w:rsid w:val="00986849"/>
    <w:rsid w:val="00986B6E"/>
    <w:rsid w:val="00986D95"/>
    <w:rsid w:val="00986F3D"/>
    <w:rsid w:val="00987CB0"/>
    <w:rsid w:val="0099033E"/>
    <w:rsid w:val="00991AF2"/>
    <w:rsid w:val="00991E9F"/>
    <w:rsid w:val="00992B01"/>
    <w:rsid w:val="00993097"/>
    <w:rsid w:val="00993C73"/>
    <w:rsid w:val="00994FDE"/>
    <w:rsid w:val="009956FF"/>
    <w:rsid w:val="009959A9"/>
    <w:rsid w:val="00995E7A"/>
    <w:rsid w:val="009A195F"/>
    <w:rsid w:val="009A1C1B"/>
    <w:rsid w:val="009A26E9"/>
    <w:rsid w:val="009A351A"/>
    <w:rsid w:val="009A38FA"/>
    <w:rsid w:val="009A39A0"/>
    <w:rsid w:val="009A46C4"/>
    <w:rsid w:val="009A4974"/>
    <w:rsid w:val="009A5A1F"/>
    <w:rsid w:val="009A685A"/>
    <w:rsid w:val="009A6B5F"/>
    <w:rsid w:val="009A6D95"/>
    <w:rsid w:val="009A7111"/>
    <w:rsid w:val="009A7CDE"/>
    <w:rsid w:val="009B02FD"/>
    <w:rsid w:val="009B06B7"/>
    <w:rsid w:val="009B120D"/>
    <w:rsid w:val="009B12FD"/>
    <w:rsid w:val="009B23DA"/>
    <w:rsid w:val="009B4C5E"/>
    <w:rsid w:val="009B5360"/>
    <w:rsid w:val="009B61CC"/>
    <w:rsid w:val="009B77E3"/>
    <w:rsid w:val="009B7B2C"/>
    <w:rsid w:val="009B7E4A"/>
    <w:rsid w:val="009C384B"/>
    <w:rsid w:val="009C3D7F"/>
    <w:rsid w:val="009C5930"/>
    <w:rsid w:val="009C5A27"/>
    <w:rsid w:val="009C5B7C"/>
    <w:rsid w:val="009D126C"/>
    <w:rsid w:val="009D1D20"/>
    <w:rsid w:val="009D1EF5"/>
    <w:rsid w:val="009D2378"/>
    <w:rsid w:val="009D2465"/>
    <w:rsid w:val="009D2F0D"/>
    <w:rsid w:val="009D3886"/>
    <w:rsid w:val="009E18A2"/>
    <w:rsid w:val="009E24B8"/>
    <w:rsid w:val="009E3581"/>
    <w:rsid w:val="009E5329"/>
    <w:rsid w:val="009E65EE"/>
    <w:rsid w:val="009E7B04"/>
    <w:rsid w:val="009E7E25"/>
    <w:rsid w:val="009F0987"/>
    <w:rsid w:val="009F0C81"/>
    <w:rsid w:val="009F16A3"/>
    <w:rsid w:val="009F1E06"/>
    <w:rsid w:val="009F23F9"/>
    <w:rsid w:val="009F4190"/>
    <w:rsid w:val="009F468F"/>
    <w:rsid w:val="009F4832"/>
    <w:rsid w:val="009F59CD"/>
    <w:rsid w:val="00A0019F"/>
    <w:rsid w:val="00A002FF"/>
    <w:rsid w:val="00A01724"/>
    <w:rsid w:val="00A01BAB"/>
    <w:rsid w:val="00A020B1"/>
    <w:rsid w:val="00A022CE"/>
    <w:rsid w:val="00A02349"/>
    <w:rsid w:val="00A035FF"/>
    <w:rsid w:val="00A039E5"/>
    <w:rsid w:val="00A04140"/>
    <w:rsid w:val="00A0573C"/>
    <w:rsid w:val="00A05C72"/>
    <w:rsid w:val="00A06BA6"/>
    <w:rsid w:val="00A07E5B"/>
    <w:rsid w:val="00A12309"/>
    <w:rsid w:val="00A12E1A"/>
    <w:rsid w:val="00A12EC4"/>
    <w:rsid w:val="00A1302E"/>
    <w:rsid w:val="00A15A1B"/>
    <w:rsid w:val="00A164C1"/>
    <w:rsid w:val="00A17897"/>
    <w:rsid w:val="00A205D8"/>
    <w:rsid w:val="00A21A8E"/>
    <w:rsid w:val="00A22E39"/>
    <w:rsid w:val="00A22FD7"/>
    <w:rsid w:val="00A2479E"/>
    <w:rsid w:val="00A24916"/>
    <w:rsid w:val="00A26310"/>
    <w:rsid w:val="00A26B4E"/>
    <w:rsid w:val="00A3006C"/>
    <w:rsid w:val="00A30079"/>
    <w:rsid w:val="00A315C8"/>
    <w:rsid w:val="00A32E68"/>
    <w:rsid w:val="00A334B5"/>
    <w:rsid w:val="00A3674D"/>
    <w:rsid w:val="00A4064A"/>
    <w:rsid w:val="00A4126D"/>
    <w:rsid w:val="00A4166A"/>
    <w:rsid w:val="00A42537"/>
    <w:rsid w:val="00A43542"/>
    <w:rsid w:val="00A435DE"/>
    <w:rsid w:val="00A448C0"/>
    <w:rsid w:val="00A454F7"/>
    <w:rsid w:val="00A456D9"/>
    <w:rsid w:val="00A45928"/>
    <w:rsid w:val="00A45A0B"/>
    <w:rsid w:val="00A462CD"/>
    <w:rsid w:val="00A46FAE"/>
    <w:rsid w:val="00A47F97"/>
    <w:rsid w:val="00A5012D"/>
    <w:rsid w:val="00A50188"/>
    <w:rsid w:val="00A501EE"/>
    <w:rsid w:val="00A502F1"/>
    <w:rsid w:val="00A50D64"/>
    <w:rsid w:val="00A51BB1"/>
    <w:rsid w:val="00A51F01"/>
    <w:rsid w:val="00A54A8F"/>
    <w:rsid w:val="00A555A0"/>
    <w:rsid w:val="00A572DA"/>
    <w:rsid w:val="00A5735F"/>
    <w:rsid w:val="00A57632"/>
    <w:rsid w:val="00A60029"/>
    <w:rsid w:val="00A601D7"/>
    <w:rsid w:val="00A61087"/>
    <w:rsid w:val="00A614B2"/>
    <w:rsid w:val="00A6207A"/>
    <w:rsid w:val="00A62E66"/>
    <w:rsid w:val="00A63DCD"/>
    <w:rsid w:val="00A64A9F"/>
    <w:rsid w:val="00A65141"/>
    <w:rsid w:val="00A65AF3"/>
    <w:rsid w:val="00A668A6"/>
    <w:rsid w:val="00A67B1A"/>
    <w:rsid w:val="00A71255"/>
    <w:rsid w:val="00A71660"/>
    <w:rsid w:val="00A735E8"/>
    <w:rsid w:val="00A7518C"/>
    <w:rsid w:val="00A751EB"/>
    <w:rsid w:val="00A75646"/>
    <w:rsid w:val="00A75F86"/>
    <w:rsid w:val="00A768FB"/>
    <w:rsid w:val="00A77007"/>
    <w:rsid w:val="00A7773B"/>
    <w:rsid w:val="00A8041B"/>
    <w:rsid w:val="00A80A91"/>
    <w:rsid w:val="00A81692"/>
    <w:rsid w:val="00A81D1C"/>
    <w:rsid w:val="00A8333E"/>
    <w:rsid w:val="00A83375"/>
    <w:rsid w:val="00A838C6"/>
    <w:rsid w:val="00A83B50"/>
    <w:rsid w:val="00A874B7"/>
    <w:rsid w:val="00A91CDC"/>
    <w:rsid w:val="00A92CCE"/>
    <w:rsid w:val="00A93162"/>
    <w:rsid w:val="00A93563"/>
    <w:rsid w:val="00A94FD6"/>
    <w:rsid w:val="00A958A0"/>
    <w:rsid w:val="00AA1726"/>
    <w:rsid w:val="00AA1C20"/>
    <w:rsid w:val="00AA2ECF"/>
    <w:rsid w:val="00AA32FA"/>
    <w:rsid w:val="00AA5211"/>
    <w:rsid w:val="00AA58EC"/>
    <w:rsid w:val="00AA5D8F"/>
    <w:rsid w:val="00AA663C"/>
    <w:rsid w:val="00AA71A0"/>
    <w:rsid w:val="00AA7D3F"/>
    <w:rsid w:val="00AB10DA"/>
    <w:rsid w:val="00AB36E6"/>
    <w:rsid w:val="00AB3E0C"/>
    <w:rsid w:val="00AB57BD"/>
    <w:rsid w:val="00AB5955"/>
    <w:rsid w:val="00AB6C53"/>
    <w:rsid w:val="00AC05B6"/>
    <w:rsid w:val="00AC0D81"/>
    <w:rsid w:val="00AC0EBE"/>
    <w:rsid w:val="00AC1848"/>
    <w:rsid w:val="00AC2085"/>
    <w:rsid w:val="00AC2BC9"/>
    <w:rsid w:val="00AC44B4"/>
    <w:rsid w:val="00AC489B"/>
    <w:rsid w:val="00AC4BD7"/>
    <w:rsid w:val="00AC63EB"/>
    <w:rsid w:val="00AC64C6"/>
    <w:rsid w:val="00AC666A"/>
    <w:rsid w:val="00AC66DD"/>
    <w:rsid w:val="00AC7C83"/>
    <w:rsid w:val="00AD0242"/>
    <w:rsid w:val="00AD11B0"/>
    <w:rsid w:val="00AD208F"/>
    <w:rsid w:val="00AD76D7"/>
    <w:rsid w:val="00AD7867"/>
    <w:rsid w:val="00AD7F56"/>
    <w:rsid w:val="00AE0782"/>
    <w:rsid w:val="00AE0C03"/>
    <w:rsid w:val="00AE0F44"/>
    <w:rsid w:val="00AE14A6"/>
    <w:rsid w:val="00AE1B0C"/>
    <w:rsid w:val="00AE25A3"/>
    <w:rsid w:val="00AE411F"/>
    <w:rsid w:val="00AE4238"/>
    <w:rsid w:val="00AE449C"/>
    <w:rsid w:val="00AE5222"/>
    <w:rsid w:val="00AE52E1"/>
    <w:rsid w:val="00AE57A7"/>
    <w:rsid w:val="00AE62F2"/>
    <w:rsid w:val="00AF0745"/>
    <w:rsid w:val="00AF07BB"/>
    <w:rsid w:val="00AF212E"/>
    <w:rsid w:val="00AF29DB"/>
    <w:rsid w:val="00AF3229"/>
    <w:rsid w:val="00AF37EA"/>
    <w:rsid w:val="00B02EAF"/>
    <w:rsid w:val="00B079DE"/>
    <w:rsid w:val="00B07D76"/>
    <w:rsid w:val="00B101A5"/>
    <w:rsid w:val="00B1086E"/>
    <w:rsid w:val="00B113B1"/>
    <w:rsid w:val="00B13A97"/>
    <w:rsid w:val="00B13C1F"/>
    <w:rsid w:val="00B1429D"/>
    <w:rsid w:val="00B15535"/>
    <w:rsid w:val="00B16393"/>
    <w:rsid w:val="00B16E42"/>
    <w:rsid w:val="00B16F57"/>
    <w:rsid w:val="00B23FC4"/>
    <w:rsid w:val="00B2419A"/>
    <w:rsid w:val="00B24FA9"/>
    <w:rsid w:val="00B24FD7"/>
    <w:rsid w:val="00B3073A"/>
    <w:rsid w:val="00B312B1"/>
    <w:rsid w:val="00B3241A"/>
    <w:rsid w:val="00B3252F"/>
    <w:rsid w:val="00B339A5"/>
    <w:rsid w:val="00B3535F"/>
    <w:rsid w:val="00B3657A"/>
    <w:rsid w:val="00B37E9C"/>
    <w:rsid w:val="00B41E9A"/>
    <w:rsid w:val="00B4213E"/>
    <w:rsid w:val="00B42BCA"/>
    <w:rsid w:val="00B42C42"/>
    <w:rsid w:val="00B4341E"/>
    <w:rsid w:val="00B46E8B"/>
    <w:rsid w:val="00B46FFC"/>
    <w:rsid w:val="00B50393"/>
    <w:rsid w:val="00B506ED"/>
    <w:rsid w:val="00B51074"/>
    <w:rsid w:val="00B52A4D"/>
    <w:rsid w:val="00B52B85"/>
    <w:rsid w:val="00B52CBD"/>
    <w:rsid w:val="00B52F0C"/>
    <w:rsid w:val="00B5353D"/>
    <w:rsid w:val="00B53699"/>
    <w:rsid w:val="00B5523D"/>
    <w:rsid w:val="00B56C51"/>
    <w:rsid w:val="00B5758B"/>
    <w:rsid w:val="00B60BF1"/>
    <w:rsid w:val="00B61F69"/>
    <w:rsid w:val="00B62423"/>
    <w:rsid w:val="00B627AA"/>
    <w:rsid w:val="00B66844"/>
    <w:rsid w:val="00B66DE7"/>
    <w:rsid w:val="00B677F3"/>
    <w:rsid w:val="00B67A4A"/>
    <w:rsid w:val="00B67AB4"/>
    <w:rsid w:val="00B701AA"/>
    <w:rsid w:val="00B712EB"/>
    <w:rsid w:val="00B714EE"/>
    <w:rsid w:val="00B7276D"/>
    <w:rsid w:val="00B727E2"/>
    <w:rsid w:val="00B729E4"/>
    <w:rsid w:val="00B72B8A"/>
    <w:rsid w:val="00B731A4"/>
    <w:rsid w:val="00B73548"/>
    <w:rsid w:val="00B73CF4"/>
    <w:rsid w:val="00B742C6"/>
    <w:rsid w:val="00B74B03"/>
    <w:rsid w:val="00B76A1B"/>
    <w:rsid w:val="00B77493"/>
    <w:rsid w:val="00B779D3"/>
    <w:rsid w:val="00B77AF9"/>
    <w:rsid w:val="00B77AFE"/>
    <w:rsid w:val="00B82BF0"/>
    <w:rsid w:val="00B8302B"/>
    <w:rsid w:val="00B832CC"/>
    <w:rsid w:val="00B83F0D"/>
    <w:rsid w:val="00B84255"/>
    <w:rsid w:val="00B8429F"/>
    <w:rsid w:val="00B846F9"/>
    <w:rsid w:val="00B86088"/>
    <w:rsid w:val="00B87554"/>
    <w:rsid w:val="00B8780A"/>
    <w:rsid w:val="00B879E5"/>
    <w:rsid w:val="00B919A4"/>
    <w:rsid w:val="00B9228E"/>
    <w:rsid w:val="00B93CB1"/>
    <w:rsid w:val="00B93D44"/>
    <w:rsid w:val="00B93F6B"/>
    <w:rsid w:val="00B9460A"/>
    <w:rsid w:val="00B9464E"/>
    <w:rsid w:val="00B94B27"/>
    <w:rsid w:val="00B94C66"/>
    <w:rsid w:val="00B94C76"/>
    <w:rsid w:val="00B95342"/>
    <w:rsid w:val="00B965C2"/>
    <w:rsid w:val="00BA1072"/>
    <w:rsid w:val="00BA163C"/>
    <w:rsid w:val="00BA1756"/>
    <w:rsid w:val="00BA26DE"/>
    <w:rsid w:val="00BA2DE9"/>
    <w:rsid w:val="00BA317C"/>
    <w:rsid w:val="00BA3239"/>
    <w:rsid w:val="00BA4431"/>
    <w:rsid w:val="00BA48B0"/>
    <w:rsid w:val="00BA5915"/>
    <w:rsid w:val="00BA5B3D"/>
    <w:rsid w:val="00BA6AC0"/>
    <w:rsid w:val="00BB03EE"/>
    <w:rsid w:val="00BB0BD6"/>
    <w:rsid w:val="00BB0F64"/>
    <w:rsid w:val="00BB14F9"/>
    <w:rsid w:val="00BB166B"/>
    <w:rsid w:val="00BB1D29"/>
    <w:rsid w:val="00BB2891"/>
    <w:rsid w:val="00BB38CA"/>
    <w:rsid w:val="00BB3E4C"/>
    <w:rsid w:val="00BB5284"/>
    <w:rsid w:val="00BB6267"/>
    <w:rsid w:val="00BB759B"/>
    <w:rsid w:val="00BC08FF"/>
    <w:rsid w:val="00BC3402"/>
    <w:rsid w:val="00BC4038"/>
    <w:rsid w:val="00BC4C56"/>
    <w:rsid w:val="00BC4FEA"/>
    <w:rsid w:val="00BC587F"/>
    <w:rsid w:val="00BC5B33"/>
    <w:rsid w:val="00BC6770"/>
    <w:rsid w:val="00BC6A4E"/>
    <w:rsid w:val="00BC6BFC"/>
    <w:rsid w:val="00BC711A"/>
    <w:rsid w:val="00BC74E3"/>
    <w:rsid w:val="00BC7520"/>
    <w:rsid w:val="00BD096F"/>
    <w:rsid w:val="00BD127A"/>
    <w:rsid w:val="00BD1960"/>
    <w:rsid w:val="00BD2657"/>
    <w:rsid w:val="00BD4E90"/>
    <w:rsid w:val="00BD55F8"/>
    <w:rsid w:val="00BD5ACC"/>
    <w:rsid w:val="00BD6A2D"/>
    <w:rsid w:val="00BD7102"/>
    <w:rsid w:val="00BD7331"/>
    <w:rsid w:val="00BD77D0"/>
    <w:rsid w:val="00BE166E"/>
    <w:rsid w:val="00BE1F70"/>
    <w:rsid w:val="00BE2D3A"/>
    <w:rsid w:val="00BE30DE"/>
    <w:rsid w:val="00BE3913"/>
    <w:rsid w:val="00BE7268"/>
    <w:rsid w:val="00BE7D35"/>
    <w:rsid w:val="00BF17EF"/>
    <w:rsid w:val="00BF3972"/>
    <w:rsid w:val="00BF6249"/>
    <w:rsid w:val="00BF6F0D"/>
    <w:rsid w:val="00BF71A5"/>
    <w:rsid w:val="00BF72E6"/>
    <w:rsid w:val="00BF7AA6"/>
    <w:rsid w:val="00C01449"/>
    <w:rsid w:val="00C01B3B"/>
    <w:rsid w:val="00C021F8"/>
    <w:rsid w:val="00C022ED"/>
    <w:rsid w:val="00C051CA"/>
    <w:rsid w:val="00C10A73"/>
    <w:rsid w:val="00C10BF4"/>
    <w:rsid w:val="00C11237"/>
    <w:rsid w:val="00C114C1"/>
    <w:rsid w:val="00C1159D"/>
    <w:rsid w:val="00C118C8"/>
    <w:rsid w:val="00C12589"/>
    <w:rsid w:val="00C14862"/>
    <w:rsid w:val="00C1517E"/>
    <w:rsid w:val="00C16694"/>
    <w:rsid w:val="00C16E9D"/>
    <w:rsid w:val="00C17FF4"/>
    <w:rsid w:val="00C2066F"/>
    <w:rsid w:val="00C234E9"/>
    <w:rsid w:val="00C23D5F"/>
    <w:rsid w:val="00C25516"/>
    <w:rsid w:val="00C32D10"/>
    <w:rsid w:val="00C33745"/>
    <w:rsid w:val="00C34167"/>
    <w:rsid w:val="00C34C3E"/>
    <w:rsid w:val="00C34E8B"/>
    <w:rsid w:val="00C40815"/>
    <w:rsid w:val="00C41520"/>
    <w:rsid w:val="00C417B4"/>
    <w:rsid w:val="00C41B27"/>
    <w:rsid w:val="00C42636"/>
    <w:rsid w:val="00C4292F"/>
    <w:rsid w:val="00C42B8A"/>
    <w:rsid w:val="00C43B65"/>
    <w:rsid w:val="00C45702"/>
    <w:rsid w:val="00C47484"/>
    <w:rsid w:val="00C47DE9"/>
    <w:rsid w:val="00C50FD0"/>
    <w:rsid w:val="00C5123B"/>
    <w:rsid w:val="00C522A6"/>
    <w:rsid w:val="00C53475"/>
    <w:rsid w:val="00C53F01"/>
    <w:rsid w:val="00C55029"/>
    <w:rsid w:val="00C55D0B"/>
    <w:rsid w:val="00C55FA1"/>
    <w:rsid w:val="00C573B6"/>
    <w:rsid w:val="00C577E6"/>
    <w:rsid w:val="00C60677"/>
    <w:rsid w:val="00C6147E"/>
    <w:rsid w:val="00C618BC"/>
    <w:rsid w:val="00C61DC2"/>
    <w:rsid w:val="00C64E83"/>
    <w:rsid w:val="00C65F56"/>
    <w:rsid w:val="00C660A9"/>
    <w:rsid w:val="00C664F6"/>
    <w:rsid w:val="00C665DA"/>
    <w:rsid w:val="00C6720A"/>
    <w:rsid w:val="00C6791B"/>
    <w:rsid w:val="00C67B70"/>
    <w:rsid w:val="00C702C3"/>
    <w:rsid w:val="00C70EEA"/>
    <w:rsid w:val="00C71620"/>
    <w:rsid w:val="00C72E81"/>
    <w:rsid w:val="00C73423"/>
    <w:rsid w:val="00C73699"/>
    <w:rsid w:val="00C73971"/>
    <w:rsid w:val="00C74E9F"/>
    <w:rsid w:val="00C759C3"/>
    <w:rsid w:val="00C75BAC"/>
    <w:rsid w:val="00C76977"/>
    <w:rsid w:val="00C76AFF"/>
    <w:rsid w:val="00C77BC1"/>
    <w:rsid w:val="00C77DF2"/>
    <w:rsid w:val="00C81021"/>
    <w:rsid w:val="00C8149F"/>
    <w:rsid w:val="00C827BA"/>
    <w:rsid w:val="00C85C8A"/>
    <w:rsid w:val="00C85F3A"/>
    <w:rsid w:val="00C87402"/>
    <w:rsid w:val="00C87718"/>
    <w:rsid w:val="00C919E3"/>
    <w:rsid w:val="00C91C97"/>
    <w:rsid w:val="00C92D6C"/>
    <w:rsid w:val="00C936AD"/>
    <w:rsid w:val="00C94080"/>
    <w:rsid w:val="00C944D4"/>
    <w:rsid w:val="00C960EE"/>
    <w:rsid w:val="00C96A57"/>
    <w:rsid w:val="00CA08E0"/>
    <w:rsid w:val="00CA2BA2"/>
    <w:rsid w:val="00CA427E"/>
    <w:rsid w:val="00CA461B"/>
    <w:rsid w:val="00CA462A"/>
    <w:rsid w:val="00CA525E"/>
    <w:rsid w:val="00CA541B"/>
    <w:rsid w:val="00CA6ACD"/>
    <w:rsid w:val="00CA6FAC"/>
    <w:rsid w:val="00CA7E53"/>
    <w:rsid w:val="00CB03C3"/>
    <w:rsid w:val="00CB410A"/>
    <w:rsid w:val="00CB53A6"/>
    <w:rsid w:val="00CB746E"/>
    <w:rsid w:val="00CC1157"/>
    <w:rsid w:val="00CC2B6E"/>
    <w:rsid w:val="00CC437C"/>
    <w:rsid w:val="00CC5532"/>
    <w:rsid w:val="00CC65BC"/>
    <w:rsid w:val="00CD025E"/>
    <w:rsid w:val="00CD03EE"/>
    <w:rsid w:val="00CD0C56"/>
    <w:rsid w:val="00CD20CA"/>
    <w:rsid w:val="00CD27F2"/>
    <w:rsid w:val="00CD2817"/>
    <w:rsid w:val="00CD6DD1"/>
    <w:rsid w:val="00CD6FEA"/>
    <w:rsid w:val="00CE0F96"/>
    <w:rsid w:val="00CE158A"/>
    <w:rsid w:val="00CE3735"/>
    <w:rsid w:val="00CE3D96"/>
    <w:rsid w:val="00CE3E1B"/>
    <w:rsid w:val="00CE525C"/>
    <w:rsid w:val="00CE554D"/>
    <w:rsid w:val="00CF0EC6"/>
    <w:rsid w:val="00CF32ED"/>
    <w:rsid w:val="00CF3BAB"/>
    <w:rsid w:val="00CF5492"/>
    <w:rsid w:val="00CF74E8"/>
    <w:rsid w:val="00CF7F55"/>
    <w:rsid w:val="00D003EB"/>
    <w:rsid w:val="00D00E05"/>
    <w:rsid w:val="00D01DCD"/>
    <w:rsid w:val="00D02C10"/>
    <w:rsid w:val="00D037C6"/>
    <w:rsid w:val="00D05F61"/>
    <w:rsid w:val="00D06044"/>
    <w:rsid w:val="00D06454"/>
    <w:rsid w:val="00D06C62"/>
    <w:rsid w:val="00D06D3B"/>
    <w:rsid w:val="00D07014"/>
    <w:rsid w:val="00D07900"/>
    <w:rsid w:val="00D07AA8"/>
    <w:rsid w:val="00D10AB3"/>
    <w:rsid w:val="00D11230"/>
    <w:rsid w:val="00D11F53"/>
    <w:rsid w:val="00D1261B"/>
    <w:rsid w:val="00D14F36"/>
    <w:rsid w:val="00D1579C"/>
    <w:rsid w:val="00D15985"/>
    <w:rsid w:val="00D163FB"/>
    <w:rsid w:val="00D16C60"/>
    <w:rsid w:val="00D17D58"/>
    <w:rsid w:val="00D2116E"/>
    <w:rsid w:val="00D22B1A"/>
    <w:rsid w:val="00D234D1"/>
    <w:rsid w:val="00D2370B"/>
    <w:rsid w:val="00D2392D"/>
    <w:rsid w:val="00D2491A"/>
    <w:rsid w:val="00D2583F"/>
    <w:rsid w:val="00D268B3"/>
    <w:rsid w:val="00D27121"/>
    <w:rsid w:val="00D273D2"/>
    <w:rsid w:val="00D27639"/>
    <w:rsid w:val="00D32223"/>
    <w:rsid w:val="00D32F14"/>
    <w:rsid w:val="00D33001"/>
    <w:rsid w:val="00D3567B"/>
    <w:rsid w:val="00D35B6E"/>
    <w:rsid w:val="00D35EE7"/>
    <w:rsid w:val="00D37CF0"/>
    <w:rsid w:val="00D41400"/>
    <w:rsid w:val="00D42538"/>
    <w:rsid w:val="00D42CC6"/>
    <w:rsid w:val="00D43559"/>
    <w:rsid w:val="00D447AD"/>
    <w:rsid w:val="00D44C86"/>
    <w:rsid w:val="00D4550B"/>
    <w:rsid w:val="00D459D4"/>
    <w:rsid w:val="00D469B3"/>
    <w:rsid w:val="00D4789D"/>
    <w:rsid w:val="00D514C6"/>
    <w:rsid w:val="00D534BC"/>
    <w:rsid w:val="00D552A2"/>
    <w:rsid w:val="00D55A06"/>
    <w:rsid w:val="00D56779"/>
    <w:rsid w:val="00D6073D"/>
    <w:rsid w:val="00D61E56"/>
    <w:rsid w:val="00D62DAD"/>
    <w:rsid w:val="00D6374E"/>
    <w:rsid w:val="00D63C4E"/>
    <w:rsid w:val="00D67DC5"/>
    <w:rsid w:val="00D67ED4"/>
    <w:rsid w:val="00D700AF"/>
    <w:rsid w:val="00D70328"/>
    <w:rsid w:val="00D70739"/>
    <w:rsid w:val="00D70924"/>
    <w:rsid w:val="00D72743"/>
    <w:rsid w:val="00D738EC"/>
    <w:rsid w:val="00D747B0"/>
    <w:rsid w:val="00D770B7"/>
    <w:rsid w:val="00D77A36"/>
    <w:rsid w:val="00D81969"/>
    <w:rsid w:val="00D82B81"/>
    <w:rsid w:val="00D853B3"/>
    <w:rsid w:val="00D85598"/>
    <w:rsid w:val="00D85C1D"/>
    <w:rsid w:val="00D866A2"/>
    <w:rsid w:val="00D8687F"/>
    <w:rsid w:val="00D86FF0"/>
    <w:rsid w:val="00D932D9"/>
    <w:rsid w:val="00D934A6"/>
    <w:rsid w:val="00D940F3"/>
    <w:rsid w:val="00D94DB0"/>
    <w:rsid w:val="00D94F31"/>
    <w:rsid w:val="00D96E12"/>
    <w:rsid w:val="00D9767A"/>
    <w:rsid w:val="00D97B73"/>
    <w:rsid w:val="00DA038F"/>
    <w:rsid w:val="00DA0D2C"/>
    <w:rsid w:val="00DA0E02"/>
    <w:rsid w:val="00DA14E2"/>
    <w:rsid w:val="00DA1557"/>
    <w:rsid w:val="00DA1A50"/>
    <w:rsid w:val="00DA1EDF"/>
    <w:rsid w:val="00DA23B5"/>
    <w:rsid w:val="00DA2E19"/>
    <w:rsid w:val="00DA31B0"/>
    <w:rsid w:val="00DA35E7"/>
    <w:rsid w:val="00DA3805"/>
    <w:rsid w:val="00DA4699"/>
    <w:rsid w:val="00DA49E1"/>
    <w:rsid w:val="00DA5107"/>
    <w:rsid w:val="00DA7761"/>
    <w:rsid w:val="00DA7C59"/>
    <w:rsid w:val="00DB0E3A"/>
    <w:rsid w:val="00DB19DC"/>
    <w:rsid w:val="00DB20D2"/>
    <w:rsid w:val="00DB2D2C"/>
    <w:rsid w:val="00DB362A"/>
    <w:rsid w:val="00DB3BAE"/>
    <w:rsid w:val="00DB4CB5"/>
    <w:rsid w:val="00DB5098"/>
    <w:rsid w:val="00DB7F82"/>
    <w:rsid w:val="00DC1712"/>
    <w:rsid w:val="00DC2FB2"/>
    <w:rsid w:val="00DC380E"/>
    <w:rsid w:val="00DC478B"/>
    <w:rsid w:val="00DC501D"/>
    <w:rsid w:val="00DC5BB3"/>
    <w:rsid w:val="00DC5CD6"/>
    <w:rsid w:val="00DC5F68"/>
    <w:rsid w:val="00DC618A"/>
    <w:rsid w:val="00DC6A74"/>
    <w:rsid w:val="00DC6F06"/>
    <w:rsid w:val="00DC797E"/>
    <w:rsid w:val="00DC7C4C"/>
    <w:rsid w:val="00DD1761"/>
    <w:rsid w:val="00DD5784"/>
    <w:rsid w:val="00DD5DF1"/>
    <w:rsid w:val="00DD77E5"/>
    <w:rsid w:val="00DD7971"/>
    <w:rsid w:val="00DE1DDB"/>
    <w:rsid w:val="00DE4B91"/>
    <w:rsid w:val="00DE5C53"/>
    <w:rsid w:val="00DE630C"/>
    <w:rsid w:val="00DE65D7"/>
    <w:rsid w:val="00DE7693"/>
    <w:rsid w:val="00DF1332"/>
    <w:rsid w:val="00DF1487"/>
    <w:rsid w:val="00DF3571"/>
    <w:rsid w:val="00DF65AB"/>
    <w:rsid w:val="00DF6613"/>
    <w:rsid w:val="00E014D7"/>
    <w:rsid w:val="00E01A9F"/>
    <w:rsid w:val="00E025C2"/>
    <w:rsid w:val="00E02881"/>
    <w:rsid w:val="00E02964"/>
    <w:rsid w:val="00E034B1"/>
    <w:rsid w:val="00E034C9"/>
    <w:rsid w:val="00E03C05"/>
    <w:rsid w:val="00E03D6F"/>
    <w:rsid w:val="00E05717"/>
    <w:rsid w:val="00E06B1A"/>
    <w:rsid w:val="00E07044"/>
    <w:rsid w:val="00E0741F"/>
    <w:rsid w:val="00E076E0"/>
    <w:rsid w:val="00E0776A"/>
    <w:rsid w:val="00E10295"/>
    <w:rsid w:val="00E10FF9"/>
    <w:rsid w:val="00E111B2"/>
    <w:rsid w:val="00E115CB"/>
    <w:rsid w:val="00E13E08"/>
    <w:rsid w:val="00E15945"/>
    <w:rsid w:val="00E15A72"/>
    <w:rsid w:val="00E16B66"/>
    <w:rsid w:val="00E170D4"/>
    <w:rsid w:val="00E17764"/>
    <w:rsid w:val="00E201D3"/>
    <w:rsid w:val="00E20BC6"/>
    <w:rsid w:val="00E21EC8"/>
    <w:rsid w:val="00E2241F"/>
    <w:rsid w:val="00E22E25"/>
    <w:rsid w:val="00E23B52"/>
    <w:rsid w:val="00E24500"/>
    <w:rsid w:val="00E26347"/>
    <w:rsid w:val="00E2751E"/>
    <w:rsid w:val="00E27653"/>
    <w:rsid w:val="00E276CB"/>
    <w:rsid w:val="00E27BEE"/>
    <w:rsid w:val="00E31349"/>
    <w:rsid w:val="00E31902"/>
    <w:rsid w:val="00E323EA"/>
    <w:rsid w:val="00E33058"/>
    <w:rsid w:val="00E33628"/>
    <w:rsid w:val="00E33896"/>
    <w:rsid w:val="00E33FFA"/>
    <w:rsid w:val="00E34F9C"/>
    <w:rsid w:val="00E35168"/>
    <w:rsid w:val="00E3534A"/>
    <w:rsid w:val="00E40D0C"/>
    <w:rsid w:val="00E41170"/>
    <w:rsid w:val="00E4183B"/>
    <w:rsid w:val="00E41B4D"/>
    <w:rsid w:val="00E426E1"/>
    <w:rsid w:val="00E42D5D"/>
    <w:rsid w:val="00E44802"/>
    <w:rsid w:val="00E454E4"/>
    <w:rsid w:val="00E467B8"/>
    <w:rsid w:val="00E47073"/>
    <w:rsid w:val="00E47D0F"/>
    <w:rsid w:val="00E50E80"/>
    <w:rsid w:val="00E5152C"/>
    <w:rsid w:val="00E52E96"/>
    <w:rsid w:val="00E54773"/>
    <w:rsid w:val="00E6025E"/>
    <w:rsid w:val="00E60E07"/>
    <w:rsid w:val="00E61D39"/>
    <w:rsid w:val="00E64585"/>
    <w:rsid w:val="00E64BCC"/>
    <w:rsid w:val="00E6516F"/>
    <w:rsid w:val="00E673A0"/>
    <w:rsid w:val="00E7053E"/>
    <w:rsid w:val="00E70A89"/>
    <w:rsid w:val="00E7168B"/>
    <w:rsid w:val="00E72424"/>
    <w:rsid w:val="00E7441E"/>
    <w:rsid w:val="00E75A9A"/>
    <w:rsid w:val="00E75E89"/>
    <w:rsid w:val="00E76F0B"/>
    <w:rsid w:val="00E77EF2"/>
    <w:rsid w:val="00E807A7"/>
    <w:rsid w:val="00E8177A"/>
    <w:rsid w:val="00E82176"/>
    <w:rsid w:val="00E83321"/>
    <w:rsid w:val="00E83F86"/>
    <w:rsid w:val="00E846FB"/>
    <w:rsid w:val="00E84F38"/>
    <w:rsid w:val="00E85329"/>
    <w:rsid w:val="00E854DC"/>
    <w:rsid w:val="00E86808"/>
    <w:rsid w:val="00E90C12"/>
    <w:rsid w:val="00E90CFA"/>
    <w:rsid w:val="00E9130C"/>
    <w:rsid w:val="00E923F5"/>
    <w:rsid w:val="00E92B60"/>
    <w:rsid w:val="00E959C0"/>
    <w:rsid w:val="00E97005"/>
    <w:rsid w:val="00E97193"/>
    <w:rsid w:val="00E97A37"/>
    <w:rsid w:val="00EA101F"/>
    <w:rsid w:val="00EA1397"/>
    <w:rsid w:val="00EA2284"/>
    <w:rsid w:val="00EA2482"/>
    <w:rsid w:val="00EA2C02"/>
    <w:rsid w:val="00EA2CF7"/>
    <w:rsid w:val="00EA438B"/>
    <w:rsid w:val="00EA4729"/>
    <w:rsid w:val="00EA4D42"/>
    <w:rsid w:val="00EA51C5"/>
    <w:rsid w:val="00EA54A9"/>
    <w:rsid w:val="00EA5B00"/>
    <w:rsid w:val="00EA5BCB"/>
    <w:rsid w:val="00EA6972"/>
    <w:rsid w:val="00EA699F"/>
    <w:rsid w:val="00EA6C75"/>
    <w:rsid w:val="00EA719B"/>
    <w:rsid w:val="00EA7AB6"/>
    <w:rsid w:val="00EA7D29"/>
    <w:rsid w:val="00EA7D96"/>
    <w:rsid w:val="00EB0B18"/>
    <w:rsid w:val="00EB29C8"/>
    <w:rsid w:val="00EB3732"/>
    <w:rsid w:val="00EB4E1E"/>
    <w:rsid w:val="00EB5065"/>
    <w:rsid w:val="00EB5212"/>
    <w:rsid w:val="00EB5C50"/>
    <w:rsid w:val="00EB5CF9"/>
    <w:rsid w:val="00EB6486"/>
    <w:rsid w:val="00EB670D"/>
    <w:rsid w:val="00EB6A3C"/>
    <w:rsid w:val="00EC11D6"/>
    <w:rsid w:val="00EC3057"/>
    <w:rsid w:val="00EC3334"/>
    <w:rsid w:val="00EC3C7C"/>
    <w:rsid w:val="00EC3E32"/>
    <w:rsid w:val="00EC43FE"/>
    <w:rsid w:val="00EC6CE3"/>
    <w:rsid w:val="00EC6ECB"/>
    <w:rsid w:val="00EC73EF"/>
    <w:rsid w:val="00EC75D6"/>
    <w:rsid w:val="00EC76BA"/>
    <w:rsid w:val="00EC7E20"/>
    <w:rsid w:val="00ED018C"/>
    <w:rsid w:val="00ED0D9B"/>
    <w:rsid w:val="00ED16DB"/>
    <w:rsid w:val="00ED1A15"/>
    <w:rsid w:val="00ED2599"/>
    <w:rsid w:val="00ED2C72"/>
    <w:rsid w:val="00ED2D43"/>
    <w:rsid w:val="00ED3F43"/>
    <w:rsid w:val="00ED4EF2"/>
    <w:rsid w:val="00ED5479"/>
    <w:rsid w:val="00ED591D"/>
    <w:rsid w:val="00EE069A"/>
    <w:rsid w:val="00EE0949"/>
    <w:rsid w:val="00EE190D"/>
    <w:rsid w:val="00EE1AB4"/>
    <w:rsid w:val="00EE32A8"/>
    <w:rsid w:val="00EE3877"/>
    <w:rsid w:val="00EE40B4"/>
    <w:rsid w:val="00EE4506"/>
    <w:rsid w:val="00EE4C33"/>
    <w:rsid w:val="00EE63CC"/>
    <w:rsid w:val="00EE6DAA"/>
    <w:rsid w:val="00EF07C7"/>
    <w:rsid w:val="00EF0E61"/>
    <w:rsid w:val="00EF186F"/>
    <w:rsid w:val="00EF6433"/>
    <w:rsid w:val="00EF7192"/>
    <w:rsid w:val="00EF770B"/>
    <w:rsid w:val="00F00D0B"/>
    <w:rsid w:val="00F01F54"/>
    <w:rsid w:val="00F03B9F"/>
    <w:rsid w:val="00F06912"/>
    <w:rsid w:val="00F0750C"/>
    <w:rsid w:val="00F11FAB"/>
    <w:rsid w:val="00F14098"/>
    <w:rsid w:val="00F14A77"/>
    <w:rsid w:val="00F1572C"/>
    <w:rsid w:val="00F15BB8"/>
    <w:rsid w:val="00F1632F"/>
    <w:rsid w:val="00F1717E"/>
    <w:rsid w:val="00F17A17"/>
    <w:rsid w:val="00F17A9A"/>
    <w:rsid w:val="00F205B2"/>
    <w:rsid w:val="00F209BD"/>
    <w:rsid w:val="00F20E8C"/>
    <w:rsid w:val="00F22F7E"/>
    <w:rsid w:val="00F22F9D"/>
    <w:rsid w:val="00F2375B"/>
    <w:rsid w:val="00F25AC2"/>
    <w:rsid w:val="00F2694E"/>
    <w:rsid w:val="00F26A1D"/>
    <w:rsid w:val="00F30279"/>
    <w:rsid w:val="00F31E3F"/>
    <w:rsid w:val="00F33E13"/>
    <w:rsid w:val="00F34C69"/>
    <w:rsid w:val="00F36B5F"/>
    <w:rsid w:val="00F37BE6"/>
    <w:rsid w:val="00F404D0"/>
    <w:rsid w:val="00F40E71"/>
    <w:rsid w:val="00F4213A"/>
    <w:rsid w:val="00F4308E"/>
    <w:rsid w:val="00F47FF6"/>
    <w:rsid w:val="00F5028C"/>
    <w:rsid w:val="00F51B66"/>
    <w:rsid w:val="00F523F6"/>
    <w:rsid w:val="00F5246F"/>
    <w:rsid w:val="00F53A90"/>
    <w:rsid w:val="00F54B2B"/>
    <w:rsid w:val="00F55068"/>
    <w:rsid w:val="00F5765B"/>
    <w:rsid w:val="00F57BFA"/>
    <w:rsid w:val="00F57D5D"/>
    <w:rsid w:val="00F6037F"/>
    <w:rsid w:val="00F61409"/>
    <w:rsid w:val="00F629A7"/>
    <w:rsid w:val="00F63C51"/>
    <w:rsid w:val="00F6572D"/>
    <w:rsid w:val="00F65D5A"/>
    <w:rsid w:val="00F66F76"/>
    <w:rsid w:val="00F67281"/>
    <w:rsid w:val="00F70BEA"/>
    <w:rsid w:val="00F70D1A"/>
    <w:rsid w:val="00F70FFA"/>
    <w:rsid w:val="00F71396"/>
    <w:rsid w:val="00F71C64"/>
    <w:rsid w:val="00F72664"/>
    <w:rsid w:val="00F726A8"/>
    <w:rsid w:val="00F7279C"/>
    <w:rsid w:val="00F73E32"/>
    <w:rsid w:val="00F7401C"/>
    <w:rsid w:val="00F754F1"/>
    <w:rsid w:val="00F75883"/>
    <w:rsid w:val="00F76EEE"/>
    <w:rsid w:val="00F7720A"/>
    <w:rsid w:val="00F7769C"/>
    <w:rsid w:val="00F801A2"/>
    <w:rsid w:val="00F80BB2"/>
    <w:rsid w:val="00F8135F"/>
    <w:rsid w:val="00F81C57"/>
    <w:rsid w:val="00F81ED6"/>
    <w:rsid w:val="00F827D8"/>
    <w:rsid w:val="00F82B6E"/>
    <w:rsid w:val="00F86A7A"/>
    <w:rsid w:val="00F90585"/>
    <w:rsid w:val="00F90B98"/>
    <w:rsid w:val="00F915FB"/>
    <w:rsid w:val="00F92FE7"/>
    <w:rsid w:val="00F9349B"/>
    <w:rsid w:val="00F94550"/>
    <w:rsid w:val="00F95A40"/>
    <w:rsid w:val="00F9610E"/>
    <w:rsid w:val="00F9741C"/>
    <w:rsid w:val="00F97742"/>
    <w:rsid w:val="00FA061D"/>
    <w:rsid w:val="00FA62CA"/>
    <w:rsid w:val="00FA7268"/>
    <w:rsid w:val="00FA7CD4"/>
    <w:rsid w:val="00FB1E96"/>
    <w:rsid w:val="00FB210A"/>
    <w:rsid w:val="00FB25D1"/>
    <w:rsid w:val="00FB4095"/>
    <w:rsid w:val="00FB4DF0"/>
    <w:rsid w:val="00FB564E"/>
    <w:rsid w:val="00FB5A89"/>
    <w:rsid w:val="00FB65F6"/>
    <w:rsid w:val="00FB7234"/>
    <w:rsid w:val="00FB7DC9"/>
    <w:rsid w:val="00FC012D"/>
    <w:rsid w:val="00FC0A12"/>
    <w:rsid w:val="00FC117D"/>
    <w:rsid w:val="00FC15D0"/>
    <w:rsid w:val="00FC1E57"/>
    <w:rsid w:val="00FC28FE"/>
    <w:rsid w:val="00FC29C7"/>
    <w:rsid w:val="00FC47A6"/>
    <w:rsid w:val="00FC5EA4"/>
    <w:rsid w:val="00FC7458"/>
    <w:rsid w:val="00FC754C"/>
    <w:rsid w:val="00FD01ED"/>
    <w:rsid w:val="00FD0244"/>
    <w:rsid w:val="00FD08A5"/>
    <w:rsid w:val="00FD1882"/>
    <w:rsid w:val="00FD1D36"/>
    <w:rsid w:val="00FD3074"/>
    <w:rsid w:val="00FD5F51"/>
    <w:rsid w:val="00FD6168"/>
    <w:rsid w:val="00FD7B6E"/>
    <w:rsid w:val="00FE069F"/>
    <w:rsid w:val="00FE0861"/>
    <w:rsid w:val="00FE2C69"/>
    <w:rsid w:val="00FE3BEB"/>
    <w:rsid w:val="00FE5EFB"/>
    <w:rsid w:val="00FE6DA0"/>
    <w:rsid w:val="00FF038A"/>
    <w:rsid w:val="00FF047F"/>
    <w:rsid w:val="00FF1833"/>
    <w:rsid w:val="00FF194A"/>
    <w:rsid w:val="00FF21E1"/>
    <w:rsid w:val="00FF233B"/>
    <w:rsid w:val="00FF304C"/>
    <w:rsid w:val="00FF3536"/>
    <w:rsid w:val="00FF4E37"/>
    <w:rsid w:val="00FF5D20"/>
    <w:rsid w:val="00FF6155"/>
    <w:rsid w:val="00FF61D6"/>
    <w:rsid w:val="00FF6F7F"/>
    <w:rsid w:val="00FF7372"/>
    <w:rsid w:val="00FF740A"/>
    <w:rsid w:val="00FF79EB"/>
    <w:rsid w:val="01042DF1"/>
    <w:rsid w:val="010A478A"/>
    <w:rsid w:val="01210C8F"/>
    <w:rsid w:val="013D23C6"/>
    <w:rsid w:val="01502144"/>
    <w:rsid w:val="016A1DA5"/>
    <w:rsid w:val="01790897"/>
    <w:rsid w:val="017E6B98"/>
    <w:rsid w:val="01A73D12"/>
    <w:rsid w:val="01B76183"/>
    <w:rsid w:val="01CC41C7"/>
    <w:rsid w:val="020E1DAC"/>
    <w:rsid w:val="022655C0"/>
    <w:rsid w:val="022C5441"/>
    <w:rsid w:val="028F158B"/>
    <w:rsid w:val="029E32FE"/>
    <w:rsid w:val="02D56F95"/>
    <w:rsid w:val="02FD311A"/>
    <w:rsid w:val="031130BA"/>
    <w:rsid w:val="03200DFA"/>
    <w:rsid w:val="0333780B"/>
    <w:rsid w:val="036A1F1E"/>
    <w:rsid w:val="036B4D2C"/>
    <w:rsid w:val="038C5821"/>
    <w:rsid w:val="03E35C8D"/>
    <w:rsid w:val="04245B63"/>
    <w:rsid w:val="043B3DDE"/>
    <w:rsid w:val="04977BF0"/>
    <w:rsid w:val="04F97EC5"/>
    <w:rsid w:val="05004038"/>
    <w:rsid w:val="05137986"/>
    <w:rsid w:val="053577A0"/>
    <w:rsid w:val="05444DBA"/>
    <w:rsid w:val="05755AD9"/>
    <w:rsid w:val="057E2C27"/>
    <w:rsid w:val="05AF2776"/>
    <w:rsid w:val="05BD49B5"/>
    <w:rsid w:val="05CB708D"/>
    <w:rsid w:val="05E76E48"/>
    <w:rsid w:val="05F619E4"/>
    <w:rsid w:val="06004A04"/>
    <w:rsid w:val="060C6079"/>
    <w:rsid w:val="06660D68"/>
    <w:rsid w:val="06692FFB"/>
    <w:rsid w:val="06795041"/>
    <w:rsid w:val="06B30EA6"/>
    <w:rsid w:val="06D53047"/>
    <w:rsid w:val="06DD649D"/>
    <w:rsid w:val="06F61B2A"/>
    <w:rsid w:val="076646E5"/>
    <w:rsid w:val="07815BB5"/>
    <w:rsid w:val="07852416"/>
    <w:rsid w:val="07854CF1"/>
    <w:rsid w:val="07AB58DD"/>
    <w:rsid w:val="07C531B9"/>
    <w:rsid w:val="07C6614D"/>
    <w:rsid w:val="07E85B4A"/>
    <w:rsid w:val="083A0EF5"/>
    <w:rsid w:val="083E200B"/>
    <w:rsid w:val="086C5D2B"/>
    <w:rsid w:val="086F3B95"/>
    <w:rsid w:val="088C635A"/>
    <w:rsid w:val="08B26F08"/>
    <w:rsid w:val="08EE04EE"/>
    <w:rsid w:val="08F301FA"/>
    <w:rsid w:val="091A21D6"/>
    <w:rsid w:val="0938274D"/>
    <w:rsid w:val="093949A0"/>
    <w:rsid w:val="096C24A0"/>
    <w:rsid w:val="09731D52"/>
    <w:rsid w:val="099D1FF5"/>
    <w:rsid w:val="09AB5C8A"/>
    <w:rsid w:val="09BF4501"/>
    <w:rsid w:val="09C124EC"/>
    <w:rsid w:val="0A125989"/>
    <w:rsid w:val="0A17184C"/>
    <w:rsid w:val="0A791FCE"/>
    <w:rsid w:val="0AA82C3B"/>
    <w:rsid w:val="0AAA48E8"/>
    <w:rsid w:val="0AE10DE6"/>
    <w:rsid w:val="0AEA2F37"/>
    <w:rsid w:val="0AEE6170"/>
    <w:rsid w:val="0B133596"/>
    <w:rsid w:val="0B182520"/>
    <w:rsid w:val="0B385747"/>
    <w:rsid w:val="0B566128"/>
    <w:rsid w:val="0B6D27F2"/>
    <w:rsid w:val="0B845139"/>
    <w:rsid w:val="0BA26862"/>
    <w:rsid w:val="0BB15676"/>
    <w:rsid w:val="0BE21593"/>
    <w:rsid w:val="0BE8449F"/>
    <w:rsid w:val="0BEC71CC"/>
    <w:rsid w:val="0C371E33"/>
    <w:rsid w:val="0C5B70E3"/>
    <w:rsid w:val="0C6D3E1F"/>
    <w:rsid w:val="0CE73FFE"/>
    <w:rsid w:val="0CF96FC8"/>
    <w:rsid w:val="0D0F2642"/>
    <w:rsid w:val="0D1A387B"/>
    <w:rsid w:val="0D2D5470"/>
    <w:rsid w:val="0D5F19BA"/>
    <w:rsid w:val="0D735465"/>
    <w:rsid w:val="0D864B93"/>
    <w:rsid w:val="0D922038"/>
    <w:rsid w:val="0D937CC4"/>
    <w:rsid w:val="0DA675E9"/>
    <w:rsid w:val="0DBD44E6"/>
    <w:rsid w:val="0DC126EF"/>
    <w:rsid w:val="0DCB53AA"/>
    <w:rsid w:val="0DE04A0B"/>
    <w:rsid w:val="0E0A301E"/>
    <w:rsid w:val="0E216EDE"/>
    <w:rsid w:val="0E262587"/>
    <w:rsid w:val="0E364E11"/>
    <w:rsid w:val="0E56607D"/>
    <w:rsid w:val="0E716306"/>
    <w:rsid w:val="0E7D396C"/>
    <w:rsid w:val="0E953034"/>
    <w:rsid w:val="0EB43F87"/>
    <w:rsid w:val="0EC6097D"/>
    <w:rsid w:val="0EE02A09"/>
    <w:rsid w:val="0EE505E5"/>
    <w:rsid w:val="0EE7610B"/>
    <w:rsid w:val="0EEB4F26"/>
    <w:rsid w:val="0EF373EC"/>
    <w:rsid w:val="0F0B750B"/>
    <w:rsid w:val="0F1467D4"/>
    <w:rsid w:val="0F175C6E"/>
    <w:rsid w:val="0F2B6888"/>
    <w:rsid w:val="0F7550BA"/>
    <w:rsid w:val="0FD348E1"/>
    <w:rsid w:val="0FE43DD2"/>
    <w:rsid w:val="0FED5740"/>
    <w:rsid w:val="10233787"/>
    <w:rsid w:val="10607B05"/>
    <w:rsid w:val="10674EA0"/>
    <w:rsid w:val="10704E41"/>
    <w:rsid w:val="108E3647"/>
    <w:rsid w:val="10A70AA8"/>
    <w:rsid w:val="10A71E6B"/>
    <w:rsid w:val="10D8319E"/>
    <w:rsid w:val="10DA661F"/>
    <w:rsid w:val="110E3E6E"/>
    <w:rsid w:val="111156C1"/>
    <w:rsid w:val="115E4E0F"/>
    <w:rsid w:val="1166448C"/>
    <w:rsid w:val="1190296F"/>
    <w:rsid w:val="11D24E50"/>
    <w:rsid w:val="12010863"/>
    <w:rsid w:val="12227CAD"/>
    <w:rsid w:val="122B06D5"/>
    <w:rsid w:val="12B652F8"/>
    <w:rsid w:val="12C33F7E"/>
    <w:rsid w:val="12E27315"/>
    <w:rsid w:val="133E220C"/>
    <w:rsid w:val="13474307"/>
    <w:rsid w:val="138064EC"/>
    <w:rsid w:val="138F3A20"/>
    <w:rsid w:val="13946135"/>
    <w:rsid w:val="13AF2F6F"/>
    <w:rsid w:val="13B86493"/>
    <w:rsid w:val="13BE5F5E"/>
    <w:rsid w:val="13E241CA"/>
    <w:rsid w:val="13E90267"/>
    <w:rsid w:val="1416784A"/>
    <w:rsid w:val="141960BB"/>
    <w:rsid w:val="142F26C2"/>
    <w:rsid w:val="143C4803"/>
    <w:rsid w:val="14586A10"/>
    <w:rsid w:val="145A7A21"/>
    <w:rsid w:val="14626A6B"/>
    <w:rsid w:val="14773A8D"/>
    <w:rsid w:val="14940B00"/>
    <w:rsid w:val="14941B8A"/>
    <w:rsid w:val="14A42594"/>
    <w:rsid w:val="14CA06C4"/>
    <w:rsid w:val="14E53E05"/>
    <w:rsid w:val="14EB36EF"/>
    <w:rsid w:val="15250A01"/>
    <w:rsid w:val="153150FF"/>
    <w:rsid w:val="153C4810"/>
    <w:rsid w:val="1542366B"/>
    <w:rsid w:val="155A753A"/>
    <w:rsid w:val="15E55FAB"/>
    <w:rsid w:val="15FD447B"/>
    <w:rsid w:val="16017EA2"/>
    <w:rsid w:val="1630278C"/>
    <w:rsid w:val="16467FF6"/>
    <w:rsid w:val="165300CF"/>
    <w:rsid w:val="1685692D"/>
    <w:rsid w:val="168D24F0"/>
    <w:rsid w:val="16985F3D"/>
    <w:rsid w:val="16AA4468"/>
    <w:rsid w:val="16DA6745"/>
    <w:rsid w:val="16F37D5D"/>
    <w:rsid w:val="16F62FE8"/>
    <w:rsid w:val="17587AE5"/>
    <w:rsid w:val="176059C1"/>
    <w:rsid w:val="17885FC9"/>
    <w:rsid w:val="178F193E"/>
    <w:rsid w:val="17BC20A3"/>
    <w:rsid w:val="17D62D51"/>
    <w:rsid w:val="17DF7F42"/>
    <w:rsid w:val="182A7068"/>
    <w:rsid w:val="18312D6B"/>
    <w:rsid w:val="18891286"/>
    <w:rsid w:val="18BA663E"/>
    <w:rsid w:val="19365C5A"/>
    <w:rsid w:val="19410E12"/>
    <w:rsid w:val="194A0084"/>
    <w:rsid w:val="198C68F8"/>
    <w:rsid w:val="198D49B1"/>
    <w:rsid w:val="19A31C84"/>
    <w:rsid w:val="19BD3D93"/>
    <w:rsid w:val="19C204DA"/>
    <w:rsid w:val="19F7744E"/>
    <w:rsid w:val="19FD0474"/>
    <w:rsid w:val="1A0D0011"/>
    <w:rsid w:val="1A110606"/>
    <w:rsid w:val="1A3A61B3"/>
    <w:rsid w:val="1A705206"/>
    <w:rsid w:val="1AC20303"/>
    <w:rsid w:val="1B161A00"/>
    <w:rsid w:val="1B2266F9"/>
    <w:rsid w:val="1B385CB2"/>
    <w:rsid w:val="1B3D43E8"/>
    <w:rsid w:val="1B43109C"/>
    <w:rsid w:val="1B454A09"/>
    <w:rsid w:val="1B515DBD"/>
    <w:rsid w:val="1B6362A7"/>
    <w:rsid w:val="1B6A434C"/>
    <w:rsid w:val="1B8365D7"/>
    <w:rsid w:val="1B8F54DD"/>
    <w:rsid w:val="1B924AAA"/>
    <w:rsid w:val="1BB51622"/>
    <w:rsid w:val="1C0E4E27"/>
    <w:rsid w:val="1C1E6222"/>
    <w:rsid w:val="1C273924"/>
    <w:rsid w:val="1C2B23BE"/>
    <w:rsid w:val="1C4A202F"/>
    <w:rsid w:val="1C4C391F"/>
    <w:rsid w:val="1C5B1EE6"/>
    <w:rsid w:val="1C701FA9"/>
    <w:rsid w:val="1C7F2142"/>
    <w:rsid w:val="1C9E6881"/>
    <w:rsid w:val="1CC41F1E"/>
    <w:rsid w:val="1CC57A76"/>
    <w:rsid w:val="1CE0777A"/>
    <w:rsid w:val="1D0F7AD5"/>
    <w:rsid w:val="1D10672A"/>
    <w:rsid w:val="1D3D6C9D"/>
    <w:rsid w:val="1D4666F2"/>
    <w:rsid w:val="1D484219"/>
    <w:rsid w:val="1D553BB3"/>
    <w:rsid w:val="1D750002"/>
    <w:rsid w:val="1DD316B1"/>
    <w:rsid w:val="1DFA49D8"/>
    <w:rsid w:val="1E036392"/>
    <w:rsid w:val="1E46184B"/>
    <w:rsid w:val="1E5D6163"/>
    <w:rsid w:val="1E6B3737"/>
    <w:rsid w:val="1E6C0A54"/>
    <w:rsid w:val="1EBB271C"/>
    <w:rsid w:val="1ECB5101"/>
    <w:rsid w:val="1ED25ADE"/>
    <w:rsid w:val="1ED80A8D"/>
    <w:rsid w:val="1EDB29BD"/>
    <w:rsid w:val="1EE92BB4"/>
    <w:rsid w:val="1F404339"/>
    <w:rsid w:val="1F582E64"/>
    <w:rsid w:val="1F6D7F66"/>
    <w:rsid w:val="1F780BE5"/>
    <w:rsid w:val="1FA22D7B"/>
    <w:rsid w:val="1FB83E68"/>
    <w:rsid w:val="1FD21E08"/>
    <w:rsid w:val="1FFE6279"/>
    <w:rsid w:val="20146634"/>
    <w:rsid w:val="203F1701"/>
    <w:rsid w:val="204131A1"/>
    <w:rsid w:val="205B150B"/>
    <w:rsid w:val="20756690"/>
    <w:rsid w:val="2086342A"/>
    <w:rsid w:val="209854B7"/>
    <w:rsid w:val="21184190"/>
    <w:rsid w:val="215E411B"/>
    <w:rsid w:val="216B0B49"/>
    <w:rsid w:val="21700F00"/>
    <w:rsid w:val="219C359D"/>
    <w:rsid w:val="21B60FE3"/>
    <w:rsid w:val="21C108CE"/>
    <w:rsid w:val="21F41166"/>
    <w:rsid w:val="21F547F6"/>
    <w:rsid w:val="223A3537"/>
    <w:rsid w:val="22666DB2"/>
    <w:rsid w:val="227B3C92"/>
    <w:rsid w:val="22CC2B82"/>
    <w:rsid w:val="22DF73CD"/>
    <w:rsid w:val="22E13F29"/>
    <w:rsid w:val="22F7138C"/>
    <w:rsid w:val="23392005"/>
    <w:rsid w:val="239A32F4"/>
    <w:rsid w:val="23A351B6"/>
    <w:rsid w:val="23BB7BDB"/>
    <w:rsid w:val="23CD6AAC"/>
    <w:rsid w:val="23DA5DE6"/>
    <w:rsid w:val="23FC6642"/>
    <w:rsid w:val="24106E6A"/>
    <w:rsid w:val="24267527"/>
    <w:rsid w:val="24840D3D"/>
    <w:rsid w:val="24887177"/>
    <w:rsid w:val="2498683A"/>
    <w:rsid w:val="24A70EA5"/>
    <w:rsid w:val="24B54A97"/>
    <w:rsid w:val="24B70486"/>
    <w:rsid w:val="24D622CC"/>
    <w:rsid w:val="24D84C48"/>
    <w:rsid w:val="24EF4261"/>
    <w:rsid w:val="254E5511"/>
    <w:rsid w:val="25806D3E"/>
    <w:rsid w:val="258418B6"/>
    <w:rsid w:val="259A4DA3"/>
    <w:rsid w:val="25C956E1"/>
    <w:rsid w:val="25CB62F9"/>
    <w:rsid w:val="25E52428"/>
    <w:rsid w:val="25F33B9F"/>
    <w:rsid w:val="25F86847"/>
    <w:rsid w:val="25FA451E"/>
    <w:rsid w:val="261554D3"/>
    <w:rsid w:val="261A4350"/>
    <w:rsid w:val="261B1CCE"/>
    <w:rsid w:val="26515479"/>
    <w:rsid w:val="26672DCB"/>
    <w:rsid w:val="266B541C"/>
    <w:rsid w:val="26AF4526"/>
    <w:rsid w:val="26C84711"/>
    <w:rsid w:val="26FC6074"/>
    <w:rsid w:val="270A1EC8"/>
    <w:rsid w:val="27120125"/>
    <w:rsid w:val="27167633"/>
    <w:rsid w:val="274613A1"/>
    <w:rsid w:val="2795561F"/>
    <w:rsid w:val="27BC49D1"/>
    <w:rsid w:val="27CB2730"/>
    <w:rsid w:val="27F208C6"/>
    <w:rsid w:val="281407A0"/>
    <w:rsid w:val="281F7F7D"/>
    <w:rsid w:val="284877C3"/>
    <w:rsid w:val="28696AAF"/>
    <w:rsid w:val="28893937"/>
    <w:rsid w:val="2893075D"/>
    <w:rsid w:val="29101DAB"/>
    <w:rsid w:val="29436C16"/>
    <w:rsid w:val="29560BDE"/>
    <w:rsid w:val="29592AEB"/>
    <w:rsid w:val="29976ABA"/>
    <w:rsid w:val="29A46C7B"/>
    <w:rsid w:val="29C2554C"/>
    <w:rsid w:val="29CA3F1F"/>
    <w:rsid w:val="29F15C38"/>
    <w:rsid w:val="29F55B86"/>
    <w:rsid w:val="29F605E7"/>
    <w:rsid w:val="2A117789"/>
    <w:rsid w:val="2A4C138E"/>
    <w:rsid w:val="2A507A24"/>
    <w:rsid w:val="2A513D86"/>
    <w:rsid w:val="2A8708BD"/>
    <w:rsid w:val="2A887940"/>
    <w:rsid w:val="2AB66461"/>
    <w:rsid w:val="2AC9437B"/>
    <w:rsid w:val="2AC943CA"/>
    <w:rsid w:val="2AD5121C"/>
    <w:rsid w:val="2AE9716F"/>
    <w:rsid w:val="2AFE060C"/>
    <w:rsid w:val="2B062415"/>
    <w:rsid w:val="2B0D12E1"/>
    <w:rsid w:val="2B131725"/>
    <w:rsid w:val="2B1C4B39"/>
    <w:rsid w:val="2B3B1E4A"/>
    <w:rsid w:val="2B7D46AD"/>
    <w:rsid w:val="2B8A2710"/>
    <w:rsid w:val="2B8F7E9E"/>
    <w:rsid w:val="2BCD329D"/>
    <w:rsid w:val="2BDA140B"/>
    <w:rsid w:val="2C025EDA"/>
    <w:rsid w:val="2C1F74D3"/>
    <w:rsid w:val="2C306DF7"/>
    <w:rsid w:val="2C3D3304"/>
    <w:rsid w:val="2C4A6DA9"/>
    <w:rsid w:val="2C50344E"/>
    <w:rsid w:val="2C622E1D"/>
    <w:rsid w:val="2C6438F8"/>
    <w:rsid w:val="2CA37007"/>
    <w:rsid w:val="2CB96CF9"/>
    <w:rsid w:val="2CBF201D"/>
    <w:rsid w:val="2CC62FEC"/>
    <w:rsid w:val="2CC90D1D"/>
    <w:rsid w:val="2CEB2E12"/>
    <w:rsid w:val="2D233DAE"/>
    <w:rsid w:val="2D28192A"/>
    <w:rsid w:val="2D5676CF"/>
    <w:rsid w:val="2D72425D"/>
    <w:rsid w:val="2D960FD0"/>
    <w:rsid w:val="2DA336ED"/>
    <w:rsid w:val="2DA81EC4"/>
    <w:rsid w:val="2DB54EAE"/>
    <w:rsid w:val="2DD9458A"/>
    <w:rsid w:val="2DE15FF3"/>
    <w:rsid w:val="2DF06932"/>
    <w:rsid w:val="2DF34DEC"/>
    <w:rsid w:val="2DFA7B75"/>
    <w:rsid w:val="2E1925C0"/>
    <w:rsid w:val="2E201ADB"/>
    <w:rsid w:val="2E3A7BAD"/>
    <w:rsid w:val="2E706A6A"/>
    <w:rsid w:val="2E817246"/>
    <w:rsid w:val="2E852B75"/>
    <w:rsid w:val="2E8605E2"/>
    <w:rsid w:val="2E921798"/>
    <w:rsid w:val="2E9E4055"/>
    <w:rsid w:val="2EBE6B76"/>
    <w:rsid w:val="2EED39B3"/>
    <w:rsid w:val="2F0D091D"/>
    <w:rsid w:val="2F172987"/>
    <w:rsid w:val="2F2506C6"/>
    <w:rsid w:val="2F644E6D"/>
    <w:rsid w:val="2F720B8B"/>
    <w:rsid w:val="2FB227EF"/>
    <w:rsid w:val="2FC83D88"/>
    <w:rsid w:val="2FE719DC"/>
    <w:rsid w:val="2FF868F0"/>
    <w:rsid w:val="2FFD3DE3"/>
    <w:rsid w:val="301A7F17"/>
    <w:rsid w:val="303837B5"/>
    <w:rsid w:val="307954A4"/>
    <w:rsid w:val="308657AA"/>
    <w:rsid w:val="30BF6A5E"/>
    <w:rsid w:val="30C97B8C"/>
    <w:rsid w:val="30F2692D"/>
    <w:rsid w:val="311418CC"/>
    <w:rsid w:val="313E4B95"/>
    <w:rsid w:val="316F2704"/>
    <w:rsid w:val="31C0264A"/>
    <w:rsid w:val="31E17C2C"/>
    <w:rsid w:val="31E52C84"/>
    <w:rsid w:val="31E656C6"/>
    <w:rsid w:val="31F10FD5"/>
    <w:rsid w:val="321012AF"/>
    <w:rsid w:val="321D4A3A"/>
    <w:rsid w:val="322F554F"/>
    <w:rsid w:val="325058C6"/>
    <w:rsid w:val="326C1722"/>
    <w:rsid w:val="32864623"/>
    <w:rsid w:val="32A370F4"/>
    <w:rsid w:val="32C673E3"/>
    <w:rsid w:val="32DD54DC"/>
    <w:rsid w:val="33250FB9"/>
    <w:rsid w:val="334818E3"/>
    <w:rsid w:val="337B0A34"/>
    <w:rsid w:val="33910172"/>
    <w:rsid w:val="33B43E14"/>
    <w:rsid w:val="33C067CA"/>
    <w:rsid w:val="33DC38CD"/>
    <w:rsid w:val="33E52EEF"/>
    <w:rsid w:val="33F22642"/>
    <w:rsid w:val="34820AFF"/>
    <w:rsid w:val="3489163B"/>
    <w:rsid w:val="348A1FCF"/>
    <w:rsid w:val="34AC6C82"/>
    <w:rsid w:val="34BD1A7A"/>
    <w:rsid w:val="34BF5723"/>
    <w:rsid w:val="34E95C43"/>
    <w:rsid w:val="34EE34A0"/>
    <w:rsid w:val="35085083"/>
    <w:rsid w:val="352E73B1"/>
    <w:rsid w:val="35394976"/>
    <w:rsid w:val="35426077"/>
    <w:rsid w:val="354373D8"/>
    <w:rsid w:val="356E2833"/>
    <w:rsid w:val="3575596F"/>
    <w:rsid w:val="357A6974"/>
    <w:rsid w:val="35953A61"/>
    <w:rsid w:val="35C917D4"/>
    <w:rsid w:val="35D703D8"/>
    <w:rsid w:val="3611540F"/>
    <w:rsid w:val="36296503"/>
    <w:rsid w:val="36316207"/>
    <w:rsid w:val="36441E85"/>
    <w:rsid w:val="364768F5"/>
    <w:rsid w:val="36666A34"/>
    <w:rsid w:val="366A18DB"/>
    <w:rsid w:val="36CA1CDB"/>
    <w:rsid w:val="36D8125D"/>
    <w:rsid w:val="37102198"/>
    <w:rsid w:val="37550971"/>
    <w:rsid w:val="376B527C"/>
    <w:rsid w:val="376B6E33"/>
    <w:rsid w:val="37871F57"/>
    <w:rsid w:val="37AE07D7"/>
    <w:rsid w:val="37BB0F66"/>
    <w:rsid w:val="37C35DB4"/>
    <w:rsid w:val="37C95B4B"/>
    <w:rsid w:val="3815583F"/>
    <w:rsid w:val="38211BBC"/>
    <w:rsid w:val="386722CE"/>
    <w:rsid w:val="388E24C1"/>
    <w:rsid w:val="38C711B8"/>
    <w:rsid w:val="38E946AF"/>
    <w:rsid w:val="38FE492A"/>
    <w:rsid w:val="390114DF"/>
    <w:rsid w:val="39103A72"/>
    <w:rsid w:val="39152437"/>
    <w:rsid w:val="391C3F24"/>
    <w:rsid w:val="392736E3"/>
    <w:rsid w:val="394C69E7"/>
    <w:rsid w:val="3951565B"/>
    <w:rsid w:val="39855F6B"/>
    <w:rsid w:val="39880431"/>
    <w:rsid w:val="399777D0"/>
    <w:rsid w:val="399F56D1"/>
    <w:rsid w:val="39AB598E"/>
    <w:rsid w:val="39E23288"/>
    <w:rsid w:val="39F140DD"/>
    <w:rsid w:val="39F4272F"/>
    <w:rsid w:val="3A040319"/>
    <w:rsid w:val="3A1856D1"/>
    <w:rsid w:val="3A1941C1"/>
    <w:rsid w:val="3A2A3C74"/>
    <w:rsid w:val="3A691554"/>
    <w:rsid w:val="3A836A53"/>
    <w:rsid w:val="3AA06FEA"/>
    <w:rsid w:val="3AAA60BB"/>
    <w:rsid w:val="3AAC3C71"/>
    <w:rsid w:val="3AB13CD6"/>
    <w:rsid w:val="3AC8232B"/>
    <w:rsid w:val="3ADE6A73"/>
    <w:rsid w:val="3AE17670"/>
    <w:rsid w:val="3B0010A1"/>
    <w:rsid w:val="3B50415F"/>
    <w:rsid w:val="3B6A17AC"/>
    <w:rsid w:val="3B9C7ECD"/>
    <w:rsid w:val="3BDE3DFD"/>
    <w:rsid w:val="3C5634A4"/>
    <w:rsid w:val="3C591B47"/>
    <w:rsid w:val="3C8A7F52"/>
    <w:rsid w:val="3C961A56"/>
    <w:rsid w:val="3CA36E5C"/>
    <w:rsid w:val="3CAE4420"/>
    <w:rsid w:val="3CB22139"/>
    <w:rsid w:val="3CB7696E"/>
    <w:rsid w:val="3CBB0135"/>
    <w:rsid w:val="3CDE3C87"/>
    <w:rsid w:val="3CE77152"/>
    <w:rsid w:val="3CF918CB"/>
    <w:rsid w:val="3D3B143F"/>
    <w:rsid w:val="3D91634A"/>
    <w:rsid w:val="3D995F73"/>
    <w:rsid w:val="3DF97E15"/>
    <w:rsid w:val="3E100A42"/>
    <w:rsid w:val="3E372FCB"/>
    <w:rsid w:val="3E3A7756"/>
    <w:rsid w:val="3E4068FB"/>
    <w:rsid w:val="3E761C8C"/>
    <w:rsid w:val="3E9039B8"/>
    <w:rsid w:val="3EAC232A"/>
    <w:rsid w:val="3EB427AD"/>
    <w:rsid w:val="3EBE2A01"/>
    <w:rsid w:val="3ED27C43"/>
    <w:rsid w:val="3EE0173B"/>
    <w:rsid w:val="3EE81300"/>
    <w:rsid w:val="3EEF1D47"/>
    <w:rsid w:val="3EF21FA7"/>
    <w:rsid w:val="3F2C0871"/>
    <w:rsid w:val="3F2D0E5C"/>
    <w:rsid w:val="3F4A491F"/>
    <w:rsid w:val="3F5372FF"/>
    <w:rsid w:val="3F67457A"/>
    <w:rsid w:val="3F7D661D"/>
    <w:rsid w:val="3F86692F"/>
    <w:rsid w:val="3F8A0269"/>
    <w:rsid w:val="3F932B54"/>
    <w:rsid w:val="4001029C"/>
    <w:rsid w:val="40061FE5"/>
    <w:rsid w:val="4033075A"/>
    <w:rsid w:val="40430B10"/>
    <w:rsid w:val="40441827"/>
    <w:rsid w:val="40D2424F"/>
    <w:rsid w:val="40D6028C"/>
    <w:rsid w:val="40F25278"/>
    <w:rsid w:val="410855C5"/>
    <w:rsid w:val="411424E0"/>
    <w:rsid w:val="411A529B"/>
    <w:rsid w:val="41597EF3"/>
    <w:rsid w:val="4184683D"/>
    <w:rsid w:val="41937945"/>
    <w:rsid w:val="419C298A"/>
    <w:rsid w:val="41A30C47"/>
    <w:rsid w:val="41BD3F9A"/>
    <w:rsid w:val="41DB779F"/>
    <w:rsid w:val="41E00614"/>
    <w:rsid w:val="41E56CB7"/>
    <w:rsid w:val="420267DC"/>
    <w:rsid w:val="421E500D"/>
    <w:rsid w:val="42455F3F"/>
    <w:rsid w:val="424D50C0"/>
    <w:rsid w:val="427C1CF4"/>
    <w:rsid w:val="42855C17"/>
    <w:rsid w:val="42A258ED"/>
    <w:rsid w:val="42B20149"/>
    <w:rsid w:val="42B51AA1"/>
    <w:rsid w:val="42C910A8"/>
    <w:rsid w:val="42CA1F80"/>
    <w:rsid w:val="42F205FF"/>
    <w:rsid w:val="43680AD3"/>
    <w:rsid w:val="437B23A2"/>
    <w:rsid w:val="43AD4526"/>
    <w:rsid w:val="43B1733C"/>
    <w:rsid w:val="43B66526"/>
    <w:rsid w:val="43FF28CB"/>
    <w:rsid w:val="44064873"/>
    <w:rsid w:val="44102B5C"/>
    <w:rsid w:val="442A5B49"/>
    <w:rsid w:val="443C5979"/>
    <w:rsid w:val="443E5EFF"/>
    <w:rsid w:val="44BA0327"/>
    <w:rsid w:val="44BD4C3D"/>
    <w:rsid w:val="44CD509A"/>
    <w:rsid w:val="44D04970"/>
    <w:rsid w:val="44DF3DC1"/>
    <w:rsid w:val="450B1E4C"/>
    <w:rsid w:val="450D689A"/>
    <w:rsid w:val="45166109"/>
    <w:rsid w:val="452A3CE9"/>
    <w:rsid w:val="458839FB"/>
    <w:rsid w:val="458A0DC2"/>
    <w:rsid w:val="458B6AE9"/>
    <w:rsid w:val="459C7810"/>
    <w:rsid w:val="45A2650B"/>
    <w:rsid w:val="45A940B4"/>
    <w:rsid w:val="45C21C2C"/>
    <w:rsid w:val="46157F7A"/>
    <w:rsid w:val="46244F73"/>
    <w:rsid w:val="462C2166"/>
    <w:rsid w:val="46344B83"/>
    <w:rsid w:val="46997B8D"/>
    <w:rsid w:val="46D874C0"/>
    <w:rsid w:val="46DE7D37"/>
    <w:rsid w:val="46F61554"/>
    <w:rsid w:val="470C33D7"/>
    <w:rsid w:val="4729461F"/>
    <w:rsid w:val="47573126"/>
    <w:rsid w:val="4788434A"/>
    <w:rsid w:val="47AD0357"/>
    <w:rsid w:val="47C22CDF"/>
    <w:rsid w:val="4843019F"/>
    <w:rsid w:val="489A4124"/>
    <w:rsid w:val="489D2E29"/>
    <w:rsid w:val="48BF7EDF"/>
    <w:rsid w:val="48C6675C"/>
    <w:rsid w:val="48C97D8A"/>
    <w:rsid w:val="48E21116"/>
    <w:rsid w:val="48F002E5"/>
    <w:rsid w:val="48F409FE"/>
    <w:rsid w:val="48FF1980"/>
    <w:rsid w:val="49313973"/>
    <w:rsid w:val="49470F79"/>
    <w:rsid w:val="49643073"/>
    <w:rsid w:val="496C707B"/>
    <w:rsid w:val="496D0AE1"/>
    <w:rsid w:val="49F165A7"/>
    <w:rsid w:val="49F25388"/>
    <w:rsid w:val="4A2040D7"/>
    <w:rsid w:val="4A6F5702"/>
    <w:rsid w:val="4AC61968"/>
    <w:rsid w:val="4B105AC6"/>
    <w:rsid w:val="4B1E3227"/>
    <w:rsid w:val="4B662798"/>
    <w:rsid w:val="4B6840DD"/>
    <w:rsid w:val="4BD37E2C"/>
    <w:rsid w:val="4BE3142D"/>
    <w:rsid w:val="4C43011D"/>
    <w:rsid w:val="4C62086E"/>
    <w:rsid w:val="4CB66B41"/>
    <w:rsid w:val="4CD41611"/>
    <w:rsid w:val="4CF62217"/>
    <w:rsid w:val="4CF93412"/>
    <w:rsid w:val="4CFE4400"/>
    <w:rsid w:val="4D031B4B"/>
    <w:rsid w:val="4D1609D6"/>
    <w:rsid w:val="4D237297"/>
    <w:rsid w:val="4D285251"/>
    <w:rsid w:val="4D3D13F6"/>
    <w:rsid w:val="4D42495C"/>
    <w:rsid w:val="4D746B32"/>
    <w:rsid w:val="4D7612BF"/>
    <w:rsid w:val="4D82276C"/>
    <w:rsid w:val="4DE735A7"/>
    <w:rsid w:val="4E0631B0"/>
    <w:rsid w:val="4E127B26"/>
    <w:rsid w:val="4E652B29"/>
    <w:rsid w:val="4E6E66DD"/>
    <w:rsid w:val="4E7D7917"/>
    <w:rsid w:val="4EAA4484"/>
    <w:rsid w:val="4EFC6DF8"/>
    <w:rsid w:val="4F0276F9"/>
    <w:rsid w:val="4F3A0EE3"/>
    <w:rsid w:val="4F4436FE"/>
    <w:rsid w:val="4F73453B"/>
    <w:rsid w:val="4F810BFD"/>
    <w:rsid w:val="4F8D108F"/>
    <w:rsid w:val="4F974A08"/>
    <w:rsid w:val="4FA3385B"/>
    <w:rsid w:val="4FBF090F"/>
    <w:rsid w:val="4FCF69C4"/>
    <w:rsid w:val="4FD319E2"/>
    <w:rsid w:val="4FE570FB"/>
    <w:rsid w:val="4FF1781F"/>
    <w:rsid w:val="50064DCF"/>
    <w:rsid w:val="50152D26"/>
    <w:rsid w:val="504918E3"/>
    <w:rsid w:val="505C7C0A"/>
    <w:rsid w:val="507913DD"/>
    <w:rsid w:val="50812FC2"/>
    <w:rsid w:val="50830589"/>
    <w:rsid w:val="508A4F2E"/>
    <w:rsid w:val="50BB5FF5"/>
    <w:rsid w:val="50C01D3C"/>
    <w:rsid w:val="50C14393"/>
    <w:rsid w:val="50C823FB"/>
    <w:rsid w:val="50E2455C"/>
    <w:rsid w:val="50E36692"/>
    <w:rsid w:val="50ED5DDF"/>
    <w:rsid w:val="510D14FF"/>
    <w:rsid w:val="511404AA"/>
    <w:rsid w:val="511D7FCE"/>
    <w:rsid w:val="5124786B"/>
    <w:rsid w:val="513F4A64"/>
    <w:rsid w:val="51481FA0"/>
    <w:rsid w:val="514D1417"/>
    <w:rsid w:val="51AC7B9A"/>
    <w:rsid w:val="51B25886"/>
    <w:rsid w:val="51C83C36"/>
    <w:rsid w:val="51CD22F3"/>
    <w:rsid w:val="51DA654B"/>
    <w:rsid w:val="520317FC"/>
    <w:rsid w:val="52113B19"/>
    <w:rsid w:val="522559EA"/>
    <w:rsid w:val="52E77A54"/>
    <w:rsid w:val="52F209B6"/>
    <w:rsid w:val="53256845"/>
    <w:rsid w:val="53315CC5"/>
    <w:rsid w:val="53347AAB"/>
    <w:rsid w:val="53394A64"/>
    <w:rsid w:val="533F3899"/>
    <w:rsid w:val="535B0CBD"/>
    <w:rsid w:val="53996089"/>
    <w:rsid w:val="53A55B3E"/>
    <w:rsid w:val="53DF757D"/>
    <w:rsid w:val="53F356FA"/>
    <w:rsid w:val="54041F40"/>
    <w:rsid w:val="5429409D"/>
    <w:rsid w:val="542A1C14"/>
    <w:rsid w:val="54434465"/>
    <w:rsid w:val="545A055B"/>
    <w:rsid w:val="545F186C"/>
    <w:rsid w:val="54A65FD8"/>
    <w:rsid w:val="54C00253"/>
    <w:rsid w:val="54E57D14"/>
    <w:rsid w:val="54ED3D96"/>
    <w:rsid w:val="550161D7"/>
    <w:rsid w:val="5556578F"/>
    <w:rsid w:val="555B0286"/>
    <w:rsid w:val="55732575"/>
    <w:rsid w:val="55827FD8"/>
    <w:rsid w:val="55982B31"/>
    <w:rsid w:val="55A30CE4"/>
    <w:rsid w:val="55EF1406"/>
    <w:rsid w:val="55FF62DD"/>
    <w:rsid w:val="56044345"/>
    <w:rsid w:val="56066992"/>
    <w:rsid w:val="564C0C63"/>
    <w:rsid w:val="56761631"/>
    <w:rsid w:val="567C4958"/>
    <w:rsid w:val="56925F29"/>
    <w:rsid w:val="56B509D3"/>
    <w:rsid w:val="56BF5BBE"/>
    <w:rsid w:val="570142FD"/>
    <w:rsid w:val="57036561"/>
    <w:rsid w:val="572E6A8D"/>
    <w:rsid w:val="573213BC"/>
    <w:rsid w:val="5782393E"/>
    <w:rsid w:val="57987997"/>
    <w:rsid w:val="57A53A3A"/>
    <w:rsid w:val="57BD6FD6"/>
    <w:rsid w:val="57D1482F"/>
    <w:rsid w:val="57E00827"/>
    <w:rsid w:val="57E15D0C"/>
    <w:rsid w:val="57F52DC2"/>
    <w:rsid w:val="58057D89"/>
    <w:rsid w:val="58170805"/>
    <w:rsid w:val="58286B77"/>
    <w:rsid w:val="5892268E"/>
    <w:rsid w:val="58C548C2"/>
    <w:rsid w:val="58C70FC9"/>
    <w:rsid w:val="58E80082"/>
    <w:rsid w:val="59391853"/>
    <w:rsid w:val="594834AD"/>
    <w:rsid w:val="59527FF8"/>
    <w:rsid w:val="59A11B02"/>
    <w:rsid w:val="59BA7911"/>
    <w:rsid w:val="59E92A18"/>
    <w:rsid w:val="5A036C5F"/>
    <w:rsid w:val="5A33114B"/>
    <w:rsid w:val="5A5751DB"/>
    <w:rsid w:val="5A8932B9"/>
    <w:rsid w:val="5A997904"/>
    <w:rsid w:val="5AA601F5"/>
    <w:rsid w:val="5AB10754"/>
    <w:rsid w:val="5AE633BA"/>
    <w:rsid w:val="5AF91C9B"/>
    <w:rsid w:val="5B057D73"/>
    <w:rsid w:val="5B392E17"/>
    <w:rsid w:val="5B765F3E"/>
    <w:rsid w:val="5B873636"/>
    <w:rsid w:val="5B9F6766"/>
    <w:rsid w:val="5BCB16AF"/>
    <w:rsid w:val="5BDC2C3B"/>
    <w:rsid w:val="5BE27815"/>
    <w:rsid w:val="5BE84D72"/>
    <w:rsid w:val="5BFF41E2"/>
    <w:rsid w:val="5C0C2B12"/>
    <w:rsid w:val="5C1273DC"/>
    <w:rsid w:val="5C5B163A"/>
    <w:rsid w:val="5C5D1A46"/>
    <w:rsid w:val="5C6F239D"/>
    <w:rsid w:val="5C8417CC"/>
    <w:rsid w:val="5CB12E81"/>
    <w:rsid w:val="5D170886"/>
    <w:rsid w:val="5D331AE8"/>
    <w:rsid w:val="5D4A6496"/>
    <w:rsid w:val="5D587F36"/>
    <w:rsid w:val="5D5F468B"/>
    <w:rsid w:val="5D6323CD"/>
    <w:rsid w:val="5D6C4AA9"/>
    <w:rsid w:val="5D8E7CF4"/>
    <w:rsid w:val="5DB65482"/>
    <w:rsid w:val="5DE45E8C"/>
    <w:rsid w:val="5DEA4C1F"/>
    <w:rsid w:val="5E2A5D19"/>
    <w:rsid w:val="5E2F1D96"/>
    <w:rsid w:val="5E364E5D"/>
    <w:rsid w:val="5E42501D"/>
    <w:rsid w:val="5E5066EB"/>
    <w:rsid w:val="5E9465B6"/>
    <w:rsid w:val="5EAD37F5"/>
    <w:rsid w:val="5EB74F81"/>
    <w:rsid w:val="5ECE6A5E"/>
    <w:rsid w:val="5ED246DF"/>
    <w:rsid w:val="5ED8301D"/>
    <w:rsid w:val="5EFA617C"/>
    <w:rsid w:val="5F277ED9"/>
    <w:rsid w:val="5F84250C"/>
    <w:rsid w:val="5F866DD1"/>
    <w:rsid w:val="5F9920D6"/>
    <w:rsid w:val="5FD13A02"/>
    <w:rsid w:val="5FF975A6"/>
    <w:rsid w:val="6003333F"/>
    <w:rsid w:val="606001A1"/>
    <w:rsid w:val="60910EEB"/>
    <w:rsid w:val="609F24F2"/>
    <w:rsid w:val="60C01F2F"/>
    <w:rsid w:val="60C07B37"/>
    <w:rsid w:val="60CC2C58"/>
    <w:rsid w:val="60DE00E6"/>
    <w:rsid w:val="60F82E2D"/>
    <w:rsid w:val="61100446"/>
    <w:rsid w:val="61194893"/>
    <w:rsid w:val="611F633B"/>
    <w:rsid w:val="6122119C"/>
    <w:rsid w:val="615D1838"/>
    <w:rsid w:val="61663F76"/>
    <w:rsid w:val="617443BD"/>
    <w:rsid w:val="617727DC"/>
    <w:rsid w:val="618C736A"/>
    <w:rsid w:val="61D415F5"/>
    <w:rsid w:val="61DB5CCA"/>
    <w:rsid w:val="61E91018"/>
    <w:rsid w:val="61EA40EF"/>
    <w:rsid w:val="61F80AB5"/>
    <w:rsid w:val="62041C7A"/>
    <w:rsid w:val="62127F1E"/>
    <w:rsid w:val="621B04E1"/>
    <w:rsid w:val="621F104C"/>
    <w:rsid w:val="62373658"/>
    <w:rsid w:val="627271EE"/>
    <w:rsid w:val="629B43B7"/>
    <w:rsid w:val="62E01C64"/>
    <w:rsid w:val="62E11E19"/>
    <w:rsid w:val="62E278F0"/>
    <w:rsid w:val="62ED4146"/>
    <w:rsid w:val="631A52DC"/>
    <w:rsid w:val="63260179"/>
    <w:rsid w:val="632D70E9"/>
    <w:rsid w:val="63397886"/>
    <w:rsid w:val="63420185"/>
    <w:rsid w:val="63786F38"/>
    <w:rsid w:val="63A24316"/>
    <w:rsid w:val="63A454EE"/>
    <w:rsid w:val="63B219B9"/>
    <w:rsid w:val="63CF4368"/>
    <w:rsid w:val="644346AA"/>
    <w:rsid w:val="646802C9"/>
    <w:rsid w:val="646861EC"/>
    <w:rsid w:val="648A341D"/>
    <w:rsid w:val="648A7566"/>
    <w:rsid w:val="649C0B5C"/>
    <w:rsid w:val="64A77044"/>
    <w:rsid w:val="64B84872"/>
    <w:rsid w:val="65086B73"/>
    <w:rsid w:val="650F6F16"/>
    <w:rsid w:val="652956AC"/>
    <w:rsid w:val="65357DDA"/>
    <w:rsid w:val="657809E0"/>
    <w:rsid w:val="65A10A69"/>
    <w:rsid w:val="65A96DEB"/>
    <w:rsid w:val="65AB66C0"/>
    <w:rsid w:val="65B12894"/>
    <w:rsid w:val="65D73FFB"/>
    <w:rsid w:val="661926DC"/>
    <w:rsid w:val="66651F2D"/>
    <w:rsid w:val="666A6D74"/>
    <w:rsid w:val="666A7E7A"/>
    <w:rsid w:val="66B35E10"/>
    <w:rsid w:val="66C10016"/>
    <w:rsid w:val="66E134EF"/>
    <w:rsid w:val="66F209FF"/>
    <w:rsid w:val="6722385E"/>
    <w:rsid w:val="674374B9"/>
    <w:rsid w:val="67493534"/>
    <w:rsid w:val="674B7315"/>
    <w:rsid w:val="674F3A38"/>
    <w:rsid w:val="67690B86"/>
    <w:rsid w:val="67715DAD"/>
    <w:rsid w:val="679879D6"/>
    <w:rsid w:val="679D1AA4"/>
    <w:rsid w:val="67AC4702"/>
    <w:rsid w:val="67C27BFD"/>
    <w:rsid w:val="67DB59B1"/>
    <w:rsid w:val="67FB441A"/>
    <w:rsid w:val="682734AE"/>
    <w:rsid w:val="68514045"/>
    <w:rsid w:val="685C0145"/>
    <w:rsid w:val="685D3925"/>
    <w:rsid w:val="689C3504"/>
    <w:rsid w:val="68B03FED"/>
    <w:rsid w:val="68C857DA"/>
    <w:rsid w:val="68D66492"/>
    <w:rsid w:val="692002AE"/>
    <w:rsid w:val="69232A11"/>
    <w:rsid w:val="69435522"/>
    <w:rsid w:val="69642C57"/>
    <w:rsid w:val="699102C2"/>
    <w:rsid w:val="69913782"/>
    <w:rsid w:val="699F645D"/>
    <w:rsid w:val="69B67D29"/>
    <w:rsid w:val="69C07EEC"/>
    <w:rsid w:val="6ACA1832"/>
    <w:rsid w:val="6AD22940"/>
    <w:rsid w:val="6ADA2EB5"/>
    <w:rsid w:val="6B05613A"/>
    <w:rsid w:val="6B0E6486"/>
    <w:rsid w:val="6B5F704D"/>
    <w:rsid w:val="6B9C481C"/>
    <w:rsid w:val="6BDD3F9F"/>
    <w:rsid w:val="6C093189"/>
    <w:rsid w:val="6C384A25"/>
    <w:rsid w:val="6C3B18C4"/>
    <w:rsid w:val="6C584663"/>
    <w:rsid w:val="6C6D307B"/>
    <w:rsid w:val="6C821C83"/>
    <w:rsid w:val="6CCE66BA"/>
    <w:rsid w:val="6D282CEC"/>
    <w:rsid w:val="6D34295D"/>
    <w:rsid w:val="6D352454"/>
    <w:rsid w:val="6D3C765A"/>
    <w:rsid w:val="6D5279EB"/>
    <w:rsid w:val="6D677C19"/>
    <w:rsid w:val="6DE3109F"/>
    <w:rsid w:val="6E0F2EBB"/>
    <w:rsid w:val="6E5D3A33"/>
    <w:rsid w:val="6E6B06FC"/>
    <w:rsid w:val="6E6C09B6"/>
    <w:rsid w:val="6E72293D"/>
    <w:rsid w:val="6E85479A"/>
    <w:rsid w:val="6E9A3775"/>
    <w:rsid w:val="6EB02521"/>
    <w:rsid w:val="6EB74EAF"/>
    <w:rsid w:val="6EC66066"/>
    <w:rsid w:val="6ECE3109"/>
    <w:rsid w:val="6ED15CF9"/>
    <w:rsid w:val="6EDE0753"/>
    <w:rsid w:val="6EE623A6"/>
    <w:rsid w:val="6F290631"/>
    <w:rsid w:val="6F5B37F2"/>
    <w:rsid w:val="6F8A291E"/>
    <w:rsid w:val="6FB95AB0"/>
    <w:rsid w:val="6FCD39E3"/>
    <w:rsid w:val="70097503"/>
    <w:rsid w:val="702C763B"/>
    <w:rsid w:val="703260B1"/>
    <w:rsid w:val="70D949C9"/>
    <w:rsid w:val="70E17439"/>
    <w:rsid w:val="711B6F76"/>
    <w:rsid w:val="717D73D5"/>
    <w:rsid w:val="71A80602"/>
    <w:rsid w:val="71AC1ECE"/>
    <w:rsid w:val="71D95A6F"/>
    <w:rsid w:val="71ED26D4"/>
    <w:rsid w:val="71FF0167"/>
    <w:rsid w:val="72193C81"/>
    <w:rsid w:val="7223482C"/>
    <w:rsid w:val="724816A8"/>
    <w:rsid w:val="726C1A04"/>
    <w:rsid w:val="7271496A"/>
    <w:rsid w:val="727442DD"/>
    <w:rsid w:val="72A55485"/>
    <w:rsid w:val="732219EF"/>
    <w:rsid w:val="73656362"/>
    <w:rsid w:val="73755ECB"/>
    <w:rsid w:val="73A37DC4"/>
    <w:rsid w:val="73BF0A74"/>
    <w:rsid w:val="73CA0659"/>
    <w:rsid w:val="73FE34D8"/>
    <w:rsid w:val="74042C71"/>
    <w:rsid w:val="741B441B"/>
    <w:rsid w:val="74414A6D"/>
    <w:rsid w:val="745D70B1"/>
    <w:rsid w:val="74623AEA"/>
    <w:rsid w:val="746944B1"/>
    <w:rsid w:val="746F0C0E"/>
    <w:rsid w:val="74AA5EB1"/>
    <w:rsid w:val="74CA4688"/>
    <w:rsid w:val="7522216D"/>
    <w:rsid w:val="75231348"/>
    <w:rsid w:val="753073EB"/>
    <w:rsid w:val="758A255C"/>
    <w:rsid w:val="75931CFF"/>
    <w:rsid w:val="75F84CD5"/>
    <w:rsid w:val="760D6F22"/>
    <w:rsid w:val="760E2315"/>
    <w:rsid w:val="76130968"/>
    <w:rsid w:val="761E6BD5"/>
    <w:rsid w:val="76667DF9"/>
    <w:rsid w:val="76674D66"/>
    <w:rsid w:val="768C79E5"/>
    <w:rsid w:val="7698572B"/>
    <w:rsid w:val="76A809F9"/>
    <w:rsid w:val="76AF2588"/>
    <w:rsid w:val="76C34DC9"/>
    <w:rsid w:val="77155B1A"/>
    <w:rsid w:val="7744127C"/>
    <w:rsid w:val="77442D99"/>
    <w:rsid w:val="774C75D7"/>
    <w:rsid w:val="775A74A7"/>
    <w:rsid w:val="77632E27"/>
    <w:rsid w:val="77AE3DED"/>
    <w:rsid w:val="77B41832"/>
    <w:rsid w:val="77B63407"/>
    <w:rsid w:val="77DC095A"/>
    <w:rsid w:val="77DC2D78"/>
    <w:rsid w:val="77DC6750"/>
    <w:rsid w:val="77F72C44"/>
    <w:rsid w:val="77F832F3"/>
    <w:rsid w:val="78390846"/>
    <w:rsid w:val="788255AE"/>
    <w:rsid w:val="78A877A3"/>
    <w:rsid w:val="78CE0BEB"/>
    <w:rsid w:val="78CF033D"/>
    <w:rsid w:val="78D136A5"/>
    <w:rsid w:val="78DA7590"/>
    <w:rsid w:val="78EA7655"/>
    <w:rsid w:val="78F01264"/>
    <w:rsid w:val="79021C8A"/>
    <w:rsid w:val="79246A5D"/>
    <w:rsid w:val="79897203"/>
    <w:rsid w:val="798A3F79"/>
    <w:rsid w:val="79DC389E"/>
    <w:rsid w:val="7A0F1D0F"/>
    <w:rsid w:val="7A195E96"/>
    <w:rsid w:val="7A4D70FD"/>
    <w:rsid w:val="7A5851E9"/>
    <w:rsid w:val="7A803B37"/>
    <w:rsid w:val="7A813A3B"/>
    <w:rsid w:val="7A890082"/>
    <w:rsid w:val="7A97500D"/>
    <w:rsid w:val="7AB52E24"/>
    <w:rsid w:val="7AC50FDE"/>
    <w:rsid w:val="7ACD0C8E"/>
    <w:rsid w:val="7ADE49EA"/>
    <w:rsid w:val="7AFA1771"/>
    <w:rsid w:val="7AFB75EA"/>
    <w:rsid w:val="7B29035B"/>
    <w:rsid w:val="7B772484"/>
    <w:rsid w:val="7BA2010D"/>
    <w:rsid w:val="7BB00AD3"/>
    <w:rsid w:val="7BD63079"/>
    <w:rsid w:val="7BD822D8"/>
    <w:rsid w:val="7BE20509"/>
    <w:rsid w:val="7BF442B2"/>
    <w:rsid w:val="7C442F72"/>
    <w:rsid w:val="7C5A4544"/>
    <w:rsid w:val="7C703223"/>
    <w:rsid w:val="7C737796"/>
    <w:rsid w:val="7CAC3BEC"/>
    <w:rsid w:val="7CB84C7B"/>
    <w:rsid w:val="7CEF1F22"/>
    <w:rsid w:val="7CF36E72"/>
    <w:rsid w:val="7D2971FE"/>
    <w:rsid w:val="7D3D4EEF"/>
    <w:rsid w:val="7D641BB5"/>
    <w:rsid w:val="7D80116B"/>
    <w:rsid w:val="7D95350E"/>
    <w:rsid w:val="7DC822FE"/>
    <w:rsid w:val="7DEB7B49"/>
    <w:rsid w:val="7E08388C"/>
    <w:rsid w:val="7E0A7EE2"/>
    <w:rsid w:val="7E107745"/>
    <w:rsid w:val="7E1A215C"/>
    <w:rsid w:val="7E364C80"/>
    <w:rsid w:val="7E394D59"/>
    <w:rsid w:val="7E3D1DBB"/>
    <w:rsid w:val="7E49586F"/>
    <w:rsid w:val="7E5971A9"/>
    <w:rsid w:val="7E8853C3"/>
    <w:rsid w:val="7E9E2E0E"/>
    <w:rsid w:val="7EA321D2"/>
    <w:rsid w:val="7EAD249E"/>
    <w:rsid w:val="7EB919F5"/>
    <w:rsid w:val="7EC11505"/>
    <w:rsid w:val="7ECA59B1"/>
    <w:rsid w:val="7ECB13E0"/>
    <w:rsid w:val="7EF23159"/>
    <w:rsid w:val="7F0C5D3F"/>
    <w:rsid w:val="7F123EA2"/>
    <w:rsid w:val="7F447B96"/>
    <w:rsid w:val="7F7D1C7C"/>
    <w:rsid w:val="7F984F54"/>
    <w:rsid w:val="7FAE439F"/>
    <w:rsid w:val="7FB4040F"/>
    <w:rsid w:val="7FE151C6"/>
    <w:rsid w:val="7FF57318"/>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heading 1"/>
    <w:basedOn w:val="1"/>
    <w:next w:val="1"/>
    <w:link w:val="73"/>
    <w:qFormat/>
    <w:uiPriority w:val="0"/>
    <w:pPr>
      <w:keepNext/>
      <w:keepLines/>
      <w:spacing w:before="340" w:after="330" w:line="578" w:lineRule="auto"/>
      <w:outlineLvl w:val="0"/>
    </w:pPr>
    <w:rPr>
      <w:b/>
      <w:bCs/>
      <w:kern w:val="44"/>
      <w:sz w:val="44"/>
      <w:szCs w:val="44"/>
    </w:rPr>
  </w:style>
  <w:style w:type="paragraph" w:styleId="11">
    <w:name w:val="heading 2"/>
    <w:basedOn w:val="1"/>
    <w:next w:val="1"/>
    <w:link w:val="74"/>
    <w:qFormat/>
    <w:uiPriority w:val="0"/>
    <w:pPr>
      <w:keepNext/>
      <w:keepLines/>
      <w:spacing w:before="260" w:after="260" w:line="416" w:lineRule="auto"/>
      <w:outlineLvl w:val="1"/>
    </w:pPr>
    <w:rPr>
      <w:rFonts w:ascii="Arial" w:hAnsi="Arial" w:eastAsia="黑体"/>
      <w:b/>
      <w:bCs/>
      <w:sz w:val="32"/>
      <w:szCs w:val="32"/>
    </w:rPr>
  </w:style>
  <w:style w:type="paragraph" w:styleId="12">
    <w:name w:val="heading 3"/>
    <w:basedOn w:val="13"/>
    <w:next w:val="1"/>
    <w:link w:val="75"/>
    <w:qFormat/>
    <w:uiPriority w:val="0"/>
    <w:pPr>
      <w:keepNext/>
      <w:keepLines/>
      <w:spacing w:before="260" w:after="260" w:line="416" w:lineRule="auto"/>
      <w:outlineLvl w:val="2"/>
    </w:pPr>
    <w:rPr>
      <w:b/>
      <w:bCs/>
      <w:sz w:val="32"/>
      <w:szCs w:val="32"/>
    </w:rPr>
  </w:style>
  <w:style w:type="paragraph" w:styleId="14">
    <w:name w:val="heading 4"/>
    <w:basedOn w:val="1"/>
    <w:next w:val="1"/>
    <w:link w:val="77"/>
    <w:qFormat/>
    <w:uiPriority w:val="0"/>
    <w:pPr>
      <w:keepNext/>
      <w:keepLines/>
      <w:spacing w:before="280" w:after="290" w:line="374" w:lineRule="auto"/>
      <w:outlineLvl w:val="3"/>
    </w:pPr>
    <w:rPr>
      <w:rFonts w:ascii="Arial" w:hAnsi="Arial" w:eastAsia="黑体"/>
      <w:b/>
      <w:sz w:val="28"/>
      <w:szCs w:val="20"/>
    </w:rPr>
  </w:style>
  <w:style w:type="paragraph" w:styleId="15">
    <w:name w:val="heading 5"/>
    <w:basedOn w:val="1"/>
    <w:next w:val="1"/>
    <w:link w:val="78"/>
    <w:qFormat/>
    <w:uiPriority w:val="0"/>
    <w:pPr>
      <w:keepNext/>
      <w:keepLines/>
      <w:adjustRightInd w:val="0"/>
      <w:spacing w:before="280" w:after="290" w:line="376" w:lineRule="atLeast"/>
      <w:ind w:left="2125" w:hanging="425"/>
      <w:textAlignment w:val="baseline"/>
      <w:outlineLvl w:val="4"/>
    </w:pPr>
    <w:rPr>
      <w:b/>
      <w:kern w:val="0"/>
      <w:sz w:val="28"/>
      <w:szCs w:val="20"/>
    </w:rPr>
  </w:style>
  <w:style w:type="paragraph" w:styleId="16">
    <w:name w:val="heading 6"/>
    <w:basedOn w:val="1"/>
    <w:next w:val="1"/>
    <w:link w:val="79"/>
    <w:qFormat/>
    <w:uiPriority w:val="0"/>
    <w:pPr>
      <w:keepNext/>
      <w:keepLines/>
      <w:widowControl/>
      <w:tabs>
        <w:tab w:val="left" w:pos="1440"/>
      </w:tabs>
      <w:spacing w:before="240" w:after="64" w:line="319" w:lineRule="auto"/>
      <w:ind w:left="1152" w:hanging="1152"/>
      <w:jc w:val="left"/>
      <w:outlineLvl w:val="5"/>
    </w:pPr>
    <w:rPr>
      <w:rFonts w:ascii="Arial" w:hAnsi="Arial" w:eastAsia="黑体"/>
      <w:b/>
      <w:kern w:val="0"/>
      <w:sz w:val="24"/>
      <w:szCs w:val="20"/>
    </w:rPr>
  </w:style>
  <w:style w:type="paragraph" w:styleId="17">
    <w:name w:val="heading 7"/>
    <w:basedOn w:val="1"/>
    <w:next w:val="1"/>
    <w:link w:val="80"/>
    <w:qFormat/>
    <w:uiPriority w:val="0"/>
    <w:pPr>
      <w:keepNext/>
      <w:keepLines/>
      <w:widowControl/>
      <w:tabs>
        <w:tab w:val="left" w:pos="2520"/>
      </w:tabs>
      <w:spacing w:before="240" w:after="64" w:line="319" w:lineRule="auto"/>
      <w:ind w:left="1296" w:hanging="1296"/>
      <w:jc w:val="left"/>
      <w:outlineLvl w:val="6"/>
    </w:pPr>
    <w:rPr>
      <w:b/>
      <w:kern w:val="0"/>
      <w:sz w:val="24"/>
      <w:szCs w:val="20"/>
    </w:rPr>
  </w:style>
  <w:style w:type="paragraph" w:styleId="18">
    <w:name w:val="heading 8"/>
    <w:basedOn w:val="1"/>
    <w:next w:val="1"/>
    <w:link w:val="8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9">
    <w:name w:val="heading 9"/>
    <w:basedOn w:val="1"/>
    <w:next w:val="1"/>
    <w:link w:val="8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6"/>
    <w:qFormat/>
    <w:uiPriority w:val="0"/>
    <w:pPr>
      <w:autoSpaceDE w:val="0"/>
      <w:autoSpaceDN w:val="0"/>
      <w:adjustRightInd w:val="0"/>
    </w:pPr>
    <w:rPr>
      <w:color w:val="000000"/>
      <w:sz w:val="24"/>
    </w:rPr>
  </w:style>
  <w:style w:type="paragraph" w:styleId="3">
    <w:name w:val="Plain Text"/>
    <w:basedOn w:val="1"/>
    <w:next w:val="4"/>
    <w:link w:val="87"/>
    <w:qFormat/>
    <w:uiPriority w:val="0"/>
    <w:rPr>
      <w:rFonts w:ascii="宋体" w:hAnsi="Courier New"/>
      <w:szCs w:val="20"/>
    </w:rPr>
  </w:style>
  <w:style w:type="paragraph" w:styleId="4">
    <w:name w:val="Body Text"/>
    <w:basedOn w:val="1"/>
    <w:next w:val="5"/>
    <w:link w:val="85"/>
    <w:qFormat/>
    <w:uiPriority w:val="0"/>
    <w:pPr>
      <w:spacing w:after="120"/>
    </w:pPr>
    <w:rPr>
      <w:szCs w:val="20"/>
    </w:rPr>
  </w:style>
  <w:style w:type="paragraph" w:styleId="5">
    <w:name w:val="Body Text 2"/>
    <w:basedOn w:val="1"/>
    <w:next w:val="4"/>
    <w:link w:val="94"/>
    <w:qFormat/>
    <w:uiPriority w:val="0"/>
    <w:pPr>
      <w:spacing w:after="120" w:line="480" w:lineRule="auto"/>
    </w:pPr>
    <w:rPr>
      <w:szCs w:val="20"/>
    </w:rPr>
  </w:style>
  <w:style w:type="paragraph" w:customStyle="1" w:styleId="6">
    <w:name w:val="大标题"/>
    <w:basedOn w:val="1"/>
    <w:next w:val="7"/>
    <w:qFormat/>
    <w:uiPriority w:val="0"/>
    <w:pPr>
      <w:jc w:val="center"/>
    </w:pPr>
    <w:rPr>
      <w:rFonts w:ascii="Arial" w:hAnsi="Arial" w:eastAsia="宋体"/>
      <w:b/>
      <w:sz w:val="28"/>
      <w:szCs w:val="24"/>
    </w:rPr>
  </w:style>
  <w:style w:type="paragraph" w:styleId="7">
    <w:name w:val="Body Text First Indent 2"/>
    <w:basedOn w:val="8"/>
    <w:next w:val="1"/>
    <w:qFormat/>
    <w:uiPriority w:val="0"/>
    <w:pPr>
      <w:ind w:firstLine="420" w:firstLineChars="200"/>
    </w:pPr>
    <w:rPr>
      <w:szCs w:val="21"/>
    </w:rPr>
  </w:style>
  <w:style w:type="paragraph" w:styleId="8">
    <w:name w:val="Body Text Indent"/>
    <w:basedOn w:val="1"/>
    <w:next w:val="9"/>
    <w:link w:val="86"/>
    <w:qFormat/>
    <w:uiPriority w:val="0"/>
    <w:pPr>
      <w:spacing w:after="120"/>
      <w:ind w:left="420" w:leftChars="200"/>
    </w:pPr>
    <w:rPr>
      <w:szCs w:val="20"/>
    </w:rPr>
  </w:style>
  <w:style w:type="paragraph" w:styleId="9">
    <w:name w:val="envelope return"/>
    <w:basedOn w:val="1"/>
    <w:qFormat/>
    <w:uiPriority w:val="0"/>
    <w:pPr>
      <w:snapToGrid w:val="0"/>
    </w:pPr>
    <w:rPr>
      <w:rFonts w:ascii="Arial" w:hAnsi="Arial"/>
    </w:rPr>
  </w:style>
  <w:style w:type="paragraph" w:customStyle="1" w:styleId="13">
    <w:name w:val="索引 11"/>
    <w:basedOn w:val="1"/>
    <w:next w:val="1"/>
    <w:qFormat/>
    <w:uiPriority w:val="0"/>
    <w:pPr>
      <w:spacing w:line="360" w:lineRule="auto"/>
    </w:pPr>
    <w:rPr>
      <w:rFonts w:ascii="仿宋_GB2312" w:eastAsia="仿宋_GB2312"/>
      <w:sz w:val="24"/>
      <w:szCs w:val="20"/>
    </w:rPr>
  </w:style>
  <w:style w:type="paragraph" w:styleId="20">
    <w:name w:val="toc 7"/>
    <w:basedOn w:val="1"/>
    <w:next w:val="1"/>
    <w:qFormat/>
    <w:uiPriority w:val="39"/>
    <w:pPr>
      <w:ind w:left="2520" w:leftChars="1200"/>
    </w:pPr>
  </w:style>
  <w:style w:type="paragraph" w:styleId="21">
    <w:name w:val="Normal Indent"/>
    <w:basedOn w:val="1"/>
    <w:qFormat/>
    <w:uiPriority w:val="0"/>
    <w:pPr>
      <w:ind w:firstLine="420" w:firstLineChars="200"/>
    </w:pPr>
  </w:style>
  <w:style w:type="paragraph" w:styleId="22">
    <w:name w:val="caption"/>
    <w:basedOn w:val="1"/>
    <w:next w:val="1"/>
    <w:qFormat/>
    <w:uiPriority w:val="0"/>
    <w:rPr>
      <w:rFonts w:ascii="Cambria" w:hAnsi="Cambria" w:eastAsia="黑体"/>
      <w:sz w:val="20"/>
      <w:szCs w:val="20"/>
    </w:rPr>
  </w:style>
  <w:style w:type="paragraph" w:styleId="23">
    <w:name w:val="List Bullet"/>
    <w:basedOn w:val="1"/>
    <w:qFormat/>
    <w:uiPriority w:val="0"/>
    <w:pPr>
      <w:ind w:left="384" w:hanging="384" w:hangingChars="160"/>
    </w:pPr>
    <w:rPr>
      <w:sz w:val="24"/>
    </w:rPr>
  </w:style>
  <w:style w:type="paragraph" w:styleId="24">
    <w:name w:val="Document Map"/>
    <w:basedOn w:val="1"/>
    <w:link w:val="83"/>
    <w:qFormat/>
    <w:uiPriority w:val="0"/>
    <w:pPr>
      <w:shd w:val="clear" w:color="auto" w:fill="000080"/>
    </w:pPr>
    <w:rPr>
      <w:szCs w:val="20"/>
      <w:shd w:val="clear" w:color="auto" w:fill="000080"/>
    </w:rPr>
  </w:style>
  <w:style w:type="paragraph" w:styleId="25">
    <w:name w:val="toa heading"/>
    <w:basedOn w:val="1"/>
    <w:next w:val="1"/>
    <w:qFormat/>
    <w:uiPriority w:val="0"/>
    <w:pPr>
      <w:spacing w:before="120"/>
    </w:pPr>
    <w:rPr>
      <w:rFonts w:ascii="Arial" w:hAnsi="Arial" w:cs="Arial"/>
      <w:sz w:val="24"/>
    </w:rPr>
  </w:style>
  <w:style w:type="paragraph" w:styleId="26">
    <w:name w:val="annotation text"/>
    <w:basedOn w:val="1"/>
    <w:link w:val="84"/>
    <w:semiHidden/>
    <w:qFormat/>
    <w:uiPriority w:val="0"/>
    <w:pPr>
      <w:jc w:val="left"/>
    </w:pPr>
  </w:style>
  <w:style w:type="paragraph" w:styleId="27">
    <w:name w:val="Body Text 3"/>
    <w:basedOn w:val="1"/>
    <w:qFormat/>
    <w:uiPriority w:val="0"/>
    <w:rPr>
      <w:rFonts w:ascii="宋体"/>
      <w:sz w:val="24"/>
      <w:szCs w:val="20"/>
    </w:rPr>
  </w:style>
  <w:style w:type="paragraph" w:styleId="28">
    <w:name w:val="index 4"/>
    <w:basedOn w:val="1"/>
    <w:next w:val="1"/>
    <w:qFormat/>
    <w:uiPriority w:val="0"/>
    <w:pPr>
      <w:ind w:left="600" w:leftChars="600"/>
    </w:pPr>
  </w:style>
  <w:style w:type="paragraph" w:styleId="29">
    <w:name w:val="toc 5"/>
    <w:basedOn w:val="1"/>
    <w:next w:val="1"/>
    <w:qFormat/>
    <w:uiPriority w:val="39"/>
    <w:pPr>
      <w:ind w:left="1680" w:leftChars="800"/>
    </w:pPr>
  </w:style>
  <w:style w:type="paragraph" w:styleId="30">
    <w:name w:val="toc 3"/>
    <w:basedOn w:val="1"/>
    <w:next w:val="1"/>
    <w:qFormat/>
    <w:uiPriority w:val="39"/>
    <w:pPr>
      <w:tabs>
        <w:tab w:val="right" w:leader="dot" w:pos="8315"/>
      </w:tabs>
      <w:spacing w:line="360" w:lineRule="auto"/>
      <w:ind w:left="840" w:leftChars="400"/>
    </w:pPr>
    <w:rPr>
      <w:sz w:val="24"/>
    </w:rPr>
  </w:style>
  <w:style w:type="paragraph" w:styleId="31">
    <w:name w:val="toc 8"/>
    <w:basedOn w:val="1"/>
    <w:next w:val="1"/>
    <w:qFormat/>
    <w:uiPriority w:val="39"/>
    <w:pPr>
      <w:ind w:left="2940" w:leftChars="1400"/>
    </w:pPr>
  </w:style>
  <w:style w:type="paragraph" w:styleId="32">
    <w:name w:val="Date"/>
    <w:basedOn w:val="1"/>
    <w:next w:val="1"/>
    <w:link w:val="88"/>
    <w:qFormat/>
    <w:uiPriority w:val="0"/>
    <w:rPr>
      <w:sz w:val="24"/>
      <w:szCs w:val="20"/>
    </w:rPr>
  </w:style>
  <w:style w:type="paragraph" w:styleId="33">
    <w:name w:val="Body Text Indent 2"/>
    <w:basedOn w:val="1"/>
    <w:link w:val="89"/>
    <w:qFormat/>
    <w:uiPriority w:val="0"/>
    <w:pPr>
      <w:adjustRightInd w:val="0"/>
      <w:snapToGrid w:val="0"/>
      <w:spacing w:line="420" w:lineRule="auto"/>
      <w:ind w:firstLine="577"/>
      <w:textAlignment w:val="baseline"/>
    </w:pPr>
    <w:rPr>
      <w:spacing w:val="4"/>
      <w:kern w:val="0"/>
      <w:sz w:val="28"/>
      <w:szCs w:val="20"/>
    </w:rPr>
  </w:style>
  <w:style w:type="paragraph" w:styleId="34">
    <w:name w:val="Balloon Text"/>
    <w:basedOn w:val="1"/>
    <w:link w:val="90"/>
    <w:qFormat/>
    <w:uiPriority w:val="0"/>
    <w:rPr>
      <w:sz w:val="18"/>
      <w:szCs w:val="20"/>
    </w:rPr>
  </w:style>
  <w:style w:type="paragraph" w:styleId="35">
    <w:name w:val="footer"/>
    <w:basedOn w:val="1"/>
    <w:link w:val="91"/>
    <w:qFormat/>
    <w:uiPriority w:val="0"/>
    <w:pPr>
      <w:tabs>
        <w:tab w:val="center" w:pos="4153"/>
        <w:tab w:val="right" w:pos="8306"/>
      </w:tabs>
      <w:snapToGrid w:val="0"/>
      <w:jc w:val="left"/>
    </w:pPr>
    <w:rPr>
      <w:sz w:val="18"/>
      <w:szCs w:val="18"/>
    </w:rPr>
  </w:style>
  <w:style w:type="paragraph" w:styleId="36">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right" w:leader="dot" w:pos="8296"/>
      </w:tabs>
      <w:spacing w:line="360" w:lineRule="auto"/>
      <w:ind w:right="733" w:rightChars="349"/>
      <w:jc w:val="center"/>
    </w:pPr>
    <w:rPr>
      <w:sz w:val="28"/>
    </w:rPr>
  </w:style>
  <w:style w:type="paragraph" w:styleId="38">
    <w:name w:val="toc 4"/>
    <w:basedOn w:val="1"/>
    <w:next w:val="1"/>
    <w:qFormat/>
    <w:uiPriority w:val="39"/>
    <w:pPr>
      <w:ind w:left="1260" w:leftChars="600"/>
    </w:pPr>
  </w:style>
  <w:style w:type="paragraph" w:styleId="39">
    <w:name w:val="Subtitle"/>
    <w:basedOn w:val="1"/>
    <w:next w:val="1"/>
    <w:link w:val="93"/>
    <w:qFormat/>
    <w:uiPriority w:val="0"/>
    <w:pPr>
      <w:spacing w:before="240" w:after="60" w:line="312" w:lineRule="auto"/>
      <w:jc w:val="center"/>
      <w:outlineLvl w:val="1"/>
    </w:pPr>
    <w:rPr>
      <w:rFonts w:ascii="Cambria" w:hAnsi="Cambria"/>
      <w:b/>
      <w:bCs/>
      <w:kern w:val="28"/>
      <w:sz w:val="32"/>
      <w:szCs w:val="32"/>
    </w:rPr>
  </w:style>
  <w:style w:type="paragraph" w:styleId="40">
    <w:name w:val="toc 6"/>
    <w:basedOn w:val="1"/>
    <w:next w:val="1"/>
    <w:qFormat/>
    <w:uiPriority w:val="39"/>
    <w:pPr>
      <w:ind w:left="2100" w:leftChars="1000"/>
    </w:pPr>
  </w:style>
  <w:style w:type="paragraph" w:styleId="41">
    <w:name w:val="Body Text Indent 3"/>
    <w:basedOn w:val="1"/>
    <w:qFormat/>
    <w:uiPriority w:val="0"/>
    <w:pPr>
      <w:spacing w:after="120"/>
      <w:ind w:left="420" w:leftChars="200"/>
    </w:pPr>
    <w:rPr>
      <w:sz w:val="16"/>
      <w:szCs w:val="20"/>
    </w:rPr>
  </w:style>
  <w:style w:type="paragraph" w:styleId="42">
    <w:name w:val="toc 2"/>
    <w:basedOn w:val="1"/>
    <w:next w:val="1"/>
    <w:qFormat/>
    <w:uiPriority w:val="39"/>
    <w:pPr>
      <w:tabs>
        <w:tab w:val="right" w:leader="dot" w:pos="8301"/>
      </w:tabs>
      <w:spacing w:line="360" w:lineRule="auto"/>
      <w:ind w:left="420" w:leftChars="200"/>
    </w:pPr>
    <w:rPr>
      <w:sz w:val="24"/>
    </w:rPr>
  </w:style>
  <w:style w:type="paragraph" w:styleId="43">
    <w:name w:val="toc 9"/>
    <w:basedOn w:val="1"/>
    <w:next w:val="1"/>
    <w:qFormat/>
    <w:uiPriority w:val="39"/>
    <w:pPr>
      <w:ind w:left="3360" w:leftChars="1600"/>
    </w:pPr>
  </w:style>
  <w:style w:type="paragraph" w:styleId="4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0"/>
    </w:rPr>
  </w:style>
  <w:style w:type="paragraph" w:styleId="4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46">
    <w:name w:val="index 1"/>
    <w:basedOn w:val="1"/>
    <w:next w:val="1"/>
    <w:qFormat/>
    <w:uiPriority w:val="0"/>
    <w:pPr>
      <w:spacing w:line="220" w:lineRule="exact"/>
      <w:jc w:val="center"/>
    </w:pPr>
    <w:rPr>
      <w:rFonts w:ascii="仿宋_GB2312" w:eastAsia="仿宋_GB2312"/>
      <w:szCs w:val="20"/>
    </w:rPr>
  </w:style>
  <w:style w:type="paragraph" w:styleId="47">
    <w:name w:val="Title"/>
    <w:basedOn w:val="1"/>
    <w:link w:val="9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26"/>
    <w:next w:val="26"/>
    <w:link w:val="96"/>
    <w:qFormat/>
    <w:uiPriority w:val="0"/>
    <w:rPr>
      <w:b/>
      <w:bCs/>
      <w:szCs w:val="20"/>
    </w:rPr>
  </w:style>
  <w:style w:type="paragraph" w:styleId="49">
    <w:name w:val="Body Text First Indent"/>
    <w:basedOn w:val="4"/>
    <w:next w:val="7"/>
    <w:qFormat/>
    <w:uiPriority w:val="0"/>
    <w:pPr>
      <w:widowControl/>
      <w:spacing w:after="160"/>
      <w:ind w:firstLine="420" w:firstLineChars="100"/>
      <w:jc w:val="left"/>
    </w:pPr>
    <w:rPr>
      <w:rFonts w:ascii="仿宋体" w:eastAsia="仿宋体"/>
      <w:kern w:val="0"/>
      <w:sz w:val="20"/>
      <w:lang w:eastAsia="en-US"/>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page number"/>
    <w:qFormat/>
    <w:uiPriority w:val="0"/>
  </w:style>
  <w:style w:type="character" w:styleId="55">
    <w:name w:val="FollowedHyperlink"/>
    <w:qFormat/>
    <w:uiPriority w:val="0"/>
    <w:rPr>
      <w:color w:val="000000"/>
      <w:u w:val="none"/>
    </w:rPr>
  </w:style>
  <w:style w:type="character" w:styleId="56">
    <w:name w:val="Emphasis"/>
    <w:qFormat/>
    <w:uiPriority w:val="0"/>
    <w:rPr>
      <w:i/>
      <w:iCs/>
    </w:rPr>
  </w:style>
  <w:style w:type="character" w:styleId="57">
    <w:name w:val="HTML Definition"/>
    <w:qFormat/>
    <w:uiPriority w:val="0"/>
  </w:style>
  <w:style w:type="character" w:styleId="58">
    <w:name w:val="HTML Typewriter"/>
    <w:qFormat/>
    <w:uiPriority w:val="0"/>
    <w:rPr>
      <w:rFonts w:ascii="monospace" w:hAnsi="monospace" w:eastAsia="monospace" w:cs="monospace"/>
      <w:sz w:val="20"/>
    </w:rPr>
  </w:style>
  <w:style w:type="character" w:styleId="59">
    <w:name w:val="HTML Acronym"/>
    <w:qFormat/>
    <w:uiPriority w:val="0"/>
    <w:rPr>
      <w:color w:val="5C5C5C"/>
      <w:sz w:val="21"/>
      <w:szCs w:val="21"/>
    </w:rPr>
  </w:style>
  <w:style w:type="character" w:styleId="60">
    <w:name w:val="HTML Variable"/>
    <w:qFormat/>
    <w:uiPriority w:val="0"/>
  </w:style>
  <w:style w:type="character" w:styleId="61">
    <w:name w:val="Hyperlink"/>
    <w:qFormat/>
    <w:uiPriority w:val="99"/>
    <w:rPr>
      <w:color w:val="000000"/>
      <w:u w:val="none"/>
    </w:rPr>
  </w:style>
  <w:style w:type="character" w:styleId="62">
    <w:name w:val="HTML Code"/>
    <w:qFormat/>
    <w:uiPriority w:val="0"/>
    <w:rPr>
      <w:rFonts w:hint="default" w:ascii="monospace" w:hAnsi="monospace" w:eastAsia="monospace" w:cs="monospace"/>
      <w:sz w:val="20"/>
    </w:rPr>
  </w:style>
  <w:style w:type="character" w:styleId="63">
    <w:name w:val="annotation reference"/>
    <w:qFormat/>
    <w:uiPriority w:val="0"/>
    <w:rPr>
      <w:sz w:val="21"/>
    </w:rPr>
  </w:style>
  <w:style w:type="character" w:styleId="64">
    <w:name w:val="HTML Cite"/>
    <w:qFormat/>
    <w:uiPriority w:val="0"/>
  </w:style>
  <w:style w:type="character" w:styleId="65">
    <w:name w:val="HTML Keyboard"/>
    <w:qFormat/>
    <w:uiPriority w:val="0"/>
    <w:rPr>
      <w:rFonts w:hint="default" w:ascii="monospace" w:hAnsi="monospace" w:eastAsia="monospace" w:cs="monospace"/>
      <w:sz w:val="20"/>
    </w:rPr>
  </w:style>
  <w:style w:type="character" w:styleId="66">
    <w:name w:val="HTML Sample"/>
    <w:qFormat/>
    <w:uiPriority w:val="0"/>
    <w:rPr>
      <w:rFonts w:hint="default" w:ascii="monospace" w:hAnsi="monospace" w:eastAsia="monospace" w:cs="monospace"/>
    </w:rPr>
  </w:style>
  <w:style w:type="paragraph" w:customStyle="1" w:styleId="67">
    <w:name w:val="_Style 1"/>
    <w:basedOn w:val="1"/>
    <w:qFormat/>
    <w:uiPriority w:val="34"/>
    <w:pPr>
      <w:ind w:firstLine="420" w:firstLineChars="200"/>
    </w:pPr>
    <w:rPr>
      <w:rFonts w:eastAsia="仿宋_GB2312"/>
      <w:sz w:val="28"/>
    </w:rPr>
  </w:style>
  <w:style w:type="paragraph" w:customStyle="1" w:styleId="68">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69">
    <w:name w:val="style4"/>
    <w:basedOn w:val="1"/>
    <w:next w:val="70"/>
    <w:qFormat/>
    <w:uiPriority w:val="0"/>
    <w:pPr>
      <w:widowControl/>
      <w:spacing w:before="280" w:after="280"/>
    </w:pPr>
    <w:rPr>
      <w:sz w:val="18"/>
    </w:rPr>
  </w:style>
  <w:style w:type="paragraph" w:customStyle="1" w:styleId="70">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71">
    <w:name w:val="正文缩进1"/>
    <w:basedOn w:val="1"/>
    <w:link w:val="76"/>
    <w:qFormat/>
    <w:uiPriority w:val="0"/>
    <w:pPr>
      <w:autoSpaceDE w:val="0"/>
      <w:autoSpaceDN w:val="0"/>
      <w:adjustRightInd w:val="0"/>
      <w:ind w:firstLine="420"/>
      <w:jc w:val="left"/>
    </w:pPr>
    <w:rPr>
      <w:rFonts w:ascii="宋体"/>
      <w:kern w:val="0"/>
      <w:sz w:val="24"/>
      <w:szCs w:val="20"/>
    </w:rPr>
  </w:style>
  <w:style w:type="paragraph" w:customStyle="1" w:styleId="7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character" w:customStyle="1" w:styleId="73">
    <w:name w:val="标题 1 字符"/>
    <w:link w:val="10"/>
    <w:qFormat/>
    <w:uiPriority w:val="0"/>
    <w:rPr>
      <w:rFonts w:eastAsia="宋体"/>
      <w:b/>
      <w:bCs/>
      <w:kern w:val="44"/>
      <w:sz w:val="44"/>
      <w:szCs w:val="44"/>
      <w:lang w:val="en-US" w:eastAsia="zh-CN" w:bidi="ar-SA"/>
    </w:rPr>
  </w:style>
  <w:style w:type="character" w:customStyle="1" w:styleId="74">
    <w:name w:val="标题 2 字符"/>
    <w:link w:val="11"/>
    <w:qFormat/>
    <w:uiPriority w:val="0"/>
    <w:rPr>
      <w:rFonts w:ascii="Arial" w:hAnsi="Arial" w:eastAsia="黑体"/>
      <w:b/>
      <w:bCs/>
      <w:kern w:val="2"/>
      <w:sz w:val="32"/>
      <w:szCs w:val="32"/>
      <w:lang w:val="en-US" w:eastAsia="zh-CN" w:bidi="ar-SA"/>
    </w:rPr>
  </w:style>
  <w:style w:type="character" w:customStyle="1" w:styleId="75">
    <w:name w:val="标题 3 字符"/>
    <w:link w:val="12"/>
    <w:qFormat/>
    <w:uiPriority w:val="0"/>
    <w:rPr>
      <w:rFonts w:eastAsia="宋体"/>
      <w:b/>
      <w:bCs/>
      <w:kern w:val="2"/>
      <w:sz w:val="32"/>
      <w:szCs w:val="32"/>
      <w:lang w:val="en-US" w:eastAsia="zh-CN" w:bidi="ar-SA"/>
    </w:rPr>
  </w:style>
  <w:style w:type="character" w:customStyle="1" w:styleId="76">
    <w:name w:val="正文缩进 Char1"/>
    <w:link w:val="71"/>
    <w:qFormat/>
    <w:uiPriority w:val="0"/>
    <w:rPr>
      <w:rFonts w:ascii="宋体"/>
      <w:sz w:val="24"/>
      <w:lang w:bidi="ar-SA"/>
    </w:rPr>
  </w:style>
  <w:style w:type="character" w:customStyle="1" w:styleId="77">
    <w:name w:val="标题 4 字符"/>
    <w:link w:val="14"/>
    <w:qFormat/>
    <w:uiPriority w:val="0"/>
    <w:rPr>
      <w:rFonts w:ascii="Arial" w:hAnsi="Arial" w:eastAsia="黑体"/>
      <w:b/>
      <w:kern w:val="2"/>
      <w:sz w:val="28"/>
      <w:lang w:val="en-US" w:eastAsia="zh-CN" w:bidi="ar-SA"/>
    </w:rPr>
  </w:style>
  <w:style w:type="character" w:customStyle="1" w:styleId="78">
    <w:name w:val="标题 5 字符"/>
    <w:link w:val="15"/>
    <w:qFormat/>
    <w:uiPriority w:val="0"/>
    <w:rPr>
      <w:rFonts w:eastAsia="宋体"/>
      <w:b/>
      <w:sz w:val="28"/>
      <w:lang w:val="en-US" w:eastAsia="zh-CN" w:bidi="ar-SA"/>
    </w:rPr>
  </w:style>
  <w:style w:type="character" w:customStyle="1" w:styleId="79">
    <w:name w:val="标题 6 字符"/>
    <w:link w:val="16"/>
    <w:qFormat/>
    <w:uiPriority w:val="0"/>
    <w:rPr>
      <w:rFonts w:ascii="Arial" w:hAnsi="Arial" w:eastAsia="黑体"/>
      <w:b/>
      <w:sz w:val="24"/>
      <w:lang w:val="en-US" w:eastAsia="zh-CN" w:bidi="ar-SA"/>
    </w:rPr>
  </w:style>
  <w:style w:type="character" w:customStyle="1" w:styleId="80">
    <w:name w:val="标题 7 字符"/>
    <w:link w:val="17"/>
    <w:qFormat/>
    <w:uiPriority w:val="0"/>
    <w:rPr>
      <w:rFonts w:eastAsia="宋体"/>
      <w:b/>
      <w:sz w:val="24"/>
      <w:lang w:val="en-US" w:eastAsia="zh-CN" w:bidi="ar-SA"/>
    </w:rPr>
  </w:style>
  <w:style w:type="character" w:customStyle="1" w:styleId="81">
    <w:name w:val="标题 8 字符"/>
    <w:link w:val="18"/>
    <w:qFormat/>
    <w:uiPriority w:val="0"/>
    <w:rPr>
      <w:rFonts w:ascii="Arial" w:hAnsi="Arial" w:eastAsia="黑体"/>
      <w:sz w:val="24"/>
      <w:lang w:val="en-US" w:eastAsia="zh-CN" w:bidi="ar-SA"/>
    </w:rPr>
  </w:style>
  <w:style w:type="character" w:customStyle="1" w:styleId="82">
    <w:name w:val="标题 9 字符"/>
    <w:link w:val="19"/>
    <w:qFormat/>
    <w:uiPriority w:val="0"/>
    <w:rPr>
      <w:rFonts w:ascii="Arial" w:hAnsi="Arial" w:eastAsia="黑体"/>
      <w:sz w:val="21"/>
      <w:lang w:val="en-US" w:eastAsia="zh-CN" w:bidi="ar-SA"/>
    </w:rPr>
  </w:style>
  <w:style w:type="character" w:customStyle="1" w:styleId="83">
    <w:name w:val="文档结构图 字符"/>
    <w:link w:val="24"/>
    <w:qFormat/>
    <w:uiPriority w:val="0"/>
    <w:rPr>
      <w:kern w:val="2"/>
      <w:sz w:val="21"/>
      <w:shd w:val="clear" w:color="auto" w:fill="000080"/>
      <w:lang w:bidi="ar-SA"/>
    </w:rPr>
  </w:style>
  <w:style w:type="character" w:customStyle="1" w:styleId="84">
    <w:name w:val="批注文字 字符"/>
    <w:link w:val="26"/>
    <w:qFormat/>
    <w:uiPriority w:val="0"/>
    <w:rPr>
      <w:rFonts w:eastAsia="宋体"/>
      <w:kern w:val="2"/>
      <w:sz w:val="21"/>
      <w:szCs w:val="24"/>
      <w:lang w:val="en-US" w:eastAsia="zh-CN" w:bidi="ar-SA"/>
    </w:rPr>
  </w:style>
  <w:style w:type="character" w:customStyle="1" w:styleId="85">
    <w:name w:val="正文文本 字符"/>
    <w:link w:val="4"/>
    <w:qFormat/>
    <w:uiPriority w:val="0"/>
    <w:rPr>
      <w:kern w:val="2"/>
      <w:sz w:val="21"/>
      <w:lang w:bidi="ar-SA"/>
    </w:rPr>
  </w:style>
  <w:style w:type="character" w:customStyle="1" w:styleId="86">
    <w:name w:val="正文文本缩进 字符"/>
    <w:link w:val="8"/>
    <w:qFormat/>
    <w:uiPriority w:val="0"/>
    <w:rPr>
      <w:rFonts w:eastAsia="宋体"/>
      <w:kern w:val="2"/>
      <w:sz w:val="21"/>
      <w:lang w:val="en-US" w:eastAsia="zh-CN" w:bidi="ar-SA"/>
    </w:rPr>
  </w:style>
  <w:style w:type="character" w:customStyle="1" w:styleId="87">
    <w:name w:val="纯文本 字符"/>
    <w:link w:val="3"/>
    <w:qFormat/>
    <w:uiPriority w:val="0"/>
    <w:rPr>
      <w:rFonts w:ascii="宋体" w:hAnsi="Courier New" w:eastAsia="宋体"/>
      <w:kern w:val="2"/>
      <w:sz w:val="21"/>
      <w:lang w:val="en-US" w:eastAsia="zh-CN" w:bidi="ar-SA"/>
    </w:rPr>
  </w:style>
  <w:style w:type="character" w:customStyle="1" w:styleId="88">
    <w:name w:val="日期 字符"/>
    <w:link w:val="32"/>
    <w:qFormat/>
    <w:uiPriority w:val="0"/>
    <w:rPr>
      <w:kern w:val="2"/>
      <w:sz w:val="24"/>
      <w:lang w:bidi="ar-SA"/>
    </w:rPr>
  </w:style>
  <w:style w:type="character" w:customStyle="1" w:styleId="89">
    <w:name w:val="正文文本缩进 2 字符"/>
    <w:link w:val="33"/>
    <w:semiHidden/>
    <w:qFormat/>
    <w:locked/>
    <w:uiPriority w:val="0"/>
    <w:rPr>
      <w:rFonts w:eastAsia="宋体"/>
      <w:spacing w:val="4"/>
      <w:sz w:val="28"/>
      <w:lang w:val="en-US" w:eastAsia="zh-CN" w:bidi="ar-SA"/>
    </w:rPr>
  </w:style>
  <w:style w:type="character" w:customStyle="1" w:styleId="90">
    <w:name w:val="批注框文本 字符"/>
    <w:link w:val="34"/>
    <w:qFormat/>
    <w:uiPriority w:val="0"/>
    <w:rPr>
      <w:kern w:val="2"/>
      <w:sz w:val="18"/>
      <w:lang w:bidi="ar-SA"/>
    </w:rPr>
  </w:style>
  <w:style w:type="character" w:customStyle="1" w:styleId="91">
    <w:name w:val="页脚 字符"/>
    <w:link w:val="35"/>
    <w:qFormat/>
    <w:uiPriority w:val="0"/>
    <w:rPr>
      <w:rFonts w:eastAsia="宋体"/>
      <w:kern w:val="2"/>
      <w:sz w:val="18"/>
      <w:szCs w:val="18"/>
      <w:lang w:val="en-US" w:eastAsia="zh-CN" w:bidi="ar-SA"/>
    </w:rPr>
  </w:style>
  <w:style w:type="character" w:customStyle="1" w:styleId="92">
    <w:name w:val="页眉 字符"/>
    <w:link w:val="36"/>
    <w:qFormat/>
    <w:uiPriority w:val="0"/>
    <w:rPr>
      <w:rFonts w:eastAsia="宋体"/>
      <w:kern w:val="2"/>
      <w:sz w:val="18"/>
      <w:szCs w:val="18"/>
      <w:lang w:val="en-US" w:eastAsia="zh-CN" w:bidi="ar-SA"/>
    </w:rPr>
  </w:style>
  <w:style w:type="character" w:customStyle="1" w:styleId="93">
    <w:name w:val="副标题 字符"/>
    <w:link w:val="39"/>
    <w:qFormat/>
    <w:uiPriority w:val="0"/>
    <w:rPr>
      <w:rFonts w:ascii="Cambria" w:hAnsi="Cambria"/>
      <w:b/>
      <w:bCs/>
      <w:kern w:val="28"/>
      <w:sz w:val="32"/>
      <w:szCs w:val="32"/>
      <w:lang w:bidi="ar-SA"/>
    </w:rPr>
  </w:style>
  <w:style w:type="character" w:customStyle="1" w:styleId="94">
    <w:name w:val="正文文本 2 字符"/>
    <w:link w:val="5"/>
    <w:qFormat/>
    <w:uiPriority w:val="0"/>
    <w:rPr>
      <w:kern w:val="2"/>
      <w:sz w:val="21"/>
      <w:lang w:bidi="ar-SA"/>
    </w:rPr>
  </w:style>
  <w:style w:type="character" w:customStyle="1" w:styleId="95">
    <w:name w:val="标题 字符"/>
    <w:link w:val="47"/>
    <w:qFormat/>
    <w:uiPriority w:val="0"/>
    <w:rPr>
      <w:rFonts w:ascii="Arial" w:hAnsi="Arial"/>
      <w:b/>
      <w:sz w:val="32"/>
      <w:lang w:bidi="ar-SA"/>
    </w:rPr>
  </w:style>
  <w:style w:type="character" w:customStyle="1" w:styleId="96">
    <w:name w:val="批注主题 字符"/>
    <w:link w:val="48"/>
    <w:qFormat/>
    <w:uiPriority w:val="0"/>
    <w:rPr>
      <w:b/>
      <w:bCs/>
      <w:kern w:val="2"/>
      <w:sz w:val="21"/>
      <w:lang w:bidi="ar-SA"/>
    </w:rPr>
  </w:style>
  <w:style w:type="paragraph" w:customStyle="1" w:styleId="97">
    <w:name w:val="Heading2"/>
    <w:basedOn w:val="1"/>
    <w:next w:val="1"/>
    <w:qFormat/>
    <w:uiPriority w:val="0"/>
    <w:pPr>
      <w:keepNext/>
      <w:keepLines/>
      <w:spacing w:before="260" w:after="260" w:line="412" w:lineRule="auto"/>
    </w:pPr>
    <w:rPr>
      <w:rFonts w:ascii="Arial" w:hAnsi="Arial" w:eastAsia="黑体"/>
      <w:kern w:val="0"/>
      <w:sz w:val="32"/>
      <w:szCs w:val="32"/>
    </w:rPr>
  </w:style>
  <w:style w:type="character" w:customStyle="1" w:styleId="98">
    <w:name w:val="标题 5 Char"/>
    <w:qFormat/>
    <w:uiPriority w:val="0"/>
    <w:rPr>
      <w:rFonts w:ascii="Calibri" w:hAnsi="Calibri" w:eastAsia="宋体"/>
      <w:b/>
      <w:kern w:val="2"/>
      <w:sz w:val="28"/>
      <w:szCs w:val="20"/>
    </w:rPr>
  </w:style>
  <w:style w:type="character" w:customStyle="1" w:styleId="99">
    <w:name w:val="样式 标题 4 + 四号 Char Char"/>
    <w:link w:val="100"/>
    <w:qFormat/>
    <w:uiPriority w:val="0"/>
    <w:rPr>
      <w:rFonts w:ascii="Arial" w:hAnsi="Arial" w:eastAsia="宋体"/>
      <w:b/>
      <w:bCs/>
      <w:kern w:val="2"/>
      <w:sz w:val="24"/>
      <w:szCs w:val="28"/>
      <w:lang w:val="en-US" w:eastAsia="zh-CN" w:bidi="ar-SA"/>
    </w:rPr>
  </w:style>
  <w:style w:type="paragraph" w:customStyle="1" w:styleId="100">
    <w:name w:val="样式 标题 4 + 四号"/>
    <w:basedOn w:val="14"/>
    <w:link w:val="99"/>
    <w:qFormat/>
    <w:uiPriority w:val="0"/>
    <w:pPr>
      <w:spacing w:before="0" w:after="0" w:line="360" w:lineRule="auto"/>
    </w:pPr>
    <w:rPr>
      <w:rFonts w:eastAsia="宋体"/>
      <w:bCs/>
      <w:sz w:val="24"/>
      <w:szCs w:val="28"/>
    </w:rPr>
  </w:style>
  <w:style w:type="character" w:customStyle="1" w:styleId="101">
    <w:name w:val="font01"/>
    <w:qFormat/>
    <w:uiPriority w:val="0"/>
    <w:rPr>
      <w:rFonts w:hint="eastAsia" w:ascii="宋体" w:hAnsi="宋体" w:eastAsia="宋体" w:cs="宋体"/>
      <w:color w:val="000000"/>
      <w:sz w:val="24"/>
      <w:szCs w:val="24"/>
    </w:rPr>
  </w:style>
  <w:style w:type="character" w:customStyle="1" w:styleId="102">
    <w:name w:val="Char Char6"/>
    <w:qFormat/>
    <w:uiPriority w:val="0"/>
    <w:rPr>
      <w:kern w:val="2"/>
      <w:sz w:val="18"/>
      <w:szCs w:val="18"/>
    </w:rPr>
  </w:style>
  <w:style w:type="character" w:customStyle="1" w:styleId="103">
    <w:name w:val="副标题 Char2"/>
    <w:qFormat/>
    <w:uiPriority w:val="0"/>
    <w:rPr>
      <w:rFonts w:ascii="Cambria" w:hAnsi="Cambria" w:cs="Times New Roman"/>
      <w:b/>
      <w:bCs/>
      <w:kern w:val="28"/>
      <w:sz w:val="32"/>
      <w:szCs w:val="32"/>
    </w:rPr>
  </w:style>
  <w:style w:type="character" w:customStyle="1" w:styleId="104">
    <w:name w:val="中等深浅列表 2 - 强调文字颜色 61"/>
    <w:qFormat/>
    <w:uiPriority w:val="0"/>
    <w:rPr>
      <w:b/>
      <w:bCs/>
      <w:i/>
      <w:iCs/>
      <w:color w:val="4F81BD"/>
    </w:rPr>
  </w:style>
  <w:style w:type="character" w:customStyle="1" w:styleId="105">
    <w:name w:val="Char Char27"/>
    <w:qFormat/>
    <w:uiPriority w:val="0"/>
    <w:rPr>
      <w:rFonts w:ascii="Arial" w:hAnsi="Arial" w:eastAsia="黑体"/>
      <w:b/>
      <w:kern w:val="2"/>
      <w:sz w:val="32"/>
      <w:lang w:val="en-US" w:eastAsia="zh-CN" w:bidi="ar-SA"/>
    </w:rPr>
  </w:style>
  <w:style w:type="character" w:customStyle="1" w:styleId="106">
    <w:name w:val="font1"/>
    <w:qFormat/>
    <w:uiPriority w:val="0"/>
    <w:rPr>
      <w:sz w:val="18"/>
      <w:szCs w:val="18"/>
    </w:rPr>
  </w:style>
  <w:style w:type="character" w:customStyle="1" w:styleId="107">
    <w:name w:val="pubdate-year"/>
    <w:qFormat/>
    <w:uiPriority w:val="0"/>
    <w:rPr>
      <w:vanish/>
    </w:rPr>
  </w:style>
  <w:style w:type="character" w:customStyle="1" w:styleId="108">
    <w:name w:val="普通文字1 Char"/>
    <w:qFormat/>
    <w:uiPriority w:val="0"/>
    <w:rPr>
      <w:rFonts w:ascii="宋体" w:hAnsi="Courier New" w:eastAsia="宋体" w:cs="Courier New"/>
      <w:kern w:val="2"/>
      <w:sz w:val="21"/>
      <w:szCs w:val="21"/>
      <w:lang w:val="en-US" w:eastAsia="zh-CN" w:bidi="ar-SA"/>
    </w:rPr>
  </w:style>
  <w:style w:type="character" w:customStyle="1" w:styleId="109">
    <w:name w:val="apple-converted-space"/>
    <w:qFormat/>
    <w:uiPriority w:val="0"/>
  </w:style>
  <w:style w:type="character" w:customStyle="1" w:styleId="110">
    <w:name w:val="标题 Char2"/>
    <w:qFormat/>
    <w:uiPriority w:val="0"/>
    <w:rPr>
      <w:rFonts w:ascii="Cambria" w:hAnsi="Cambria" w:cs="Times New Roman"/>
      <w:b/>
      <w:bCs/>
      <w:kern w:val="2"/>
      <w:sz w:val="32"/>
      <w:szCs w:val="32"/>
    </w:rPr>
  </w:style>
  <w:style w:type="character" w:customStyle="1" w:styleId="111">
    <w:name w:val="浅色底纹 - 强调文字颜色 1字符"/>
    <w:link w:val="112"/>
    <w:qFormat/>
    <w:uiPriority w:val="0"/>
    <w:rPr>
      <w:b/>
      <w:bCs/>
      <w:i/>
      <w:iCs/>
      <w:color w:val="4F81BD"/>
      <w:kern w:val="2"/>
      <w:sz w:val="21"/>
      <w:szCs w:val="22"/>
      <w:lang w:bidi="ar-SA"/>
    </w:rPr>
  </w:style>
  <w:style w:type="paragraph" w:customStyle="1" w:styleId="112">
    <w:name w:val="浅色底纹 - 强调文字颜色 11"/>
    <w:basedOn w:val="1"/>
    <w:next w:val="1"/>
    <w:link w:val="111"/>
    <w:qFormat/>
    <w:uiPriority w:val="0"/>
    <w:pPr>
      <w:pBdr>
        <w:bottom w:val="single" w:color="4F81BD" w:sz="4" w:space="4"/>
      </w:pBdr>
      <w:spacing w:before="200" w:after="280"/>
      <w:ind w:left="936" w:right="936"/>
    </w:pPr>
    <w:rPr>
      <w:b/>
      <w:bCs/>
      <w:i/>
      <w:iCs/>
      <w:color w:val="4F81BD"/>
      <w:szCs w:val="22"/>
    </w:rPr>
  </w:style>
  <w:style w:type="character" w:customStyle="1" w:styleId="113">
    <w:name w:val="纯文本 Char1"/>
    <w:link w:val="114"/>
    <w:qFormat/>
    <w:uiPriority w:val="0"/>
    <w:rPr>
      <w:rFonts w:ascii="宋体" w:hAnsi="Courier New"/>
      <w:lang w:bidi="ar-SA"/>
    </w:rPr>
  </w:style>
  <w:style w:type="paragraph" w:customStyle="1" w:styleId="114">
    <w:name w:val="纯文本1"/>
    <w:basedOn w:val="1"/>
    <w:link w:val="113"/>
    <w:qFormat/>
    <w:uiPriority w:val="0"/>
    <w:rPr>
      <w:rFonts w:ascii="宋体" w:hAnsi="Courier New"/>
      <w:kern w:val="0"/>
      <w:sz w:val="20"/>
      <w:szCs w:val="20"/>
    </w:rPr>
  </w:style>
  <w:style w:type="character" w:customStyle="1" w:styleId="115">
    <w:name w:val="文档结构图 Char1"/>
    <w:qFormat/>
    <w:uiPriority w:val="0"/>
    <w:rPr>
      <w:rFonts w:ascii="宋体"/>
      <w:kern w:val="2"/>
      <w:sz w:val="18"/>
      <w:szCs w:val="18"/>
    </w:rPr>
  </w:style>
  <w:style w:type="character" w:customStyle="1" w:styleId="116">
    <w:name w:val="btn-task-gray"/>
    <w:qFormat/>
    <w:uiPriority w:val="0"/>
  </w:style>
  <w:style w:type="character" w:customStyle="1" w:styleId="117">
    <w:name w:val="中等深浅网格 3 - 强调文字颜色 61"/>
    <w:qFormat/>
    <w:uiPriority w:val="0"/>
    <w:rPr>
      <w:b/>
      <w:bCs/>
      <w:smallCaps/>
      <w:spacing w:val="5"/>
    </w:rPr>
  </w:style>
  <w:style w:type="character" w:customStyle="1" w:styleId="118">
    <w:name w:val="批注主题 Char1"/>
    <w:qFormat/>
    <w:uiPriority w:val="0"/>
    <w:rPr>
      <w:b/>
      <w:bCs/>
      <w:kern w:val="2"/>
      <w:sz w:val="21"/>
      <w:szCs w:val="22"/>
    </w:rPr>
  </w:style>
  <w:style w:type="character" w:customStyle="1" w:styleId="119">
    <w:name w:val="Hyperlink.5"/>
    <w:qFormat/>
    <w:uiPriority w:val="0"/>
    <w:rPr>
      <w:rFonts w:ascii="苹方 常规" w:hAnsi="苹方 常规" w:eastAsia="苹方 常规" w:cs="苹方 常规"/>
      <w:shd w:val="clear" w:color="auto" w:fill="auto"/>
      <w:lang w:val="ja-JP" w:eastAsia="ja-JP"/>
    </w:rPr>
  </w:style>
  <w:style w:type="character" w:customStyle="1" w:styleId="120">
    <w:name w:val="引用 Char2"/>
    <w:qFormat/>
    <w:uiPriority w:val="0"/>
    <w:rPr>
      <w:i/>
      <w:iCs/>
      <w:color w:val="000000"/>
      <w:kern w:val="2"/>
      <w:sz w:val="21"/>
      <w:szCs w:val="24"/>
    </w:rPr>
  </w:style>
  <w:style w:type="character" w:customStyle="1" w:styleId="121">
    <w:name w:val="普通文字1 Char1"/>
    <w:qFormat/>
    <w:uiPriority w:val="0"/>
    <w:rPr>
      <w:rFonts w:ascii="宋体" w:hAnsi="Courier New" w:eastAsia="宋体"/>
      <w:kern w:val="11"/>
      <w:sz w:val="21"/>
      <w:lang w:val="en-US" w:eastAsia="zh-CN" w:bidi="ar-SA"/>
    </w:rPr>
  </w:style>
  <w:style w:type="character" w:customStyle="1" w:styleId="122">
    <w:name w:val="Char Char33"/>
    <w:qFormat/>
    <w:uiPriority w:val="0"/>
    <w:rPr>
      <w:rFonts w:eastAsia="宋体"/>
      <w:b/>
      <w:bCs/>
      <w:kern w:val="44"/>
      <w:sz w:val="32"/>
      <w:szCs w:val="44"/>
      <w:lang w:val="en-US" w:eastAsia="zh-CN" w:bidi="ar-SA"/>
    </w:rPr>
  </w:style>
  <w:style w:type="character" w:customStyle="1" w:styleId="123">
    <w:name w:val="中等深浅网格 1 - 强调文字颜色 61"/>
    <w:qFormat/>
    <w:uiPriority w:val="0"/>
    <w:rPr>
      <w:smallCaps/>
      <w:color w:val="C0504D"/>
      <w:u w:val="single"/>
    </w:rPr>
  </w:style>
  <w:style w:type="character" w:customStyle="1" w:styleId="124">
    <w:name w:val="副标题 Char1"/>
    <w:qFormat/>
    <w:uiPriority w:val="0"/>
    <w:rPr>
      <w:rFonts w:ascii="Cambria" w:hAnsi="Cambria" w:cs="Times New Roman"/>
      <w:b/>
      <w:bCs/>
      <w:kern w:val="28"/>
      <w:sz w:val="32"/>
      <w:szCs w:val="32"/>
    </w:rPr>
  </w:style>
  <w:style w:type="character" w:customStyle="1" w:styleId="125">
    <w:name w:val="textcontents"/>
    <w:qFormat/>
    <w:uiPriority w:val="0"/>
    <w:rPr>
      <w:rFonts w:cs="Times New Roman"/>
    </w:rPr>
  </w:style>
  <w:style w:type="character" w:customStyle="1" w:styleId="126">
    <w:name w:val="hover18"/>
    <w:qFormat/>
    <w:uiPriority w:val="0"/>
  </w:style>
  <w:style w:type="character" w:customStyle="1" w:styleId="127">
    <w:name w:val="btn-auto-1"/>
    <w:qFormat/>
    <w:uiPriority w:val="0"/>
  </w:style>
  <w:style w:type="character" w:customStyle="1" w:styleId="128">
    <w:name w:val="z-窗体顶端 字符"/>
    <w:link w:val="129"/>
    <w:qFormat/>
    <w:uiPriority w:val="0"/>
    <w:rPr>
      <w:rFonts w:ascii="Arial" w:hAnsi="Arial"/>
      <w:vanish/>
      <w:sz w:val="16"/>
      <w:szCs w:val="16"/>
      <w:lang w:bidi="ar-SA"/>
    </w:rPr>
  </w:style>
  <w:style w:type="paragraph" w:customStyle="1" w:styleId="129">
    <w:name w:val="z-窗体顶端1"/>
    <w:basedOn w:val="1"/>
    <w:next w:val="1"/>
    <w:link w:val="128"/>
    <w:qFormat/>
    <w:uiPriority w:val="0"/>
    <w:pPr>
      <w:widowControl/>
      <w:pBdr>
        <w:bottom w:val="single" w:color="auto" w:sz="6" w:space="1"/>
      </w:pBdr>
      <w:jc w:val="center"/>
    </w:pPr>
    <w:rPr>
      <w:rFonts w:ascii="Arial" w:hAnsi="Arial"/>
      <w:vanish/>
      <w:kern w:val="0"/>
      <w:sz w:val="16"/>
      <w:szCs w:val="16"/>
    </w:rPr>
  </w:style>
  <w:style w:type="character" w:customStyle="1" w:styleId="130">
    <w:name w:val="正文文本 Char1"/>
    <w:qFormat/>
    <w:uiPriority w:val="0"/>
    <w:rPr>
      <w:kern w:val="2"/>
      <w:sz w:val="21"/>
      <w:szCs w:val="22"/>
    </w:rPr>
  </w:style>
  <w:style w:type="character" w:customStyle="1" w:styleId="131">
    <w:name w:val="批注主题 Char3"/>
    <w:qFormat/>
    <w:uiPriority w:val="0"/>
    <w:rPr>
      <w:rFonts w:ascii="Arial" w:hAnsi="Arial" w:eastAsia="宋体"/>
      <w:b/>
      <w:bCs/>
      <w:kern w:val="2"/>
      <w:sz w:val="21"/>
      <w:szCs w:val="24"/>
      <w:lang w:val="en-US" w:eastAsia="zh-CN" w:bidi="ar-SA"/>
    </w:rPr>
  </w:style>
  <w:style w:type="character" w:customStyle="1" w:styleId="132">
    <w:name w:val="中等深浅网格 2 - 强调文字颜色 61"/>
    <w:qFormat/>
    <w:uiPriority w:val="0"/>
    <w:rPr>
      <w:b/>
      <w:bCs/>
      <w:smallCaps/>
      <w:color w:val="C0504D"/>
      <w:spacing w:val="5"/>
      <w:u w:val="single"/>
    </w:rPr>
  </w:style>
  <w:style w:type="character" w:customStyle="1" w:styleId="133">
    <w:name w:val="标题 2 Char Char Char Char"/>
    <w:qFormat/>
    <w:uiPriority w:val="0"/>
    <w:rPr>
      <w:rFonts w:ascii="Arial" w:hAnsi="Arial" w:eastAsia="黑体"/>
      <w:b/>
      <w:bCs/>
      <w:kern w:val="2"/>
      <w:sz w:val="32"/>
      <w:szCs w:val="32"/>
      <w:lang w:val="en-US" w:eastAsia="zh-CN" w:bidi="ar-SA"/>
    </w:rPr>
  </w:style>
  <w:style w:type="character" w:customStyle="1" w:styleId="134">
    <w:name w:val="页眉 Char"/>
    <w:qFormat/>
    <w:uiPriority w:val="0"/>
    <w:rPr>
      <w:rFonts w:eastAsia="宋体"/>
      <w:kern w:val="2"/>
      <w:sz w:val="18"/>
      <w:szCs w:val="18"/>
      <w:lang w:val="en-US" w:eastAsia="zh-CN" w:bidi="ar-SA"/>
    </w:rPr>
  </w:style>
  <w:style w:type="character" w:customStyle="1" w:styleId="135">
    <w:name w:val="Char Char32"/>
    <w:qFormat/>
    <w:uiPriority w:val="0"/>
    <w:rPr>
      <w:rFonts w:ascii="Arial" w:hAnsi="Arial" w:eastAsia="黑体"/>
      <w:b/>
      <w:bCs/>
      <w:kern w:val="2"/>
      <w:sz w:val="32"/>
      <w:szCs w:val="32"/>
      <w:lang w:val="en-US" w:eastAsia="zh-CN" w:bidi="ar-SA"/>
    </w:rPr>
  </w:style>
  <w:style w:type="character" w:customStyle="1" w:styleId="136">
    <w:name w:val="明显引用 Char1"/>
    <w:qFormat/>
    <w:uiPriority w:val="0"/>
    <w:rPr>
      <w:b/>
      <w:bCs/>
      <w:i/>
      <w:iCs/>
      <w:color w:val="4F81BD"/>
      <w:kern w:val="2"/>
      <w:sz w:val="21"/>
    </w:rPr>
  </w:style>
  <w:style w:type="character" w:customStyle="1" w:styleId="137">
    <w:name w:val="标题 3 Char"/>
    <w:qFormat/>
    <w:uiPriority w:val="0"/>
    <w:rPr>
      <w:rFonts w:eastAsia="宋体"/>
      <w:b/>
      <w:kern w:val="2"/>
      <w:sz w:val="24"/>
      <w:lang w:val="en-US" w:eastAsia="zh-CN" w:bidi="ar-SA"/>
    </w:rPr>
  </w:style>
  <w:style w:type="character" w:customStyle="1" w:styleId="138">
    <w:name w:val="标题5 Char Char"/>
    <w:link w:val="139"/>
    <w:qFormat/>
    <w:uiPriority w:val="0"/>
    <w:rPr>
      <w:rFonts w:ascii="Arial" w:hAnsi="Arial"/>
      <w:b/>
      <w:bCs/>
      <w:sz w:val="24"/>
      <w:szCs w:val="32"/>
      <w:lang w:bidi="ar-SA"/>
    </w:rPr>
  </w:style>
  <w:style w:type="paragraph" w:customStyle="1" w:styleId="139">
    <w:name w:val="标题5"/>
    <w:basedOn w:val="12"/>
    <w:link w:val="138"/>
    <w:qFormat/>
    <w:uiPriority w:val="0"/>
    <w:pPr>
      <w:spacing w:line="413" w:lineRule="auto"/>
    </w:pPr>
    <w:rPr>
      <w:rFonts w:ascii="Arial" w:hAnsi="Arial"/>
      <w:kern w:val="0"/>
      <w:sz w:val="24"/>
    </w:rPr>
  </w:style>
  <w:style w:type="character" w:customStyle="1" w:styleId="140">
    <w:name w:val="z-窗体顶端 Char1"/>
    <w:link w:val="141"/>
    <w:qFormat/>
    <w:locked/>
    <w:uiPriority w:val="0"/>
    <w:rPr>
      <w:rFonts w:ascii="Arial" w:hAnsi="Arial" w:eastAsia="宋体"/>
      <w:vanish/>
      <w:kern w:val="2"/>
      <w:sz w:val="16"/>
      <w:szCs w:val="16"/>
      <w:lang w:val="en-US" w:eastAsia="zh-CN" w:bidi="ar-SA"/>
    </w:rPr>
  </w:style>
  <w:style w:type="paragraph" w:customStyle="1" w:styleId="141">
    <w:name w:val="z-窗体顶端2"/>
    <w:basedOn w:val="1"/>
    <w:next w:val="1"/>
    <w:link w:val="140"/>
    <w:qFormat/>
    <w:uiPriority w:val="0"/>
    <w:pPr>
      <w:widowControl/>
      <w:pBdr>
        <w:bottom w:val="single" w:color="auto" w:sz="6" w:space="1"/>
      </w:pBdr>
      <w:jc w:val="center"/>
    </w:pPr>
    <w:rPr>
      <w:rFonts w:ascii="Arial" w:hAnsi="Arial"/>
      <w:vanish/>
      <w:sz w:val="16"/>
      <w:szCs w:val="16"/>
    </w:rPr>
  </w:style>
  <w:style w:type="character" w:customStyle="1" w:styleId="142">
    <w:name w:val="layui-layer-tabnow"/>
    <w:qFormat/>
    <w:uiPriority w:val="0"/>
    <w:rPr>
      <w:bdr w:val="single" w:color="CCCCCC" w:sz="6" w:space="0"/>
      <w:shd w:val="clear" w:color="auto" w:fill="FFFFFF"/>
    </w:rPr>
  </w:style>
  <w:style w:type="character" w:customStyle="1" w:styleId="143">
    <w:name w:val="nth-child(3)"/>
    <w:qFormat/>
    <w:uiPriority w:val="0"/>
  </w:style>
  <w:style w:type="character" w:customStyle="1" w:styleId="144">
    <w:name w:val="Char Char16"/>
    <w:qFormat/>
    <w:uiPriority w:val="0"/>
    <w:rPr>
      <w:rFonts w:ascii="Arial" w:hAnsi="Arial" w:eastAsia="黑体"/>
      <w:b/>
      <w:bCs/>
      <w:kern w:val="2"/>
      <w:sz w:val="32"/>
      <w:szCs w:val="32"/>
      <w:lang w:val="en-US" w:eastAsia="zh-CN" w:bidi="ar-SA"/>
    </w:rPr>
  </w:style>
  <w:style w:type="character" w:customStyle="1" w:styleId="145">
    <w:name w:val="Date Char"/>
    <w:qFormat/>
    <w:locked/>
    <w:uiPriority w:val="0"/>
    <w:rPr>
      <w:sz w:val="28"/>
    </w:rPr>
  </w:style>
  <w:style w:type="character" w:customStyle="1" w:styleId="146">
    <w:name w:val="mini-outputtext1"/>
    <w:qFormat/>
    <w:uiPriority w:val="0"/>
  </w:style>
  <w:style w:type="character" w:customStyle="1" w:styleId="147">
    <w:name w:val="批注文字 Char"/>
    <w:qFormat/>
    <w:uiPriority w:val="0"/>
    <w:rPr>
      <w:kern w:val="2"/>
      <w:sz w:val="21"/>
      <w:szCs w:val="24"/>
      <w:lang w:bidi="ar-SA"/>
    </w:rPr>
  </w:style>
  <w:style w:type="character" w:customStyle="1" w:styleId="148">
    <w:name w:val="Char Char29"/>
    <w:qFormat/>
    <w:uiPriority w:val="0"/>
    <w:rPr>
      <w:rFonts w:ascii="Calibri" w:hAnsi="Calibri" w:eastAsia="宋体"/>
      <w:b/>
      <w:kern w:val="2"/>
      <w:sz w:val="28"/>
      <w:szCs w:val="20"/>
      <w:lang w:val="en-US" w:eastAsia="zh-CN" w:bidi="ar-SA"/>
    </w:rPr>
  </w:style>
  <w:style w:type="character" w:customStyle="1" w:styleId="149">
    <w:name w:val="批注主题 Char"/>
    <w:qFormat/>
    <w:uiPriority w:val="0"/>
    <w:rPr>
      <w:b/>
      <w:bCs/>
      <w:kern w:val="2"/>
      <w:sz w:val="21"/>
      <w:szCs w:val="24"/>
      <w:lang w:bidi="ar-SA"/>
    </w:rPr>
  </w:style>
  <w:style w:type="character" w:customStyle="1" w:styleId="150">
    <w:name w:val="style1"/>
    <w:qFormat/>
    <w:uiPriority w:val="0"/>
    <w:rPr>
      <w:szCs w:val="20"/>
    </w:rPr>
  </w:style>
  <w:style w:type="character" w:customStyle="1" w:styleId="151">
    <w:name w:val="Char Char30"/>
    <w:qFormat/>
    <w:uiPriority w:val="0"/>
    <w:rPr>
      <w:rFonts w:ascii="Arial" w:hAnsi="Arial" w:eastAsia="宋体"/>
      <w:b/>
      <w:bCs/>
      <w:kern w:val="2"/>
      <w:sz w:val="21"/>
      <w:szCs w:val="28"/>
      <w:lang w:val="en-US" w:eastAsia="zh-CN" w:bidi="ar-SA"/>
    </w:rPr>
  </w:style>
  <w:style w:type="character" w:customStyle="1" w:styleId="152">
    <w:name w:val="p21"/>
    <w:qFormat/>
    <w:uiPriority w:val="0"/>
    <w:rPr>
      <w:color w:val="000000"/>
      <w:sz w:val="24"/>
      <w:szCs w:val="24"/>
    </w:rPr>
  </w:style>
  <w:style w:type="character" w:customStyle="1" w:styleId="153">
    <w:name w:val="hover1"/>
    <w:qFormat/>
    <w:uiPriority w:val="0"/>
    <w:rPr>
      <w:color w:val="2590EB"/>
    </w:rPr>
  </w:style>
  <w:style w:type="character" w:customStyle="1" w:styleId="154">
    <w:name w:val="引用 Char1"/>
    <w:qFormat/>
    <w:uiPriority w:val="0"/>
    <w:rPr>
      <w:i/>
      <w:iCs/>
      <w:color w:val="000000"/>
      <w:kern w:val="2"/>
      <w:sz w:val="21"/>
    </w:rPr>
  </w:style>
  <w:style w:type="character" w:customStyle="1" w:styleId="155">
    <w:name w:val="Char Char8"/>
    <w:qFormat/>
    <w:uiPriority w:val="0"/>
    <w:rPr>
      <w:rFonts w:eastAsia="宋体"/>
      <w:kern w:val="2"/>
      <w:sz w:val="21"/>
      <w:lang w:val="en-US" w:eastAsia="zh-CN" w:bidi="ar-SA"/>
    </w:rPr>
  </w:style>
  <w:style w:type="character" w:customStyle="1" w:styleId="156">
    <w:name w:val="item-name1"/>
    <w:qFormat/>
    <w:uiPriority w:val="0"/>
  </w:style>
  <w:style w:type="character" w:customStyle="1" w:styleId="157">
    <w:name w:val="引用 Char3"/>
    <w:qFormat/>
    <w:uiPriority w:val="0"/>
    <w:rPr>
      <w:i/>
      <w:color w:val="000000"/>
      <w:kern w:val="2"/>
      <w:sz w:val="21"/>
      <w:lang w:bidi="ar-SA"/>
    </w:rPr>
  </w:style>
  <w:style w:type="character" w:customStyle="1" w:styleId="158">
    <w:name w:val="first-child"/>
    <w:qFormat/>
    <w:uiPriority w:val="0"/>
  </w:style>
  <w:style w:type="character" w:customStyle="1" w:styleId="159">
    <w:name w:val="标题 4 Char"/>
    <w:qFormat/>
    <w:uiPriority w:val="0"/>
    <w:rPr>
      <w:rFonts w:ascii="Arial" w:hAnsi="Arial" w:eastAsia="宋体"/>
      <w:b/>
      <w:kern w:val="2"/>
      <w:sz w:val="21"/>
      <w:lang w:val="en-US" w:eastAsia="zh-CN" w:bidi="ar-SA"/>
    </w:rPr>
  </w:style>
  <w:style w:type="character" w:customStyle="1" w:styleId="160">
    <w:name w:val="明显引用 Char2"/>
    <w:qFormat/>
    <w:uiPriority w:val="0"/>
    <w:rPr>
      <w:b/>
      <w:bCs/>
      <w:i/>
      <w:iCs/>
      <w:color w:val="4F81BD"/>
      <w:kern w:val="2"/>
      <w:sz w:val="21"/>
      <w:szCs w:val="24"/>
    </w:rPr>
  </w:style>
  <w:style w:type="character" w:customStyle="1" w:styleId="161">
    <w:name w:val="正文文本 Char3"/>
    <w:qFormat/>
    <w:uiPriority w:val="0"/>
    <w:rPr>
      <w:kern w:val="2"/>
      <w:sz w:val="21"/>
      <w:szCs w:val="24"/>
    </w:rPr>
  </w:style>
  <w:style w:type="character" w:customStyle="1" w:styleId="162">
    <w:name w:val="Hyperlink.3"/>
    <w:qFormat/>
    <w:uiPriority w:val="0"/>
    <w:rPr>
      <w:rFonts w:ascii="苹方 常规" w:hAnsi="苹方 常规" w:eastAsia="苹方 常规" w:cs="苹方 常规"/>
      <w:shd w:val="clear" w:color="auto" w:fill="auto"/>
      <w:lang w:val="en-US"/>
    </w:rPr>
  </w:style>
  <w:style w:type="character" w:customStyle="1" w:styleId="163">
    <w:name w:val="pubdate-month"/>
    <w:qFormat/>
    <w:uiPriority w:val="0"/>
    <w:rPr>
      <w:color w:val="FFFFFF"/>
      <w:sz w:val="21"/>
      <w:szCs w:val="21"/>
      <w:shd w:val="clear" w:color="auto" w:fill="607697"/>
    </w:rPr>
  </w:style>
  <w:style w:type="character" w:customStyle="1" w:styleId="164">
    <w:name w:val="无"/>
    <w:qFormat/>
    <w:uiPriority w:val="0"/>
  </w:style>
  <w:style w:type="character" w:customStyle="1" w:styleId="165">
    <w:name w:val="s1"/>
    <w:qFormat/>
    <w:uiPriority w:val="0"/>
    <w:rPr>
      <w:color w:val="DDDDDD"/>
      <w:sz w:val="18"/>
      <w:szCs w:val="18"/>
    </w:rPr>
  </w:style>
  <w:style w:type="character" w:customStyle="1" w:styleId="166">
    <w:name w:val="Hyperlink.4"/>
    <w:qFormat/>
    <w:uiPriority w:val="0"/>
    <w:rPr>
      <w:rFonts w:ascii="苹方 常规" w:hAnsi="苹方 常规" w:eastAsia="苹方 常规" w:cs="苹方 常规"/>
      <w:shd w:val="clear" w:color="auto" w:fill="auto"/>
      <w:lang w:val="zh-TW" w:eastAsia="zh-TW"/>
    </w:rPr>
  </w:style>
  <w:style w:type="character" w:customStyle="1" w:styleId="167">
    <w:name w:val="纯文本 Char"/>
    <w:qFormat/>
    <w:uiPriority w:val="0"/>
    <w:rPr>
      <w:rFonts w:ascii="宋体" w:hAnsi="Courier New" w:eastAsia="宋体" w:cs="Courier New"/>
      <w:kern w:val="2"/>
      <w:sz w:val="21"/>
      <w:szCs w:val="21"/>
      <w:lang w:val="en-US" w:eastAsia="zh-CN" w:bidi="ar-SA"/>
    </w:rPr>
  </w:style>
  <w:style w:type="character" w:customStyle="1" w:styleId="168">
    <w:name w:val="标题 2 Char"/>
    <w:qFormat/>
    <w:uiPriority w:val="0"/>
    <w:rPr>
      <w:rFonts w:ascii="Arial" w:hAnsi="Arial" w:eastAsia="黑体"/>
      <w:b/>
      <w:kern w:val="2"/>
      <w:sz w:val="32"/>
      <w:lang w:val="en-US" w:eastAsia="zh-CN" w:bidi="ar-SA"/>
    </w:rPr>
  </w:style>
  <w:style w:type="character" w:customStyle="1" w:styleId="169">
    <w:name w:val="样式 标书正文 + 下划线 Char"/>
    <w:qFormat/>
    <w:uiPriority w:val="0"/>
    <w:rPr>
      <w:rFonts w:eastAsia="楷体_GB2312"/>
      <w:kern w:val="2"/>
      <w:sz w:val="28"/>
      <w:u w:val="single"/>
      <w:lang w:val="en-US" w:eastAsia="zh-CN"/>
    </w:rPr>
  </w:style>
  <w:style w:type="character" w:customStyle="1" w:styleId="170">
    <w:name w:val="批注框文本 Char1"/>
    <w:qFormat/>
    <w:uiPriority w:val="0"/>
    <w:rPr>
      <w:kern w:val="2"/>
      <w:sz w:val="18"/>
      <w:szCs w:val="18"/>
    </w:rPr>
  </w:style>
  <w:style w:type="character" w:customStyle="1" w:styleId="171">
    <w:name w:val="批注文字 Char Char"/>
    <w:qFormat/>
    <w:uiPriority w:val="0"/>
    <w:rPr>
      <w:rFonts w:ascii="宋体" w:hAnsi="Times New Roman" w:eastAsia="宋体" w:cs="Times New Roman"/>
      <w:sz w:val="28"/>
      <w:szCs w:val="20"/>
    </w:rPr>
  </w:style>
  <w:style w:type="character" w:customStyle="1" w:styleId="172">
    <w:name w:val="hover4"/>
    <w:qFormat/>
    <w:uiPriority w:val="0"/>
    <w:rPr>
      <w:color w:val="2590EB"/>
      <w:shd w:val="clear" w:color="auto" w:fill="E9F4FD"/>
    </w:rPr>
  </w:style>
  <w:style w:type="character" w:customStyle="1" w:styleId="173">
    <w:name w:val="标题 1 Char"/>
    <w:qFormat/>
    <w:uiPriority w:val="0"/>
    <w:rPr>
      <w:rFonts w:ascii="宋体" w:eastAsia="宋体"/>
      <w:b/>
      <w:kern w:val="44"/>
      <w:sz w:val="32"/>
      <w:lang w:val="en-US" w:eastAsia="zh-CN" w:bidi="ar-SA"/>
    </w:rPr>
  </w:style>
  <w:style w:type="character" w:customStyle="1" w:styleId="174">
    <w:name w:val="明显引用 Char3"/>
    <w:qFormat/>
    <w:uiPriority w:val="0"/>
    <w:rPr>
      <w:b/>
      <w:i/>
      <w:color w:val="4F81BD"/>
      <w:kern w:val="2"/>
      <w:sz w:val="21"/>
      <w:lang w:bidi="ar-SA"/>
    </w:rPr>
  </w:style>
  <w:style w:type="character" w:customStyle="1" w:styleId="175">
    <w:name w:val="日期 Char1"/>
    <w:qFormat/>
    <w:uiPriority w:val="0"/>
    <w:rPr>
      <w:kern w:val="2"/>
      <w:sz w:val="21"/>
      <w:szCs w:val="22"/>
    </w:rPr>
  </w:style>
  <w:style w:type="character" w:customStyle="1" w:styleId="176">
    <w:name w:val="批注文字 Char1"/>
    <w:qFormat/>
    <w:uiPriority w:val="0"/>
    <w:rPr>
      <w:kern w:val="2"/>
      <w:sz w:val="21"/>
      <w:szCs w:val="24"/>
    </w:rPr>
  </w:style>
  <w:style w:type="character" w:customStyle="1" w:styleId="177">
    <w:name w:val="item-name"/>
    <w:qFormat/>
    <w:uiPriority w:val="0"/>
  </w:style>
  <w:style w:type="character" w:customStyle="1" w:styleId="178">
    <w:name w:val="Blockquote Char Char"/>
    <w:link w:val="179"/>
    <w:qFormat/>
    <w:uiPriority w:val="0"/>
    <w:rPr>
      <w:rFonts w:eastAsia="宋体"/>
      <w:sz w:val="24"/>
      <w:lang w:val="en-US" w:eastAsia="zh-CN" w:bidi="ar-SA"/>
    </w:rPr>
  </w:style>
  <w:style w:type="paragraph" w:customStyle="1" w:styleId="179">
    <w:name w:val="Blockquote"/>
    <w:basedOn w:val="1"/>
    <w:link w:val="178"/>
    <w:qFormat/>
    <w:uiPriority w:val="0"/>
    <w:pPr>
      <w:autoSpaceDE w:val="0"/>
      <w:autoSpaceDN w:val="0"/>
      <w:adjustRightInd w:val="0"/>
      <w:spacing w:before="100" w:after="100"/>
      <w:ind w:left="360" w:right="360"/>
      <w:jc w:val="left"/>
    </w:pPr>
    <w:rPr>
      <w:kern w:val="0"/>
      <w:sz w:val="24"/>
      <w:szCs w:val="20"/>
    </w:rPr>
  </w:style>
  <w:style w:type="character" w:customStyle="1" w:styleId="180">
    <w:name w:val="NormalCharacter"/>
    <w:semiHidden/>
    <w:qFormat/>
    <w:uiPriority w:val="0"/>
  </w:style>
  <w:style w:type="character" w:customStyle="1" w:styleId="181">
    <w:name w:val="Char Char22"/>
    <w:qFormat/>
    <w:uiPriority w:val="0"/>
    <w:rPr>
      <w:rFonts w:eastAsia="宋体"/>
      <w:kern w:val="2"/>
      <w:sz w:val="18"/>
      <w:szCs w:val="18"/>
      <w:lang w:val="en-US" w:eastAsia="zh-CN" w:bidi="ar-SA"/>
    </w:rPr>
  </w:style>
  <w:style w:type="character" w:customStyle="1" w:styleId="182">
    <w:name w:val="nth-child(2)"/>
    <w:qFormat/>
    <w:uiPriority w:val="0"/>
  </w:style>
  <w:style w:type="character" w:customStyle="1" w:styleId="183">
    <w:name w:val="font161"/>
    <w:qFormat/>
    <w:uiPriority w:val="0"/>
    <w:rPr>
      <w:b/>
      <w:sz w:val="32"/>
    </w:rPr>
  </w:style>
  <w:style w:type="character" w:customStyle="1" w:styleId="184">
    <w:name w:val="设计-二级标题 Char Char"/>
    <w:link w:val="185"/>
    <w:qFormat/>
    <w:uiPriority w:val="0"/>
    <w:rPr>
      <w:rFonts w:eastAsia="黑体"/>
      <w:sz w:val="28"/>
      <w:szCs w:val="24"/>
      <w:lang w:bidi="ar-SA"/>
    </w:rPr>
  </w:style>
  <w:style w:type="paragraph" w:customStyle="1" w:styleId="185">
    <w:name w:val="设计-二级标题"/>
    <w:basedOn w:val="1"/>
    <w:next w:val="1"/>
    <w:link w:val="184"/>
    <w:qFormat/>
    <w:uiPriority w:val="0"/>
    <w:pPr>
      <w:spacing w:line="360" w:lineRule="auto"/>
      <w:outlineLvl w:val="1"/>
    </w:pPr>
    <w:rPr>
      <w:rFonts w:eastAsia="黑体"/>
      <w:kern w:val="0"/>
      <w:sz w:val="28"/>
    </w:rPr>
  </w:style>
  <w:style w:type="character" w:customStyle="1" w:styleId="186">
    <w:name w:val="hover"/>
    <w:qFormat/>
    <w:uiPriority w:val="0"/>
    <w:rPr>
      <w:color w:val="2590EB"/>
    </w:rPr>
  </w:style>
  <w:style w:type="character" w:customStyle="1" w:styleId="187">
    <w:name w:val="彩色网格字符"/>
    <w:link w:val="188"/>
    <w:qFormat/>
    <w:uiPriority w:val="0"/>
    <w:rPr>
      <w:i/>
      <w:iCs/>
      <w:color w:val="000000"/>
      <w:kern w:val="2"/>
      <w:sz w:val="21"/>
      <w:szCs w:val="22"/>
      <w:lang w:bidi="ar-SA"/>
    </w:rPr>
  </w:style>
  <w:style w:type="paragraph" w:customStyle="1" w:styleId="188">
    <w:name w:val="彩色网格1"/>
    <w:basedOn w:val="1"/>
    <w:next w:val="1"/>
    <w:link w:val="187"/>
    <w:qFormat/>
    <w:uiPriority w:val="0"/>
    <w:rPr>
      <w:i/>
      <w:iCs/>
      <w:color w:val="000000"/>
      <w:szCs w:val="22"/>
    </w:rPr>
  </w:style>
  <w:style w:type="character" w:customStyle="1" w:styleId="189">
    <w:name w:val="正文文本 Char"/>
    <w:qFormat/>
    <w:uiPriority w:val="0"/>
    <w:rPr>
      <w:rFonts w:ascii="宋体" w:hAnsi="宋体"/>
      <w:kern w:val="2"/>
      <w:sz w:val="24"/>
      <w:szCs w:val="24"/>
      <w:lang w:bidi="ar-SA"/>
    </w:rPr>
  </w:style>
  <w:style w:type="character" w:customStyle="1" w:styleId="190">
    <w:name w:val="批注文字 Char Char Char"/>
    <w:qFormat/>
    <w:uiPriority w:val="0"/>
    <w:rPr>
      <w:kern w:val="2"/>
      <w:sz w:val="21"/>
    </w:rPr>
  </w:style>
  <w:style w:type="character" w:customStyle="1" w:styleId="191">
    <w:name w:val="(F4) Char Char"/>
    <w:qFormat/>
    <w:uiPriority w:val="0"/>
    <w:rPr>
      <w:rFonts w:eastAsia="宋体"/>
      <w:b/>
      <w:bCs/>
      <w:kern w:val="2"/>
      <w:sz w:val="24"/>
      <w:szCs w:val="32"/>
      <w:lang w:val="en-US" w:eastAsia="zh-CN" w:bidi="ar-SA"/>
    </w:rPr>
  </w:style>
  <w:style w:type="character" w:customStyle="1" w:styleId="192">
    <w:name w:val="pubdate-day"/>
    <w:qFormat/>
    <w:uiPriority w:val="0"/>
    <w:rPr>
      <w:color w:val="FFFFFF"/>
      <w:sz w:val="31"/>
      <w:szCs w:val="31"/>
      <w:shd w:val="clear" w:color="auto" w:fill="5B7091"/>
    </w:rPr>
  </w:style>
  <w:style w:type="character" w:customStyle="1" w:styleId="193">
    <w:name w:val="页脚 Char"/>
    <w:qFormat/>
    <w:uiPriority w:val="0"/>
    <w:rPr>
      <w:rFonts w:eastAsia="宋体"/>
      <w:kern w:val="2"/>
      <w:sz w:val="18"/>
      <w:szCs w:val="18"/>
      <w:lang w:val="en-US" w:eastAsia="zh-CN" w:bidi="ar-SA"/>
    </w:rPr>
  </w:style>
  <w:style w:type="character" w:customStyle="1" w:styleId="194">
    <w:name w:val="Char Char1"/>
    <w:qFormat/>
    <w:uiPriority w:val="0"/>
    <w:rPr>
      <w:rFonts w:ascii="宋体" w:hAnsi="Courier New" w:eastAsia="宋体"/>
      <w:kern w:val="2"/>
      <w:sz w:val="21"/>
      <w:lang w:val="en-US" w:eastAsia="zh-CN" w:bidi="ar-SA"/>
    </w:rPr>
  </w:style>
  <w:style w:type="character" w:customStyle="1" w:styleId="195">
    <w:name w:val="列表 2 - 强调文字颜色 6"/>
    <w:unhideWhenUsed/>
    <w:qFormat/>
    <w:uiPriority w:val="99"/>
    <w:rPr>
      <w:color w:val="605E5C"/>
      <w:shd w:val="clear" w:color="auto" w:fill="E1DFDD"/>
    </w:rPr>
  </w:style>
  <w:style w:type="character" w:customStyle="1" w:styleId="196">
    <w:name w:val="hover2"/>
    <w:qFormat/>
    <w:uiPriority w:val="0"/>
  </w:style>
  <w:style w:type="character" w:customStyle="1" w:styleId="197">
    <w:name w:val="Char Char17"/>
    <w:qFormat/>
    <w:uiPriority w:val="0"/>
    <w:rPr>
      <w:rFonts w:ascii="Arial" w:hAnsi="Arial" w:eastAsia="黑体"/>
      <w:b/>
      <w:bCs/>
      <w:kern w:val="2"/>
      <w:sz w:val="32"/>
      <w:szCs w:val="32"/>
      <w:lang w:val="en-US" w:eastAsia="zh-CN" w:bidi="ar-SA"/>
    </w:rPr>
  </w:style>
  <w:style w:type="character" w:customStyle="1" w:styleId="198">
    <w:name w:val="批注框文本 Char"/>
    <w:qFormat/>
    <w:uiPriority w:val="0"/>
    <w:rPr>
      <w:kern w:val="2"/>
      <w:sz w:val="18"/>
      <w:szCs w:val="18"/>
      <w:lang w:bidi="ar-SA"/>
    </w:rPr>
  </w:style>
  <w:style w:type="character" w:customStyle="1" w:styleId="199">
    <w:name w:val="Hyperlink.1"/>
    <w:qFormat/>
    <w:uiPriority w:val="0"/>
    <w:rPr>
      <w:lang w:val="en-US"/>
    </w:rPr>
  </w:style>
  <w:style w:type="character" w:customStyle="1" w:styleId="200">
    <w:name w:val="标题4 Char Char"/>
    <w:link w:val="201"/>
    <w:qFormat/>
    <w:uiPriority w:val="0"/>
    <w:rPr>
      <w:rFonts w:ascii="Arial" w:hAnsi="Arial"/>
      <w:b/>
      <w:bCs/>
      <w:sz w:val="24"/>
      <w:szCs w:val="32"/>
      <w:lang w:bidi="ar-SA"/>
    </w:rPr>
  </w:style>
  <w:style w:type="paragraph" w:customStyle="1" w:styleId="201">
    <w:name w:val="标题4"/>
    <w:basedOn w:val="11"/>
    <w:next w:val="28"/>
    <w:link w:val="200"/>
    <w:qFormat/>
    <w:uiPriority w:val="0"/>
    <w:pPr>
      <w:spacing w:line="413" w:lineRule="auto"/>
    </w:pPr>
    <w:rPr>
      <w:rFonts w:eastAsia="宋体"/>
      <w:kern w:val="0"/>
      <w:sz w:val="24"/>
    </w:rPr>
  </w:style>
  <w:style w:type="character" w:customStyle="1" w:styleId="202">
    <w:name w:val="中等深浅列表 1 - 强调文字颜色 61"/>
    <w:qFormat/>
    <w:uiPriority w:val="0"/>
    <w:rPr>
      <w:i/>
      <w:iCs/>
      <w:color w:val="808080"/>
    </w:rPr>
  </w:style>
  <w:style w:type="character" w:customStyle="1" w:styleId="203">
    <w:name w:val="Char Char3"/>
    <w:qFormat/>
    <w:uiPriority w:val="0"/>
    <w:rPr>
      <w:rFonts w:ascii="宋体" w:hAnsi="Courier New" w:eastAsia="幼圆"/>
      <w:kern w:val="2"/>
      <w:sz w:val="21"/>
    </w:rPr>
  </w:style>
  <w:style w:type="character" w:customStyle="1" w:styleId="204">
    <w:name w:val="btn-task-gray1"/>
    <w:qFormat/>
    <w:uiPriority w:val="0"/>
    <w:rPr>
      <w:color w:val="FFFFFF"/>
      <w:u w:val="none"/>
      <w:shd w:val="clear" w:color="auto" w:fill="CCCCCC"/>
    </w:rPr>
  </w:style>
  <w:style w:type="character" w:customStyle="1" w:styleId="205">
    <w:name w:val="Hyperlink.2"/>
    <w:qFormat/>
    <w:uiPriority w:val="0"/>
    <w:rPr>
      <w:shd w:val="clear" w:color="auto" w:fill="auto"/>
      <w:lang w:val="en-US"/>
    </w:rPr>
  </w:style>
  <w:style w:type="character" w:customStyle="1" w:styleId="206">
    <w:name w:val="Char Char31"/>
    <w:qFormat/>
    <w:uiPriority w:val="0"/>
    <w:rPr>
      <w:rFonts w:eastAsia="宋体"/>
      <w:b/>
      <w:bCs/>
      <w:kern w:val="2"/>
      <w:sz w:val="24"/>
      <w:szCs w:val="32"/>
      <w:lang w:val="en-US" w:eastAsia="zh-CN" w:bidi="ar-SA"/>
    </w:rPr>
  </w:style>
  <w:style w:type="character" w:customStyle="1" w:styleId="207">
    <w:name w:val="日期 Char"/>
    <w:qFormat/>
    <w:uiPriority w:val="0"/>
    <w:rPr>
      <w:rFonts w:ascii="仿宋_GB2312" w:hAnsi="宋体" w:eastAsia="仿宋_GB2312"/>
      <w:color w:val="000000"/>
      <w:kern w:val="2"/>
      <w:sz w:val="24"/>
      <w:szCs w:val="24"/>
      <w:lang w:bidi="ar-SA"/>
    </w:rPr>
  </w:style>
  <w:style w:type="character" w:customStyle="1" w:styleId="208">
    <w:name w:val="hover17"/>
    <w:qFormat/>
    <w:uiPriority w:val="0"/>
  </w:style>
  <w:style w:type="character" w:customStyle="1" w:styleId="209">
    <w:name w:val="hover3"/>
    <w:qFormat/>
    <w:uiPriority w:val="0"/>
    <w:rPr>
      <w:color w:val="2590EB"/>
      <w:shd w:val="clear" w:color="auto" w:fill="E9F4FD"/>
    </w:rPr>
  </w:style>
  <w:style w:type="paragraph" w:customStyle="1" w:styleId="210">
    <w:name w:val="Other|1"/>
    <w:basedOn w:val="1"/>
    <w:qFormat/>
    <w:uiPriority w:val="0"/>
    <w:pPr>
      <w:spacing w:line="444" w:lineRule="auto"/>
      <w:ind w:firstLine="400"/>
    </w:pPr>
    <w:rPr>
      <w:rFonts w:ascii="宋体" w:hAnsi="宋体" w:cs="宋体"/>
      <w:sz w:val="22"/>
      <w:szCs w:val="22"/>
      <w:lang w:val="zh-TW" w:eastAsia="zh-TW" w:bidi="zh-TW"/>
    </w:rPr>
  </w:style>
  <w:style w:type="paragraph" w:customStyle="1" w:styleId="211">
    <w:name w:val="Table Contents"/>
    <w:basedOn w:val="4"/>
    <w:qFormat/>
    <w:uiPriority w:val="0"/>
    <w:pPr>
      <w:suppressLineNumbers/>
      <w:suppressAutoHyphens/>
      <w:jc w:val="left"/>
    </w:pPr>
    <w:rPr>
      <w:rFonts w:eastAsia="PMingLiU"/>
      <w:kern w:val="0"/>
      <w:sz w:val="24"/>
      <w:szCs w:val="24"/>
    </w:rPr>
  </w:style>
  <w:style w:type="paragraph" w:customStyle="1" w:styleId="212">
    <w:name w:val="0- 正文"/>
    <w:basedOn w:val="1"/>
    <w:qFormat/>
    <w:uiPriority w:val="0"/>
    <w:pPr>
      <w:spacing w:line="360" w:lineRule="auto"/>
      <w:ind w:firstLine="482"/>
    </w:pPr>
    <w:rPr>
      <w:rFonts w:ascii="仿宋_GB2312" w:eastAsia="仿宋_GB2312"/>
      <w:kern w:val="0"/>
      <w:sz w:val="24"/>
      <w:szCs w:val="20"/>
    </w:rPr>
  </w:style>
  <w:style w:type="paragraph" w:customStyle="1" w:styleId="213">
    <w:name w:val="eng"/>
    <w:basedOn w:val="1"/>
    <w:qFormat/>
    <w:uiPriority w:val="0"/>
    <w:pPr>
      <w:widowControl/>
      <w:spacing w:before="100" w:beforeAutospacing="1" w:after="100" w:afterAutospacing="1"/>
      <w:jc w:val="left"/>
    </w:pPr>
    <w:rPr>
      <w:rFonts w:ascii="Verdana" w:hAnsi="Verdana"/>
      <w:color w:val="FFFFFF"/>
      <w:kern w:val="0"/>
      <w:sz w:val="18"/>
      <w:szCs w:val="20"/>
    </w:rPr>
  </w:style>
  <w:style w:type="paragraph" w:customStyle="1" w:styleId="214">
    <w:name w:val="xl87"/>
    <w:basedOn w:val="1"/>
    <w:next w:val="215"/>
    <w:qFormat/>
    <w:uiPriority w:val="0"/>
    <w:pPr>
      <w:widowControl/>
      <w:shd w:val="clear" w:color="FFFFFF" w:fill="FFFFFF"/>
      <w:spacing w:before="280" w:after="280"/>
      <w:jc w:val="right"/>
    </w:pPr>
    <w:rPr>
      <w:rFonts w:ascii="宋体" w:hAnsi="Calibri"/>
      <w:kern w:val="0"/>
      <w:sz w:val="24"/>
    </w:rPr>
  </w:style>
  <w:style w:type="paragraph" w:customStyle="1" w:styleId="215">
    <w:name w:val="xl72"/>
    <w:basedOn w:val="1"/>
    <w:next w:val="32"/>
    <w:qFormat/>
    <w:uiPriority w:val="0"/>
    <w:pPr>
      <w:widowControl/>
      <w:shd w:val="clear" w:color="FFFFFF" w:fill="FFFFFF"/>
      <w:spacing w:before="280" w:after="280"/>
      <w:jc w:val="right"/>
    </w:pPr>
    <w:rPr>
      <w:rFonts w:ascii="宋体" w:hAnsi="Calibri"/>
      <w:kern w:val="0"/>
      <w:sz w:val="24"/>
    </w:rPr>
  </w:style>
  <w:style w:type="paragraph" w:customStyle="1" w:styleId="216">
    <w:name w:val="Char1 Char Char Char Char Char Char"/>
    <w:basedOn w:val="1"/>
    <w:qFormat/>
    <w:uiPriority w:val="0"/>
    <w:rPr>
      <w:rFonts w:ascii="Tahoma" w:hAnsi="Tahoma"/>
      <w:sz w:val="24"/>
      <w:szCs w:val="20"/>
    </w:rPr>
  </w:style>
  <w:style w:type="paragraph" w:customStyle="1" w:styleId="217">
    <w:name w:val="正文 B"/>
    <w:qFormat/>
    <w:uiPriority w:val="0"/>
    <w:rPr>
      <w:rFonts w:hint="eastAsia" w:ascii="Arial Unicode MS" w:hAnsi="Arial Unicode MS" w:eastAsia="Arial Unicode MS" w:cs="Arial Unicode MS"/>
      <w:color w:val="000000"/>
      <w:sz w:val="22"/>
      <w:szCs w:val="22"/>
      <w:u w:color="000000"/>
      <w:lang w:val="zh-TW" w:eastAsia="zh-TW" w:bidi="ar-SA"/>
    </w:rPr>
  </w:style>
  <w:style w:type="paragraph" w:customStyle="1" w:styleId="218">
    <w:name w:val="彩色底纹 - 强调文字颜色 61"/>
    <w:basedOn w:val="10"/>
    <w:next w:val="1"/>
    <w:qFormat/>
    <w:uiPriority w:val="0"/>
    <w:pPr>
      <w:spacing w:line="576" w:lineRule="auto"/>
      <w:outlineLvl w:val="9"/>
    </w:pPr>
    <w:rPr>
      <w:rFonts w:ascii="Calibri" w:hAnsi="Calibri"/>
    </w:rPr>
  </w:style>
  <w:style w:type="paragraph" w:customStyle="1" w:styleId="219">
    <w:name w:val="Char Char Char Char Char Char Char Char Char Char"/>
    <w:basedOn w:val="1"/>
    <w:qFormat/>
    <w:uiPriority w:val="0"/>
    <w:pPr>
      <w:widowControl/>
      <w:spacing w:after="160" w:line="240" w:lineRule="exact"/>
      <w:jc w:val="left"/>
    </w:pPr>
    <w:rPr>
      <w:szCs w:val="20"/>
    </w:rPr>
  </w:style>
  <w:style w:type="paragraph" w:customStyle="1" w:styleId="220">
    <w:name w:val="1 Char"/>
    <w:basedOn w:val="1"/>
    <w:qFormat/>
    <w:uiPriority w:val="0"/>
    <w:rPr>
      <w:rFonts w:ascii="Tahoma" w:hAnsi="Tahoma"/>
      <w:sz w:val="24"/>
      <w:szCs w:val="20"/>
    </w:rPr>
  </w:style>
  <w:style w:type="paragraph" w:customStyle="1" w:styleId="221">
    <w:name w:val="表格文字"/>
    <w:basedOn w:val="1"/>
    <w:qFormat/>
    <w:uiPriority w:val="0"/>
    <w:pPr>
      <w:adjustRightInd w:val="0"/>
      <w:spacing w:line="420" w:lineRule="atLeast"/>
      <w:jc w:val="left"/>
      <w:textAlignment w:val="baseline"/>
    </w:pPr>
    <w:rPr>
      <w:kern w:val="0"/>
      <w:szCs w:val="20"/>
    </w:rPr>
  </w:style>
  <w:style w:type="paragraph" w:customStyle="1" w:styleId="222">
    <w:name w:val="标题3"/>
    <w:basedOn w:val="37"/>
    <w:qFormat/>
    <w:uiPriority w:val="0"/>
    <w:pPr>
      <w:tabs>
        <w:tab w:val="clear" w:pos="8296"/>
      </w:tabs>
      <w:ind w:right="0" w:rightChars="0"/>
      <w:jc w:val="both"/>
    </w:pPr>
    <w:rPr>
      <w:rFonts w:ascii="Tahoma" w:hAnsi="Tahoma" w:eastAsia="黑体"/>
      <w:b/>
      <w:sz w:val="24"/>
    </w:rPr>
  </w:style>
  <w:style w:type="paragraph" w:customStyle="1" w:styleId="223">
    <w:name w:val="xl25"/>
    <w:basedOn w:val="1"/>
    <w:qFormat/>
    <w:uiPriority w:val="0"/>
    <w:pPr>
      <w:widowControl/>
      <w:pBdr>
        <w:bottom w:val="single" w:color="auto" w:sz="4" w:space="0"/>
      </w:pBdr>
      <w:spacing w:before="100" w:beforeAutospacing="1" w:after="100" w:afterAutospacing="1"/>
      <w:jc w:val="center"/>
      <w:textAlignment w:val="center"/>
    </w:pPr>
    <w:rPr>
      <w:rFonts w:ascii="宋体" w:hAnsi="宋体"/>
      <w:b/>
      <w:bCs/>
      <w:kern w:val="0"/>
      <w:sz w:val="36"/>
      <w:szCs w:val="36"/>
    </w:rPr>
  </w:style>
  <w:style w:type="paragraph" w:customStyle="1" w:styleId="224">
    <w:name w:val="样式 标题 2 + Times New Roman 四号 非加粗 段前: 5 磅 段后: 0 磅 行距: 固定值 20..."/>
    <w:basedOn w:val="11"/>
    <w:qFormat/>
    <w:uiPriority w:val="0"/>
    <w:pPr>
      <w:spacing w:before="100" w:after="0" w:line="400" w:lineRule="exact"/>
    </w:pPr>
    <w:rPr>
      <w:rFonts w:ascii="Times New Roman" w:hAnsi="Times New Roman" w:cs="宋体"/>
      <w:b w:val="0"/>
      <w:bCs w:val="0"/>
      <w:sz w:val="28"/>
      <w:szCs w:val="20"/>
    </w:rPr>
  </w:style>
  <w:style w:type="paragraph" w:customStyle="1" w:styleId="225">
    <w:name w:val="1"/>
    <w:basedOn w:val="1"/>
    <w:next w:val="1"/>
    <w:qFormat/>
    <w:uiPriority w:val="0"/>
    <w:rPr>
      <w:szCs w:val="20"/>
    </w:rPr>
  </w:style>
  <w:style w:type="paragraph" w:customStyle="1" w:styleId="226">
    <w:name w:val="Textbaustein"/>
    <w:basedOn w:val="1"/>
    <w:qFormat/>
    <w:uiPriority w:val="0"/>
    <w:pPr>
      <w:widowControl/>
      <w:tabs>
        <w:tab w:val="left" w:pos="1134"/>
        <w:tab w:val="left" w:pos="1701"/>
        <w:tab w:val="left" w:pos="1985"/>
        <w:tab w:val="left" w:pos="2268"/>
        <w:tab w:val="left" w:pos="6804"/>
      </w:tabs>
      <w:jc w:val="left"/>
    </w:pPr>
    <w:rPr>
      <w:rFonts w:ascii="Arial" w:hAnsi="Arial"/>
      <w:kern w:val="0"/>
      <w:sz w:val="22"/>
      <w:szCs w:val="20"/>
      <w:lang w:val="de-DE" w:eastAsia="de-DE"/>
    </w:rPr>
  </w:style>
  <w:style w:type="paragraph" w:customStyle="1" w:styleId="227">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28">
    <w:name w:val="font6"/>
    <w:basedOn w:val="1"/>
    <w:qFormat/>
    <w:uiPriority w:val="0"/>
    <w:pPr>
      <w:widowControl/>
      <w:spacing w:before="100" w:beforeAutospacing="1" w:after="100" w:afterAutospacing="1"/>
      <w:jc w:val="left"/>
    </w:pPr>
    <w:rPr>
      <w:rFonts w:hint="eastAsia" w:ascii="宋体" w:hAnsi="宋体"/>
      <w:b/>
      <w:bCs/>
      <w:kern w:val="0"/>
      <w:sz w:val="36"/>
      <w:szCs w:val="36"/>
    </w:rPr>
  </w:style>
  <w:style w:type="paragraph" w:customStyle="1" w:styleId="229">
    <w:name w:val="样式 Arial 左侧:  2 字符 行距: 固定值 29 磅"/>
    <w:basedOn w:val="1"/>
    <w:qFormat/>
    <w:uiPriority w:val="0"/>
    <w:pPr>
      <w:adjustRightInd w:val="0"/>
      <w:spacing w:line="580" w:lineRule="exact"/>
      <w:textAlignment w:val="baseline"/>
    </w:pPr>
    <w:rPr>
      <w:rFonts w:ascii="Arial" w:hAnsi="Arial"/>
      <w:kern w:val="0"/>
      <w:sz w:val="24"/>
      <w:szCs w:val="20"/>
    </w:rPr>
  </w:style>
  <w:style w:type="paragraph" w:customStyle="1" w:styleId="230">
    <w:name w:val="Char Char1 Char Char Char Char Char Char"/>
    <w:basedOn w:val="1"/>
    <w:qFormat/>
    <w:uiPriority w:val="0"/>
    <w:pPr>
      <w:widowControl/>
      <w:adjustRightInd w:val="0"/>
      <w:snapToGrid w:val="0"/>
      <w:spacing w:line="360" w:lineRule="auto"/>
      <w:ind w:firstLine="601"/>
    </w:pPr>
    <w:rPr>
      <w:rFonts w:ascii="宋体" w:hAnsi="宋体"/>
      <w:color w:val="000000"/>
      <w:kern w:val="0"/>
      <w:sz w:val="24"/>
      <w:szCs w:val="20"/>
    </w:rPr>
  </w:style>
  <w:style w:type="paragraph" w:customStyle="1" w:styleId="231">
    <w:name w:val="Body Text First Indent1"/>
    <w:basedOn w:val="4"/>
    <w:qFormat/>
    <w:uiPriority w:val="99"/>
    <w:pPr>
      <w:ind w:firstLine="420"/>
    </w:pPr>
    <w:rPr>
      <w:sz w:val="32"/>
    </w:rPr>
  </w:style>
  <w:style w:type="paragraph" w:customStyle="1" w:styleId="232">
    <w:name w:val="表格"/>
    <w:basedOn w:val="1"/>
    <w:qFormat/>
    <w:uiPriority w:val="0"/>
    <w:pPr>
      <w:jc w:val="center"/>
      <w:textAlignment w:val="center"/>
    </w:pPr>
    <w:rPr>
      <w:rFonts w:ascii="华文细黑" w:hAnsi="华文细黑"/>
      <w:kern w:val="0"/>
      <w:szCs w:val="20"/>
    </w:rPr>
  </w:style>
  <w:style w:type="paragraph" w:customStyle="1" w:styleId="233">
    <w:name w:val="样式 小四"/>
    <w:basedOn w:val="1"/>
    <w:qFormat/>
    <w:uiPriority w:val="0"/>
    <w:pPr>
      <w:ind w:firstLine="480" w:firstLineChars="200"/>
    </w:pPr>
    <w:rPr>
      <w:sz w:val="24"/>
      <w:szCs w:val="20"/>
    </w:rPr>
  </w:style>
  <w:style w:type="paragraph" w:customStyle="1" w:styleId="234">
    <w:name w:val="Char Char Char Char"/>
    <w:basedOn w:val="1"/>
    <w:qFormat/>
    <w:uiPriority w:val="0"/>
    <w:rPr>
      <w:rFonts w:ascii="Tahoma" w:hAnsi="Tahoma"/>
      <w:sz w:val="24"/>
      <w:szCs w:val="20"/>
    </w:rPr>
  </w:style>
  <w:style w:type="paragraph" w:customStyle="1" w:styleId="235">
    <w:name w:val="Char1 Char Char Char"/>
    <w:basedOn w:val="1"/>
    <w:qFormat/>
    <w:uiPriority w:val="0"/>
    <w:rPr>
      <w:szCs w:val="20"/>
    </w:rPr>
  </w:style>
  <w:style w:type="paragraph" w:customStyle="1" w:styleId="236">
    <w:name w:val="lift"/>
    <w:basedOn w:val="1"/>
    <w:qFormat/>
    <w:uiPriority w:val="0"/>
    <w:pPr>
      <w:widowControl/>
      <w:spacing w:before="100" w:beforeAutospacing="1" w:after="100" w:afterAutospacing="1"/>
      <w:jc w:val="left"/>
    </w:pPr>
    <w:rPr>
      <w:rFonts w:ascii="ˎ̥" w:hAnsi="ˎ̥"/>
      <w:color w:val="000099"/>
      <w:kern w:val="0"/>
      <w:sz w:val="9"/>
      <w:szCs w:val="20"/>
    </w:rPr>
  </w:style>
  <w:style w:type="paragraph" w:customStyle="1" w:styleId="237">
    <w:name w:val="r_title"/>
    <w:basedOn w:val="1"/>
    <w:qFormat/>
    <w:uiPriority w:val="0"/>
    <w:pPr>
      <w:widowControl/>
      <w:spacing w:before="100" w:beforeAutospacing="1" w:after="100" w:afterAutospacing="1"/>
      <w:jc w:val="left"/>
    </w:pPr>
    <w:rPr>
      <w:rFonts w:ascii="ˎ̥" w:hAnsi="ˎ̥"/>
      <w:color w:val="000000"/>
      <w:kern w:val="0"/>
      <w:sz w:val="18"/>
      <w:szCs w:val="20"/>
    </w:rPr>
  </w:style>
  <w:style w:type="paragraph" w:customStyle="1" w:styleId="238">
    <w:name w:val="样式 标题 1 + 黑体 三号 非加粗 居中 段前: 6 磅 段后: 6 磅 行距: 固定值 20 磅"/>
    <w:basedOn w:val="10"/>
    <w:qFormat/>
    <w:uiPriority w:val="0"/>
    <w:pPr>
      <w:spacing w:before="120" w:after="120" w:line="400" w:lineRule="exact"/>
      <w:jc w:val="center"/>
    </w:pPr>
    <w:rPr>
      <w:rFonts w:ascii="黑体" w:hAnsi="黑体" w:eastAsia="黑体"/>
      <w:b w:val="0"/>
      <w:bCs w:val="0"/>
      <w:sz w:val="32"/>
      <w:szCs w:val="20"/>
    </w:rPr>
  </w:style>
  <w:style w:type="paragraph" w:customStyle="1" w:styleId="239">
    <w:name w:val="top"/>
    <w:basedOn w:val="1"/>
    <w:qFormat/>
    <w:uiPriority w:val="0"/>
    <w:pPr>
      <w:widowControl/>
      <w:spacing w:before="100" w:beforeAutospacing="1" w:after="100" w:afterAutospacing="1"/>
      <w:jc w:val="left"/>
    </w:pPr>
    <w:rPr>
      <w:rFonts w:ascii="ˎ̥" w:hAnsi="ˎ̥"/>
      <w:color w:val="FFFFFF"/>
      <w:kern w:val="0"/>
      <w:sz w:val="18"/>
      <w:szCs w:val="20"/>
    </w:rPr>
  </w:style>
  <w:style w:type="paragraph" w:customStyle="1" w:styleId="240">
    <w:name w:val="Char Char Char Char Char Char Char"/>
    <w:basedOn w:val="1"/>
    <w:qFormat/>
    <w:uiPriority w:val="0"/>
  </w:style>
  <w:style w:type="paragraph" w:customStyle="1" w:styleId="241">
    <w:name w:val="信息标题1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242">
    <w:name w:val="标书正文"/>
    <w:basedOn w:val="1"/>
    <w:qFormat/>
    <w:uiPriority w:val="0"/>
    <w:pPr>
      <w:snapToGrid w:val="0"/>
      <w:spacing w:line="360" w:lineRule="auto"/>
      <w:ind w:firstLine="560" w:firstLineChars="200"/>
    </w:pPr>
    <w:rPr>
      <w:rFonts w:ascii="宋体" w:hAnsi="宋体"/>
      <w:color w:val="000000"/>
      <w:sz w:val="24"/>
      <w:szCs w:val="20"/>
    </w:rPr>
  </w:style>
  <w:style w:type="paragraph" w:customStyle="1" w:styleId="243">
    <w:name w:val="样式2"/>
    <w:basedOn w:val="1"/>
    <w:qFormat/>
    <w:uiPriority w:val="0"/>
    <w:pPr>
      <w:ind w:firstLine="540" w:firstLineChars="225"/>
    </w:pPr>
    <w:rPr>
      <w:sz w:val="24"/>
      <w:szCs w:val="20"/>
    </w:rPr>
  </w:style>
  <w:style w:type="paragraph" w:customStyle="1" w:styleId="244">
    <w:name w:val="bottom"/>
    <w:basedOn w:val="1"/>
    <w:qFormat/>
    <w:uiPriority w:val="0"/>
    <w:pPr>
      <w:widowControl/>
      <w:spacing w:before="100" w:beforeAutospacing="1" w:after="100" w:afterAutospacing="1"/>
      <w:jc w:val="left"/>
    </w:pPr>
    <w:rPr>
      <w:rFonts w:ascii="ˎ̥" w:hAnsi="ˎ̥"/>
      <w:color w:val="333333"/>
      <w:kern w:val="0"/>
      <w:sz w:val="18"/>
      <w:szCs w:val="20"/>
    </w:rPr>
  </w:style>
  <w:style w:type="paragraph" w:customStyle="1" w:styleId="245">
    <w:name w:val="class"/>
    <w:basedOn w:val="1"/>
    <w:qFormat/>
    <w:uiPriority w:val="0"/>
    <w:pPr>
      <w:widowControl/>
      <w:spacing w:before="100" w:beforeAutospacing="1" w:after="100" w:afterAutospacing="1"/>
      <w:jc w:val="left"/>
    </w:pPr>
    <w:rPr>
      <w:rFonts w:ascii="ˎ̥" w:hAnsi="ˎ̥"/>
      <w:color w:val="000099"/>
      <w:kern w:val="0"/>
      <w:sz w:val="18"/>
      <w:szCs w:val="20"/>
    </w:rPr>
  </w:style>
  <w:style w:type="paragraph" w:customStyle="1" w:styleId="246">
    <w:name w:val="link"/>
    <w:basedOn w:val="1"/>
    <w:qFormat/>
    <w:uiPriority w:val="0"/>
    <w:pPr>
      <w:widowControl/>
      <w:spacing w:before="100" w:beforeAutospacing="1" w:after="100" w:afterAutospacing="1"/>
      <w:jc w:val="left"/>
    </w:pPr>
    <w:rPr>
      <w:rFonts w:ascii="ˎ̥" w:hAnsi="ˎ̥"/>
      <w:color w:val="336699"/>
      <w:kern w:val="0"/>
      <w:sz w:val="18"/>
      <w:szCs w:val="20"/>
    </w:rPr>
  </w:style>
  <w:style w:type="paragraph" w:styleId="24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8">
    <w:name w:val="修订1"/>
    <w:qFormat/>
    <w:uiPriority w:val="0"/>
    <w:rPr>
      <w:rFonts w:ascii="Times New Roman" w:hAnsi="Times New Roman" w:eastAsia="宋体" w:cs="Times New Roman"/>
      <w:kern w:val="2"/>
      <w:sz w:val="21"/>
      <w:szCs w:val="24"/>
      <w:lang w:val="en-US" w:eastAsia="zh-CN" w:bidi="ar-SA"/>
    </w:rPr>
  </w:style>
  <w:style w:type="paragraph" w:customStyle="1" w:styleId="24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50">
    <w:name w:val="样式 标题 3 + (中文) 黑体 小四 非加粗 段前: 7.8 磅 段后: 0 磅 行距: 固定值 20 磅"/>
    <w:basedOn w:val="12"/>
    <w:qFormat/>
    <w:uiPriority w:val="0"/>
    <w:pPr>
      <w:spacing w:before="0" w:after="0" w:line="400" w:lineRule="exact"/>
    </w:pPr>
    <w:rPr>
      <w:rFonts w:eastAsia="黑体" w:cs="宋体"/>
      <w:b w:val="0"/>
      <w:bCs w:val="0"/>
      <w:sz w:val="24"/>
      <w:szCs w:val="20"/>
    </w:rPr>
  </w:style>
  <w:style w:type="paragraph" w:customStyle="1" w:styleId="251">
    <w:name w:val="Char Char1 Char Char"/>
    <w:basedOn w:val="1"/>
    <w:qFormat/>
    <w:uiPriority w:val="0"/>
    <w:rPr>
      <w:rFonts w:ascii="Tahoma" w:hAnsi="Tahoma"/>
      <w:sz w:val="24"/>
      <w:szCs w:val="20"/>
    </w:rPr>
  </w:style>
  <w:style w:type="paragraph" w:customStyle="1" w:styleId="252">
    <w:name w:val="black"/>
    <w:basedOn w:val="1"/>
    <w:qFormat/>
    <w:uiPriority w:val="0"/>
    <w:pPr>
      <w:widowControl/>
      <w:spacing w:before="100" w:beforeAutospacing="1" w:after="100" w:afterAutospacing="1"/>
      <w:jc w:val="left"/>
    </w:pPr>
    <w:rPr>
      <w:rFonts w:ascii="ˎ̥" w:hAnsi="ˎ̥"/>
      <w:color w:val="000066"/>
      <w:kern w:val="0"/>
      <w:sz w:val="18"/>
      <w:szCs w:val="20"/>
    </w:rPr>
  </w:style>
  <w:style w:type="paragraph" w:customStyle="1" w:styleId="253">
    <w:name w:val="1.1.1"/>
    <w:basedOn w:val="1"/>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254">
    <w:name w:val="p0"/>
    <w:basedOn w:val="1"/>
    <w:qFormat/>
    <w:uiPriority w:val="0"/>
    <w:pPr>
      <w:widowControl/>
    </w:pPr>
    <w:rPr>
      <w:kern w:val="0"/>
      <w:szCs w:val="21"/>
    </w:rPr>
  </w:style>
  <w:style w:type="paragraph" w:customStyle="1" w:styleId="255">
    <w:name w:val="m_title"/>
    <w:basedOn w:val="1"/>
    <w:qFormat/>
    <w:uiPriority w:val="0"/>
    <w:pPr>
      <w:widowControl/>
      <w:spacing w:before="100" w:beforeAutospacing="1" w:after="100" w:afterAutospacing="1"/>
      <w:jc w:val="left"/>
    </w:pPr>
    <w:rPr>
      <w:rFonts w:ascii="ˎ̥" w:hAnsi="ˎ̥"/>
      <w:color w:val="FFFFFF"/>
      <w:kern w:val="0"/>
      <w:sz w:val="18"/>
      <w:szCs w:val="20"/>
    </w:rPr>
  </w:style>
  <w:style w:type="paragraph" w:customStyle="1" w:styleId="256">
    <w:name w:val="top1"/>
    <w:basedOn w:val="1"/>
    <w:qFormat/>
    <w:uiPriority w:val="0"/>
    <w:pPr>
      <w:widowControl/>
      <w:spacing w:before="100" w:beforeAutospacing="1" w:after="100" w:afterAutospacing="1"/>
      <w:jc w:val="left"/>
    </w:pPr>
    <w:rPr>
      <w:rFonts w:ascii="ˎ̥" w:hAnsi="ˎ̥"/>
      <w:color w:val="000066"/>
      <w:kern w:val="0"/>
      <w:sz w:val="18"/>
      <w:szCs w:val="20"/>
    </w:rPr>
  </w:style>
  <w:style w:type="paragraph" w:customStyle="1" w:styleId="25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8">
    <w:name w:val="Char1"/>
    <w:basedOn w:val="1"/>
    <w:qFormat/>
    <w:uiPriority w:val="0"/>
    <w:pPr>
      <w:widowControl/>
      <w:spacing w:after="160" w:line="240" w:lineRule="exact"/>
      <w:jc w:val="left"/>
    </w:pPr>
  </w:style>
  <w:style w:type="paragraph" w:customStyle="1" w:styleId="259">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
    <w:name w:val="xl24"/>
    <w:basedOn w:val="1"/>
    <w:qFormat/>
    <w:uiPriority w:val="0"/>
    <w:pPr>
      <w:widowControl/>
      <w:spacing w:before="100" w:beforeAutospacing="1" w:after="100" w:afterAutospacing="1"/>
      <w:jc w:val="left"/>
      <w:textAlignment w:val="center"/>
    </w:pPr>
    <w:rPr>
      <w:kern w:val="0"/>
      <w:sz w:val="24"/>
    </w:rPr>
  </w:style>
  <w:style w:type="paragraph" w:customStyle="1" w:styleId="26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62">
    <w:name w:val="noline"/>
    <w:basedOn w:val="1"/>
    <w:qFormat/>
    <w:uiPriority w:val="0"/>
    <w:pPr>
      <w:widowControl/>
      <w:spacing w:before="100" w:beforeAutospacing="1" w:after="100" w:afterAutospacing="1"/>
      <w:jc w:val="left"/>
    </w:pPr>
    <w:rPr>
      <w:rFonts w:ascii="ˎ̥" w:hAnsi="ˎ̥"/>
      <w:color w:val="000000"/>
      <w:kern w:val="0"/>
      <w:sz w:val="18"/>
      <w:szCs w:val="20"/>
    </w:rPr>
  </w:style>
  <w:style w:type="paragraph" w:customStyle="1" w:styleId="2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64">
    <w:name w:val="right"/>
    <w:basedOn w:val="1"/>
    <w:qFormat/>
    <w:uiPriority w:val="0"/>
    <w:pPr>
      <w:widowControl/>
      <w:spacing w:before="100" w:beforeAutospacing="1" w:after="100" w:afterAutospacing="1"/>
      <w:jc w:val="left"/>
    </w:pPr>
    <w:rPr>
      <w:rFonts w:ascii="ˎ̥" w:hAnsi="ˎ̥"/>
      <w:color w:val="000099"/>
      <w:kern w:val="0"/>
      <w:sz w:val="18"/>
      <w:szCs w:val="20"/>
    </w:rPr>
  </w:style>
  <w:style w:type="paragraph" w:customStyle="1" w:styleId="265">
    <w:name w:val="Char Char10 Char Char Char Char"/>
    <w:basedOn w:val="1"/>
    <w:next w:val="214"/>
    <w:qFormat/>
    <w:uiPriority w:val="0"/>
    <w:rPr>
      <w:rFonts w:ascii="Calibri" w:hAnsi="Calibri"/>
      <w:kern w:val="0"/>
    </w:rPr>
  </w:style>
  <w:style w:type="paragraph" w:customStyle="1" w:styleId="266">
    <w:name w:val="默认段落字体 Para Char Char Char Char"/>
    <w:basedOn w:val="1"/>
    <w:qFormat/>
    <w:uiPriority w:val="0"/>
    <w:pPr>
      <w:snapToGrid w:val="0"/>
      <w:spacing w:line="360" w:lineRule="auto"/>
      <w:ind w:firstLine="200" w:firstLineChars="200"/>
    </w:pPr>
    <w:rPr>
      <w:rFonts w:ascii="Calibri" w:hAnsi="Calibri"/>
      <w:szCs w:val="20"/>
    </w:rPr>
  </w:style>
  <w:style w:type="paragraph" w:customStyle="1" w:styleId="267">
    <w:name w:val="无间隔1"/>
    <w:qFormat/>
    <w:uiPriority w:val="1"/>
    <w:pPr>
      <w:adjustRightInd w:val="0"/>
      <w:snapToGrid w:val="0"/>
    </w:pPr>
    <w:rPr>
      <w:rFonts w:ascii="Tahoma" w:hAnsi="Tahoma" w:eastAsia="微软雅黑" w:cs="Times New Roman"/>
      <w:sz w:val="22"/>
      <w:szCs w:val="22"/>
      <w:lang w:val="en-US" w:eastAsia="zh-CN" w:bidi="ar-SA"/>
    </w:rPr>
  </w:style>
  <w:style w:type="paragraph" w:customStyle="1" w:styleId="268">
    <w:name w:val="Char"/>
    <w:basedOn w:val="1"/>
    <w:qFormat/>
    <w:uiPriority w:val="0"/>
    <w:rPr>
      <w:rFonts w:ascii="Tahoma" w:hAnsi="Tahoma"/>
      <w:sz w:val="24"/>
      <w:szCs w:val="20"/>
    </w:rPr>
  </w:style>
  <w:style w:type="paragraph" w:customStyle="1" w:styleId="269">
    <w:name w:val="p15"/>
    <w:basedOn w:val="1"/>
    <w:qFormat/>
    <w:uiPriority w:val="0"/>
    <w:pPr>
      <w:widowControl/>
      <w:snapToGrid w:val="0"/>
      <w:jc w:val="left"/>
    </w:pPr>
    <w:rPr>
      <w:rFonts w:hint="eastAsia" w:ascii="宋体" w:hAnsi="宋体"/>
      <w:color w:val="000000"/>
      <w:sz w:val="24"/>
      <w:szCs w:val="20"/>
    </w:rPr>
  </w:style>
  <w:style w:type="paragraph" w:customStyle="1" w:styleId="270">
    <w:name w:val="p17"/>
    <w:basedOn w:val="1"/>
    <w:qFormat/>
    <w:uiPriority w:val="0"/>
    <w:pPr>
      <w:widowControl/>
      <w:snapToGrid w:val="0"/>
      <w:jc w:val="left"/>
    </w:pPr>
    <w:rPr>
      <w:rFonts w:ascii="宋体" w:hAnsi="宋体"/>
      <w:color w:val="000000"/>
      <w:kern w:val="0"/>
      <w:sz w:val="24"/>
      <w:szCs w:val="20"/>
    </w:rPr>
  </w:style>
  <w:style w:type="paragraph" w:customStyle="1" w:styleId="271">
    <w:name w:val="Char Char19 Char Char"/>
    <w:basedOn w:val="1"/>
    <w:qFormat/>
    <w:uiPriority w:val="0"/>
    <w:rPr>
      <w:rFonts w:ascii="Tahoma" w:hAnsi="Tahoma"/>
      <w:sz w:val="24"/>
      <w:szCs w:val="20"/>
    </w:rPr>
  </w:style>
  <w:style w:type="paragraph" w:customStyle="1" w:styleId="272">
    <w:name w:val="Table Paragraph"/>
    <w:basedOn w:val="1"/>
    <w:qFormat/>
    <w:uiPriority w:val="1"/>
  </w:style>
  <w:style w:type="paragraph" w:customStyle="1" w:styleId="273">
    <w:name w:val="Char Char Char"/>
    <w:basedOn w:val="1"/>
    <w:qFormat/>
    <w:uiPriority w:val="0"/>
    <w:rPr>
      <w:rFonts w:ascii="Tahoma" w:hAnsi="Tahoma"/>
      <w:sz w:val="24"/>
      <w:szCs w:val="20"/>
    </w:rPr>
  </w:style>
  <w:style w:type="paragraph" w:customStyle="1" w:styleId="274">
    <w:name w:val="样式1"/>
    <w:basedOn w:val="1"/>
    <w:qFormat/>
    <w:uiPriority w:val="0"/>
    <w:pPr>
      <w:spacing w:before="120" w:after="120" w:line="300" w:lineRule="auto"/>
    </w:pPr>
    <w:rPr>
      <w:rFonts w:ascii="宋体" w:hAnsi="宋体"/>
      <w:b/>
      <w:sz w:val="24"/>
      <w:szCs w:val="20"/>
    </w:rPr>
  </w:style>
  <w:style w:type="paragraph" w:customStyle="1" w:styleId="2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76">
    <w:name w:val="lift_top"/>
    <w:basedOn w:val="1"/>
    <w:qFormat/>
    <w:uiPriority w:val="0"/>
    <w:pPr>
      <w:widowControl/>
      <w:spacing w:before="100" w:beforeAutospacing="1" w:after="100" w:afterAutospacing="1"/>
      <w:jc w:val="left"/>
    </w:pPr>
    <w:rPr>
      <w:rFonts w:ascii="ˎ̥" w:hAnsi="ˎ̥"/>
      <w:color w:val="000099"/>
      <w:kern w:val="0"/>
      <w:sz w:val="9"/>
      <w:szCs w:val="20"/>
    </w:rPr>
  </w:style>
  <w:style w:type="paragraph" w:customStyle="1" w:styleId="277">
    <w:name w:val="middle"/>
    <w:basedOn w:val="1"/>
    <w:qFormat/>
    <w:uiPriority w:val="0"/>
    <w:pPr>
      <w:widowControl/>
      <w:spacing w:before="100" w:beforeAutospacing="1" w:after="100" w:afterAutospacing="1"/>
      <w:jc w:val="left"/>
    </w:pPr>
    <w:rPr>
      <w:rFonts w:ascii="ˎ̥" w:hAnsi="ˎ̥"/>
      <w:color w:val="666666"/>
      <w:kern w:val="0"/>
      <w:sz w:val="18"/>
      <w:szCs w:val="20"/>
    </w:rPr>
  </w:style>
  <w:style w:type="paragraph" w:customStyle="1" w:styleId="278">
    <w:name w:val="font7"/>
    <w:basedOn w:val="1"/>
    <w:qFormat/>
    <w:uiPriority w:val="0"/>
    <w:pPr>
      <w:widowControl/>
      <w:spacing w:before="100" w:beforeAutospacing="1" w:after="100" w:afterAutospacing="1"/>
      <w:jc w:val="left"/>
    </w:pPr>
    <w:rPr>
      <w:b/>
      <w:bCs/>
      <w:kern w:val="0"/>
      <w:sz w:val="36"/>
      <w:szCs w:val="36"/>
    </w:rPr>
  </w:style>
  <w:style w:type="paragraph" w:customStyle="1" w:styleId="279">
    <w:name w:val="l_title"/>
    <w:basedOn w:val="1"/>
    <w:qFormat/>
    <w:uiPriority w:val="0"/>
    <w:pPr>
      <w:widowControl/>
      <w:spacing w:before="100" w:beforeAutospacing="1" w:after="100" w:afterAutospacing="1"/>
      <w:jc w:val="left"/>
    </w:pPr>
    <w:rPr>
      <w:rFonts w:ascii="ˎ̥" w:hAnsi="ˎ̥"/>
      <w:color w:val="000000"/>
      <w:kern w:val="0"/>
      <w:sz w:val="18"/>
      <w:szCs w:val="20"/>
    </w:rPr>
  </w:style>
  <w:style w:type="paragraph" w:customStyle="1" w:styleId="280">
    <w:name w:val="正文1"/>
    <w:qFormat/>
    <w:uiPriority w:val="0"/>
    <w:rPr>
      <w:rFonts w:ascii="Helvetica" w:hAnsi="Helvetica" w:eastAsia="ヒラギノ角ゴ Pro W3" w:cs="Times New Roman"/>
      <w:color w:val="000000"/>
      <w:sz w:val="24"/>
      <w:lang w:val="en-US" w:eastAsia="zh-CN" w:bidi="ar-SA"/>
    </w:rPr>
  </w:style>
  <w:style w:type="paragraph" w:customStyle="1" w:styleId="28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82">
    <w:name w:val="彩色底纹1"/>
    <w:qFormat/>
    <w:uiPriority w:val="0"/>
    <w:rPr>
      <w:rFonts w:ascii="Times New Roman" w:hAnsi="Times New Roman" w:eastAsia="宋体" w:cs="Times New Roman"/>
      <w:kern w:val="2"/>
      <w:sz w:val="21"/>
      <w:szCs w:val="24"/>
      <w:lang w:val="en-US" w:eastAsia="zh-CN" w:bidi="ar-SA"/>
    </w:rPr>
  </w:style>
  <w:style w:type="paragraph" w:customStyle="1" w:styleId="283">
    <w:name w:val="WPS Plain"/>
    <w:qFormat/>
    <w:uiPriority w:val="0"/>
    <w:rPr>
      <w:rFonts w:ascii="Times New Roman" w:hAnsi="Times New Roman" w:eastAsia="宋体" w:cs="Times New Roman"/>
      <w:lang w:val="en-US" w:eastAsia="zh-CN" w:bidi="ar-SA"/>
    </w:rPr>
  </w:style>
  <w:style w:type="paragraph" w:customStyle="1" w:styleId="284">
    <w:name w:val="Char2"/>
    <w:basedOn w:val="1"/>
    <w:qFormat/>
    <w:uiPriority w:val="0"/>
    <w:pPr>
      <w:adjustRightInd w:val="0"/>
      <w:snapToGrid w:val="0"/>
    </w:pPr>
    <w:rPr>
      <w:rFonts w:ascii="Arial" w:hAnsi="Arial" w:eastAsia="黑体"/>
      <w:b/>
      <w:sz w:val="32"/>
      <w:szCs w:val="20"/>
    </w:rPr>
  </w:style>
  <w:style w:type="paragraph" w:customStyle="1" w:styleId="285">
    <w:name w:val="Table Heading"/>
    <w:basedOn w:val="211"/>
    <w:qFormat/>
    <w:uiPriority w:val="0"/>
    <w:pPr>
      <w:jc w:val="center"/>
    </w:pPr>
    <w:rPr>
      <w:b/>
      <w:bCs/>
      <w:i/>
      <w:iCs/>
    </w:rPr>
  </w:style>
  <w:style w:type="paragraph" w:customStyle="1" w:styleId="286">
    <w:name w:val="彩色列表1"/>
    <w:basedOn w:val="1"/>
    <w:qFormat/>
    <w:uiPriority w:val="0"/>
    <w:pPr>
      <w:ind w:firstLine="420" w:firstLineChars="200"/>
    </w:pPr>
    <w:rPr>
      <w:rFonts w:ascii="Calibri" w:hAnsi="Calibri"/>
      <w:szCs w:val="22"/>
    </w:rPr>
  </w:style>
  <w:style w:type="paragraph" w:customStyle="1" w:styleId="287">
    <w:name w:val="Char11"/>
    <w:basedOn w:val="1"/>
    <w:qFormat/>
    <w:uiPriority w:val="0"/>
    <w:rPr>
      <w:szCs w:val="20"/>
    </w:rPr>
  </w:style>
  <w:style w:type="paragraph" w:customStyle="1" w:styleId="288">
    <w:name w:val="简单回函地址"/>
    <w:basedOn w:val="1"/>
    <w:qFormat/>
    <w:uiPriority w:val="0"/>
  </w:style>
  <w:style w:type="paragraph" w:customStyle="1" w:styleId="289">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290">
    <w:name w:val="Char Char Char1"/>
    <w:basedOn w:val="1"/>
    <w:qFormat/>
    <w:uiPriority w:val="0"/>
    <w:pPr>
      <w:adjustRightInd w:val="0"/>
      <w:spacing w:line="360" w:lineRule="atLeast"/>
    </w:pPr>
  </w:style>
  <w:style w:type="paragraph" w:customStyle="1" w:styleId="291">
    <w:name w:val="Char Char10 Char"/>
    <w:basedOn w:val="1"/>
    <w:qFormat/>
    <w:uiPriority w:val="0"/>
  </w:style>
  <w:style w:type="paragraph" w:customStyle="1" w:styleId="292">
    <w:name w:val="p16"/>
    <w:basedOn w:val="1"/>
    <w:qFormat/>
    <w:uiPriority w:val="0"/>
    <w:pPr>
      <w:widowControl/>
      <w:spacing w:before="100" w:line="400" w:lineRule="atLeast"/>
    </w:pPr>
    <w:rPr>
      <w:kern w:val="0"/>
      <w:sz w:val="28"/>
      <w:szCs w:val="20"/>
    </w:rPr>
  </w:style>
  <w:style w:type="paragraph" w:customStyle="1" w:styleId="293">
    <w:name w:val="列表段落1"/>
    <w:basedOn w:val="1"/>
    <w:qFormat/>
    <w:uiPriority w:val="0"/>
    <w:pPr>
      <w:ind w:firstLine="420" w:firstLineChars="200"/>
    </w:pPr>
    <w:rPr>
      <w:rFonts w:ascii="Calibri" w:hAnsi="Calibri"/>
      <w:szCs w:val="22"/>
    </w:rPr>
  </w:style>
  <w:style w:type="paragraph" w:customStyle="1" w:styleId="294">
    <w:name w:val="news"/>
    <w:basedOn w:val="1"/>
    <w:qFormat/>
    <w:uiPriority w:val="0"/>
    <w:pPr>
      <w:widowControl/>
      <w:spacing w:before="100" w:beforeAutospacing="1" w:after="100" w:afterAutospacing="1" w:line="165" w:lineRule="atLeast"/>
      <w:jc w:val="left"/>
    </w:pPr>
    <w:rPr>
      <w:rFonts w:ascii="ˎ̥" w:hAnsi="ˎ̥"/>
      <w:color w:val="000000"/>
      <w:kern w:val="0"/>
      <w:sz w:val="11"/>
      <w:szCs w:val="20"/>
    </w:rPr>
  </w:style>
  <w:style w:type="paragraph" w:customStyle="1" w:styleId="295">
    <w:name w:val="z-窗体底端1"/>
    <w:basedOn w:val="1"/>
    <w:next w:val="1"/>
    <w:qFormat/>
    <w:uiPriority w:val="0"/>
    <w:pPr>
      <w:widowControl/>
      <w:pBdr>
        <w:top w:val="single" w:color="auto" w:sz="6" w:space="1"/>
      </w:pBdr>
      <w:jc w:val="center"/>
    </w:pPr>
    <w:rPr>
      <w:rFonts w:ascii="Arial" w:hAnsi="Arial" w:eastAsia="Times New Roman"/>
      <w:vanish/>
      <w:kern w:val="0"/>
      <w:sz w:val="16"/>
      <w:szCs w:val="16"/>
    </w:rPr>
  </w:style>
  <w:style w:type="table" w:customStyle="1" w:styleId="296">
    <w:name w:val="Table Normal"/>
    <w:unhideWhenUsed/>
    <w:qFormat/>
    <w:uiPriority w:val="0"/>
    <w:tblPr>
      <w:tblCellMar>
        <w:top w:w="0" w:type="dxa"/>
        <w:left w:w="0" w:type="dxa"/>
        <w:bottom w:w="0" w:type="dxa"/>
        <w:right w:w="0" w:type="dxa"/>
      </w:tblCellMar>
    </w:tblPr>
  </w:style>
  <w:style w:type="paragraph" w:customStyle="1" w:styleId="297">
    <w:name w:val="正文_3"/>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8">
    <w:name w:val="列出段落5"/>
    <w:basedOn w:val="297"/>
    <w:qFormat/>
    <w:uiPriority w:val="0"/>
    <w:pPr>
      <w:ind w:firstLine="420" w:firstLineChars="200"/>
    </w:pPr>
    <w:rPr>
      <w:sz w:val="24"/>
    </w:rPr>
  </w:style>
  <w:style w:type="paragraph" w:customStyle="1" w:styleId="299">
    <w:name w:val="BodyText"/>
    <w:basedOn w:val="1"/>
    <w:next w:val="300"/>
    <w:qFormat/>
    <w:uiPriority w:val="0"/>
    <w:pPr>
      <w:spacing w:after="120"/>
    </w:pPr>
  </w:style>
  <w:style w:type="paragraph" w:customStyle="1" w:styleId="300">
    <w:name w:val="BodyText2"/>
    <w:basedOn w:val="1"/>
    <w:next w:val="299"/>
    <w:qFormat/>
    <w:uiPriority w:val="0"/>
    <w:pPr>
      <w:spacing w:after="120" w:line="480" w:lineRule="auto"/>
    </w:pPr>
  </w:style>
  <w:style w:type="paragraph" w:customStyle="1" w:styleId="301">
    <w:name w:val="列出段落1"/>
    <w:basedOn w:val="1"/>
    <w:qFormat/>
    <w:uiPriority w:val="34"/>
    <w:pPr>
      <w:ind w:firstLine="420" w:firstLineChars="200"/>
    </w:pPr>
    <w:rPr>
      <w:rFonts w:ascii="等线" w:hAnsi="等线" w:eastAsia="等线"/>
      <w:szCs w:val="22"/>
    </w:rPr>
  </w:style>
  <w:style w:type="paragraph" w:customStyle="1" w:styleId="302">
    <w:name w:val="1正文"/>
    <w:basedOn w:val="1"/>
    <w:qFormat/>
    <w:uiPriority w:val="0"/>
    <w:pPr>
      <w:spacing w:line="360" w:lineRule="auto"/>
      <w:ind w:firstLine="200" w:firstLineChars="200"/>
    </w:pPr>
    <w:rPr>
      <w:rFonts w:ascii="Calibri" w:hAnsi="Calibri"/>
      <w:sz w:val="24"/>
      <w:szCs w:val="22"/>
    </w:rPr>
  </w:style>
  <w:style w:type="paragraph" w:customStyle="1" w:styleId="30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04">
    <w:name w:val="Body text|1"/>
    <w:basedOn w:val="1"/>
    <w:qFormat/>
    <w:uiPriority w:val="0"/>
    <w:pPr>
      <w:spacing w:line="386" w:lineRule="auto"/>
      <w:ind w:firstLine="400"/>
    </w:pPr>
    <w:rPr>
      <w:rFonts w:ascii="宋体" w:hAnsi="宋体" w:cs="宋体"/>
      <w:lang w:val="zh-TW" w:eastAsia="zh-TW" w:bidi="zh-TW"/>
    </w:rPr>
  </w:style>
  <w:style w:type="paragraph" w:customStyle="1" w:styleId="305">
    <w:name w:val="Body text|2"/>
    <w:basedOn w:val="1"/>
    <w:qFormat/>
    <w:uiPriority w:val="0"/>
    <w:pPr>
      <w:spacing w:after="190"/>
      <w:ind w:firstLine="480"/>
    </w:pPr>
    <w:rPr>
      <w:rFonts w:ascii="宋体" w:hAnsi="宋体" w:cs="宋体"/>
      <w:b/>
      <w:bCs/>
      <w:sz w:val="28"/>
      <w:szCs w:val="28"/>
      <w:lang w:val="zh-TW" w:eastAsia="zh-TW" w:bidi="zh-TW"/>
    </w:rPr>
  </w:style>
  <w:style w:type="paragraph" w:styleId="306">
    <w:name w:val="List Paragraph"/>
    <w:basedOn w:val="1"/>
    <w:qFormat/>
    <w:uiPriority w:val="34"/>
    <w:pPr>
      <w:ind w:firstLine="420" w:firstLineChars="200"/>
    </w:pPr>
    <w:rPr>
      <w:rFonts w:ascii="等线" w:hAnsi="等线" w:eastAsia="等线"/>
      <w:szCs w:val="22"/>
    </w:rPr>
  </w:style>
  <w:style w:type="paragraph" w:customStyle="1" w:styleId="307">
    <w:name w:val="DS-正文样式"/>
    <w:basedOn w:val="1"/>
    <w:qFormat/>
    <w:uiPriority w:val="0"/>
    <w:pPr>
      <w:numPr>
        <w:ilvl w:val="0"/>
        <w:numId w:val="1"/>
      </w:numPr>
      <w:spacing w:line="360" w:lineRule="auto"/>
      <w:ind w:left="0" w:firstLine="560" w:firstLineChars="200"/>
    </w:pPr>
    <w:rPr>
      <w:rFonts w:ascii="仿宋" w:hAnsi="仿宋" w:eastAsia="仿宋" w:cs="宋体"/>
      <w:sz w:val="28"/>
      <w:szCs w:val="28"/>
    </w:rPr>
  </w:style>
  <w:style w:type="character" w:customStyle="1" w:styleId="308">
    <w:name w:val="xiadan"/>
    <w:basedOn w:val="52"/>
    <w:qFormat/>
    <w:uiPriority w:val="0"/>
    <w:rPr>
      <w:shd w:val="clear" w:color="auto" w:fill="E4393C"/>
    </w:rPr>
  </w:style>
  <w:style w:type="character" w:customStyle="1" w:styleId="309">
    <w:name w:val="fr"/>
    <w:basedOn w:val="52"/>
    <w:qFormat/>
    <w:uiPriority w:val="0"/>
  </w:style>
  <w:style w:type="character" w:customStyle="1" w:styleId="310">
    <w:name w:val="icon_ds"/>
    <w:basedOn w:val="52"/>
    <w:qFormat/>
    <w:uiPriority w:val="0"/>
  </w:style>
  <w:style w:type="character" w:customStyle="1" w:styleId="311">
    <w:name w:val="icon_ds1"/>
    <w:basedOn w:val="52"/>
    <w:qFormat/>
    <w:uiPriority w:val="0"/>
    <w:rPr>
      <w:sz w:val="21"/>
      <w:szCs w:val="21"/>
    </w:rPr>
  </w:style>
  <w:style w:type="character" w:customStyle="1" w:styleId="312">
    <w:name w:val="first-child1"/>
    <w:basedOn w:val="52"/>
    <w:qFormat/>
    <w:uiPriority w:val="0"/>
    <w:rPr>
      <w:color w:val="1F3149"/>
      <w:sz w:val="24"/>
      <w:szCs w:val="24"/>
    </w:rPr>
  </w:style>
  <w:style w:type="character" w:customStyle="1" w:styleId="313">
    <w:name w:val="first-child2"/>
    <w:basedOn w:val="52"/>
    <w:qFormat/>
    <w:uiPriority w:val="0"/>
    <w:rPr>
      <w:color w:val="1F3149"/>
      <w:sz w:val="24"/>
      <w:szCs w:val="24"/>
    </w:rPr>
  </w:style>
  <w:style w:type="character" w:customStyle="1" w:styleId="314">
    <w:name w:val="icon_gys"/>
    <w:basedOn w:val="52"/>
    <w:qFormat/>
    <w:uiPriority w:val="0"/>
    <w:rPr>
      <w:sz w:val="21"/>
      <w:szCs w:val="21"/>
    </w:rPr>
  </w:style>
  <w:style w:type="paragraph" w:customStyle="1" w:styleId="315">
    <w:name w:val="黑体 五号"/>
    <w:basedOn w:val="1"/>
    <w:qFormat/>
    <w:uiPriority w:val="0"/>
    <w:pPr>
      <w:jc w:val="left"/>
    </w:pPr>
    <w:rPr>
      <w:rFonts w:ascii="黑体" w:hAnsi="黑体" w:eastAsia="黑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3DEEE6-1A73-4035-8A94-C37EEA5B9BF1}">
  <ds:schemaRefs/>
</ds:datastoreItem>
</file>

<file path=docProps/app.xml><?xml version="1.0" encoding="utf-8"?>
<Properties xmlns="http://schemas.openxmlformats.org/officeDocument/2006/extended-properties" xmlns:vt="http://schemas.openxmlformats.org/officeDocument/2006/docPropsVTypes">
  <Template>Normal</Template>
  <Company>河南招标采购服务有限公司</Company>
  <Pages>104</Pages>
  <Words>49597</Words>
  <Characters>55536</Characters>
  <Lines>418</Lines>
  <Paragraphs>117</Paragraphs>
  <TotalTime>20</TotalTime>
  <ScaleCrop>false</ScaleCrop>
  <LinksUpToDate>false</LinksUpToDate>
  <CharactersWithSpaces>58309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2023-05-26T00:49:00Z</dcterms:created>
  <dc:creator>刘阳</dc:creator>
  <cp:lastModifiedBy>代理机构</cp:lastModifiedBy>
  <cp:lastPrinted>2023-02-27T01:11:00Z</cp:lastPrinted>
  <dcterms:modified xsi:type="dcterms:W3CDTF">2023-08-23T03:16:50Z</dcterms:modified>
  <dc:title>（填写招标项目名称）</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C734BA4AF2744F95BFD6B72623A6D8A4_13</vt:lpwstr>
  </property>
</Properties>
</file>