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highlight w:val="red"/>
        </w:rPr>
      </w:pPr>
      <w:bookmarkStart w:id="0" w:name="EBb46fd0463b5c4fa194678f835053836e"/>
    </w:p>
    <w:p>
      <w:pPr>
        <w:pStyle w:val="23"/>
        <w:jc w:val="center"/>
        <w:rPr>
          <w:rFonts w:ascii="仿宋_GB2312" w:hAnsi="仿宋_GB2312" w:eastAsia="仿宋_GB2312" w:cs="仿宋_GB2312"/>
          <w:b/>
          <w:bCs/>
          <w:spacing w:val="14"/>
          <w:sz w:val="52"/>
          <w:szCs w:val="52"/>
        </w:rPr>
      </w:pPr>
      <w:r>
        <w:rPr>
          <w:rFonts w:hint="eastAsia" w:ascii="仿宋_GB2312" w:hAnsi="仿宋_GB2312" w:eastAsia="仿宋_GB2312" w:cs="仿宋_GB2312"/>
          <w:b/>
          <w:bCs/>
          <w:spacing w:val="14"/>
          <w:sz w:val="52"/>
          <w:szCs w:val="52"/>
        </w:rPr>
        <w:t>河南科技大学图书馆2023年图书、期刊采购项目</w:t>
      </w:r>
    </w:p>
    <w:p>
      <w:pPr>
        <w:pStyle w:val="23"/>
        <w:jc w:val="center"/>
        <w:rPr>
          <w:rFonts w:ascii="仿宋_GB2312" w:hAnsi="仿宋_GB2312" w:eastAsia="仿宋_GB2312" w:cs="仿宋_GB2312"/>
          <w:spacing w:val="14"/>
          <w:szCs w:val="21"/>
        </w:rPr>
      </w:pPr>
    </w:p>
    <w:p>
      <w:pPr>
        <w:pStyle w:val="28"/>
        <w:rPr>
          <w:rFonts w:ascii="仿宋_GB2312" w:hAnsi="仿宋_GB2312" w:eastAsia="仿宋_GB2312" w:cs="仿宋_GB2312"/>
        </w:rPr>
      </w:pPr>
    </w:p>
    <w:p>
      <w:pPr>
        <w:pStyle w:val="23"/>
        <w:jc w:val="center"/>
        <w:rPr>
          <w:rFonts w:ascii="仿宋_GB2312" w:hAnsi="仿宋_GB2312" w:eastAsia="仿宋_GB2312" w:cs="仿宋_GB2312"/>
          <w:b/>
          <w:bCs/>
          <w:spacing w:val="14"/>
          <w:sz w:val="72"/>
          <w:szCs w:val="72"/>
        </w:rPr>
      </w:pPr>
      <w:r>
        <w:rPr>
          <w:rFonts w:hint="eastAsia" w:ascii="仿宋_GB2312" w:hAnsi="仿宋_GB2312" w:eastAsia="仿宋_GB2312" w:cs="仿宋_GB2312"/>
          <w:b/>
          <w:bCs/>
          <w:spacing w:val="14"/>
          <w:sz w:val="72"/>
          <w:szCs w:val="72"/>
        </w:rPr>
        <w:t>竞争性磋商文件</w:t>
      </w:r>
    </w:p>
    <w:p>
      <w:pPr>
        <w:pStyle w:val="23"/>
        <w:spacing w:line="360" w:lineRule="auto"/>
        <w:ind w:firstLine="0"/>
        <w:jc w:val="center"/>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rPr>
        <w:t>项目编号:豫财磋商采购-2023-527</w:t>
      </w:r>
    </w:p>
    <w:p>
      <w:pPr>
        <w:pStyle w:val="23"/>
        <w:ind w:firstLine="0"/>
        <w:jc w:val="center"/>
        <w:rPr>
          <w:rFonts w:ascii="仿宋_GB2312" w:hAnsi="仿宋_GB2312" w:eastAsia="仿宋_GB2312" w:cs="仿宋_GB2312"/>
          <w:spacing w:val="14"/>
          <w:sz w:val="28"/>
          <w:szCs w:val="28"/>
        </w:rPr>
      </w:pPr>
    </w:p>
    <w:p>
      <w:pPr>
        <w:pStyle w:val="24"/>
        <w:jc w:val="center"/>
        <w:rPr>
          <w:rFonts w:ascii="仿宋_GB2312" w:hAnsi="仿宋_GB2312" w:eastAsia="仿宋_GB2312" w:cs="仿宋_GB2312"/>
          <w:spacing w:val="14"/>
          <w:sz w:val="28"/>
          <w:szCs w:val="28"/>
        </w:rPr>
      </w:pPr>
      <w:r>
        <w:rPr>
          <w:rFonts w:hint="eastAsia" w:ascii="仿宋_GB2312" w:hAnsi="仿宋_GB2312" w:eastAsia="仿宋_GB2312" w:cs="仿宋_GB2312"/>
          <w:b/>
          <w:bCs/>
          <w:szCs w:val="28"/>
          <w:highlight w:val="none"/>
        </w:rPr>
        <w:drawing>
          <wp:inline distT="0" distB="0" distL="114300" distR="114300">
            <wp:extent cx="2400300" cy="2095500"/>
            <wp:effectExtent l="0" t="0" r="0" b="0"/>
            <wp:docPr id="1" name="图片 1"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祥顺logo"/>
                    <pic:cNvPicPr>
                      <a:picLocks noChangeAspect="1"/>
                    </pic:cNvPicPr>
                  </pic:nvPicPr>
                  <pic:blipFill>
                    <a:blip r:embed="rId9"/>
                    <a:srcRect l="9578" t="10725" r="12900" b="21596"/>
                    <a:stretch>
                      <a:fillRect/>
                    </a:stretch>
                  </pic:blipFill>
                  <pic:spPr>
                    <a:xfrm>
                      <a:off x="0" y="0"/>
                      <a:ext cx="2400300" cy="2095500"/>
                    </a:xfrm>
                    <a:prstGeom prst="rect">
                      <a:avLst/>
                    </a:prstGeom>
                    <a:noFill/>
                    <a:ln>
                      <a:noFill/>
                    </a:ln>
                  </pic:spPr>
                </pic:pic>
              </a:graphicData>
            </a:graphic>
          </wp:inline>
        </w:drawing>
      </w:r>
    </w:p>
    <w:p>
      <w:pPr>
        <w:pStyle w:val="27"/>
      </w:pPr>
    </w:p>
    <w:p>
      <w:pPr>
        <w:pStyle w:val="23"/>
        <w:spacing w:line="360" w:lineRule="auto"/>
        <w:ind w:firstLine="0"/>
        <w:jc w:val="center"/>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rPr>
        <w:t>采购人：河南科技大学</w:t>
      </w:r>
    </w:p>
    <w:p>
      <w:pPr>
        <w:pStyle w:val="23"/>
        <w:spacing w:line="360" w:lineRule="auto"/>
        <w:ind w:firstLine="0"/>
        <w:jc w:val="center"/>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rPr>
        <w:t>采购代理机构：中诚祥顺工程管理咨询有限公司</w:t>
      </w:r>
    </w:p>
    <w:p>
      <w:pPr>
        <w:pStyle w:val="23"/>
        <w:spacing w:line="360" w:lineRule="auto"/>
        <w:ind w:firstLine="0"/>
        <w:jc w:val="center"/>
        <w:rPr>
          <w:rFonts w:hint="eastAsia" w:ascii="仿宋_GB2312" w:hAnsi="仿宋_GB2312" w:eastAsia="仿宋_GB2312" w:cs="仿宋_GB2312"/>
          <w:b/>
          <w:bCs/>
          <w:spacing w:val="14"/>
          <w:sz w:val="32"/>
          <w:szCs w:val="32"/>
        </w:rPr>
      </w:pPr>
      <w:r>
        <w:rPr>
          <w:rFonts w:hint="eastAsia" w:ascii="仿宋_GB2312" w:hAnsi="仿宋_GB2312" w:eastAsia="仿宋_GB2312" w:cs="仿宋_GB2312"/>
          <w:b/>
          <w:bCs/>
          <w:spacing w:val="14"/>
          <w:sz w:val="32"/>
          <w:szCs w:val="32"/>
        </w:rPr>
        <w:t>日期：二〇二三年八月</w:t>
      </w:r>
    </w:p>
    <w:p>
      <w:pPr>
        <w:pStyle w:val="28"/>
        <w:rPr>
          <w:rFonts w:ascii="仿宋_GB2312" w:hAnsi="仿宋_GB2312" w:eastAsia="仿宋_GB2312" w:cs="仿宋_GB2312"/>
        </w:rPr>
      </w:pPr>
    </w:p>
    <w:p>
      <w:pPr>
        <w:pStyle w:val="28"/>
        <w:rPr>
          <w:rFonts w:ascii="仿宋_GB2312" w:hAnsi="仿宋_GB2312" w:eastAsia="仿宋_GB2312" w:cs="仿宋_GB2312"/>
        </w:rPr>
      </w:pPr>
    </w:p>
    <w:p>
      <w:pPr>
        <w:pStyle w:val="28"/>
        <w:spacing w:line="360" w:lineRule="auto"/>
        <w:jc w:val="center"/>
        <w:rPr>
          <w:rFonts w:ascii="仿宋_GB2312" w:hAnsi="仿宋_GB2312" w:eastAsia="仿宋_GB2312" w:cs="仿宋_GB2312"/>
          <w:b/>
          <w:bCs/>
          <w:sz w:val="48"/>
          <w:szCs w:val="48"/>
        </w:rPr>
      </w:pPr>
      <w:r>
        <w:rPr>
          <w:rFonts w:hint="eastAsia" w:ascii="仿宋_GB2312" w:hAnsi="仿宋_GB2312" w:eastAsia="仿宋_GB2312" w:cs="仿宋_GB2312"/>
          <w:b/>
          <w:bCs/>
          <w:sz w:val="48"/>
          <w:szCs w:val="48"/>
        </w:rPr>
        <w:br w:type="page"/>
      </w:r>
      <w:r>
        <w:rPr>
          <w:rFonts w:hint="eastAsia" w:ascii="仿宋_GB2312" w:hAnsi="仿宋_GB2312" w:eastAsia="仿宋_GB2312" w:cs="仿宋_GB2312"/>
          <w:b/>
          <w:bCs/>
          <w:sz w:val="48"/>
          <w:szCs w:val="48"/>
        </w:rPr>
        <w:t>目  录</w:t>
      </w:r>
    </w:p>
    <w:p>
      <w:pPr>
        <w:pStyle w:val="12"/>
        <w:tabs>
          <w:tab w:val="right" w:leader="dot" w:pos="9231"/>
        </w:tabs>
        <w:spacing w:line="480" w:lineRule="auto"/>
        <w:rPr>
          <w:rFonts w:ascii="仿宋_GB2312" w:hAnsi="仿宋_GB2312" w:eastAsia="仿宋_GB2312" w:cs="仿宋_GB2312"/>
          <w:sz w:val="32"/>
          <w:szCs w:val="36"/>
        </w:rPr>
      </w:pP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TOC \o "1-1" \h \u </w:instrText>
      </w:r>
      <w:r>
        <w:rPr>
          <w:rFonts w:hint="eastAsia" w:ascii="仿宋_GB2312" w:hAnsi="仿宋_GB2312" w:eastAsia="仿宋_GB2312" w:cs="仿宋_GB2312"/>
          <w:sz w:val="32"/>
          <w:szCs w:val="36"/>
        </w:rPr>
        <w:fldChar w:fldCharType="separate"/>
      </w:r>
      <w:r>
        <w:fldChar w:fldCharType="begin"/>
      </w:r>
      <w:r>
        <w:instrText xml:space="preserve"> HYPERLINK \l "_Toc256000001" </w:instrText>
      </w:r>
      <w:r>
        <w:fldChar w:fldCharType="separate"/>
      </w:r>
      <w:r>
        <w:rPr>
          <w:rFonts w:hint="eastAsia" w:ascii="仿宋_GB2312" w:hAnsi="仿宋_GB2312" w:eastAsia="仿宋_GB2312" w:cs="仿宋_GB2312"/>
          <w:sz w:val="32"/>
          <w:szCs w:val="36"/>
        </w:rPr>
        <w:t>第一章  采购公告</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_Toc256000001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6</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32"/>
          <w:szCs w:val="36"/>
        </w:rPr>
      </w:pPr>
      <w:r>
        <w:fldChar w:fldCharType="begin"/>
      </w:r>
      <w:r>
        <w:instrText xml:space="preserve"> HYPERLINK \l "_Toc256000002" </w:instrText>
      </w:r>
      <w:r>
        <w:fldChar w:fldCharType="separate"/>
      </w:r>
      <w:r>
        <w:rPr>
          <w:rFonts w:hint="eastAsia" w:ascii="仿宋_GB2312" w:hAnsi="仿宋_GB2312" w:eastAsia="仿宋_GB2312" w:cs="仿宋_GB2312"/>
          <w:sz w:val="32"/>
          <w:szCs w:val="36"/>
        </w:rPr>
        <w:t>第二章  供应商须知</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_Toc256000002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10</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32"/>
          <w:szCs w:val="36"/>
        </w:rPr>
      </w:pPr>
      <w:r>
        <w:fldChar w:fldCharType="begin"/>
      </w:r>
      <w:r>
        <w:instrText xml:space="preserve"> HYPERLINK \l "_Toc256000003" </w:instrText>
      </w:r>
      <w:r>
        <w:fldChar w:fldCharType="separate"/>
      </w:r>
      <w:r>
        <w:rPr>
          <w:rFonts w:hint="eastAsia" w:ascii="仿宋_GB2312" w:hAnsi="仿宋_GB2312" w:eastAsia="仿宋_GB2312" w:cs="仿宋_GB2312"/>
          <w:sz w:val="32"/>
          <w:szCs w:val="36"/>
        </w:rPr>
        <w:t>第三章  采购需求</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_Toc256000003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29</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32"/>
          <w:szCs w:val="36"/>
        </w:rPr>
      </w:pPr>
      <w:r>
        <w:fldChar w:fldCharType="begin"/>
      </w:r>
      <w:r>
        <w:instrText xml:space="preserve"> HYPERLINK \l "_Toc256000004" </w:instrText>
      </w:r>
      <w:r>
        <w:fldChar w:fldCharType="separate"/>
      </w:r>
      <w:r>
        <w:rPr>
          <w:rFonts w:hint="eastAsia" w:ascii="仿宋_GB2312" w:hAnsi="仿宋_GB2312" w:eastAsia="仿宋_GB2312" w:cs="仿宋_GB2312"/>
          <w:sz w:val="32"/>
          <w:szCs w:val="36"/>
        </w:rPr>
        <w:t>第四章  合 同(样本)</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_Toc256000004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37</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32"/>
          <w:szCs w:val="36"/>
        </w:rPr>
      </w:pPr>
      <w:r>
        <w:fldChar w:fldCharType="begin"/>
      </w:r>
      <w:r>
        <w:instrText xml:space="preserve"> HYPERLINK \l "_Toc256000005" </w:instrText>
      </w:r>
      <w:r>
        <w:fldChar w:fldCharType="separate"/>
      </w:r>
      <w:r>
        <w:rPr>
          <w:rFonts w:hint="eastAsia" w:ascii="仿宋_GB2312" w:hAnsi="仿宋_GB2312" w:eastAsia="仿宋_GB2312" w:cs="仿宋_GB2312"/>
          <w:sz w:val="32"/>
          <w:szCs w:val="36"/>
        </w:rPr>
        <w:t>第五章  资格审查与评审办法</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_Toc256000005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58</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32"/>
          <w:szCs w:val="36"/>
        </w:rPr>
      </w:pPr>
      <w:r>
        <w:fldChar w:fldCharType="begin"/>
      </w:r>
      <w:r>
        <w:instrText xml:space="preserve"> HYPERLINK \l "_Toc256000006" </w:instrText>
      </w:r>
      <w:r>
        <w:fldChar w:fldCharType="separate"/>
      </w:r>
      <w:r>
        <w:rPr>
          <w:rFonts w:hint="eastAsia" w:ascii="仿宋_GB2312" w:hAnsi="仿宋_GB2312" w:eastAsia="仿宋_GB2312" w:cs="仿宋_GB2312"/>
          <w:sz w:val="32"/>
          <w:szCs w:val="36"/>
        </w:rPr>
        <w:t>第六章  资格审查与评审标准</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_Toc256000006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62</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32"/>
          <w:szCs w:val="36"/>
        </w:rPr>
      </w:pPr>
      <w:r>
        <w:fldChar w:fldCharType="begin"/>
      </w:r>
      <w:r>
        <w:instrText xml:space="preserve"> HYPERLINK \l "_Toc256000007" </w:instrText>
      </w:r>
      <w:r>
        <w:fldChar w:fldCharType="separate"/>
      </w:r>
      <w:r>
        <w:rPr>
          <w:rFonts w:hint="eastAsia" w:ascii="仿宋_GB2312" w:hAnsi="仿宋_GB2312" w:eastAsia="仿宋_GB2312" w:cs="仿宋_GB2312"/>
          <w:sz w:val="32"/>
          <w:szCs w:val="36"/>
        </w:rPr>
        <w:t>第七章  投标文件格式</w:t>
      </w:r>
      <w:r>
        <w:rPr>
          <w:rFonts w:hint="eastAsia" w:ascii="仿宋_GB2312" w:hAnsi="仿宋_GB2312" w:eastAsia="仿宋_GB2312" w:cs="仿宋_GB2312"/>
          <w:sz w:val="32"/>
          <w:szCs w:val="36"/>
        </w:rPr>
        <w:tab/>
      </w:r>
      <w:r>
        <w:rPr>
          <w:rFonts w:hint="eastAsia" w:ascii="仿宋_GB2312" w:hAnsi="仿宋_GB2312" w:eastAsia="仿宋_GB2312" w:cs="仿宋_GB2312"/>
          <w:sz w:val="32"/>
          <w:szCs w:val="36"/>
        </w:rPr>
        <w:fldChar w:fldCharType="begin"/>
      </w:r>
      <w:r>
        <w:rPr>
          <w:rFonts w:hint="eastAsia" w:ascii="仿宋_GB2312" w:hAnsi="仿宋_GB2312" w:eastAsia="仿宋_GB2312" w:cs="仿宋_GB2312"/>
          <w:sz w:val="32"/>
          <w:szCs w:val="36"/>
        </w:rPr>
        <w:instrText xml:space="preserve"> PAGEREF _Toc256000007 \h </w:instrText>
      </w:r>
      <w:r>
        <w:rPr>
          <w:rFonts w:hint="eastAsia" w:ascii="仿宋_GB2312" w:hAnsi="仿宋_GB2312" w:eastAsia="仿宋_GB2312" w:cs="仿宋_GB2312"/>
          <w:sz w:val="32"/>
          <w:szCs w:val="36"/>
        </w:rPr>
        <w:fldChar w:fldCharType="separate"/>
      </w:r>
      <w:r>
        <w:rPr>
          <w:rFonts w:hint="eastAsia" w:ascii="仿宋_GB2312" w:hAnsi="仿宋_GB2312" w:eastAsia="仿宋_GB2312" w:cs="仿宋_GB2312"/>
          <w:sz w:val="32"/>
          <w:szCs w:val="36"/>
        </w:rPr>
        <w:t>67</w:t>
      </w:r>
      <w:r>
        <w:rPr>
          <w:rFonts w:hint="eastAsia" w:ascii="仿宋_GB2312" w:hAnsi="仿宋_GB2312" w:eastAsia="仿宋_GB2312" w:cs="仿宋_GB2312"/>
          <w:sz w:val="32"/>
          <w:szCs w:val="36"/>
        </w:rPr>
        <w:fldChar w:fldCharType="end"/>
      </w:r>
      <w:r>
        <w:rPr>
          <w:rFonts w:hint="eastAsia" w:ascii="仿宋_GB2312" w:hAnsi="仿宋_GB2312" w:eastAsia="仿宋_GB2312" w:cs="仿宋_GB2312"/>
          <w:sz w:val="32"/>
          <w:szCs w:val="36"/>
        </w:rPr>
        <w:fldChar w:fldCharType="end"/>
      </w:r>
    </w:p>
    <w:p>
      <w:pPr>
        <w:pStyle w:val="12"/>
        <w:tabs>
          <w:tab w:val="right" w:leader="dot" w:pos="9231"/>
        </w:tabs>
        <w:spacing w:line="480" w:lineRule="auto"/>
        <w:rPr>
          <w:rFonts w:ascii="仿宋_GB2312" w:hAnsi="仿宋_GB2312" w:eastAsia="仿宋_GB2312" w:cs="仿宋_GB2312"/>
          <w:sz w:val="24"/>
          <w:szCs w:val="24"/>
        </w:rPr>
      </w:pPr>
      <w:r>
        <w:rPr>
          <w:rFonts w:hint="eastAsia" w:ascii="仿宋_GB2312" w:hAnsi="仿宋_GB2312" w:eastAsia="仿宋_GB2312" w:cs="仿宋_GB2312"/>
          <w:sz w:val="32"/>
          <w:szCs w:val="36"/>
        </w:rPr>
        <w:fldChar w:fldCharType="end"/>
      </w:r>
    </w:p>
    <w:p>
      <w:pPr>
        <w:pStyle w:val="28"/>
        <w:spacing w:line="5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投标供应商应注意的事项</w:t>
      </w:r>
    </w:p>
    <w:p>
      <w:pPr>
        <w:pStyle w:val="23"/>
        <w:rPr>
          <w:rFonts w:ascii="仿宋_GB2312" w:hAnsi="仿宋_GB2312" w:eastAsia="仿宋_GB2312" w:cs="仿宋_GB2312"/>
          <w:b/>
          <w:spacing w:val="11"/>
          <w:sz w:val="24"/>
          <w:szCs w:val="24"/>
        </w:rPr>
      </w:pPr>
      <w:r>
        <w:rPr>
          <w:rFonts w:hint="eastAsia" w:ascii="仿宋_GB2312" w:hAnsi="仿宋_GB2312" w:eastAsia="仿宋_GB2312" w:cs="仿宋_GB2312"/>
          <w:b/>
          <w:spacing w:val="11"/>
          <w:sz w:val="24"/>
          <w:szCs w:val="24"/>
        </w:rPr>
        <w:t>1、响应文件的制作</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1.1供应商登录“洛阳市公共资源交易中心”网站，按要求下载“新点投标文件制作软件”。</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1.2供应商凭CA锁登录，并按网上提示自行下载磋商文件。使用“新点投标文件制作软件”按要求制作电子响应文件。供应商在制作电子响应文件时，应按要求进行电子签章。供应商编辑电子响应文件时，根据磋商文件要求用法定代表人CA锁和企业CA锁进行签章制作；最后一步生成电子响应文件（*.lytf格式和*.nlytf格式）时，只能用本单位的企业CA锁。联合体投标的，响应文件由联合体牵头人按上述规定进行签章。</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1.3加密的电子响应文件为“洛阳市公共资源交易中心”网站提供的“新点投标文件制作软件”制作生成的加密版响应文件。未加密的电子响应文件应与加密的电子响应文件为同时生成的版本。</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1.4响应文件格式所要求包含的全部资料应全部制作在响应文件内，严格按照本项目响应文件所有格式如实填写（不涉及的内容除外），不应存在漏项或缺项，否则将存在响应被否决的风险。</w:t>
      </w:r>
    </w:p>
    <w:p>
      <w:pPr>
        <w:pStyle w:val="23"/>
        <w:rPr>
          <w:rFonts w:ascii="仿宋_GB2312" w:hAnsi="仿宋_GB2312" w:eastAsia="仿宋_GB2312" w:cs="仿宋_GB2312"/>
          <w:spacing w:val="11"/>
          <w:szCs w:val="21"/>
        </w:rPr>
      </w:pPr>
      <w:r>
        <w:rPr>
          <w:rFonts w:hint="eastAsia" w:ascii="仿宋_GB2312" w:hAnsi="仿宋_GB2312" w:eastAsia="仿宋_GB2312" w:cs="仿宋_GB2312"/>
          <w:spacing w:val="11"/>
          <w:sz w:val="21"/>
          <w:szCs w:val="21"/>
        </w:rPr>
        <w:t>1.5响应文件所附证明材料均为原件的扫描件（或照片），尺寸和清晰度应该能够在电脑上被阅读、识别和判断；若供应商未按要求提供证明材料或提供不清晰的扫描件（或照片）的，磋商小组有权认定其响应文件未对磋商文件有关要求进行响应，涉及资格性审查或符合性审查的将不予通过。</w:t>
      </w:r>
    </w:p>
    <w:p>
      <w:pPr>
        <w:pStyle w:val="23"/>
        <w:rPr>
          <w:rFonts w:ascii="仿宋_GB2312" w:hAnsi="仿宋_GB2312" w:eastAsia="仿宋_GB2312" w:cs="仿宋_GB2312"/>
          <w:b/>
          <w:spacing w:val="11"/>
          <w:sz w:val="24"/>
          <w:szCs w:val="24"/>
        </w:rPr>
      </w:pPr>
      <w:r>
        <w:rPr>
          <w:rFonts w:hint="eastAsia" w:ascii="仿宋_GB2312" w:hAnsi="仿宋_GB2312" w:eastAsia="仿宋_GB2312" w:cs="仿宋_GB2312"/>
          <w:b/>
          <w:spacing w:val="11"/>
          <w:sz w:val="24"/>
          <w:szCs w:val="24"/>
        </w:rPr>
        <w:t>2、响应文件的提交</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2.1除电子响应文件外，不再接受任何纸质文件、资料等。</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2.2供应商应在提交响应文件截止时间前上传加密的电子响应文件（*.lytf）到洛阳市电子招投标交易平台指定位置。上传时供应商须使用制作该响应文件的同一CA锁进行上传操作。请供应商在上传时认真检查上传响应文件是否完整、正确。供应商应充分考虑上传文件时的不可预见因素，未在提交响应文件截止时间前完成上传的，视为逾期送达，洛阳市电子招投标交易平台将拒绝接收。上传成功后将得到上传成功的确认。</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2.3供应商因洛阳市电子招投标交易平台问题无法上传电子响应文件时，请在工作时间与交易中心联系。</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2.4（此条款仅适用于现场磋商的项目）未加密的电子响应文件1份（*.nlytf格式）（U盘介质），密封包装，注明项目名称，并在封套上加盖供应商单位公章或由供应商的法定代表人（单位负责人）或其授权的代理人签字。</w:t>
      </w:r>
    </w:p>
    <w:p>
      <w:pPr>
        <w:pStyle w:val="23"/>
        <w:rPr>
          <w:rFonts w:ascii="仿宋_GB2312" w:hAnsi="仿宋_GB2312" w:eastAsia="仿宋_GB2312" w:cs="仿宋_GB2312"/>
          <w:b/>
          <w:spacing w:val="11"/>
          <w:sz w:val="24"/>
          <w:szCs w:val="24"/>
        </w:rPr>
      </w:pPr>
      <w:r>
        <w:rPr>
          <w:rFonts w:hint="eastAsia" w:ascii="仿宋_GB2312" w:hAnsi="仿宋_GB2312" w:eastAsia="仿宋_GB2312" w:cs="仿宋_GB2312"/>
          <w:b/>
          <w:spacing w:val="11"/>
          <w:sz w:val="24"/>
          <w:szCs w:val="24"/>
        </w:rPr>
        <w:t>3. 磋商文件的澄清、修改</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3.1磋商文件的澄清、修改将在河南省政府采购网（www.hngp.gov.cn）和洛阳市公共资源交易中心网站（www.lyggzyjy.cn）上发布“变更公告”，如需修改磋商文件，则同时在洛阳市电子招投标交易平台发布“答疑文件”（答疑文件指修改后最新的磋商文件）。对于各项目中已经成功报名并下载磋商文件的供应商，将通过第三方短信群发方式提醒供应商进行查询。各供应商须重新下载最新的“答疑文件”，并以此编制响应文件。如不以最新发布的“答疑文件”编制响应文件，造成响应无效的后果由供应商自己承担。</w:t>
      </w:r>
    </w:p>
    <w:p>
      <w:pPr>
        <w:pStyle w:val="23"/>
        <w:rPr>
          <w:rFonts w:ascii="仿宋_GB2312" w:hAnsi="仿宋_GB2312" w:eastAsia="仿宋_GB2312" w:cs="仿宋_GB2312"/>
          <w:spacing w:val="11"/>
          <w:szCs w:val="21"/>
        </w:rPr>
      </w:pPr>
      <w:r>
        <w:rPr>
          <w:rFonts w:hint="eastAsia" w:ascii="仿宋_GB2312" w:hAnsi="仿宋_GB2312" w:eastAsia="仿宋_GB2312" w:cs="仿宋_GB2312"/>
          <w:spacing w:val="11"/>
          <w:sz w:val="21"/>
          <w:szCs w:val="21"/>
        </w:rPr>
        <w:t>3.2因洛阳市电子招投标交易平台在开标前具有保密性，供应商在响应文件递交截止时间前须自行查看项目进展、变更通知、澄清及回复，因供应商未及时查看而造成的后果自负。</w:t>
      </w:r>
    </w:p>
    <w:p>
      <w:pPr>
        <w:pStyle w:val="23"/>
        <w:rPr>
          <w:rFonts w:ascii="仿宋_GB2312" w:hAnsi="仿宋_GB2312" w:eastAsia="仿宋_GB2312" w:cs="仿宋_GB2312"/>
          <w:b/>
          <w:spacing w:val="11"/>
          <w:sz w:val="24"/>
          <w:szCs w:val="24"/>
        </w:rPr>
      </w:pPr>
      <w:r>
        <w:rPr>
          <w:rFonts w:hint="eastAsia" w:ascii="仿宋_GB2312" w:hAnsi="仿宋_GB2312" w:eastAsia="仿宋_GB2312" w:cs="仿宋_GB2312"/>
          <w:b/>
          <w:spacing w:val="11"/>
          <w:sz w:val="24"/>
          <w:szCs w:val="24"/>
        </w:rPr>
        <w:t>4、磋商开启</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4.2.1 采购人在磋商文件规定的时间和地点开启磋商活动，供应商授权代表应携带企业CA锁参加。</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4.2.2（此条款仅适用于现场磋商的项目）采购代理机构将会同供应商代表检查自己的未加密的电子响应文件的密封情况。</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4.2.3各供应商应在规定时间内对本单位的响应文件解密。</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4.2.4（此条款仅适用于现场磋商的项目）如供应商现场解密失败，供应商应使用未加密的电子响应文件。</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4.2.5（此条款仅适用于现场磋商的项目）磋商开启前没有提交未加密的电子响应文件，视同放弃使用未加密的电子响应文件磋商。未加密的响应文件现场无法成功上传的，响应无效。</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4.2.6（此条款仅适用于现场磋商的项目）未加密的电子响应文件仅仅作为网上提交的加密的电子响应文件在特殊情况下才启用的备份资料。没有提交网上加密电子响应文件，仅提交未加密电子响应文件的，响应无效。</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5、为便于供应商（供应商）制作投标（响应）文件，本投标（响应）文件格式所列招标投标的主体称呼及专业术语，也适用于政府采购非招标方式（竞争性谈判、竞争性磋商、询价）对应的主体称呼及专业术语。</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6、供应商《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7、采购代理机构有权将《报价明细表》、《参与评审打分的证书（证件）一览表》及《参与评审打分的合同业绩一览表》内容进行公示。</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8、（此条款仅适用于远程不见面交易的项目）本项目采用远程不见面交易的模式。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8.1 供应商应当在招标文件（磋商文件、磋商文件、询价通知书）确定的投标截止时间前，登录到 洛阳市电子招投标交易平台（http://www.lyggzyjy.cn/TPBidder），点击右上方【不见面开标大厅】按 钮进入，在线准时参加开标活动并进行文件解密、答疑澄清等。供应商应在开标当天及时关注本单位的 情况，如遇问题，请拨打技术服务单位（国泰新点）电话：4009980000。</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8.2 供应商应认真学习洛阳市公共资源交易中心网站发布的《洛阳市公共资源交易中心不见面开标 大厅操作手册（投标人）》，根据手册要求做好不见面开标的准备工作，否则由此引起的未能解密、解密 失败或解密超时的将被拒绝。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8.3 供应商应在解密时间内插入CA 锁，输入密码，进行解密。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8.4 采购人及采购代理机构在招标文件（磋商文件、磋商文件、询价通知书）规定的时间及地点开 标。投标人（供应商）无需到达开标现场，但在开评标期间，投标人（供应商）的法定代表人或其授权委托人应参与远程交互，中途不得更换，在废标、澄清、提疑、传送文件、最后报价等特殊情况下需要交互时，投标人（供应商）一端参与交互的人员将均被视为是投标人（供应商）的法定代表人或其授权委托人，投标人（供应商）不得以不承认交互人员的资格或身份等为借口抵赖推脱，供应商自行承担随意更换人员或未按要求参与交互所导致的一切后果。 供应商超时交互，由此产生的不利于供应商的评审风险由投标供应商自行承担。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9、开标前，供应商务必在洛阳市电子招投标交易平台（www.lyggzyjy.cn/TPBidder）投标文件上传 模块中使用“模拟解密”功能，验证自助解密环境。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10、当出现以下情况时，应对未开标的中止电子开标，对原有资料及信息作出妥善保密处理，并在恢复正常后及时安排时间开标：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（1）系统服务器发生故障，无法访问或无法使用系统；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（2）系统的软件或数据库出现错误，不能进行正常操作；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（3）系统发现有安全漏洞，有潜在的泄密危险； </w:t>
      </w:r>
    </w:p>
    <w:p>
      <w:pPr>
        <w:pStyle w:val="23"/>
        <w:rPr>
          <w:rFonts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 xml:space="preserve">（4）出现断电事故且短时间内无法恢复供电； </w:t>
      </w:r>
    </w:p>
    <w:p>
      <w:pPr>
        <w:pStyle w:val="23"/>
        <w:rPr>
          <w:rFonts w:ascii="仿宋_GB2312" w:hAnsi="仿宋_GB2312" w:eastAsia="仿宋_GB2312" w:cs="仿宋_GB2312"/>
          <w:spacing w:val="11"/>
          <w:szCs w:val="21"/>
        </w:rPr>
      </w:pPr>
      <w:r>
        <w:rPr>
          <w:rFonts w:hint="eastAsia" w:ascii="仿宋_GB2312" w:hAnsi="仿宋_GB2312" w:eastAsia="仿宋_GB2312" w:cs="仿宋_GB2312"/>
          <w:spacing w:val="11"/>
          <w:sz w:val="21"/>
          <w:szCs w:val="21"/>
        </w:rPr>
        <w:t>（5）其他无法保证招投标过程正常进行的情形。</w:t>
      </w:r>
    </w:p>
    <w:p>
      <w:pPr>
        <w:rPr>
          <w:rFonts w:ascii="仿宋_GB2312" w:hAnsi="仿宋_GB2312" w:eastAsia="仿宋_GB2312" w:cs="仿宋_GB2312"/>
          <w:highlight w:val="white"/>
        </w:rPr>
      </w:pPr>
      <w:r>
        <w:rPr>
          <w:rFonts w:hint="eastAsia" w:ascii="仿宋_GB2312" w:hAnsi="仿宋_GB2312" w:eastAsia="仿宋_GB2312" w:cs="仿宋_GB2312"/>
          <w:highlight w:val="white"/>
        </w:rPr>
        <w:t xml:space="preserve"> </w:t>
      </w:r>
      <w:bookmarkEnd w:id="0"/>
    </w:p>
    <w:p>
      <w:pPr>
        <w:pStyle w:val="30"/>
        <w:ind w:firstLine="0"/>
        <w:rPr>
          <w:rFonts w:ascii="仿宋_GB2312" w:hAnsi="仿宋_GB2312" w:eastAsia="仿宋_GB2312" w:cs="仿宋_GB2312"/>
          <w:spacing w:val="14"/>
          <w:szCs w:val="21"/>
        </w:rPr>
      </w:pPr>
    </w:p>
    <w:p>
      <w:pPr>
        <w:jc w:val="center"/>
        <w:rPr>
          <w:rFonts w:ascii="仿宋_GB2312" w:hAnsi="仿宋_GB2312" w:eastAsia="仿宋_GB2312" w:cs="仿宋_GB2312"/>
        </w:rPr>
      </w:pPr>
      <w:bookmarkStart w:id="1" w:name="_Toc256000009"/>
      <w:bookmarkStart w:id="2" w:name="_Toc256000000"/>
      <w:r>
        <w:rPr>
          <w:rFonts w:hint="eastAsia" w:ascii="仿宋_GB2312" w:hAnsi="仿宋_GB2312" w:eastAsia="仿宋_GB2312" w:cs="仿宋_GB2312"/>
          <w:szCs w:val="44"/>
          <w:highlight w:val="white"/>
        </w:rPr>
        <w:br w:type="page"/>
      </w:r>
      <w:bookmarkEnd w:id="1"/>
      <w:bookmarkEnd w:id="2"/>
      <w:bookmarkStart w:id="3" w:name="_Toc256000001"/>
      <w:bookmarkStart w:id="4" w:name="_Toc32327"/>
      <w:bookmarkStart w:id="5" w:name="_Toc256000010"/>
      <w:bookmarkStart w:id="6" w:name="EB27329096884745cf8a42d0e115149153"/>
      <w:r>
        <w:rPr>
          <w:rFonts w:hint="eastAsia" w:ascii="仿宋_GB2312" w:hAnsi="仿宋_GB2312" w:eastAsia="仿宋_GB2312" w:cs="仿宋_GB2312"/>
          <w:b/>
          <w:bCs/>
          <w:spacing w:val="14"/>
          <w:sz w:val="32"/>
          <w:szCs w:val="32"/>
        </w:rPr>
        <w:t>第一章  采购公告</w:t>
      </w:r>
      <w:bookmarkEnd w:id="3"/>
      <w:bookmarkEnd w:id="4"/>
      <w:bookmarkEnd w:id="5"/>
    </w:p>
    <w:p>
      <w:pPr>
        <w:pStyle w:val="31"/>
        <w:spacing w:line="500" w:lineRule="exact"/>
        <w:ind w:firstLine="418" w:firstLineChars="200"/>
        <w:rPr>
          <w:rFonts w:ascii="仿宋_GB2312" w:hAnsi="仿宋_GB2312" w:eastAsia="仿宋_GB2312" w:cs="仿宋_GB2312"/>
          <w:sz w:val="24"/>
          <w:szCs w:val="24"/>
        </w:rPr>
      </w:pPr>
      <w:bookmarkStart w:id="7" w:name="_Toc25634"/>
      <w:bookmarkStart w:id="8" w:name="_Toc1662589"/>
      <w:bookmarkStart w:id="9" w:name="_Toc504741947"/>
      <w:r>
        <w:rPr>
          <w:rFonts w:hint="eastAsia" w:ascii="仿宋_GB2312" w:hAnsi="仿宋_GB2312" w:eastAsia="仿宋_GB2312" w:cs="仿宋_GB2312"/>
          <w:sz w:val="24"/>
          <w:szCs w:val="24"/>
        </w:rPr>
        <w:t>项目概况：</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河南科技大学图书馆2023 年图书、期刊采购项目招标项目的潜在投标人应在洛阳市公共资源交易中心网站（lyggzyjy.ly.gov.cn）获取招标文件，并于2023年</w:t>
      </w:r>
      <w:r>
        <w:rPr>
          <w:rFonts w:hint="eastAsia" w:ascii="仿宋_GB2312" w:hAnsi="仿宋_GB2312" w:eastAsia="仿宋_GB2312" w:cs="仿宋_GB2312"/>
          <w:sz w:val="24"/>
          <w:szCs w:val="24"/>
          <w:lang w:val="en-US" w:eastAsia="zh-CN"/>
        </w:rPr>
        <w:t>09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06</w:t>
      </w:r>
      <w:r>
        <w:rPr>
          <w:rFonts w:hint="eastAsia" w:ascii="仿宋_GB2312" w:hAnsi="仿宋_GB2312" w:eastAsia="仿宋_GB2312" w:cs="仿宋_GB2312"/>
          <w:sz w:val="24"/>
          <w:szCs w:val="24"/>
        </w:rPr>
        <w:t>日09时05分（北京时间）前递交投标文件。</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pPr>
        <w:pStyle w:val="31"/>
        <w:spacing w:line="500" w:lineRule="exact"/>
        <w:ind w:firstLine="418" w:firstLineChars="200"/>
        <w:rPr>
          <w:rFonts w:ascii="仿宋_GB2312" w:hAnsi="仿宋_GB2312" w:eastAsia="仿宋_GB2312" w:cs="仿宋_GB2312"/>
          <w:sz w:val="24"/>
          <w:szCs w:val="24"/>
          <w:highlight w:val="yellow"/>
        </w:rPr>
      </w:pPr>
      <w:r>
        <w:rPr>
          <w:rFonts w:hint="eastAsia" w:ascii="仿宋_GB2312" w:hAnsi="仿宋_GB2312" w:eastAsia="仿宋_GB2312" w:cs="仿宋_GB2312"/>
          <w:sz w:val="24"/>
          <w:szCs w:val="24"/>
        </w:rPr>
        <w:t xml:space="preserve">1、项目编号：豫财磋商采购-2023-527                      </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2、项目名称：河南科技大学图书馆2023 年图书、期刊采购项目</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3、采购方式：竞争性磋商</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4、预算金额：3195000.00元</w:t>
      </w:r>
    </w:p>
    <w:p>
      <w:pPr>
        <w:pStyle w:val="31"/>
        <w:spacing w:line="500" w:lineRule="exact"/>
        <w:ind w:firstLine="627"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最高限价： 3195000.00元</w:t>
      </w:r>
    </w:p>
    <w:tbl>
      <w:tblPr>
        <w:tblStyle w:val="16"/>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3150"/>
        <w:gridCol w:w="2332"/>
        <w:gridCol w:w="1677"/>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vAlign w:val="center"/>
          </w:tcPr>
          <w:p>
            <w:pPr>
              <w:pStyle w:val="33"/>
              <w:spacing w:before="0" w:beforeAutospacing="0" w:after="0" w:afterAutospacing="0" w:line="5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150" w:type="dxa"/>
            <w:vAlign w:val="center"/>
          </w:tcPr>
          <w:p>
            <w:pPr>
              <w:pStyle w:val="33"/>
              <w:spacing w:before="0" w:beforeAutospacing="0" w:after="0" w:afterAutospacing="0" w:line="500" w:lineRule="exact"/>
              <w:ind w:firstLine="0" w:firstLineChars="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包号</w:t>
            </w:r>
          </w:p>
        </w:tc>
        <w:tc>
          <w:tcPr>
            <w:tcW w:w="2332" w:type="dxa"/>
            <w:vAlign w:val="center"/>
          </w:tcPr>
          <w:p>
            <w:pPr>
              <w:pStyle w:val="33"/>
              <w:spacing w:before="0" w:beforeAutospacing="0" w:after="0" w:afterAutospacing="0" w:line="500" w:lineRule="exact"/>
              <w:ind w:firstLine="0" w:firstLineChars="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包名称</w:t>
            </w:r>
          </w:p>
        </w:tc>
        <w:tc>
          <w:tcPr>
            <w:tcW w:w="1677" w:type="dxa"/>
            <w:vAlign w:val="center"/>
          </w:tcPr>
          <w:p>
            <w:pPr>
              <w:pStyle w:val="33"/>
              <w:spacing w:before="0" w:beforeAutospacing="0" w:after="0" w:afterAutospacing="0" w:line="5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包预算（元）</w:t>
            </w:r>
          </w:p>
        </w:tc>
        <w:tc>
          <w:tcPr>
            <w:tcW w:w="1773" w:type="dxa"/>
            <w:vAlign w:val="center"/>
          </w:tcPr>
          <w:p>
            <w:pPr>
              <w:pStyle w:val="33"/>
              <w:spacing w:before="0" w:beforeAutospacing="0" w:after="0" w:afterAutospacing="0" w:line="500" w:lineRule="exact"/>
              <w:ind w:firstLine="0" w:firstLineChars="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36"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3150"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洛直政采磋商(2023)0523号-1</w:t>
            </w:r>
          </w:p>
        </w:tc>
        <w:tc>
          <w:tcPr>
            <w:tcW w:w="2332" w:type="dxa"/>
            <w:shd w:val="clear" w:color="auto" w:fill="auto"/>
            <w:vAlign w:val="center"/>
          </w:tcPr>
          <w:p>
            <w:pPr>
              <w:pStyle w:val="34"/>
              <w:ind w:firstLine="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中文图书（自科1）</w:t>
            </w:r>
          </w:p>
        </w:tc>
        <w:tc>
          <w:tcPr>
            <w:tcW w:w="1677"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600000.00</w:t>
            </w:r>
          </w:p>
        </w:tc>
        <w:tc>
          <w:tcPr>
            <w:tcW w:w="1773"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3150" w:type="dxa"/>
            <w:shd w:val="clear" w:color="auto" w:fill="auto"/>
            <w:vAlign w:val="center"/>
          </w:tcPr>
          <w:p>
            <w:pPr>
              <w:pStyle w:val="31"/>
              <w:spacing w:before="139" w:beforeLines="30" w:after="139" w:afterLines="3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洛直政采磋商(2023)0523号-</w:t>
            </w:r>
            <w:r>
              <w:rPr>
                <w:rFonts w:hint="eastAsia" w:ascii="仿宋_GB2312" w:hAnsi="仿宋_GB2312" w:eastAsia="仿宋_GB2312" w:cs="仿宋_GB2312"/>
                <w:sz w:val="24"/>
                <w:szCs w:val="24"/>
                <w:highlight w:val="none"/>
                <w:lang w:val="en-US" w:eastAsia="zh-CN"/>
              </w:rPr>
              <w:t>2</w:t>
            </w:r>
          </w:p>
        </w:tc>
        <w:tc>
          <w:tcPr>
            <w:tcW w:w="2332" w:type="dxa"/>
            <w:shd w:val="clear" w:color="auto" w:fill="auto"/>
            <w:vAlign w:val="center"/>
          </w:tcPr>
          <w:p>
            <w:pPr>
              <w:pStyle w:val="34"/>
              <w:ind w:firstLine="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中文图书（自科2）</w:t>
            </w:r>
          </w:p>
        </w:tc>
        <w:tc>
          <w:tcPr>
            <w:tcW w:w="1677"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580000.00</w:t>
            </w:r>
          </w:p>
        </w:tc>
        <w:tc>
          <w:tcPr>
            <w:tcW w:w="1773"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3150" w:type="dxa"/>
            <w:shd w:val="clear" w:color="auto" w:fill="auto"/>
            <w:vAlign w:val="center"/>
          </w:tcPr>
          <w:p>
            <w:pPr>
              <w:pStyle w:val="31"/>
              <w:spacing w:before="139" w:beforeLines="30" w:after="139" w:afterLines="3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洛直政采磋商(2023)0523号-</w:t>
            </w:r>
            <w:r>
              <w:rPr>
                <w:rFonts w:hint="eastAsia" w:ascii="仿宋_GB2312" w:hAnsi="仿宋_GB2312" w:eastAsia="仿宋_GB2312" w:cs="仿宋_GB2312"/>
                <w:sz w:val="24"/>
                <w:szCs w:val="24"/>
                <w:highlight w:val="none"/>
                <w:lang w:val="en-US" w:eastAsia="zh-CN"/>
              </w:rPr>
              <w:t>3</w:t>
            </w:r>
          </w:p>
        </w:tc>
        <w:tc>
          <w:tcPr>
            <w:tcW w:w="2332" w:type="dxa"/>
            <w:shd w:val="clear" w:color="auto" w:fill="auto"/>
            <w:vAlign w:val="center"/>
          </w:tcPr>
          <w:p>
            <w:pPr>
              <w:pStyle w:val="34"/>
              <w:ind w:firstLine="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中文图书（社科1）</w:t>
            </w:r>
          </w:p>
        </w:tc>
        <w:tc>
          <w:tcPr>
            <w:tcW w:w="1677"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560000.00</w:t>
            </w:r>
          </w:p>
        </w:tc>
        <w:tc>
          <w:tcPr>
            <w:tcW w:w="1773"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3150" w:type="dxa"/>
            <w:shd w:val="clear" w:color="auto" w:fill="auto"/>
            <w:vAlign w:val="center"/>
          </w:tcPr>
          <w:p>
            <w:pPr>
              <w:pStyle w:val="31"/>
              <w:spacing w:before="139" w:beforeLines="30" w:after="139" w:afterLines="3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洛直政采磋商(2023)0523号-</w:t>
            </w:r>
            <w:r>
              <w:rPr>
                <w:rFonts w:hint="eastAsia" w:ascii="仿宋_GB2312" w:hAnsi="仿宋_GB2312" w:eastAsia="仿宋_GB2312" w:cs="仿宋_GB2312"/>
                <w:sz w:val="24"/>
                <w:szCs w:val="24"/>
                <w:highlight w:val="none"/>
                <w:lang w:val="en-US" w:eastAsia="zh-CN"/>
              </w:rPr>
              <w:t>4</w:t>
            </w:r>
          </w:p>
        </w:tc>
        <w:tc>
          <w:tcPr>
            <w:tcW w:w="2332" w:type="dxa"/>
            <w:shd w:val="clear" w:color="auto" w:fill="auto"/>
            <w:vAlign w:val="center"/>
          </w:tcPr>
          <w:p>
            <w:pPr>
              <w:pStyle w:val="34"/>
              <w:ind w:firstLine="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中文图书（社科2）</w:t>
            </w:r>
          </w:p>
        </w:tc>
        <w:tc>
          <w:tcPr>
            <w:tcW w:w="1677"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540000.00</w:t>
            </w:r>
          </w:p>
        </w:tc>
        <w:tc>
          <w:tcPr>
            <w:tcW w:w="1773"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3150" w:type="dxa"/>
            <w:shd w:val="clear" w:color="auto" w:fill="auto"/>
            <w:vAlign w:val="center"/>
          </w:tcPr>
          <w:p>
            <w:pPr>
              <w:pStyle w:val="31"/>
              <w:spacing w:before="139" w:beforeLines="30" w:after="139" w:afterLines="3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洛直政采磋商(2023)0523号-</w:t>
            </w:r>
            <w:r>
              <w:rPr>
                <w:rFonts w:hint="eastAsia" w:ascii="仿宋_GB2312" w:hAnsi="仿宋_GB2312" w:eastAsia="仿宋_GB2312" w:cs="仿宋_GB2312"/>
                <w:sz w:val="24"/>
                <w:szCs w:val="24"/>
                <w:highlight w:val="none"/>
                <w:lang w:val="en-US" w:eastAsia="zh-CN"/>
              </w:rPr>
              <w:t>5</w:t>
            </w:r>
          </w:p>
        </w:tc>
        <w:tc>
          <w:tcPr>
            <w:tcW w:w="2332" w:type="dxa"/>
            <w:shd w:val="clear" w:color="auto" w:fill="auto"/>
            <w:vAlign w:val="center"/>
          </w:tcPr>
          <w:p>
            <w:pPr>
              <w:pStyle w:val="34"/>
              <w:ind w:firstLine="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中文图书（特藏）</w:t>
            </w:r>
          </w:p>
        </w:tc>
        <w:tc>
          <w:tcPr>
            <w:tcW w:w="1677"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500000.00</w:t>
            </w:r>
          </w:p>
        </w:tc>
        <w:tc>
          <w:tcPr>
            <w:tcW w:w="1773"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6" w:type="dxa"/>
            <w:shd w:val="clear" w:color="auto" w:fill="auto"/>
            <w:vAlign w:val="center"/>
          </w:tcPr>
          <w:p>
            <w:pPr>
              <w:pStyle w:val="31"/>
              <w:spacing w:before="139" w:beforeLines="30" w:after="139" w:afterLines="3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3150" w:type="dxa"/>
            <w:shd w:val="clear" w:color="auto" w:fill="auto"/>
            <w:vAlign w:val="center"/>
          </w:tcPr>
          <w:p>
            <w:pPr>
              <w:pStyle w:val="31"/>
              <w:spacing w:before="139" w:beforeLines="30" w:after="139" w:afterLines="3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洛直政采磋商(2023)0523号-</w:t>
            </w:r>
            <w:r>
              <w:rPr>
                <w:rFonts w:hint="eastAsia" w:ascii="仿宋_GB2312" w:hAnsi="仿宋_GB2312" w:eastAsia="仿宋_GB2312" w:cs="仿宋_GB2312"/>
                <w:sz w:val="24"/>
                <w:szCs w:val="24"/>
                <w:highlight w:val="none"/>
                <w:lang w:val="en-US" w:eastAsia="zh-CN"/>
              </w:rPr>
              <w:t>6</w:t>
            </w:r>
          </w:p>
        </w:tc>
        <w:tc>
          <w:tcPr>
            <w:tcW w:w="2332" w:type="dxa"/>
            <w:shd w:val="clear" w:color="auto" w:fill="auto"/>
            <w:vAlign w:val="center"/>
          </w:tcPr>
          <w:p>
            <w:pPr>
              <w:pStyle w:val="34"/>
              <w:ind w:firstLine="0"/>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中文期刊</w:t>
            </w:r>
          </w:p>
        </w:tc>
        <w:tc>
          <w:tcPr>
            <w:tcW w:w="1677"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415000.00</w:t>
            </w:r>
          </w:p>
        </w:tc>
        <w:tc>
          <w:tcPr>
            <w:tcW w:w="1773" w:type="dxa"/>
            <w:shd w:val="clear" w:color="auto" w:fill="auto"/>
            <w:vAlign w:val="center"/>
          </w:tcPr>
          <w:p>
            <w:pPr>
              <w:spacing w:before="139" w:beforeLines="30" w:after="139" w:afterLines="3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415000.00</w:t>
            </w:r>
          </w:p>
        </w:tc>
      </w:tr>
    </w:tbl>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5、采购需求（包括但不限于标的的名称、数量、简要技术需求或服务要求等）：</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本次招标共6个标段。主要为图书馆2023年图书、期刊采购项目；包1、包2为自科图书，包3、包4为社科图书，包5为特藏图书，包6为中文期刊；其中：自科、社科划分依据中图法，A-K类图书为社科、N-Z类图书为自科。（详见磋商文件）</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（2）交货期：</w:t>
      </w:r>
      <w:r>
        <w:rPr>
          <w:rFonts w:hint="eastAsia" w:ascii="仿宋_GB2312" w:hAnsi="仿宋_GB2312" w:eastAsia="仿宋_GB2312" w:cs="仿宋_GB2312"/>
          <w:color w:val="000000"/>
          <w:sz w:val="24"/>
          <w:szCs w:val="24"/>
          <w:lang w:bidi="ar"/>
        </w:rPr>
        <w:t>包1-包5签订合同后</w:t>
      </w:r>
      <w:r>
        <w:rPr>
          <w:rFonts w:hint="eastAsia" w:ascii="仿宋_GB2312" w:hAnsi="仿宋_GB2312" w:eastAsia="仿宋_GB2312" w:cs="仿宋_GB2312"/>
          <w:color w:val="000000"/>
          <w:sz w:val="24"/>
          <w:szCs w:val="24"/>
          <w:u w:val="single"/>
          <w:lang w:bidi="ar"/>
        </w:rPr>
        <w:t xml:space="preserve"> 60 </w:t>
      </w:r>
      <w:r>
        <w:rPr>
          <w:rFonts w:hint="eastAsia" w:ascii="仿宋_GB2312" w:hAnsi="仿宋_GB2312" w:eastAsia="仿宋_GB2312" w:cs="仿宋_GB2312"/>
          <w:color w:val="000000"/>
          <w:sz w:val="24"/>
          <w:szCs w:val="24"/>
          <w:lang w:bidi="ar"/>
        </w:rPr>
        <w:t>天内；包6 按期刊发行时间一周内到货。</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（3）交货地点：采购人指定地点；</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（4）质保期：2年 ；</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（5）质量要求：符合国家或行业规定的合格标准，满足采购人提出的技术标准及要求；</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（6）验收标准：满足采购人的验收标准及要求。</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6、合同履行期限：质保期+交货期。</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7、本项目是否接受联合体投标：否</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8、是否接受进口产品：否</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二、申请人资格要求</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1、满足《中华人民共和国政府采购法》第二十二条规定；</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2、落实政府采购政策满足的资格要求：/</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（1）支持中小微（监狱、残疾人福利性单位）企业。</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备注：根据《政府采购促进中小企业发展管理办法》（财库﹝2020﹞46 号）的规定，对于未预留份额专门面向中小企业采购的采购项目，以及预留份额项目中的非预留部分采购包，对符合中小企业扶持政策的小微企业报价给予</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0%的扣除，用扣除后的价格参加评审。中小企业参加政府采购活动，应当出具《中小企业声明函》（见附件），否则不得享受相关中小企业扶持政策。</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（2）本项目执行节约能源、保护环境、落实绿色建筑、绿色建材、扶持不发达地区和少数民族地区、节能环保产品优先或强制采购等政府采购政策；</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、本项目的特定资格要求：</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.1供应商应具有独立承担民事责任的能力；</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.2投标人须具有省级或以上新闻出版行政主管部门颁发的合法有效的《出版物经营许可证》（需在证件的有效期内）。</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.3本项目不接受联合体投标；</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4根据洛财购【2021】11号文件，供应商须按照规定提供“洛阳市政府采购供应商信用承诺函”，采购人有权在签订合同前要求中标供应商提供相关证明材料以核实中标供应商承诺事项的真实性。（格式详见响应文件）</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.5本项目实行资格后审；</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.6本项目不接受联合体。</w:t>
      </w:r>
    </w:p>
    <w:p>
      <w:pPr>
        <w:pStyle w:val="31"/>
        <w:spacing w:line="500" w:lineRule="exact"/>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注：投标人可参与多个包段报价，其中：包1-包5每个投标人只能中一个包段且是序号在前的包段，包6可以兼中。</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三、获取招标文件</w:t>
      </w:r>
    </w:p>
    <w:p>
      <w:pPr>
        <w:pStyle w:val="31"/>
        <w:spacing w:line="500" w:lineRule="exact"/>
        <w:ind w:firstLine="418"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1.时间：2023年</w:t>
      </w:r>
      <w:r>
        <w:rPr>
          <w:rFonts w:hint="eastAsia" w:ascii="仿宋_GB2312" w:hAnsi="仿宋_GB2312" w:eastAsia="仿宋_GB2312" w:cs="仿宋_GB2312"/>
          <w:sz w:val="24"/>
          <w:szCs w:val="24"/>
          <w:highlight w:val="none"/>
          <w:lang w:val="en-US" w:eastAsia="zh-CN"/>
        </w:rPr>
        <w:t>08</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sz w:val="24"/>
          <w:szCs w:val="24"/>
          <w:highlight w:val="none"/>
        </w:rPr>
        <w:t>日至2023年</w:t>
      </w:r>
      <w:r>
        <w:rPr>
          <w:rFonts w:hint="eastAsia" w:ascii="仿宋_GB2312" w:hAnsi="仿宋_GB2312" w:eastAsia="仿宋_GB2312" w:cs="仿宋_GB2312"/>
          <w:sz w:val="24"/>
          <w:szCs w:val="24"/>
          <w:highlight w:val="none"/>
          <w:lang w:val="en-US" w:eastAsia="zh-CN"/>
        </w:rPr>
        <w:t>08</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31</w:t>
      </w:r>
      <w:r>
        <w:rPr>
          <w:rFonts w:hint="eastAsia" w:ascii="仿宋_GB2312" w:hAnsi="仿宋_GB2312" w:eastAsia="仿宋_GB2312" w:cs="仿宋_GB2312"/>
          <w:sz w:val="24"/>
          <w:szCs w:val="24"/>
          <w:highlight w:val="none"/>
        </w:rPr>
        <w:t>日，每天上午至12:00，下午12:00至23:59（北京时间，法定节假日除外。）</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2.地点：洛阳市公共资源交易中心网站（lyggzyjy.ly.gov.cn）</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3.方式：洛阳市公共资源交易中心网站（lyggzyjy.ly.gov.cn）上获取。请在“洛阳市电子招投标交易平台（</w:t>
      </w:r>
      <w:r>
        <w:rPr>
          <w:rFonts w:hint="eastAsia" w:ascii="仿宋_GB2312" w:hAnsi="仿宋_GB2312" w:eastAsia="仿宋_GB2312" w:cs="仿宋_GB2312"/>
          <w:spacing w:val="11"/>
          <w:sz w:val="24"/>
          <w:szCs w:val="24"/>
        </w:rPr>
        <w:t>http://lyggzyjy.ly.gov.cn/TPBidder</w:t>
      </w:r>
      <w:r>
        <w:rPr>
          <w:rFonts w:hint="eastAsia" w:ascii="仿宋_GB2312" w:hAnsi="仿宋_GB2312" w:eastAsia="仿宋_GB2312" w:cs="仿宋_GB2312"/>
          <w:sz w:val="24"/>
          <w:szCs w:val="24"/>
        </w:rPr>
        <w:t>）”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4.售价：0元</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四、投标截止时间及地点</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1.时间：2023年</w:t>
      </w:r>
      <w:r>
        <w:rPr>
          <w:rFonts w:hint="eastAsia" w:ascii="仿宋_GB2312" w:hAnsi="仿宋_GB2312" w:eastAsia="仿宋_GB2312" w:cs="仿宋_GB2312"/>
          <w:sz w:val="24"/>
          <w:szCs w:val="24"/>
          <w:lang w:val="en-US" w:eastAsia="zh-CN"/>
        </w:rPr>
        <w:t>09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06</w:t>
      </w:r>
      <w:r>
        <w:rPr>
          <w:rFonts w:hint="eastAsia" w:ascii="仿宋_GB2312" w:hAnsi="仿宋_GB2312" w:eastAsia="仿宋_GB2312" w:cs="仿宋_GB2312"/>
          <w:sz w:val="24"/>
          <w:szCs w:val="24"/>
        </w:rPr>
        <w:t>日09时05分（北京时间）</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五、开标时间及地点</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1.时间：2023年</w:t>
      </w:r>
      <w:r>
        <w:rPr>
          <w:rFonts w:hint="eastAsia" w:ascii="仿宋_GB2312" w:hAnsi="仿宋_GB2312" w:eastAsia="仿宋_GB2312" w:cs="仿宋_GB2312"/>
          <w:sz w:val="24"/>
          <w:szCs w:val="24"/>
          <w:lang w:val="en-US" w:eastAsia="zh-CN"/>
        </w:rPr>
        <w:t>09</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06</w:t>
      </w:r>
      <w:r>
        <w:rPr>
          <w:rFonts w:hint="eastAsia" w:ascii="仿宋_GB2312" w:hAnsi="仿宋_GB2312" w:eastAsia="仿宋_GB2312" w:cs="仿宋_GB2312"/>
          <w:sz w:val="24"/>
          <w:szCs w:val="24"/>
        </w:rPr>
        <w:t>日09时05分（北京时间）</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2.地点：洛阳市公共资源交易中心开标</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rPr>
        <w:t>室。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六、发布公告的媒介及招标公告期限</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本次招标公告在《河南省政府采购网》、《全国公共资源交易平台（河南省·洛阳市》、《河南科技大学财务与资产管理部（招标采购管理</w:t>
      </w:r>
      <w:r>
        <w:rPr>
          <w:rFonts w:hint="eastAsia" w:ascii="仿宋_GB2312" w:hAnsi="仿宋_GB2312" w:eastAsia="仿宋_GB2312" w:cs="仿宋_GB2312"/>
          <w:sz w:val="24"/>
          <w:szCs w:val="24"/>
          <w:highlight w:val="none"/>
          <w:lang w:val="en-US" w:eastAsia="zh-CN"/>
        </w:rPr>
        <w:t>办公室）》网页上发布。招标公告期限为五个工作日2023年08月25日至2023年08月31日。</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七、其他补充事宜</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供应商在参与本项目招标采购活动期间应及时关注，获取相关澄清或变更等信息（如果有）。</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八、凡是对本次招标提出询问，请按照以下方式联系</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1.采购人信息</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名称：河南科技大学</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地址：洛阳市洛龙区开元大道263号</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联系人：白老师</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联系方式：0379-60229662</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2.采购代理机构信息（如有）</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名称：中诚祥顺工程管理咨询有限公司 </w:t>
      </w:r>
    </w:p>
    <w:p>
      <w:pPr>
        <w:pStyle w:val="31"/>
        <w:spacing w:line="500" w:lineRule="exact"/>
        <w:ind w:firstLine="418"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lang w:eastAsia="zh-CN"/>
        </w:rPr>
        <w:t>河南省洛阳市洛龙区太康东路369号B-7幢2-101</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联系人：秦女士</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联系方式：0379-80857687 </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3.项目联系方式</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联系人：秦女士</w:t>
      </w:r>
    </w:p>
    <w:p>
      <w:pPr>
        <w:pStyle w:val="31"/>
        <w:spacing w:line="500" w:lineRule="exact"/>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r>
        <w:rPr>
          <w:rFonts w:hint="eastAsia" w:ascii="仿宋_GB2312" w:hAnsi="仿宋_GB2312" w:eastAsia="仿宋_GB2312" w:cs="仿宋_GB2312"/>
          <w:color w:val="auto"/>
          <w:sz w:val="24"/>
          <w:szCs w:val="24"/>
          <w:highlight w:val="none"/>
        </w:rPr>
        <w:t xml:space="preserve">0379-80857687 </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4.监管部门、联系人和联系方式：</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监管部门：河南省财政厅 </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监管部门联系人：河南省财政厅政府采购处 </w:t>
      </w:r>
    </w:p>
    <w:p>
      <w:pPr>
        <w:pStyle w:val="31"/>
        <w:spacing w:line="500" w:lineRule="exact"/>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监管部门联系方式：0371-65808421</w:t>
      </w:r>
    </w:p>
    <w:p>
      <w:pPr>
        <w:pStyle w:val="31"/>
        <w:spacing w:line="500" w:lineRule="exact"/>
        <w:ind w:firstLine="418" w:firstLineChars="200"/>
        <w:rPr>
          <w:rFonts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lang w:bidi="ar"/>
        </w:rPr>
        <w:t> </w:t>
      </w:r>
    </w:p>
    <w:p>
      <w:pPr>
        <w:pStyle w:val="31"/>
        <w:spacing w:line="500" w:lineRule="exact"/>
        <w:ind w:firstLine="418" w:firstLineChars="200"/>
        <w:rPr>
          <w:rFonts w:ascii="仿宋_GB2312" w:hAnsi="仿宋_GB2312" w:eastAsia="仿宋_GB2312" w:cs="仿宋_GB2312"/>
          <w:sz w:val="24"/>
          <w:szCs w:val="24"/>
          <w:highlight w:val="none"/>
        </w:rPr>
      </w:pPr>
    </w:p>
    <w:p>
      <w:pPr>
        <w:pStyle w:val="31"/>
        <w:spacing w:line="500" w:lineRule="exact"/>
        <w:ind w:firstLine="418" w:firstLineChars="200"/>
        <w:jc w:val="righ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2023年</w:t>
      </w:r>
      <w:r>
        <w:rPr>
          <w:rFonts w:hint="eastAsia" w:ascii="仿宋_GB2312" w:hAnsi="仿宋_GB2312" w:eastAsia="仿宋_GB2312" w:cs="仿宋_GB2312"/>
          <w:sz w:val="24"/>
          <w:szCs w:val="24"/>
          <w:highlight w:val="none"/>
          <w:lang w:val="en-US" w:eastAsia="zh-CN"/>
        </w:rPr>
        <w:t>08</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24</w:t>
      </w:r>
      <w:r>
        <w:rPr>
          <w:rFonts w:hint="eastAsia" w:ascii="仿宋_GB2312" w:hAnsi="仿宋_GB2312" w:eastAsia="仿宋_GB2312" w:cs="仿宋_GB2312"/>
          <w:sz w:val="24"/>
          <w:szCs w:val="24"/>
          <w:highlight w:val="none"/>
        </w:rPr>
        <w:t>日</w:t>
      </w:r>
    </w:p>
    <w:p>
      <w:pPr>
        <w:pStyle w:val="36"/>
        <w:ind w:firstLine="636"/>
        <w:rPr>
          <w:rFonts w:ascii="仿宋_GB2312" w:hAnsi="仿宋_GB2312" w:eastAsia="仿宋_GB2312" w:cs="仿宋_GB2312"/>
          <w:spacing w:val="14"/>
        </w:rPr>
      </w:pPr>
      <w:r>
        <w:rPr>
          <w:rFonts w:hint="eastAsia" w:ascii="仿宋_GB2312" w:hAnsi="仿宋_GB2312" w:eastAsia="仿宋_GB2312" w:cs="仿宋_GB2312"/>
          <w:spacing w:val="14"/>
          <w:highlight w:val="yellow"/>
        </w:rPr>
        <w:br w:type="page"/>
      </w:r>
      <w:bookmarkStart w:id="10" w:name="_Toc256000011"/>
      <w:bookmarkStart w:id="11" w:name="_Toc256000002"/>
      <w:r>
        <w:rPr>
          <w:rFonts w:hint="eastAsia" w:ascii="仿宋_GB2312" w:hAnsi="仿宋_GB2312" w:eastAsia="仿宋_GB2312" w:cs="仿宋_GB2312"/>
          <w:spacing w:val="14"/>
        </w:rPr>
        <w:t>第二章  供应商须知</w:t>
      </w:r>
      <w:bookmarkEnd w:id="7"/>
      <w:bookmarkEnd w:id="8"/>
      <w:bookmarkEnd w:id="9"/>
      <w:bookmarkEnd w:id="10"/>
      <w:bookmarkEnd w:id="11"/>
    </w:p>
    <w:p>
      <w:pPr>
        <w:pStyle w:val="34"/>
        <w:jc w:val="center"/>
        <w:rPr>
          <w:rFonts w:ascii="仿宋_GB2312" w:hAnsi="仿宋_GB2312" w:eastAsia="仿宋_GB2312" w:cs="仿宋_GB2312"/>
          <w:b/>
          <w:spacing w:val="14"/>
          <w:sz w:val="28"/>
          <w:szCs w:val="28"/>
        </w:rPr>
      </w:pPr>
      <w:r>
        <w:rPr>
          <w:rFonts w:hint="eastAsia" w:ascii="仿宋_GB2312" w:hAnsi="仿宋_GB2312" w:eastAsia="仿宋_GB2312" w:cs="仿宋_GB2312"/>
          <w:b/>
          <w:spacing w:val="14"/>
          <w:sz w:val="28"/>
          <w:szCs w:val="28"/>
        </w:rPr>
        <w:t>供应商须知前附表</w:t>
      </w:r>
    </w:p>
    <w:tbl>
      <w:tblPr>
        <w:tblStyle w:val="1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2906"/>
        <w:gridCol w:w="5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 w:hRule="atLeast"/>
          <w:jc w:val="center"/>
        </w:trPr>
        <w:tc>
          <w:tcPr>
            <w:tcW w:w="528" w:type="pct"/>
            <w:vAlign w:val="center"/>
          </w:tcPr>
          <w:p>
            <w:pPr>
              <w:pStyle w:val="34"/>
              <w:ind w:firstLine="0"/>
              <w:jc w:val="center"/>
              <w:rPr>
                <w:rFonts w:ascii="仿宋_GB2312" w:hAnsi="仿宋_GB2312" w:eastAsia="仿宋_GB2312" w:cs="仿宋_GB2312"/>
                <w:b/>
                <w:bCs/>
                <w:spacing w:val="14"/>
                <w:sz w:val="24"/>
                <w:szCs w:val="24"/>
              </w:rPr>
            </w:pPr>
            <w:r>
              <w:rPr>
                <w:rFonts w:hint="eastAsia" w:ascii="仿宋_GB2312" w:hAnsi="仿宋_GB2312" w:eastAsia="仿宋_GB2312" w:cs="仿宋_GB2312"/>
                <w:b/>
                <w:bCs/>
                <w:spacing w:val="14"/>
                <w:sz w:val="24"/>
                <w:szCs w:val="24"/>
              </w:rPr>
              <w:t>条款号</w:t>
            </w:r>
          </w:p>
        </w:tc>
        <w:tc>
          <w:tcPr>
            <w:tcW w:w="1538" w:type="pct"/>
            <w:vAlign w:val="center"/>
          </w:tcPr>
          <w:p>
            <w:pPr>
              <w:pStyle w:val="34"/>
              <w:ind w:firstLine="0"/>
              <w:jc w:val="center"/>
              <w:rPr>
                <w:rFonts w:ascii="仿宋_GB2312" w:hAnsi="仿宋_GB2312" w:eastAsia="仿宋_GB2312" w:cs="仿宋_GB2312"/>
                <w:b/>
                <w:bCs/>
                <w:spacing w:val="14"/>
                <w:sz w:val="24"/>
                <w:szCs w:val="24"/>
              </w:rPr>
            </w:pPr>
            <w:r>
              <w:rPr>
                <w:rFonts w:hint="eastAsia" w:ascii="仿宋_GB2312" w:hAnsi="仿宋_GB2312" w:eastAsia="仿宋_GB2312" w:cs="仿宋_GB2312"/>
                <w:b/>
                <w:bCs/>
                <w:spacing w:val="14"/>
                <w:sz w:val="24"/>
                <w:szCs w:val="24"/>
              </w:rPr>
              <w:t>名 称</w:t>
            </w:r>
          </w:p>
        </w:tc>
        <w:tc>
          <w:tcPr>
            <w:tcW w:w="2932" w:type="pct"/>
            <w:vAlign w:val="center"/>
          </w:tcPr>
          <w:p>
            <w:pPr>
              <w:pStyle w:val="34"/>
              <w:ind w:firstLine="0"/>
              <w:jc w:val="center"/>
              <w:rPr>
                <w:rFonts w:ascii="仿宋_GB2312" w:hAnsi="仿宋_GB2312" w:eastAsia="仿宋_GB2312" w:cs="仿宋_GB2312"/>
                <w:b/>
                <w:bCs/>
                <w:spacing w:val="14"/>
                <w:sz w:val="24"/>
                <w:szCs w:val="24"/>
              </w:rPr>
            </w:pPr>
            <w:r>
              <w:rPr>
                <w:rFonts w:hint="eastAsia" w:ascii="仿宋_GB2312" w:hAnsi="仿宋_GB2312" w:eastAsia="仿宋_GB2312" w:cs="仿宋_GB2312"/>
                <w:b/>
                <w:bCs/>
                <w:spacing w:val="14"/>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采购人</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名称：河南科技大学</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地址：洛阳市洛龙区开元大道263号</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联系人和电话：白老师  0379-60229662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1.1.3</w:t>
            </w:r>
          </w:p>
        </w:tc>
        <w:tc>
          <w:tcPr>
            <w:tcW w:w="1538" w:type="pct"/>
            <w:vAlign w:val="center"/>
          </w:tcPr>
          <w:p>
            <w:pPr>
              <w:pStyle w:val="34"/>
              <w:ind w:firstLine="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采购代理机构</w:t>
            </w:r>
          </w:p>
        </w:tc>
        <w:tc>
          <w:tcPr>
            <w:tcW w:w="2932" w:type="pct"/>
            <w:vAlign w:val="center"/>
          </w:tcPr>
          <w:p>
            <w:pPr>
              <w:pStyle w:val="34"/>
              <w:ind w:firstLine="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 xml:space="preserve">名称：中诚祥顺工程管理咨询有限公司 </w:t>
            </w:r>
          </w:p>
          <w:p>
            <w:pPr>
              <w:pStyle w:val="34"/>
              <w:ind w:firstLine="0"/>
              <w:jc w:val="left"/>
              <w:rPr>
                <w:rFonts w:hint="eastAsia" w:ascii="仿宋_GB2312" w:hAnsi="仿宋_GB2312" w:eastAsia="仿宋_GB2312" w:cs="仿宋_GB2312"/>
                <w:color w:val="000000"/>
                <w:sz w:val="24"/>
                <w:szCs w:val="24"/>
                <w:lang w:eastAsia="zh-CN" w:bidi="ar"/>
              </w:rPr>
            </w:pPr>
            <w:r>
              <w:rPr>
                <w:rFonts w:hint="eastAsia" w:ascii="仿宋_GB2312" w:hAnsi="仿宋_GB2312" w:eastAsia="仿宋_GB2312" w:cs="仿宋_GB2312"/>
                <w:color w:val="000000"/>
                <w:sz w:val="24"/>
                <w:szCs w:val="24"/>
                <w:lang w:bidi="ar"/>
              </w:rPr>
              <w:t>地址：</w:t>
            </w:r>
            <w:r>
              <w:rPr>
                <w:rFonts w:hint="eastAsia" w:ascii="仿宋_GB2312" w:hAnsi="仿宋_GB2312" w:eastAsia="仿宋_GB2312" w:cs="仿宋_GB2312"/>
                <w:color w:val="000000"/>
                <w:sz w:val="24"/>
                <w:szCs w:val="24"/>
                <w:lang w:eastAsia="zh-CN" w:bidi="ar"/>
              </w:rPr>
              <w:t>河南省洛阳市洛龙区太康东路369号B-7幢2-101</w:t>
            </w:r>
          </w:p>
          <w:p>
            <w:pPr>
              <w:pStyle w:val="34"/>
              <w:ind w:firstLine="0"/>
              <w:jc w:val="left"/>
              <w:rPr>
                <w:rFonts w:hint="eastAsia"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联系人：秦女士</w:t>
            </w:r>
          </w:p>
          <w:p>
            <w:pPr>
              <w:pStyle w:val="34"/>
              <w:ind w:firstLine="0"/>
              <w:jc w:val="left"/>
              <w:rPr>
                <w:rFonts w:ascii="仿宋_GB2312" w:hAnsi="仿宋_GB2312" w:eastAsia="仿宋_GB2312" w:cs="仿宋_GB2312"/>
                <w:color w:val="000000"/>
                <w:sz w:val="24"/>
                <w:szCs w:val="24"/>
                <w:highlight w:val="green"/>
                <w:lang w:bidi="ar"/>
              </w:rPr>
            </w:pPr>
            <w:r>
              <w:rPr>
                <w:rFonts w:hint="eastAsia" w:ascii="仿宋_GB2312" w:hAnsi="仿宋_GB2312" w:eastAsia="仿宋_GB2312" w:cs="仿宋_GB2312"/>
                <w:color w:val="000000"/>
                <w:sz w:val="24"/>
                <w:szCs w:val="24"/>
                <w:lang w:bidi="ar"/>
              </w:rPr>
              <w:t>联系方式：0379-80857687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1.1.4</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采购项目名称</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河南科技大学图书馆2023年图书、期刊采购项目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1.1.5</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落实政府采购政策要求</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（1）不接受进口产品</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（2）支持中小微（监狱、残疾人福利性单位）企业；</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备注：根据《政府采购促进中小企业发展管理办法》（财库﹝2020﹞46 号）的规定，对于未预留份额专门面向中小企业采购的采购项目，以及预留份额项目中的非预留部分采购包，对符合中小企业扶持政策的小微企业报价给予10%的扣除，用扣除后的价格参加评审。中小企业参加政府采购活动，应当出具《中小企业声明函》（见附件），否则不得享受相关中小企业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1.1.6</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强制采购节能产品</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本次采购强制采购的节能产品：/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1.1.7</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项目编号</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豫财磋商采购-2023-527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1.1.9</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采购包划分</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本次采购共6个包。</w:t>
            </w:r>
          </w:p>
          <w:p>
            <w:pPr>
              <w:pStyle w:val="31"/>
              <w:spacing w:line="500" w:lineRule="exac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包1、包2为自科图书，包3、包4为社科图书，包5为特藏图书，包6为中文期刊；自科、社科划分依据中图法分类其中：A-K类图书为社科、N-Z类图书为自科。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1.2.1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资金来源</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1.2.2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付款方式</w:t>
            </w:r>
          </w:p>
        </w:tc>
        <w:tc>
          <w:tcPr>
            <w:tcW w:w="2932" w:type="pct"/>
            <w:vAlign w:val="center"/>
          </w:tcPr>
          <w:p>
            <w:pPr>
              <w:pStyle w:val="31"/>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成交商必须开具户名为“河南科技大学”的正规增值税普通发票（进口免税设备除外）。</w:t>
            </w:r>
          </w:p>
          <w:p>
            <w:pPr>
              <w:pStyle w:val="34"/>
              <w:ind w:firstLine="0"/>
              <w:jc w:val="left"/>
              <w:rPr>
                <w:rFonts w:ascii="仿宋_GB2312" w:hAnsi="仿宋_GB2312" w:eastAsia="仿宋_GB2312" w:cs="仿宋_GB2312"/>
                <w:color w:val="000000"/>
                <w:kern w:val="2"/>
                <w:sz w:val="24"/>
                <w:szCs w:val="24"/>
                <w:lang w:bidi="ar"/>
              </w:rPr>
            </w:pPr>
            <w:r>
              <w:rPr>
                <w:rFonts w:hint="eastAsia" w:ascii="仿宋_GB2312" w:hAnsi="仿宋_GB2312" w:eastAsia="仿宋_GB2312" w:cs="仿宋_GB2312"/>
                <w:color w:val="000000"/>
                <w:kern w:val="2"/>
                <w:sz w:val="24"/>
                <w:szCs w:val="24"/>
                <w:lang w:bidi="ar"/>
              </w:rPr>
              <w:t>包1-包5：图书全部到货验收合格后，需方向供方一次性付清合同款。</w:t>
            </w:r>
          </w:p>
          <w:p>
            <w:pPr>
              <w:pStyle w:val="34"/>
              <w:ind w:firstLine="0"/>
              <w:jc w:val="left"/>
              <w:rPr>
                <w:rFonts w:ascii="仿宋_GB2312" w:hAnsi="仿宋_GB2312" w:eastAsia="仿宋_GB2312" w:cs="仿宋_GB2312"/>
                <w:color w:val="000000"/>
                <w:kern w:val="2"/>
                <w:sz w:val="24"/>
                <w:szCs w:val="24"/>
                <w:lang w:bidi="ar"/>
              </w:rPr>
            </w:pPr>
            <w:r>
              <w:rPr>
                <w:rFonts w:hint="eastAsia" w:ascii="仿宋_GB2312" w:hAnsi="仿宋_GB2312" w:eastAsia="仿宋_GB2312" w:cs="仿宋_GB2312"/>
                <w:color w:val="000000"/>
                <w:kern w:val="2"/>
                <w:sz w:val="24"/>
                <w:szCs w:val="24"/>
                <w:lang w:bidi="ar"/>
              </w:rPr>
              <w:t>包6：分两次付款：</w:t>
            </w:r>
          </w:p>
          <w:p>
            <w:pPr>
              <w:pStyle w:val="34"/>
              <w:jc w:val="left"/>
              <w:rPr>
                <w:rFonts w:ascii="仿宋_GB2312" w:hAnsi="仿宋_GB2312" w:eastAsia="仿宋_GB2312" w:cs="仿宋_GB2312"/>
                <w:color w:val="000000"/>
                <w:kern w:val="2"/>
                <w:sz w:val="24"/>
                <w:szCs w:val="24"/>
                <w:lang w:bidi="ar"/>
              </w:rPr>
            </w:pPr>
            <w:r>
              <w:rPr>
                <w:rFonts w:hint="eastAsia" w:ascii="仿宋_GB2312" w:hAnsi="仿宋_GB2312" w:eastAsia="仿宋_GB2312" w:cs="仿宋_GB2312"/>
                <w:color w:val="000000"/>
                <w:kern w:val="2"/>
                <w:sz w:val="24"/>
                <w:szCs w:val="24"/>
                <w:lang w:bidi="ar"/>
              </w:rPr>
              <w:t>第一次：合同签订后，初验合格后需方向供方支付合同金额的80%；</w:t>
            </w:r>
          </w:p>
          <w:p>
            <w:pPr>
              <w:pStyle w:val="34"/>
              <w:ind w:firstLine="418" w:firstLineChars="200"/>
              <w:jc w:val="left"/>
              <w:rPr>
                <w:rFonts w:ascii="仿宋_GB2312" w:hAnsi="仿宋_GB2312" w:eastAsia="仿宋_GB2312" w:cs="仿宋_GB2312"/>
                <w:color w:val="000000"/>
                <w:kern w:val="2"/>
                <w:sz w:val="24"/>
                <w:szCs w:val="24"/>
                <w:highlight w:val="green"/>
                <w:lang w:bidi="ar"/>
              </w:rPr>
            </w:pPr>
            <w:r>
              <w:rPr>
                <w:rFonts w:hint="eastAsia" w:ascii="仿宋_GB2312" w:hAnsi="仿宋_GB2312" w:eastAsia="仿宋_GB2312" w:cs="仿宋_GB2312"/>
                <w:color w:val="000000"/>
                <w:kern w:val="2"/>
                <w:sz w:val="24"/>
                <w:szCs w:val="24"/>
                <w:lang w:bidi="ar"/>
              </w:rPr>
              <w:t>第二次：期刊全部到货验收合格后，需方按照实际到刊数量，以期刊实洋据实结算尾款。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1.3.1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交货期</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包1-包5签订合同后</w:t>
            </w:r>
            <w:r>
              <w:rPr>
                <w:rFonts w:hint="eastAsia" w:ascii="仿宋_GB2312" w:hAnsi="仿宋_GB2312" w:eastAsia="仿宋_GB2312" w:cs="仿宋_GB2312"/>
                <w:color w:val="000000"/>
                <w:sz w:val="24"/>
                <w:szCs w:val="24"/>
                <w:u w:val="single"/>
                <w:lang w:bidi="ar"/>
              </w:rPr>
              <w:t xml:space="preserve"> 60 </w:t>
            </w:r>
            <w:r>
              <w:rPr>
                <w:rFonts w:hint="eastAsia" w:ascii="仿宋_GB2312" w:hAnsi="仿宋_GB2312" w:eastAsia="仿宋_GB2312" w:cs="仿宋_GB2312"/>
                <w:color w:val="000000"/>
                <w:sz w:val="24"/>
                <w:szCs w:val="24"/>
                <w:lang w:bidi="ar"/>
              </w:rPr>
              <w:t>天内；包6 按期刊发行时间一周内到货。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1.3.2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交货地点</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采购人所在地，具体地点为采购人指定地点。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1.3.3</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履约验收</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采购人根据国家有关规定、招标文件、中标人的投标文件以及合同约定的内容和验收标准进行验收。验收情况作为支付货款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1.3.4</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质保期</w:t>
            </w:r>
          </w:p>
        </w:tc>
        <w:tc>
          <w:tcPr>
            <w:tcW w:w="2932" w:type="pct"/>
            <w:vAlign w:val="center"/>
          </w:tcPr>
          <w:p>
            <w:pPr>
              <w:pStyle w:val="34"/>
              <w:ind w:firstLine="0"/>
              <w:jc w:val="left"/>
            </w:pPr>
            <w:r>
              <w:rPr>
                <w:rFonts w:hint="eastAsia" w:ascii="仿宋_GB2312" w:hAnsi="仿宋_GB2312" w:eastAsia="仿宋_GB2312" w:cs="仿宋_GB2312"/>
                <w:color w:val="000000"/>
                <w:sz w:val="24"/>
                <w:szCs w:val="24"/>
                <w:lang w:bidi="ar"/>
              </w:rPr>
              <w:t xml:space="preserve">质保期：2年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1.4.1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供应商资格要求</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1.4.2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是否接受联合体</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1.4.3</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供应商不得存在的其他情形</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1.9.1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磋商预备会</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1.9.2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供应商在磋商预备会前提出问题</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时间：/</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1.10.1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分包</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1.11.1</w:t>
            </w:r>
          </w:p>
        </w:tc>
        <w:tc>
          <w:tcPr>
            <w:tcW w:w="1538" w:type="pct"/>
            <w:vAlign w:val="center"/>
          </w:tcPr>
          <w:p>
            <w:pPr>
              <w:pStyle w:val="34"/>
              <w:ind w:firstLine="0"/>
              <w:jc w:val="left"/>
              <w:rPr>
                <w:rFonts w:ascii="仿宋_GB2312" w:hAnsi="仿宋_GB2312" w:eastAsia="仿宋_GB2312" w:cs="仿宋_GB2312"/>
                <w:b/>
                <w:spacing w:val="14"/>
                <w:sz w:val="24"/>
                <w:szCs w:val="24"/>
              </w:rPr>
            </w:pPr>
            <w:r>
              <w:rPr>
                <w:rFonts w:hint="eastAsia" w:ascii="仿宋_GB2312" w:hAnsi="仿宋_GB2312" w:eastAsia="仿宋_GB2312" w:cs="仿宋_GB2312"/>
                <w:b/>
                <w:bCs/>
                <w:color w:val="000000"/>
                <w:sz w:val="24"/>
                <w:szCs w:val="24"/>
                <w:lang w:bidi="ar"/>
              </w:rPr>
              <w:t>实质性要求和条件</w:t>
            </w:r>
          </w:p>
        </w:tc>
        <w:tc>
          <w:tcPr>
            <w:tcW w:w="2932" w:type="pct"/>
            <w:vAlign w:val="center"/>
          </w:tcPr>
          <w:p>
            <w:pPr>
              <w:pStyle w:val="34"/>
              <w:ind w:firstLine="0"/>
              <w:jc w:val="left"/>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交货期；</w:t>
            </w:r>
          </w:p>
          <w:p>
            <w:pPr>
              <w:pStyle w:val="34"/>
              <w:ind w:firstLine="0"/>
              <w:jc w:val="left"/>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交货地点；</w:t>
            </w:r>
          </w:p>
          <w:p>
            <w:pPr>
              <w:pStyle w:val="34"/>
              <w:ind w:firstLine="0"/>
              <w:jc w:val="left"/>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付款方式；</w:t>
            </w:r>
          </w:p>
          <w:p>
            <w:pPr>
              <w:pStyle w:val="34"/>
              <w:ind w:firstLine="0"/>
              <w:jc w:val="left"/>
              <w:rPr>
                <w:rFonts w:ascii="仿宋_GB2312" w:hAnsi="仿宋_GB2312" w:eastAsia="仿宋_GB2312" w:cs="仿宋_GB2312"/>
                <w:b/>
                <w:bCs/>
                <w:color w:val="000000"/>
                <w:sz w:val="24"/>
                <w:szCs w:val="24"/>
                <w:lang w:bidi="ar"/>
              </w:rPr>
            </w:pPr>
            <w:r>
              <w:rPr>
                <w:rFonts w:hint="eastAsia" w:ascii="仿宋_GB2312" w:hAnsi="仿宋_GB2312" w:eastAsia="仿宋_GB2312" w:cs="仿宋_GB2312"/>
                <w:b/>
                <w:bCs/>
                <w:color w:val="000000"/>
                <w:sz w:val="24"/>
                <w:szCs w:val="24"/>
                <w:lang w:bidi="ar"/>
              </w:rPr>
              <w:t>质保期及售后服务；</w:t>
            </w:r>
          </w:p>
          <w:p>
            <w:pPr>
              <w:pStyle w:val="34"/>
              <w:ind w:firstLine="0"/>
              <w:jc w:val="left"/>
              <w:rPr>
                <w:rFonts w:ascii="仿宋_GB2312" w:hAnsi="仿宋_GB2312" w:eastAsia="仿宋_GB2312" w:cs="仿宋_GB2312"/>
                <w:b/>
                <w:spacing w:val="14"/>
                <w:sz w:val="24"/>
                <w:szCs w:val="24"/>
              </w:rPr>
            </w:pPr>
            <w:r>
              <w:rPr>
                <w:rFonts w:hint="eastAsia" w:ascii="仿宋_GB2312" w:hAnsi="仿宋_GB2312" w:eastAsia="仿宋_GB2312" w:cs="仿宋_GB2312"/>
                <w:b/>
                <w:bCs/>
                <w:color w:val="000000"/>
                <w:sz w:val="24"/>
                <w:szCs w:val="24"/>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1.11.3</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其他可以被接受的技术支持资料</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1.11.4</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偏差</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□不允许</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构成磋商文件的其他资料</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2.2.1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供应商提出问题或要求澄清磋商文件的截止时间</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提交响应文件截止时间5日前，由供应商的被授权人提交书面材料（盖供应商公章）。</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在提交响应文件截止时间前5日内，采购人、采购代理机构不再受理供应商提出的问题。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2.2.2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磋商文件澄清、修改发出的形式</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磋商文件的澄清、修改将在《河南省政府采购网》、《全国公共资源交易平台（河南省·洛阳市》、</w:t>
            </w:r>
            <w:r>
              <w:rPr>
                <w:rFonts w:hint="eastAsia" w:ascii="仿宋_GB2312" w:hAnsi="仿宋_GB2312" w:eastAsia="仿宋_GB2312" w:cs="仿宋_GB2312"/>
                <w:sz w:val="24"/>
                <w:szCs w:val="24"/>
              </w:rPr>
              <w:t>《河南科技大学财务与资产管理部（招标采购管理办公室）》</w:t>
            </w:r>
            <w:r>
              <w:rPr>
                <w:rFonts w:hint="eastAsia" w:ascii="仿宋_GB2312" w:hAnsi="仿宋_GB2312" w:eastAsia="仿宋_GB2312" w:cs="仿宋_GB2312"/>
                <w:color w:val="000000"/>
                <w:sz w:val="24"/>
                <w:szCs w:val="24"/>
                <w:lang w:bidi="ar"/>
              </w:rPr>
              <w:t>网页上发布“变更公告”，如需修改磋商文件，则同时通知所有投标报名的供应商。</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对于各项目中已经成功报名并下载磋商文件的供应商，将通过第三方短信群发方式提醒供应商进行查询。各供应商须重新下载最新的“答疑文件”，并以此编制响应文件。如不以最新发布的“答疑文件”编制响应文件，造成响应无效的后果由供应商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3.1.1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构成响应文件的其他资料</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3.2.4</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预算控制金额</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预算金额为</w:t>
            </w:r>
            <w:r>
              <w:rPr>
                <w:rFonts w:hint="eastAsia" w:ascii="仿宋_GB2312" w:hAnsi="仿宋_GB2312" w:eastAsia="仿宋_GB2312" w:cs="仿宋_GB2312"/>
                <w:b/>
                <w:bCs/>
                <w:color w:val="000000"/>
                <w:sz w:val="24"/>
                <w:szCs w:val="24"/>
                <w:lang w:bidi="ar"/>
              </w:rPr>
              <w:t>3195000.00</w:t>
            </w:r>
            <w:r>
              <w:rPr>
                <w:rFonts w:hint="eastAsia" w:ascii="仿宋_GB2312" w:hAnsi="仿宋_GB2312" w:eastAsia="仿宋_GB2312" w:cs="仿宋_GB2312"/>
                <w:color w:val="000000"/>
                <w:sz w:val="24"/>
                <w:szCs w:val="24"/>
                <w:lang w:bidi="ar"/>
              </w:rPr>
              <w:t>元，最高限价为</w:t>
            </w:r>
            <w:r>
              <w:rPr>
                <w:rFonts w:hint="eastAsia" w:ascii="仿宋_GB2312" w:hAnsi="仿宋_GB2312" w:eastAsia="仿宋_GB2312" w:cs="仿宋_GB2312"/>
                <w:b/>
                <w:bCs/>
                <w:color w:val="000000"/>
                <w:sz w:val="24"/>
                <w:szCs w:val="24"/>
                <w:lang w:bidi="ar"/>
              </w:rPr>
              <w:t>3195000.00</w:t>
            </w:r>
            <w:r>
              <w:rPr>
                <w:rFonts w:hint="eastAsia" w:ascii="仿宋_GB2312" w:hAnsi="仿宋_GB2312" w:eastAsia="仿宋_GB2312" w:cs="仿宋_GB2312"/>
                <w:color w:val="000000"/>
                <w:sz w:val="24"/>
                <w:szCs w:val="24"/>
                <w:lang w:bidi="ar"/>
              </w:rPr>
              <w:t>元（多个标段时应分标段填写）。</w:t>
            </w:r>
          </w:p>
          <w:tbl>
            <w:tblPr>
              <w:tblStyle w:val="16"/>
              <w:tblW w:w="0" w:type="auto"/>
              <w:tblInd w:w="83" w:type="dxa"/>
              <w:tblLayout w:type="autofit"/>
              <w:tblCellMar>
                <w:top w:w="0" w:type="dxa"/>
                <w:left w:w="10" w:type="dxa"/>
                <w:bottom w:w="0" w:type="dxa"/>
                <w:right w:w="10" w:type="dxa"/>
              </w:tblCellMar>
            </w:tblPr>
            <w:tblGrid>
              <w:gridCol w:w="669"/>
              <w:gridCol w:w="2032"/>
              <w:gridCol w:w="1254"/>
              <w:gridCol w:w="1214"/>
            </w:tblGrid>
            <w:tr>
              <w:tblPrEx>
                <w:tblCellMar>
                  <w:top w:w="0" w:type="dxa"/>
                  <w:left w:w="10" w:type="dxa"/>
                  <w:bottom w:w="0" w:type="dxa"/>
                  <w:right w:w="10" w:type="dxa"/>
                </w:tblCellMar>
              </w:tblPrEx>
              <w:trPr>
                <w:trHeight w:val="451" w:hRule="exact"/>
                <w:tblHeader/>
              </w:trPr>
              <w:tc>
                <w:tcPr>
                  <w:tcW w:w="669"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包号</w:t>
                  </w:r>
                </w:p>
              </w:tc>
              <w:tc>
                <w:tcPr>
                  <w:tcW w:w="2032"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包名称</w:t>
                  </w:r>
                </w:p>
              </w:tc>
              <w:tc>
                <w:tcPr>
                  <w:tcW w:w="1254"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包预算</w:t>
                  </w:r>
                </w:p>
              </w:tc>
              <w:tc>
                <w:tcPr>
                  <w:tcW w:w="1214"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包最高限价</w:t>
                  </w:r>
                </w:p>
              </w:tc>
            </w:tr>
            <w:tr>
              <w:tblPrEx>
                <w:tblCellMar>
                  <w:top w:w="0" w:type="dxa"/>
                  <w:left w:w="10" w:type="dxa"/>
                  <w:bottom w:w="0" w:type="dxa"/>
                  <w:right w:w="10" w:type="dxa"/>
                </w:tblCellMar>
              </w:tblPrEx>
              <w:trPr>
                <w:trHeight w:val="446" w:hRule="exact"/>
              </w:trPr>
              <w:tc>
                <w:tcPr>
                  <w:tcW w:w="669"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包1</w:t>
                  </w:r>
                </w:p>
              </w:tc>
              <w:tc>
                <w:tcPr>
                  <w:tcW w:w="2032"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中文图书（自科1）</w:t>
                  </w:r>
                </w:p>
              </w:tc>
              <w:tc>
                <w:tcPr>
                  <w:tcW w:w="1254"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600000. 00</w:t>
                  </w:r>
                </w:p>
              </w:tc>
              <w:tc>
                <w:tcPr>
                  <w:tcW w:w="1214"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600000. 00</w:t>
                  </w:r>
                </w:p>
              </w:tc>
            </w:tr>
            <w:tr>
              <w:tblPrEx>
                <w:tblCellMar>
                  <w:top w:w="0" w:type="dxa"/>
                  <w:left w:w="10" w:type="dxa"/>
                  <w:bottom w:w="0" w:type="dxa"/>
                  <w:right w:w="10" w:type="dxa"/>
                </w:tblCellMar>
              </w:tblPrEx>
              <w:trPr>
                <w:trHeight w:val="446" w:hRule="exact"/>
              </w:trPr>
              <w:tc>
                <w:tcPr>
                  <w:tcW w:w="669"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包2</w:t>
                  </w:r>
                </w:p>
              </w:tc>
              <w:tc>
                <w:tcPr>
                  <w:tcW w:w="2032"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中文图书（自科2）</w:t>
                  </w:r>
                </w:p>
              </w:tc>
              <w:tc>
                <w:tcPr>
                  <w:tcW w:w="1254"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580000. 00</w:t>
                  </w:r>
                </w:p>
              </w:tc>
              <w:tc>
                <w:tcPr>
                  <w:tcW w:w="1214"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580000. 00</w:t>
                  </w:r>
                </w:p>
              </w:tc>
            </w:tr>
            <w:tr>
              <w:tblPrEx>
                <w:tblCellMar>
                  <w:top w:w="0" w:type="dxa"/>
                  <w:left w:w="10" w:type="dxa"/>
                  <w:bottom w:w="0" w:type="dxa"/>
                  <w:right w:w="10" w:type="dxa"/>
                </w:tblCellMar>
              </w:tblPrEx>
              <w:trPr>
                <w:trHeight w:val="446" w:hRule="exact"/>
              </w:trPr>
              <w:tc>
                <w:tcPr>
                  <w:tcW w:w="669"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包3</w:t>
                  </w:r>
                </w:p>
              </w:tc>
              <w:tc>
                <w:tcPr>
                  <w:tcW w:w="2032"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中文图书（社科1）</w:t>
                  </w:r>
                </w:p>
              </w:tc>
              <w:tc>
                <w:tcPr>
                  <w:tcW w:w="1254"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560000. 00</w:t>
                  </w:r>
                </w:p>
              </w:tc>
              <w:tc>
                <w:tcPr>
                  <w:tcW w:w="1214"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560000. 00</w:t>
                  </w:r>
                </w:p>
              </w:tc>
            </w:tr>
            <w:tr>
              <w:tblPrEx>
                <w:tblCellMar>
                  <w:top w:w="0" w:type="dxa"/>
                  <w:left w:w="10" w:type="dxa"/>
                  <w:bottom w:w="0" w:type="dxa"/>
                  <w:right w:w="10" w:type="dxa"/>
                </w:tblCellMar>
              </w:tblPrEx>
              <w:trPr>
                <w:trHeight w:val="451" w:hRule="exact"/>
              </w:trPr>
              <w:tc>
                <w:tcPr>
                  <w:tcW w:w="669"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包4</w:t>
                  </w:r>
                </w:p>
              </w:tc>
              <w:tc>
                <w:tcPr>
                  <w:tcW w:w="2032"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中文图书（社科2）</w:t>
                  </w:r>
                </w:p>
              </w:tc>
              <w:tc>
                <w:tcPr>
                  <w:tcW w:w="1254"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540000. 00</w:t>
                  </w:r>
                </w:p>
              </w:tc>
              <w:tc>
                <w:tcPr>
                  <w:tcW w:w="1214"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540000. 00</w:t>
                  </w:r>
                </w:p>
              </w:tc>
            </w:tr>
            <w:tr>
              <w:tblPrEx>
                <w:tblCellMar>
                  <w:top w:w="0" w:type="dxa"/>
                  <w:left w:w="10" w:type="dxa"/>
                  <w:bottom w:w="0" w:type="dxa"/>
                  <w:right w:w="10" w:type="dxa"/>
                </w:tblCellMar>
              </w:tblPrEx>
              <w:trPr>
                <w:trHeight w:val="446" w:hRule="exact"/>
              </w:trPr>
              <w:tc>
                <w:tcPr>
                  <w:tcW w:w="669"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包5</w:t>
                  </w:r>
                </w:p>
              </w:tc>
              <w:tc>
                <w:tcPr>
                  <w:tcW w:w="2032"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中文图书（特藏）</w:t>
                  </w:r>
                </w:p>
              </w:tc>
              <w:tc>
                <w:tcPr>
                  <w:tcW w:w="1254"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500000. 00</w:t>
                  </w:r>
                </w:p>
              </w:tc>
              <w:tc>
                <w:tcPr>
                  <w:tcW w:w="1214"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500000. 00</w:t>
                  </w:r>
                </w:p>
              </w:tc>
            </w:tr>
            <w:tr>
              <w:tblPrEx>
                <w:tblCellMar>
                  <w:top w:w="0" w:type="dxa"/>
                  <w:left w:w="10" w:type="dxa"/>
                  <w:bottom w:w="0" w:type="dxa"/>
                  <w:right w:w="10" w:type="dxa"/>
                </w:tblCellMar>
              </w:tblPrEx>
              <w:trPr>
                <w:trHeight w:val="456" w:hRule="exact"/>
              </w:trPr>
              <w:tc>
                <w:tcPr>
                  <w:tcW w:w="669" w:type="dxa"/>
                  <w:tcBorders>
                    <w:top w:val="single" w:color="auto" w:sz="4" w:space="0"/>
                    <w:left w:val="single" w:color="auto" w:sz="4" w:space="0"/>
                    <w:bottom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包6</w:t>
                  </w:r>
                </w:p>
              </w:tc>
              <w:tc>
                <w:tcPr>
                  <w:tcW w:w="2032" w:type="dxa"/>
                  <w:tcBorders>
                    <w:top w:val="single" w:color="auto" w:sz="4" w:space="0"/>
                    <w:left w:val="single" w:color="auto" w:sz="4" w:space="0"/>
                    <w:bottom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中文期刊</w:t>
                  </w:r>
                </w:p>
              </w:tc>
              <w:tc>
                <w:tcPr>
                  <w:tcW w:w="1254" w:type="dxa"/>
                  <w:tcBorders>
                    <w:top w:val="single" w:color="auto" w:sz="4" w:space="0"/>
                    <w:left w:val="single" w:color="auto" w:sz="4" w:space="0"/>
                    <w:bottom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415000. 00</w:t>
                  </w:r>
                </w:p>
              </w:tc>
              <w:tc>
                <w:tcPr>
                  <w:tcW w:w="121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415000. 00</w:t>
                  </w:r>
                </w:p>
              </w:tc>
            </w:tr>
          </w:tbl>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b/>
                <w:bCs/>
                <w:color w:val="000000"/>
                <w:sz w:val="24"/>
                <w:szCs w:val="24"/>
                <w:lang w:bidi="ar"/>
              </w:rPr>
              <w:t>投标人的投标总金额不得超过预算金额（预算金额和最高限价不一致时，不得超过最高限价），否则其投标将被否决。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3.2.5</w:t>
            </w:r>
          </w:p>
        </w:tc>
        <w:tc>
          <w:tcPr>
            <w:tcW w:w="1538" w:type="pct"/>
            <w:vAlign w:val="center"/>
          </w:tcPr>
          <w:p>
            <w:pPr>
              <w:pStyle w:val="31"/>
              <w:jc w:val="left"/>
              <w:rPr>
                <w:rFonts w:ascii="仿宋_GB2312" w:hAnsi="仿宋_GB2312" w:eastAsia="仿宋_GB2312" w:cs="仿宋_GB2312"/>
                <w:color w:val="000000"/>
                <w:kern w:val="0"/>
                <w:sz w:val="24"/>
                <w:szCs w:val="24"/>
                <w:highlight w:val="yellow"/>
                <w:lang w:bidi="ar"/>
              </w:rPr>
            </w:pPr>
            <w:r>
              <w:rPr>
                <w:rFonts w:hint="eastAsia" w:ascii="仿宋_GB2312" w:hAnsi="仿宋_GB2312" w:eastAsia="仿宋_GB2312" w:cs="仿宋_GB2312"/>
                <w:sz w:val="24"/>
                <w:szCs w:val="28"/>
              </w:rPr>
              <w:t>报价的其他要求</w:t>
            </w:r>
          </w:p>
        </w:tc>
        <w:tc>
          <w:tcPr>
            <w:tcW w:w="2932" w:type="pct"/>
          </w:tcPr>
          <w:p>
            <w:pPr>
              <w:pStyle w:val="31"/>
              <w:jc w:val="left"/>
              <w:rPr>
                <w:rFonts w:ascii="仿宋_GB2312" w:hAnsi="仿宋_GB2312" w:eastAsia="仿宋_GB2312" w:cs="仿宋_GB2312"/>
                <w:b/>
                <w:bCs/>
                <w:sz w:val="24"/>
                <w:szCs w:val="28"/>
              </w:rPr>
            </w:pPr>
            <w:r>
              <w:rPr>
                <w:rFonts w:hint="eastAsia" w:ascii="仿宋_GB2312" w:hAnsi="仿宋_GB2312" w:eastAsia="仿宋_GB2312" w:cs="仿宋_GB2312"/>
                <w:b/>
                <w:bCs/>
                <w:sz w:val="24"/>
                <w:szCs w:val="28"/>
              </w:rPr>
              <w:t>报价组成是供书实洋除以供书码洋得出的综合折扣率，最终结算费用为实际供货码洋乘以投标折扣率。</w:t>
            </w:r>
          </w:p>
          <w:p>
            <w:pPr>
              <w:pStyle w:val="31"/>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报价是履行合同的最终报价，无特别注明，均以综合折扣率进行报价。应包括本采购项目所包含的货物、软件、标准附件、备品备件、专用工具、图纸资料、技术服务，包装、仓储、运输、装卸、保险、税金，货到就位以及安装、调试、培训、保修等一切税金和费用。</w:t>
            </w:r>
          </w:p>
          <w:p>
            <w:pPr>
              <w:pStyle w:val="31"/>
              <w:jc w:val="left"/>
              <w:rPr>
                <w:rFonts w:ascii="仿宋_GB2312" w:hAnsi="仿宋_GB2312" w:eastAsia="仿宋_GB2312" w:cs="仿宋_GB2312"/>
                <w:sz w:val="24"/>
                <w:szCs w:val="28"/>
                <w:highlight w:val="yellow"/>
              </w:rPr>
            </w:pPr>
            <w:r>
              <w:rPr>
                <w:rFonts w:hint="eastAsia" w:ascii="仿宋_GB2312" w:hAnsi="仿宋_GB2312" w:eastAsia="仿宋_GB2312" w:cs="仿宋_GB2312"/>
                <w:sz w:val="24"/>
                <w:szCs w:val="28"/>
              </w:rPr>
              <w:t>如果本项目报经政府采购管理部门批准允许采购进口产品，除上述一切税金和费用外，报价还应包含国际运输、保险、进口产品报关清关、商检等一切税金和费用。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3.3.1</w:t>
            </w:r>
          </w:p>
        </w:tc>
        <w:tc>
          <w:tcPr>
            <w:tcW w:w="1538"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响应文件有效期</w:t>
            </w:r>
          </w:p>
        </w:tc>
        <w:tc>
          <w:tcPr>
            <w:tcW w:w="2932" w:type="pct"/>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提交响应文件截止时间后90天，有效期短于该期限的响应将被拒绝。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3.4.1</w:t>
            </w:r>
          </w:p>
        </w:tc>
        <w:tc>
          <w:tcPr>
            <w:tcW w:w="1538"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磋商保证金</w:t>
            </w:r>
          </w:p>
        </w:tc>
        <w:tc>
          <w:tcPr>
            <w:tcW w:w="2932"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本次采购免收磋商保证金。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3.4.4</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其他可以不予退还磋商保证金的情形</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3.5.3</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资格审查资料的特殊要求</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☑无</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3.6.1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是否允许提交备选方案</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☑不允许</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4.1.1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封套上的密封和标记</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本项目为远程不见面开标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提交响应文件截止时间</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提交响应文件地点</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4.2.3</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响应文件装订要求</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本项目为远程不见面开标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4.2.5</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响应文件密封要求</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本项目为远程不见面开标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4.2.6</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响应文件份数</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本项目为远程不见面开标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4.2.7</w:t>
            </w:r>
          </w:p>
        </w:tc>
        <w:tc>
          <w:tcPr>
            <w:tcW w:w="1538" w:type="pct"/>
            <w:vAlign w:val="center"/>
          </w:tcPr>
          <w:p>
            <w:pPr>
              <w:pStyle w:val="37"/>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响应文件上传问题联系方式</w:t>
            </w:r>
          </w:p>
        </w:tc>
        <w:tc>
          <w:tcPr>
            <w:tcW w:w="2932" w:type="pct"/>
            <w:vAlign w:val="center"/>
          </w:tcPr>
          <w:p>
            <w:pPr>
              <w:pStyle w:val="37"/>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供应商因洛阳市电子招投标交易平台问题无法上传电子响应文件时，请在工作时间与交易中心联系。联系方式：400-998-0000；0379-69921055。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5.1</w:t>
            </w:r>
          </w:p>
        </w:tc>
        <w:tc>
          <w:tcPr>
            <w:tcW w:w="1538"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磋商开启时间和地点</w:t>
            </w:r>
          </w:p>
        </w:tc>
        <w:tc>
          <w:tcPr>
            <w:tcW w:w="2932"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开启时间：同提交响应文件截止时间</w:t>
            </w:r>
          </w:p>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开启地点：同提交响应文件地点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6.1.1</w:t>
            </w:r>
          </w:p>
        </w:tc>
        <w:tc>
          <w:tcPr>
            <w:tcW w:w="1538" w:type="pct"/>
            <w:vAlign w:val="center"/>
          </w:tcPr>
          <w:p>
            <w:pPr>
              <w:pStyle w:val="34"/>
              <w:ind w:firstLine="0"/>
              <w:jc w:val="left"/>
              <w:rPr>
                <w:rFonts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磋商小组的组建</w:t>
            </w:r>
          </w:p>
        </w:tc>
        <w:tc>
          <w:tcPr>
            <w:tcW w:w="2932" w:type="pct"/>
            <w:vAlign w:val="center"/>
          </w:tcPr>
          <w:p>
            <w:pPr>
              <w:pStyle w:val="34"/>
              <w:ind w:firstLine="0"/>
              <w:jc w:val="left"/>
              <w:rPr>
                <w:rFonts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磋商小组构成：3人</w:t>
            </w:r>
          </w:p>
          <w:p>
            <w:pPr>
              <w:pStyle w:val="34"/>
              <w:ind w:firstLine="0"/>
              <w:jc w:val="left"/>
              <w:rPr>
                <w:rFonts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其中采购人代表 1人，专家2人。</w:t>
            </w:r>
          </w:p>
          <w:p>
            <w:pPr>
              <w:pStyle w:val="34"/>
              <w:ind w:firstLine="0"/>
              <w:jc w:val="left"/>
              <w:rPr>
                <w:rFonts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经济、技术专家开标前从政府采购专家库中抽取。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6.3.2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磋商小组推荐成交候选人的人数</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3名/包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7.1.1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是否授权磋商小组确定成交供应商</w:t>
            </w:r>
          </w:p>
        </w:tc>
        <w:tc>
          <w:tcPr>
            <w:tcW w:w="2932"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7.1.2</w:t>
            </w:r>
          </w:p>
        </w:tc>
        <w:tc>
          <w:tcPr>
            <w:tcW w:w="1538"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确定成交的原则</w:t>
            </w:r>
          </w:p>
        </w:tc>
        <w:tc>
          <w:tcPr>
            <w:tcW w:w="2932"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磋商小组根据评审排列顺序确定第一名、第二名、第三名为成交候选人，并确定第一名为成交供应商。如成交候选人出现并列，由磋商小组投票确定成交供应商。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7.2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成交结果公布媒介及期限</w:t>
            </w:r>
          </w:p>
        </w:tc>
        <w:tc>
          <w:tcPr>
            <w:tcW w:w="2932" w:type="pct"/>
            <w:vAlign w:val="center"/>
          </w:tcPr>
          <w:p>
            <w:pPr>
              <w:pStyle w:val="34"/>
              <w:ind w:firstLine="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公布媒介：《河南省政府采购网》、《全国公共资源交易平台（河南省·洛阳市》、《河南科技大学财务与资产管理部（招标采购管理办公室）》网页上公布。</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7.4.1</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履约保证金</w:t>
            </w:r>
          </w:p>
        </w:tc>
        <w:tc>
          <w:tcPr>
            <w:tcW w:w="2932" w:type="pct"/>
            <w:vAlign w:val="center"/>
          </w:tcPr>
          <w:p>
            <w:pPr>
              <w:pStyle w:val="34"/>
              <w:ind w:firstLine="0"/>
              <w:jc w:val="left"/>
              <w:rPr>
                <w:rFonts w:ascii="仿宋_GB2312" w:hAnsi="仿宋_GB2312" w:eastAsia="仿宋_GB2312" w:cs="仿宋_GB2312"/>
                <w:color w:val="000000"/>
                <w:sz w:val="24"/>
                <w:szCs w:val="24"/>
                <w:highlight w:val="none"/>
                <w:lang w:bidi="ar"/>
              </w:rPr>
            </w:pPr>
            <w:r>
              <w:rPr>
                <w:rFonts w:hint="eastAsia" w:ascii="仿宋_GB2312" w:hAnsi="仿宋_GB2312" w:eastAsia="仿宋_GB2312" w:cs="仿宋_GB2312"/>
                <w:color w:val="000000"/>
                <w:sz w:val="24"/>
                <w:szCs w:val="24"/>
                <w:highlight w:val="none"/>
                <w:lang w:bidi="ar"/>
              </w:rPr>
              <w:t>□否，本次招标免收履约保证金。</w:t>
            </w:r>
          </w:p>
          <w:p>
            <w:pPr>
              <w:widowControl/>
              <w:jc w:val="left"/>
              <w:rPr>
                <w:rFonts w:ascii="仿宋_GB2312" w:hAnsi="仿宋_GB2312" w:eastAsia="仿宋_GB2312" w:cs="仿宋_GB2312"/>
                <w:color w:val="000000"/>
                <w:kern w:val="0"/>
                <w:sz w:val="24"/>
                <w:szCs w:val="24"/>
                <w:highlight w:val="none"/>
                <w:lang w:bidi="ar"/>
              </w:rPr>
            </w:pPr>
            <w:r>
              <w:rPr>
                <w:rFonts w:ascii="Segoe UI Symbol" w:hAnsi="Segoe UI Symbol" w:eastAsia="仿宋_GB2312" w:cs="Segoe UI Symbol"/>
                <w:spacing w:val="14"/>
                <w:sz w:val="24"/>
                <w:szCs w:val="24"/>
                <w:highlight w:val="none"/>
              </w:rPr>
              <w:t>☑</w:t>
            </w:r>
            <w:r>
              <w:rPr>
                <w:rFonts w:hint="eastAsia" w:ascii="仿宋_GB2312" w:hAnsi="仿宋_GB2312" w:eastAsia="仿宋_GB2312" w:cs="仿宋_GB2312"/>
                <w:color w:val="000000"/>
                <w:kern w:val="0"/>
                <w:sz w:val="24"/>
                <w:szCs w:val="24"/>
                <w:highlight w:val="none"/>
                <w:lang w:bidi="ar"/>
              </w:rPr>
              <w:t>是，履约保证金按中标金额的</w:t>
            </w:r>
            <w:r>
              <w:rPr>
                <w:rFonts w:hint="eastAsia" w:ascii="仿宋_GB2312" w:hAnsi="仿宋_GB2312" w:eastAsia="仿宋_GB2312" w:cs="仿宋_GB2312"/>
                <w:color w:val="000000"/>
                <w:kern w:val="0"/>
                <w:sz w:val="24"/>
                <w:szCs w:val="24"/>
                <w:highlight w:val="none"/>
                <w:u w:val="single"/>
                <w:lang w:bidi="ar"/>
              </w:rPr>
              <w:t xml:space="preserve"> 10 % </w:t>
            </w:r>
            <w:r>
              <w:rPr>
                <w:rFonts w:hint="eastAsia" w:ascii="仿宋_GB2312" w:hAnsi="仿宋_GB2312" w:eastAsia="仿宋_GB2312" w:cs="仿宋_GB2312"/>
                <w:color w:val="000000"/>
                <w:kern w:val="0"/>
                <w:sz w:val="24"/>
                <w:szCs w:val="24"/>
                <w:highlight w:val="none"/>
                <w:lang w:bidi="ar"/>
              </w:rPr>
              <w:t xml:space="preserve">收取，中标人以转账的形式向采购人提交。 </w:t>
            </w:r>
          </w:p>
          <w:p>
            <w:pPr>
              <w:widowControl/>
              <w:jc w:val="left"/>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 xml:space="preserve">转账方式收款账号信息 </w:t>
            </w:r>
          </w:p>
          <w:p>
            <w:pPr>
              <w:widowControl/>
              <w:jc w:val="left"/>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 xml:space="preserve">单位名称：河南科技大学 </w:t>
            </w:r>
          </w:p>
          <w:p>
            <w:pPr>
              <w:widowControl/>
              <w:jc w:val="left"/>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 xml:space="preserve">银行账号：1705020809049088826 </w:t>
            </w:r>
          </w:p>
          <w:p>
            <w:pPr>
              <w:widowControl/>
              <w:jc w:val="left"/>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highlight w:val="none"/>
                <w:lang w:bidi="ar"/>
              </w:rPr>
              <w:t xml:space="preserve">开户银行：工行洛阳分行涧西支行 </w:t>
            </w:r>
          </w:p>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银行行号：102493002088 </w:t>
            </w:r>
          </w:p>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开户银行国际银行代码：ICBKCNBJLYA </w:t>
            </w:r>
          </w:p>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纳税人识别号:124100004165265089 </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统一社会信用代码:124100004165265089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7.5.4</w:t>
            </w:r>
          </w:p>
        </w:tc>
        <w:tc>
          <w:tcPr>
            <w:tcW w:w="1538"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签订合同的其他要求</w:t>
            </w:r>
          </w:p>
        </w:tc>
        <w:tc>
          <w:tcPr>
            <w:tcW w:w="2932" w:type="pct"/>
            <w:vAlign w:val="center"/>
          </w:tcPr>
          <w:p>
            <w:pPr>
              <w:pStyle w:val="31"/>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在授予成交供应商合同时，保留对产品数量予以适当增减的权利；供应商不得在此情况下对响应文件作出修改，如交货期、售后服务等；数量增减变动时，单价根据供应商最终成交价与响应文件中的首次报价的比例同比下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28" w:type="pct"/>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8.5.2</w:t>
            </w:r>
          </w:p>
        </w:tc>
        <w:tc>
          <w:tcPr>
            <w:tcW w:w="1538" w:type="pct"/>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质疑函的递交方式</w:t>
            </w:r>
          </w:p>
        </w:tc>
        <w:tc>
          <w:tcPr>
            <w:tcW w:w="2932" w:type="pct"/>
            <w:vAlign w:val="center"/>
          </w:tcPr>
          <w:p>
            <w:pPr>
              <w:pStyle w:val="31"/>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质疑函应当面递交；因情况特殊而邮寄的，交邮前应通知采购人、采购代理机构。接受质疑函的采购人、采购代理机构的联系部门、联系电话和通讯地址详见本项目采购公告和供应商须知前附表。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9</w:t>
            </w:r>
          </w:p>
        </w:tc>
        <w:tc>
          <w:tcPr>
            <w:tcW w:w="1538"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样品</w:t>
            </w:r>
          </w:p>
        </w:tc>
        <w:tc>
          <w:tcPr>
            <w:tcW w:w="2932"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10</w:t>
            </w:r>
          </w:p>
        </w:tc>
        <w:tc>
          <w:tcPr>
            <w:tcW w:w="1538"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相同品牌产品的处理</w:t>
            </w:r>
          </w:p>
        </w:tc>
        <w:tc>
          <w:tcPr>
            <w:tcW w:w="2932"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rPr>
            </w:pPr>
            <w:r>
              <w:rPr>
                <w:rFonts w:hint="eastAsia" w:ascii="仿宋_GB2312" w:hAnsi="仿宋_GB2312" w:eastAsia="仿宋_GB2312" w:cs="仿宋_GB2312"/>
                <w:color w:val="000000"/>
                <w:sz w:val="24"/>
                <w:szCs w:val="24"/>
                <w:lang w:bidi="ar"/>
              </w:rPr>
              <w:t>提供相同品牌产品且通过资格性审查、符合性审查的不同供应商参加同一包的，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pPr>
              <w:pStyle w:val="34"/>
              <w:ind w:firstLine="0"/>
              <w:jc w:val="center"/>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11</w:t>
            </w:r>
          </w:p>
        </w:tc>
        <w:tc>
          <w:tcPr>
            <w:tcW w:w="1538"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需要补充的其他内容</w:t>
            </w:r>
          </w:p>
        </w:tc>
        <w:tc>
          <w:tcPr>
            <w:tcW w:w="2932"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 xml:space="preserve">监管部门：河南省财政厅 </w:t>
            </w:r>
          </w:p>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监管部门联系方式：0371-65808421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28" w:type="pct"/>
            <w:tcBorders>
              <w:top w:val="single" w:color="auto" w:sz="4" w:space="0"/>
              <w:left w:val="single" w:color="auto" w:sz="4" w:space="0"/>
              <w:bottom w:val="single" w:color="auto" w:sz="4" w:space="0"/>
              <w:right w:val="single" w:color="auto" w:sz="4" w:space="0"/>
            </w:tcBorders>
            <w:vAlign w:val="center"/>
          </w:tcPr>
          <w:p>
            <w:pPr>
              <w:pStyle w:val="34"/>
              <w:ind w:firstLine="0"/>
              <w:jc w:val="center"/>
              <w:rPr>
                <w:rFonts w:ascii="仿宋_GB2312" w:hAnsi="仿宋_GB2312" w:eastAsia="仿宋_GB2312" w:cs="仿宋_GB2312"/>
                <w:spacing w:val="14"/>
                <w:sz w:val="24"/>
                <w:szCs w:val="24"/>
              </w:rPr>
            </w:pPr>
            <w:bookmarkStart w:id="12" w:name="_Toc1662590"/>
            <w:r>
              <w:rPr>
                <w:rFonts w:hint="eastAsia" w:ascii="仿宋_GB2312" w:hAnsi="仿宋_GB2312" w:eastAsia="仿宋_GB2312" w:cs="仿宋_GB2312"/>
                <w:spacing w:val="14"/>
                <w:sz w:val="24"/>
                <w:szCs w:val="24"/>
              </w:rPr>
              <w:t>12</w:t>
            </w:r>
          </w:p>
        </w:tc>
        <w:tc>
          <w:tcPr>
            <w:tcW w:w="1538" w:type="pct"/>
            <w:tcBorders>
              <w:top w:val="single" w:color="auto" w:sz="4" w:space="0"/>
              <w:left w:val="single" w:color="auto" w:sz="4" w:space="0"/>
              <w:bottom w:val="single" w:color="auto" w:sz="4" w:space="0"/>
              <w:right w:val="single" w:color="auto" w:sz="4" w:space="0"/>
            </w:tcBorders>
            <w:vAlign w:val="center"/>
          </w:tcPr>
          <w:p>
            <w:pPr>
              <w:pStyle w:val="34"/>
              <w:ind w:firstLine="0"/>
              <w:jc w:val="left"/>
              <w:rPr>
                <w:rFonts w:ascii="仿宋_GB2312" w:hAnsi="仿宋_GB2312" w:eastAsia="仿宋_GB2312" w:cs="仿宋_GB2312"/>
                <w:color w:val="000000"/>
                <w:sz w:val="24"/>
                <w:szCs w:val="24"/>
                <w:lang w:bidi="ar"/>
              </w:rPr>
            </w:pPr>
            <w:r>
              <w:rPr>
                <w:rFonts w:hint="eastAsia" w:ascii="仿宋_GB2312" w:hAnsi="仿宋_GB2312" w:eastAsia="仿宋_GB2312" w:cs="仿宋_GB2312"/>
                <w:color w:val="000000"/>
                <w:sz w:val="24"/>
                <w:szCs w:val="24"/>
                <w:lang w:bidi="ar"/>
              </w:rPr>
              <w:t>其他</w:t>
            </w:r>
          </w:p>
        </w:tc>
        <w:tc>
          <w:tcPr>
            <w:tcW w:w="2932"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（1）招标代理服务费由成交单位支付，参考计价格[2002]1980号文《招标代理服务收费管理暂行办法》及国发改办价格【2003】857号文、发改价格【2011】534号文规定的收费标准下浮35%计取向采购代理机构支付。</w:t>
            </w:r>
          </w:p>
          <w:p>
            <w:pPr>
              <w:widowControl/>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（2）如出现中标供应商因故退出或拒绝与采购人签订合同的，则由采购人按照评标报告及供应商排名名单，依据总得分从高到低确定下一候选人为中标或者成交供应商，也可重新招标。</w:t>
            </w:r>
          </w:p>
          <w:p>
            <w:pPr>
              <w:widowControl/>
              <w:jc w:val="left"/>
              <w:rPr>
                <w:rFonts w:ascii="仿宋_GB2312" w:hAnsi="仿宋_GB2312" w:eastAsia="仿宋_GB2312" w:cs="仿宋_GB2312"/>
              </w:rPr>
            </w:pPr>
            <w:r>
              <w:rPr>
                <w:rFonts w:hint="eastAsia" w:ascii="仿宋_GB2312" w:hAnsi="仿宋_GB2312" w:eastAsia="仿宋_GB2312" w:cs="仿宋_GB2312"/>
                <w:color w:val="000000"/>
                <w:kern w:val="0"/>
                <w:sz w:val="24"/>
                <w:szCs w:val="24"/>
                <w:lang w:bidi="ar"/>
              </w:rPr>
              <w:t>(3)该项目所属行业：商业零售和批发行业；</w:t>
            </w:r>
          </w:p>
        </w:tc>
      </w:tr>
    </w:tbl>
    <w:p>
      <w:pPr>
        <w:pStyle w:val="3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1、总则</w:t>
      </w:r>
      <w:bookmarkEnd w:id="12"/>
    </w:p>
    <w:p>
      <w:pPr>
        <w:pStyle w:val="31"/>
        <w:rPr>
          <w:rFonts w:ascii="仿宋_GB2312" w:hAnsi="仿宋_GB2312" w:eastAsia="仿宋_GB2312" w:cs="仿宋_GB2312"/>
          <w:b/>
          <w:bCs/>
          <w:spacing w:val="14"/>
          <w:sz w:val="28"/>
          <w:szCs w:val="28"/>
        </w:rPr>
      </w:pPr>
      <w:bookmarkStart w:id="13" w:name="_Toc1662591"/>
      <w:r>
        <w:rPr>
          <w:rFonts w:hint="eastAsia" w:ascii="仿宋_GB2312" w:hAnsi="仿宋_GB2312" w:eastAsia="仿宋_GB2312" w:cs="仿宋_GB2312"/>
          <w:b/>
          <w:bCs/>
          <w:spacing w:val="14"/>
          <w:sz w:val="28"/>
          <w:szCs w:val="28"/>
        </w:rPr>
        <w:t>1.1采购项目概况</w:t>
      </w:r>
      <w:bookmarkEnd w:id="13"/>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1.1.1根据《中华人民共和国政府采购法》、《中华人民共和国政府采购法实施条例》、《政府采购竞争性磋商采购方式管理暂行办法》等有关法律、法规和规章的规定，本采购项目已具备采购条件，现进行采购。</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1.1.2采购人：见供应商须知前附表。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1.1.3采购代理机构：见供应商须知前附表。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1.1.4采购项目名称：见供应商须知前附表。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1.1.5落实政府采购政策要求: 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如果本项目报经政府采购管理部门批准允许采购进口产品，供应商可报进口产品，也可报国产产品。但进口货物及其有关服务必须符合原产地和/或中华人民共和国的设计和制造生产标准或行业标准。进口的货物必须具有合法的进口手续和途径，并通过中华人民共和国商检部门检验。</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（2）根据财政部工业和信息化部《政府采购促进中小企业发展管理办法》（财库〔2020〕46号）的规定。</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在货物采购项目中，货物由中小企业制造，即货物由中小企业生产且使用该中小企业商号或者注册商标；供应商提供的货物既有中小企业制造货物，也有大型企业制造货物的，不享受本办法规定的中小企业扶持政策。 </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非专门面向中小企业采购的采购项目（采购包）对符合《政府采购促进中小企业发展管理办法》 规定的小微企业报价给予</w:t>
      </w:r>
      <w:r>
        <w:rPr>
          <w:rFonts w:ascii="仿宋_GB2312" w:hAnsi="仿宋_GB2312" w:eastAsia="仿宋_GB2312" w:cs="仿宋_GB2312"/>
          <w:color w:val="000000"/>
          <w:kern w:val="0"/>
          <w:sz w:val="24"/>
          <w:szCs w:val="24"/>
          <w:lang w:bidi="ar"/>
        </w:rPr>
        <w:t>1</w:t>
      </w:r>
      <w:r>
        <w:rPr>
          <w:rFonts w:hint="eastAsia" w:ascii="仿宋_GB2312" w:hAnsi="仿宋_GB2312" w:eastAsia="仿宋_GB2312" w:cs="仿宋_GB2312"/>
          <w:color w:val="000000"/>
          <w:kern w:val="0"/>
          <w:sz w:val="24"/>
          <w:szCs w:val="24"/>
          <w:lang w:bidi="ar"/>
        </w:rPr>
        <w:t>0%扣除；专门面向中小企业采购的采购项目（采购包），不执行价格扣除政策。</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（3）根据财政部司法部《关于政府采购支持监狱企业发展有关问题的通知》（财库〔2014〕68号）规定，监狱企业视同小型、微型企业，享受评审中价格扣除等政府采购促进中小企业发展的政府采购政策。</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（5）同一供应商（包括联合体），中小微企业产品、监狱企业产品、残疾人福利性单位产品价格扣除优惠只享受一次，不得重复享受。</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（6）根据财政部工业和信息化部《政府采购促进中小企业发展管理办法》（财库〔2020〕46号）的规定，如本项目专门面向中小企业或小微企业采购的，评审中价格将均不予扣除。</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1.1.6为落实政府采购政策，本次采购强制采购的节能产品：见供应商须知前附表。供应商所投强制节能产品应具有《中国节能产品认证证书》，证书不显示规格型号的，还须同时提供证书配套附件；证书应是由《市场监管总局关于发布参与实施政府采购节能产品、环境标志产品认证机构名录的公告》的认证机构出具的、处于有效期之内的，否则其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1.1.7政府采购管理部门备案编号: 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1.1.8采购编号: 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1.1.9采购包划分: 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bookmarkStart w:id="14" w:name="_Toc1662592"/>
      <w:r>
        <w:rPr>
          <w:rFonts w:hint="eastAsia" w:ascii="仿宋_GB2312" w:hAnsi="仿宋_GB2312" w:eastAsia="仿宋_GB2312" w:cs="仿宋_GB2312"/>
          <w:color w:val="000000"/>
          <w:kern w:val="0"/>
          <w:sz w:val="24"/>
          <w:szCs w:val="24"/>
          <w:lang w:bidi="ar"/>
        </w:rPr>
        <w:t>1.2采购项目的资金来源及付款方式</w:t>
      </w:r>
      <w:bookmarkEnd w:id="14"/>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1.2.1资金来源: 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1.2.2付款方式: 见供应商须知前附表，不接受该条件的响应将被否决。</w:t>
      </w:r>
    </w:p>
    <w:p>
      <w:pPr>
        <w:widowControl/>
        <w:ind w:firstLine="418" w:firstLineChars="200"/>
        <w:jc w:val="left"/>
        <w:rPr>
          <w:rFonts w:ascii="仿宋_GB2312" w:hAnsi="仿宋_GB2312" w:eastAsia="仿宋_GB2312" w:cs="仿宋_GB2312"/>
          <w:color w:val="000000"/>
          <w:kern w:val="0"/>
          <w:sz w:val="24"/>
          <w:szCs w:val="24"/>
          <w:lang w:bidi="ar"/>
        </w:rPr>
      </w:pPr>
      <w:bookmarkStart w:id="15" w:name="_Toc1662593"/>
      <w:r>
        <w:rPr>
          <w:rFonts w:hint="eastAsia" w:ascii="仿宋_GB2312" w:hAnsi="仿宋_GB2312" w:eastAsia="仿宋_GB2312" w:cs="仿宋_GB2312"/>
          <w:color w:val="000000"/>
          <w:kern w:val="0"/>
          <w:sz w:val="24"/>
          <w:szCs w:val="24"/>
          <w:lang w:bidi="ar"/>
        </w:rPr>
        <w:t>1.3交货期、交货地点、履约验收、质保期及售后服务</w:t>
      </w:r>
      <w:bookmarkEnd w:id="15"/>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1.3.1交货期：见供应商须知前附表，不接受该条件的响应将被否决。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1.3.2交货地点：见供应商须知前附表，不接受该条件的响应将被否决。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1.3.3履约验收：见供应商须知前附表。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1.3.4质保期及售后服务：见供应商须知前附表，不接受该条件的响应将被否决。</w:t>
      </w:r>
    </w:p>
    <w:p>
      <w:pPr>
        <w:widowControl/>
        <w:ind w:firstLine="418" w:firstLineChars="200"/>
        <w:jc w:val="left"/>
        <w:rPr>
          <w:rFonts w:ascii="仿宋_GB2312" w:hAnsi="仿宋_GB2312" w:eastAsia="仿宋_GB2312" w:cs="仿宋_GB2312"/>
          <w:color w:val="000000"/>
          <w:kern w:val="0"/>
          <w:sz w:val="24"/>
          <w:szCs w:val="24"/>
          <w:lang w:bidi="ar"/>
        </w:rPr>
      </w:pPr>
      <w:bookmarkStart w:id="16" w:name="_Toc1662594"/>
      <w:r>
        <w:rPr>
          <w:rFonts w:hint="eastAsia" w:ascii="仿宋_GB2312" w:hAnsi="仿宋_GB2312" w:eastAsia="仿宋_GB2312" w:cs="仿宋_GB2312"/>
          <w:color w:val="000000"/>
          <w:kern w:val="0"/>
          <w:sz w:val="24"/>
          <w:szCs w:val="24"/>
          <w:lang w:bidi="ar"/>
        </w:rPr>
        <w:t>1.4 供应商资格要求</w:t>
      </w:r>
      <w:bookmarkEnd w:id="16"/>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1.4.1供应商资格要求：供应商应当符合《政府采购法》第二十二条第一款规定的条件，具体见供应商须知前附表。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1.4.2供应商须知前附表规定接受联合体的，联合体除应符合本章第 1.4.1 项和供应商须知前附表的要求外，还应遵守以下规定：(本项目不适用）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（1）联合体各方应按磋商文件提供的格式签订联合体协议书，明确联合体牵头人和各方权利义务，并承诺就成交项目向采购人承担连带责任；</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（2）两个以上的自然人、法人或者其他组织可以组成一个联合体，以一个供应商的身份共同参加政府采购。</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联合体各方均应当符合《政府采购法》第二十二条第一款规定的条件，根据采购项目的特殊要求规定供应商特定条件的，联合体各方中至少应当有一方符合采购公告规定的供应商资格条件。联合体中有同类资质的供应商按照联合体分工承担相同工作的，应当按照资质等级较低的供应商确定资质等级。</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（4）联合体各方不得再以自己名义单独或参加其他联合体在本采购项目中参与，否则各相关响应文件均无效。</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1.4.3供应商不得存在下列情形之一：</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（1）与采购人存在利害关系且可能影响采购公正性；</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（2）与本采购项目的其他供应商为同一个单位负责人；</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（3）与本采购项目的其他供应商存在直接控股、管理关系；</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（4）为本采购项目提供整体设计、规范编制或者项目管理、监理、检测等服务；</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（5）为本采购项目的采购代理机构或与采购代理机构同为一个法定代表人；</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（6）被“中国政府采购”网站（www.ccgp.gov.cn）列入政府采购严重违法失信行为记录名单；</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（7）因违法经营受到刑事处罚或者责令停产停业、吊销许可证或者执照、较大数额罚款等行政处罚；</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（8）进入清算程序，或被宣告破产，或其他丧失履约能力的情形；</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（9）被“信用中国”网站（www.creditchina.gov.cn）列入失信被执行人、重大税收违法案件当事人名单；</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（10）在近三年内供应商有行贿犯罪行为的；</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（11）法律法规或供应商须知前附表规定的其他情形。</w:t>
      </w:r>
    </w:p>
    <w:p>
      <w:pPr>
        <w:widowControl/>
        <w:ind w:firstLine="418" w:firstLineChars="200"/>
        <w:jc w:val="left"/>
        <w:rPr>
          <w:rFonts w:ascii="仿宋_GB2312" w:hAnsi="仿宋_GB2312" w:eastAsia="仿宋_GB2312" w:cs="仿宋_GB2312"/>
          <w:color w:val="000000"/>
          <w:kern w:val="0"/>
          <w:sz w:val="24"/>
          <w:szCs w:val="24"/>
          <w:lang w:bidi="ar"/>
        </w:rPr>
      </w:pPr>
      <w:bookmarkStart w:id="17" w:name="_Toc1662595"/>
      <w:r>
        <w:rPr>
          <w:rFonts w:hint="eastAsia" w:ascii="仿宋_GB2312" w:hAnsi="仿宋_GB2312" w:eastAsia="仿宋_GB2312" w:cs="仿宋_GB2312"/>
          <w:color w:val="000000"/>
          <w:kern w:val="0"/>
          <w:sz w:val="24"/>
          <w:szCs w:val="24"/>
          <w:lang w:bidi="ar"/>
        </w:rPr>
        <w:t>1.5 费用承担</w:t>
      </w:r>
      <w:bookmarkEnd w:id="17"/>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供应商准备和参加采购活动发生的费用自理。</w:t>
      </w:r>
    </w:p>
    <w:p>
      <w:pPr>
        <w:widowControl/>
        <w:ind w:firstLine="418" w:firstLineChars="200"/>
        <w:jc w:val="left"/>
        <w:rPr>
          <w:rFonts w:ascii="仿宋_GB2312" w:hAnsi="仿宋_GB2312" w:eastAsia="仿宋_GB2312" w:cs="仿宋_GB2312"/>
          <w:color w:val="000000"/>
          <w:kern w:val="0"/>
          <w:sz w:val="24"/>
          <w:szCs w:val="24"/>
          <w:lang w:bidi="ar"/>
        </w:rPr>
      </w:pPr>
      <w:bookmarkStart w:id="18" w:name="_Toc1662596"/>
      <w:r>
        <w:rPr>
          <w:rFonts w:hint="eastAsia" w:ascii="仿宋_GB2312" w:hAnsi="仿宋_GB2312" w:eastAsia="仿宋_GB2312" w:cs="仿宋_GB2312"/>
          <w:color w:val="000000"/>
          <w:kern w:val="0"/>
          <w:sz w:val="24"/>
          <w:szCs w:val="24"/>
          <w:lang w:bidi="ar"/>
        </w:rPr>
        <w:t>1.6 保密</w:t>
      </w:r>
      <w:bookmarkEnd w:id="18"/>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参与采购活动的各方应对磋商文件和响应文件中的商业和技术等秘密保密，否则应承担相应的法律责任。</w:t>
      </w:r>
    </w:p>
    <w:p>
      <w:pPr>
        <w:widowControl/>
        <w:ind w:firstLine="418" w:firstLineChars="200"/>
        <w:jc w:val="left"/>
        <w:rPr>
          <w:rFonts w:ascii="仿宋_GB2312" w:hAnsi="仿宋_GB2312" w:eastAsia="仿宋_GB2312" w:cs="仿宋_GB2312"/>
          <w:color w:val="000000"/>
          <w:kern w:val="0"/>
          <w:sz w:val="24"/>
          <w:szCs w:val="24"/>
          <w:lang w:bidi="ar"/>
        </w:rPr>
      </w:pPr>
      <w:bookmarkStart w:id="19" w:name="_Toc1662597"/>
      <w:r>
        <w:rPr>
          <w:rFonts w:hint="eastAsia" w:ascii="仿宋_GB2312" w:hAnsi="仿宋_GB2312" w:eastAsia="仿宋_GB2312" w:cs="仿宋_GB2312"/>
          <w:color w:val="000000"/>
          <w:kern w:val="0"/>
          <w:sz w:val="24"/>
          <w:szCs w:val="24"/>
          <w:lang w:bidi="ar"/>
        </w:rPr>
        <w:t>1.7 语言文字</w:t>
      </w:r>
      <w:bookmarkEnd w:id="19"/>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磋商文件、响应文件使用的语言文字为中文。专用术语使用外文的，应附有中文注释。</w:t>
      </w:r>
    </w:p>
    <w:p>
      <w:pPr>
        <w:widowControl/>
        <w:ind w:firstLine="418" w:firstLineChars="200"/>
        <w:jc w:val="left"/>
        <w:rPr>
          <w:rFonts w:ascii="仿宋_GB2312" w:hAnsi="仿宋_GB2312" w:eastAsia="仿宋_GB2312" w:cs="仿宋_GB2312"/>
          <w:color w:val="000000"/>
          <w:kern w:val="0"/>
          <w:sz w:val="24"/>
          <w:szCs w:val="24"/>
          <w:lang w:bidi="ar"/>
        </w:rPr>
      </w:pPr>
      <w:bookmarkStart w:id="20" w:name="_Toc1662598"/>
      <w:r>
        <w:rPr>
          <w:rFonts w:hint="eastAsia" w:ascii="仿宋_GB2312" w:hAnsi="仿宋_GB2312" w:eastAsia="仿宋_GB2312" w:cs="仿宋_GB2312"/>
          <w:color w:val="000000"/>
          <w:kern w:val="0"/>
          <w:sz w:val="24"/>
          <w:szCs w:val="24"/>
          <w:lang w:bidi="ar"/>
        </w:rPr>
        <w:t>1.8 计量单位</w:t>
      </w:r>
      <w:bookmarkEnd w:id="20"/>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所有计量均采用中华人民共和国法定计量单位。</w:t>
      </w:r>
    </w:p>
    <w:p>
      <w:pPr>
        <w:widowControl/>
        <w:ind w:firstLine="418" w:firstLineChars="200"/>
        <w:jc w:val="left"/>
        <w:rPr>
          <w:rFonts w:ascii="仿宋_GB2312" w:hAnsi="仿宋_GB2312" w:eastAsia="仿宋_GB2312" w:cs="仿宋_GB2312"/>
          <w:color w:val="000000"/>
          <w:kern w:val="0"/>
          <w:sz w:val="24"/>
          <w:szCs w:val="24"/>
          <w:lang w:bidi="ar"/>
        </w:rPr>
      </w:pPr>
      <w:bookmarkStart w:id="21" w:name="_Toc1662599"/>
      <w:r>
        <w:rPr>
          <w:rFonts w:hint="eastAsia" w:ascii="仿宋_GB2312" w:hAnsi="仿宋_GB2312" w:eastAsia="仿宋_GB2312" w:cs="仿宋_GB2312"/>
          <w:color w:val="000000"/>
          <w:kern w:val="0"/>
          <w:sz w:val="24"/>
          <w:szCs w:val="24"/>
          <w:lang w:bidi="ar"/>
        </w:rPr>
        <w:t>1.9 磋商预备会</w:t>
      </w:r>
      <w:bookmarkEnd w:id="21"/>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1.9.1供应商须知前附表规定召开磋商预备会的，采购人按供应商须知前附表规定的时间和地点召开磋商预备会，澄清供应商提出的问题。</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1.9.2供应商应按供应商须知前附表规定的时间和形式将提出的问题送达采购人，以便采购人在会议期间澄清。</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1.9.3磋商预备会后，采购人对供应商所提问题的澄清为磋商文件的组成部分。</w:t>
      </w:r>
    </w:p>
    <w:p>
      <w:pPr>
        <w:widowControl/>
        <w:ind w:firstLine="418" w:firstLineChars="200"/>
        <w:jc w:val="left"/>
        <w:rPr>
          <w:rFonts w:ascii="仿宋_GB2312" w:hAnsi="仿宋_GB2312" w:eastAsia="仿宋_GB2312" w:cs="仿宋_GB2312"/>
          <w:color w:val="000000"/>
          <w:kern w:val="0"/>
          <w:sz w:val="24"/>
          <w:szCs w:val="24"/>
          <w:lang w:bidi="ar"/>
        </w:rPr>
      </w:pPr>
      <w:bookmarkStart w:id="22" w:name="_Toc1662600"/>
      <w:r>
        <w:rPr>
          <w:rFonts w:hint="eastAsia" w:ascii="仿宋_GB2312" w:hAnsi="仿宋_GB2312" w:eastAsia="仿宋_GB2312" w:cs="仿宋_GB2312"/>
          <w:color w:val="000000"/>
          <w:kern w:val="0"/>
          <w:sz w:val="24"/>
          <w:szCs w:val="24"/>
          <w:lang w:bidi="ar"/>
        </w:rPr>
        <w:t>1.10 分包</w:t>
      </w:r>
      <w:bookmarkEnd w:id="22"/>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1.10.1供应商拟在成交后将成交项目的非主体货物进行分包的，应符合供应商须知前附表规定的分包内容、分包金额和资质要求等限制性条件，除供应商须知前附表规定的非主体货物外，其他工作不得分包。</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1.10.2成交供应商不得向他人转让成交项目，接受分包的人不得再次分包。成交供应商应当就分包项目向采购人负责，接受分包的人就分包项目承担连带责任。</w:t>
      </w:r>
    </w:p>
    <w:p>
      <w:pPr>
        <w:widowControl/>
        <w:ind w:firstLine="418" w:firstLineChars="200"/>
        <w:jc w:val="left"/>
        <w:rPr>
          <w:rFonts w:ascii="仿宋_GB2312" w:hAnsi="仿宋_GB2312" w:eastAsia="仿宋_GB2312" w:cs="仿宋_GB2312"/>
          <w:color w:val="000000"/>
          <w:kern w:val="0"/>
          <w:sz w:val="24"/>
          <w:szCs w:val="24"/>
          <w:lang w:bidi="ar"/>
        </w:rPr>
      </w:pPr>
      <w:bookmarkStart w:id="23" w:name="_Toc1662601"/>
      <w:r>
        <w:rPr>
          <w:rFonts w:hint="eastAsia" w:ascii="仿宋_GB2312" w:hAnsi="仿宋_GB2312" w:eastAsia="仿宋_GB2312" w:cs="仿宋_GB2312"/>
          <w:color w:val="000000"/>
          <w:kern w:val="0"/>
          <w:sz w:val="24"/>
          <w:szCs w:val="24"/>
          <w:lang w:bidi="ar"/>
        </w:rPr>
        <w:t>1.11 响应和偏差</w:t>
      </w:r>
      <w:bookmarkEnd w:id="23"/>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1.11.1响应文件应当对磋商文件的实质性要求和条件作出满足性或更有利于采购人的响应，否则，供应商的响应将被否决。实质性要求和条件见供应商须知前附表。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1.11.2供应商应根据磋商文件的要求提供技术要求响应与偏差表、商务要求响应与偏差表、重要技术条款的客观证明材料、售后服务计划等内容以对磋商文件作出响应。</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1.11.3响应文件中应针对实质性要求和条件中列明的技术要求提供技术支持资料。技术支持资料以制造商公开发布的印刷资料，或检验检测机构出具的检测报告或供应商须知前附表允许的其他形式为准，不符合前述要求的，视为无技术支持资料，其响应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1.11.4供应商须知前附表规定了可以偏差的范围和最高偏差项数的，偏差应当符合供应商须知前附表规定的偏差范围和最高项数，超出偏差范围和最高偏差项数的响应将被否决。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1.11.5响应文件对磋商文件的全部偏差，均应在响应文件的技术要求响应与偏差表、商务要求响应与偏差表中列明，除列明的内容外，视为供应商响应磋商文件的全部要求。</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1.11.6如响应文件技术要求响应与偏差表、商务要求响应与偏差表中列明的内容与响应文件的其他地方存在不一致，以技术要求响应与偏差表、商务要求响应与偏差表中列明的内容为准。</w:t>
      </w:r>
    </w:p>
    <w:p>
      <w:pPr>
        <w:widowControl/>
        <w:ind w:firstLine="418" w:firstLineChars="200"/>
        <w:jc w:val="left"/>
        <w:rPr>
          <w:rFonts w:ascii="仿宋_GB2312" w:hAnsi="仿宋_GB2312" w:eastAsia="仿宋_GB2312" w:cs="仿宋_GB2312"/>
          <w:color w:val="000000"/>
          <w:kern w:val="0"/>
          <w:sz w:val="24"/>
          <w:szCs w:val="24"/>
          <w:lang w:bidi="ar"/>
        </w:rPr>
      </w:pPr>
      <w:bookmarkStart w:id="24" w:name="_Toc1662602"/>
      <w:r>
        <w:rPr>
          <w:rFonts w:hint="eastAsia" w:ascii="仿宋_GB2312" w:hAnsi="仿宋_GB2312" w:eastAsia="仿宋_GB2312" w:cs="仿宋_GB2312"/>
          <w:color w:val="000000"/>
          <w:kern w:val="0"/>
          <w:sz w:val="24"/>
          <w:szCs w:val="24"/>
          <w:lang w:bidi="ar"/>
        </w:rPr>
        <w:t>2、磋商文件</w:t>
      </w:r>
      <w:bookmarkEnd w:id="24"/>
    </w:p>
    <w:p>
      <w:pPr>
        <w:widowControl/>
        <w:ind w:firstLine="418" w:firstLineChars="200"/>
        <w:jc w:val="left"/>
        <w:rPr>
          <w:rFonts w:ascii="仿宋_GB2312" w:hAnsi="仿宋_GB2312" w:eastAsia="仿宋_GB2312" w:cs="仿宋_GB2312"/>
          <w:color w:val="000000"/>
          <w:kern w:val="0"/>
          <w:sz w:val="24"/>
          <w:szCs w:val="24"/>
          <w:lang w:bidi="ar"/>
        </w:rPr>
      </w:pPr>
      <w:bookmarkStart w:id="25" w:name="_Toc1662603"/>
      <w:r>
        <w:rPr>
          <w:rFonts w:hint="eastAsia" w:ascii="仿宋_GB2312" w:hAnsi="仿宋_GB2312" w:eastAsia="仿宋_GB2312" w:cs="仿宋_GB2312"/>
          <w:color w:val="000000"/>
          <w:kern w:val="0"/>
          <w:sz w:val="24"/>
          <w:szCs w:val="24"/>
          <w:lang w:bidi="ar"/>
        </w:rPr>
        <w:t>2.1 磋商文件的组成</w:t>
      </w:r>
      <w:bookmarkEnd w:id="25"/>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本磋商文件包括：</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（1）采购公告；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（2）供应商须知； </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（3）采购需求；</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（4）合同（样本）；</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（5）资格审查与评审办法；</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（6）资格审查与评审标准；</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（7）响应文件格式；</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（8）供应商须知前附表规定的其他资料。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根据本章第 1.9 款、第 2.2 款对磋商文件所作的澄清、修改，构成磋商文件的组成部分。</w:t>
      </w:r>
    </w:p>
    <w:p>
      <w:pPr>
        <w:widowControl/>
        <w:ind w:firstLine="418" w:firstLineChars="200"/>
        <w:jc w:val="left"/>
        <w:rPr>
          <w:rFonts w:ascii="仿宋_GB2312" w:hAnsi="仿宋_GB2312" w:eastAsia="仿宋_GB2312" w:cs="仿宋_GB2312"/>
          <w:color w:val="000000"/>
          <w:kern w:val="0"/>
          <w:sz w:val="24"/>
          <w:szCs w:val="24"/>
          <w:lang w:bidi="ar"/>
        </w:rPr>
      </w:pPr>
      <w:bookmarkStart w:id="26" w:name="_Toc1662604"/>
      <w:r>
        <w:rPr>
          <w:rFonts w:hint="eastAsia" w:ascii="仿宋_GB2312" w:hAnsi="仿宋_GB2312" w:eastAsia="仿宋_GB2312" w:cs="仿宋_GB2312"/>
          <w:color w:val="000000"/>
          <w:kern w:val="0"/>
          <w:sz w:val="24"/>
          <w:szCs w:val="24"/>
          <w:lang w:bidi="ar"/>
        </w:rPr>
        <w:t>2.2 磋商文件的澄清</w:t>
      </w:r>
      <w:bookmarkEnd w:id="26"/>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2.2.1供应商应仔细阅读和检查磋商文件的全部内容。如发现缺页或附件不全，应及时向采购代理机构提出，以便补齐。如有疑问，应按供应商须知前附表规定的时间和形式将提出的问题送达采购代理机构，要求对磋商文件予以澄清。</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2.2.2 磋商文件的澄清、修改按供应商须知前附表规定的形式发出。澄清、修改发出的时间距提交响应文件截止时间不足 5日的，并且修改内容可能影响响应文件编制的，将相应延长提交响应文件截止时间。</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2.2.3 除非采购人认为确有必要答复，否则，采购人有权拒绝回复供应商在本章第 2.2.1 项规定的时间后的任何澄清要求。</w:t>
      </w:r>
    </w:p>
    <w:p>
      <w:pPr>
        <w:widowControl/>
        <w:ind w:firstLine="418" w:firstLineChars="200"/>
        <w:jc w:val="left"/>
        <w:rPr>
          <w:rFonts w:ascii="仿宋_GB2312" w:hAnsi="仿宋_GB2312" w:eastAsia="仿宋_GB2312" w:cs="仿宋_GB2312"/>
          <w:color w:val="000000"/>
          <w:kern w:val="0"/>
          <w:sz w:val="24"/>
          <w:szCs w:val="24"/>
          <w:lang w:bidi="ar"/>
        </w:rPr>
      </w:pPr>
      <w:bookmarkStart w:id="27" w:name="_Toc1662605"/>
      <w:r>
        <w:rPr>
          <w:rFonts w:hint="eastAsia" w:ascii="仿宋_GB2312" w:hAnsi="仿宋_GB2312" w:eastAsia="仿宋_GB2312" w:cs="仿宋_GB2312"/>
          <w:color w:val="000000"/>
          <w:kern w:val="0"/>
          <w:sz w:val="24"/>
          <w:szCs w:val="24"/>
          <w:lang w:bidi="ar"/>
        </w:rPr>
        <w:t>2.3 磋商文件的异议</w:t>
      </w:r>
      <w:bookmarkEnd w:id="27"/>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供应商或者其他利害关系人对磋商文件有质疑的，应当在提交响应文件截止时间 5 日前以书面形式提出。</w:t>
      </w:r>
    </w:p>
    <w:p>
      <w:pPr>
        <w:widowControl/>
        <w:ind w:firstLine="418" w:firstLineChars="200"/>
        <w:jc w:val="left"/>
        <w:rPr>
          <w:rFonts w:ascii="仿宋_GB2312" w:hAnsi="仿宋_GB2312" w:eastAsia="仿宋_GB2312" w:cs="仿宋_GB2312"/>
          <w:color w:val="000000"/>
          <w:kern w:val="0"/>
          <w:sz w:val="24"/>
          <w:szCs w:val="24"/>
          <w:lang w:bidi="ar"/>
        </w:rPr>
      </w:pPr>
      <w:bookmarkStart w:id="28" w:name="_Toc1662606"/>
      <w:r>
        <w:rPr>
          <w:rFonts w:hint="eastAsia" w:ascii="仿宋_GB2312" w:hAnsi="仿宋_GB2312" w:eastAsia="仿宋_GB2312" w:cs="仿宋_GB2312"/>
          <w:color w:val="000000"/>
          <w:kern w:val="0"/>
          <w:sz w:val="24"/>
          <w:szCs w:val="24"/>
          <w:lang w:bidi="ar"/>
        </w:rPr>
        <w:t>3、响应文件</w:t>
      </w:r>
      <w:bookmarkEnd w:id="28"/>
    </w:p>
    <w:p>
      <w:pPr>
        <w:widowControl/>
        <w:ind w:firstLine="418" w:firstLineChars="200"/>
        <w:jc w:val="left"/>
        <w:rPr>
          <w:rFonts w:ascii="仿宋_GB2312" w:hAnsi="仿宋_GB2312" w:eastAsia="仿宋_GB2312" w:cs="仿宋_GB2312"/>
          <w:color w:val="000000"/>
          <w:kern w:val="0"/>
          <w:sz w:val="24"/>
          <w:szCs w:val="24"/>
          <w:lang w:bidi="ar"/>
        </w:rPr>
      </w:pPr>
      <w:bookmarkStart w:id="29" w:name="_Toc1662607"/>
      <w:r>
        <w:rPr>
          <w:rFonts w:hint="eastAsia" w:ascii="仿宋_GB2312" w:hAnsi="仿宋_GB2312" w:eastAsia="仿宋_GB2312" w:cs="仿宋_GB2312"/>
          <w:color w:val="000000"/>
          <w:kern w:val="0"/>
          <w:sz w:val="24"/>
          <w:szCs w:val="24"/>
          <w:lang w:bidi="ar"/>
        </w:rPr>
        <w:t>3.1 响应文件的组成</w:t>
      </w:r>
      <w:bookmarkEnd w:id="29"/>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3.1.1 响应文件应包括下列内容（详见磋商文件第七章“响应文件格式”）：</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（1）封面</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（2）投标函</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（3）法定代表人授权书</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（4）法人被授权人身份证扫描件</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（5）资格证明材料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（6）开标一览表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（7）报价明细表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（8）中小微企业声明函（投标人）</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（9）残疾人福利性单位声明函</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（10）监狱企业证明文件</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（11）技术要求响应与偏差表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（12）商务要求响应与偏差表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（13）节能产品、环境标志产品明细表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（14）项目实施方案</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（15）售后服务计划</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（16）其他需要提供的资料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（17）参与评审打分的证书（证件）一览表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（18）参与评审打分的证书（证件）扫描件</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（19）参与评审打分的合同业绩一览表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（20）参与评审打分的合同业绩扫描件</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（21）其他材料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供应商在评审过程中作出的符合法律法规和磋商文件规定的澄清确认，构成响应文件的组成部分。</w:t>
      </w:r>
    </w:p>
    <w:p>
      <w:pPr>
        <w:widowControl/>
        <w:ind w:firstLine="418" w:firstLineChars="200"/>
        <w:jc w:val="left"/>
        <w:rPr>
          <w:rFonts w:ascii="仿宋_GB2312" w:hAnsi="仿宋_GB2312" w:eastAsia="仿宋_GB2312" w:cs="仿宋_GB2312"/>
          <w:color w:val="000000"/>
          <w:kern w:val="0"/>
          <w:sz w:val="24"/>
          <w:szCs w:val="24"/>
          <w:lang w:bidi="ar"/>
        </w:rPr>
      </w:pPr>
      <w:bookmarkStart w:id="30" w:name="_Toc1662608"/>
      <w:r>
        <w:rPr>
          <w:rFonts w:hint="eastAsia" w:ascii="仿宋_GB2312" w:hAnsi="仿宋_GB2312" w:eastAsia="仿宋_GB2312" w:cs="仿宋_GB2312"/>
          <w:color w:val="000000"/>
          <w:kern w:val="0"/>
          <w:sz w:val="24"/>
          <w:szCs w:val="24"/>
          <w:lang w:bidi="ar"/>
        </w:rPr>
        <w:t>3.2报价</w:t>
      </w:r>
      <w:bookmarkEnd w:id="30"/>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3.2.1报价涉及货币的应为人民币，包括国家规定的增值税税金。供应商应按第七章“响应文件格式”的要求进行报价并填写报价明细表。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3.2.2供应商应充分了解该项目的总体情况以及影响报价的其他要素。</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3.2.3总报价为各分项报价金额之和，总报价与分项报价的合价不一致的，应以各分项合价累计数为准，修正总报价；如分项报价中存在缺漏项，则视为缺漏项价格已包含在其他分项报价之中。</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3.2.4 采购人设有预算控制金额的，供应商的报价不得超过预算控制金额，预算控制金额在供应商须知前附表中载明。</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3.2.5报价的其他要求见供应商须知前附表。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3.2.6本次采购为竞争性磋商采购，允许符合要求的供应商在规定的时间提交最后报价。</w:t>
      </w:r>
    </w:p>
    <w:p>
      <w:pPr>
        <w:widowControl/>
        <w:ind w:firstLine="418" w:firstLineChars="200"/>
        <w:jc w:val="left"/>
        <w:rPr>
          <w:rFonts w:ascii="仿宋_GB2312" w:hAnsi="仿宋_GB2312" w:eastAsia="仿宋_GB2312" w:cs="仿宋_GB2312"/>
          <w:color w:val="000000"/>
          <w:kern w:val="0"/>
          <w:sz w:val="24"/>
          <w:szCs w:val="24"/>
          <w:lang w:bidi="ar"/>
        </w:rPr>
      </w:pPr>
      <w:bookmarkStart w:id="31" w:name="_Toc1662609"/>
      <w:r>
        <w:rPr>
          <w:rFonts w:hint="eastAsia" w:ascii="仿宋_GB2312" w:hAnsi="仿宋_GB2312" w:eastAsia="仿宋_GB2312" w:cs="仿宋_GB2312"/>
          <w:color w:val="000000"/>
          <w:kern w:val="0"/>
          <w:sz w:val="24"/>
          <w:szCs w:val="24"/>
          <w:lang w:bidi="ar"/>
        </w:rPr>
        <w:t>3.3 响应文件有效期</w:t>
      </w:r>
      <w:bookmarkEnd w:id="31"/>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3.3.1 除供应商须知前附表另有规定外，响应文件有效期为90 天。</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3.3.2 在响应文件有效期内，供应商撤销响应文件的，应承担磋商文件和法律规定的责任。</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3.3.3 出现特殊情况需要延长响应文件有效期的，采购人以书面形式通知所有供应商延长响应文件有效期。供应商应予以书面答复，同意延长的，应相应延长其磋商保证金的有效期，但不得要求或被允许修改其响应文件；供应商拒绝延长的，其响应失效，但供应商有权收回其磋商保证金。</w:t>
      </w:r>
    </w:p>
    <w:p>
      <w:pPr>
        <w:widowControl/>
        <w:ind w:firstLine="418" w:firstLineChars="200"/>
        <w:jc w:val="left"/>
        <w:rPr>
          <w:rFonts w:ascii="仿宋_GB2312" w:hAnsi="仿宋_GB2312" w:eastAsia="仿宋_GB2312" w:cs="仿宋_GB2312"/>
          <w:color w:val="000000"/>
          <w:kern w:val="0"/>
          <w:sz w:val="24"/>
          <w:szCs w:val="24"/>
          <w:lang w:bidi="ar"/>
        </w:rPr>
      </w:pPr>
      <w:bookmarkStart w:id="32" w:name="_Toc1662610"/>
      <w:r>
        <w:rPr>
          <w:rFonts w:hint="eastAsia" w:ascii="仿宋_GB2312" w:hAnsi="仿宋_GB2312" w:eastAsia="仿宋_GB2312" w:cs="仿宋_GB2312"/>
          <w:color w:val="000000"/>
          <w:kern w:val="0"/>
          <w:sz w:val="24"/>
          <w:szCs w:val="24"/>
          <w:lang w:bidi="ar"/>
        </w:rPr>
        <w:t>3.4 磋商保证金</w:t>
      </w:r>
      <w:bookmarkEnd w:id="32"/>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3.4.1本项目免收保证金</w:t>
      </w:r>
    </w:p>
    <w:p>
      <w:pPr>
        <w:widowControl/>
        <w:ind w:firstLine="418" w:firstLineChars="200"/>
        <w:jc w:val="left"/>
        <w:rPr>
          <w:rFonts w:ascii="仿宋_GB2312" w:hAnsi="仿宋_GB2312" w:eastAsia="仿宋_GB2312" w:cs="仿宋_GB2312"/>
          <w:color w:val="000000"/>
          <w:kern w:val="0"/>
          <w:sz w:val="24"/>
          <w:szCs w:val="24"/>
          <w:lang w:bidi="ar"/>
        </w:rPr>
      </w:pPr>
      <w:bookmarkStart w:id="33" w:name="_Toc1662611"/>
      <w:r>
        <w:rPr>
          <w:rFonts w:hint="eastAsia" w:ascii="仿宋_GB2312" w:hAnsi="仿宋_GB2312" w:eastAsia="仿宋_GB2312" w:cs="仿宋_GB2312"/>
          <w:color w:val="000000"/>
          <w:kern w:val="0"/>
          <w:sz w:val="24"/>
          <w:szCs w:val="24"/>
          <w:lang w:bidi="ar"/>
        </w:rPr>
        <w:t>3.5 资格审查资料</w:t>
      </w:r>
      <w:bookmarkEnd w:id="33"/>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3.5.1根据第六章内容提供证明材料。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3.5.2供应商须知前附表规定接受联合体的，联合体各方均应提供资格审查资料。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3.5.3资格审查资料的特殊要求见供应商须知前附表。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bookmarkStart w:id="34" w:name="_Toc1662612"/>
      <w:r>
        <w:rPr>
          <w:rFonts w:hint="eastAsia" w:ascii="仿宋_GB2312" w:hAnsi="仿宋_GB2312" w:eastAsia="仿宋_GB2312" w:cs="仿宋_GB2312"/>
          <w:color w:val="000000"/>
          <w:kern w:val="0"/>
          <w:sz w:val="24"/>
          <w:szCs w:val="24"/>
          <w:lang w:bidi="ar"/>
        </w:rPr>
        <w:t>3.6 备选方案</w:t>
      </w:r>
      <w:bookmarkEnd w:id="34"/>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3.6.1 除供应商须知前附表规定允许外，供应商不得提交备选方案，否则其响应将被否决。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3.6.2 允许供应商提交备选方案的，只有成交供应商所提交的备选方案方可予以考虑。磋商小组认为成交供应商的备选方案优于其按照磋商文件要求编制的响应方案的，采购人可以接受该备选方案。</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3.6.3 供应商提供两个或两个以上报价，或者在响应文件中提供一个报价，但同时提供两个或两个以上供货方案的，视为提供备选方案。</w:t>
      </w:r>
    </w:p>
    <w:p>
      <w:pPr>
        <w:widowControl/>
        <w:ind w:firstLine="418" w:firstLineChars="200"/>
        <w:jc w:val="left"/>
        <w:rPr>
          <w:rFonts w:ascii="仿宋_GB2312" w:hAnsi="仿宋_GB2312" w:eastAsia="仿宋_GB2312" w:cs="仿宋_GB2312"/>
          <w:color w:val="000000"/>
          <w:kern w:val="0"/>
          <w:sz w:val="24"/>
          <w:szCs w:val="24"/>
          <w:lang w:bidi="ar"/>
        </w:rPr>
      </w:pPr>
      <w:bookmarkStart w:id="35" w:name="_Toc1662613"/>
      <w:r>
        <w:rPr>
          <w:rFonts w:hint="eastAsia" w:ascii="仿宋_GB2312" w:hAnsi="仿宋_GB2312" w:eastAsia="仿宋_GB2312" w:cs="仿宋_GB2312"/>
          <w:color w:val="000000"/>
          <w:kern w:val="0"/>
          <w:sz w:val="24"/>
          <w:szCs w:val="24"/>
          <w:lang w:bidi="ar"/>
        </w:rPr>
        <w:t>3.7 响应文件的制作</w:t>
      </w:r>
      <w:bookmarkEnd w:id="35"/>
    </w:p>
    <w:p>
      <w:pPr>
        <w:widowControl/>
        <w:ind w:firstLine="418" w:firstLineChars="200"/>
        <w:jc w:val="left"/>
        <w:rPr>
          <w:rFonts w:ascii="仿宋_GB2312" w:hAnsi="仿宋_GB2312" w:eastAsia="仿宋_GB2312" w:cs="仿宋_GB2312"/>
          <w:color w:val="000000"/>
          <w:kern w:val="0"/>
          <w:sz w:val="24"/>
          <w:szCs w:val="24"/>
          <w:lang w:bidi="ar"/>
        </w:rPr>
      </w:pPr>
      <w:bookmarkStart w:id="36" w:name="_Toc1662614"/>
      <w:r>
        <w:rPr>
          <w:rFonts w:hint="eastAsia" w:ascii="仿宋_GB2312" w:hAnsi="仿宋_GB2312" w:eastAsia="仿宋_GB2312" w:cs="仿宋_GB2312"/>
          <w:color w:val="000000"/>
          <w:kern w:val="0"/>
          <w:sz w:val="24"/>
          <w:szCs w:val="24"/>
          <w:lang w:bidi="ar"/>
        </w:rPr>
        <w:t>3.7.1供应商登录“洛阳市公共资源交易中心”网站，按要求下载“新点投标文件制作软件”。</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3.7.2供应商凭CA锁登录，并按网上提示自行下载磋商文件。使用“新点投标文件制作软件”按要求制作电子响应文件。供应商在制作电子响应文件时，应按要求进行电子签章。供应商编辑电子响应文件时，根据磋商文件要求用法定代表人CA锁和企业CA锁进行签章制作；最后一步生成电子响应文件（*.lytf格式和*.nlytf格式）时，只能用本单位的企业CA锁。联合体投标的，响应文件由联合体牵头人按上述规定进行签章。</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3.7.3加密的电子响应文件为“洛阳市公共资源交易中心”网站提供的“新点投标文件制作软件”制作生成的加密版响应文件。未加密的电子响应文件应与加密的电子响应文件为同时生成的版本。</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3.7.4磋商文件格式所要求包含的全部资料应全部制作在响应文件内，严格按照本项目磋商文件所有格式如实填写（不涉及的内容除外），不应存在漏项或缺项，否则将存在响应文件被否决的风险。</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3.7.5响应文件所附证明材料的扫描件（或照片），尺寸和清晰度应该能够在电脑上被阅读、识别和判断；若供应商未按要求提供证明材料或提供不清晰的扫描件（或照片）的，磋商小组有权认定其响应文件未对磋商文件有关要求进行响应，涉及资格审查性或符合性审查的将不予通过。</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4、响应文件提交</w:t>
      </w:r>
      <w:bookmarkEnd w:id="36"/>
    </w:p>
    <w:p>
      <w:pPr>
        <w:widowControl/>
        <w:ind w:firstLine="418" w:firstLineChars="200"/>
        <w:jc w:val="left"/>
        <w:rPr>
          <w:rFonts w:ascii="仿宋_GB2312" w:hAnsi="仿宋_GB2312" w:eastAsia="仿宋_GB2312" w:cs="仿宋_GB2312"/>
          <w:color w:val="000000"/>
          <w:kern w:val="0"/>
          <w:sz w:val="24"/>
          <w:szCs w:val="24"/>
          <w:lang w:bidi="ar"/>
        </w:rPr>
      </w:pPr>
      <w:bookmarkStart w:id="37" w:name="_Toc1662615"/>
      <w:r>
        <w:rPr>
          <w:rFonts w:hint="eastAsia" w:ascii="仿宋_GB2312" w:hAnsi="仿宋_GB2312" w:eastAsia="仿宋_GB2312" w:cs="仿宋_GB2312"/>
          <w:color w:val="000000"/>
          <w:kern w:val="0"/>
          <w:sz w:val="24"/>
          <w:szCs w:val="24"/>
          <w:lang w:bidi="ar"/>
        </w:rPr>
        <w:t>4.1 响应文件的密封和标记</w:t>
      </w:r>
      <w:bookmarkEnd w:id="37"/>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4.1.1响应文件的密封和标记的要求：见供应商须知前附表。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4.1.2未按要求密封和标记的响应文件，采购人将予以拒收。</w:t>
      </w:r>
    </w:p>
    <w:p>
      <w:pPr>
        <w:widowControl/>
        <w:ind w:firstLine="418" w:firstLineChars="200"/>
        <w:jc w:val="left"/>
        <w:rPr>
          <w:rFonts w:ascii="仿宋_GB2312" w:hAnsi="仿宋_GB2312" w:eastAsia="仿宋_GB2312" w:cs="仿宋_GB2312"/>
          <w:color w:val="000000"/>
          <w:kern w:val="0"/>
          <w:sz w:val="24"/>
          <w:szCs w:val="24"/>
          <w:lang w:bidi="ar"/>
        </w:rPr>
      </w:pPr>
      <w:bookmarkStart w:id="38" w:name="_Toc1662616"/>
      <w:r>
        <w:rPr>
          <w:rFonts w:hint="eastAsia" w:ascii="仿宋_GB2312" w:hAnsi="仿宋_GB2312" w:eastAsia="仿宋_GB2312" w:cs="仿宋_GB2312"/>
          <w:color w:val="000000"/>
          <w:kern w:val="0"/>
          <w:sz w:val="24"/>
          <w:szCs w:val="24"/>
          <w:lang w:bidi="ar"/>
        </w:rPr>
        <w:t>4.2 响应文件的提交</w:t>
      </w:r>
      <w:bookmarkEnd w:id="38"/>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4.2.1 供应商应在供应商须知前附表规定的提交响应文件截止时间前提交响应文件。不接受邮寄、电报、电话、传真等方式。除电子响应文件外，不再接受任何纸质文件、资料等。</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4.2.2供应商提交响应文件的地点：见供应商须知前附表。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4.2.3响应文件份数及其他要求：见供应商须知前附表。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4.2.4供应商应在提交响应文件截止时间前递交。</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4.2.5除供应商须知前附表另有规定外，供应商所提交的响应文件不予退还。</w:t>
      </w:r>
    </w:p>
    <w:p>
      <w:pPr>
        <w:widowControl/>
        <w:ind w:firstLine="418" w:firstLineChars="200"/>
        <w:jc w:val="left"/>
        <w:rPr>
          <w:rFonts w:ascii="仿宋_GB2312" w:hAnsi="仿宋_GB2312" w:eastAsia="仿宋_GB2312" w:cs="仿宋_GB2312"/>
          <w:color w:val="000000"/>
          <w:kern w:val="0"/>
          <w:sz w:val="24"/>
          <w:szCs w:val="24"/>
          <w:lang w:bidi="ar"/>
        </w:rPr>
      </w:pPr>
      <w:bookmarkStart w:id="39" w:name="_Toc1662617"/>
      <w:r>
        <w:rPr>
          <w:rFonts w:hint="eastAsia" w:ascii="仿宋_GB2312" w:hAnsi="仿宋_GB2312" w:eastAsia="仿宋_GB2312" w:cs="仿宋_GB2312"/>
          <w:color w:val="000000"/>
          <w:kern w:val="0"/>
          <w:sz w:val="24"/>
          <w:szCs w:val="24"/>
          <w:lang w:bidi="ar"/>
        </w:rPr>
        <w:t>4.3 响应文件的修改与撤回</w:t>
      </w:r>
      <w:bookmarkEnd w:id="39"/>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4.3.1供应商在提交响应文件后可对其响应文件进行修改须告知采购人并经其同意。</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4.3.2 提交响应文件截止时间以后不得修改响应文件。</w:t>
      </w:r>
    </w:p>
    <w:p>
      <w:pPr>
        <w:widowControl/>
        <w:ind w:firstLine="418" w:firstLineChars="200"/>
        <w:jc w:val="left"/>
        <w:rPr>
          <w:rFonts w:ascii="仿宋_GB2312" w:hAnsi="仿宋_GB2312" w:eastAsia="仿宋_GB2312" w:cs="仿宋_GB2312"/>
          <w:color w:val="000000"/>
          <w:kern w:val="0"/>
          <w:sz w:val="24"/>
          <w:szCs w:val="24"/>
          <w:lang w:bidi="ar"/>
        </w:rPr>
      </w:pPr>
      <w:bookmarkStart w:id="40" w:name="_Toc1662618"/>
      <w:r>
        <w:rPr>
          <w:rFonts w:hint="eastAsia" w:ascii="仿宋_GB2312" w:hAnsi="仿宋_GB2312" w:eastAsia="仿宋_GB2312" w:cs="仿宋_GB2312"/>
          <w:color w:val="000000"/>
          <w:kern w:val="0"/>
          <w:sz w:val="24"/>
          <w:szCs w:val="24"/>
          <w:lang w:bidi="ar"/>
        </w:rPr>
        <w:t>5、磋商开启</w:t>
      </w:r>
      <w:bookmarkEnd w:id="40"/>
    </w:p>
    <w:p>
      <w:pPr>
        <w:widowControl/>
        <w:ind w:firstLine="418" w:firstLineChars="200"/>
        <w:jc w:val="left"/>
        <w:rPr>
          <w:rFonts w:ascii="仿宋_GB2312" w:hAnsi="仿宋_GB2312" w:eastAsia="仿宋_GB2312" w:cs="仿宋_GB2312"/>
          <w:color w:val="000000"/>
          <w:kern w:val="0"/>
          <w:sz w:val="24"/>
          <w:szCs w:val="24"/>
          <w:lang w:bidi="ar"/>
        </w:rPr>
      </w:pPr>
      <w:bookmarkStart w:id="41" w:name="_Toc1662619"/>
      <w:r>
        <w:rPr>
          <w:rFonts w:hint="eastAsia" w:ascii="仿宋_GB2312" w:hAnsi="仿宋_GB2312" w:eastAsia="仿宋_GB2312" w:cs="仿宋_GB2312"/>
          <w:color w:val="000000"/>
          <w:kern w:val="0"/>
          <w:sz w:val="24"/>
          <w:szCs w:val="24"/>
          <w:lang w:bidi="ar"/>
        </w:rPr>
        <w:t>5.1 磋商开启时间和地点</w:t>
      </w:r>
      <w:bookmarkEnd w:id="41"/>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采购人在本章第4.2.1项规定的提交响应文件截止时间和供应商须知前附表规定的地点开启磋商活动。</w:t>
      </w:r>
    </w:p>
    <w:p>
      <w:pPr>
        <w:widowControl/>
        <w:ind w:firstLine="418" w:firstLineChars="200"/>
        <w:jc w:val="left"/>
        <w:rPr>
          <w:rFonts w:ascii="仿宋_GB2312" w:hAnsi="仿宋_GB2312" w:eastAsia="仿宋_GB2312" w:cs="仿宋_GB2312"/>
          <w:color w:val="000000"/>
          <w:kern w:val="0"/>
          <w:sz w:val="24"/>
          <w:szCs w:val="24"/>
          <w:lang w:bidi="ar"/>
        </w:rPr>
      </w:pPr>
      <w:bookmarkStart w:id="42" w:name="_Toc1662620"/>
      <w:r>
        <w:rPr>
          <w:rFonts w:hint="eastAsia" w:ascii="仿宋_GB2312" w:hAnsi="仿宋_GB2312" w:eastAsia="仿宋_GB2312" w:cs="仿宋_GB2312"/>
          <w:color w:val="000000"/>
          <w:kern w:val="0"/>
          <w:sz w:val="24"/>
          <w:szCs w:val="24"/>
          <w:lang w:bidi="ar"/>
        </w:rPr>
        <w:t>5.2 磋商开启规定</w:t>
      </w:r>
      <w:bookmarkEnd w:id="42"/>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5.2.1 采购人在磋商文件规定的时间和地点开启磋商活动。本项目采用远程不见面交易的模式。开标当日，供应商无需到开标现场参加开标会议，供应商应当在投标截止时间前，登录不见面开标大厅选择洛阳市公共资源电子招投标系统进行登录（网址为</w:t>
      </w:r>
      <w:r>
        <w:fldChar w:fldCharType="begin"/>
      </w:r>
      <w:r>
        <w:instrText xml:space="preserve"> HYPERLINK "http://www.lyggzyjy.cn/TPFront/" </w:instrText>
      </w:r>
      <w:r>
        <w:fldChar w:fldCharType="separate"/>
      </w:r>
      <w:r>
        <w:rPr>
          <w:rFonts w:hint="eastAsia" w:ascii="仿宋_GB2312" w:hAnsi="仿宋_GB2312" w:eastAsia="仿宋_GB2312" w:cs="仿宋_GB2312"/>
          <w:color w:val="000000"/>
          <w:kern w:val="0"/>
          <w:sz w:val="24"/>
          <w:szCs w:val="24"/>
          <w:lang w:bidi="ar"/>
        </w:rPr>
        <w:t>http://www.lyggzyjy.cn</w:t>
      </w:r>
      <w:r>
        <w:rPr>
          <w:rFonts w:hint="eastAsia" w:ascii="仿宋_GB2312" w:hAnsi="仿宋_GB2312" w:eastAsia="仿宋_GB2312" w:cs="仿宋_GB2312"/>
          <w:color w:val="000000"/>
          <w:kern w:val="0"/>
          <w:sz w:val="24"/>
          <w:szCs w:val="24"/>
          <w:lang w:bidi="ar"/>
        </w:rPr>
        <w:fldChar w:fldCharType="end"/>
      </w:r>
      <w:r>
        <w:rPr>
          <w:rFonts w:hint="eastAsia" w:ascii="仿宋_GB2312" w:hAnsi="仿宋_GB2312" w:eastAsia="仿宋_GB2312" w:cs="仿宋_GB2312"/>
          <w:color w:val="000000"/>
          <w:kern w:val="0"/>
          <w:sz w:val="24"/>
          <w:szCs w:val="24"/>
          <w:lang w:bidi="ar"/>
        </w:rPr>
        <w:t xml:space="preserve">），在线准时参加开标活动并进行投标文件解密等。 </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5.2.2各供应商应在规定时间内对本单位的响应文件解密。 </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5.2.3本项目采用电子开评标，响应文件开启前必须通过 UK 上传响应文件电子版。因供应商自身原因而导致响应文件无法导入“洛阳市电子招投标交易平台”电子开标、评标系统，该投标视为无效投标，供应商自行承担由此导致的全部责任。</w:t>
      </w:r>
    </w:p>
    <w:p>
      <w:pPr>
        <w:widowControl/>
        <w:ind w:firstLine="418" w:firstLineChars="200"/>
        <w:jc w:val="left"/>
        <w:rPr>
          <w:rFonts w:ascii="仿宋_GB2312" w:hAnsi="仿宋_GB2312" w:eastAsia="仿宋_GB2312" w:cs="仿宋_GB2312"/>
          <w:color w:val="000000"/>
          <w:kern w:val="0"/>
          <w:sz w:val="24"/>
          <w:szCs w:val="24"/>
          <w:lang w:bidi="ar"/>
        </w:rPr>
      </w:pPr>
      <w:bookmarkStart w:id="43" w:name="_Toc1662621"/>
      <w:r>
        <w:rPr>
          <w:rFonts w:hint="eastAsia" w:ascii="仿宋_GB2312" w:hAnsi="仿宋_GB2312" w:eastAsia="仿宋_GB2312" w:cs="仿宋_GB2312"/>
          <w:color w:val="000000"/>
          <w:kern w:val="0"/>
          <w:sz w:val="24"/>
          <w:szCs w:val="24"/>
          <w:lang w:bidi="ar"/>
        </w:rPr>
        <w:t>6、磋商</w:t>
      </w:r>
      <w:bookmarkEnd w:id="43"/>
    </w:p>
    <w:p>
      <w:pPr>
        <w:widowControl/>
        <w:ind w:firstLine="418" w:firstLineChars="200"/>
        <w:jc w:val="left"/>
        <w:rPr>
          <w:rFonts w:ascii="仿宋_GB2312" w:hAnsi="仿宋_GB2312" w:eastAsia="仿宋_GB2312" w:cs="仿宋_GB2312"/>
          <w:color w:val="000000"/>
          <w:kern w:val="0"/>
          <w:sz w:val="24"/>
          <w:szCs w:val="24"/>
          <w:lang w:bidi="ar"/>
        </w:rPr>
      </w:pPr>
      <w:bookmarkStart w:id="44" w:name="_Toc1662622"/>
      <w:r>
        <w:rPr>
          <w:rFonts w:hint="eastAsia" w:ascii="仿宋_GB2312" w:hAnsi="仿宋_GB2312" w:eastAsia="仿宋_GB2312" w:cs="仿宋_GB2312"/>
          <w:color w:val="000000"/>
          <w:kern w:val="0"/>
          <w:sz w:val="24"/>
          <w:szCs w:val="24"/>
          <w:lang w:bidi="ar"/>
        </w:rPr>
        <w:t>6.1 磋商小组</w:t>
      </w:r>
      <w:bookmarkEnd w:id="44"/>
    </w:p>
    <w:p>
      <w:pPr>
        <w:widowControl/>
        <w:ind w:firstLine="418" w:firstLineChars="200"/>
        <w:jc w:val="left"/>
        <w:rPr>
          <w:rFonts w:ascii="仿宋_GB2312" w:hAnsi="仿宋_GB2312" w:eastAsia="仿宋_GB2312" w:cs="仿宋_GB2312"/>
          <w:color w:val="000000"/>
          <w:kern w:val="0"/>
          <w:sz w:val="24"/>
          <w:szCs w:val="24"/>
          <w:lang w:bidi="ar"/>
        </w:rPr>
      </w:pPr>
      <w:bookmarkStart w:id="45" w:name="_Toc531934441"/>
      <w:bookmarkStart w:id="46" w:name="_Hlt531934718"/>
      <w:r>
        <w:rPr>
          <w:rFonts w:hint="eastAsia" w:ascii="仿宋_GB2312" w:hAnsi="仿宋_GB2312" w:eastAsia="仿宋_GB2312" w:cs="仿宋_GB2312"/>
          <w:color w:val="000000"/>
          <w:kern w:val="0"/>
          <w:sz w:val="24"/>
          <w:szCs w:val="24"/>
          <w:lang w:bidi="ar"/>
        </w:rPr>
        <w:t>6.1.1评审由采购人依法组建的磋商小组负责。磋商小组由采购人代表以及评审专家组成。磋商小组成员人数以及评审专家的确定方式见供应商须知前附表。</w:t>
      </w:r>
      <w:bookmarkEnd w:id="45"/>
    </w:p>
    <w:p>
      <w:pPr>
        <w:widowControl/>
        <w:ind w:firstLine="418" w:firstLineChars="200"/>
        <w:jc w:val="left"/>
        <w:rPr>
          <w:rFonts w:ascii="仿宋_GB2312" w:hAnsi="仿宋_GB2312" w:eastAsia="仿宋_GB2312" w:cs="仿宋_GB2312"/>
          <w:color w:val="000000"/>
          <w:kern w:val="0"/>
          <w:sz w:val="24"/>
          <w:szCs w:val="24"/>
          <w:lang w:bidi="ar"/>
        </w:rPr>
      </w:pPr>
      <w:bookmarkStart w:id="47" w:name="_Toc531934442"/>
      <w:r>
        <w:rPr>
          <w:rFonts w:hint="eastAsia" w:ascii="仿宋_GB2312" w:hAnsi="仿宋_GB2312" w:eastAsia="仿宋_GB2312" w:cs="仿宋_GB2312"/>
          <w:color w:val="000000"/>
          <w:kern w:val="0"/>
          <w:sz w:val="24"/>
          <w:szCs w:val="24"/>
          <w:lang w:bidi="ar"/>
        </w:rPr>
        <w:t>6.1.2 磋商小组成员有下列情形之一的，应当回避：</w:t>
      </w:r>
      <w:bookmarkEnd w:id="47"/>
    </w:p>
    <w:p>
      <w:pPr>
        <w:widowControl/>
        <w:ind w:firstLine="418" w:firstLineChars="200"/>
        <w:jc w:val="left"/>
        <w:rPr>
          <w:rFonts w:ascii="仿宋_GB2312" w:hAnsi="仿宋_GB2312" w:eastAsia="仿宋_GB2312" w:cs="仿宋_GB2312"/>
          <w:color w:val="000000"/>
          <w:kern w:val="0"/>
          <w:sz w:val="24"/>
          <w:szCs w:val="24"/>
          <w:lang w:bidi="ar"/>
        </w:rPr>
      </w:pPr>
      <w:bookmarkStart w:id="48" w:name="_Toc531934443"/>
      <w:r>
        <w:rPr>
          <w:rFonts w:hint="eastAsia" w:ascii="仿宋_GB2312" w:hAnsi="仿宋_GB2312" w:eastAsia="仿宋_GB2312" w:cs="仿宋_GB2312"/>
          <w:color w:val="000000"/>
          <w:kern w:val="0"/>
          <w:sz w:val="24"/>
          <w:szCs w:val="24"/>
          <w:lang w:bidi="ar"/>
        </w:rPr>
        <w:t>（1）参加采购活动前3年内与供应商存在劳动关系；</w:t>
      </w:r>
      <w:bookmarkEnd w:id="48"/>
    </w:p>
    <w:p>
      <w:pPr>
        <w:widowControl/>
        <w:ind w:firstLine="418" w:firstLineChars="200"/>
        <w:jc w:val="left"/>
        <w:rPr>
          <w:rFonts w:ascii="仿宋_GB2312" w:hAnsi="仿宋_GB2312" w:eastAsia="仿宋_GB2312" w:cs="仿宋_GB2312"/>
          <w:color w:val="000000"/>
          <w:kern w:val="0"/>
          <w:sz w:val="24"/>
          <w:szCs w:val="24"/>
          <w:lang w:bidi="ar"/>
        </w:rPr>
      </w:pPr>
      <w:bookmarkStart w:id="49" w:name="_Toc531934444"/>
      <w:r>
        <w:rPr>
          <w:rFonts w:hint="eastAsia" w:ascii="仿宋_GB2312" w:hAnsi="仿宋_GB2312" w:eastAsia="仿宋_GB2312" w:cs="仿宋_GB2312"/>
          <w:color w:val="000000"/>
          <w:kern w:val="0"/>
          <w:sz w:val="24"/>
          <w:szCs w:val="24"/>
          <w:lang w:bidi="ar"/>
        </w:rPr>
        <w:t>（2）参加采购活动前3年内担任供应商的董事、监事；</w:t>
      </w:r>
      <w:bookmarkEnd w:id="49"/>
    </w:p>
    <w:p>
      <w:pPr>
        <w:widowControl/>
        <w:ind w:firstLine="418" w:firstLineChars="200"/>
        <w:jc w:val="left"/>
        <w:rPr>
          <w:rFonts w:ascii="仿宋_GB2312" w:hAnsi="仿宋_GB2312" w:eastAsia="仿宋_GB2312" w:cs="仿宋_GB2312"/>
          <w:color w:val="000000"/>
          <w:kern w:val="0"/>
          <w:sz w:val="24"/>
          <w:szCs w:val="24"/>
          <w:lang w:bidi="ar"/>
        </w:rPr>
      </w:pPr>
      <w:bookmarkStart w:id="50" w:name="_Toc531934445"/>
      <w:r>
        <w:rPr>
          <w:rFonts w:hint="eastAsia" w:ascii="仿宋_GB2312" w:hAnsi="仿宋_GB2312" w:eastAsia="仿宋_GB2312" w:cs="仿宋_GB2312"/>
          <w:color w:val="000000"/>
          <w:kern w:val="0"/>
          <w:sz w:val="24"/>
          <w:szCs w:val="24"/>
          <w:lang w:bidi="ar"/>
        </w:rPr>
        <w:t>（3）参加采购活动前3年内是供应商的控股股东或者实际控制人；</w:t>
      </w:r>
      <w:bookmarkEnd w:id="50"/>
    </w:p>
    <w:p>
      <w:pPr>
        <w:widowControl/>
        <w:ind w:firstLine="418" w:firstLineChars="200"/>
        <w:jc w:val="left"/>
        <w:rPr>
          <w:rFonts w:ascii="仿宋_GB2312" w:hAnsi="仿宋_GB2312" w:eastAsia="仿宋_GB2312" w:cs="仿宋_GB2312"/>
          <w:color w:val="000000"/>
          <w:kern w:val="0"/>
          <w:sz w:val="24"/>
          <w:szCs w:val="24"/>
          <w:lang w:bidi="ar"/>
        </w:rPr>
      </w:pPr>
      <w:bookmarkStart w:id="51" w:name="_Toc531934446"/>
      <w:r>
        <w:rPr>
          <w:rFonts w:hint="eastAsia" w:ascii="仿宋_GB2312" w:hAnsi="仿宋_GB2312" w:eastAsia="仿宋_GB2312" w:cs="仿宋_GB2312"/>
          <w:color w:val="000000"/>
          <w:kern w:val="0"/>
          <w:sz w:val="24"/>
          <w:szCs w:val="24"/>
          <w:lang w:bidi="ar"/>
        </w:rPr>
        <w:t>（4）与供应商的法定代表人或者负责人有夫妻、直系血亲、三代以内旁系血亲或者近姻亲关系；</w:t>
      </w:r>
      <w:bookmarkEnd w:id="51"/>
    </w:p>
    <w:p>
      <w:pPr>
        <w:widowControl/>
        <w:ind w:firstLine="418" w:firstLineChars="200"/>
        <w:jc w:val="left"/>
        <w:rPr>
          <w:rFonts w:ascii="仿宋_GB2312" w:hAnsi="仿宋_GB2312" w:eastAsia="仿宋_GB2312" w:cs="仿宋_GB2312"/>
          <w:color w:val="000000"/>
          <w:kern w:val="0"/>
          <w:sz w:val="24"/>
          <w:szCs w:val="24"/>
          <w:lang w:bidi="ar"/>
        </w:rPr>
      </w:pPr>
      <w:bookmarkStart w:id="52" w:name="_Toc531934447"/>
      <w:r>
        <w:rPr>
          <w:rFonts w:hint="eastAsia" w:ascii="仿宋_GB2312" w:hAnsi="仿宋_GB2312" w:eastAsia="仿宋_GB2312" w:cs="仿宋_GB2312"/>
          <w:color w:val="000000"/>
          <w:kern w:val="0"/>
          <w:sz w:val="24"/>
          <w:szCs w:val="24"/>
          <w:lang w:bidi="ar"/>
        </w:rPr>
        <w:t>（5）与供应商有其他可能影响政府采购活动公平、公正进行的关系。</w:t>
      </w:r>
      <w:bookmarkEnd w:id="52"/>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6.1.3 评审过程中，磋商小组成员有回避事由、擅离职守或者因健康等原因不能继续评审的，采购人有权更换。被更换的磋商小组成员作出的评审结论无效，由更换后的磋商小组成员重新进行评审。</w:t>
      </w:r>
    </w:p>
    <w:bookmarkEnd w:id="46"/>
    <w:p>
      <w:pPr>
        <w:widowControl/>
        <w:ind w:firstLine="418" w:firstLineChars="200"/>
        <w:jc w:val="left"/>
        <w:rPr>
          <w:rFonts w:ascii="仿宋_GB2312" w:hAnsi="仿宋_GB2312" w:eastAsia="仿宋_GB2312" w:cs="仿宋_GB2312"/>
          <w:color w:val="000000"/>
          <w:kern w:val="0"/>
          <w:sz w:val="24"/>
          <w:szCs w:val="24"/>
          <w:lang w:bidi="ar"/>
        </w:rPr>
      </w:pPr>
      <w:bookmarkStart w:id="53" w:name="_Toc1662623"/>
      <w:r>
        <w:rPr>
          <w:rFonts w:hint="eastAsia" w:ascii="仿宋_GB2312" w:hAnsi="仿宋_GB2312" w:eastAsia="仿宋_GB2312" w:cs="仿宋_GB2312"/>
          <w:color w:val="000000"/>
          <w:kern w:val="0"/>
          <w:sz w:val="24"/>
          <w:szCs w:val="24"/>
          <w:lang w:bidi="ar"/>
        </w:rPr>
        <w:t>6.2 磋商程序</w:t>
      </w:r>
      <w:bookmarkEnd w:id="53"/>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6.2.1 磋商小组对响应文件的有效性、完整性和响应程度进行资格性审查及符合性审查。</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6.2.2磋商小组所有成员集中与单一供应商分别进行磋商，并给予所有参加磋商的供应商平等的磋商机会。</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6.2.3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6.2.4供应商应当按照磋商文件的变动情况和磋商小组的要求重新提交响应文件（如果有），并由其法定代表人或其授权代表签字或者加盖公章。</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6.2.5磋商文件能够详细列明采购项目的技术、服务要求后，磋商小组要求所有实质性响应的供应商在规定时间内提交最后报价。通过资格性审查及符合性审查的供应商有均等的最后报价机会，供应商应在磋商小组规定的时间内完成报价。每一轮报价全部为书面形式，并须由供应商法定代表人或其委托代理人签字或者加盖公章，作为响应文件的一部分，对供应商具有约束力。</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在未对磋商文件作出实质性变动的情况下，供应商提交的最后报价不得高于其前一次报价。在磋商文件作出实质性变动但供应商的响应文件未作出相应实质性变动的情况下，该供应商提交的最后报价也不得高于其前一次报价。</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6.2.6最后报价是供应商响应文件的有效组成部分，未按要求进行最后报价的，其响应文件将被否决。</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6.2.7经磋商确定最终采购需求和提交最后报价的供应商后，由磋商小组采用综合评分法对提交最后报价的供应商的响应文件和最后报价进行综合评分。</w:t>
      </w:r>
    </w:p>
    <w:p>
      <w:pPr>
        <w:widowControl/>
        <w:ind w:firstLine="418" w:firstLineChars="200"/>
        <w:jc w:val="left"/>
        <w:rPr>
          <w:rFonts w:ascii="仿宋_GB2312" w:hAnsi="仿宋_GB2312" w:eastAsia="仿宋_GB2312" w:cs="仿宋_GB2312"/>
          <w:color w:val="000000"/>
          <w:kern w:val="0"/>
          <w:sz w:val="24"/>
          <w:szCs w:val="24"/>
          <w:lang w:bidi="ar"/>
        </w:rPr>
      </w:pPr>
      <w:bookmarkStart w:id="54" w:name="_Toc1662624"/>
      <w:r>
        <w:rPr>
          <w:rFonts w:hint="eastAsia" w:ascii="仿宋_GB2312" w:hAnsi="仿宋_GB2312" w:eastAsia="仿宋_GB2312" w:cs="仿宋_GB2312"/>
          <w:color w:val="000000"/>
          <w:kern w:val="0"/>
          <w:sz w:val="24"/>
          <w:szCs w:val="24"/>
          <w:lang w:bidi="ar"/>
        </w:rPr>
        <w:t>6.3评审原则</w:t>
      </w:r>
      <w:bookmarkEnd w:id="54"/>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6.3.1 磋商小组按照第五章“评审办法”规定的方法、因素、标准和程序对供应商的响应文件进行评审。没有规定的方法、因素和标准，不得作为评审依据。未实质性响应磋商文件的响应文件按无效响应处理，磋商小组应当告知提交响应文件的供应商。</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6.3.2评审完成后，磋商小组应当提交书面评审报告和成交候选人名单。磋商小组推荐成交候选人的人数见供应商须知前附表。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6.3.3本次磋商采用电子化评审，如“洛阳市电子招投标交易平台”系统出现故障，导致无法继续评审工作的，可暂停评审，对原有资料及信息作出妥善保密处理，待电子评标系统恢复正常之后组织评审。</w:t>
      </w:r>
    </w:p>
    <w:p>
      <w:pPr>
        <w:widowControl/>
        <w:ind w:firstLine="418" w:firstLineChars="200"/>
        <w:jc w:val="left"/>
        <w:rPr>
          <w:rFonts w:ascii="仿宋_GB2312" w:hAnsi="仿宋_GB2312" w:eastAsia="仿宋_GB2312" w:cs="仿宋_GB2312"/>
          <w:color w:val="000000"/>
          <w:kern w:val="0"/>
          <w:sz w:val="24"/>
          <w:szCs w:val="24"/>
          <w:lang w:bidi="ar"/>
        </w:rPr>
      </w:pPr>
      <w:bookmarkStart w:id="55" w:name="_Toc1662625"/>
      <w:r>
        <w:rPr>
          <w:rFonts w:hint="eastAsia" w:ascii="仿宋_GB2312" w:hAnsi="仿宋_GB2312" w:eastAsia="仿宋_GB2312" w:cs="仿宋_GB2312"/>
          <w:color w:val="000000"/>
          <w:kern w:val="0"/>
          <w:sz w:val="24"/>
          <w:szCs w:val="24"/>
          <w:lang w:bidi="ar"/>
        </w:rPr>
        <w:t>7、确定成交及合同授予</w:t>
      </w:r>
      <w:bookmarkEnd w:id="55"/>
    </w:p>
    <w:p>
      <w:pPr>
        <w:widowControl/>
        <w:ind w:firstLine="418" w:firstLineChars="200"/>
        <w:jc w:val="left"/>
        <w:rPr>
          <w:rFonts w:ascii="仿宋_GB2312" w:hAnsi="仿宋_GB2312" w:eastAsia="仿宋_GB2312" w:cs="仿宋_GB2312"/>
          <w:color w:val="000000"/>
          <w:kern w:val="0"/>
          <w:sz w:val="24"/>
          <w:szCs w:val="24"/>
          <w:lang w:bidi="ar"/>
        </w:rPr>
      </w:pPr>
      <w:bookmarkStart w:id="56" w:name="_Toc1662626"/>
      <w:r>
        <w:rPr>
          <w:rFonts w:hint="eastAsia" w:ascii="仿宋_GB2312" w:hAnsi="仿宋_GB2312" w:eastAsia="仿宋_GB2312" w:cs="仿宋_GB2312"/>
          <w:color w:val="000000"/>
          <w:kern w:val="0"/>
          <w:sz w:val="24"/>
          <w:szCs w:val="24"/>
          <w:lang w:bidi="ar"/>
        </w:rPr>
        <w:t>7.1 确定成交的原则</w:t>
      </w:r>
      <w:bookmarkEnd w:id="56"/>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7.1.1按照供应商须知前附表的规定，采购人或采购人授权的磋商小组依法确定成交供应商。</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7.1.2按供应商须知前附表的规定的原则确定成交供应商。</w:t>
      </w:r>
    </w:p>
    <w:p>
      <w:pPr>
        <w:widowControl/>
        <w:ind w:firstLine="418" w:firstLineChars="200"/>
        <w:jc w:val="left"/>
        <w:rPr>
          <w:rFonts w:ascii="仿宋_GB2312" w:hAnsi="仿宋_GB2312" w:eastAsia="仿宋_GB2312" w:cs="仿宋_GB2312"/>
          <w:color w:val="000000"/>
          <w:kern w:val="0"/>
          <w:sz w:val="24"/>
          <w:szCs w:val="24"/>
          <w:lang w:bidi="ar"/>
        </w:rPr>
      </w:pPr>
      <w:bookmarkStart w:id="57" w:name="_Toc1662627"/>
      <w:r>
        <w:rPr>
          <w:rFonts w:hint="eastAsia" w:ascii="仿宋_GB2312" w:hAnsi="仿宋_GB2312" w:eastAsia="仿宋_GB2312" w:cs="仿宋_GB2312"/>
          <w:color w:val="000000"/>
          <w:kern w:val="0"/>
          <w:sz w:val="24"/>
          <w:szCs w:val="24"/>
          <w:lang w:bidi="ar"/>
        </w:rPr>
        <w:t>7.2 成交结果</w:t>
      </w:r>
      <w:bookmarkEnd w:id="57"/>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自成交供应商确定之日起2个工作日内，在供应商须知前附表规定的媒体上公告成交结果，磋商文件随成交结果同时公告。</w:t>
      </w:r>
    </w:p>
    <w:p>
      <w:pPr>
        <w:widowControl/>
        <w:ind w:firstLine="418" w:firstLineChars="200"/>
        <w:jc w:val="left"/>
        <w:rPr>
          <w:rFonts w:ascii="仿宋_GB2312" w:hAnsi="仿宋_GB2312" w:eastAsia="仿宋_GB2312" w:cs="仿宋_GB2312"/>
          <w:color w:val="000000"/>
          <w:kern w:val="0"/>
          <w:sz w:val="24"/>
          <w:szCs w:val="24"/>
          <w:lang w:bidi="ar"/>
        </w:rPr>
      </w:pPr>
      <w:bookmarkStart w:id="58" w:name="_Toc1662628"/>
      <w:r>
        <w:rPr>
          <w:rFonts w:hint="eastAsia" w:ascii="仿宋_GB2312" w:hAnsi="仿宋_GB2312" w:eastAsia="仿宋_GB2312" w:cs="仿宋_GB2312"/>
          <w:color w:val="000000"/>
          <w:kern w:val="0"/>
          <w:sz w:val="24"/>
          <w:szCs w:val="24"/>
          <w:lang w:bidi="ar"/>
        </w:rPr>
        <w:t>7.3 成交通知</w:t>
      </w:r>
      <w:bookmarkEnd w:id="58"/>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《成交通知书》由采购代理机构向成交供应商发出。</w:t>
      </w:r>
    </w:p>
    <w:p>
      <w:pPr>
        <w:widowControl/>
        <w:ind w:firstLine="418" w:firstLineChars="200"/>
        <w:jc w:val="left"/>
        <w:rPr>
          <w:rFonts w:ascii="仿宋_GB2312" w:hAnsi="仿宋_GB2312" w:eastAsia="仿宋_GB2312" w:cs="仿宋_GB2312"/>
          <w:color w:val="000000"/>
          <w:kern w:val="0"/>
          <w:sz w:val="24"/>
          <w:szCs w:val="24"/>
          <w:lang w:bidi="ar"/>
        </w:rPr>
      </w:pPr>
      <w:bookmarkStart w:id="59" w:name="_Toc1662629"/>
      <w:r>
        <w:rPr>
          <w:rFonts w:hint="eastAsia" w:ascii="仿宋_GB2312" w:hAnsi="仿宋_GB2312" w:eastAsia="仿宋_GB2312" w:cs="仿宋_GB2312"/>
          <w:color w:val="000000"/>
          <w:kern w:val="0"/>
          <w:sz w:val="24"/>
          <w:szCs w:val="24"/>
          <w:lang w:bidi="ar"/>
        </w:rPr>
        <w:t>7.4 履约保证金</w:t>
      </w:r>
      <w:bookmarkEnd w:id="59"/>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7.4.1 在签订合同前，成交供应商应按供应商须知前附表规定的形式、金额和事先经过采购人书面认可的履约保证金格式向采购人提交履约保证金。除供应商须知前附表另有规定外，履约保证金为成交合同金额的5%。联合体成交的，其履约保证金以联合体各方或者联合体中牵头人的名义提交。</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7.4.2 成交供应商不能按本章第 7.4.1 项要求提交履约保证金的，视为放弃成交资格，其磋商保证金不予退还，给采购人造成的损失超过磋商保证金数额的，成交供应商还应当对超过部分予以赔偿。</w:t>
      </w:r>
    </w:p>
    <w:p>
      <w:pPr>
        <w:widowControl/>
        <w:ind w:firstLine="418" w:firstLineChars="200"/>
        <w:jc w:val="left"/>
        <w:rPr>
          <w:rFonts w:ascii="仿宋_GB2312" w:hAnsi="仿宋_GB2312" w:eastAsia="仿宋_GB2312" w:cs="仿宋_GB2312"/>
          <w:color w:val="000000"/>
          <w:kern w:val="0"/>
          <w:sz w:val="24"/>
          <w:szCs w:val="24"/>
          <w:lang w:bidi="ar"/>
        </w:rPr>
      </w:pPr>
      <w:bookmarkStart w:id="60" w:name="_Toc1662630"/>
      <w:r>
        <w:rPr>
          <w:rFonts w:hint="eastAsia" w:ascii="仿宋_GB2312" w:hAnsi="仿宋_GB2312" w:eastAsia="仿宋_GB2312" w:cs="仿宋_GB2312"/>
          <w:color w:val="000000"/>
          <w:kern w:val="0"/>
          <w:sz w:val="24"/>
          <w:szCs w:val="24"/>
          <w:lang w:bidi="ar"/>
        </w:rPr>
        <w:t>7.5 签订合同</w:t>
      </w:r>
      <w:bookmarkEnd w:id="60"/>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7.5.1 采购人和成交供应商应当在成交通知书发出之日起30日内，根据磋商文件和成交供应商的响应文件订立书面合同。成交供应商无正当理由拒签合同，在签订合同时向采购人提出附加条件，或者不按照磋商文件要求提交履约保证金的，采购人有权取消其成交资格，其磋商保证金不予退还；给采购人造成的损失超过磋商保证金数额的，成交供应商还应当对超过部分予以赔偿。</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7.5.2 发出成交通知书后，采购人无正当理由拒签合同，或者在签订合同时向成交供应商提出附加条件的，采购人向成交供应商退还磋商保证金；给成交供应商造成损失的，还应当赔偿损失。</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7.5.3 联合体成交的，联合体各方应当共同与采购人签订合同，就成交项目向采购人承担连带责任。</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7.5.4签订合同的其他要求见供应商须知前附表。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bookmarkStart w:id="61" w:name="_Toc1662631"/>
      <w:r>
        <w:rPr>
          <w:rFonts w:hint="eastAsia" w:ascii="仿宋_GB2312" w:hAnsi="仿宋_GB2312" w:eastAsia="仿宋_GB2312" w:cs="仿宋_GB2312"/>
          <w:color w:val="000000"/>
          <w:kern w:val="0"/>
          <w:sz w:val="24"/>
          <w:szCs w:val="24"/>
          <w:lang w:bidi="ar"/>
        </w:rPr>
        <w:t>8、纪律和监督</w:t>
      </w:r>
      <w:bookmarkEnd w:id="61"/>
    </w:p>
    <w:p>
      <w:pPr>
        <w:widowControl/>
        <w:ind w:firstLine="418" w:firstLineChars="200"/>
        <w:jc w:val="left"/>
        <w:rPr>
          <w:rFonts w:ascii="仿宋_GB2312" w:hAnsi="仿宋_GB2312" w:eastAsia="仿宋_GB2312" w:cs="仿宋_GB2312"/>
          <w:color w:val="000000"/>
          <w:kern w:val="0"/>
          <w:sz w:val="24"/>
          <w:szCs w:val="24"/>
          <w:lang w:bidi="ar"/>
        </w:rPr>
      </w:pPr>
      <w:bookmarkStart w:id="62" w:name="_Toc1662632"/>
      <w:r>
        <w:rPr>
          <w:rFonts w:hint="eastAsia" w:ascii="仿宋_GB2312" w:hAnsi="仿宋_GB2312" w:eastAsia="仿宋_GB2312" w:cs="仿宋_GB2312"/>
          <w:color w:val="000000"/>
          <w:kern w:val="0"/>
          <w:sz w:val="24"/>
          <w:szCs w:val="24"/>
          <w:lang w:bidi="ar"/>
        </w:rPr>
        <w:t>8.1 对采购人的纪律要求</w:t>
      </w:r>
      <w:bookmarkEnd w:id="62"/>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8.1.1不得以不合理的条件对供应商实行差别待遇或者歧视待遇，排斥其他供应商公平参与竞争；</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8.1.2不得与供应商或采购代理机构串通损害国家利益、社会公共利益或者他人合法权益；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8.1.3不得诱导、干预或影响磋商小组依法依规评审，不得诱导、干预或影响评审专家依法依规独立评审；</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8.1.4不得泄漏采购活动中应当保密的情况和资料；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8.1.5不得接受供应商或采购代理机构的贿赂，或获取其他不正当利益；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8.1.6不得无正当理拒绝与成交供应商签订合同；</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8.1.7参与采购活动的相关人员与供应商有利害关系的应当回避；</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8.1.8采购过程中，不得有其他违法违规行为。</w:t>
      </w:r>
    </w:p>
    <w:p>
      <w:pPr>
        <w:widowControl/>
        <w:ind w:firstLine="418" w:firstLineChars="200"/>
        <w:jc w:val="left"/>
        <w:rPr>
          <w:rFonts w:ascii="仿宋_GB2312" w:hAnsi="仿宋_GB2312" w:eastAsia="仿宋_GB2312" w:cs="仿宋_GB2312"/>
          <w:color w:val="000000"/>
          <w:kern w:val="0"/>
          <w:sz w:val="24"/>
          <w:szCs w:val="24"/>
          <w:lang w:bidi="ar"/>
        </w:rPr>
      </w:pPr>
      <w:bookmarkStart w:id="63" w:name="_Toc1662633"/>
      <w:r>
        <w:rPr>
          <w:rFonts w:hint="eastAsia" w:ascii="仿宋_GB2312" w:hAnsi="仿宋_GB2312" w:eastAsia="仿宋_GB2312" w:cs="仿宋_GB2312"/>
          <w:color w:val="000000"/>
          <w:kern w:val="0"/>
          <w:sz w:val="24"/>
          <w:szCs w:val="24"/>
          <w:lang w:bidi="ar"/>
        </w:rPr>
        <w:t>8.2 对供应商的纪律要求</w:t>
      </w:r>
      <w:bookmarkEnd w:id="63"/>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8.2.1不得以他人名义参加政府采购活动；</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8.2.2供应商不得相互串通，不得与采购人、与采购代理机构串通；</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8.2.3不得向采购人或者磋商小组成员行贿，或提供其他不正当利益谋取成交；</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8.2.4不得弄虚作假骗取成交，不得虚假响应，不得恶意低价响应；</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8.2.5供应商不得以任何方式干扰、影响评审工作；</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8.2.6不得无正当理由放弃成交或成交后拒绝与采购人签订合同；</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8.2.7不得恶意诋毁其他供应商、采购人或采购代理机构；</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8.2.8在参与政府采购活动中，不得有其他违法违规行为。</w:t>
      </w:r>
    </w:p>
    <w:p>
      <w:pPr>
        <w:widowControl/>
        <w:ind w:firstLine="418" w:firstLineChars="200"/>
        <w:jc w:val="left"/>
        <w:rPr>
          <w:rFonts w:ascii="仿宋_GB2312" w:hAnsi="仿宋_GB2312" w:eastAsia="仿宋_GB2312" w:cs="仿宋_GB2312"/>
          <w:color w:val="000000"/>
          <w:kern w:val="0"/>
          <w:sz w:val="24"/>
          <w:szCs w:val="24"/>
          <w:lang w:bidi="ar"/>
        </w:rPr>
      </w:pPr>
      <w:bookmarkStart w:id="64" w:name="_Toc1662634"/>
      <w:r>
        <w:rPr>
          <w:rFonts w:hint="eastAsia" w:ascii="仿宋_GB2312" w:hAnsi="仿宋_GB2312" w:eastAsia="仿宋_GB2312" w:cs="仿宋_GB2312"/>
          <w:color w:val="000000"/>
          <w:kern w:val="0"/>
          <w:sz w:val="24"/>
          <w:szCs w:val="24"/>
          <w:lang w:bidi="ar"/>
        </w:rPr>
        <w:t>8.3 对磋商小组成员的纪律要求</w:t>
      </w:r>
      <w:bookmarkEnd w:id="64"/>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8.3.1确定参与评审至评审结束前，不得私自接触供应商；</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8.3.2不得与供应商或采购代理机构串通损害国家利益、社会公共利益或者他人合法权益；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8.3.3不得接受供应商提出的与响应文件不一致的澄清和说明；</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8.3.4不得征询采购人的倾向性意见；</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8.3.5不得对主观评审因素协商评分；</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8.3.6不得对客观评审因素评分不一致；</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8.3.7磋商小组成员不得接受供应商、采购人和采购代理机构等他人的贿赂或者其他不正当利益；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8.3.8不得以不合理的条件对供应商实行差别待遇或者歧视待遇，排斥其他供应商公平参与竞争；</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8.3.9不得使用磋商文件没有规定的评审方法和评审标准进行评审；</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8.3.10不得诱导、干预或影响其他评审专家依法依规独立评审；</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8.3.11在评审活动中，磋商小组成员不得擅离职守，影响评审工作正常进行；</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8.3.12不得记录、复制或带走任何评审资料；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8.3.13不得泄露评审过程中获悉的对响应文件的评审和比较、成交候选人的推荐情况以及与评审有关的应当保密的情况和资料；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8.3.14磋商小组成员与供应商存在利害关系应当回避；</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8.3.15在参与政府采购评审活动中，不得有其他违法违规行为。</w:t>
      </w:r>
    </w:p>
    <w:p>
      <w:pPr>
        <w:widowControl/>
        <w:ind w:firstLine="418" w:firstLineChars="200"/>
        <w:jc w:val="left"/>
        <w:rPr>
          <w:rFonts w:ascii="仿宋_GB2312" w:hAnsi="仿宋_GB2312" w:eastAsia="仿宋_GB2312" w:cs="仿宋_GB2312"/>
          <w:color w:val="000000"/>
          <w:kern w:val="0"/>
          <w:sz w:val="24"/>
          <w:szCs w:val="24"/>
          <w:lang w:bidi="ar"/>
        </w:rPr>
      </w:pPr>
      <w:bookmarkStart w:id="65" w:name="_Toc1662635"/>
      <w:r>
        <w:rPr>
          <w:rFonts w:hint="eastAsia" w:ascii="仿宋_GB2312" w:hAnsi="仿宋_GB2312" w:eastAsia="仿宋_GB2312" w:cs="仿宋_GB2312"/>
          <w:color w:val="000000"/>
          <w:kern w:val="0"/>
          <w:sz w:val="24"/>
          <w:szCs w:val="24"/>
          <w:lang w:bidi="ar"/>
        </w:rPr>
        <w:t>8.4 对与评审活动有关的工作人员的纪律要求</w:t>
      </w:r>
      <w:bookmarkEnd w:id="65"/>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8.4.1不得接受供应商、采购人和采购代理机构等他人的贿赂或者其他不正当利益；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8.4.2不得与供应商、采购代理机构或评审专家串通损害国家利益、社会公共利益或者他人合法权益；</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8.4.3不得以不合理的条件对供应商实行差别待遇或者歧视待遇，排斥其他供应商公平参与竞争；</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8.4.4不得诱导、干预或影响磋商小组及其成员依法依规独立评审；</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8.4.5不得擅离职守，影响评审工作正常进行；</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8.4.6不得泄漏采购活动中应当保密的情况和资料；</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8.4.7与供应商有利害关系的应当回避；</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8.4.8在参与或服务政府采购活动中，不得有其他违法违规行为。</w:t>
      </w:r>
    </w:p>
    <w:p>
      <w:pPr>
        <w:widowControl/>
        <w:ind w:firstLine="418" w:firstLineChars="200"/>
        <w:jc w:val="left"/>
        <w:rPr>
          <w:rFonts w:ascii="仿宋_GB2312" w:hAnsi="仿宋_GB2312" w:eastAsia="仿宋_GB2312" w:cs="仿宋_GB2312"/>
          <w:color w:val="000000"/>
          <w:kern w:val="0"/>
          <w:sz w:val="24"/>
          <w:szCs w:val="24"/>
          <w:lang w:bidi="ar"/>
        </w:rPr>
      </w:pPr>
      <w:bookmarkStart w:id="66" w:name="_Toc1662636"/>
      <w:r>
        <w:rPr>
          <w:rFonts w:hint="eastAsia" w:ascii="仿宋_GB2312" w:hAnsi="仿宋_GB2312" w:eastAsia="仿宋_GB2312" w:cs="仿宋_GB2312"/>
          <w:color w:val="000000"/>
          <w:kern w:val="0"/>
          <w:sz w:val="24"/>
          <w:szCs w:val="24"/>
          <w:lang w:bidi="ar"/>
        </w:rPr>
        <w:t>8.5质疑和投诉</w:t>
      </w:r>
      <w:bookmarkEnd w:id="66"/>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8.5.1供应商认为本次采购活动的磋商文件、采购过程和成交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8.5.2质疑函的递交方式：见供应商须知前附表。 </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8.5.3对采购人、采购代理机构的答复不满意或者采购人、采购代理机构未在规定的时间内作出答复的，供应商可以在质疑答复期满后15个工作日内实名向（项目所属）同级政府采购监督管理部门投诉。</w:t>
      </w:r>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8.5.4质疑和投诉应有具体的质疑（投诉）事项和必要的证明材料或事实根据，供应商对其质疑和投诉内容的真实性及其来源的合法性承担法律责任。</w:t>
      </w:r>
    </w:p>
    <w:p>
      <w:pPr>
        <w:widowControl/>
        <w:ind w:firstLine="418" w:firstLineChars="200"/>
        <w:jc w:val="left"/>
        <w:rPr>
          <w:rFonts w:ascii="仿宋_GB2312" w:hAnsi="仿宋_GB2312" w:eastAsia="仿宋_GB2312" w:cs="仿宋_GB2312"/>
          <w:color w:val="000000"/>
          <w:kern w:val="0"/>
          <w:sz w:val="24"/>
          <w:szCs w:val="24"/>
          <w:lang w:bidi="ar"/>
        </w:rPr>
      </w:pPr>
      <w:bookmarkStart w:id="67" w:name="_Toc1662637"/>
      <w:r>
        <w:rPr>
          <w:rFonts w:hint="eastAsia" w:ascii="仿宋_GB2312" w:hAnsi="仿宋_GB2312" w:eastAsia="仿宋_GB2312" w:cs="仿宋_GB2312"/>
          <w:color w:val="000000"/>
          <w:kern w:val="0"/>
          <w:sz w:val="24"/>
          <w:szCs w:val="24"/>
          <w:lang w:bidi="ar"/>
        </w:rPr>
        <w:t>9、样品</w:t>
      </w:r>
      <w:bookmarkEnd w:id="67"/>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如本采购项目需要提供样品，样品的具体要求见供应商须知前附表。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bookmarkStart w:id="68" w:name="_Toc1662638"/>
      <w:r>
        <w:rPr>
          <w:rFonts w:hint="eastAsia" w:ascii="仿宋_GB2312" w:hAnsi="仿宋_GB2312" w:eastAsia="仿宋_GB2312" w:cs="仿宋_GB2312"/>
          <w:color w:val="000000"/>
          <w:kern w:val="0"/>
          <w:sz w:val="24"/>
          <w:szCs w:val="24"/>
          <w:lang w:bidi="ar"/>
        </w:rPr>
        <w:t>10、相同品牌产品的处理</w:t>
      </w:r>
      <w:bookmarkEnd w:id="68"/>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相同品牌产品的处理办法见供应商须知前附表。</w:t>
      </w:r>
    </w:p>
    <w:p>
      <w:pPr>
        <w:widowControl/>
        <w:ind w:firstLine="418" w:firstLineChars="200"/>
        <w:jc w:val="left"/>
        <w:rPr>
          <w:rFonts w:ascii="仿宋_GB2312" w:hAnsi="仿宋_GB2312" w:eastAsia="仿宋_GB2312" w:cs="仿宋_GB2312"/>
          <w:color w:val="000000"/>
          <w:kern w:val="0"/>
          <w:sz w:val="24"/>
          <w:szCs w:val="24"/>
          <w:lang w:bidi="ar"/>
        </w:rPr>
      </w:pPr>
      <w:bookmarkStart w:id="69" w:name="_Toc1662639"/>
      <w:r>
        <w:rPr>
          <w:rFonts w:hint="eastAsia" w:ascii="仿宋_GB2312" w:hAnsi="仿宋_GB2312" w:eastAsia="仿宋_GB2312" w:cs="仿宋_GB2312"/>
          <w:color w:val="000000"/>
          <w:kern w:val="0"/>
          <w:sz w:val="24"/>
          <w:szCs w:val="24"/>
          <w:lang w:bidi="ar"/>
        </w:rPr>
        <w:t>11、需要补充的其他内容</w:t>
      </w:r>
      <w:bookmarkEnd w:id="69"/>
    </w:p>
    <w:p>
      <w:pPr>
        <w:widowControl/>
        <w:ind w:firstLine="418" w:firstLineChars="200"/>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需要补充的其他内容：见供应商须知前附表。</w:t>
      </w:r>
    </w:p>
    <w:p>
      <w:pPr>
        <w:pStyle w:val="31"/>
        <w:rPr>
          <w:rFonts w:ascii="仿宋_GB2312" w:hAnsi="仿宋_GB2312" w:eastAsia="仿宋_GB2312" w:cs="仿宋_GB2312"/>
          <w:sz w:val="24"/>
          <w:szCs w:val="24"/>
        </w:rPr>
      </w:pPr>
      <w:r>
        <w:rPr>
          <w:rFonts w:hint="eastAsia" w:ascii="仿宋_GB2312" w:hAnsi="仿宋_GB2312" w:eastAsia="仿宋_GB2312" w:cs="仿宋_GB2312"/>
        </w:rPr>
        <w:br w:type="page"/>
      </w:r>
      <w:bookmarkStart w:id="70" w:name="_Toc1662640"/>
      <w:r>
        <w:rPr>
          <w:rFonts w:hint="eastAsia" w:ascii="仿宋_GB2312" w:hAnsi="仿宋_GB2312" w:eastAsia="仿宋_GB2312" w:cs="仿宋_GB2312"/>
          <w:sz w:val="24"/>
          <w:szCs w:val="24"/>
        </w:rPr>
        <w:t>附件：质疑函范本</w:t>
      </w:r>
      <w:bookmarkEnd w:id="70"/>
    </w:p>
    <w:p>
      <w:pPr>
        <w:pStyle w:val="31"/>
        <w:rPr>
          <w:rFonts w:ascii="仿宋_GB2312" w:hAnsi="仿宋_GB2312" w:eastAsia="仿宋_GB2312" w:cs="仿宋_GB2312"/>
        </w:rPr>
      </w:pPr>
    </w:p>
    <w:p>
      <w:pPr>
        <w:pStyle w:val="31"/>
        <w:spacing w:line="360" w:lineRule="exact"/>
        <w:jc w:val="center"/>
        <w:rPr>
          <w:rFonts w:ascii="仿宋_GB2312" w:hAnsi="仿宋_GB2312" w:eastAsia="仿宋_GB2312" w:cs="仿宋_GB2312"/>
          <w:b/>
          <w:spacing w:val="14"/>
          <w:sz w:val="28"/>
          <w:szCs w:val="28"/>
        </w:rPr>
      </w:pPr>
      <w:r>
        <w:rPr>
          <w:rFonts w:hint="eastAsia" w:ascii="仿宋_GB2312" w:hAnsi="仿宋_GB2312" w:eastAsia="仿宋_GB2312" w:cs="仿宋_GB2312"/>
          <w:b/>
          <w:spacing w:val="14"/>
          <w:sz w:val="28"/>
          <w:szCs w:val="28"/>
        </w:rPr>
        <w:t>质疑函</w:t>
      </w:r>
    </w:p>
    <w:p>
      <w:pPr>
        <w:pStyle w:val="31"/>
        <w:spacing w:line="360" w:lineRule="exact"/>
        <w:jc w:val="center"/>
        <w:rPr>
          <w:rFonts w:ascii="仿宋_GB2312" w:hAnsi="仿宋_GB2312" w:eastAsia="仿宋_GB2312" w:cs="仿宋_GB2312"/>
          <w:b/>
          <w:sz w:val="28"/>
          <w:szCs w:val="28"/>
        </w:rPr>
      </w:pPr>
    </w:p>
    <w:p>
      <w:pPr>
        <w:pStyle w:val="34"/>
        <w:spacing w:line="280" w:lineRule="exact"/>
        <w:ind w:firstLine="0"/>
        <w:rPr>
          <w:rFonts w:ascii="仿宋_GB2312" w:hAnsi="仿宋_GB2312" w:eastAsia="仿宋_GB2312" w:cs="仿宋_GB2312"/>
          <w:szCs w:val="21"/>
        </w:rPr>
      </w:pPr>
      <w:r>
        <w:rPr>
          <w:rFonts w:hint="eastAsia" w:ascii="仿宋_GB2312" w:hAnsi="仿宋_GB2312" w:eastAsia="仿宋_GB2312" w:cs="仿宋_GB2312"/>
          <w:szCs w:val="21"/>
        </w:rPr>
        <w:t>一、质疑供应商基本信息</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质疑供应商：</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地址：</w:t>
      </w:r>
      <w:r>
        <w:rPr>
          <w:rFonts w:hint="eastAsia" w:ascii="仿宋_GB2312" w:hAnsi="仿宋_GB2312" w:eastAsia="仿宋_GB2312" w:cs="仿宋_GB2312"/>
          <w:szCs w:val="21"/>
          <w:u w:val="dotted"/>
        </w:rPr>
        <w:t xml:space="preserve">                          </w:t>
      </w:r>
      <w:r>
        <w:rPr>
          <w:rFonts w:hint="eastAsia" w:ascii="仿宋_GB2312" w:hAnsi="仿宋_GB2312" w:eastAsia="仿宋_GB2312" w:cs="仿宋_GB2312"/>
          <w:szCs w:val="21"/>
        </w:rPr>
        <w:t>邮编：</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联系人：</w:t>
      </w:r>
      <w:r>
        <w:rPr>
          <w:rFonts w:hint="eastAsia" w:ascii="仿宋_GB2312" w:hAnsi="仿宋_GB2312" w:eastAsia="仿宋_GB2312" w:cs="仿宋_GB2312"/>
          <w:szCs w:val="21"/>
          <w:u w:val="dotted"/>
        </w:rPr>
        <w:t xml:space="preserve">                      </w:t>
      </w:r>
      <w:r>
        <w:rPr>
          <w:rFonts w:hint="eastAsia" w:ascii="仿宋_GB2312" w:hAnsi="仿宋_GB2312" w:eastAsia="仿宋_GB2312" w:cs="仿宋_GB2312"/>
          <w:szCs w:val="21"/>
        </w:rPr>
        <w:t>联系电话：</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授权代表：</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联系电话：</w:t>
      </w:r>
      <w:r>
        <w:rPr>
          <w:rFonts w:hint="eastAsia" w:ascii="仿宋_GB2312" w:hAnsi="仿宋_GB2312" w:eastAsia="仿宋_GB2312" w:cs="仿宋_GB2312"/>
          <w:szCs w:val="21"/>
          <w:u w:val="dotted"/>
        </w:rPr>
        <w:t xml:space="preserve">                                           </w:t>
      </w:r>
      <w:r>
        <w:rPr>
          <w:rFonts w:hint="eastAsia" w:ascii="仿宋_GB2312" w:hAnsi="仿宋_GB2312" w:eastAsia="仿宋_GB2312" w:cs="仿宋_GB2312"/>
          <w:szCs w:val="21"/>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地址： </w:t>
      </w:r>
      <w:r>
        <w:rPr>
          <w:rFonts w:hint="eastAsia" w:ascii="仿宋_GB2312" w:hAnsi="仿宋_GB2312" w:eastAsia="仿宋_GB2312" w:cs="仿宋_GB2312"/>
          <w:szCs w:val="21"/>
          <w:u w:val="dotted"/>
        </w:rPr>
        <w:t xml:space="preserve">                        </w:t>
      </w:r>
      <w:r>
        <w:rPr>
          <w:rFonts w:hint="eastAsia" w:ascii="仿宋_GB2312" w:hAnsi="仿宋_GB2312" w:eastAsia="仿宋_GB2312" w:cs="仿宋_GB2312"/>
          <w:szCs w:val="21"/>
        </w:rPr>
        <w:t>邮编：</w:t>
      </w:r>
      <w:r>
        <w:rPr>
          <w:rFonts w:hint="eastAsia" w:ascii="仿宋_GB2312" w:hAnsi="仿宋_GB2312" w:eastAsia="仿宋_GB2312" w:cs="仿宋_GB2312"/>
          <w:szCs w:val="21"/>
          <w:u w:val="dotted"/>
        </w:rPr>
        <w:t xml:space="preserve">                                                </w:t>
      </w:r>
    </w:p>
    <w:p>
      <w:pPr>
        <w:pStyle w:val="34"/>
        <w:spacing w:line="280" w:lineRule="exact"/>
        <w:ind w:firstLine="0"/>
        <w:rPr>
          <w:rFonts w:ascii="仿宋_GB2312" w:hAnsi="仿宋_GB2312" w:eastAsia="仿宋_GB2312" w:cs="仿宋_GB2312"/>
          <w:szCs w:val="21"/>
        </w:rPr>
      </w:pPr>
      <w:r>
        <w:rPr>
          <w:rFonts w:hint="eastAsia" w:ascii="仿宋_GB2312" w:hAnsi="仿宋_GB2312" w:eastAsia="仿宋_GB2312" w:cs="仿宋_GB2312"/>
          <w:szCs w:val="21"/>
        </w:rPr>
        <w:t>二、质疑项目基本情况</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质疑项目的名称：</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质疑项目的编号：</w:t>
      </w:r>
      <w:r>
        <w:rPr>
          <w:rFonts w:hint="eastAsia" w:ascii="仿宋_GB2312" w:hAnsi="仿宋_GB2312" w:eastAsia="仿宋_GB2312" w:cs="仿宋_GB2312"/>
          <w:szCs w:val="21"/>
          <w:u w:val="dotted"/>
        </w:rPr>
        <w:t xml:space="preserve">               </w:t>
      </w:r>
      <w:r>
        <w:rPr>
          <w:rFonts w:hint="eastAsia" w:ascii="仿宋_GB2312" w:hAnsi="仿宋_GB2312" w:eastAsia="仿宋_GB2312" w:cs="仿宋_GB2312"/>
          <w:szCs w:val="21"/>
        </w:rPr>
        <w:t>包号：</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采购人名称：</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采购文件获取日期：</w:t>
      </w:r>
      <w:r>
        <w:rPr>
          <w:rFonts w:hint="eastAsia" w:ascii="仿宋_GB2312" w:hAnsi="仿宋_GB2312" w:eastAsia="仿宋_GB2312" w:cs="仿宋_GB2312"/>
          <w:szCs w:val="21"/>
          <w:u w:val="dotted"/>
        </w:rPr>
        <w:t xml:space="preserve">                                             </w:t>
      </w:r>
    </w:p>
    <w:p>
      <w:pPr>
        <w:pStyle w:val="34"/>
        <w:spacing w:line="280" w:lineRule="exact"/>
        <w:ind w:firstLine="0"/>
        <w:rPr>
          <w:rFonts w:ascii="仿宋_GB2312" w:hAnsi="仿宋_GB2312" w:eastAsia="仿宋_GB2312" w:cs="仿宋_GB2312"/>
          <w:szCs w:val="21"/>
        </w:rPr>
      </w:pPr>
      <w:r>
        <w:rPr>
          <w:rFonts w:hint="eastAsia" w:ascii="仿宋_GB2312" w:hAnsi="仿宋_GB2312" w:eastAsia="仿宋_GB2312" w:cs="仿宋_GB2312"/>
          <w:szCs w:val="21"/>
        </w:rPr>
        <w:t>三、质疑事项具体内容</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质疑事项1：</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事实依据：</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法律依据：</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质疑事项2</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w:t>
      </w:r>
    </w:p>
    <w:p>
      <w:pPr>
        <w:pStyle w:val="34"/>
        <w:spacing w:line="280" w:lineRule="exact"/>
        <w:ind w:firstLine="0"/>
        <w:rPr>
          <w:rFonts w:ascii="仿宋_GB2312" w:hAnsi="仿宋_GB2312" w:eastAsia="仿宋_GB2312" w:cs="仿宋_GB2312"/>
          <w:szCs w:val="21"/>
        </w:rPr>
      </w:pPr>
      <w:r>
        <w:rPr>
          <w:rFonts w:hint="eastAsia" w:ascii="仿宋_GB2312" w:hAnsi="仿宋_GB2312" w:eastAsia="仿宋_GB2312" w:cs="仿宋_GB2312"/>
          <w:szCs w:val="21"/>
        </w:rPr>
        <w:t>四、与质疑事项相关的质疑请求</w:t>
      </w:r>
    </w:p>
    <w:p>
      <w:pPr>
        <w:pStyle w:val="34"/>
        <w:spacing w:line="280" w:lineRule="exact"/>
        <w:rPr>
          <w:rFonts w:ascii="仿宋_GB2312" w:hAnsi="仿宋_GB2312" w:eastAsia="仿宋_GB2312" w:cs="仿宋_GB2312"/>
          <w:szCs w:val="21"/>
          <w:u w:val="dotted"/>
        </w:rPr>
      </w:pPr>
      <w:r>
        <w:rPr>
          <w:rFonts w:hint="eastAsia" w:ascii="仿宋_GB2312" w:hAnsi="仿宋_GB2312" w:eastAsia="仿宋_GB2312" w:cs="仿宋_GB2312"/>
          <w:szCs w:val="21"/>
        </w:rPr>
        <w:t>请求：</w:t>
      </w:r>
      <w:r>
        <w:rPr>
          <w:rFonts w:hint="eastAsia" w:ascii="仿宋_GB2312" w:hAnsi="仿宋_GB2312" w:eastAsia="仿宋_GB2312" w:cs="仿宋_GB2312"/>
          <w:szCs w:val="21"/>
          <w:u w:val="dotted"/>
        </w:rPr>
        <w:t xml:space="preserve">                                               </w:t>
      </w:r>
    </w:p>
    <w:p>
      <w:pPr>
        <w:pStyle w:val="34"/>
        <w:spacing w:line="280" w:lineRule="exact"/>
        <w:rPr>
          <w:rFonts w:ascii="仿宋_GB2312" w:hAnsi="仿宋_GB2312" w:eastAsia="仿宋_GB2312" w:cs="仿宋_GB2312"/>
          <w:szCs w:val="21"/>
        </w:rPr>
      </w:pP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签字(签章)：                   公章： </w:t>
      </w:r>
    </w:p>
    <w:p>
      <w:pPr>
        <w:pStyle w:val="34"/>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日期：    </w:t>
      </w:r>
    </w:p>
    <w:p>
      <w:pPr>
        <w:pStyle w:val="34"/>
        <w:spacing w:line="280" w:lineRule="exact"/>
        <w:rPr>
          <w:rFonts w:ascii="仿宋_GB2312" w:hAnsi="仿宋_GB2312" w:eastAsia="仿宋_GB2312" w:cs="仿宋_GB2312"/>
          <w:szCs w:val="21"/>
        </w:rPr>
      </w:pPr>
    </w:p>
    <w:p>
      <w:pPr>
        <w:pStyle w:val="31"/>
        <w:rPr>
          <w:rFonts w:ascii="仿宋_GB2312" w:hAnsi="仿宋_GB2312" w:eastAsia="仿宋_GB2312" w:cs="仿宋_GB2312"/>
        </w:rPr>
      </w:pPr>
    </w:p>
    <w:p>
      <w:pPr>
        <w:pStyle w:val="34"/>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质疑函制作说明：</w:t>
      </w:r>
    </w:p>
    <w:p>
      <w:pPr>
        <w:pStyle w:val="34"/>
        <w:rPr>
          <w:rFonts w:ascii="仿宋_GB2312" w:hAnsi="仿宋_GB2312" w:eastAsia="仿宋_GB2312" w:cs="仿宋_GB2312"/>
          <w:szCs w:val="21"/>
        </w:rPr>
      </w:pPr>
      <w:r>
        <w:rPr>
          <w:rFonts w:hint="eastAsia" w:ascii="仿宋_GB2312" w:hAnsi="仿宋_GB2312" w:eastAsia="仿宋_GB2312" w:cs="仿宋_GB2312"/>
          <w:szCs w:val="21"/>
        </w:rPr>
        <w:t>1.供应商提出质疑时，应提交质疑函和必要的证明材料。</w:t>
      </w:r>
    </w:p>
    <w:p>
      <w:pPr>
        <w:pStyle w:val="34"/>
        <w:rPr>
          <w:rFonts w:ascii="仿宋_GB2312" w:hAnsi="仿宋_GB2312" w:eastAsia="仿宋_GB2312" w:cs="仿宋_GB2312"/>
          <w:szCs w:val="21"/>
        </w:rPr>
      </w:pPr>
      <w:r>
        <w:rPr>
          <w:rFonts w:hint="eastAsia" w:ascii="仿宋_GB2312" w:hAnsi="仿宋_GB2312" w:eastAsia="仿宋_GB2312" w:cs="仿宋_GB2312"/>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34"/>
        <w:rPr>
          <w:rFonts w:ascii="仿宋_GB2312" w:hAnsi="仿宋_GB2312" w:eastAsia="仿宋_GB2312" w:cs="仿宋_GB2312"/>
          <w:szCs w:val="21"/>
        </w:rPr>
      </w:pPr>
      <w:r>
        <w:rPr>
          <w:rFonts w:hint="eastAsia" w:ascii="仿宋_GB2312" w:hAnsi="仿宋_GB2312" w:eastAsia="仿宋_GB2312" w:cs="仿宋_GB2312"/>
          <w:szCs w:val="21"/>
        </w:rPr>
        <w:t>3.质疑供应商若对项目的某一分包进行质疑，质疑函中应列明具体分包号。</w:t>
      </w:r>
    </w:p>
    <w:p>
      <w:pPr>
        <w:pStyle w:val="34"/>
        <w:rPr>
          <w:rFonts w:ascii="仿宋_GB2312" w:hAnsi="仿宋_GB2312" w:eastAsia="仿宋_GB2312" w:cs="仿宋_GB2312"/>
          <w:szCs w:val="21"/>
        </w:rPr>
      </w:pPr>
      <w:r>
        <w:rPr>
          <w:rFonts w:hint="eastAsia" w:ascii="仿宋_GB2312" w:hAnsi="仿宋_GB2312" w:eastAsia="仿宋_GB2312" w:cs="仿宋_GB2312"/>
          <w:szCs w:val="21"/>
        </w:rPr>
        <w:t>4.质疑函的质疑事项应具体、明确，并有必要的事实依据和法律依据。</w:t>
      </w:r>
    </w:p>
    <w:p>
      <w:pPr>
        <w:pStyle w:val="34"/>
        <w:rPr>
          <w:rFonts w:ascii="仿宋_GB2312" w:hAnsi="仿宋_GB2312" w:eastAsia="仿宋_GB2312" w:cs="仿宋_GB2312"/>
          <w:szCs w:val="21"/>
        </w:rPr>
      </w:pPr>
      <w:r>
        <w:rPr>
          <w:rFonts w:hint="eastAsia" w:ascii="仿宋_GB2312" w:hAnsi="仿宋_GB2312" w:eastAsia="仿宋_GB2312" w:cs="仿宋_GB2312"/>
          <w:szCs w:val="21"/>
        </w:rPr>
        <w:t>5.质疑函的质疑请求应与质疑事项相关。</w:t>
      </w:r>
    </w:p>
    <w:p>
      <w:pPr>
        <w:pStyle w:val="34"/>
        <w:rPr>
          <w:rFonts w:ascii="仿宋_GB2312" w:hAnsi="仿宋_GB2312" w:eastAsia="仿宋_GB2312" w:cs="仿宋_GB2312"/>
          <w:szCs w:val="21"/>
        </w:rPr>
      </w:pPr>
      <w:r>
        <w:rPr>
          <w:rFonts w:hint="eastAsia" w:ascii="仿宋_GB2312" w:hAnsi="仿宋_GB2312" w:eastAsia="仿宋_GB2312" w:cs="仿宋_GB2312"/>
          <w:szCs w:val="21"/>
        </w:rPr>
        <w:t>6.质疑供应商为自然人的，质疑函应由本人签字；质疑供应商为法人或者其他组织的，质疑函应由法定代表人、主要负责人，或者其授权代表签字或者盖章，并加盖公章。</w:t>
      </w:r>
    </w:p>
    <w:p>
      <w:pPr>
        <w:pStyle w:val="31"/>
        <w:jc w:val="center"/>
        <w:outlineLvl w:val="0"/>
        <w:rPr>
          <w:rFonts w:ascii="仿宋_GB2312" w:hAnsi="仿宋_GB2312" w:eastAsia="仿宋_GB2312" w:cs="仿宋_GB2312"/>
        </w:rPr>
      </w:pPr>
      <w:bookmarkStart w:id="71" w:name="_Toc19634"/>
      <w:bookmarkStart w:id="72" w:name="_Toc256000003"/>
      <w:bookmarkStart w:id="73" w:name="_Toc1662641"/>
      <w:bookmarkStart w:id="74" w:name="_Toc256000012"/>
      <w:r>
        <w:rPr>
          <w:rFonts w:hint="eastAsia" w:ascii="仿宋_GB2312" w:hAnsi="仿宋_GB2312" w:eastAsia="仿宋_GB2312" w:cs="仿宋_GB2312"/>
          <w:b/>
          <w:bCs/>
          <w:spacing w:val="14"/>
          <w:kern w:val="28"/>
          <w:sz w:val="44"/>
          <w:lang w:bidi="en-US"/>
        </w:rPr>
        <w:t>第三章  采购需求</w:t>
      </w:r>
      <w:bookmarkEnd w:id="71"/>
      <w:bookmarkEnd w:id="72"/>
      <w:bookmarkEnd w:id="73"/>
      <w:bookmarkEnd w:id="74"/>
    </w:p>
    <w:p>
      <w:pPr>
        <w:ind w:firstLine="410" w:firstLineChars="196"/>
        <w:rPr>
          <w:rFonts w:ascii="仿宋_GB2312" w:hAnsi="仿宋_GB2312" w:eastAsia="仿宋_GB2312" w:cs="仿宋_GB2312"/>
          <w:b/>
          <w:bCs/>
          <w:sz w:val="24"/>
          <w:szCs w:val="24"/>
        </w:rPr>
      </w:pPr>
      <w:bookmarkStart w:id="75" w:name="_Toc1662644"/>
      <w:r>
        <w:rPr>
          <w:rFonts w:hint="eastAsia" w:ascii="仿宋_GB2312" w:hAnsi="仿宋_GB2312" w:eastAsia="仿宋_GB2312" w:cs="仿宋_GB2312"/>
          <w:b/>
          <w:bCs/>
          <w:sz w:val="24"/>
          <w:szCs w:val="24"/>
        </w:rPr>
        <w:t>一、项目概况</w:t>
      </w:r>
    </w:p>
    <w:p>
      <w:pPr>
        <w:spacing w:line="480" w:lineRule="exact"/>
        <w:ind w:firstLine="418" w:firstLineChars="200"/>
        <w:rPr>
          <w:rStyle w:val="35"/>
          <w:rFonts w:ascii="仿宋_GB2312" w:hAnsi="仿宋_GB2312" w:eastAsia="仿宋_GB2312" w:cs="仿宋_GB2312"/>
          <w:sz w:val="24"/>
          <w:szCs w:val="24"/>
        </w:rPr>
      </w:pPr>
      <w:r>
        <w:rPr>
          <w:rStyle w:val="35"/>
          <w:rFonts w:hint="eastAsia" w:ascii="仿宋_GB2312" w:hAnsi="仿宋_GB2312" w:eastAsia="仿宋_GB2312" w:cs="仿宋_GB2312"/>
          <w:sz w:val="24"/>
          <w:szCs w:val="24"/>
        </w:rPr>
        <w:t>本次招标共6个标段。主要为图书馆2023年图书、期刊采购项目；</w:t>
      </w:r>
    </w:p>
    <w:p>
      <w:pPr>
        <w:spacing w:line="480" w:lineRule="exact"/>
        <w:ind w:firstLine="418"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包1、包2为自科图书，包3、包4为社科图书，包5为特藏图书，包6为中文期刊；其中： 自科、社科划分依据中图法，A-K类图书为社科、N-Z类图书为自科。</w:t>
      </w:r>
    </w:p>
    <w:p>
      <w:pPr>
        <w:spacing w:line="480" w:lineRule="exact"/>
        <w:ind w:firstLine="418" w:firstLineChars="200"/>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投标供应商必须按采购人的要求为采购的图书分类、编目、加盖馆藏章、粘贴条形码、粘贴磁条、加贴书标、加贴色标、典藏上架并保证加工质量。</w:t>
      </w:r>
    </w:p>
    <w:p>
      <w:pPr>
        <w:spacing w:line="480" w:lineRule="exact"/>
        <w:ind w:firstLine="418" w:firstLineChars="200"/>
        <w:rPr>
          <w:rFonts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color w:val="000000"/>
          <w:kern w:val="0"/>
          <w:sz w:val="24"/>
          <w:szCs w:val="24"/>
          <w:lang w:bidi="ar"/>
        </w:rPr>
        <w:t>本次项目投标供应商所提供书源要求来自正规渠道，所供图书要求内容健康、学术研究性强, 必</w:t>
      </w:r>
      <w:r>
        <w:rPr>
          <w:rFonts w:hint="eastAsia" w:ascii="仿宋_GB2312" w:hAnsi="仿宋_GB2312" w:eastAsia="仿宋_GB2312" w:cs="仿宋_GB2312"/>
          <w:color w:val="000000"/>
          <w:kern w:val="0"/>
          <w:sz w:val="24"/>
          <w:szCs w:val="24"/>
          <w:highlight w:val="none"/>
          <w:lang w:bidi="ar"/>
        </w:rPr>
        <w:t>须是正规的、大型的、权威的出版社的出版物。</w:t>
      </w:r>
    </w:p>
    <w:p>
      <w:pPr>
        <w:pStyle w:val="2"/>
        <w:rPr>
          <w:highlight w:val="none"/>
        </w:rPr>
      </w:pPr>
      <w:r>
        <w:rPr>
          <w:rFonts w:hint="eastAsia" w:ascii="仿宋_GB2312" w:hAnsi="仿宋_GB2312" w:cs="仿宋_GB2312"/>
          <w:color w:val="000000"/>
          <w:kern w:val="0"/>
          <w:sz w:val="24"/>
          <w:szCs w:val="24"/>
          <w:highlight w:val="none"/>
          <w:lang w:bidi="ar"/>
        </w:rPr>
        <w:t>二、</w:t>
      </w:r>
      <w:r>
        <w:rPr>
          <w:rFonts w:hint="eastAsia" w:ascii="仿宋_GB2312" w:hAnsi="仿宋_GB2312" w:cs="仿宋_GB2312"/>
          <w:b/>
          <w:bCs/>
          <w:sz w:val="24"/>
          <w:szCs w:val="24"/>
          <w:highlight w:val="none"/>
        </w:rPr>
        <w:t>采购项目清单及技术要求</w:t>
      </w:r>
    </w:p>
    <w:tbl>
      <w:tblPr>
        <w:tblStyle w:val="16"/>
        <w:tblW w:w="8277" w:type="dxa"/>
        <w:jc w:val="center"/>
        <w:tblLayout w:type="fixed"/>
        <w:tblCellMar>
          <w:top w:w="0" w:type="dxa"/>
          <w:left w:w="10" w:type="dxa"/>
          <w:bottom w:w="0" w:type="dxa"/>
          <w:right w:w="10" w:type="dxa"/>
        </w:tblCellMar>
      </w:tblPr>
      <w:tblGrid>
        <w:gridCol w:w="960"/>
        <w:gridCol w:w="2506"/>
        <w:gridCol w:w="2760"/>
        <w:gridCol w:w="1194"/>
        <w:gridCol w:w="857"/>
      </w:tblGrid>
      <w:tr>
        <w:tblPrEx>
          <w:tblCellMar>
            <w:top w:w="0" w:type="dxa"/>
            <w:left w:w="10" w:type="dxa"/>
            <w:bottom w:w="0" w:type="dxa"/>
            <w:right w:w="10" w:type="dxa"/>
          </w:tblCellMar>
        </w:tblPrEx>
        <w:trPr>
          <w:trHeight w:val="888" w:hRule="exact"/>
          <w:jc w:val="center"/>
        </w:trPr>
        <w:tc>
          <w:tcPr>
            <w:tcW w:w="960"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序号</w:t>
            </w:r>
          </w:p>
        </w:tc>
        <w:tc>
          <w:tcPr>
            <w:tcW w:w="2506"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货物名称</w:t>
            </w:r>
          </w:p>
        </w:tc>
        <w:tc>
          <w:tcPr>
            <w:tcW w:w="2760" w:type="dxa"/>
            <w:tcBorders>
              <w:top w:val="single" w:color="auto" w:sz="4" w:space="0"/>
              <w:lef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技术要求</w:t>
            </w:r>
          </w:p>
        </w:tc>
        <w:tc>
          <w:tcPr>
            <w:tcW w:w="1194" w:type="dxa"/>
            <w:tcBorders>
              <w:top w:val="single" w:color="auto" w:sz="4" w:space="0"/>
              <w:left w:val="single" w:color="auto" w:sz="4" w:space="0"/>
            </w:tcBorders>
            <w:shd w:val="clear" w:color="auto" w:fill="FFFFFF"/>
            <w:vAlign w:val="center"/>
          </w:tcPr>
          <w:p>
            <w:pPr>
              <w:pStyle w:val="128"/>
              <w:ind w:firstLine="220"/>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数量</w:t>
            </w:r>
          </w:p>
        </w:tc>
        <w:tc>
          <w:tcPr>
            <w:tcW w:w="857" w:type="dxa"/>
            <w:tcBorders>
              <w:top w:val="single" w:color="auto" w:sz="4" w:space="0"/>
              <w:left w:val="single" w:color="auto" w:sz="4" w:space="0"/>
              <w:right w:val="single" w:color="auto" w:sz="4" w:space="0"/>
            </w:tcBorders>
            <w:shd w:val="clear" w:color="auto" w:fill="FFFFFF"/>
            <w:vAlign w:val="center"/>
          </w:tcPr>
          <w:p>
            <w:pPr>
              <w:pStyle w:val="128"/>
              <w:spacing w:after="16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是否进口</w:t>
            </w:r>
          </w:p>
        </w:tc>
      </w:tr>
      <w:tr>
        <w:tblPrEx>
          <w:tblCellMar>
            <w:top w:w="0" w:type="dxa"/>
            <w:left w:w="10" w:type="dxa"/>
            <w:bottom w:w="0" w:type="dxa"/>
            <w:right w:w="10" w:type="dxa"/>
          </w:tblCellMar>
        </w:tblPrEx>
        <w:trPr>
          <w:trHeight w:val="883" w:hRule="exact"/>
          <w:jc w:val="center"/>
        </w:trPr>
        <w:tc>
          <w:tcPr>
            <w:tcW w:w="960" w:type="dxa"/>
            <w:tcBorders>
              <w:top w:val="single" w:color="auto" w:sz="4" w:space="0"/>
              <w:left w:val="single" w:color="auto" w:sz="4" w:space="0"/>
            </w:tcBorders>
            <w:shd w:val="clear" w:color="auto" w:fill="FFFFFF"/>
            <w:vAlign w:val="center"/>
          </w:tcPr>
          <w:p>
            <w:pPr>
              <w:pStyle w:val="128"/>
              <w:ind w:firstLine="22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包1</w:t>
            </w:r>
          </w:p>
        </w:tc>
        <w:tc>
          <w:tcPr>
            <w:tcW w:w="2506" w:type="dxa"/>
            <w:tcBorders>
              <w:top w:val="single" w:color="auto" w:sz="4" w:space="0"/>
              <w:left w:val="single" w:color="auto" w:sz="4" w:space="0"/>
            </w:tcBorders>
            <w:shd w:val="clear" w:color="auto" w:fill="FFFFFF"/>
            <w:vAlign w:val="center"/>
          </w:tcPr>
          <w:p>
            <w:pPr>
              <w:pStyle w:val="128"/>
              <w:spacing w:after="16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中文图书（自科1）</w:t>
            </w:r>
          </w:p>
        </w:tc>
        <w:tc>
          <w:tcPr>
            <w:tcW w:w="2760" w:type="dxa"/>
            <w:vMerge w:val="restart"/>
            <w:tcBorders>
              <w:top w:val="single" w:color="auto" w:sz="4" w:space="0"/>
              <w:left w:val="single" w:color="auto" w:sz="4" w:space="0"/>
            </w:tcBorders>
            <w:shd w:val="clear" w:color="auto" w:fill="FFFFFF"/>
            <w:vAlign w:val="center"/>
          </w:tcPr>
          <w:p>
            <w:pPr>
              <w:pStyle w:val="130"/>
              <w:keepNext/>
              <w:keepLines/>
              <w:spacing w:after="100" w:line="466" w:lineRule="exact"/>
              <w:ind w:firstLine="0"/>
              <w:jc w:val="center"/>
              <w:rPr>
                <w:rFonts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符合高等本科院校图书馆馆配标准，详细要求见</w:t>
            </w:r>
            <w:r>
              <w:rPr>
                <w:rFonts w:hint="eastAsia" w:ascii="仿宋_GB2312" w:hAnsi="仿宋_GB2312" w:eastAsia="仿宋_GB2312" w:cs="仿宋_GB2312"/>
                <w:color w:val="000000"/>
                <w:sz w:val="24"/>
                <w:szCs w:val="24"/>
                <w:lang w:val="zh-CN" w:eastAsia="zh-CN"/>
              </w:rPr>
              <w:t>技术参</w:t>
            </w:r>
            <w:r>
              <w:rPr>
                <w:rFonts w:hint="eastAsia" w:ascii="仿宋_GB2312" w:hAnsi="仿宋_GB2312" w:eastAsia="仿宋_GB2312" w:cs="仿宋_GB2312"/>
                <w:color w:val="000000"/>
                <w:sz w:val="24"/>
                <w:szCs w:val="24"/>
              </w:rPr>
              <w:t>数与相关要求</w:t>
            </w:r>
          </w:p>
        </w:tc>
        <w:tc>
          <w:tcPr>
            <w:tcW w:w="1194" w:type="dxa"/>
            <w:tcBorders>
              <w:top w:val="single" w:color="auto" w:sz="4" w:space="0"/>
              <w:left w:val="single" w:color="auto" w:sz="4" w:space="0"/>
            </w:tcBorders>
            <w:shd w:val="clear" w:color="auto" w:fill="FFFFFF"/>
            <w:vAlign w:val="center"/>
          </w:tcPr>
          <w:p>
            <w:pPr>
              <w:pStyle w:val="128"/>
              <w:spacing w:after="20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约12500册</w:t>
            </w:r>
          </w:p>
        </w:tc>
        <w:tc>
          <w:tcPr>
            <w:tcW w:w="857"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否</w:t>
            </w:r>
          </w:p>
        </w:tc>
      </w:tr>
      <w:tr>
        <w:tblPrEx>
          <w:tblCellMar>
            <w:top w:w="0" w:type="dxa"/>
            <w:left w:w="10" w:type="dxa"/>
            <w:bottom w:w="0" w:type="dxa"/>
            <w:right w:w="10" w:type="dxa"/>
          </w:tblCellMar>
        </w:tblPrEx>
        <w:trPr>
          <w:trHeight w:val="883" w:hRule="exact"/>
          <w:jc w:val="center"/>
        </w:trPr>
        <w:tc>
          <w:tcPr>
            <w:tcW w:w="960" w:type="dxa"/>
            <w:tcBorders>
              <w:top w:val="single" w:color="auto" w:sz="4" w:space="0"/>
              <w:left w:val="single" w:color="auto" w:sz="4" w:space="0"/>
            </w:tcBorders>
            <w:shd w:val="clear" w:color="auto" w:fill="FFFFFF"/>
            <w:vAlign w:val="center"/>
          </w:tcPr>
          <w:p>
            <w:pPr>
              <w:pStyle w:val="128"/>
              <w:ind w:firstLine="22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包2</w:t>
            </w:r>
          </w:p>
        </w:tc>
        <w:tc>
          <w:tcPr>
            <w:tcW w:w="2506" w:type="dxa"/>
            <w:tcBorders>
              <w:top w:val="single" w:color="auto" w:sz="4" w:space="0"/>
              <w:left w:val="single" w:color="auto" w:sz="4" w:space="0"/>
            </w:tcBorders>
            <w:shd w:val="clear" w:color="auto" w:fill="FFFFFF"/>
            <w:vAlign w:val="center"/>
          </w:tcPr>
          <w:p>
            <w:pPr>
              <w:pStyle w:val="128"/>
              <w:spacing w:after="16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中文图书（自科2）</w:t>
            </w:r>
          </w:p>
        </w:tc>
        <w:tc>
          <w:tcPr>
            <w:tcW w:w="2760" w:type="dxa"/>
            <w:vMerge w:val="continue"/>
            <w:tcBorders>
              <w:left w:val="single" w:color="auto" w:sz="4" w:space="0"/>
            </w:tcBorders>
            <w:shd w:val="clear" w:color="auto" w:fill="FFFFFF"/>
            <w:vAlign w:val="center"/>
          </w:tcPr>
          <w:p>
            <w:pPr>
              <w:jc w:val="center"/>
              <w:rPr>
                <w:rFonts w:ascii="仿宋_GB2312" w:hAnsi="仿宋_GB2312" w:eastAsia="仿宋_GB2312" w:cs="仿宋_GB2312"/>
                <w:sz w:val="24"/>
                <w:szCs w:val="24"/>
              </w:rPr>
            </w:pPr>
          </w:p>
        </w:tc>
        <w:tc>
          <w:tcPr>
            <w:tcW w:w="1194" w:type="dxa"/>
            <w:tcBorders>
              <w:top w:val="single" w:color="auto" w:sz="4" w:space="0"/>
              <w:left w:val="single" w:color="auto" w:sz="4" w:space="0"/>
            </w:tcBorders>
            <w:shd w:val="clear" w:color="auto" w:fill="FFFFFF"/>
            <w:vAlign w:val="center"/>
          </w:tcPr>
          <w:p>
            <w:pPr>
              <w:pStyle w:val="128"/>
              <w:spacing w:after="20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约12000册</w:t>
            </w:r>
          </w:p>
        </w:tc>
        <w:tc>
          <w:tcPr>
            <w:tcW w:w="857"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否</w:t>
            </w:r>
          </w:p>
        </w:tc>
      </w:tr>
      <w:tr>
        <w:tblPrEx>
          <w:tblCellMar>
            <w:top w:w="0" w:type="dxa"/>
            <w:left w:w="10" w:type="dxa"/>
            <w:bottom w:w="0" w:type="dxa"/>
            <w:right w:w="10" w:type="dxa"/>
          </w:tblCellMar>
        </w:tblPrEx>
        <w:trPr>
          <w:trHeight w:val="883" w:hRule="exact"/>
          <w:jc w:val="center"/>
        </w:trPr>
        <w:tc>
          <w:tcPr>
            <w:tcW w:w="960" w:type="dxa"/>
            <w:tcBorders>
              <w:top w:val="single" w:color="auto" w:sz="4" w:space="0"/>
              <w:left w:val="single" w:color="auto" w:sz="4" w:space="0"/>
            </w:tcBorders>
            <w:shd w:val="clear" w:color="auto" w:fill="FFFFFF"/>
            <w:vAlign w:val="center"/>
          </w:tcPr>
          <w:p>
            <w:pPr>
              <w:pStyle w:val="128"/>
              <w:ind w:firstLine="22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包3</w:t>
            </w:r>
          </w:p>
        </w:tc>
        <w:tc>
          <w:tcPr>
            <w:tcW w:w="2506" w:type="dxa"/>
            <w:tcBorders>
              <w:top w:val="single" w:color="auto" w:sz="4" w:space="0"/>
              <w:left w:val="single" w:color="auto" w:sz="4" w:space="0"/>
            </w:tcBorders>
            <w:shd w:val="clear" w:color="auto" w:fill="FFFFFF"/>
            <w:vAlign w:val="center"/>
          </w:tcPr>
          <w:p>
            <w:pPr>
              <w:pStyle w:val="128"/>
              <w:spacing w:after="16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中文图书（社科1）</w:t>
            </w:r>
          </w:p>
        </w:tc>
        <w:tc>
          <w:tcPr>
            <w:tcW w:w="2760" w:type="dxa"/>
            <w:vMerge w:val="continue"/>
            <w:tcBorders>
              <w:left w:val="single" w:color="auto" w:sz="4" w:space="0"/>
            </w:tcBorders>
            <w:shd w:val="clear" w:color="auto" w:fill="FFFFFF"/>
            <w:vAlign w:val="center"/>
          </w:tcPr>
          <w:p>
            <w:pPr>
              <w:jc w:val="center"/>
              <w:rPr>
                <w:rFonts w:ascii="仿宋_GB2312" w:hAnsi="仿宋_GB2312" w:eastAsia="仿宋_GB2312" w:cs="仿宋_GB2312"/>
                <w:sz w:val="24"/>
                <w:szCs w:val="24"/>
              </w:rPr>
            </w:pPr>
          </w:p>
        </w:tc>
        <w:tc>
          <w:tcPr>
            <w:tcW w:w="1194" w:type="dxa"/>
            <w:tcBorders>
              <w:top w:val="single" w:color="auto" w:sz="4" w:space="0"/>
              <w:left w:val="single" w:color="auto" w:sz="4" w:space="0"/>
            </w:tcBorders>
            <w:shd w:val="clear" w:color="auto" w:fill="FFFFFF"/>
            <w:vAlign w:val="center"/>
          </w:tcPr>
          <w:p>
            <w:pPr>
              <w:pStyle w:val="128"/>
              <w:spacing w:after="20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约14000册</w:t>
            </w:r>
          </w:p>
        </w:tc>
        <w:tc>
          <w:tcPr>
            <w:tcW w:w="857"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否</w:t>
            </w:r>
          </w:p>
        </w:tc>
      </w:tr>
      <w:tr>
        <w:tblPrEx>
          <w:tblCellMar>
            <w:top w:w="0" w:type="dxa"/>
            <w:left w:w="10" w:type="dxa"/>
            <w:bottom w:w="0" w:type="dxa"/>
            <w:right w:w="10" w:type="dxa"/>
          </w:tblCellMar>
        </w:tblPrEx>
        <w:trPr>
          <w:trHeight w:val="888" w:hRule="exact"/>
          <w:jc w:val="center"/>
        </w:trPr>
        <w:tc>
          <w:tcPr>
            <w:tcW w:w="960" w:type="dxa"/>
            <w:tcBorders>
              <w:top w:val="single" w:color="auto" w:sz="4" w:space="0"/>
              <w:left w:val="single" w:color="auto" w:sz="4" w:space="0"/>
            </w:tcBorders>
            <w:shd w:val="clear" w:color="auto" w:fill="FFFFFF"/>
            <w:vAlign w:val="center"/>
          </w:tcPr>
          <w:p>
            <w:pPr>
              <w:pStyle w:val="128"/>
              <w:ind w:firstLine="22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包4</w:t>
            </w:r>
          </w:p>
        </w:tc>
        <w:tc>
          <w:tcPr>
            <w:tcW w:w="2506" w:type="dxa"/>
            <w:tcBorders>
              <w:top w:val="single" w:color="auto" w:sz="4" w:space="0"/>
              <w:left w:val="single" w:color="auto" w:sz="4" w:space="0"/>
            </w:tcBorders>
            <w:shd w:val="clear" w:color="auto" w:fill="FFFFFF"/>
            <w:vAlign w:val="center"/>
          </w:tcPr>
          <w:p>
            <w:pPr>
              <w:pStyle w:val="128"/>
              <w:spacing w:after="16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中文图书（社科2）</w:t>
            </w:r>
          </w:p>
        </w:tc>
        <w:tc>
          <w:tcPr>
            <w:tcW w:w="2760" w:type="dxa"/>
            <w:vMerge w:val="continue"/>
            <w:tcBorders>
              <w:left w:val="single" w:color="auto" w:sz="4" w:space="0"/>
            </w:tcBorders>
            <w:shd w:val="clear" w:color="auto" w:fill="FFFFFF"/>
            <w:vAlign w:val="center"/>
          </w:tcPr>
          <w:p>
            <w:pPr>
              <w:jc w:val="center"/>
              <w:rPr>
                <w:rFonts w:ascii="仿宋_GB2312" w:hAnsi="仿宋_GB2312" w:eastAsia="仿宋_GB2312" w:cs="仿宋_GB2312"/>
                <w:sz w:val="24"/>
                <w:szCs w:val="24"/>
              </w:rPr>
            </w:pPr>
          </w:p>
        </w:tc>
        <w:tc>
          <w:tcPr>
            <w:tcW w:w="1194" w:type="dxa"/>
            <w:tcBorders>
              <w:top w:val="single" w:color="auto" w:sz="4" w:space="0"/>
              <w:left w:val="single" w:color="auto" w:sz="4" w:space="0"/>
            </w:tcBorders>
            <w:shd w:val="clear" w:color="auto" w:fill="FFFFFF"/>
            <w:vAlign w:val="center"/>
          </w:tcPr>
          <w:p>
            <w:pPr>
              <w:pStyle w:val="128"/>
              <w:spacing w:after="20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约13500册</w:t>
            </w:r>
          </w:p>
        </w:tc>
        <w:tc>
          <w:tcPr>
            <w:tcW w:w="857" w:type="dxa"/>
            <w:tcBorders>
              <w:top w:val="single" w:color="auto" w:sz="4" w:space="0"/>
              <w:left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否</w:t>
            </w:r>
          </w:p>
        </w:tc>
      </w:tr>
      <w:tr>
        <w:tblPrEx>
          <w:tblCellMar>
            <w:top w:w="0" w:type="dxa"/>
            <w:left w:w="10" w:type="dxa"/>
            <w:bottom w:w="0" w:type="dxa"/>
            <w:right w:w="10" w:type="dxa"/>
          </w:tblCellMar>
        </w:tblPrEx>
        <w:trPr>
          <w:trHeight w:val="883" w:hRule="exact"/>
          <w:jc w:val="center"/>
        </w:trPr>
        <w:tc>
          <w:tcPr>
            <w:tcW w:w="960" w:type="dxa"/>
            <w:tcBorders>
              <w:top w:val="single" w:color="auto" w:sz="4" w:space="0"/>
              <w:left w:val="single" w:color="auto" w:sz="4" w:space="0"/>
              <w:bottom w:val="single" w:color="auto" w:sz="4" w:space="0"/>
            </w:tcBorders>
            <w:shd w:val="clear" w:color="auto" w:fill="FFFFFF"/>
            <w:vAlign w:val="center"/>
          </w:tcPr>
          <w:p>
            <w:pPr>
              <w:pStyle w:val="128"/>
              <w:ind w:firstLine="22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包5</w:t>
            </w:r>
          </w:p>
        </w:tc>
        <w:tc>
          <w:tcPr>
            <w:tcW w:w="2506" w:type="dxa"/>
            <w:tcBorders>
              <w:top w:val="single" w:color="auto" w:sz="4" w:space="0"/>
              <w:left w:val="single" w:color="auto" w:sz="4" w:space="0"/>
              <w:bottom w:val="single" w:color="auto" w:sz="4" w:space="0"/>
            </w:tcBorders>
            <w:shd w:val="clear" w:color="auto" w:fill="FFFFFF"/>
            <w:vAlign w:val="center"/>
          </w:tcPr>
          <w:p>
            <w:pPr>
              <w:pStyle w:val="128"/>
              <w:spacing w:after="16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中文图书（特藏）</w:t>
            </w:r>
          </w:p>
        </w:tc>
        <w:tc>
          <w:tcPr>
            <w:tcW w:w="2760" w:type="dxa"/>
            <w:vMerge w:val="continue"/>
            <w:tcBorders>
              <w:left w:val="single" w:color="auto" w:sz="4" w:space="0"/>
              <w:bottom w:val="single" w:color="auto" w:sz="4" w:space="0"/>
            </w:tcBorders>
            <w:shd w:val="clear" w:color="auto" w:fill="FFFFFF"/>
            <w:vAlign w:val="center"/>
          </w:tcPr>
          <w:p>
            <w:pPr>
              <w:jc w:val="center"/>
              <w:rPr>
                <w:rFonts w:ascii="仿宋_GB2312" w:hAnsi="仿宋_GB2312" w:eastAsia="仿宋_GB2312" w:cs="仿宋_GB2312"/>
                <w:sz w:val="24"/>
                <w:szCs w:val="24"/>
              </w:rPr>
            </w:pPr>
          </w:p>
        </w:tc>
        <w:tc>
          <w:tcPr>
            <w:tcW w:w="1194" w:type="dxa"/>
            <w:tcBorders>
              <w:top w:val="single" w:color="auto" w:sz="4" w:space="0"/>
              <w:left w:val="single" w:color="auto" w:sz="4" w:space="0"/>
              <w:bottom w:val="single" w:color="auto" w:sz="4" w:space="0"/>
            </w:tcBorders>
            <w:shd w:val="clear" w:color="auto" w:fill="FFFFFF"/>
            <w:vAlign w:val="center"/>
          </w:tcPr>
          <w:p>
            <w:pPr>
              <w:pStyle w:val="128"/>
              <w:spacing w:after="20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约5000册</w:t>
            </w: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否</w:t>
            </w:r>
          </w:p>
        </w:tc>
      </w:tr>
      <w:tr>
        <w:tblPrEx>
          <w:tblCellMar>
            <w:top w:w="0" w:type="dxa"/>
            <w:left w:w="10" w:type="dxa"/>
            <w:bottom w:w="0" w:type="dxa"/>
            <w:right w:w="10" w:type="dxa"/>
          </w:tblCellMar>
        </w:tblPrEx>
        <w:trPr>
          <w:trHeight w:val="1458" w:hRule="exact"/>
          <w:jc w:val="center"/>
        </w:trPr>
        <w:tc>
          <w:tcPr>
            <w:tcW w:w="960" w:type="dxa"/>
            <w:tcBorders>
              <w:top w:val="single" w:color="auto" w:sz="4" w:space="0"/>
              <w:left w:val="single" w:color="auto" w:sz="4" w:space="0"/>
              <w:bottom w:val="single" w:color="auto" w:sz="4" w:space="0"/>
            </w:tcBorders>
            <w:shd w:val="clear" w:color="auto" w:fill="FFFFFF"/>
            <w:vAlign w:val="center"/>
          </w:tcPr>
          <w:p>
            <w:pPr>
              <w:pStyle w:val="128"/>
              <w:ind w:firstLine="220"/>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包6</w:t>
            </w:r>
          </w:p>
        </w:tc>
        <w:tc>
          <w:tcPr>
            <w:tcW w:w="2506" w:type="dxa"/>
            <w:tcBorders>
              <w:top w:val="single" w:color="auto" w:sz="4" w:space="0"/>
              <w:left w:val="single" w:color="auto" w:sz="4" w:space="0"/>
              <w:bottom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中文期刊</w:t>
            </w:r>
          </w:p>
        </w:tc>
        <w:tc>
          <w:tcPr>
            <w:tcW w:w="2760" w:type="dxa"/>
            <w:tcBorders>
              <w:top w:val="single" w:color="auto" w:sz="4" w:space="0"/>
              <w:left w:val="single" w:color="auto" w:sz="4" w:space="0"/>
              <w:bottom w:val="single" w:color="auto" w:sz="4" w:space="0"/>
            </w:tcBorders>
            <w:shd w:val="clear" w:color="auto" w:fill="FFFFFF"/>
            <w:vAlign w:val="center"/>
          </w:tcPr>
          <w:p>
            <w:pPr>
              <w:pStyle w:val="128"/>
              <w:spacing w:after="180"/>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国内正规出版发行刊物，详细要求见</w:t>
            </w:r>
            <w:r>
              <w:rPr>
                <w:rFonts w:hint="eastAsia" w:ascii="仿宋_GB2312" w:hAnsi="仿宋_GB2312" w:eastAsia="仿宋_GB2312" w:cs="仿宋_GB2312"/>
                <w:color w:val="000000"/>
                <w:sz w:val="24"/>
                <w:szCs w:val="24"/>
                <w:lang w:val="zh-CN" w:eastAsia="zh-CN"/>
              </w:rPr>
              <w:t>技术参</w:t>
            </w:r>
            <w:r>
              <w:rPr>
                <w:rFonts w:hint="eastAsia" w:ascii="仿宋_GB2312" w:hAnsi="仿宋_GB2312" w:eastAsia="仿宋_GB2312" w:cs="仿宋_GB2312"/>
                <w:color w:val="000000"/>
                <w:sz w:val="24"/>
                <w:szCs w:val="24"/>
              </w:rPr>
              <w:t>数与相关要求</w:t>
            </w:r>
          </w:p>
        </w:tc>
        <w:tc>
          <w:tcPr>
            <w:tcW w:w="1194" w:type="dxa"/>
            <w:tcBorders>
              <w:top w:val="single" w:color="auto" w:sz="4" w:space="0"/>
              <w:left w:val="single" w:color="auto" w:sz="4" w:space="0"/>
              <w:bottom w:val="single" w:color="auto" w:sz="4" w:space="0"/>
            </w:tcBorders>
            <w:shd w:val="clear" w:color="auto" w:fill="FFFFFF"/>
            <w:vAlign w:val="center"/>
          </w:tcPr>
          <w:p>
            <w:pPr>
              <w:pStyle w:val="128"/>
              <w:spacing w:after="200"/>
              <w:jc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约1600种</w:t>
            </w:r>
          </w:p>
        </w:tc>
        <w:tc>
          <w:tcPr>
            <w:tcW w:w="85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8"/>
              <w:jc w:val="center"/>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否</w:t>
            </w:r>
          </w:p>
        </w:tc>
      </w:tr>
    </w:tbl>
    <w:p>
      <w:pPr>
        <w:rPr>
          <w:rFonts w:ascii="仿宋" w:hAnsi="仿宋" w:eastAsia="仿宋" w:cs="仿宋"/>
          <w:color w:val="000000"/>
        </w:rPr>
      </w:pPr>
      <w:r>
        <w:rPr>
          <w:rFonts w:hint="eastAsia" w:ascii="仿宋" w:hAnsi="仿宋" w:eastAsia="仿宋" w:cs="仿宋"/>
          <w:color w:val="000000"/>
        </w:rPr>
        <w:br w:type="page"/>
      </w:r>
    </w:p>
    <w:p>
      <w:pPr>
        <w:pStyle w:val="130"/>
        <w:keepNext/>
        <w:keepLines/>
        <w:spacing w:after="100" w:line="466" w:lineRule="exact"/>
        <w:ind w:firstLine="0"/>
        <w:jc w:val="center"/>
        <w:rPr>
          <w:rFonts w:ascii="仿宋_GB2312" w:hAnsi="仿宋_GB2312" w:eastAsia="仿宋_GB2312" w:cs="仿宋_GB2312"/>
          <w:b/>
          <w:bCs/>
          <w:sz w:val="24"/>
          <w:szCs w:val="24"/>
          <w:highlight w:val="none"/>
          <w:lang w:val="en-US" w:eastAsia="zh-CN" w:bidi="ar-SA"/>
        </w:rPr>
      </w:pPr>
      <w:bookmarkStart w:id="76" w:name="bookmark29"/>
      <w:bookmarkStart w:id="77" w:name="bookmark28"/>
      <w:bookmarkStart w:id="78" w:name="bookmark27"/>
      <w:r>
        <w:rPr>
          <w:rFonts w:hint="eastAsia" w:ascii="仿宋_GB2312" w:hAnsi="仿宋_GB2312" w:eastAsia="仿宋_GB2312" w:cs="仿宋_GB2312"/>
          <w:b/>
          <w:bCs/>
          <w:sz w:val="24"/>
          <w:szCs w:val="24"/>
          <w:highlight w:val="none"/>
          <w:lang w:val="zh-CN" w:eastAsia="zh-CN" w:bidi="ar-SA"/>
        </w:rPr>
        <w:t>技术参</w:t>
      </w:r>
      <w:r>
        <w:rPr>
          <w:rFonts w:hint="eastAsia" w:ascii="仿宋_GB2312" w:hAnsi="仿宋_GB2312" w:eastAsia="仿宋_GB2312" w:cs="仿宋_GB2312"/>
          <w:b/>
          <w:bCs/>
          <w:sz w:val="24"/>
          <w:szCs w:val="24"/>
          <w:highlight w:val="none"/>
          <w:lang w:val="en-US" w:eastAsia="zh-CN" w:bidi="ar-SA"/>
        </w:rPr>
        <w:t>数与相关要求</w:t>
      </w:r>
      <w:bookmarkEnd w:id="76"/>
      <w:bookmarkEnd w:id="77"/>
      <w:bookmarkEnd w:id="78"/>
    </w:p>
    <w:p>
      <w:pPr>
        <w:pStyle w:val="131"/>
        <w:jc w:val="left"/>
        <w:rPr>
          <w:rFonts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bidi="ar-SA"/>
        </w:rPr>
        <w:t>1、图书、期刊货品订单要求</w:t>
      </w:r>
    </w:p>
    <w:p>
      <w:pPr>
        <w:pStyle w:val="131"/>
        <w:ind w:firstLine="418" w:firstLineChars="200"/>
        <w:jc w:val="left"/>
        <w:rPr>
          <w:rFonts w:ascii="仿宋_GB2312" w:hAnsi="仿宋_GB2312" w:eastAsia="仿宋_GB2312" w:cs="仿宋_GB2312"/>
          <w:b w:val="0"/>
          <w:bCs w:val="0"/>
          <w:sz w:val="24"/>
          <w:szCs w:val="24"/>
          <w:highlight w:val="none"/>
          <w:lang w:val="en-US" w:eastAsia="zh-CN" w:bidi="ar-SA"/>
        </w:rPr>
      </w:pPr>
      <w:r>
        <w:rPr>
          <w:rFonts w:hint="eastAsia" w:ascii="仿宋_GB2312" w:hAnsi="仿宋_GB2312" w:eastAsia="仿宋_GB2312" w:cs="仿宋_GB2312"/>
          <w:b w:val="0"/>
          <w:bCs w:val="0"/>
          <w:sz w:val="24"/>
          <w:szCs w:val="24"/>
          <w:highlight w:val="none"/>
          <w:lang w:val="en-US" w:eastAsia="zh-CN" w:bidi="ar-SA"/>
        </w:rPr>
        <w:t>包1~包5的图书计划采购书目订单和包6的期刊计划征订目录订单见电子附件。</w:t>
      </w:r>
      <w:r>
        <w:rPr>
          <w:rFonts w:hint="eastAsia" w:ascii="仿宋_GB2312" w:hAnsi="仿宋_GB2312" w:eastAsia="仿宋_GB2312" w:cs="仿宋_GB2312"/>
          <w:b w:val="0"/>
          <w:bCs w:val="0"/>
          <w:color w:val="000000" w:themeColor="text1"/>
          <w:sz w:val="24"/>
          <w:szCs w:val="24"/>
          <w:highlight w:val="none"/>
          <w:lang w:val="en-US" w:eastAsia="zh-CN" w:bidi="ar-SA"/>
          <w14:textFill>
            <w14:solidFill>
              <w14:schemeClr w14:val="tx1"/>
            </w14:solidFill>
          </w14:textFill>
        </w:rPr>
        <w:t>采购方所提供的计划采购书目清单中标*号且字体红色的为必采图书，投标供应商必须保证计划订单中的必采图书的到货率100%</w:t>
      </w:r>
      <w:r>
        <w:rPr>
          <w:rFonts w:hint="eastAsia" w:ascii="仿宋_GB2312" w:hAnsi="仿宋_GB2312" w:eastAsia="仿宋_GB2312" w:cs="仿宋_GB2312"/>
          <w:b w:val="0"/>
          <w:bCs w:val="0"/>
          <w:sz w:val="24"/>
          <w:szCs w:val="24"/>
          <w:highlight w:val="none"/>
          <w:lang w:val="en-US" w:eastAsia="zh-CN" w:bidi="ar-SA"/>
        </w:rPr>
        <w:t>，并在投标文件中给予承诺。</w:t>
      </w:r>
    </w:p>
    <w:p>
      <w:pPr>
        <w:pStyle w:val="2"/>
        <w:ind w:firstLine="418" w:firstLineChars="200"/>
        <w:rPr>
          <w:rFonts w:ascii="仿宋_GB2312" w:hAnsi="仿宋_GB2312" w:cs="仿宋_GB2312"/>
          <w:sz w:val="24"/>
          <w:szCs w:val="24"/>
        </w:rPr>
      </w:pPr>
      <w:r>
        <w:rPr>
          <w:rFonts w:hint="eastAsia" w:ascii="仿宋_GB2312" w:hAnsi="仿宋_GB2312" w:cs="仿宋_GB2312"/>
          <w:sz w:val="24"/>
          <w:szCs w:val="24"/>
          <w:highlight w:val="none"/>
        </w:rPr>
        <w:t>（1）计划订单中的书目信息以采购人的解释为准。采购人不保证计划订单中的全部书目信息都完整无误。若书目信息前后不一致时，投标供应商应主动咨询采购人，以采购人的解释为准。（计划订单书目信息中的副题名、分卷号、分卷名、版次、装帧、开本、丛书名、作品语</w:t>
      </w:r>
      <w:r>
        <w:rPr>
          <w:rFonts w:hint="eastAsia" w:ascii="仿宋_GB2312" w:hAnsi="仿宋_GB2312" w:cs="仿宋_GB2312"/>
          <w:sz w:val="24"/>
          <w:szCs w:val="24"/>
        </w:rPr>
        <w:t>种等项可向采购人咨询。）</w:t>
      </w:r>
    </w:p>
    <w:p>
      <w:pPr>
        <w:pStyle w:val="2"/>
        <w:ind w:firstLine="418" w:firstLineChars="200"/>
        <w:rPr>
          <w:rFonts w:ascii="仿宋_GB2312" w:hAnsi="仿宋_GB2312" w:cs="仿宋_GB2312"/>
          <w:sz w:val="24"/>
          <w:szCs w:val="24"/>
        </w:rPr>
      </w:pPr>
      <w:r>
        <w:rPr>
          <w:rFonts w:hint="eastAsia" w:ascii="仿宋_GB2312" w:hAnsi="仿宋_GB2312" w:cs="仿宋_GB2312"/>
          <w:sz w:val="24"/>
          <w:szCs w:val="24"/>
        </w:rPr>
        <w:t>（2）考虑投标供应商所报的综合折扣率，采购人给出的计划订单码洋数总数大于合同金额。采购人根据中标后的合同金额、投标供应商投标折扣及实际工作需要对计划订单中的书目进行更改复本量、增补或减少书目品种(增补的必须是大型出版社的图书或复本，减少的是不符合采购人要求的图书或复本)，形成正式订单。</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rPr>
        <w:t>（3）正式订单到货率若低于95%，采购人在付款中对投标方采取惩罚性扣款，扣款计算公式为：</w:t>
      </w:r>
      <w:r>
        <w:rPr>
          <w:rFonts w:hint="eastAsia" w:ascii="仿宋_GB2312" w:hAnsi="仿宋_GB2312" w:cs="仿宋_GB2312"/>
          <w:sz w:val="24"/>
          <w:szCs w:val="24"/>
          <w:highlight w:val="none"/>
        </w:rPr>
        <w:t>（100%-实际到书率）×100×5000元。并列入黑名单且以后不能再参与我校相关的投标。</w:t>
      </w:r>
    </w:p>
    <w:p>
      <w:pPr>
        <w:pStyle w:val="131"/>
        <w:jc w:val="left"/>
        <w:rPr>
          <w:rFonts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bidi="ar-SA"/>
        </w:rPr>
        <w:t>中文图书包1——包5</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91"/>
        <w:gridCol w:w="6169"/>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序号</w:t>
            </w:r>
          </w:p>
        </w:tc>
        <w:tc>
          <w:tcPr>
            <w:tcW w:w="1291"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名称</w:t>
            </w:r>
          </w:p>
        </w:tc>
        <w:tc>
          <w:tcPr>
            <w:tcW w:w="6169"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服务加工/安装要求</w:t>
            </w:r>
          </w:p>
        </w:tc>
        <w:tc>
          <w:tcPr>
            <w:tcW w:w="1268"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1</w:t>
            </w:r>
          </w:p>
        </w:tc>
        <w:tc>
          <w:tcPr>
            <w:tcW w:w="1291"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中文图书</w:t>
            </w:r>
          </w:p>
        </w:tc>
        <w:tc>
          <w:tcPr>
            <w:tcW w:w="6169" w:type="dxa"/>
          </w:tcPr>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项目要求：符合高等院校图书馆馆配标准（包1、包2 为自科图书，包3、包4为社科图书，包5为特藏图书；其中：自科、社科划分依据中图法，A-K类图书为社科、N-Z类图书为自科。原则上包1~包4为2021年以后出版的新书，包5出版年代不限）</w:t>
            </w:r>
          </w:p>
          <w:p>
            <w:pPr>
              <w:pStyle w:val="2"/>
              <w:ind w:firstLine="0"/>
              <w:rPr>
                <w:rFonts w:ascii="仿宋_GB2312" w:hAnsi="仿宋_GB2312" w:cs="仿宋_GB2312"/>
                <w:b/>
                <w:bCs/>
                <w:sz w:val="24"/>
                <w:szCs w:val="24"/>
                <w:highlight w:val="none"/>
              </w:rPr>
            </w:pPr>
            <w:r>
              <w:rPr>
                <w:rFonts w:hint="eastAsia" w:ascii="仿宋_GB2312" w:hAnsi="仿宋_GB2312" w:cs="仿宋_GB2312"/>
                <w:b/>
                <w:bCs/>
                <w:sz w:val="24"/>
                <w:szCs w:val="24"/>
                <w:highlight w:val="none"/>
              </w:rPr>
              <w:t>一、配书：</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1.严格按照所发订单的书号、书名、出版社、出版年、版本、册数配正版图书。</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2.剔除活页、小开本、练习册、漫画、挂图、配磁带图书、中小学及幼儿读物、高职高专及以下、小于32K、100页以下(艺术类画册除外)图书。</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3.外文图书和影印版外文原版图书(图书正文不含中文)复本量最多不超过2册，除不贴中文图书条码外，其它加工同中文图书。外文图书要单独打包，如分不清中文外文图书可依据Calis数据确定。</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4.本次招标的供应商须具有诚信的品质、在公司管理方面要规范，对于不诚信的公司，采购人有权单方直接取消合同。有以下行为之一的，视为不诚信行为：掺书、更改书价、在图书验收环节弄虚作假、转移或更换采购人书目订购数据、非法更改采购人采访系统数据、影响采购人年度采购计划、不按时签订合同的等。</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5．投标供应商必须为采购人提供1次现场采购书机会，如：全国性大型图书展销会及国内大型图书样本库等。所需的联系会展方、采集器、查重、采访数据等费用由投标人承担，投标供应商须在投标文件中给予承诺。在外地现采中，招标人的采购人员自身产生的差旅费用由招标人自行承担，投标人不承担招标人的采购人员自身产生的差旅费用。</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6．投标供应商应建有功能完善、性能稳定的专业化图书电子商务网站。须具有满足采购方的最低在线工作需求的网络平台，若非供应商自有平台，需提供包含以下功能需求平台的授权书。网络采书平台具体要求包括：</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（1）平台收录书目数据不少于200万条。</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（2）具有智能推送、外采匹配、统计分析等功能；</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（3）能通过书名、作者名、出版社、书号等多途径检索书目，辅助选书，在线订购，在线输出MARC记录，查重等功能；</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（4）能实现与第三方图书网购平台对接并具有读者荐购功能，可以实现荐购图书物流直接配送服务；</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5）平台应能将中图法分类与主题词、学科名称分别建立对应关系；并可根据客户对图书的具体要求，通过系统自动识别并且剔除不符合要求的书目；以投标文件中附功能截图为准。同时需提供网站的名称、网址、登陆账号、密码。无法满足此最低服务需求的，则认为无法满足采购方的最低技术要求。</w:t>
            </w:r>
          </w:p>
          <w:p>
            <w:pPr>
              <w:pStyle w:val="2"/>
              <w:ind w:firstLine="0"/>
              <w:rPr>
                <w:rFonts w:ascii="仿宋_GB2312" w:hAnsi="仿宋_GB2312" w:cs="仿宋_GB2312"/>
                <w:sz w:val="24"/>
                <w:szCs w:val="24"/>
                <w:highlight w:val="none"/>
              </w:rPr>
            </w:pPr>
            <w:r>
              <w:rPr>
                <w:rFonts w:ascii="仿宋_GB2312" w:hAnsi="仿宋_GB2312" w:cs="仿宋_GB2312"/>
                <w:sz w:val="24"/>
                <w:szCs w:val="24"/>
                <w:highlight w:val="none"/>
              </w:rPr>
              <w:t>7</w:t>
            </w:r>
            <w:r>
              <w:rPr>
                <w:rFonts w:hint="eastAsia" w:ascii="仿宋_GB2312" w:hAnsi="仿宋_GB2312" w:cs="仿宋_GB2312"/>
                <w:sz w:val="24"/>
                <w:szCs w:val="24"/>
                <w:highlight w:val="none"/>
              </w:rPr>
              <w:t>．投标供应商能够提供广泛的书源让采购人开展读者选书活动，所提供书源要求来自正规渠道，所供图书要求内容健康、学术研究性强，必须是正规的、大型的、权威的出版社的出版物，所需的费用由投标人供应商承担，投标供应商须在投标文件中给予承诺。</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8.采购人根据学校专业设置和重点学科建设列出本次采购的重点出版社（见推荐出版社名单）。投标供应商需提供招标文件中要求重点出版社开具的在有效期内的加盖公章的合作授权委托书原件扫描件至少15份。</w:t>
            </w:r>
          </w:p>
          <w:p>
            <w:pPr>
              <w:pStyle w:val="2"/>
              <w:ind w:firstLine="0"/>
              <w:rPr>
                <w:rFonts w:ascii="仿宋_GB2312" w:hAnsi="仿宋_GB2312" w:cs="仿宋_GB2312"/>
                <w:sz w:val="24"/>
                <w:szCs w:val="24"/>
                <w:highlight w:val="none"/>
              </w:rPr>
            </w:pPr>
            <w:r>
              <w:rPr>
                <w:rFonts w:ascii="仿宋_GB2312" w:hAnsi="仿宋_GB2312" w:cs="仿宋_GB2312"/>
                <w:sz w:val="24"/>
                <w:szCs w:val="24"/>
                <w:highlight w:val="none"/>
              </w:rPr>
              <w:t>9</w:t>
            </w:r>
            <w:r>
              <w:rPr>
                <w:rFonts w:hint="eastAsia" w:ascii="仿宋_GB2312" w:hAnsi="仿宋_GB2312" w:cs="仿宋_GB2312"/>
                <w:sz w:val="24"/>
                <w:szCs w:val="24"/>
                <w:highlight w:val="none"/>
              </w:rPr>
              <w:t>.采购人针对投标供应商的每个批次图书的图书初验、图书编目、物理加工等工作环节进行现场检查，采购人若发现所送图书出现差错、有质量问题、或不适合本馆收藏的图书，采购人有权把不合适的图书推掉，投标供应商须无条件接受退书，投标供应商须在投标文件中给予承诺。</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10.投标人需在响应文件中提供针对本项目编制交货、加工、入库、验收等保障措施的方案。</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11.投标人需根据供应商满足图书类别、采购范围、现采要求及其它采购要求，制定科学合理的图书采购方案。</w:t>
            </w:r>
          </w:p>
          <w:p>
            <w:pPr>
              <w:pStyle w:val="2"/>
              <w:ind w:firstLine="0"/>
              <w:rPr>
                <w:rFonts w:ascii="仿宋_GB2312" w:hAnsi="仿宋_GB2312" w:cs="仿宋_GB2312"/>
                <w:b/>
                <w:bCs/>
                <w:sz w:val="24"/>
                <w:szCs w:val="24"/>
                <w:highlight w:val="none"/>
              </w:rPr>
            </w:pPr>
            <w:r>
              <w:rPr>
                <w:rFonts w:hint="eastAsia" w:ascii="仿宋_GB2312" w:hAnsi="仿宋_GB2312" w:cs="仿宋_GB2312"/>
                <w:b/>
                <w:bCs/>
                <w:sz w:val="24"/>
                <w:szCs w:val="24"/>
                <w:highlight w:val="none"/>
              </w:rPr>
              <w:t>二、数据编目：</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编目人员要经过中图法第四版、第五版分类法的Calis培训，并取得相关资质证书，有实际的编目能力。为保证图书编目加工质量，投标人需提供至少5名编目人员的CALIS编目中心编目资格证，编目资格证需加盖公司公章，并提供为员工近一年缴纳的社保证明及证书网上查询截图及身份证复印件。提供至少3名人员的中级（含中级）以上加盖公司公章的图书发行员资格证书，并提供为该员工近一年缴纳的社保证明及身份证复印件。</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注：CALIS编目资格证在CALIS联机合作编目中心编目员认证系统查验有效，投标响应文件中附官方网站http://ucc.calis.edu.cn:8090/jsp/check.jsp查询截图。</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中文图书MARC数据要求套录Calis数据，以保证数据质量。若套不下来的，严格依照Calis著录标准著录。</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套录Calis数据时要做以下处理：</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 滤掉字段：只过滤920字段，其它字段保留不动。</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 增加字段：905，例：905 @a241061@d@e@b10800001-5。</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3．索书号书标组成：@d@e@c</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4. 特别注意：套录Calis的数据保留其原有的005、099、801和998字段；原编数据801字段 @b用图书供应商的代码，以便了解数据的来源和质量。</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5. 光盘著录：光盘ISBN号著录在016字段，并在010、215字段反映。</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例：010 @a7-111-07185-6 @dCNY35.00 (含光盘)</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016 @a7-8993-289-X@b光盘</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215 @e光盘1片</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6. 多卷(册)书：</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多卷(册)书按单卷(册)书著录。当多卷(册)书是整套价时，要把整套价平均分在各卷(册)上，单卷(册)价著录在010 @d字段，套价著录在010 @c字段，具体著录格式如下：</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010 @dCNY20.00@cCNY60.00 (全3册)</w:t>
            </w:r>
          </w:p>
          <w:p>
            <w:pPr>
              <w:pStyle w:val="2"/>
              <w:ind w:firstLine="0"/>
              <w:rPr>
                <w:rFonts w:ascii="仿宋_GB2312" w:hAnsi="仿宋_GB2312" w:cs="仿宋_GB2312"/>
                <w:b/>
                <w:bCs/>
                <w:sz w:val="24"/>
                <w:szCs w:val="24"/>
                <w:highlight w:val="none"/>
              </w:rPr>
            </w:pPr>
            <w:r>
              <w:rPr>
                <w:rFonts w:hint="eastAsia" w:ascii="仿宋_GB2312" w:hAnsi="仿宋_GB2312" w:cs="仿宋_GB2312"/>
                <w:b/>
                <w:bCs/>
                <w:sz w:val="24"/>
                <w:szCs w:val="24"/>
                <w:highlight w:val="none"/>
              </w:rPr>
              <w:t>三、图书加工：</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 盖章：</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 馆藏章一般盖在书名页出版社上方。当出版社印刷在封面背后或出版社太靠书名页左侧时，馆藏章盖在书名页正下方2cm处；当书名页底色太暗、太乱影响馆藏章的效果时，馆藏章盖在书名页后面一页的正下方2cm处。</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(2)当盖馆藏章的位置有内容时，要避开内容不要盖在图书的内容上。</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(3)当盖章处是油光纸时，盖章后要在上面敷盖一层吸水纸，以免影响图章效果。</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 磁条：</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磁条选用钴基复合型可充消磁条，长度12cm，当图书厚度超过300 页时，增加1根。其位置在图书中部紧贴装订缝处，粘贴要牢固，且不易被发现。</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 条码：条形码为8位，条码表面封塑。</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 中文图书条码区间由图书馆设定。</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 条码一书粘贴一对，一个贴在书名页馆藏章上方，一个贴在图书封底前一页的左上角处，如指定贴条码处有内容应贴在附近空白处。</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4. 索书号标（书标）：</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索书号由图书馆根据图书供应商提供的数据添加。</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索书号由一排号905@d，二排号905@e 和三排号905@c 组成。（如没有则不加）</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书标每册图书贴2个，一个贴在书名面左上角，当指定位置有内容时，可贴在附近空白处；一个贴在图书封底的右上角。</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5. 样本标（样本需贴书标）：</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样本标为大红色书标，除I 类外，其它各类图书每种抽一册贴样本书标。位置在书脊下方距底部0.5cm处。</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6. 图书配有随书光盘时做以下处理：</w:t>
            </w:r>
          </w:p>
          <w:p>
            <w:pPr>
              <w:pStyle w:val="2"/>
              <w:ind w:firstLine="418" w:firstLineChars="200"/>
              <w:rPr>
                <w:rFonts w:ascii="仿宋_GB2312" w:hAnsi="仿宋_GB2312" w:cs="仿宋_GB2312"/>
                <w:sz w:val="24"/>
                <w:szCs w:val="24"/>
                <w:highlight w:val="none"/>
              </w:rPr>
            </w:pPr>
            <w:r>
              <w:rPr>
                <w:rFonts w:hint="eastAsia" w:ascii="仿宋_GB2312" w:hAnsi="仿宋_GB2312" w:cs="仿宋_GB2312"/>
                <w:sz w:val="24"/>
                <w:szCs w:val="24"/>
                <w:highlight w:val="none"/>
              </w:rPr>
              <w:t>在书名页右上角盖“本书光盘在电子阅览室”的图章，在光盘口袋右上角贴一个与所随图书相同的书标。加工后每批图书光盘集中用硬纸盒包装，随该批图书发送，以便查对。</w:t>
            </w:r>
          </w:p>
          <w:p>
            <w:pPr>
              <w:pStyle w:val="2"/>
              <w:ind w:firstLine="0"/>
              <w:rPr>
                <w:rFonts w:ascii="仿宋_GB2312" w:hAnsi="仿宋_GB2312" w:cs="仿宋_GB2312"/>
                <w:b/>
                <w:bCs/>
                <w:sz w:val="24"/>
                <w:szCs w:val="24"/>
                <w:highlight w:val="none"/>
              </w:rPr>
            </w:pPr>
            <w:r>
              <w:rPr>
                <w:rFonts w:hint="eastAsia" w:ascii="仿宋_GB2312" w:hAnsi="仿宋_GB2312" w:cs="仿宋_GB2312"/>
                <w:b/>
                <w:bCs/>
                <w:sz w:val="24"/>
                <w:szCs w:val="24"/>
                <w:highlight w:val="none"/>
              </w:rPr>
              <w:t>四、加工流程：</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 图书供应方最好根据我馆所订购图书先套录或自录MARC数据。</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 图书供应方将一批数据传与我馆。</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 我馆根据MARC数据对所订购图书进行再次查重，并对MARC数据进行检查，添加二排号后返图书供应方。</w:t>
            </w:r>
          </w:p>
          <w:p>
            <w:pPr>
              <w:pStyle w:val="2"/>
              <w:ind w:firstLine="0"/>
              <w:rPr>
                <w:rFonts w:ascii="仿宋_GB2312" w:hAnsi="仿宋_GB2312" w:cs="仿宋_GB2312"/>
                <w:b/>
                <w:bCs/>
                <w:sz w:val="24"/>
                <w:szCs w:val="24"/>
                <w:highlight w:val="none"/>
              </w:rPr>
            </w:pPr>
            <w:r>
              <w:rPr>
                <w:rFonts w:hint="eastAsia" w:ascii="仿宋_GB2312" w:hAnsi="仿宋_GB2312" w:cs="仿宋_GB2312"/>
                <w:b/>
                <w:bCs/>
                <w:sz w:val="24"/>
                <w:szCs w:val="24"/>
                <w:highlight w:val="none"/>
              </w:rPr>
              <w:t>五、送书：</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 图书供应方根据采购人指定地点进行送书，并负责完成装卸、典藏、加工、入库工作。</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 清单</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(1)每批图书总清单一份</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(2)随包清单一式一份</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(3)图书随书光盘清单二份（含索书号）</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(4)报账时打印需报账图书的总清单一式三份</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各类清单应以正题名作书名，总清单编号与随包清单编号保持一致。</w:t>
            </w:r>
          </w:p>
          <w:p>
            <w:pPr>
              <w:pStyle w:val="2"/>
              <w:ind w:firstLine="0"/>
              <w:rPr>
                <w:rFonts w:ascii="仿宋_GB2312" w:hAnsi="仿宋_GB2312" w:cs="仿宋_GB2312"/>
                <w:b/>
                <w:bCs/>
                <w:sz w:val="24"/>
                <w:szCs w:val="24"/>
                <w:highlight w:val="none"/>
              </w:rPr>
            </w:pPr>
            <w:r>
              <w:rPr>
                <w:rFonts w:hint="eastAsia" w:ascii="仿宋_GB2312" w:hAnsi="仿宋_GB2312" w:cs="仿宋_GB2312"/>
                <w:b/>
                <w:bCs/>
                <w:sz w:val="24"/>
                <w:szCs w:val="24"/>
                <w:highlight w:val="none"/>
              </w:rPr>
              <w:t>六、其他相关要求</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1、投标供应商必须提供详细的质量保证承诺书和售后服务计划。</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2、投标人同时具有质量管理体系认证、环境管理体系认证、职业安全健康管理体系认证证书及证书网上查询截图；能够提供符合GB/T27922《商品售后服务评价体系》标准的售后服务体系认证证书（五星级）。</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3、对于招标文件中要求的证书、材料及需求功能，中标人在签订合同前需到采购人使用部门现场提供原件及功能演示，对于提供虚假材料的投标人取消中标资格，并列入政府采购黑名单。</w:t>
            </w:r>
          </w:p>
          <w:p>
            <w:pPr>
              <w:pStyle w:val="2"/>
              <w:numPr>
                <w:ilvl w:val="0"/>
                <w:numId w:val="1"/>
              </w:numPr>
              <w:rPr>
                <w:rFonts w:ascii="仿宋_GB2312" w:hAnsi="仿宋_GB2312" w:cs="仿宋_GB2312"/>
                <w:b/>
                <w:bCs/>
                <w:sz w:val="24"/>
                <w:szCs w:val="24"/>
                <w:highlight w:val="none"/>
              </w:rPr>
            </w:pPr>
            <w:r>
              <w:rPr>
                <w:rFonts w:hint="eastAsia" w:ascii="仿宋_GB2312" w:hAnsi="仿宋_GB2312" w:cs="仿宋_GB2312"/>
                <w:b/>
                <w:bCs/>
                <w:sz w:val="24"/>
                <w:szCs w:val="24"/>
                <w:highlight w:val="none"/>
              </w:rPr>
              <w:t>有下列情况之一的，投标人需缴纳违约金：</w:t>
            </w:r>
          </w:p>
          <w:p>
            <w:pPr>
              <w:pStyle w:val="2"/>
              <w:numPr>
                <w:ilvl w:val="0"/>
                <w:numId w:val="2"/>
              </w:numPr>
              <w:rPr>
                <w:rFonts w:ascii="仿宋_GB2312" w:hAnsi="仿宋_GB2312" w:cs="仿宋_GB2312"/>
                <w:sz w:val="24"/>
                <w:szCs w:val="24"/>
                <w:highlight w:val="none"/>
              </w:rPr>
            </w:pPr>
            <w:r>
              <w:rPr>
                <w:rFonts w:hint="eastAsia" w:ascii="仿宋_GB2312" w:hAnsi="仿宋_GB2312" w:cs="仿宋_GB2312"/>
                <w:sz w:val="24"/>
                <w:szCs w:val="24"/>
                <w:highlight w:val="none"/>
              </w:rPr>
              <w:t>投标供应商投标文件中的优惠条件或承诺没有兑现的，应扣除等值部分；</w:t>
            </w:r>
          </w:p>
          <w:p>
            <w:pPr>
              <w:pStyle w:val="2"/>
              <w:numPr>
                <w:ilvl w:val="0"/>
                <w:numId w:val="2"/>
              </w:numPr>
              <w:rPr>
                <w:rFonts w:ascii="仿宋_GB2312" w:hAnsi="仿宋_GB2312" w:cs="仿宋_GB2312"/>
                <w:sz w:val="24"/>
                <w:szCs w:val="24"/>
                <w:highlight w:val="none"/>
              </w:rPr>
            </w:pPr>
            <w:r>
              <w:rPr>
                <w:rFonts w:hint="eastAsia" w:ascii="仿宋_GB2312" w:hAnsi="仿宋_GB2312" w:cs="仿宋_GB2312"/>
                <w:sz w:val="24"/>
                <w:szCs w:val="24"/>
                <w:highlight w:val="none"/>
              </w:rPr>
              <w:t>投标供应商图书编目、加工错误率大于或等于6%的，每高于一个百分点，缴纳 5000元；</w:t>
            </w:r>
          </w:p>
          <w:p>
            <w:pPr>
              <w:pStyle w:val="2"/>
              <w:numPr>
                <w:ilvl w:val="0"/>
                <w:numId w:val="2"/>
              </w:numPr>
              <w:rPr>
                <w:sz w:val="24"/>
                <w:szCs w:val="24"/>
                <w:highlight w:val="none"/>
              </w:rPr>
            </w:pPr>
            <w:r>
              <w:rPr>
                <w:rFonts w:hint="eastAsia" w:ascii="仿宋_GB2312" w:hAnsi="仿宋_GB2312" w:cs="仿宋_GB2312"/>
                <w:sz w:val="24"/>
                <w:szCs w:val="24"/>
                <w:highlight w:val="none"/>
              </w:rPr>
              <w:t>投标供应商在合同签定之日起2个月图书到货率小于90%的，每降低0.1个百分点，缴纳500元。</w:t>
            </w:r>
          </w:p>
        </w:tc>
        <w:tc>
          <w:tcPr>
            <w:tcW w:w="1268" w:type="dxa"/>
            <w:vAlign w:val="center"/>
          </w:tcPr>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以最终实数</w:t>
            </w:r>
          </w:p>
          <w:p>
            <w:pPr>
              <w:pStyle w:val="2"/>
              <w:ind w:firstLine="0"/>
              <w:jc w:val="center"/>
              <w:rPr>
                <w:rFonts w:ascii="仿宋_GB2312" w:hAnsi="仿宋_GB2312" w:cs="仿宋_GB2312"/>
                <w:sz w:val="24"/>
                <w:szCs w:val="24"/>
                <w:highlight w:val="none"/>
              </w:rPr>
            </w:pPr>
            <w:r>
              <w:rPr>
                <w:rFonts w:hint="eastAsia" w:ascii="仿宋_GB2312" w:hAnsi="仿宋_GB2312" w:cs="仿宋_GB2312"/>
                <w:sz w:val="24"/>
                <w:szCs w:val="24"/>
                <w:highlight w:val="none"/>
              </w:rPr>
              <w:t>为准</w:t>
            </w:r>
          </w:p>
        </w:tc>
      </w:tr>
    </w:tbl>
    <w:p>
      <w:pPr>
        <w:pStyle w:val="2"/>
        <w:ind w:firstLine="0"/>
        <w:rPr>
          <w:rFonts w:ascii="仿宋_GB2312" w:hAnsi="仿宋_GB2312" w:cs="仿宋_GB2312"/>
          <w:b/>
          <w:bCs/>
          <w:sz w:val="24"/>
          <w:szCs w:val="24"/>
        </w:rPr>
      </w:pPr>
      <w:r>
        <w:rPr>
          <w:rFonts w:hint="eastAsia" w:ascii="仿宋_GB2312" w:hAnsi="仿宋_GB2312" w:cs="仿宋_GB2312"/>
          <w:b/>
          <w:bCs/>
          <w:sz w:val="24"/>
          <w:szCs w:val="24"/>
        </w:rPr>
        <w:t>备注：</w:t>
      </w:r>
    </w:p>
    <w:p>
      <w:pPr>
        <w:pStyle w:val="2"/>
        <w:ind w:firstLine="418" w:firstLineChars="200"/>
        <w:rPr>
          <w:rFonts w:ascii="仿宋_GB2312" w:hAnsi="仿宋_GB2312" w:cs="仿宋_GB2312"/>
          <w:b/>
          <w:bCs/>
          <w:sz w:val="24"/>
          <w:szCs w:val="24"/>
        </w:rPr>
      </w:pPr>
      <w:r>
        <w:rPr>
          <w:rFonts w:hint="eastAsia" w:ascii="仿宋_GB2312" w:hAnsi="仿宋_GB2312" w:cs="仿宋_GB2312"/>
          <w:b/>
          <w:bCs/>
          <w:sz w:val="24"/>
          <w:szCs w:val="24"/>
        </w:rPr>
        <w:t>（1）投标供应商中标后提供以上所有资料原件，合同签订之前，采购人有权审核中标单位所有原件的真实性（包括网络选书平台功能的真实性），如发现中标单位提供虚假材料，则取消中标资格并列入政府采购黑名单。</w:t>
      </w:r>
    </w:p>
    <w:p>
      <w:pPr>
        <w:pStyle w:val="2"/>
      </w:pPr>
      <w:r>
        <w:br w:type="page"/>
      </w:r>
    </w:p>
    <w:p>
      <w:pPr>
        <w:rPr>
          <w:rFonts w:hint="eastAsia" w:ascii="仿宋_GB2312" w:hAnsi="仿宋_GB2312" w:eastAsia="仿宋_GB2312" w:cs="仿宋_GB2312"/>
          <w:sz w:val="20"/>
          <w:szCs w:val="21"/>
          <w:highlight w:val="none"/>
        </w:rPr>
      </w:pPr>
      <w:r>
        <w:rPr>
          <w:rFonts w:hint="eastAsia" w:ascii="宋体" w:hAnsi="宋体" w:cs="宋体"/>
          <w:b/>
          <w:bCs/>
          <w:color w:val="000000"/>
          <w:sz w:val="24"/>
          <w:szCs w:val="24"/>
          <w:highlight w:val="none"/>
        </w:rPr>
        <w:t>（</w:t>
      </w:r>
      <w:r>
        <w:rPr>
          <w:rFonts w:hint="eastAsia" w:ascii="仿宋_GB2312" w:hAnsi="仿宋_GB2312" w:eastAsia="仿宋_GB2312" w:cs="仿宋_GB2312"/>
          <w:b/>
          <w:bCs/>
          <w:color w:val="000000"/>
          <w:sz w:val="22"/>
          <w:szCs w:val="22"/>
          <w:highlight w:val="none"/>
        </w:rPr>
        <w:t>2）网络采书平台使用授权函模板</w:t>
      </w:r>
    </w:p>
    <w:p>
      <w:pPr>
        <w:pStyle w:val="13"/>
        <w:spacing w:beforeAutospacing="0" w:afterAutospacing="0" w:line="288" w:lineRule="auto"/>
        <w:jc w:val="center"/>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36"/>
          <w:szCs w:val="36"/>
        </w:rPr>
        <w:t>授权函</w:t>
      </w:r>
    </w:p>
    <w:p>
      <w:pPr>
        <w:spacing w:line="288" w:lineRule="auto"/>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我们</w:t>
      </w:r>
      <w:r>
        <w:rPr>
          <w:rFonts w:hint="eastAsia" w:ascii="仿宋_GB2312" w:hAnsi="仿宋_GB2312" w:eastAsia="仿宋_GB2312" w:cs="仿宋_GB2312"/>
          <w:sz w:val="20"/>
          <w:szCs w:val="21"/>
        </w:rPr>
        <w:fldChar w:fldCharType="begin"/>
      </w:r>
      <w:r>
        <w:rPr>
          <w:rFonts w:hint="eastAsia" w:ascii="仿宋_GB2312" w:hAnsi="仿宋_GB2312" w:eastAsia="仿宋_GB2312" w:cs="仿宋_GB2312"/>
          <w:sz w:val="20"/>
          <w:szCs w:val="21"/>
        </w:rPr>
        <w:instrText xml:space="preserve"> HYPERLINK "https://www.so.com/link?m=b2D5SRQvOugAE9ULT3o8PDEs5lVPtkEa3liNcpf83s8pkCUG5xF2NTJr+zpnW9465mtjjFwUnX91v8kcy3U2DxRy1bz583mTVtpIc7W5Xrleie7X80ii9PAX6WBav5UEjxRGEcQ6iVrBG2m6aggKXhdcrIcYH1HEmPV3f7h+P2C8=" \t "https://www.so.com/_blank" </w:instrText>
      </w:r>
      <w:r>
        <w:rPr>
          <w:rFonts w:hint="eastAsia" w:ascii="仿宋_GB2312" w:hAnsi="仿宋_GB2312" w:eastAsia="仿宋_GB2312" w:cs="仿宋_GB2312"/>
          <w:sz w:val="20"/>
          <w:szCs w:val="21"/>
        </w:rPr>
        <w:fldChar w:fldCharType="separate"/>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fldChar w:fldCharType="end"/>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（制造商名称）是按</w:t>
      </w:r>
      <w:r>
        <w:rPr>
          <w:rFonts w:hint="eastAsia" w:ascii="仿宋_GB2312" w:hAnsi="仿宋_GB2312" w:eastAsia="仿宋_GB2312" w:cs="仿宋_GB2312"/>
          <w:sz w:val="24"/>
          <w:szCs w:val="24"/>
          <w:u w:val="single"/>
        </w:rPr>
        <w:t>中华人民共和国</w:t>
      </w:r>
      <w:r>
        <w:rPr>
          <w:rFonts w:hint="eastAsia" w:ascii="仿宋_GB2312" w:hAnsi="仿宋_GB2312" w:eastAsia="仿宋_GB2312" w:cs="仿宋_GB2312"/>
          <w:sz w:val="24"/>
          <w:szCs w:val="24"/>
        </w:rPr>
        <w:t>法律成立的一家制造商，主要营业地点设立在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制造商地址）。兹指派按</w:t>
      </w:r>
      <w:r>
        <w:rPr>
          <w:rFonts w:hint="eastAsia" w:ascii="仿宋_GB2312" w:hAnsi="仿宋_GB2312" w:eastAsia="仿宋_GB2312" w:cs="仿宋_GB2312"/>
          <w:sz w:val="24"/>
          <w:szCs w:val="24"/>
          <w:u w:val="single"/>
        </w:rPr>
        <w:t>中华人民共和国_</w:t>
      </w:r>
      <w:r>
        <w:rPr>
          <w:rFonts w:hint="eastAsia" w:ascii="仿宋_GB2312" w:hAnsi="仿宋_GB2312" w:eastAsia="仿宋_GB2312" w:cs="仿宋_GB2312"/>
          <w:sz w:val="24"/>
          <w:szCs w:val="24"/>
        </w:rPr>
        <w:t>的法律正式成立的，主要营业地点设在</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作为我方真正的合法的代表人进行下列有效的活动。</w:t>
      </w:r>
    </w:p>
    <w:p>
      <w:pPr>
        <w:spacing w:line="288" w:lineRule="auto"/>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（1）代表我方在中华人民共和国办理贵方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（招标编号：               ）招标邀请要求提供的由我方提供的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的有关事宜，并对我方具有约束力。</w:t>
      </w:r>
    </w:p>
    <w:p>
      <w:pPr>
        <w:spacing w:line="288" w:lineRule="auto"/>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（2）作为制造商，我方保证以投标合作者来约束自己，并对该投标共同和分别承担招标文件中所规定的任务。</w:t>
      </w:r>
    </w:p>
    <w:p>
      <w:pPr>
        <w:spacing w:line="288" w:lineRule="auto"/>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（3）我方兹授予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全权办理和履行上述我方为完成上述各点所必须的事宜，具有替换或撤销的全权。兹确认</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或其正式授权代表依次合法地办理一切事宜。</w:t>
      </w:r>
    </w:p>
    <w:p>
      <w:pPr>
        <w:spacing w:line="288" w:lineRule="auto"/>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日签署本文件，</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日接受此件，以此为证。</w:t>
      </w:r>
    </w:p>
    <w:p>
      <w:pPr>
        <w:spacing w:line="288" w:lineRule="auto"/>
        <w:ind w:firstLine="418"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功能如下：</w:t>
      </w:r>
    </w:p>
    <w:p>
      <w:pPr>
        <w:pStyle w:val="2"/>
        <w:rPr>
          <w:rFonts w:hint="eastAsia" w:ascii="仿宋_GB2312" w:hAnsi="仿宋_GB2312" w:eastAsia="仿宋_GB2312" w:cs="仿宋_GB2312"/>
          <w:sz w:val="24"/>
          <w:szCs w:val="28"/>
        </w:rPr>
      </w:pPr>
    </w:p>
    <w:p>
      <w:pPr>
        <w:pStyle w:val="5"/>
        <w:ind w:left="358" w:firstLine="538"/>
        <w:rPr>
          <w:rFonts w:hint="eastAsia" w:ascii="仿宋_GB2312" w:hAnsi="仿宋_GB2312" w:eastAsia="仿宋_GB2312" w:cs="仿宋_GB2312"/>
          <w:sz w:val="28"/>
          <w:szCs w:val="28"/>
        </w:rPr>
      </w:pPr>
    </w:p>
    <w:p>
      <w:pPr>
        <w:pStyle w:val="13"/>
        <w:spacing w:beforeAutospacing="0" w:afterAutospacing="0" w:line="288" w:lineRule="auto"/>
        <w:rPr>
          <w:rFonts w:hint="eastAsia" w:ascii="仿宋_GB2312" w:hAnsi="仿宋_GB2312" w:eastAsia="仿宋_GB2312" w:cs="仿宋_GB2312"/>
          <w:sz w:val="22"/>
          <w:szCs w:val="22"/>
        </w:rPr>
      </w:pPr>
    </w:p>
    <w:p>
      <w:pPr>
        <w:pStyle w:val="13"/>
        <w:spacing w:beforeAutospacing="0" w:afterAutospacing="0" w:line="288" w:lineRule="auto"/>
        <w:rPr>
          <w:rFonts w:hint="eastAsia" w:ascii="仿宋_GB2312" w:hAnsi="仿宋_GB2312" w:eastAsia="仿宋_GB2312" w:cs="仿宋_GB2312"/>
          <w:sz w:val="22"/>
          <w:szCs w:val="22"/>
        </w:rPr>
      </w:pPr>
    </w:p>
    <w:p>
      <w:pPr>
        <w:spacing w:line="288" w:lineRule="auto"/>
        <w:rPr>
          <w:rFonts w:hint="eastAsia" w:ascii="仿宋_GB2312" w:hAnsi="仿宋_GB2312" w:eastAsia="仿宋_GB2312" w:cs="仿宋_GB2312"/>
          <w:sz w:val="24"/>
          <w:szCs w:val="32"/>
          <w:u w:val="single"/>
        </w:rPr>
      </w:pPr>
      <w:r>
        <w:rPr>
          <w:rFonts w:hint="eastAsia" w:ascii="仿宋_GB2312" w:hAnsi="仿宋_GB2312" w:eastAsia="仿宋_GB2312" w:cs="仿宋_GB2312"/>
          <w:sz w:val="24"/>
          <w:szCs w:val="32"/>
        </w:rPr>
        <w:t>出具授权书的制造商名称：</w:t>
      </w:r>
      <w:r>
        <w:rPr>
          <w:rFonts w:hint="eastAsia" w:ascii="仿宋_GB2312" w:hAnsi="仿宋_GB2312" w:eastAsia="仿宋_GB2312" w:cs="仿宋_GB2312"/>
          <w:sz w:val="24"/>
          <w:szCs w:val="32"/>
          <w:u w:val="single"/>
        </w:rPr>
        <w:t xml:space="preserve">                  （公章）</w:t>
      </w:r>
    </w:p>
    <w:p>
      <w:pPr>
        <w:tabs>
          <w:tab w:val="left" w:pos="3149"/>
        </w:tabs>
        <w:spacing w:line="288" w:lineRule="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日    期：     年   月   日</w:t>
      </w:r>
    </w:p>
    <w:p>
      <w:pPr>
        <w:pStyle w:val="2"/>
        <w:ind w:firstLine="0"/>
        <w:rPr>
          <w:rFonts w:ascii="仿宋_GB2312" w:hAnsi="仿宋_GB2312" w:cs="仿宋_GB2312"/>
          <w:b/>
          <w:bCs/>
          <w:sz w:val="24"/>
          <w:szCs w:val="24"/>
        </w:rPr>
      </w:pPr>
    </w:p>
    <w:p>
      <w:pPr>
        <w:rPr>
          <w:rFonts w:hint="eastAsia" w:ascii="仿宋_GB2312" w:hAnsi="仿宋_GB2312" w:cs="仿宋_GB2312"/>
          <w:b/>
          <w:bCs/>
          <w:sz w:val="24"/>
          <w:szCs w:val="24"/>
        </w:rPr>
      </w:pPr>
      <w:r>
        <w:rPr>
          <w:rFonts w:hint="eastAsia" w:ascii="仿宋_GB2312" w:hAnsi="仿宋_GB2312" w:cs="仿宋_GB2312"/>
          <w:b/>
          <w:bCs/>
          <w:sz w:val="24"/>
          <w:szCs w:val="24"/>
        </w:rPr>
        <w:br w:type="page"/>
      </w:r>
    </w:p>
    <w:p>
      <w:pPr>
        <w:pStyle w:val="2"/>
        <w:ind w:firstLine="0"/>
        <w:rPr>
          <w:rFonts w:ascii="仿宋_GB2312" w:hAnsi="仿宋_GB2312" w:cs="仿宋_GB2312"/>
          <w:b/>
          <w:bCs/>
          <w:sz w:val="24"/>
          <w:szCs w:val="24"/>
        </w:rPr>
      </w:pPr>
      <w:r>
        <w:rPr>
          <w:rFonts w:hint="eastAsia" w:ascii="仿宋_GB2312" w:hAnsi="仿宋_GB2312" w:cs="仿宋_GB2312"/>
          <w:b/>
          <w:bCs/>
          <w:sz w:val="24"/>
          <w:szCs w:val="24"/>
        </w:rPr>
        <w:t xml:space="preserve">（3）推荐出版社名单：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3228"/>
        <w:gridCol w:w="1065"/>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武汉大学出版社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16</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2</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清华大学出版社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17</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3</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机械工业出版社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18</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中国农业出版社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4</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化学工业出版社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19</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中国林业出版社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5</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人民邮电出版社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20</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中国农业大学出版社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6</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科学出版社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21</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人民卫生出版社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7</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电子工业出版社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22</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上海交通大学出版社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8</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浙江大学出版社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23</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国家图书馆出版社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9</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中信出版社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24</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10</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中华书局</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25</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上海科学技术文献出版社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11</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中国人民大学出版社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26</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中国环境科学出版社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12</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经济管理出版社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27</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13</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中国建筑工业出版社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28</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外语教学与研究出版社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14</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商务印书馆</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29</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tcPr>
          <w:p>
            <w:pPr>
              <w:pStyle w:val="3"/>
              <w:jc w:val="center"/>
              <w:rPr>
                <w:rFonts w:ascii="仿宋_GB2312" w:hAnsi="仿宋_GB2312" w:cs="仿宋_GB2312"/>
                <w:sz w:val="24"/>
                <w:szCs w:val="28"/>
              </w:rPr>
            </w:pPr>
            <w:r>
              <w:rPr>
                <w:rFonts w:hint="eastAsia" w:ascii="仿宋_GB2312" w:hAnsi="仿宋_GB2312" w:cs="仿宋_GB2312"/>
                <w:sz w:val="24"/>
                <w:szCs w:val="28"/>
              </w:rPr>
              <w:t>15</w:t>
            </w:r>
          </w:p>
        </w:tc>
        <w:tc>
          <w:tcPr>
            <w:tcW w:w="3228" w:type="dxa"/>
          </w:tcPr>
          <w:p>
            <w:pPr>
              <w:pStyle w:val="3"/>
              <w:jc w:val="center"/>
              <w:rPr>
                <w:rFonts w:ascii="仿宋_GB2312" w:hAnsi="仿宋_GB2312" w:cs="仿宋_GB2312"/>
                <w:sz w:val="24"/>
                <w:szCs w:val="28"/>
              </w:rPr>
            </w:pPr>
            <w:r>
              <w:rPr>
                <w:rFonts w:hint="eastAsia" w:ascii="仿宋_GB2312" w:hAnsi="仿宋_GB2312" w:cs="仿宋_GB2312"/>
                <w:sz w:val="24"/>
                <w:szCs w:val="28"/>
              </w:rPr>
              <w:t>社会科学文献出版社</w:t>
            </w:r>
          </w:p>
        </w:tc>
        <w:tc>
          <w:tcPr>
            <w:tcW w:w="1065" w:type="dxa"/>
          </w:tcPr>
          <w:p>
            <w:pPr>
              <w:pStyle w:val="3"/>
              <w:jc w:val="center"/>
              <w:rPr>
                <w:rFonts w:ascii="仿宋_GB2312" w:hAnsi="仿宋_GB2312" w:cs="仿宋_GB2312"/>
                <w:sz w:val="24"/>
                <w:szCs w:val="28"/>
              </w:rPr>
            </w:pPr>
            <w:r>
              <w:rPr>
                <w:rFonts w:hint="eastAsia" w:ascii="仿宋_GB2312" w:hAnsi="仿宋_GB2312" w:cs="仿宋_GB2312"/>
                <w:sz w:val="24"/>
                <w:szCs w:val="28"/>
              </w:rPr>
              <w:t>30</w:t>
            </w:r>
          </w:p>
        </w:tc>
        <w:tc>
          <w:tcPr>
            <w:tcW w:w="3930" w:type="dxa"/>
          </w:tcPr>
          <w:p>
            <w:pPr>
              <w:pStyle w:val="3"/>
              <w:jc w:val="center"/>
              <w:rPr>
                <w:rFonts w:ascii="仿宋_GB2312" w:hAnsi="仿宋_GB2312" w:cs="仿宋_GB2312"/>
                <w:sz w:val="24"/>
                <w:szCs w:val="28"/>
              </w:rPr>
            </w:pPr>
            <w:r>
              <w:rPr>
                <w:rFonts w:hint="eastAsia" w:ascii="仿宋_GB2312" w:hAnsi="仿宋_GB2312" w:cs="仿宋_GB2312"/>
                <w:sz w:val="24"/>
                <w:szCs w:val="28"/>
              </w:rPr>
              <w:t>上海古籍出版社</w:t>
            </w:r>
          </w:p>
        </w:tc>
      </w:tr>
    </w:tbl>
    <w:p>
      <w:pPr>
        <w:pStyle w:val="3"/>
        <w:rPr>
          <w:rFonts w:ascii="仿宋_GB2312" w:hAnsi="仿宋_GB2312" w:cs="仿宋_GB2312"/>
          <w:b/>
          <w:bCs/>
          <w:sz w:val="24"/>
          <w:szCs w:val="28"/>
        </w:rPr>
      </w:pPr>
    </w:p>
    <w:p>
      <w:pPr>
        <w:pStyle w:val="4"/>
      </w:pPr>
    </w:p>
    <w:p>
      <w:pPr>
        <w:pStyle w:val="3"/>
        <w:rPr>
          <w:rFonts w:ascii="仿宋_GB2312" w:hAnsi="仿宋_GB2312" w:cs="仿宋_GB2312"/>
          <w:b/>
          <w:bCs/>
          <w:sz w:val="24"/>
          <w:szCs w:val="28"/>
        </w:rPr>
      </w:pPr>
      <w:r>
        <w:rPr>
          <w:rFonts w:hint="eastAsia" w:ascii="仿宋_GB2312" w:hAnsi="仿宋_GB2312" w:cs="仿宋_GB2312"/>
          <w:b/>
          <w:bCs/>
          <w:sz w:val="24"/>
          <w:szCs w:val="28"/>
        </w:rPr>
        <w:t>中文期刊包6</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309"/>
        <w:gridCol w:w="615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3"/>
              <w:jc w:val="center"/>
              <w:rPr>
                <w:rFonts w:ascii="仿宋_GB2312" w:hAnsi="仿宋_GB2312" w:cs="仿宋_GB2312"/>
                <w:b/>
                <w:bCs/>
                <w:sz w:val="24"/>
                <w:szCs w:val="24"/>
              </w:rPr>
            </w:pPr>
            <w:r>
              <w:rPr>
                <w:rFonts w:hint="eastAsia" w:ascii="仿宋_GB2312" w:hAnsi="仿宋_GB2312" w:cs="仿宋_GB2312"/>
                <w:b/>
                <w:bCs/>
                <w:sz w:val="24"/>
                <w:szCs w:val="24"/>
              </w:rPr>
              <w:t>序号</w:t>
            </w:r>
          </w:p>
        </w:tc>
        <w:tc>
          <w:tcPr>
            <w:tcW w:w="1309" w:type="dxa"/>
            <w:vAlign w:val="center"/>
          </w:tcPr>
          <w:p>
            <w:pPr>
              <w:pStyle w:val="3"/>
              <w:jc w:val="center"/>
              <w:rPr>
                <w:rFonts w:ascii="仿宋_GB2312" w:hAnsi="仿宋_GB2312" w:cs="仿宋_GB2312"/>
                <w:b/>
                <w:bCs/>
                <w:sz w:val="24"/>
                <w:szCs w:val="24"/>
              </w:rPr>
            </w:pPr>
            <w:r>
              <w:rPr>
                <w:rFonts w:hint="eastAsia" w:ascii="仿宋_GB2312" w:hAnsi="仿宋_GB2312" w:cs="仿宋_GB2312"/>
                <w:b/>
                <w:bCs/>
                <w:sz w:val="24"/>
                <w:szCs w:val="24"/>
              </w:rPr>
              <w:t>名称</w:t>
            </w:r>
          </w:p>
        </w:tc>
        <w:tc>
          <w:tcPr>
            <w:tcW w:w="6150" w:type="dxa"/>
            <w:vAlign w:val="center"/>
          </w:tcPr>
          <w:p>
            <w:pPr>
              <w:pStyle w:val="3"/>
              <w:jc w:val="center"/>
              <w:rPr>
                <w:rFonts w:ascii="仿宋_GB2312" w:hAnsi="仿宋_GB2312" w:cs="仿宋_GB2312"/>
                <w:b/>
                <w:bCs/>
                <w:sz w:val="24"/>
                <w:szCs w:val="24"/>
              </w:rPr>
            </w:pPr>
            <w:r>
              <w:rPr>
                <w:rFonts w:hint="eastAsia" w:ascii="仿宋_GB2312" w:hAnsi="仿宋_GB2312" w:cs="仿宋_GB2312"/>
                <w:b/>
                <w:bCs/>
                <w:sz w:val="24"/>
                <w:szCs w:val="24"/>
              </w:rPr>
              <w:t>技术要求</w:t>
            </w:r>
          </w:p>
        </w:tc>
        <w:tc>
          <w:tcPr>
            <w:tcW w:w="1287" w:type="dxa"/>
            <w:vAlign w:val="center"/>
          </w:tcPr>
          <w:p>
            <w:pPr>
              <w:pStyle w:val="3"/>
              <w:jc w:val="center"/>
              <w:rPr>
                <w:rFonts w:ascii="仿宋_GB2312" w:hAnsi="仿宋_GB2312" w:cs="仿宋_GB2312"/>
                <w:b/>
                <w:bCs/>
                <w:sz w:val="24"/>
                <w:szCs w:val="24"/>
              </w:rPr>
            </w:pPr>
            <w:r>
              <w:rPr>
                <w:rFonts w:hint="eastAsia" w:ascii="仿宋_GB2312" w:hAnsi="仿宋_GB2312" w:cs="仿宋_GB2312"/>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pStyle w:val="3"/>
              <w:jc w:val="center"/>
              <w:rPr>
                <w:rFonts w:ascii="仿宋_GB2312" w:hAnsi="仿宋_GB2312" w:cs="仿宋_GB2312"/>
                <w:b/>
                <w:bCs/>
                <w:sz w:val="24"/>
                <w:szCs w:val="24"/>
              </w:rPr>
            </w:pPr>
            <w:r>
              <w:rPr>
                <w:rFonts w:hint="eastAsia" w:ascii="仿宋_GB2312" w:hAnsi="仿宋_GB2312" w:cs="仿宋_GB2312"/>
                <w:b/>
                <w:bCs/>
                <w:sz w:val="24"/>
                <w:szCs w:val="24"/>
              </w:rPr>
              <w:t>1</w:t>
            </w:r>
          </w:p>
        </w:tc>
        <w:tc>
          <w:tcPr>
            <w:tcW w:w="1309" w:type="dxa"/>
            <w:vAlign w:val="center"/>
          </w:tcPr>
          <w:p>
            <w:pPr>
              <w:pStyle w:val="3"/>
              <w:jc w:val="center"/>
              <w:rPr>
                <w:rFonts w:ascii="仿宋_GB2312" w:hAnsi="仿宋_GB2312" w:cs="仿宋_GB2312"/>
                <w:b/>
                <w:bCs/>
                <w:sz w:val="24"/>
                <w:szCs w:val="24"/>
              </w:rPr>
            </w:pPr>
            <w:r>
              <w:rPr>
                <w:rFonts w:hint="eastAsia" w:ascii="仿宋_GB2312" w:hAnsi="仿宋_GB2312" w:cs="仿宋_GB2312"/>
                <w:b/>
                <w:bCs/>
                <w:sz w:val="24"/>
                <w:szCs w:val="24"/>
              </w:rPr>
              <w:t>中文期刊</w:t>
            </w:r>
          </w:p>
        </w:tc>
        <w:tc>
          <w:tcPr>
            <w:tcW w:w="6150" w:type="dxa"/>
          </w:tcPr>
          <w:p>
            <w:pPr>
              <w:pStyle w:val="3"/>
              <w:rPr>
                <w:rFonts w:ascii="仿宋_GB2312" w:hAnsi="仿宋_GB2312" w:cs="仿宋_GB2312"/>
                <w:sz w:val="24"/>
                <w:szCs w:val="24"/>
              </w:rPr>
            </w:pPr>
            <w:r>
              <w:rPr>
                <w:rFonts w:hint="eastAsia" w:ascii="仿宋_GB2312" w:hAnsi="仿宋_GB2312" w:cs="仿宋_GB2312"/>
                <w:sz w:val="24"/>
                <w:szCs w:val="24"/>
              </w:rPr>
              <w:t>规格：2024年正规出版刊物</w:t>
            </w:r>
          </w:p>
          <w:p>
            <w:pPr>
              <w:pStyle w:val="3"/>
              <w:rPr>
                <w:rFonts w:ascii="仿宋_GB2312" w:hAnsi="仿宋_GB2312" w:cs="仿宋_GB2312"/>
                <w:sz w:val="24"/>
                <w:szCs w:val="24"/>
              </w:rPr>
            </w:pPr>
            <w:r>
              <w:rPr>
                <w:rFonts w:hint="eastAsia" w:ascii="仿宋_GB2312" w:hAnsi="仿宋_GB2312" w:cs="仿宋_GB2312"/>
                <w:sz w:val="24"/>
                <w:szCs w:val="24"/>
              </w:rPr>
              <w:t>中文期刊供应商伴随服务加工要求:</w:t>
            </w:r>
          </w:p>
          <w:p>
            <w:pPr>
              <w:pStyle w:val="3"/>
              <w:rPr>
                <w:rFonts w:ascii="仿宋_GB2312" w:hAnsi="仿宋_GB2312" w:cs="仿宋_GB2312"/>
                <w:b/>
                <w:bCs/>
                <w:sz w:val="24"/>
                <w:szCs w:val="24"/>
              </w:rPr>
            </w:pPr>
            <w:r>
              <w:rPr>
                <w:rFonts w:hint="eastAsia" w:ascii="仿宋_GB2312" w:hAnsi="仿宋_GB2312" w:cs="仿宋_GB2312"/>
                <w:b/>
                <w:bCs/>
                <w:sz w:val="24"/>
                <w:szCs w:val="24"/>
              </w:rPr>
              <w:t>一、书目信息</w:t>
            </w:r>
          </w:p>
          <w:p>
            <w:pPr>
              <w:pStyle w:val="3"/>
              <w:rPr>
                <w:rFonts w:ascii="仿宋_GB2312" w:hAnsi="仿宋_GB2312" w:cs="仿宋_GB2312"/>
                <w:sz w:val="24"/>
                <w:szCs w:val="24"/>
              </w:rPr>
            </w:pPr>
            <w:r>
              <w:rPr>
                <w:rFonts w:hint="eastAsia" w:ascii="仿宋_GB2312" w:hAnsi="仿宋_GB2312" w:cs="仿宋_GB2312"/>
                <w:sz w:val="24"/>
                <w:szCs w:val="24"/>
              </w:rPr>
              <w:t>1、保证采购的是公开或内部发行的中文期刊。不得提供盗版期刊。</w:t>
            </w:r>
          </w:p>
          <w:p>
            <w:pPr>
              <w:pStyle w:val="3"/>
              <w:rPr>
                <w:rFonts w:ascii="仿宋_GB2312" w:hAnsi="仿宋_GB2312" w:cs="仿宋_GB2312"/>
                <w:sz w:val="24"/>
                <w:szCs w:val="24"/>
              </w:rPr>
            </w:pPr>
            <w:r>
              <w:rPr>
                <w:rFonts w:hint="eastAsia" w:ascii="仿宋_GB2312" w:hAnsi="仿宋_GB2312" w:cs="仿宋_GB2312"/>
                <w:sz w:val="24"/>
                <w:szCs w:val="24"/>
              </w:rPr>
              <w:t>2、能够提供本年度和下一年度的期刊征订目录。</w:t>
            </w:r>
          </w:p>
          <w:p>
            <w:pPr>
              <w:pStyle w:val="3"/>
              <w:rPr>
                <w:rFonts w:ascii="仿宋_GB2312" w:hAnsi="仿宋_GB2312" w:cs="仿宋_GB2312"/>
                <w:sz w:val="24"/>
                <w:szCs w:val="24"/>
              </w:rPr>
            </w:pPr>
            <w:r>
              <w:rPr>
                <w:rFonts w:hint="eastAsia" w:ascii="仿宋_GB2312" w:hAnsi="仿宋_GB2312" w:cs="仿宋_GB2312"/>
                <w:sz w:val="24"/>
                <w:szCs w:val="24"/>
              </w:rPr>
              <w:t>3、要求有MARC数据形式提供的征订目录。内容必须包括：国际标准刊号、邮发代号、正副题名、责任者、出版社名称、出版年、价格、刊频、装订形式、开本等。</w:t>
            </w:r>
          </w:p>
          <w:p>
            <w:pPr>
              <w:pStyle w:val="3"/>
              <w:rPr>
                <w:rFonts w:ascii="仿宋_GB2312" w:hAnsi="仿宋_GB2312" w:cs="仿宋_GB2312"/>
                <w:sz w:val="24"/>
                <w:szCs w:val="24"/>
              </w:rPr>
            </w:pPr>
            <w:r>
              <w:rPr>
                <w:rFonts w:hint="eastAsia" w:ascii="仿宋_GB2312" w:hAnsi="仿宋_GB2312" w:cs="仿宋_GB2312"/>
                <w:sz w:val="24"/>
                <w:szCs w:val="24"/>
              </w:rPr>
              <w:t>4、要保证提供的MARC格式的采访数据能在图书馆集成化系统上无障碍使用。</w:t>
            </w:r>
          </w:p>
          <w:p>
            <w:pPr>
              <w:pStyle w:val="3"/>
              <w:rPr>
                <w:rFonts w:ascii="仿宋_GB2312" w:hAnsi="仿宋_GB2312" w:cs="仿宋_GB2312"/>
                <w:b/>
                <w:bCs/>
                <w:sz w:val="24"/>
                <w:szCs w:val="24"/>
              </w:rPr>
            </w:pPr>
            <w:r>
              <w:rPr>
                <w:rFonts w:hint="eastAsia" w:ascii="仿宋_GB2312" w:hAnsi="仿宋_GB2312" w:cs="仿宋_GB2312"/>
                <w:b/>
                <w:bCs/>
                <w:sz w:val="24"/>
                <w:szCs w:val="24"/>
              </w:rPr>
              <w:t>二、订单</w:t>
            </w:r>
          </w:p>
          <w:p>
            <w:pPr>
              <w:pStyle w:val="3"/>
              <w:rPr>
                <w:rFonts w:ascii="仿宋_GB2312" w:hAnsi="仿宋_GB2312" w:cs="仿宋_GB2312"/>
                <w:sz w:val="24"/>
                <w:szCs w:val="24"/>
              </w:rPr>
            </w:pPr>
            <w:r>
              <w:rPr>
                <w:rFonts w:hint="eastAsia" w:ascii="仿宋_GB2312" w:hAnsi="仿宋_GB2312" w:cs="仿宋_GB2312"/>
                <w:sz w:val="24"/>
                <w:szCs w:val="24"/>
              </w:rPr>
              <w:t>1、要接受河南科技大学图书馆提出的任何公开和内部发行的中文期刊订单。</w:t>
            </w:r>
          </w:p>
          <w:p>
            <w:pPr>
              <w:pStyle w:val="3"/>
              <w:rPr>
                <w:rFonts w:ascii="仿宋_GB2312" w:hAnsi="仿宋_GB2312" w:cs="仿宋_GB2312"/>
                <w:sz w:val="24"/>
                <w:szCs w:val="24"/>
              </w:rPr>
            </w:pPr>
            <w:r>
              <w:rPr>
                <w:rFonts w:hint="eastAsia" w:ascii="仿宋_GB2312" w:hAnsi="仿宋_GB2312" w:cs="仿宋_GB2312"/>
                <w:sz w:val="24"/>
                <w:szCs w:val="24"/>
              </w:rPr>
              <w:t>2、订单上的数据如果与实际期刊不符，都应与采购人联系查询，由采购人核准。</w:t>
            </w:r>
          </w:p>
          <w:p>
            <w:pPr>
              <w:pStyle w:val="3"/>
              <w:rPr>
                <w:rFonts w:ascii="仿宋_GB2312" w:hAnsi="仿宋_GB2312" w:cs="仿宋_GB2312"/>
                <w:sz w:val="24"/>
                <w:szCs w:val="24"/>
              </w:rPr>
            </w:pPr>
            <w:r>
              <w:rPr>
                <w:rFonts w:hint="eastAsia" w:ascii="仿宋_GB2312" w:hAnsi="仿宋_GB2312" w:cs="仿宋_GB2312"/>
                <w:b/>
                <w:bCs/>
                <w:sz w:val="24"/>
                <w:szCs w:val="24"/>
              </w:rPr>
              <w:t>三、供货</w:t>
            </w:r>
          </w:p>
          <w:p>
            <w:pPr>
              <w:pStyle w:val="3"/>
              <w:rPr>
                <w:rFonts w:ascii="仿宋_GB2312" w:hAnsi="仿宋_GB2312" w:cs="仿宋_GB2312"/>
                <w:sz w:val="24"/>
                <w:szCs w:val="24"/>
              </w:rPr>
            </w:pPr>
            <w:r>
              <w:rPr>
                <w:rFonts w:hint="eastAsia" w:ascii="仿宋_GB2312" w:hAnsi="仿宋_GB2312" w:cs="仿宋_GB2312"/>
                <w:sz w:val="24"/>
                <w:szCs w:val="24"/>
              </w:rPr>
              <w:t>1、必须按照采购人订购的期刊品种、数量及时供货，保证期刊在期刊出版后1周内送到，保证期刊到货率为100%。</w:t>
            </w:r>
          </w:p>
          <w:p>
            <w:pPr>
              <w:pStyle w:val="3"/>
              <w:rPr>
                <w:rFonts w:ascii="仿宋_GB2312" w:hAnsi="仿宋_GB2312" w:cs="仿宋_GB2312"/>
                <w:sz w:val="24"/>
                <w:szCs w:val="24"/>
              </w:rPr>
            </w:pPr>
            <w:r>
              <w:rPr>
                <w:rFonts w:hint="eastAsia" w:ascii="仿宋_GB2312" w:hAnsi="仿宋_GB2312" w:cs="仿宋_GB2312"/>
                <w:sz w:val="24"/>
                <w:szCs w:val="24"/>
              </w:rPr>
              <w:t>2、对无法供货的期刊，采购方有权采取相应的补救措施，由此造成的损失或增加的费用由中标人支付。</w:t>
            </w:r>
          </w:p>
          <w:p>
            <w:pPr>
              <w:pStyle w:val="3"/>
              <w:rPr>
                <w:rFonts w:ascii="仿宋_GB2312" w:hAnsi="仿宋_GB2312" w:cs="仿宋_GB2312"/>
                <w:b/>
                <w:bCs/>
                <w:sz w:val="24"/>
                <w:szCs w:val="24"/>
              </w:rPr>
            </w:pPr>
            <w:r>
              <w:rPr>
                <w:rFonts w:hint="eastAsia" w:ascii="仿宋_GB2312" w:hAnsi="仿宋_GB2312" w:cs="仿宋_GB2312"/>
                <w:b/>
                <w:bCs/>
                <w:sz w:val="24"/>
                <w:szCs w:val="24"/>
              </w:rPr>
              <w:t>四、送货</w:t>
            </w:r>
          </w:p>
          <w:p>
            <w:pPr>
              <w:pStyle w:val="3"/>
              <w:rPr>
                <w:rFonts w:ascii="仿宋_GB2312" w:hAnsi="仿宋_GB2312" w:cs="仿宋_GB2312"/>
                <w:sz w:val="24"/>
                <w:szCs w:val="24"/>
              </w:rPr>
            </w:pPr>
            <w:r>
              <w:rPr>
                <w:rFonts w:hint="eastAsia" w:ascii="仿宋_GB2312" w:hAnsi="仿宋_GB2312" w:cs="仿宋_GB2312"/>
                <w:sz w:val="24"/>
                <w:szCs w:val="24"/>
              </w:rPr>
              <w:t>1、安排送货人员负责将期刊搬运至任何指定位置，每周送货3次以上。</w:t>
            </w:r>
          </w:p>
          <w:p>
            <w:pPr>
              <w:pStyle w:val="3"/>
              <w:rPr>
                <w:rFonts w:ascii="仿宋_GB2312" w:hAnsi="仿宋_GB2312" w:cs="仿宋_GB2312"/>
                <w:sz w:val="24"/>
                <w:szCs w:val="24"/>
              </w:rPr>
            </w:pPr>
            <w:r>
              <w:rPr>
                <w:rFonts w:hint="eastAsia" w:ascii="仿宋_GB2312" w:hAnsi="仿宋_GB2312" w:cs="仿宋_GB2312"/>
                <w:sz w:val="24"/>
                <w:szCs w:val="24"/>
              </w:rPr>
              <w:t>2、每次送货要提供清单。清单内容包括送货日期、批次、总册数，明细清单包括送货日期、批次号、包号；期刊题名、ISSN号、邮发代号、年卷期、单价、册数；本包合计种、册数。要求批次号简单明了具有助记功能。</w:t>
            </w:r>
          </w:p>
          <w:p>
            <w:pPr>
              <w:pStyle w:val="3"/>
              <w:rPr>
                <w:rFonts w:ascii="仿宋_GB2312" w:hAnsi="仿宋_GB2312" w:cs="仿宋_GB2312"/>
                <w:sz w:val="24"/>
                <w:szCs w:val="24"/>
              </w:rPr>
            </w:pPr>
            <w:r>
              <w:rPr>
                <w:rFonts w:hint="eastAsia" w:ascii="仿宋_GB2312" w:hAnsi="仿宋_GB2312" w:cs="仿宋_GB2312"/>
                <w:sz w:val="24"/>
                <w:szCs w:val="24"/>
              </w:rPr>
              <w:t>3、包装要求防潮、防破，运输和打包时要避免造成图书损坏。</w:t>
            </w:r>
          </w:p>
          <w:p>
            <w:pPr>
              <w:pStyle w:val="3"/>
              <w:rPr>
                <w:rFonts w:ascii="仿宋_GB2312" w:hAnsi="仿宋_GB2312" w:cs="仿宋_GB2312"/>
                <w:sz w:val="24"/>
                <w:szCs w:val="24"/>
              </w:rPr>
            </w:pPr>
            <w:r>
              <w:rPr>
                <w:rFonts w:hint="eastAsia" w:ascii="仿宋_GB2312" w:hAnsi="仿宋_GB2312" w:cs="仿宋_GB2312"/>
                <w:sz w:val="24"/>
                <w:szCs w:val="24"/>
              </w:rPr>
              <w:t>4、每一包期刊表面注明供应商、批次号、包号，包内期刊码放整齐，顺序与清单一致。对超大包装采购人有权要求返工。</w:t>
            </w:r>
          </w:p>
          <w:p>
            <w:pPr>
              <w:pStyle w:val="3"/>
              <w:rPr>
                <w:rFonts w:ascii="仿宋_GB2312" w:hAnsi="仿宋_GB2312" w:cs="仿宋_GB2312"/>
                <w:b/>
                <w:bCs/>
                <w:sz w:val="24"/>
                <w:szCs w:val="24"/>
              </w:rPr>
            </w:pPr>
            <w:r>
              <w:rPr>
                <w:rFonts w:hint="eastAsia" w:ascii="仿宋_GB2312" w:hAnsi="仿宋_GB2312" w:cs="仿宋_GB2312"/>
                <w:b/>
                <w:bCs/>
                <w:sz w:val="24"/>
                <w:szCs w:val="24"/>
              </w:rPr>
              <w:t>五、退换期刊</w:t>
            </w:r>
          </w:p>
          <w:p>
            <w:pPr>
              <w:pStyle w:val="3"/>
              <w:rPr>
                <w:rFonts w:ascii="仿宋_GB2312" w:hAnsi="仿宋_GB2312" w:cs="仿宋_GB2312"/>
                <w:sz w:val="24"/>
                <w:szCs w:val="24"/>
              </w:rPr>
            </w:pPr>
            <w:r>
              <w:rPr>
                <w:rFonts w:hint="eastAsia" w:ascii="仿宋_GB2312" w:hAnsi="仿宋_GB2312" w:cs="仿宋_GB2312"/>
                <w:sz w:val="24"/>
                <w:szCs w:val="24"/>
              </w:rPr>
              <w:t>1、对装订错误、缺页、破损、印刷不清、附件缺失等期刊由供应商负责更换和补齐。</w:t>
            </w:r>
          </w:p>
          <w:p>
            <w:pPr>
              <w:pStyle w:val="4"/>
              <w:jc w:val="both"/>
              <w:rPr>
                <w:rFonts w:ascii="仿宋_GB2312" w:hAnsi="仿宋_GB2312" w:eastAsia="仿宋_GB2312" w:cs="仿宋_GB2312"/>
              </w:rPr>
            </w:pPr>
            <w:r>
              <w:rPr>
                <w:rFonts w:hint="eastAsia" w:ascii="仿宋_GB2312" w:hAnsi="仿宋_GB2312" w:eastAsia="仿宋_GB2312" w:cs="仿宋_GB2312"/>
              </w:rPr>
              <w:t>2、运输和打包时造成期刊（含附件）的破损由供应商负责更换。3、退换期刊应在10日内完成，并提供凭证。</w:t>
            </w:r>
          </w:p>
          <w:p>
            <w:pPr>
              <w:pStyle w:val="4"/>
              <w:jc w:val="both"/>
              <w:rPr>
                <w:rFonts w:ascii="仿宋_GB2312" w:hAnsi="仿宋_GB2312" w:eastAsia="仿宋_GB2312" w:cs="仿宋_GB2312"/>
              </w:rPr>
            </w:pPr>
            <w:r>
              <w:rPr>
                <w:rFonts w:hint="eastAsia" w:ascii="仿宋_GB2312" w:hAnsi="仿宋_GB2312" w:eastAsia="仿宋_GB2312" w:cs="仿宋_GB2312"/>
              </w:rPr>
              <w:t>4、复制期刊，对于因供应商原因造成缺期的期刊，由供应商负责彩色复印和装订，费用由供应商承担。</w:t>
            </w:r>
          </w:p>
          <w:p>
            <w:pPr>
              <w:pStyle w:val="4"/>
              <w:jc w:val="both"/>
              <w:rPr>
                <w:rFonts w:ascii="仿宋_GB2312" w:hAnsi="仿宋_GB2312" w:eastAsia="仿宋_GB2312" w:cs="仿宋_GB2312"/>
                <w:b/>
                <w:bCs/>
              </w:rPr>
            </w:pPr>
            <w:r>
              <w:rPr>
                <w:rFonts w:hint="eastAsia" w:ascii="仿宋_GB2312" w:hAnsi="仿宋_GB2312" w:eastAsia="仿宋_GB2312" w:cs="仿宋_GB2312"/>
                <w:b/>
                <w:bCs/>
              </w:rPr>
              <w:t>六、加工</w:t>
            </w:r>
          </w:p>
          <w:p>
            <w:pPr>
              <w:pStyle w:val="4"/>
              <w:jc w:val="both"/>
              <w:rPr>
                <w:rFonts w:ascii="仿宋_GB2312" w:hAnsi="仿宋_GB2312" w:eastAsia="仿宋_GB2312" w:cs="仿宋_GB2312"/>
              </w:rPr>
            </w:pPr>
            <w:r>
              <w:rPr>
                <w:rFonts w:hint="eastAsia" w:ascii="仿宋_GB2312" w:hAnsi="仿宋_GB2312" w:eastAsia="仿宋_GB2312" w:cs="仿宋_GB2312"/>
              </w:rPr>
              <w:t>1、负责对每份期刊加盖馆藏章，保证所盖章印清晰，馆藏章由图书馆提供。盖章前必须对期刊进行认真核对及检查，馆藏章须盖在每份刊第一页右的位置，如该位置有文字或图像，则可做适当调整，并在每本刊上加盖骑缝章。</w:t>
            </w:r>
          </w:p>
          <w:p>
            <w:pPr>
              <w:pStyle w:val="4"/>
              <w:jc w:val="both"/>
              <w:rPr>
                <w:rFonts w:ascii="仿宋_GB2312" w:hAnsi="仿宋_GB2312" w:eastAsia="仿宋_GB2312" w:cs="仿宋_GB2312"/>
              </w:rPr>
            </w:pPr>
            <w:r>
              <w:rPr>
                <w:rFonts w:hint="eastAsia" w:ascii="仿宋_GB2312" w:hAnsi="仿宋_GB2312" w:eastAsia="仿宋_GB2312" w:cs="仿宋_GB2312"/>
              </w:rPr>
              <w:t>2、负责采购含磁条的空白书标、为每份期刊粘贴空白书标、空白书标须粘贴在每份期刊封面右侧中间的位置，如该位置有文字或图像，则可做适当调整。空白书标由乙方负责。</w:t>
            </w:r>
          </w:p>
          <w:p>
            <w:pPr>
              <w:pStyle w:val="4"/>
              <w:jc w:val="both"/>
              <w:rPr>
                <w:rFonts w:ascii="仿宋_GB2312" w:hAnsi="仿宋_GB2312" w:eastAsia="仿宋_GB2312" w:cs="仿宋_GB2312"/>
                <w:b/>
                <w:bCs/>
              </w:rPr>
            </w:pPr>
            <w:r>
              <w:rPr>
                <w:rFonts w:hint="eastAsia" w:ascii="仿宋_GB2312" w:hAnsi="仿宋_GB2312" w:eastAsia="仿宋_GB2312" w:cs="仿宋_GB2312"/>
                <w:b/>
                <w:bCs/>
              </w:rPr>
              <w:t>七、编目数据</w:t>
            </w:r>
          </w:p>
          <w:p>
            <w:pPr>
              <w:pStyle w:val="4"/>
              <w:jc w:val="both"/>
              <w:rPr>
                <w:rFonts w:ascii="仿宋_GB2312" w:hAnsi="仿宋_GB2312" w:eastAsia="仿宋_GB2312" w:cs="仿宋_GB2312"/>
              </w:rPr>
            </w:pPr>
            <w:r>
              <w:rPr>
                <w:rFonts w:hint="eastAsia" w:ascii="仿宋_GB2312" w:hAnsi="仿宋_GB2312" w:eastAsia="仿宋_GB2312" w:cs="仿宋_GB2312"/>
              </w:rPr>
              <w:t>1、为到馆期刊（新订）免费提供CNMARC数据，数据要与到馆期刊一一对应，不能缺少或畸多。</w:t>
            </w:r>
          </w:p>
          <w:p>
            <w:pPr>
              <w:pStyle w:val="4"/>
              <w:jc w:val="both"/>
              <w:rPr>
                <w:rFonts w:ascii="仿宋_GB2312" w:hAnsi="仿宋_GB2312" w:eastAsia="仿宋_GB2312" w:cs="仿宋_GB2312"/>
              </w:rPr>
            </w:pPr>
            <w:r>
              <w:rPr>
                <w:rFonts w:hint="eastAsia" w:ascii="仿宋_GB2312" w:hAnsi="仿宋_GB2312" w:eastAsia="仿宋_GB2312" w:cs="仿宋_GB2312"/>
              </w:rPr>
              <w:t>2、CNMARC数据著录要求详尽、能够完全反映期刊信息。分类标引和主题标引准确，差错不能高于1%。</w:t>
            </w:r>
          </w:p>
          <w:p>
            <w:pPr>
              <w:pStyle w:val="4"/>
              <w:jc w:val="both"/>
              <w:rPr>
                <w:rFonts w:ascii="仿宋_GB2312" w:hAnsi="仿宋_GB2312" w:eastAsia="仿宋_GB2312" w:cs="仿宋_GB2312"/>
              </w:rPr>
            </w:pPr>
            <w:r>
              <w:rPr>
                <w:rFonts w:hint="eastAsia" w:ascii="仿宋_GB2312" w:hAnsi="仿宋_GB2312" w:eastAsia="仿宋_GB2312" w:cs="仿宋_GB2312"/>
              </w:rPr>
              <w:t>3、MARC数据要求符合CALIS著录规则，以《中国机读目录格式使用手册》、《CALIS 联合目录中文期刊MARC记录编制细则》以及CALIS新发布的规定为著录规范。</w:t>
            </w:r>
          </w:p>
          <w:p>
            <w:pPr>
              <w:pStyle w:val="4"/>
              <w:jc w:val="both"/>
              <w:rPr>
                <w:rFonts w:ascii="仿宋_GB2312" w:hAnsi="仿宋_GB2312" w:eastAsia="仿宋_GB2312" w:cs="仿宋_GB2312"/>
                <w:b/>
                <w:bCs/>
              </w:rPr>
            </w:pPr>
            <w:r>
              <w:rPr>
                <w:rFonts w:hint="eastAsia" w:ascii="仿宋_GB2312" w:hAnsi="仿宋_GB2312" w:eastAsia="仿宋_GB2312" w:cs="仿宋_GB2312"/>
                <w:b/>
                <w:bCs/>
              </w:rPr>
              <w:t>八、其他技术需求及伴随服务</w:t>
            </w:r>
          </w:p>
          <w:p>
            <w:pPr>
              <w:pStyle w:val="4"/>
              <w:jc w:val="both"/>
              <w:rPr>
                <w:rFonts w:ascii="仿宋_GB2312" w:hAnsi="仿宋_GB2312" w:eastAsia="仿宋_GB2312" w:cs="仿宋_GB2312"/>
              </w:rPr>
            </w:pPr>
            <w:r>
              <w:rPr>
                <w:rFonts w:hint="eastAsia" w:ascii="仿宋_GB2312" w:hAnsi="仿宋_GB2312" w:eastAsia="仿宋_GB2312" w:cs="仿宋_GB2312"/>
              </w:rPr>
              <w:t>1、投标供应商需提供本公司具有中级（含中级）以上图书发行员资格证书5个，并加盖投标公司公章。同时提供该人员的身份证复印件、员工的图书发行员资格证书及社保证明（近1年）网上截图，完整的证明资料=图书发行员资格证书+身份证复印件+该员工社保证明（截图）；提供5套。</w:t>
            </w:r>
          </w:p>
          <w:p>
            <w:pPr>
              <w:pStyle w:val="4"/>
              <w:jc w:val="both"/>
              <w:rPr>
                <w:rFonts w:ascii="仿宋_GB2312" w:hAnsi="仿宋_GB2312" w:eastAsia="仿宋_GB2312" w:cs="仿宋_GB2312"/>
              </w:rPr>
            </w:pPr>
            <w:r>
              <w:rPr>
                <w:rFonts w:hint="eastAsia" w:ascii="仿宋_GB2312" w:hAnsi="仿宋_GB2312" w:eastAsia="仿宋_GB2312" w:cs="仿宋_GB2312"/>
              </w:rPr>
              <w:t>2、因期刊需提供编目数据，保证数据质量，投标人需提供本公司编目员资格证书或培训或上岗证书，并加盖投标公司公章。同时提供该分编人员的身份证复印件、员工的编目资格证书或培训或上岗证书及社保证明（近两年）网上截图，完整的证明资料=编目资格证书或培训或上岗证书+身份证复印件+该员工社保证明（截图）；提供5套。</w:t>
            </w:r>
          </w:p>
          <w:p>
            <w:pPr>
              <w:pStyle w:val="4"/>
              <w:jc w:val="both"/>
              <w:rPr>
                <w:rFonts w:ascii="仿宋_GB2312" w:hAnsi="仿宋_GB2312" w:eastAsia="仿宋_GB2312" w:cs="仿宋_GB2312"/>
              </w:rPr>
            </w:pPr>
            <w:r>
              <w:rPr>
                <w:rFonts w:hint="eastAsia" w:ascii="仿宋_GB2312" w:hAnsi="仿宋_GB2312" w:eastAsia="仿宋_GB2312" w:cs="仿宋_GB2312"/>
              </w:rPr>
              <w:t>3、投标供应商须具有满足采购方在线工作需求的网络平台，若非供应商自有平台，需提供包含以下功能需求平台的授权书，功能至少包含在线导入期刊征订目录、实时查询客户订单、订刊到刊信息、撤补订刊信息、信息变更（含基本信息变更、价格变更、停休合刊、延期信息变更等信息）、期刊发货信息（含打包批次、发货时间、发货种数、发货册数等信息）、订刊统计、客户留言等功能，以投标文件中附（任一合作过的客户）示例截图为准；</w:t>
            </w:r>
          </w:p>
          <w:p>
            <w:pPr>
              <w:pStyle w:val="4"/>
              <w:ind w:firstLine="418" w:firstLineChars="200"/>
              <w:jc w:val="both"/>
            </w:pPr>
            <w:r>
              <w:rPr>
                <w:rFonts w:hint="eastAsia" w:ascii="仿宋_GB2312" w:hAnsi="仿宋_GB2312" w:eastAsia="仿宋_GB2312" w:cs="仿宋_GB2312"/>
              </w:rPr>
              <w:t>对于招标文件中要求的证书、材料及需求功能，中标人在签订合同前需到采购人使用部门现场提供原件及功能演示，对于提供虚假材料的投标人取消中标资格，并列入黑名单。</w:t>
            </w:r>
          </w:p>
        </w:tc>
        <w:tc>
          <w:tcPr>
            <w:tcW w:w="1287" w:type="dxa"/>
            <w:vAlign w:val="center"/>
          </w:tcPr>
          <w:p>
            <w:pPr>
              <w:pStyle w:val="3"/>
              <w:jc w:val="center"/>
              <w:rPr>
                <w:rFonts w:ascii="仿宋_GB2312" w:hAnsi="仿宋_GB2312" w:cs="仿宋_GB2312"/>
                <w:sz w:val="24"/>
                <w:szCs w:val="24"/>
              </w:rPr>
            </w:pPr>
            <w:r>
              <w:rPr>
                <w:rFonts w:hint="eastAsia" w:ascii="仿宋_GB2312" w:hAnsi="仿宋_GB2312" w:cs="仿宋_GB2312"/>
                <w:sz w:val="24"/>
                <w:szCs w:val="24"/>
              </w:rPr>
              <w:t>开元校区：</w:t>
            </w:r>
          </w:p>
          <w:p>
            <w:pPr>
              <w:pStyle w:val="3"/>
              <w:jc w:val="center"/>
              <w:rPr>
                <w:rFonts w:ascii="仿宋_GB2312" w:hAnsi="仿宋_GB2312" w:cs="仿宋_GB2312"/>
                <w:sz w:val="24"/>
                <w:szCs w:val="24"/>
              </w:rPr>
            </w:pPr>
            <w:r>
              <w:rPr>
                <w:rFonts w:hint="eastAsia" w:ascii="仿宋_GB2312" w:hAnsi="仿宋_GB2312" w:cs="仿宋_GB2312"/>
                <w:sz w:val="24"/>
                <w:szCs w:val="24"/>
              </w:rPr>
              <w:t>种数1420</w:t>
            </w:r>
          </w:p>
          <w:p>
            <w:pPr>
              <w:pStyle w:val="3"/>
              <w:jc w:val="center"/>
              <w:rPr>
                <w:rFonts w:ascii="仿宋_GB2312" w:hAnsi="仿宋_GB2312" w:cs="仿宋_GB2312"/>
                <w:sz w:val="24"/>
                <w:szCs w:val="24"/>
              </w:rPr>
            </w:pPr>
            <w:r>
              <w:rPr>
                <w:rFonts w:hint="eastAsia" w:ascii="仿宋_GB2312" w:hAnsi="仿宋_GB2312" w:cs="仿宋_GB2312"/>
                <w:sz w:val="24"/>
                <w:szCs w:val="24"/>
              </w:rPr>
              <w:t>份数1420</w:t>
            </w:r>
          </w:p>
          <w:p>
            <w:pPr>
              <w:pStyle w:val="3"/>
              <w:jc w:val="center"/>
              <w:rPr>
                <w:rFonts w:ascii="仿宋_GB2312" w:hAnsi="仿宋_GB2312" w:cs="仿宋_GB2312"/>
                <w:sz w:val="24"/>
                <w:szCs w:val="24"/>
              </w:rPr>
            </w:pPr>
            <w:r>
              <w:rPr>
                <w:rFonts w:hint="eastAsia" w:ascii="仿宋_GB2312" w:hAnsi="仿宋_GB2312" w:cs="仿宋_GB2312"/>
                <w:sz w:val="24"/>
                <w:szCs w:val="24"/>
              </w:rPr>
              <w:t>西苑校区:</w:t>
            </w:r>
          </w:p>
          <w:p>
            <w:pPr>
              <w:pStyle w:val="3"/>
              <w:jc w:val="center"/>
              <w:rPr>
                <w:rFonts w:ascii="仿宋_GB2312" w:hAnsi="仿宋_GB2312" w:cs="仿宋_GB2312"/>
                <w:sz w:val="24"/>
                <w:szCs w:val="24"/>
              </w:rPr>
            </w:pPr>
            <w:r>
              <w:rPr>
                <w:rFonts w:hint="eastAsia" w:ascii="仿宋_GB2312" w:hAnsi="仿宋_GB2312" w:cs="仿宋_GB2312"/>
                <w:sz w:val="24"/>
                <w:szCs w:val="24"/>
              </w:rPr>
              <w:t>种数180</w:t>
            </w:r>
          </w:p>
          <w:p>
            <w:pPr>
              <w:pStyle w:val="3"/>
              <w:jc w:val="center"/>
              <w:rPr>
                <w:rFonts w:ascii="仿宋_GB2312" w:hAnsi="仿宋_GB2312" w:cs="仿宋_GB2312"/>
                <w:b/>
                <w:bCs/>
                <w:sz w:val="24"/>
                <w:szCs w:val="24"/>
              </w:rPr>
            </w:pPr>
            <w:r>
              <w:rPr>
                <w:rFonts w:hint="eastAsia" w:ascii="仿宋_GB2312" w:hAnsi="仿宋_GB2312" w:cs="仿宋_GB2312"/>
                <w:sz w:val="24"/>
                <w:szCs w:val="24"/>
              </w:rPr>
              <w:t>份数180</w:t>
            </w:r>
          </w:p>
        </w:tc>
      </w:tr>
      <w:bookmarkEnd w:id="75"/>
    </w:tbl>
    <w:p>
      <w:pPr>
        <w:pStyle w:val="31"/>
        <w:jc w:val="center"/>
        <w:outlineLvl w:val="0"/>
        <w:rPr>
          <w:rFonts w:ascii="仿宋_GB2312" w:hAnsi="仿宋_GB2312" w:eastAsia="仿宋_GB2312" w:cs="仿宋_GB2312"/>
        </w:rPr>
      </w:pPr>
      <w:r>
        <w:rPr>
          <w:rFonts w:hint="eastAsia" w:ascii="仿宋_GB2312" w:hAnsi="仿宋_GB2312" w:eastAsia="仿宋_GB2312" w:cs="仿宋_GB2312"/>
          <w:lang w:bidi="en-US"/>
        </w:rPr>
        <w:br w:type="page"/>
      </w:r>
      <w:bookmarkStart w:id="79" w:name="_Toc256000013"/>
      <w:bookmarkStart w:id="80" w:name="_Toc256000004"/>
      <w:bookmarkStart w:id="81" w:name="_Toc1662645"/>
      <w:bookmarkStart w:id="82" w:name="_Toc504741950"/>
      <w:bookmarkStart w:id="83" w:name="_Toc4879"/>
      <w:r>
        <w:rPr>
          <w:rFonts w:hint="eastAsia" w:ascii="仿宋_GB2312" w:hAnsi="仿宋_GB2312" w:eastAsia="仿宋_GB2312" w:cs="仿宋_GB2312"/>
          <w:b/>
          <w:bCs/>
          <w:kern w:val="28"/>
          <w:sz w:val="44"/>
          <w:lang w:bidi="en-US"/>
        </w:rPr>
        <w:t>第四章  合 同(样本)</w:t>
      </w:r>
      <w:bookmarkEnd w:id="79"/>
      <w:bookmarkEnd w:id="80"/>
      <w:bookmarkEnd w:id="81"/>
      <w:bookmarkEnd w:id="82"/>
      <w:bookmarkEnd w:id="83"/>
    </w:p>
    <w:p>
      <w:pPr>
        <w:widowControl/>
        <w:shd w:val="clear" w:color="auto" w:fill="FFFFFF"/>
        <w:ind w:firstLine="418" w:firstLineChars="200"/>
        <w:rPr>
          <w:rFonts w:ascii="仿宋_GB2312" w:hAnsi="仿宋_GB2312" w:eastAsia="仿宋_GB2312" w:cs="仿宋_GB2312"/>
          <w:kern w:val="0"/>
          <w:sz w:val="24"/>
        </w:rPr>
      </w:pPr>
    </w:p>
    <w:p>
      <w:pPr>
        <w:widowControl/>
        <w:shd w:val="clear" w:color="auto" w:fill="FFFFFF"/>
        <w:ind w:firstLine="418"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双方应根据磋商文件、中标通知书、成交人的响应文件（包括澄清说明），以及与本项目招标相关的资料、图纸签订采购合同。所签订的合同不得背离磋商文件的实质性内容要求和响应文件的承诺。</w:t>
      </w:r>
    </w:p>
    <w:p>
      <w:pPr>
        <w:rPr>
          <w:rFonts w:ascii="宋体" w:hAnsi="宋体" w:cs="宋体"/>
          <w:b/>
          <w:sz w:val="30"/>
          <w:szCs w:val="30"/>
        </w:rPr>
      </w:pPr>
      <w:r>
        <w:rPr>
          <w:rFonts w:hint="eastAsia" w:ascii="宋体" w:hAnsi="宋体" w:cs="宋体"/>
          <w:b/>
          <w:sz w:val="30"/>
          <w:szCs w:val="30"/>
        </w:rPr>
        <w:br w:type="page"/>
      </w:r>
    </w:p>
    <w:p>
      <w:pPr>
        <w:snapToGrid w:val="0"/>
        <w:spacing w:line="351" w:lineRule="atLeast"/>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河南科技大学物资设备采购合同</w:t>
      </w:r>
    </w:p>
    <w:p>
      <w:pPr>
        <w:snapToGrid w:val="0"/>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合同编号：</w:t>
      </w:r>
    </w:p>
    <w:p>
      <w:pPr>
        <w:snapToGrid w:val="0"/>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需方：河南科技大学         </w:t>
      </w:r>
    </w:p>
    <w:p>
      <w:pPr>
        <w:widowControl/>
        <w:spacing w:line="336" w:lineRule="auto"/>
        <w:rPr>
          <w:rFonts w:ascii="仿宋_GB2312" w:hAnsi="仿宋_GB2312" w:eastAsia="仿宋_GB2312" w:cs="仿宋_GB2312"/>
          <w:b/>
          <w:bCs/>
          <w:kern w:val="0"/>
          <w:sz w:val="24"/>
          <w:szCs w:val="24"/>
        </w:rPr>
      </w:pPr>
      <w:r>
        <w:rPr>
          <w:rFonts w:hint="eastAsia" w:ascii="仿宋_GB2312" w:hAnsi="仿宋_GB2312" w:eastAsia="仿宋_GB2312" w:cs="仿宋_GB2312"/>
          <w:sz w:val="24"/>
          <w:szCs w:val="24"/>
        </w:rPr>
        <w:t xml:space="preserve">供方: </w:t>
      </w:r>
    </w:p>
    <w:p>
      <w:pPr>
        <w:snapToGrid w:val="0"/>
        <w:spacing w:line="336"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根据豫财招标采购-2023-XX招标文件、供应商投标文件和中标通知书，供、需双方经友好协商，同意按照下述条款签订本合同。</w:t>
      </w:r>
    </w:p>
    <w:p>
      <w:pPr>
        <w:widowControl/>
        <w:spacing w:line="336" w:lineRule="auto"/>
        <w:jc w:val="left"/>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一、设备名称及金额（详细技术参数见附件一，单位：人民币/元） </w:t>
      </w:r>
    </w:p>
    <w:tbl>
      <w:tblPr>
        <w:tblStyle w:val="1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767"/>
        <w:gridCol w:w="2282"/>
        <w:gridCol w:w="785"/>
        <w:gridCol w:w="1339"/>
        <w:gridCol w:w="1207"/>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682" w:type="dxa"/>
            <w:tcBorders>
              <w:top w:val="single" w:color="000000" w:sz="2" w:space="0"/>
              <w:left w:val="single" w:color="000000" w:sz="2" w:space="0"/>
              <w:bottom w:val="single" w:color="000000" w:sz="2" w:space="0"/>
              <w:right w:val="single" w:color="000000" w:sz="2" w:space="0"/>
            </w:tcBorders>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767" w:type="dxa"/>
            <w:tcBorders>
              <w:top w:val="single" w:color="000000" w:sz="2" w:space="0"/>
              <w:left w:val="single" w:color="000000" w:sz="2" w:space="0"/>
              <w:bottom w:val="single" w:color="000000" w:sz="2" w:space="0"/>
              <w:right w:val="single" w:color="000000" w:sz="2" w:space="0"/>
            </w:tcBorders>
            <w:vAlign w:val="center"/>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设备名称</w:t>
            </w:r>
          </w:p>
        </w:tc>
        <w:tc>
          <w:tcPr>
            <w:tcW w:w="2282" w:type="dxa"/>
            <w:tcBorders>
              <w:top w:val="single" w:color="000000" w:sz="2" w:space="0"/>
              <w:bottom w:val="single" w:color="000000" w:sz="2" w:space="0"/>
              <w:right w:val="single" w:color="000000" w:sz="2" w:space="0"/>
            </w:tcBorders>
            <w:vAlign w:val="center"/>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规格、型号、技术要求</w:t>
            </w:r>
          </w:p>
        </w:tc>
        <w:tc>
          <w:tcPr>
            <w:tcW w:w="785" w:type="dxa"/>
            <w:tcBorders>
              <w:top w:val="single" w:color="000000" w:sz="2" w:space="0"/>
              <w:bottom w:val="single" w:color="000000" w:sz="2" w:space="0"/>
              <w:right w:val="single" w:color="000000" w:sz="2" w:space="0"/>
            </w:tcBorders>
            <w:vAlign w:val="center"/>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1339" w:type="dxa"/>
            <w:tcBorders>
              <w:top w:val="single" w:color="000000" w:sz="2" w:space="0"/>
              <w:bottom w:val="single" w:color="000000" w:sz="2" w:space="0"/>
              <w:right w:val="single" w:color="000000" w:sz="2" w:space="0"/>
            </w:tcBorders>
            <w:vAlign w:val="center"/>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207" w:type="dxa"/>
            <w:tcBorders>
              <w:top w:val="single" w:color="000000" w:sz="2" w:space="0"/>
              <w:bottom w:val="single" w:color="000000" w:sz="2" w:space="0"/>
              <w:right w:val="single" w:color="000000" w:sz="2" w:space="0"/>
            </w:tcBorders>
            <w:vAlign w:val="center"/>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922" w:type="dxa"/>
            <w:tcBorders>
              <w:top w:val="single" w:color="000000" w:sz="2" w:space="0"/>
              <w:bottom w:val="single" w:color="000000" w:sz="2" w:space="0"/>
              <w:right w:val="single" w:color="000000" w:sz="2" w:space="0"/>
            </w:tcBorders>
            <w:vAlign w:val="center"/>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682" w:type="dxa"/>
            <w:tcBorders>
              <w:left w:val="single" w:color="000000" w:sz="2" w:space="0"/>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highlight w:val="green"/>
              </w:rPr>
            </w:pPr>
            <w:r>
              <w:rPr>
                <w:rFonts w:hint="eastAsia" w:ascii="仿宋_GB2312" w:hAnsi="仿宋_GB2312" w:eastAsia="仿宋_GB2312" w:cs="仿宋_GB2312"/>
                <w:sz w:val="24"/>
                <w:szCs w:val="24"/>
              </w:rPr>
              <w:t>1</w:t>
            </w:r>
          </w:p>
        </w:tc>
        <w:tc>
          <w:tcPr>
            <w:tcW w:w="1767" w:type="dxa"/>
            <w:tcBorders>
              <w:left w:val="single" w:color="000000" w:sz="2" w:space="0"/>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highlight w:val="green"/>
              </w:rPr>
            </w:pPr>
          </w:p>
        </w:tc>
        <w:tc>
          <w:tcPr>
            <w:tcW w:w="2282" w:type="dxa"/>
            <w:tcBorders>
              <w:right w:val="single" w:color="000000" w:sz="2" w:space="0"/>
            </w:tcBorders>
            <w:vAlign w:val="center"/>
          </w:tcPr>
          <w:p>
            <w:pPr>
              <w:widowControl/>
              <w:spacing w:line="336" w:lineRule="auto"/>
              <w:jc w:val="center"/>
              <w:rPr>
                <w:rFonts w:ascii="仿宋_GB2312" w:hAnsi="仿宋_GB2312" w:eastAsia="仿宋_GB2312" w:cs="仿宋_GB2312"/>
                <w:sz w:val="24"/>
                <w:szCs w:val="24"/>
                <w:highlight w:val="green"/>
              </w:rPr>
            </w:pPr>
          </w:p>
        </w:tc>
        <w:tc>
          <w:tcPr>
            <w:tcW w:w="785"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highlight w:val="green"/>
              </w:rPr>
            </w:pPr>
          </w:p>
        </w:tc>
        <w:tc>
          <w:tcPr>
            <w:tcW w:w="1339" w:type="dxa"/>
            <w:tcBorders>
              <w:right w:val="single" w:color="000000" w:sz="2" w:space="0"/>
            </w:tcBorders>
            <w:vAlign w:val="center"/>
          </w:tcPr>
          <w:p>
            <w:pPr>
              <w:spacing w:line="336" w:lineRule="auto"/>
              <w:jc w:val="center"/>
              <w:rPr>
                <w:rFonts w:ascii="仿宋_GB2312" w:hAnsi="仿宋_GB2312" w:eastAsia="仿宋_GB2312" w:cs="仿宋_GB2312"/>
                <w:sz w:val="24"/>
                <w:szCs w:val="24"/>
                <w:highlight w:val="green"/>
              </w:rPr>
            </w:pPr>
          </w:p>
        </w:tc>
        <w:tc>
          <w:tcPr>
            <w:tcW w:w="1207"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highlight w:val="green"/>
              </w:rPr>
            </w:pPr>
          </w:p>
        </w:tc>
        <w:tc>
          <w:tcPr>
            <w:tcW w:w="922"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682" w:type="dxa"/>
            <w:tcBorders>
              <w:left w:val="single" w:color="000000" w:sz="2" w:space="0"/>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67" w:type="dxa"/>
            <w:tcBorders>
              <w:left w:val="single" w:color="000000" w:sz="2" w:space="0"/>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2282"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785"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1339" w:type="dxa"/>
            <w:tcBorders>
              <w:right w:val="single" w:color="000000" w:sz="2" w:space="0"/>
            </w:tcBorders>
            <w:vAlign w:val="center"/>
          </w:tcPr>
          <w:p>
            <w:pPr>
              <w:spacing w:line="336" w:lineRule="auto"/>
              <w:jc w:val="center"/>
              <w:rPr>
                <w:rFonts w:ascii="仿宋_GB2312" w:hAnsi="仿宋_GB2312" w:eastAsia="仿宋_GB2312" w:cs="仿宋_GB2312"/>
                <w:sz w:val="24"/>
                <w:szCs w:val="24"/>
              </w:rPr>
            </w:pPr>
          </w:p>
        </w:tc>
        <w:tc>
          <w:tcPr>
            <w:tcW w:w="1207"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922"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682" w:type="dxa"/>
            <w:tcBorders>
              <w:left w:val="single" w:color="000000" w:sz="2" w:space="0"/>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67" w:type="dxa"/>
            <w:tcBorders>
              <w:left w:val="single" w:color="000000" w:sz="2" w:space="0"/>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2282"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785"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1339" w:type="dxa"/>
            <w:tcBorders>
              <w:right w:val="single" w:color="000000" w:sz="2" w:space="0"/>
            </w:tcBorders>
            <w:vAlign w:val="center"/>
          </w:tcPr>
          <w:p>
            <w:pPr>
              <w:spacing w:line="336" w:lineRule="auto"/>
              <w:jc w:val="center"/>
              <w:rPr>
                <w:rFonts w:ascii="仿宋_GB2312" w:hAnsi="仿宋_GB2312" w:eastAsia="仿宋_GB2312" w:cs="仿宋_GB2312"/>
                <w:sz w:val="24"/>
                <w:szCs w:val="24"/>
              </w:rPr>
            </w:pPr>
          </w:p>
        </w:tc>
        <w:tc>
          <w:tcPr>
            <w:tcW w:w="1207"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c>
          <w:tcPr>
            <w:tcW w:w="922" w:type="dxa"/>
            <w:tcBorders>
              <w:right w:val="single" w:color="000000" w:sz="2" w:space="0"/>
            </w:tcBorders>
            <w:vAlign w:val="center"/>
          </w:tcPr>
          <w:p>
            <w:pPr>
              <w:spacing w:line="336" w:lineRule="auto"/>
              <w:jc w:val="center"/>
              <w:textAlignment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8984" w:type="dxa"/>
            <w:gridSpan w:val="7"/>
            <w:tcBorders>
              <w:left w:val="single" w:color="000000" w:sz="2" w:space="0"/>
              <w:bottom w:val="single" w:color="000000" w:sz="2" w:space="0"/>
            </w:tcBorders>
          </w:tcPr>
          <w:p>
            <w:pPr>
              <w:spacing w:line="336"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合计：（人民币大写）     小写：    元</w:t>
            </w:r>
          </w:p>
        </w:tc>
      </w:tr>
    </w:tbl>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二、货物质量要求及供方对质量负责条件和期限：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1．供方在网上免费向需方发送机读书目数据以及其他需方采访书目信息的机 读数据，供方提供的书目信息不得混含盗版书和非法出版物。</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2．订单采购：供方负责对需方报送的书目订单及时组织采购，不能以任何理由和借口过滤、退订需方所订书目。</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3. </w:t>
      </w:r>
      <w:r>
        <w:rPr>
          <w:rFonts w:hint="eastAsia" w:ascii="仿宋_GB2312" w:hAnsi="仿宋_GB2312" w:eastAsia="仿宋_GB2312" w:cs="仿宋_GB2312"/>
          <w:kern w:val="0"/>
          <w:sz w:val="24"/>
          <w:szCs w:val="24"/>
          <w:lang w:bidi="ar"/>
        </w:rPr>
        <w:t>投标供应商必须为采购人提供1次现场采购书机会，如：全国性大型图书展销会及国内大型图书样本库等。所需的联系会展方、采集器、查重、采访数据等费用由投标人承担，投标供应商必须在投标文件中给予承诺。在外地现采中，招标人的采购人员自身产生的差旅费用由招标人自行承担，投标人不承担招标人的采购人员自身产生的差旅费用。</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4.供方必须严格按照需方提供的订单配书(另附配书细则)，不得加入盗版图书、非法出版物和非需方订单图书。否则需方有权对上述图书视为供方赠书不予退书或付款（因将影响需方条码号的连续性）。需方发送的全国各大出版社订单不能以任何借口退订，否则按违约处理。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5.供方提供新书时，同时免费提供该批新书编目数据。分类以《中图法》第五版为准；编目严格按《CALIS图书著录规则》进行著录，数据套录CALIS数据。（具体加工质量要求严格按照附件执行）。</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6．供方免费为需方提供所购新书的可充消钴基磁条、条形码（一对）。并为需方免费提供诸如贴可充消钴基磁条、盖章、贴条形码、贴索书号标、图书加工直至图书上架等一系列的本地化伴随服务（具体加工质量要求严格按照附件执行）。</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7.学院订购图书与图书馆的图书发货时需分开打包，并在包外标明学院名称，以免同图书馆图书混淆。其余编目加工要求和图书馆图书相同。</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8．供方应保障需方所订购图书的到书率达到100%（停版除外）。全年到货率若低于 95%，需方在最后一次付款中对供方采取惩罚性扣款，扣款计算公式为：（100%-实际到书率）×100×5000元。并列入黑名单且以后不能再参与我校相关的投标。</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9．供方所配图书必须保证图书的装帧质量，不得出现掉页、散页、缺页、开胶、错装、倒装、损坏或书脊开裂等现象，否则需方有权退换。</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三、货物安装：</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供方应确保新书到馆（含图书加工时间）的时间为：合同签订后60日历天内。</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四、交货时间、地点、方式：</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根据需方订购书目的时间先后，供方分期、分批及时（严格按照附件执行）将图书送交需方指定地点：河南科技大学图书馆文献建设部，费用由供方自行承担。</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五、供方应在交货同时向需方交付图书清单。典藏验收完毕 30 日内需方应进行验收。</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六、合同期限：合同签到日至  年 月 日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七、付款方式： </w:t>
      </w:r>
    </w:p>
    <w:p>
      <w:pPr>
        <w:spacing w:line="360" w:lineRule="auto"/>
        <w:ind w:firstLine="209"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包1-包5：图书全部到货验收合格后，需方向供方一次性付清合同款。</w:t>
      </w:r>
    </w:p>
    <w:p>
      <w:pPr>
        <w:spacing w:line="360" w:lineRule="auto"/>
        <w:ind w:firstLine="209"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包6：分两次付款：</w:t>
      </w:r>
    </w:p>
    <w:p>
      <w:pPr>
        <w:spacing w:line="360" w:lineRule="auto"/>
        <w:ind w:firstLine="209" w:firstLineChars="1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第一次：合同签订后，需方向供方支付合同金额的90%；</w:t>
      </w:r>
    </w:p>
    <w:p>
      <w:pPr>
        <w:spacing w:line="360" w:lineRule="auto"/>
        <w:ind w:firstLine="209" w:firstLineChars="100"/>
      </w:pPr>
      <w:r>
        <w:rPr>
          <w:rFonts w:hint="eastAsia" w:ascii="仿宋_GB2312" w:hAnsi="仿宋_GB2312" w:eastAsia="仿宋_GB2312" w:cs="仿宋_GB2312"/>
          <w:color w:val="000000"/>
          <w:sz w:val="24"/>
          <w:szCs w:val="24"/>
        </w:rPr>
        <w:t>第二次：期刊全部到货验收合格后，需方按照实际供货实洋，据实结算尾款。</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八、违约责任：需方在无正当理由拒收图书，向供方偿付拒付部分货款总额2%的违约金；供方在无正当理由延期供货，向需方偿付延期供货部分货款总额2%的违约金。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供方所供的图书品种、规格以及其它外部质量不符合规定，需方有权拒收货物，供方应负责更换并承担因更换而支付的实际费用。因更换而造成逾期交货，则按逾期交货处理。供方逾期交付图书，供方向需方每日偿付逾期交货部分货款总值 0.05%赔偿费。</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九、因货物的质量问题发生争议，由具备该类产品质量检测资格的相关部门进行质量鉴定，该鉴定的结论是最终的，供需双方均应当接受。</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十、本合同发生争议产生的诉讼，由合同签订所在地人民法院管辖。</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十一、合同生效及其它：</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本合同经双方代表签字并加盖公章后生效。本合同一式拾贰份，供方贰份，需方捌份，招标公司及河南省财政厅各壹份。</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十二、不可抗力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在合同规定的履行期限内，由于受不可抗力事件影响而不能履行合同时，受阻一方在提供合法证明后可免予承担违约责任，本合同自行终止。不可抗力事件系指供、需双方在缔结合同时所不能预见的，并且它的发生及其后果是无法避免和无法克服的。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十三、纠纷处理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在合同执行过程中发生的与本合同有关的争议，双方应通过友好协商解决。 经协商在 60 天内不能达成协议时，按照《中华人民共和国民法典》有关条款执行。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十四、合同的修改和补充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欲对合同条款作出任何修改和补充，均须由供、需双方代表或授权代表签署书面协议。其它未尽事宜，以采购文件、投标文件为准，双方协商解决。 </w:t>
      </w:r>
    </w:p>
    <w:p>
      <w:pPr>
        <w:widowControl/>
        <w:spacing w:line="336" w:lineRule="auto"/>
        <w:jc w:val="left"/>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 xml:space="preserve">附件一为本合同有关的技术参数约定。其余以招投标文件为准。 </w:t>
      </w:r>
    </w:p>
    <w:tbl>
      <w:tblPr>
        <w:tblStyle w:val="16"/>
        <w:tblW w:w="0" w:type="auto"/>
        <w:tblInd w:w="2"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甲方：（章）河南科技大学</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乙方： </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地址：洛阳市洛龙区开元大道263号</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地址： </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电话： </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邮编：471003</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邮编：</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法定代理人或授权代表（签字）：</w:t>
            </w:r>
          </w:p>
          <w:p>
            <w:pPr>
              <w:spacing w:line="336" w:lineRule="auto"/>
              <w:rPr>
                <w:rFonts w:ascii="仿宋_GB2312" w:hAnsi="仿宋_GB2312" w:eastAsia="仿宋_GB2312" w:cs="仿宋_GB2312"/>
                <w:sz w:val="24"/>
                <w:szCs w:val="24"/>
              </w:rPr>
            </w:pPr>
          </w:p>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联系人、电话：                        </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法定代理人（签字）：</w:t>
            </w:r>
          </w:p>
          <w:p>
            <w:pPr>
              <w:spacing w:line="336" w:lineRule="auto"/>
              <w:rPr>
                <w:rFonts w:ascii="仿宋_GB2312" w:hAnsi="仿宋_GB2312" w:eastAsia="仿宋_GB2312" w:cs="仿宋_GB2312"/>
                <w:sz w:val="24"/>
                <w:szCs w:val="24"/>
              </w:rPr>
            </w:pPr>
          </w:p>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联系人、电话：          </w:t>
            </w:r>
          </w:p>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开户银行：工行洛阳分行涧西支行</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开户银行： </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账户名称：河南科技大学</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账户名称：</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银行账号：1705020809049088826</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银行账号：</w:t>
            </w:r>
          </w:p>
        </w:tc>
      </w:tr>
      <w:tr>
        <w:tblPrEx>
          <w:tblCellMar>
            <w:top w:w="0" w:type="dxa"/>
            <w:left w:w="108" w:type="dxa"/>
            <w:bottom w:w="0" w:type="dxa"/>
            <w:right w:w="108" w:type="dxa"/>
          </w:tblCellMar>
        </w:tblPrEx>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签订日期：    年    月    日</w:t>
            </w:r>
          </w:p>
        </w:tc>
        <w:tc>
          <w:tcPr>
            <w:tcW w:w="4643" w:type="dxa"/>
          </w:tcPr>
          <w:p>
            <w:pPr>
              <w:spacing w:line="336"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签定日期： </w:t>
            </w:r>
          </w:p>
        </w:tc>
      </w:tr>
    </w:tbl>
    <w:p>
      <w:pPr>
        <w:pStyle w:val="34"/>
        <w:rPr>
          <w:rFonts w:ascii="仿宋_GB2312" w:hAnsi="仿宋_GB2312" w:eastAsia="仿宋_GB2312" w:cs="仿宋_GB2312"/>
          <w:spacing w:val="14"/>
          <w:sz w:val="24"/>
          <w:szCs w:val="24"/>
        </w:rPr>
      </w:pPr>
    </w:p>
    <w:p>
      <w:pPr>
        <w:pStyle w:val="34"/>
        <w:ind w:firstLine="0"/>
        <w:rPr>
          <w:rFonts w:ascii="仿宋_GB2312" w:hAnsi="仿宋_GB2312" w:eastAsia="仿宋_GB2312" w:cs="仿宋_GB2312"/>
          <w:spacing w:val="14"/>
          <w:szCs w:val="21"/>
        </w:rPr>
      </w:pPr>
    </w:p>
    <w:p>
      <w:pPr>
        <w:ind w:firstLine="984" w:firstLineChars="299"/>
        <w:rPr>
          <w:rFonts w:ascii="仿宋_GB2312" w:hAnsi="仿宋_GB2312" w:eastAsia="仿宋_GB2312" w:cs="仿宋_GB2312"/>
          <w:b/>
          <w:sz w:val="28"/>
          <w:szCs w:val="28"/>
        </w:rPr>
      </w:pPr>
      <w:r>
        <w:rPr>
          <w:rFonts w:hint="eastAsia" w:ascii="仿宋_GB2312" w:hAnsi="仿宋_GB2312" w:eastAsia="仿宋_GB2312" w:cs="仿宋_GB2312"/>
          <w:b/>
          <w:bCs/>
          <w:sz w:val="36"/>
          <w:szCs w:val="36"/>
        </w:rPr>
        <w:br w:type="page"/>
      </w:r>
      <w:r>
        <w:rPr>
          <w:rFonts w:hint="eastAsia" w:ascii="仿宋_GB2312" w:hAnsi="仿宋_GB2312" w:eastAsia="仿宋_GB2312" w:cs="仿宋_GB2312"/>
          <w:b/>
          <w:szCs w:val="21"/>
        </w:rPr>
        <w:t>《洛阳市市级政府采购支持中小微企业信用融资信用担保合作金融机构名单》</w:t>
      </w:r>
      <w:r>
        <w:rPr>
          <w:rFonts w:hint="eastAsia" w:ascii="仿宋_GB2312" w:hAnsi="仿宋_GB2312" w:eastAsia="仿宋_GB2312" w:cs="仿宋_GB2312"/>
          <w:spacing w:val="14"/>
          <w:szCs w:val="21"/>
        </w:rPr>
        <w:t>下载地址：</w:t>
      </w:r>
    </w:p>
    <w:p>
      <w:pPr>
        <w:pStyle w:val="30"/>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洛阳市政府采购网（</w:t>
      </w:r>
      <w:r>
        <w:fldChar w:fldCharType="begin"/>
      </w:r>
      <w:r>
        <w:instrText xml:space="preserve"> HYPERLINK "http://luoyang.hngp.gov.cn/" </w:instrText>
      </w:r>
      <w:r>
        <w:fldChar w:fldCharType="separate"/>
      </w:r>
      <w:r>
        <w:rPr>
          <w:rStyle w:val="21"/>
          <w:rFonts w:hint="eastAsia" w:ascii="仿宋_GB2312" w:hAnsi="仿宋_GB2312" w:eastAsia="仿宋_GB2312" w:cs="仿宋_GB2312"/>
          <w:color w:val="auto"/>
          <w:spacing w:val="14"/>
        </w:rPr>
        <w:t>http://luoyang.hngp.gov.cn/</w:t>
      </w:r>
      <w:r>
        <w:rPr>
          <w:rStyle w:val="21"/>
          <w:rFonts w:hint="eastAsia" w:ascii="仿宋_GB2312" w:hAnsi="仿宋_GB2312" w:eastAsia="仿宋_GB2312" w:cs="仿宋_GB2312"/>
          <w:color w:val="auto"/>
          <w:spacing w:val="14"/>
        </w:rPr>
        <w:fldChar w:fldCharType="end"/>
      </w:r>
      <w:r>
        <w:rPr>
          <w:rFonts w:hint="eastAsia" w:ascii="仿宋_GB2312" w:hAnsi="仿宋_GB2312" w:eastAsia="仿宋_GB2312" w:cs="仿宋_GB2312"/>
          <w:spacing w:val="14"/>
          <w:szCs w:val="21"/>
        </w:rPr>
        <w:t>）首页“文件下载”栏。</w:t>
      </w:r>
    </w:p>
    <w:p>
      <w:pPr>
        <w:rPr>
          <w:rFonts w:ascii="仿宋_GB2312" w:hAnsi="仿宋_GB2312" w:eastAsia="仿宋_GB2312" w:cs="仿宋_GB2312"/>
          <w:b/>
          <w:bCs/>
          <w:sz w:val="36"/>
          <w:szCs w:val="36"/>
        </w:rPr>
      </w:pPr>
    </w:p>
    <w:p>
      <w:pPr>
        <w:pStyle w:val="42"/>
        <w:ind w:firstLine="658"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洛阳市政府采购合同融资政策告知函</w:t>
      </w:r>
    </w:p>
    <w:p>
      <w:pPr>
        <w:pStyle w:val="42"/>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各供应商：</w:t>
      </w:r>
    </w:p>
    <w:p>
      <w:pPr>
        <w:pStyle w:val="42"/>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欢迎贵公司参与洛阳市政府采购活动！</w:t>
      </w:r>
    </w:p>
    <w:p>
      <w:pPr>
        <w:pStyle w:val="42"/>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政府采购合同融资是洛阳市财政局联合人民银行洛阳市中心支行支持中小微企业发展，针对参与政府采购活动的供应商融资难、融资贵问题在全市（包含各县区）推出的一项融资政策。贵公司若成为本次政府采购项目的中标（成交）供应商，可持政府采购合同向金融机构申请贷款，无需抵押、担保，金融机构将根据《洛阳市财政局、中国人民银行洛阳市中心支行关于印发深入推进政府采购合同融资工作实施方案》（洛财购【2021】4号）、按照双方自愿的原则提供便捷、优惠的贷款服务。贷款渠道和提供贷款的金融机构，可在河南省政府采购网“河南省政府采购合同融资平台”或洛阳市政府采购网“政府采购合同融资业务入口”查询联系。</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郑州银行股份有限公司洛阳分行政府采购融资贷</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联系方式及融资产品介绍</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一、联系方式：</w:t>
      </w:r>
    </w:p>
    <w:tbl>
      <w:tblPr>
        <w:tblStyle w:val="16"/>
        <w:tblW w:w="9418"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4"/>
        <w:gridCol w:w="2354"/>
        <w:gridCol w:w="235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355"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2355"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王剑</w:t>
            </w:r>
          </w:p>
        </w:tc>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主任</w:t>
            </w:r>
          </w:p>
        </w:tc>
        <w:tc>
          <w:tcPr>
            <w:tcW w:w="2355" w:type="dxa"/>
            <w:vMerge w:val="restart"/>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洛阳市洛龙区关林路与厚载门街交叉口隆安大厦</w:t>
            </w:r>
          </w:p>
        </w:tc>
        <w:tc>
          <w:tcPr>
            <w:tcW w:w="2355"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13838808890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杨洋</w:t>
            </w:r>
          </w:p>
        </w:tc>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业务负责人</w:t>
            </w:r>
          </w:p>
        </w:tc>
        <w:tc>
          <w:tcPr>
            <w:tcW w:w="2355" w:type="dxa"/>
            <w:vMerge w:val="continue"/>
            <w:vAlign w:val="center"/>
          </w:tcPr>
          <w:p>
            <w:pPr>
              <w:pStyle w:val="31"/>
              <w:jc w:val="center"/>
              <w:rPr>
                <w:rFonts w:ascii="仿宋_GB2312" w:hAnsi="仿宋_GB2312" w:eastAsia="仿宋_GB2312" w:cs="仿宋_GB2312"/>
                <w:sz w:val="24"/>
                <w:szCs w:val="24"/>
              </w:rPr>
            </w:pPr>
          </w:p>
        </w:tc>
        <w:tc>
          <w:tcPr>
            <w:tcW w:w="2355"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15896531927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周宜辉</w:t>
            </w:r>
          </w:p>
        </w:tc>
        <w:tc>
          <w:tcPr>
            <w:tcW w:w="2354"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客户经理</w:t>
            </w:r>
          </w:p>
        </w:tc>
        <w:tc>
          <w:tcPr>
            <w:tcW w:w="2355" w:type="dxa"/>
            <w:vMerge w:val="continue"/>
            <w:vAlign w:val="center"/>
          </w:tcPr>
          <w:p>
            <w:pPr>
              <w:pStyle w:val="31"/>
              <w:jc w:val="center"/>
              <w:rPr>
                <w:rFonts w:ascii="仿宋_GB2312" w:hAnsi="仿宋_GB2312" w:eastAsia="仿宋_GB2312" w:cs="仿宋_GB2312"/>
                <w:sz w:val="24"/>
                <w:szCs w:val="24"/>
              </w:rPr>
            </w:pPr>
          </w:p>
        </w:tc>
        <w:tc>
          <w:tcPr>
            <w:tcW w:w="2355" w:type="dxa"/>
            <w:vAlign w:val="center"/>
          </w:tcPr>
          <w:p>
            <w:pPr>
              <w:pStyle w:val="31"/>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15036316707</w:t>
            </w:r>
          </w:p>
        </w:tc>
      </w:tr>
    </w:tbl>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二、融资产品介绍：</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E采贷”是郑州银行作为参与政府采购的中小企业量身定制的用于政府采购合同履约，并以政府回款为还款来源的贷款产品。该产品主要解决政府采购商中标垫资的痛点，帮助中标企业快速、高效、便捷获取银行资金。告别采购融资难，政府中标即可贷。优先支持纳入省市级财政预算的服务贸易类行业企业。</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“E采贷”五大特点</w:t>
      </w:r>
      <w:r>
        <w:rPr>
          <w:rFonts w:hint="eastAsia" w:ascii="仿宋_GB2312" w:hAnsi="仿宋_GB2312" w:eastAsia="仿宋_GB2312" w:cs="仿宋_GB2312"/>
          <w:sz w:val="24"/>
          <w:szCs w:val="24"/>
        </w:rPr>
        <w:t>：1.纯信用：无需抵押、担保；2.更灵活：随借随还，按需支用；3.额度高：最高为上年度中标额的1.3倍，单笔最高1000万元；4.适用广：在河南省政府采购网（www.hngp.gov.cn）有备案信息即可准入；5.效率高：绿色通道，保证时效。</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业务流程</w:t>
      </w:r>
      <w:r>
        <w:rPr>
          <w:rFonts w:hint="eastAsia" w:ascii="仿宋_GB2312" w:hAnsi="仿宋_GB2312" w:eastAsia="仿宋_GB2312" w:cs="仿宋_GB2312"/>
          <w:sz w:val="24"/>
          <w:szCs w:val="24"/>
        </w:rPr>
        <w:t>：</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1.企业申请：凭政府采购中标通知书，向郑州银行提出授信申请。</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2.银行审批：客户经理现场调查，3个工作日反馈审批结果。</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3.企业提款：凭政府采购合同、购销合同等即可提款使用。</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利率及优惠政策</w:t>
      </w:r>
      <w:r>
        <w:rPr>
          <w:rFonts w:hint="eastAsia" w:ascii="仿宋_GB2312" w:hAnsi="仿宋_GB2312" w:eastAsia="仿宋_GB2312" w:cs="仿宋_GB2312"/>
          <w:sz w:val="24"/>
          <w:szCs w:val="24"/>
        </w:rPr>
        <w:t>：</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贸易类不低于5.5%，工程类不低于6.5%，对符合条件的小微企业实行减费让利政策，减少客户融资成本（不存在与贷款捆绑强制收费；只收费不服务；超范围、超标准收费；转嫁成本收费；不执行政府指导价、政府定价等提升企业贷款成本的现象）着力解决小微企业“融资难”、“融资贵”的问题帮助客户更好成长。分行所有收费项目均严格根据监管部门和总行要求执行，我行对银行账户一律免收账户管理费。</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中国银行股份有限公司河南省分行普惠金融</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政采通宝业务服务方案</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准入标准:</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1.持续经营2年（含）以上。</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2.客户持有政府采购中标通知书（或以往年度有执行政府采购的记录），且政府采购业务无行政处罚记录。</w:t>
      </w:r>
      <w:r>
        <w:rPr>
          <w:rFonts w:hint="eastAsia" w:ascii="仿宋_GB2312" w:hAnsi="仿宋_GB2312" w:eastAsia="仿宋_GB2312" w:cs="仿宋_GB2312"/>
          <w:sz w:val="24"/>
          <w:szCs w:val="24"/>
        </w:rPr>
        <w:cr/>
      </w:r>
      <w:r>
        <w:rPr>
          <w:rFonts w:hint="eastAsia" w:ascii="仿宋_GB2312" w:hAnsi="仿宋_GB2312" w:eastAsia="仿宋_GB2312" w:cs="仿宋_GB2312"/>
          <w:sz w:val="24"/>
          <w:szCs w:val="24"/>
        </w:rPr>
        <w:t xml:space="preserve">    3.最近年度纳税申报收入不低于200万元。   </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4.借款人及其法人代表、实际控制人信用良好。</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5、单一客户“政采贷”授信总量最高金额不超过1000万元</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6、单笔贷款期限不超过一年。</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7、根据借款人生产经营及回款周期等特点，可采用按季付息，到期一次还本的还款方式，或分期偿还我行授信。</w:t>
      </w:r>
    </w:p>
    <w:p>
      <w:pPr>
        <w:pStyle w:val="31"/>
        <w:ind w:firstLine="418" w:firstLineChars="20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中国银行联系人：</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负责人：朱宗沛  15978695077</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信贷经理：印晨  15038659275</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平顶山银行洛阳分行</w:t>
      </w:r>
    </w:p>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政府采购融资联系方式及产品介绍</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一、联系方式</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机构名称：平顶山银行洛阳分行</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联系人：刘亚兴</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联系电话：13837937717（微信同号）</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二、产品介绍</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“银政易贷”是指平顶山银行针对中标政府采购合同的企业实际控制人发放的，专项用于履行政府采购合同的个人贷款业务。 </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1、目标客户：中标优质县区或区级（含）以上政府采购合同的企业实际控制人</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2、采购合同项目：包括货物类，服务类和工程类等</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3、贷款额度：最高500万元（含）    </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4、借款期限：不超过2年（参考中标合同约定付款期限）</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5、贷款利率：综合年利率不低于7%</w:t>
      </w:r>
    </w:p>
    <w:p>
      <w:pPr>
        <w:pStyle w:val="31"/>
        <w:ind w:firstLine="418" w:firstLineChars="200"/>
        <w:jc w:val="left"/>
        <w:rPr>
          <w:rFonts w:ascii="仿宋_GB2312" w:hAnsi="仿宋_GB2312" w:eastAsia="仿宋_GB2312" w:cs="仿宋_GB2312"/>
          <w:b/>
          <w:bCs/>
          <w:sz w:val="24"/>
          <w:szCs w:val="24"/>
        </w:rPr>
      </w:pPr>
      <w:r>
        <w:rPr>
          <w:rFonts w:hint="eastAsia" w:ascii="仿宋_GB2312" w:hAnsi="仿宋_GB2312" w:eastAsia="仿宋_GB2312" w:cs="仿宋_GB2312"/>
          <w:sz w:val="24"/>
          <w:szCs w:val="24"/>
        </w:rPr>
        <w:t>6、还款方式：按月付息，到期一次性还本或根据客户实际经营情况不规则还款</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恒丰银行政府采购融资贷联系方式</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及融资产品介绍</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一、联系方式</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890"/>
        <w:gridCol w:w="2104"/>
        <w:gridCol w:w="2346"/>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112"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124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647"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张龙妹</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客户经理</w:t>
            </w:r>
          </w:p>
        </w:tc>
        <w:tc>
          <w:tcPr>
            <w:tcW w:w="1112" w:type="pct"/>
            <w:vMerge w:val="restar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洛龙区展览路泉舜186西侧裙楼</w:t>
            </w:r>
          </w:p>
        </w:tc>
        <w:tc>
          <w:tcPr>
            <w:tcW w:w="124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18538882575</w:t>
            </w:r>
          </w:p>
        </w:tc>
        <w:tc>
          <w:tcPr>
            <w:tcW w:w="647" w:type="pct"/>
            <w:vAlign w:val="center"/>
          </w:tcPr>
          <w:p>
            <w:pPr>
              <w:pStyle w:val="31"/>
              <w:ind w:firstLine="418"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张  浩</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公司金融部负责人</w:t>
            </w:r>
          </w:p>
        </w:tc>
        <w:tc>
          <w:tcPr>
            <w:tcW w:w="1112" w:type="pct"/>
            <w:vMerge w:val="continue"/>
            <w:vAlign w:val="center"/>
          </w:tcPr>
          <w:p>
            <w:pPr>
              <w:pStyle w:val="31"/>
              <w:ind w:firstLine="418" w:firstLineChars="200"/>
              <w:jc w:val="center"/>
              <w:rPr>
                <w:rFonts w:ascii="仿宋_GB2312" w:hAnsi="仿宋_GB2312" w:eastAsia="仿宋_GB2312" w:cs="仿宋_GB2312"/>
                <w:sz w:val="24"/>
                <w:szCs w:val="24"/>
              </w:rPr>
            </w:pPr>
          </w:p>
        </w:tc>
        <w:tc>
          <w:tcPr>
            <w:tcW w:w="124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18937966885</w:t>
            </w:r>
          </w:p>
        </w:tc>
        <w:tc>
          <w:tcPr>
            <w:tcW w:w="647" w:type="pct"/>
            <w:vAlign w:val="center"/>
          </w:tcPr>
          <w:p>
            <w:pPr>
              <w:pStyle w:val="31"/>
              <w:ind w:firstLine="418" w:firstLineChars="2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裴绍辉</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分管行长</w:t>
            </w:r>
          </w:p>
        </w:tc>
        <w:tc>
          <w:tcPr>
            <w:tcW w:w="1112" w:type="pct"/>
            <w:vMerge w:val="continue"/>
            <w:vAlign w:val="center"/>
          </w:tcPr>
          <w:p>
            <w:pPr>
              <w:pStyle w:val="31"/>
              <w:ind w:firstLine="418" w:firstLineChars="200"/>
              <w:jc w:val="center"/>
              <w:rPr>
                <w:rFonts w:ascii="仿宋_GB2312" w:hAnsi="仿宋_GB2312" w:eastAsia="仿宋_GB2312" w:cs="仿宋_GB2312"/>
                <w:sz w:val="24"/>
                <w:szCs w:val="24"/>
              </w:rPr>
            </w:pPr>
          </w:p>
        </w:tc>
        <w:tc>
          <w:tcPr>
            <w:tcW w:w="124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18637904888</w:t>
            </w:r>
          </w:p>
        </w:tc>
        <w:tc>
          <w:tcPr>
            <w:tcW w:w="647" w:type="pct"/>
            <w:vAlign w:val="center"/>
          </w:tcPr>
          <w:p>
            <w:pPr>
              <w:pStyle w:val="31"/>
              <w:ind w:firstLine="418" w:firstLineChars="200"/>
              <w:jc w:val="center"/>
              <w:rPr>
                <w:rFonts w:ascii="仿宋_GB2312" w:hAnsi="仿宋_GB2312" w:eastAsia="仿宋_GB2312" w:cs="仿宋_GB2312"/>
                <w:sz w:val="24"/>
                <w:szCs w:val="24"/>
              </w:rPr>
            </w:pPr>
          </w:p>
        </w:tc>
      </w:tr>
    </w:tbl>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二、融资产品介绍</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1.恒丰银行“政采云贷”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针对政府采购项目中标小微客户在线发放用于采购项目（不包括工程项目）资金周转需要的流动资金贷款。</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担保方式：免抵押、无担保，开立指定回款账户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授信额度：单户授信最高不超过1000万元</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授信期限：不超过一年，贷款到期日不晚于政府中标合同约定款日后的十个工作日</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还款方式：按月付息，到期还本或阶段性还款</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2.准入标准</w:t>
      </w:r>
    </w:p>
    <w:p>
      <w:pPr>
        <w:pStyle w:val="31"/>
        <w:ind w:firstLine="418"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（1）企业成立一年以上，有洛阳市固定经营场所；企业实际控制人有两年以上行业从业经验。</w:t>
      </w:r>
    </w:p>
    <w:p>
      <w:pPr>
        <w:pStyle w:val="31"/>
        <w:ind w:firstLine="418"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（2）企业及其实际控制人信誉良好，合法经营，无不良记录，无恶意违约记录。</w:t>
      </w:r>
    </w:p>
    <w:p>
      <w:pPr>
        <w:pStyle w:val="31"/>
        <w:ind w:firstLine="418"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（3）我行信用评级结果在B3三级以上。</w:t>
      </w:r>
    </w:p>
    <w:p>
      <w:pPr>
        <w:pStyle w:val="31"/>
        <w:ind w:firstLine="418"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（4）</w:t>
      </w:r>
      <w:r>
        <w:rPr>
          <w:rFonts w:hint="eastAsia" w:ascii="仿宋_GB2312" w:hAnsi="仿宋_GB2312" w:eastAsia="仿宋_GB2312" w:cs="仿宋_GB2312"/>
          <w:sz w:val="24"/>
          <w:szCs w:val="24"/>
        </w:rPr>
        <w:t>企业名下现有贷款合计不超过上年度总收入的45%。</w:t>
      </w:r>
    </w:p>
    <w:p>
      <w:pPr>
        <w:pStyle w:val="31"/>
        <w:ind w:firstLine="418" w:firstLineChars="200"/>
        <w:jc w:val="left"/>
        <w:rPr>
          <w:rFonts w:ascii="仿宋_GB2312" w:hAnsi="仿宋_GB2312" w:eastAsia="仿宋_GB2312" w:cs="仿宋_GB2312"/>
          <w:b/>
          <w:bCs/>
          <w:sz w:val="24"/>
          <w:szCs w:val="24"/>
        </w:rPr>
      </w:pPr>
      <w:r>
        <w:rPr>
          <w:rFonts w:hint="eastAsia" w:ascii="仿宋_GB2312" w:hAnsi="仿宋_GB2312" w:eastAsia="仿宋_GB2312" w:cs="仿宋_GB2312"/>
          <w:sz w:val="24"/>
          <w:szCs w:val="24"/>
        </w:rPr>
        <w:t>（5）近两年有两次含以上政府中标记录，且供货履约情况良好。</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兴业银行洛阳分行</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政府采购融资联系方式及产品介绍</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分管领导：樊博（副行长、18638805299）；信贷经理：尚梅（市场营销部负责人、15538855595）；具体联系人：张海峰（产品经理、18603794400）</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产品介绍</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授信额度：最高不超过500万元（含）。</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期限：主体授信额度有效期不超过1年</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利率：自动生成贷款利率。</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用途：贷款资金专项用于借款企业履行政府交易采购平台采购合同或订单所需的各类成本、费用及劳务支出等短期流动资金需求和日常经营周转需要。</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担保方式：企业主个人提供连带责任保证，追加采购合同或订单对应的应收账款质押。</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支付方式：采用受托支付方式</w:t>
      </w:r>
    </w:p>
    <w:p>
      <w:pPr>
        <w:pStyle w:val="31"/>
        <w:numPr>
          <w:ilvl w:val="0"/>
          <w:numId w:val="3"/>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还款方式：按月付息，本金可结合采购合同或订单情况及实际资金需求循环使用，采购合同或订单项下回款由系统自动扣划归还对应的贷款本息，借款企业也可自助提前还款。</w:t>
      </w:r>
    </w:p>
    <w:p>
      <w:pPr>
        <w:pStyle w:val="31"/>
        <w:ind w:firstLine="418" w:firstLineChars="20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工商银行洛阳分行“政采贷”产品</w:t>
      </w:r>
    </w:p>
    <w:p>
      <w:pPr>
        <w:pStyle w:val="31"/>
        <w:widowControl/>
        <w:ind w:firstLine="418" w:firstLineChars="20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工商银行“政采贷”简介：</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“政采贷”是工行与政府采购数据进行系统对接，根据获取包括但不限于供应商中标、采购合同、收验货、付款以及历史交易数据等信息，为政府供应商提供的融资贷款金融服务。</w:t>
      </w:r>
    </w:p>
    <w:p>
      <w:pPr>
        <w:pStyle w:val="31"/>
        <w:widowControl/>
        <w:numPr>
          <w:ilvl w:val="0"/>
          <w:numId w:val="4"/>
        </w:numPr>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适用范围：供应商目前仅限于小微企业，后续将结合市场需要，适时拓展至大中型企业。</w:t>
      </w:r>
    </w:p>
    <w:p>
      <w:pPr>
        <w:pStyle w:val="31"/>
        <w:widowControl/>
        <w:numPr>
          <w:ilvl w:val="0"/>
          <w:numId w:val="4"/>
        </w:numPr>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融资额度：供应商融资最高不超过订单金额70%。</w:t>
      </w:r>
    </w:p>
    <w:p>
      <w:pPr>
        <w:pStyle w:val="31"/>
        <w:widowControl/>
        <w:numPr>
          <w:ilvl w:val="0"/>
          <w:numId w:val="4"/>
        </w:numPr>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贷款期限：根据政府采购合同等内容确定贷款期限，最长可以5年。</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4、贷款利率：融资利率参考最近市场利率（LPR）合理确定。</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办理手续：供应商与工行取得联系，开立账户，开通网上银行。与工行经办人员线下沟通确定融资金额，通过工行网上银行自助申请贷款金额。工行进行贷款指令确定，贷款线上发放至供应商工行账户。</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分管领导：李亚琼：16603797557</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李若明：13233995266</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信贷经理：朱建国：13653893229</w:t>
      </w:r>
    </w:p>
    <w:p>
      <w:pPr>
        <w:pStyle w:val="31"/>
        <w:widowControl/>
        <w:ind w:firstLine="418" w:firstLineChars="200"/>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 xml:space="preserve">          张佩兰：15603799799</w:t>
      </w:r>
    </w:p>
    <w:p>
      <w:pPr>
        <w:pStyle w:val="31"/>
        <w:ind w:firstLine="418" w:firstLineChars="20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平安银行“政采E贷”产品介绍</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平安银行“政采E贷”是平安银行与采购中心对接后，基于互联网技术、政府采购数据等信息，为中标政府采购项目的企业提供的互联网信用贷款。</w:t>
      </w:r>
    </w:p>
    <w:p>
      <w:pPr>
        <w:pStyle w:val="31"/>
        <w:ind w:firstLine="418"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产品优势：</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1、额度高：线上最高500万元。</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2、申请易：5分钟完成线上申请。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3、用款快：凭订单最快1天生效。</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4、纯信用：凭政府中标订单即可融资。</w:t>
      </w:r>
    </w:p>
    <w:p>
      <w:pPr>
        <w:pStyle w:val="31"/>
        <w:ind w:firstLine="418"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产品申请资格： </w:t>
      </w:r>
    </w:p>
    <w:p>
      <w:pPr>
        <w:pStyle w:val="31"/>
        <w:numPr>
          <w:ilvl w:val="0"/>
          <w:numId w:val="5"/>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我行白名单财政项下的政府采购项目融资。</w:t>
      </w:r>
    </w:p>
    <w:p>
      <w:pPr>
        <w:pStyle w:val="31"/>
        <w:numPr>
          <w:ilvl w:val="0"/>
          <w:numId w:val="5"/>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有历史中标采购记录的政府采购供应商。</w:t>
      </w:r>
    </w:p>
    <w:p>
      <w:pPr>
        <w:pStyle w:val="31"/>
        <w:numPr>
          <w:ilvl w:val="0"/>
          <w:numId w:val="5"/>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企业及申请人信用良好。</w:t>
      </w:r>
    </w:p>
    <w:p>
      <w:pPr>
        <w:pStyle w:val="31"/>
        <w:ind w:firstLine="418"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期限、利率和还款方式： </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期限：1个月到1年。</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还款方式 ：先息后本、等额本息、等额本金。</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利率：年化利率低至6% 。</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举例1：</w:t>
      </w:r>
      <w:r>
        <w:rPr>
          <w:rFonts w:hint="eastAsia" w:ascii="仿宋_GB2312" w:hAnsi="仿宋_GB2312" w:eastAsia="仿宋_GB2312" w:cs="仿宋_GB2312"/>
          <w:sz w:val="24"/>
          <w:szCs w:val="24"/>
        </w:rPr>
        <w:t>贷款100万元，3个月（先息后本，利率6%），前两个月需要支付利息5000元/月，到期还本付息。</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举例2：</w:t>
      </w:r>
      <w:r>
        <w:rPr>
          <w:rFonts w:hint="eastAsia" w:ascii="仿宋_GB2312" w:hAnsi="仿宋_GB2312" w:eastAsia="仿宋_GB2312" w:cs="仿宋_GB2312"/>
          <w:sz w:val="24"/>
          <w:szCs w:val="24"/>
        </w:rPr>
        <w:t>贷款100万元，1年期限（等额本息，利率6%），每个月需要支付本息约86035元。</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平安银行洛阳分行联系人：</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总经理：    王煜    13523601120</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业务经理：  许洛周  13938876588</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业务负责人：许洛周  13938876588</w:t>
      </w:r>
    </w:p>
    <w:p>
      <w:pPr>
        <w:pStyle w:val="31"/>
        <w:ind w:firstLine="418" w:firstLineChars="200"/>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浙商银行“政采贷”</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一、贷款产品介绍</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政采贷”是本行为在政府机关、事业单位、社会团体、国有企业等招标进行的采购活动中中标并签订采购合同的小微企业发放的，以采购人合同款支付作为还款来源的流动资金贷款。借款人为符合本行标准的小型、微型企业。融资模式包括采购合同融资模式与应收账款融资模式。采购项目包括货物类、服务类和部分工程类。</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二、适用对象                            </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连续经营 2 年及以上或实际控制人有 3 年及以上相关行业从业经验经营状况良好，信用记录良好小微企业。</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三、贷款期限</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贷款期限：货物类、服务类利率最长一年，工程类最长可做三年。</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四、产品特点</w:t>
      </w:r>
    </w:p>
    <w:p>
      <w:pPr>
        <w:pStyle w:val="47"/>
        <w:spacing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中标即贷，最高可贷1000万，最快三天审批放款，可做工程类项目。</w:t>
      </w:r>
    </w:p>
    <w:p>
      <w:pPr>
        <w:pStyle w:val="47"/>
        <w:spacing w:line="240" w:lineRule="auto"/>
        <w:ind w:firstLine="419"/>
        <w:rPr>
          <w:rFonts w:ascii="仿宋_GB2312" w:hAnsi="仿宋_GB2312" w:eastAsia="仿宋_GB2312" w:cs="仿宋_GB2312"/>
          <w:sz w:val="24"/>
          <w:szCs w:val="24"/>
        </w:rPr>
      </w:pPr>
      <w:r>
        <w:rPr>
          <w:rFonts w:hint="eastAsia" w:ascii="仿宋_GB2312" w:hAnsi="仿宋_GB2312" w:eastAsia="仿宋_GB2312" w:cs="仿宋_GB2312"/>
          <w:b/>
          <w:sz w:val="24"/>
          <w:szCs w:val="24"/>
        </w:rPr>
        <w:t xml:space="preserve">分管领导：张庆浩   联系电话： 18538198600  </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信贷经理：郭利波   联系电话：15937918530    具体负责人：李超峰  联系电话：15538530</w:t>
      </w:r>
    </w:p>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广发银行“政采贷”</w:t>
      </w:r>
    </w:p>
    <w:p>
      <w:pPr>
        <w:pStyle w:val="31"/>
        <w:numPr>
          <w:ilvl w:val="0"/>
          <w:numId w:val="6"/>
        </w:numPr>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广发银行“政采贷”</w:t>
      </w:r>
    </w:p>
    <w:p>
      <w:pPr>
        <w:pStyle w:val="31"/>
        <w:numPr>
          <w:ilvl w:val="0"/>
          <w:numId w:val="7"/>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对象：针对政府采购平台内资信情况良好、经营正常的中小微企业供应商提供原材料购买、组织生产、货物运输等流动资金授信服务。</w:t>
      </w:r>
    </w:p>
    <w:p>
      <w:pPr>
        <w:pStyle w:val="31"/>
        <w:numPr>
          <w:ilvl w:val="0"/>
          <w:numId w:val="7"/>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担保方式：以政府采购项目下的应收账款质押；企业实际控制人及主要个人股东提供连带责任保证担保</w:t>
      </w:r>
    </w:p>
    <w:p>
      <w:pPr>
        <w:pStyle w:val="31"/>
        <w:numPr>
          <w:ilvl w:val="0"/>
          <w:numId w:val="7"/>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授信额度：单户敞口授信额度不超过1000万元；单笔采购项目融资不超过有效合同净额的90%</w:t>
      </w:r>
    </w:p>
    <w:p>
      <w:pPr>
        <w:pStyle w:val="31"/>
        <w:numPr>
          <w:ilvl w:val="0"/>
          <w:numId w:val="7"/>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授信期限：额度有效期一年，授信期限不超过一年且不得超过额度到期日后3个月，不超过采购项目合同约定的最迟付款日后3个月</w:t>
      </w:r>
    </w:p>
    <w:p>
      <w:pPr>
        <w:pStyle w:val="31"/>
        <w:numPr>
          <w:ilvl w:val="0"/>
          <w:numId w:val="7"/>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还款方式：按月付息，可根据单笔业务实际付款频率和时间点进行还款，不得采取随借随还出账模式，还款方式应与政府采购合同约定的应收账款金额、账期等相匹配。</w:t>
      </w:r>
    </w:p>
    <w:p>
      <w:pPr>
        <w:pStyle w:val="31"/>
        <w:numPr>
          <w:ilvl w:val="0"/>
          <w:numId w:val="6"/>
        </w:numPr>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准入标准</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企业成立且持续经营满3年以上，主营业务未有变化，有固定经营场所，且注册地在当地</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政府采购历史超过一年或进入政府采购供应商名单时间超过一年，实际履约不低于一次</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近两年销售收入保持正增长或主营业务利润为正</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资产负债率不超过70%</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在我行评价不低于BB+级</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企业主（含实际控制人、主要股东或配偶）拥有本地户口或房产</w:t>
      </w:r>
    </w:p>
    <w:p>
      <w:pPr>
        <w:pStyle w:val="31"/>
        <w:numPr>
          <w:ilvl w:val="0"/>
          <w:numId w:val="8"/>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不得介入在金融机构有未结清（互）保类授信（含实际控制人夫妇个人经营性贷款）的企业</w:t>
      </w:r>
    </w:p>
    <w:p>
      <w:pPr>
        <w:pStyle w:val="31"/>
        <w:numPr>
          <w:ilvl w:val="0"/>
          <w:numId w:val="6"/>
        </w:numPr>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授信用途</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授信仅限于借款人自身在具体合同项下的原材料采购、组织生产、货物运输等劳动资金需求，不得挪用于担保企业、借款人关联企业、借款人固定资产建设和股本权益类投资</w:t>
      </w:r>
    </w:p>
    <w:p>
      <w:pPr>
        <w:pStyle w:val="31"/>
        <w:numPr>
          <w:ilvl w:val="0"/>
          <w:numId w:val="6"/>
        </w:numPr>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业务流程</w:t>
      </w:r>
    </w:p>
    <w:p>
      <w:pPr>
        <w:pStyle w:val="31"/>
        <w:numPr>
          <w:ilvl w:val="0"/>
          <w:numId w:val="9"/>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业务访谈，确定贸易真实性</w:t>
      </w:r>
    </w:p>
    <w:p>
      <w:pPr>
        <w:pStyle w:val="31"/>
        <w:numPr>
          <w:ilvl w:val="0"/>
          <w:numId w:val="9"/>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授信申请，企业按照我行授信调查的相关规定提供申请资料</w:t>
      </w:r>
    </w:p>
    <w:p>
      <w:pPr>
        <w:pStyle w:val="31"/>
        <w:numPr>
          <w:ilvl w:val="0"/>
          <w:numId w:val="9"/>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授信调查与额度核定，客户经理双人调查，发起客户评级，并按流程提交审批</w:t>
      </w:r>
    </w:p>
    <w:p>
      <w:pPr>
        <w:pStyle w:val="31"/>
        <w:numPr>
          <w:ilvl w:val="0"/>
          <w:numId w:val="9"/>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授信审查审批</w:t>
      </w:r>
    </w:p>
    <w:p>
      <w:pPr>
        <w:pStyle w:val="31"/>
        <w:numPr>
          <w:ilvl w:val="0"/>
          <w:numId w:val="9"/>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按照要求出账</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主管行长：      李文强  18137865269</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具体负责人：    何俊杰  13838894026</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信贷经理：      姜晓凤  15103799119</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中信银行洛阳分行”政采贷”</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一、产品释义</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“政采贷”是中信银行为政府采购中标小微企业提供的特色融资业务，致力于解决政府采购上游供应商的融资难题。</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二、产品特点</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授信额度高、授信期限长、担保方式活</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三、产品内容</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金额最高1000万元（含）、贷款期限最长1年（含）、无需抵质押物</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四、申请基本条件</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有固定的经营场所</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信用记录良好，无不良、违法行为；</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持续经营6个月（含）以上或实际控制人从业2年以上</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从事政府采购活动1年以上；</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具备政府采购投标资格且交易记录良好</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采购项目符合国家产业政策和资源环保政策要求</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五、申请资料</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营业执照；实际控制人身份证件；经营情况资料；从事政府采购活动资料；近一年政府采购回款的银行流水</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
          <w:kern w:val="0"/>
          <w:sz w:val="24"/>
          <w:szCs w:val="24"/>
          <w:lang w:bidi="ar"/>
        </w:rPr>
        <w:t>中信银行洛阳分行”政采贷”联系人：</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高晋卿   洛阳分行副行长 18637127868</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闫恺      洛阳分行普惠金融部总经理 15837959999</w:t>
      </w:r>
    </w:p>
    <w:p>
      <w:pPr>
        <w:pStyle w:val="31"/>
        <w:widowControl/>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陈幽静   洛阳分行普惠金融部信贷经理  15838817353</w:t>
      </w:r>
    </w:p>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洛阳银行“政采贷”</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（一）资料清单</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1、借款人依法成立并有效存续的相关材料；</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2、经政府采购项目中标的证明材料；</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3、以往参加政府采购项目的履约情况；</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  4、其他洛阳银行认为需要提供的资料。</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（二）授信要素</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1、贷款额度：</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原则上不超过政府采购合同金额的70%。</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2、期限与还款方式：</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与政府采购合同中约定的结算周期、付款方式等相匹配。</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3、担保方式：</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法定代表人、实际控制人提供连带责任保证，放款前完成应收账款质押登记手续。</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（三）联系方式</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分管领导：陈经理 15837979663</w:t>
      </w:r>
    </w:p>
    <w:p>
      <w:pPr>
        <w:pStyle w:val="31"/>
        <w:widowControl/>
        <w:ind w:firstLine="418" w:firstLineChars="200"/>
        <w:jc w:val="left"/>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信贷经理、具体负责人：任经理 18738439998</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邮储银行政采贷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贷款对象：</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1.已获得省本级政府采购中标通知，具备履约能力；</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2.企业在政府采购活动中与政府采购合作1年（含）以上；</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3.在邮储银行开立回款专用账户。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贷款要素：</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1.纯信用；</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2.额度高：可贷合同标的额70%，最高额度300万；</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3.方便用：可一次性或分期还款</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联系人：王玉辉    职  务： 总经理</w:t>
      </w:r>
    </w:p>
    <w:p>
      <w:pPr>
        <w:pStyle w:val="31"/>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sz w:val="24"/>
          <w:szCs w:val="24"/>
        </w:rPr>
        <w:t>电  话：13598159333</w:t>
      </w:r>
    </w:p>
    <w:p>
      <w:pPr>
        <w:pStyle w:val="31"/>
        <w:ind w:firstLine="418" w:firstLineChars="200"/>
        <w:jc w:val="center"/>
        <w:rPr>
          <w:rFonts w:ascii="仿宋_GB2312" w:hAnsi="仿宋_GB2312" w:eastAsia="仿宋_GB2312" w:cs="仿宋_GB2312"/>
          <w:kern w:val="0"/>
          <w:sz w:val="24"/>
          <w:szCs w:val="24"/>
          <w:lang w:bidi="ar"/>
        </w:rPr>
      </w:pPr>
      <w:r>
        <w:rPr>
          <w:rFonts w:hint="eastAsia" w:ascii="仿宋_GB2312" w:hAnsi="仿宋_GB2312" w:eastAsia="仿宋_GB2312" w:cs="仿宋_GB2312"/>
          <w:b/>
          <w:bCs/>
          <w:sz w:val="24"/>
          <w:szCs w:val="24"/>
        </w:rPr>
        <w:t>光大银行政采贷融资产品“政采易”</w:t>
      </w:r>
    </w:p>
    <w:p>
      <w:pPr>
        <w:pStyle w:val="33"/>
        <w:spacing w:beforeAutospacing="0" w:afterAutospacing="0" w:line="240" w:lineRule="auto"/>
        <w:ind w:firstLine="418"/>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该业务单户授信金额在3000万元（含）以下，授信期限不超过合同约定付款日期后两个月且最长不超过3年。</w:t>
      </w:r>
    </w:p>
    <w:p>
      <w:pPr>
        <w:pStyle w:val="31"/>
        <w:ind w:firstLine="418" w:firstLineChars="200"/>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中标供应商准入条件：</w:t>
      </w:r>
    </w:p>
    <w:p>
      <w:pPr>
        <w:pStyle w:val="33"/>
        <w:spacing w:beforeAutospacing="0" w:afterAutospacing="0" w:line="240" w:lineRule="auto"/>
        <w:ind w:firstLine="418"/>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（一）具有独立承担民事责任的能力,有固定的经营场所；（二）企业成立2（含）年以上，且实际控制人有3年以上实际行业经验，具有良好的纳税记录、工商登记记录；</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（三）企业具有履行合同所必需的设备和服务能力；</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（四）生产经营符合国家法律法规、产业政策和环境保护要求，符合我行信贷政策；</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（五）人行征信信息查询系统查询显示企业法人、法定代表人、主要经营者无重大不良记录；政府采购履约行为无不良记录；</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（六）中标供应商在我行信用评级应在B-级（含）以上，或单户授信敞口500万元以下客户适用《小额融易贷（结算类）业务打分卡》得分须不低于60分；</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（七）企业/企业法定代表人不在我行预警黑灰名单内；</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（八）我行要求的其他条件。</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联方式：分管领导 ：王慧18837902280</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信贷经理：刘勇 18837995809</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具体负责人：营业部：刘天倚18569936044；王城路支行：张喆18637129167；西苑路支行：董继华18569935827；</w:t>
      </w:r>
    </w:p>
    <w:p>
      <w:pPr>
        <w:pStyle w:val="31"/>
        <w:ind w:firstLine="418" w:firstLineChars="200"/>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英才路支行：刘莎18569935682；珠江路支行：李相峰18569936389；华阳支行：张刚18624850206</w:t>
      </w:r>
    </w:p>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中原银行洛阳分行“政采贷”产品简介</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一、融资机构基本情况及联系人联系电话</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1.融资入口：</w:t>
      </w:r>
    </w:p>
    <w:p>
      <w:pPr>
        <w:pStyle w:val="31"/>
        <w:ind w:firstLine="358" w:firstLineChars="200"/>
        <w:rPr>
          <w:rFonts w:ascii="仿宋_GB2312" w:hAnsi="仿宋_GB2312" w:eastAsia="仿宋_GB2312" w:cs="仿宋_GB2312"/>
          <w:sz w:val="24"/>
          <w:szCs w:val="24"/>
        </w:rPr>
      </w:pPr>
      <w:r>
        <w:fldChar w:fldCharType="begin"/>
      </w:r>
      <w:r>
        <w:instrText xml:space="preserve"> HYPERLINK "http://www.zybank.com.cn/zyyh/gsyw55/xqyjr/xqyzcd/382690/index.html" </w:instrText>
      </w:r>
      <w:r>
        <w:fldChar w:fldCharType="separate"/>
      </w:r>
      <w:r>
        <w:rPr>
          <w:rStyle w:val="48"/>
          <w:rFonts w:hint="eastAsia" w:ascii="仿宋_GB2312" w:hAnsi="仿宋_GB2312" w:eastAsia="仿宋_GB2312" w:cs="仿宋_GB2312"/>
          <w:color w:val="auto"/>
          <w:sz w:val="24"/>
          <w:szCs w:val="24"/>
        </w:rPr>
        <w:t>http://www.zybank.com.cn/zyyh/gsyw55/xqyjr/xqyzcd/382690/index.html</w:t>
      </w:r>
      <w:r>
        <w:rPr>
          <w:rStyle w:val="48"/>
          <w:rFonts w:hint="eastAsia" w:ascii="仿宋_GB2312" w:hAnsi="仿宋_GB2312" w:eastAsia="仿宋_GB2312" w:cs="仿宋_GB2312"/>
          <w:color w:val="auto"/>
          <w:sz w:val="24"/>
          <w:szCs w:val="24"/>
        </w:rPr>
        <w:fldChar w:fldCharType="end"/>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2.融资机构业务人员信息列表：</w:t>
      </w:r>
    </w:p>
    <w:tbl>
      <w:tblPr>
        <w:tblStyle w:val="1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
        <w:gridCol w:w="2010"/>
        <w:gridCol w:w="2188"/>
        <w:gridCol w:w="4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atLeast"/>
        </w:trPr>
        <w:tc>
          <w:tcPr>
            <w:tcW w:w="506"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06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业务联系人</w:t>
            </w:r>
          </w:p>
        </w:tc>
        <w:tc>
          <w:tcPr>
            <w:tcW w:w="1157"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联系方式</w:t>
            </w:r>
          </w:p>
        </w:tc>
        <w:tc>
          <w:tcPr>
            <w:tcW w:w="227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06"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06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岳恒志</w:t>
            </w:r>
          </w:p>
        </w:tc>
        <w:tc>
          <w:tcPr>
            <w:tcW w:w="1157"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17737799828</w:t>
            </w:r>
          </w:p>
        </w:tc>
        <w:tc>
          <w:tcPr>
            <w:tcW w:w="227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洛阳市洛龙区长兴街66号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506"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06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许然涛</w:t>
            </w:r>
          </w:p>
        </w:tc>
        <w:tc>
          <w:tcPr>
            <w:tcW w:w="1157"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19903896628</w:t>
            </w:r>
          </w:p>
        </w:tc>
        <w:tc>
          <w:tcPr>
            <w:tcW w:w="227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洛阳市洛龙区长兴街66号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506"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06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柴碧林</w:t>
            </w:r>
          </w:p>
        </w:tc>
        <w:tc>
          <w:tcPr>
            <w:tcW w:w="1157"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13271555838</w:t>
            </w:r>
          </w:p>
        </w:tc>
        <w:tc>
          <w:tcPr>
            <w:tcW w:w="2273" w:type="pct"/>
            <w:vAlign w:val="center"/>
          </w:tcPr>
          <w:p>
            <w:pPr>
              <w:pStyle w:val="31"/>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洛阳市洛龙区长兴街66号</w:t>
            </w:r>
          </w:p>
        </w:tc>
      </w:tr>
    </w:tbl>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二、融资流程及各环节办结时间</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客户通过“中原银行公司金融公众号”、“中原银行小微金融公众号”或“中原银行官方网站”等渠道申请即可办理。对于申报资料齐全，符合标准的业务，5个工作日即可完成审查审批。</w:t>
      </w:r>
    </w:p>
    <w:p>
      <w:pPr>
        <w:pStyle w:val="49"/>
        <w:ind w:firstLine="418" w:firstLineChars="200"/>
        <w:jc w:val="center"/>
        <w:rPr>
          <w:rFonts w:ascii="仿宋_GB2312" w:hAnsi="仿宋_GB2312" w:eastAsia="仿宋_GB2312" w:cs="仿宋_GB2312"/>
          <w:b/>
          <w:bCs/>
          <w:color w:val="auto"/>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建设银行政府采购合同融资</w:t>
      </w:r>
    </w:p>
    <w:p>
      <w:pPr>
        <w:pStyle w:val="49"/>
        <w:ind w:firstLine="418" w:firstLineChars="200"/>
        <w:jc w:val="center"/>
        <w:rPr>
          <w:rFonts w:ascii="仿宋_GB2312" w:hAnsi="仿宋_GB2312" w:eastAsia="仿宋_GB2312" w:cs="仿宋_GB2312"/>
          <w:b/>
          <w:color w:val="auto"/>
          <w:sz w:val="24"/>
          <w:szCs w:val="24"/>
          <w:lang w:eastAsia="zh-CN"/>
        </w:rPr>
      </w:pPr>
      <w:r>
        <w:rPr>
          <w:rFonts w:hint="eastAsia" w:ascii="仿宋_GB2312" w:hAnsi="仿宋_GB2312" w:eastAsia="仿宋_GB2312" w:cs="仿宋_GB2312"/>
          <w:b/>
          <w:bCs/>
          <w:color w:val="auto"/>
          <w:kern w:val="2"/>
          <w:sz w:val="24"/>
          <w:szCs w:val="24"/>
          <w:lang w:val="en-US" w:eastAsia="zh-CN" w:bidi="ar-SA"/>
        </w:rPr>
        <w:t>产品介绍及联系方式</w:t>
      </w:r>
    </w:p>
    <w:p>
      <w:pPr>
        <w:pStyle w:val="31"/>
        <w:ind w:firstLine="418"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1、业务流程</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（1）采购人的采购资金纳入同级或以上政府财政预算。</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（2）供应商与政府采购部门签署采购合同。</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（3）采购合同在公开平台进行公示或者备案。</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（4）采购供应商依托采购合同，通过建行集团供应链平台申请融资。</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（5）建行核实贸易背景，按照采购合同金额的一定比例（考虑质押率）发放融资款项。</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（6）业务到期前，政府部门支付采购款项到建设银行指定的回款专户中。</w:t>
      </w:r>
    </w:p>
    <w:p>
      <w:pPr>
        <w:pStyle w:val="27"/>
        <w:ind w:firstLine="418" w:firstLineChars="200"/>
        <w:rPr>
          <w:rFonts w:ascii="仿宋_GB2312" w:hAnsi="仿宋_GB2312" w:eastAsia="仿宋_GB2312" w:cs="仿宋_GB2312"/>
          <w:b/>
          <w:color w:val="auto"/>
          <w:kern w:val="2"/>
        </w:rPr>
      </w:pPr>
      <w:r>
        <w:rPr>
          <w:rFonts w:hint="eastAsia" w:ascii="仿宋_GB2312" w:hAnsi="仿宋_GB2312" w:eastAsia="仿宋_GB2312" w:cs="仿宋_GB2312"/>
          <w:b/>
          <w:color w:val="auto"/>
          <w:kern w:val="2"/>
        </w:rPr>
        <w:t>2、产品优势</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（1）无抵押（依据政府采购合同及历史交易、履约信息作为授信依据）；</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（2）放款快（在线审批，快捷放款）；</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（3）额度高（单笔合同贷款金额最高3000万元）；</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（4）操作便捷（流程简捷，全线上化操作）；</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（5）还款灵活（支持多种还款付息方式，支持提前还款）；</w:t>
      </w:r>
    </w:p>
    <w:p>
      <w:pPr>
        <w:pStyle w:val="31"/>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3、借款人基本条件</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（1）供应商经工商行政管理机关（或主管机关）核准登记的企业法人或个体工商户，有固定经营场所，合法经营。</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（2）供应商未纳入</w:t>
      </w:r>
      <w:bookmarkStart w:id="84" w:name="_Hlk11443363"/>
      <w:r>
        <w:rPr>
          <w:rFonts w:hint="eastAsia" w:ascii="仿宋_GB2312" w:hAnsi="仿宋_GB2312" w:eastAsia="仿宋_GB2312" w:cs="仿宋_GB2312"/>
          <w:sz w:val="24"/>
          <w:szCs w:val="24"/>
        </w:rPr>
        <w:t>政府采购严重违法失信行为记录名单</w:t>
      </w:r>
      <w:bookmarkEnd w:id="84"/>
      <w:r>
        <w:rPr>
          <w:rFonts w:hint="eastAsia" w:ascii="仿宋_GB2312" w:hAnsi="仿宋_GB2312" w:eastAsia="仿宋_GB2312" w:cs="仿宋_GB2312"/>
          <w:sz w:val="24"/>
          <w:szCs w:val="24"/>
        </w:rPr>
        <w:t>。（3）不存在我行反洗钱客户身份识别管理制度规定的禁止准入情形或停止业务关系的情形。（4）供应商企业具有持续经营能力，信用记录良好，近2年在中国人民银行企业征信系统无不良信用记录。（5）供应商企业主个人信用记录良好，近2年在中国人民银行个人征信系统个人逾期或欠息在30天（含）以内的次数不超过2（含）次，且不存在逾期或欠息在30天以上的信用记录。（6）供应商与采购人具有长期稳定合作关系，原则上要有2次及以上的历史政府采购中标记录。（7）供应商及采购人为本地注册企业。（8）供应商成立一年以上。（9）供应商具有明确的还款来源和风险缓释措施。</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4、申请路径：</w:t>
      </w:r>
      <w:r>
        <w:rPr>
          <w:rFonts w:hint="eastAsia" w:ascii="仿宋_GB2312" w:hAnsi="仿宋_GB2312" w:eastAsia="仿宋_GB2312" w:cs="仿宋_GB2312"/>
          <w:sz w:val="24"/>
          <w:szCs w:val="24"/>
        </w:rPr>
        <w:t>建行集团供应链平台</w:t>
      </w:r>
    </w:p>
    <w:p>
      <w:pPr>
        <w:pStyle w:val="49"/>
        <w:ind w:firstLine="418" w:firstLineChars="200"/>
        <w:rPr>
          <w:rFonts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b/>
          <w:bCs/>
          <w:color w:val="auto"/>
          <w:sz w:val="24"/>
          <w:szCs w:val="24"/>
          <w:lang w:val="en-US" w:eastAsia="zh-CN" w:bidi="en-US"/>
        </w:rPr>
        <w:t>5、利率：</w:t>
      </w:r>
      <w:r>
        <w:rPr>
          <w:rFonts w:hint="eastAsia" w:ascii="仿宋_GB2312" w:hAnsi="仿宋_GB2312" w:eastAsia="仿宋_GB2312" w:cs="仿宋_GB2312"/>
          <w:color w:val="auto"/>
          <w:kern w:val="2"/>
          <w:sz w:val="24"/>
          <w:szCs w:val="24"/>
          <w:lang w:val="en-US" w:eastAsia="zh-CN" w:bidi="ar-SA"/>
        </w:rPr>
        <w:t>针对不同客户差别化定价，根据客户综合贡献度合理确定。</w:t>
      </w:r>
    </w:p>
    <w:p>
      <w:pPr>
        <w:pStyle w:val="49"/>
        <w:ind w:firstLine="418" w:firstLineChars="200"/>
        <w:rPr>
          <w:rFonts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b/>
          <w:bCs/>
          <w:color w:val="auto"/>
          <w:sz w:val="24"/>
          <w:szCs w:val="24"/>
          <w:lang w:val="en-US" w:eastAsia="zh-CN" w:bidi="en-US"/>
        </w:rPr>
        <w:t>6、联系方式：</w:t>
      </w:r>
      <w:r>
        <w:rPr>
          <w:rFonts w:hint="eastAsia" w:ascii="仿宋_GB2312" w:hAnsi="仿宋_GB2312" w:eastAsia="仿宋_GB2312" w:cs="仿宋_GB2312"/>
          <w:color w:val="auto"/>
          <w:kern w:val="2"/>
          <w:sz w:val="24"/>
          <w:szCs w:val="24"/>
          <w:lang w:val="en-US" w:eastAsia="zh-CN" w:bidi="ar-SA"/>
        </w:rPr>
        <w:t>分管领导：马顺超13693835688</w:t>
      </w:r>
    </w:p>
    <w:p>
      <w:pPr>
        <w:pStyle w:val="49"/>
        <w:ind w:firstLine="418" w:firstLineChars="200"/>
        <w:rPr>
          <w:rFonts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信贷经理：张翠荣13937942294</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招商银行政府采购融资贷联系方式及融资产品介绍</w:t>
      </w:r>
    </w:p>
    <w:p>
      <w:pPr>
        <w:pStyle w:val="50"/>
        <w:numPr>
          <w:ilvl w:val="0"/>
          <w:numId w:val="10"/>
        </w:numPr>
        <w:ind w:firstLine="419"/>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联系方式：</w:t>
      </w:r>
    </w:p>
    <w:tbl>
      <w:tblPr>
        <w:tblStyle w:val="16"/>
        <w:tblW w:w="4998" w:type="pct"/>
        <w:tblInd w:w="0" w:type="dxa"/>
        <w:tblLayout w:type="autofit"/>
        <w:tblCellMar>
          <w:top w:w="0" w:type="dxa"/>
          <w:left w:w="108" w:type="dxa"/>
          <w:bottom w:w="0" w:type="dxa"/>
          <w:right w:w="108" w:type="dxa"/>
        </w:tblCellMar>
      </w:tblPr>
      <w:tblGrid>
        <w:gridCol w:w="1401"/>
        <w:gridCol w:w="1909"/>
        <w:gridCol w:w="3416"/>
        <w:gridCol w:w="1882"/>
        <w:gridCol w:w="845"/>
      </w:tblGrid>
      <w:tr>
        <w:trPr>
          <w:trHeight w:val="270" w:hRule="atLeast"/>
        </w:trPr>
        <w:tc>
          <w:tcPr>
            <w:tcW w:w="744" w:type="pct"/>
            <w:tcBorders>
              <w:top w:val="single" w:color="auto" w:sz="4" w:space="0"/>
              <w:left w:val="single" w:color="auto" w:sz="4" w:space="0"/>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分管领导</w:t>
            </w:r>
          </w:p>
        </w:tc>
        <w:tc>
          <w:tcPr>
            <w:tcW w:w="1012" w:type="pct"/>
            <w:tcBorders>
              <w:top w:val="single" w:color="auto" w:sz="4" w:space="0"/>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职务</w:t>
            </w:r>
          </w:p>
        </w:tc>
        <w:tc>
          <w:tcPr>
            <w:tcW w:w="1809" w:type="pct"/>
            <w:tcBorders>
              <w:top w:val="single" w:color="auto" w:sz="4" w:space="0"/>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地址</w:t>
            </w:r>
          </w:p>
        </w:tc>
        <w:tc>
          <w:tcPr>
            <w:tcW w:w="998" w:type="pct"/>
            <w:tcBorders>
              <w:top w:val="single" w:color="auto" w:sz="4" w:space="0"/>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电话</w:t>
            </w:r>
          </w:p>
        </w:tc>
        <w:tc>
          <w:tcPr>
            <w:tcW w:w="434" w:type="pct"/>
            <w:tcBorders>
              <w:top w:val="single" w:color="auto" w:sz="4" w:space="0"/>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CellMar>
            <w:top w:w="0" w:type="dxa"/>
            <w:left w:w="108" w:type="dxa"/>
            <w:bottom w:w="0" w:type="dxa"/>
            <w:right w:w="108" w:type="dxa"/>
          </w:tblCellMar>
        </w:tblPrEx>
        <w:trPr>
          <w:trHeight w:val="270" w:hRule="atLeast"/>
        </w:trPr>
        <w:tc>
          <w:tcPr>
            <w:tcW w:w="744" w:type="pct"/>
            <w:tcBorders>
              <w:top w:val="nil"/>
              <w:left w:val="single" w:color="auto" w:sz="4" w:space="0"/>
              <w:bottom w:val="nil"/>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彭国庆</w:t>
            </w:r>
          </w:p>
        </w:tc>
        <w:tc>
          <w:tcPr>
            <w:tcW w:w="1012" w:type="pct"/>
            <w:tcBorders>
              <w:top w:val="nil"/>
              <w:left w:val="nil"/>
              <w:bottom w:val="nil"/>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公司业务分管行长</w:t>
            </w:r>
          </w:p>
        </w:tc>
        <w:tc>
          <w:tcPr>
            <w:tcW w:w="1809" w:type="pct"/>
            <w:tcBorders>
              <w:top w:val="nil"/>
              <w:left w:val="nil"/>
              <w:bottom w:val="nil"/>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洛阳市涧西区南昌路7号西苑大厦</w:t>
            </w:r>
          </w:p>
        </w:tc>
        <w:tc>
          <w:tcPr>
            <w:tcW w:w="998" w:type="pct"/>
            <w:tcBorders>
              <w:top w:val="nil"/>
              <w:left w:val="nil"/>
              <w:bottom w:val="nil"/>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15236667303</w:t>
            </w:r>
          </w:p>
        </w:tc>
        <w:tc>
          <w:tcPr>
            <w:tcW w:w="434" w:type="pct"/>
            <w:tcBorders>
              <w:top w:val="nil"/>
              <w:left w:val="nil"/>
              <w:bottom w:val="nil"/>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44" w:type="pct"/>
            <w:tcBorders>
              <w:top w:val="nil"/>
              <w:left w:val="single" w:color="auto" w:sz="4" w:space="0"/>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王伊宁</w:t>
            </w:r>
          </w:p>
        </w:tc>
        <w:tc>
          <w:tcPr>
            <w:tcW w:w="1012" w:type="pct"/>
            <w:tcBorders>
              <w:top w:val="nil"/>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客户经理</w:t>
            </w:r>
          </w:p>
        </w:tc>
        <w:tc>
          <w:tcPr>
            <w:tcW w:w="1809" w:type="pct"/>
            <w:tcBorders>
              <w:top w:val="nil"/>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洛阳市涧西区南昌路7号西苑大厦</w:t>
            </w:r>
          </w:p>
        </w:tc>
        <w:tc>
          <w:tcPr>
            <w:tcW w:w="998" w:type="pct"/>
            <w:tcBorders>
              <w:top w:val="nil"/>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13683861133</w:t>
            </w:r>
          </w:p>
        </w:tc>
        <w:tc>
          <w:tcPr>
            <w:tcW w:w="434" w:type="pct"/>
            <w:tcBorders>
              <w:top w:val="nil"/>
              <w:left w:val="nil"/>
              <w:bottom w:val="single" w:color="auto" w:sz="4" w:space="0"/>
              <w:right w:val="single" w:color="auto" w:sz="4" w:space="0"/>
            </w:tcBorders>
            <w:vAlign w:val="center"/>
          </w:tcPr>
          <w:p>
            <w:pPr>
              <w:pStyle w:val="31"/>
              <w:widowControl/>
              <w:ind w:firstLine="418" w:firstLineChars="2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bl>
    <w:p>
      <w:pPr>
        <w:pStyle w:val="31"/>
        <w:ind w:firstLine="418" w:firstLineChars="200"/>
        <w:rPr>
          <w:rFonts w:ascii="仿宋_GB2312" w:hAnsi="仿宋_GB2312" w:eastAsia="仿宋_GB2312" w:cs="仿宋_GB2312"/>
          <w:b/>
          <w:sz w:val="24"/>
          <w:szCs w:val="24"/>
          <w:lang w:bidi="ar"/>
        </w:rPr>
      </w:pPr>
      <w:r>
        <w:rPr>
          <w:rFonts w:hint="eastAsia" w:ascii="仿宋_GB2312" w:hAnsi="仿宋_GB2312" w:eastAsia="仿宋_GB2312" w:cs="仿宋_GB2312"/>
          <w:b/>
          <w:sz w:val="24"/>
          <w:szCs w:val="24"/>
          <w:lang w:bidi="ar"/>
        </w:rPr>
        <w:t>二、审批流程</w:t>
      </w:r>
    </w:p>
    <w:p>
      <w:pPr>
        <w:pStyle w:val="31"/>
        <w:ind w:firstLine="418" w:firstLineChars="200"/>
        <w:rPr>
          <w:rFonts w:ascii="仿宋_GB2312" w:hAnsi="仿宋_GB2312" w:eastAsia="仿宋_GB2312" w:cs="仿宋_GB2312"/>
          <w:sz w:val="24"/>
          <w:szCs w:val="24"/>
          <w:lang w:bidi="ar"/>
        </w:rPr>
      </w:pPr>
      <w:r>
        <w:rPr>
          <w:rFonts w:hint="eastAsia" w:ascii="仿宋_GB2312" w:hAnsi="仿宋_GB2312" w:eastAsia="仿宋_GB2312" w:cs="仿宋_GB2312"/>
          <w:b/>
          <w:sz w:val="24"/>
          <w:szCs w:val="24"/>
          <w:lang w:bidi="ar"/>
        </w:rPr>
        <w:t>1、申请路径：</w:t>
      </w:r>
      <w:r>
        <w:rPr>
          <w:rFonts w:hint="eastAsia" w:ascii="仿宋_GB2312" w:hAnsi="仿宋_GB2312" w:eastAsia="仿宋_GB2312" w:cs="仿宋_GB2312"/>
          <w:bCs/>
          <w:sz w:val="24"/>
          <w:szCs w:val="24"/>
          <w:lang w:bidi="ar"/>
        </w:rPr>
        <w:t>（1）</w:t>
      </w:r>
      <w:r>
        <w:rPr>
          <w:rFonts w:hint="eastAsia" w:ascii="仿宋_GB2312" w:hAnsi="仿宋_GB2312" w:eastAsia="仿宋_GB2312" w:cs="仿宋_GB2312"/>
          <w:sz w:val="24"/>
          <w:szCs w:val="24"/>
          <w:lang w:bidi="ar"/>
        </w:rPr>
        <w:t>手机扫描二维码申请</w:t>
      </w:r>
    </w:p>
    <w:p>
      <w:pPr>
        <w:pStyle w:val="31"/>
        <w:ind w:firstLine="418" w:firstLineChars="200"/>
        <w:jc w:val="center"/>
        <w:rPr>
          <w:rFonts w:ascii="仿宋_GB2312" w:hAnsi="仿宋_GB2312" w:eastAsia="仿宋_GB2312" w:cs="仿宋_GB2312"/>
          <w:sz w:val="24"/>
          <w:szCs w:val="24"/>
          <w:lang w:bidi="ar"/>
        </w:rPr>
      </w:pPr>
      <w:r>
        <w:rPr>
          <w:rFonts w:hint="eastAsia" w:ascii="仿宋_GB2312" w:hAnsi="仿宋_GB2312" w:eastAsia="仿宋_GB2312" w:cs="仿宋_GB2312"/>
          <w:sz w:val="24"/>
          <w:szCs w:val="24"/>
        </w:rPr>
        <w:drawing>
          <wp:inline distT="0" distB="0" distL="114300" distR="114300">
            <wp:extent cx="1937385" cy="1571625"/>
            <wp:effectExtent l="0" t="0" r="571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937385" cy="1571625"/>
                    </a:xfrm>
                    <a:prstGeom prst="rect">
                      <a:avLst/>
                    </a:prstGeom>
                    <a:noFill/>
                    <a:ln>
                      <a:noFill/>
                    </a:ln>
                  </pic:spPr>
                </pic:pic>
              </a:graphicData>
            </a:graphic>
          </wp:inline>
        </w:drawing>
      </w:r>
    </w:p>
    <w:p>
      <w:pPr>
        <w:pStyle w:val="31"/>
        <w:ind w:firstLine="418"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（2）网页版申请</w:t>
      </w:r>
      <w:r>
        <w:fldChar w:fldCharType="begin"/>
      </w:r>
      <w:r>
        <w:instrText xml:space="preserve"> HYPERLINK "https://sme.cmbchina.com/" </w:instrText>
      </w:r>
      <w:r>
        <w:fldChar w:fldCharType="separate"/>
      </w:r>
      <w:r>
        <w:rPr>
          <w:rStyle w:val="48"/>
          <w:rFonts w:hint="eastAsia" w:ascii="仿宋_GB2312" w:hAnsi="仿宋_GB2312" w:eastAsia="仿宋_GB2312" w:cs="仿宋_GB2312"/>
          <w:color w:val="auto"/>
          <w:sz w:val="24"/>
          <w:szCs w:val="24"/>
        </w:rPr>
        <w:t>https://sme.cmbchina.com/</w:t>
      </w:r>
      <w:r>
        <w:rPr>
          <w:rStyle w:val="48"/>
          <w:rFonts w:hint="eastAsia" w:ascii="仿宋_GB2312" w:hAnsi="仿宋_GB2312" w:eastAsia="仿宋_GB2312" w:cs="仿宋_GB2312"/>
          <w:color w:val="auto"/>
          <w:sz w:val="24"/>
          <w:szCs w:val="24"/>
        </w:rPr>
        <w:fldChar w:fldCharType="end"/>
      </w:r>
      <w:r>
        <w:rPr>
          <w:rFonts w:hint="eastAsia" w:ascii="仿宋_GB2312" w:hAnsi="仿宋_GB2312" w:eastAsia="仿宋_GB2312" w:cs="仿宋_GB2312"/>
          <w:sz w:val="24"/>
          <w:szCs w:val="24"/>
          <w:lang w:bidi="ar"/>
        </w:rPr>
        <w:t>；</w:t>
      </w:r>
    </w:p>
    <w:p>
      <w:pPr>
        <w:pStyle w:val="31"/>
        <w:ind w:firstLine="418" w:firstLineChars="200"/>
        <w:jc w:val="left"/>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2、授信额度：</w:t>
      </w:r>
      <w:r>
        <w:rPr>
          <w:rFonts w:hint="eastAsia" w:ascii="仿宋_GB2312" w:hAnsi="仿宋_GB2312" w:eastAsia="仿宋_GB2312" w:cs="仿宋_GB2312"/>
          <w:sz w:val="24"/>
          <w:szCs w:val="24"/>
          <w:lang w:bidi="ar"/>
        </w:rPr>
        <w:t>基于政府采购中标总额和实际采购合同办理融资,额度最高可达到3000万，线上自助模式最高1000万；</w:t>
      </w:r>
    </w:p>
    <w:p>
      <w:pPr>
        <w:pStyle w:val="31"/>
        <w:ind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lang w:bidi="ar"/>
        </w:rPr>
        <w:t>3、</w:t>
      </w:r>
      <w:r>
        <w:rPr>
          <w:rFonts w:hint="eastAsia" w:ascii="仿宋_GB2312" w:hAnsi="仿宋_GB2312" w:eastAsia="仿宋_GB2312" w:cs="仿宋_GB2312"/>
          <w:b/>
          <w:sz w:val="24"/>
          <w:szCs w:val="24"/>
          <w:lang w:bidi="ar"/>
        </w:rPr>
        <w:t>利率：</w:t>
      </w:r>
      <w:r>
        <w:rPr>
          <w:rFonts w:hint="eastAsia" w:ascii="仿宋_GB2312" w:hAnsi="仿宋_GB2312" w:eastAsia="仿宋_GB2312" w:cs="仿宋_GB2312"/>
          <w:sz w:val="24"/>
          <w:szCs w:val="24"/>
          <w:lang w:bidi="ar"/>
        </w:rPr>
        <w:t>为切实降低中小微企业融资成本，我行严格执行普惠金融利率政策，对符合标准的普惠小微贷款业务一定补贴优惠；</w:t>
      </w:r>
    </w:p>
    <w:p>
      <w:pPr>
        <w:pStyle w:val="31"/>
        <w:ind w:firstLine="418" w:firstLineChars="200"/>
        <w:jc w:val="left"/>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4、风控措施：</w:t>
      </w:r>
    </w:p>
    <w:p>
      <w:pPr>
        <w:pStyle w:val="31"/>
        <w:ind w:firstLine="418" w:firstLineChars="200"/>
        <w:jc w:val="left"/>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（1）回款锁定——保证融资申请人在我行进行融资的政府采购商务合同所对应的回款账户为我行且唯一；（2）在我行据以融资的商务合同项下的应收账款质押；（3）实际控制人夫妇提供连带担保；</w:t>
      </w:r>
    </w:p>
    <w:p>
      <w:pPr>
        <w:pStyle w:val="31"/>
        <w:ind w:firstLine="418" w:firstLineChars="2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lang w:bidi="ar"/>
        </w:rPr>
        <w:t>5、客户准入</w:t>
      </w:r>
    </w:p>
    <w:p>
      <w:pPr>
        <w:pStyle w:val="31"/>
        <w:ind w:left="358" w:leftChars="200"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Cs/>
          <w:sz w:val="24"/>
          <w:szCs w:val="24"/>
          <w:lang w:bidi="ar"/>
        </w:rPr>
        <w:t>（1）采购单位 ：</w:t>
      </w:r>
      <w:r>
        <w:rPr>
          <w:rFonts w:hint="eastAsia" w:ascii="仿宋_GB2312" w:hAnsi="仿宋_GB2312" w:eastAsia="仿宋_GB2312" w:cs="仿宋_GB2312"/>
          <w:sz w:val="24"/>
          <w:szCs w:val="24"/>
          <w:lang w:bidi="ar"/>
        </w:rPr>
        <w:t>区县及以上政府机构；由上述政府统筹付款的二甲以上公立医院、学校、科研机构等事业单位； 付款记录良好，无拖欠大额工程款、采购款、逃废银行债务等不良记录；</w:t>
      </w:r>
    </w:p>
    <w:p>
      <w:pPr>
        <w:pStyle w:val="31"/>
        <w:ind w:left="358" w:leftChars="200" w:firstLine="418" w:firstLineChars="200"/>
        <w:jc w:val="left"/>
        <w:rPr>
          <w:rFonts w:ascii="仿宋_GB2312" w:hAnsi="仿宋_GB2312" w:eastAsia="仿宋_GB2312" w:cs="仿宋_GB2312"/>
          <w:sz w:val="24"/>
          <w:szCs w:val="24"/>
        </w:rPr>
      </w:pPr>
      <w:r>
        <w:rPr>
          <w:rFonts w:hint="eastAsia" w:ascii="仿宋_GB2312" w:hAnsi="仿宋_GB2312" w:eastAsia="仿宋_GB2312" w:cs="仿宋_GB2312"/>
          <w:bCs/>
          <w:sz w:val="24"/>
          <w:szCs w:val="24"/>
          <w:lang w:bidi="ar"/>
        </w:rPr>
        <w:t>（2）采购项目 ：</w:t>
      </w:r>
      <w:r>
        <w:rPr>
          <w:rFonts w:hint="eastAsia" w:ascii="仿宋_GB2312" w:hAnsi="仿宋_GB2312" w:eastAsia="仿宋_GB2312" w:cs="仿宋_GB2312"/>
          <w:sz w:val="24"/>
          <w:szCs w:val="24"/>
          <w:lang w:bidi="ar"/>
        </w:rPr>
        <w:t xml:space="preserve"> 优先支持货物类采购，稳妥介入服务类采购，审慎介入建设工程类采购； 未在他行办理以同一采购合同为贸易背景的融资业务； </w:t>
      </w:r>
    </w:p>
    <w:p>
      <w:pPr>
        <w:pStyle w:val="31"/>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8、政采自助贷：</w:t>
      </w:r>
    </w:p>
    <w:p>
      <w:pPr>
        <w:pStyle w:val="31"/>
        <w:ind w:firstLine="418" w:firstLineChars="200"/>
        <w:rPr>
          <w:rFonts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（1）线上申请及预授信，额度最高1000万；（2）网银端线上自助提款，10分钟内即可到账；（3）基于政府采购中标总额和实际采购合同办理融资, 融资比例最高可达合同金额的80%；（4）利率优惠,线上可随借随还，更加符合政采供应商需求并降低企业成本。</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Cs/>
          <w:sz w:val="24"/>
          <w:szCs w:val="24"/>
          <w:lang w:bidi="ar"/>
        </w:rPr>
        <w:tab/>
      </w:r>
      <w:r>
        <w:rPr>
          <w:rFonts w:hint="eastAsia" w:ascii="仿宋_GB2312" w:hAnsi="仿宋_GB2312" w:eastAsia="仿宋_GB2312" w:cs="仿宋_GB2312"/>
          <w:b/>
          <w:bCs/>
          <w:sz w:val="24"/>
          <w:szCs w:val="24"/>
        </w:rPr>
        <w:t>浦发银行政府采购融资贷联系方式及融资产品介绍</w:t>
      </w:r>
    </w:p>
    <w:p>
      <w:pPr>
        <w:pStyle w:val="31"/>
        <w:ind w:firstLine="418"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一、联系方式</w:t>
      </w:r>
    </w:p>
    <w:p>
      <w:pPr>
        <w:pStyle w:val="31"/>
        <w:ind w:firstLine="418" w:firstLineChars="200"/>
        <w:rPr>
          <w:rFonts w:ascii="仿宋_GB2312" w:hAnsi="仿宋_GB2312" w:eastAsia="仿宋_GB2312" w:cs="仿宋_GB2312"/>
          <w:sz w:val="24"/>
          <w:szCs w:val="24"/>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1890"/>
        <w:gridCol w:w="1890"/>
        <w:gridCol w:w="1892"/>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100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00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苏冰</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高级产品经理</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洛阳市洛龙区展览路211号</w:t>
            </w:r>
          </w:p>
        </w:tc>
        <w:tc>
          <w:tcPr>
            <w:tcW w:w="100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18623790623</w:t>
            </w:r>
          </w:p>
        </w:tc>
        <w:tc>
          <w:tcPr>
            <w:tcW w:w="100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微信同手机号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汪乐阳</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普惠金融部总经理</w:t>
            </w:r>
          </w:p>
        </w:tc>
        <w:tc>
          <w:tcPr>
            <w:tcW w:w="999"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洛阳市洛龙区展览路211号</w:t>
            </w:r>
          </w:p>
        </w:tc>
        <w:tc>
          <w:tcPr>
            <w:tcW w:w="100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13698889966</w:t>
            </w:r>
          </w:p>
        </w:tc>
        <w:tc>
          <w:tcPr>
            <w:tcW w:w="1000" w:type="pct"/>
            <w:vAlign w:val="center"/>
          </w:tcPr>
          <w:p>
            <w:pPr>
              <w:pStyle w:val="31"/>
              <w:ind w:firstLine="418"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微信同手机号</w:t>
            </w:r>
          </w:p>
        </w:tc>
      </w:tr>
    </w:tbl>
    <w:p>
      <w:pPr>
        <w:pStyle w:val="31"/>
        <w:ind w:firstLine="418"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二、融资产品介绍</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在您中标政府采购项目，从合同(订单)生效到最终收款期间，有没有因采购原材料、生产产品等产生资金压力，存在融资需求的情况？</w:t>
      </w:r>
    </w:p>
    <w:p>
      <w:pPr>
        <w:pStyle w:val="31"/>
        <w:widowControl/>
        <w:ind w:firstLine="418" w:firstLine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（一）产品介绍：</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“政采e贷”是由洛阳市财政局与浦发银行共同开发，基于政府采购合同，为供应商提供的信用贷款。</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（二）产品优势：</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1、融资期限最长可达1年。</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2、货物、服务类最高1000万元，工程类最高1500万元。</w:t>
      </w:r>
    </w:p>
    <w:p>
      <w:pPr>
        <w:pStyle w:val="31"/>
        <w:widowControl/>
        <w:ind w:left="839"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3、信用贷款，低门槛，循环额度，随借随还。</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4、业务流程简单，在线秒级放款，尊享快捷体验。</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5、总行补贴，融资利率有优惠。</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（三）适用客户：</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1、在河南省境内注册的供应商，未列入河南省政府采购供应商黑名单。</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2、人民银行征信系统无逾期、垫款等情况，且无其他不良信用记录。</w:t>
      </w:r>
    </w:p>
    <w:p>
      <w:pPr>
        <w:pStyle w:val="31"/>
        <w:widowControl/>
        <w:ind w:firstLine="418" w:firstLineChars="200"/>
        <w:rPr>
          <w:rFonts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b/>
          <w:kern w:val="0"/>
          <w:sz w:val="24"/>
          <w:szCs w:val="24"/>
        </w:rPr>
        <w:t>政府采购中标区域：</w:t>
      </w:r>
    </w:p>
    <w:p>
      <w:pPr>
        <w:pStyle w:val="31"/>
        <w:widowControl/>
        <w:ind w:firstLine="418" w:firstLineChars="20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（1）河南省省直、郑州市（含市内各区）项目</w:t>
      </w:r>
    </w:p>
    <w:p>
      <w:pPr>
        <w:pStyle w:val="31"/>
        <w:widowControl/>
        <w:ind w:firstLine="418" w:firstLineChars="20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（2）洛阳市市直项目</w:t>
      </w:r>
    </w:p>
    <w:p>
      <w:pPr>
        <w:pStyle w:val="31"/>
        <w:widowControl/>
        <w:ind w:firstLine="418" w:firstLineChars="20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（3）河南其他地市市直项目</w:t>
      </w:r>
    </w:p>
    <w:p>
      <w:pPr>
        <w:pStyle w:val="31"/>
        <w:widowControl/>
        <w:ind w:firstLine="418" w:firstLineChars="200"/>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（4）林州、长垣、新郑、禹州中标项目。</w:t>
      </w:r>
    </w:p>
    <w:p>
      <w:pPr>
        <w:pStyle w:val="31"/>
        <w:widowControl/>
        <w:ind w:firstLine="418" w:firstLineChars="200"/>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（四）申请路径</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1、供应商首先与联系人联系，提供企业基本证件、征信报告、中标合同、采购合同等进行客户准入和额度测算。</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2、供应商来浦发银行开户，在政府采购合同中填写浦发银行账号。</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（若客户已签署其他银行账号，则需要联系浦发银行进行备案银行账号变更）</w:t>
      </w:r>
    </w:p>
    <w:p>
      <w:pPr>
        <w:pStyle w:val="31"/>
        <w:widowControl/>
        <w:ind w:firstLine="418"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3、授信审查和放款（资料齐全一周时间）</w:t>
      </w:r>
    </w:p>
    <w:p>
      <w:pPr>
        <w:pStyle w:val="31"/>
        <w:ind w:firstLine="418" w:firstLineChars="200"/>
        <w:rPr>
          <w:rFonts w:ascii="仿宋_GB2312" w:hAnsi="仿宋_GB2312" w:eastAsia="仿宋_GB2312" w:cs="仿宋_GB2312"/>
          <w:sz w:val="24"/>
          <w:szCs w:val="24"/>
        </w:rPr>
      </w:pP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交通银行政府采购融资贷联系方式及融资产品介绍</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交通银行针对政府采购供应商中的小微企业推出的，以未来应收账款作为质押、以财政性资金作为还款来源的融资业务。凡参与过政府采购历史的中标企业，即可提前在我行预申请融资额度，中标且签订采购合同后可随时提用。我行具有绿色批复通道、授信额度高、免抵押担保、期限长等优势。</w:t>
      </w:r>
    </w:p>
    <w:p>
      <w:pPr>
        <w:pStyle w:val="31"/>
        <w:ind w:firstLine="418" w:firstLineChars="200"/>
        <w:rPr>
          <w:rFonts w:ascii="仿宋_GB2312" w:hAnsi="仿宋_GB2312" w:eastAsia="仿宋_GB2312" w:cs="仿宋_GB2312"/>
          <w:sz w:val="24"/>
          <w:szCs w:val="24"/>
        </w:rPr>
      </w:pP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负责人：  周贯超     联系方式：15538830369</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联系人：  顾  伟     联系方式：18037558778</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魏柴扉               18837923035</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洛阳农商银行“普惠政府采购贷”产品简介及联系人</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产品简介：“普惠政府采购贷”是指本行以政府采购诚信考核和信用审查为基础，凭借中小微企业供应商取得并提供的政府采购合同，依托省财政厅的电子化政府采购系统平台，按优于一般中小微企业的贷款利率及手续，直接向本行申请贷款的中小微企业发放的用于采购合同项下商品备货、生产和加工的贷款。以信用方式为主，追加供货商法定代表人或者实际控制人提供连带责任保证担保，融资额度不超过采购合同标的额的70%，贷款期限不超过1年，贷款利率原则上执行LPR上浮60%执行。</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分管领导：</w:t>
      </w:r>
      <w:r>
        <w:rPr>
          <w:rFonts w:hint="eastAsia" w:ascii="仿宋_GB2312" w:hAnsi="仿宋_GB2312" w:eastAsia="仿宋_GB2312" w:cs="仿宋_GB2312"/>
          <w:sz w:val="24"/>
          <w:szCs w:val="24"/>
        </w:rPr>
        <w:t>张学强 13083636800</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信贷经理：</w:t>
      </w:r>
      <w:r>
        <w:rPr>
          <w:rFonts w:hint="eastAsia" w:ascii="仿宋_GB2312" w:hAnsi="仿宋_GB2312" w:eastAsia="仿宋_GB2312" w:cs="仿宋_GB2312"/>
          <w:sz w:val="24"/>
          <w:szCs w:val="24"/>
        </w:rPr>
        <w:t>常洁   13721681719</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具体负责人：</w:t>
      </w:r>
      <w:r>
        <w:rPr>
          <w:rFonts w:hint="eastAsia" w:ascii="仿宋_GB2312" w:hAnsi="仿宋_GB2312" w:eastAsia="仿宋_GB2312" w:cs="仿宋_GB2312"/>
          <w:sz w:val="24"/>
          <w:szCs w:val="24"/>
        </w:rPr>
        <w:t>娄艳阁 13526989222</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农行洛阳分行政采贷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1、产品定义：指境内购销双方签署订单后，农业银行以订单项下的预期销货款作为主要还款来源，为满足销货方在货物发运前因支付原材料采购款、组织生产、货物运输等资金需求而向其提供的短期融资。</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2、贷款期限：一年以内。</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3、适用对象：地市级（含）以上政府的采购部门统一组织的政府采购行为形成的订单等。</w:t>
      </w:r>
    </w:p>
    <w:p>
      <w:pPr>
        <w:pStyle w:val="31"/>
        <w:numPr>
          <w:ilvl w:val="0"/>
          <w:numId w:val="11"/>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办理条件：（1）在农行开立基本结算账户或一般结算账户。（2）借款人符合国家产业政策及我行信贷政策，生产经营正常,具备购货方认可的供货能力。（3）订单项下商品属于销货方营业执照经营范围内，商品质量稳定，符合国家及行业标准。（4）与购货方有两年以上稳定的供销关系，合作期间的履约交货记录及销售回款情况良好。（5）在金融机构无不良信用记录，或虽然有过不良信用记录，但不良信用记录的产生并非由于主观恶意且已全部偿还。</w:t>
      </w:r>
    </w:p>
    <w:p>
      <w:pPr>
        <w:pStyle w:val="31"/>
        <w:numPr>
          <w:ilvl w:val="0"/>
          <w:numId w:val="11"/>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业务流程：客户申请--银行调查--业务审查审批--合同签署--贷款发放。</w:t>
      </w:r>
    </w:p>
    <w:p>
      <w:pPr>
        <w:pStyle w:val="31"/>
        <w:numPr>
          <w:ilvl w:val="0"/>
          <w:numId w:val="12"/>
        </w:numPr>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业务分管及联系人</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分管领导：蔡浩洋　18567663969</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客户经理：张琦颖　18567663732</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华夏银行洛阳分行“政采贷”产品介绍</w:t>
      </w:r>
    </w:p>
    <w:p>
      <w:pPr>
        <w:pStyle w:val="31"/>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产品特点</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融资便捷快捷</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线上提交融资申请，线上反馈审批额度</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审批手续简便</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审批手续及所需的资料相对简便</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融资比例合理</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最高融资比例可达订单金额的80%</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价格合理灵活</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按实际融资天数计息，低于同业平均水平</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还款灵活方便</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按期还息，到期还本，可提前部分还款或全部还款</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无需抵押担保</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凭订单即可申请，无需追加抵押担保</w:t>
      </w:r>
    </w:p>
    <w:p>
      <w:pPr>
        <w:pStyle w:val="31"/>
        <w:ind w:firstLine="418"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申请条件和资料</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经工商形状管理机关（或主管机关）核准登记的企业法人或个体工商户，有固定经营场所，合法经营；</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企业为货物或服务类供应商；</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未纳入政府采购严重违法失信行为记录名单；</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企业近三年中标数不少于2次；</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企业具备与中标项目相匹配的生产或销售资质。</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申请资料：</w:t>
      </w:r>
      <w:r>
        <w:rPr>
          <w:rFonts w:hint="eastAsia" w:ascii="仿宋_GB2312" w:hAnsi="仿宋_GB2312" w:eastAsia="仿宋_GB2312" w:cs="仿宋_GB2312"/>
          <w:sz w:val="24"/>
          <w:szCs w:val="24"/>
        </w:rPr>
        <w:t>营业执照正副本、法人身份证</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申请流程：</w:t>
      </w:r>
      <w:r>
        <w:rPr>
          <w:rFonts w:hint="eastAsia" w:ascii="仿宋_GB2312" w:hAnsi="仿宋_GB2312" w:eastAsia="仿宋_GB2312" w:cs="仿宋_GB2312"/>
          <w:sz w:val="24"/>
          <w:szCs w:val="24"/>
        </w:rPr>
        <w:t>通过河南省政府采购网进入“华夏政采E贷”根据提示完成授信申请，系统审批通过后，前往网点开立企业账户及签订贷款协议，登陆“华夏政采贷”根据提示完成放款申请，系统审批通过后完成提款。</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联系方式：</w:t>
      </w:r>
      <w:r>
        <w:rPr>
          <w:rFonts w:hint="eastAsia" w:ascii="仿宋_GB2312" w:hAnsi="仿宋_GB2312" w:eastAsia="仿宋_GB2312" w:cs="仿宋_GB2312"/>
          <w:sz w:val="24"/>
          <w:szCs w:val="24"/>
        </w:rPr>
        <w:t>分管领导：马鲜平副行长</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部门经理：杜青青营销管理部经理13633790075</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具体负责人联系方式：谢逸伦客户经理15038621500</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中国光大银行政府采购贷融资产品</w:t>
      </w:r>
    </w:p>
    <w:p>
      <w:pPr>
        <w:pStyle w:val="31"/>
        <w:ind w:firstLine="418"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介绍及联系方式</w:t>
      </w:r>
    </w:p>
    <w:p>
      <w:pPr>
        <w:pStyle w:val="33"/>
        <w:numPr>
          <w:ilvl w:val="0"/>
          <w:numId w:val="13"/>
        </w:numPr>
        <w:spacing w:beforeAutospacing="0" w:afterAutospacing="0"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产品定义</w:t>
      </w:r>
    </w:p>
    <w:p>
      <w:pPr>
        <w:pStyle w:val="33"/>
        <w:spacing w:beforeAutospacing="0" w:afterAutospacing="0" w:line="240" w:lineRule="auto"/>
        <w:ind w:firstLine="418"/>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 xml:space="preserve">    “政采易”是指光大银行根据政府采购中标通知书，以政府财政支付资金为主要还款来源，通过封闭回款路径等方式，为中标供应商提供流动资金贷款。</w:t>
      </w:r>
    </w:p>
    <w:p>
      <w:pPr>
        <w:pStyle w:val="33"/>
        <w:numPr>
          <w:ilvl w:val="0"/>
          <w:numId w:val="13"/>
        </w:numPr>
        <w:spacing w:beforeAutospacing="0" w:afterAutospacing="0"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借款人基本条件</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（一）具有独立承担民事责任的能力,有固定的经营场所；</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（二）企业成立1（含）年以上，且实际控制人有3年以上实际行业经验，具有良好的纳税记录、工商登记记录；</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（三）企业具有履行合同所必需的设备和服务能力；</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（四）生产经营符合国家法律法规、产业政策和环境保护要求，符合我行信贷政策；</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（五）人行征信信息查询系统查询显示企业法人、法定代表人、主要经营者无重大不良记录；政府采购履约行为无不良记录；</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（六）中标供应商在我行信用评级应在B-级（含）以上；</w:t>
      </w:r>
    </w:p>
    <w:p>
      <w:pPr>
        <w:pStyle w:val="31"/>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（七）我行要求的其他条件。</w:t>
      </w:r>
    </w:p>
    <w:p>
      <w:pPr>
        <w:pStyle w:val="33"/>
        <w:numPr>
          <w:ilvl w:val="0"/>
          <w:numId w:val="13"/>
        </w:numPr>
        <w:spacing w:beforeAutospacing="0" w:afterAutospacing="0"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业务流程</w:t>
      </w:r>
    </w:p>
    <w:p>
      <w:pPr>
        <w:pStyle w:val="31"/>
        <w:numPr>
          <w:ilvl w:val="0"/>
          <w:numId w:val="14"/>
        </w:numPr>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供应商的采购资金纳入同级或以上政府财政预算。</w:t>
      </w:r>
    </w:p>
    <w:p>
      <w:pPr>
        <w:pStyle w:val="31"/>
        <w:numPr>
          <w:ilvl w:val="0"/>
          <w:numId w:val="14"/>
        </w:numPr>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供应商与政府采购部门签署采购合同。</w:t>
      </w:r>
    </w:p>
    <w:p>
      <w:pPr>
        <w:pStyle w:val="31"/>
        <w:numPr>
          <w:ilvl w:val="0"/>
          <w:numId w:val="14"/>
        </w:numPr>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采购合同在公开平台进行公示或者备案。</w:t>
      </w:r>
    </w:p>
    <w:p>
      <w:pPr>
        <w:pStyle w:val="31"/>
        <w:numPr>
          <w:ilvl w:val="0"/>
          <w:numId w:val="14"/>
        </w:numPr>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供应商依托采购合同，向光大银行申请融资。</w:t>
      </w:r>
    </w:p>
    <w:p>
      <w:pPr>
        <w:pStyle w:val="31"/>
        <w:numPr>
          <w:ilvl w:val="0"/>
          <w:numId w:val="14"/>
        </w:numPr>
        <w:tabs>
          <w:tab w:val="left" w:pos="1560"/>
        </w:tabs>
        <w:adjustRightInd w:val="0"/>
        <w:snapToGrid w:val="0"/>
        <w:spacing w:line="360" w:lineRule="auto"/>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光大银行对采购商进行调查，根据政府采购中标合同金额扣除预付款*一定比例发放融资款项。</w:t>
      </w:r>
    </w:p>
    <w:p>
      <w:pPr>
        <w:pStyle w:val="31"/>
        <w:numPr>
          <w:ilvl w:val="0"/>
          <w:numId w:val="14"/>
        </w:numPr>
        <w:tabs>
          <w:tab w:val="left" w:pos="1560"/>
        </w:tabs>
        <w:adjustRightInd w:val="0"/>
        <w:snapToGrid w:val="0"/>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中标供应商须在光大银行开立结算账户并将其指定为企业政府采购结算专户，回款至该账户。</w:t>
      </w:r>
    </w:p>
    <w:p>
      <w:pPr>
        <w:pStyle w:val="33"/>
        <w:numPr>
          <w:ilvl w:val="0"/>
          <w:numId w:val="13"/>
        </w:numPr>
        <w:spacing w:beforeAutospacing="0" w:afterAutospacing="0"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利率</w:t>
      </w:r>
    </w:p>
    <w:p>
      <w:pPr>
        <w:pStyle w:val="33"/>
        <w:spacing w:beforeAutospacing="0" w:afterAutospacing="0" w:line="240" w:lineRule="auto"/>
        <w:ind w:firstLine="418"/>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根据当地同业水平合理确定贷款利率水平，执行总行贷款利率授权管理政策。</w:t>
      </w:r>
    </w:p>
    <w:p>
      <w:pPr>
        <w:pStyle w:val="33"/>
        <w:numPr>
          <w:ilvl w:val="0"/>
          <w:numId w:val="13"/>
        </w:numPr>
        <w:spacing w:beforeAutospacing="0" w:afterAutospacing="0"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贷款期限</w:t>
      </w:r>
    </w:p>
    <w:p>
      <w:pPr>
        <w:pStyle w:val="51"/>
        <w:tabs>
          <w:tab w:val="left" w:pos="1560"/>
        </w:tabs>
        <w:adjustRightInd w:val="0"/>
        <w:snapToGrid w:val="0"/>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贷款期限应与政府采购合同中约定的结算周期、付款方式相匹配，最长不超过合同约定付款日期后两个月。</w:t>
      </w:r>
    </w:p>
    <w:p>
      <w:pPr>
        <w:pStyle w:val="33"/>
        <w:numPr>
          <w:ilvl w:val="0"/>
          <w:numId w:val="13"/>
        </w:numPr>
        <w:spacing w:beforeAutospacing="0" w:afterAutospacing="0" w:line="240" w:lineRule="auto"/>
        <w:ind w:firstLine="418"/>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p>
      <w:pPr>
        <w:pStyle w:val="31"/>
        <w:ind w:firstLine="418"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1、分管领导 ：王慧18837902280</w:t>
      </w:r>
    </w:p>
    <w:p>
      <w:pPr>
        <w:pStyle w:val="31"/>
        <w:ind w:firstLine="418" w:firstLineChars="200"/>
        <w:rPr>
          <w:rFonts w:ascii="仿宋_GB2312" w:hAnsi="仿宋_GB2312" w:eastAsia="仿宋_GB2312" w:cs="仿宋_GB2312"/>
          <w:szCs w:val="21"/>
        </w:rPr>
      </w:pPr>
      <w:r>
        <w:rPr>
          <w:rFonts w:hint="eastAsia" w:ascii="仿宋_GB2312" w:hAnsi="仿宋_GB2312" w:eastAsia="仿宋_GB2312" w:cs="仿宋_GB2312"/>
          <w:sz w:val="24"/>
          <w:szCs w:val="24"/>
        </w:rPr>
        <w:t>2、信贷经理：刘勇 18837995809</w:t>
      </w:r>
    </w:p>
    <w:p>
      <w:pPr>
        <w:pStyle w:val="34"/>
        <w:ind w:firstLine="414" w:firstLineChars="200"/>
        <w:rPr>
          <w:rFonts w:ascii="仿宋_GB2312" w:hAnsi="仿宋_GB2312" w:eastAsia="仿宋_GB2312" w:cs="仿宋_GB2312"/>
          <w:spacing w:val="14"/>
          <w:szCs w:val="21"/>
        </w:rPr>
      </w:pPr>
    </w:p>
    <w:p>
      <w:pPr>
        <w:pStyle w:val="31"/>
        <w:jc w:val="center"/>
        <w:outlineLvl w:val="0"/>
        <w:rPr>
          <w:rFonts w:ascii="仿宋_GB2312" w:hAnsi="仿宋_GB2312" w:eastAsia="仿宋_GB2312" w:cs="仿宋_GB2312"/>
        </w:rPr>
      </w:pPr>
      <w:r>
        <w:rPr>
          <w:rFonts w:hint="eastAsia" w:ascii="仿宋_GB2312" w:hAnsi="仿宋_GB2312" w:eastAsia="仿宋_GB2312" w:cs="仿宋_GB2312"/>
        </w:rPr>
        <w:br w:type="page"/>
      </w:r>
      <w:bookmarkStart w:id="85" w:name="_Toc504741948"/>
      <w:bookmarkStart w:id="86" w:name="_Toc256000014"/>
      <w:bookmarkStart w:id="87" w:name="_Toc5246"/>
      <w:bookmarkStart w:id="88" w:name="_Toc256000005"/>
      <w:bookmarkStart w:id="89" w:name="_Toc1662646"/>
      <w:r>
        <w:rPr>
          <w:rFonts w:hint="eastAsia" w:ascii="仿宋_GB2312" w:hAnsi="仿宋_GB2312" w:eastAsia="仿宋_GB2312" w:cs="仿宋_GB2312"/>
          <w:b/>
          <w:bCs/>
          <w:kern w:val="28"/>
          <w:sz w:val="44"/>
          <w:lang w:bidi="en-US"/>
        </w:rPr>
        <w:t>第五章</w:t>
      </w:r>
      <w:bookmarkEnd w:id="85"/>
      <w:r>
        <w:rPr>
          <w:rFonts w:hint="eastAsia" w:ascii="仿宋_GB2312" w:hAnsi="仿宋_GB2312" w:eastAsia="仿宋_GB2312" w:cs="仿宋_GB2312"/>
          <w:b/>
          <w:bCs/>
          <w:kern w:val="28"/>
          <w:sz w:val="44"/>
          <w:lang w:bidi="en-US"/>
        </w:rPr>
        <w:t xml:space="preserve">  资格审查与评审办法</w:t>
      </w:r>
      <w:bookmarkEnd w:id="86"/>
      <w:bookmarkEnd w:id="87"/>
      <w:bookmarkEnd w:id="88"/>
      <w:bookmarkEnd w:id="89"/>
    </w:p>
    <w:p>
      <w:pPr>
        <w:pStyle w:val="31"/>
        <w:rPr>
          <w:rFonts w:ascii="仿宋_GB2312" w:hAnsi="仿宋_GB2312" w:eastAsia="仿宋_GB2312" w:cs="仿宋_GB2312"/>
          <w:sz w:val="24"/>
          <w:szCs w:val="24"/>
        </w:rPr>
      </w:pPr>
      <w:bookmarkStart w:id="90" w:name="_Toc1662647"/>
      <w:r>
        <w:rPr>
          <w:rFonts w:hint="eastAsia" w:ascii="仿宋_GB2312" w:hAnsi="仿宋_GB2312" w:eastAsia="仿宋_GB2312" w:cs="仿宋_GB2312"/>
          <w:sz w:val="24"/>
          <w:szCs w:val="24"/>
        </w:rPr>
        <w:t>1、评审方法</w:t>
      </w:r>
      <w:bookmarkEnd w:id="90"/>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本次资格审查和符合性审查采用合格制，评审方法采用综合评分法。磋商小组对满足磋商文件实质性要求的响应文件，按照本章2.2 款规定的评分标准进行打分，按得分由高到低顺序推荐成交候选人，或根据采购人授权直接确定成交供应商，但最后报价明显低于其他通过符合性审查供应商的报价，有可能影响产品质量或者不能诚信履约的除外。供应商得分相同的，按最后报价由低到高顺序排列。得分且最后报价相同的并列。</w:t>
      </w:r>
    </w:p>
    <w:p>
      <w:pPr>
        <w:pStyle w:val="31"/>
        <w:rPr>
          <w:rFonts w:ascii="仿宋_GB2312" w:hAnsi="仿宋_GB2312" w:eastAsia="仿宋_GB2312" w:cs="仿宋_GB2312"/>
          <w:sz w:val="24"/>
          <w:szCs w:val="24"/>
        </w:rPr>
      </w:pPr>
      <w:bookmarkStart w:id="91" w:name="_Toc1662648"/>
      <w:r>
        <w:rPr>
          <w:rFonts w:hint="eastAsia" w:ascii="仿宋_GB2312" w:hAnsi="仿宋_GB2312" w:eastAsia="仿宋_GB2312" w:cs="仿宋_GB2312"/>
          <w:sz w:val="24"/>
          <w:szCs w:val="24"/>
        </w:rPr>
        <w:t>2、评审标准</w:t>
      </w:r>
      <w:bookmarkEnd w:id="91"/>
    </w:p>
    <w:p>
      <w:pPr>
        <w:pStyle w:val="31"/>
        <w:rPr>
          <w:rFonts w:ascii="仿宋_GB2312" w:hAnsi="仿宋_GB2312" w:eastAsia="仿宋_GB2312" w:cs="仿宋_GB2312"/>
          <w:sz w:val="24"/>
          <w:szCs w:val="24"/>
        </w:rPr>
      </w:pPr>
      <w:bookmarkStart w:id="92" w:name="_Toc1662649"/>
      <w:r>
        <w:rPr>
          <w:rFonts w:hint="eastAsia" w:ascii="仿宋_GB2312" w:hAnsi="仿宋_GB2312" w:eastAsia="仿宋_GB2312" w:cs="仿宋_GB2312"/>
          <w:sz w:val="24"/>
          <w:szCs w:val="24"/>
        </w:rPr>
        <w:t>2.1 资格性审查与符合性审查标准</w:t>
      </w:r>
      <w:bookmarkEnd w:id="92"/>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2.1.1 资格性审查标准：见第六章。</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2.1.2 符合性审查标准：见第六章。</w:t>
      </w:r>
    </w:p>
    <w:p>
      <w:pPr>
        <w:pStyle w:val="31"/>
        <w:rPr>
          <w:rFonts w:ascii="仿宋_GB2312" w:hAnsi="仿宋_GB2312" w:eastAsia="仿宋_GB2312" w:cs="仿宋_GB2312"/>
          <w:sz w:val="24"/>
          <w:szCs w:val="24"/>
        </w:rPr>
      </w:pPr>
      <w:bookmarkStart w:id="93" w:name="_Toc1662650"/>
      <w:r>
        <w:rPr>
          <w:rFonts w:hint="eastAsia" w:ascii="仿宋_GB2312" w:hAnsi="仿宋_GB2312" w:eastAsia="仿宋_GB2312" w:cs="仿宋_GB2312"/>
          <w:sz w:val="24"/>
          <w:szCs w:val="24"/>
        </w:rPr>
        <w:t>2.2 分值构成与评分标准</w:t>
      </w:r>
      <w:bookmarkEnd w:id="93"/>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2.2.1 分值构成见评分标准。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2.2.2 评分标准：具体评分标准见第六章。</w:t>
      </w:r>
    </w:p>
    <w:p>
      <w:pPr>
        <w:pStyle w:val="31"/>
        <w:rPr>
          <w:rFonts w:ascii="仿宋_GB2312" w:hAnsi="仿宋_GB2312" w:eastAsia="仿宋_GB2312" w:cs="仿宋_GB2312"/>
          <w:sz w:val="24"/>
          <w:szCs w:val="24"/>
        </w:rPr>
      </w:pPr>
      <w:bookmarkStart w:id="94" w:name="_Toc1662651"/>
      <w:r>
        <w:rPr>
          <w:rFonts w:hint="eastAsia" w:ascii="仿宋_GB2312" w:hAnsi="仿宋_GB2312" w:eastAsia="仿宋_GB2312" w:cs="仿宋_GB2312"/>
          <w:sz w:val="24"/>
          <w:szCs w:val="24"/>
        </w:rPr>
        <w:t>3、评审程序</w:t>
      </w:r>
      <w:bookmarkEnd w:id="94"/>
    </w:p>
    <w:p>
      <w:pPr>
        <w:pStyle w:val="31"/>
        <w:rPr>
          <w:rFonts w:ascii="仿宋_GB2312" w:hAnsi="仿宋_GB2312" w:eastAsia="仿宋_GB2312" w:cs="仿宋_GB2312"/>
          <w:sz w:val="24"/>
          <w:szCs w:val="24"/>
        </w:rPr>
      </w:pPr>
      <w:bookmarkStart w:id="95" w:name="_Toc1662652"/>
      <w:r>
        <w:rPr>
          <w:rFonts w:hint="eastAsia" w:ascii="仿宋_GB2312" w:hAnsi="仿宋_GB2312" w:eastAsia="仿宋_GB2312" w:cs="仿宋_GB2312"/>
          <w:sz w:val="24"/>
          <w:szCs w:val="24"/>
        </w:rPr>
        <w:t>3.1 资格性审查与符合性审查</w:t>
      </w:r>
      <w:bookmarkEnd w:id="95"/>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3.1.1磋商小组依据本章第2.1.1款和第 2.1.2款规定的标准对响应文件进行审查。有一项不符合审查标准的，应当否决其响应文件。</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3.1.2 供应商有以下情形之一的，磋商小组应当否决其响应文件：</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（1）响应文件没有对磋商文件的实质性要求和条件作出响应，或者对磋商文件的偏差超出磋商文件规定的偏差范围或最高项数；</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（2）有串通、弄虚作假、行贿等违法行为。</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3.1.3有下列情形之一的，视为供应商串通，其响应文件无效：</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（1）不同供应商的响应文件由同一单位或者个人编制；</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（2）不同供应商委托同一单位或者个人办理磋商事宜；</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（3）不同供应商的响应文件载明的项目管理成员或者联系人员为同一人；</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（4）不同供应商的响应文件异常一致或者报价呈规律性差异；</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3.1.4响应文件报价出现前后不一致的，磋商小组按以下原则要求供应商对报价进行修正，并要求供应商书面澄清确认。供应商拒不澄清确认的，磋商小组应当否决其响应文件：</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（1）响应文件中报价一览表内容与响应文件中相应内容不一致的，以报价一览表为准；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（2）大写金额和小写金额不一致的，以大写金额为准；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（3）单价金额小数点或者百分比有明显错位的，以报价一览表的总价为准，并修改单价；</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（4）总价金额与按单价汇总金额不一致的，以单价金额计算结果为准。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同时出现两种以上不一致的，按照前款规定的顺序修正。</w:t>
      </w:r>
    </w:p>
    <w:p>
      <w:pPr>
        <w:pStyle w:val="31"/>
        <w:rPr>
          <w:rFonts w:ascii="仿宋_GB2312" w:hAnsi="仿宋_GB2312" w:eastAsia="仿宋_GB2312" w:cs="仿宋_GB2312"/>
          <w:sz w:val="24"/>
          <w:szCs w:val="24"/>
        </w:rPr>
      </w:pPr>
      <w:bookmarkStart w:id="96" w:name="_Toc1662653"/>
      <w:r>
        <w:rPr>
          <w:rFonts w:hint="eastAsia" w:ascii="仿宋_GB2312" w:hAnsi="仿宋_GB2312" w:eastAsia="仿宋_GB2312" w:cs="仿宋_GB2312"/>
          <w:sz w:val="24"/>
          <w:szCs w:val="24"/>
        </w:rPr>
        <w:t>3.2 详细评审</w:t>
      </w:r>
      <w:bookmarkEnd w:id="96"/>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3.2.1磋商小组按本章第 2.2 款规定的量化因素和分值进行打分，取所有评委打分分数的算术平均值作为该供应商的各项得分。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3.2.2 评分分值计算保留小数点后两位，小数点后第三位“四舍五入”。</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3.2.3磋商小组汇总供应商的各项得分，相加后为供应商最终得分。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3.2.4若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文件处理。</w:t>
      </w:r>
    </w:p>
    <w:p>
      <w:pPr>
        <w:pStyle w:val="31"/>
        <w:rPr>
          <w:rFonts w:ascii="仿宋_GB2312" w:hAnsi="仿宋_GB2312" w:eastAsia="仿宋_GB2312" w:cs="仿宋_GB2312"/>
          <w:sz w:val="24"/>
          <w:szCs w:val="24"/>
        </w:rPr>
      </w:pPr>
      <w:bookmarkStart w:id="97" w:name="_Toc1662654"/>
      <w:r>
        <w:rPr>
          <w:rFonts w:hint="eastAsia" w:ascii="仿宋_GB2312" w:hAnsi="仿宋_GB2312" w:eastAsia="仿宋_GB2312" w:cs="仿宋_GB2312"/>
          <w:sz w:val="24"/>
          <w:szCs w:val="24"/>
        </w:rPr>
        <w:t>3.3 响应文件的澄清</w:t>
      </w:r>
      <w:bookmarkEnd w:id="97"/>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3.3.1 在评审过程中，磋商小组可以书面形式要求供应商对响应文件中含义不明确、对同类问题表述不一致或者有明显文字和计算错误的内容作必要的澄清、说明或补正。澄清、说明或补正应以书面方式进行。磋商小组不接受供应商主动提出的澄清、说明或补正。</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3.3.2 澄清、说明或补正不得超出响应文件的范围且不得改变响应文件的实质性内容，并构成响应文件的组成部分。</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3.3.3 磋商小组对供应商提交的澄清、说明或补正有疑问的，可以要求供应商进一步澄清、说明或补正，直至满足磋商小组的要求。</w:t>
      </w:r>
    </w:p>
    <w:p>
      <w:pPr>
        <w:pStyle w:val="31"/>
        <w:rPr>
          <w:rFonts w:ascii="仿宋_GB2312" w:hAnsi="仿宋_GB2312" w:eastAsia="仿宋_GB2312" w:cs="仿宋_GB2312"/>
          <w:sz w:val="24"/>
          <w:szCs w:val="24"/>
        </w:rPr>
      </w:pPr>
      <w:bookmarkStart w:id="98" w:name="_Toc1662655"/>
      <w:r>
        <w:rPr>
          <w:rFonts w:hint="eastAsia" w:ascii="仿宋_GB2312" w:hAnsi="仿宋_GB2312" w:eastAsia="仿宋_GB2312" w:cs="仿宋_GB2312"/>
          <w:sz w:val="24"/>
          <w:szCs w:val="24"/>
        </w:rPr>
        <w:t>3.4 评审结果</w:t>
      </w:r>
      <w:bookmarkEnd w:id="98"/>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3.4.1磋商小组严格按照磋商文件的要求和条件进行评审和打分，评审结果按评审后得分由高到低的顺序排列。得分相同的，按最后报价由低到高顺序排列。得分且最后报价相同的并列。</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3.4.2磋商小组完成评审后，应当向采购人提交书面评审报告和成交候选人名单。</w:t>
      </w:r>
    </w:p>
    <w:p>
      <w:pPr>
        <w:pStyle w:val="31"/>
        <w:rPr>
          <w:rFonts w:ascii="仿宋_GB2312" w:hAnsi="仿宋_GB2312" w:eastAsia="仿宋_GB2312" w:cs="仿宋_GB2312"/>
          <w:sz w:val="24"/>
          <w:szCs w:val="24"/>
        </w:rPr>
      </w:pPr>
      <w:bookmarkStart w:id="99" w:name="_Toc1662656"/>
      <w:r>
        <w:rPr>
          <w:rFonts w:hint="eastAsia" w:ascii="仿宋_GB2312" w:hAnsi="仿宋_GB2312" w:eastAsia="仿宋_GB2312" w:cs="仿宋_GB2312"/>
          <w:sz w:val="24"/>
          <w:szCs w:val="24"/>
        </w:rPr>
        <w:t>4、评分标准说明</w:t>
      </w:r>
      <w:bookmarkEnd w:id="99"/>
    </w:p>
    <w:p>
      <w:pPr>
        <w:pStyle w:val="31"/>
        <w:rPr>
          <w:rFonts w:ascii="仿宋_GB2312" w:hAnsi="仿宋_GB2312" w:eastAsia="仿宋_GB2312" w:cs="仿宋_GB2312"/>
          <w:sz w:val="24"/>
          <w:szCs w:val="24"/>
        </w:rPr>
      </w:pPr>
      <w:bookmarkStart w:id="100" w:name="_Toc1662657"/>
      <w:r>
        <w:rPr>
          <w:rFonts w:hint="eastAsia" w:ascii="仿宋_GB2312" w:hAnsi="仿宋_GB2312" w:eastAsia="仿宋_GB2312" w:cs="仿宋_GB2312"/>
          <w:sz w:val="24"/>
          <w:szCs w:val="24"/>
        </w:rPr>
        <w:t>4.1关于价格扣除和评审报价的说明</w:t>
      </w:r>
      <w:bookmarkEnd w:id="100"/>
      <w:r>
        <w:rPr>
          <w:rFonts w:hint="eastAsia" w:ascii="仿宋_GB2312" w:hAnsi="仿宋_GB2312" w:eastAsia="仿宋_GB2312" w:cs="仿宋_GB2312"/>
          <w:sz w:val="24"/>
          <w:szCs w:val="24"/>
        </w:rPr>
        <w:t xml:space="preserve"> </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4.1.1价格扣除</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供应商为中小企业的，对所报的小型和微型企业产品的价格给予20%的扣除，用扣除后的价格参与评审。参加采购活动的中小企业，应当按照《政府采购促进中小企业发展管理办法》（财库〔2020〕46号）的规定提供《中小企业声明函》（中小企业划型标准详见《关于印发中小企业划型标准规定的通知》工信部联企业〔2011〕300号）。 供应商为大型企业的不适用本款规定。供应商为联合体的，联合体各方均应为中小企业，否则不适用本款规定。</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根据财政部司法部《关于政府采购支持监狱企业发展有关问题的通知》（财库〔2014〕68号）规定，本项目在评审中对监狱企业作为供应商所提供的本企业生产的产品的价格给予10%的扣除。监狱企业参加政府采购活动时，应当提供由省级以上监狱管理局、戒毒管理局(含新疆生产建设兵团)出具的属于监狱企业的证明文件。</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根据财政部民政部中国残疾人联合会《关于促进残疾人就业政府采购政策的通知》（财库〔2017〕141号）规定，本项目在评审中对残疾人福利性单位提供本单位制造的货物、承担的工程或者服务，或者提供其他残疾人福利性单位制造的货物（不包括使用非残疾人福利性单位注册商标的货物）的价格给予20%的扣除。残疾人福利性单位参加政府采购活动时，应当提供《残疾人福利性单位声明函》。</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同一供应商（包括联合体），中小微企业产品、监狱企业产品、残疾人福利性单位产品价格扣除优惠只享受一次，不得重复享受。如本项目专门面向中小企业或小微企业采购的，评审中价格将均不予扣除。</w:t>
      </w:r>
    </w:p>
    <w:p>
      <w:pPr>
        <w:pStyle w:val="31"/>
        <w:ind w:firstLine="474" w:firstLineChars="200"/>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4.1.2 评审报价=最后报价-[价格扣除×（最后报价÷首次报价）]</w:t>
      </w:r>
    </w:p>
    <w:p>
      <w:pPr>
        <w:pStyle w:val="31"/>
        <w:ind w:firstLine="474" w:firstLineChars="200"/>
        <w:rPr>
          <w:rFonts w:ascii="仿宋_GB2312" w:hAnsi="仿宋_GB2312" w:eastAsia="仿宋_GB2312" w:cs="仿宋_GB2312"/>
          <w:sz w:val="24"/>
          <w:szCs w:val="24"/>
        </w:rPr>
      </w:pPr>
      <w:r>
        <w:rPr>
          <w:rFonts w:hint="eastAsia" w:ascii="仿宋_GB2312" w:hAnsi="仿宋_GB2312" w:eastAsia="仿宋_GB2312" w:cs="仿宋_GB2312"/>
          <w:spacing w:val="14"/>
          <w:sz w:val="24"/>
          <w:szCs w:val="24"/>
        </w:rPr>
        <w:t>注：首次报价、价格扣除均依据响应文件中的报价数据。</w:t>
      </w:r>
    </w:p>
    <w:p>
      <w:pPr>
        <w:pStyle w:val="31"/>
        <w:rPr>
          <w:rFonts w:ascii="仿宋_GB2312" w:hAnsi="仿宋_GB2312" w:eastAsia="仿宋_GB2312" w:cs="仿宋_GB2312"/>
          <w:sz w:val="24"/>
          <w:szCs w:val="24"/>
        </w:rPr>
      </w:pPr>
      <w:bookmarkStart w:id="101" w:name="_Toc1662658"/>
      <w:r>
        <w:rPr>
          <w:rFonts w:hint="eastAsia" w:ascii="仿宋_GB2312" w:hAnsi="仿宋_GB2312" w:eastAsia="仿宋_GB2312" w:cs="仿宋_GB2312"/>
          <w:sz w:val="24"/>
          <w:szCs w:val="24"/>
        </w:rPr>
        <w:t>4.2关于节能环保政策的说明</w:t>
      </w:r>
      <w:bookmarkEnd w:id="101"/>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4.2.1节能产品：所投货物（除政府强制采购节能产品外）有《中国节能产品认证证书》的加1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pStyle w:val="34"/>
        <w:rPr>
          <w:rFonts w:ascii="仿宋_GB2312" w:hAnsi="仿宋_GB2312" w:eastAsia="仿宋_GB2312" w:cs="仿宋_GB2312"/>
          <w:spacing w:val="14"/>
          <w:sz w:val="24"/>
          <w:szCs w:val="24"/>
        </w:rPr>
      </w:pPr>
      <w:r>
        <w:rPr>
          <w:rFonts w:hint="eastAsia" w:ascii="仿宋_GB2312" w:hAnsi="仿宋_GB2312" w:eastAsia="仿宋_GB2312" w:cs="仿宋_GB2312"/>
          <w:spacing w:val="14"/>
          <w:sz w:val="24"/>
          <w:szCs w:val="24"/>
        </w:rPr>
        <w:t>4.2.2环境标志产品：所投货物有《中国环境标志产品认证证书》（有效期内）的加1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rPr>
          <w:rFonts w:ascii="仿宋_GB2312" w:hAnsi="仿宋_GB2312" w:eastAsia="仿宋_GB2312" w:cs="仿宋_GB2312"/>
          <w:color w:val="000080"/>
          <w:sz w:val="20"/>
          <w:highlight w:val="white"/>
        </w:rPr>
      </w:pPr>
      <w:r>
        <w:rPr>
          <w:rFonts w:hint="eastAsia" w:ascii="仿宋_GB2312" w:hAnsi="仿宋_GB2312" w:eastAsia="仿宋_GB2312" w:cs="仿宋_GB2312"/>
          <w:color w:val="000080"/>
          <w:sz w:val="20"/>
          <w:highlight w:val="white"/>
        </w:rPr>
        <w:t xml:space="preserve"> </w:t>
      </w:r>
      <w:bookmarkEnd w:id="6"/>
    </w:p>
    <w:p>
      <w:pPr>
        <w:rPr>
          <w:rFonts w:ascii="仿宋_GB2312" w:hAnsi="仿宋_GB2312" w:eastAsia="仿宋_GB2312" w:cs="仿宋_GB2312"/>
        </w:rPr>
      </w:pPr>
    </w:p>
    <w:p>
      <w:pPr>
        <w:pStyle w:val="14"/>
        <w:rPr>
          <w:rFonts w:ascii="仿宋_GB2312" w:hAnsi="仿宋_GB2312" w:eastAsia="仿宋_GB2312" w:cs="仿宋_GB2312"/>
          <w:lang w:eastAsia="zh-CN"/>
        </w:rPr>
      </w:pPr>
      <w:bookmarkStart w:id="102" w:name="_Toc256000006"/>
      <w:bookmarkStart w:id="103" w:name="_Toc3904807"/>
      <w:bookmarkStart w:id="104" w:name="_Toc256000015"/>
      <w:r>
        <w:rPr>
          <w:rFonts w:hint="eastAsia" w:ascii="仿宋_GB2312" w:hAnsi="仿宋_GB2312" w:eastAsia="仿宋_GB2312" w:cs="仿宋_GB2312"/>
          <w:highlight w:val="white"/>
          <w:lang w:eastAsia="zh-CN"/>
        </w:rPr>
        <w:br w:type="page"/>
      </w:r>
      <w:r>
        <w:rPr>
          <w:rFonts w:hint="eastAsia" w:ascii="仿宋_GB2312" w:hAnsi="仿宋_GB2312" w:eastAsia="仿宋_GB2312" w:cs="仿宋_GB2312"/>
          <w:lang w:eastAsia="zh-CN"/>
        </w:rPr>
        <w:t>第六章   资格审查与评审标准</w:t>
      </w:r>
      <w:bookmarkEnd w:id="102"/>
      <w:bookmarkEnd w:id="103"/>
      <w:bookmarkEnd w:id="104"/>
    </w:p>
    <w:tbl>
      <w:tblPr>
        <w:tblStyle w:val="16"/>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534"/>
        <w:gridCol w:w="902"/>
        <w:gridCol w:w="1418"/>
        <w:gridCol w:w="1396"/>
        <w:gridCol w:w="414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tcBorders>
              <w:top w:val="outset" w:color="auto" w:sz="6" w:space="0"/>
              <w:left w:val="outset" w:color="auto" w:sz="6" w:space="0"/>
              <w:bottom w:val="outset" w:color="auto" w:sz="6" w:space="0"/>
              <w:right w:val="outset" w:color="auto" w:sz="6" w:space="0"/>
            </w:tcBorders>
            <w:vAlign w:val="center"/>
          </w:tcPr>
          <w:p>
            <w:pPr>
              <w:spacing w:after="100" w:afterAutospacing="1"/>
              <w:rPr>
                <w:rFonts w:ascii="仿宋_GB2312" w:hAnsi="仿宋_GB2312" w:eastAsia="仿宋_GB2312" w:cs="仿宋_GB2312"/>
                <w:b/>
                <w:bCs/>
                <w:sz w:val="24"/>
                <w:szCs w:val="24"/>
              </w:rPr>
            </w:pPr>
            <w:r>
              <w:rPr>
                <w:rFonts w:hint="eastAsia" w:ascii="仿宋_GB2312" w:hAnsi="仿宋_GB2312" w:eastAsia="仿宋_GB2312" w:cs="仿宋_GB2312"/>
                <w:b/>
                <w:bCs/>
                <w:spacing w:val="30"/>
                <w:sz w:val="24"/>
                <w:szCs w:val="24"/>
              </w:rPr>
              <w:t>初步条款</w:t>
            </w: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30"/>
                <w:sz w:val="24"/>
                <w:szCs w:val="24"/>
              </w:rPr>
              <w:t>评分点名称</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pacing w:val="30"/>
                <w:sz w:val="24"/>
                <w:szCs w:val="24"/>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pacing w:val="30"/>
                <w:sz w:val="24"/>
                <w:szCs w:val="24"/>
              </w:rPr>
              <w:t>符合性评审</w:t>
            </w: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供应商名称</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具备有效的营业执照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响应文件签名盖章</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按照磋商文件中提供的响应文件格式和要求签名、盖章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响应文件格式</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符合磋商文件中提供的响应文件格式</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报价唯一</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只能有一个有效报价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投标报价</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lang w:val="zh-CN"/>
              </w:rPr>
              <w:t>不超过采购预算控制金额</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交货期</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质保期</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二年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不存在禁止投标的情形</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不存在“供应商须知”规定的任何一种情形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pacing w:val="30"/>
                <w:sz w:val="24"/>
                <w:szCs w:val="24"/>
              </w:rPr>
              <w:t>资格评审</w:t>
            </w: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营业执照或事业单位法人证书</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具有合法有效的营业执照或事业单位法人证书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left w:val="outset" w:color="auto" w:sz="6" w:space="0"/>
              <w:right w:val="outset" w:color="auto" w:sz="6" w:space="0"/>
            </w:tcBorders>
            <w:vAlign w:val="center"/>
          </w:tcPr>
          <w:p>
            <w:pPr>
              <w:jc w:val="center"/>
              <w:rPr>
                <w:rFonts w:ascii="仿宋_GB2312" w:hAnsi="仿宋_GB2312" w:eastAsia="仿宋_GB2312" w:cs="仿宋_GB2312"/>
                <w:spacing w:val="30"/>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《出版物经营许可证》</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left w:val="outset" w:color="auto" w:sz="6" w:space="0"/>
              <w:right w:val="outset" w:color="auto" w:sz="6" w:space="0"/>
            </w:tcBorders>
            <w:vAlign w:val="center"/>
          </w:tcPr>
          <w:p>
            <w:pPr>
              <w:jc w:val="center"/>
              <w:rPr>
                <w:rFonts w:ascii="仿宋_GB2312" w:hAnsi="仿宋_GB2312" w:eastAsia="仿宋_GB2312" w:cs="仿宋_GB2312"/>
                <w:spacing w:val="30"/>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hint="default" w:ascii="仿宋_GB2312" w:hAnsi="仿宋_GB2312" w:eastAsia="仿宋_GB2312" w:cs="仿宋_GB2312"/>
                <w:spacing w:val="30"/>
                <w:sz w:val="24"/>
                <w:szCs w:val="24"/>
                <w:lang w:val="en-US" w:eastAsia="zh-CN"/>
              </w:rPr>
            </w:pPr>
            <w:r>
              <w:rPr>
                <w:rFonts w:hint="eastAsia" w:ascii="仿宋_GB2312" w:hAnsi="仿宋_GB2312" w:eastAsia="仿宋_GB2312" w:cs="仿宋_GB2312"/>
                <w:spacing w:val="30"/>
                <w:sz w:val="24"/>
                <w:szCs w:val="24"/>
                <w:lang w:val="en-US" w:eastAsia="zh-CN"/>
              </w:rPr>
              <w:t>联合体投标</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left w:val="outset" w:color="auto" w:sz="6" w:space="0"/>
              <w:right w:val="outset" w:color="auto" w:sz="6" w:space="0"/>
            </w:tcBorders>
            <w:vAlign w:val="center"/>
          </w:tcPr>
          <w:p>
            <w:pPr>
              <w:jc w:val="center"/>
              <w:rPr>
                <w:rFonts w:ascii="仿宋_GB2312" w:hAnsi="仿宋_GB2312" w:eastAsia="仿宋_GB2312" w:cs="仿宋_GB2312"/>
                <w:spacing w:val="30"/>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hint="eastAsia"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信用承诺函</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其它</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符合供应商须知前附表的规定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rPr>
            </w:pPr>
          </w:p>
        </w:tc>
        <w:tc>
          <w:tcPr>
            <w:tcW w:w="1235"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实质性要求和条件</w:t>
            </w:r>
          </w:p>
        </w:tc>
        <w:tc>
          <w:tcPr>
            <w:tcW w:w="294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pacing w:val="30"/>
                <w:sz w:val="24"/>
                <w:szCs w:val="24"/>
              </w:rPr>
            </w:pPr>
            <w:r>
              <w:rPr>
                <w:rFonts w:hint="eastAsia" w:ascii="仿宋_GB2312" w:hAnsi="仿宋_GB2312" w:eastAsia="仿宋_GB2312" w:cs="仿宋_GB2312"/>
                <w:spacing w:val="30"/>
                <w:sz w:val="24"/>
                <w:szCs w:val="24"/>
              </w:rPr>
              <w:t>满足并响应“供应商须知”规定的情形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highlight w:val="none"/>
              </w:rPr>
            </w:pPr>
            <w:bookmarkStart w:id="105" w:name="_Hlk140325832"/>
            <w:r>
              <w:rPr>
                <w:rFonts w:hint="eastAsia" w:ascii="仿宋_GB2312" w:hAnsi="仿宋_GB2312" w:eastAsia="仿宋_GB2312" w:cs="仿宋_GB2312"/>
                <w:b/>
                <w:bCs/>
                <w:spacing w:val="30"/>
                <w:sz w:val="24"/>
                <w:szCs w:val="24"/>
                <w:highlight w:val="none"/>
              </w:rPr>
              <w:t>详细条款</w:t>
            </w: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pacing w:val="30"/>
                <w:sz w:val="24"/>
                <w:szCs w:val="24"/>
                <w:highlight w:val="none"/>
              </w:rPr>
              <w:t>最低分</w:t>
            </w:r>
          </w:p>
        </w:tc>
        <w:tc>
          <w:tcPr>
            <w:tcW w:w="75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pacing w:val="30"/>
                <w:sz w:val="24"/>
                <w:szCs w:val="24"/>
                <w:highlight w:val="none"/>
              </w:rPr>
              <w:t>最高分</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pacing w:val="30"/>
                <w:sz w:val="24"/>
                <w:szCs w:val="24"/>
                <w:highlight w:val="none"/>
              </w:rPr>
              <w:t>评分点名称</w:t>
            </w:r>
          </w:p>
        </w:tc>
        <w:tc>
          <w:tcPr>
            <w:tcW w:w="220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b/>
                <w:bCs/>
                <w:sz w:val="24"/>
                <w:szCs w:val="24"/>
                <w:highlight w:val="none"/>
              </w:rPr>
            </w:pPr>
            <w:r>
              <w:rPr>
                <w:rFonts w:hint="eastAsia" w:ascii="仿宋_GB2312" w:hAnsi="仿宋_GB2312" w:eastAsia="仿宋_GB2312" w:cs="仿宋_GB2312"/>
                <w:b/>
                <w:bCs/>
                <w:spacing w:val="30"/>
                <w:sz w:val="24"/>
                <w:szCs w:val="24"/>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pacing w:val="30"/>
                <w:sz w:val="24"/>
                <w:szCs w:val="24"/>
                <w:highlight w:val="none"/>
              </w:rPr>
            </w:pPr>
            <w:r>
              <w:rPr>
                <w:rFonts w:hint="eastAsia" w:ascii="仿宋_GB2312" w:hAnsi="仿宋_GB2312" w:eastAsia="仿宋_GB2312" w:cs="仿宋_GB2312"/>
                <w:spacing w:val="30"/>
                <w:sz w:val="24"/>
                <w:szCs w:val="24"/>
                <w:highlight w:val="none"/>
              </w:rPr>
              <w:t>经济标评分参数</w:t>
            </w:r>
          </w:p>
          <w:p>
            <w:pPr>
              <w:pStyle w:val="2"/>
              <w:rPr>
                <w:highlight w:val="none"/>
              </w:rPr>
            </w:pP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0.00</w:t>
            </w:r>
          </w:p>
        </w:tc>
        <w:tc>
          <w:tcPr>
            <w:tcW w:w="755" w:type="pct"/>
            <w:tcBorders>
              <w:top w:val="outset" w:color="auto" w:sz="6" w:space="0"/>
              <w:left w:val="outset" w:color="auto" w:sz="6" w:space="0"/>
              <w:bottom w:val="outset" w:color="auto" w:sz="6" w:space="0"/>
              <w:right w:val="outset" w:color="auto" w:sz="6" w:space="0"/>
            </w:tcBorders>
            <w:vAlign w:val="center"/>
          </w:tcPr>
          <w:p>
            <w:pPr>
              <w:pStyle w:val="2"/>
              <w:ind w:firstLine="0"/>
              <w:jc w:val="center"/>
              <w:rPr>
                <w:rFonts w:hint="default" w:eastAsia="仿宋_GB2312" w:asciiTheme="minorEastAsia" w:hAnsiTheme="minorEastAsia"/>
                <w:highlight w:val="none"/>
                <w:lang w:val="en-US" w:eastAsia="zh-CN"/>
              </w:rPr>
            </w:pPr>
            <w:r>
              <w:rPr>
                <w:rFonts w:hint="eastAsia" w:ascii="仿宋_GB2312" w:hAnsi="仿宋_GB2312" w:cs="仿宋_GB2312"/>
                <w:spacing w:val="30"/>
                <w:sz w:val="24"/>
                <w:szCs w:val="24"/>
                <w:highlight w:val="none"/>
              </w:rPr>
              <w:t>35</w:t>
            </w:r>
            <w:r>
              <w:rPr>
                <w:rFonts w:hint="eastAsia" w:ascii="仿宋_GB2312" w:hAnsi="仿宋_GB2312" w:cs="仿宋_GB2312"/>
                <w:spacing w:val="30"/>
                <w:sz w:val="24"/>
                <w:szCs w:val="24"/>
                <w:highlight w:val="none"/>
                <w:lang w:val="en-US" w:eastAsia="zh-CN"/>
              </w:rPr>
              <w:t>.00</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投标报价</w:t>
            </w:r>
          </w:p>
        </w:tc>
        <w:tc>
          <w:tcPr>
            <w:tcW w:w="0" w:type="auto"/>
            <w:tcBorders>
              <w:top w:val="outset" w:color="auto" w:sz="6" w:space="0"/>
              <w:left w:val="outset" w:color="auto" w:sz="6" w:space="0"/>
              <w:bottom w:val="outset" w:color="auto" w:sz="6" w:space="0"/>
              <w:right w:val="outset" w:color="auto" w:sz="6" w:space="0"/>
            </w:tcBorders>
          </w:tcPr>
          <w:p>
            <w:pPr>
              <w:jc w:val="left"/>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价格分采用低价优先法计算，即满足招标文件要求且评标报价最低的评标报价为评标基准价，其价格分为满分。其他投标人的价格分统一按照下列公式计算： 投标报价得分=(评标基准价／评标报价)×投标报价权重</w:t>
            </w:r>
          </w:p>
          <w:p>
            <w:pPr>
              <w:pStyle w:val="3"/>
              <w:rPr>
                <w:highlight w:val="none"/>
              </w:rPr>
            </w:pPr>
            <w:r>
              <w:rPr>
                <w:rFonts w:hint="eastAsia" w:ascii="仿宋_GB2312" w:hAnsi="仿宋_GB2312" w:cs="仿宋_GB2312"/>
                <w:color w:val="000000"/>
                <w:spacing w:val="14"/>
                <w:sz w:val="24"/>
                <w:szCs w:val="24"/>
                <w:highlight w:val="none"/>
              </w:rPr>
              <w:t>注：所投货物均为小微企业（含监狱企业、残疾人福利性单位）制造的，对其投标报价给予10%的扣除，用扣除后的价格参与评审。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pacing w:val="30"/>
                <w:sz w:val="24"/>
                <w:szCs w:val="24"/>
                <w:highlight w:val="none"/>
              </w:rPr>
              <w:t>技术标评分参数</w:t>
            </w: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color w:val="000000"/>
                <w:spacing w:val="30"/>
                <w:sz w:val="24"/>
                <w:szCs w:val="24"/>
                <w:highlight w:val="none"/>
              </w:rPr>
              <w:t>0.00</w:t>
            </w:r>
          </w:p>
        </w:tc>
        <w:tc>
          <w:tcPr>
            <w:tcW w:w="75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ascii="仿宋_GB2312" w:hAnsi="仿宋_GB2312" w:eastAsia="仿宋_GB2312" w:cs="仿宋_GB2312"/>
                <w:color w:val="000000"/>
                <w:spacing w:val="30"/>
                <w:sz w:val="24"/>
                <w:szCs w:val="24"/>
                <w:highlight w:val="none"/>
              </w:rPr>
              <w:t>2</w:t>
            </w:r>
            <w:r>
              <w:rPr>
                <w:rFonts w:hint="eastAsia" w:ascii="仿宋_GB2312" w:hAnsi="仿宋_GB2312" w:eastAsia="仿宋_GB2312" w:cs="仿宋_GB2312"/>
                <w:color w:val="000000"/>
                <w:spacing w:val="30"/>
                <w:sz w:val="24"/>
                <w:szCs w:val="24"/>
                <w:highlight w:val="none"/>
              </w:rPr>
              <w:t>5.00</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技术指标响 应情况</w:t>
            </w:r>
          </w:p>
        </w:tc>
        <w:tc>
          <w:tcPr>
            <w:tcW w:w="2205" w:type="pct"/>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技术特点、性能指标：</w:t>
            </w:r>
          </w:p>
          <w:p>
            <w:pPr>
              <w:jc w:val="left"/>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磋商文件所涉及的货物需求及技术要求，每有一条不满足的，扣2分，当技术参数响应情况得分等于0分时，视为技术要求不满足，其投标无效。</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817" w:type="pct"/>
            <w:tcBorders>
              <w:left w:val="outset" w:color="auto" w:sz="6" w:space="0"/>
              <w:right w:val="outset" w:color="auto" w:sz="6" w:space="0"/>
            </w:tcBorders>
            <w:vAlign w:val="center"/>
          </w:tcPr>
          <w:p>
            <w:pPr>
              <w:jc w:val="left"/>
              <w:rPr>
                <w:rFonts w:ascii="仿宋_GB2312" w:hAnsi="仿宋_GB2312" w:eastAsia="仿宋_GB2312" w:cs="仿宋_GB2312"/>
                <w:sz w:val="24"/>
                <w:szCs w:val="24"/>
                <w:highlight w:val="none"/>
              </w:rPr>
            </w:pP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0.00</w:t>
            </w:r>
          </w:p>
        </w:tc>
        <w:tc>
          <w:tcPr>
            <w:tcW w:w="755" w:type="pct"/>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8</w:t>
            </w:r>
            <w:r>
              <w:rPr>
                <w:rFonts w:ascii="仿宋_GB2312" w:hAnsi="仿宋_GB2312" w:eastAsia="仿宋_GB2312" w:cs="仿宋_GB2312"/>
                <w:color w:val="000000"/>
                <w:spacing w:val="30"/>
                <w:sz w:val="24"/>
                <w:szCs w:val="24"/>
                <w:highlight w:val="none"/>
              </w:rPr>
              <w:t>.00</w:t>
            </w:r>
          </w:p>
        </w:tc>
        <w:tc>
          <w:tcPr>
            <w:tcW w:w="743" w:type="pct"/>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技术能力</w:t>
            </w:r>
          </w:p>
        </w:tc>
        <w:tc>
          <w:tcPr>
            <w:tcW w:w="2205" w:type="pct"/>
            <w:tcBorders>
              <w:top w:val="outset" w:color="auto" w:sz="6" w:space="0"/>
              <w:left w:val="outset" w:color="auto" w:sz="6" w:space="0"/>
              <w:right w:val="outset" w:color="auto" w:sz="6" w:space="0"/>
            </w:tcBorders>
            <w:vAlign w:val="center"/>
          </w:tcPr>
          <w:p>
            <w:pPr>
              <w:jc w:val="left"/>
              <w:rPr>
                <w:highlight w:val="none"/>
              </w:rPr>
            </w:pPr>
            <w:r>
              <w:rPr>
                <w:rFonts w:hint="eastAsia" w:ascii="仿宋_GB2312" w:hAnsi="仿宋_GB2312" w:eastAsia="仿宋_GB2312" w:cs="仿宋_GB2312"/>
                <w:sz w:val="24"/>
                <w:szCs w:val="24"/>
                <w:highlight w:val="none"/>
              </w:rPr>
              <w:t>1、供应商提供具有CALIS编目中心编目资格证或国家图书馆的编目资格证扫描件（提供详细信息：姓名、性别、年龄、证书编号、职称等）人员4人的得基本分4分，每增加1人得</w:t>
            </w:r>
            <w:r>
              <w:rPr>
                <w:rFonts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rPr>
              <w:t>分，本项最多得6分，不足4人的本项不得分。编目资格证需加盖公司公章以及提供该编目人员缴纳的社保证明。</w:t>
            </w:r>
          </w:p>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2、供应商同时具有有效的质量管理体系认证证书、环境管理体系认证证书、职业健康安全管理体系认证证书，得2分；不提供或提供不全、不符合要求的不得分。</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注：提供证书扫描件，同时提供网站(www.cnca.gov.cn)查询截图，并加盖公章。</w:t>
            </w:r>
          </w:p>
          <w:p>
            <w:pPr>
              <w:pStyle w:val="2"/>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注：投标文件中附原件扫描件。</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trPr>
        <w:tc>
          <w:tcPr>
            <w:tcW w:w="817" w:type="pct"/>
            <w:tcBorders>
              <w:left w:val="outset" w:color="auto" w:sz="6" w:space="0"/>
              <w:right w:val="outset" w:color="auto" w:sz="6" w:space="0"/>
            </w:tcBorders>
            <w:vAlign w:val="center"/>
          </w:tcPr>
          <w:p>
            <w:pPr>
              <w:jc w:val="left"/>
              <w:rPr>
                <w:rFonts w:ascii="仿宋_GB2312" w:hAnsi="仿宋_GB2312" w:eastAsia="仿宋_GB2312" w:cs="仿宋_GB2312"/>
                <w:sz w:val="24"/>
                <w:szCs w:val="24"/>
                <w:highlight w:val="none"/>
              </w:rPr>
            </w:pP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0.00</w:t>
            </w:r>
          </w:p>
        </w:tc>
        <w:tc>
          <w:tcPr>
            <w:tcW w:w="755" w:type="pct"/>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sz w:val="24"/>
                <w:szCs w:val="24"/>
                <w:highlight w:val="none"/>
              </w:rPr>
              <w:t>7.00</w:t>
            </w:r>
          </w:p>
        </w:tc>
        <w:tc>
          <w:tcPr>
            <w:tcW w:w="743" w:type="pct"/>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sz w:val="24"/>
                <w:szCs w:val="24"/>
                <w:highlight w:val="none"/>
              </w:rPr>
              <w:t>正版货品保证措施</w:t>
            </w:r>
          </w:p>
        </w:tc>
        <w:tc>
          <w:tcPr>
            <w:tcW w:w="2205" w:type="pct"/>
            <w:tcBorders>
              <w:top w:val="outset" w:color="auto" w:sz="6" w:space="0"/>
              <w:left w:val="outset" w:color="auto" w:sz="6" w:space="0"/>
              <w:right w:val="outset" w:color="auto" w:sz="6" w:space="0"/>
            </w:tcBorders>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包1~包5：提供招标文件要求的重点出版社针对投标人所出具的授权书，并按照招标文件要求提供的出版社编号顺序排序并附上编号。提供授权书数量不少于15份得5分，每增加1个出版社授权增加1分，最多加2分；授权书低于15份得0分。</w:t>
            </w:r>
          </w:p>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包6：投标人提供正版期刊保证措施方案。内容全面、切实可行、服务明晰的得7分；内容详实、基本完整、针对性较强的得5分；内容较全面、基本可行、针对性一般的得3分；不提供不得分。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restart"/>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pacing w:val="30"/>
                <w:sz w:val="24"/>
                <w:szCs w:val="24"/>
                <w:highlight w:val="none"/>
              </w:rPr>
              <w:t>综合标评分参数</w:t>
            </w: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0.00</w:t>
            </w:r>
          </w:p>
        </w:tc>
        <w:tc>
          <w:tcPr>
            <w:tcW w:w="75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6.00</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企业业绩</w:t>
            </w:r>
          </w:p>
        </w:tc>
        <w:tc>
          <w:tcPr>
            <w:tcW w:w="2205" w:type="pct"/>
            <w:tcBorders>
              <w:top w:val="outset" w:color="auto" w:sz="6" w:space="0"/>
              <w:left w:val="outset" w:color="auto" w:sz="6" w:space="0"/>
              <w:bottom w:val="outset" w:color="auto" w:sz="6" w:space="0"/>
              <w:right w:val="outset" w:color="auto" w:sz="6" w:space="0"/>
            </w:tcBorders>
            <w:vAlign w:val="center"/>
          </w:tcPr>
          <w:p>
            <w:pPr>
              <w:pStyle w:val="52"/>
              <w:kinsoku w:val="0"/>
              <w:overflowPunct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w:t>
            </w:r>
            <w:r>
              <w:rPr>
                <w:rFonts w:ascii="仿宋_GB2312" w:hAnsi="仿宋_GB2312" w:eastAsia="仿宋_GB2312" w:cs="仿宋_GB2312"/>
                <w:sz w:val="24"/>
                <w:szCs w:val="24"/>
                <w:highlight w:val="none"/>
              </w:rPr>
              <w:t>21</w:t>
            </w:r>
            <w:r>
              <w:rPr>
                <w:rFonts w:hint="eastAsia" w:ascii="仿宋_GB2312" w:hAnsi="仿宋_GB2312" w:eastAsia="仿宋_GB2312" w:cs="仿宋_GB2312"/>
                <w:sz w:val="24"/>
                <w:szCs w:val="24"/>
                <w:highlight w:val="none"/>
              </w:rPr>
              <w:t>年1月以来，已完成的类似业绩合作的成功案例。每提供一份合同完整业绩+用户针对合同而出具的售后</w:t>
            </w:r>
            <w:bookmarkStart w:id="131" w:name="_GoBack"/>
            <w:bookmarkEnd w:id="131"/>
            <w:r>
              <w:rPr>
                <w:rFonts w:hint="eastAsia" w:ascii="仿宋_GB2312" w:hAnsi="仿宋_GB2312" w:eastAsia="仿宋_GB2312" w:cs="仿宋_GB2312"/>
                <w:sz w:val="24"/>
                <w:szCs w:val="24"/>
                <w:highlight w:val="none"/>
              </w:rPr>
              <w:t>服务信誉的评价并写明用户的联系方式的，得2分，最多得6分。注：完整业绩=合同+中标通知书+验收报告+网站公布的中标结果公告截图。</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top w:val="outset" w:color="auto" w:sz="6" w:space="0"/>
              <w:left w:val="outset" w:color="auto" w:sz="6" w:space="0"/>
              <w:right w:val="outset" w:color="auto" w:sz="6" w:space="0"/>
            </w:tcBorders>
            <w:vAlign w:val="center"/>
          </w:tcPr>
          <w:p>
            <w:pPr>
              <w:jc w:val="center"/>
              <w:rPr>
                <w:rFonts w:ascii="仿宋_GB2312" w:hAnsi="仿宋_GB2312" w:eastAsia="仿宋_GB2312" w:cs="仿宋_GB2312"/>
                <w:spacing w:val="30"/>
                <w:sz w:val="24"/>
                <w:szCs w:val="24"/>
                <w:highlight w:val="none"/>
              </w:rPr>
            </w:pP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0.00</w:t>
            </w:r>
          </w:p>
        </w:tc>
        <w:tc>
          <w:tcPr>
            <w:tcW w:w="75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30"/>
                <w:sz w:val="24"/>
                <w:szCs w:val="24"/>
                <w:highlight w:val="none"/>
              </w:rPr>
              <w:t>10.00</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color w:val="000000"/>
                <w:spacing w:val="14"/>
                <w:sz w:val="24"/>
                <w:szCs w:val="24"/>
                <w:highlight w:val="none"/>
              </w:rPr>
            </w:pPr>
            <w:r>
              <w:rPr>
                <w:rFonts w:hint="eastAsia" w:ascii="仿宋_GB2312" w:hAnsi="仿宋_GB2312" w:eastAsia="仿宋_GB2312" w:cs="仿宋_GB2312"/>
                <w:color w:val="000000"/>
                <w:spacing w:val="14"/>
                <w:sz w:val="24"/>
                <w:szCs w:val="24"/>
                <w:highlight w:val="none"/>
              </w:rPr>
              <w:t>项目实施</w:t>
            </w:r>
          </w:p>
          <w:p>
            <w:pPr>
              <w:jc w:val="center"/>
              <w:rPr>
                <w:rFonts w:ascii="仿宋_GB2312" w:hAnsi="仿宋_GB2312" w:eastAsia="仿宋_GB2312" w:cs="仿宋_GB2312"/>
                <w:color w:val="000000"/>
                <w:spacing w:val="30"/>
                <w:sz w:val="24"/>
                <w:szCs w:val="24"/>
                <w:highlight w:val="none"/>
              </w:rPr>
            </w:pPr>
            <w:r>
              <w:rPr>
                <w:rFonts w:hint="eastAsia" w:ascii="仿宋_GB2312" w:hAnsi="仿宋_GB2312" w:eastAsia="仿宋_GB2312" w:cs="仿宋_GB2312"/>
                <w:color w:val="000000"/>
                <w:spacing w:val="14"/>
                <w:sz w:val="24"/>
                <w:szCs w:val="24"/>
                <w:highlight w:val="none"/>
              </w:rPr>
              <w:t>方案、</w:t>
            </w:r>
            <w:r>
              <w:rPr>
                <w:rFonts w:hint="eastAsia" w:ascii="仿宋_GB2312" w:hAnsi="仿宋_GB2312" w:eastAsia="仿宋_GB2312" w:cs="仿宋_GB2312"/>
                <w:sz w:val="24"/>
                <w:szCs w:val="24"/>
                <w:highlight w:val="none"/>
              </w:rPr>
              <w:t>交货保证及措施</w:t>
            </w:r>
          </w:p>
        </w:tc>
        <w:tc>
          <w:tcPr>
            <w:tcW w:w="2205" w:type="pct"/>
            <w:tcBorders>
              <w:top w:val="outset" w:color="auto" w:sz="6" w:space="0"/>
              <w:left w:val="outset" w:color="auto" w:sz="6" w:space="0"/>
              <w:bottom w:val="outset" w:color="auto" w:sz="6" w:space="0"/>
              <w:right w:val="outset" w:color="auto" w:sz="6" w:space="0"/>
            </w:tcBorders>
            <w:vAlign w:val="center"/>
          </w:tcPr>
          <w:p>
            <w:pPr>
              <w:pStyle w:val="52"/>
              <w:kinsoku w:val="0"/>
              <w:overflowPunct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针对本馆图书采购要求，撰写项目实施方案。方案应该体现下列要素：编目与加工方案、典藏与上架方案、图书供应配送时间、配送方式、交货保证、措施、图书总验收、退（换）书流程及技术培训方案和其他优惠措施等。内容科学、合理、切实可行，完善程度非常全面准确的，得10分；内容科学、合理、切实可行、完善程度比较全面的，得6分；内容科学、合理、完善程度上一般，得3分。投标人没有提供上述内容，或提供的不完整的，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left w:val="outset" w:color="auto" w:sz="6" w:space="0"/>
              <w:right w:val="outset" w:color="auto" w:sz="6" w:space="0"/>
            </w:tcBorders>
            <w:vAlign w:val="center"/>
          </w:tcPr>
          <w:p>
            <w:pPr>
              <w:jc w:val="left"/>
              <w:rPr>
                <w:rFonts w:ascii="仿宋_GB2312" w:hAnsi="仿宋_GB2312" w:eastAsia="仿宋_GB2312" w:cs="仿宋_GB2312"/>
                <w:sz w:val="24"/>
                <w:szCs w:val="24"/>
                <w:highlight w:val="none"/>
              </w:rPr>
            </w:pP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0.00</w:t>
            </w:r>
          </w:p>
        </w:tc>
        <w:tc>
          <w:tcPr>
            <w:tcW w:w="75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1.00</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专用场地</w:t>
            </w:r>
          </w:p>
        </w:tc>
        <w:tc>
          <w:tcPr>
            <w:tcW w:w="2205" w:type="pct"/>
            <w:tcBorders>
              <w:top w:val="outset" w:color="auto" w:sz="6" w:space="0"/>
              <w:left w:val="outset" w:color="auto" w:sz="6" w:space="0"/>
              <w:bottom w:val="outset" w:color="auto" w:sz="6" w:space="0"/>
              <w:right w:val="outset" w:color="auto" w:sz="6" w:space="0"/>
            </w:tcBorders>
            <w:vAlign w:val="center"/>
          </w:tcPr>
          <w:p>
            <w:pPr>
              <w:jc w:val="left"/>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投标人拥有专用的样书展厅或销售场地,提供房产证证明或租赁证明及可证明是投标人在用的场地实景图片。住宅用房无效。提供场地证明的，得1分； 没有提供上述内容，或提供的材料不完整的得0分。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817" w:type="pct"/>
            <w:vMerge w:val="continue"/>
            <w:tcBorders>
              <w:left w:val="outset" w:color="auto" w:sz="6" w:space="0"/>
              <w:right w:val="outset" w:color="auto" w:sz="6" w:space="0"/>
            </w:tcBorders>
            <w:vAlign w:val="center"/>
          </w:tcPr>
          <w:p>
            <w:pPr>
              <w:jc w:val="left"/>
              <w:rPr>
                <w:rFonts w:ascii="仿宋_GB2312" w:hAnsi="仿宋_GB2312" w:eastAsia="仿宋_GB2312" w:cs="仿宋_GB2312"/>
                <w:sz w:val="24"/>
                <w:szCs w:val="24"/>
                <w:highlight w:val="none"/>
              </w:rPr>
            </w:pPr>
          </w:p>
        </w:tc>
        <w:tc>
          <w:tcPr>
            <w:tcW w:w="480"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pacing w:val="30"/>
                <w:sz w:val="24"/>
                <w:szCs w:val="24"/>
                <w:highlight w:val="none"/>
              </w:rPr>
            </w:pPr>
            <w:r>
              <w:rPr>
                <w:rFonts w:hint="eastAsia" w:ascii="仿宋_GB2312" w:hAnsi="仿宋_GB2312" w:eastAsia="仿宋_GB2312" w:cs="仿宋_GB2312"/>
                <w:color w:val="000000"/>
                <w:spacing w:val="30"/>
                <w:sz w:val="24"/>
                <w:szCs w:val="24"/>
                <w:highlight w:val="none"/>
              </w:rPr>
              <w:t>0.00</w:t>
            </w:r>
          </w:p>
        </w:tc>
        <w:tc>
          <w:tcPr>
            <w:tcW w:w="755"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743" w:type="pct"/>
            <w:tcBorders>
              <w:top w:val="outset" w:color="auto" w:sz="6" w:space="0"/>
              <w:left w:val="outset" w:color="auto" w:sz="6" w:space="0"/>
              <w:bottom w:val="outset" w:color="auto" w:sz="6" w:space="0"/>
              <w:right w:val="outset" w:color="auto" w:sz="6" w:space="0"/>
            </w:tcBorders>
            <w:vAlign w:val="center"/>
          </w:tcPr>
          <w:p>
            <w:pPr>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售后服务</w:t>
            </w:r>
          </w:p>
        </w:tc>
        <w:tc>
          <w:tcPr>
            <w:tcW w:w="2205" w:type="pct"/>
            <w:tcBorders>
              <w:top w:val="outset" w:color="auto" w:sz="6" w:space="0"/>
              <w:left w:val="outset" w:color="auto" w:sz="6" w:space="0"/>
              <w:bottom w:val="outset" w:color="auto" w:sz="6" w:space="0"/>
              <w:right w:val="outset" w:color="auto" w:sz="6" w:space="0"/>
            </w:tcBorders>
            <w:vAlign w:val="center"/>
          </w:tcPr>
          <w:p>
            <w:pPr>
              <w:pStyle w:val="2"/>
              <w:numPr>
                <w:ilvl w:val="0"/>
                <w:numId w:val="15"/>
              </w:numPr>
              <w:spacing w:after="0"/>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售后服务方案：根据供应商售后服务方案（至少包括服务保证、服务范围、技术服务、售后响应时间等）的合理性。内容全面、切实可行、服务明晰的得5分；内容详实、基本完整，针对性较强得3分；内容较全面、基本可行、针对性一般的得1分；不提供不得分。</w:t>
            </w:r>
          </w:p>
          <w:p>
            <w:pPr>
              <w:pStyle w:val="2"/>
              <w:spacing w:after="0"/>
              <w:ind w:firstLine="0"/>
              <w:rPr>
                <w:rFonts w:ascii="仿宋_GB2312" w:hAnsi="仿宋_GB2312" w:cs="仿宋_GB2312"/>
                <w:sz w:val="24"/>
                <w:szCs w:val="24"/>
                <w:highlight w:val="none"/>
              </w:rPr>
            </w:pPr>
            <w:r>
              <w:rPr>
                <w:rFonts w:hint="eastAsia" w:ascii="仿宋_GB2312" w:hAnsi="仿宋_GB2312" w:cs="仿宋_GB2312"/>
                <w:sz w:val="24"/>
                <w:szCs w:val="24"/>
                <w:highlight w:val="none"/>
              </w:rPr>
              <w:t>2、售后增值服务：投标人为图书馆提供馆藏信息分析、专题讲座、专题书展，对采购方的阅读活动等各项增值服务。评标委员会根据上述增值服务方案要点提供证明材料进行评分。内容详实，考虑周全，方案科学、合理得3分；内容基本完整，方案在科学、合理性方面一般得1分；不提供的得0分。</w:t>
            </w:r>
          </w:p>
        </w:tc>
      </w:tr>
      <w:bookmarkEnd w:id="105"/>
    </w:tbl>
    <w:p>
      <w:pPr>
        <w:spacing w:after="100" w:afterAutospacing="1"/>
        <w:rPr>
          <w:rFonts w:ascii="仿宋_GB2312" w:hAnsi="仿宋_GB2312" w:eastAsia="仿宋_GB2312" w:cs="仿宋_GB2312"/>
          <w:highlight w:val="none"/>
        </w:rPr>
      </w:pPr>
    </w:p>
    <w:p>
      <w:pPr>
        <w:pStyle w:val="14"/>
        <w:rPr>
          <w:rFonts w:ascii="仿宋_GB2312" w:hAnsi="仿宋_GB2312" w:eastAsia="仿宋_GB2312" w:cs="仿宋_GB2312"/>
          <w:lang w:eastAsia="zh-CN"/>
        </w:rPr>
      </w:pPr>
      <w:r>
        <w:rPr>
          <w:rFonts w:hint="eastAsia" w:ascii="仿宋_GB2312" w:hAnsi="仿宋_GB2312" w:eastAsia="仿宋_GB2312" w:cs="仿宋_GB2312"/>
          <w:highlight w:val="white"/>
          <w:lang w:eastAsia="zh-CN"/>
        </w:rPr>
        <w:br w:type="page"/>
      </w:r>
      <w:bookmarkStart w:id="106" w:name="_Toc3904808"/>
      <w:bookmarkStart w:id="107" w:name="_Toc256000007"/>
      <w:bookmarkStart w:id="108" w:name="_Toc256000016"/>
      <w:r>
        <w:rPr>
          <w:rFonts w:hint="eastAsia" w:ascii="仿宋_GB2312" w:hAnsi="仿宋_GB2312" w:eastAsia="仿宋_GB2312" w:cs="仿宋_GB2312"/>
          <w:lang w:eastAsia="zh-CN"/>
        </w:rPr>
        <w:t>第七章   投标文件格式</w:t>
      </w:r>
      <w:bookmarkEnd w:id="106"/>
      <w:bookmarkEnd w:id="107"/>
      <w:bookmarkEnd w:id="108"/>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highlight w:val="red"/>
        </w:rPr>
      </w:pPr>
      <w:r>
        <w:rPr>
          <w:rFonts w:hint="eastAsia" w:ascii="仿宋_GB2312" w:hAnsi="仿宋_GB2312" w:eastAsia="仿宋_GB2312" w:cs="仿宋_GB2312"/>
          <w:highlight w:val="white"/>
        </w:rPr>
        <w:br w:type="page"/>
      </w:r>
      <w:bookmarkStart w:id="109" w:name="EB9d870bdb7a1d498e842468ddcd11f267"/>
    </w:p>
    <w:p>
      <w:pPr>
        <w:pStyle w:val="54"/>
        <w:outlineLvl w:val="1"/>
        <w:rPr>
          <w:rFonts w:ascii="仿宋_GB2312" w:hAnsi="仿宋_GB2312" w:eastAsia="仿宋_GB2312" w:cs="仿宋_GB2312"/>
        </w:rPr>
      </w:pPr>
      <w:bookmarkStart w:id="110" w:name="_Toc256000017"/>
      <w:r>
        <w:rPr>
          <w:rFonts w:hint="eastAsia" w:ascii="仿宋_GB2312" w:hAnsi="仿宋_GB2312" w:eastAsia="仿宋_GB2312" w:cs="仿宋_GB2312"/>
        </w:rPr>
        <w:t>一、投标文件格式</w:t>
      </w:r>
      <w:bookmarkEnd w:id="110"/>
    </w:p>
    <w:p>
      <w:pPr>
        <w:pStyle w:val="55"/>
        <w:outlineLvl w:val="2"/>
        <w:rPr>
          <w:rFonts w:ascii="仿宋_GB2312" w:hAnsi="仿宋_GB2312" w:eastAsia="仿宋_GB2312" w:cs="仿宋_GB2312"/>
        </w:rPr>
      </w:pPr>
      <w:r>
        <w:rPr>
          <w:rFonts w:hint="eastAsia" w:ascii="仿宋_GB2312" w:hAnsi="仿宋_GB2312" w:eastAsia="仿宋_GB2312" w:cs="仿宋_GB2312"/>
        </w:rPr>
        <w:br w:type="page"/>
      </w:r>
      <w:bookmarkStart w:id="111" w:name="_Toc256000018"/>
      <w:r>
        <w:rPr>
          <w:rFonts w:hint="eastAsia" w:ascii="仿宋_GB2312" w:hAnsi="仿宋_GB2312" w:eastAsia="仿宋_GB2312" w:cs="仿宋_GB2312"/>
        </w:rPr>
        <w:t>一、封面</w:t>
      </w:r>
      <w:bookmarkEnd w:id="111"/>
    </w:p>
    <w:p>
      <w:pPr>
        <w:pStyle w:val="56"/>
        <w:widowControl/>
        <w:jc w:val="center"/>
        <w:rPr>
          <w:rFonts w:ascii="仿宋_GB2312" w:hAnsi="仿宋_GB2312" w:eastAsia="仿宋_GB2312" w:cs="仿宋_GB2312"/>
          <w:b/>
          <w:spacing w:val="14"/>
          <w:kern w:val="0"/>
          <w:sz w:val="84"/>
          <w:szCs w:val="84"/>
        </w:rPr>
      </w:pPr>
      <w:r>
        <w:rPr>
          <w:rFonts w:hint="eastAsia" w:ascii="仿宋_GB2312" w:hAnsi="仿宋_GB2312" w:eastAsia="仿宋_GB2312" w:cs="仿宋_GB2312"/>
          <w:b/>
          <w:spacing w:val="14"/>
          <w:kern w:val="0"/>
          <w:sz w:val="84"/>
          <w:szCs w:val="84"/>
        </w:rPr>
        <w:t>投标文件</w:t>
      </w:r>
    </w:p>
    <w:p>
      <w:pPr>
        <w:pStyle w:val="56"/>
        <w:widowControl/>
        <w:ind w:firstLine="420"/>
        <w:rPr>
          <w:rFonts w:ascii="仿宋_GB2312" w:hAnsi="仿宋_GB2312" w:eastAsia="仿宋_GB2312" w:cs="仿宋_GB2312"/>
          <w:spacing w:val="14"/>
          <w:kern w:val="0"/>
          <w:sz w:val="30"/>
          <w:szCs w:val="30"/>
        </w:rPr>
      </w:pPr>
      <w:r>
        <w:rPr>
          <w:rFonts w:hint="eastAsia" w:ascii="仿宋_GB2312" w:hAnsi="仿宋_GB2312" w:eastAsia="仿宋_GB2312" w:cs="仿宋_GB2312"/>
          <w:spacing w:val="14"/>
          <w:kern w:val="0"/>
          <w:sz w:val="30"/>
          <w:szCs w:val="30"/>
        </w:rPr>
        <w:t>项目名称：</w:t>
      </w:r>
    </w:p>
    <w:p>
      <w:pPr>
        <w:pStyle w:val="56"/>
        <w:widowControl/>
        <w:ind w:firstLine="420"/>
        <w:rPr>
          <w:rFonts w:ascii="仿宋_GB2312" w:hAnsi="仿宋_GB2312" w:eastAsia="仿宋_GB2312" w:cs="仿宋_GB2312"/>
          <w:spacing w:val="14"/>
          <w:kern w:val="0"/>
          <w:sz w:val="30"/>
          <w:szCs w:val="30"/>
        </w:rPr>
      </w:pPr>
      <w:r>
        <w:rPr>
          <w:rFonts w:hint="eastAsia" w:ascii="仿宋_GB2312" w:hAnsi="仿宋_GB2312" w:eastAsia="仿宋_GB2312" w:cs="仿宋_GB2312"/>
          <w:spacing w:val="14"/>
          <w:kern w:val="0"/>
          <w:sz w:val="30"/>
          <w:szCs w:val="30"/>
        </w:rPr>
        <w:t>项目编号：</w:t>
      </w:r>
    </w:p>
    <w:p>
      <w:pPr>
        <w:pStyle w:val="56"/>
        <w:widowControl/>
        <w:ind w:firstLine="420"/>
        <w:rPr>
          <w:rFonts w:ascii="仿宋_GB2312" w:hAnsi="仿宋_GB2312" w:eastAsia="仿宋_GB2312" w:cs="仿宋_GB2312"/>
          <w:spacing w:val="14"/>
          <w:kern w:val="0"/>
          <w:sz w:val="30"/>
          <w:szCs w:val="30"/>
        </w:rPr>
      </w:pPr>
      <w:r>
        <w:rPr>
          <w:rFonts w:hint="eastAsia" w:ascii="仿宋_GB2312" w:hAnsi="仿宋_GB2312" w:eastAsia="仿宋_GB2312" w:cs="仿宋_GB2312"/>
          <w:spacing w:val="14"/>
          <w:kern w:val="0"/>
          <w:sz w:val="30"/>
          <w:szCs w:val="30"/>
        </w:rPr>
        <w:t>包号：</w:t>
      </w:r>
    </w:p>
    <w:p>
      <w:pPr>
        <w:pStyle w:val="56"/>
        <w:widowControl/>
        <w:ind w:firstLine="420"/>
        <w:rPr>
          <w:rFonts w:ascii="仿宋_GB2312" w:hAnsi="仿宋_GB2312" w:eastAsia="仿宋_GB2312" w:cs="仿宋_GB2312"/>
          <w:spacing w:val="14"/>
          <w:kern w:val="0"/>
          <w:sz w:val="30"/>
          <w:szCs w:val="30"/>
        </w:rPr>
      </w:pPr>
    </w:p>
    <w:p>
      <w:pPr>
        <w:pStyle w:val="56"/>
        <w:widowControl/>
        <w:rPr>
          <w:rFonts w:ascii="仿宋_GB2312" w:hAnsi="仿宋_GB2312" w:eastAsia="仿宋_GB2312" w:cs="仿宋_GB2312"/>
          <w:spacing w:val="14"/>
          <w:kern w:val="0"/>
          <w:sz w:val="30"/>
          <w:szCs w:val="30"/>
        </w:rPr>
      </w:pPr>
    </w:p>
    <w:p>
      <w:pPr>
        <w:pStyle w:val="56"/>
        <w:widowControl/>
        <w:rPr>
          <w:rFonts w:ascii="仿宋_GB2312" w:hAnsi="仿宋_GB2312" w:eastAsia="仿宋_GB2312" w:cs="仿宋_GB2312"/>
          <w:spacing w:val="14"/>
          <w:kern w:val="0"/>
          <w:sz w:val="30"/>
          <w:szCs w:val="30"/>
        </w:rPr>
      </w:pPr>
    </w:p>
    <w:p>
      <w:pPr>
        <w:pStyle w:val="56"/>
        <w:widowControl/>
        <w:rPr>
          <w:rFonts w:ascii="仿宋_GB2312" w:hAnsi="仿宋_GB2312" w:eastAsia="仿宋_GB2312" w:cs="仿宋_GB2312"/>
          <w:spacing w:val="14"/>
          <w:kern w:val="0"/>
          <w:sz w:val="30"/>
          <w:szCs w:val="30"/>
        </w:rPr>
      </w:pPr>
    </w:p>
    <w:p>
      <w:pPr>
        <w:pStyle w:val="56"/>
        <w:widowControl/>
        <w:rPr>
          <w:rFonts w:ascii="仿宋_GB2312" w:hAnsi="仿宋_GB2312" w:eastAsia="仿宋_GB2312" w:cs="仿宋_GB2312"/>
          <w:spacing w:val="14"/>
          <w:kern w:val="0"/>
          <w:sz w:val="30"/>
          <w:szCs w:val="30"/>
        </w:rPr>
      </w:pPr>
    </w:p>
    <w:p>
      <w:pPr>
        <w:pStyle w:val="56"/>
        <w:widowControl/>
        <w:rPr>
          <w:rFonts w:ascii="仿宋_GB2312" w:hAnsi="仿宋_GB2312" w:eastAsia="仿宋_GB2312" w:cs="仿宋_GB2312"/>
          <w:spacing w:val="14"/>
          <w:kern w:val="0"/>
          <w:sz w:val="30"/>
          <w:szCs w:val="30"/>
        </w:rPr>
      </w:pPr>
    </w:p>
    <w:p>
      <w:pPr>
        <w:pStyle w:val="56"/>
        <w:rPr>
          <w:rFonts w:ascii="仿宋_GB2312" w:hAnsi="仿宋_GB2312" w:eastAsia="仿宋_GB2312" w:cs="仿宋_GB2312"/>
          <w:kern w:val="0"/>
          <w:sz w:val="20"/>
          <w:szCs w:val="20"/>
        </w:rPr>
      </w:pPr>
    </w:p>
    <w:p>
      <w:pPr>
        <w:pStyle w:val="56"/>
        <w:rPr>
          <w:rFonts w:ascii="仿宋_GB2312" w:hAnsi="仿宋_GB2312" w:eastAsia="仿宋_GB2312" w:cs="仿宋_GB2312"/>
          <w:kern w:val="0"/>
          <w:sz w:val="20"/>
          <w:szCs w:val="20"/>
        </w:rPr>
      </w:pPr>
    </w:p>
    <w:p>
      <w:pPr>
        <w:pStyle w:val="56"/>
        <w:widowControl/>
        <w:rPr>
          <w:rFonts w:ascii="仿宋_GB2312" w:hAnsi="仿宋_GB2312" w:eastAsia="仿宋_GB2312" w:cs="仿宋_GB2312"/>
          <w:spacing w:val="14"/>
          <w:kern w:val="0"/>
          <w:sz w:val="30"/>
          <w:szCs w:val="30"/>
        </w:rPr>
      </w:pPr>
    </w:p>
    <w:p>
      <w:pPr>
        <w:pStyle w:val="56"/>
        <w:widowControl/>
        <w:rPr>
          <w:rFonts w:ascii="仿宋_GB2312" w:hAnsi="仿宋_GB2312" w:eastAsia="仿宋_GB2312" w:cs="仿宋_GB2312"/>
          <w:spacing w:val="14"/>
          <w:kern w:val="0"/>
          <w:sz w:val="30"/>
          <w:szCs w:val="30"/>
        </w:rPr>
      </w:pPr>
    </w:p>
    <w:p>
      <w:pPr>
        <w:pStyle w:val="56"/>
        <w:widowControl/>
        <w:ind w:firstLine="420"/>
        <w:rPr>
          <w:rFonts w:ascii="仿宋_GB2312" w:hAnsi="仿宋_GB2312" w:eastAsia="仿宋_GB2312" w:cs="仿宋_GB2312"/>
          <w:spacing w:val="14"/>
          <w:kern w:val="0"/>
          <w:sz w:val="30"/>
          <w:szCs w:val="30"/>
        </w:rPr>
      </w:pPr>
      <w:r>
        <w:rPr>
          <w:rFonts w:hint="eastAsia" w:ascii="仿宋_GB2312" w:hAnsi="仿宋_GB2312" w:eastAsia="仿宋_GB2312" w:cs="仿宋_GB2312"/>
          <w:spacing w:val="14"/>
          <w:kern w:val="0"/>
          <w:sz w:val="30"/>
          <w:szCs w:val="30"/>
        </w:rPr>
        <w:t>投标人名称：</w:t>
      </w:r>
    </w:p>
    <w:p>
      <w:pPr>
        <w:pStyle w:val="56"/>
        <w:widowControl/>
        <w:ind w:right="2465" w:firstLine="420"/>
        <w:rPr>
          <w:rFonts w:ascii="仿宋_GB2312" w:hAnsi="仿宋_GB2312" w:eastAsia="仿宋_GB2312" w:cs="仿宋_GB2312"/>
          <w:spacing w:val="14"/>
          <w:kern w:val="0"/>
          <w:sz w:val="30"/>
          <w:szCs w:val="30"/>
        </w:rPr>
      </w:pPr>
      <w:r>
        <w:rPr>
          <w:rFonts w:hint="eastAsia" w:ascii="仿宋_GB2312" w:hAnsi="仿宋_GB2312" w:eastAsia="仿宋_GB2312" w:cs="仿宋_GB2312"/>
          <w:spacing w:val="14"/>
          <w:kern w:val="0"/>
          <w:sz w:val="30"/>
          <w:szCs w:val="30"/>
        </w:rPr>
        <w:t xml:space="preserve">日期：  </w:t>
      </w:r>
    </w:p>
    <w:p>
      <w:pPr>
        <w:pStyle w:val="57"/>
        <w:ind w:firstLine="0"/>
        <w:rPr>
          <w:rFonts w:ascii="仿宋_GB2312" w:hAnsi="仿宋_GB2312" w:eastAsia="仿宋_GB2312" w:cs="仿宋_GB2312"/>
          <w:spacing w:val="14"/>
          <w:szCs w:val="21"/>
        </w:rPr>
      </w:pPr>
    </w:p>
    <w:p>
      <w:pPr>
        <w:pStyle w:val="61"/>
        <w:outlineLvl w:val="2"/>
        <w:rPr>
          <w:rFonts w:ascii="仿宋_GB2312" w:hAnsi="仿宋_GB2312" w:eastAsia="仿宋_GB2312" w:cs="仿宋_GB2312"/>
        </w:rPr>
      </w:pPr>
      <w:r>
        <w:rPr>
          <w:rFonts w:hint="eastAsia" w:ascii="仿宋_GB2312" w:hAnsi="仿宋_GB2312" w:eastAsia="仿宋_GB2312" w:cs="仿宋_GB2312"/>
        </w:rPr>
        <w:br w:type="page"/>
      </w:r>
      <w:bookmarkStart w:id="112" w:name="_Toc256000019"/>
      <w:r>
        <w:rPr>
          <w:rFonts w:hint="eastAsia" w:ascii="仿宋_GB2312" w:hAnsi="仿宋_GB2312" w:eastAsia="仿宋_GB2312" w:cs="仿宋_GB2312"/>
        </w:rPr>
        <w:t>二、投标函</w:t>
      </w:r>
      <w:bookmarkEnd w:id="112"/>
    </w:p>
    <w:p>
      <w:pPr>
        <w:pStyle w:val="62"/>
        <w:widowControl/>
        <w:jc w:val="center"/>
        <w:rPr>
          <w:rFonts w:ascii="仿宋_GB2312" w:hAnsi="仿宋_GB2312" w:eastAsia="仿宋_GB2312" w:cs="仿宋_GB2312"/>
          <w:spacing w:val="14"/>
          <w:kern w:val="0"/>
          <w:sz w:val="28"/>
          <w:szCs w:val="28"/>
        </w:rPr>
      </w:pPr>
      <w:r>
        <w:rPr>
          <w:rFonts w:hint="eastAsia" w:ascii="仿宋_GB2312" w:hAnsi="仿宋_GB2312" w:eastAsia="仿宋_GB2312" w:cs="仿宋_GB2312"/>
          <w:spacing w:val="14"/>
          <w:kern w:val="0"/>
          <w:sz w:val="28"/>
          <w:szCs w:val="28"/>
        </w:rPr>
        <w:t>投标函</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致：</w:t>
      </w:r>
      <w:r>
        <w:rPr>
          <w:rFonts w:hint="eastAsia" w:ascii="仿宋_GB2312" w:hAnsi="仿宋_GB2312" w:eastAsia="仿宋_GB2312" w:cs="仿宋_GB2312"/>
          <w:spacing w:val="14"/>
          <w:kern w:val="0"/>
          <w:szCs w:val="21"/>
          <w:u w:val="single" w:color="000000"/>
        </w:rPr>
        <w:t xml:space="preserve">              </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根据贵方项目编号为</w:t>
      </w:r>
      <w:r>
        <w:rPr>
          <w:rFonts w:hint="eastAsia" w:ascii="仿宋_GB2312" w:hAnsi="仿宋_GB2312" w:eastAsia="仿宋_GB2312" w:cs="仿宋_GB2312"/>
          <w:spacing w:val="14"/>
          <w:kern w:val="0"/>
          <w:szCs w:val="21"/>
          <w:u w:val="single" w:color="000000"/>
        </w:rPr>
        <w:t xml:space="preserve">                </w:t>
      </w:r>
      <w:r>
        <w:rPr>
          <w:rFonts w:hint="eastAsia" w:ascii="仿宋_GB2312" w:hAnsi="仿宋_GB2312" w:eastAsia="仿宋_GB2312" w:cs="仿宋_GB2312"/>
          <w:spacing w:val="14"/>
          <w:kern w:val="0"/>
          <w:szCs w:val="21"/>
        </w:rPr>
        <w:t>的招标公告，我方签字代表经正式授权并代表投标人提交投标文件及相关资料，并对之负法律责任。</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据此函，签字代表宣布同意如下：</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1、依法依规、诚实守信、公平竞争参加本次招标活动。</w:t>
      </w:r>
    </w:p>
    <w:p>
      <w:pPr>
        <w:pStyle w:val="62"/>
        <w:widowControl/>
        <w:ind w:firstLine="482"/>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w:t>
      </w:r>
      <w:r>
        <w:rPr>
          <w:rFonts w:hint="eastAsia" w:ascii="仿宋_GB2312" w:hAnsi="仿宋_GB2312" w:eastAsia="仿宋_GB2312" w:cs="仿宋_GB2312"/>
          <w:color w:val="000000"/>
          <w:spacing w:val="14"/>
          <w:kern w:val="0"/>
          <w:szCs w:val="21"/>
        </w:rPr>
        <w:t>我方保证投标文件中的所有资料均为真实、准确、完整、有效的，且不具有任何误导性，否则，我方承诺投标文件无效并自愿承担一切法律责任。</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3、我方的投标报价详见开标一览表。</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4、我方承诺除技术要求响应与偏差表、商务要求响应与偏差表列出的偏差外，我方响应招标文件的全部要求。</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5、我方愿遵守《中华人民共和国政府采购法》及相关的政府采购法律法规，按《中华人民共和国合同法》履行我方的全部责任。</w:t>
      </w:r>
    </w:p>
    <w:p>
      <w:pPr>
        <w:pStyle w:val="62"/>
        <w:widowControl/>
        <w:ind w:firstLine="482"/>
        <w:rPr>
          <w:rFonts w:ascii="仿宋_GB2312" w:hAnsi="仿宋_GB2312" w:eastAsia="仿宋_GB2312" w:cs="仿宋_GB2312"/>
          <w:spacing w:val="14"/>
          <w:szCs w:val="21"/>
        </w:rPr>
      </w:pPr>
      <w:r>
        <w:rPr>
          <w:rFonts w:hint="eastAsia" w:ascii="仿宋_GB2312" w:hAnsi="仿宋_GB2312" w:eastAsia="仿宋_GB2312" w:cs="仿宋_GB2312"/>
          <w:spacing w:val="14"/>
          <w:szCs w:val="21"/>
        </w:rPr>
        <w:t>6、我方已认真仔细研究招标文件全部内容，包括修改文件以及全部参考资料和有关附件。我们完全理解并同意放弃对这方面有不明及误解的权力。</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7、我方承诺投标有效期为提交投标文件截止时间后</w:t>
      </w:r>
      <w:r>
        <w:rPr>
          <w:rFonts w:hint="eastAsia" w:ascii="仿宋_GB2312" w:hAnsi="仿宋_GB2312" w:eastAsia="仿宋_GB2312" w:cs="仿宋_GB2312"/>
          <w:spacing w:val="14"/>
          <w:kern w:val="0"/>
          <w:szCs w:val="21"/>
          <w:u w:val="single"/>
        </w:rPr>
        <w:t xml:space="preserve">   </w:t>
      </w:r>
      <w:r>
        <w:rPr>
          <w:rFonts w:hint="eastAsia" w:ascii="仿宋_GB2312" w:hAnsi="仿宋_GB2312" w:eastAsia="仿宋_GB2312" w:cs="仿宋_GB2312"/>
          <w:spacing w:val="14"/>
          <w:kern w:val="0"/>
          <w:szCs w:val="21"/>
        </w:rPr>
        <w:t>天，并在招标文件规定的投标有效期内不撤销投标文件。</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8、如果我方的行为符合本招标文件规定的投标保证金不予退还情形的，我方同意不退还我方提交的投标保证金。</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9、我方同意按照贵方的要求提供与投标有关的一切数据或资料，理解贵方不一定接受最低报价的投标或收到的任何投标。</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10、我方在此声明，所提交的投标文件及有关资料内容完整、真实和准确，且不存在第二章“投标人须知”第 1.4.3 项规定的任何一种情形。</w:t>
      </w:r>
    </w:p>
    <w:p>
      <w:pPr>
        <w:pStyle w:val="62"/>
        <w:widowControl/>
        <w:ind w:firstLine="482"/>
        <w:rPr>
          <w:rFonts w:ascii="仿宋_GB2312" w:hAnsi="仿宋_GB2312" w:eastAsia="仿宋_GB2312" w:cs="仿宋_GB2312"/>
          <w:bCs/>
          <w:spacing w:val="14"/>
          <w:kern w:val="0"/>
          <w:szCs w:val="21"/>
        </w:rPr>
      </w:pPr>
      <w:r>
        <w:rPr>
          <w:rFonts w:hint="eastAsia" w:ascii="仿宋_GB2312" w:hAnsi="仿宋_GB2312" w:eastAsia="仿宋_GB2312" w:cs="仿宋_GB2312"/>
          <w:bCs/>
          <w:spacing w:val="14"/>
          <w:kern w:val="0"/>
          <w:szCs w:val="21"/>
        </w:rPr>
        <w:t>11、如果我方被确定为中标人，我方愿意按招标文件的规定交纳履约保证金。我方如无不可抗力，放弃中标，或者未履行招标文件、投标文件和合同条款的，一经查实，我方愿意赔偿由此而造成的一切损失，并同意接受按相关法律法规和招标文件的相关要求对我方进行的处罚。</w:t>
      </w:r>
    </w:p>
    <w:p>
      <w:pPr>
        <w:pStyle w:val="62"/>
        <w:widowControl/>
        <w:ind w:firstLine="482"/>
        <w:rPr>
          <w:rFonts w:ascii="仿宋_GB2312" w:hAnsi="仿宋_GB2312" w:eastAsia="仿宋_GB2312" w:cs="仿宋_GB2312"/>
          <w:bCs/>
          <w:spacing w:val="14"/>
          <w:kern w:val="0"/>
          <w:szCs w:val="21"/>
        </w:rPr>
      </w:pPr>
      <w:r>
        <w:rPr>
          <w:rFonts w:hint="eastAsia" w:ascii="仿宋_GB2312" w:hAnsi="仿宋_GB2312" w:eastAsia="仿宋_GB2312" w:cs="仿宋_GB2312"/>
          <w:bCs/>
          <w:spacing w:val="14"/>
          <w:kern w:val="0"/>
          <w:szCs w:val="21"/>
        </w:rPr>
        <w:t>12、采购人若需追加采购本项目招标文件所列货物及相关伴随服务的，在不改变合同其他实质性条款的前提下，我方将按相同或更优惠的折扣率保证供货。</w:t>
      </w:r>
    </w:p>
    <w:p>
      <w:pPr>
        <w:pStyle w:val="62"/>
        <w:widowControl/>
        <w:ind w:firstLine="482"/>
        <w:rPr>
          <w:rFonts w:ascii="仿宋_GB2312" w:hAnsi="仿宋_GB2312" w:eastAsia="仿宋_GB2312" w:cs="仿宋_GB2312"/>
          <w:bCs/>
          <w:spacing w:val="14"/>
          <w:kern w:val="0"/>
          <w:szCs w:val="21"/>
        </w:rPr>
      </w:pPr>
      <w:r>
        <w:rPr>
          <w:rFonts w:hint="eastAsia" w:ascii="仿宋_GB2312" w:hAnsi="仿宋_GB2312" w:eastAsia="仿宋_GB2312" w:cs="仿宋_GB2312"/>
          <w:bCs/>
          <w:spacing w:val="14"/>
          <w:kern w:val="0"/>
          <w:szCs w:val="21"/>
        </w:rPr>
        <w:t>13、我公司保证所投产品来自合法的供货渠道，若中标，则有义务向采购人提供其要求的有效书面证明资料。如果提供非法渠道的商品，视为欺诈，并承担相关责任。</w:t>
      </w:r>
    </w:p>
    <w:p>
      <w:pPr>
        <w:pStyle w:val="62"/>
        <w:widowControl/>
        <w:ind w:firstLine="482"/>
        <w:rPr>
          <w:rFonts w:ascii="仿宋_GB2312" w:hAnsi="仿宋_GB2312" w:eastAsia="仿宋_GB2312" w:cs="仿宋_GB2312"/>
          <w:bCs/>
          <w:spacing w:val="14"/>
          <w:kern w:val="0"/>
          <w:szCs w:val="21"/>
        </w:rPr>
      </w:pPr>
      <w:r>
        <w:rPr>
          <w:rFonts w:hint="eastAsia" w:ascii="仿宋_GB2312" w:hAnsi="仿宋_GB2312" w:eastAsia="仿宋_GB2312" w:cs="仿宋_GB2312"/>
          <w:bCs/>
          <w:spacing w:val="14"/>
          <w:kern w:val="0"/>
          <w:szCs w:val="21"/>
        </w:rPr>
        <w:t>14、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15、本此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16、与本投标有关的一切正式函件往来请寄：</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 xml:space="preserve">    地址：                邮政编码：</w:t>
      </w: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 xml:space="preserve">    电话：                传真：             电子信箱：</w:t>
      </w:r>
    </w:p>
    <w:p>
      <w:pPr>
        <w:pStyle w:val="62"/>
        <w:widowControl/>
        <w:rPr>
          <w:rFonts w:ascii="仿宋_GB2312" w:hAnsi="仿宋_GB2312" w:eastAsia="仿宋_GB2312" w:cs="仿宋_GB2312"/>
          <w:spacing w:val="14"/>
          <w:kern w:val="0"/>
          <w:szCs w:val="21"/>
        </w:rPr>
      </w:pPr>
    </w:p>
    <w:p>
      <w:pPr>
        <w:pStyle w:val="62"/>
        <w:widowControl/>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投标人（企业电子章）：</w:t>
      </w:r>
    </w:p>
    <w:p>
      <w:pPr>
        <w:pStyle w:val="62"/>
        <w:widowControl/>
        <w:rPr>
          <w:rFonts w:ascii="仿宋_GB2312" w:hAnsi="仿宋_GB2312" w:eastAsia="仿宋_GB2312" w:cs="仿宋_GB2312"/>
          <w:spacing w:val="14"/>
          <w:kern w:val="0"/>
          <w:szCs w:val="21"/>
        </w:rPr>
      </w:pPr>
    </w:p>
    <w:p>
      <w:pPr>
        <w:pStyle w:val="62"/>
        <w:widowControl/>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日期：</w:t>
      </w:r>
    </w:p>
    <w:p>
      <w:pPr>
        <w:pStyle w:val="62"/>
        <w:widowControl/>
        <w:rPr>
          <w:rFonts w:ascii="仿宋_GB2312" w:hAnsi="仿宋_GB2312" w:eastAsia="仿宋_GB2312" w:cs="仿宋_GB2312"/>
          <w:spacing w:val="14"/>
          <w:kern w:val="0"/>
          <w:szCs w:val="21"/>
        </w:rPr>
      </w:pP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本投标人承诺：以上地址等信息为邮寄函件的真实有效准确信息，收件人为法定代表人或投标人代表。如我方对往来函件拒收，邮寄方可视为已送达，由此造成的一切后果由本投标人承担。</w:t>
      </w:r>
    </w:p>
    <w:p>
      <w:pPr>
        <w:pStyle w:val="62"/>
        <w:widowControl/>
        <w:ind w:firstLine="482"/>
        <w:rPr>
          <w:rFonts w:ascii="仿宋_GB2312" w:hAnsi="仿宋_GB2312" w:eastAsia="仿宋_GB2312" w:cs="仿宋_GB2312"/>
          <w:spacing w:val="14"/>
          <w:kern w:val="0"/>
          <w:szCs w:val="21"/>
        </w:rPr>
      </w:pPr>
    </w:p>
    <w:p>
      <w:pPr>
        <w:pStyle w:val="62"/>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注：除可填报内容外，对本投标函内容的任何实质性修改将被视为非实质性响应投标，从而导致该投标被拒绝。</w:t>
      </w:r>
    </w:p>
    <w:p>
      <w:pPr>
        <w:pStyle w:val="63"/>
        <w:outlineLvl w:val="2"/>
        <w:rPr>
          <w:rFonts w:ascii="仿宋_GB2312" w:hAnsi="仿宋_GB2312" w:eastAsia="仿宋_GB2312" w:cs="仿宋_GB2312"/>
        </w:rPr>
      </w:pPr>
      <w:r>
        <w:rPr>
          <w:rFonts w:hint="eastAsia" w:ascii="仿宋_GB2312" w:hAnsi="仿宋_GB2312" w:eastAsia="仿宋_GB2312" w:cs="仿宋_GB2312"/>
        </w:rPr>
        <w:br w:type="page"/>
      </w:r>
      <w:bookmarkStart w:id="113" w:name="_Toc256000020"/>
      <w:r>
        <w:rPr>
          <w:rFonts w:hint="eastAsia" w:ascii="仿宋_GB2312" w:hAnsi="仿宋_GB2312" w:eastAsia="仿宋_GB2312" w:cs="仿宋_GB2312"/>
        </w:rPr>
        <w:t>三、法定代表人授权书</w:t>
      </w:r>
      <w:bookmarkEnd w:id="113"/>
    </w:p>
    <w:p>
      <w:pPr>
        <w:pStyle w:val="64"/>
        <w:ind w:firstLine="0"/>
        <w:jc w:val="center"/>
        <w:rPr>
          <w:rFonts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法定代表人授权书</w:t>
      </w: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本人</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（姓名）系</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（投标单位名称）的法定代表人，现授权委托本单位在职员工</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（姓名，职务）（身份证号码：</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、手机号码：</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）作为投标人代表以我方的名义参加贵单位组织的</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项目（项目编号：</w:t>
      </w:r>
      <w:r>
        <w:rPr>
          <w:rFonts w:hint="eastAsia" w:ascii="仿宋_GB2312" w:hAnsi="仿宋_GB2312" w:eastAsia="仿宋_GB2312" w:cs="仿宋_GB2312"/>
          <w:spacing w:val="14"/>
          <w:szCs w:val="21"/>
          <w:u w:val="single"/>
        </w:rPr>
        <w:t xml:space="preserve">           </w:t>
      </w:r>
      <w:r>
        <w:rPr>
          <w:rFonts w:hint="eastAsia" w:ascii="仿宋_GB2312" w:hAnsi="仿宋_GB2312" w:eastAsia="仿宋_GB2312" w:cs="仿宋_GB2312"/>
          <w:spacing w:val="14"/>
          <w:szCs w:val="21"/>
        </w:rPr>
        <w:t>）的投标活动，并代表我方全权处理一切与之有关的具体事务和签署相关文件，我均予以承认。</w:t>
      </w: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代理人无权转让委托权。</w:t>
      </w: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本授权书至投标有效期结束前始终有效。</w:t>
      </w: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特此声明。</w:t>
      </w:r>
    </w:p>
    <w:p>
      <w:pPr>
        <w:pStyle w:val="64"/>
        <w:rPr>
          <w:rFonts w:ascii="仿宋_GB2312" w:hAnsi="仿宋_GB2312" w:eastAsia="仿宋_GB2312" w:cs="仿宋_GB2312"/>
          <w:spacing w:val="14"/>
          <w:szCs w:val="21"/>
        </w:rPr>
      </w:pPr>
    </w:p>
    <w:p>
      <w:pPr>
        <w:pStyle w:val="64"/>
        <w:rPr>
          <w:rFonts w:ascii="仿宋_GB2312" w:hAnsi="仿宋_GB2312" w:eastAsia="仿宋_GB2312" w:cs="仿宋_GB2312"/>
          <w:spacing w:val="14"/>
          <w:szCs w:val="21"/>
        </w:rPr>
      </w:pP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投标人（企业电子章）：</w:t>
      </w:r>
    </w:p>
    <w:p>
      <w:pPr>
        <w:pStyle w:val="64"/>
        <w:rPr>
          <w:rFonts w:ascii="仿宋_GB2312" w:hAnsi="仿宋_GB2312" w:eastAsia="仿宋_GB2312" w:cs="仿宋_GB2312"/>
          <w:spacing w:val="14"/>
          <w:szCs w:val="21"/>
        </w:rPr>
      </w:pP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法定代表人（个人电子章）：</w:t>
      </w:r>
    </w:p>
    <w:p>
      <w:pPr>
        <w:pStyle w:val="64"/>
        <w:rPr>
          <w:rFonts w:ascii="仿宋_GB2312" w:hAnsi="仿宋_GB2312" w:eastAsia="仿宋_GB2312" w:cs="仿宋_GB2312"/>
          <w:spacing w:val="14"/>
          <w:szCs w:val="21"/>
        </w:rPr>
      </w:pPr>
    </w:p>
    <w:p>
      <w:pPr>
        <w:pStyle w:val="64"/>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日期：</w:t>
      </w: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6"/>
        <w:rPr>
          <w:rFonts w:ascii="仿宋_GB2312" w:hAnsi="仿宋_GB2312" w:eastAsia="仿宋_GB2312" w:cs="仿宋_GB2312"/>
        </w:rPr>
      </w:pPr>
    </w:p>
    <w:p>
      <w:pPr>
        <w:pStyle w:val="69"/>
        <w:outlineLvl w:val="2"/>
        <w:rPr>
          <w:rFonts w:ascii="仿宋_GB2312" w:hAnsi="仿宋_GB2312" w:eastAsia="仿宋_GB2312" w:cs="仿宋_GB2312"/>
        </w:rPr>
      </w:pPr>
      <w:r>
        <w:rPr>
          <w:rFonts w:hint="eastAsia" w:ascii="仿宋_GB2312" w:hAnsi="仿宋_GB2312" w:eastAsia="仿宋_GB2312" w:cs="仿宋_GB2312"/>
        </w:rPr>
        <w:br w:type="page"/>
      </w:r>
      <w:bookmarkStart w:id="114" w:name="_Toc256000021"/>
      <w:r>
        <w:rPr>
          <w:rFonts w:hint="eastAsia" w:ascii="仿宋_GB2312" w:hAnsi="仿宋_GB2312" w:eastAsia="仿宋_GB2312" w:cs="仿宋_GB2312"/>
        </w:rPr>
        <w:t>四、法人被授权人身份证扫描件</w:t>
      </w:r>
      <w:bookmarkEnd w:id="114"/>
    </w:p>
    <w:p>
      <w:pPr>
        <w:pStyle w:val="70"/>
        <w:ind w:firstLine="0"/>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1、法定代表人身份证正面和反面扫描件</w:t>
      </w:r>
    </w:p>
    <w:p>
      <w:pPr>
        <w:pStyle w:val="70"/>
        <w:rPr>
          <w:rFonts w:ascii="仿宋_GB2312" w:hAnsi="仿宋_GB2312" w:eastAsia="仿宋_GB2312" w:cs="仿宋_GB2312"/>
          <w:spacing w:val="14"/>
          <w:szCs w:val="21"/>
        </w:rPr>
      </w:pPr>
    </w:p>
    <w:p>
      <w:pPr>
        <w:pStyle w:val="70"/>
        <w:rPr>
          <w:rFonts w:ascii="仿宋_GB2312" w:hAnsi="仿宋_GB2312" w:eastAsia="仿宋_GB2312" w:cs="仿宋_GB2312"/>
          <w:spacing w:val="14"/>
          <w:szCs w:val="21"/>
        </w:rPr>
      </w:pPr>
    </w:p>
    <w:p>
      <w:pPr>
        <w:pStyle w:val="70"/>
        <w:rPr>
          <w:rFonts w:ascii="仿宋_GB2312" w:hAnsi="仿宋_GB2312" w:eastAsia="仿宋_GB2312" w:cs="仿宋_GB2312"/>
          <w:spacing w:val="14"/>
          <w:szCs w:val="21"/>
        </w:rPr>
      </w:pPr>
    </w:p>
    <w:p>
      <w:pPr>
        <w:pStyle w:val="70"/>
        <w:rPr>
          <w:rFonts w:ascii="仿宋_GB2312" w:hAnsi="仿宋_GB2312" w:eastAsia="仿宋_GB2312" w:cs="仿宋_GB2312"/>
          <w:spacing w:val="14"/>
          <w:szCs w:val="21"/>
        </w:rPr>
      </w:pPr>
    </w:p>
    <w:p>
      <w:pPr>
        <w:pStyle w:val="70"/>
        <w:rPr>
          <w:rFonts w:ascii="仿宋_GB2312" w:hAnsi="仿宋_GB2312" w:eastAsia="仿宋_GB2312" w:cs="仿宋_GB2312"/>
          <w:spacing w:val="14"/>
          <w:szCs w:val="21"/>
        </w:rPr>
      </w:pPr>
    </w:p>
    <w:p>
      <w:pPr>
        <w:pStyle w:val="70"/>
        <w:rPr>
          <w:rFonts w:ascii="仿宋_GB2312" w:hAnsi="仿宋_GB2312" w:eastAsia="仿宋_GB2312" w:cs="仿宋_GB2312"/>
          <w:spacing w:val="14"/>
          <w:szCs w:val="21"/>
        </w:rPr>
      </w:pPr>
    </w:p>
    <w:p>
      <w:pPr>
        <w:pStyle w:val="70"/>
        <w:ind w:firstLine="0"/>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2、投标人代表（被授权人）身份证正面和反面扫描件</w:t>
      </w:r>
    </w:p>
    <w:p>
      <w:pPr>
        <w:pStyle w:val="72"/>
        <w:outlineLvl w:val="2"/>
        <w:rPr>
          <w:rFonts w:ascii="仿宋_GB2312" w:hAnsi="仿宋_GB2312" w:eastAsia="仿宋_GB2312" w:cs="仿宋_GB2312"/>
        </w:rPr>
      </w:pPr>
      <w:r>
        <w:rPr>
          <w:rFonts w:hint="eastAsia" w:ascii="仿宋_GB2312" w:hAnsi="仿宋_GB2312" w:eastAsia="仿宋_GB2312" w:cs="仿宋_GB2312"/>
        </w:rPr>
        <w:br w:type="page"/>
      </w:r>
      <w:bookmarkStart w:id="115" w:name="_Toc256000022"/>
      <w:r>
        <w:rPr>
          <w:rFonts w:hint="eastAsia" w:ascii="仿宋_GB2312" w:hAnsi="仿宋_GB2312" w:eastAsia="仿宋_GB2312" w:cs="仿宋_GB2312"/>
        </w:rPr>
        <w:t>五、资格证明材料</w:t>
      </w:r>
      <w:bookmarkEnd w:id="115"/>
    </w:p>
    <w:p>
      <w:pPr>
        <w:pStyle w:val="73"/>
        <w:ind w:firstLine="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资格证明材料</w:t>
      </w:r>
    </w:p>
    <w:p>
      <w:pPr>
        <w:pStyle w:val="73"/>
        <w:rPr>
          <w:rFonts w:ascii="仿宋_GB2312" w:hAnsi="仿宋_GB2312" w:eastAsia="仿宋_GB2312" w:cs="仿宋_GB2312"/>
          <w:szCs w:val="21"/>
        </w:rPr>
      </w:pPr>
    </w:p>
    <w:p>
      <w:pPr>
        <w:pStyle w:val="76"/>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rPr>
        <w:t xml:space="preserve"> </w:t>
      </w:r>
      <w:r>
        <w:rPr>
          <w:rFonts w:hint="eastAsia" w:ascii="仿宋_GB2312" w:hAnsi="仿宋_GB2312" w:eastAsia="仿宋_GB2312" w:cs="仿宋_GB2312"/>
          <w:szCs w:val="21"/>
        </w:rPr>
        <w:t>资格证明材料</w:t>
      </w:r>
    </w:p>
    <w:p>
      <w:pPr>
        <w:pStyle w:val="76"/>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rPr>
        <w:t xml:space="preserve"> </w:t>
      </w:r>
      <w:r>
        <w:rPr>
          <w:rFonts w:hint="eastAsia" w:ascii="仿宋_GB2312" w:hAnsi="仿宋_GB2312" w:eastAsia="仿宋_GB2312" w:cs="仿宋_GB2312"/>
          <w:szCs w:val="21"/>
        </w:rPr>
        <w:t>洛阳市政府采购供应商信用承诺函</w:t>
      </w:r>
    </w:p>
    <w:p>
      <w:pPr>
        <w:pStyle w:val="76"/>
        <w:rPr>
          <w:rFonts w:ascii="仿宋_GB2312" w:hAnsi="仿宋_GB2312" w:eastAsia="仿宋_GB2312" w:cs="仿宋_GB2312"/>
          <w:szCs w:val="21"/>
        </w:rPr>
      </w:pPr>
    </w:p>
    <w:p>
      <w:pPr>
        <w:pStyle w:val="74"/>
        <w:jc w:val="center"/>
        <w:rPr>
          <w:rFonts w:ascii="仿宋_GB2312" w:hAnsi="仿宋_GB2312" w:eastAsia="仿宋_GB2312" w:cs="仿宋_GB2312"/>
          <w:color w:val="000000"/>
          <w:sz w:val="40"/>
          <w:szCs w:val="44"/>
        </w:rPr>
      </w:pPr>
      <w:r>
        <w:rPr>
          <w:rFonts w:hint="eastAsia" w:ascii="仿宋_GB2312" w:hAnsi="仿宋_GB2312" w:eastAsia="仿宋_GB2312" w:cs="仿宋_GB2312"/>
          <w:szCs w:val="21"/>
        </w:rPr>
        <w:br w:type="page"/>
      </w:r>
      <w:r>
        <w:rPr>
          <w:rFonts w:hint="eastAsia" w:ascii="仿宋_GB2312" w:hAnsi="仿宋_GB2312" w:eastAsia="仿宋_GB2312" w:cs="仿宋_GB2312"/>
          <w:color w:val="000000"/>
          <w:sz w:val="40"/>
          <w:szCs w:val="44"/>
        </w:rPr>
        <w:t>洛阳市政府采购供应商信用承诺函</w:t>
      </w:r>
    </w:p>
    <w:p>
      <w:pPr>
        <w:pStyle w:val="74"/>
        <w:adjustRightInd w:val="0"/>
        <w:snapToGrid w:val="0"/>
        <w:spacing w:before="233" w:beforeLines="50"/>
        <w:ind w:firstLine="538" w:firstLineChars="200"/>
        <w:rPr>
          <w:rFonts w:ascii="仿宋_GB2312" w:hAnsi="仿宋_GB2312" w:eastAsia="仿宋_GB2312" w:cs="仿宋_GB2312"/>
          <w:color w:val="000000"/>
          <w:sz w:val="30"/>
          <w:szCs w:val="30"/>
        </w:rPr>
      </w:pPr>
    </w:p>
    <w:p>
      <w:pPr>
        <w:pStyle w:val="74"/>
        <w:spacing w:line="500" w:lineRule="exact"/>
        <w:rPr>
          <w:rFonts w:ascii="仿宋_GB2312" w:hAnsi="仿宋_GB2312" w:eastAsia="仿宋_GB2312" w:cs="仿宋_GB2312"/>
          <w:sz w:val="24"/>
          <w:szCs w:val="28"/>
        </w:rPr>
      </w:pPr>
      <w:r>
        <w:rPr>
          <w:rFonts w:hint="eastAsia" w:ascii="仿宋_GB2312" w:hAnsi="仿宋_GB2312" w:eastAsia="仿宋_GB2312" w:cs="仿宋_GB2312"/>
          <w:sz w:val="24"/>
          <w:szCs w:val="28"/>
        </w:rPr>
        <w:t>致</w:t>
      </w:r>
      <w:r>
        <w:rPr>
          <w:rFonts w:hint="eastAsia" w:ascii="仿宋_GB2312" w:hAnsi="仿宋_GB2312" w:eastAsia="仿宋_GB2312" w:cs="仿宋_GB2312"/>
          <w:sz w:val="24"/>
          <w:szCs w:val="28"/>
          <w:u w:val="single"/>
        </w:rPr>
        <w:t xml:space="preserve">  （采购人或采购代理机构）  </w:t>
      </w:r>
      <w:r>
        <w:rPr>
          <w:rFonts w:hint="eastAsia" w:ascii="仿宋_GB2312" w:hAnsi="仿宋_GB2312" w:eastAsia="仿宋_GB2312" w:cs="仿宋_GB2312"/>
          <w:sz w:val="24"/>
          <w:szCs w:val="28"/>
        </w:rPr>
        <w:t>：</w:t>
      </w:r>
    </w:p>
    <w:p>
      <w:pPr>
        <w:pStyle w:val="74"/>
        <w:spacing w:line="500" w:lineRule="exact"/>
        <w:ind w:firstLine="418"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单位名称（自然人姓名）：</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 xml:space="preserve">         </w:t>
      </w:r>
    </w:p>
    <w:p>
      <w:pPr>
        <w:pStyle w:val="74"/>
        <w:spacing w:line="500" w:lineRule="exact"/>
        <w:ind w:firstLine="418"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统一社会信用代码（身份证号码）：</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 xml:space="preserve">         </w:t>
      </w:r>
    </w:p>
    <w:p>
      <w:pPr>
        <w:pStyle w:val="74"/>
        <w:spacing w:line="500" w:lineRule="exact"/>
        <w:ind w:firstLine="418"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法定代表人（负责人）：</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 xml:space="preserve">    </w:t>
      </w:r>
    </w:p>
    <w:p>
      <w:pPr>
        <w:pStyle w:val="74"/>
        <w:spacing w:line="500" w:lineRule="exact"/>
        <w:ind w:firstLine="418"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联系地址和电话：</w:t>
      </w:r>
      <w:r>
        <w:rPr>
          <w:rFonts w:hint="eastAsia" w:ascii="仿宋_GB2312" w:hAnsi="仿宋_GB2312" w:eastAsia="仿宋_GB2312" w:cs="仿宋_GB2312"/>
          <w:sz w:val="24"/>
          <w:szCs w:val="28"/>
          <w:u w:val="single"/>
        </w:rPr>
        <w:t xml:space="preserve">                                 </w:t>
      </w:r>
      <w:r>
        <w:rPr>
          <w:rFonts w:hint="eastAsia" w:ascii="仿宋_GB2312" w:hAnsi="仿宋_GB2312" w:eastAsia="仿宋_GB2312" w:cs="仿宋_GB2312"/>
          <w:sz w:val="24"/>
          <w:szCs w:val="28"/>
        </w:rPr>
        <w:t xml:space="preserve">    </w:t>
      </w:r>
    </w:p>
    <w:p>
      <w:pPr>
        <w:pStyle w:val="74"/>
        <w:spacing w:line="500" w:lineRule="exact"/>
        <w:ind w:firstLine="418"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为维护公平、公正、公开的政府采购市场秩序，树立诚实守信的政府采购供应商形象，我单位（本人）自愿作出以下承诺：</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（一）具有独立承担民事责任的能力；</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（二）具有良好的商业信誉和健全的财务会计制度；</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（三）具有履行合同所必需的设备和专业技术能力；</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（四）有依法缴纳税收和社会保障资金的良好记录；</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（五）参加政府采购活动前三年内，在经营活动中没有重大违法记录；</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（六）未被列入经营异常名录或者严重违法失信名单、失信被执行人、重大税收违法案件当事人名单、政府采购严重违法失信行为记录名单；</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（七）未被相关监管部门作出行政处罚且尚在处罚有效期内；</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（八）未曾作出虚假采购承诺；</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（九）符合法律、行政法规规定的其他条件。</w:t>
      </w:r>
    </w:p>
    <w:p>
      <w:pPr>
        <w:pStyle w:val="74"/>
        <w:adjustRightInd w:val="0"/>
        <w:snapToGrid w:val="0"/>
        <w:spacing w:line="500" w:lineRule="exact"/>
        <w:ind w:firstLine="418" w:firstLineChars="200"/>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74"/>
        <w:adjustRightInd w:val="0"/>
        <w:snapToGrid w:val="0"/>
        <w:spacing w:before="233" w:beforeLines="50" w:line="400" w:lineRule="exact"/>
        <w:rPr>
          <w:rFonts w:ascii="仿宋_GB2312" w:hAnsi="仿宋_GB2312" w:eastAsia="仿宋_GB2312" w:cs="仿宋_GB2312"/>
          <w:color w:val="000000"/>
          <w:sz w:val="24"/>
          <w:szCs w:val="28"/>
        </w:rPr>
      </w:pPr>
    </w:p>
    <w:p>
      <w:pPr>
        <w:pStyle w:val="74"/>
        <w:adjustRightInd w:val="0"/>
        <w:snapToGrid w:val="0"/>
        <w:spacing w:before="233" w:beforeLines="50" w:line="500" w:lineRule="exac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 xml:space="preserve">供应商（电子章）： </w:t>
      </w:r>
    </w:p>
    <w:p>
      <w:pPr>
        <w:pStyle w:val="74"/>
        <w:adjustRightInd w:val="0"/>
        <w:snapToGrid w:val="0"/>
        <w:spacing w:before="233" w:beforeLines="50" w:line="500" w:lineRule="exact"/>
        <w:rPr>
          <w:rFonts w:ascii="仿宋_GB2312" w:hAnsi="仿宋_GB2312" w:eastAsia="仿宋_GB2312" w:cs="仿宋_GB2312"/>
          <w:color w:val="000000"/>
          <w:sz w:val="24"/>
          <w:szCs w:val="28"/>
        </w:rPr>
      </w:pPr>
      <w:r>
        <w:rPr>
          <w:rFonts w:hint="eastAsia" w:ascii="仿宋_GB2312" w:hAnsi="仿宋_GB2312" w:eastAsia="仿宋_GB2312" w:cs="仿宋_GB2312"/>
          <w:color w:val="000000"/>
          <w:spacing w:val="-20"/>
          <w:sz w:val="24"/>
          <w:szCs w:val="28"/>
        </w:rPr>
        <w:t>法定代表人或授权代表(签字或电子印章)：</w:t>
      </w:r>
      <w:r>
        <w:rPr>
          <w:rFonts w:hint="eastAsia" w:ascii="仿宋_GB2312" w:hAnsi="仿宋_GB2312" w:eastAsia="仿宋_GB2312" w:cs="仿宋_GB2312"/>
          <w:color w:val="000000"/>
          <w:sz w:val="24"/>
          <w:szCs w:val="28"/>
        </w:rPr>
        <w:t xml:space="preserve"> </w:t>
      </w:r>
    </w:p>
    <w:p>
      <w:pPr>
        <w:pStyle w:val="74"/>
        <w:adjustRightInd w:val="0"/>
        <w:snapToGrid w:val="0"/>
        <w:spacing w:before="233" w:beforeLines="50" w:line="500" w:lineRule="exact"/>
        <w:rPr>
          <w:rFonts w:ascii="仿宋_GB2312" w:hAnsi="仿宋_GB2312" w:eastAsia="仿宋_GB2312" w:cs="仿宋_GB2312"/>
          <w:color w:val="000000"/>
          <w:sz w:val="24"/>
          <w:szCs w:val="28"/>
        </w:rPr>
      </w:pPr>
      <w:r>
        <w:rPr>
          <w:rFonts w:hint="eastAsia" w:ascii="仿宋_GB2312" w:hAnsi="仿宋_GB2312" w:eastAsia="仿宋_GB2312" w:cs="仿宋_GB2312"/>
          <w:color w:val="000000"/>
          <w:sz w:val="24"/>
          <w:szCs w:val="28"/>
        </w:rPr>
        <w:t xml:space="preserve">日期：    年    月   日 </w:t>
      </w:r>
    </w:p>
    <w:p>
      <w:pPr>
        <w:pStyle w:val="74"/>
        <w:adjustRightInd w:val="0"/>
        <w:snapToGrid w:val="0"/>
        <w:spacing w:before="233" w:beforeLines="50" w:line="460" w:lineRule="exact"/>
        <w:ind w:firstLine="498" w:firstLineChars="200"/>
        <w:rPr>
          <w:rFonts w:ascii="仿宋_GB2312" w:hAnsi="仿宋_GB2312" w:eastAsia="仿宋_GB2312" w:cs="仿宋_GB2312"/>
          <w:bCs/>
          <w:color w:val="000000"/>
          <w:sz w:val="28"/>
          <w:szCs w:val="30"/>
        </w:rPr>
      </w:pPr>
    </w:p>
    <w:p>
      <w:pPr>
        <w:pStyle w:val="74"/>
        <w:spacing w:line="400" w:lineRule="exact"/>
        <w:rPr>
          <w:rFonts w:ascii="仿宋_GB2312" w:hAnsi="仿宋_GB2312" w:eastAsia="仿宋_GB2312" w:cs="仿宋_GB2312"/>
          <w:sz w:val="24"/>
        </w:rPr>
      </w:pPr>
      <w:r>
        <w:rPr>
          <w:rFonts w:hint="eastAsia" w:ascii="仿宋_GB2312" w:hAnsi="仿宋_GB2312" w:eastAsia="仿宋_GB2312" w:cs="仿宋_GB2312"/>
          <w:sz w:val="24"/>
        </w:rPr>
        <w:t>注：1.投标人须在投标文件中按此模板提供承诺函，未提供视为未实质性响应招标文件要求，按无效投标处理。</w:t>
      </w:r>
    </w:p>
    <w:p>
      <w:pPr>
        <w:pStyle w:val="74"/>
        <w:spacing w:line="400" w:lineRule="exact"/>
        <w:rPr>
          <w:rFonts w:ascii="仿宋_GB2312" w:hAnsi="仿宋_GB2312" w:eastAsia="仿宋_GB2312" w:cs="仿宋_GB2312"/>
          <w:color w:val="000000"/>
          <w:sz w:val="36"/>
        </w:rPr>
      </w:pPr>
      <w:r>
        <w:rPr>
          <w:rFonts w:hint="eastAsia" w:ascii="仿宋_GB2312" w:hAnsi="仿宋_GB2312" w:eastAsia="仿宋_GB2312" w:cs="仿宋_GB2312"/>
          <w:sz w:val="24"/>
        </w:rPr>
        <w:t>2.投标人的法定代表人或者授权代表的签字或盖章应真实、有效，如由授权代表签字或盖章的，应提供“法定代表人授权书”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6"/>
        </w:rPr>
        <w:t xml:space="preserve"> </w:t>
      </w:r>
    </w:p>
    <w:p>
      <w:pPr>
        <w:pStyle w:val="78"/>
        <w:rPr>
          <w:rFonts w:ascii="仿宋_GB2312" w:hAnsi="仿宋_GB2312" w:eastAsia="仿宋_GB2312" w:cs="仿宋_GB2312"/>
        </w:rPr>
      </w:pPr>
    </w:p>
    <w:p>
      <w:pPr>
        <w:pStyle w:val="81"/>
        <w:outlineLvl w:val="2"/>
        <w:rPr>
          <w:rFonts w:ascii="仿宋_GB2312" w:hAnsi="仿宋_GB2312" w:eastAsia="仿宋_GB2312" w:cs="仿宋_GB2312"/>
        </w:rPr>
      </w:pPr>
      <w:r>
        <w:rPr>
          <w:rFonts w:hint="eastAsia" w:ascii="仿宋_GB2312" w:hAnsi="仿宋_GB2312" w:eastAsia="仿宋_GB2312" w:cs="仿宋_GB2312"/>
        </w:rPr>
        <w:br w:type="page"/>
      </w:r>
      <w:bookmarkStart w:id="116" w:name="_Toc256000023"/>
      <w:r>
        <w:rPr>
          <w:rFonts w:hint="eastAsia" w:ascii="仿宋_GB2312" w:hAnsi="仿宋_GB2312" w:eastAsia="仿宋_GB2312" w:cs="仿宋_GB2312"/>
        </w:rPr>
        <w:t>六、开标一览表</w:t>
      </w:r>
      <w:bookmarkEnd w:id="116"/>
    </w:p>
    <w:p>
      <w:pPr>
        <w:pStyle w:val="82"/>
        <w:widowControl/>
        <w:jc w:val="center"/>
        <w:rPr>
          <w:rFonts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开标一览表</w:t>
      </w:r>
    </w:p>
    <w:p>
      <w:pPr>
        <w:pStyle w:val="82"/>
        <w:rPr>
          <w:rFonts w:ascii="仿宋_GB2312" w:hAnsi="仿宋_GB2312" w:eastAsia="仿宋_GB2312" w:cs="仿宋_GB2312"/>
          <w:highlight w:val="none"/>
        </w:rPr>
      </w:pPr>
      <w:bookmarkStart w:id="117" w:name="EBa811e9b6370d47b4980fd2916a2a2a5d"/>
    </w:p>
    <w:tbl>
      <w:tblPr>
        <w:tblStyle w:val="16"/>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770"/>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投标报价（综合折扣率）</w:t>
            </w:r>
          </w:p>
        </w:tc>
        <w:tc>
          <w:tcPr>
            <w:tcW w:w="2500" w:type="pct"/>
            <w:tcBorders>
              <w:top w:val="outset" w:color="auto" w:sz="6" w:space="0"/>
              <w:left w:val="outset" w:color="auto" w:sz="6" w:space="0"/>
              <w:bottom w:val="outset" w:color="auto" w:sz="6" w:space="0"/>
              <w:right w:val="outset" w:color="auto" w:sz="6" w:space="0"/>
            </w:tcBorders>
            <w:vAlign w:val="center"/>
          </w:tcPr>
          <w:p>
            <w:pPr>
              <w:pStyle w:val="74"/>
              <w:adjustRightInd w:val="0"/>
              <w:snapToGrid w:val="0"/>
              <w:spacing w:line="500" w:lineRule="exact"/>
              <w:ind w:firstLine="2508" w:firstLineChars="1200"/>
              <w:rPr>
                <w:rFonts w:ascii="仿宋_GB2312" w:hAnsi="仿宋_GB2312" w:eastAsia="仿宋_GB2312" w:cs="仿宋_GB2312"/>
                <w:color w:val="000000"/>
                <w:sz w:val="24"/>
                <w:szCs w:val="28"/>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交货期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500" w:type="pct"/>
            <w:tcBorders>
              <w:top w:val="outset" w:color="auto" w:sz="6" w:space="0"/>
              <w:left w:val="outset" w:color="auto" w:sz="6" w:space="0"/>
              <w:bottom w:val="outset" w:color="auto" w:sz="6" w:space="0"/>
              <w:right w:val="outset" w:color="auto" w:sz="6" w:space="0"/>
            </w:tcBorders>
            <w:vAlign w:val="center"/>
          </w:tcPr>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质保期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p>
        </w:tc>
      </w:tr>
      <w:bookmarkEnd w:id="117"/>
    </w:tbl>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注：</w:t>
      </w:r>
    </w:p>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本表投标总价应与响应文件中报价表的总报价一致。</w:t>
      </w:r>
    </w:p>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开标一览表中每个包只允许有一个磋商报价。</w:t>
      </w:r>
    </w:p>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磋商报价折扣=实洋／码洋×100%</w:t>
      </w:r>
    </w:p>
    <w:p>
      <w:pPr>
        <w:pStyle w:val="74"/>
        <w:adjustRightInd w:val="0"/>
        <w:snapToGrid w:val="0"/>
        <w:spacing w:line="500" w:lineRule="exact"/>
        <w:ind w:firstLine="418" w:firstLineChars="200"/>
        <w:rPr>
          <w:rFonts w:hint="eastAsia"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例如供应商磋商报价折扣为65%，即6.5折，表示码洋为100元人民币的书供应商愿意以65元的价格出售，供应商在制作响应文件时投标总报价格式为：**%，例如折扣为6.5折投标总报价需要填写为：65%。</w:t>
      </w:r>
    </w:p>
    <w:p>
      <w:pPr>
        <w:pStyle w:val="74"/>
        <w:adjustRightInd w:val="0"/>
        <w:snapToGrid w:val="0"/>
        <w:spacing w:line="500" w:lineRule="exact"/>
        <w:ind w:firstLine="418" w:firstLineChars="200"/>
        <w:rPr>
          <w:rFonts w:ascii="仿宋_GB2312" w:hAnsi="仿宋_GB2312" w:eastAsia="仿宋_GB2312" w:cs="仿宋_GB2312"/>
          <w:color w:val="000000"/>
          <w:sz w:val="24"/>
          <w:szCs w:val="28"/>
          <w:highlight w:val="none"/>
        </w:rPr>
      </w:pPr>
      <w:r>
        <w:rPr>
          <w:rFonts w:hint="eastAsia" w:ascii="仿宋_GB2312" w:hAnsi="仿宋_GB2312" w:eastAsia="仿宋_GB2312" w:cs="仿宋_GB2312"/>
          <w:color w:val="000000"/>
          <w:sz w:val="24"/>
          <w:szCs w:val="28"/>
          <w:highlight w:val="none"/>
        </w:rPr>
        <w:t>投标总价包含所投产品本身价、税、运输到指定地点的费用以及售后服务费、中标服务费、图书采购、分编、加工、典藏、上架、</w:t>
      </w:r>
      <w:r>
        <w:rPr>
          <w:rFonts w:ascii="仿宋_GB2312" w:hAnsi="仿宋_GB2312" w:eastAsia="仿宋_GB2312" w:cs="仿宋_GB2312"/>
          <w:color w:val="000000"/>
          <w:sz w:val="24"/>
          <w:szCs w:val="28"/>
          <w:highlight w:val="none"/>
        </w:rPr>
        <w:t>定位</w:t>
      </w:r>
      <w:r>
        <w:rPr>
          <w:rFonts w:hint="eastAsia" w:ascii="仿宋_GB2312" w:hAnsi="仿宋_GB2312" w:eastAsia="仿宋_GB2312" w:cs="仿宋_GB2312"/>
          <w:color w:val="000000"/>
          <w:sz w:val="24"/>
          <w:szCs w:val="28"/>
          <w:highlight w:val="none"/>
        </w:rPr>
        <w:t>等费用，加工材料（书标、条形码、胶带等）费用，装（卸）车费用，运输费用及相关伴随服务等一切费用。供应商在报价时应综合考虑。</w:t>
      </w:r>
    </w:p>
    <w:p>
      <w:pPr>
        <w:pStyle w:val="82"/>
        <w:rPr>
          <w:rFonts w:ascii="仿宋_GB2312" w:hAnsi="仿宋_GB2312" w:eastAsia="仿宋_GB2312" w:cs="仿宋_GB2312"/>
          <w:highlight w:val="none"/>
        </w:rPr>
      </w:pPr>
    </w:p>
    <w:p>
      <w:pPr>
        <w:pStyle w:val="84"/>
        <w:outlineLvl w:val="2"/>
        <w:rPr>
          <w:rFonts w:ascii="仿宋_GB2312" w:hAnsi="仿宋_GB2312" w:eastAsia="仿宋_GB2312" w:cs="仿宋_GB2312"/>
          <w:highlight w:val="none"/>
        </w:rPr>
      </w:pPr>
      <w:r>
        <w:rPr>
          <w:rFonts w:ascii="仿宋_GB2312" w:hAnsi="仿宋_GB2312" w:eastAsia="仿宋_GB2312" w:cs="仿宋_GB2312"/>
          <w:highlight w:val="none"/>
        </w:rPr>
        <w:t xml:space="preserve"> </w:t>
      </w:r>
    </w:p>
    <w:p>
      <w:pPr>
        <w:pStyle w:val="88"/>
        <w:jc w:val="center"/>
        <w:rPr>
          <w:rFonts w:ascii="仿宋_GB2312" w:hAnsi="仿宋_GB2312" w:eastAsia="仿宋_GB2312" w:cs="仿宋_GB2312"/>
          <w:spacing w:val="14"/>
          <w:sz w:val="28"/>
          <w:szCs w:val="28"/>
        </w:rPr>
      </w:pPr>
    </w:p>
    <w:p>
      <w:pPr>
        <w:pStyle w:val="89"/>
        <w:outlineLvl w:val="2"/>
        <w:rPr>
          <w:rFonts w:ascii="仿宋_GB2312" w:hAnsi="仿宋_GB2312" w:eastAsia="仿宋_GB2312" w:cs="仿宋_GB2312"/>
          <w:highlight w:val="none"/>
        </w:rPr>
      </w:pPr>
      <w:r>
        <w:rPr>
          <w:rFonts w:hint="eastAsia" w:ascii="仿宋_GB2312" w:hAnsi="仿宋_GB2312" w:eastAsia="仿宋_GB2312" w:cs="仿宋_GB2312"/>
        </w:rPr>
        <w:br w:type="page"/>
      </w:r>
      <w:bookmarkStart w:id="118" w:name="_Toc256000025"/>
      <w:r>
        <w:rPr>
          <w:rFonts w:hint="eastAsia" w:ascii="仿宋_GB2312" w:hAnsi="仿宋_GB2312" w:eastAsia="仿宋_GB2312" w:cs="仿宋_GB2312"/>
          <w:highlight w:val="none"/>
        </w:rPr>
        <w:t>七、中小微企业声明函</w:t>
      </w:r>
      <w:bookmarkEnd w:id="118"/>
    </w:p>
    <w:p>
      <w:pPr>
        <w:pStyle w:val="90"/>
        <w:jc w:val="center"/>
        <w:rPr>
          <w:rFonts w:ascii="仿宋_GB2312" w:hAnsi="仿宋_GB2312" w:eastAsia="仿宋_GB2312" w:cs="仿宋_GB2312"/>
          <w:spacing w:val="14"/>
          <w:kern w:val="0"/>
          <w:sz w:val="28"/>
          <w:szCs w:val="28"/>
          <w:highlight w:val="none"/>
          <w:lang w:val="zh-CN"/>
        </w:rPr>
      </w:pPr>
      <w:r>
        <w:rPr>
          <w:rFonts w:hint="eastAsia" w:ascii="仿宋_GB2312" w:hAnsi="仿宋_GB2312" w:eastAsia="仿宋_GB2312" w:cs="仿宋_GB2312"/>
          <w:spacing w:val="14"/>
          <w:kern w:val="0"/>
          <w:sz w:val="28"/>
          <w:szCs w:val="28"/>
          <w:highlight w:val="none"/>
          <w:lang w:val="zh-CN"/>
        </w:rPr>
        <w:t>中小企业声明函（货物）</w:t>
      </w:r>
    </w:p>
    <w:p>
      <w:pPr>
        <w:pStyle w:val="90"/>
        <w:jc w:val="center"/>
        <w:rPr>
          <w:rFonts w:ascii="仿宋_GB2312" w:hAnsi="仿宋_GB2312" w:eastAsia="仿宋_GB2312" w:cs="仿宋_GB2312"/>
          <w:spacing w:val="14"/>
          <w:kern w:val="0"/>
          <w:szCs w:val="21"/>
          <w:highlight w:val="none"/>
          <w:lang w:val="zh-CN"/>
        </w:rPr>
      </w:pPr>
    </w:p>
    <w:p>
      <w:pPr>
        <w:pStyle w:val="90"/>
        <w:ind w:firstLine="420"/>
        <w:rPr>
          <w:rFonts w:ascii="仿宋_GB2312" w:hAnsi="仿宋_GB2312" w:eastAsia="仿宋_GB2312" w:cs="仿宋_GB2312"/>
          <w:spacing w:val="14"/>
          <w:kern w:val="0"/>
          <w:sz w:val="22"/>
          <w:highlight w:val="none"/>
          <w:lang w:val="zh-CN"/>
        </w:rPr>
      </w:pPr>
      <w:r>
        <w:rPr>
          <w:rFonts w:hint="eastAsia" w:ascii="仿宋_GB2312" w:hAnsi="仿宋_GB2312" w:eastAsia="仿宋_GB2312" w:cs="仿宋_GB2312"/>
          <w:spacing w:val="14"/>
          <w:kern w:val="0"/>
          <w:sz w:val="22"/>
          <w:highlight w:val="none"/>
          <w:lang w:val="zh-CN"/>
        </w:rPr>
        <w:t>本公司（联合体）郑重声明，根据《政府采购促进中小企业发展管理办法》（财库〔2020〕46号）的规定，本公司（联合体）参加</w:t>
      </w:r>
      <w:r>
        <w:rPr>
          <w:rFonts w:hint="eastAsia" w:ascii="仿宋_GB2312" w:hAnsi="仿宋_GB2312" w:eastAsia="仿宋_GB2312" w:cs="仿宋_GB2312"/>
          <w:spacing w:val="14"/>
          <w:kern w:val="0"/>
          <w:sz w:val="22"/>
          <w:highlight w:val="none"/>
          <w:u w:val="single"/>
          <w:lang w:val="zh-CN"/>
        </w:rPr>
        <w:t>（单位名称）</w:t>
      </w:r>
      <w:r>
        <w:rPr>
          <w:rFonts w:hint="eastAsia" w:ascii="仿宋_GB2312" w:hAnsi="仿宋_GB2312" w:eastAsia="仿宋_GB2312" w:cs="仿宋_GB2312"/>
          <w:spacing w:val="14"/>
          <w:kern w:val="0"/>
          <w:sz w:val="22"/>
          <w:highlight w:val="none"/>
          <w:lang w:val="zh-CN"/>
        </w:rPr>
        <w:t>的</w:t>
      </w:r>
      <w:r>
        <w:rPr>
          <w:rFonts w:hint="eastAsia" w:ascii="仿宋_GB2312" w:hAnsi="仿宋_GB2312" w:eastAsia="仿宋_GB2312" w:cs="仿宋_GB2312"/>
          <w:spacing w:val="14"/>
          <w:kern w:val="0"/>
          <w:sz w:val="22"/>
          <w:highlight w:val="none"/>
          <w:u w:val="single"/>
          <w:lang w:val="zh-CN"/>
        </w:rPr>
        <w:t>（项目名称）</w:t>
      </w:r>
      <w:r>
        <w:rPr>
          <w:rFonts w:hint="eastAsia" w:ascii="仿宋_GB2312" w:hAnsi="仿宋_GB2312" w:eastAsia="仿宋_GB2312" w:cs="仿宋_GB2312"/>
          <w:spacing w:val="14"/>
          <w:kern w:val="0"/>
          <w:sz w:val="22"/>
          <w:highlight w:val="none"/>
          <w:lang w:val="zh-CN"/>
        </w:rPr>
        <w:t>采购活动。提供的货物全部由符合政策要求的中小企业制造。相关企业（含联合体中的中小企业、签订分包意向协议的中小企业）的具体情况如下：</w:t>
      </w:r>
    </w:p>
    <w:p>
      <w:pPr>
        <w:pStyle w:val="90"/>
        <w:ind w:firstLine="420"/>
        <w:rPr>
          <w:rFonts w:ascii="仿宋_GB2312" w:hAnsi="仿宋_GB2312" w:eastAsia="仿宋_GB2312" w:cs="仿宋_GB2312"/>
          <w:spacing w:val="14"/>
          <w:kern w:val="0"/>
          <w:sz w:val="22"/>
          <w:highlight w:val="none"/>
          <w:u w:val="single"/>
          <w:lang w:val="zh-CN"/>
        </w:rPr>
      </w:pPr>
      <w:r>
        <w:rPr>
          <w:rFonts w:hint="eastAsia" w:ascii="仿宋_GB2312" w:hAnsi="仿宋_GB2312" w:eastAsia="仿宋_GB2312" w:cs="仿宋_GB2312"/>
          <w:spacing w:val="14"/>
          <w:kern w:val="0"/>
          <w:sz w:val="22"/>
          <w:highlight w:val="none"/>
          <w:lang w:val="zh-CN"/>
        </w:rPr>
        <w:t>1、</w:t>
      </w:r>
      <w:r>
        <w:rPr>
          <w:rFonts w:hint="eastAsia" w:ascii="仿宋_GB2312" w:hAnsi="仿宋_GB2312" w:eastAsia="仿宋_GB2312" w:cs="仿宋_GB2312"/>
          <w:spacing w:val="14"/>
          <w:kern w:val="0"/>
          <w:sz w:val="22"/>
          <w:highlight w:val="none"/>
          <w:u w:val="single"/>
          <w:lang w:val="zh-CN"/>
        </w:rPr>
        <w:t>（标的名称）</w:t>
      </w:r>
      <w:r>
        <w:rPr>
          <w:rFonts w:hint="eastAsia" w:ascii="仿宋_GB2312" w:hAnsi="仿宋_GB2312" w:eastAsia="仿宋_GB2312" w:cs="仿宋_GB2312"/>
          <w:spacing w:val="14"/>
          <w:kern w:val="0"/>
          <w:sz w:val="22"/>
          <w:highlight w:val="none"/>
          <w:lang w:val="zh-CN"/>
        </w:rPr>
        <w:t>，属于</w:t>
      </w:r>
      <w:r>
        <w:rPr>
          <w:rFonts w:hint="eastAsia" w:ascii="仿宋_GB2312" w:hAnsi="仿宋_GB2312" w:eastAsia="仿宋_GB2312" w:cs="仿宋_GB2312"/>
          <w:spacing w:val="14"/>
          <w:kern w:val="0"/>
          <w:sz w:val="22"/>
          <w:highlight w:val="none"/>
          <w:u w:val="single"/>
          <w:lang w:val="zh-CN"/>
        </w:rPr>
        <w:t>（采购文件中明确的所属行业）行业</w:t>
      </w:r>
      <w:r>
        <w:rPr>
          <w:rFonts w:hint="eastAsia" w:ascii="仿宋_GB2312" w:hAnsi="仿宋_GB2312" w:eastAsia="仿宋_GB2312" w:cs="仿宋_GB2312"/>
          <w:spacing w:val="14"/>
          <w:kern w:val="0"/>
          <w:sz w:val="22"/>
          <w:highlight w:val="none"/>
          <w:lang w:val="zh-CN"/>
        </w:rPr>
        <w:t>：制造商为</w:t>
      </w:r>
      <w:r>
        <w:rPr>
          <w:rFonts w:hint="eastAsia" w:ascii="仿宋_GB2312" w:hAnsi="仿宋_GB2312" w:eastAsia="仿宋_GB2312" w:cs="仿宋_GB2312"/>
          <w:spacing w:val="14"/>
          <w:kern w:val="0"/>
          <w:sz w:val="22"/>
          <w:highlight w:val="none"/>
          <w:u w:val="single"/>
          <w:lang w:val="zh-CN"/>
        </w:rPr>
        <w:t>（企业名称）</w:t>
      </w:r>
      <w:r>
        <w:rPr>
          <w:rFonts w:hint="eastAsia" w:ascii="仿宋_GB2312" w:hAnsi="仿宋_GB2312" w:eastAsia="仿宋_GB2312" w:cs="仿宋_GB2312"/>
          <w:spacing w:val="14"/>
          <w:kern w:val="0"/>
          <w:sz w:val="22"/>
          <w:highlight w:val="none"/>
          <w:lang w:val="zh-CN"/>
        </w:rPr>
        <w:t>，从业人员</w:t>
      </w:r>
      <w:r>
        <w:rPr>
          <w:rFonts w:hint="eastAsia" w:ascii="仿宋_GB2312" w:hAnsi="仿宋_GB2312" w:eastAsia="仿宋_GB2312" w:cs="仿宋_GB2312"/>
          <w:spacing w:val="14"/>
          <w:kern w:val="0"/>
          <w:sz w:val="22"/>
          <w:highlight w:val="none"/>
          <w:u w:val="single"/>
          <w:lang w:val="zh-CN"/>
        </w:rPr>
        <w:t xml:space="preserve">      人</w:t>
      </w:r>
      <w:r>
        <w:rPr>
          <w:rFonts w:hint="eastAsia" w:ascii="仿宋_GB2312" w:hAnsi="仿宋_GB2312" w:eastAsia="仿宋_GB2312" w:cs="仿宋_GB2312"/>
          <w:spacing w:val="14"/>
          <w:kern w:val="0"/>
          <w:sz w:val="22"/>
          <w:highlight w:val="none"/>
          <w:lang w:val="zh-CN"/>
        </w:rPr>
        <w:t>，营业收入为</w:t>
      </w:r>
      <w:r>
        <w:rPr>
          <w:rFonts w:hint="eastAsia" w:ascii="仿宋_GB2312" w:hAnsi="仿宋_GB2312" w:eastAsia="仿宋_GB2312" w:cs="仿宋_GB2312"/>
          <w:spacing w:val="14"/>
          <w:kern w:val="0"/>
          <w:sz w:val="22"/>
          <w:highlight w:val="none"/>
          <w:u w:val="single"/>
          <w:lang w:val="zh-CN"/>
        </w:rPr>
        <w:t xml:space="preserve">    </w:t>
      </w:r>
      <w:r>
        <w:rPr>
          <w:rFonts w:hint="eastAsia" w:ascii="仿宋_GB2312" w:hAnsi="仿宋_GB2312" w:eastAsia="仿宋_GB2312" w:cs="仿宋_GB2312"/>
          <w:spacing w:val="14"/>
          <w:kern w:val="0"/>
          <w:sz w:val="22"/>
          <w:highlight w:val="none"/>
          <w:lang w:val="zh-CN"/>
        </w:rPr>
        <w:t>万元，资产总额为</w:t>
      </w:r>
      <w:r>
        <w:rPr>
          <w:rFonts w:hint="eastAsia" w:ascii="仿宋_GB2312" w:hAnsi="仿宋_GB2312" w:eastAsia="仿宋_GB2312" w:cs="仿宋_GB2312"/>
          <w:spacing w:val="14"/>
          <w:kern w:val="0"/>
          <w:sz w:val="22"/>
          <w:highlight w:val="none"/>
          <w:u w:val="single"/>
          <w:lang w:val="zh-CN"/>
        </w:rPr>
        <w:t xml:space="preserve">    </w:t>
      </w:r>
      <w:r>
        <w:rPr>
          <w:rFonts w:hint="eastAsia" w:ascii="仿宋_GB2312" w:hAnsi="仿宋_GB2312" w:eastAsia="仿宋_GB2312" w:cs="仿宋_GB2312"/>
          <w:spacing w:val="14"/>
          <w:kern w:val="0"/>
          <w:sz w:val="22"/>
          <w:highlight w:val="none"/>
          <w:lang w:val="zh-CN"/>
        </w:rPr>
        <w:t>万元</w:t>
      </w:r>
      <w:r>
        <w:rPr>
          <w:rFonts w:hint="eastAsia" w:ascii="仿宋_GB2312" w:hAnsi="仿宋_GB2312" w:eastAsia="仿宋_GB2312" w:cs="仿宋_GB2312"/>
          <w:spacing w:val="14"/>
          <w:kern w:val="0"/>
          <w:sz w:val="22"/>
          <w:highlight w:val="none"/>
          <w:vertAlign w:val="superscript"/>
          <w:lang w:val="zh-CN"/>
        </w:rPr>
        <w:t>1</w:t>
      </w:r>
      <w:r>
        <w:rPr>
          <w:rFonts w:hint="eastAsia" w:ascii="仿宋_GB2312" w:hAnsi="仿宋_GB2312" w:eastAsia="仿宋_GB2312" w:cs="仿宋_GB2312"/>
          <w:spacing w:val="14"/>
          <w:kern w:val="0"/>
          <w:sz w:val="22"/>
          <w:highlight w:val="none"/>
          <w:lang w:val="zh-CN"/>
        </w:rPr>
        <w:t>，属于</w:t>
      </w:r>
      <w:r>
        <w:rPr>
          <w:rFonts w:hint="eastAsia" w:ascii="仿宋_GB2312" w:hAnsi="仿宋_GB2312" w:eastAsia="仿宋_GB2312" w:cs="仿宋_GB2312"/>
          <w:spacing w:val="14"/>
          <w:kern w:val="0"/>
          <w:sz w:val="22"/>
          <w:highlight w:val="none"/>
          <w:u w:val="single"/>
          <w:lang w:val="zh-CN"/>
        </w:rPr>
        <w:t>（中型企业、小型企业、微型企业）</w:t>
      </w:r>
      <w:r>
        <w:rPr>
          <w:rFonts w:hint="eastAsia" w:ascii="仿宋_GB2312" w:hAnsi="仿宋_GB2312" w:eastAsia="仿宋_GB2312" w:cs="仿宋_GB2312"/>
          <w:spacing w:val="14"/>
          <w:kern w:val="0"/>
          <w:sz w:val="22"/>
          <w:highlight w:val="none"/>
          <w:lang w:val="zh-CN"/>
        </w:rPr>
        <w:t>；</w:t>
      </w:r>
    </w:p>
    <w:p>
      <w:pPr>
        <w:pStyle w:val="90"/>
        <w:ind w:firstLine="420"/>
        <w:rPr>
          <w:rFonts w:ascii="仿宋_GB2312" w:hAnsi="仿宋_GB2312" w:eastAsia="仿宋_GB2312" w:cs="仿宋_GB2312"/>
          <w:spacing w:val="14"/>
          <w:kern w:val="0"/>
          <w:sz w:val="22"/>
          <w:highlight w:val="none"/>
          <w:lang w:val="zh-CN"/>
        </w:rPr>
      </w:pPr>
      <w:r>
        <w:rPr>
          <w:rFonts w:hint="eastAsia" w:ascii="仿宋_GB2312" w:hAnsi="仿宋_GB2312" w:eastAsia="仿宋_GB2312" w:cs="仿宋_GB2312"/>
          <w:spacing w:val="14"/>
          <w:kern w:val="0"/>
          <w:sz w:val="22"/>
          <w:highlight w:val="none"/>
          <w:lang w:val="zh-CN"/>
        </w:rPr>
        <w:t>2、</w:t>
      </w:r>
      <w:r>
        <w:rPr>
          <w:rFonts w:hint="eastAsia" w:ascii="仿宋_GB2312" w:hAnsi="仿宋_GB2312" w:eastAsia="仿宋_GB2312" w:cs="仿宋_GB2312"/>
          <w:spacing w:val="14"/>
          <w:kern w:val="0"/>
          <w:sz w:val="22"/>
          <w:highlight w:val="none"/>
          <w:u w:val="single"/>
          <w:lang w:val="zh-CN"/>
        </w:rPr>
        <w:t>（标的名称）</w:t>
      </w:r>
      <w:r>
        <w:rPr>
          <w:rFonts w:hint="eastAsia" w:ascii="仿宋_GB2312" w:hAnsi="仿宋_GB2312" w:eastAsia="仿宋_GB2312" w:cs="仿宋_GB2312"/>
          <w:spacing w:val="14"/>
          <w:kern w:val="0"/>
          <w:sz w:val="22"/>
          <w:highlight w:val="none"/>
          <w:lang w:val="zh-CN"/>
        </w:rPr>
        <w:t>，属于</w:t>
      </w:r>
      <w:r>
        <w:rPr>
          <w:rFonts w:hint="eastAsia" w:ascii="仿宋_GB2312" w:hAnsi="仿宋_GB2312" w:eastAsia="仿宋_GB2312" w:cs="仿宋_GB2312"/>
          <w:spacing w:val="14"/>
          <w:kern w:val="0"/>
          <w:sz w:val="22"/>
          <w:highlight w:val="none"/>
          <w:u w:val="single"/>
          <w:lang w:val="zh-CN"/>
        </w:rPr>
        <w:t>（采购文件中明确的所属行业）行业</w:t>
      </w:r>
      <w:r>
        <w:rPr>
          <w:rFonts w:hint="eastAsia" w:ascii="仿宋_GB2312" w:hAnsi="仿宋_GB2312" w:eastAsia="仿宋_GB2312" w:cs="仿宋_GB2312"/>
          <w:spacing w:val="14"/>
          <w:kern w:val="0"/>
          <w:sz w:val="22"/>
          <w:highlight w:val="none"/>
          <w:lang w:val="zh-CN"/>
        </w:rPr>
        <w:t>：制造商为</w:t>
      </w:r>
      <w:r>
        <w:rPr>
          <w:rFonts w:hint="eastAsia" w:ascii="仿宋_GB2312" w:hAnsi="仿宋_GB2312" w:eastAsia="仿宋_GB2312" w:cs="仿宋_GB2312"/>
          <w:spacing w:val="14"/>
          <w:kern w:val="0"/>
          <w:sz w:val="22"/>
          <w:highlight w:val="none"/>
          <w:u w:val="single"/>
          <w:lang w:val="zh-CN"/>
        </w:rPr>
        <w:t>（企业名称）</w:t>
      </w:r>
      <w:r>
        <w:rPr>
          <w:rFonts w:hint="eastAsia" w:ascii="仿宋_GB2312" w:hAnsi="仿宋_GB2312" w:eastAsia="仿宋_GB2312" w:cs="仿宋_GB2312"/>
          <w:spacing w:val="14"/>
          <w:kern w:val="0"/>
          <w:sz w:val="22"/>
          <w:highlight w:val="none"/>
          <w:lang w:val="zh-CN"/>
        </w:rPr>
        <w:t>，从业人员</w:t>
      </w:r>
      <w:r>
        <w:rPr>
          <w:rFonts w:hint="eastAsia" w:ascii="仿宋_GB2312" w:hAnsi="仿宋_GB2312" w:eastAsia="仿宋_GB2312" w:cs="仿宋_GB2312"/>
          <w:spacing w:val="14"/>
          <w:kern w:val="0"/>
          <w:sz w:val="22"/>
          <w:highlight w:val="none"/>
          <w:u w:val="single"/>
          <w:lang w:val="zh-CN"/>
        </w:rPr>
        <w:t xml:space="preserve">      人</w:t>
      </w:r>
      <w:r>
        <w:rPr>
          <w:rFonts w:hint="eastAsia" w:ascii="仿宋_GB2312" w:hAnsi="仿宋_GB2312" w:eastAsia="仿宋_GB2312" w:cs="仿宋_GB2312"/>
          <w:spacing w:val="14"/>
          <w:kern w:val="0"/>
          <w:sz w:val="22"/>
          <w:highlight w:val="none"/>
          <w:lang w:val="zh-CN"/>
        </w:rPr>
        <w:t>，营业收入为</w:t>
      </w:r>
      <w:r>
        <w:rPr>
          <w:rFonts w:hint="eastAsia" w:ascii="仿宋_GB2312" w:hAnsi="仿宋_GB2312" w:eastAsia="仿宋_GB2312" w:cs="仿宋_GB2312"/>
          <w:spacing w:val="14"/>
          <w:kern w:val="0"/>
          <w:sz w:val="22"/>
          <w:highlight w:val="none"/>
          <w:u w:val="single"/>
          <w:lang w:val="zh-CN"/>
        </w:rPr>
        <w:t xml:space="preserve">    </w:t>
      </w:r>
      <w:r>
        <w:rPr>
          <w:rFonts w:hint="eastAsia" w:ascii="仿宋_GB2312" w:hAnsi="仿宋_GB2312" w:eastAsia="仿宋_GB2312" w:cs="仿宋_GB2312"/>
          <w:spacing w:val="14"/>
          <w:kern w:val="0"/>
          <w:sz w:val="22"/>
          <w:highlight w:val="none"/>
          <w:lang w:val="zh-CN"/>
        </w:rPr>
        <w:t>万元，资产总额为</w:t>
      </w:r>
      <w:r>
        <w:rPr>
          <w:rFonts w:hint="eastAsia" w:ascii="仿宋_GB2312" w:hAnsi="仿宋_GB2312" w:eastAsia="仿宋_GB2312" w:cs="仿宋_GB2312"/>
          <w:spacing w:val="14"/>
          <w:kern w:val="0"/>
          <w:sz w:val="22"/>
          <w:highlight w:val="none"/>
          <w:u w:val="single"/>
          <w:lang w:val="zh-CN"/>
        </w:rPr>
        <w:t xml:space="preserve">    </w:t>
      </w:r>
      <w:r>
        <w:rPr>
          <w:rFonts w:hint="eastAsia" w:ascii="仿宋_GB2312" w:hAnsi="仿宋_GB2312" w:eastAsia="仿宋_GB2312" w:cs="仿宋_GB2312"/>
          <w:spacing w:val="14"/>
          <w:kern w:val="0"/>
          <w:sz w:val="22"/>
          <w:highlight w:val="none"/>
          <w:lang w:val="zh-CN"/>
        </w:rPr>
        <w:t>万元，属于</w:t>
      </w:r>
      <w:r>
        <w:rPr>
          <w:rFonts w:hint="eastAsia" w:ascii="仿宋_GB2312" w:hAnsi="仿宋_GB2312" w:eastAsia="仿宋_GB2312" w:cs="仿宋_GB2312"/>
          <w:spacing w:val="14"/>
          <w:kern w:val="0"/>
          <w:sz w:val="22"/>
          <w:highlight w:val="none"/>
          <w:u w:val="single"/>
          <w:lang w:val="zh-CN"/>
        </w:rPr>
        <w:t>（中型企业、小型企业、微型企业）</w:t>
      </w:r>
      <w:r>
        <w:rPr>
          <w:rFonts w:hint="eastAsia" w:ascii="仿宋_GB2312" w:hAnsi="仿宋_GB2312" w:eastAsia="仿宋_GB2312" w:cs="仿宋_GB2312"/>
          <w:spacing w:val="14"/>
          <w:kern w:val="0"/>
          <w:sz w:val="22"/>
          <w:highlight w:val="none"/>
          <w:lang w:val="zh-CN"/>
        </w:rPr>
        <w:t>；</w:t>
      </w:r>
    </w:p>
    <w:p>
      <w:pPr>
        <w:pStyle w:val="90"/>
        <w:ind w:firstLine="420"/>
        <w:rPr>
          <w:rFonts w:ascii="仿宋_GB2312" w:hAnsi="仿宋_GB2312" w:eastAsia="仿宋_GB2312" w:cs="仿宋_GB2312"/>
          <w:spacing w:val="14"/>
          <w:kern w:val="0"/>
          <w:sz w:val="22"/>
          <w:highlight w:val="none"/>
          <w:lang w:val="zh-CN"/>
        </w:rPr>
      </w:pPr>
      <w:r>
        <w:rPr>
          <w:rFonts w:hint="eastAsia" w:ascii="仿宋_GB2312" w:hAnsi="仿宋_GB2312" w:eastAsia="仿宋_GB2312" w:cs="仿宋_GB2312"/>
          <w:spacing w:val="14"/>
          <w:kern w:val="0"/>
          <w:sz w:val="22"/>
          <w:highlight w:val="none"/>
          <w:lang w:val="zh-CN"/>
        </w:rPr>
        <w:t>……</w:t>
      </w:r>
    </w:p>
    <w:p>
      <w:pPr>
        <w:pStyle w:val="90"/>
        <w:ind w:firstLine="420"/>
        <w:rPr>
          <w:rFonts w:ascii="仿宋_GB2312" w:hAnsi="仿宋_GB2312" w:eastAsia="仿宋_GB2312" w:cs="仿宋_GB2312"/>
          <w:spacing w:val="14"/>
          <w:kern w:val="0"/>
          <w:sz w:val="22"/>
          <w:highlight w:val="none"/>
          <w:lang w:val="zh-CN"/>
        </w:rPr>
      </w:pPr>
      <w:r>
        <w:rPr>
          <w:rFonts w:hint="eastAsia" w:ascii="仿宋_GB2312" w:hAnsi="仿宋_GB2312" w:eastAsia="仿宋_GB2312" w:cs="仿宋_GB2312"/>
          <w:spacing w:val="14"/>
          <w:kern w:val="0"/>
          <w:sz w:val="22"/>
          <w:highlight w:val="none"/>
          <w:lang w:val="zh-CN"/>
        </w:rPr>
        <w:t>以上企业，不属于大企业的分支机构，不存在控股股东为大企业的情形，也不存在与大企业的负责人为同一人的情形。</w:t>
      </w:r>
    </w:p>
    <w:p>
      <w:pPr>
        <w:pStyle w:val="90"/>
        <w:ind w:firstLine="420"/>
        <w:rPr>
          <w:rFonts w:ascii="仿宋_GB2312" w:hAnsi="仿宋_GB2312" w:eastAsia="仿宋_GB2312" w:cs="仿宋_GB2312"/>
          <w:spacing w:val="14"/>
          <w:kern w:val="0"/>
          <w:sz w:val="22"/>
          <w:highlight w:val="none"/>
          <w:lang w:val="zh-CN"/>
        </w:rPr>
      </w:pPr>
    </w:p>
    <w:p>
      <w:pPr>
        <w:pStyle w:val="90"/>
        <w:ind w:firstLine="420"/>
        <w:rPr>
          <w:rFonts w:ascii="仿宋_GB2312" w:hAnsi="仿宋_GB2312" w:eastAsia="仿宋_GB2312" w:cs="仿宋_GB2312"/>
          <w:spacing w:val="14"/>
          <w:kern w:val="0"/>
          <w:sz w:val="22"/>
          <w:highlight w:val="none"/>
          <w:lang w:val="zh-CN"/>
        </w:rPr>
      </w:pPr>
      <w:r>
        <w:rPr>
          <w:rFonts w:hint="eastAsia" w:ascii="仿宋_GB2312" w:hAnsi="仿宋_GB2312" w:eastAsia="仿宋_GB2312" w:cs="仿宋_GB2312"/>
          <w:spacing w:val="14"/>
          <w:kern w:val="0"/>
          <w:sz w:val="22"/>
          <w:highlight w:val="none"/>
          <w:lang w:val="zh-CN"/>
        </w:rPr>
        <w:t>本企业对上述声明内容的真实性负责。如有虚假，将依法承担相应责任。</w:t>
      </w:r>
    </w:p>
    <w:p>
      <w:pPr>
        <w:pStyle w:val="90"/>
        <w:rPr>
          <w:rFonts w:ascii="仿宋_GB2312" w:hAnsi="仿宋_GB2312" w:eastAsia="仿宋_GB2312" w:cs="仿宋_GB2312"/>
          <w:spacing w:val="14"/>
          <w:kern w:val="0"/>
          <w:sz w:val="22"/>
          <w:highlight w:val="none"/>
          <w:lang w:val="zh-CN"/>
        </w:rPr>
      </w:pPr>
    </w:p>
    <w:p>
      <w:pPr>
        <w:pStyle w:val="90"/>
        <w:ind w:firstLine="434" w:firstLineChars="200"/>
        <w:rPr>
          <w:rFonts w:ascii="仿宋_GB2312" w:hAnsi="仿宋_GB2312" w:eastAsia="仿宋_GB2312" w:cs="仿宋_GB2312"/>
          <w:spacing w:val="14"/>
          <w:sz w:val="22"/>
          <w:highlight w:val="none"/>
          <w:lang w:val="zh-CN"/>
        </w:rPr>
      </w:pPr>
      <w:r>
        <w:rPr>
          <w:rFonts w:hint="eastAsia" w:ascii="仿宋_GB2312" w:hAnsi="仿宋_GB2312" w:eastAsia="仿宋_GB2312" w:cs="仿宋_GB2312"/>
          <w:spacing w:val="14"/>
          <w:sz w:val="22"/>
          <w:highlight w:val="none"/>
          <w:lang w:val="zh-CN"/>
        </w:rPr>
        <w:t>投标人（企业电子章）：</w:t>
      </w:r>
    </w:p>
    <w:p>
      <w:pPr>
        <w:pStyle w:val="90"/>
        <w:ind w:firstLine="434" w:firstLineChars="200"/>
        <w:rPr>
          <w:rFonts w:ascii="仿宋_GB2312" w:hAnsi="仿宋_GB2312" w:eastAsia="仿宋_GB2312" w:cs="仿宋_GB2312"/>
          <w:spacing w:val="14"/>
          <w:sz w:val="22"/>
          <w:highlight w:val="none"/>
          <w:lang w:val="zh-CN"/>
        </w:rPr>
      </w:pPr>
      <w:r>
        <w:rPr>
          <w:rFonts w:hint="eastAsia" w:ascii="仿宋_GB2312" w:hAnsi="仿宋_GB2312" w:eastAsia="仿宋_GB2312" w:cs="仿宋_GB2312"/>
          <w:spacing w:val="14"/>
          <w:sz w:val="22"/>
          <w:highlight w:val="none"/>
          <w:lang w:val="zh-CN"/>
        </w:rPr>
        <w:t>日期：</w:t>
      </w:r>
    </w:p>
    <w:p>
      <w:pPr>
        <w:pStyle w:val="90"/>
        <w:ind w:firstLine="434" w:firstLineChars="200"/>
        <w:rPr>
          <w:rFonts w:ascii="仿宋_GB2312" w:hAnsi="仿宋_GB2312" w:eastAsia="仿宋_GB2312" w:cs="仿宋_GB2312"/>
          <w:spacing w:val="14"/>
          <w:sz w:val="22"/>
          <w:highlight w:val="none"/>
          <w:lang w:val="zh-CN"/>
        </w:rPr>
      </w:pPr>
    </w:p>
    <w:p>
      <w:pPr>
        <w:pStyle w:val="90"/>
        <w:rPr>
          <w:rFonts w:ascii="仿宋_GB2312" w:hAnsi="仿宋_GB2312" w:eastAsia="仿宋_GB2312" w:cs="仿宋_GB2312"/>
          <w:spacing w:val="14"/>
          <w:sz w:val="22"/>
          <w:lang w:val="zh-CN"/>
        </w:rPr>
      </w:pPr>
    </w:p>
    <w:p>
      <w:pPr>
        <w:pStyle w:val="90"/>
        <w:rPr>
          <w:rFonts w:ascii="仿宋_GB2312" w:hAnsi="仿宋_GB2312" w:eastAsia="仿宋_GB2312" w:cs="仿宋_GB2312"/>
          <w:spacing w:val="14"/>
          <w:sz w:val="22"/>
          <w:lang w:val="zh-CN"/>
        </w:rPr>
      </w:pPr>
    </w:p>
    <w:p>
      <w:pPr>
        <w:pStyle w:val="91"/>
        <w:outlineLvl w:val="2"/>
        <w:rPr>
          <w:rFonts w:ascii="仿宋_GB2312" w:hAnsi="仿宋_GB2312" w:eastAsia="仿宋_GB2312" w:cs="仿宋_GB2312"/>
        </w:rPr>
      </w:pPr>
      <w:r>
        <w:rPr>
          <w:rFonts w:hint="eastAsia" w:ascii="仿宋_GB2312" w:hAnsi="仿宋_GB2312" w:eastAsia="仿宋_GB2312" w:cs="仿宋_GB2312"/>
        </w:rPr>
        <w:br w:type="page"/>
      </w:r>
      <w:bookmarkStart w:id="119" w:name="_Toc256000026"/>
      <w:r>
        <w:rPr>
          <w:rFonts w:hint="eastAsia" w:ascii="仿宋_GB2312" w:hAnsi="仿宋_GB2312" w:eastAsia="仿宋_GB2312" w:cs="仿宋_GB2312"/>
        </w:rPr>
        <w:t>八、残疾人福利性单位声明函</w:t>
      </w:r>
      <w:bookmarkEnd w:id="119"/>
    </w:p>
    <w:p>
      <w:pPr>
        <w:pStyle w:val="92"/>
        <w:jc w:val="center"/>
        <w:rPr>
          <w:rFonts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残疾人福利性单位声明函</w:t>
      </w:r>
    </w:p>
    <w:p>
      <w:pPr>
        <w:pStyle w:val="92"/>
        <w:jc w:val="center"/>
        <w:rPr>
          <w:rFonts w:ascii="仿宋_GB2312" w:hAnsi="仿宋_GB2312" w:eastAsia="仿宋_GB2312" w:cs="仿宋_GB2312"/>
          <w:spacing w:val="14"/>
          <w:szCs w:val="21"/>
        </w:rPr>
      </w:pPr>
    </w:p>
    <w:p>
      <w:pPr>
        <w:pStyle w:val="92"/>
        <w:ind w:firstLine="420"/>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pPr>
        <w:pStyle w:val="92"/>
        <w:ind w:firstLine="420"/>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本单位对上述声明的真实性负责。如有虚假，将依法承担相应责任。</w:t>
      </w:r>
    </w:p>
    <w:p>
      <w:pPr>
        <w:pStyle w:val="92"/>
        <w:rPr>
          <w:rFonts w:ascii="仿宋_GB2312" w:hAnsi="仿宋_GB2312" w:eastAsia="仿宋_GB2312" w:cs="仿宋_GB2312"/>
          <w:spacing w:val="14"/>
          <w:szCs w:val="21"/>
        </w:rPr>
      </w:pPr>
    </w:p>
    <w:p>
      <w:pPr>
        <w:pStyle w:val="92"/>
        <w:rPr>
          <w:rFonts w:ascii="仿宋_GB2312" w:hAnsi="仿宋_GB2312" w:eastAsia="仿宋_GB2312" w:cs="仿宋_GB2312"/>
          <w:spacing w:val="14"/>
          <w:szCs w:val="21"/>
        </w:rPr>
      </w:pPr>
    </w:p>
    <w:p>
      <w:pPr>
        <w:pStyle w:val="92"/>
        <w:rPr>
          <w:rFonts w:ascii="仿宋_GB2312" w:hAnsi="仿宋_GB2312" w:eastAsia="仿宋_GB2312" w:cs="仿宋_GB2312"/>
          <w:spacing w:val="14"/>
          <w:szCs w:val="21"/>
        </w:rPr>
      </w:pPr>
      <w:r>
        <w:rPr>
          <w:rFonts w:hint="eastAsia" w:ascii="仿宋_GB2312" w:hAnsi="仿宋_GB2312" w:eastAsia="仿宋_GB2312" w:cs="仿宋_GB2312"/>
          <w:spacing w:val="14"/>
          <w:szCs w:val="21"/>
        </w:rPr>
        <w:t xml:space="preserve">                                             供应商（企业章）：</w:t>
      </w:r>
    </w:p>
    <w:p>
      <w:pPr>
        <w:pStyle w:val="95"/>
        <w:outlineLvl w:val="2"/>
        <w:rPr>
          <w:rFonts w:ascii="仿宋_GB2312" w:hAnsi="仿宋_GB2312" w:eastAsia="仿宋_GB2312" w:cs="仿宋_GB2312"/>
        </w:rPr>
      </w:pPr>
      <w:r>
        <w:rPr>
          <w:rFonts w:hint="eastAsia" w:ascii="仿宋_GB2312" w:hAnsi="仿宋_GB2312" w:eastAsia="仿宋_GB2312" w:cs="仿宋_GB2312"/>
        </w:rPr>
        <w:br w:type="page"/>
      </w:r>
      <w:bookmarkStart w:id="120" w:name="_Toc256000027"/>
      <w:r>
        <w:rPr>
          <w:rFonts w:hint="eastAsia" w:ascii="仿宋_GB2312" w:hAnsi="仿宋_GB2312" w:eastAsia="仿宋_GB2312" w:cs="仿宋_GB2312"/>
        </w:rPr>
        <w:t>九、监狱企业证明文件</w:t>
      </w:r>
      <w:bookmarkEnd w:id="120"/>
    </w:p>
    <w:p>
      <w:pPr>
        <w:pStyle w:val="96"/>
        <w:jc w:val="center"/>
        <w:rPr>
          <w:rFonts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监狱企业证明文件</w:t>
      </w:r>
    </w:p>
    <w:p>
      <w:pPr>
        <w:pStyle w:val="96"/>
        <w:jc w:val="center"/>
        <w:rPr>
          <w:rFonts w:ascii="仿宋_GB2312" w:hAnsi="仿宋_GB2312" w:eastAsia="仿宋_GB2312" w:cs="仿宋_GB2312"/>
          <w:spacing w:val="14"/>
          <w:szCs w:val="21"/>
        </w:rPr>
      </w:pPr>
    </w:p>
    <w:p>
      <w:pPr>
        <w:pStyle w:val="96"/>
        <w:ind w:firstLine="420"/>
        <w:rPr>
          <w:rFonts w:ascii="仿宋_GB2312" w:hAnsi="仿宋_GB2312" w:eastAsia="仿宋_GB2312" w:cs="仿宋_GB2312"/>
          <w:spacing w:val="14"/>
          <w:szCs w:val="21"/>
        </w:rPr>
      </w:pPr>
      <w:r>
        <w:rPr>
          <w:rFonts w:hint="eastAsia" w:ascii="仿宋_GB2312" w:hAnsi="仿宋_GB2312" w:eastAsia="仿宋_GB2312" w:cs="仿宋_GB2312"/>
          <w:spacing w:val="14"/>
          <w:szCs w:val="21"/>
        </w:rPr>
        <w:t>（监狱企业参加政府采购活动时，应当提供由省级以上监狱管理局、戒毒管理局(含新疆生产建设兵团)出具的属于监狱企业的证明文件。</w:t>
      </w:r>
    </w:p>
    <w:p>
      <w:pPr>
        <w:pStyle w:val="96"/>
        <w:rPr>
          <w:rFonts w:ascii="仿宋_GB2312" w:hAnsi="仿宋_GB2312" w:eastAsia="仿宋_GB2312" w:cs="仿宋_GB2312"/>
          <w:spacing w:val="14"/>
          <w:szCs w:val="21"/>
        </w:rPr>
      </w:pPr>
    </w:p>
    <w:p>
      <w:pPr>
        <w:pStyle w:val="96"/>
        <w:rPr>
          <w:rFonts w:ascii="仿宋_GB2312" w:hAnsi="仿宋_GB2312" w:eastAsia="仿宋_GB2312" w:cs="仿宋_GB2312"/>
          <w:spacing w:val="14"/>
          <w:szCs w:val="21"/>
        </w:rPr>
      </w:pPr>
    </w:p>
    <w:p>
      <w:pPr>
        <w:pStyle w:val="96"/>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注：在响应文件中附扫描件</w:t>
      </w:r>
    </w:p>
    <w:p>
      <w:pPr>
        <w:pStyle w:val="96"/>
        <w:rPr>
          <w:rFonts w:ascii="仿宋_GB2312" w:hAnsi="仿宋_GB2312" w:eastAsia="仿宋_GB2312" w:cs="仿宋_GB2312"/>
          <w:spacing w:val="14"/>
          <w:szCs w:val="21"/>
        </w:rPr>
      </w:pPr>
    </w:p>
    <w:p>
      <w:pPr>
        <w:pStyle w:val="96"/>
        <w:rPr>
          <w:rFonts w:ascii="仿宋_GB2312" w:hAnsi="仿宋_GB2312" w:eastAsia="仿宋_GB2312" w:cs="仿宋_GB2312"/>
          <w:spacing w:val="14"/>
          <w:szCs w:val="21"/>
        </w:rPr>
      </w:pPr>
    </w:p>
    <w:p>
      <w:pPr>
        <w:pStyle w:val="99"/>
        <w:outlineLvl w:val="2"/>
        <w:rPr>
          <w:rFonts w:ascii="仿宋_GB2312" w:hAnsi="仿宋_GB2312" w:eastAsia="仿宋_GB2312" w:cs="仿宋_GB2312"/>
        </w:rPr>
      </w:pPr>
      <w:r>
        <w:rPr>
          <w:rFonts w:hint="eastAsia" w:ascii="仿宋_GB2312" w:hAnsi="仿宋_GB2312" w:eastAsia="仿宋_GB2312" w:cs="仿宋_GB2312"/>
        </w:rPr>
        <w:br w:type="page"/>
      </w:r>
      <w:bookmarkStart w:id="121" w:name="_Toc256000028"/>
      <w:r>
        <w:rPr>
          <w:rFonts w:hint="eastAsia" w:ascii="仿宋_GB2312" w:hAnsi="仿宋_GB2312" w:eastAsia="仿宋_GB2312" w:cs="仿宋_GB2312"/>
        </w:rPr>
        <w:t>十、技术要求响应与偏差表</w:t>
      </w:r>
      <w:bookmarkEnd w:id="121"/>
    </w:p>
    <w:p>
      <w:pPr>
        <w:pStyle w:val="100"/>
        <w:jc w:val="center"/>
        <w:rPr>
          <w:rFonts w:ascii="仿宋_GB2312" w:hAnsi="仿宋_GB2312" w:eastAsia="仿宋_GB2312" w:cs="仿宋_GB2312"/>
          <w:spacing w:val="14"/>
          <w:kern w:val="0"/>
          <w:sz w:val="28"/>
          <w:szCs w:val="28"/>
        </w:rPr>
      </w:pPr>
      <w:r>
        <w:rPr>
          <w:rFonts w:hint="eastAsia" w:ascii="仿宋_GB2312" w:hAnsi="仿宋_GB2312" w:eastAsia="仿宋_GB2312" w:cs="仿宋_GB2312"/>
          <w:spacing w:val="14"/>
          <w:kern w:val="0"/>
          <w:sz w:val="28"/>
          <w:szCs w:val="28"/>
        </w:rPr>
        <w:t>技术要求响应与偏差表</w:t>
      </w:r>
    </w:p>
    <w:p>
      <w:pPr>
        <w:pStyle w:val="100"/>
        <w:widowControl/>
        <w:jc w:val="center"/>
        <w:rPr>
          <w:rFonts w:ascii="仿宋_GB2312" w:hAnsi="仿宋_GB2312" w:eastAsia="仿宋_GB2312" w:cs="仿宋_GB2312"/>
          <w:spacing w:val="14"/>
          <w:kern w:val="0"/>
          <w:szCs w:val="21"/>
        </w:rPr>
      </w:pP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174"/>
        <w:gridCol w:w="1134"/>
        <w:gridCol w:w="3969"/>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635" w:type="dxa"/>
            <w:vAlign w:val="center"/>
          </w:tcPr>
          <w:p>
            <w:pPr>
              <w:pStyle w:val="1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174" w:type="dxa"/>
            <w:vAlign w:val="center"/>
          </w:tcPr>
          <w:p>
            <w:pPr>
              <w:pStyle w:val="1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货物名称</w:t>
            </w:r>
          </w:p>
        </w:tc>
        <w:tc>
          <w:tcPr>
            <w:tcW w:w="1134" w:type="dxa"/>
            <w:vAlign w:val="center"/>
          </w:tcPr>
          <w:p>
            <w:pPr>
              <w:pStyle w:val="1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招标文件技术要求技术参数</w:t>
            </w:r>
          </w:p>
        </w:tc>
        <w:tc>
          <w:tcPr>
            <w:tcW w:w="3969" w:type="dxa"/>
            <w:vAlign w:val="center"/>
          </w:tcPr>
          <w:p>
            <w:pPr>
              <w:pStyle w:val="100"/>
              <w:jc w:val="center"/>
              <w:rPr>
                <w:rFonts w:ascii="仿宋_GB2312" w:hAnsi="仿宋_GB2312" w:eastAsia="仿宋_GB2312" w:cs="仿宋_GB2312"/>
                <w:kern w:val="0"/>
                <w:sz w:val="24"/>
                <w:szCs w:val="24"/>
                <w:highlight w:val="darkCyan"/>
              </w:rPr>
            </w:pPr>
            <w:r>
              <w:rPr>
                <w:rFonts w:hint="eastAsia" w:ascii="仿宋_GB2312" w:hAnsi="仿宋_GB2312" w:eastAsia="仿宋_GB2312" w:cs="仿宋_GB2312"/>
                <w:kern w:val="0"/>
                <w:sz w:val="24"/>
                <w:szCs w:val="24"/>
                <w:highlight w:val="none"/>
              </w:rPr>
              <w:t>响应实际技术参数</w:t>
            </w:r>
          </w:p>
        </w:tc>
        <w:tc>
          <w:tcPr>
            <w:tcW w:w="1418" w:type="dxa"/>
            <w:vAlign w:val="center"/>
          </w:tcPr>
          <w:p>
            <w:pPr>
              <w:pStyle w:val="1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偏差描述</w:t>
            </w:r>
          </w:p>
        </w:tc>
        <w:tc>
          <w:tcPr>
            <w:tcW w:w="850" w:type="dxa"/>
            <w:vAlign w:val="center"/>
          </w:tcPr>
          <w:p>
            <w:pPr>
              <w:pStyle w:val="10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pStyle w:val="100"/>
              <w:rPr>
                <w:rFonts w:ascii="仿宋_GB2312" w:hAnsi="仿宋_GB2312" w:eastAsia="仿宋_GB2312" w:cs="仿宋_GB2312"/>
                <w:kern w:val="0"/>
                <w:sz w:val="24"/>
                <w:szCs w:val="24"/>
              </w:rPr>
            </w:pPr>
          </w:p>
        </w:tc>
        <w:tc>
          <w:tcPr>
            <w:tcW w:w="1174" w:type="dxa"/>
          </w:tcPr>
          <w:p>
            <w:pPr>
              <w:pStyle w:val="100"/>
              <w:rPr>
                <w:rFonts w:ascii="仿宋_GB2312" w:hAnsi="仿宋_GB2312" w:eastAsia="仿宋_GB2312" w:cs="仿宋_GB2312"/>
                <w:kern w:val="0"/>
                <w:sz w:val="24"/>
                <w:szCs w:val="24"/>
              </w:rPr>
            </w:pPr>
          </w:p>
        </w:tc>
        <w:tc>
          <w:tcPr>
            <w:tcW w:w="1134" w:type="dxa"/>
          </w:tcPr>
          <w:p>
            <w:pPr>
              <w:pStyle w:val="100"/>
              <w:rPr>
                <w:rFonts w:ascii="仿宋_GB2312" w:hAnsi="仿宋_GB2312" w:eastAsia="仿宋_GB2312" w:cs="仿宋_GB2312"/>
                <w:kern w:val="0"/>
                <w:sz w:val="24"/>
                <w:szCs w:val="24"/>
              </w:rPr>
            </w:pPr>
          </w:p>
        </w:tc>
        <w:tc>
          <w:tcPr>
            <w:tcW w:w="3969" w:type="dxa"/>
          </w:tcPr>
          <w:p>
            <w:pPr>
              <w:pStyle w:val="100"/>
              <w:rPr>
                <w:rFonts w:ascii="仿宋_GB2312" w:hAnsi="仿宋_GB2312" w:eastAsia="仿宋_GB2312" w:cs="仿宋_GB2312"/>
                <w:kern w:val="0"/>
                <w:sz w:val="24"/>
                <w:szCs w:val="24"/>
              </w:rPr>
            </w:pPr>
          </w:p>
        </w:tc>
        <w:tc>
          <w:tcPr>
            <w:tcW w:w="1418" w:type="dxa"/>
          </w:tcPr>
          <w:p>
            <w:pPr>
              <w:pStyle w:val="100"/>
              <w:rPr>
                <w:rFonts w:ascii="仿宋_GB2312" w:hAnsi="仿宋_GB2312" w:eastAsia="仿宋_GB2312" w:cs="仿宋_GB2312"/>
                <w:kern w:val="0"/>
                <w:sz w:val="24"/>
                <w:szCs w:val="24"/>
              </w:rPr>
            </w:pPr>
          </w:p>
        </w:tc>
        <w:tc>
          <w:tcPr>
            <w:tcW w:w="850" w:type="dxa"/>
          </w:tcPr>
          <w:p>
            <w:pPr>
              <w:pStyle w:val="1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pStyle w:val="100"/>
              <w:rPr>
                <w:rFonts w:ascii="仿宋_GB2312" w:hAnsi="仿宋_GB2312" w:eastAsia="仿宋_GB2312" w:cs="仿宋_GB2312"/>
                <w:kern w:val="0"/>
                <w:sz w:val="24"/>
                <w:szCs w:val="24"/>
              </w:rPr>
            </w:pPr>
          </w:p>
        </w:tc>
        <w:tc>
          <w:tcPr>
            <w:tcW w:w="1174" w:type="dxa"/>
          </w:tcPr>
          <w:p>
            <w:pPr>
              <w:pStyle w:val="100"/>
              <w:rPr>
                <w:rFonts w:ascii="仿宋_GB2312" w:hAnsi="仿宋_GB2312" w:eastAsia="仿宋_GB2312" w:cs="仿宋_GB2312"/>
                <w:kern w:val="0"/>
                <w:sz w:val="24"/>
                <w:szCs w:val="24"/>
              </w:rPr>
            </w:pPr>
          </w:p>
        </w:tc>
        <w:tc>
          <w:tcPr>
            <w:tcW w:w="1134" w:type="dxa"/>
          </w:tcPr>
          <w:p>
            <w:pPr>
              <w:pStyle w:val="100"/>
              <w:rPr>
                <w:rFonts w:ascii="仿宋_GB2312" w:hAnsi="仿宋_GB2312" w:eastAsia="仿宋_GB2312" w:cs="仿宋_GB2312"/>
                <w:kern w:val="0"/>
                <w:sz w:val="24"/>
                <w:szCs w:val="24"/>
              </w:rPr>
            </w:pPr>
          </w:p>
        </w:tc>
        <w:tc>
          <w:tcPr>
            <w:tcW w:w="3969" w:type="dxa"/>
          </w:tcPr>
          <w:p>
            <w:pPr>
              <w:pStyle w:val="100"/>
              <w:rPr>
                <w:rFonts w:ascii="仿宋_GB2312" w:hAnsi="仿宋_GB2312" w:eastAsia="仿宋_GB2312" w:cs="仿宋_GB2312"/>
                <w:kern w:val="0"/>
                <w:sz w:val="24"/>
                <w:szCs w:val="24"/>
              </w:rPr>
            </w:pPr>
          </w:p>
        </w:tc>
        <w:tc>
          <w:tcPr>
            <w:tcW w:w="1418" w:type="dxa"/>
          </w:tcPr>
          <w:p>
            <w:pPr>
              <w:pStyle w:val="100"/>
              <w:rPr>
                <w:rFonts w:ascii="仿宋_GB2312" w:hAnsi="仿宋_GB2312" w:eastAsia="仿宋_GB2312" w:cs="仿宋_GB2312"/>
                <w:kern w:val="0"/>
                <w:sz w:val="24"/>
                <w:szCs w:val="24"/>
              </w:rPr>
            </w:pPr>
          </w:p>
        </w:tc>
        <w:tc>
          <w:tcPr>
            <w:tcW w:w="850" w:type="dxa"/>
          </w:tcPr>
          <w:p>
            <w:pPr>
              <w:pStyle w:val="1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pStyle w:val="100"/>
              <w:rPr>
                <w:rFonts w:ascii="仿宋_GB2312" w:hAnsi="仿宋_GB2312" w:eastAsia="仿宋_GB2312" w:cs="仿宋_GB2312"/>
                <w:kern w:val="0"/>
                <w:sz w:val="24"/>
                <w:szCs w:val="24"/>
              </w:rPr>
            </w:pPr>
          </w:p>
        </w:tc>
        <w:tc>
          <w:tcPr>
            <w:tcW w:w="1174" w:type="dxa"/>
          </w:tcPr>
          <w:p>
            <w:pPr>
              <w:pStyle w:val="100"/>
              <w:rPr>
                <w:rFonts w:ascii="仿宋_GB2312" w:hAnsi="仿宋_GB2312" w:eastAsia="仿宋_GB2312" w:cs="仿宋_GB2312"/>
                <w:kern w:val="0"/>
                <w:sz w:val="24"/>
                <w:szCs w:val="24"/>
              </w:rPr>
            </w:pPr>
          </w:p>
        </w:tc>
        <w:tc>
          <w:tcPr>
            <w:tcW w:w="1134" w:type="dxa"/>
          </w:tcPr>
          <w:p>
            <w:pPr>
              <w:pStyle w:val="100"/>
              <w:rPr>
                <w:rFonts w:ascii="仿宋_GB2312" w:hAnsi="仿宋_GB2312" w:eastAsia="仿宋_GB2312" w:cs="仿宋_GB2312"/>
                <w:kern w:val="0"/>
                <w:sz w:val="24"/>
                <w:szCs w:val="24"/>
              </w:rPr>
            </w:pPr>
          </w:p>
        </w:tc>
        <w:tc>
          <w:tcPr>
            <w:tcW w:w="3969" w:type="dxa"/>
          </w:tcPr>
          <w:p>
            <w:pPr>
              <w:pStyle w:val="100"/>
              <w:rPr>
                <w:rFonts w:ascii="仿宋_GB2312" w:hAnsi="仿宋_GB2312" w:eastAsia="仿宋_GB2312" w:cs="仿宋_GB2312"/>
                <w:kern w:val="0"/>
                <w:sz w:val="24"/>
                <w:szCs w:val="24"/>
              </w:rPr>
            </w:pPr>
          </w:p>
        </w:tc>
        <w:tc>
          <w:tcPr>
            <w:tcW w:w="1418" w:type="dxa"/>
          </w:tcPr>
          <w:p>
            <w:pPr>
              <w:pStyle w:val="100"/>
              <w:rPr>
                <w:rFonts w:ascii="仿宋_GB2312" w:hAnsi="仿宋_GB2312" w:eastAsia="仿宋_GB2312" w:cs="仿宋_GB2312"/>
                <w:kern w:val="0"/>
                <w:sz w:val="24"/>
                <w:szCs w:val="24"/>
              </w:rPr>
            </w:pPr>
          </w:p>
        </w:tc>
        <w:tc>
          <w:tcPr>
            <w:tcW w:w="850" w:type="dxa"/>
          </w:tcPr>
          <w:p>
            <w:pPr>
              <w:pStyle w:val="100"/>
              <w:rPr>
                <w:rFonts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Pr>
          <w:p>
            <w:pPr>
              <w:pStyle w:val="100"/>
              <w:rPr>
                <w:rFonts w:ascii="仿宋_GB2312" w:hAnsi="仿宋_GB2312" w:eastAsia="仿宋_GB2312" w:cs="仿宋_GB2312"/>
                <w:kern w:val="0"/>
                <w:sz w:val="24"/>
                <w:szCs w:val="24"/>
              </w:rPr>
            </w:pPr>
          </w:p>
        </w:tc>
        <w:tc>
          <w:tcPr>
            <w:tcW w:w="1174" w:type="dxa"/>
          </w:tcPr>
          <w:p>
            <w:pPr>
              <w:pStyle w:val="100"/>
              <w:rPr>
                <w:rFonts w:ascii="仿宋_GB2312" w:hAnsi="仿宋_GB2312" w:eastAsia="仿宋_GB2312" w:cs="仿宋_GB2312"/>
                <w:kern w:val="0"/>
                <w:sz w:val="24"/>
                <w:szCs w:val="24"/>
              </w:rPr>
            </w:pPr>
          </w:p>
        </w:tc>
        <w:tc>
          <w:tcPr>
            <w:tcW w:w="1134" w:type="dxa"/>
          </w:tcPr>
          <w:p>
            <w:pPr>
              <w:pStyle w:val="100"/>
              <w:rPr>
                <w:rFonts w:ascii="仿宋_GB2312" w:hAnsi="仿宋_GB2312" w:eastAsia="仿宋_GB2312" w:cs="仿宋_GB2312"/>
                <w:kern w:val="0"/>
                <w:sz w:val="24"/>
                <w:szCs w:val="24"/>
              </w:rPr>
            </w:pPr>
          </w:p>
        </w:tc>
        <w:tc>
          <w:tcPr>
            <w:tcW w:w="3969" w:type="dxa"/>
          </w:tcPr>
          <w:p>
            <w:pPr>
              <w:pStyle w:val="100"/>
              <w:rPr>
                <w:rFonts w:ascii="仿宋_GB2312" w:hAnsi="仿宋_GB2312" w:eastAsia="仿宋_GB2312" w:cs="仿宋_GB2312"/>
                <w:kern w:val="0"/>
                <w:sz w:val="24"/>
                <w:szCs w:val="24"/>
              </w:rPr>
            </w:pPr>
          </w:p>
        </w:tc>
        <w:tc>
          <w:tcPr>
            <w:tcW w:w="1418" w:type="dxa"/>
          </w:tcPr>
          <w:p>
            <w:pPr>
              <w:pStyle w:val="100"/>
              <w:rPr>
                <w:rFonts w:ascii="仿宋_GB2312" w:hAnsi="仿宋_GB2312" w:eastAsia="仿宋_GB2312" w:cs="仿宋_GB2312"/>
                <w:kern w:val="0"/>
                <w:sz w:val="24"/>
                <w:szCs w:val="24"/>
              </w:rPr>
            </w:pPr>
          </w:p>
        </w:tc>
        <w:tc>
          <w:tcPr>
            <w:tcW w:w="850" w:type="dxa"/>
          </w:tcPr>
          <w:p>
            <w:pPr>
              <w:pStyle w:val="100"/>
              <w:rPr>
                <w:rFonts w:ascii="仿宋_GB2312" w:hAnsi="仿宋_GB2312" w:eastAsia="仿宋_GB2312" w:cs="仿宋_GB2312"/>
                <w:kern w:val="0"/>
                <w:sz w:val="24"/>
                <w:szCs w:val="24"/>
              </w:rPr>
            </w:pPr>
          </w:p>
        </w:tc>
      </w:tr>
    </w:tbl>
    <w:p>
      <w:pPr>
        <w:pStyle w:val="100"/>
        <w:widowControl/>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 xml:space="preserve">投标人（企业电子章）：                                           </w:t>
      </w:r>
    </w:p>
    <w:p>
      <w:pPr>
        <w:pStyle w:val="100"/>
        <w:widowControl/>
        <w:rPr>
          <w:rFonts w:ascii="仿宋_GB2312" w:hAnsi="仿宋_GB2312" w:eastAsia="仿宋_GB2312" w:cs="仿宋_GB2312"/>
          <w:spacing w:val="14"/>
          <w:kern w:val="0"/>
          <w:szCs w:val="21"/>
        </w:rPr>
      </w:pPr>
    </w:p>
    <w:p>
      <w:pPr>
        <w:pStyle w:val="100"/>
        <w:widowControl/>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注：</w:t>
      </w:r>
    </w:p>
    <w:p>
      <w:pPr>
        <w:pStyle w:val="100"/>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1、投标人应根据招标要求逐条逐项表述说明投标响应情况。</w:t>
      </w:r>
    </w:p>
    <w:p>
      <w:pPr>
        <w:pStyle w:val="100"/>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2、投标人提交的投标文件中的技术参数与招标文件的技术要求、技术参数不同时，应逐条逐项如实填列在偏离表中。投标人不如实填写偏离情况、存在弄虚作假行为的，将依法承担相应的法律责任。</w:t>
      </w:r>
    </w:p>
    <w:p>
      <w:pPr>
        <w:pStyle w:val="100"/>
        <w:widowControl/>
        <w:ind w:firstLine="482"/>
        <w:rPr>
          <w:rFonts w:ascii="仿宋_GB2312" w:hAnsi="仿宋_GB2312" w:eastAsia="仿宋_GB2312" w:cs="仿宋_GB2312"/>
          <w:spacing w:val="14"/>
          <w:kern w:val="0"/>
          <w:szCs w:val="21"/>
        </w:rPr>
      </w:pPr>
      <w:r>
        <w:rPr>
          <w:rFonts w:hint="eastAsia" w:ascii="仿宋_GB2312" w:hAnsi="仿宋_GB2312" w:eastAsia="仿宋_GB2312" w:cs="仿宋_GB2312"/>
          <w:spacing w:val="14"/>
          <w:kern w:val="0"/>
          <w:szCs w:val="21"/>
        </w:rPr>
        <w:t>3、投标人应结合所投产品说明或描述其实际技术参数和性能。如果完全复制粘贴本招标文件《招标货物清单及技术要求》之技术参数和性能描述，或者只注明“符合”、“满足”等类似无具体内容的表述，因此而产生的不利于投标人的评审风险由投标人自行承担。</w:t>
      </w:r>
    </w:p>
    <w:p>
      <w:pPr>
        <w:pStyle w:val="100"/>
        <w:widowControl/>
        <w:ind w:firstLine="420"/>
        <w:rPr>
          <w:rFonts w:ascii="仿宋_GB2312" w:hAnsi="仿宋_GB2312" w:eastAsia="仿宋_GB2312" w:cs="仿宋_GB2312"/>
          <w:b/>
          <w:bCs/>
          <w:kern w:val="0"/>
          <w:sz w:val="28"/>
          <w:szCs w:val="28"/>
        </w:rPr>
      </w:pPr>
      <w:r>
        <w:rPr>
          <w:rFonts w:hint="eastAsia" w:ascii="仿宋_GB2312" w:hAnsi="仿宋_GB2312" w:eastAsia="仿宋_GB2312" w:cs="仿宋_GB2312"/>
          <w:spacing w:val="14"/>
          <w:kern w:val="0"/>
          <w:szCs w:val="21"/>
        </w:rPr>
        <w:t>4、投标人可根据需要自行增减表格行数。</w:t>
      </w:r>
    </w:p>
    <w:p>
      <w:pPr>
        <w:pStyle w:val="101"/>
        <w:outlineLvl w:val="2"/>
        <w:rPr>
          <w:rFonts w:ascii="仿宋_GB2312" w:hAnsi="仿宋_GB2312" w:eastAsia="仿宋_GB2312" w:cs="仿宋_GB2312"/>
        </w:rPr>
      </w:pPr>
      <w:r>
        <w:rPr>
          <w:rFonts w:hint="eastAsia" w:ascii="仿宋_GB2312" w:hAnsi="仿宋_GB2312" w:eastAsia="仿宋_GB2312" w:cs="仿宋_GB2312"/>
        </w:rPr>
        <w:br w:type="page"/>
      </w:r>
      <w:bookmarkStart w:id="122" w:name="_Toc256000029"/>
      <w:r>
        <w:rPr>
          <w:rFonts w:hint="eastAsia" w:ascii="仿宋_GB2312" w:hAnsi="仿宋_GB2312" w:eastAsia="仿宋_GB2312" w:cs="仿宋_GB2312"/>
        </w:rPr>
        <w:t>十一、商务要求响应与偏差表</w:t>
      </w:r>
      <w:bookmarkEnd w:id="122"/>
    </w:p>
    <w:p>
      <w:pPr>
        <w:pStyle w:val="102"/>
        <w:jc w:val="center"/>
        <w:rPr>
          <w:rFonts w:ascii="仿宋_GB2312" w:hAnsi="仿宋_GB2312" w:eastAsia="仿宋_GB2312" w:cs="仿宋_GB2312"/>
          <w:spacing w:val="14"/>
          <w:kern w:val="0"/>
          <w:sz w:val="28"/>
          <w:szCs w:val="28"/>
        </w:rPr>
      </w:pPr>
      <w:r>
        <w:rPr>
          <w:rFonts w:hint="eastAsia" w:ascii="仿宋_GB2312" w:hAnsi="仿宋_GB2312" w:eastAsia="仿宋_GB2312" w:cs="仿宋_GB2312"/>
          <w:spacing w:val="14"/>
          <w:kern w:val="0"/>
          <w:sz w:val="28"/>
          <w:szCs w:val="28"/>
        </w:rPr>
        <w:t>商务要求响应与偏差表</w:t>
      </w:r>
    </w:p>
    <w:p>
      <w:pPr>
        <w:pStyle w:val="102"/>
        <w:widowControl/>
        <w:jc w:val="center"/>
        <w:rPr>
          <w:rFonts w:ascii="仿宋_GB2312" w:hAnsi="仿宋_GB2312" w:eastAsia="仿宋_GB2312" w:cs="仿宋_GB2312"/>
          <w:kern w:val="0"/>
          <w:szCs w:val="21"/>
        </w:rPr>
      </w:pPr>
    </w:p>
    <w:tbl>
      <w:tblPr>
        <w:tblStyle w:val="16"/>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2"/>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3742" w:type="dxa"/>
            <w:vAlign w:val="center"/>
          </w:tcPr>
          <w:p>
            <w:pPr>
              <w:pStyle w:val="102"/>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招标文件商务要求</w:t>
            </w:r>
          </w:p>
        </w:tc>
        <w:tc>
          <w:tcPr>
            <w:tcW w:w="3260" w:type="dxa"/>
            <w:vAlign w:val="center"/>
          </w:tcPr>
          <w:p>
            <w:pPr>
              <w:pStyle w:val="102"/>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投标人响应具体内容</w:t>
            </w:r>
          </w:p>
        </w:tc>
        <w:tc>
          <w:tcPr>
            <w:tcW w:w="1199" w:type="dxa"/>
            <w:vAlign w:val="center"/>
          </w:tcPr>
          <w:p>
            <w:pPr>
              <w:pStyle w:val="102"/>
              <w:widowControl/>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2"/>
              <w:widowControl/>
              <w:jc w:val="center"/>
              <w:rPr>
                <w:rFonts w:ascii="仿宋_GB2312" w:hAnsi="仿宋_GB2312" w:eastAsia="仿宋_GB2312" w:cs="仿宋_GB2312"/>
                <w:kern w:val="0"/>
                <w:szCs w:val="21"/>
              </w:rPr>
            </w:pPr>
          </w:p>
        </w:tc>
        <w:tc>
          <w:tcPr>
            <w:tcW w:w="3742" w:type="dxa"/>
            <w:vAlign w:val="center"/>
          </w:tcPr>
          <w:p>
            <w:pPr>
              <w:pStyle w:val="102"/>
              <w:widowControl/>
              <w:jc w:val="left"/>
              <w:rPr>
                <w:rFonts w:ascii="仿宋_GB2312" w:hAnsi="仿宋_GB2312" w:eastAsia="仿宋_GB2312" w:cs="仿宋_GB2312"/>
                <w:kern w:val="0"/>
                <w:szCs w:val="21"/>
              </w:rPr>
            </w:pPr>
          </w:p>
        </w:tc>
        <w:tc>
          <w:tcPr>
            <w:tcW w:w="3260" w:type="dxa"/>
            <w:vAlign w:val="center"/>
          </w:tcPr>
          <w:p>
            <w:pPr>
              <w:pStyle w:val="102"/>
              <w:widowControl/>
              <w:jc w:val="left"/>
              <w:rPr>
                <w:rFonts w:ascii="仿宋_GB2312" w:hAnsi="仿宋_GB2312" w:eastAsia="仿宋_GB2312" w:cs="仿宋_GB2312"/>
                <w:kern w:val="0"/>
                <w:szCs w:val="21"/>
              </w:rPr>
            </w:pPr>
          </w:p>
        </w:tc>
        <w:tc>
          <w:tcPr>
            <w:tcW w:w="1199" w:type="dxa"/>
            <w:vAlign w:val="center"/>
          </w:tcPr>
          <w:p>
            <w:pPr>
              <w:pStyle w:val="102"/>
              <w:widowControl/>
              <w:jc w:val="lef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2"/>
              <w:widowControl/>
              <w:jc w:val="center"/>
              <w:rPr>
                <w:rFonts w:ascii="仿宋_GB2312" w:hAnsi="仿宋_GB2312" w:eastAsia="仿宋_GB2312" w:cs="仿宋_GB2312"/>
                <w:kern w:val="0"/>
                <w:szCs w:val="21"/>
              </w:rPr>
            </w:pPr>
          </w:p>
        </w:tc>
        <w:tc>
          <w:tcPr>
            <w:tcW w:w="3742" w:type="dxa"/>
            <w:vAlign w:val="center"/>
          </w:tcPr>
          <w:p>
            <w:pPr>
              <w:pStyle w:val="102"/>
              <w:widowControl/>
              <w:jc w:val="left"/>
              <w:rPr>
                <w:rFonts w:ascii="仿宋_GB2312" w:hAnsi="仿宋_GB2312" w:eastAsia="仿宋_GB2312" w:cs="仿宋_GB2312"/>
                <w:kern w:val="0"/>
                <w:szCs w:val="21"/>
              </w:rPr>
            </w:pPr>
          </w:p>
        </w:tc>
        <w:tc>
          <w:tcPr>
            <w:tcW w:w="3260" w:type="dxa"/>
            <w:vAlign w:val="center"/>
          </w:tcPr>
          <w:p>
            <w:pPr>
              <w:pStyle w:val="102"/>
              <w:widowControl/>
              <w:jc w:val="left"/>
              <w:rPr>
                <w:rFonts w:ascii="仿宋_GB2312" w:hAnsi="仿宋_GB2312" w:eastAsia="仿宋_GB2312" w:cs="仿宋_GB2312"/>
                <w:kern w:val="0"/>
                <w:szCs w:val="21"/>
              </w:rPr>
            </w:pPr>
          </w:p>
        </w:tc>
        <w:tc>
          <w:tcPr>
            <w:tcW w:w="1199" w:type="dxa"/>
            <w:vAlign w:val="center"/>
          </w:tcPr>
          <w:p>
            <w:pPr>
              <w:pStyle w:val="102"/>
              <w:widowControl/>
              <w:jc w:val="lef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2"/>
              <w:widowControl/>
              <w:jc w:val="center"/>
              <w:rPr>
                <w:rFonts w:ascii="仿宋_GB2312" w:hAnsi="仿宋_GB2312" w:eastAsia="仿宋_GB2312" w:cs="仿宋_GB2312"/>
                <w:kern w:val="0"/>
                <w:szCs w:val="21"/>
              </w:rPr>
            </w:pPr>
          </w:p>
        </w:tc>
        <w:tc>
          <w:tcPr>
            <w:tcW w:w="3742" w:type="dxa"/>
            <w:vAlign w:val="center"/>
          </w:tcPr>
          <w:p>
            <w:pPr>
              <w:pStyle w:val="102"/>
              <w:widowControl/>
              <w:jc w:val="left"/>
              <w:rPr>
                <w:rFonts w:ascii="仿宋_GB2312" w:hAnsi="仿宋_GB2312" w:eastAsia="仿宋_GB2312" w:cs="仿宋_GB2312"/>
                <w:kern w:val="0"/>
                <w:szCs w:val="21"/>
              </w:rPr>
            </w:pPr>
          </w:p>
        </w:tc>
        <w:tc>
          <w:tcPr>
            <w:tcW w:w="3260" w:type="dxa"/>
            <w:vAlign w:val="center"/>
          </w:tcPr>
          <w:p>
            <w:pPr>
              <w:pStyle w:val="102"/>
              <w:widowControl/>
              <w:jc w:val="left"/>
              <w:rPr>
                <w:rFonts w:ascii="仿宋_GB2312" w:hAnsi="仿宋_GB2312" w:eastAsia="仿宋_GB2312" w:cs="仿宋_GB2312"/>
                <w:kern w:val="0"/>
                <w:szCs w:val="21"/>
              </w:rPr>
            </w:pPr>
          </w:p>
        </w:tc>
        <w:tc>
          <w:tcPr>
            <w:tcW w:w="1199" w:type="dxa"/>
            <w:vAlign w:val="center"/>
          </w:tcPr>
          <w:p>
            <w:pPr>
              <w:pStyle w:val="102"/>
              <w:widowControl/>
              <w:jc w:val="lef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2"/>
              <w:widowControl/>
              <w:jc w:val="center"/>
              <w:rPr>
                <w:rFonts w:ascii="仿宋_GB2312" w:hAnsi="仿宋_GB2312" w:eastAsia="仿宋_GB2312" w:cs="仿宋_GB2312"/>
                <w:kern w:val="0"/>
                <w:szCs w:val="21"/>
              </w:rPr>
            </w:pPr>
          </w:p>
        </w:tc>
        <w:tc>
          <w:tcPr>
            <w:tcW w:w="3742" w:type="dxa"/>
            <w:vAlign w:val="center"/>
          </w:tcPr>
          <w:p>
            <w:pPr>
              <w:pStyle w:val="102"/>
              <w:widowControl/>
              <w:jc w:val="left"/>
              <w:rPr>
                <w:rFonts w:ascii="仿宋_GB2312" w:hAnsi="仿宋_GB2312" w:eastAsia="仿宋_GB2312" w:cs="仿宋_GB2312"/>
                <w:kern w:val="0"/>
                <w:szCs w:val="21"/>
              </w:rPr>
            </w:pPr>
          </w:p>
        </w:tc>
        <w:tc>
          <w:tcPr>
            <w:tcW w:w="3260" w:type="dxa"/>
            <w:vAlign w:val="center"/>
          </w:tcPr>
          <w:p>
            <w:pPr>
              <w:pStyle w:val="102"/>
              <w:widowControl/>
              <w:jc w:val="left"/>
              <w:rPr>
                <w:rFonts w:ascii="仿宋_GB2312" w:hAnsi="仿宋_GB2312" w:eastAsia="仿宋_GB2312" w:cs="仿宋_GB2312"/>
                <w:kern w:val="0"/>
                <w:szCs w:val="21"/>
              </w:rPr>
            </w:pPr>
          </w:p>
        </w:tc>
        <w:tc>
          <w:tcPr>
            <w:tcW w:w="1199" w:type="dxa"/>
            <w:vAlign w:val="center"/>
          </w:tcPr>
          <w:p>
            <w:pPr>
              <w:pStyle w:val="102"/>
              <w:widowControl/>
              <w:jc w:val="left"/>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102"/>
              <w:widowControl/>
              <w:jc w:val="center"/>
              <w:rPr>
                <w:rFonts w:ascii="仿宋_GB2312" w:hAnsi="仿宋_GB2312" w:eastAsia="仿宋_GB2312" w:cs="仿宋_GB2312"/>
                <w:kern w:val="0"/>
                <w:szCs w:val="21"/>
              </w:rPr>
            </w:pPr>
          </w:p>
        </w:tc>
        <w:tc>
          <w:tcPr>
            <w:tcW w:w="3742" w:type="dxa"/>
            <w:vAlign w:val="center"/>
          </w:tcPr>
          <w:p>
            <w:pPr>
              <w:pStyle w:val="102"/>
              <w:widowControl/>
              <w:jc w:val="left"/>
              <w:rPr>
                <w:rFonts w:ascii="仿宋_GB2312" w:hAnsi="仿宋_GB2312" w:eastAsia="仿宋_GB2312" w:cs="仿宋_GB2312"/>
                <w:kern w:val="0"/>
                <w:szCs w:val="21"/>
              </w:rPr>
            </w:pPr>
          </w:p>
        </w:tc>
        <w:tc>
          <w:tcPr>
            <w:tcW w:w="3260" w:type="dxa"/>
            <w:vAlign w:val="center"/>
          </w:tcPr>
          <w:p>
            <w:pPr>
              <w:pStyle w:val="102"/>
              <w:widowControl/>
              <w:jc w:val="left"/>
              <w:rPr>
                <w:rFonts w:ascii="仿宋_GB2312" w:hAnsi="仿宋_GB2312" w:eastAsia="仿宋_GB2312" w:cs="仿宋_GB2312"/>
                <w:kern w:val="0"/>
                <w:szCs w:val="21"/>
              </w:rPr>
            </w:pPr>
          </w:p>
        </w:tc>
        <w:tc>
          <w:tcPr>
            <w:tcW w:w="1199" w:type="dxa"/>
            <w:vAlign w:val="center"/>
          </w:tcPr>
          <w:p>
            <w:pPr>
              <w:pStyle w:val="102"/>
              <w:widowControl/>
              <w:jc w:val="left"/>
              <w:rPr>
                <w:rFonts w:ascii="仿宋_GB2312" w:hAnsi="仿宋_GB2312" w:eastAsia="仿宋_GB2312" w:cs="仿宋_GB2312"/>
                <w:kern w:val="0"/>
                <w:szCs w:val="21"/>
              </w:rPr>
            </w:pPr>
          </w:p>
        </w:tc>
      </w:tr>
    </w:tbl>
    <w:p>
      <w:pPr>
        <w:pStyle w:val="102"/>
        <w:widowControl/>
        <w:rPr>
          <w:rFonts w:ascii="仿宋_GB2312" w:hAnsi="仿宋_GB2312" w:eastAsia="仿宋_GB2312" w:cs="仿宋_GB2312"/>
          <w:kern w:val="0"/>
          <w:szCs w:val="21"/>
        </w:rPr>
      </w:pPr>
    </w:p>
    <w:p>
      <w:pPr>
        <w:pStyle w:val="102"/>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投标人保证：除本表列出的商务偏差外，投标人响应招标文件的全部商务要求。</w:t>
      </w:r>
    </w:p>
    <w:p>
      <w:pPr>
        <w:pStyle w:val="102"/>
        <w:widowControl/>
        <w:rPr>
          <w:rFonts w:ascii="仿宋_GB2312" w:hAnsi="仿宋_GB2312" w:eastAsia="仿宋_GB2312" w:cs="仿宋_GB2312"/>
          <w:kern w:val="0"/>
          <w:szCs w:val="21"/>
        </w:rPr>
      </w:pPr>
    </w:p>
    <w:p>
      <w:pPr>
        <w:pStyle w:val="102"/>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投标人（企业电子章）：                                            </w:t>
      </w:r>
    </w:p>
    <w:p>
      <w:pPr>
        <w:pStyle w:val="102"/>
        <w:widowControl/>
        <w:rPr>
          <w:rFonts w:ascii="仿宋_GB2312" w:hAnsi="仿宋_GB2312" w:eastAsia="仿宋_GB2312" w:cs="仿宋_GB2312"/>
          <w:kern w:val="0"/>
          <w:szCs w:val="21"/>
        </w:rPr>
      </w:pPr>
    </w:p>
    <w:p>
      <w:pPr>
        <w:pStyle w:val="102"/>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注：投标人可根据需要自行增减表格行数。</w:t>
      </w:r>
    </w:p>
    <w:p>
      <w:pPr>
        <w:pStyle w:val="103"/>
        <w:outlineLvl w:val="2"/>
        <w:rPr>
          <w:rFonts w:ascii="仿宋_GB2312" w:hAnsi="仿宋_GB2312" w:eastAsia="仿宋_GB2312" w:cs="仿宋_GB2312"/>
        </w:rPr>
      </w:pPr>
      <w:r>
        <w:rPr>
          <w:rFonts w:hint="eastAsia" w:ascii="仿宋_GB2312" w:hAnsi="仿宋_GB2312" w:eastAsia="仿宋_GB2312" w:cs="仿宋_GB2312"/>
        </w:rPr>
        <w:br w:type="page"/>
      </w:r>
      <w:bookmarkStart w:id="123" w:name="_Toc256000030"/>
      <w:r>
        <w:rPr>
          <w:rFonts w:hint="eastAsia" w:ascii="仿宋_GB2312" w:hAnsi="仿宋_GB2312" w:eastAsia="仿宋_GB2312" w:cs="仿宋_GB2312"/>
        </w:rPr>
        <w:t>十二、节能产品、环境标志产品明细表</w:t>
      </w:r>
      <w:bookmarkEnd w:id="123"/>
    </w:p>
    <w:p>
      <w:pPr>
        <w:pStyle w:val="104"/>
        <w:jc w:val="center"/>
        <w:rPr>
          <w:rFonts w:ascii="仿宋_GB2312" w:hAnsi="仿宋_GB2312" w:eastAsia="仿宋_GB2312" w:cs="仿宋_GB2312"/>
          <w:sz w:val="28"/>
          <w:szCs w:val="28"/>
        </w:rPr>
      </w:pPr>
      <w:r>
        <w:rPr>
          <w:rFonts w:hint="eastAsia" w:ascii="仿宋_GB2312" w:hAnsi="仿宋_GB2312" w:eastAsia="仿宋_GB2312" w:cs="仿宋_GB2312"/>
          <w:spacing w:val="14"/>
          <w:sz w:val="28"/>
          <w:szCs w:val="28"/>
        </w:rPr>
        <w:t>节能产品、环境标志产品明细表</w:t>
      </w:r>
    </w:p>
    <w:tbl>
      <w:tblPr>
        <w:tblStyle w:val="16"/>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67"/>
        <w:gridCol w:w="1599"/>
        <w:gridCol w:w="1874"/>
        <w:gridCol w:w="174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jc w:val="center"/>
        </w:trPr>
        <w:tc>
          <w:tcPr>
            <w:tcW w:w="421"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序号</w:t>
            </w:r>
          </w:p>
        </w:tc>
        <w:tc>
          <w:tcPr>
            <w:tcW w:w="1267"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货物名称</w:t>
            </w:r>
          </w:p>
        </w:tc>
        <w:tc>
          <w:tcPr>
            <w:tcW w:w="1599"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品牌及制造商</w:t>
            </w:r>
          </w:p>
        </w:tc>
        <w:tc>
          <w:tcPr>
            <w:tcW w:w="1874"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规格型号</w:t>
            </w:r>
          </w:p>
        </w:tc>
        <w:tc>
          <w:tcPr>
            <w:tcW w:w="1749" w:type="dxa"/>
            <w:vAlign w:val="center"/>
          </w:tcPr>
          <w:p>
            <w:pPr>
              <w:pStyle w:val="104"/>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中国节能产品认证证书编号</w:t>
            </w:r>
          </w:p>
        </w:tc>
        <w:tc>
          <w:tcPr>
            <w:tcW w:w="1721" w:type="dxa"/>
            <w:vAlign w:val="center"/>
          </w:tcPr>
          <w:p>
            <w:pPr>
              <w:pStyle w:val="104"/>
              <w:widowControl/>
              <w:jc w:val="center"/>
              <w:rPr>
                <w:rFonts w:ascii="仿宋_GB2312" w:hAnsi="仿宋_GB2312" w:eastAsia="仿宋_GB2312" w:cs="仿宋_GB2312"/>
                <w:strike/>
                <w:kern w:val="0"/>
                <w:sz w:val="24"/>
                <w:szCs w:val="24"/>
                <w:lang w:val="zh-CN"/>
              </w:rPr>
            </w:pPr>
            <w:r>
              <w:rPr>
                <w:rFonts w:hint="eastAsia" w:ascii="仿宋_GB2312" w:hAnsi="仿宋_GB2312" w:eastAsia="仿宋_GB2312" w:cs="仿宋_GB2312"/>
                <w:kern w:val="0"/>
                <w:sz w:val="24"/>
                <w:szCs w:val="24"/>
                <w:lang w:val="zh-CN"/>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21" w:type="dxa"/>
            <w:vAlign w:val="center"/>
          </w:tcPr>
          <w:p>
            <w:pPr>
              <w:pStyle w:val="104"/>
              <w:widowControl/>
              <w:jc w:val="left"/>
              <w:rPr>
                <w:rFonts w:ascii="仿宋_GB2312" w:hAnsi="仿宋_GB2312" w:eastAsia="仿宋_GB2312" w:cs="仿宋_GB2312"/>
                <w:kern w:val="0"/>
                <w:sz w:val="24"/>
                <w:szCs w:val="24"/>
                <w:lang w:val="zh-CN"/>
              </w:rPr>
            </w:pPr>
          </w:p>
        </w:tc>
        <w:tc>
          <w:tcPr>
            <w:tcW w:w="1267"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599"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874"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749"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721" w:type="dxa"/>
            <w:vAlign w:val="center"/>
          </w:tcPr>
          <w:p>
            <w:pPr>
              <w:pStyle w:val="104"/>
              <w:widowControl/>
              <w:ind w:firstLine="482"/>
              <w:jc w:val="left"/>
              <w:rPr>
                <w:rFonts w:ascii="仿宋_GB2312" w:hAnsi="仿宋_GB2312" w:eastAsia="仿宋_GB2312"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21" w:type="dxa"/>
          </w:tcPr>
          <w:p>
            <w:pPr>
              <w:pStyle w:val="104"/>
              <w:widowControl/>
              <w:jc w:val="left"/>
              <w:rPr>
                <w:rFonts w:ascii="仿宋_GB2312" w:hAnsi="仿宋_GB2312" w:eastAsia="仿宋_GB2312" w:cs="仿宋_GB2312"/>
                <w:kern w:val="0"/>
                <w:sz w:val="24"/>
                <w:szCs w:val="24"/>
                <w:lang w:val="zh-CN"/>
              </w:rPr>
            </w:pPr>
          </w:p>
        </w:tc>
        <w:tc>
          <w:tcPr>
            <w:tcW w:w="1267" w:type="dxa"/>
          </w:tcPr>
          <w:p>
            <w:pPr>
              <w:pStyle w:val="104"/>
              <w:widowControl/>
              <w:ind w:firstLine="482"/>
              <w:jc w:val="left"/>
              <w:rPr>
                <w:rFonts w:ascii="仿宋_GB2312" w:hAnsi="仿宋_GB2312" w:eastAsia="仿宋_GB2312" w:cs="仿宋_GB2312"/>
                <w:kern w:val="0"/>
                <w:sz w:val="24"/>
                <w:szCs w:val="24"/>
                <w:lang w:val="zh-CN"/>
              </w:rPr>
            </w:pPr>
          </w:p>
        </w:tc>
        <w:tc>
          <w:tcPr>
            <w:tcW w:w="1599" w:type="dxa"/>
          </w:tcPr>
          <w:p>
            <w:pPr>
              <w:pStyle w:val="104"/>
              <w:widowControl/>
              <w:ind w:firstLine="482"/>
              <w:jc w:val="left"/>
              <w:rPr>
                <w:rFonts w:ascii="仿宋_GB2312" w:hAnsi="仿宋_GB2312" w:eastAsia="仿宋_GB2312" w:cs="仿宋_GB2312"/>
                <w:kern w:val="0"/>
                <w:sz w:val="24"/>
                <w:szCs w:val="24"/>
                <w:lang w:val="zh-CN"/>
              </w:rPr>
            </w:pPr>
          </w:p>
        </w:tc>
        <w:tc>
          <w:tcPr>
            <w:tcW w:w="1874" w:type="dxa"/>
          </w:tcPr>
          <w:p>
            <w:pPr>
              <w:pStyle w:val="104"/>
              <w:widowControl/>
              <w:ind w:firstLine="482"/>
              <w:jc w:val="left"/>
              <w:rPr>
                <w:rFonts w:ascii="仿宋_GB2312" w:hAnsi="仿宋_GB2312" w:eastAsia="仿宋_GB2312" w:cs="仿宋_GB2312"/>
                <w:kern w:val="0"/>
                <w:sz w:val="24"/>
                <w:szCs w:val="24"/>
                <w:lang w:val="zh-CN"/>
              </w:rPr>
            </w:pPr>
          </w:p>
        </w:tc>
        <w:tc>
          <w:tcPr>
            <w:tcW w:w="1749" w:type="dxa"/>
          </w:tcPr>
          <w:p>
            <w:pPr>
              <w:pStyle w:val="104"/>
              <w:widowControl/>
              <w:ind w:firstLine="482"/>
              <w:jc w:val="left"/>
              <w:rPr>
                <w:rFonts w:ascii="仿宋_GB2312" w:hAnsi="仿宋_GB2312" w:eastAsia="仿宋_GB2312" w:cs="仿宋_GB2312"/>
                <w:kern w:val="0"/>
                <w:sz w:val="24"/>
                <w:szCs w:val="24"/>
                <w:lang w:val="zh-CN"/>
              </w:rPr>
            </w:pPr>
          </w:p>
        </w:tc>
        <w:tc>
          <w:tcPr>
            <w:tcW w:w="1721" w:type="dxa"/>
          </w:tcPr>
          <w:p>
            <w:pPr>
              <w:pStyle w:val="104"/>
              <w:widowControl/>
              <w:ind w:firstLine="482"/>
              <w:jc w:val="left"/>
              <w:rPr>
                <w:rFonts w:ascii="仿宋_GB2312" w:hAnsi="仿宋_GB2312" w:eastAsia="仿宋_GB2312"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21" w:type="dxa"/>
          </w:tcPr>
          <w:p>
            <w:pPr>
              <w:pStyle w:val="104"/>
              <w:widowControl/>
              <w:jc w:val="left"/>
              <w:rPr>
                <w:rFonts w:ascii="仿宋_GB2312" w:hAnsi="仿宋_GB2312" w:eastAsia="仿宋_GB2312" w:cs="仿宋_GB2312"/>
                <w:kern w:val="0"/>
                <w:sz w:val="24"/>
                <w:szCs w:val="24"/>
                <w:lang w:val="zh-CN"/>
              </w:rPr>
            </w:pPr>
          </w:p>
        </w:tc>
        <w:tc>
          <w:tcPr>
            <w:tcW w:w="1267" w:type="dxa"/>
          </w:tcPr>
          <w:p>
            <w:pPr>
              <w:pStyle w:val="104"/>
              <w:widowControl/>
              <w:ind w:firstLine="482"/>
              <w:jc w:val="left"/>
              <w:rPr>
                <w:rFonts w:ascii="仿宋_GB2312" w:hAnsi="仿宋_GB2312" w:eastAsia="仿宋_GB2312" w:cs="仿宋_GB2312"/>
                <w:kern w:val="0"/>
                <w:sz w:val="24"/>
                <w:szCs w:val="24"/>
                <w:lang w:val="zh-CN"/>
              </w:rPr>
            </w:pPr>
          </w:p>
        </w:tc>
        <w:tc>
          <w:tcPr>
            <w:tcW w:w="1599" w:type="dxa"/>
          </w:tcPr>
          <w:p>
            <w:pPr>
              <w:pStyle w:val="104"/>
              <w:widowControl/>
              <w:ind w:firstLine="482"/>
              <w:jc w:val="left"/>
              <w:rPr>
                <w:rFonts w:ascii="仿宋_GB2312" w:hAnsi="仿宋_GB2312" w:eastAsia="仿宋_GB2312" w:cs="仿宋_GB2312"/>
                <w:kern w:val="0"/>
                <w:sz w:val="24"/>
                <w:szCs w:val="24"/>
                <w:lang w:val="zh-CN"/>
              </w:rPr>
            </w:pPr>
          </w:p>
        </w:tc>
        <w:tc>
          <w:tcPr>
            <w:tcW w:w="1874" w:type="dxa"/>
          </w:tcPr>
          <w:p>
            <w:pPr>
              <w:pStyle w:val="104"/>
              <w:widowControl/>
              <w:ind w:firstLine="482"/>
              <w:jc w:val="left"/>
              <w:rPr>
                <w:rFonts w:ascii="仿宋_GB2312" w:hAnsi="仿宋_GB2312" w:eastAsia="仿宋_GB2312" w:cs="仿宋_GB2312"/>
                <w:kern w:val="0"/>
                <w:sz w:val="24"/>
                <w:szCs w:val="24"/>
                <w:lang w:val="zh-CN"/>
              </w:rPr>
            </w:pPr>
          </w:p>
        </w:tc>
        <w:tc>
          <w:tcPr>
            <w:tcW w:w="1749" w:type="dxa"/>
          </w:tcPr>
          <w:p>
            <w:pPr>
              <w:pStyle w:val="104"/>
              <w:widowControl/>
              <w:ind w:firstLine="482"/>
              <w:jc w:val="left"/>
              <w:rPr>
                <w:rFonts w:ascii="仿宋_GB2312" w:hAnsi="仿宋_GB2312" w:eastAsia="仿宋_GB2312" w:cs="仿宋_GB2312"/>
                <w:kern w:val="0"/>
                <w:sz w:val="24"/>
                <w:szCs w:val="24"/>
                <w:lang w:val="zh-CN"/>
              </w:rPr>
            </w:pPr>
          </w:p>
        </w:tc>
        <w:tc>
          <w:tcPr>
            <w:tcW w:w="1721" w:type="dxa"/>
          </w:tcPr>
          <w:p>
            <w:pPr>
              <w:pStyle w:val="104"/>
              <w:widowControl/>
              <w:ind w:firstLine="482"/>
              <w:jc w:val="left"/>
              <w:rPr>
                <w:rFonts w:ascii="仿宋_GB2312" w:hAnsi="仿宋_GB2312" w:eastAsia="仿宋_GB2312" w:cs="仿宋_GB2312"/>
                <w:kern w:val="0"/>
                <w:sz w:val="24"/>
                <w:szCs w:val="24"/>
                <w:lang w:val="zh-CN"/>
              </w:rPr>
            </w:pPr>
          </w:p>
        </w:tc>
      </w:tr>
    </w:tbl>
    <w:p>
      <w:pPr>
        <w:pStyle w:val="104"/>
        <w:widowControl/>
        <w:rPr>
          <w:rFonts w:ascii="仿宋_GB2312" w:hAnsi="仿宋_GB2312" w:eastAsia="仿宋_GB2312" w:cs="仿宋_GB2312"/>
          <w:kern w:val="0"/>
          <w:sz w:val="24"/>
          <w:szCs w:val="24"/>
          <w:lang w:val="zh-CN"/>
        </w:rPr>
      </w:pPr>
    </w:p>
    <w:tbl>
      <w:tblPr>
        <w:tblStyle w:val="16"/>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292"/>
        <w:gridCol w:w="1611"/>
        <w:gridCol w:w="1690"/>
        <w:gridCol w:w="180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90"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序号</w:t>
            </w:r>
          </w:p>
        </w:tc>
        <w:tc>
          <w:tcPr>
            <w:tcW w:w="1292"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货物名称</w:t>
            </w:r>
          </w:p>
        </w:tc>
        <w:tc>
          <w:tcPr>
            <w:tcW w:w="1611"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品牌及制造商</w:t>
            </w:r>
          </w:p>
        </w:tc>
        <w:tc>
          <w:tcPr>
            <w:tcW w:w="1690" w:type="dxa"/>
            <w:vAlign w:val="center"/>
          </w:tcPr>
          <w:p>
            <w:pPr>
              <w:pStyle w:val="104"/>
              <w:widowControl/>
              <w:jc w:val="center"/>
              <w:rPr>
                <w:rFonts w:ascii="仿宋_GB2312" w:hAnsi="仿宋_GB2312" w:eastAsia="仿宋_GB2312" w:cs="仿宋_GB2312"/>
                <w:kern w:val="0"/>
                <w:sz w:val="24"/>
                <w:szCs w:val="24"/>
                <w:lang w:val="zh-CN"/>
              </w:rPr>
            </w:pPr>
            <w:r>
              <w:rPr>
                <w:rFonts w:hint="eastAsia" w:ascii="仿宋_GB2312" w:hAnsi="仿宋_GB2312" w:eastAsia="仿宋_GB2312" w:cs="仿宋_GB2312"/>
                <w:kern w:val="0"/>
                <w:sz w:val="24"/>
                <w:szCs w:val="24"/>
                <w:lang w:val="zh-CN"/>
              </w:rPr>
              <w:t>规格型号</w:t>
            </w:r>
          </w:p>
        </w:tc>
        <w:tc>
          <w:tcPr>
            <w:tcW w:w="1801" w:type="dxa"/>
            <w:vAlign w:val="center"/>
          </w:tcPr>
          <w:p>
            <w:pPr>
              <w:pStyle w:val="104"/>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中国环境标志认证证书编号</w:t>
            </w:r>
          </w:p>
        </w:tc>
        <w:tc>
          <w:tcPr>
            <w:tcW w:w="1790" w:type="dxa"/>
            <w:vAlign w:val="center"/>
          </w:tcPr>
          <w:p>
            <w:pPr>
              <w:pStyle w:val="104"/>
              <w:widowControl/>
              <w:jc w:val="center"/>
              <w:rPr>
                <w:rFonts w:ascii="仿宋_GB2312" w:hAnsi="仿宋_GB2312" w:eastAsia="仿宋_GB2312" w:cs="仿宋_GB2312"/>
                <w:strike/>
                <w:kern w:val="0"/>
                <w:sz w:val="24"/>
                <w:szCs w:val="24"/>
                <w:lang w:val="zh-CN"/>
              </w:rPr>
            </w:pPr>
            <w:r>
              <w:rPr>
                <w:rFonts w:hint="eastAsia" w:ascii="仿宋_GB2312" w:hAnsi="仿宋_GB2312" w:eastAsia="仿宋_GB2312" w:cs="仿宋_GB2312"/>
                <w:kern w:val="0"/>
                <w:sz w:val="24"/>
                <w:szCs w:val="24"/>
                <w:lang w:val="zh-CN"/>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90" w:type="dxa"/>
            <w:vAlign w:val="center"/>
          </w:tcPr>
          <w:p>
            <w:pPr>
              <w:pStyle w:val="104"/>
              <w:widowControl/>
              <w:jc w:val="left"/>
              <w:rPr>
                <w:rFonts w:ascii="仿宋_GB2312" w:hAnsi="仿宋_GB2312" w:eastAsia="仿宋_GB2312" w:cs="仿宋_GB2312"/>
                <w:kern w:val="0"/>
                <w:sz w:val="24"/>
                <w:szCs w:val="24"/>
                <w:lang w:val="zh-CN"/>
              </w:rPr>
            </w:pPr>
          </w:p>
        </w:tc>
        <w:tc>
          <w:tcPr>
            <w:tcW w:w="1292"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611"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690"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801"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790" w:type="dxa"/>
            <w:vAlign w:val="center"/>
          </w:tcPr>
          <w:p>
            <w:pPr>
              <w:pStyle w:val="104"/>
              <w:widowControl/>
              <w:ind w:firstLine="482"/>
              <w:jc w:val="left"/>
              <w:rPr>
                <w:rFonts w:ascii="仿宋_GB2312" w:hAnsi="仿宋_GB2312" w:eastAsia="仿宋_GB2312"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90" w:type="dxa"/>
            <w:vAlign w:val="center"/>
          </w:tcPr>
          <w:p>
            <w:pPr>
              <w:pStyle w:val="104"/>
              <w:widowControl/>
              <w:jc w:val="left"/>
              <w:rPr>
                <w:rFonts w:ascii="仿宋_GB2312" w:hAnsi="仿宋_GB2312" w:eastAsia="仿宋_GB2312" w:cs="仿宋_GB2312"/>
                <w:kern w:val="0"/>
                <w:sz w:val="24"/>
                <w:szCs w:val="24"/>
                <w:lang w:val="zh-CN"/>
              </w:rPr>
            </w:pPr>
          </w:p>
        </w:tc>
        <w:tc>
          <w:tcPr>
            <w:tcW w:w="1292"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611"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690"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801"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790" w:type="dxa"/>
            <w:vAlign w:val="center"/>
          </w:tcPr>
          <w:p>
            <w:pPr>
              <w:pStyle w:val="104"/>
              <w:widowControl/>
              <w:ind w:firstLine="482"/>
              <w:jc w:val="left"/>
              <w:rPr>
                <w:rFonts w:ascii="仿宋_GB2312" w:hAnsi="仿宋_GB2312" w:eastAsia="仿宋_GB2312" w:cs="仿宋_GB2312"/>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90" w:type="dxa"/>
            <w:vAlign w:val="center"/>
          </w:tcPr>
          <w:p>
            <w:pPr>
              <w:pStyle w:val="104"/>
              <w:widowControl/>
              <w:jc w:val="left"/>
              <w:rPr>
                <w:rFonts w:ascii="仿宋_GB2312" w:hAnsi="仿宋_GB2312" w:eastAsia="仿宋_GB2312" w:cs="仿宋_GB2312"/>
                <w:kern w:val="0"/>
                <w:sz w:val="24"/>
                <w:szCs w:val="24"/>
                <w:lang w:val="zh-CN"/>
              </w:rPr>
            </w:pPr>
          </w:p>
        </w:tc>
        <w:tc>
          <w:tcPr>
            <w:tcW w:w="1292"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611"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690"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801" w:type="dxa"/>
            <w:vAlign w:val="center"/>
          </w:tcPr>
          <w:p>
            <w:pPr>
              <w:pStyle w:val="104"/>
              <w:widowControl/>
              <w:ind w:firstLine="482"/>
              <w:jc w:val="left"/>
              <w:rPr>
                <w:rFonts w:ascii="仿宋_GB2312" w:hAnsi="仿宋_GB2312" w:eastAsia="仿宋_GB2312" w:cs="仿宋_GB2312"/>
                <w:kern w:val="0"/>
                <w:sz w:val="24"/>
                <w:szCs w:val="24"/>
                <w:lang w:val="zh-CN"/>
              </w:rPr>
            </w:pPr>
          </w:p>
        </w:tc>
        <w:tc>
          <w:tcPr>
            <w:tcW w:w="1790" w:type="dxa"/>
            <w:vAlign w:val="center"/>
          </w:tcPr>
          <w:p>
            <w:pPr>
              <w:pStyle w:val="104"/>
              <w:widowControl/>
              <w:ind w:firstLine="482"/>
              <w:jc w:val="left"/>
              <w:rPr>
                <w:rFonts w:ascii="仿宋_GB2312" w:hAnsi="仿宋_GB2312" w:eastAsia="仿宋_GB2312" w:cs="仿宋_GB2312"/>
                <w:kern w:val="0"/>
                <w:sz w:val="24"/>
                <w:szCs w:val="24"/>
                <w:lang w:val="zh-CN"/>
              </w:rPr>
            </w:pPr>
          </w:p>
        </w:tc>
      </w:tr>
    </w:tbl>
    <w:p>
      <w:pPr>
        <w:pStyle w:val="104"/>
        <w:widowControl/>
        <w:jc w:val="left"/>
        <w:rPr>
          <w:rFonts w:ascii="仿宋_GB2312" w:hAnsi="仿宋_GB2312" w:eastAsia="仿宋_GB2312" w:cs="仿宋_GB2312"/>
          <w:kern w:val="0"/>
          <w:szCs w:val="21"/>
          <w:lang w:val="zh-CN"/>
        </w:rPr>
      </w:pPr>
      <w:r>
        <w:rPr>
          <w:rFonts w:hint="eastAsia" w:ascii="仿宋_GB2312" w:hAnsi="仿宋_GB2312" w:eastAsia="仿宋_GB2312" w:cs="仿宋_GB2312"/>
          <w:kern w:val="0"/>
          <w:szCs w:val="21"/>
          <w:lang w:val="zh-CN"/>
        </w:rPr>
        <w:t xml:space="preserve">投标人（企业电子章）：                                      </w:t>
      </w:r>
    </w:p>
    <w:p>
      <w:pPr>
        <w:pStyle w:val="104"/>
        <w:widowControl/>
        <w:jc w:val="left"/>
        <w:rPr>
          <w:rFonts w:ascii="仿宋_GB2312" w:hAnsi="仿宋_GB2312" w:eastAsia="仿宋_GB2312" w:cs="仿宋_GB2312"/>
          <w:bCs/>
          <w:kern w:val="0"/>
          <w:szCs w:val="21"/>
          <w:lang w:val="zh-CN"/>
        </w:rPr>
      </w:pPr>
      <w:r>
        <w:rPr>
          <w:rFonts w:hint="eastAsia" w:ascii="仿宋_GB2312" w:hAnsi="仿宋_GB2312" w:eastAsia="仿宋_GB2312" w:cs="仿宋_GB2312"/>
          <w:bCs/>
          <w:kern w:val="0"/>
          <w:szCs w:val="21"/>
          <w:lang w:val="zh-CN"/>
        </w:rPr>
        <w:t>注：</w:t>
      </w:r>
    </w:p>
    <w:p>
      <w:pPr>
        <w:pStyle w:val="104"/>
        <w:widowControl/>
        <w:jc w:val="left"/>
        <w:rPr>
          <w:rFonts w:ascii="仿宋_GB2312" w:hAnsi="仿宋_GB2312" w:eastAsia="仿宋_GB2312" w:cs="仿宋_GB2312"/>
          <w:bCs/>
          <w:kern w:val="0"/>
          <w:szCs w:val="21"/>
          <w:lang w:val="zh-CN"/>
        </w:rPr>
      </w:pPr>
      <w:r>
        <w:rPr>
          <w:rFonts w:hint="eastAsia" w:ascii="仿宋_GB2312" w:hAnsi="仿宋_GB2312" w:eastAsia="仿宋_GB2312" w:cs="仿宋_GB2312"/>
          <w:bCs/>
          <w:kern w:val="0"/>
          <w:szCs w:val="21"/>
          <w:lang w:val="zh-CN"/>
        </w:rPr>
        <w:t>1、投标人提供的产品属于节能产品、环境标志产品的，应提供相关证明资料(上述节能产品、环境标志产品认证证书复印件)，并如实填写本表，未按此要求提供证明资料或填写本表的，评审时不予认可、不予加分。</w:t>
      </w:r>
    </w:p>
    <w:p>
      <w:pPr>
        <w:pStyle w:val="104"/>
        <w:widowControl/>
        <w:jc w:val="left"/>
        <w:rPr>
          <w:rFonts w:ascii="仿宋_GB2312" w:hAnsi="仿宋_GB2312" w:eastAsia="仿宋_GB2312" w:cs="仿宋_GB2312"/>
          <w:bCs/>
          <w:kern w:val="0"/>
          <w:szCs w:val="21"/>
          <w:lang w:val="zh-CN"/>
        </w:rPr>
      </w:pPr>
      <w:r>
        <w:rPr>
          <w:rFonts w:hint="eastAsia" w:ascii="仿宋_GB2312" w:hAnsi="仿宋_GB2312" w:eastAsia="仿宋_GB2312" w:cs="仿宋_GB2312"/>
          <w:bCs/>
          <w:kern w:val="0"/>
          <w:szCs w:val="21"/>
          <w:lang w:val="zh-CN"/>
        </w:rPr>
        <w:t>2、证书应是由《市场监管总局关于发布参与实施政府采购节能产品、环境标志产品认证机构名录的公告》的认证机构出具的、处于有效期之内的。</w:t>
      </w:r>
    </w:p>
    <w:p>
      <w:pPr>
        <w:pStyle w:val="104"/>
        <w:widowControl/>
        <w:jc w:val="left"/>
        <w:rPr>
          <w:rFonts w:ascii="仿宋_GB2312" w:hAnsi="仿宋_GB2312" w:eastAsia="仿宋_GB2312" w:cs="仿宋_GB2312"/>
          <w:bCs/>
          <w:kern w:val="0"/>
          <w:szCs w:val="21"/>
          <w:lang w:val="zh-CN"/>
        </w:rPr>
      </w:pPr>
      <w:r>
        <w:rPr>
          <w:rFonts w:hint="eastAsia" w:ascii="仿宋_GB2312" w:hAnsi="仿宋_GB2312" w:eastAsia="仿宋_GB2312" w:cs="仿宋_GB2312"/>
          <w:bCs/>
          <w:kern w:val="0"/>
          <w:szCs w:val="21"/>
          <w:lang w:val="zh-CN"/>
        </w:rPr>
        <w:t>3、投标人可根据需要自行增减表格行数。</w:t>
      </w:r>
    </w:p>
    <w:p>
      <w:pPr>
        <w:pStyle w:val="104"/>
        <w:widowControl/>
        <w:jc w:val="left"/>
        <w:rPr>
          <w:rFonts w:ascii="仿宋_GB2312" w:hAnsi="仿宋_GB2312" w:eastAsia="仿宋_GB2312" w:cs="仿宋_GB2312"/>
          <w:bCs/>
          <w:kern w:val="0"/>
          <w:szCs w:val="21"/>
          <w:lang w:val="zh-CN"/>
        </w:rPr>
      </w:pPr>
      <w:r>
        <w:rPr>
          <w:rFonts w:hint="eastAsia" w:ascii="仿宋_GB2312" w:hAnsi="仿宋_GB2312" w:eastAsia="仿宋_GB2312" w:cs="仿宋_GB2312"/>
          <w:bCs/>
          <w:kern w:val="0"/>
          <w:szCs w:val="21"/>
          <w:lang w:val="zh-CN"/>
        </w:rPr>
        <w:t>4、相关证明资料附后。</w:t>
      </w:r>
    </w:p>
    <w:p>
      <w:pPr>
        <w:pStyle w:val="104"/>
        <w:widowControl/>
        <w:jc w:val="left"/>
        <w:rPr>
          <w:rFonts w:ascii="仿宋_GB2312" w:hAnsi="仿宋_GB2312" w:eastAsia="仿宋_GB2312" w:cs="仿宋_GB2312"/>
          <w:bCs/>
          <w:kern w:val="0"/>
          <w:szCs w:val="21"/>
          <w:lang w:val="zh-CN"/>
        </w:rPr>
      </w:pPr>
      <w:r>
        <w:rPr>
          <w:rFonts w:hint="eastAsia" w:ascii="仿宋_GB2312" w:hAnsi="仿宋_GB2312" w:eastAsia="仿宋_GB2312" w:cs="仿宋_GB2312"/>
          <w:bCs/>
          <w:kern w:val="0"/>
          <w:szCs w:val="21"/>
          <w:lang w:val="zh-CN"/>
        </w:rPr>
        <w:t>附：</w:t>
      </w:r>
    </w:p>
    <w:p>
      <w:pPr>
        <w:pStyle w:val="104"/>
        <w:widowControl/>
        <w:jc w:val="left"/>
        <w:rPr>
          <w:rFonts w:ascii="仿宋_GB2312" w:hAnsi="仿宋_GB2312" w:eastAsia="仿宋_GB2312" w:cs="仿宋_GB2312"/>
          <w:spacing w:val="14"/>
          <w:kern w:val="0"/>
          <w:szCs w:val="21"/>
          <w:lang w:val="zh-CN"/>
        </w:rPr>
      </w:pPr>
      <w:r>
        <w:rPr>
          <w:rFonts w:hint="eastAsia" w:ascii="仿宋_GB2312" w:hAnsi="仿宋_GB2312" w:eastAsia="仿宋_GB2312" w:cs="仿宋_GB2312"/>
          <w:bCs/>
          <w:kern w:val="0"/>
          <w:szCs w:val="21"/>
          <w:lang w:val="zh-CN"/>
        </w:rPr>
        <w:t>1、投标产品的《中国节能产品认证证书》</w:t>
      </w:r>
      <w:r>
        <w:rPr>
          <w:rFonts w:hint="eastAsia" w:ascii="仿宋_GB2312" w:hAnsi="仿宋_GB2312" w:eastAsia="仿宋_GB2312" w:cs="仿宋_GB2312"/>
          <w:spacing w:val="14"/>
          <w:kern w:val="0"/>
          <w:szCs w:val="21"/>
          <w:lang w:val="zh-CN"/>
        </w:rPr>
        <w:t>（应明显标画出对应的产品型号）</w:t>
      </w:r>
    </w:p>
    <w:p>
      <w:pPr>
        <w:pStyle w:val="104"/>
        <w:spacing w:line="360" w:lineRule="auto"/>
        <w:jc w:val="left"/>
        <w:rPr>
          <w:rFonts w:ascii="仿宋_GB2312" w:hAnsi="仿宋_GB2312" w:eastAsia="仿宋_GB2312" w:cs="仿宋_GB2312"/>
          <w:szCs w:val="24"/>
        </w:rPr>
      </w:pPr>
      <w:r>
        <w:rPr>
          <w:rFonts w:hint="eastAsia" w:ascii="仿宋_GB2312" w:hAnsi="仿宋_GB2312" w:eastAsia="仿宋_GB2312" w:cs="仿宋_GB2312"/>
          <w:bCs/>
          <w:szCs w:val="21"/>
        </w:rPr>
        <w:t>2、投标产品的《中国环境标志产品认证证书》</w:t>
      </w:r>
      <w:r>
        <w:rPr>
          <w:rFonts w:hint="eastAsia" w:ascii="仿宋_GB2312" w:hAnsi="仿宋_GB2312" w:eastAsia="仿宋_GB2312" w:cs="仿宋_GB2312"/>
          <w:spacing w:val="14"/>
          <w:szCs w:val="21"/>
        </w:rPr>
        <w:t>（应明显标画出对应的产品型号）</w:t>
      </w:r>
    </w:p>
    <w:p>
      <w:pPr>
        <w:pStyle w:val="105"/>
        <w:outlineLvl w:val="2"/>
        <w:rPr>
          <w:rFonts w:ascii="仿宋_GB2312" w:hAnsi="仿宋_GB2312" w:eastAsia="仿宋_GB2312" w:cs="仿宋_GB2312"/>
        </w:rPr>
      </w:pPr>
      <w:r>
        <w:rPr>
          <w:rFonts w:hint="eastAsia" w:ascii="仿宋_GB2312" w:hAnsi="仿宋_GB2312" w:eastAsia="仿宋_GB2312" w:cs="仿宋_GB2312"/>
        </w:rPr>
        <w:br w:type="page"/>
      </w:r>
      <w:bookmarkStart w:id="124" w:name="_Toc256000031"/>
      <w:r>
        <w:rPr>
          <w:rFonts w:hint="eastAsia" w:ascii="仿宋_GB2312" w:hAnsi="仿宋_GB2312" w:eastAsia="仿宋_GB2312" w:cs="仿宋_GB2312"/>
        </w:rPr>
        <w:t>十三、项目实施方案</w:t>
      </w:r>
      <w:bookmarkEnd w:id="124"/>
    </w:p>
    <w:p>
      <w:pPr>
        <w:pStyle w:val="106"/>
        <w:jc w:val="center"/>
        <w:rPr>
          <w:rFonts w:ascii="仿宋_GB2312" w:hAnsi="仿宋_GB2312" w:eastAsia="仿宋_GB2312" w:cs="仿宋_GB2312"/>
          <w:bCs/>
          <w:spacing w:val="10"/>
          <w:kern w:val="0"/>
          <w:sz w:val="28"/>
          <w:szCs w:val="28"/>
        </w:rPr>
      </w:pPr>
      <w:r>
        <w:rPr>
          <w:rFonts w:hint="eastAsia" w:ascii="仿宋_GB2312" w:hAnsi="仿宋_GB2312" w:eastAsia="仿宋_GB2312" w:cs="仿宋_GB2312"/>
          <w:bCs/>
          <w:spacing w:val="10"/>
          <w:kern w:val="0"/>
          <w:sz w:val="28"/>
          <w:szCs w:val="28"/>
        </w:rPr>
        <w:t>项目实施方案</w:t>
      </w:r>
    </w:p>
    <w:p>
      <w:pPr>
        <w:pStyle w:val="106"/>
        <w:jc w:val="center"/>
        <w:rPr>
          <w:rFonts w:ascii="仿宋_GB2312" w:hAnsi="仿宋_GB2312" w:eastAsia="仿宋_GB2312" w:cs="仿宋_GB2312"/>
          <w:bCs/>
          <w:spacing w:val="10"/>
          <w:kern w:val="0"/>
          <w:szCs w:val="21"/>
        </w:rPr>
      </w:pPr>
    </w:p>
    <w:p>
      <w:pPr>
        <w:pStyle w:val="106"/>
        <w:ind w:firstLine="420"/>
        <w:rPr>
          <w:rFonts w:ascii="仿宋_GB2312" w:hAnsi="仿宋_GB2312" w:eastAsia="仿宋_GB2312" w:cs="仿宋_GB2312"/>
          <w:bCs/>
          <w:spacing w:val="10"/>
          <w:kern w:val="0"/>
          <w:szCs w:val="21"/>
        </w:rPr>
      </w:pPr>
      <w:r>
        <w:rPr>
          <w:rFonts w:hint="eastAsia" w:ascii="仿宋_GB2312" w:hAnsi="仿宋_GB2312" w:eastAsia="仿宋_GB2312" w:cs="仿宋_GB2312"/>
          <w:bCs/>
          <w:spacing w:val="10"/>
          <w:kern w:val="0"/>
          <w:szCs w:val="21"/>
        </w:rPr>
        <w:t>投标人根据招标项目要求及自身情况自行填报。</w:t>
      </w:r>
    </w:p>
    <w:p>
      <w:pPr>
        <w:pStyle w:val="106"/>
        <w:rPr>
          <w:rFonts w:ascii="仿宋_GB2312" w:hAnsi="仿宋_GB2312" w:eastAsia="仿宋_GB2312" w:cs="仿宋_GB2312"/>
          <w:bCs/>
          <w:spacing w:val="10"/>
          <w:kern w:val="0"/>
          <w:szCs w:val="21"/>
        </w:rPr>
      </w:pPr>
    </w:p>
    <w:p>
      <w:pPr>
        <w:pStyle w:val="106"/>
        <w:rPr>
          <w:rFonts w:ascii="仿宋_GB2312" w:hAnsi="仿宋_GB2312" w:eastAsia="仿宋_GB2312" w:cs="仿宋_GB2312"/>
          <w:bCs/>
          <w:spacing w:val="10"/>
          <w:kern w:val="0"/>
          <w:szCs w:val="21"/>
        </w:rPr>
      </w:pPr>
    </w:p>
    <w:p>
      <w:pPr>
        <w:pStyle w:val="106"/>
        <w:ind w:firstLine="199" w:firstLineChars="100"/>
        <w:rPr>
          <w:rFonts w:ascii="仿宋_GB2312" w:hAnsi="仿宋_GB2312" w:eastAsia="仿宋_GB2312" w:cs="仿宋_GB2312"/>
          <w:kern w:val="0"/>
          <w:szCs w:val="21"/>
        </w:rPr>
      </w:pPr>
      <w:r>
        <w:rPr>
          <w:rFonts w:hint="eastAsia" w:ascii="仿宋_GB2312" w:hAnsi="仿宋_GB2312" w:eastAsia="仿宋_GB2312" w:cs="仿宋_GB2312"/>
          <w:bCs/>
          <w:spacing w:val="10"/>
          <w:kern w:val="0"/>
          <w:szCs w:val="21"/>
        </w:rPr>
        <w:t>投标人（企业电子章）：</w:t>
      </w:r>
    </w:p>
    <w:p>
      <w:pPr>
        <w:pStyle w:val="106"/>
        <w:rPr>
          <w:rFonts w:ascii="仿宋_GB2312" w:hAnsi="仿宋_GB2312" w:eastAsia="仿宋_GB2312" w:cs="仿宋_GB2312"/>
          <w:kern w:val="0"/>
          <w:szCs w:val="21"/>
        </w:rPr>
      </w:pPr>
    </w:p>
    <w:p>
      <w:pPr>
        <w:pStyle w:val="107"/>
        <w:rPr>
          <w:rFonts w:ascii="仿宋_GB2312" w:hAnsi="仿宋_GB2312" w:eastAsia="仿宋_GB2312" w:cs="仿宋_GB2312"/>
        </w:rPr>
      </w:pPr>
    </w:p>
    <w:p>
      <w:pPr>
        <w:pStyle w:val="110"/>
        <w:outlineLvl w:val="2"/>
        <w:rPr>
          <w:rFonts w:ascii="仿宋_GB2312" w:hAnsi="仿宋_GB2312" w:eastAsia="仿宋_GB2312" w:cs="仿宋_GB2312"/>
        </w:rPr>
      </w:pPr>
      <w:r>
        <w:rPr>
          <w:rFonts w:hint="eastAsia" w:ascii="仿宋_GB2312" w:hAnsi="仿宋_GB2312" w:eastAsia="仿宋_GB2312" w:cs="仿宋_GB2312"/>
        </w:rPr>
        <w:br w:type="page"/>
      </w:r>
      <w:bookmarkStart w:id="125" w:name="_Toc256000032"/>
      <w:r>
        <w:rPr>
          <w:rFonts w:hint="eastAsia" w:ascii="仿宋_GB2312" w:hAnsi="仿宋_GB2312" w:eastAsia="仿宋_GB2312" w:cs="仿宋_GB2312"/>
        </w:rPr>
        <w:t>十四、售后服务计划</w:t>
      </w:r>
      <w:bookmarkEnd w:id="125"/>
    </w:p>
    <w:p>
      <w:pPr>
        <w:pStyle w:val="111"/>
        <w:jc w:val="center"/>
        <w:rPr>
          <w:rFonts w:ascii="仿宋_GB2312" w:hAnsi="仿宋_GB2312" w:eastAsia="仿宋_GB2312" w:cs="仿宋_GB2312"/>
          <w:bCs/>
          <w:spacing w:val="10"/>
          <w:kern w:val="0"/>
          <w:sz w:val="28"/>
          <w:szCs w:val="28"/>
        </w:rPr>
      </w:pPr>
      <w:r>
        <w:rPr>
          <w:rFonts w:hint="eastAsia" w:ascii="仿宋_GB2312" w:hAnsi="仿宋_GB2312" w:eastAsia="仿宋_GB2312" w:cs="仿宋_GB2312"/>
          <w:bCs/>
          <w:spacing w:val="10"/>
          <w:kern w:val="0"/>
          <w:sz w:val="28"/>
          <w:szCs w:val="28"/>
        </w:rPr>
        <w:t>售后服务计划</w:t>
      </w:r>
    </w:p>
    <w:p>
      <w:pPr>
        <w:pStyle w:val="111"/>
        <w:jc w:val="center"/>
        <w:rPr>
          <w:rFonts w:ascii="仿宋_GB2312" w:hAnsi="仿宋_GB2312" w:eastAsia="仿宋_GB2312" w:cs="仿宋_GB2312"/>
          <w:bCs/>
          <w:spacing w:val="10"/>
          <w:kern w:val="0"/>
          <w:szCs w:val="21"/>
        </w:rPr>
      </w:pPr>
    </w:p>
    <w:p>
      <w:pPr>
        <w:pStyle w:val="111"/>
        <w:rPr>
          <w:rFonts w:ascii="仿宋_GB2312" w:hAnsi="仿宋_GB2312" w:eastAsia="仿宋_GB2312" w:cs="仿宋_GB2312"/>
          <w:bCs/>
          <w:spacing w:val="10"/>
          <w:kern w:val="0"/>
          <w:szCs w:val="21"/>
        </w:rPr>
      </w:pPr>
      <w:r>
        <w:rPr>
          <w:rFonts w:hint="eastAsia" w:ascii="仿宋_GB2312" w:hAnsi="仿宋_GB2312" w:eastAsia="仿宋_GB2312" w:cs="仿宋_GB2312"/>
          <w:bCs/>
          <w:spacing w:val="10"/>
          <w:kern w:val="0"/>
          <w:szCs w:val="21"/>
        </w:rPr>
        <w:t>根据磋商文件要求自行编辑；</w:t>
      </w:r>
    </w:p>
    <w:p>
      <w:pPr>
        <w:pStyle w:val="111"/>
        <w:rPr>
          <w:rFonts w:ascii="仿宋_GB2312" w:hAnsi="仿宋_GB2312" w:eastAsia="仿宋_GB2312" w:cs="仿宋_GB2312"/>
          <w:bCs/>
          <w:spacing w:val="10"/>
          <w:kern w:val="0"/>
          <w:szCs w:val="21"/>
        </w:rPr>
      </w:pPr>
    </w:p>
    <w:p>
      <w:pPr>
        <w:pStyle w:val="111"/>
        <w:rPr>
          <w:rFonts w:ascii="仿宋_GB2312" w:hAnsi="仿宋_GB2312" w:eastAsia="仿宋_GB2312" w:cs="仿宋_GB2312"/>
          <w:kern w:val="0"/>
          <w:szCs w:val="21"/>
        </w:rPr>
      </w:pPr>
      <w:r>
        <w:rPr>
          <w:rFonts w:hint="eastAsia" w:ascii="仿宋_GB2312" w:hAnsi="仿宋_GB2312" w:eastAsia="仿宋_GB2312" w:cs="仿宋_GB2312"/>
          <w:bCs/>
          <w:spacing w:val="10"/>
          <w:kern w:val="0"/>
          <w:szCs w:val="21"/>
        </w:rPr>
        <w:t>投标人（企业电子章）：</w:t>
      </w:r>
    </w:p>
    <w:p>
      <w:pPr>
        <w:pStyle w:val="112"/>
        <w:rPr>
          <w:rFonts w:ascii="仿宋_GB2312" w:hAnsi="仿宋_GB2312" w:eastAsia="仿宋_GB2312" w:cs="仿宋_GB2312"/>
        </w:rPr>
      </w:pPr>
    </w:p>
    <w:p>
      <w:pPr>
        <w:pStyle w:val="112"/>
        <w:rPr>
          <w:rFonts w:ascii="仿宋_GB2312" w:hAnsi="仿宋_GB2312" w:eastAsia="仿宋_GB2312" w:cs="仿宋_GB2312"/>
        </w:rPr>
      </w:pPr>
    </w:p>
    <w:p>
      <w:pPr>
        <w:pStyle w:val="112"/>
        <w:rPr>
          <w:rFonts w:ascii="仿宋_GB2312" w:hAnsi="仿宋_GB2312" w:eastAsia="仿宋_GB2312" w:cs="仿宋_GB2312"/>
        </w:rPr>
      </w:pPr>
    </w:p>
    <w:p>
      <w:pPr>
        <w:pStyle w:val="112"/>
        <w:rPr>
          <w:rFonts w:ascii="仿宋_GB2312" w:hAnsi="仿宋_GB2312" w:eastAsia="仿宋_GB2312" w:cs="仿宋_GB2312"/>
        </w:rPr>
      </w:pPr>
    </w:p>
    <w:p>
      <w:pPr>
        <w:pStyle w:val="115"/>
        <w:outlineLvl w:val="2"/>
        <w:rPr>
          <w:rFonts w:ascii="仿宋_GB2312" w:hAnsi="仿宋_GB2312" w:eastAsia="仿宋_GB2312" w:cs="仿宋_GB2312"/>
        </w:rPr>
      </w:pPr>
      <w:r>
        <w:rPr>
          <w:rFonts w:hint="eastAsia" w:ascii="仿宋_GB2312" w:hAnsi="仿宋_GB2312" w:eastAsia="仿宋_GB2312" w:cs="仿宋_GB2312"/>
        </w:rPr>
        <w:br w:type="page"/>
      </w:r>
      <w:bookmarkStart w:id="126" w:name="_Toc256000033"/>
      <w:r>
        <w:rPr>
          <w:rFonts w:hint="eastAsia" w:ascii="仿宋_GB2312" w:hAnsi="仿宋_GB2312" w:eastAsia="仿宋_GB2312" w:cs="仿宋_GB2312"/>
        </w:rPr>
        <w:t>十五、其他需要提供的资料</w:t>
      </w:r>
      <w:bookmarkEnd w:id="126"/>
    </w:p>
    <w:p>
      <w:pPr>
        <w:pStyle w:val="116"/>
        <w:jc w:val="center"/>
        <w:rPr>
          <w:rFonts w:ascii="仿宋_GB2312" w:hAnsi="仿宋_GB2312" w:eastAsia="仿宋_GB2312" w:cs="仿宋_GB2312"/>
          <w:bCs/>
          <w:spacing w:val="10"/>
          <w:kern w:val="0"/>
          <w:sz w:val="28"/>
          <w:szCs w:val="28"/>
        </w:rPr>
      </w:pPr>
      <w:r>
        <w:rPr>
          <w:rFonts w:hint="eastAsia" w:ascii="仿宋_GB2312" w:hAnsi="仿宋_GB2312" w:eastAsia="仿宋_GB2312" w:cs="仿宋_GB2312"/>
          <w:bCs/>
          <w:spacing w:val="10"/>
          <w:kern w:val="0"/>
          <w:sz w:val="28"/>
          <w:szCs w:val="28"/>
        </w:rPr>
        <w:t>其他需要提供的资料</w:t>
      </w:r>
    </w:p>
    <w:p>
      <w:pPr>
        <w:pStyle w:val="116"/>
        <w:jc w:val="center"/>
        <w:rPr>
          <w:rFonts w:ascii="仿宋_GB2312" w:hAnsi="仿宋_GB2312" w:eastAsia="仿宋_GB2312" w:cs="仿宋_GB2312"/>
          <w:bCs/>
          <w:spacing w:val="10"/>
          <w:kern w:val="0"/>
          <w:szCs w:val="21"/>
        </w:rPr>
      </w:pPr>
    </w:p>
    <w:p>
      <w:pPr>
        <w:pStyle w:val="116"/>
        <w:rPr>
          <w:rFonts w:ascii="仿宋_GB2312" w:hAnsi="仿宋_GB2312" w:eastAsia="仿宋_GB2312" w:cs="仿宋_GB2312"/>
          <w:kern w:val="0"/>
          <w:szCs w:val="21"/>
        </w:rPr>
      </w:pPr>
      <w:r>
        <w:rPr>
          <w:rFonts w:hint="eastAsia" w:ascii="仿宋_GB2312" w:hAnsi="仿宋_GB2312" w:eastAsia="仿宋_GB2312" w:cs="仿宋_GB2312"/>
          <w:bCs/>
          <w:spacing w:val="10"/>
          <w:kern w:val="0"/>
          <w:szCs w:val="21"/>
        </w:rPr>
        <w:t>投标人根据招标项目要求及自身情况自行填报。</w:t>
      </w:r>
    </w:p>
    <w:p>
      <w:pPr>
        <w:pStyle w:val="116"/>
        <w:rPr>
          <w:rFonts w:ascii="仿宋_GB2312" w:hAnsi="仿宋_GB2312" w:eastAsia="仿宋_GB2312" w:cs="仿宋_GB2312"/>
          <w:kern w:val="0"/>
          <w:szCs w:val="21"/>
        </w:rPr>
      </w:pPr>
    </w:p>
    <w:p>
      <w:pPr>
        <w:pStyle w:val="117"/>
        <w:ind w:firstLine="0"/>
        <w:rPr>
          <w:rFonts w:ascii="仿宋_GB2312" w:hAnsi="仿宋_GB2312" w:eastAsia="仿宋_GB2312" w:cs="仿宋_GB2312"/>
          <w:sz w:val="24"/>
          <w:szCs w:val="24"/>
        </w:rPr>
      </w:pPr>
    </w:p>
    <w:p>
      <w:pPr>
        <w:pStyle w:val="118"/>
        <w:rPr>
          <w:rFonts w:ascii="仿宋_GB2312" w:hAnsi="仿宋_GB2312" w:eastAsia="仿宋_GB2312" w:cs="仿宋_GB2312"/>
        </w:rPr>
      </w:pPr>
    </w:p>
    <w:p>
      <w:pPr>
        <w:pStyle w:val="118"/>
        <w:rPr>
          <w:rFonts w:ascii="仿宋_GB2312" w:hAnsi="仿宋_GB2312" w:eastAsia="仿宋_GB2312" w:cs="仿宋_GB2312"/>
        </w:rPr>
      </w:pPr>
    </w:p>
    <w:p>
      <w:pPr>
        <w:pStyle w:val="118"/>
        <w:rPr>
          <w:rFonts w:ascii="仿宋_GB2312" w:hAnsi="仿宋_GB2312" w:eastAsia="仿宋_GB2312" w:cs="仿宋_GB2312"/>
        </w:rPr>
      </w:pPr>
    </w:p>
    <w:p>
      <w:pPr>
        <w:pStyle w:val="118"/>
        <w:rPr>
          <w:rFonts w:ascii="仿宋_GB2312" w:hAnsi="仿宋_GB2312" w:eastAsia="仿宋_GB2312" w:cs="仿宋_GB2312"/>
        </w:rPr>
      </w:pPr>
    </w:p>
    <w:p>
      <w:pPr>
        <w:pStyle w:val="118"/>
        <w:rPr>
          <w:rFonts w:ascii="仿宋_GB2312" w:hAnsi="仿宋_GB2312" w:eastAsia="仿宋_GB2312" w:cs="仿宋_GB2312"/>
          <w:kern w:val="0"/>
          <w:szCs w:val="21"/>
        </w:rPr>
      </w:pPr>
    </w:p>
    <w:p>
      <w:pPr>
        <w:pStyle w:val="121"/>
        <w:outlineLvl w:val="2"/>
        <w:rPr>
          <w:rFonts w:ascii="仿宋_GB2312" w:hAnsi="仿宋_GB2312" w:eastAsia="仿宋_GB2312" w:cs="仿宋_GB2312"/>
        </w:rPr>
      </w:pPr>
      <w:r>
        <w:rPr>
          <w:rFonts w:hint="eastAsia" w:ascii="仿宋_GB2312" w:hAnsi="仿宋_GB2312" w:eastAsia="仿宋_GB2312" w:cs="仿宋_GB2312"/>
        </w:rPr>
        <w:br w:type="page"/>
      </w:r>
      <w:bookmarkStart w:id="127" w:name="_Toc256000034"/>
      <w:r>
        <w:rPr>
          <w:rFonts w:hint="eastAsia" w:ascii="仿宋_GB2312" w:hAnsi="仿宋_GB2312" w:eastAsia="仿宋_GB2312" w:cs="仿宋_GB2312"/>
        </w:rPr>
        <w:t>十六、参与评审打分的证书（证件）一览表</w:t>
      </w:r>
      <w:bookmarkEnd w:id="127"/>
    </w:p>
    <w:p>
      <w:pPr>
        <w:pStyle w:val="122"/>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参与评审打分的证书（证件）一览表</w:t>
      </w:r>
    </w:p>
    <w:p>
      <w:pPr>
        <w:pStyle w:val="122"/>
        <w:widowControl/>
        <w:jc w:val="center"/>
        <w:rPr>
          <w:rFonts w:ascii="仿宋_GB2312" w:hAnsi="仿宋_GB2312" w:eastAsia="仿宋_GB2312" w:cs="仿宋_GB2312"/>
          <w:kern w:val="0"/>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09"/>
        <w:gridCol w:w="2410"/>
        <w:gridCol w:w="2410"/>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4" w:type="dxa"/>
            <w:vAlign w:val="center"/>
          </w:tcPr>
          <w:p>
            <w:pPr>
              <w:pStyle w:val="122"/>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序号</w:t>
            </w:r>
          </w:p>
        </w:tc>
        <w:tc>
          <w:tcPr>
            <w:tcW w:w="2409" w:type="dxa"/>
            <w:vAlign w:val="center"/>
          </w:tcPr>
          <w:p>
            <w:pPr>
              <w:pStyle w:val="122"/>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证书（证件）名称</w:t>
            </w:r>
          </w:p>
        </w:tc>
        <w:tc>
          <w:tcPr>
            <w:tcW w:w="2410" w:type="dxa"/>
            <w:vAlign w:val="center"/>
          </w:tcPr>
          <w:p>
            <w:pPr>
              <w:pStyle w:val="122"/>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持证单位（人）</w:t>
            </w:r>
          </w:p>
        </w:tc>
        <w:tc>
          <w:tcPr>
            <w:tcW w:w="2410" w:type="dxa"/>
            <w:vAlign w:val="center"/>
          </w:tcPr>
          <w:p>
            <w:pPr>
              <w:pStyle w:val="122"/>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发证机构</w:t>
            </w:r>
          </w:p>
        </w:tc>
        <w:tc>
          <w:tcPr>
            <w:tcW w:w="1367" w:type="dxa"/>
            <w:vAlign w:val="center"/>
          </w:tcPr>
          <w:p>
            <w:pPr>
              <w:pStyle w:val="122"/>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74" w:type="dxa"/>
            <w:vAlign w:val="center"/>
          </w:tcPr>
          <w:p>
            <w:pPr>
              <w:pStyle w:val="122"/>
              <w:widowControl/>
              <w:jc w:val="center"/>
              <w:rPr>
                <w:rFonts w:ascii="仿宋_GB2312" w:hAnsi="仿宋_GB2312" w:eastAsia="仿宋_GB2312" w:cs="仿宋_GB2312"/>
                <w:bCs/>
                <w:w w:val="90"/>
                <w:kern w:val="0"/>
                <w:szCs w:val="21"/>
              </w:rPr>
            </w:pPr>
          </w:p>
        </w:tc>
        <w:tc>
          <w:tcPr>
            <w:tcW w:w="2409"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2410" w:type="dxa"/>
            <w:vAlign w:val="center"/>
          </w:tcPr>
          <w:p>
            <w:pPr>
              <w:pStyle w:val="122"/>
              <w:widowControl/>
              <w:rPr>
                <w:rFonts w:ascii="仿宋_GB2312" w:hAnsi="仿宋_GB2312" w:eastAsia="仿宋_GB2312" w:cs="仿宋_GB2312"/>
                <w:bCs/>
                <w:w w:val="90"/>
                <w:kern w:val="0"/>
                <w:szCs w:val="21"/>
              </w:rPr>
            </w:pPr>
          </w:p>
        </w:tc>
        <w:tc>
          <w:tcPr>
            <w:tcW w:w="1367" w:type="dxa"/>
            <w:vAlign w:val="center"/>
          </w:tcPr>
          <w:p>
            <w:pPr>
              <w:pStyle w:val="122"/>
              <w:widowControl/>
              <w:rPr>
                <w:rFonts w:ascii="仿宋_GB2312" w:hAnsi="仿宋_GB2312" w:eastAsia="仿宋_GB2312" w:cs="仿宋_GB2312"/>
                <w:bCs/>
                <w:w w:val="90"/>
                <w:kern w:val="0"/>
                <w:szCs w:val="21"/>
              </w:rPr>
            </w:pPr>
          </w:p>
        </w:tc>
      </w:tr>
    </w:tbl>
    <w:p>
      <w:pPr>
        <w:pStyle w:val="122"/>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投标人（企业电子章）：</w:t>
      </w:r>
    </w:p>
    <w:p>
      <w:pPr>
        <w:pStyle w:val="122"/>
        <w:widowControl/>
        <w:ind w:firstLine="482"/>
        <w:rPr>
          <w:rFonts w:ascii="仿宋_GB2312" w:hAnsi="仿宋_GB2312" w:eastAsia="仿宋_GB2312" w:cs="仿宋_GB2312"/>
          <w:kern w:val="0"/>
          <w:szCs w:val="21"/>
        </w:rPr>
      </w:pPr>
    </w:p>
    <w:p>
      <w:pPr>
        <w:pStyle w:val="122"/>
        <w:widowControl/>
        <w:rPr>
          <w:rFonts w:ascii="仿宋_GB2312" w:hAnsi="仿宋_GB2312" w:eastAsia="仿宋_GB2312" w:cs="仿宋_GB2312"/>
          <w:bCs/>
          <w:spacing w:val="10"/>
          <w:kern w:val="0"/>
          <w:szCs w:val="21"/>
        </w:rPr>
      </w:pPr>
      <w:r>
        <w:rPr>
          <w:rFonts w:hint="eastAsia" w:ascii="仿宋_GB2312" w:hAnsi="仿宋_GB2312" w:eastAsia="仿宋_GB2312" w:cs="仿宋_GB2312"/>
          <w:bCs/>
          <w:spacing w:val="10"/>
          <w:kern w:val="0"/>
          <w:szCs w:val="21"/>
        </w:rPr>
        <w:t>注：1.投标人可根据需要自行增减表格行数。</w:t>
      </w:r>
    </w:p>
    <w:p>
      <w:pPr>
        <w:pStyle w:val="122"/>
        <w:widowControl/>
        <w:ind w:firstLine="420"/>
        <w:rPr>
          <w:rFonts w:ascii="仿宋_GB2312" w:hAnsi="仿宋_GB2312" w:eastAsia="仿宋_GB2312" w:cs="仿宋_GB2312"/>
          <w:bCs/>
          <w:spacing w:val="10"/>
          <w:kern w:val="0"/>
          <w:szCs w:val="21"/>
        </w:rPr>
      </w:pPr>
      <w:r>
        <w:rPr>
          <w:rFonts w:hint="eastAsia" w:ascii="仿宋_GB2312" w:hAnsi="仿宋_GB2312" w:eastAsia="仿宋_GB2312" w:cs="仿宋_GB2312"/>
          <w:bCs/>
          <w:spacing w:val="10"/>
          <w:kern w:val="0"/>
          <w:szCs w:val="21"/>
        </w:rPr>
        <w:t>2.</w:t>
      </w:r>
      <w:r>
        <w:rPr>
          <w:rFonts w:hint="eastAsia" w:ascii="仿宋_GB2312" w:hAnsi="仿宋_GB2312" w:eastAsia="仿宋_GB2312" w:cs="仿宋_GB2312"/>
          <w:kern w:val="0"/>
          <w:szCs w:val="21"/>
        </w:rPr>
        <w:t>投标人对所报相关内容的真实性负责，采购代理机构有权将相关内容进行公示，因弄虚作假导致的后果由投标人自行承担。</w:t>
      </w:r>
    </w:p>
    <w:p>
      <w:pPr>
        <w:pStyle w:val="122"/>
        <w:widowControl/>
        <w:ind w:firstLine="482"/>
        <w:rPr>
          <w:rFonts w:ascii="仿宋_GB2312" w:hAnsi="仿宋_GB2312" w:eastAsia="仿宋_GB2312" w:cs="仿宋_GB2312"/>
          <w:kern w:val="0"/>
          <w:szCs w:val="21"/>
        </w:rPr>
      </w:pPr>
    </w:p>
    <w:p>
      <w:pPr>
        <w:pStyle w:val="123"/>
        <w:outlineLvl w:val="2"/>
        <w:rPr>
          <w:rFonts w:ascii="仿宋_GB2312" w:hAnsi="仿宋_GB2312" w:eastAsia="仿宋_GB2312" w:cs="仿宋_GB2312"/>
        </w:rPr>
      </w:pPr>
      <w:r>
        <w:rPr>
          <w:rFonts w:hint="eastAsia" w:ascii="仿宋_GB2312" w:hAnsi="仿宋_GB2312" w:eastAsia="仿宋_GB2312" w:cs="仿宋_GB2312"/>
        </w:rPr>
        <w:br w:type="page"/>
      </w:r>
      <w:bookmarkStart w:id="128" w:name="_Toc256000035"/>
      <w:r>
        <w:rPr>
          <w:rFonts w:hint="eastAsia" w:ascii="仿宋_GB2312" w:hAnsi="仿宋_GB2312" w:eastAsia="仿宋_GB2312" w:cs="仿宋_GB2312"/>
        </w:rPr>
        <w:t>十七、参与评审打分的证书（证件）扫描件</w:t>
      </w:r>
      <w:bookmarkEnd w:id="128"/>
    </w:p>
    <w:p>
      <w:pPr>
        <w:pStyle w:val="124"/>
        <w:outlineLvl w:val="2"/>
        <w:rPr>
          <w:rFonts w:ascii="仿宋_GB2312" w:hAnsi="仿宋_GB2312" w:eastAsia="仿宋_GB2312" w:cs="仿宋_GB2312"/>
        </w:rPr>
      </w:pPr>
      <w:r>
        <w:rPr>
          <w:rFonts w:hint="eastAsia" w:ascii="仿宋_GB2312" w:hAnsi="仿宋_GB2312" w:eastAsia="仿宋_GB2312" w:cs="仿宋_GB2312"/>
        </w:rPr>
        <w:br w:type="page"/>
      </w:r>
      <w:bookmarkStart w:id="129" w:name="_Toc256000036"/>
      <w:r>
        <w:rPr>
          <w:rFonts w:hint="eastAsia" w:ascii="仿宋_GB2312" w:hAnsi="仿宋_GB2312" w:eastAsia="仿宋_GB2312" w:cs="仿宋_GB2312"/>
        </w:rPr>
        <w:t>十八、参与评审打分的合同业绩一览表</w:t>
      </w:r>
      <w:bookmarkEnd w:id="129"/>
    </w:p>
    <w:p>
      <w:pPr>
        <w:pStyle w:val="125"/>
        <w:widowControl/>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参与评审打分的合同业绩一览表</w:t>
      </w:r>
    </w:p>
    <w:p>
      <w:pPr>
        <w:pStyle w:val="125"/>
        <w:widowControl/>
        <w:jc w:val="center"/>
        <w:rPr>
          <w:rFonts w:ascii="仿宋_GB2312" w:hAnsi="仿宋_GB2312" w:eastAsia="仿宋_GB2312" w:cs="仿宋_GB2312"/>
          <w:kern w:val="0"/>
          <w:szCs w:val="21"/>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339"/>
        <w:gridCol w:w="2552"/>
        <w:gridCol w:w="2126"/>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pPr>
              <w:pStyle w:val="125"/>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序号</w:t>
            </w:r>
          </w:p>
        </w:tc>
        <w:tc>
          <w:tcPr>
            <w:tcW w:w="2339" w:type="dxa"/>
            <w:vAlign w:val="center"/>
          </w:tcPr>
          <w:p>
            <w:pPr>
              <w:pStyle w:val="125"/>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项目名称</w:t>
            </w:r>
          </w:p>
        </w:tc>
        <w:tc>
          <w:tcPr>
            <w:tcW w:w="2552" w:type="dxa"/>
            <w:vAlign w:val="center"/>
          </w:tcPr>
          <w:p>
            <w:pPr>
              <w:pStyle w:val="125"/>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采购单位（甲方）名称</w:t>
            </w:r>
          </w:p>
        </w:tc>
        <w:tc>
          <w:tcPr>
            <w:tcW w:w="2126" w:type="dxa"/>
            <w:vAlign w:val="center"/>
          </w:tcPr>
          <w:p>
            <w:pPr>
              <w:pStyle w:val="125"/>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合同金额（元）</w:t>
            </w:r>
          </w:p>
        </w:tc>
        <w:tc>
          <w:tcPr>
            <w:tcW w:w="1255" w:type="dxa"/>
            <w:vAlign w:val="center"/>
          </w:tcPr>
          <w:p>
            <w:pPr>
              <w:pStyle w:val="125"/>
              <w:widowControl/>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w w:val="90"/>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w w:val="90"/>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w w:val="90"/>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w w:val="90"/>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w w:val="90"/>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pPr>
              <w:pStyle w:val="125"/>
              <w:widowControl/>
              <w:jc w:val="center"/>
              <w:rPr>
                <w:rFonts w:ascii="仿宋_GB2312" w:hAnsi="仿宋_GB2312" w:eastAsia="仿宋_GB2312" w:cs="仿宋_GB2312"/>
                <w:bCs/>
                <w:w w:val="90"/>
                <w:kern w:val="0"/>
                <w:szCs w:val="21"/>
              </w:rPr>
            </w:pPr>
          </w:p>
        </w:tc>
        <w:tc>
          <w:tcPr>
            <w:tcW w:w="2339" w:type="dxa"/>
            <w:vAlign w:val="center"/>
          </w:tcPr>
          <w:p>
            <w:pPr>
              <w:pStyle w:val="125"/>
              <w:widowControl/>
              <w:jc w:val="left"/>
              <w:rPr>
                <w:rFonts w:ascii="仿宋_GB2312" w:hAnsi="仿宋_GB2312" w:eastAsia="仿宋_GB2312" w:cs="仿宋_GB2312"/>
                <w:bCs/>
                <w:w w:val="90"/>
                <w:kern w:val="0"/>
                <w:szCs w:val="21"/>
              </w:rPr>
            </w:pPr>
          </w:p>
        </w:tc>
        <w:tc>
          <w:tcPr>
            <w:tcW w:w="2552" w:type="dxa"/>
            <w:vAlign w:val="center"/>
          </w:tcPr>
          <w:p>
            <w:pPr>
              <w:pStyle w:val="125"/>
              <w:widowControl/>
              <w:jc w:val="left"/>
              <w:rPr>
                <w:rFonts w:ascii="仿宋_GB2312" w:hAnsi="仿宋_GB2312" w:eastAsia="仿宋_GB2312" w:cs="仿宋_GB2312"/>
                <w:bCs/>
                <w:w w:val="90"/>
                <w:kern w:val="0"/>
                <w:szCs w:val="21"/>
              </w:rPr>
            </w:pPr>
          </w:p>
        </w:tc>
        <w:tc>
          <w:tcPr>
            <w:tcW w:w="2126" w:type="dxa"/>
            <w:vAlign w:val="center"/>
          </w:tcPr>
          <w:p>
            <w:pPr>
              <w:pStyle w:val="125"/>
              <w:widowControl/>
              <w:jc w:val="left"/>
              <w:rPr>
                <w:rFonts w:ascii="仿宋_GB2312" w:hAnsi="仿宋_GB2312" w:eastAsia="仿宋_GB2312" w:cs="仿宋_GB2312"/>
                <w:bCs/>
                <w:w w:val="90"/>
                <w:kern w:val="0"/>
                <w:szCs w:val="21"/>
              </w:rPr>
            </w:pPr>
          </w:p>
        </w:tc>
        <w:tc>
          <w:tcPr>
            <w:tcW w:w="1255" w:type="dxa"/>
            <w:vAlign w:val="center"/>
          </w:tcPr>
          <w:p>
            <w:pPr>
              <w:pStyle w:val="125"/>
              <w:widowControl/>
              <w:jc w:val="left"/>
              <w:rPr>
                <w:rFonts w:ascii="仿宋_GB2312" w:hAnsi="仿宋_GB2312" w:eastAsia="仿宋_GB2312" w:cs="仿宋_GB2312"/>
                <w:bCs/>
                <w:w w:val="90"/>
                <w:kern w:val="0"/>
                <w:szCs w:val="21"/>
              </w:rPr>
            </w:pPr>
          </w:p>
        </w:tc>
      </w:tr>
    </w:tbl>
    <w:p>
      <w:pPr>
        <w:pStyle w:val="125"/>
        <w:widowControl/>
        <w:rPr>
          <w:rFonts w:ascii="仿宋_GB2312" w:hAnsi="仿宋_GB2312" w:eastAsia="仿宋_GB2312" w:cs="仿宋_GB2312"/>
          <w:kern w:val="0"/>
          <w:szCs w:val="21"/>
        </w:rPr>
      </w:pPr>
      <w:r>
        <w:rPr>
          <w:rFonts w:hint="eastAsia" w:ascii="仿宋_GB2312" w:hAnsi="仿宋_GB2312" w:eastAsia="仿宋_GB2312" w:cs="仿宋_GB2312"/>
          <w:kern w:val="0"/>
          <w:szCs w:val="21"/>
        </w:rPr>
        <w:t>投标人（企业电子章）：</w:t>
      </w:r>
    </w:p>
    <w:p>
      <w:pPr>
        <w:pStyle w:val="125"/>
        <w:widowControl/>
        <w:rPr>
          <w:rFonts w:ascii="仿宋_GB2312" w:hAnsi="仿宋_GB2312" w:eastAsia="仿宋_GB2312" w:cs="仿宋_GB2312"/>
          <w:kern w:val="0"/>
          <w:szCs w:val="21"/>
        </w:rPr>
      </w:pPr>
    </w:p>
    <w:p>
      <w:pPr>
        <w:pStyle w:val="125"/>
        <w:widowControl/>
        <w:rPr>
          <w:rFonts w:ascii="仿宋_GB2312" w:hAnsi="仿宋_GB2312" w:eastAsia="仿宋_GB2312" w:cs="仿宋_GB2312"/>
          <w:kern w:val="0"/>
          <w:szCs w:val="21"/>
        </w:rPr>
      </w:pPr>
    </w:p>
    <w:p>
      <w:pPr>
        <w:pStyle w:val="125"/>
        <w:widowControl/>
        <w:rPr>
          <w:rFonts w:ascii="仿宋_GB2312" w:hAnsi="仿宋_GB2312" w:eastAsia="仿宋_GB2312" w:cs="仿宋_GB2312"/>
          <w:bCs/>
          <w:spacing w:val="10"/>
          <w:kern w:val="0"/>
          <w:szCs w:val="21"/>
        </w:rPr>
      </w:pPr>
      <w:r>
        <w:rPr>
          <w:rFonts w:hint="eastAsia" w:ascii="仿宋_GB2312" w:hAnsi="仿宋_GB2312" w:eastAsia="仿宋_GB2312" w:cs="仿宋_GB2312"/>
          <w:bCs/>
          <w:spacing w:val="10"/>
          <w:kern w:val="0"/>
          <w:szCs w:val="21"/>
        </w:rPr>
        <w:t>注：1.投标人可根据需要自行增减表格行数。</w:t>
      </w:r>
    </w:p>
    <w:p>
      <w:pPr>
        <w:pStyle w:val="125"/>
        <w:widowControl/>
        <w:ind w:firstLine="420"/>
        <w:rPr>
          <w:rFonts w:ascii="仿宋_GB2312" w:hAnsi="仿宋_GB2312" w:eastAsia="仿宋_GB2312" w:cs="仿宋_GB2312"/>
          <w:bCs/>
          <w:spacing w:val="10"/>
          <w:kern w:val="0"/>
          <w:szCs w:val="21"/>
        </w:rPr>
      </w:pPr>
      <w:r>
        <w:rPr>
          <w:rFonts w:hint="eastAsia" w:ascii="仿宋_GB2312" w:hAnsi="仿宋_GB2312" w:eastAsia="仿宋_GB2312" w:cs="仿宋_GB2312"/>
          <w:bCs/>
          <w:spacing w:val="10"/>
          <w:kern w:val="0"/>
          <w:szCs w:val="21"/>
        </w:rPr>
        <w:t>2.</w:t>
      </w:r>
      <w:r>
        <w:rPr>
          <w:rFonts w:hint="eastAsia" w:ascii="仿宋_GB2312" w:hAnsi="仿宋_GB2312" w:eastAsia="仿宋_GB2312" w:cs="仿宋_GB2312"/>
          <w:kern w:val="0"/>
          <w:szCs w:val="21"/>
        </w:rPr>
        <w:t>投标人对所报相关内容的真实性负责，采购代理机构有权将相关内容进行公示，因弄虚作假导致的后果由投标人自行承担。</w:t>
      </w:r>
    </w:p>
    <w:p>
      <w:pPr>
        <w:pStyle w:val="126"/>
        <w:outlineLvl w:val="2"/>
        <w:rPr>
          <w:rFonts w:ascii="仿宋_GB2312" w:hAnsi="仿宋_GB2312" w:eastAsia="仿宋_GB2312" w:cs="仿宋_GB2312"/>
        </w:rPr>
      </w:pPr>
      <w:r>
        <w:rPr>
          <w:rFonts w:hint="eastAsia" w:ascii="仿宋_GB2312" w:hAnsi="仿宋_GB2312" w:eastAsia="仿宋_GB2312" w:cs="仿宋_GB2312"/>
        </w:rPr>
        <w:br w:type="page"/>
      </w:r>
      <w:bookmarkStart w:id="130" w:name="_Toc256000037"/>
      <w:r>
        <w:rPr>
          <w:rFonts w:hint="eastAsia" w:ascii="仿宋_GB2312" w:hAnsi="仿宋_GB2312" w:eastAsia="仿宋_GB2312" w:cs="仿宋_GB2312"/>
        </w:rPr>
        <w:t>十九、参与评审打分的合同业绩扫描件</w:t>
      </w:r>
      <w:bookmarkEnd w:id="130"/>
    </w:p>
    <w:bookmarkEnd w:id="109"/>
    <w:p>
      <w:pPr>
        <w:rPr>
          <w:rFonts w:ascii="仿宋_GB2312" w:hAnsi="仿宋_GB2312" w:eastAsia="仿宋_GB2312" w:cs="仿宋_GB2312"/>
          <w:color w:val="000080"/>
          <w:sz w:val="20"/>
          <w:highlight w:val="white"/>
        </w:rPr>
      </w:pPr>
    </w:p>
    <w:p/>
    <w:sectPr>
      <w:headerReference r:id="rId4" w:type="first"/>
      <w:footerReference r:id="rId7" w:type="first"/>
      <w:headerReference r:id="rId3" w:type="default"/>
      <w:footerReference r:id="rId5" w:type="default"/>
      <w:footerReference r:id="rId6" w:type="even"/>
      <w:pgSz w:w="11906" w:h="16838"/>
      <w:pgMar w:top="1418" w:right="1247" w:bottom="1418" w:left="1418" w:header="680" w:footer="680" w:gutter="0"/>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highlight w:val="white"/>
      </w:rPr>
      <w:instrText xml:space="preserve">PAGE  </w:instrText>
    </w:r>
    <w:r>
      <w:fldChar w:fldCharType="separate"/>
    </w:r>
    <w:r>
      <w:rPr>
        <w:rStyle w:val="19"/>
        <w:highlight w:val="white"/>
      </w:rPr>
      <w:t>13</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9"/>
      </w:rPr>
    </w:pPr>
    <w:r>
      <w:fldChar w:fldCharType="begin"/>
    </w:r>
    <w:r>
      <w:rPr>
        <w:rStyle w:val="19"/>
        <w:highlight w:val="white"/>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eastAsia="楷体_GB2312"/>
        <w:sz w:val="21"/>
        <w:shd w:val="pct10" w:color="auto" w:fill="FFFFFF"/>
      </w:rPr>
    </w:pPr>
    <w:r>
      <w:rPr>
        <w:rFonts w:hint="eastAsia" w:eastAsia="楷体_GB2312"/>
        <w:sz w:val="21"/>
        <w:highlight w:val="white"/>
        <w:shd w:val="pct10" w:color="auto" w:fill="FFFFFF"/>
      </w:rPr>
      <w:t xml:space="preserve">公开 公平 公正 诚信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eastAsia="楷体_GB2312"/>
        <w:sz w:val="21"/>
        <w:shd w:val="pct10" w:color="auto" w:fill="FFFFFF"/>
      </w:rPr>
    </w:pPr>
    <w:r>
      <w:rPr>
        <w:rFonts w:hint="eastAsia" w:eastAsia="楷体_GB2312"/>
        <w:sz w:val="21"/>
        <w:highlight w:val="white"/>
        <w:shd w:val="pct10" w:color="auto" w:fill="FFFFFF"/>
      </w:rPr>
      <w:t>公开公平公正诚信洛阳市政府采购中心招标文件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56F6F"/>
    <w:multiLevelType w:val="singleLevel"/>
    <w:tmpl w:val="1A356F6F"/>
    <w:lvl w:ilvl="0" w:tentative="0">
      <w:start w:val="1"/>
      <w:numFmt w:val="decimal"/>
      <w:lvlText w:val="(%1)"/>
      <w:lvlJc w:val="left"/>
      <w:pPr>
        <w:tabs>
          <w:tab w:val="left" w:pos="312"/>
        </w:tabs>
      </w:pPr>
    </w:lvl>
  </w:abstractNum>
  <w:abstractNum w:abstractNumId="1">
    <w:nsid w:val="389266BB"/>
    <w:multiLevelType w:val="multilevel"/>
    <w:tmpl w:val="389266BB"/>
    <w:lvl w:ilvl="0" w:tentative="0">
      <w:start w:val="7"/>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008F62B"/>
    <w:multiLevelType w:val="singleLevel"/>
    <w:tmpl w:val="7008F62B"/>
    <w:lvl w:ilvl="0" w:tentative="0">
      <w:start w:val="1"/>
      <w:numFmt w:val="decimal"/>
      <w:suff w:val="nothing"/>
      <w:lvlText w:val="%1、"/>
      <w:lvlJc w:val="left"/>
    </w:lvl>
  </w:abstractNum>
  <w:abstractNum w:abstractNumId="3">
    <w:nsid w:val="732F2F6B"/>
    <w:multiLevelType w:val="singleLevel"/>
    <w:tmpl w:val="732F2F6B"/>
    <w:lvl w:ilvl="0" w:tentative="0">
      <w:start w:val="3"/>
      <w:numFmt w:val="chineseCounting"/>
      <w:suff w:val="nothing"/>
      <w:lvlText w:val="%1、"/>
      <w:lvlJc w:val="left"/>
      <w:rPr>
        <w:rFonts w:hint="eastAsia"/>
      </w:rPr>
    </w:lvl>
  </w:abstractNum>
  <w:abstractNum w:abstractNumId="4">
    <w:nsid w:val="732F2F6C"/>
    <w:multiLevelType w:val="singleLevel"/>
    <w:tmpl w:val="732F2F6C"/>
    <w:lvl w:ilvl="0" w:tentative="0">
      <w:start w:val="1"/>
      <w:numFmt w:val="decimal"/>
      <w:suff w:val="nothing"/>
      <w:lvlText w:val="%1、"/>
      <w:lvlJc w:val="left"/>
    </w:lvl>
  </w:abstractNum>
  <w:abstractNum w:abstractNumId="5">
    <w:nsid w:val="732F2F6D"/>
    <w:multiLevelType w:val="multilevel"/>
    <w:tmpl w:val="732F2F6D"/>
    <w:lvl w:ilvl="0" w:tentative="0">
      <w:start w:val="1"/>
      <w:numFmt w:val="decimal"/>
      <w:lvlText w:val="%1、"/>
      <w:lvlJc w:val="left"/>
      <w:pPr>
        <w:ind w:left="1440" w:hanging="720"/>
      </w:pPr>
      <w:rPr>
        <w:rFonts w:ascii="宋体" w:hAnsi="宋体" w:eastAsia="宋体" w:cs="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732F2F6E"/>
    <w:multiLevelType w:val="singleLevel"/>
    <w:tmpl w:val="732F2F6E"/>
    <w:lvl w:ilvl="0" w:tentative="0">
      <w:start w:val="1"/>
      <w:numFmt w:val="chineseCounting"/>
      <w:suff w:val="nothing"/>
      <w:lvlText w:val="%1、"/>
      <w:lvlJc w:val="left"/>
      <w:rPr>
        <w:rFonts w:hint="eastAsia"/>
      </w:rPr>
    </w:lvl>
  </w:abstractNum>
  <w:abstractNum w:abstractNumId="7">
    <w:nsid w:val="732F2F6F"/>
    <w:multiLevelType w:val="singleLevel"/>
    <w:tmpl w:val="732F2F6F"/>
    <w:lvl w:ilvl="0" w:tentative="0">
      <w:start w:val="1"/>
      <w:numFmt w:val="decimal"/>
      <w:suff w:val="nothing"/>
      <w:lvlText w:val="%1、"/>
      <w:lvlJc w:val="left"/>
    </w:lvl>
  </w:abstractNum>
  <w:abstractNum w:abstractNumId="8">
    <w:nsid w:val="732F2F70"/>
    <w:multiLevelType w:val="singleLevel"/>
    <w:tmpl w:val="732F2F70"/>
    <w:lvl w:ilvl="0" w:tentative="0">
      <w:start w:val="1"/>
      <w:numFmt w:val="decimal"/>
      <w:suff w:val="nothing"/>
      <w:lvlText w:val="%1、"/>
      <w:lvlJc w:val="left"/>
    </w:lvl>
  </w:abstractNum>
  <w:abstractNum w:abstractNumId="9">
    <w:nsid w:val="732F2F71"/>
    <w:multiLevelType w:val="singleLevel"/>
    <w:tmpl w:val="732F2F71"/>
    <w:lvl w:ilvl="0" w:tentative="0">
      <w:start w:val="1"/>
      <w:numFmt w:val="decimal"/>
      <w:suff w:val="nothing"/>
      <w:lvlText w:val="%1、"/>
      <w:lvlJc w:val="left"/>
    </w:lvl>
  </w:abstractNum>
  <w:abstractNum w:abstractNumId="10">
    <w:nsid w:val="732F2F72"/>
    <w:multiLevelType w:val="multilevel"/>
    <w:tmpl w:val="732F2F72"/>
    <w:lvl w:ilvl="0" w:tentative="0">
      <w:start w:val="1"/>
      <w:numFmt w:val="japaneseCounting"/>
      <w:lvlText w:val="%1、"/>
      <w:lvlJc w:val="left"/>
      <w:pPr>
        <w:ind w:left="420" w:hanging="420"/>
      </w:pPr>
      <w:rPr>
        <w:rFonts w:hint="default"/>
      </w:rPr>
    </w:lvl>
    <w:lvl w:ilvl="1" w:tentative="0">
      <w:start w:val="3"/>
      <w:numFmt w:val="decimal"/>
      <w:lvlText w:val="%2、"/>
      <w:lvlJc w:val="left"/>
      <w:pPr>
        <w:ind w:left="780" w:hanging="360"/>
      </w:pPr>
      <w:rPr>
        <w:rFonts w:hint="default"/>
      </w:rPr>
    </w:lvl>
    <w:lvl w:ilvl="2" w:tentative="0">
      <w:start w:val="2"/>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32F2F73"/>
    <w:multiLevelType w:val="singleLevel"/>
    <w:tmpl w:val="732F2F73"/>
    <w:lvl w:ilvl="0" w:tentative="0">
      <w:start w:val="4"/>
      <w:numFmt w:val="decimal"/>
      <w:suff w:val="nothing"/>
      <w:lvlText w:val="%1、"/>
      <w:lvlJc w:val="left"/>
    </w:lvl>
  </w:abstractNum>
  <w:abstractNum w:abstractNumId="12">
    <w:nsid w:val="732F2F74"/>
    <w:multiLevelType w:val="singleLevel"/>
    <w:tmpl w:val="732F2F74"/>
    <w:lvl w:ilvl="0" w:tentative="0">
      <w:start w:val="3"/>
      <w:numFmt w:val="chineseCounting"/>
      <w:suff w:val="nothing"/>
      <w:lvlText w:val="%1、"/>
      <w:lvlJc w:val="left"/>
    </w:lvl>
  </w:abstractNum>
  <w:abstractNum w:abstractNumId="13">
    <w:nsid w:val="732F2F75"/>
    <w:multiLevelType w:val="singleLevel"/>
    <w:tmpl w:val="732F2F75"/>
    <w:lvl w:ilvl="0" w:tentative="0">
      <w:start w:val="1"/>
      <w:numFmt w:val="chineseCounting"/>
      <w:suff w:val="nothing"/>
      <w:lvlText w:val="%1、"/>
      <w:lvlJc w:val="left"/>
      <w:rPr>
        <w:rFonts w:hint="eastAsia"/>
      </w:rPr>
    </w:lvl>
  </w:abstractNum>
  <w:abstractNum w:abstractNumId="14">
    <w:nsid w:val="732F2F76"/>
    <w:multiLevelType w:val="singleLevel"/>
    <w:tmpl w:val="732F2F76"/>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NWFlNTE0M2E1NGFlOThhYzhhZjlkMjRlMTc0YWIifQ=="/>
  </w:docVars>
  <w:rsids>
    <w:rsidRoot w:val="7E847C87"/>
    <w:rsid w:val="0001401D"/>
    <w:rsid w:val="0004108B"/>
    <w:rsid w:val="00063E6B"/>
    <w:rsid w:val="0006670B"/>
    <w:rsid w:val="000918AF"/>
    <w:rsid w:val="000971E2"/>
    <w:rsid w:val="001022E8"/>
    <w:rsid w:val="00156550"/>
    <w:rsid w:val="0016477F"/>
    <w:rsid w:val="001A29CE"/>
    <w:rsid w:val="001E2B62"/>
    <w:rsid w:val="00230E9B"/>
    <w:rsid w:val="002314D0"/>
    <w:rsid w:val="00251EF2"/>
    <w:rsid w:val="002E7592"/>
    <w:rsid w:val="002F6962"/>
    <w:rsid w:val="00335904"/>
    <w:rsid w:val="0034334A"/>
    <w:rsid w:val="00360787"/>
    <w:rsid w:val="003A29B2"/>
    <w:rsid w:val="003E394D"/>
    <w:rsid w:val="00453966"/>
    <w:rsid w:val="004C1758"/>
    <w:rsid w:val="004D5B47"/>
    <w:rsid w:val="00507FD2"/>
    <w:rsid w:val="00537589"/>
    <w:rsid w:val="00570064"/>
    <w:rsid w:val="00583169"/>
    <w:rsid w:val="005A765E"/>
    <w:rsid w:val="005A79C2"/>
    <w:rsid w:val="005B6749"/>
    <w:rsid w:val="005C79F3"/>
    <w:rsid w:val="005D469F"/>
    <w:rsid w:val="00686F47"/>
    <w:rsid w:val="006A168A"/>
    <w:rsid w:val="006C71C9"/>
    <w:rsid w:val="0070272B"/>
    <w:rsid w:val="00767B69"/>
    <w:rsid w:val="00783861"/>
    <w:rsid w:val="008108AF"/>
    <w:rsid w:val="0089262A"/>
    <w:rsid w:val="008946DB"/>
    <w:rsid w:val="008A5082"/>
    <w:rsid w:val="008D0A13"/>
    <w:rsid w:val="008D0C5A"/>
    <w:rsid w:val="008F3928"/>
    <w:rsid w:val="00917396"/>
    <w:rsid w:val="00953A25"/>
    <w:rsid w:val="00992FDE"/>
    <w:rsid w:val="009A6FAB"/>
    <w:rsid w:val="009B0CCD"/>
    <w:rsid w:val="00A0662A"/>
    <w:rsid w:val="00A21259"/>
    <w:rsid w:val="00A642F1"/>
    <w:rsid w:val="00A77A3E"/>
    <w:rsid w:val="00AC7DE3"/>
    <w:rsid w:val="00AE5432"/>
    <w:rsid w:val="00B002A0"/>
    <w:rsid w:val="00B33F1F"/>
    <w:rsid w:val="00B37049"/>
    <w:rsid w:val="00B5549A"/>
    <w:rsid w:val="00B773BF"/>
    <w:rsid w:val="00B91499"/>
    <w:rsid w:val="00BA4250"/>
    <w:rsid w:val="00BB372D"/>
    <w:rsid w:val="00BD18A5"/>
    <w:rsid w:val="00BD4022"/>
    <w:rsid w:val="00BE2A82"/>
    <w:rsid w:val="00C531E1"/>
    <w:rsid w:val="00C73957"/>
    <w:rsid w:val="00C8282E"/>
    <w:rsid w:val="00C903BC"/>
    <w:rsid w:val="00D2187D"/>
    <w:rsid w:val="00D52BC9"/>
    <w:rsid w:val="00D70029"/>
    <w:rsid w:val="00DE2DBE"/>
    <w:rsid w:val="00E147D2"/>
    <w:rsid w:val="00E2196F"/>
    <w:rsid w:val="00E45B98"/>
    <w:rsid w:val="00E5433C"/>
    <w:rsid w:val="00E76DF5"/>
    <w:rsid w:val="00E83C06"/>
    <w:rsid w:val="00F249C5"/>
    <w:rsid w:val="00F3150F"/>
    <w:rsid w:val="00F74661"/>
    <w:rsid w:val="00FA145D"/>
    <w:rsid w:val="00FB04E1"/>
    <w:rsid w:val="00FC3210"/>
    <w:rsid w:val="00FC4428"/>
    <w:rsid w:val="00FE3051"/>
    <w:rsid w:val="042A64AD"/>
    <w:rsid w:val="07BC60B3"/>
    <w:rsid w:val="090B0BDE"/>
    <w:rsid w:val="0EFD148A"/>
    <w:rsid w:val="131F3273"/>
    <w:rsid w:val="201A4AA8"/>
    <w:rsid w:val="22C24EA4"/>
    <w:rsid w:val="234F101B"/>
    <w:rsid w:val="238C4B27"/>
    <w:rsid w:val="293B16B2"/>
    <w:rsid w:val="2AE969F6"/>
    <w:rsid w:val="2C981CA3"/>
    <w:rsid w:val="364526C4"/>
    <w:rsid w:val="379D587F"/>
    <w:rsid w:val="39501647"/>
    <w:rsid w:val="39B628C4"/>
    <w:rsid w:val="3D6F3BD0"/>
    <w:rsid w:val="3E3143FD"/>
    <w:rsid w:val="44823264"/>
    <w:rsid w:val="479F45C0"/>
    <w:rsid w:val="514D5C47"/>
    <w:rsid w:val="52CB10FC"/>
    <w:rsid w:val="54A7729E"/>
    <w:rsid w:val="55F936B0"/>
    <w:rsid w:val="738659A6"/>
    <w:rsid w:val="760140DA"/>
    <w:rsid w:val="7A8A7699"/>
    <w:rsid w:val="7E84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pPr>
  </w:style>
  <w:style w:type="paragraph" w:styleId="3">
    <w:name w:val="Body Text"/>
    <w:basedOn w:val="1"/>
    <w:next w:val="4"/>
    <w:qFormat/>
    <w:uiPriority w:val="0"/>
    <w:rPr>
      <w:rFonts w:eastAsia="仿宋_GB2312"/>
      <w:sz w:val="28"/>
      <w:szCs w:val="30"/>
    </w:rPr>
  </w:style>
  <w:style w:type="paragraph" w:customStyle="1" w:styleId="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First Indent 2"/>
    <w:basedOn w:val="6"/>
    <w:next w:val="1"/>
    <w:qFormat/>
    <w:uiPriority w:val="0"/>
    <w:pPr>
      <w:spacing w:after="120" w:line="240" w:lineRule="auto"/>
      <w:ind w:left="200" w:leftChars="200" w:firstLine="200" w:firstLineChars="200"/>
    </w:pPr>
  </w:style>
  <w:style w:type="paragraph" w:styleId="6">
    <w:name w:val="Body Text Indent"/>
    <w:basedOn w:val="1"/>
    <w:next w:val="7"/>
    <w:qFormat/>
    <w:uiPriority w:val="0"/>
    <w:pPr>
      <w:spacing w:line="400" w:lineRule="exact"/>
      <w:ind w:left="630"/>
    </w:pPr>
    <w:rPr>
      <w:rFonts w:ascii="楷体_GB2312" w:eastAsia="仿宋_GB2312"/>
      <w:sz w:val="30"/>
      <w:szCs w:val="30"/>
    </w:rPr>
  </w:style>
  <w:style w:type="paragraph" w:styleId="7">
    <w:name w:val="envelope return"/>
    <w:basedOn w:val="1"/>
    <w:qFormat/>
    <w:uiPriority w:val="0"/>
    <w:pPr>
      <w:snapToGrid w:val="0"/>
    </w:pPr>
    <w:rPr>
      <w:rFonts w:ascii="Arial" w:hAnsi="Arial"/>
    </w:rPr>
  </w:style>
  <w:style w:type="paragraph" w:styleId="8">
    <w:name w:val="annotation text"/>
    <w:basedOn w:val="1"/>
    <w:link w:val="134"/>
    <w:qFormat/>
    <w:uiPriority w:val="0"/>
    <w:pPr>
      <w:jc w:val="left"/>
    </w:pPr>
  </w:style>
  <w:style w:type="paragraph" w:styleId="9">
    <w:name w:val="Balloon Text"/>
    <w:basedOn w:val="1"/>
    <w:link w:val="136"/>
    <w:qFormat/>
    <w:uiPriority w:val="0"/>
    <w:rPr>
      <w:sz w:val="18"/>
      <w:szCs w:val="18"/>
    </w:rPr>
  </w:style>
  <w:style w:type="paragraph" w:styleId="10">
    <w:name w:val="footer"/>
    <w:basedOn w:val="1"/>
    <w:qFormat/>
    <w:uiPriority w:val="99"/>
    <w:pPr>
      <w:tabs>
        <w:tab w:val="center" w:pos="4153"/>
        <w:tab w:val="right" w:pos="8306"/>
      </w:tabs>
      <w:snapToGrid w:val="0"/>
      <w:jc w:val="left"/>
    </w:pPr>
    <w:rPr>
      <w:rFonts w:ascii="仿宋_GB2312" w:eastAsia="仿宋_GB231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仿宋_GB2312" w:eastAsia="仿宋_GB2312"/>
      <w:sz w:val="18"/>
      <w:szCs w:val="18"/>
    </w:rPr>
  </w:style>
  <w:style w:type="paragraph" w:styleId="12">
    <w:name w:val="toc 1"/>
    <w:basedOn w:val="1"/>
    <w:next w:val="1"/>
    <w:qFormat/>
    <w:uiPriority w:val="39"/>
    <w:pPr>
      <w:spacing w:before="120" w:after="120"/>
      <w:jc w:val="left"/>
    </w:pPr>
    <w:rPr>
      <w:rFonts w:eastAsia="微软雅黑" w:cs="Calibri"/>
      <w:b/>
      <w:bCs/>
      <w:caps/>
      <w:spacing w:val="20"/>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4">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styleId="15">
    <w:name w:val="annotation subject"/>
    <w:basedOn w:val="8"/>
    <w:next w:val="8"/>
    <w:link w:val="135"/>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FollowedHyperlink"/>
    <w:basedOn w:val="18"/>
    <w:qFormat/>
    <w:uiPriority w:val="0"/>
    <w:rPr>
      <w:color w:val="444444"/>
      <w:sz w:val="21"/>
      <w:szCs w:val="21"/>
      <w:u w:val="none"/>
    </w:rPr>
  </w:style>
  <w:style w:type="character" w:styleId="21">
    <w:name w:val="Hyperlink"/>
    <w:basedOn w:val="18"/>
    <w:qFormat/>
    <w:uiPriority w:val="0"/>
    <w:rPr>
      <w:color w:val="444444"/>
      <w:sz w:val="21"/>
      <w:szCs w:val="21"/>
      <w:u w:val="none"/>
    </w:rPr>
  </w:style>
  <w:style w:type="character" w:styleId="22">
    <w:name w:val="annotation reference"/>
    <w:basedOn w:val="18"/>
    <w:qFormat/>
    <w:uiPriority w:val="0"/>
    <w:rPr>
      <w:sz w:val="21"/>
      <w:szCs w:val="21"/>
    </w:rPr>
  </w:style>
  <w:style w:type="paragraph" w:customStyle="1" w:styleId="23">
    <w:name w:val="*正文_0"/>
    <w:basedOn w:val="24"/>
    <w:next w:val="24"/>
    <w:qFormat/>
    <w:uiPriority w:val="0"/>
    <w:pPr>
      <w:widowControl/>
      <w:ind w:firstLine="482"/>
    </w:pPr>
    <w:rPr>
      <w:rFonts w:ascii="微软雅黑" w:hAnsi="微软雅黑" w:eastAsia="微软雅黑"/>
    </w:rPr>
  </w:style>
  <w:style w:type="paragraph" w:customStyle="1" w:styleId="24">
    <w:name w:val="正文_1_0"/>
    <w:basedOn w:val="25"/>
    <w:next w:val="27"/>
    <w:qFormat/>
    <w:uiPriority w:val="0"/>
  </w:style>
  <w:style w:type="paragraph" w:customStyle="1" w:styleId="25">
    <w:name w:val="正文_2"/>
    <w:next w:val="26"/>
    <w:qFormat/>
    <w:uiPriority w:val="0"/>
    <w:pPr>
      <w:widowControl w:val="0"/>
      <w:jc w:val="both"/>
    </w:pPr>
    <w:rPr>
      <w:rFonts w:ascii="Times New Roman" w:hAnsi="Times New Roman" w:eastAsia="宋体" w:cs="Times New Roman"/>
      <w:lang w:val="en-US" w:eastAsia="zh-CN" w:bidi="ar-SA"/>
    </w:rPr>
  </w:style>
  <w:style w:type="paragraph" w:customStyle="1" w:styleId="26">
    <w:name w:val="Default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正文_0"/>
    <w:next w:val="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文本_0"/>
    <w:basedOn w:val="28"/>
    <w:next w:val="2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0">
    <w:name w:val="*正文"/>
    <w:basedOn w:val="1"/>
    <w:next w:val="1"/>
    <w:qFormat/>
    <w:uiPriority w:val="0"/>
    <w:pPr>
      <w:widowControl/>
      <w:ind w:firstLine="482"/>
    </w:pPr>
    <w:rPr>
      <w:rFonts w:ascii="微软雅黑" w:hAnsi="微软雅黑" w:eastAsia="微软雅黑"/>
    </w:rPr>
  </w:style>
  <w:style w:type="paragraph" w:customStyle="1" w:styleId="31">
    <w:name w:val="正文_1"/>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文本_1"/>
    <w:basedOn w:val="31"/>
    <w:next w:val="2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3">
    <w:name w:val="普通(网站)_0"/>
    <w:basedOn w:val="31"/>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34">
    <w:name w:val="*正文_1"/>
    <w:basedOn w:val="31"/>
    <w:next w:val="31"/>
    <w:qFormat/>
    <w:uiPriority w:val="0"/>
    <w:pPr>
      <w:widowControl/>
      <w:ind w:firstLine="482"/>
    </w:pPr>
    <w:rPr>
      <w:rFonts w:ascii="微软雅黑" w:hAnsi="微软雅黑" w:eastAsia="微软雅黑"/>
      <w:kern w:val="0"/>
      <w:szCs w:val="20"/>
    </w:rPr>
  </w:style>
  <w:style w:type="character" w:customStyle="1" w:styleId="35">
    <w:name w:val="NormalCharacter"/>
    <w:qFormat/>
    <w:uiPriority w:val="0"/>
  </w:style>
  <w:style w:type="paragraph" w:customStyle="1" w:styleId="36">
    <w:name w:val="标题_0"/>
    <w:basedOn w:val="31"/>
    <w:next w:val="31"/>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37">
    <w:name w:val="*正文_1_0"/>
    <w:basedOn w:val="38"/>
    <w:next w:val="38"/>
    <w:qFormat/>
    <w:uiPriority w:val="0"/>
    <w:pPr>
      <w:widowControl/>
      <w:ind w:firstLine="482"/>
    </w:pPr>
    <w:rPr>
      <w:rFonts w:ascii="微软雅黑" w:hAnsi="微软雅黑" w:eastAsia="微软雅黑"/>
      <w:kern w:val="0"/>
      <w:szCs w:val="20"/>
    </w:rPr>
  </w:style>
  <w:style w:type="paragraph" w:customStyle="1" w:styleId="38">
    <w:name w:val="正文_2_0"/>
    <w:basedOn w:val="39"/>
    <w:qFormat/>
    <w:uiPriority w:val="0"/>
  </w:style>
  <w:style w:type="paragraph" w:customStyle="1" w:styleId="39">
    <w:name w:val="正文_3_0"/>
    <w:basedOn w:val="40"/>
    <w:qFormat/>
    <w:uiPriority w:val="0"/>
  </w:style>
  <w:style w:type="paragraph" w:customStyle="1" w:styleId="40">
    <w:name w:val="正文_4_0"/>
    <w:qFormat/>
    <w:uiPriority w:val="0"/>
    <w:pPr>
      <w:widowControl w:val="0"/>
      <w:jc w:val="both"/>
    </w:pPr>
    <w:rPr>
      <w:rFonts w:ascii="Calibri" w:hAnsi="Calibri" w:eastAsia="宋体" w:cs="Times New Roman"/>
      <w:kern w:val="2"/>
      <w:sz w:val="21"/>
      <w:szCs w:val="22"/>
      <w:lang w:val="en-US" w:eastAsia="zh-CN" w:bidi="ar-SA"/>
    </w:rPr>
  </w:style>
  <w:style w:type="paragraph" w:styleId="41">
    <w:name w:val="List Paragraph"/>
    <w:basedOn w:val="1"/>
    <w:qFormat/>
    <w:uiPriority w:val="34"/>
    <w:pPr>
      <w:widowControl/>
      <w:ind w:left="720"/>
      <w:contextualSpacing/>
      <w:jc w:val="left"/>
    </w:pPr>
    <w:rPr>
      <w:kern w:val="0"/>
      <w:sz w:val="24"/>
      <w:szCs w:val="24"/>
      <w:lang w:eastAsia="en-US" w:bidi="en-US"/>
    </w:rPr>
  </w:style>
  <w:style w:type="paragraph" w:customStyle="1" w:styleId="42">
    <w:name w:val="正文_1_0_0"/>
    <w:basedOn w:val="25"/>
    <w:next w:val="43"/>
    <w:qFormat/>
    <w:uiPriority w:val="0"/>
  </w:style>
  <w:style w:type="paragraph" w:customStyle="1" w:styleId="43">
    <w:name w:val="Default_1_0"/>
    <w:next w:val="4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大标题_1"/>
    <w:basedOn w:val="42"/>
    <w:next w:val="45"/>
    <w:qFormat/>
    <w:uiPriority w:val="0"/>
    <w:pPr>
      <w:jc w:val="center"/>
    </w:pPr>
    <w:rPr>
      <w:rFonts w:ascii="Arial" w:hAnsi="Arial"/>
      <w:b/>
      <w:sz w:val="28"/>
      <w:szCs w:val="24"/>
    </w:rPr>
  </w:style>
  <w:style w:type="paragraph" w:customStyle="1" w:styleId="45">
    <w:name w:val="正文首行缩进 2_1"/>
    <w:basedOn w:val="46"/>
    <w:next w:val="24"/>
    <w:qFormat/>
    <w:uiPriority w:val="0"/>
    <w:pPr>
      <w:widowControl w:val="0"/>
      <w:overflowPunct/>
      <w:autoSpaceDE/>
      <w:autoSpaceDN/>
      <w:adjustRightInd/>
      <w:spacing w:after="120" w:line="240" w:lineRule="auto"/>
      <w:ind w:left="200" w:leftChars="200" w:firstLine="200" w:firstLineChars="200"/>
    </w:pPr>
    <w:rPr>
      <w:rFonts w:ascii="楷体_GB2312" w:hAnsi="Calibri" w:eastAsia="仿宋_GB2312"/>
      <w:spacing w:val="0"/>
      <w:kern w:val="2"/>
      <w:sz w:val="30"/>
      <w:szCs w:val="30"/>
    </w:rPr>
  </w:style>
  <w:style w:type="paragraph" w:customStyle="1" w:styleId="46">
    <w:name w:val="正文文本缩进_1"/>
    <w:basedOn w:val="42"/>
    <w:unhideWhenUsed/>
    <w:qFormat/>
    <w:uiPriority w:val="0"/>
    <w:pPr>
      <w:widowControl/>
      <w:overflowPunct w:val="0"/>
      <w:autoSpaceDE w:val="0"/>
      <w:autoSpaceDN w:val="0"/>
      <w:adjustRightInd w:val="0"/>
      <w:spacing w:line="360" w:lineRule="auto"/>
      <w:ind w:firstLine="540"/>
    </w:pPr>
    <w:rPr>
      <w:rFonts w:ascii="宋体" w:hAnsi="MS Sans Serif"/>
      <w:spacing w:val="12"/>
      <w:sz w:val="24"/>
    </w:rPr>
  </w:style>
  <w:style w:type="paragraph" w:customStyle="1" w:styleId="47">
    <w:name w:val="列出段落_0"/>
    <w:basedOn w:val="31"/>
    <w:qFormat/>
    <w:uiPriority w:val="34"/>
    <w:pPr>
      <w:widowControl/>
      <w:spacing w:line="360" w:lineRule="auto"/>
      <w:ind w:firstLine="420" w:firstLineChars="200"/>
    </w:pPr>
  </w:style>
  <w:style w:type="character" w:customStyle="1" w:styleId="48">
    <w:name w:val="超链接_0"/>
    <w:unhideWhenUsed/>
    <w:qFormat/>
    <w:uiPriority w:val="0"/>
    <w:rPr>
      <w:rFonts w:ascii="Calibri" w:hAnsi="Calibri"/>
      <w:color w:val="0000FF"/>
      <w:u w:val="single"/>
    </w:rPr>
  </w:style>
  <w:style w:type="paragraph" w:customStyle="1" w:styleId="49">
    <w:name w:val="&quot;Table caption|1&quot;"/>
    <w:basedOn w:val="31"/>
    <w:qFormat/>
    <w:uiPriority w:val="0"/>
    <w:pPr>
      <w:shd w:val="clear" w:color="FFFFFF" w:fill="FFFFFF"/>
      <w:jc w:val="left"/>
    </w:pPr>
    <w:rPr>
      <w:rFonts w:ascii="MingLiU" w:hAnsi="MingLiU" w:eastAsia="MingLiU" w:cs="MingLiU"/>
      <w:color w:val="000000"/>
      <w:kern w:val="0"/>
      <w:sz w:val="19"/>
      <w:szCs w:val="19"/>
      <w:lang w:val="zh-TW" w:eastAsia="zh-TW" w:bidi="zh-TW"/>
    </w:rPr>
  </w:style>
  <w:style w:type="paragraph" w:customStyle="1" w:styleId="50">
    <w:name w:val="列出段落1_0"/>
    <w:basedOn w:val="31"/>
    <w:qFormat/>
    <w:uiPriority w:val="0"/>
    <w:pPr>
      <w:ind w:firstLine="420" w:firstLineChars="200"/>
    </w:pPr>
  </w:style>
  <w:style w:type="paragraph" w:customStyle="1" w:styleId="51">
    <w:name w:val="_Style 2"/>
    <w:basedOn w:val="31"/>
    <w:qFormat/>
    <w:uiPriority w:val="0"/>
    <w:pPr>
      <w:ind w:firstLine="420" w:firstLineChars="200"/>
    </w:pPr>
  </w:style>
  <w:style w:type="paragraph" w:customStyle="1" w:styleId="52">
    <w:name w:val="Table Paragraph"/>
    <w:basedOn w:val="1"/>
    <w:unhideWhenUsed/>
    <w:qFormat/>
    <w:uiPriority w:val="1"/>
  </w:style>
  <w:style w:type="paragraph" w:customStyle="1" w:styleId="53">
    <w:name w:val="正文1"/>
    <w:qFormat/>
    <w:uiPriority w:val="0"/>
    <w:rPr>
      <w:rFonts w:ascii="Times New Roman" w:hAnsi="Times New Roman" w:eastAsia="Times New Roman" w:cs="Times New Roman"/>
      <w:sz w:val="24"/>
      <w:szCs w:val="24"/>
      <w:lang w:val="en-US" w:eastAsia="zh-CN" w:bidi="ar-SA"/>
    </w:rPr>
  </w:style>
  <w:style w:type="paragraph" w:customStyle="1" w:styleId="54">
    <w:name w:val="Normal_0"/>
    <w:qFormat/>
    <w:uiPriority w:val="0"/>
    <w:rPr>
      <w:rFonts w:ascii="黑体" w:hAnsi="黑体" w:eastAsia="黑体" w:cs="Times New Roman"/>
      <w:b/>
      <w:sz w:val="32"/>
      <w:szCs w:val="24"/>
      <w:lang w:val="en-US" w:eastAsia="zh-CN" w:bidi="ar-SA"/>
    </w:rPr>
  </w:style>
  <w:style w:type="paragraph" w:customStyle="1" w:styleId="55">
    <w:name w:val="Normal_1"/>
    <w:qFormat/>
    <w:uiPriority w:val="0"/>
    <w:rPr>
      <w:rFonts w:ascii="黑体" w:hAnsi="黑体" w:eastAsia="黑体" w:cs="Times New Roman"/>
      <w:b/>
      <w:sz w:val="32"/>
      <w:szCs w:val="24"/>
      <w:lang w:val="en-US" w:eastAsia="zh-CN" w:bidi="ar-SA"/>
    </w:rPr>
  </w:style>
  <w:style w:type="paragraph" w:customStyle="1" w:styleId="5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2"/>
    <w:basedOn w:val="58"/>
    <w:next w:val="58"/>
    <w:qFormat/>
    <w:uiPriority w:val="0"/>
    <w:pPr>
      <w:widowControl/>
      <w:ind w:firstLine="482"/>
    </w:pPr>
    <w:rPr>
      <w:rFonts w:ascii="微软雅黑" w:hAnsi="微软雅黑" w:eastAsia="微软雅黑"/>
      <w:kern w:val="0"/>
      <w:szCs w:val="20"/>
    </w:rPr>
  </w:style>
  <w:style w:type="paragraph" w:customStyle="1" w:styleId="58">
    <w:name w:val="正文_3"/>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2"/>
    <w:basedOn w:val="58"/>
    <w:next w:val="6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0">
    <w:name w:val="Default_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Normal_2"/>
    <w:qFormat/>
    <w:uiPriority w:val="0"/>
    <w:rPr>
      <w:rFonts w:ascii="黑体" w:hAnsi="黑体" w:eastAsia="黑体" w:cs="Times New Roman"/>
      <w:b/>
      <w:sz w:val="32"/>
      <w:szCs w:val="24"/>
      <w:lang w:val="en-US" w:eastAsia="zh-CN" w:bidi="ar-SA"/>
    </w:rPr>
  </w:style>
  <w:style w:type="paragraph" w:customStyle="1" w:styleId="6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3"/>
    <w:qFormat/>
    <w:uiPriority w:val="0"/>
    <w:rPr>
      <w:rFonts w:ascii="黑体" w:hAnsi="黑体" w:eastAsia="黑体" w:cs="Times New Roman"/>
      <w:b/>
      <w:sz w:val="32"/>
      <w:szCs w:val="24"/>
      <w:lang w:val="en-US" w:eastAsia="zh-CN" w:bidi="ar-SA"/>
    </w:rPr>
  </w:style>
  <w:style w:type="paragraph" w:customStyle="1" w:styleId="64">
    <w:name w:val="*正文_2_0"/>
    <w:basedOn w:val="65"/>
    <w:next w:val="65"/>
    <w:qFormat/>
    <w:uiPriority w:val="0"/>
    <w:pPr>
      <w:widowControl/>
      <w:ind w:firstLine="482"/>
    </w:pPr>
    <w:rPr>
      <w:rFonts w:ascii="微软雅黑" w:hAnsi="微软雅黑" w:eastAsia="微软雅黑"/>
      <w:kern w:val="0"/>
      <w:szCs w:val="20"/>
    </w:rPr>
  </w:style>
  <w:style w:type="paragraph" w:customStyle="1" w:styleId="6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1_2"/>
    <w:next w:val="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文本_0_0"/>
    <w:basedOn w:val="66"/>
    <w:next w:val="6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8">
    <w:name w:val="Default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Normal_4"/>
    <w:qFormat/>
    <w:uiPriority w:val="0"/>
    <w:rPr>
      <w:rFonts w:ascii="黑体" w:hAnsi="黑体" w:eastAsia="黑体" w:cs="Times New Roman"/>
      <w:b/>
      <w:sz w:val="32"/>
      <w:szCs w:val="24"/>
      <w:lang w:val="en-US" w:eastAsia="zh-CN" w:bidi="ar-SA"/>
    </w:rPr>
  </w:style>
  <w:style w:type="paragraph" w:customStyle="1" w:styleId="70">
    <w:name w:val="*正文_0_1"/>
    <w:basedOn w:val="71"/>
    <w:next w:val="71"/>
    <w:qFormat/>
    <w:uiPriority w:val="0"/>
    <w:pPr>
      <w:widowControl/>
      <w:ind w:firstLine="482"/>
    </w:pPr>
    <w:rPr>
      <w:rFonts w:ascii="微软雅黑" w:hAnsi="微软雅黑" w:eastAsia="微软雅黑"/>
      <w:kern w:val="0"/>
      <w:szCs w:val="20"/>
    </w:rPr>
  </w:style>
  <w:style w:type="paragraph" w:customStyle="1" w:styleId="7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Normal_5"/>
    <w:qFormat/>
    <w:uiPriority w:val="0"/>
    <w:rPr>
      <w:rFonts w:ascii="黑体" w:hAnsi="黑体" w:eastAsia="黑体" w:cs="Times New Roman"/>
      <w:b/>
      <w:sz w:val="32"/>
      <w:szCs w:val="24"/>
      <w:lang w:val="en-US" w:eastAsia="zh-CN" w:bidi="ar-SA"/>
    </w:rPr>
  </w:style>
  <w:style w:type="paragraph" w:customStyle="1" w:styleId="73">
    <w:name w:val="*正文_1_0_0"/>
    <w:basedOn w:val="74"/>
    <w:next w:val="74"/>
    <w:qFormat/>
    <w:uiPriority w:val="0"/>
    <w:pPr>
      <w:widowControl/>
      <w:ind w:firstLine="482"/>
    </w:pPr>
    <w:rPr>
      <w:rFonts w:ascii="微软雅黑" w:hAnsi="微软雅黑" w:eastAsia="微软雅黑"/>
      <w:kern w:val="0"/>
      <w:szCs w:val="20"/>
    </w:rPr>
  </w:style>
  <w:style w:type="paragraph" w:customStyle="1" w:styleId="74">
    <w:name w:val="正文_3_0_0"/>
    <w:basedOn w:val="75"/>
    <w:qFormat/>
    <w:uiPriority w:val="0"/>
  </w:style>
  <w:style w:type="paragraph" w:customStyle="1" w:styleId="7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1_0_0_0"/>
    <w:basedOn w:val="77"/>
    <w:next w:val="77"/>
    <w:qFormat/>
    <w:uiPriority w:val="0"/>
    <w:pPr>
      <w:widowControl/>
      <w:ind w:firstLine="482"/>
    </w:pPr>
    <w:rPr>
      <w:rFonts w:ascii="微软雅黑" w:hAnsi="微软雅黑" w:eastAsia="微软雅黑"/>
      <w:kern w:val="0"/>
      <w:szCs w:val="20"/>
    </w:rPr>
  </w:style>
  <w:style w:type="paragraph" w:customStyle="1" w:styleId="77">
    <w:name w:val="正文_3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3_1"/>
    <w:next w:val="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文本_1_0"/>
    <w:basedOn w:val="78"/>
    <w:next w:val="8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0">
    <w:name w:val="Default_1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1">
    <w:name w:val="Normal_6"/>
    <w:qFormat/>
    <w:uiPriority w:val="0"/>
    <w:rPr>
      <w:rFonts w:ascii="黑体" w:hAnsi="黑体" w:eastAsia="黑体" w:cs="Times New Roman"/>
      <w:b/>
      <w:sz w:val="32"/>
      <w:szCs w:val="24"/>
      <w:lang w:val="en-US" w:eastAsia="zh-CN" w:bidi="ar-SA"/>
    </w:rPr>
  </w:style>
  <w:style w:type="paragraph" w:customStyle="1" w:styleId="8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21"/>
    <w:qFormat/>
    <w:uiPriority w:val="0"/>
    <w:rPr>
      <w:rFonts w:ascii="Times New Roman" w:hAnsi="Times New Roman" w:eastAsia="Times New Roman" w:cs="Times New Roman"/>
      <w:sz w:val="24"/>
      <w:szCs w:val="24"/>
      <w:lang w:val="en-US" w:eastAsia="zh-CN" w:bidi="ar-SA"/>
    </w:rPr>
  </w:style>
  <w:style w:type="paragraph" w:customStyle="1" w:styleId="84">
    <w:name w:val="Normal_7"/>
    <w:qFormat/>
    <w:uiPriority w:val="0"/>
    <w:rPr>
      <w:rFonts w:ascii="黑体" w:hAnsi="黑体" w:eastAsia="黑体" w:cs="Times New Roman"/>
      <w:b/>
      <w:sz w:val="32"/>
      <w:szCs w:val="24"/>
      <w:lang w:val="en-US" w:eastAsia="zh-CN" w:bidi="ar-SA"/>
    </w:rPr>
  </w:style>
  <w:style w:type="paragraph" w:customStyle="1" w:styleId="85">
    <w:name w:val="正文_6"/>
    <w:next w:val="8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文本_2_0"/>
    <w:basedOn w:val="85"/>
    <w:next w:val="87"/>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87">
    <w:name w:val="Default_2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正文_0_2"/>
    <w:basedOn w:val="85"/>
    <w:next w:val="85"/>
    <w:qFormat/>
    <w:uiPriority w:val="0"/>
    <w:pPr>
      <w:widowControl/>
      <w:ind w:firstLine="482"/>
    </w:pPr>
    <w:rPr>
      <w:rFonts w:ascii="微软雅黑" w:hAnsi="微软雅黑" w:eastAsia="微软雅黑"/>
      <w:kern w:val="0"/>
      <w:szCs w:val="20"/>
    </w:rPr>
  </w:style>
  <w:style w:type="paragraph" w:customStyle="1" w:styleId="89">
    <w:name w:val="Normal_8"/>
    <w:qFormat/>
    <w:uiPriority w:val="0"/>
    <w:rPr>
      <w:rFonts w:ascii="黑体" w:hAnsi="黑体" w:eastAsia="黑体" w:cs="Times New Roman"/>
      <w:b/>
      <w:sz w:val="32"/>
      <w:szCs w:val="24"/>
      <w:lang w:val="en-US" w:eastAsia="zh-CN" w:bidi="ar-SA"/>
    </w:rPr>
  </w:style>
  <w:style w:type="paragraph" w:customStyle="1" w:styleId="9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ormal_9"/>
    <w:qFormat/>
    <w:uiPriority w:val="0"/>
    <w:rPr>
      <w:rFonts w:ascii="黑体" w:hAnsi="黑体" w:eastAsia="黑体" w:cs="Times New Roman"/>
      <w:b/>
      <w:sz w:val="32"/>
      <w:szCs w:val="24"/>
      <w:lang w:val="en-US" w:eastAsia="zh-CN" w:bidi="ar-SA"/>
    </w:rPr>
  </w:style>
  <w:style w:type="paragraph" w:customStyle="1" w:styleId="92">
    <w:name w:val="正文_8"/>
    <w:next w:val="9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文本_3"/>
    <w:basedOn w:val="92"/>
    <w:next w:val="9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4">
    <w:name w:val="Default_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5">
    <w:name w:val="Normal_10"/>
    <w:qFormat/>
    <w:uiPriority w:val="0"/>
    <w:rPr>
      <w:rFonts w:ascii="黑体" w:hAnsi="黑体" w:eastAsia="黑体" w:cs="Times New Roman"/>
      <w:b/>
      <w:sz w:val="32"/>
      <w:szCs w:val="24"/>
      <w:lang w:val="en-US" w:eastAsia="zh-CN" w:bidi="ar-SA"/>
    </w:rPr>
  </w:style>
  <w:style w:type="paragraph" w:customStyle="1" w:styleId="96">
    <w:name w:val="正文_9"/>
    <w:next w:val="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文本_4"/>
    <w:basedOn w:val="96"/>
    <w:next w:val="9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98">
    <w:name w:val="Default_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Normal_11"/>
    <w:qFormat/>
    <w:uiPriority w:val="0"/>
    <w:rPr>
      <w:rFonts w:ascii="黑体" w:hAnsi="黑体" w:eastAsia="黑体" w:cs="Times New Roman"/>
      <w:b/>
      <w:sz w:val="32"/>
      <w:szCs w:val="24"/>
      <w:lang w:val="en-US" w:eastAsia="zh-CN" w:bidi="ar-SA"/>
    </w:rPr>
  </w:style>
  <w:style w:type="paragraph" w:customStyle="1" w:styleId="100">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Normal_12"/>
    <w:qFormat/>
    <w:uiPriority w:val="0"/>
    <w:rPr>
      <w:rFonts w:ascii="黑体" w:hAnsi="黑体" w:eastAsia="黑体" w:cs="Times New Roman"/>
      <w:b/>
      <w:sz w:val="32"/>
      <w:szCs w:val="24"/>
      <w:lang w:val="en-US" w:eastAsia="zh-CN" w:bidi="ar-SA"/>
    </w:rPr>
  </w:style>
  <w:style w:type="paragraph" w:customStyle="1" w:styleId="102">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Normal_13"/>
    <w:qFormat/>
    <w:uiPriority w:val="0"/>
    <w:rPr>
      <w:rFonts w:ascii="黑体" w:hAnsi="黑体" w:eastAsia="黑体" w:cs="Times New Roman"/>
      <w:b/>
      <w:sz w:val="32"/>
      <w:szCs w:val="24"/>
      <w:lang w:val="en-US" w:eastAsia="zh-CN" w:bidi="ar-SA"/>
    </w:rPr>
  </w:style>
  <w:style w:type="paragraph" w:customStyle="1" w:styleId="104">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Normal_14"/>
    <w:qFormat/>
    <w:uiPriority w:val="0"/>
    <w:rPr>
      <w:rFonts w:ascii="黑体" w:hAnsi="黑体" w:eastAsia="黑体" w:cs="Times New Roman"/>
      <w:b/>
      <w:sz w:val="32"/>
      <w:szCs w:val="24"/>
      <w:lang w:val="en-US" w:eastAsia="zh-CN" w:bidi="ar-SA"/>
    </w:rPr>
  </w:style>
  <w:style w:type="paragraph" w:customStyle="1" w:styleId="106">
    <w:name w:val="正文_1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_13"/>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正文文本_5"/>
    <w:basedOn w:val="107"/>
    <w:next w:val="109"/>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09">
    <w:name w:val="Default_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
    <w:name w:val="Normal_15"/>
    <w:qFormat/>
    <w:uiPriority w:val="0"/>
    <w:rPr>
      <w:rFonts w:ascii="黑体" w:hAnsi="黑体" w:eastAsia="黑体" w:cs="Times New Roman"/>
      <w:b/>
      <w:sz w:val="32"/>
      <w:szCs w:val="24"/>
      <w:lang w:val="en-US" w:eastAsia="zh-CN" w:bidi="ar-SA"/>
    </w:rPr>
  </w:style>
  <w:style w:type="paragraph" w:customStyle="1" w:styleId="111">
    <w:name w:val="正文_1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_14"/>
    <w:next w:val="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正文文本_6"/>
    <w:basedOn w:val="112"/>
    <w:next w:val="11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14">
    <w:name w:val="Default_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5">
    <w:name w:val="Normal_16"/>
    <w:qFormat/>
    <w:uiPriority w:val="0"/>
    <w:rPr>
      <w:rFonts w:ascii="黑体" w:hAnsi="黑体" w:eastAsia="黑体" w:cs="Times New Roman"/>
      <w:b/>
      <w:sz w:val="32"/>
      <w:szCs w:val="24"/>
      <w:lang w:val="en-US" w:eastAsia="zh-CN" w:bidi="ar-SA"/>
    </w:rPr>
  </w:style>
  <w:style w:type="paragraph" w:customStyle="1" w:styleId="116">
    <w:name w:val="正文_1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1_1"/>
    <w:basedOn w:val="118"/>
    <w:next w:val="118"/>
    <w:qFormat/>
    <w:uiPriority w:val="0"/>
    <w:pPr>
      <w:widowControl/>
      <w:ind w:firstLine="482"/>
    </w:pPr>
    <w:rPr>
      <w:rFonts w:ascii="微软雅黑" w:hAnsi="微软雅黑" w:eastAsia="微软雅黑"/>
      <w:kern w:val="0"/>
      <w:szCs w:val="20"/>
    </w:rPr>
  </w:style>
  <w:style w:type="paragraph" w:customStyle="1" w:styleId="118">
    <w:name w:val="正文_15"/>
    <w:next w:val="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文本_7"/>
    <w:basedOn w:val="118"/>
    <w:next w:val="12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20">
    <w:name w:val="Default_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1">
    <w:name w:val="Normal_17"/>
    <w:qFormat/>
    <w:uiPriority w:val="0"/>
    <w:rPr>
      <w:rFonts w:ascii="黑体" w:hAnsi="黑体" w:eastAsia="黑体" w:cs="Times New Roman"/>
      <w:b/>
      <w:sz w:val="32"/>
      <w:szCs w:val="24"/>
      <w:lang w:val="en-US" w:eastAsia="zh-CN" w:bidi="ar-SA"/>
    </w:rPr>
  </w:style>
  <w:style w:type="paragraph" w:customStyle="1" w:styleId="122">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18"/>
    <w:qFormat/>
    <w:uiPriority w:val="0"/>
    <w:rPr>
      <w:rFonts w:ascii="黑体" w:hAnsi="黑体" w:eastAsia="黑体" w:cs="Times New Roman"/>
      <w:b/>
      <w:sz w:val="32"/>
      <w:szCs w:val="24"/>
      <w:lang w:val="en-US" w:eastAsia="zh-CN" w:bidi="ar-SA"/>
    </w:rPr>
  </w:style>
  <w:style w:type="paragraph" w:customStyle="1" w:styleId="124">
    <w:name w:val="Normal_19"/>
    <w:qFormat/>
    <w:uiPriority w:val="0"/>
    <w:rPr>
      <w:rFonts w:ascii="黑体" w:hAnsi="黑体" w:eastAsia="黑体" w:cs="Times New Roman"/>
      <w:b/>
      <w:sz w:val="32"/>
      <w:szCs w:val="24"/>
      <w:lang w:val="en-US" w:eastAsia="zh-CN" w:bidi="ar-SA"/>
    </w:rPr>
  </w:style>
  <w:style w:type="paragraph" w:customStyle="1" w:styleId="125">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Normal_20"/>
    <w:qFormat/>
    <w:uiPriority w:val="0"/>
    <w:rPr>
      <w:rFonts w:ascii="黑体" w:hAnsi="黑体" w:eastAsia="黑体" w:cs="Times New Roman"/>
      <w:b/>
      <w:sz w:val="32"/>
      <w:szCs w:val="24"/>
      <w:lang w:val="en-US" w:eastAsia="zh-CN" w:bidi="ar-SA"/>
    </w:rPr>
  </w:style>
  <w:style w:type="character" w:customStyle="1" w:styleId="127">
    <w:name w:val="hover17"/>
    <w:basedOn w:val="18"/>
    <w:qFormat/>
    <w:uiPriority w:val="0"/>
  </w:style>
  <w:style w:type="paragraph" w:customStyle="1" w:styleId="128">
    <w:name w:val="Other|1"/>
    <w:basedOn w:val="1"/>
    <w:qFormat/>
    <w:uiPriority w:val="0"/>
    <w:rPr>
      <w:rFonts w:ascii="宋体" w:hAnsi="宋体" w:cs="宋体"/>
      <w:sz w:val="20"/>
      <w:szCs w:val="20"/>
      <w:lang w:val="zh-TW" w:eastAsia="zh-TW" w:bidi="zh-TW"/>
    </w:rPr>
  </w:style>
  <w:style w:type="paragraph" w:customStyle="1" w:styleId="129">
    <w:name w:val="Body text|1"/>
    <w:basedOn w:val="1"/>
    <w:qFormat/>
    <w:uiPriority w:val="0"/>
    <w:pPr>
      <w:spacing w:line="461" w:lineRule="auto"/>
    </w:pPr>
    <w:rPr>
      <w:rFonts w:ascii="宋体" w:hAnsi="宋体" w:cs="宋体"/>
      <w:sz w:val="20"/>
      <w:szCs w:val="20"/>
      <w:lang w:val="zh-TW" w:eastAsia="zh-TW" w:bidi="zh-TW"/>
    </w:rPr>
  </w:style>
  <w:style w:type="paragraph" w:customStyle="1" w:styleId="130">
    <w:name w:val="Heading #2|1"/>
    <w:basedOn w:val="1"/>
    <w:qFormat/>
    <w:uiPriority w:val="0"/>
    <w:pPr>
      <w:spacing w:line="442" w:lineRule="exact"/>
      <w:ind w:firstLine="250"/>
      <w:outlineLvl w:val="1"/>
    </w:pPr>
    <w:rPr>
      <w:rFonts w:ascii="宋体" w:hAnsi="宋体" w:cs="宋体"/>
      <w:lang w:val="zh-TW" w:eastAsia="zh-TW" w:bidi="zh-TW"/>
    </w:rPr>
  </w:style>
  <w:style w:type="paragraph" w:customStyle="1" w:styleId="131">
    <w:name w:val="Body text|2"/>
    <w:basedOn w:val="1"/>
    <w:qFormat/>
    <w:uiPriority w:val="0"/>
    <w:pPr>
      <w:spacing w:after="100"/>
    </w:pPr>
    <w:rPr>
      <w:rFonts w:ascii="宋体" w:hAnsi="宋体" w:cs="宋体"/>
      <w:b/>
      <w:bCs/>
      <w:lang w:val="zh-TW" w:eastAsia="zh-TW" w:bidi="zh-TW"/>
    </w:rPr>
  </w:style>
  <w:style w:type="paragraph" w:customStyle="1" w:styleId="132">
    <w:name w:val="Header or footer|1"/>
    <w:basedOn w:val="1"/>
    <w:qFormat/>
    <w:uiPriority w:val="0"/>
    <w:rPr>
      <w:sz w:val="18"/>
      <w:szCs w:val="18"/>
      <w:lang w:val="zh-TW" w:eastAsia="zh-TW" w:bidi="zh-TW"/>
    </w:rPr>
  </w:style>
  <w:style w:type="character" w:customStyle="1" w:styleId="133">
    <w:name w:val="hover"/>
    <w:basedOn w:val="18"/>
    <w:qFormat/>
    <w:uiPriority w:val="0"/>
  </w:style>
  <w:style w:type="character" w:customStyle="1" w:styleId="134">
    <w:name w:val="批注文字 字符"/>
    <w:basedOn w:val="18"/>
    <w:link w:val="8"/>
    <w:qFormat/>
    <w:uiPriority w:val="0"/>
    <w:rPr>
      <w:rFonts w:ascii="Calibri" w:hAnsi="Calibri"/>
      <w:kern w:val="2"/>
      <w:sz w:val="21"/>
      <w:szCs w:val="22"/>
    </w:rPr>
  </w:style>
  <w:style w:type="character" w:customStyle="1" w:styleId="135">
    <w:name w:val="批注主题 字符"/>
    <w:basedOn w:val="134"/>
    <w:link w:val="15"/>
    <w:uiPriority w:val="0"/>
    <w:rPr>
      <w:rFonts w:ascii="Calibri" w:hAnsi="Calibri"/>
      <w:b/>
      <w:bCs/>
      <w:kern w:val="2"/>
      <w:sz w:val="21"/>
      <w:szCs w:val="22"/>
    </w:rPr>
  </w:style>
  <w:style w:type="character" w:customStyle="1" w:styleId="136">
    <w:name w:val="批注框文本 字符"/>
    <w:basedOn w:val="18"/>
    <w:link w:val="9"/>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D6D0-D485-45F7-9C78-AB837B5938B8}">
  <ds:schemaRefs/>
</ds:datastoreItem>
</file>

<file path=docProps/app.xml><?xml version="1.0" encoding="utf-8"?>
<Properties xmlns="http://schemas.openxmlformats.org/officeDocument/2006/extended-properties" xmlns:vt="http://schemas.openxmlformats.org/officeDocument/2006/docPropsVTypes">
  <Template>Normal.dotm</Template>
  <Pages>97</Pages>
  <Words>7982</Words>
  <Characters>45502</Characters>
  <Lines>379</Lines>
  <Paragraphs>106</Paragraphs>
  <TotalTime>46</TotalTime>
  <ScaleCrop>false</ScaleCrop>
  <LinksUpToDate>false</LinksUpToDate>
  <CharactersWithSpaces>53378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2023-06-14T09:21:00Z</dcterms:created>
  <dc:creator>秦静文</dc:creator>
  <cp:lastModifiedBy>秦静文</cp:lastModifiedBy>
  <dcterms:modified xsi:type="dcterms:W3CDTF">2023-09-01T06:37:46Z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872620D5E43B494BAAA170AB1200147B_13</vt:lpwstr>
  </property>
</Properties>
</file>