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hint="default" w:ascii="宋体" w:eastAsia="宋体" w:cs="宋体"/>
          <w:sz w:val="28"/>
          <w:lang w:val="en-US" w:eastAsia="zh-CN"/>
        </w:rPr>
      </w:pPr>
      <w:r>
        <w:rPr>
          <w:rFonts w:hint="eastAsia" w:ascii="宋体" w:cs="宋体"/>
          <w:sz w:val="28"/>
        </w:rPr>
        <w:t>合同编号：</w:t>
      </w:r>
      <w:r>
        <w:rPr>
          <w:rFonts w:hint="eastAsia" w:ascii="宋体" w:cs="宋体"/>
          <w:sz w:val="28"/>
          <w:lang w:val="en-US" w:eastAsia="zh-CN"/>
        </w:rPr>
        <w:t>豫财单一采购-2023-99包</w:t>
      </w:r>
      <w:r>
        <w:rPr>
          <w:rFonts w:hint="eastAsia" w:ascii="宋体" w:cs="宋体"/>
          <w:color w:val="auto"/>
          <w:sz w:val="28"/>
          <w:lang w:val="en-US" w:eastAsia="zh-CN"/>
        </w:rPr>
        <w:t>9</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项目名称：</w:t>
      </w:r>
      <w:r>
        <w:rPr>
          <w:rFonts w:ascii="宋体" w:cs="宋体"/>
          <w:bCs/>
          <w:sz w:val="36"/>
          <w:u w:val="single"/>
        </w:rPr>
        <w:t xml:space="preserve"> </w:t>
      </w:r>
      <w:r>
        <w:rPr>
          <w:rFonts w:hint="eastAsia" w:ascii="宋体" w:cs="宋体"/>
          <w:bCs/>
          <w:sz w:val="36"/>
          <w:u w:val="single"/>
        </w:rPr>
        <w:t>河南大学2023年知网等数据库项目</w:t>
      </w:r>
      <w:r>
        <w:rPr>
          <w:rFonts w:ascii="宋体" w:cs="宋体"/>
          <w:bCs/>
          <w:sz w:val="36"/>
          <w:u w:val="single"/>
        </w:rPr>
        <w:t xml:space="preserve">       </w:t>
      </w:r>
    </w:p>
    <w:p>
      <w:pPr>
        <w:rPr>
          <w:rFonts w:ascii="宋体" w:cs="宋体"/>
          <w:sz w:val="36"/>
          <w:u w:val="single"/>
        </w:rPr>
      </w:pPr>
    </w:p>
    <w:p>
      <w:pPr>
        <w:rPr>
          <w:rFonts w:ascii="宋体" w:cs="宋体"/>
          <w:sz w:val="36"/>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受托方（乙方）：</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rPr>
        <w:t>北京森途教育科技股份有限公司</w:t>
      </w:r>
      <w:r>
        <w:rPr>
          <w:rFonts w:ascii="宋体" w:cs="宋体"/>
          <w:sz w:val="36"/>
          <w:u w:val="single"/>
        </w:rPr>
        <w:t xml:space="preserve">    </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w:t>
      </w:r>
      <w:r>
        <w:rPr>
          <w:rFonts w:hint="eastAsia" w:ascii="宋体" w:cs="宋体"/>
          <w:sz w:val="36"/>
          <w:u w:val="single"/>
          <w:lang w:val="en-US" w:eastAsia="zh-CN"/>
        </w:rPr>
        <w:t xml:space="preserve">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lang w:val="en-US" w:eastAsia="zh-CN"/>
        </w:rPr>
        <w:t>2024年1月1日-2024年12月31日</w:t>
      </w:r>
      <w:r>
        <w:rPr>
          <w:rFonts w:ascii="宋体" w:cs="宋体"/>
          <w:sz w:val="36"/>
          <w:u w:val="single"/>
        </w:rPr>
        <w:t xml:space="preserve">                        </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ascii="宋体" w:cs="宋体"/>
          <w:b/>
          <w:sz w:val="24"/>
          <w:u w:val="single"/>
        </w:rPr>
        <w:t xml:space="preserve"> </w:t>
      </w:r>
      <w:r>
        <w:rPr>
          <w:rFonts w:hint="eastAsia" w:ascii="宋体" w:cs="宋体"/>
          <w:b/>
          <w:sz w:val="24"/>
          <w:u w:val="single"/>
        </w:rPr>
        <w:t>北京森途教育科技股份有限公司</w:t>
      </w:r>
      <w:r>
        <w:rPr>
          <w:rFonts w:ascii="宋体" w:cs="宋体"/>
          <w:b/>
          <w:sz w:val="24"/>
        </w:rPr>
        <w:t xml:space="preserve"> </w:t>
      </w:r>
      <w:r>
        <w:rPr>
          <w:rFonts w:hint="eastAsia" w:ascii="宋体" w:cs="宋体"/>
          <w:sz w:val="24"/>
        </w:rPr>
        <w:t>签订时间：</w:t>
      </w:r>
      <w:r>
        <w:rPr>
          <w:rFonts w:hint="eastAsia" w:ascii="宋体" w:cs="宋体"/>
          <w:sz w:val="24"/>
          <w:lang w:val="en-US" w:eastAsia="zh-CN"/>
        </w:rPr>
        <w:t>2023</w:t>
      </w:r>
      <w:r>
        <w:rPr>
          <w:rFonts w:hint="eastAsia" w:ascii="宋体" w:cs="宋体"/>
          <w:sz w:val="24"/>
        </w:rPr>
        <w:t>年</w:t>
      </w:r>
      <w:r>
        <w:rPr>
          <w:rFonts w:hint="eastAsia" w:ascii="宋体" w:cs="宋体"/>
          <w:sz w:val="24"/>
          <w:lang w:val="en-US" w:eastAsia="zh-CN"/>
        </w:rPr>
        <w:t>9</w:t>
      </w:r>
      <w:r>
        <w:rPr>
          <w:rFonts w:hint="eastAsia" w:ascii="宋体" w:cs="宋体"/>
          <w:sz w:val="24"/>
        </w:rPr>
        <w:t>月</w:t>
      </w:r>
      <w:r>
        <w:rPr>
          <w:rFonts w:hint="eastAsia" w:ascii="宋体" w:cs="宋体"/>
          <w:sz w:val="24"/>
          <w:lang w:val="en-US" w:eastAsia="zh-CN"/>
        </w:rPr>
        <w:t>15</w:t>
      </w:r>
      <w:r>
        <w:rPr>
          <w:rFonts w:hint="eastAsia" w:ascii="宋体" w:cs="宋体"/>
          <w:sz w:val="24"/>
        </w:rPr>
        <w:t>日</w:t>
      </w:r>
    </w:p>
    <w:p>
      <w:pPr>
        <w:spacing w:line="360" w:lineRule="auto"/>
        <w:rPr>
          <w:rFonts w:ascii="宋体" w:cs="宋体"/>
          <w:sz w:val="24"/>
        </w:rPr>
      </w:pPr>
      <w:r>
        <w:rPr>
          <w:rFonts w:hint="eastAsia" w:ascii="宋体" w:cs="宋体"/>
          <w:sz w:val="24"/>
        </w:rPr>
        <w:t xml:space="preserve">    供、需双方根据</w:t>
      </w:r>
      <w:r>
        <w:rPr>
          <w:rFonts w:ascii="宋体" w:cs="宋体"/>
          <w:sz w:val="24"/>
          <w:u w:val="single"/>
        </w:rPr>
        <w:t xml:space="preserve"> </w:t>
      </w:r>
      <w:r>
        <w:rPr>
          <w:rFonts w:hint="eastAsia" w:ascii="宋体" w:cs="宋体"/>
          <w:color w:val="FF0000"/>
          <w:sz w:val="24"/>
          <w:u w:val="single"/>
          <w:lang w:val="en-US" w:eastAsia="zh-CN"/>
        </w:rPr>
        <w:t>9</w:t>
      </w:r>
      <w:r>
        <w:rPr>
          <w:rFonts w:ascii="宋体" w:cs="宋体"/>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color w:val="auto"/>
          <w:sz w:val="24"/>
          <w:u w:val="single"/>
        </w:rPr>
        <w:t>：</w:t>
      </w:r>
      <w:r>
        <w:rPr>
          <w:rFonts w:hint="eastAsia" w:ascii="宋体" w:cs="宋体"/>
          <w:color w:val="auto"/>
          <w:sz w:val="24"/>
          <w:u w:val="single"/>
          <w:lang w:val="en-US" w:eastAsia="zh-CN"/>
        </w:rPr>
        <w:t>柒万柒仟陆佰</w:t>
      </w:r>
      <w:r>
        <w:rPr>
          <w:rFonts w:ascii="宋体" w:cs="宋体"/>
          <w:color w:val="auto"/>
          <w:sz w:val="24"/>
          <w:u w:val="single"/>
        </w:rPr>
        <w:t xml:space="preserve"> </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10"/>
        <w:tblW w:w="9432" w:type="dxa"/>
        <w:jc w:val="center"/>
        <w:tblLayout w:type="fixed"/>
        <w:tblCellMar>
          <w:top w:w="0" w:type="dxa"/>
          <w:left w:w="108" w:type="dxa"/>
          <w:bottom w:w="0" w:type="dxa"/>
          <w:right w:w="108" w:type="dxa"/>
        </w:tblCellMar>
      </w:tblPr>
      <w:tblGrid>
        <w:gridCol w:w="539"/>
        <w:gridCol w:w="1545"/>
        <w:gridCol w:w="3015"/>
        <w:gridCol w:w="1080"/>
        <w:gridCol w:w="721"/>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spacing w:line="360" w:lineRule="auto"/>
              <w:jc w:val="center"/>
              <w:rPr>
                <w:rFonts w:ascii="宋体" w:cs="宋体"/>
                <w:sz w:val="24"/>
              </w:rPr>
            </w:pPr>
            <w:r>
              <w:rPr>
                <w:rFonts w:hint="eastAsia" w:ascii="宋体" w:cs="宋体"/>
                <w:sz w:val="24"/>
              </w:rPr>
              <w:t>森途职业能力与创业学习资源总库</w:t>
            </w:r>
          </w:p>
        </w:tc>
        <w:tc>
          <w:tcPr>
            <w:tcW w:w="3015" w:type="dxa"/>
            <w:tcBorders>
              <w:top w:val="single" w:color="auto" w:sz="8" w:space="0"/>
              <w:left w:val="nil"/>
              <w:bottom w:val="single" w:color="auto" w:sz="8" w:space="0"/>
              <w:right w:val="single" w:color="auto" w:sz="8" w:space="0"/>
            </w:tcBorders>
            <w:vAlign w:val="center"/>
          </w:tcPr>
          <w:p>
            <w:pPr>
              <w:pStyle w:val="2"/>
            </w:pPr>
            <w:r>
              <w:rPr>
                <w:rFonts w:hint="eastAsia"/>
              </w:rPr>
              <w:t>远程访问；行业报告1</w:t>
            </w:r>
            <w:r>
              <w:rPr>
                <w:rFonts w:hint="eastAsia"/>
                <w:lang w:val="en-US" w:eastAsia="zh-CN"/>
              </w:rPr>
              <w:t>48</w:t>
            </w:r>
            <w:r>
              <w:rPr>
                <w:rFonts w:hint="eastAsia"/>
              </w:rPr>
              <w:t>篇，考题</w:t>
            </w:r>
            <w:r>
              <w:rPr>
                <w:rFonts w:hint="eastAsia"/>
                <w:lang w:val="en-US" w:eastAsia="zh-CN"/>
              </w:rPr>
              <w:t>381</w:t>
            </w:r>
            <w:r>
              <w:rPr>
                <w:rFonts w:hint="eastAsia"/>
              </w:rPr>
              <w:t>套，视频</w:t>
            </w:r>
            <w:r>
              <w:rPr>
                <w:rFonts w:hint="eastAsia"/>
                <w:lang w:val="en-US" w:eastAsia="zh-CN"/>
              </w:rPr>
              <w:t>476</w:t>
            </w:r>
            <w:r>
              <w:rPr>
                <w:rFonts w:hint="eastAsia"/>
              </w:rPr>
              <w:t>部、创业案例</w:t>
            </w:r>
            <w:r>
              <w:rPr>
                <w:rFonts w:hint="eastAsia"/>
                <w:lang w:val="en-US" w:eastAsia="zh-CN"/>
              </w:rPr>
              <w:t>206</w:t>
            </w:r>
            <w:r>
              <w:rPr>
                <w:rFonts w:hint="eastAsia"/>
              </w:rPr>
              <w:t>份，资讯</w:t>
            </w:r>
            <w:r>
              <w:rPr>
                <w:rFonts w:hint="eastAsia"/>
                <w:lang w:val="en-US" w:eastAsia="zh-CN"/>
              </w:rPr>
              <w:t>3000</w:t>
            </w:r>
            <w:r>
              <w:rPr>
                <w:rFonts w:hint="eastAsia"/>
              </w:rPr>
              <w:t>余条</w:t>
            </w:r>
          </w:p>
        </w:tc>
        <w:tc>
          <w:tcPr>
            <w:tcW w:w="1080" w:type="dxa"/>
            <w:tcBorders>
              <w:top w:val="single" w:color="auto" w:sz="8" w:space="0"/>
              <w:left w:val="nil"/>
              <w:bottom w:val="single" w:color="auto" w:sz="8" w:space="0"/>
              <w:right w:val="single" w:color="auto" w:sz="8" w:space="0"/>
            </w:tcBorders>
            <w:vAlign w:val="center"/>
          </w:tcPr>
          <w:p>
            <w:pPr>
              <w:rPr>
                <w:rFonts w:ascii="宋体" w:cs="宋体"/>
                <w:sz w:val="24"/>
              </w:rPr>
            </w:pPr>
            <w:bookmarkStart w:id="3" w:name="_GoBack"/>
            <w:r>
              <w:rPr>
                <w:rFonts w:hint="eastAsia" w:ascii="宋体" w:cs="宋体"/>
                <w:color w:val="auto"/>
                <w:sz w:val="24"/>
                <w:lang w:val="en-US" w:eastAsia="zh-CN"/>
              </w:rPr>
              <w:t>2024年1月1日-2024年12月31日</w:t>
            </w:r>
            <w:bookmarkEnd w:id="3"/>
          </w:p>
        </w:tc>
        <w:tc>
          <w:tcPr>
            <w:tcW w:w="721" w:type="dxa"/>
            <w:tcBorders>
              <w:top w:val="single" w:color="auto" w:sz="8" w:space="0"/>
              <w:left w:val="nil"/>
              <w:bottom w:val="single" w:color="auto" w:sz="8" w:space="0"/>
              <w:right w:val="single" w:color="auto" w:sz="8" w:space="0"/>
            </w:tcBorders>
            <w:vAlign w:val="center"/>
          </w:tcPr>
          <w:p>
            <w:pPr>
              <w:jc w:val="center"/>
              <w:rPr>
                <w:rFonts w:hint="eastAsia" w:ascii="宋体" w:eastAsia="宋体" w:cs="宋体"/>
                <w:sz w:val="24"/>
                <w:lang w:val="en-US" w:eastAsia="zh-CN"/>
              </w:rPr>
            </w:pPr>
            <w:r>
              <w:rPr>
                <w:rFonts w:hint="eastAsia" w:ascii="宋体" w:cs="宋体"/>
                <w:sz w:val="24"/>
                <w:lang w:val="en-US" w:eastAsia="zh-CN"/>
              </w:rPr>
              <w:t>1</w:t>
            </w:r>
          </w:p>
        </w:tc>
        <w:tc>
          <w:tcPr>
            <w:tcW w:w="1229"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b/>
                <w:spacing w:val="0"/>
                <w:w w:val="100"/>
                <w:sz w:val="24"/>
                <w:lang w:val="en-US" w:eastAsia="zh-CN"/>
              </w:rPr>
              <w:t>77600</w:t>
            </w:r>
          </w:p>
        </w:tc>
        <w:tc>
          <w:tcPr>
            <w:tcW w:w="1303"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b/>
                <w:spacing w:val="0"/>
                <w:w w:val="100"/>
                <w:sz w:val="24"/>
                <w:lang w:val="en-US" w:eastAsia="zh-CN"/>
              </w:rPr>
              <w:t>77600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w:t>
            </w:r>
            <w:r>
              <w:rPr>
                <w:rFonts w:ascii="宋体" w:cs="宋体"/>
                <w:sz w:val="24"/>
                <w:u w:val="single"/>
              </w:rPr>
              <w:t xml:space="preserve"> </w:t>
            </w:r>
            <w:r>
              <w:rPr>
                <w:rFonts w:hint="eastAsia" w:ascii="宋体" w:cs="宋体"/>
                <w:sz w:val="24"/>
                <w:u w:val="single"/>
              </w:rPr>
              <w:t xml:space="preserve">77600 </w:t>
            </w:r>
            <w:r>
              <w:rPr>
                <w:rFonts w:ascii="宋体" w:cs="宋体"/>
                <w:sz w:val="24"/>
                <w:u w:val="single"/>
              </w:rPr>
              <w:t xml:space="preserve"> </w:t>
            </w:r>
            <w:r>
              <w:rPr>
                <w:rFonts w:hint="eastAsia" w:ascii="宋体" w:cs="宋体"/>
                <w:sz w:val="24"/>
                <w:u w:val="single"/>
                <w:lang w:val="en-US" w:eastAsia="zh-CN"/>
              </w:rPr>
              <w:t>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w:t>
            </w:r>
            <w:r>
              <w:rPr>
                <w:rFonts w:ascii="宋体" w:cs="宋体"/>
                <w:sz w:val="24"/>
                <w:u w:val="single"/>
              </w:rPr>
              <w:t xml:space="preserve"> </w:t>
            </w:r>
            <w:r>
              <w:rPr>
                <w:rFonts w:hint="eastAsia" w:ascii="宋体" w:cs="宋体"/>
                <w:sz w:val="24"/>
                <w:u w:val="single"/>
              </w:rPr>
              <w:t>柒万柒仟陆佰元整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b/>
          <w:sz w:val="24"/>
        </w:rPr>
      </w:pPr>
      <w:r>
        <w:rPr>
          <w:rFonts w:hint="eastAsia" w:ascii="宋体" w:cs="宋体"/>
          <w:b/>
          <w:sz w:val="24"/>
        </w:rPr>
        <w:t xml:space="preserve">账户名称：北京森途教育科技股份有限公司   </w:t>
      </w:r>
    </w:p>
    <w:p>
      <w:pPr>
        <w:spacing w:line="360" w:lineRule="auto"/>
        <w:ind w:firstLine="482" w:firstLineChars="200"/>
        <w:rPr>
          <w:rFonts w:ascii="宋体" w:cs="宋体"/>
          <w:b/>
          <w:sz w:val="24"/>
        </w:rPr>
      </w:pPr>
      <w:r>
        <w:rPr>
          <w:rFonts w:hint="eastAsia" w:ascii="宋体" w:cs="宋体"/>
          <w:b/>
          <w:sz w:val="24"/>
        </w:rPr>
        <w:t xml:space="preserve">账    号：0200151609100009307 </w:t>
      </w:r>
    </w:p>
    <w:p>
      <w:pPr>
        <w:spacing w:line="360" w:lineRule="auto"/>
        <w:ind w:firstLine="482" w:firstLineChars="200"/>
        <w:rPr>
          <w:rFonts w:ascii="宋体" w:cs="宋体"/>
          <w:b/>
          <w:sz w:val="24"/>
        </w:rPr>
      </w:pPr>
      <w:r>
        <w:rPr>
          <w:rFonts w:hint="eastAsia" w:ascii="宋体" w:cs="宋体"/>
          <w:b/>
          <w:sz w:val="24"/>
        </w:rPr>
        <w:t xml:space="preserve">开户银行：中国工商银行股份有限公司北京大钟寺东路支行                     </w:t>
      </w:r>
    </w:p>
    <w:p>
      <w:pPr>
        <w:spacing w:line="360" w:lineRule="auto"/>
        <w:ind w:firstLine="482" w:firstLineChars="200"/>
        <w:rPr>
          <w:rFonts w:ascii="宋体" w:cs="宋体"/>
          <w:b/>
          <w:sz w:val="24"/>
        </w:rPr>
      </w:pPr>
      <w:r>
        <w:rPr>
          <w:rFonts w:hint="eastAsia" w:ascii="宋体" w:cs="宋体"/>
          <w:b/>
          <w:sz w:val="24"/>
        </w:rPr>
        <w:t>统一社会信用代码：91110108576937402H</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9"/>
      <w:bookmarkEnd w:id="0"/>
      <w:bookmarkStart w:id="1" w:name="_Hlt503692967"/>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w:t>
      </w:r>
      <w:r>
        <w:rPr>
          <w:rFonts w:hint="eastAsia" w:ascii="宋体" w:cs="宋体"/>
          <w:sz w:val="24"/>
          <w:u w:val="single"/>
          <w:lang w:val="en-US" w:eastAsia="zh-CN"/>
        </w:rPr>
        <w:t>八</w:t>
      </w:r>
      <w:r>
        <w:rPr>
          <w:rFonts w:ascii="宋体" w:cs="宋体"/>
          <w:sz w:val="24"/>
          <w:u w:val="single"/>
        </w:rPr>
        <w:t xml:space="preserve">  </w:t>
      </w:r>
      <w:r>
        <w:rPr>
          <w:rFonts w:hint="eastAsia" w:ascii="宋体" w:cs="宋体"/>
          <w:sz w:val="24"/>
          <w:u w:val="single"/>
        </w:rPr>
        <w:t xml:space="preserve"> </w:t>
      </w:r>
      <w:r>
        <w:rPr>
          <w:rFonts w:hint="eastAsia" w:ascii="宋体" w:cs="宋体"/>
          <w:sz w:val="24"/>
        </w:rPr>
        <w:t>份，需方</w:t>
      </w:r>
      <w:r>
        <w:rPr>
          <w:rFonts w:hint="eastAsia" w:ascii="宋体" w:cs="宋体"/>
          <w:sz w:val="24"/>
          <w:u w:val="single"/>
        </w:rPr>
        <w:t xml:space="preserve"> </w:t>
      </w:r>
      <w:r>
        <w:rPr>
          <w:rFonts w:hint="eastAsia" w:ascii="宋体" w:cs="宋体"/>
          <w:sz w:val="24"/>
          <w:u w:val="single"/>
          <w:lang w:val="en-US" w:eastAsia="zh-CN"/>
        </w:rPr>
        <w:t>五</w:t>
      </w:r>
      <w:r>
        <w:rPr>
          <w:rFonts w:hint="eastAsia" w:ascii="宋体" w:cs="宋体"/>
          <w:sz w:val="24"/>
          <w:u w:val="single"/>
        </w:rPr>
        <w:t xml:space="preserve">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w:t>
      </w:r>
      <w:r>
        <w:rPr>
          <w:rFonts w:hint="eastAsia" w:ascii="宋体" w:cs="宋体"/>
          <w:sz w:val="24"/>
          <w:u w:val="single"/>
          <w:lang w:val="en-US" w:eastAsia="zh-CN"/>
        </w:rPr>
        <w:t>二</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w:t>
      </w:r>
      <w:r>
        <w:rPr>
          <w:rFonts w:hint="eastAsia" w:ascii="宋体" w:cs="宋体"/>
          <w:sz w:val="24"/>
          <w:u w:val="single"/>
          <w:lang w:val="en-US" w:eastAsia="zh-CN"/>
        </w:rPr>
        <w:t>一</w:t>
      </w:r>
      <w:r>
        <w:rPr>
          <w:rFonts w:ascii="宋体" w:cs="宋体"/>
          <w:sz w:val="24"/>
          <w:u w:val="single"/>
        </w:rPr>
        <w:t xml:space="preserve">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hint="eastAsia" w:ascii="宋体" w:cs="宋体"/>
          <w:b/>
          <w:sz w:val="24"/>
        </w:rPr>
      </w:pPr>
      <w:bookmarkStart w:id="2" w:name="OLE_LINK1"/>
      <w:r>
        <w:rPr>
          <w:rFonts w:hint="eastAsia" w:ascii="宋体" w:cs="宋体"/>
          <w:b/>
          <w:sz w:val="24"/>
        </w:rPr>
        <w:t>附件（2）</w:t>
      </w:r>
      <w:bookmarkEnd w:id="2"/>
      <w:r>
        <w:rPr>
          <w:rFonts w:hint="eastAsia" w:ascii="宋体" w:cs="宋体"/>
          <w:b/>
          <w:sz w:val="24"/>
        </w:rPr>
        <w:t>售后服务计划</w:t>
      </w:r>
    </w:p>
    <w:p>
      <w:pPr>
        <w:rPr>
          <w:rFonts w:hint="eastAsia" w:ascii="楷体" w:eastAsia="楷体" w:cs="楷体"/>
          <w:b/>
          <w:bCs/>
          <w:sz w:val="24"/>
          <w:szCs w:val="22"/>
          <w:lang w:eastAsia="zh-CN"/>
        </w:rPr>
      </w:pPr>
      <w:r>
        <w:rPr>
          <w:rFonts w:hint="eastAsia" w:ascii="楷体" w:eastAsia="楷体" w:cs="楷体"/>
          <w:b/>
          <w:bCs/>
          <w:sz w:val="24"/>
          <w:szCs w:val="22"/>
          <w:lang w:eastAsia="zh-CN"/>
        </w:rPr>
        <w:drawing>
          <wp:inline distT="0" distB="0" distL="114300" distR="114300">
            <wp:extent cx="5269230" cy="7301230"/>
            <wp:effectExtent l="0" t="0" r="7620" b="13970"/>
            <wp:docPr id="2" name="图片 2"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9"/>
                    <pic:cNvPicPr>
                      <a:picLocks noChangeAspect="1"/>
                    </pic:cNvPicPr>
                  </pic:nvPicPr>
                  <pic:blipFill>
                    <a:blip r:embed="rId5"/>
                    <a:stretch>
                      <a:fillRect/>
                    </a:stretch>
                  </pic:blipFill>
                  <pic:spPr>
                    <a:xfrm>
                      <a:off x="0" y="0"/>
                      <a:ext cx="5269230" cy="7301230"/>
                    </a:xfrm>
                    <a:prstGeom prst="rect">
                      <a:avLst/>
                    </a:prstGeom>
                  </pic:spPr>
                </pic:pic>
              </a:graphicData>
            </a:graphic>
          </wp:inline>
        </w:drawing>
      </w: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ascii="宋体" w:cs="宋体"/>
          <w:b/>
          <w:sz w:val="24"/>
        </w:rPr>
      </w:pPr>
      <w:r>
        <w:rPr>
          <w:rFonts w:hint="eastAsia" w:ascii="宋体" w:cs="宋体"/>
          <w:b/>
          <w:sz w:val="24"/>
        </w:rPr>
        <w:t>附件（1）：详细技术参数、规格及配置清单</w:t>
      </w:r>
    </w:p>
    <w:tbl>
      <w:tblPr>
        <w:tblStyle w:val="10"/>
        <w:tblW w:w="8189" w:type="dxa"/>
        <w:tblInd w:w="0" w:type="dxa"/>
        <w:tblLayout w:type="fixed"/>
        <w:tblCellMar>
          <w:top w:w="0" w:type="dxa"/>
          <w:left w:w="108" w:type="dxa"/>
          <w:bottom w:w="0" w:type="dxa"/>
          <w:right w:w="108" w:type="dxa"/>
        </w:tblCellMar>
      </w:tblPr>
      <w:tblGrid>
        <w:gridCol w:w="1481"/>
        <w:gridCol w:w="2743"/>
        <w:gridCol w:w="1085"/>
        <w:gridCol w:w="1440"/>
        <w:gridCol w:w="1440"/>
      </w:tblGrid>
      <w:tr>
        <w:tblPrEx>
          <w:tblCellMar>
            <w:top w:w="0" w:type="dxa"/>
            <w:left w:w="108" w:type="dxa"/>
            <w:bottom w:w="0" w:type="dxa"/>
            <w:right w:w="108" w:type="dxa"/>
          </w:tblCellMar>
        </w:tblPrEx>
        <w:trPr>
          <w:trHeight w:val="391" w:hRule="atLeast"/>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名称</w:t>
            </w:r>
          </w:p>
        </w:tc>
        <w:tc>
          <w:tcPr>
            <w:tcW w:w="2743"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收录内容</w:t>
            </w:r>
          </w:p>
        </w:tc>
        <w:tc>
          <w:tcPr>
            <w:tcW w:w="1085"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研发单位</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服务期限</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服务响应</w:t>
            </w:r>
          </w:p>
        </w:tc>
      </w:tr>
      <w:tr>
        <w:tblPrEx>
          <w:tblCellMar>
            <w:top w:w="0" w:type="dxa"/>
            <w:left w:w="108" w:type="dxa"/>
            <w:bottom w:w="0" w:type="dxa"/>
            <w:right w:w="108" w:type="dxa"/>
          </w:tblCellMar>
        </w:tblPrEx>
        <w:trPr>
          <w:trHeight w:val="3303" w:hRule="atLeast"/>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r>
              <w:rPr>
                <w:rFonts w:hint="eastAsia" w:ascii="宋体" w:cs="宋体"/>
                <w:sz w:val="24"/>
              </w:rPr>
              <w:t>森途职业能力与创业学习资源总库</w:t>
            </w: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tc>
        <w:tc>
          <w:tcPr>
            <w:tcW w:w="2743" w:type="dxa"/>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24"/>
              </w:rPr>
            </w:pPr>
            <w:r>
              <w:rPr>
                <w:rFonts w:hint="eastAsia" w:ascii="楷体" w:eastAsia="楷体" w:cs="楷体"/>
                <w:sz w:val="24"/>
                <w:szCs w:val="22"/>
              </w:rPr>
              <w:t>提供职业测评4项，生成推荐职位及测评报告，提供创业测评4项生成测评报告，提供能力测评8项，给出推荐课程及测评报告，所有报告可下载。包含职位、行业、城市大数据，提供统计图表条数不少于15000条、不少于900个职位、60个热门行业、300个城市的就业大数据解析；提供不少于500个本科专业、800个专科专业。提供职业生涯规划视频不少于1000部，创课视频不少于3000部，职场FLASH课程不少于2400部，IT技能学习视频不少于5500部</w:t>
            </w:r>
          </w:p>
        </w:tc>
        <w:tc>
          <w:tcPr>
            <w:tcW w:w="1085"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center"/>
              <w:rPr>
                <w:rFonts w:ascii="宋体" w:cs="宋体"/>
                <w:spacing w:val="10"/>
                <w:kern w:val="0"/>
                <w:sz w:val="24"/>
              </w:rPr>
            </w:pPr>
            <w:r>
              <w:rPr>
                <w:rFonts w:hint="eastAsia" w:ascii="楷体" w:eastAsia="楷体" w:cs="楷体"/>
                <w:sz w:val="24"/>
                <w:szCs w:val="22"/>
              </w:rPr>
              <w:t>北京森途教育科技股份有限公司</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24"/>
              </w:rPr>
            </w:pPr>
            <w:r>
              <w:rPr>
                <w:rFonts w:hint="eastAsia" w:ascii="宋体" w:cs="宋体"/>
                <w:color w:val="FF0000"/>
                <w:sz w:val="24"/>
                <w:lang w:val="en-US" w:eastAsia="zh-CN"/>
              </w:rPr>
              <w:t>2024年1月1日-2024年12月31日</w:t>
            </w:r>
          </w:p>
        </w:tc>
        <w:tc>
          <w:tcPr>
            <w:tcW w:w="1440" w:type="dxa"/>
            <w:tcBorders>
              <w:top w:val="single" w:color="000000" w:sz="4" w:space="0"/>
              <w:left w:val="nil"/>
              <w:bottom w:val="single" w:color="000000" w:sz="4" w:space="0"/>
              <w:right w:val="single" w:color="000000" w:sz="4" w:space="0"/>
            </w:tcBorders>
            <w:vAlign w:val="center"/>
          </w:tcPr>
          <w:p>
            <w:pPr>
              <w:widowControl/>
              <w:jc w:val="center"/>
            </w:pPr>
          </w:p>
          <w:p>
            <w:pPr>
              <w:widowControl/>
              <w:jc w:val="center"/>
            </w:pPr>
          </w:p>
          <w:p>
            <w:pPr>
              <w:widowControl/>
              <w:jc w:val="center"/>
            </w:pPr>
          </w:p>
          <w:p>
            <w:pPr>
              <w:pStyle w:val="2"/>
              <w:jc w:val="center"/>
            </w:pPr>
            <w:r>
              <w:rPr>
                <w:rFonts w:hint="eastAsia" w:ascii="楷体" w:eastAsia="楷体" w:cs="楷体"/>
                <w:color w:val="auto"/>
                <w:szCs w:val="22"/>
              </w:rPr>
              <w:t>2小时响应，1个工作日内到达现场，直至解决问题</w:t>
            </w:r>
          </w:p>
        </w:tc>
      </w:tr>
    </w:tbl>
    <w:p>
      <w:pPr>
        <w:rPr>
          <w:rFonts w:ascii="宋体" w:cs="宋体"/>
          <w:sz w:val="24"/>
        </w:rPr>
      </w:pPr>
    </w:p>
    <w:p>
      <w:pPr>
        <w:rPr>
          <w:rFonts w:hint="eastAsia" w:ascii="宋体" w:cs="宋体"/>
          <w:b/>
          <w:sz w:val="24"/>
        </w:rPr>
      </w:pPr>
      <w:r>
        <w:rPr>
          <w:rFonts w:hint="eastAsia" w:ascii="宋体" w:cs="宋体"/>
          <w:b/>
          <w:sz w:val="24"/>
        </w:rPr>
        <w:br w:type="page"/>
      </w:r>
    </w:p>
    <w:p>
      <w:pPr>
        <w:rPr>
          <w:rFonts w:hint="eastAsia" w:ascii="宋体" w:cs="宋体"/>
          <w:b/>
          <w:sz w:val="24"/>
        </w:rPr>
      </w:pPr>
      <w:r>
        <w:rPr>
          <w:rFonts w:hint="eastAsia" w:ascii="宋体" w:cs="宋体"/>
          <w:b/>
          <w:sz w:val="24"/>
        </w:rPr>
        <w:t>附件（2）：售后服务计划</w:t>
      </w:r>
    </w:p>
    <w:p>
      <w:pPr>
        <w:spacing w:line="480" w:lineRule="exact"/>
        <w:ind w:firstLine="480" w:firstLineChars="200"/>
        <w:rPr>
          <w:rFonts w:ascii="楷体" w:eastAsia="楷体" w:cs="楷体"/>
          <w:color w:val="000000"/>
          <w:sz w:val="24"/>
        </w:rPr>
      </w:pPr>
      <w:r>
        <w:rPr>
          <w:rFonts w:hint="eastAsia" w:ascii="楷体" w:eastAsia="楷体" w:cs="楷体"/>
          <w:color w:val="000000"/>
          <w:sz w:val="24"/>
        </w:rPr>
        <w:t>1、开通远程包库服务：</w:t>
      </w:r>
    </w:p>
    <w:p>
      <w:pPr>
        <w:spacing w:line="480" w:lineRule="exact"/>
        <w:ind w:firstLine="480" w:firstLineChars="200"/>
        <w:rPr>
          <w:rFonts w:ascii="楷体" w:eastAsia="楷体" w:cs="楷体"/>
          <w:color w:val="000000"/>
          <w:sz w:val="24"/>
        </w:rPr>
      </w:pPr>
      <w:r>
        <w:rPr>
          <w:rFonts w:hint="eastAsia" w:ascii="楷体" w:eastAsia="楷体" w:cs="楷体"/>
          <w:color w:val="000000"/>
          <w:sz w:val="24"/>
        </w:rPr>
        <w:t>2、技术培训服务：供方按甲方要求提供现场培训（含每年至少一次的产品的操作使用方法，故障处理等内容），培训时间、地点、人员由需方确定。</w:t>
      </w:r>
    </w:p>
    <w:p>
      <w:pPr>
        <w:spacing w:line="480" w:lineRule="exact"/>
        <w:ind w:firstLine="480" w:firstLineChars="200"/>
        <w:rPr>
          <w:rFonts w:ascii="楷体" w:eastAsia="楷体" w:cs="楷体"/>
          <w:color w:val="000000"/>
          <w:sz w:val="24"/>
        </w:rPr>
      </w:pPr>
      <w:r>
        <w:rPr>
          <w:rFonts w:hint="eastAsia" w:ascii="楷体" w:eastAsia="楷体" w:cs="楷体"/>
          <w:color w:val="000000"/>
          <w:sz w:val="24"/>
        </w:rPr>
        <w:t>3、咨询服务：我公司保证货物能长期安全、可靠、高效运行，网络维护与甲方网络平滑稳定对接 ，实现全程全网维护；包括运行保障、缺陷的维护、故障处理，并提供 7×24 小时免费现场技术支持，及时解决出现的问题，做出故障诊断报告。及时对系统网络监管平台进行优化，提出优化建议及优化方案等。与用户的联系，随时交流系统的应用情况。</w:t>
      </w:r>
    </w:p>
    <w:p>
      <w:pPr>
        <w:spacing w:line="480" w:lineRule="exact"/>
        <w:ind w:firstLine="480" w:firstLineChars="200"/>
        <w:rPr>
          <w:rFonts w:hint="default" w:ascii="楷体" w:eastAsia="楷体" w:cs="楷体"/>
          <w:color w:val="000000"/>
          <w:sz w:val="24"/>
          <w:lang w:val="en-US" w:eastAsia="zh-CN"/>
        </w:rPr>
      </w:pPr>
      <w:r>
        <w:rPr>
          <w:rFonts w:hint="eastAsia" w:ascii="楷体" w:eastAsia="楷体" w:cs="楷体"/>
          <w:color w:val="000000"/>
          <w:sz w:val="24"/>
        </w:rPr>
        <w:t>4、回访服务：</w:t>
      </w:r>
      <w:r>
        <w:rPr>
          <w:rFonts w:hint="eastAsia" w:ascii="楷体" w:eastAsia="楷体" w:cs="楷体"/>
          <w:color w:val="000000"/>
          <w:sz w:val="24"/>
          <w:lang w:val="en-US" w:eastAsia="zh-CN"/>
        </w:rPr>
        <w:t>配合图书馆提供产品访问量等数据及按照图书馆要求提供活动服务</w:t>
      </w:r>
    </w:p>
    <w:p>
      <w:pPr>
        <w:spacing w:line="480" w:lineRule="exact"/>
        <w:ind w:firstLine="480" w:firstLineChars="200"/>
        <w:rPr>
          <w:rFonts w:ascii="楷体" w:eastAsia="楷体" w:cs="楷体"/>
          <w:color w:val="000000"/>
          <w:sz w:val="24"/>
        </w:rPr>
      </w:pPr>
      <w:r>
        <w:rPr>
          <w:rFonts w:hint="eastAsia" w:ascii="楷体" w:eastAsia="楷体" w:cs="楷体"/>
          <w:color w:val="000000"/>
          <w:sz w:val="24"/>
        </w:rPr>
        <w:t>5、更新服务：提供1年内产品的免费升级与维护服务，提供最新版本的服务体验，保障使用者的不间断服务</w:t>
      </w:r>
    </w:p>
    <w:p>
      <w:pPr>
        <w:pStyle w:val="2"/>
        <w:ind w:firstLine="480"/>
        <w:rPr>
          <w:rFonts w:ascii="楷体" w:eastAsia="楷体" w:cs="楷体"/>
        </w:rPr>
      </w:pPr>
      <w:r>
        <w:rPr>
          <w:rFonts w:hint="eastAsia" w:ascii="楷体" w:eastAsia="楷体" w:cs="楷体"/>
        </w:rPr>
        <w:t>6、联系方式：</w:t>
      </w:r>
    </w:p>
    <w:p>
      <w:pPr>
        <w:pStyle w:val="2"/>
        <w:ind w:firstLine="480"/>
        <w:rPr>
          <w:rFonts w:ascii="楷体" w:eastAsia="楷体" w:cs="楷体"/>
        </w:rPr>
      </w:pPr>
      <w:r>
        <w:rPr>
          <w:rFonts w:hint="eastAsia" w:ascii="楷体" w:eastAsia="楷体" w:cs="楷体"/>
        </w:rPr>
        <w:t xml:space="preserve">   联系人：卞庆伟</w:t>
      </w:r>
    </w:p>
    <w:p>
      <w:pPr>
        <w:pStyle w:val="2"/>
        <w:ind w:left="779" w:leftChars="371" w:firstLine="60" w:firstLineChars="25"/>
        <w:rPr>
          <w:rFonts w:ascii="楷体" w:eastAsia="楷体" w:cs="楷体"/>
        </w:rPr>
      </w:pPr>
      <w:r>
        <w:rPr>
          <w:rFonts w:hint="eastAsia" w:ascii="楷体" w:eastAsia="楷体" w:cs="楷体"/>
        </w:rPr>
        <w:t xml:space="preserve">电话：17319788987  </w:t>
      </w:r>
      <w:r>
        <w:rPr>
          <w:rFonts w:hint="eastAsia" w:ascii="宋体" w:cs="宋体"/>
          <w:b/>
        </w:rPr>
        <w:t xml:space="preserve"> </w:t>
      </w:r>
      <w:r>
        <w:rPr>
          <w:rFonts w:ascii="宋体" w:cs="宋体"/>
          <w:b/>
        </w:rPr>
        <w:t>010-58732560</w:t>
      </w:r>
      <w:r>
        <w:rPr>
          <w:rFonts w:hint="eastAsia" w:ascii="楷体" w:eastAsia="楷体" w:cs="楷体"/>
        </w:rPr>
        <w:t xml:space="preserve"> </w:t>
      </w:r>
    </w:p>
    <w:p>
      <w:pPr>
        <w:pStyle w:val="2"/>
        <w:ind w:firstLine="480"/>
        <w:rPr>
          <w:rFonts w:ascii="楷体" w:eastAsia="楷体" w:cs="楷体"/>
        </w:rPr>
      </w:pPr>
      <w:r>
        <w:rPr>
          <w:rFonts w:hint="eastAsia" w:ascii="楷体" w:eastAsia="楷体" w:cs="楷体"/>
        </w:rPr>
        <w:t xml:space="preserve">   传真：</w:t>
      </w:r>
      <w:r>
        <w:rPr>
          <w:rFonts w:ascii="楷体" w:eastAsia="楷体" w:cs="楷体"/>
        </w:rPr>
        <w:t>010-58732757</w:t>
      </w:r>
    </w:p>
    <w:p>
      <w:pPr>
        <w:spacing w:line="360" w:lineRule="auto"/>
        <w:ind w:firstLine="420"/>
        <w:rPr>
          <w:rFonts w:ascii="楷体" w:eastAsia="楷体" w:cs="楷体"/>
          <w:color w:val="000000"/>
          <w:sz w:val="24"/>
        </w:rPr>
      </w:pPr>
      <w:r>
        <w:rPr>
          <w:rFonts w:hint="eastAsia" w:ascii="楷体" w:eastAsia="楷体" w:cs="楷体"/>
          <w:color w:val="000000"/>
          <w:sz w:val="24"/>
        </w:rPr>
        <w:t xml:space="preserve">    地址：北京市海淀区知春路甲48号1号楼27B</w:t>
      </w:r>
    </w:p>
    <w:p/>
    <w:p>
      <w:pPr>
        <w:pStyle w:val="2"/>
        <w:rPr>
          <w:rFonts w:hint="eastAsia" w:ascii="宋体" w:cs="宋体"/>
          <w:b/>
          <w:sz w:val="24"/>
        </w:rPr>
      </w:pPr>
    </w:p>
    <w:p>
      <w:pPr>
        <w:pStyle w:val="2"/>
        <w:rPr>
          <w:rFonts w:hint="eastAsia" w:ascii="宋体" w:cs="宋体"/>
          <w:b/>
          <w:sz w:val="24"/>
        </w:rPr>
      </w:pPr>
    </w:p>
    <w:p>
      <w:pPr>
        <w:pStyle w:val="2"/>
        <w:rPr>
          <w:rFonts w:hint="eastAsia" w:ascii="宋体" w:cs="宋体"/>
          <w:b/>
          <w:sz w:val="24"/>
        </w:rPr>
      </w:pPr>
    </w:p>
    <w:p>
      <w:pPr>
        <w:pStyle w:val="2"/>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8"/>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385CC0"/>
    <w:rsid w:val="004F52E9"/>
    <w:rsid w:val="006F3871"/>
    <w:rsid w:val="00890717"/>
    <w:rsid w:val="00924C4C"/>
    <w:rsid w:val="00982F36"/>
    <w:rsid w:val="00B40D3F"/>
    <w:rsid w:val="00B6584F"/>
    <w:rsid w:val="00D440F9"/>
    <w:rsid w:val="00E5418A"/>
    <w:rsid w:val="00F37F68"/>
    <w:rsid w:val="0DD26DD4"/>
    <w:rsid w:val="11D54785"/>
    <w:rsid w:val="189C1408"/>
    <w:rsid w:val="1CB60D2D"/>
    <w:rsid w:val="22D14FAF"/>
    <w:rsid w:val="23B10C3E"/>
    <w:rsid w:val="3F2731D2"/>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5">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6">
    <w:name w:val="heading 3"/>
    <w:basedOn w:val="1"/>
    <w:next w:val="1"/>
    <w:semiHidden/>
    <w:unhideWhenUsed/>
    <w:qFormat/>
    <w:uiPriority w:val="9"/>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color w:val="000000"/>
      <w:sz w:val="24"/>
    </w:rPr>
  </w:style>
  <w:style w:type="paragraph" w:styleId="3">
    <w:name w:val="Document Map"/>
    <w:basedOn w:val="1"/>
    <w:qFormat/>
    <w:uiPriority w:val="0"/>
    <w:rPr>
      <w:rFonts w:ascii="微软雅黑" w:hAnsi="微软雅黑"/>
      <w:sz w:val="18"/>
      <w:szCs w:val="18"/>
    </w:rPr>
  </w:style>
  <w:style w:type="paragraph" w:styleId="7">
    <w:name w:val="Normal Indent"/>
    <w:basedOn w:val="1"/>
    <w:qFormat/>
    <w:uiPriority w:val="0"/>
    <w:pPr>
      <w:spacing w:before="25" w:beforeLines="25" w:after="60" w:line="0" w:lineRule="atLeast"/>
      <w:ind w:firstLine="200" w:firstLineChars="200"/>
    </w:pPr>
  </w:style>
  <w:style w:type="paragraph" w:styleId="8">
    <w:name w:val="footer"/>
    <w:basedOn w:val="1"/>
    <w:qFormat/>
    <w:uiPriority w:val="0"/>
    <w:pPr>
      <w:tabs>
        <w:tab w:val="center" w:pos="4153"/>
        <w:tab w:val="right" w:pos="8306"/>
      </w:tabs>
      <w:snapToGrid w:val="0"/>
      <w:jc w:val="left"/>
    </w:pPr>
    <w:rPr>
      <w:rFonts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2">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415</Words>
  <Characters>2366</Characters>
  <Lines>19</Lines>
  <Paragraphs>5</Paragraphs>
  <TotalTime>0</TotalTime>
  <ScaleCrop>false</ScaleCrop>
  <LinksUpToDate>false</LinksUpToDate>
  <CharactersWithSpaces>2776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2023-09-15T00:14:59Z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2582F229EEAE416EB4F865AB78CC41CC_13</vt:lpwstr>
  </property>
</Properties>
</file>