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ascii="宋体" w:cs="宋体"/>
          <w:sz w:val="28"/>
        </w:rPr>
      </w:pPr>
      <w:r>
        <w:rPr>
          <w:rFonts w:hint="eastAsia" w:ascii="宋体" w:cs="宋体"/>
          <w:sz w:val="28"/>
        </w:rPr>
        <w:t>合同编号：豫财单一采购-2023-99包11</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项目名称：</w:t>
      </w:r>
      <w:r>
        <w:rPr>
          <w:rFonts w:ascii="宋体" w:cs="宋体"/>
          <w:bCs/>
          <w:sz w:val="36"/>
          <w:u w:val="single"/>
        </w:rPr>
        <w:t xml:space="preserve"> </w:t>
      </w:r>
      <w:r>
        <w:rPr>
          <w:rFonts w:hint="eastAsia" w:ascii="宋体" w:cs="宋体"/>
          <w:bCs/>
          <w:sz w:val="36"/>
          <w:u w:val="single"/>
        </w:rPr>
        <w:t>河南大学2023年知网等数据库项目</w:t>
      </w:r>
    </w:p>
    <w:p>
      <w:pPr>
        <w:rPr>
          <w:rFonts w:ascii="宋体" w:cs="宋体"/>
          <w:sz w:val="36"/>
          <w:u w:val="single"/>
        </w:rPr>
      </w:pPr>
    </w:p>
    <w:p>
      <w:pPr>
        <w:rPr>
          <w:rFonts w:ascii="宋体" w:cs="宋体"/>
          <w:sz w:val="36"/>
          <w:u w:val="single"/>
        </w:rPr>
      </w:pPr>
      <w:r>
        <w:rPr>
          <w:rFonts w:hint="eastAsia" w:ascii="宋体" w:cs="宋体"/>
          <w:sz w:val="36"/>
        </w:rPr>
        <w:t xml:space="preserve">     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受托方（乙方）：</w:t>
      </w:r>
      <w:bookmarkStart w:id="0" w:name="_Hlk141690651"/>
      <w:r>
        <w:rPr>
          <w:rFonts w:hint="eastAsia" w:ascii="宋体" w:cs="宋体"/>
          <w:sz w:val="36"/>
          <w:u w:val="single"/>
        </w:rPr>
        <w:t>北京智联起点信息技术有限公司</w:t>
      </w:r>
      <w:bookmarkEnd w:id="0"/>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rPr>
        <w:t>2023年1月1日-2023年12月31日</w:t>
      </w:r>
      <w:r>
        <w:rPr>
          <w:rFonts w:ascii="宋体" w:cs="宋体"/>
          <w:sz w:val="36"/>
          <w:u w:val="single"/>
        </w:rPr>
        <w:t xml:space="preserve">                       </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hint="eastAsia" w:ascii="宋体" w:cs="宋体"/>
          <w:b/>
          <w:sz w:val="24"/>
          <w:u w:val="single"/>
        </w:rPr>
        <w:t>北京智联起点信息技术有限公司</w:t>
      </w:r>
      <w:r>
        <w:rPr>
          <w:rFonts w:hint="eastAsia" w:ascii="宋体" w:cs="宋体"/>
          <w:b/>
          <w:sz w:val="24"/>
        </w:rPr>
        <w:t xml:space="preserve"> </w:t>
      </w:r>
      <w:r>
        <w:rPr>
          <w:rFonts w:ascii="宋体" w:cs="宋体"/>
          <w:b/>
          <w:sz w:val="24"/>
        </w:rPr>
        <w:t xml:space="preserve"> </w:t>
      </w:r>
      <w:r>
        <w:rPr>
          <w:rFonts w:hint="eastAsia" w:ascii="宋体" w:cs="宋体"/>
          <w:sz w:val="24"/>
        </w:rPr>
        <w:t>签订时间：2023年9月15日</w:t>
      </w:r>
    </w:p>
    <w:p>
      <w:pPr>
        <w:spacing w:line="360" w:lineRule="auto"/>
        <w:rPr>
          <w:rFonts w:ascii="宋体" w:cs="宋体"/>
          <w:sz w:val="24"/>
        </w:rPr>
      </w:pPr>
      <w:r>
        <w:rPr>
          <w:rFonts w:hint="eastAsia" w:ascii="宋体" w:cs="宋体"/>
          <w:sz w:val="24"/>
        </w:rPr>
        <w:t xml:space="preserve">    供、需双方根据</w:t>
      </w:r>
      <w:r>
        <w:rPr>
          <w:rFonts w:ascii="宋体" w:cs="宋体"/>
          <w:sz w:val="24"/>
          <w:u w:val="single"/>
        </w:rPr>
        <w:t xml:space="preserve"> </w:t>
      </w:r>
      <w:r>
        <w:rPr>
          <w:rFonts w:hint="eastAsia" w:ascii="宋体" w:cs="宋体"/>
          <w:sz w:val="24"/>
          <w:u w:val="single"/>
        </w:rPr>
        <w:t>11</w:t>
      </w:r>
      <w:r>
        <w:rPr>
          <w:rFonts w:ascii="宋体" w:cs="宋体"/>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：捌万叁仟</w:t>
      </w:r>
      <w:r>
        <w:rPr>
          <w:rFonts w:ascii="宋体" w:cs="宋体"/>
          <w:sz w:val="24"/>
          <w:u w:val="single"/>
        </w:rPr>
        <w:t xml:space="preserve"> </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9"/>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spacing w:line="360" w:lineRule="auto"/>
              <w:jc w:val="center"/>
              <w:rPr>
                <w:rFonts w:ascii="宋体" w:cs="宋体"/>
                <w:sz w:val="24"/>
              </w:rPr>
            </w:pPr>
            <w:r>
              <w:rPr>
                <w:rFonts w:hint="eastAsia" w:ascii="宋体" w:cs="宋体"/>
                <w:sz w:val="24"/>
              </w:rPr>
              <w:t>起点考试网</w:t>
            </w:r>
          </w:p>
        </w:tc>
        <w:tc>
          <w:tcPr>
            <w:tcW w:w="3015" w:type="dxa"/>
            <w:tcBorders>
              <w:top w:val="single" w:color="auto" w:sz="8" w:space="0"/>
              <w:left w:val="nil"/>
              <w:bottom w:val="single" w:color="auto" w:sz="8" w:space="0"/>
              <w:right w:val="single" w:color="auto" w:sz="8" w:space="0"/>
            </w:tcBorders>
            <w:vAlign w:val="center"/>
          </w:tcPr>
          <w:p>
            <w:pPr>
              <w:pStyle w:val="2"/>
            </w:pPr>
            <w:r>
              <w:rPr>
                <w:rFonts w:hint="eastAsia"/>
              </w:rPr>
              <w:t>试题15000套，视频15000课时。</w:t>
            </w:r>
          </w:p>
        </w:tc>
        <w:tc>
          <w:tcPr>
            <w:tcW w:w="1080" w:type="dxa"/>
            <w:tcBorders>
              <w:top w:val="single" w:color="auto" w:sz="8" w:space="0"/>
              <w:left w:val="nil"/>
              <w:bottom w:val="single" w:color="auto" w:sz="8" w:space="0"/>
              <w:right w:val="single" w:color="auto" w:sz="8" w:space="0"/>
            </w:tcBorders>
            <w:vAlign w:val="center"/>
          </w:tcPr>
          <w:p>
            <w:pPr>
              <w:rPr>
                <w:rFonts w:ascii="宋体" w:cs="宋体"/>
                <w:sz w:val="24"/>
              </w:rPr>
            </w:pPr>
            <w:bookmarkStart w:id="1" w:name="_Hlk141713380"/>
            <w:r>
              <w:rPr>
                <w:rFonts w:hint="eastAsia" w:ascii="宋体" w:cs="宋体"/>
                <w:sz w:val="24"/>
              </w:rPr>
              <w:t>2023年1月1日-2023年12月31日</w:t>
            </w:r>
            <w:bookmarkEnd w:id="1"/>
          </w:p>
        </w:tc>
        <w:tc>
          <w:tcPr>
            <w:tcW w:w="721"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1</w:t>
            </w:r>
          </w:p>
        </w:tc>
        <w:tc>
          <w:tcPr>
            <w:tcW w:w="1229"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83000</w:t>
            </w:r>
          </w:p>
        </w:tc>
        <w:tc>
          <w:tcPr>
            <w:tcW w:w="1303"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83000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ascii="宋体" w:cs="宋体"/>
                <w:sz w:val="24"/>
                <w:u w:val="single"/>
              </w:rPr>
              <w:t xml:space="preserve"> </w:t>
            </w:r>
            <w:r>
              <w:rPr>
                <w:rFonts w:hint="eastAsia" w:ascii="宋体" w:cs="宋体"/>
                <w:sz w:val="24"/>
                <w:u w:val="single"/>
              </w:rPr>
              <w:t>83000</w:t>
            </w:r>
            <w:r>
              <w:rPr>
                <w:rFonts w:ascii="宋体" w:cs="宋体"/>
                <w:sz w:val="24"/>
                <w:u w:val="single"/>
              </w:rPr>
              <w:t xml:space="preserve">   </w:t>
            </w:r>
            <w:r>
              <w:rPr>
                <w:rFonts w:hint="eastAsia" w:ascii="宋体" w:cs="宋体"/>
                <w:sz w:val="24"/>
                <w:u w:val="single"/>
              </w:rPr>
              <w:t>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捌万叁仟元</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b/>
          <w:sz w:val="24"/>
        </w:rPr>
      </w:pPr>
      <w:r>
        <w:rPr>
          <w:rFonts w:hint="eastAsia" w:ascii="宋体" w:cs="宋体"/>
          <w:b/>
          <w:sz w:val="24"/>
        </w:rPr>
        <w:t>账户名称：北京智联起点信息技术有限公司</w:t>
      </w:r>
    </w:p>
    <w:p>
      <w:pPr>
        <w:spacing w:line="360" w:lineRule="auto"/>
        <w:ind w:firstLine="482" w:firstLineChars="200"/>
        <w:rPr>
          <w:rFonts w:ascii="宋体" w:cs="宋体"/>
          <w:b/>
          <w:sz w:val="24"/>
        </w:rPr>
      </w:pPr>
      <w:r>
        <w:rPr>
          <w:rFonts w:hint="eastAsia" w:ascii="宋体" w:cs="宋体"/>
          <w:b/>
          <w:sz w:val="24"/>
        </w:rPr>
        <w:t xml:space="preserve">账号：11001042800053008538           </w:t>
      </w:r>
    </w:p>
    <w:p>
      <w:pPr>
        <w:spacing w:line="360" w:lineRule="auto"/>
        <w:ind w:firstLine="482" w:firstLineChars="200"/>
        <w:rPr>
          <w:rFonts w:ascii="宋体" w:cs="宋体"/>
          <w:b/>
          <w:sz w:val="24"/>
        </w:rPr>
      </w:pPr>
      <w:r>
        <w:rPr>
          <w:rFonts w:hint="eastAsia" w:ascii="宋体" w:cs="宋体"/>
          <w:b/>
          <w:sz w:val="24"/>
        </w:rPr>
        <w:t>开户银行：建设银行北京通州运河支行</w:t>
      </w:r>
    </w:p>
    <w:p>
      <w:pPr>
        <w:spacing w:line="360" w:lineRule="auto"/>
        <w:ind w:firstLine="482" w:firstLineChars="200"/>
        <w:rPr>
          <w:rFonts w:ascii="宋体" w:cs="宋体"/>
          <w:b/>
          <w:sz w:val="24"/>
        </w:rPr>
      </w:pPr>
      <w:r>
        <w:rPr>
          <w:rFonts w:hint="eastAsia" w:ascii="宋体" w:cs="宋体"/>
          <w:b/>
          <w:sz w:val="24"/>
        </w:rPr>
        <w:t xml:space="preserve">统一社会信用代码：91110112553078908H </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2" w:name="_Hlt503692967"/>
      <w:bookmarkEnd w:id="2"/>
      <w:bookmarkStart w:id="3" w:name="_Hlt503692969"/>
      <w:bookmarkEnd w:id="3"/>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七</w:t>
      </w:r>
      <w:r>
        <w:rPr>
          <w:rFonts w:ascii="宋体" w:cs="宋体"/>
          <w:sz w:val="24"/>
          <w:u w:val="single"/>
        </w:rPr>
        <w:t xml:space="preserve">  </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五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一</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一</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ascii="宋体" w:cs="宋体"/>
          <w:b/>
          <w:sz w:val="24"/>
        </w:rPr>
      </w:pPr>
      <w:bookmarkStart w:id="4" w:name="OLE_LINK1"/>
      <w:r>
        <w:rPr>
          <w:rFonts w:hint="eastAsia" w:ascii="宋体" w:cs="宋体"/>
          <w:b/>
          <w:sz w:val="24"/>
        </w:rPr>
        <w:t>附件（2）</w:t>
      </w:r>
      <w:bookmarkEnd w:id="4"/>
      <w:r>
        <w:rPr>
          <w:rFonts w:hint="eastAsia" w:ascii="宋体" w:cs="宋体"/>
          <w:b/>
          <w:sz w:val="24"/>
        </w:rPr>
        <w:t>售后服务计划</w:t>
      </w:r>
    </w:p>
    <w:p>
      <w:pPr>
        <w:spacing w:line="480" w:lineRule="auto"/>
        <w:rPr>
          <w:rFonts w:ascii="宋体" w:cs="宋体"/>
          <w:b/>
          <w:sz w:val="24"/>
        </w:rPr>
      </w:pPr>
      <w:r>
        <w:rPr>
          <w:rFonts w:hint="eastAsia" w:ascii="宋体" w:cs="宋体"/>
          <w:b/>
          <w:sz w:val="24"/>
        </w:rPr>
        <w:drawing>
          <wp:inline distT="0" distB="0" distL="114300" distR="114300">
            <wp:extent cx="5267960" cy="7358380"/>
            <wp:effectExtent l="0" t="0" r="8890" b="13970"/>
            <wp:docPr id="2" name="图片 2" descr="2023-99-包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99-包11"/>
                    <pic:cNvPicPr>
                      <a:picLocks noChangeAspect="1"/>
                    </pic:cNvPicPr>
                  </pic:nvPicPr>
                  <pic:blipFill>
                    <a:blip r:embed="rId5"/>
                    <a:stretch>
                      <a:fillRect/>
                    </a:stretch>
                  </pic:blipFill>
                  <pic:spPr>
                    <a:xfrm>
                      <a:off x="0" y="0"/>
                      <a:ext cx="5267960" cy="7358380"/>
                    </a:xfrm>
                    <a:prstGeom prst="rect">
                      <a:avLst/>
                    </a:prstGeom>
                  </pic:spPr>
                </pic:pic>
              </a:graphicData>
            </a:graphic>
          </wp:inline>
        </w:drawing>
      </w:r>
    </w:p>
    <w:p>
      <w:pPr>
        <w:rPr>
          <w:rFonts w:ascii="楷体" w:eastAsia="楷体" w:cs="楷体"/>
          <w:b/>
          <w:bCs/>
          <w:sz w:val="24"/>
          <w:szCs w:val="22"/>
        </w:rPr>
      </w:pPr>
    </w:p>
    <w:p>
      <w:pPr>
        <w:pStyle w:val="2"/>
      </w:pPr>
    </w:p>
    <w:p>
      <w:pPr>
        <w:pStyle w:val="2"/>
      </w:pPr>
    </w:p>
    <w:p>
      <w:pPr>
        <w:pStyle w:val="2"/>
      </w:pPr>
    </w:p>
    <w:p>
      <w:pPr>
        <w:spacing w:line="480" w:lineRule="auto"/>
        <w:rPr>
          <w:rFonts w:ascii="宋体" w:cs="宋体"/>
          <w:b/>
          <w:sz w:val="24"/>
        </w:rPr>
      </w:pPr>
      <w:bookmarkStart w:id="5" w:name="_GoBack"/>
      <w:bookmarkEnd w:id="5"/>
      <w:r>
        <w:rPr>
          <w:rFonts w:hint="eastAsia" w:ascii="宋体" w:cs="宋体"/>
          <w:b/>
          <w:sz w:val="24"/>
        </w:rPr>
        <w:t>附件（1）：详细技术参数、规格及配置清单</w:t>
      </w:r>
    </w:p>
    <w:tbl>
      <w:tblPr>
        <w:tblStyle w:val="9"/>
        <w:tblW w:w="8189" w:type="dxa"/>
        <w:jc w:val="center"/>
        <w:tblLayout w:type="fixed"/>
        <w:tblCellMar>
          <w:top w:w="0" w:type="dxa"/>
          <w:left w:w="108" w:type="dxa"/>
          <w:bottom w:w="0" w:type="dxa"/>
          <w:right w:w="108" w:type="dxa"/>
        </w:tblCellMar>
      </w:tblPr>
      <w:tblGrid>
        <w:gridCol w:w="1481"/>
        <w:gridCol w:w="2997"/>
        <w:gridCol w:w="1560"/>
        <w:gridCol w:w="1275"/>
        <w:gridCol w:w="876"/>
      </w:tblGrid>
      <w:tr>
        <w:tblPrEx>
          <w:tblCellMar>
            <w:top w:w="0" w:type="dxa"/>
            <w:left w:w="108" w:type="dxa"/>
            <w:bottom w:w="0" w:type="dxa"/>
            <w:right w:w="108" w:type="dxa"/>
          </w:tblCellMar>
        </w:tblPrEx>
        <w:trPr>
          <w:trHeight w:val="391"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2997"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1560"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1275" w:type="dxa"/>
            <w:tcBorders>
              <w:top w:val="single" w:color="000000" w:sz="4" w:space="0"/>
              <w:left w:val="nil"/>
              <w:bottom w:val="single" w:color="000000" w:sz="4" w:space="0"/>
              <w:right w:val="single" w:color="000000" w:sz="4" w:space="0"/>
            </w:tcBorders>
            <w:vAlign w:val="center"/>
          </w:tcPr>
          <w:p>
            <w:pPr>
              <w:widowControl/>
              <w:snapToGrid w:val="0"/>
              <w:spacing w:line="460" w:lineRule="atLeast"/>
              <w:rPr>
                <w:rFonts w:ascii="宋体" w:cs="宋体"/>
                <w:b/>
                <w:spacing w:val="10"/>
                <w:kern w:val="0"/>
                <w:sz w:val="24"/>
              </w:rPr>
            </w:pPr>
            <w:r>
              <w:rPr>
                <w:rFonts w:hint="eastAsia" w:ascii="宋体" w:cs="宋体"/>
                <w:b/>
                <w:spacing w:val="10"/>
                <w:kern w:val="0"/>
                <w:sz w:val="24"/>
              </w:rPr>
              <w:t>服务期限</w:t>
            </w:r>
          </w:p>
        </w:tc>
        <w:tc>
          <w:tcPr>
            <w:tcW w:w="876" w:type="dxa"/>
            <w:tcBorders>
              <w:top w:val="single" w:color="000000" w:sz="4" w:space="0"/>
              <w:left w:val="nil"/>
              <w:bottom w:val="single" w:color="000000" w:sz="4" w:space="0"/>
              <w:right w:val="single" w:color="000000" w:sz="4" w:space="0"/>
            </w:tcBorders>
          </w:tcPr>
          <w:p>
            <w:pPr>
              <w:widowControl/>
              <w:snapToGrid w:val="0"/>
              <w:spacing w:line="460" w:lineRule="atLeast"/>
              <w:rPr>
                <w:rFonts w:ascii="宋体" w:cs="宋体"/>
                <w:b/>
                <w:spacing w:val="10"/>
                <w:kern w:val="0"/>
                <w:sz w:val="24"/>
              </w:rPr>
            </w:pPr>
            <w:r>
              <w:rPr>
                <w:rFonts w:hint="eastAsia" w:ascii="宋体" w:cs="宋体"/>
                <w:b/>
                <w:spacing w:val="10"/>
                <w:kern w:val="0"/>
                <w:sz w:val="24"/>
              </w:rPr>
              <w:t>服务响应</w:t>
            </w:r>
          </w:p>
        </w:tc>
      </w:tr>
      <w:tr>
        <w:tblPrEx>
          <w:tblCellMar>
            <w:top w:w="0" w:type="dxa"/>
            <w:left w:w="108" w:type="dxa"/>
            <w:bottom w:w="0" w:type="dxa"/>
            <w:right w:w="108" w:type="dxa"/>
          </w:tblCellMar>
        </w:tblPrEx>
        <w:trPr>
          <w:trHeight w:val="3303"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r>
              <w:rPr>
                <w:rFonts w:hint="eastAsia" w:ascii="宋体" w:cs="宋体"/>
                <w:kern w:val="0"/>
                <w:sz w:val="24"/>
              </w:rPr>
              <w:t>起点考试网</w:t>
            </w: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rPr>
                <w:rFonts w:ascii="宋体" w:cs="宋体"/>
                <w:kern w:val="0"/>
                <w:sz w:val="24"/>
              </w:rPr>
            </w:pPr>
          </w:p>
        </w:tc>
        <w:tc>
          <w:tcPr>
            <w:tcW w:w="2997" w:type="dxa"/>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4"/>
              </w:rPr>
            </w:pPr>
            <w:r>
              <w:rPr>
                <w:rFonts w:hint="eastAsia" w:ascii="宋体" w:cs="宋体"/>
                <w:kern w:val="0"/>
                <w:sz w:val="24"/>
              </w:rPr>
              <w:t>《</w:t>
            </w:r>
            <w:r>
              <w:rPr>
                <w:rFonts w:ascii="宋体" w:cs="宋体"/>
                <w:kern w:val="0"/>
                <w:sz w:val="24"/>
              </w:rPr>
              <w:t>考试</w:t>
            </w:r>
            <w:r>
              <w:rPr>
                <w:rFonts w:hint="eastAsia" w:ascii="宋体" w:cs="宋体"/>
                <w:kern w:val="0"/>
                <w:sz w:val="24"/>
              </w:rPr>
              <w:t>试题库要求包括英语、计算机、公务员、司法、会计、考研、工程、资格、医学、职业技能、素质教育、信息素养等1</w:t>
            </w:r>
            <w:r>
              <w:rPr>
                <w:rFonts w:ascii="宋体" w:cs="宋体"/>
                <w:kern w:val="0"/>
                <w:sz w:val="24"/>
              </w:rPr>
              <w:t>2</w:t>
            </w:r>
            <w:r>
              <w:rPr>
                <w:rFonts w:hint="eastAsia" w:ascii="宋体" w:cs="宋体"/>
                <w:kern w:val="0"/>
                <w:sz w:val="24"/>
              </w:rPr>
              <w:t>个专辑，覆盖至少170个门类、</w:t>
            </w:r>
            <w:r>
              <w:rPr>
                <w:rFonts w:ascii="宋体" w:cs="宋体"/>
                <w:kern w:val="0"/>
                <w:sz w:val="24"/>
              </w:rPr>
              <w:t>5</w:t>
            </w:r>
            <w:r>
              <w:rPr>
                <w:rFonts w:hint="eastAsia" w:ascii="宋体" w:cs="宋体"/>
                <w:kern w:val="0"/>
                <w:sz w:val="24"/>
              </w:rPr>
              <w:t>00个以上专业科目。2、提供信息素养大赛试题练习系统，题库总量不少于2</w:t>
            </w:r>
            <w:r>
              <w:rPr>
                <w:rFonts w:ascii="宋体" w:cs="宋体"/>
                <w:kern w:val="0"/>
                <w:sz w:val="24"/>
              </w:rPr>
              <w:t>0000</w:t>
            </w:r>
            <w:r>
              <w:rPr>
                <w:rFonts w:hint="eastAsia" w:ascii="宋体" w:cs="宋体"/>
                <w:kern w:val="0"/>
                <w:sz w:val="24"/>
              </w:rPr>
              <w:t>个，历届大赛真题及模拟试卷；信息素养基础课程不少于30个课时。</w:t>
            </w:r>
            <w:r>
              <w:rPr>
                <w:rFonts w:ascii="宋体" w:cs="宋体"/>
                <w:kern w:val="0"/>
                <w:sz w:val="24"/>
              </w:rPr>
              <w:t>3</w:t>
            </w:r>
            <w:r>
              <w:rPr>
                <w:rFonts w:hint="eastAsia" w:ascii="宋体" w:cs="宋体"/>
                <w:kern w:val="0"/>
                <w:sz w:val="24"/>
              </w:rPr>
              <w:t>、试卷试题内容为历年各科目考试的完整真题和完整模拟题， 至</w:t>
            </w:r>
            <w:r>
              <w:rPr>
                <w:rFonts w:ascii="宋体" w:cs="宋体"/>
                <w:kern w:val="0"/>
                <w:sz w:val="24"/>
              </w:rPr>
              <w:t>2021</w:t>
            </w:r>
            <w:r>
              <w:rPr>
                <w:rFonts w:hint="eastAsia" w:ascii="宋体" w:cs="宋体"/>
                <w:kern w:val="0"/>
                <w:sz w:val="24"/>
              </w:rPr>
              <w:t>年底考试题库的试卷总量不少于19万套，其中真题试卷1万套以上。</w:t>
            </w:r>
            <w:r>
              <w:rPr>
                <w:rFonts w:ascii="宋体" w:cs="宋体"/>
                <w:kern w:val="0"/>
                <w:sz w:val="24"/>
              </w:rPr>
              <w:t>4</w:t>
            </w:r>
            <w:r>
              <w:rPr>
                <w:rFonts w:hint="eastAsia" w:ascii="宋体" w:cs="宋体"/>
                <w:kern w:val="0"/>
                <w:sz w:val="24"/>
              </w:rPr>
              <w:t>、考试视频</w:t>
            </w:r>
            <w:r>
              <w:rPr>
                <w:rFonts w:ascii="宋体" w:cs="宋体"/>
                <w:kern w:val="0"/>
                <w:sz w:val="24"/>
              </w:rPr>
              <w:t>库</w:t>
            </w:r>
            <w:r>
              <w:rPr>
                <w:rFonts w:hint="eastAsia" w:ascii="宋体" w:cs="宋体"/>
                <w:kern w:val="0"/>
                <w:sz w:val="24"/>
              </w:rPr>
              <w:t>要求覆盖英语、计算机、研究生、公务员、财经类、法律类、资格类、就业指导等9大类，至</w:t>
            </w:r>
            <w:r>
              <w:rPr>
                <w:rFonts w:ascii="宋体" w:cs="宋体"/>
                <w:kern w:val="0"/>
                <w:sz w:val="24"/>
              </w:rPr>
              <w:t>2021</w:t>
            </w:r>
            <w:r>
              <w:rPr>
                <w:rFonts w:hint="eastAsia" w:ascii="宋体" w:cs="宋体"/>
                <w:kern w:val="0"/>
                <w:sz w:val="24"/>
              </w:rPr>
              <w:t>年底视频总量不少于2</w:t>
            </w:r>
            <w:r>
              <w:rPr>
                <w:rFonts w:ascii="宋体" w:cs="宋体"/>
                <w:kern w:val="0"/>
                <w:sz w:val="24"/>
              </w:rPr>
              <w:t>0</w:t>
            </w:r>
            <w:r>
              <w:rPr>
                <w:rFonts w:hint="eastAsia" w:ascii="宋体" w:cs="宋体"/>
                <w:kern w:val="0"/>
                <w:sz w:val="24"/>
              </w:rPr>
              <w:t>000课时。5、其中职业培训类视频不少于15个专业，要求课程由相关专业机构提供；其他语言、计算机、会计、职业技能等至少在40门以上。6、</w:t>
            </w:r>
            <w:r>
              <w:rPr>
                <w:rFonts w:ascii="宋体" w:cs="宋体"/>
                <w:kern w:val="0"/>
                <w:sz w:val="24"/>
              </w:rPr>
              <w:t>202</w:t>
            </w:r>
            <w:r>
              <w:rPr>
                <w:rFonts w:hint="eastAsia" w:ascii="宋体" w:cs="宋体"/>
                <w:kern w:val="0"/>
                <w:sz w:val="24"/>
              </w:rPr>
              <w:t>2年度试题库更新量不少于15000套，视频库更新量不少于1500课时。7、能提供10个重点考试科目的考前辅导课程和2-3套全真模拟试卷。8、版权承诺，资源必须具有合法版权。</w:t>
            </w:r>
          </w:p>
        </w:tc>
        <w:tc>
          <w:tcPr>
            <w:tcW w:w="1560" w:type="dxa"/>
            <w:tcBorders>
              <w:top w:val="single" w:color="000000" w:sz="4" w:space="0"/>
              <w:left w:val="nil"/>
              <w:bottom w:val="single" w:color="000000" w:sz="4" w:space="0"/>
              <w:right w:val="single" w:color="000000" w:sz="4" w:space="0"/>
            </w:tcBorders>
            <w:vAlign w:val="center"/>
          </w:tcPr>
          <w:p>
            <w:pPr>
              <w:pStyle w:val="2"/>
            </w:pPr>
            <w:r>
              <w:rPr>
                <w:rFonts w:hint="eastAsia"/>
              </w:rPr>
              <w:t>北京智联起点信息技术有限公司</w:t>
            </w:r>
          </w:p>
          <w:p>
            <w:pPr>
              <w:pStyle w:val="2"/>
            </w:pPr>
          </w:p>
          <w:p>
            <w:pPr>
              <w:pStyle w:val="2"/>
            </w:pPr>
          </w:p>
          <w:p>
            <w:pPr>
              <w:pStyle w:val="2"/>
            </w:pPr>
          </w:p>
          <w:p>
            <w:pPr>
              <w:widowControl/>
              <w:snapToGrid w:val="0"/>
              <w:spacing w:line="360" w:lineRule="auto"/>
              <w:jc w:val="left"/>
              <w:rPr>
                <w:rFonts w:ascii="宋体" w:cs="宋体"/>
                <w:spacing w:val="10"/>
                <w:kern w:val="0"/>
                <w:sz w:val="24"/>
              </w:rPr>
            </w:pPr>
          </w:p>
        </w:tc>
        <w:tc>
          <w:tcPr>
            <w:tcW w:w="1275" w:type="dxa"/>
            <w:tcBorders>
              <w:top w:val="single" w:color="000000" w:sz="4" w:space="0"/>
              <w:left w:val="nil"/>
              <w:bottom w:val="single" w:color="000000" w:sz="4" w:space="0"/>
              <w:right w:val="single" w:color="000000" w:sz="4" w:space="0"/>
            </w:tcBorders>
          </w:tcPr>
          <w:p>
            <w:pPr>
              <w:widowControl/>
              <w:rPr>
                <w:rFonts w:ascii="宋体" w:cs="宋体"/>
                <w:kern w:val="0"/>
                <w:sz w:val="24"/>
              </w:rPr>
            </w:pPr>
          </w:p>
          <w:p>
            <w:pPr>
              <w:pStyle w:val="2"/>
            </w:pPr>
          </w:p>
          <w:p>
            <w:pPr>
              <w:pStyle w:val="2"/>
            </w:pPr>
          </w:p>
          <w:p>
            <w:pPr>
              <w:pStyle w:val="2"/>
            </w:pPr>
          </w:p>
          <w:p>
            <w:pPr>
              <w:pStyle w:val="2"/>
            </w:pPr>
          </w:p>
          <w:p>
            <w:pPr>
              <w:pStyle w:val="2"/>
            </w:pPr>
          </w:p>
          <w:p>
            <w:pPr>
              <w:pStyle w:val="2"/>
            </w:pPr>
          </w:p>
          <w:p>
            <w:pPr>
              <w:pStyle w:val="2"/>
            </w:pPr>
          </w:p>
          <w:p>
            <w:pPr>
              <w:widowControl/>
              <w:rPr>
                <w:rFonts w:ascii="宋体" w:cs="宋体"/>
                <w:kern w:val="0"/>
                <w:sz w:val="24"/>
              </w:rPr>
            </w:pPr>
            <w:r>
              <w:rPr>
                <w:rFonts w:hint="eastAsia"/>
                <w:sz w:val="24"/>
              </w:rPr>
              <w:t>2023年1月1日-2023年12月31日</w:t>
            </w:r>
          </w:p>
        </w:tc>
        <w:tc>
          <w:tcPr>
            <w:tcW w:w="876" w:type="dxa"/>
            <w:tcBorders>
              <w:top w:val="single" w:color="000000" w:sz="4" w:space="0"/>
              <w:left w:val="nil"/>
              <w:bottom w:val="single" w:color="000000" w:sz="4" w:space="0"/>
              <w:right w:val="single" w:color="000000" w:sz="4" w:space="0"/>
            </w:tcBorders>
          </w:tcPr>
          <w:p>
            <w:pPr>
              <w:widowControl/>
              <w:jc w:val="left"/>
              <w:rPr>
                <w:sz w:val="24"/>
              </w:rPr>
            </w:pPr>
          </w:p>
          <w:p>
            <w:pPr>
              <w:widowControl/>
              <w:jc w:val="left"/>
              <w:rPr>
                <w:sz w:val="24"/>
              </w:rPr>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r>
              <w:rPr>
                <w:rFonts w:hint="eastAsia"/>
              </w:rPr>
              <w:t>远程服务</w:t>
            </w:r>
          </w:p>
        </w:tc>
      </w:tr>
    </w:tbl>
    <w:p>
      <w:pPr>
        <w:rPr>
          <w:rFonts w:ascii="宋体" w:cs="宋体"/>
          <w:sz w:val="24"/>
        </w:rPr>
      </w:pPr>
    </w:p>
    <w:p>
      <w:pPr>
        <w:pStyle w:val="2"/>
      </w:pPr>
    </w:p>
    <w:p>
      <w:pPr>
        <w:pStyle w:val="2"/>
        <w:rPr>
          <w:rFonts w:hint="eastAsia"/>
        </w:rPr>
      </w:pPr>
    </w:p>
    <w:p>
      <w:pPr>
        <w:rPr>
          <w:rFonts w:ascii="宋体" w:cs="宋体"/>
          <w:b/>
          <w:sz w:val="24"/>
        </w:rPr>
      </w:pPr>
      <w:r>
        <w:rPr>
          <w:rFonts w:hint="eastAsia" w:ascii="宋体" w:cs="宋体"/>
          <w:b/>
          <w:sz w:val="24"/>
        </w:rPr>
        <w:t>附件（2）：售后服务计划</w:t>
      </w:r>
    </w:p>
    <w:p>
      <w:pPr>
        <w:spacing w:line="600" w:lineRule="exact"/>
        <w:ind w:firstLine="480" w:firstLineChars="200"/>
        <w:rPr>
          <w:sz w:val="24"/>
        </w:rPr>
      </w:pPr>
      <w:r>
        <w:rPr>
          <w:rFonts w:hint="eastAsia"/>
          <w:sz w:val="24"/>
        </w:rPr>
        <w:t>（1）本公司在郑州设有办事处，并配备专门技术人员，为使用方提供合同期内的免费上门服务，永久的网络、电话服务。</w:t>
      </w:r>
    </w:p>
    <w:p>
      <w:pPr>
        <w:spacing w:line="600" w:lineRule="exact"/>
        <w:ind w:firstLine="480" w:firstLineChars="200"/>
        <w:rPr>
          <w:sz w:val="24"/>
        </w:rPr>
      </w:pPr>
      <w:r>
        <w:rPr>
          <w:rFonts w:hint="eastAsia"/>
          <w:sz w:val="24"/>
        </w:rPr>
        <w:t>（2）为使用方负责免费安装、调试、培训等工作，免费上门服务。</w:t>
      </w:r>
    </w:p>
    <w:p>
      <w:pPr>
        <w:spacing w:line="600" w:lineRule="exact"/>
        <w:ind w:firstLine="480" w:firstLineChars="200"/>
        <w:rPr>
          <w:sz w:val="24"/>
        </w:rPr>
      </w:pPr>
      <w:r>
        <w:rPr>
          <w:rFonts w:hint="eastAsia"/>
          <w:sz w:val="24"/>
        </w:rPr>
        <w:t>（3）应急维修时间安排：为使用方免费提供合同期内24小时电话及EMAIL支持服务，响应时间不超过1小时，以保证使用方的正常使用。当数据丢失或系统损坏出现故障时（镜像用户），接到使用方报告后8小时内到达现场处理，一般故障24小时内处理完毕，以免影响用户的正常工作。</w:t>
      </w:r>
    </w:p>
    <w:p>
      <w:pPr>
        <w:spacing w:line="600" w:lineRule="exact"/>
        <w:ind w:firstLine="480" w:firstLineChars="200"/>
        <w:rPr>
          <w:sz w:val="24"/>
        </w:rPr>
      </w:pPr>
      <w:r>
        <w:rPr>
          <w:rFonts w:hint="eastAsia"/>
          <w:sz w:val="24"/>
        </w:rPr>
        <w:t>（4）数据更新：网络实时更新，按时向使用方提供更新或追加数据，并及时向使用方提供与本系统有关的软件升级信息。提供每月一次（或每日一次）的数据更新服务。</w:t>
      </w:r>
    </w:p>
    <w:p>
      <w:pPr>
        <w:spacing w:line="600" w:lineRule="exact"/>
        <w:ind w:firstLine="480" w:firstLineChars="200"/>
        <w:rPr>
          <w:sz w:val="24"/>
        </w:rPr>
      </w:pPr>
      <w:r>
        <w:rPr>
          <w:rFonts w:hint="eastAsia"/>
          <w:sz w:val="24"/>
        </w:rPr>
        <w:t xml:space="preserve">（5）系统维护：向使用方提供24小时电话及EMAIL支持服务，以保证使用方的正常使用，安排专人对项目专项服务，从事不定期的预防性系统维护；若经确认因使用方原因，且远程支持无法解决使用方问题，在1小时内为使用方开通临时网上使用帐号，并于2个工作日内上门服务，保证使用方访问正常。根据客户的需求，可定期提供电子资源使用统计信息。 </w:t>
      </w:r>
    </w:p>
    <w:p>
      <w:pPr>
        <w:spacing w:line="600" w:lineRule="exact"/>
        <w:ind w:firstLine="480" w:firstLineChars="200"/>
        <w:rPr>
          <w:rFonts w:ascii="宋体" w:cs="宋体"/>
          <w:bCs/>
        </w:rPr>
      </w:pPr>
      <w:r>
        <w:rPr>
          <w:rFonts w:hint="eastAsia"/>
          <w:sz w:val="24"/>
        </w:rPr>
        <w:t>（6）为使用方免费提供与本系统有关的软件升级服务。免费提供数据库使用和技术的培训。</w:t>
      </w:r>
    </w:p>
    <w:p>
      <w:pPr>
        <w:pStyle w:val="2"/>
        <w:ind w:firstLine="480" w:firstLineChars="200"/>
        <w:rPr>
          <w:rFonts w:ascii="宋体" w:cs="宋体"/>
          <w:bCs/>
        </w:rPr>
      </w:pPr>
      <w:r>
        <w:rPr>
          <w:rFonts w:hint="eastAsia" w:ascii="宋体" w:cs="宋体"/>
          <w:bCs/>
        </w:rPr>
        <w:t>（7）售后服务联系方式</w:t>
      </w:r>
    </w:p>
    <w:p>
      <w:pPr>
        <w:pStyle w:val="2"/>
        <w:rPr>
          <w:rFonts w:ascii="宋体" w:cs="宋体"/>
          <w:bCs/>
        </w:rPr>
      </w:pPr>
      <w:r>
        <w:rPr>
          <w:rFonts w:hint="eastAsia" w:ascii="宋体" w:cs="宋体"/>
          <w:bCs/>
        </w:rPr>
        <w:t xml:space="preserve">  联系人：龚志强</w:t>
      </w:r>
    </w:p>
    <w:p>
      <w:pPr>
        <w:pStyle w:val="2"/>
        <w:rPr>
          <w:rFonts w:ascii="宋体" w:cs="宋体"/>
          <w:bCs/>
        </w:rPr>
      </w:pPr>
      <w:r>
        <w:rPr>
          <w:rFonts w:hint="eastAsia" w:ascii="宋体" w:cs="宋体"/>
          <w:bCs/>
        </w:rPr>
        <w:t xml:space="preserve">  电话：13937197018</w:t>
      </w:r>
    </w:p>
    <w:p>
      <w:pPr>
        <w:pStyle w:val="2"/>
      </w:pPr>
      <w:r>
        <w:rPr>
          <w:rFonts w:hint="eastAsia" w:ascii="宋体" w:cs="宋体"/>
          <w:bCs/>
        </w:rPr>
        <w:t xml:space="preserve">  邮箱：253718629@qq.com</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1C1F92"/>
    <w:rsid w:val="001E649A"/>
    <w:rsid w:val="00283705"/>
    <w:rsid w:val="00347B83"/>
    <w:rsid w:val="00385CC0"/>
    <w:rsid w:val="004A65F1"/>
    <w:rsid w:val="004F52E9"/>
    <w:rsid w:val="005A2667"/>
    <w:rsid w:val="006763AD"/>
    <w:rsid w:val="006F3871"/>
    <w:rsid w:val="00890717"/>
    <w:rsid w:val="00924C4C"/>
    <w:rsid w:val="00982F36"/>
    <w:rsid w:val="00B40D3F"/>
    <w:rsid w:val="00B6584F"/>
    <w:rsid w:val="00BE3175"/>
    <w:rsid w:val="00D440F9"/>
    <w:rsid w:val="00E5418A"/>
    <w:rsid w:val="00ED294B"/>
    <w:rsid w:val="00F37F68"/>
    <w:rsid w:val="07C42CE1"/>
    <w:rsid w:val="0DD26DD4"/>
    <w:rsid w:val="23B10C3E"/>
    <w:rsid w:val="3F2731D2"/>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color w:val="000000"/>
      <w:sz w:val="24"/>
    </w:rPr>
  </w:style>
  <w:style w:type="paragraph" w:styleId="6">
    <w:name w:val="Normal Indent"/>
    <w:basedOn w:val="1"/>
    <w:qFormat/>
    <w:uiPriority w:val="0"/>
    <w:pPr>
      <w:spacing w:before="25" w:beforeLines="25" w:after="60" w:line="0" w:lineRule="atLeast"/>
      <w:ind w:firstLine="200" w:firstLineChars="200"/>
    </w:pPr>
  </w:style>
  <w:style w:type="paragraph" w:styleId="7">
    <w:name w:val="footer"/>
    <w:basedOn w:val="1"/>
    <w:qFormat/>
    <w:uiPriority w:val="0"/>
    <w:pPr>
      <w:tabs>
        <w:tab w:val="center" w:pos="4153"/>
        <w:tab w:val="right" w:pos="8306"/>
      </w:tabs>
      <w:snapToGrid w:val="0"/>
      <w:jc w:val="left"/>
    </w:pPr>
    <w:rPr>
      <w:rFonts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1">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Pages>
  <Words>597</Words>
  <Characters>3407</Characters>
  <Lines>28</Lines>
  <Paragraphs>7</Paragraphs>
  <TotalTime>17</TotalTime>
  <ScaleCrop>false</ScaleCrop>
  <LinksUpToDate>false</LinksUpToDate>
  <CharactersWithSpaces>3997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2023-09-15T02:50:38Z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E48D7B15722C4113BD85558AB4641D2A_13</vt:lpwstr>
  </property>
</Properties>
</file>