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color w:val="auto"/>
          <w:sz w:val="28"/>
          <w:lang w:val="en-US" w:eastAsia="zh-CN"/>
        </w:rPr>
      </w:pPr>
      <w:r>
        <w:rPr>
          <w:rFonts w:hint="eastAsia" w:ascii="宋体" w:cs="宋体"/>
          <w:sz w:val="28"/>
        </w:rPr>
        <w:t>合同编号：</w:t>
      </w:r>
      <w:r>
        <w:rPr>
          <w:rFonts w:hint="eastAsia" w:ascii="宋体" w:cs="宋体"/>
          <w:sz w:val="28"/>
          <w:lang w:val="en-US" w:eastAsia="zh-CN"/>
        </w:rPr>
        <w:t>豫财单一采购-2023-99</w:t>
      </w:r>
      <w:r>
        <w:rPr>
          <w:rFonts w:hint="eastAsia" w:ascii="宋体" w:cs="宋体"/>
          <w:color w:val="auto"/>
          <w:sz w:val="28"/>
          <w:lang w:val="en-US" w:eastAsia="zh-CN"/>
        </w:rPr>
        <w:t>包2</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hint="eastAsia" w:ascii="宋体" w:cs="宋体"/>
          <w:sz w:val="36"/>
          <w:u w:val="single"/>
          <w:lang w:eastAsia="zh-CN"/>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lang w:eastAsia="zh-CN"/>
        </w:rPr>
        <w:t>河南正乾软件科技有限公司</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lang w:val="en-US" w:eastAsia="zh-CN"/>
        </w:rPr>
        <w:t>2024年1月1日-2024年12月31日</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eastAsia="宋体" w:cs="宋体"/>
          <w:b/>
          <w:sz w:val="24"/>
          <w:u w:val="single"/>
          <w:lang w:eastAsia="zh-CN"/>
        </w:rPr>
        <w:t>河南正乾软件科技有限公司</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color w:val="auto"/>
          <w:sz w:val="24"/>
        </w:rPr>
      </w:pPr>
      <w:r>
        <w:rPr>
          <w:rFonts w:hint="eastAsia" w:ascii="宋体" w:cs="宋体"/>
          <w:sz w:val="24"/>
        </w:rPr>
        <w:t xml:space="preserve">    供、需双方根</w:t>
      </w:r>
      <w:r>
        <w:rPr>
          <w:rFonts w:hint="eastAsia" w:ascii="宋体" w:cs="宋体"/>
          <w:color w:val="auto"/>
          <w:sz w:val="24"/>
        </w:rPr>
        <w:t>据</w:t>
      </w:r>
      <w:r>
        <w:rPr>
          <w:rFonts w:ascii="宋体" w:cs="宋体"/>
          <w:color w:val="auto"/>
          <w:sz w:val="24"/>
          <w:u w:val="single"/>
        </w:rPr>
        <w:t xml:space="preserve"> </w:t>
      </w:r>
      <w:r>
        <w:rPr>
          <w:rFonts w:hint="eastAsia" w:ascii="宋体" w:cs="宋体"/>
          <w:color w:val="auto"/>
          <w:sz w:val="24"/>
          <w:u w:val="single"/>
          <w:lang w:val="en-US" w:eastAsia="zh-CN"/>
        </w:rPr>
        <w:t>2</w:t>
      </w:r>
      <w:r>
        <w:rPr>
          <w:rFonts w:ascii="宋体" w:cs="宋体"/>
          <w:color w:val="auto"/>
          <w:sz w:val="24"/>
          <w:u w:val="single"/>
        </w:rPr>
        <w:t xml:space="preserve"> </w:t>
      </w:r>
      <w:r>
        <w:rPr>
          <w:rFonts w:hint="eastAsia" w:ascii="宋体" w:cs="宋体"/>
          <w:color w:val="auto"/>
          <w:sz w:val="24"/>
        </w:rPr>
        <w:t xml:space="preserve">包的成交通知书和招、投标文件，经双方协商一致，达成以下合同条款： </w:t>
      </w:r>
    </w:p>
    <w:p>
      <w:pPr>
        <w:spacing w:line="360" w:lineRule="auto"/>
        <w:ind w:firstLine="482" w:firstLineChars="200"/>
        <w:rPr>
          <w:rFonts w:ascii="宋体" w:cs="宋体"/>
          <w:b/>
          <w:color w:val="auto"/>
          <w:sz w:val="24"/>
        </w:rPr>
      </w:pPr>
      <w:r>
        <w:rPr>
          <w:rFonts w:hint="eastAsia" w:ascii="宋体" w:cs="宋体"/>
          <w:b/>
          <w:color w:val="auto"/>
          <w:sz w:val="24"/>
        </w:rPr>
        <w:t>一、合同金额</w:t>
      </w:r>
    </w:p>
    <w:p>
      <w:pPr>
        <w:spacing w:line="360" w:lineRule="auto"/>
        <w:ind w:firstLine="480" w:firstLineChars="200"/>
        <w:rPr>
          <w:rFonts w:ascii="宋体" w:cs="宋体"/>
          <w:sz w:val="24"/>
        </w:rPr>
      </w:pPr>
      <w:r>
        <w:rPr>
          <w:rFonts w:hint="eastAsia" w:ascii="宋体" w:cs="宋体"/>
          <w:color w:val="auto"/>
          <w:sz w:val="24"/>
        </w:rPr>
        <w:t>本合同的总金额为人民币</w:t>
      </w:r>
      <w:r>
        <w:rPr>
          <w:rFonts w:hint="eastAsia" w:ascii="宋体" w:cs="宋体"/>
          <w:color w:val="auto"/>
          <w:sz w:val="24"/>
          <w:u w:val="single"/>
        </w:rPr>
        <w:t>：</w:t>
      </w:r>
      <w:r>
        <w:rPr>
          <w:rFonts w:hint="eastAsia" w:ascii="宋体" w:cs="宋体"/>
          <w:color w:val="auto"/>
          <w:sz w:val="24"/>
          <w:u w:val="single"/>
          <w:lang w:val="en-US" w:eastAsia="zh-CN"/>
        </w:rPr>
        <w:t>叁万伍仟</w:t>
      </w:r>
      <w:r>
        <w:rPr>
          <w:rFonts w:ascii="宋体" w:cs="宋体"/>
          <w:color w:val="auto"/>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240" w:lineRule="auto"/>
              <w:jc w:val="center"/>
              <w:rPr>
                <w:rFonts w:ascii="宋体" w:cs="宋体"/>
                <w:sz w:val="24"/>
              </w:rPr>
            </w:pPr>
            <w:r>
              <w:rPr>
                <w:rFonts w:hint="eastAsia" w:ascii="楷体" w:hAnsi="楷体" w:eastAsia="楷体" w:cs="楷体"/>
                <w:color w:val="000000" w:themeColor="text1"/>
                <w:sz w:val="24"/>
                <w:szCs w:val="24"/>
                <w14:textFill>
                  <w14:solidFill>
                    <w14:schemeClr w14:val="tx1"/>
                  </w14:solidFill>
                </w14:textFill>
              </w:rPr>
              <w:t xml:space="preserve">读者入馆教育数据库 </w:t>
            </w:r>
          </w:p>
        </w:tc>
        <w:tc>
          <w:tcPr>
            <w:tcW w:w="3015" w:type="dxa"/>
            <w:tcBorders>
              <w:top w:val="single" w:color="auto" w:sz="8" w:space="0"/>
              <w:left w:val="nil"/>
              <w:bottom w:val="single" w:color="auto" w:sz="8" w:space="0"/>
              <w:right w:val="single" w:color="auto" w:sz="8" w:space="0"/>
            </w:tcBorders>
            <w:vAlign w:val="center"/>
          </w:tcPr>
          <w:p>
            <w:pPr>
              <w:spacing w:line="240" w:lineRule="auto"/>
              <w:jc w:val="left"/>
            </w:pPr>
            <w:r>
              <w:rPr>
                <w:rFonts w:hint="eastAsia" w:ascii="楷体" w:hAnsi="楷体" w:eastAsia="楷体" w:cs="楷体"/>
                <w:color w:val="000000" w:themeColor="text1"/>
                <w:sz w:val="24"/>
                <w:szCs w:val="24"/>
                <w:lang w:eastAsia="zh-CN"/>
                <w14:textFill>
                  <w14:solidFill>
                    <w14:schemeClr w14:val="tx1"/>
                  </w14:solidFill>
                </w14:textFill>
              </w:rPr>
              <w:t>远程访问</w:t>
            </w:r>
            <w:r>
              <w:rPr>
                <w:rFonts w:hint="eastAsia" w:ascii="楷体" w:hAnsi="楷体" w:eastAsia="楷体" w:cs="楷体"/>
                <w:color w:val="000000" w:themeColor="text1"/>
                <w:sz w:val="24"/>
                <w:szCs w:val="24"/>
                <w:lang w:val="en-US" w:eastAsia="zh-CN"/>
                <w14:textFill>
                  <w14:solidFill>
                    <w14:schemeClr w14:val="tx1"/>
                  </w14:solidFill>
                </w14:textFill>
              </w:rPr>
              <w:t>/随时更新。</w:t>
            </w:r>
            <w:r>
              <w:rPr>
                <w:rFonts w:hint="eastAsia" w:ascii="楷体" w:hAnsi="楷体" w:eastAsia="楷体" w:cs="楷体"/>
                <w:color w:val="000000" w:themeColor="text1"/>
                <w:sz w:val="24"/>
                <w:szCs w:val="24"/>
                <w:lang w:eastAsia="zh-CN"/>
                <w14:textFill>
                  <w14:solidFill>
                    <w14:schemeClr w14:val="tx1"/>
                  </w14:solidFill>
                </w14:textFill>
              </w:rPr>
              <w:t>根据需求更新入馆教育的本馆概况、入馆须知、图书借还、电子资源、读者服务及课后习题等模块的内容。</w:t>
            </w:r>
          </w:p>
        </w:tc>
        <w:tc>
          <w:tcPr>
            <w:tcW w:w="1080" w:type="dxa"/>
            <w:tcBorders>
              <w:top w:val="single" w:color="auto" w:sz="8" w:space="0"/>
              <w:left w:val="nil"/>
              <w:bottom w:val="single" w:color="auto" w:sz="8" w:space="0"/>
              <w:right w:val="single" w:color="auto" w:sz="8" w:space="0"/>
            </w:tcBorders>
            <w:vAlign w:val="center"/>
          </w:tcPr>
          <w:p>
            <w:pPr>
              <w:spacing w:line="240" w:lineRule="auto"/>
              <w:jc w:val="center"/>
              <w:rPr>
                <w:rFonts w:ascii="宋体" w:cs="宋体"/>
                <w:sz w:val="24"/>
              </w:rPr>
            </w:pPr>
            <w:r>
              <w:rPr>
                <w:rFonts w:hint="eastAsia" w:ascii="楷体" w:hAnsi="楷体" w:eastAsia="楷体" w:cs="楷体"/>
                <w:color w:val="000000" w:themeColor="text1"/>
                <w:sz w:val="24"/>
                <w:szCs w:val="24"/>
                <w14:textFill>
                  <w14:solidFill>
                    <w14:schemeClr w14:val="tx1"/>
                  </w14:solidFill>
                </w14:textFill>
              </w:rPr>
              <w:t>202</w:t>
            </w:r>
            <w:r>
              <w:rPr>
                <w:rFonts w:hint="eastAsia" w:ascii="楷体" w:hAnsi="楷体" w:eastAsia="楷体" w:cs="楷体"/>
                <w:color w:val="000000" w:themeColor="text1"/>
                <w:sz w:val="24"/>
                <w:szCs w:val="24"/>
                <w:lang w:val="en-US" w:eastAsia="zh-CN"/>
                <w14:textFill>
                  <w14:solidFill>
                    <w14:schemeClr w14:val="tx1"/>
                  </w14:solidFill>
                </w14:textFill>
              </w:rPr>
              <w:t>4</w:t>
            </w:r>
            <w:r>
              <w:rPr>
                <w:rFonts w:hint="eastAsia" w:ascii="楷体" w:hAnsi="楷体" w:eastAsia="楷体" w:cs="楷体"/>
                <w:color w:val="000000" w:themeColor="text1"/>
                <w:sz w:val="24"/>
                <w:szCs w:val="24"/>
                <w14:textFill>
                  <w14:solidFill>
                    <w14:schemeClr w14:val="tx1"/>
                  </w14:solidFill>
                </w14:textFill>
              </w:rPr>
              <w:t>年1月1日-202</w:t>
            </w:r>
            <w:r>
              <w:rPr>
                <w:rFonts w:hint="eastAsia" w:ascii="楷体" w:hAnsi="楷体" w:eastAsia="楷体" w:cs="楷体"/>
                <w:color w:val="000000" w:themeColor="text1"/>
                <w:sz w:val="24"/>
                <w:szCs w:val="24"/>
                <w:lang w:val="en-US" w:eastAsia="zh-CN"/>
                <w14:textFill>
                  <w14:solidFill>
                    <w14:schemeClr w14:val="tx1"/>
                  </w14:solidFill>
                </w14:textFill>
              </w:rPr>
              <w:t>4</w:t>
            </w:r>
            <w:r>
              <w:rPr>
                <w:rFonts w:hint="eastAsia" w:ascii="楷体" w:hAnsi="楷体" w:eastAsia="楷体" w:cs="楷体"/>
                <w:color w:val="000000" w:themeColor="text1"/>
                <w:sz w:val="24"/>
                <w:szCs w:val="24"/>
                <w14:textFill>
                  <w14:solidFill>
                    <w14:schemeClr w14:val="tx1"/>
                  </w14:solidFill>
                </w14:textFill>
              </w:rPr>
              <w:t>年12月31日</w:t>
            </w:r>
          </w:p>
        </w:tc>
        <w:tc>
          <w:tcPr>
            <w:tcW w:w="721" w:type="dxa"/>
            <w:tcBorders>
              <w:top w:val="single" w:color="auto" w:sz="8" w:space="0"/>
              <w:left w:val="nil"/>
              <w:bottom w:val="single" w:color="auto" w:sz="8" w:space="0"/>
              <w:right w:val="single" w:color="auto" w:sz="8" w:space="0"/>
            </w:tcBorders>
            <w:vAlign w:val="center"/>
          </w:tcPr>
          <w:p>
            <w:pPr>
              <w:spacing w:line="240" w:lineRule="auto"/>
              <w:jc w:val="center"/>
              <w:rPr>
                <w:rFonts w:ascii="宋体" w:cs="宋体"/>
                <w:sz w:val="24"/>
              </w:rPr>
            </w:pPr>
            <w:r>
              <w:rPr>
                <w:rFonts w:hint="eastAsia" w:ascii="楷体" w:hAnsi="楷体" w:eastAsia="楷体" w:cs="楷体"/>
                <w:color w:val="000000" w:themeColor="text1"/>
                <w:sz w:val="24"/>
                <w:szCs w:val="24"/>
                <w:lang w:val="en-US" w:eastAsia="zh-CN"/>
                <w14:textFill>
                  <w14:solidFill>
                    <w14:schemeClr w14:val="tx1"/>
                  </w14:solidFill>
                </w14:textFill>
              </w:rPr>
              <w:t>1套</w:t>
            </w:r>
          </w:p>
        </w:tc>
        <w:tc>
          <w:tcPr>
            <w:tcW w:w="1229" w:type="dxa"/>
            <w:tcBorders>
              <w:top w:val="single" w:color="auto" w:sz="8" w:space="0"/>
              <w:left w:val="nil"/>
              <w:bottom w:val="single" w:color="auto" w:sz="8" w:space="0"/>
              <w:right w:val="single" w:color="auto" w:sz="8" w:space="0"/>
            </w:tcBorders>
            <w:vAlign w:val="center"/>
          </w:tcPr>
          <w:p>
            <w:pPr>
              <w:spacing w:line="240" w:lineRule="auto"/>
              <w:jc w:val="center"/>
              <w:rPr>
                <w:rFonts w:ascii="宋体" w:cs="宋体"/>
                <w:sz w:val="24"/>
              </w:rPr>
            </w:pPr>
            <w:r>
              <w:rPr>
                <w:rFonts w:hint="eastAsia" w:ascii="楷体" w:hAnsi="楷体" w:eastAsia="楷体" w:cs="楷体"/>
                <w:color w:val="000000" w:themeColor="text1"/>
                <w:sz w:val="24"/>
                <w:szCs w:val="24"/>
                <w:lang w:val="en-US" w:eastAsia="zh-CN"/>
                <w14:textFill>
                  <w14:solidFill>
                    <w14:schemeClr w14:val="tx1"/>
                  </w14:solidFill>
                </w14:textFill>
              </w:rPr>
              <w:t>35000</w:t>
            </w:r>
          </w:p>
        </w:tc>
        <w:tc>
          <w:tcPr>
            <w:tcW w:w="1303" w:type="dxa"/>
            <w:tcBorders>
              <w:top w:val="single" w:color="auto" w:sz="8" w:space="0"/>
              <w:left w:val="nil"/>
              <w:bottom w:val="single" w:color="auto" w:sz="8" w:space="0"/>
              <w:right w:val="single" w:color="auto" w:sz="8" w:space="0"/>
            </w:tcBorders>
            <w:vAlign w:val="center"/>
          </w:tcPr>
          <w:p>
            <w:pPr>
              <w:spacing w:line="240" w:lineRule="auto"/>
              <w:jc w:val="center"/>
              <w:rPr>
                <w:rFonts w:ascii="宋体" w:cs="宋体"/>
                <w:sz w:val="24"/>
              </w:rPr>
            </w:pPr>
            <w:r>
              <w:rPr>
                <w:rFonts w:hint="eastAsia" w:ascii="楷体" w:hAnsi="楷体" w:eastAsia="楷体" w:cs="楷体"/>
                <w:color w:val="000000" w:themeColor="text1"/>
                <w:sz w:val="24"/>
                <w:szCs w:val="24"/>
                <w:lang w:val="en-US" w:eastAsia="zh-CN"/>
                <w14:textFill>
                  <w14:solidFill>
                    <w14:schemeClr w14:val="tx1"/>
                  </w14:solidFill>
                </w14:textFill>
              </w:rPr>
              <w:t>35000.00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35000.00元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hint="eastAsia" w:ascii="宋体" w:cs="宋体"/>
                <w:sz w:val="24"/>
                <w:u w:val="single"/>
                <w:lang w:eastAsia="zh-CN"/>
              </w:rPr>
              <w:t>人民币叁万伍仟元整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hint="eastAsia" w:ascii="宋体" w:eastAsia="宋体" w:cs="宋体"/>
          <w:b/>
          <w:color w:val="000000" w:themeColor="text1"/>
          <w:sz w:val="24"/>
          <w14:textFill>
            <w14:solidFill>
              <w14:schemeClr w14:val="tx1"/>
            </w14:solidFill>
          </w14:textFill>
        </w:rPr>
      </w:pPr>
      <w:r>
        <w:rPr>
          <w:rFonts w:hint="eastAsia" w:ascii="宋体" w:eastAsia="宋体" w:cs="宋体"/>
          <w:b/>
          <w:color w:val="000000" w:themeColor="text1"/>
          <w:sz w:val="24"/>
          <w14:textFill>
            <w14:solidFill>
              <w14:schemeClr w14:val="tx1"/>
            </w14:solidFill>
          </w14:textFill>
        </w:rPr>
        <w:t>账户名称：</w:t>
      </w:r>
      <w:r>
        <w:rPr>
          <w:rFonts w:hint="eastAsia" w:ascii="宋体" w:eastAsia="宋体" w:cs="宋体"/>
          <w:b/>
          <w:color w:val="000000" w:themeColor="text1"/>
          <w:sz w:val="24"/>
          <w:lang w:eastAsia="zh-CN"/>
          <w14:textFill>
            <w14:solidFill>
              <w14:schemeClr w14:val="tx1"/>
            </w14:solidFill>
          </w14:textFill>
        </w:rPr>
        <w:t>河南正乾软件科技有限公司</w:t>
      </w:r>
    </w:p>
    <w:p>
      <w:pPr>
        <w:spacing w:line="360" w:lineRule="auto"/>
        <w:ind w:firstLine="482" w:firstLineChars="200"/>
        <w:rPr>
          <w:rFonts w:hint="eastAsia" w:ascii="宋体" w:eastAsia="宋体" w:cs="宋体"/>
          <w:b/>
          <w:color w:val="000000" w:themeColor="text1"/>
          <w:sz w:val="24"/>
          <w14:textFill>
            <w14:solidFill>
              <w14:schemeClr w14:val="tx1"/>
            </w14:solidFill>
          </w14:textFill>
        </w:rPr>
      </w:pPr>
      <w:r>
        <w:rPr>
          <w:rFonts w:hint="eastAsia" w:ascii="宋体" w:eastAsia="宋体" w:cs="宋体"/>
          <w:b/>
          <w:color w:val="000000" w:themeColor="text1"/>
          <w:sz w:val="24"/>
          <w14:textFill>
            <w14:solidFill>
              <w14:schemeClr w14:val="tx1"/>
            </w14:solidFill>
          </w14:textFill>
        </w:rPr>
        <w:t xml:space="preserve">账号：1702000209000001805   </w:t>
      </w:r>
    </w:p>
    <w:p>
      <w:pPr>
        <w:spacing w:line="360" w:lineRule="auto"/>
        <w:ind w:firstLine="482" w:firstLineChars="200"/>
        <w:rPr>
          <w:rFonts w:hint="eastAsia" w:ascii="宋体" w:eastAsia="宋体" w:cs="宋体"/>
          <w:b/>
          <w:color w:val="000000" w:themeColor="text1"/>
          <w:sz w:val="24"/>
          <w14:textFill>
            <w14:solidFill>
              <w14:schemeClr w14:val="tx1"/>
            </w14:solidFill>
          </w14:textFill>
        </w:rPr>
      </w:pPr>
      <w:r>
        <w:rPr>
          <w:rFonts w:hint="eastAsia" w:ascii="宋体" w:eastAsia="宋体" w:cs="宋体"/>
          <w:b/>
          <w:color w:val="000000" w:themeColor="text1"/>
          <w:sz w:val="24"/>
          <w14:textFill>
            <w14:solidFill>
              <w14:schemeClr w14:val="tx1"/>
            </w14:solidFill>
          </w14:textFill>
        </w:rPr>
        <w:t xml:space="preserve">开户银行：中国工商银行股份有限公司郑州商都路支行 </w:t>
      </w:r>
    </w:p>
    <w:p>
      <w:pPr>
        <w:spacing w:line="360" w:lineRule="auto"/>
        <w:ind w:firstLine="482" w:firstLineChars="200"/>
        <w:rPr>
          <w:rFonts w:ascii="宋体" w:cs="宋体"/>
          <w:b/>
          <w:color w:val="000000" w:themeColor="text1"/>
          <w:sz w:val="24"/>
          <w14:textFill>
            <w14:solidFill>
              <w14:schemeClr w14:val="tx1"/>
            </w14:solidFill>
          </w14:textFill>
        </w:rPr>
      </w:pPr>
      <w:r>
        <w:rPr>
          <w:rFonts w:hint="eastAsia" w:ascii="宋体" w:eastAsia="宋体" w:cs="宋体"/>
          <w:b/>
          <w:color w:val="000000" w:themeColor="text1"/>
          <w:sz w:val="24"/>
          <w14:textFill>
            <w14:solidFill>
              <w14:schemeClr w14:val="tx1"/>
            </w14:solidFill>
          </w14:textFill>
        </w:rPr>
        <w:t xml:space="preserve">统一社会信用代码： 91410100MA3X6FC02D </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lang w:eastAsia="zh-CN"/>
        </w:rPr>
        <w:t>七</w:t>
      </w:r>
      <w:r>
        <w:rPr>
          <w:rFonts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eastAsia="zh-CN"/>
        </w:rPr>
        <w:t>一</w:t>
      </w:r>
      <w:r>
        <w:rPr>
          <w:rFonts w:hint="eastAsia"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eastAsia="zh-CN"/>
        </w:rPr>
        <w:t>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spacing w:line="360" w:lineRule="auto"/>
        <w:rPr>
          <w:rFonts w:hint="eastAsia" w:ascii="宋体" w:cs="宋体"/>
          <w:b/>
          <w:sz w:val="24"/>
        </w:rPr>
      </w:pPr>
      <w:r>
        <w:rPr>
          <w:rFonts w:hint="eastAsia" w:ascii="宋体" w:cs="宋体"/>
          <w:b/>
          <w:sz w:val="24"/>
        </w:rPr>
        <w:drawing>
          <wp:inline distT="0" distB="0" distL="114300" distR="114300">
            <wp:extent cx="5269230" cy="7760335"/>
            <wp:effectExtent l="0" t="0" r="7620" b="12065"/>
            <wp:docPr id="2" name="图片 2" descr="2023-99-包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2"/>
                    <pic:cNvPicPr>
                      <a:picLocks noChangeAspect="1"/>
                    </pic:cNvPicPr>
                  </pic:nvPicPr>
                  <pic:blipFill>
                    <a:blip r:embed="rId5"/>
                    <a:stretch>
                      <a:fillRect/>
                    </a:stretch>
                  </pic:blipFill>
                  <pic:spPr>
                    <a:xfrm>
                      <a:off x="0" y="0"/>
                      <a:ext cx="5269230" cy="7760335"/>
                    </a:xfrm>
                    <a:prstGeom prst="rect">
                      <a:avLst/>
                    </a:prstGeom>
                  </pic:spPr>
                </pic:pic>
              </a:graphicData>
            </a:graphic>
          </wp:inline>
        </w:drawing>
      </w:r>
    </w:p>
    <w:p>
      <w:pPr>
        <w:spacing w:line="360" w:lineRule="auto"/>
        <w:rPr>
          <w:rFonts w:hint="eastAsia" w:ascii="宋体" w:cs="宋体"/>
          <w:b/>
          <w:sz w:val="24"/>
        </w:rPr>
      </w:pPr>
    </w:p>
    <w:p>
      <w:pPr>
        <w:spacing w:line="360" w:lineRule="auto"/>
        <w:rPr>
          <w:rFonts w:hint="eastAsia" w:ascii="宋体" w:cs="宋体"/>
          <w:b/>
          <w:sz w:val="24"/>
        </w:rPr>
      </w:pPr>
    </w:p>
    <w:p>
      <w:pPr>
        <w:spacing w:line="360" w:lineRule="auto"/>
        <w:rPr>
          <w:rFonts w:hint="eastAsia" w:ascii="宋体" w:cs="宋体"/>
          <w:b/>
          <w:sz w:val="24"/>
        </w:rPr>
      </w:pPr>
    </w:p>
    <w:p>
      <w:pPr>
        <w:spacing w:line="360" w:lineRule="auto"/>
        <w:rPr>
          <w:rFonts w:hint="eastAsia" w:ascii="宋体" w:hAnsi="宋体" w:eastAsia="宋体" w:cs="宋体"/>
          <w:color w:val="auto"/>
          <w:sz w:val="21"/>
          <w:szCs w:val="21"/>
        </w:rPr>
      </w:pPr>
      <w:bookmarkStart w:id="5" w:name="_GoBack"/>
      <w:bookmarkEnd w:id="5"/>
      <w:r>
        <w:rPr>
          <w:rFonts w:hint="eastAsia" w:ascii="宋体" w:hAnsi="宋体" w:eastAsia="宋体" w:cs="宋体"/>
          <w:color w:val="auto"/>
          <w:sz w:val="21"/>
          <w:szCs w:val="21"/>
        </w:rPr>
        <w:t>找问题所在，并尽量帮助用户解决问题。</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3、每次服务完成后，投标人都会向用户提交正规的售后服务报告，并应得到用户签字认可。这些服务报告都将作为公司的技术档案妥为保管，以便今后更好地为用户服务。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4、将以本项目经理为负责人组成项目组逐一落实与此项目有关的全部技术和商务问题。 </w:t>
      </w:r>
    </w:p>
    <w:p>
      <w:pPr>
        <w:spacing w:line="360" w:lineRule="auto"/>
        <w:rPr>
          <w:rFonts w:hint="eastAsia" w:ascii="宋体" w:hAnsi="宋体" w:eastAsia="宋体" w:cs="宋体"/>
          <w:b/>
          <w:bCs/>
          <w:color w:val="auto"/>
          <w:sz w:val="21"/>
          <w:szCs w:val="21"/>
        </w:rPr>
      </w:pPr>
      <w:bookmarkStart w:id="3" w:name="_Toc10235"/>
      <w:bookmarkStart w:id="4" w:name="_Toc17568"/>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售后服务内容：</w:t>
      </w:r>
      <w:bookmarkEnd w:id="3"/>
      <w:bookmarkEnd w:id="4"/>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1、培训工作. </w:t>
      </w:r>
      <w:r>
        <w:rPr>
          <w:rFonts w:hint="eastAsia" w:ascii="宋体" w:hAnsi="宋体" w:eastAsia="宋体" w:cs="宋体"/>
          <w:color w:val="auto"/>
          <w:sz w:val="21"/>
          <w:szCs w:val="21"/>
          <w:lang w:val="en-US" w:eastAsia="zh-CN"/>
        </w:rPr>
        <w:t xml:space="preserve">提供按需定制的使用培训，具体培训时间、培训地点与培训侧重点由双方共同协商，保证客户能够独立熟练使用，并提供宣传材料发放给最终用户。 </w:t>
      </w:r>
    </w:p>
    <w:p>
      <w:pPr>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2、技术援助。将安排专人对本项目进行专项服务，从事不定期的预防性系统维护</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数据重装、维护与系统重装、更新服务。除了定期进行维护外，对于出现重大问题，如系统中病毒、硬盘损坏或其它原因导致数据丢失、系统损坏或数据库损坏连接不到图书等需要整个系统重新安装或电子图书数据需要重新拷贝，我公司将保证指派专门的技术工程师48小时内到达现场解决问题，还对系统相关运行的系统软件或专用的相关软件进行及时更新与维护工作，承诺所有的维护工作均是免费服务。 </w:t>
      </w:r>
    </w:p>
    <w:p>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rPr>
        <w:t xml:space="preserve">   4、提供完善的说明资料。对于公司提供的软硬件产品，将提供详细完善的说明材料，并接受用户的核查。</w:t>
      </w:r>
    </w:p>
    <w:p>
      <w:pPr>
        <w:pStyle w:val="2"/>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、联系方式：</w:t>
      </w:r>
    </w:p>
    <w:p>
      <w:pPr>
        <w:pStyle w:val="2"/>
        <w:rPr>
          <w:rFonts w:hint="eastAsia" w:ascii="宋体" w:hAnsi="宋体" w:eastAsia="宋体" w:cs="宋体"/>
          <w:sz w:val="21"/>
          <w:szCs w:val="21"/>
        </w:rPr>
      </w:pPr>
      <w:r>
        <w:rPr>
          <w:rFonts w:hint="eastAsia" w:ascii="宋体" w:hAnsi="宋体" w:eastAsia="宋体" w:cs="宋体"/>
          <w:sz w:val="21"/>
          <w:szCs w:val="21"/>
          <w:lang w:val="en-US" w:eastAsia="zh-CN"/>
        </w:rPr>
        <w:t>联系人：钟子娟  电话：18736082217   地址：郑州市郑东新区康平路79号郑东商业中心C区1号楼414。</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DD26DD4"/>
    <w:rsid w:val="23B10C3E"/>
    <w:rsid w:val="3F2731D2"/>
    <w:rsid w:val="40A75FA3"/>
    <w:rsid w:val="4A53045F"/>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 w:type="paragraph" w:customStyle="1" w:styleId="12">
    <w:name w:val="彩色列表 - 强调文字颜色 11"/>
    <w:basedOn w:val="1"/>
    <w:qFormat/>
    <w:uiPriority w:val="0"/>
    <w:pPr>
      <w:widowControl w:val="0"/>
      <w:spacing w:line="360" w:lineRule="auto"/>
      <w:ind w:firstLine="420" w:firstLineChars="200"/>
      <w:jc w:val="left"/>
      <w:textAlignment w:val="auto"/>
    </w:pPr>
    <w:rPr>
      <w:rFonts w:ascii="Calibri" w:hAnsi="Calibri"/>
      <w:color w:val="auto"/>
      <w:kern w:val="2"/>
      <w:sz w:val="24"/>
      <w:szCs w:val="22"/>
      <w:u w:val="none" w:color="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2</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2023-09-15T02:46:33Z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2616988C4CD547E580C05FD7CF7169D2_13</vt:lpwstr>
  </property>
</Properties>
</file>