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eastAsia="宋体" w:cs="宋体"/>
          <w:color w:val="auto"/>
          <w:sz w:val="28"/>
          <w:lang w:val="en-US" w:eastAsia="zh-CN"/>
        </w:rPr>
      </w:pPr>
      <w:r>
        <w:rPr>
          <w:rFonts w:hint="eastAsia" w:ascii="宋体" w:cs="宋体"/>
          <w:sz w:val="28"/>
        </w:rPr>
        <w:t>合同编号：</w:t>
      </w:r>
      <w:r>
        <w:rPr>
          <w:rFonts w:hint="eastAsia" w:ascii="宋体" w:cs="宋体"/>
          <w:sz w:val="28"/>
          <w:lang w:val="en-US" w:eastAsia="zh-CN"/>
        </w:rPr>
        <w:t>豫财单一采购-2023-9</w:t>
      </w:r>
      <w:r>
        <w:rPr>
          <w:rFonts w:hint="eastAsia" w:ascii="宋体" w:cs="宋体"/>
          <w:color w:val="auto"/>
          <w:sz w:val="28"/>
          <w:lang w:val="en-US" w:eastAsia="zh-CN"/>
        </w:rPr>
        <w:t>9包3</w:t>
      </w:r>
    </w:p>
    <w:p>
      <w:pPr>
        <w:jc w:val="center"/>
        <w:rPr>
          <w:rFonts w:ascii="宋体" w:cs="宋体"/>
          <w:color w:val="auto"/>
          <w:sz w:val="52"/>
        </w:rPr>
      </w:pPr>
    </w:p>
    <w:p>
      <w:pPr>
        <w:jc w:val="center"/>
        <w:rPr>
          <w:rFonts w:ascii="宋体" w:cs="宋体"/>
          <w:color w:val="auto"/>
          <w:sz w:val="52"/>
        </w:rPr>
      </w:pPr>
      <w:r>
        <w:rPr>
          <w:rFonts w:hint="eastAsia" w:ascii="宋体" w:cs="宋体"/>
          <w:color w:val="auto"/>
          <w:sz w:val="52"/>
        </w:rPr>
        <w:t>数据库采购合同</w:t>
      </w:r>
    </w:p>
    <w:p>
      <w:pPr>
        <w:jc w:val="center"/>
        <w:rPr>
          <w:rFonts w:ascii="宋体" w:cs="宋体"/>
          <w:color w:val="auto"/>
          <w:sz w:val="36"/>
        </w:rPr>
      </w:pPr>
    </w:p>
    <w:p>
      <w:pPr>
        <w:jc w:val="center"/>
        <w:rPr>
          <w:rFonts w:ascii="宋体" w:cs="宋体"/>
          <w:color w:val="auto"/>
          <w:sz w:val="36"/>
        </w:rPr>
      </w:pPr>
    </w:p>
    <w:p>
      <w:pPr>
        <w:rPr>
          <w:rFonts w:ascii="宋体" w:cs="宋体"/>
          <w:color w:val="auto"/>
          <w:sz w:val="32"/>
          <w:szCs w:val="32"/>
          <w:u w:val="single"/>
        </w:rPr>
      </w:pPr>
      <w:r>
        <w:rPr>
          <w:rFonts w:hint="eastAsia" w:ascii="宋体" w:cs="宋体"/>
          <w:color w:val="auto"/>
          <w:sz w:val="36"/>
        </w:rPr>
        <w:t xml:space="preserve">  </w:t>
      </w:r>
      <w:r>
        <w:rPr>
          <w:rFonts w:hint="eastAsia" w:ascii="宋体" w:cs="宋体"/>
          <w:color w:val="auto"/>
          <w:sz w:val="36"/>
          <w:lang w:val="en-US" w:eastAsia="zh-CN"/>
        </w:rPr>
        <w:t xml:space="preserve">   </w:t>
      </w:r>
      <w:r>
        <w:rPr>
          <w:rFonts w:hint="eastAsia" w:ascii="宋体" w:cs="宋体"/>
          <w:color w:val="auto"/>
          <w:sz w:val="36"/>
        </w:rPr>
        <w:t>项目名称：</w:t>
      </w:r>
      <w:r>
        <w:rPr>
          <w:rFonts w:ascii="宋体" w:cs="宋体"/>
          <w:bCs/>
          <w:color w:val="auto"/>
          <w:sz w:val="36"/>
          <w:u w:val="single"/>
        </w:rPr>
        <w:t xml:space="preserve"> </w:t>
      </w:r>
      <w:r>
        <w:rPr>
          <w:rFonts w:hint="eastAsia" w:ascii="宋体" w:cs="宋体"/>
          <w:bCs/>
          <w:color w:val="auto"/>
          <w:sz w:val="36"/>
          <w:u w:val="single"/>
          <w:lang w:eastAsia="zh-CN"/>
        </w:rPr>
        <w:t>河南大学</w:t>
      </w:r>
      <w:r>
        <w:rPr>
          <w:rFonts w:hint="eastAsia" w:ascii="宋体" w:cs="宋体"/>
          <w:bCs/>
          <w:color w:val="auto"/>
          <w:sz w:val="36"/>
          <w:u w:val="single"/>
          <w:lang w:val="en-US" w:eastAsia="zh-CN"/>
        </w:rPr>
        <w:t>2023年知网等数据库项目</w:t>
      </w:r>
      <w:r>
        <w:rPr>
          <w:rFonts w:ascii="宋体" w:cs="宋体"/>
          <w:bCs/>
          <w:color w:val="auto"/>
          <w:sz w:val="36"/>
          <w:u w:val="single"/>
        </w:rPr>
        <w:t xml:space="preserve"> </w:t>
      </w:r>
    </w:p>
    <w:p>
      <w:pPr>
        <w:rPr>
          <w:rFonts w:ascii="宋体" w:cs="宋体"/>
          <w:color w:val="auto"/>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hint="eastAsia" w:ascii="宋体" w:cs="宋体"/>
          <w:sz w:val="36"/>
          <w:u w:val="single"/>
          <w:lang w:eastAsia="zh-CN"/>
        </w:rPr>
        <w:t>江苏畅想之星信息技术有限公司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color w:val="auto"/>
          <w:sz w:val="36"/>
          <w:u w:val="single"/>
          <w:lang w:val="en-US" w:eastAsia="zh-CN"/>
        </w:rPr>
        <w:t>2023年10月1日-2024年9月30日</w:t>
      </w:r>
    </w:p>
    <w:p>
      <w:pPr>
        <w:pStyle w:val="8"/>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lang w:eastAsia="zh-CN"/>
        </w:rPr>
        <w:t>江苏畅想之星信息技术有限公司</w:t>
      </w:r>
      <w:r>
        <w:rPr>
          <w:rFonts w:ascii="宋体" w:cs="宋体"/>
          <w:b/>
          <w:sz w:val="24"/>
        </w:rPr>
        <w:t xml:space="preserve"> </w:t>
      </w:r>
      <w:r>
        <w:rPr>
          <w:rFonts w:hint="eastAsia" w:ascii="宋体" w:cs="宋体"/>
          <w:b/>
          <w:sz w:val="24"/>
          <w:lang w:val="en-US" w:eastAsia="zh-CN"/>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color w:val="auto"/>
          <w:sz w:val="24"/>
        </w:rPr>
      </w:pPr>
      <w:r>
        <w:rPr>
          <w:rFonts w:hint="eastAsia" w:ascii="宋体" w:cs="宋体"/>
          <w:sz w:val="24"/>
        </w:rPr>
        <w:t xml:space="preserve">    供、需双方根据</w:t>
      </w:r>
      <w:r>
        <w:rPr>
          <w:rFonts w:ascii="宋体" w:cs="宋体"/>
          <w:color w:val="auto"/>
          <w:sz w:val="24"/>
          <w:u w:val="single"/>
        </w:rPr>
        <w:t xml:space="preserve"> </w:t>
      </w:r>
      <w:r>
        <w:rPr>
          <w:rFonts w:hint="eastAsia" w:ascii="宋体" w:cs="宋体"/>
          <w:color w:val="auto"/>
          <w:sz w:val="24"/>
          <w:u w:val="single"/>
          <w:lang w:val="en-US" w:eastAsia="zh-CN"/>
        </w:rPr>
        <w:t>3</w:t>
      </w:r>
      <w:r>
        <w:rPr>
          <w:rFonts w:ascii="宋体" w:cs="宋体"/>
          <w:color w:val="auto"/>
          <w:sz w:val="24"/>
          <w:u w:val="single"/>
        </w:rPr>
        <w:t xml:space="preserve"> </w:t>
      </w:r>
      <w:r>
        <w:rPr>
          <w:rFonts w:hint="eastAsia" w:ascii="宋体" w:cs="宋体"/>
          <w:color w:val="auto"/>
          <w:sz w:val="24"/>
        </w:rPr>
        <w:t xml:space="preserve">包的成交通知书和招、投标文件，经双方协商一致，达成以下合同条款： </w:t>
      </w:r>
    </w:p>
    <w:p>
      <w:pPr>
        <w:spacing w:line="360" w:lineRule="auto"/>
        <w:ind w:firstLine="482" w:firstLineChars="200"/>
        <w:rPr>
          <w:rFonts w:ascii="宋体" w:cs="宋体"/>
          <w:b/>
          <w:color w:val="auto"/>
          <w:sz w:val="24"/>
        </w:rPr>
      </w:pPr>
      <w:r>
        <w:rPr>
          <w:rFonts w:hint="eastAsia" w:ascii="宋体" w:cs="宋体"/>
          <w:b/>
          <w:color w:val="auto"/>
          <w:sz w:val="24"/>
        </w:rPr>
        <w:t>一、合同金额</w:t>
      </w:r>
    </w:p>
    <w:p>
      <w:pPr>
        <w:spacing w:line="360" w:lineRule="auto"/>
        <w:ind w:firstLine="480" w:firstLineChars="200"/>
        <w:rPr>
          <w:rFonts w:ascii="宋体" w:cs="宋体"/>
          <w:color w:val="auto"/>
          <w:sz w:val="24"/>
        </w:rPr>
      </w:pPr>
      <w:r>
        <w:rPr>
          <w:rFonts w:hint="eastAsia" w:ascii="宋体" w:cs="宋体"/>
          <w:color w:val="auto"/>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11900</w:t>
      </w:r>
      <w:r>
        <w:rPr>
          <w:rFonts w:ascii="宋体" w:cs="宋体"/>
          <w:color w:val="auto"/>
          <w:sz w:val="24"/>
          <w:u w:val="single"/>
        </w:rPr>
        <w:t xml:space="preserve"> </w:t>
      </w:r>
      <w:r>
        <w:rPr>
          <w:rFonts w:hint="eastAsia" w:ascii="宋体" w:cs="宋体"/>
          <w:color w:val="auto"/>
          <w:sz w:val="24"/>
        </w:rPr>
        <w:t>元(大写</w:t>
      </w:r>
      <w:r>
        <w:rPr>
          <w:rFonts w:hint="eastAsia" w:ascii="宋体" w:cs="宋体"/>
          <w:color w:val="auto"/>
          <w:sz w:val="24"/>
          <w:lang w:eastAsia="zh-CN"/>
        </w:rPr>
        <w:t>：壹万壹仟玖佰元整</w:t>
      </w:r>
      <w:r>
        <w:rPr>
          <w:rFonts w:hint="eastAsia" w:ascii="宋体" w:cs="宋体"/>
          <w:color w:val="auto"/>
          <w:sz w:val="24"/>
        </w:rPr>
        <w:t>)</w:t>
      </w:r>
      <w:r>
        <w:rPr>
          <w:rFonts w:hint="eastAsia" w:ascii="宋体" w:cs="宋体"/>
          <w:b/>
          <w:color w:val="auto"/>
          <w:sz w:val="24"/>
        </w:rPr>
        <w:t>；</w:t>
      </w:r>
      <w:r>
        <w:rPr>
          <w:rFonts w:hint="eastAsia" w:ascii="宋体" w:cs="宋体"/>
          <w:color w:val="auto"/>
          <w:sz w:val="24"/>
        </w:rPr>
        <w:t>该价格已经包含安装、调试、使用访问、培训、税金、利润及供方人员差旅费用等全部费用。</w:t>
      </w:r>
    </w:p>
    <w:p>
      <w:pPr>
        <w:spacing w:line="360" w:lineRule="auto"/>
        <w:ind w:firstLine="482" w:firstLineChars="200"/>
        <w:rPr>
          <w:rFonts w:ascii="宋体" w:cs="宋体"/>
          <w:color w:val="auto"/>
          <w:sz w:val="24"/>
        </w:rPr>
      </w:pPr>
      <w:r>
        <w:rPr>
          <w:rFonts w:hint="eastAsia" w:ascii="宋体" w:cs="宋体"/>
          <w:b/>
          <w:color w:val="auto"/>
          <w:sz w:val="24"/>
        </w:rPr>
        <w:t>二、数据库内容要求及供方对质量负责条件和期限</w:t>
      </w:r>
      <w:r>
        <w:rPr>
          <w:rFonts w:hint="eastAsia" w:ascii="宋体" w:cs="宋体"/>
          <w:color w:val="auto"/>
          <w:sz w:val="24"/>
        </w:rPr>
        <w:t xml:space="preserve"> </w:t>
      </w:r>
    </w:p>
    <w:p>
      <w:pPr>
        <w:spacing w:line="360" w:lineRule="auto"/>
        <w:ind w:firstLine="480" w:firstLineChars="200"/>
        <w:rPr>
          <w:rFonts w:ascii="宋体" w:cs="宋体"/>
          <w:color w:val="auto"/>
          <w:sz w:val="24"/>
        </w:rPr>
      </w:pPr>
      <w:r>
        <w:rPr>
          <w:rFonts w:hint="eastAsia" w:ascii="宋体" w:cs="宋体"/>
          <w:color w:val="auto"/>
          <w:sz w:val="24"/>
        </w:rPr>
        <w:t>供方提供的数据库产品是严格按照需方选定的，符合本行业的相关标准。</w:t>
      </w:r>
    </w:p>
    <w:p>
      <w:pPr>
        <w:spacing w:line="360" w:lineRule="auto"/>
        <w:rPr>
          <w:rFonts w:ascii="宋体" w:cs="宋体"/>
          <w:color w:val="auto"/>
          <w:sz w:val="24"/>
        </w:rPr>
      </w:pPr>
      <w:r>
        <w:rPr>
          <w:rFonts w:hint="eastAsia" w:ascii="宋体" w:cs="宋体"/>
          <w:color w:val="auto"/>
          <w:sz w:val="24"/>
        </w:rPr>
        <w:t xml:space="preserve">     1.数据库清单如下：</w:t>
      </w:r>
    </w:p>
    <w:tbl>
      <w:tblPr>
        <w:tblStyle w:val="11"/>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数据库名称</w:t>
            </w:r>
          </w:p>
          <w:p>
            <w:pPr>
              <w:rPr>
                <w:rFonts w:ascii="楷体" w:eastAsia="楷体" w:cs="楷体"/>
                <w:b/>
                <w:bCs/>
                <w:color w:val="auto"/>
                <w:sz w:val="24"/>
                <w:szCs w:val="22"/>
              </w:rPr>
            </w:pPr>
            <w:r>
              <w:rPr>
                <w:rFonts w:hint="eastAsia" w:ascii="楷体" w:eastAsia="楷体" w:cs="楷体"/>
                <w:b/>
                <w:bCs/>
                <w:color w:val="auto"/>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服务</w:t>
            </w:r>
          </w:p>
          <w:p>
            <w:pPr>
              <w:jc w:val="center"/>
              <w:rPr>
                <w:rFonts w:ascii="楷体" w:eastAsia="楷体" w:cs="楷体"/>
                <w:b/>
                <w:bCs/>
                <w:color w:val="auto"/>
                <w:sz w:val="24"/>
                <w:szCs w:val="22"/>
              </w:rPr>
            </w:pPr>
            <w:r>
              <w:rPr>
                <w:rFonts w:hint="eastAsia" w:ascii="楷体" w:eastAsia="楷体" w:cs="楷体"/>
                <w:b/>
                <w:bCs/>
                <w:color w:val="auto"/>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color w:val="auto"/>
                <w:sz w:val="24"/>
              </w:rPr>
            </w:pPr>
            <w:r>
              <w:rPr>
                <w:rFonts w:hint="eastAsia" w:ascii="宋体" w:cs="宋体"/>
                <w:color w:val="auto"/>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hint="default" w:ascii="宋体" w:eastAsia="宋体" w:cs="宋体"/>
                <w:color w:val="auto"/>
                <w:sz w:val="24"/>
                <w:lang w:val="en-US" w:eastAsia="zh-CN"/>
              </w:rPr>
            </w:pPr>
            <w:r>
              <w:rPr>
                <w:rFonts w:hint="eastAsia" w:ascii="宋体" w:cs="宋体"/>
                <w:color w:val="auto"/>
                <w:sz w:val="24"/>
                <w:lang w:val="en-US" w:eastAsia="zh-CN"/>
              </w:rPr>
              <w:t>cxstar光盘数据库管理系统软件V4.1</w:t>
            </w:r>
          </w:p>
        </w:tc>
        <w:tc>
          <w:tcPr>
            <w:tcW w:w="3015" w:type="dxa"/>
            <w:tcBorders>
              <w:top w:val="single" w:color="auto" w:sz="8" w:space="0"/>
              <w:left w:val="nil"/>
              <w:bottom w:val="single" w:color="auto" w:sz="8" w:space="0"/>
              <w:right w:val="single" w:color="auto" w:sz="8" w:space="0"/>
            </w:tcBorders>
            <w:vAlign w:val="center"/>
          </w:tcPr>
          <w:p>
            <w:pPr>
              <w:pStyle w:val="8"/>
              <w:tabs>
                <w:tab w:val="center" w:pos="1459"/>
                <w:tab w:val="left" w:pos="2061"/>
              </w:tabs>
              <w:jc w:val="left"/>
              <w:rPr>
                <w:rFonts w:hint="eastAsia"/>
                <w:color w:val="auto"/>
                <w:lang w:val="en-US" w:eastAsia="zh-CN"/>
              </w:rPr>
            </w:pPr>
            <w:r>
              <w:rPr>
                <w:rFonts w:hint="eastAsia"/>
                <w:color w:val="auto"/>
                <w:lang w:val="en-US" w:eastAsia="zh-CN"/>
              </w:rPr>
              <w:t>新增资源类型：随书光盘</w:t>
            </w:r>
          </w:p>
          <w:p>
            <w:pPr>
              <w:pStyle w:val="8"/>
              <w:tabs>
                <w:tab w:val="center" w:pos="1459"/>
                <w:tab w:val="left" w:pos="2061"/>
              </w:tabs>
              <w:jc w:val="left"/>
              <w:rPr>
                <w:rFonts w:hint="default"/>
                <w:color w:val="auto"/>
                <w:lang w:val="en-US" w:eastAsia="zh-CN"/>
              </w:rPr>
            </w:pPr>
            <w:r>
              <w:rPr>
                <w:rFonts w:hint="eastAsia"/>
                <w:color w:val="auto"/>
                <w:lang w:val="en-US" w:eastAsia="zh-CN"/>
              </w:rPr>
              <w:t>新增数量：2万余张</w:t>
            </w:r>
          </w:p>
        </w:tc>
        <w:tc>
          <w:tcPr>
            <w:tcW w:w="1080" w:type="dxa"/>
            <w:tcBorders>
              <w:top w:val="single" w:color="auto" w:sz="8" w:space="0"/>
              <w:left w:val="nil"/>
              <w:bottom w:val="single" w:color="auto" w:sz="8" w:space="0"/>
              <w:right w:val="single" w:color="auto" w:sz="8" w:space="0"/>
            </w:tcBorders>
            <w:vAlign w:val="center"/>
          </w:tcPr>
          <w:p>
            <w:pPr>
              <w:rPr>
                <w:rFonts w:ascii="宋体" w:cs="宋体"/>
                <w:color w:val="auto"/>
                <w:sz w:val="24"/>
              </w:rPr>
            </w:pPr>
            <w:r>
              <w:rPr>
                <w:rFonts w:hint="eastAsia" w:ascii="宋体" w:cs="宋体"/>
                <w:color w:val="auto"/>
                <w:sz w:val="24"/>
                <w:lang w:val="en-US" w:eastAsia="zh-CN"/>
              </w:rPr>
              <w:t>2023年10月1日-2024年9月30日</w:t>
            </w:r>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color w:val="auto"/>
                <w:sz w:val="24"/>
                <w:lang w:val="en-US" w:eastAsia="zh-CN"/>
              </w:rPr>
            </w:pPr>
            <w:r>
              <w:rPr>
                <w:rFonts w:hint="eastAsia" w:ascii="宋体" w:cs="宋体"/>
                <w:color w:val="auto"/>
                <w:sz w:val="24"/>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11900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11900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11900元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eastAsia="zh-CN"/>
              </w:rPr>
              <w:t>壹万壹仟玖佰元整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hint="eastAsia" w:ascii="宋体" w:eastAsia="宋体" w:cs="宋体"/>
          <w:b/>
          <w:sz w:val="24"/>
          <w:lang w:eastAsia="zh-CN"/>
        </w:rPr>
      </w:pPr>
      <w:r>
        <w:rPr>
          <w:rFonts w:hint="eastAsia" w:ascii="宋体" w:cs="宋体"/>
          <w:b/>
          <w:sz w:val="24"/>
        </w:rPr>
        <w:t>账户名称：</w:t>
      </w:r>
      <w:r>
        <w:rPr>
          <w:rFonts w:hint="eastAsia" w:ascii="宋体" w:cs="宋体"/>
          <w:b/>
          <w:sz w:val="24"/>
          <w:lang w:eastAsia="zh-CN"/>
        </w:rPr>
        <w:t>江苏畅想之星信息技术有限公司</w:t>
      </w:r>
    </w:p>
    <w:p>
      <w:pPr>
        <w:spacing w:line="360" w:lineRule="auto"/>
        <w:ind w:firstLine="482" w:firstLineChars="200"/>
        <w:rPr>
          <w:rFonts w:ascii="宋体" w:cs="宋体"/>
          <w:b/>
          <w:sz w:val="24"/>
        </w:rPr>
      </w:pPr>
      <w:r>
        <w:rPr>
          <w:rFonts w:hint="eastAsia" w:ascii="宋体" w:cs="宋体"/>
          <w:b/>
          <w:sz w:val="24"/>
        </w:rPr>
        <w:t xml:space="preserve">账    号： </w:t>
      </w:r>
      <w:r>
        <w:rPr>
          <w:rFonts w:hint="eastAsia" w:ascii="宋体" w:cs="宋体"/>
          <w:b/>
          <w:sz w:val="24"/>
          <w:lang w:val="en-US" w:eastAsia="zh-CN"/>
        </w:rPr>
        <w:t>60200188000027694</w:t>
      </w:r>
      <w:r>
        <w:rPr>
          <w:rFonts w:hint="eastAsia" w:ascii="宋体" w:cs="宋体"/>
          <w:b/>
          <w:sz w:val="24"/>
        </w:rPr>
        <w:t xml:space="preserve"> </w:t>
      </w:r>
    </w:p>
    <w:p>
      <w:pPr>
        <w:spacing w:line="360" w:lineRule="auto"/>
        <w:ind w:firstLine="482" w:firstLineChars="200"/>
        <w:rPr>
          <w:rFonts w:hint="eastAsia" w:ascii="宋体" w:eastAsia="宋体" w:cs="宋体"/>
          <w:b/>
          <w:sz w:val="24"/>
          <w:lang w:eastAsia="zh-CN"/>
        </w:rPr>
      </w:pPr>
      <w:r>
        <w:rPr>
          <w:rFonts w:hint="eastAsia" w:ascii="宋体" w:cs="宋体"/>
          <w:b/>
          <w:sz w:val="24"/>
        </w:rPr>
        <w:t>开户银行：</w:t>
      </w:r>
      <w:r>
        <w:rPr>
          <w:rFonts w:hint="eastAsia" w:ascii="宋体" w:cs="宋体"/>
          <w:b/>
          <w:sz w:val="24"/>
          <w:lang w:eastAsia="zh-CN"/>
        </w:rPr>
        <w:t>江苏银行股份有限公司徐州科技支行</w:t>
      </w:r>
    </w:p>
    <w:p>
      <w:pPr>
        <w:spacing w:line="360" w:lineRule="auto"/>
        <w:ind w:firstLine="482" w:firstLineChars="200"/>
        <w:rPr>
          <w:rFonts w:hint="default" w:ascii="宋体" w:eastAsia="宋体" w:cs="宋体"/>
          <w:b/>
          <w:sz w:val="24"/>
          <w:lang w:val="en-US" w:eastAsia="zh-CN"/>
        </w:rPr>
      </w:pPr>
      <w:r>
        <w:rPr>
          <w:rFonts w:hint="eastAsia" w:ascii="宋体" w:cs="宋体"/>
          <w:b/>
          <w:sz w:val="24"/>
        </w:rPr>
        <w:t>统一社会信用代码：</w:t>
      </w:r>
      <w:r>
        <w:rPr>
          <w:rFonts w:hint="eastAsia" w:ascii="宋体" w:cs="宋体"/>
          <w:b/>
          <w:sz w:val="24"/>
          <w:lang w:val="en-US" w:eastAsia="zh-CN"/>
        </w:rPr>
        <w:t>913203006871777179</w:t>
      </w:r>
    </w:p>
    <w:p>
      <w:pPr>
        <w:spacing w:line="360" w:lineRule="auto"/>
        <w:ind w:firstLine="482" w:firstLineChars="200"/>
        <w:rPr>
          <w:rFonts w:ascii="宋体" w:cs="宋体"/>
          <w:b/>
          <w:sz w:val="24"/>
        </w:rPr>
      </w:pPr>
      <w:r>
        <w:rPr>
          <w:rFonts w:hint="eastAsia" w:ascii="宋体" w:cs="宋体"/>
          <w:b/>
          <w:sz w:val="24"/>
        </w:rPr>
        <w:t>七、违约责任</w:t>
      </w:r>
    </w:p>
    <w:p>
      <w:pPr>
        <w:pStyle w:val="8"/>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eastAsia="zh-CN"/>
        </w:rPr>
        <w:t>九</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eastAsia="zh-CN"/>
        </w:rPr>
        <w:t>两</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eastAsia="zh-CN"/>
        </w:rPr>
        <w:t>两</w:t>
      </w:r>
      <w:r>
        <w:rPr>
          <w:rFonts w:ascii="宋体" w:cs="宋体"/>
          <w:sz w:val="24"/>
          <w:u w:val="single"/>
        </w:rPr>
        <w:t xml:space="preserve"> </w:t>
      </w:r>
      <w:r>
        <w:rPr>
          <w:rFonts w:hint="eastAsia" w:ascii="宋体" w:cs="宋体"/>
          <w:sz w:val="24"/>
        </w:rPr>
        <w:t>份。</w:t>
      </w:r>
    </w:p>
    <w:p>
      <w:pPr>
        <w:spacing w:line="360" w:lineRule="auto"/>
        <w:rPr>
          <w:rFonts w:hint="eastAsia" w:ascii="宋体" w:cs="宋体"/>
          <w:b/>
          <w:sz w:val="24"/>
        </w:rPr>
      </w:pP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72405" cy="7830185"/>
            <wp:effectExtent l="0" t="0" r="4445" b="18415"/>
            <wp:docPr id="2" name="图片 2" descr="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3"/>
                    <pic:cNvPicPr>
                      <a:picLocks noChangeAspect="1"/>
                    </pic:cNvPicPr>
                  </pic:nvPicPr>
                  <pic:blipFill>
                    <a:blip r:embed="rId5"/>
                    <a:stretch>
                      <a:fillRect/>
                    </a:stretch>
                  </pic:blipFill>
                  <pic:spPr>
                    <a:xfrm>
                      <a:off x="0" y="0"/>
                      <a:ext cx="5272405" cy="7830185"/>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2" w:name="_GoBack"/>
      <w:bookmarkEnd w:id="2"/>
      <w:r>
        <w:rPr>
          <w:rFonts w:hint="eastAsia" w:ascii="宋体" w:cs="宋体"/>
          <w:b/>
          <w:sz w:val="24"/>
        </w:rPr>
        <w:t>附件（1）：详细技术参数、规格及配置清单</w:t>
      </w:r>
    </w:p>
    <w:tbl>
      <w:tblPr>
        <w:tblStyle w:val="11"/>
        <w:tblW w:w="8189" w:type="dxa"/>
        <w:jc w:val="center"/>
        <w:tblLayout w:type="fixed"/>
        <w:tblCellMar>
          <w:top w:w="0" w:type="dxa"/>
          <w:left w:w="108" w:type="dxa"/>
          <w:bottom w:w="0" w:type="dxa"/>
          <w:right w:w="108" w:type="dxa"/>
        </w:tblCellMar>
      </w:tblPr>
      <w:tblGrid>
        <w:gridCol w:w="1481"/>
        <w:gridCol w:w="1814"/>
        <w:gridCol w:w="1652"/>
        <w:gridCol w:w="1336"/>
        <w:gridCol w:w="1906"/>
      </w:tblGrid>
      <w:tr>
        <w:tblPrEx>
          <w:tblCellMar>
            <w:top w:w="0" w:type="dxa"/>
            <w:left w:w="108" w:type="dxa"/>
            <w:bottom w:w="0" w:type="dxa"/>
            <w:right w:w="108" w:type="dxa"/>
          </w:tblCellMar>
        </w:tblPrEx>
        <w:trPr>
          <w:trHeight w:val="391"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18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652"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336"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服务期限</w:t>
            </w:r>
          </w:p>
        </w:tc>
        <w:tc>
          <w:tcPr>
            <w:tcW w:w="1906" w:type="dxa"/>
            <w:tcBorders>
              <w:top w:val="single" w:color="000000" w:sz="4" w:space="0"/>
              <w:left w:val="nil"/>
              <w:bottom w:val="single" w:color="000000" w:sz="4" w:space="0"/>
              <w:right w:val="single" w:color="000000" w:sz="4" w:space="0"/>
            </w:tcBorders>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cs="宋体"/>
                <w:kern w:val="0"/>
                <w:sz w:val="24"/>
              </w:rPr>
            </w:pPr>
            <w:r>
              <w:rPr>
                <w:rFonts w:hint="eastAsia" w:ascii="宋体" w:cs="宋体"/>
                <w:sz w:val="24"/>
                <w:lang w:val="en-US" w:eastAsia="zh-CN"/>
              </w:rPr>
              <w:t>cxstar光盘数据库管理系统软件V4.1</w:t>
            </w:r>
          </w:p>
        </w:tc>
        <w:tc>
          <w:tcPr>
            <w:tcW w:w="1814" w:type="dxa"/>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4"/>
              </w:rPr>
            </w:pPr>
            <w:r>
              <w:rPr>
                <w:rFonts w:hint="eastAsia" w:ascii="宋体" w:cs="宋体"/>
                <w:kern w:val="0"/>
                <w:sz w:val="24"/>
              </w:rPr>
              <w:t>收录自1990年以来出版的14万余种、80多T每天实时更新、中图分类全学科覆盖、各种学习类资源的随书光盘数据，内容包含实例、课件、习题、教程、音视频等丰富的随书附带的多媒体资源。</w:t>
            </w:r>
          </w:p>
        </w:tc>
        <w:tc>
          <w:tcPr>
            <w:tcW w:w="1652" w:type="dxa"/>
            <w:tcBorders>
              <w:top w:val="single" w:color="000000" w:sz="4" w:space="0"/>
              <w:left w:val="nil"/>
              <w:bottom w:val="single" w:color="000000" w:sz="4" w:space="0"/>
              <w:right w:val="single" w:color="000000" w:sz="4" w:space="0"/>
            </w:tcBorders>
            <w:vAlign w:val="center"/>
          </w:tcPr>
          <w:p>
            <w:pPr>
              <w:widowControl/>
              <w:jc w:val="left"/>
              <w:rPr>
                <w:rFonts w:hint="eastAsia" w:ascii="宋体" w:eastAsia="宋体" w:cs="宋体"/>
                <w:kern w:val="0"/>
                <w:sz w:val="24"/>
                <w:lang w:eastAsia="zh-CN"/>
              </w:rPr>
            </w:pPr>
            <w:r>
              <w:rPr>
                <w:rFonts w:hint="eastAsia" w:ascii="宋体" w:eastAsia="宋体" w:cs="宋体"/>
                <w:kern w:val="0"/>
                <w:sz w:val="24"/>
                <w:lang w:eastAsia="zh-CN"/>
              </w:rPr>
              <w:t>江苏畅想之星信息技术有限公司</w:t>
            </w:r>
          </w:p>
        </w:tc>
        <w:tc>
          <w:tcPr>
            <w:tcW w:w="1336" w:type="dxa"/>
            <w:tcBorders>
              <w:top w:val="single" w:color="000000" w:sz="4" w:space="0"/>
              <w:left w:val="nil"/>
              <w:bottom w:val="single" w:color="000000" w:sz="4" w:space="0"/>
              <w:right w:val="single" w:color="000000" w:sz="4" w:space="0"/>
            </w:tcBorders>
            <w:vAlign w:val="center"/>
          </w:tcPr>
          <w:p>
            <w:pPr>
              <w:widowControl/>
              <w:jc w:val="center"/>
              <w:rPr>
                <w:rFonts w:ascii="宋体" w:cs="宋体"/>
                <w:color w:val="auto"/>
                <w:kern w:val="0"/>
                <w:sz w:val="24"/>
              </w:rPr>
            </w:pPr>
            <w:r>
              <w:rPr>
                <w:rFonts w:hint="eastAsia" w:ascii="宋体" w:cs="宋体"/>
                <w:color w:val="auto"/>
                <w:sz w:val="24"/>
                <w:lang w:val="en-US" w:eastAsia="zh-CN"/>
              </w:rPr>
              <w:t>2023年10月1日-2024年9月30日</w:t>
            </w:r>
          </w:p>
        </w:tc>
        <w:tc>
          <w:tcPr>
            <w:tcW w:w="1906" w:type="dxa"/>
            <w:tcBorders>
              <w:top w:val="single" w:color="000000" w:sz="4" w:space="0"/>
              <w:left w:val="nil"/>
              <w:bottom w:val="single" w:color="000000" w:sz="4" w:space="0"/>
              <w:right w:val="single" w:color="000000" w:sz="4" w:space="0"/>
            </w:tcBorders>
          </w:tcPr>
          <w:p>
            <w:pPr>
              <w:widowControl/>
              <w:jc w:val="left"/>
              <w:rPr>
                <w:rFonts w:hint="eastAsia" w:ascii="宋体" w:eastAsia="宋体" w:cs="宋体"/>
                <w:kern w:val="0"/>
                <w:sz w:val="24"/>
                <w:lang w:eastAsia="zh-CN"/>
              </w:rPr>
            </w:pPr>
            <w:r>
              <w:rPr>
                <w:rFonts w:hint="eastAsia" w:ascii="宋体" w:eastAsia="宋体" w:cs="宋体"/>
                <w:kern w:val="0"/>
                <w:sz w:val="24"/>
                <w:lang w:eastAsia="zh-CN"/>
              </w:rPr>
              <w:t>我方响应</w:t>
            </w:r>
            <w:r>
              <w:rPr>
                <w:rFonts w:hint="eastAsia" w:ascii="宋体" w:eastAsia="宋体" w:cs="宋体"/>
                <w:kern w:val="0"/>
                <w:sz w:val="24"/>
              </w:rPr>
              <w:t>免</w:t>
            </w:r>
            <w:r>
              <w:rPr>
                <w:rFonts w:hint="eastAsia" w:ascii="宋体" w:eastAsia="宋体" w:cs="宋体"/>
                <w:kern w:val="0"/>
                <w:sz w:val="24"/>
                <w:lang w:val="en-US" w:eastAsia="zh-CN"/>
              </w:rPr>
              <w:t>费为需方人员进行现场技术培训，每年每个数据库务必在合同期结束前进行数据库现场培训1-2次；</w:t>
            </w:r>
            <w:r>
              <w:rPr>
                <w:rFonts w:ascii="宋体" w:cs="宋体"/>
                <w:color w:val="000000"/>
                <w:sz w:val="24"/>
              </w:rPr>
              <w:t>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w:t>
            </w:r>
            <w:r>
              <w:rPr>
                <w:rFonts w:hint="eastAsia" w:ascii="宋体" w:cs="宋体"/>
                <w:color w:val="000000"/>
                <w:sz w:val="24"/>
                <w:lang w:eastAsia="zh-CN"/>
              </w:rPr>
              <w:t>。</w:t>
            </w:r>
          </w:p>
        </w:tc>
      </w:tr>
    </w:tbl>
    <w:p>
      <w:pPr>
        <w:rPr>
          <w:rFonts w:ascii="宋体" w:cs="宋体"/>
          <w:sz w:val="24"/>
        </w:rPr>
      </w:pPr>
    </w:p>
    <w:p>
      <w:pPr>
        <w:rPr>
          <w:rFonts w:hint="eastAsia" w:ascii="宋体" w:cs="宋体"/>
          <w:b/>
          <w:sz w:val="24"/>
        </w:rPr>
      </w:pPr>
      <w:r>
        <w:rPr>
          <w:rFonts w:hint="eastAsia" w:ascii="宋体" w:cs="宋体"/>
          <w:b/>
          <w:sz w:val="24"/>
        </w:rPr>
        <w:br w:type="page"/>
      </w:r>
    </w:p>
    <w:p>
      <w:pPr>
        <w:rPr>
          <w:rFonts w:hint="eastAsia" w:ascii="宋体" w:cs="宋体"/>
          <w:b/>
          <w:sz w:val="24"/>
        </w:rPr>
      </w:pPr>
      <w:r>
        <w:rPr>
          <w:rFonts w:hint="eastAsia" w:ascii="宋体" w:cs="宋体"/>
          <w:b/>
          <w:sz w:val="24"/>
        </w:rPr>
        <w:t>附件（2）：售后服务计划</w:t>
      </w:r>
    </w:p>
    <w:p>
      <w:pPr>
        <w:pStyle w:val="2"/>
        <w:ind w:left="0" w:leftChars="0" w:firstLine="0" w:firstLineChars="0"/>
        <w:rPr>
          <w:rFonts w:hint="eastAsia" w:ascii="宋体" w:cs="宋体"/>
          <w:b/>
          <w:sz w:val="24"/>
          <w:lang w:eastAsia="zh-CN"/>
        </w:rPr>
      </w:pPr>
    </w:p>
    <w:p>
      <w:pPr>
        <w:pStyle w:val="2"/>
        <w:ind w:left="0" w:leftChars="0" w:firstLine="0" w:firstLineChars="0"/>
        <w:rPr>
          <w:rFonts w:hint="eastAsia" w:eastAsia="宋体"/>
          <w:lang w:eastAsia="zh-CN"/>
        </w:rPr>
      </w:pPr>
      <w:r>
        <w:rPr>
          <w:rFonts w:hint="eastAsia" w:ascii="宋体" w:cs="宋体"/>
          <w:b/>
          <w:sz w:val="24"/>
          <w:lang w:eastAsia="zh-CN"/>
        </w:rPr>
        <w:t>我司承诺售后服务计划如下：</w:t>
      </w:r>
    </w:p>
    <w:p>
      <w:pPr>
        <w:spacing w:line="360" w:lineRule="auto"/>
        <w:rPr>
          <w:rFonts w:ascii="宋体" w:hAnsi="宋体" w:eastAsia="宋体" w:cs="宋体"/>
          <w:sz w:val="24"/>
        </w:rPr>
      </w:pPr>
      <w:r>
        <w:rPr>
          <w:rFonts w:hint="eastAsia" w:ascii="宋体" w:hAnsi="宋体" w:eastAsia="宋体" w:cs="宋体"/>
          <w:sz w:val="24"/>
        </w:rPr>
        <w:t>（1）热线咨询和远程协助服务</w:t>
      </w:r>
    </w:p>
    <w:p>
      <w:pPr>
        <w:spacing w:line="360" w:lineRule="auto"/>
        <w:ind w:firstLine="420" w:firstLineChars="0"/>
        <w:rPr>
          <w:rFonts w:ascii="宋体" w:hAnsi="宋体" w:eastAsia="宋体" w:cs="宋体"/>
          <w:sz w:val="24"/>
        </w:rPr>
      </w:pPr>
      <w:r>
        <w:rPr>
          <w:rFonts w:hint="eastAsia" w:ascii="宋体" w:hAnsi="宋体" w:eastAsia="宋体" w:cs="宋体"/>
          <w:sz w:val="24"/>
        </w:rPr>
        <w:t>我公司为用户提供免费咨询服务。在系统运行阶段，用户如遇到技术问题，可随时通过QQ在线咨询、400免费电话、电子邮件等方式与我公司有关技术人员联系，我公司技术人员将及时解答并通过远程桌面登陆服务器、协助用户解决实际问题，以保证系统的正常运行。</w:t>
      </w:r>
    </w:p>
    <w:p>
      <w:pPr>
        <w:spacing w:line="360" w:lineRule="auto"/>
        <w:rPr>
          <w:rFonts w:ascii="宋体" w:hAnsi="宋体" w:eastAsia="宋体" w:cs="宋体"/>
          <w:sz w:val="24"/>
        </w:rPr>
      </w:pPr>
      <w:r>
        <w:rPr>
          <w:rFonts w:hint="eastAsia" w:ascii="宋体" w:hAnsi="宋体" w:eastAsia="宋体" w:cs="宋体"/>
          <w:sz w:val="24"/>
        </w:rPr>
        <w:t>（2）快速响应服务</w:t>
      </w:r>
    </w:p>
    <w:p>
      <w:pPr>
        <w:spacing w:line="360" w:lineRule="auto"/>
        <w:ind w:firstLine="420" w:firstLineChars="0"/>
        <w:rPr>
          <w:rFonts w:ascii="宋体" w:hAnsi="宋体" w:eastAsia="宋体" w:cs="宋体"/>
          <w:sz w:val="24"/>
        </w:rPr>
      </w:pPr>
      <w:r>
        <w:rPr>
          <w:rFonts w:hint="eastAsia" w:ascii="宋体" w:hAnsi="宋体" w:eastAsia="宋体" w:cs="宋体"/>
          <w:sz w:val="24"/>
        </w:rPr>
        <w:t>因我公司产品的原因而造成用户在使用中所遇到的问题，用户可向我公司提出快速响应服务。我公司在接到用户请求后，保证在24小时（法定节假日除外）内做出响应，对用户提出的问题给予解答，协助用户解决。如确有需要，我公司承诺在以后的3日内（如果用户所在地交通不便，则需5日内）技术人员到达用户现场提供快速服务。</w:t>
      </w:r>
    </w:p>
    <w:p>
      <w:pPr>
        <w:spacing w:line="360" w:lineRule="auto"/>
        <w:rPr>
          <w:rFonts w:ascii="宋体" w:hAnsi="宋体" w:eastAsia="宋体" w:cs="宋体"/>
          <w:sz w:val="24"/>
        </w:rPr>
      </w:pPr>
      <w:r>
        <w:rPr>
          <w:rFonts w:hint="eastAsia" w:ascii="宋体" w:hAnsi="宋体" w:eastAsia="宋体" w:cs="宋体"/>
          <w:sz w:val="24"/>
        </w:rPr>
        <w:t>（3）硬件问题</w:t>
      </w:r>
    </w:p>
    <w:p>
      <w:pPr>
        <w:spacing w:line="360" w:lineRule="auto"/>
        <w:ind w:firstLine="420" w:firstLineChars="0"/>
        <w:rPr>
          <w:rFonts w:ascii="宋体" w:hAnsi="宋体" w:eastAsia="宋体" w:cs="宋体"/>
          <w:sz w:val="24"/>
        </w:rPr>
      </w:pPr>
      <w:r>
        <w:rPr>
          <w:rFonts w:hint="eastAsia" w:ascii="宋体" w:hAnsi="宋体" w:eastAsia="宋体" w:cs="宋体"/>
          <w:sz w:val="24"/>
        </w:rPr>
        <w:t>非我公司产品本身的原因(包括甲方硬件故障、服务器迁移、病毒感染等)而出现的问题,如用户请求我公司技术人员前往提供现场技术服务，则我公司技术人员协助用户处理。</w:t>
      </w:r>
    </w:p>
    <w:p>
      <w:pPr>
        <w:spacing w:line="360" w:lineRule="auto"/>
        <w:rPr>
          <w:rFonts w:ascii="宋体" w:hAnsi="宋体" w:eastAsia="宋体" w:cs="宋体"/>
          <w:sz w:val="24"/>
        </w:rPr>
      </w:pPr>
      <w:r>
        <w:rPr>
          <w:rFonts w:hint="eastAsia" w:ascii="宋体" w:hAnsi="宋体" w:eastAsia="宋体" w:cs="宋体"/>
          <w:sz w:val="24"/>
        </w:rPr>
        <w:t>（4）版本升级和数据更新</w:t>
      </w:r>
    </w:p>
    <w:p>
      <w:pPr>
        <w:spacing w:line="360" w:lineRule="auto"/>
        <w:ind w:firstLine="420" w:firstLineChars="0"/>
        <w:rPr>
          <w:rFonts w:ascii="宋体" w:hAnsi="宋体" w:eastAsia="宋体" w:cs="宋体"/>
          <w:sz w:val="24"/>
        </w:rPr>
      </w:pPr>
      <w:r>
        <w:rPr>
          <w:rFonts w:hint="eastAsia" w:ascii="宋体" w:hAnsi="宋体" w:eastAsia="宋体" w:cs="宋体"/>
          <w:sz w:val="24"/>
        </w:rPr>
        <w:t>包括软件系统维护和版本升级服务；随书光盘数据推送服务。</w:t>
      </w:r>
    </w:p>
    <w:p>
      <w:pPr>
        <w:spacing w:line="360" w:lineRule="auto"/>
        <w:rPr>
          <w:rFonts w:ascii="宋体" w:hAnsi="宋体" w:eastAsia="宋体" w:cs="宋体"/>
          <w:sz w:val="24"/>
        </w:rPr>
      </w:pPr>
      <w:r>
        <w:rPr>
          <w:rFonts w:hint="eastAsia" w:ascii="宋体" w:hAnsi="宋体" w:eastAsia="宋体" w:cs="宋体"/>
          <w:sz w:val="24"/>
        </w:rPr>
        <w:t>（5）系统功能修改</w:t>
      </w:r>
    </w:p>
    <w:p>
      <w:pPr>
        <w:pStyle w:val="8"/>
        <w:ind w:firstLine="420" w:firstLineChars="0"/>
        <w:rPr>
          <w:rFonts w:hint="eastAsia" w:ascii="宋体" w:cs="宋体"/>
          <w:b/>
          <w:sz w:val="24"/>
        </w:rPr>
      </w:pPr>
      <w:r>
        <w:rPr>
          <w:rFonts w:hint="eastAsia" w:ascii="宋体" w:hAnsi="宋体" w:eastAsia="宋体" w:cs="宋体"/>
          <w:sz w:val="24"/>
        </w:rPr>
        <w:t>在我公司提供服务期间，用户可对软件功能提出修改要求，在不影响软件产品统一性、通用性的情况下，我公司可以提供免费修改支持，并采用相关技术标准规范进一步扩充和加强该软件系统的功能。如用户提出个性化的特殊需求，涉及到系统的二次开发，则我公司将核算成本适当收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3D71F11"/>
    <w:rsid w:val="0DD26DD4"/>
    <w:rsid w:val="12311B9F"/>
    <w:rsid w:val="13AD5797"/>
    <w:rsid w:val="16A20E02"/>
    <w:rsid w:val="23B10C3E"/>
    <w:rsid w:val="24B86CDB"/>
    <w:rsid w:val="3D0E228D"/>
    <w:rsid w:val="3F2731D2"/>
    <w:rsid w:val="58B81CB3"/>
    <w:rsid w:val="61F23AAA"/>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5">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semiHidden/>
    <w:unhideWhenUsed/>
    <w:qFormat/>
    <w:uiPriority w:val="9"/>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firstLine="200" w:firstLineChars="200"/>
    </w:pPr>
    <w:rPr>
      <w:szCs w:val="24"/>
    </w:rPr>
  </w:style>
  <w:style w:type="paragraph" w:styleId="3">
    <w:name w:val="Body Text Indent"/>
    <w:basedOn w:val="1"/>
    <w:qFormat/>
    <w:uiPriority w:val="0"/>
    <w:pPr>
      <w:spacing w:line="300" w:lineRule="auto"/>
      <w:ind w:firstLine="420"/>
    </w:pPr>
    <w:rPr>
      <w:szCs w:val="20"/>
    </w:rPr>
  </w:style>
  <w:style w:type="paragraph" w:styleId="7">
    <w:name w:val="Normal Indent"/>
    <w:basedOn w:val="1"/>
    <w:qFormat/>
    <w:uiPriority w:val="0"/>
    <w:pPr>
      <w:spacing w:before="25" w:beforeLines="25" w:after="60" w:line="0" w:lineRule="atLeast"/>
      <w:ind w:firstLine="200" w:firstLineChars="200"/>
    </w:pPr>
  </w:style>
  <w:style w:type="paragraph" w:styleId="8">
    <w:name w:val="Body Text"/>
    <w:basedOn w:val="1"/>
    <w:qFormat/>
    <w:uiPriority w:val="0"/>
    <w:pPr>
      <w:spacing w:line="360" w:lineRule="auto"/>
    </w:pPr>
    <w:rPr>
      <w:color w:val="000000"/>
      <w:sz w:val="24"/>
    </w:rPr>
  </w:style>
  <w:style w:type="paragraph" w:styleId="9">
    <w:name w:val="footer"/>
    <w:basedOn w:val="1"/>
    <w:qFormat/>
    <w:uiPriority w:val="0"/>
    <w:pPr>
      <w:tabs>
        <w:tab w:val="center" w:pos="4153"/>
        <w:tab w:val="right" w:pos="8306"/>
      </w:tabs>
      <w:snapToGrid w:val="0"/>
      <w:jc w:val="left"/>
    </w:pPr>
    <w:rPr>
      <w:rFonts w:cs="Arial"/>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3">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10</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2023-09-14T08:42:34Z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9F1FA559BF94473CB2B8623E3144154C_13</vt:lpwstr>
  </property>
</Properties>
</file>