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ascii="宋体" w:hAnsi="宋体" w:cs="宋体"/>
          <w:color w:val="auto"/>
        </w:rPr>
      </w:pPr>
    </w:p>
    <w:p>
      <w:pPr>
        <w:widowControl/>
        <w:spacing w:line="720" w:lineRule="auto"/>
        <w:jc w:val="center"/>
        <w:rPr>
          <w:rFonts w:hint="eastAsia" w:ascii="宋体" w:hAnsi="宋体" w:cs="宋体"/>
          <w:b/>
          <w:color w:val="auto"/>
          <w:sz w:val="52"/>
          <w:szCs w:val="52"/>
        </w:rPr>
      </w:pPr>
      <w:r>
        <w:rPr>
          <w:rFonts w:hint="eastAsia" w:ascii="宋体" w:hAnsi="宋体" w:cs="宋体"/>
          <w:b/>
          <w:color w:val="auto"/>
          <w:sz w:val="52"/>
          <w:szCs w:val="52"/>
        </w:rPr>
        <w:t>河南省信阳监狱购置医疗设备项目</w:t>
      </w:r>
    </w:p>
    <w:p>
      <w:pPr>
        <w:widowControl/>
        <w:jc w:val="center"/>
        <w:rPr>
          <w:rFonts w:ascii="宋体" w:hAnsi="宋体" w:cs="宋体"/>
          <w:b/>
          <w:color w:val="auto"/>
          <w:sz w:val="44"/>
          <w:szCs w:val="44"/>
        </w:rPr>
      </w:pPr>
    </w:p>
    <w:p>
      <w:pPr>
        <w:widowControl/>
        <w:jc w:val="center"/>
        <w:rPr>
          <w:rFonts w:ascii="宋体" w:hAnsi="宋体" w:cs="宋体"/>
          <w:b/>
          <w:color w:val="auto"/>
          <w:sz w:val="44"/>
          <w:szCs w:val="44"/>
        </w:rPr>
      </w:pPr>
    </w:p>
    <w:p>
      <w:pPr>
        <w:widowControl/>
        <w:jc w:val="center"/>
        <w:rPr>
          <w:rFonts w:ascii="宋体" w:hAnsi="宋体" w:cs="宋体"/>
          <w:b/>
          <w:color w:val="auto"/>
          <w:sz w:val="40"/>
          <w:szCs w:val="40"/>
        </w:rPr>
      </w:pPr>
      <w:r>
        <w:rPr>
          <w:rFonts w:hint="eastAsia" w:ascii="宋体" w:hAnsi="宋体" w:cs="宋体"/>
          <w:b/>
          <w:color w:val="auto"/>
          <w:sz w:val="112"/>
          <w:szCs w:val="112"/>
        </w:rPr>
        <w:t>招 标 文 件</w:t>
      </w:r>
    </w:p>
    <w:p>
      <w:pPr>
        <w:widowControl/>
        <w:jc w:val="center"/>
        <w:rPr>
          <w:rFonts w:hint="default" w:ascii="宋体" w:hAnsi="宋体" w:eastAsia="宋体" w:cs="宋体"/>
          <w:color w:val="auto"/>
          <w:sz w:val="32"/>
          <w:szCs w:val="32"/>
          <w:lang w:val="en-US" w:eastAsia="zh-CN"/>
        </w:rPr>
      </w:pPr>
      <w:r>
        <w:rPr>
          <w:rFonts w:hint="eastAsia" w:ascii="宋体" w:hAnsi="宋体" w:cs="宋体"/>
          <w:b/>
          <w:color w:val="auto"/>
          <w:sz w:val="32"/>
          <w:szCs w:val="32"/>
          <w:lang w:eastAsia="zh-CN"/>
        </w:rPr>
        <w:t>项目</w:t>
      </w:r>
      <w:r>
        <w:rPr>
          <w:rFonts w:hint="eastAsia" w:ascii="宋体" w:hAnsi="宋体" w:cs="宋体"/>
          <w:b/>
          <w:color w:val="auto"/>
          <w:sz w:val="32"/>
          <w:szCs w:val="32"/>
        </w:rPr>
        <w:t>编号：豫财招标采购-202</w:t>
      </w:r>
      <w:r>
        <w:rPr>
          <w:rFonts w:hint="eastAsia" w:ascii="宋体" w:hAnsi="宋体" w:cs="宋体"/>
          <w:b/>
          <w:color w:val="auto"/>
          <w:sz w:val="32"/>
          <w:szCs w:val="32"/>
          <w:lang w:val="en-US" w:eastAsia="zh-CN"/>
        </w:rPr>
        <w:t>3</w:t>
      </w:r>
      <w:r>
        <w:rPr>
          <w:rFonts w:hint="eastAsia" w:ascii="宋体" w:hAnsi="宋体" w:cs="宋体"/>
          <w:b/>
          <w:color w:val="auto"/>
          <w:sz w:val="32"/>
          <w:szCs w:val="32"/>
        </w:rPr>
        <w:t>-</w:t>
      </w:r>
      <w:r>
        <w:rPr>
          <w:rFonts w:hint="eastAsia" w:ascii="宋体" w:hAnsi="宋体" w:cs="宋体"/>
          <w:b/>
          <w:color w:val="auto"/>
          <w:sz w:val="32"/>
          <w:szCs w:val="32"/>
          <w:lang w:val="en-US" w:eastAsia="zh-CN"/>
        </w:rPr>
        <w:t>811</w:t>
      </w:r>
    </w:p>
    <w:p>
      <w:pPr>
        <w:rPr>
          <w:rFonts w:ascii="宋体" w:hAnsi="宋体" w:cs="宋体"/>
          <w:color w:val="auto"/>
        </w:rPr>
      </w:pPr>
    </w:p>
    <w:p>
      <w:pPr>
        <w:tabs>
          <w:tab w:val="left" w:pos="840"/>
        </w:tabs>
        <w:jc w:val="center"/>
        <w:rPr>
          <w:rFonts w:ascii="宋体" w:hAnsi="宋体" w:cs="宋体"/>
          <w:color w:val="auto"/>
        </w:rPr>
      </w:pPr>
      <w:r>
        <w:rPr>
          <w:rFonts w:hint="eastAsia" w:ascii="宋体" w:hAnsi="宋体" w:cs="宋体"/>
          <w:color w:val="auto"/>
        </w:rPr>
        <w:drawing>
          <wp:inline distT="0" distB="0" distL="114300" distR="114300">
            <wp:extent cx="1849120" cy="1885950"/>
            <wp:effectExtent l="0" t="0" r="17780" b="0"/>
            <wp:docPr id="3" name="Picutre 1"/>
            <wp:cNvGraphicFramePr/>
            <a:graphic xmlns:a="http://schemas.openxmlformats.org/drawingml/2006/main">
              <a:graphicData uri="http://schemas.openxmlformats.org/drawingml/2006/picture">
                <pic:pic xmlns:pic="http://schemas.openxmlformats.org/drawingml/2006/picture">
                  <pic:nvPicPr>
                    <pic:cNvPr id="3" name="Picutre 1"/>
                    <pic:cNvPicPr/>
                  </pic:nvPicPr>
                  <pic:blipFill>
                    <a:blip r:embed="rId7" cstate="print"/>
                    <a:stretch>
                      <a:fillRect/>
                    </a:stretch>
                  </pic:blipFill>
                  <pic:spPr>
                    <a:xfrm>
                      <a:off x="0" y="0"/>
                      <a:ext cx="1849120" cy="1885950"/>
                    </a:xfrm>
                    <a:prstGeom prst="rect">
                      <a:avLst/>
                    </a:prstGeom>
                  </pic:spPr>
                </pic:pic>
              </a:graphicData>
            </a:graphic>
          </wp:inline>
        </w:drawing>
      </w:r>
    </w:p>
    <w:p>
      <w:pPr>
        <w:rPr>
          <w:color w:val="auto"/>
        </w:rPr>
      </w:pPr>
    </w:p>
    <w:p>
      <w:pPr>
        <w:rPr>
          <w:color w:val="auto"/>
        </w:rPr>
      </w:pPr>
    </w:p>
    <w:p>
      <w:pPr>
        <w:widowControl/>
        <w:spacing w:line="600" w:lineRule="auto"/>
        <w:ind w:firstLine="1446" w:firstLineChars="400"/>
        <w:rPr>
          <w:rFonts w:ascii="宋体" w:hAnsi="宋体" w:cs="宋体"/>
          <w:b/>
          <w:color w:val="auto"/>
          <w:sz w:val="36"/>
          <w:szCs w:val="36"/>
        </w:rPr>
      </w:pPr>
      <w:r>
        <w:rPr>
          <w:rFonts w:hint="eastAsia" w:ascii="宋体" w:hAnsi="宋体" w:cs="宋体"/>
          <w:b/>
          <w:color w:val="auto"/>
          <w:sz w:val="36"/>
          <w:szCs w:val="36"/>
        </w:rPr>
        <w:t>采 购 人：河南省信阳监狱</w:t>
      </w:r>
    </w:p>
    <w:p>
      <w:pPr>
        <w:widowControl/>
        <w:spacing w:line="600" w:lineRule="auto"/>
        <w:ind w:firstLine="1446" w:firstLineChars="400"/>
        <w:rPr>
          <w:rFonts w:ascii="宋体" w:hAnsi="宋体" w:cs="宋体"/>
          <w:b/>
          <w:color w:val="auto"/>
          <w:sz w:val="36"/>
          <w:szCs w:val="36"/>
        </w:rPr>
      </w:pPr>
      <w:r>
        <w:rPr>
          <w:rFonts w:hint="eastAsia" w:ascii="宋体" w:hAnsi="宋体" w:cs="宋体"/>
          <w:b/>
          <w:color w:val="auto"/>
          <w:sz w:val="36"/>
          <w:szCs w:val="36"/>
        </w:rPr>
        <w:t>代理机构：欧邦工程管理集团有限公司</w:t>
      </w:r>
    </w:p>
    <w:p>
      <w:pPr>
        <w:widowControl/>
        <w:spacing w:line="600" w:lineRule="auto"/>
        <w:ind w:firstLine="1446" w:firstLineChars="400"/>
        <w:rPr>
          <w:rFonts w:hint="eastAsia" w:ascii="宋体" w:hAnsi="宋体" w:cs="宋体"/>
          <w:b/>
          <w:color w:val="auto"/>
          <w:sz w:val="36"/>
          <w:szCs w:val="36"/>
        </w:rPr>
      </w:pPr>
      <w:r>
        <w:rPr>
          <w:rFonts w:hint="eastAsia" w:ascii="宋体" w:hAnsi="宋体" w:cs="宋体"/>
          <w:b/>
          <w:color w:val="auto"/>
          <w:sz w:val="36"/>
          <w:szCs w:val="36"/>
        </w:rPr>
        <w:t>日    期：二〇二</w:t>
      </w:r>
      <w:r>
        <w:rPr>
          <w:rFonts w:hint="eastAsia" w:ascii="宋体" w:hAnsi="宋体" w:cs="宋体"/>
          <w:b/>
          <w:color w:val="auto"/>
          <w:sz w:val="36"/>
          <w:szCs w:val="36"/>
          <w:lang w:eastAsia="zh-CN"/>
        </w:rPr>
        <w:t>三</w:t>
      </w:r>
      <w:r>
        <w:rPr>
          <w:rFonts w:hint="eastAsia" w:ascii="宋体" w:hAnsi="宋体" w:cs="宋体"/>
          <w:b/>
          <w:color w:val="auto"/>
          <w:sz w:val="36"/>
          <w:szCs w:val="36"/>
        </w:rPr>
        <w:t>年</w:t>
      </w:r>
      <w:r>
        <w:rPr>
          <w:rFonts w:hint="eastAsia" w:ascii="宋体" w:hAnsi="宋体" w:cs="宋体"/>
          <w:b/>
          <w:color w:val="auto"/>
          <w:sz w:val="36"/>
          <w:szCs w:val="36"/>
          <w:lang w:eastAsia="zh-CN"/>
        </w:rPr>
        <w:t>八</w:t>
      </w:r>
      <w:r>
        <w:rPr>
          <w:rFonts w:hint="eastAsia" w:ascii="宋体" w:hAnsi="宋体" w:cs="宋体"/>
          <w:b/>
          <w:color w:val="auto"/>
          <w:sz w:val="36"/>
          <w:szCs w:val="36"/>
        </w:rPr>
        <w:t>月</w:t>
      </w:r>
    </w:p>
    <w:p>
      <w:pPr>
        <w:widowControl/>
        <w:spacing w:line="600" w:lineRule="auto"/>
        <w:rPr>
          <w:rFonts w:hint="eastAsia" w:ascii="宋体" w:hAnsi="宋体" w:cs="宋体"/>
          <w:b/>
          <w:color w:val="auto"/>
          <w:sz w:val="36"/>
          <w:szCs w:val="36"/>
        </w:rPr>
        <w:sectPr>
          <w:pgSz w:w="11906" w:h="16838"/>
          <w:pgMar w:top="1440" w:right="1800" w:bottom="1440" w:left="1800" w:header="851" w:footer="992" w:gutter="0"/>
          <w:cols w:space="425" w:num="1"/>
          <w:docGrid w:type="lines" w:linePitch="312" w:charSpace="0"/>
        </w:sectPr>
      </w:pPr>
    </w:p>
    <w:p>
      <w:pPr>
        <w:pStyle w:val="2"/>
        <w:numPr>
          <w:ilvl w:val="0"/>
          <w:numId w:val="0"/>
        </w:numPr>
        <w:jc w:val="center"/>
        <w:rPr>
          <w:rFonts w:ascii="宋体" w:hAnsi="宋体" w:cs="宋体"/>
          <w:b/>
          <w:color w:val="auto"/>
          <w:sz w:val="36"/>
          <w:szCs w:val="36"/>
        </w:rPr>
      </w:pPr>
      <w:bookmarkStart w:id="0" w:name="_Toc4763"/>
      <w:bookmarkStart w:id="1" w:name="_Toc16842"/>
      <w:r>
        <w:rPr>
          <w:rFonts w:hint="eastAsia" w:ascii="宋体" w:hAnsi="宋体" w:cs="宋体"/>
          <w:b/>
          <w:color w:val="auto"/>
          <w:sz w:val="36"/>
          <w:szCs w:val="36"/>
        </w:rPr>
        <w:t>特别提示</w:t>
      </w:r>
      <w:bookmarkEnd w:id="0"/>
      <w:bookmarkEnd w:id="1"/>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本投标项目通过《河南省公共资源交易中心》（http://www.hnggzy.net/）进行全电子化招标采购。投标供应商应登录《河南省公共资源交易中心网站》进行电子注册、注册成为《河南省公共资源交易中心》会员并取得CA密钥后，方能参与政府采购活动。具体流程如下：</w:t>
      </w:r>
    </w:p>
    <w:p>
      <w:pPr>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ascii="宋体" w:hAnsi="宋体" w:eastAsia="宋体" w:cs="宋体"/>
          <w:b/>
          <w:bCs/>
          <w:color w:val="auto"/>
        </w:rPr>
      </w:pPr>
      <w:r>
        <w:rPr>
          <w:rFonts w:hint="eastAsia" w:ascii="宋体" w:hAnsi="宋体" w:eastAsia="宋体" w:cs="宋体"/>
          <w:b/>
          <w:bCs/>
          <w:color w:val="auto"/>
        </w:rPr>
        <w:t>1、投标供应商初次登记注册</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1.1 注册用户名及密码登录河南省公共资源交易中心网站（http://www.hnggzy.net/，以下简称中心网站），点击首页左上角【注册】按钮进入“河南省公共资源交易中心-市场主体系统”，先阅读《市场主体信息登记操作手册》了解具体操作流程，再点击【免费注册】，同意《注册协议》后，进入市场主体注册界面，填写注册信息并选择相应的市场主体类型，注册完成后获得用户名及密码。</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1.2 办理CA数字证书河南省公共资源交易中心各交易主体如需办理CA数字证书业务的，可通过以下链接（http://xaca.hnxaca.com:8081/online/ggzyApply/index.shtml）在线办理，点击交易中心登录入口CA自助激活。各交易主体亦可通过信安CA各线下服务网点办理数字证书业务。</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1.3 登记基本信息点击中心网站首页的【市场主体登录】按钮，使用CA数字证书登录“河南省公共资源交易中心-市场主体系统”，录入基本信息并扫描上传相关证件。</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1.4 详情见河南省公共资源交易中心网站办事指南。</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1.5 CA密钥办理地址为郑州市龙子湖平安大道与明理路交叉口西南角博雅广场4号楼15楼，咨询客服电话：0371-96596-0转人工。</w:t>
      </w:r>
    </w:p>
    <w:p>
      <w:pPr>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ascii="宋体" w:hAnsi="宋体" w:eastAsia="宋体" w:cs="宋体"/>
          <w:b/>
          <w:bCs/>
          <w:color w:val="auto"/>
        </w:rPr>
      </w:pPr>
      <w:r>
        <w:rPr>
          <w:rFonts w:hint="eastAsia" w:ascii="宋体" w:hAnsi="宋体" w:eastAsia="宋体" w:cs="宋体"/>
          <w:b/>
          <w:bCs/>
          <w:color w:val="auto"/>
        </w:rPr>
        <w:t>2、投标文件制作</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2.1 投标供应商使用CA数字证书登录《河南省公共资源交易中心网》（http://www.hnggzy.net/）网站公共服务（办事指南及下载专区）：下载“投标文件制作工具安装包压缩文件下载”等。</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2.2 不见面服务的具体事宜请查阅河南省公共资源交易中心网站“办事指南”专区的“新交易平台使用手册（培训资料）”。</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2.3 投标供应商须在投标文件递交截止时间前制作并提交：加密的电子投标文件（*.hntf格式）,应在投标文件截止时间前通过“河南省公共资源交易中（http://www.hnggzy.net/）”电子交易平台内上传；投标文件以最终上传电子文件为准。</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2.4 加密的电子投标文件为“河南省公共资源交易中心（http://www.hnggzy.</w:t>
      </w:r>
      <w:r>
        <w:rPr>
          <w:rFonts w:hint="eastAsia" w:ascii="宋体" w:hAnsi="宋体" w:eastAsia="宋体" w:cs="宋体"/>
          <w:color w:val="auto"/>
          <w:lang w:val="en-US" w:eastAsia="zh-CN"/>
        </w:rPr>
        <w:t>n</w:t>
      </w:r>
      <w:r>
        <w:rPr>
          <w:rFonts w:hint="eastAsia" w:ascii="宋体" w:hAnsi="宋体" w:eastAsia="宋体" w:cs="宋体"/>
          <w:color w:val="auto"/>
        </w:rPr>
        <w:t>et/）”网站提供的“投标文件制作工具”软件制作生成的加密版投标文件。</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2.5 投标供应商在制作电子投标文件时，“投标文件制作工具”左侧栏目“封面”、“开标一览表”制作完成后须加盖电子签章（包括企业电子签章和个人电子签章）；左侧栏目“投标正文”中的内容：投标文件商务部分格式、投标文件技术部分格式按格式要求电子签章（包括企业电子签章、个人电子签章），并将所有扫描内容（包括营业执照、资质证书、财务报告、纳税凭证等）电子签章（企业电子签章）。电子投标文件中的图片应使用扫描件，投标供应商应合理设置图片大小，保证投标文件总容量不至于过大，避免影响顺利上传。</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2.6 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2.7 投标文件以外的任何资料采购人和招标代理机构将拒收。</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2.8 投标供应商编辑电子投标文件时，根据招标文件要求用法人CA密钥和企业CA密钥进行签章制作；最后一步生成电子投标文件（*.hntf格式）时，只能用本单位的企业CA密钥。电子投标文件上传成功后，请自行打印“网上投标回执单”。</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2.9 由于投标供应商原因，未按要求制作、上传、加密电子投标文件，造成文件上传失败的，责任由投标供应商承担。</w:t>
      </w:r>
    </w:p>
    <w:p>
      <w:pPr>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ascii="宋体" w:hAnsi="宋体" w:eastAsia="宋体" w:cs="宋体"/>
          <w:b/>
          <w:bCs/>
          <w:color w:val="auto"/>
        </w:rPr>
      </w:pPr>
      <w:r>
        <w:rPr>
          <w:rFonts w:hint="eastAsia" w:ascii="宋体" w:hAnsi="宋体" w:eastAsia="宋体" w:cs="宋体"/>
          <w:b/>
          <w:bCs/>
          <w:color w:val="auto"/>
        </w:rPr>
        <w:t>3、澄清与变更</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3.1 采购人、招标代理机构对已发出的招标文件进行的答疑、澄清，答疑、澄清的内容将作为招标文件的组成部分。招标代理机构将通过网站“变更公告”和系统内部“答疑文件”告知投标供应商，对于各项目中已经成功报名并下载招标文件的项目投标供应商，系统将通过第三方短信群发方式提醒投标供应商进行查询。</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3.2 各投标供应商须重新下载最新的招标文件和答疑文件，以此编制投标文件。投标供应商注册时所留手机联系方式要保持畅通，因联系方式变更而未及时更新系统内联系方式的，将会造成收不到短信。此短信仅系友情提示，并不具有任何约束性和必要性，招标代理机构不承担投标供应商未收到短信而引起的一切后果和法律责任。</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3.3 因河南省公共资源交易中心平台在开标前具有保密性，投标供应商在投标文件递交截止时间前须自行查看项目进展、变更通知、澄清及回复，因投标供应商未及时查看而造成的后果自负。</w:t>
      </w:r>
    </w:p>
    <w:p>
      <w:pPr>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ascii="宋体" w:hAnsi="宋体" w:eastAsia="宋体" w:cs="宋体"/>
          <w:b/>
          <w:bCs/>
          <w:color w:val="auto"/>
        </w:rPr>
      </w:pPr>
      <w:r>
        <w:rPr>
          <w:rFonts w:hint="eastAsia" w:ascii="宋体" w:hAnsi="宋体" w:eastAsia="宋体" w:cs="宋体"/>
          <w:b/>
          <w:bCs/>
          <w:color w:val="auto"/>
        </w:rPr>
        <w:t>4、开标</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rPr>
      </w:pPr>
      <w:r>
        <w:rPr>
          <w:rFonts w:hint="eastAsia" w:ascii="宋体" w:hAnsi="宋体" w:eastAsia="宋体" w:cs="宋体"/>
          <w:color w:val="auto"/>
        </w:rPr>
        <w:t>本项目采用“远程不见面”开标方式，远程开标大厅网址为http://hnsggzyjy.henan.gov.cn/BidOpening/bidopeninghallaction/hall/login，投标供应商无需到河南省公共资源交易中心现场参加开标会议，无需到达现场提交原件资料。投标供应商应当在投标文件递交截止时间前，登录远程开标大厅，在线准时参加开标活动并进行投标文件解密等。各投标供应商应在规定时间内对本单位的投标文件进行解密，因加密电子投标文件未能上传成功或未在规定时间内解密的，其投标将被拒绝。不见面服务的具体事宜请查阅河南省公共资源交易中心网站“办事指南”专区的《河南省公共资源交易平台不见面服务系统使用指南》。</w:t>
      </w:r>
    </w:p>
    <w:p>
      <w:pPr>
        <w:rPr>
          <w:color w:val="auto"/>
        </w:rPr>
      </w:pPr>
    </w:p>
    <w:p>
      <w:pPr>
        <w:rPr>
          <w:color w:val="auto"/>
        </w:rPr>
      </w:pPr>
    </w:p>
    <w:p>
      <w:pPr>
        <w:rPr>
          <w:color w:val="auto"/>
        </w:rPr>
      </w:pPr>
    </w:p>
    <w:p>
      <w:pPr>
        <w:rPr>
          <w:color w:val="auto"/>
        </w:rPr>
        <w:sectPr>
          <w:pgSz w:w="11906" w:h="16838"/>
          <w:pgMar w:top="1440" w:right="1800" w:bottom="1440" w:left="1800" w:header="851" w:footer="992" w:gutter="0"/>
          <w:cols w:space="425" w:num="1"/>
          <w:docGrid w:type="lines" w:linePitch="312" w:charSpace="0"/>
        </w:sectPr>
      </w:pPr>
    </w:p>
    <w:p>
      <w:pPr>
        <w:jc w:val="center"/>
        <w:rPr>
          <w:rFonts w:hint="eastAsia" w:eastAsia="宋体"/>
          <w:b/>
          <w:bCs/>
          <w:color w:val="auto"/>
          <w:sz w:val="36"/>
          <w:szCs w:val="36"/>
          <w:lang w:eastAsia="zh-CN"/>
        </w:rPr>
      </w:pPr>
      <w:r>
        <w:rPr>
          <w:rFonts w:hint="eastAsia"/>
          <w:b/>
          <w:bCs/>
          <w:color w:val="auto"/>
          <w:sz w:val="36"/>
          <w:szCs w:val="36"/>
          <w:lang w:eastAsia="zh-CN"/>
        </w:rPr>
        <w:t>目</w:t>
      </w:r>
      <w:r>
        <w:rPr>
          <w:rFonts w:hint="eastAsia"/>
          <w:b/>
          <w:bCs/>
          <w:color w:val="auto"/>
          <w:sz w:val="36"/>
          <w:szCs w:val="36"/>
          <w:lang w:val="en-US" w:eastAsia="zh-CN"/>
        </w:rPr>
        <w:t xml:space="preserve">  </w:t>
      </w:r>
      <w:r>
        <w:rPr>
          <w:rFonts w:hint="eastAsia"/>
          <w:b/>
          <w:bCs/>
          <w:color w:val="auto"/>
          <w:sz w:val="36"/>
          <w:szCs w:val="36"/>
          <w:lang w:eastAsia="zh-CN"/>
        </w:rPr>
        <w:t>录</w:t>
      </w:r>
    </w:p>
    <w:p>
      <w:pPr>
        <w:pStyle w:val="12"/>
        <w:tabs>
          <w:tab w:val="right" w:leader="dot" w:pos="8306"/>
        </w:tabs>
        <w:spacing w:line="480" w:lineRule="auto"/>
        <w:rPr>
          <w:rFonts w:hint="eastAsia" w:ascii="宋体" w:hAnsi="宋体" w:eastAsia="宋体" w:cs="宋体"/>
          <w:color w:val="auto"/>
          <w:sz w:val="28"/>
          <w:szCs w:val="28"/>
        </w:rPr>
      </w:pPr>
      <w:r>
        <w:rPr>
          <w:color w:val="auto"/>
        </w:rPr>
        <w:fldChar w:fldCharType="begin"/>
      </w:r>
      <w:r>
        <w:rPr>
          <w:color w:val="auto"/>
        </w:rPr>
        <w:instrText xml:space="preserve">TOC \o "1-2" \h \u </w:instrText>
      </w:r>
      <w:r>
        <w:rPr>
          <w:color w:val="auto"/>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_Toc30238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eastAsia="zh-CN"/>
        </w:rPr>
        <w:t>第一章</w:t>
      </w:r>
      <w:r>
        <w:rPr>
          <w:rFonts w:hint="eastAsia" w:ascii="宋体" w:hAnsi="宋体" w:eastAsia="宋体" w:cs="宋体"/>
          <w:color w:val="auto"/>
          <w:sz w:val="28"/>
          <w:szCs w:val="28"/>
          <w:lang w:val="en-US" w:eastAsia="zh-CN"/>
        </w:rPr>
        <w:t xml:space="preserve">  招标公告</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_Toc30238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2"/>
        <w:tabs>
          <w:tab w:val="right" w:leader="dot" w:pos="8306"/>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_Toc24532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eastAsia="zh-CN"/>
        </w:rPr>
        <w:t>第二章</w:t>
      </w:r>
      <w:r>
        <w:rPr>
          <w:rFonts w:hint="eastAsia" w:ascii="宋体" w:hAnsi="宋体" w:eastAsia="宋体" w:cs="宋体"/>
          <w:color w:val="auto"/>
          <w:sz w:val="28"/>
          <w:szCs w:val="28"/>
          <w:lang w:val="en-US" w:eastAsia="zh-CN"/>
        </w:rPr>
        <w:t xml:space="preserve">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_Toc24532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2"/>
        <w:tabs>
          <w:tab w:val="right" w:leader="dot" w:pos="8306"/>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_Toc19069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第三章  资格性审查表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_Toc19069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2"/>
        <w:tabs>
          <w:tab w:val="right" w:leader="dot" w:pos="8306"/>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第四章  符合性审查表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2"/>
        <w:tabs>
          <w:tab w:val="right" w:leader="dot" w:pos="8306"/>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_Toc22696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第五章  评标办法（综合评分法）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_Toc22696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2"/>
        <w:tabs>
          <w:tab w:val="right" w:leader="dot" w:pos="8306"/>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_Toc4007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第六章  合同条款及格式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_Toc4007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2"/>
        <w:tabs>
          <w:tab w:val="right" w:leader="dot" w:pos="8306"/>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_Toc11237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eastAsia="zh-CN"/>
        </w:rPr>
        <w:t>第七章</w:t>
      </w:r>
      <w:r>
        <w:rPr>
          <w:rFonts w:hint="eastAsia" w:ascii="宋体" w:hAnsi="宋体" w:eastAsia="宋体" w:cs="宋体"/>
          <w:color w:val="auto"/>
          <w:sz w:val="28"/>
          <w:szCs w:val="28"/>
          <w:lang w:val="en-US" w:eastAsia="zh-CN"/>
        </w:rPr>
        <w:t xml:space="preserve">  项目采购需求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_Toc11237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2"/>
        <w:tabs>
          <w:tab w:val="right" w:leader="dot" w:pos="8306"/>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_Toc24618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第八章  投标文件格式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_Toc24618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13"/>
        <w:tabs>
          <w:tab w:val="right" w:leader="dot" w:pos="8306"/>
        </w:tabs>
        <w:rPr>
          <w:color w:val="auto"/>
        </w:rPr>
      </w:pPr>
    </w:p>
    <w:p>
      <w:pPr>
        <w:rPr>
          <w:color w:val="auto"/>
        </w:rPr>
      </w:pPr>
      <w:r>
        <w:rPr>
          <w:color w:val="auto"/>
        </w:rPr>
        <w:fldChar w:fldCharType="end"/>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sectPr>
          <w:pgSz w:w="11906" w:h="16838"/>
          <w:pgMar w:top="1440" w:right="1800" w:bottom="1440" w:left="1800" w:header="851" w:footer="992" w:gutter="0"/>
          <w:cols w:space="425" w:num="1"/>
          <w:docGrid w:type="lines" w:linePitch="312" w:charSpace="0"/>
        </w:sectPr>
      </w:pPr>
    </w:p>
    <w:p>
      <w:pPr>
        <w:pStyle w:val="2"/>
        <w:numPr>
          <w:ilvl w:val="0"/>
          <w:numId w:val="0"/>
        </w:numPr>
        <w:bidi w:val="0"/>
        <w:ind w:left="0" w:leftChars="0" w:firstLine="0" w:firstLineChars="0"/>
        <w:rPr>
          <w:rFonts w:hint="default"/>
          <w:color w:val="auto"/>
          <w:lang w:val="en-US" w:eastAsia="zh-CN"/>
        </w:rPr>
      </w:pPr>
      <w:bookmarkStart w:id="2" w:name="_Toc30238"/>
      <w:r>
        <w:rPr>
          <w:rFonts w:hint="eastAsia"/>
          <w:color w:val="auto"/>
          <w:lang w:eastAsia="zh-CN"/>
        </w:rPr>
        <w:t>第一章</w:t>
      </w:r>
      <w:r>
        <w:rPr>
          <w:rFonts w:hint="eastAsia"/>
          <w:color w:val="auto"/>
          <w:lang w:val="en-US" w:eastAsia="zh-CN"/>
        </w:rPr>
        <w:t xml:space="preserve">  招标公告</w:t>
      </w:r>
      <w:bookmarkEnd w:id="2"/>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8522" w:type="dxa"/>
          </w:tcPr>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vertAlign w:val="baseline"/>
              </w:rPr>
            </w:pPr>
            <w:r>
              <w:rPr>
                <w:rFonts w:hint="eastAsia" w:ascii="宋体" w:hAnsi="宋体" w:cs="宋体"/>
                <w:color w:val="auto"/>
                <w:sz w:val="24"/>
                <w:szCs w:val="24"/>
                <w:lang w:eastAsia="zh-CN"/>
              </w:rPr>
              <w:t>河南省信阳监狱购置医疗设备项目</w:t>
            </w:r>
            <w:r>
              <w:rPr>
                <w:rFonts w:hint="eastAsia" w:ascii="宋体" w:hAnsi="宋体" w:eastAsia="宋体" w:cs="宋体"/>
                <w:color w:val="auto"/>
                <w:sz w:val="24"/>
                <w:szCs w:val="24"/>
              </w:rPr>
              <w:t>招标项目的潜在投标人应在河南省公共资源交易中心网站（http://www.hnggzy.net/）获取招标文件，并于202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日09时00分（北京时间）前递交投标文件。</w:t>
            </w:r>
          </w:p>
        </w:tc>
      </w:tr>
    </w:tbl>
    <w:p>
      <w:pPr>
        <w:keepNext w:val="0"/>
        <w:keepLines w:val="0"/>
        <w:pageBreakBefore w:val="0"/>
        <w:widowControl w:val="0"/>
        <w:kinsoku/>
        <w:wordWrap w:val="0"/>
        <w:overflowPunct/>
        <w:topLinePunct w:val="0"/>
        <w:autoSpaceDE/>
        <w:autoSpaceDN/>
        <w:bidi w:val="0"/>
        <w:adjustRightInd/>
        <w:snapToGrid/>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一、项目基本情况</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1、项目编号：豫财招标采购-202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811</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2、项目名称：</w:t>
      </w:r>
      <w:r>
        <w:rPr>
          <w:rFonts w:hint="eastAsia" w:ascii="宋体" w:hAnsi="宋体" w:cs="宋体"/>
          <w:color w:val="auto"/>
          <w:sz w:val="24"/>
          <w:szCs w:val="24"/>
          <w:lang w:eastAsia="zh-CN"/>
        </w:rPr>
        <w:t>河南省信阳监狱购置医疗设备项目</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3、采购方式：公开招标</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4、资金来源：1551000.00元</w:t>
      </w:r>
    </w:p>
    <w:p>
      <w:pPr>
        <w:keepNext w:val="0"/>
        <w:keepLines w:val="0"/>
        <w:pageBreakBefore w:val="0"/>
        <w:widowControl w:val="0"/>
        <w:kinsoku/>
        <w:wordWrap w:val="0"/>
        <w:overflowPunct/>
        <w:topLinePunct w:val="0"/>
        <w:autoSpaceDE/>
        <w:autoSpaceDN/>
        <w:bidi w:val="0"/>
        <w:adjustRightInd/>
        <w:snapToGrid/>
        <w:ind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最高限价：1551000元</w:t>
      </w:r>
    </w:p>
    <w:tbl>
      <w:tblPr>
        <w:tblStyle w:val="18"/>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044"/>
        <w:gridCol w:w="1991"/>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序号</w:t>
            </w:r>
          </w:p>
        </w:tc>
        <w:tc>
          <w:tcPr>
            <w:tcW w:w="1044"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包号</w:t>
            </w:r>
          </w:p>
        </w:tc>
        <w:tc>
          <w:tcPr>
            <w:tcW w:w="1991"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包名称</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包预算</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（元）</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vertAlign w:val="baseline"/>
                <w:lang w:eastAsia="zh-CN"/>
              </w:rPr>
              <w:t>包最高限价（元）</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是否专门面向中小企业</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cs="宋体"/>
                <w:color w:val="auto"/>
                <w:sz w:val="24"/>
                <w:szCs w:val="24"/>
                <w:vertAlign w:val="baseline"/>
                <w:lang w:eastAsia="zh-CN"/>
              </w:rPr>
            </w:pPr>
            <w:r>
              <w:rPr>
                <w:rFonts w:hint="eastAsia" w:ascii="宋体" w:hAnsi="宋体" w:cs="宋体"/>
                <w:color w:val="auto"/>
                <w:sz w:val="24"/>
                <w:szCs w:val="24"/>
                <w:vertAlign w:val="baseline"/>
                <w:lang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39"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1044"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豫政采(2)20231301-1</w:t>
            </w:r>
          </w:p>
        </w:tc>
        <w:tc>
          <w:tcPr>
            <w:tcW w:w="1991"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eastAsia="zh-CN"/>
              </w:rPr>
            </w:pPr>
            <w:r>
              <w:rPr>
                <w:rFonts w:hint="eastAsia" w:ascii="宋体" w:hAnsi="宋体" w:cs="宋体"/>
                <w:color w:val="auto"/>
                <w:sz w:val="24"/>
                <w:szCs w:val="24"/>
                <w:lang w:eastAsia="zh-CN"/>
              </w:rPr>
              <w:t>河南省信阳监狱购置医疗设备项目</w:t>
            </w: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lang w:eastAsia="zh-CN"/>
              </w:rPr>
              <w:t>）</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1000000</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rPr>
            </w:pPr>
            <w:r>
              <w:rPr>
                <w:rFonts w:hint="eastAsia" w:ascii="宋体" w:hAnsi="宋体" w:cs="宋体"/>
                <w:color w:val="auto"/>
                <w:sz w:val="24"/>
                <w:szCs w:val="24"/>
                <w:vertAlign w:val="baseline"/>
                <w:lang w:val="en-US" w:eastAsia="zh-CN"/>
              </w:rPr>
              <w:t>1000000</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是</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739"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1044"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豫政采(2)20231301-2</w:t>
            </w:r>
          </w:p>
        </w:tc>
        <w:tc>
          <w:tcPr>
            <w:tcW w:w="1991"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rPr>
            </w:pPr>
            <w:r>
              <w:rPr>
                <w:rFonts w:hint="eastAsia" w:ascii="宋体" w:hAnsi="宋体" w:cs="宋体"/>
                <w:color w:val="auto"/>
                <w:sz w:val="24"/>
                <w:szCs w:val="24"/>
                <w:lang w:eastAsia="zh-CN"/>
              </w:rPr>
              <w:t>河南省信阳监狱购置医疗设备项目</w:t>
            </w: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lang w:eastAsia="zh-CN"/>
              </w:rPr>
              <w:t>）</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551000</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rPr>
            </w:pPr>
            <w:r>
              <w:rPr>
                <w:rFonts w:hint="eastAsia" w:ascii="宋体" w:hAnsi="宋体" w:cs="宋体"/>
                <w:color w:val="auto"/>
                <w:sz w:val="24"/>
                <w:szCs w:val="24"/>
                <w:vertAlign w:val="baseline"/>
                <w:lang w:val="en-US" w:eastAsia="zh-CN"/>
              </w:rPr>
              <w:t>551000</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是</w:t>
            </w:r>
          </w:p>
        </w:tc>
        <w:tc>
          <w:tcPr>
            <w:tcW w:w="1217" w:type="dxa"/>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551000</w:t>
            </w:r>
          </w:p>
        </w:tc>
      </w:tr>
    </w:tbl>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5、采购需求（包括但不限于标的的名称、数量、简要技术需求或服务要求等）</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采购范围：</w:t>
      </w:r>
      <w:r>
        <w:rPr>
          <w:rFonts w:hint="eastAsia" w:ascii="宋体" w:hAnsi="宋体" w:cs="宋体"/>
          <w:color w:val="auto"/>
          <w:sz w:val="24"/>
          <w:szCs w:val="24"/>
          <w:lang w:eastAsia="zh-CN"/>
        </w:rPr>
        <w:t>本次招标货物</w:t>
      </w:r>
      <w:r>
        <w:rPr>
          <w:rFonts w:hint="eastAsia" w:ascii="宋体" w:hAnsi="宋体" w:eastAsia="宋体" w:cs="宋体"/>
          <w:color w:val="auto"/>
          <w:sz w:val="24"/>
          <w:szCs w:val="24"/>
        </w:rPr>
        <w:t>的供货、运输、保险、装卸、安装、检测、调试、试运行、验收交付、培训、技术支持、软件升级、售后保修及相关伴随服务等。</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5.2 </w:t>
      </w:r>
      <w:r>
        <w:rPr>
          <w:rFonts w:hint="eastAsia" w:ascii="宋体" w:hAnsi="宋体" w:cs="宋体"/>
          <w:color w:val="auto"/>
          <w:sz w:val="24"/>
          <w:szCs w:val="24"/>
          <w:lang w:eastAsia="zh-CN"/>
        </w:rPr>
        <w:t>采购内容</w:t>
      </w:r>
      <w:r>
        <w:rPr>
          <w:rFonts w:hint="eastAsia" w:ascii="宋体" w:hAnsi="宋体" w:eastAsia="宋体" w:cs="宋体"/>
          <w:color w:val="auto"/>
          <w:sz w:val="24"/>
          <w:szCs w:val="24"/>
        </w:rPr>
        <w:t>：</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eastAsia="zh-CN"/>
        </w:rPr>
        <w:t>包</w:t>
      </w:r>
      <w:r>
        <w:rPr>
          <w:rFonts w:hint="eastAsia" w:ascii="宋体" w:hAnsi="宋体" w:cs="宋体"/>
          <w:color w:val="auto"/>
          <w:sz w:val="24"/>
          <w:szCs w:val="24"/>
          <w:lang w:val="en-US" w:eastAsia="zh-CN"/>
        </w:rPr>
        <w:t>A：全数字彩色超声诊断系统，1台，采购预算：1000000元；</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eastAsia="zh-CN"/>
        </w:rPr>
        <w:t>包</w:t>
      </w:r>
      <w:r>
        <w:rPr>
          <w:rFonts w:hint="eastAsia" w:ascii="宋体" w:hAnsi="宋体" w:cs="宋体"/>
          <w:color w:val="auto"/>
          <w:sz w:val="24"/>
          <w:szCs w:val="24"/>
          <w:lang w:val="en-US" w:eastAsia="zh-CN"/>
        </w:rPr>
        <w:t>B：五分类血细胞分析仪，1台，采购预算：200000元；</w:t>
      </w:r>
    </w:p>
    <w:p>
      <w:pPr>
        <w:keepNext w:val="0"/>
        <w:keepLines w:val="0"/>
        <w:pageBreakBefore w:val="0"/>
        <w:widowControl w:val="0"/>
        <w:kinsoku/>
        <w:wordWrap w:val="0"/>
        <w:overflowPunct/>
        <w:topLinePunct w:val="0"/>
        <w:autoSpaceDE/>
        <w:autoSpaceDN/>
        <w:bidi w:val="0"/>
        <w:adjustRightInd/>
        <w:snapToGrid/>
        <w:ind w:firstLine="1125" w:firstLineChars="469"/>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心电监护仪，1台，采购预算：73000元；</w:t>
      </w:r>
    </w:p>
    <w:p>
      <w:pPr>
        <w:keepNext w:val="0"/>
        <w:keepLines w:val="0"/>
        <w:pageBreakBefore w:val="0"/>
        <w:widowControl w:val="0"/>
        <w:kinsoku/>
        <w:wordWrap w:val="0"/>
        <w:overflowPunct/>
        <w:topLinePunct w:val="0"/>
        <w:autoSpaceDE/>
        <w:autoSpaceDN/>
        <w:bidi w:val="0"/>
        <w:adjustRightInd/>
        <w:snapToGrid/>
        <w:ind w:firstLine="1125" w:firstLineChars="469"/>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18道心电图机，1台，采购预算：120000元；</w:t>
      </w:r>
    </w:p>
    <w:p>
      <w:pPr>
        <w:keepNext w:val="0"/>
        <w:keepLines w:val="0"/>
        <w:pageBreakBefore w:val="0"/>
        <w:widowControl w:val="0"/>
        <w:kinsoku/>
        <w:wordWrap w:val="0"/>
        <w:overflowPunct/>
        <w:topLinePunct w:val="0"/>
        <w:autoSpaceDE/>
        <w:autoSpaceDN/>
        <w:bidi w:val="0"/>
        <w:adjustRightInd/>
        <w:snapToGrid/>
        <w:ind w:firstLine="1125" w:firstLineChars="469"/>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中频脉冲治疗仪，1台，采购预算：50000元；</w:t>
      </w:r>
    </w:p>
    <w:p>
      <w:pPr>
        <w:keepNext w:val="0"/>
        <w:keepLines w:val="0"/>
        <w:pageBreakBefore w:val="0"/>
        <w:widowControl w:val="0"/>
        <w:kinsoku/>
        <w:wordWrap w:val="0"/>
        <w:overflowPunct/>
        <w:topLinePunct w:val="0"/>
        <w:autoSpaceDE/>
        <w:autoSpaceDN/>
        <w:bidi w:val="0"/>
        <w:adjustRightInd/>
        <w:snapToGrid/>
        <w:ind w:firstLine="1125" w:firstLineChars="469"/>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动态心电，1台，采购预算：35000元；</w:t>
      </w:r>
    </w:p>
    <w:p>
      <w:pPr>
        <w:keepNext w:val="0"/>
        <w:keepLines w:val="0"/>
        <w:pageBreakBefore w:val="0"/>
        <w:widowControl w:val="0"/>
        <w:kinsoku/>
        <w:wordWrap w:val="0"/>
        <w:overflowPunct/>
        <w:topLinePunct w:val="0"/>
        <w:autoSpaceDE/>
        <w:autoSpaceDN/>
        <w:bidi w:val="0"/>
        <w:adjustRightInd/>
        <w:snapToGrid/>
        <w:ind w:firstLine="1125" w:firstLineChars="469"/>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24H动态血压，2台，采购预算：64000元；</w:t>
      </w:r>
    </w:p>
    <w:p>
      <w:pPr>
        <w:keepNext w:val="0"/>
        <w:keepLines w:val="0"/>
        <w:pageBreakBefore w:val="0"/>
        <w:widowControl w:val="0"/>
        <w:kinsoku/>
        <w:wordWrap w:val="0"/>
        <w:overflowPunct/>
        <w:topLinePunct w:val="0"/>
        <w:autoSpaceDE/>
        <w:autoSpaceDN/>
        <w:bidi w:val="0"/>
        <w:adjustRightInd/>
        <w:snapToGrid/>
        <w:ind w:firstLine="1125" w:firstLineChars="469"/>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身高体重一体机，2台，采购预算：9000元。</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 交货期：合同签订后1个月</w:t>
      </w:r>
      <w:bookmarkStart w:id="3" w:name="_Hlk76656690"/>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交货地点：采购人指定地点</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5.5 质量要求：</w:t>
      </w:r>
      <w:r>
        <w:rPr>
          <w:rFonts w:hint="eastAsia" w:ascii="宋体" w:hAnsi="宋体" w:eastAsia="宋体" w:cs="宋体"/>
          <w:color w:val="auto"/>
          <w:sz w:val="24"/>
          <w:szCs w:val="24"/>
        </w:rPr>
        <w:t>合格</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5.6 质保期：</w:t>
      </w:r>
      <w:r>
        <w:rPr>
          <w:rFonts w:hint="eastAsia" w:ascii="宋体" w:hAnsi="宋体" w:eastAsia="宋体" w:cs="宋体"/>
          <w:color w:val="auto"/>
          <w:sz w:val="24"/>
          <w:szCs w:val="24"/>
        </w:rPr>
        <w:t>自验收</w:t>
      </w:r>
      <w:r>
        <w:rPr>
          <w:rFonts w:hint="eastAsia" w:ascii="宋体" w:hAnsi="宋体" w:eastAsia="宋体" w:cs="宋体"/>
          <w:color w:val="auto"/>
          <w:sz w:val="24"/>
          <w:szCs w:val="24"/>
          <w:lang w:eastAsia="zh-CN"/>
        </w:rPr>
        <w:t>合格</w:t>
      </w:r>
      <w:r>
        <w:rPr>
          <w:rFonts w:hint="eastAsia" w:ascii="宋体" w:hAnsi="宋体" w:eastAsia="宋体" w:cs="宋体"/>
          <w:color w:val="auto"/>
          <w:sz w:val="24"/>
          <w:szCs w:val="24"/>
        </w:rPr>
        <w:t>之日起1年</w:t>
      </w:r>
    </w:p>
    <w:bookmarkEnd w:id="3"/>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6、合同履行期限：合同签订</w:t>
      </w:r>
      <w:r>
        <w:rPr>
          <w:rFonts w:hint="eastAsia" w:ascii="宋体" w:hAnsi="宋体" w:eastAsia="宋体" w:cs="宋体"/>
          <w:color w:val="auto"/>
          <w:sz w:val="24"/>
          <w:szCs w:val="24"/>
          <w:lang w:eastAsia="zh-CN"/>
        </w:rPr>
        <w:t>之日</w:t>
      </w:r>
      <w:r>
        <w:rPr>
          <w:rFonts w:hint="eastAsia" w:ascii="宋体" w:hAnsi="宋体" w:eastAsia="宋体" w:cs="宋体"/>
          <w:color w:val="auto"/>
          <w:sz w:val="24"/>
          <w:szCs w:val="24"/>
        </w:rPr>
        <w:t>起至质保期满</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7、本项目是否接受联合体投标：否</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8、是否接受进口产品：</w:t>
      </w:r>
      <w:r>
        <w:rPr>
          <w:rFonts w:hint="eastAsia" w:ascii="宋体" w:hAnsi="宋体" w:cs="宋体"/>
          <w:color w:val="auto"/>
          <w:sz w:val="24"/>
          <w:szCs w:val="24"/>
          <w:lang w:eastAsia="zh-CN"/>
        </w:rPr>
        <w:t>否</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9、是否专门面向中小企业：是</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二、申请人资格要求：</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2、落实政府采购政策满足的资格要求：本项目专门面向中小企业</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 xml:space="preserve">1 </w:t>
      </w:r>
      <w:r>
        <w:rPr>
          <w:rFonts w:hint="eastAsia" w:ascii="宋体" w:hAnsi="宋体" w:eastAsia="宋体" w:cs="宋体"/>
          <w:color w:val="auto"/>
          <w:sz w:val="24"/>
          <w:szCs w:val="24"/>
          <w:lang w:val="en-US" w:eastAsia="zh-CN"/>
        </w:rPr>
        <w:t>投标人应具有有效且涵盖所投产品的</w:t>
      </w:r>
      <w:r>
        <w:rPr>
          <w:rFonts w:hint="eastAsia" w:ascii="宋体" w:hAnsi="宋体" w:cs="宋体"/>
          <w:color w:val="auto"/>
          <w:sz w:val="24"/>
          <w:szCs w:val="24"/>
          <w:lang w:val="en-US" w:eastAsia="zh-CN"/>
        </w:rPr>
        <w:t>备案或许可</w:t>
      </w:r>
      <w:r>
        <w:rPr>
          <w:rFonts w:hint="eastAsia" w:ascii="宋体" w:hAnsi="宋体" w:eastAsia="宋体" w:cs="宋体"/>
          <w:color w:val="auto"/>
          <w:sz w:val="24"/>
          <w:szCs w:val="24"/>
          <w:lang w:val="en-US" w:eastAsia="zh-CN"/>
        </w:rPr>
        <w:t>：（非医疗器械可不提供）</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（1）投标人若为生产企业：所投产品为第二、三类医疗器械的，提供医疗行业主管部门颁发的《医疗器械生产许可证》；</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（2）投标人若为经营企业</w:t>
      </w:r>
      <w:r>
        <w:rPr>
          <w:rFonts w:hint="eastAsia" w:ascii="宋体" w:hAnsi="宋体" w:cs="宋体"/>
          <w:color w:val="auto"/>
          <w:sz w:val="24"/>
          <w:szCs w:val="24"/>
          <w:highlight w:val="none"/>
          <w:lang w:val="en-US" w:eastAsia="zh-CN"/>
        </w:rPr>
        <w:t>：所投产品为第二类医疗器械的，提供医疗行业主管部门颁发的《医疗器械经营备案凭证》；所投产品为第三类医疗器械的，提供医疗行业主管部门颁发的《医疗器械经营许可证》。</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 根据《关于在政府采购活动中查询及使用信用记录有关问题的通知》(财库[2016]125号)的规定，对列入失信被执行人、重大税收违法失信主体、政府采购严重违法失信行为记录名单的投标供应商，拒绝参与本项目政府采购活动；采购人或采购代理机构查询渠道：</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失信被执行人查询渠道：“中国执行信息公开网”网站；</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重大税收违法失信主体查询渠道：“信用中国”网站；</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政府采购严重违法失信行为查询渠道：“中国政府采购网”。</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08</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日，每天上午00:00至12:00，下午12:00至23:59（北京时间，法定节假日除外。）</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2、地点：河南省公共资源交易中心网站（http://www.hnggzy.net/）</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凭CA密钥市场主体登录并在规定时间内按网上提示下载招标文件及资料；投标供应商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四、投标截止时间及地点</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日09时00分（北京时间）</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2、地点：加密电子投标文件须在投标截止时间前上传至河南省公共资源交易中心交易系统指定位置；加密投标文件逾期上传，采购人不予受理。</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五、开标时间及地点</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19</w:t>
      </w:r>
      <w:r>
        <w:rPr>
          <w:rFonts w:hint="eastAsia" w:ascii="宋体" w:hAnsi="宋体" w:eastAsia="宋体" w:cs="宋体"/>
          <w:color w:val="auto"/>
          <w:sz w:val="24"/>
          <w:szCs w:val="24"/>
        </w:rPr>
        <w:t>日09时00分（北京时间）</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2.地点：河南省公共资源交易中心远程开标室(三)-2（经二路与纬四路向南50米路西）</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六、发布公告的媒介及招标公告期限</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公告在《河南省政府采购网》、《河南省公共资源交易中心网》上发布。招标公告期限为五个工作日。</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本项目需要优先落实的政府采购政策：</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1.《关于印发节能产品政府采购品目清单的通知》（财库〔2019〕19号）；</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2.《关于印发环境标志产品政府采购品目清单的通知》（财库〔2019〕18号）；</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3.《政府采购促进中小企业发展管理办法》(财库〔2020〕46号）</w:t>
      </w:r>
      <w:r>
        <w:rPr>
          <w:rFonts w:hint="eastAsia" w:ascii="宋体" w:hAnsi="宋体" w:eastAsia="宋体" w:cs="宋体"/>
          <w:color w:val="auto"/>
          <w:sz w:val="24"/>
          <w:szCs w:val="24"/>
          <w:lang w:eastAsia="zh-CN"/>
        </w:rPr>
        <w:t>；</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4.《关于进一步加大政府采购支持中小企业力度的通知》（财库〔2022〕19号）；</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.《财政部、司法部关于政府采购支持监狱企业发展有关问题的通知》（财库[2014]68号）；</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.《三部门联合发布关于促进残疾人就业政府采购政策的通知》（财库[2017]141号）。</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八、凡对本次采购提出询问，请按照以下方式联系</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名称：河南省信阳监狱</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地址：信阳市罗山县楠杆镇伍家坡</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联系人：尹主任、姚主任</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联系方式：0376-7616048</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2.采购代理机构信息（如有）</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名称：欧邦工程管理集团有限公司</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地址：郑州市金水区经三路北85号3号楼13层03号</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联系人：郝玉杰</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联系方式：0371-55053711/15238348893</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项目联系人：郝玉杰</w:t>
      </w:r>
    </w:p>
    <w:p>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联系方式：0371-55053711/15238348893</w:t>
      </w:r>
    </w:p>
    <w:p>
      <w:pPr>
        <w:rPr>
          <w:rFonts w:hint="eastAsia"/>
          <w:color w:val="auto"/>
        </w:rPr>
      </w:pPr>
    </w:p>
    <w:p>
      <w:pPr>
        <w:rPr>
          <w:color w:val="auto"/>
        </w:rPr>
      </w:pPr>
    </w:p>
    <w:p>
      <w:pPr>
        <w:rPr>
          <w:color w:val="auto"/>
        </w:rPr>
      </w:pPr>
    </w:p>
    <w:p>
      <w:pPr>
        <w:rPr>
          <w:color w:val="auto"/>
        </w:rPr>
      </w:pPr>
    </w:p>
    <w:p>
      <w:pPr>
        <w:rPr>
          <w:color w:val="auto"/>
        </w:rPr>
        <w:sectPr>
          <w:footerReference r:id="rId5" w:type="default"/>
          <w:pgSz w:w="11906" w:h="16838"/>
          <w:pgMar w:top="1440" w:right="1800" w:bottom="1440" w:left="1800" w:header="851" w:footer="992" w:gutter="0"/>
          <w:pgNumType w:fmt="decimal" w:start="1"/>
          <w:cols w:space="425" w:num="1"/>
          <w:docGrid w:type="lines" w:linePitch="312" w:charSpace="0"/>
        </w:sectPr>
      </w:pPr>
    </w:p>
    <w:p>
      <w:pPr>
        <w:pStyle w:val="2"/>
        <w:numPr>
          <w:ilvl w:val="0"/>
          <w:numId w:val="0"/>
        </w:numPr>
        <w:bidi w:val="0"/>
        <w:ind w:left="0" w:leftChars="0" w:firstLine="0" w:firstLineChars="0"/>
        <w:rPr>
          <w:rFonts w:hint="default"/>
          <w:color w:val="auto"/>
          <w:lang w:val="en-US" w:eastAsia="zh-CN"/>
        </w:rPr>
      </w:pPr>
      <w:bookmarkStart w:id="4" w:name="_Toc24532"/>
      <w:r>
        <w:rPr>
          <w:rFonts w:hint="eastAsia"/>
          <w:color w:val="auto"/>
          <w:lang w:eastAsia="zh-CN"/>
        </w:rPr>
        <w:t>第二章</w:t>
      </w:r>
      <w:r>
        <w:rPr>
          <w:rFonts w:hint="eastAsia"/>
          <w:color w:val="auto"/>
          <w:lang w:val="en-US" w:eastAsia="zh-CN"/>
        </w:rPr>
        <w:t xml:space="preserve">  供应商须知</w:t>
      </w:r>
      <w:bookmarkEnd w:id="4"/>
    </w:p>
    <w:p>
      <w:pPr>
        <w:jc w:val="center"/>
        <w:rPr>
          <w:rFonts w:hint="eastAsia" w:eastAsia="宋体"/>
          <w:b/>
          <w:bCs/>
          <w:color w:val="auto"/>
          <w:sz w:val="30"/>
          <w:szCs w:val="30"/>
          <w:lang w:eastAsia="zh-CN"/>
        </w:rPr>
      </w:pPr>
      <w:r>
        <w:rPr>
          <w:rFonts w:hint="eastAsia"/>
          <w:b/>
          <w:bCs/>
          <w:color w:val="auto"/>
          <w:sz w:val="30"/>
          <w:szCs w:val="30"/>
          <w:lang w:eastAsia="zh-CN"/>
        </w:rPr>
        <w:t>供应商须知前附表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rPr>
      </w:pPr>
      <w:r>
        <w:rPr>
          <w:rFonts w:hint="eastAsia"/>
          <w:color w:val="auto"/>
          <w:lang w:val="en-US" w:eastAsia="zh-CN"/>
        </w:rPr>
        <w:t>供应商应仔细阅读本招标文件的第二章“供应商须知”，下面所列资料是对“供应商须知”的具体补充和说明。如有矛盾，应以本表为准。</w:t>
      </w:r>
    </w:p>
    <w:tbl>
      <w:tblPr>
        <w:tblStyle w:val="18"/>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200"/>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jc w:val="center"/>
        </w:trPr>
        <w:tc>
          <w:tcPr>
            <w:tcW w:w="1212" w:type="dxa"/>
            <w:shd w:val="clear" w:color="auto" w:fill="B4C6E7" w:themeFill="accent5" w:themeFillTint="66"/>
            <w:vAlign w:val="center"/>
          </w:tcPr>
          <w:p>
            <w:pPr>
              <w:jc w:val="center"/>
              <w:rPr>
                <w:rFonts w:hint="eastAsia" w:eastAsia="宋体"/>
                <w:b/>
                <w:bCs/>
                <w:color w:val="auto"/>
                <w:vertAlign w:val="baseline"/>
                <w:lang w:eastAsia="zh-CN"/>
              </w:rPr>
            </w:pPr>
            <w:r>
              <w:rPr>
                <w:rFonts w:hint="eastAsia"/>
                <w:b/>
                <w:bCs/>
                <w:color w:val="auto"/>
                <w:vertAlign w:val="baseline"/>
                <w:lang w:eastAsia="zh-CN"/>
              </w:rPr>
              <w:t>条款号</w:t>
            </w:r>
          </w:p>
        </w:tc>
        <w:tc>
          <w:tcPr>
            <w:tcW w:w="2200" w:type="dxa"/>
            <w:shd w:val="clear" w:color="auto" w:fill="B4C6E7" w:themeFill="accent5" w:themeFillTint="66"/>
            <w:vAlign w:val="center"/>
          </w:tcPr>
          <w:p>
            <w:pPr>
              <w:jc w:val="center"/>
              <w:rPr>
                <w:rFonts w:hint="eastAsia" w:eastAsia="宋体"/>
                <w:b/>
                <w:bCs/>
                <w:color w:val="auto"/>
                <w:vertAlign w:val="baseline"/>
                <w:lang w:eastAsia="zh-CN"/>
              </w:rPr>
            </w:pPr>
            <w:r>
              <w:rPr>
                <w:rFonts w:hint="eastAsia"/>
                <w:b/>
                <w:bCs/>
                <w:color w:val="auto"/>
                <w:vertAlign w:val="baseline"/>
                <w:lang w:eastAsia="zh-CN"/>
              </w:rPr>
              <w:t>条款名称</w:t>
            </w:r>
          </w:p>
        </w:tc>
        <w:tc>
          <w:tcPr>
            <w:tcW w:w="6075" w:type="dxa"/>
            <w:shd w:val="clear" w:color="auto" w:fill="B4C6E7" w:themeFill="accent5" w:themeFillTint="66"/>
            <w:vAlign w:val="center"/>
          </w:tcPr>
          <w:p>
            <w:pPr>
              <w:jc w:val="center"/>
              <w:rPr>
                <w:rFonts w:hint="eastAsia" w:eastAsia="宋体"/>
                <w:b/>
                <w:bCs/>
                <w:color w:val="auto"/>
                <w:vertAlign w:val="baseline"/>
                <w:lang w:eastAsia="zh-CN"/>
              </w:rPr>
            </w:pPr>
            <w:r>
              <w:rPr>
                <w:rFonts w:hint="eastAsia"/>
                <w:b/>
                <w:bCs/>
                <w:color w:val="auto"/>
                <w:vertAlign w:val="baseline"/>
                <w:lang w:eastAsia="zh-CN"/>
              </w:rPr>
              <w:t>内</w:t>
            </w:r>
            <w:r>
              <w:rPr>
                <w:rFonts w:hint="eastAsia"/>
                <w:b/>
                <w:bCs/>
                <w:color w:val="auto"/>
                <w:vertAlign w:val="baseline"/>
                <w:lang w:val="en-US" w:eastAsia="zh-CN"/>
              </w:rPr>
              <w:t xml:space="preserve">  </w:t>
            </w:r>
            <w:r>
              <w:rPr>
                <w:rFonts w:hint="eastAsia"/>
                <w:b/>
                <w:bCs/>
                <w:color w:val="auto"/>
                <w:vertAlign w:val="baseline"/>
                <w:lang w:eastAsia="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1.1.2</w:t>
            </w:r>
          </w:p>
        </w:tc>
        <w:tc>
          <w:tcPr>
            <w:tcW w:w="2200" w:type="dxa"/>
            <w:vAlign w:val="center"/>
          </w:tcPr>
          <w:p>
            <w:pPr>
              <w:jc w:val="center"/>
              <w:rPr>
                <w:rFonts w:hint="eastAsia" w:ascii="宋体" w:hAnsi="宋体" w:eastAsia="宋体" w:cs="宋体"/>
                <w:color w:val="auto"/>
                <w:vertAlign w:val="baseline"/>
                <w:lang w:eastAsia="zh-CN"/>
              </w:rPr>
            </w:pPr>
            <w:r>
              <w:rPr>
                <w:rFonts w:hint="eastAsia" w:ascii="宋体" w:hAnsi="宋体" w:cs="宋体"/>
                <w:color w:val="auto"/>
                <w:vertAlign w:val="baseline"/>
                <w:lang w:eastAsia="zh-CN"/>
              </w:rPr>
              <w:t>采购人</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名称：河南省信阳监狱</w:t>
            </w:r>
          </w:p>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地址：信阳市罗山县楠杆镇伍家坡</w:t>
            </w:r>
          </w:p>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联系人：尹主任、姚主任</w:t>
            </w:r>
          </w:p>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联系方式：0376-7616048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1.1.3</w:t>
            </w:r>
          </w:p>
        </w:tc>
        <w:tc>
          <w:tcPr>
            <w:tcW w:w="2200" w:type="dxa"/>
            <w:vAlign w:val="center"/>
          </w:tcPr>
          <w:p>
            <w:pPr>
              <w:jc w:val="center"/>
              <w:rPr>
                <w:rFonts w:hint="eastAsia" w:ascii="宋体" w:hAnsi="宋体" w:eastAsia="宋体" w:cs="宋体"/>
                <w:color w:val="auto"/>
                <w:vertAlign w:val="baseline"/>
                <w:lang w:eastAsia="zh-CN"/>
              </w:rPr>
            </w:pPr>
            <w:r>
              <w:rPr>
                <w:rFonts w:hint="eastAsia" w:ascii="宋体" w:hAnsi="宋体" w:cs="宋体"/>
                <w:color w:val="auto"/>
                <w:vertAlign w:val="baseline"/>
                <w:lang w:eastAsia="zh-CN"/>
              </w:rPr>
              <w:t>采购代理机构</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名称：欧邦工程管理集团有限公司</w:t>
            </w:r>
          </w:p>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地址：郑州市金水区经三路北85号3号楼13层03号</w:t>
            </w:r>
          </w:p>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联系人：郝玉杰</w:t>
            </w:r>
          </w:p>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联系方式：0371-55053711/15238348893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1.1.4</w:t>
            </w:r>
          </w:p>
        </w:tc>
        <w:tc>
          <w:tcPr>
            <w:tcW w:w="2200" w:type="dxa"/>
            <w:vAlign w:val="center"/>
          </w:tcPr>
          <w:p>
            <w:pPr>
              <w:jc w:val="center"/>
              <w:rPr>
                <w:rFonts w:hint="eastAsia" w:ascii="宋体" w:hAnsi="宋体" w:eastAsia="宋体" w:cs="宋体"/>
                <w:color w:val="auto"/>
                <w:vertAlign w:val="baseline"/>
                <w:lang w:eastAsia="zh-CN"/>
              </w:rPr>
            </w:pPr>
            <w:r>
              <w:rPr>
                <w:rFonts w:hint="eastAsia" w:ascii="宋体" w:hAnsi="宋体" w:cs="宋体"/>
                <w:color w:val="auto"/>
                <w:vertAlign w:val="baseline"/>
                <w:lang w:eastAsia="zh-CN"/>
              </w:rPr>
              <w:t>项目名称</w:t>
            </w:r>
          </w:p>
        </w:tc>
        <w:tc>
          <w:tcPr>
            <w:tcW w:w="6075" w:type="dxa"/>
            <w:vAlign w:val="center"/>
          </w:tcPr>
          <w:p>
            <w:pPr>
              <w:jc w:val="both"/>
              <w:rPr>
                <w:rFonts w:hint="eastAsia" w:ascii="宋体" w:hAnsi="宋体" w:eastAsia="宋体" w:cs="宋体"/>
                <w:color w:val="auto"/>
                <w:vertAlign w:val="baseline"/>
                <w:lang w:eastAsia="zh-CN"/>
              </w:rPr>
            </w:pPr>
            <w:r>
              <w:rPr>
                <w:rFonts w:hint="eastAsia" w:ascii="宋体" w:hAnsi="宋体" w:cs="宋体"/>
                <w:color w:val="auto"/>
                <w:sz w:val="24"/>
                <w:szCs w:val="24"/>
                <w:lang w:eastAsia="zh-CN"/>
              </w:rPr>
              <w:t>河南省信阳监狱购置医疗设备项目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1.1.5</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项目编号</w:t>
            </w:r>
          </w:p>
        </w:tc>
        <w:tc>
          <w:tcPr>
            <w:tcW w:w="6075" w:type="dxa"/>
            <w:vAlign w:val="center"/>
          </w:tcPr>
          <w:p>
            <w:pPr>
              <w:jc w:val="both"/>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rPr>
              <w:t>豫财招标采购-2023-</w:t>
            </w:r>
            <w:r>
              <w:rPr>
                <w:rFonts w:hint="eastAsia" w:ascii="宋体" w:hAnsi="宋体" w:cs="宋体"/>
                <w:color w:val="auto"/>
                <w:vertAlign w:val="baseline"/>
                <w:lang w:val="en-US" w:eastAsia="zh-CN"/>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cs="宋体"/>
                <w:color w:val="auto"/>
                <w:vertAlign w:val="baseline"/>
                <w:lang w:val="en-US" w:eastAsia="zh-CN"/>
              </w:rPr>
            </w:pPr>
            <w:r>
              <w:rPr>
                <w:rFonts w:hint="eastAsia" w:ascii="宋体" w:hAnsi="宋体" w:cs="宋体"/>
                <w:color w:val="auto"/>
                <w:vertAlign w:val="baseline"/>
                <w:lang w:val="en-US" w:eastAsia="zh-CN"/>
              </w:rPr>
              <w:t>1.1.6</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lang w:eastAsia="zh-CN"/>
              </w:rPr>
              <w:t>项目属性</w:t>
            </w:r>
          </w:p>
        </w:tc>
        <w:tc>
          <w:tcPr>
            <w:tcW w:w="6075" w:type="dxa"/>
            <w:vAlign w:val="center"/>
          </w:tcPr>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eastAsia="zh-CN"/>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1.2.1</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资金来源及比例</w:t>
            </w:r>
          </w:p>
        </w:tc>
        <w:tc>
          <w:tcPr>
            <w:tcW w:w="6075" w:type="dxa"/>
            <w:vAlign w:val="center"/>
          </w:tcPr>
          <w:p>
            <w:pPr>
              <w:jc w:val="both"/>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财政资金，100%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1.2.2</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采购预算</w:t>
            </w:r>
          </w:p>
        </w:tc>
        <w:tc>
          <w:tcPr>
            <w:tcW w:w="6075" w:type="dxa"/>
            <w:vAlign w:val="center"/>
          </w:tcPr>
          <w:p>
            <w:pPr>
              <w:jc w:val="both"/>
              <w:rPr>
                <w:rFonts w:hint="default" w:ascii="宋体" w:hAnsi="宋体" w:eastAsia="宋体" w:cs="宋体"/>
                <w:color w:val="auto"/>
                <w:vertAlign w:val="baseline"/>
                <w:lang w:val="en-US"/>
              </w:rPr>
            </w:pP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A</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1000000.00元；</w:t>
            </w: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B</w:t>
            </w:r>
            <w:r>
              <w:rPr>
                <w:rFonts w:hint="eastAsia" w:ascii="宋体" w:hAnsi="宋体" w:cs="宋体"/>
                <w:color w:val="auto"/>
                <w:sz w:val="24"/>
                <w:szCs w:val="24"/>
                <w:lang w:val="en-US" w:eastAsia="zh-CN"/>
              </w:rPr>
              <w:t>：551</w:t>
            </w:r>
            <w:r>
              <w:rPr>
                <w:rFonts w:hint="eastAsia" w:ascii="宋体" w:hAnsi="宋体" w:eastAsia="宋体" w:cs="宋体"/>
                <w:color w:val="auto"/>
                <w:sz w:val="24"/>
                <w:szCs w:val="24"/>
                <w:lang w:val="en-US" w:eastAsia="zh-CN"/>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1.2.3</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最高限价</w:t>
            </w:r>
          </w:p>
        </w:tc>
        <w:tc>
          <w:tcPr>
            <w:tcW w:w="6075" w:type="dxa"/>
            <w:vAlign w:val="center"/>
          </w:tcPr>
          <w:p>
            <w:pPr>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A</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1000000.00元；</w:t>
            </w:r>
            <w:r>
              <w:rPr>
                <w:rFonts w:hint="eastAsia" w:ascii="宋体" w:hAnsi="宋体" w:eastAsia="宋体" w:cs="宋体"/>
                <w:color w:val="auto"/>
                <w:sz w:val="24"/>
                <w:szCs w:val="24"/>
                <w:lang w:eastAsia="zh-CN"/>
              </w:rPr>
              <w:t>包</w:t>
            </w:r>
            <w:r>
              <w:rPr>
                <w:rFonts w:hint="eastAsia" w:ascii="宋体" w:hAnsi="宋体" w:eastAsia="宋体" w:cs="宋体"/>
                <w:color w:val="auto"/>
                <w:sz w:val="24"/>
                <w:szCs w:val="24"/>
                <w:lang w:val="en-US" w:eastAsia="zh-CN"/>
              </w:rPr>
              <w:t>B</w:t>
            </w:r>
            <w:r>
              <w:rPr>
                <w:rFonts w:hint="eastAsia" w:ascii="宋体" w:hAnsi="宋体" w:cs="宋体"/>
                <w:color w:val="auto"/>
                <w:sz w:val="24"/>
                <w:szCs w:val="24"/>
                <w:lang w:val="en-US" w:eastAsia="zh-CN"/>
              </w:rPr>
              <w:t>：551</w:t>
            </w:r>
            <w:r>
              <w:rPr>
                <w:rFonts w:hint="eastAsia" w:ascii="宋体" w:hAnsi="宋体" w:eastAsia="宋体" w:cs="宋体"/>
                <w:color w:val="auto"/>
                <w:sz w:val="24"/>
                <w:szCs w:val="24"/>
                <w:lang w:val="en-US" w:eastAsia="zh-CN"/>
              </w:rPr>
              <w:t>000.00元；</w:t>
            </w:r>
          </w:p>
          <w:p>
            <w:pPr>
              <w:jc w:val="both"/>
              <w:rPr>
                <w:rFonts w:hint="eastAsia" w:ascii="宋体" w:hAnsi="宋体" w:eastAsia="宋体" w:cs="宋体"/>
                <w:color w:val="auto"/>
                <w:vertAlign w:val="baseline"/>
              </w:rPr>
            </w:pPr>
            <w:r>
              <w:rPr>
                <w:rFonts w:hint="eastAsia" w:ascii="宋体" w:hAnsi="宋体" w:eastAsia="宋体" w:cs="宋体"/>
                <w:b/>
                <w:bCs/>
                <w:color w:val="auto"/>
                <w:sz w:val="24"/>
                <w:szCs w:val="24"/>
                <w:lang w:val="en-US" w:eastAsia="zh-CN"/>
              </w:rPr>
              <w:t>投标报价超过最高限价（含分项预算）的，其投标作无效标处理。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1.3.1</w:t>
            </w:r>
          </w:p>
        </w:tc>
        <w:tc>
          <w:tcPr>
            <w:tcW w:w="2200" w:type="dxa"/>
            <w:vAlign w:val="center"/>
          </w:tcPr>
          <w:p>
            <w:pPr>
              <w:jc w:val="center"/>
              <w:rPr>
                <w:rFonts w:hint="eastAsia" w:ascii="宋体" w:hAnsi="宋体" w:eastAsia="宋体" w:cs="宋体"/>
                <w:color w:val="auto"/>
                <w:vertAlign w:val="baseline"/>
                <w:lang w:eastAsia="zh-CN"/>
              </w:rPr>
            </w:pPr>
            <w:r>
              <w:rPr>
                <w:rFonts w:hint="eastAsia" w:ascii="宋体" w:hAnsi="宋体" w:eastAsia="宋体" w:cs="宋体"/>
                <w:color w:val="auto"/>
                <w:vertAlign w:val="baseline"/>
              </w:rPr>
              <w:t>采购</w:t>
            </w:r>
            <w:r>
              <w:rPr>
                <w:rFonts w:hint="eastAsia" w:ascii="宋体" w:hAnsi="宋体" w:cs="宋体"/>
                <w:color w:val="auto"/>
                <w:vertAlign w:val="baseline"/>
                <w:lang w:eastAsia="zh-CN"/>
              </w:rPr>
              <w:t>范围</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本次招标货物的供货、运输、保险、装卸、安装、检测、调试、试运行、验收交付、培训、技术支持、软件升级、售后保修及相关伴随服务等。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1.3.2</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质保期</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自验收合格之日起1年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1.3.3</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交货期</w:t>
            </w:r>
            <w:r>
              <w:rPr>
                <w:rFonts w:hint="eastAsia" w:ascii="宋体" w:hAnsi="宋体" w:cs="宋体"/>
                <w:color w:val="auto"/>
                <w:vertAlign w:val="baseline"/>
                <w:lang w:eastAsia="zh-CN"/>
              </w:rPr>
              <w:t>及</w:t>
            </w:r>
            <w:r>
              <w:rPr>
                <w:rFonts w:hint="eastAsia" w:ascii="宋体" w:hAnsi="宋体" w:eastAsia="宋体" w:cs="宋体"/>
                <w:color w:val="auto"/>
                <w:vertAlign w:val="baseline"/>
              </w:rPr>
              <w:t>交货地点</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交货期：</w:t>
            </w:r>
            <w:r>
              <w:rPr>
                <w:rFonts w:hint="eastAsia" w:ascii="宋体" w:hAnsi="宋体" w:eastAsia="宋体" w:cs="宋体"/>
                <w:color w:val="auto"/>
                <w:sz w:val="24"/>
                <w:szCs w:val="24"/>
              </w:rPr>
              <w:t>合同签订后1个月</w:t>
            </w:r>
          </w:p>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1.3.4</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质量要求</w:t>
            </w:r>
          </w:p>
        </w:tc>
        <w:tc>
          <w:tcPr>
            <w:tcW w:w="6075" w:type="dxa"/>
            <w:vAlign w:val="center"/>
          </w:tcPr>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1.4.1</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投标供应商资质</w:t>
            </w:r>
          </w:p>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条件、能力和信誉</w:t>
            </w:r>
          </w:p>
        </w:tc>
        <w:tc>
          <w:tcPr>
            <w:tcW w:w="6075" w:type="dxa"/>
            <w:vAlign w:val="center"/>
          </w:tcPr>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1.满足《中华人民共和国政府采购法》第二十二条规定：</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w:t>
            </w:r>
            <w:r>
              <w:rPr>
                <w:rFonts w:hint="eastAsia" w:ascii="宋体" w:hAnsi="宋体" w:cs="宋体"/>
                <w:color w:val="auto"/>
                <w:highlight w:val="none"/>
                <w:vertAlign w:val="baseline"/>
                <w:lang w:val="en-US" w:eastAsia="zh-CN"/>
              </w:rPr>
              <w:t>1</w:t>
            </w:r>
            <w:r>
              <w:rPr>
                <w:rFonts w:hint="eastAsia" w:ascii="宋体" w:hAnsi="宋体" w:eastAsia="宋体" w:cs="宋体"/>
                <w:color w:val="auto"/>
                <w:highlight w:val="none"/>
                <w:vertAlign w:val="baseline"/>
              </w:rPr>
              <w:t>）具有独立承担民事责任的能力（供应商是企业（包括合伙企业），提供在工商部门注册的有效“企业法人营业执照”或“营业执照”；供应商是事业单位的，提供有效的“事业单位法人证书”；供应商是个体工商的，提供有效的“个体工商户营业执照”；供应商是自然人的，提供有效的自然人身份证明）；</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w:t>
            </w:r>
            <w:r>
              <w:rPr>
                <w:rFonts w:hint="eastAsia" w:ascii="宋体" w:hAnsi="宋体" w:cs="宋体"/>
                <w:color w:val="auto"/>
                <w:highlight w:val="none"/>
                <w:vertAlign w:val="baseline"/>
                <w:lang w:val="en-US" w:eastAsia="zh-CN"/>
              </w:rPr>
              <w:t>2</w:t>
            </w:r>
            <w:r>
              <w:rPr>
                <w:rFonts w:hint="eastAsia" w:ascii="宋体" w:hAnsi="宋体" w:eastAsia="宋体" w:cs="宋体"/>
                <w:color w:val="auto"/>
                <w:highlight w:val="none"/>
                <w:vertAlign w:val="baseline"/>
              </w:rPr>
              <w:t>）具有良好的商业信誉和健全的财务会计制度（供应商是企业法人的，提供</w:t>
            </w:r>
            <w:r>
              <w:rPr>
                <w:rFonts w:hint="eastAsia" w:ascii="宋体" w:hAnsi="宋体" w:cs="宋体"/>
                <w:color w:val="auto"/>
                <w:highlight w:val="none"/>
                <w:vertAlign w:val="baseline"/>
                <w:lang w:val="en-US" w:eastAsia="zh-CN"/>
              </w:rPr>
              <w:t>2022</w:t>
            </w:r>
            <w:r>
              <w:rPr>
                <w:rFonts w:hint="eastAsia" w:ascii="宋体" w:hAnsi="宋体" w:eastAsia="宋体" w:cs="宋体"/>
                <w:color w:val="auto"/>
                <w:highlight w:val="none"/>
                <w:vertAlign w:val="baseline"/>
              </w:rPr>
              <w:t>年度经审计的财务报告（新成立企业从成立之日起计算）或开户银行出具的资信证明或财政部门认可的政府采购专业担保机构出具的投标担保函。事业单位、个体工商户和自然人，没有经审计的财务报告，可以提供银行出具的资信证明）；</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w:t>
            </w:r>
            <w:r>
              <w:rPr>
                <w:rFonts w:hint="eastAsia" w:ascii="宋体" w:hAnsi="宋体" w:cs="宋体"/>
                <w:color w:val="auto"/>
                <w:highlight w:val="none"/>
                <w:vertAlign w:val="baseline"/>
                <w:lang w:val="en-US" w:eastAsia="zh-CN"/>
              </w:rPr>
              <w:t>3</w:t>
            </w:r>
            <w:r>
              <w:rPr>
                <w:rFonts w:hint="eastAsia" w:ascii="宋体" w:hAnsi="宋体" w:eastAsia="宋体" w:cs="宋体"/>
                <w:color w:val="auto"/>
                <w:highlight w:val="none"/>
                <w:vertAlign w:val="baseline"/>
              </w:rPr>
              <w:t>）具有履行合同所必需的设备和专业技术能力（提供声明函并加盖单位公章）；</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w:t>
            </w:r>
            <w:r>
              <w:rPr>
                <w:rFonts w:hint="eastAsia" w:ascii="宋体" w:hAnsi="宋体" w:cs="宋体"/>
                <w:color w:val="auto"/>
                <w:highlight w:val="none"/>
                <w:vertAlign w:val="baseline"/>
                <w:lang w:val="en-US" w:eastAsia="zh-CN"/>
              </w:rPr>
              <w:t>4</w:t>
            </w:r>
            <w:r>
              <w:rPr>
                <w:rFonts w:hint="eastAsia" w:ascii="宋体" w:hAnsi="宋体" w:eastAsia="宋体" w:cs="宋体"/>
                <w:color w:val="auto"/>
                <w:highlight w:val="none"/>
                <w:vertAlign w:val="baseline"/>
              </w:rPr>
              <w:t>）有依法缴纳税收和社会保障资金的良好记录（提供202</w:t>
            </w:r>
            <w:r>
              <w:rPr>
                <w:rFonts w:hint="eastAsia" w:ascii="宋体" w:hAnsi="宋体" w:eastAsia="宋体" w:cs="宋体"/>
                <w:color w:val="auto"/>
                <w:highlight w:val="none"/>
                <w:vertAlign w:val="baseline"/>
                <w:lang w:val="en-US" w:eastAsia="zh-CN"/>
              </w:rPr>
              <w:t>3</w:t>
            </w:r>
            <w:r>
              <w:rPr>
                <w:rFonts w:hint="eastAsia" w:ascii="宋体" w:hAnsi="宋体" w:eastAsia="宋体" w:cs="宋体"/>
                <w:color w:val="auto"/>
                <w:highlight w:val="none"/>
                <w:vertAlign w:val="baseline"/>
              </w:rPr>
              <w:t>年</w:t>
            </w:r>
            <w:r>
              <w:rPr>
                <w:rFonts w:hint="eastAsia" w:ascii="宋体" w:hAnsi="宋体" w:eastAsia="宋体" w:cs="宋体"/>
                <w:color w:val="auto"/>
                <w:highlight w:val="none"/>
                <w:vertAlign w:val="baseline"/>
                <w:lang w:val="en-US" w:eastAsia="zh-CN"/>
              </w:rPr>
              <w:t>1</w:t>
            </w:r>
            <w:r>
              <w:rPr>
                <w:rFonts w:hint="eastAsia" w:ascii="宋体" w:hAnsi="宋体" w:eastAsia="宋体" w:cs="宋体"/>
                <w:color w:val="auto"/>
                <w:highlight w:val="none"/>
                <w:vertAlign w:val="baseline"/>
              </w:rPr>
              <w:t>月1日以来任意1个月的依法缴纳税收和社会保障资金的相关证明（依法免税或不需要缴纳社会保障资金的供应商，应提供相应文件证明其依法免税或不需要缴纳社会保障资金）；</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w:t>
            </w:r>
            <w:r>
              <w:rPr>
                <w:rFonts w:hint="eastAsia" w:ascii="宋体" w:hAnsi="宋体" w:cs="宋体"/>
                <w:color w:val="auto"/>
                <w:highlight w:val="none"/>
                <w:vertAlign w:val="baseline"/>
                <w:lang w:val="en-US" w:eastAsia="zh-CN"/>
              </w:rPr>
              <w:t>5</w:t>
            </w:r>
            <w:r>
              <w:rPr>
                <w:rFonts w:hint="eastAsia" w:ascii="宋体" w:hAnsi="宋体" w:eastAsia="宋体" w:cs="宋体"/>
                <w:color w:val="auto"/>
                <w:highlight w:val="none"/>
                <w:vertAlign w:val="baseline"/>
              </w:rPr>
              <w:t>）参加政府采购活动前三年内，在经营活动中没有重大违法记录（提供声明函并加盖单位公章）；</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w:t>
            </w:r>
            <w:r>
              <w:rPr>
                <w:rFonts w:hint="eastAsia" w:ascii="宋体" w:hAnsi="宋体" w:cs="宋体"/>
                <w:color w:val="auto"/>
                <w:highlight w:val="none"/>
                <w:vertAlign w:val="baseline"/>
                <w:lang w:val="en-US" w:eastAsia="zh-CN"/>
              </w:rPr>
              <w:t>6</w:t>
            </w:r>
            <w:r>
              <w:rPr>
                <w:rFonts w:hint="eastAsia" w:ascii="宋体" w:hAnsi="宋体" w:eastAsia="宋体" w:cs="宋体"/>
                <w:color w:val="auto"/>
                <w:highlight w:val="none"/>
                <w:vertAlign w:val="baseline"/>
              </w:rPr>
              <w:t>）法律、行政法规规定的其他条件。</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2、落实政府采购政策满足的资格要求：</w:t>
            </w:r>
            <w:r>
              <w:rPr>
                <w:rFonts w:hint="eastAsia" w:ascii="宋体" w:hAnsi="宋体" w:eastAsia="宋体" w:cs="宋体"/>
                <w:color w:val="auto"/>
                <w:sz w:val="24"/>
                <w:szCs w:val="24"/>
              </w:rPr>
              <w:t>本项目专门面向中小企业</w:t>
            </w:r>
            <w:r>
              <w:rPr>
                <w:rFonts w:hint="eastAsia" w:ascii="宋体" w:hAnsi="宋体" w:cs="宋体"/>
                <w:color w:val="auto"/>
                <w:sz w:val="24"/>
                <w:szCs w:val="24"/>
                <w:lang w:eastAsia="zh-CN"/>
              </w:rPr>
              <w:t>采购</w:t>
            </w:r>
            <w:r>
              <w:rPr>
                <w:rFonts w:hint="eastAsia" w:ascii="宋体" w:hAnsi="宋体" w:eastAsia="宋体" w:cs="宋体"/>
                <w:color w:val="auto"/>
                <w:highlight w:val="none"/>
                <w:vertAlign w:val="baseline"/>
              </w:rPr>
              <w:t>。</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3、本项目的特定资格要求</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3.1 投标人应具有有效且涵盖所投产品的备案或许可：（非医疗器械可不提供）</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（1）投标人若为生产企业：所投产品为第二、三类医疗器械的，提供医疗行业主管部门颁发的《医疗器械生产许可证》；</w:t>
            </w:r>
          </w:p>
          <w:p>
            <w:pPr>
              <w:jc w:val="both"/>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（2）投标人若为经营企业：所投产品为第二类医疗器械的，提供医疗行业主管部门颁发的《医疗器械经营备案凭证》；所投产品为第三类医疗器械的，提供医疗行业主管部门颁发的《医疗器械经营许可证》。</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3.</w:t>
            </w:r>
            <w:r>
              <w:rPr>
                <w:rFonts w:hint="eastAsia" w:ascii="宋体" w:hAnsi="宋体" w:eastAsia="宋体" w:cs="宋体"/>
                <w:color w:val="auto"/>
                <w:highlight w:val="none"/>
                <w:vertAlign w:val="baseline"/>
                <w:lang w:val="en-US" w:eastAsia="zh-CN"/>
              </w:rPr>
              <w:t>2</w:t>
            </w:r>
            <w:r>
              <w:rPr>
                <w:rFonts w:hint="eastAsia" w:ascii="宋体" w:hAnsi="宋体" w:eastAsia="宋体" w:cs="宋体"/>
                <w:color w:val="auto"/>
                <w:highlight w:val="none"/>
                <w:vertAlign w:val="baseline"/>
              </w:rPr>
              <w:t xml:space="preserve"> 根据《关于在政府采购活动中查询及使用信用记录有关问题的通知》(财库[2016]125号)的规定，对列入失信被执行人、重大税收违法失信主体、政府采购严重违法失信行为记录名单的投标供应商，拒绝参与本项目政府采购活动；采购人或采购代理机构查询渠道：</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失信被执行人查询渠道：“中国执行信息公开网”网站；</w:t>
            </w:r>
          </w:p>
          <w:p>
            <w:pPr>
              <w:jc w:val="both"/>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重大税收违法失信主体查询渠道：“信用中国”网站；</w:t>
            </w:r>
          </w:p>
          <w:p>
            <w:pPr>
              <w:jc w:val="both"/>
              <w:rPr>
                <w:rFonts w:hint="eastAsia" w:ascii="宋体" w:hAnsi="宋体" w:eastAsia="宋体" w:cs="宋体"/>
                <w:color w:val="auto"/>
                <w:vertAlign w:val="baseline"/>
              </w:rPr>
            </w:pPr>
            <w:r>
              <w:rPr>
                <w:rFonts w:hint="eastAsia" w:ascii="宋体" w:hAnsi="宋体" w:eastAsia="宋体" w:cs="宋体"/>
                <w:color w:val="auto"/>
                <w:highlight w:val="none"/>
                <w:vertAlign w:val="baseline"/>
              </w:rPr>
              <w:t>政府采购严重违法失信行为查询渠道：“中国政府采购网”。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1.4.2</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是否接受联合体</w:t>
            </w:r>
          </w:p>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投标</w:t>
            </w:r>
          </w:p>
        </w:tc>
        <w:tc>
          <w:tcPr>
            <w:tcW w:w="6075" w:type="dxa"/>
            <w:vAlign w:val="center"/>
          </w:tcPr>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vertAlign w:val="baseline"/>
                <w:lang w:val="en-US" w:eastAsia="zh-CN"/>
              </w:rPr>
              <w:t>1.4.3</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供应商不得存在</w:t>
            </w:r>
          </w:p>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的其他情形</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1、单位负责人为同一人或者存在直接控股、管理关系的不同供应商，不得参加同一合同项下的政府采购活动；</w:t>
            </w:r>
          </w:p>
          <w:p>
            <w:pPr>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rPr>
              <w:t>2、为本项目提供整体设计、规范编制或者项目管理、监理、检测等服务的</w:t>
            </w:r>
            <w:r>
              <w:rPr>
                <w:rFonts w:hint="eastAsia" w:ascii="宋体" w:hAnsi="宋体" w:cs="宋体"/>
                <w:color w:va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1.9.1</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踏勘现场</w:t>
            </w:r>
          </w:p>
        </w:tc>
        <w:tc>
          <w:tcPr>
            <w:tcW w:w="6075" w:type="dxa"/>
            <w:vAlign w:val="center"/>
          </w:tcPr>
          <w:p>
            <w:pPr>
              <w:jc w:val="both"/>
              <w:rPr>
                <w:rFonts w:hint="eastAsia" w:ascii="宋体" w:hAnsi="宋体" w:eastAsia="宋体" w:cs="宋体"/>
                <w:color w:val="auto"/>
                <w:vertAlign w:val="baseline"/>
              </w:rPr>
            </w:pPr>
            <w:r>
              <w:rPr>
                <w:rFonts w:hint="eastAsia" w:ascii="宋体" w:hAnsi="宋体" w:cs="宋体"/>
                <w:color w:val="auto"/>
                <w:vertAlign w:val="baseline"/>
                <w:lang w:eastAsia="zh-CN"/>
              </w:rPr>
              <w:t>不</w:t>
            </w:r>
            <w:r>
              <w:rPr>
                <w:rFonts w:hint="eastAsia" w:ascii="宋体" w:hAnsi="宋体" w:eastAsia="宋体" w:cs="宋体"/>
                <w:color w:val="auto"/>
                <w:vertAlign w:val="baseline"/>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1.10.1</w:t>
            </w:r>
          </w:p>
        </w:tc>
        <w:tc>
          <w:tcPr>
            <w:tcW w:w="2200"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投标预备会</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eastAsia="宋体" w:cs="宋体"/>
                <w:color w:val="auto"/>
                <w:vertAlign w:val="baseline"/>
              </w:rPr>
              <w:t>1.11</w:t>
            </w:r>
          </w:p>
        </w:tc>
        <w:tc>
          <w:tcPr>
            <w:tcW w:w="2200" w:type="dxa"/>
            <w:vAlign w:val="center"/>
          </w:tcPr>
          <w:p>
            <w:pPr>
              <w:jc w:val="center"/>
              <w:rPr>
                <w:rFonts w:hint="eastAsia" w:ascii="宋体" w:hAnsi="宋体" w:eastAsia="宋体" w:cs="宋体"/>
                <w:color w:val="auto"/>
                <w:vertAlign w:val="baseline"/>
                <w:lang w:eastAsia="zh-CN"/>
              </w:rPr>
            </w:pPr>
            <w:r>
              <w:rPr>
                <w:rFonts w:hint="eastAsia" w:ascii="宋体" w:hAnsi="宋体" w:cs="宋体"/>
                <w:color w:val="auto"/>
                <w:vertAlign w:val="baseline"/>
                <w:lang w:eastAsia="zh-CN"/>
              </w:rPr>
              <w:t>分包</w:t>
            </w:r>
          </w:p>
        </w:tc>
        <w:tc>
          <w:tcPr>
            <w:tcW w:w="6075" w:type="dxa"/>
            <w:vAlign w:val="center"/>
          </w:tcPr>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vertAlign w:val="baseline"/>
                <w:lang w:val="en-US" w:eastAsia="zh-CN"/>
              </w:rPr>
            </w:pPr>
            <w:r>
              <w:rPr>
                <w:rFonts w:hint="eastAsia" w:ascii="宋体" w:hAnsi="宋体" w:cs="宋体"/>
                <w:color w:val="auto"/>
              </w:rPr>
              <w:t>2.1</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构成招标文件的其他材料</w:t>
            </w:r>
          </w:p>
        </w:tc>
        <w:tc>
          <w:tcPr>
            <w:tcW w:w="6075" w:type="dxa"/>
            <w:vAlign w:val="center"/>
          </w:tcPr>
          <w:p>
            <w:pPr>
              <w:jc w:val="both"/>
              <w:rPr>
                <w:rFonts w:hint="eastAsia" w:ascii="宋体" w:hAnsi="宋体" w:eastAsia="宋体" w:cs="宋体"/>
                <w:color w:val="auto"/>
                <w:vertAlign w:val="baseline"/>
              </w:rPr>
            </w:pPr>
            <w:r>
              <w:rPr>
                <w:rFonts w:hint="eastAsia" w:ascii="宋体" w:hAnsi="宋体" w:cs="宋体"/>
                <w:color w:val="auto"/>
              </w:rPr>
              <w:t>招标文件的补充文件（如有）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2.2.2</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投标截止时间</w:t>
            </w:r>
          </w:p>
        </w:tc>
        <w:tc>
          <w:tcPr>
            <w:tcW w:w="6075" w:type="dxa"/>
            <w:vAlign w:val="center"/>
          </w:tcPr>
          <w:p>
            <w:pPr>
              <w:jc w:val="both"/>
              <w:rPr>
                <w:rFonts w:hint="eastAsia" w:ascii="宋体" w:hAnsi="宋体" w:eastAsia="宋体" w:cs="宋体"/>
                <w:color w:val="auto"/>
                <w:vertAlign w:val="baseline"/>
              </w:rPr>
            </w:pPr>
            <w:r>
              <w:rPr>
                <w:rFonts w:hint="eastAsia" w:ascii="宋体" w:hAnsi="宋体" w:cs="宋体"/>
                <w:color w:val="auto"/>
                <w:highlight w:val="none"/>
              </w:rPr>
              <w:t>202</w:t>
            </w:r>
            <w:r>
              <w:rPr>
                <w:rFonts w:hint="eastAsia" w:ascii="宋体" w:hAnsi="宋体" w:cs="宋体"/>
                <w:color w:val="auto"/>
                <w:highlight w:val="none"/>
                <w:lang w:val="en-US" w:eastAsia="zh-CN"/>
              </w:rPr>
              <w:t>3</w:t>
            </w:r>
            <w:r>
              <w:rPr>
                <w:rFonts w:hint="eastAsia" w:ascii="宋体" w:hAnsi="宋体" w:cs="宋体"/>
                <w:color w:val="auto"/>
                <w:highlight w:val="none"/>
              </w:rPr>
              <w:t>年</w:t>
            </w:r>
            <w:r>
              <w:rPr>
                <w:rFonts w:hint="eastAsia" w:ascii="宋体" w:hAnsi="宋体" w:cs="宋体"/>
                <w:color w:val="auto"/>
                <w:highlight w:val="none"/>
                <w:lang w:val="en-US" w:eastAsia="zh-CN"/>
              </w:rPr>
              <w:t>09</w:t>
            </w:r>
            <w:r>
              <w:rPr>
                <w:rFonts w:hint="eastAsia" w:ascii="宋体" w:hAnsi="宋体" w:cs="宋体"/>
                <w:color w:val="auto"/>
                <w:highlight w:val="none"/>
              </w:rPr>
              <w:t>月</w:t>
            </w:r>
            <w:r>
              <w:rPr>
                <w:rFonts w:hint="eastAsia" w:ascii="宋体" w:hAnsi="宋体" w:cs="宋体"/>
                <w:color w:val="auto"/>
                <w:highlight w:val="none"/>
                <w:lang w:val="en-US" w:eastAsia="zh-CN"/>
              </w:rPr>
              <w:t>19</w:t>
            </w:r>
            <w:r>
              <w:rPr>
                <w:rFonts w:hint="eastAsia" w:ascii="宋体" w:hAnsi="宋体" w:cs="宋体"/>
                <w:color w:val="auto"/>
                <w:highlight w:val="none"/>
              </w:rPr>
              <w:t>日09时00分（北京时间）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2.2.3</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供应商确认收到招标文件澄清的时间</w:t>
            </w:r>
          </w:p>
        </w:tc>
        <w:tc>
          <w:tcPr>
            <w:tcW w:w="6075" w:type="dxa"/>
            <w:vAlign w:val="center"/>
          </w:tcPr>
          <w:p>
            <w:pPr>
              <w:jc w:val="both"/>
              <w:rPr>
                <w:rFonts w:hint="eastAsia" w:ascii="宋体" w:hAnsi="宋体" w:eastAsia="宋体" w:cs="宋体"/>
                <w:color w:val="auto"/>
                <w:vertAlign w:val="baseline"/>
              </w:rPr>
            </w:pPr>
            <w:r>
              <w:rPr>
                <w:rFonts w:hint="eastAsia" w:ascii="宋体" w:hAnsi="宋体" w:cs="宋体"/>
                <w:color w:val="auto"/>
              </w:rPr>
              <w:t>所有澄清均通过“河南省公共资源交易中心”电子交易平台发布，一经发布即视为供应商已收到并确认，请各供应商及时关注本项目通过“河南省公共资源交易中心”电子交易平台发出的通知，如有遗漏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2.3.2</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供应商确认收到招标文件修改的时间</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所有</w:t>
            </w:r>
            <w:r>
              <w:rPr>
                <w:rFonts w:hint="eastAsia" w:ascii="宋体" w:hAnsi="宋体" w:cs="宋体"/>
                <w:color w:val="auto"/>
                <w:vertAlign w:val="baseline"/>
                <w:lang w:eastAsia="zh-CN"/>
              </w:rPr>
              <w:t>修改</w:t>
            </w:r>
            <w:r>
              <w:rPr>
                <w:rFonts w:hint="eastAsia" w:ascii="宋体" w:hAnsi="宋体" w:eastAsia="宋体" w:cs="宋体"/>
                <w:color w:val="auto"/>
                <w:vertAlign w:val="baseline"/>
              </w:rPr>
              <w:t>均通过“河南省公共资源交易中心”电子交易平台发布，一经发布即视为供应商已收到并确认，请各供应商及时关注本项目通过“河南省公共资源交易中心”电子交易平台发出的通知，如有遗漏自行负责。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3.1</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构成投标文件的其他材料</w:t>
            </w:r>
          </w:p>
        </w:tc>
        <w:tc>
          <w:tcPr>
            <w:tcW w:w="6075" w:type="dxa"/>
            <w:vAlign w:val="center"/>
          </w:tcPr>
          <w:p>
            <w:pPr>
              <w:jc w:val="both"/>
              <w:rPr>
                <w:rFonts w:hint="eastAsia" w:ascii="宋体" w:hAnsi="宋体" w:eastAsia="宋体" w:cs="宋体"/>
                <w:color w:val="auto"/>
                <w:vertAlign w:val="baseline"/>
              </w:rPr>
            </w:pPr>
            <w:r>
              <w:rPr>
                <w:rFonts w:hint="eastAsia" w:ascii="宋体" w:hAnsi="宋体" w:cs="宋体"/>
                <w:color w:val="auto"/>
              </w:rPr>
              <w:t>招标文件中要求提交的其他资料以及供应商认为有利于其投标的其他资料。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3.2.2</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投标报价</w:t>
            </w:r>
          </w:p>
        </w:tc>
        <w:tc>
          <w:tcPr>
            <w:tcW w:w="6075" w:type="dxa"/>
            <w:vAlign w:val="center"/>
          </w:tcPr>
          <w:p>
            <w:pPr>
              <w:jc w:val="both"/>
              <w:rPr>
                <w:rFonts w:hint="eastAsia" w:ascii="宋体" w:hAnsi="宋体" w:eastAsia="宋体" w:cs="宋体"/>
                <w:color w:val="auto"/>
                <w:vertAlign w:val="baseline"/>
              </w:rPr>
            </w:pPr>
            <w:r>
              <w:rPr>
                <w:rFonts w:hint="eastAsia" w:ascii="宋体" w:hAnsi="宋体" w:eastAsia="宋体" w:cs="宋体"/>
                <w:color w:val="auto"/>
                <w:vertAlign w:val="baseline"/>
              </w:rPr>
              <w:t>以人民币为结算货币，投标报价包含完成项目所需的一切费用，包括：设备费、软件费、税费、运输费、装卸费、安装费、调试费、培训费、计量及技术服务费等一切费用。项目结算时不做任何单价或费用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3.3.1</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投标有效期</w:t>
            </w:r>
          </w:p>
        </w:tc>
        <w:tc>
          <w:tcPr>
            <w:tcW w:w="6075" w:type="dxa"/>
            <w:vAlign w:val="center"/>
          </w:tcPr>
          <w:p>
            <w:pPr>
              <w:jc w:val="both"/>
              <w:rPr>
                <w:rFonts w:hint="eastAsia" w:ascii="宋体" w:hAnsi="宋体" w:eastAsia="宋体" w:cs="宋体"/>
                <w:color w:val="auto"/>
                <w:vertAlign w:val="baseline"/>
              </w:rPr>
            </w:pPr>
            <w:r>
              <w:rPr>
                <w:rFonts w:hint="eastAsia" w:ascii="宋体" w:hAnsi="宋体" w:cs="宋体"/>
                <w:color w:val="auto"/>
              </w:rPr>
              <w:t>投标截止时间后</w:t>
            </w:r>
            <w:r>
              <w:rPr>
                <w:rFonts w:hint="eastAsia" w:ascii="宋体" w:hAnsi="宋体" w:cs="宋体"/>
                <w:color w:val="auto"/>
                <w:u w:val="single"/>
              </w:rPr>
              <w:t xml:space="preserve"> 90 </w:t>
            </w:r>
            <w:r>
              <w:rPr>
                <w:rFonts w:hint="eastAsia" w:ascii="宋体" w:hAnsi="宋体" w:cs="宋体"/>
                <w:color w:val="auto"/>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3.4</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投标保证金</w:t>
            </w:r>
          </w:p>
        </w:tc>
        <w:tc>
          <w:tcPr>
            <w:tcW w:w="6075" w:type="dxa"/>
            <w:vAlign w:val="center"/>
          </w:tcPr>
          <w:p>
            <w:pPr>
              <w:jc w:val="both"/>
              <w:rPr>
                <w:rFonts w:hint="eastAsia" w:ascii="宋体" w:hAnsi="宋体" w:eastAsia="宋体" w:cs="宋体"/>
                <w:color w:val="auto"/>
                <w:vertAlign w:val="baseline"/>
              </w:rPr>
            </w:pPr>
            <w:r>
              <w:rPr>
                <w:rFonts w:hint="eastAsia" w:ascii="宋体" w:hAnsi="宋体" w:cs="宋体"/>
                <w:color w:val="auto"/>
              </w:rPr>
              <w:t>根据《河南省财政厅关于优化政府采购营商环境有关问题的通知》【豫财购〔2019〕4号】文件的要求，本项目不收取投标保证金。</w:t>
            </w:r>
            <w:bookmarkStart w:id="429" w:name="_GoBack"/>
            <w:bookmarkEnd w:id="4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3.6</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备选投标方案</w:t>
            </w:r>
          </w:p>
        </w:tc>
        <w:tc>
          <w:tcPr>
            <w:tcW w:w="6075" w:type="dxa"/>
            <w:vAlign w:val="center"/>
          </w:tcPr>
          <w:p>
            <w:pPr>
              <w:jc w:val="both"/>
              <w:rPr>
                <w:rFonts w:hint="eastAsia" w:ascii="宋体" w:hAnsi="宋体" w:eastAsia="宋体" w:cs="宋体"/>
                <w:color w:val="auto"/>
                <w:vertAlign w:val="baseline"/>
              </w:rPr>
            </w:pPr>
            <w:r>
              <w:rPr>
                <w:rFonts w:hint="eastAsia" w:ascii="宋体" w:hAnsi="宋体" w:cs="宋体"/>
                <w:color w:val="auto"/>
              </w:rPr>
              <w:t>不允许提交备选投标方案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vertAlign w:val="baseline"/>
              </w:rPr>
            </w:pPr>
            <w:r>
              <w:rPr>
                <w:rFonts w:hint="eastAsia" w:ascii="宋体" w:hAnsi="宋体" w:cs="宋体"/>
                <w:color w:val="auto"/>
              </w:rPr>
              <w:t>3.7.3</w:t>
            </w:r>
          </w:p>
        </w:tc>
        <w:tc>
          <w:tcPr>
            <w:tcW w:w="2200" w:type="dxa"/>
            <w:vAlign w:val="center"/>
          </w:tcPr>
          <w:p>
            <w:pPr>
              <w:jc w:val="center"/>
              <w:rPr>
                <w:rFonts w:hint="eastAsia" w:ascii="宋体" w:hAnsi="宋体" w:eastAsia="宋体" w:cs="宋体"/>
                <w:color w:val="auto"/>
                <w:vertAlign w:val="baseline"/>
              </w:rPr>
            </w:pPr>
            <w:r>
              <w:rPr>
                <w:rFonts w:hint="eastAsia" w:ascii="宋体" w:hAnsi="宋体" w:cs="宋体"/>
                <w:color w:val="auto"/>
              </w:rPr>
              <w:t>签字和盖章要求</w:t>
            </w:r>
          </w:p>
        </w:tc>
        <w:tc>
          <w:tcPr>
            <w:tcW w:w="6075" w:type="dxa"/>
            <w:vAlign w:val="center"/>
          </w:tcPr>
          <w:p>
            <w:pPr>
              <w:jc w:val="both"/>
              <w:rPr>
                <w:rFonts w:ascii="宋体" w:hAnsi="宋体" w:cs="宋体"/>
                <w:color w:val="auto"/>
              </w:rPr>
            </w:pPr>
            <w:r>
              <w:rPr>
                <w:rFonts w:hint="eastAsia" w:ascii="宋体" w:hAnsi="宋体" w:cs="宋体"/>
                <w:color w:val="auto"/>
              </w:rPr>
              <w:t>电子投标文件签章要求：</w:t>
            </w:r>
          </w:p>
          <w:p>
            <w:pPr>
              <w:jc w:val="both"/>
              <w:rPr>
                <w:rFonts w:ascii="宋体" w:hAnsi="宋体" w:cs="宋体"/>
                <w:color w:val="auto"/>
              </w:rPr>
            </w:pPr>
            <w:r>
              <w:rPr>
                <w:rFonts w:hint="eastAsia" w:ascii="宋体" w:hAnsi="宋体" w:cs="宋体"/>
                <w:color w:val="auto"/>
              </w:rPr>
              <w:t>1、电子投标文件</w:t>
            </w:r>
          </w:p>
          <w:p>
            <w:pPr>
              <w:jc w:val="both"/>
              <w:rPr>
                <w:rFonts w:ascii="宋体" w:hAnsi="宋体" w:cs="宋体"/>
                <w:color w:val="auto"/>
              </w:rPr>
            </w:pPr>
            <w:r>
              <w:rPr>
                <w:rFonts w:hint="eastAsia" w:ascii="宋体" w:hAnsi="宋体" w:cs="宋体"/>
                <w:color w:val="auto"/>
              </w:rPr>
              <w:t>（1）所有要求供应商加盖公章的地方都应用供应商单位的CA印章。</w:t>
            </w:r>
          </w:p>
          <w:p>
            <w:pPr>
              <w:jc w:val="both"/>
              <w:rPr>
                <w:rFonts w:ascii="宋体" w:hAnsi="宋体" w:cs="宋体"/>
                <w:color w:val="auto"/>
              </w:rPr>
            </w:pPr>
            <w:r>
              <w:rPr>
                <w:rFonts w:hint="eastAsia" w:ascii="宋体" w:hAnsi="宋体" w:cs="宋体"/>
                <w:color w:val="auto"/>
              </w:rPr>
              <w:t>（2）所有要求法定代表人签字的地方都应用法定代表人的CA印章。</w:t>
            </w:r>
          </w:p>
          <w:p>
            <w:pPr>
              <w:jc w:val="both"/>
              <w:rPr>
                <w:rFonts w:hint="eastAsia" w:ascii="宋体" w:hAnsi="宋体" w:eastAsia="宋体" w:cs="宋体"/>
                <w:color w:val="auto"/>
                <w:vertAlign w:val="baseline"/>
              </w:rPr>
            </w:pPr>
            <w:r>
              <w:rPr>
                <w:rFonts w:hint="eastAsia" w:ascii="宋体" w:hAnsi="宋体" w:cs="宋体"/>
                <w:color w:val="auto"/>
              </w:rPr>
              <w:t>若有委托代理人，且委托代理人没有CA锁，则投标文件需上传有手写签名的扫描件。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rPr>
            </w:pPr>
            <w:r>
              <w:rPr>
                <w:rFonts w:hint="eastAsia" w:ascii="宋体" w:hAnsi="宋体" w:cs="宋体"/>
                <w:color w:val="auto"/>
              </w:rPr>
              <w:t>4.2.1</w:t>
            </w:r>
          </w:p>
        </w:tc>
        <w:tc>
          <w:tcPr>
            <w:tcW w:w="2200" w:type="dxa"/>
            <w:vAlign w:val="center"/>
          </w:tcPr>
          <w:p>
            <w:pPr>
              <w:jc w:val="center"/>
              <w:rPr>
                <w:rFonts w:hint="eastAsia" w:ascii="宋体" w:hAnsi="宋体" w:cs="宋体"/>
                <w:color w:val="auto"/>
              </w:rPr>
            </w:pPr>
            <w:r>
              <w:rPr>
                <w:rFonts w:hint="eastAsia" w:ascii="宋体" w:hAnsi="宋体" w:cs="宋体"/>
                <w:color w:val="auto"/>
              </w:rPr>
              <w:t>投标文件的递交</w:t>
            </w:r>
          </w:p>
        </w:tc>
        <w:tc>
          <w:tcPr>
            <w:tcW w:w="6075" w:type="dxa"/>
            <w:vAlign w:val="center"/>
          </w:tcPr>
          <w:p>
            <w:pPr>
              <w:jc w:val="both"/>
              <w:rPr>
                <w:rFonts w:ascii="宋体" w:hAnsi="宋体" w:cs="宋体"/>
                <w:color w:val="auto"/>
              </w:rPr>
            </w:pPr>
            <w:r>
              <w:rPr>
                <w:rFonts w:hint="eastAsia" w:ascii="宋体" w:hAnsi="宋体" w:cs="宋体"/>
                <w:color w:val="auto"/>
              </w:rPr>
              <w:t>a、各供应商应在投标截止时间前上传加密的电子投标文件（*.hntf）到会员系统的指定位置。上传时必须得到电脑“上传成功”的确认回复。请供应商在上传时认真检查上传投标文件是否完整、正确。</w:t>
            </w:r>
          </w:p>
          <w:p>
            <w:pPr>
              <w:jc w:val="both"/>
              <w:rPr>
                <w:rFonts w:hint="eastAsia" w:ascii="宋体" w:hAnsi="宋体" w:cs="宋体"/>
                <w:color w:val="auto"/>
              </w:rPr>
            </w:pPr>
            <w:r>
              <w:rPr>
                <w:rFonts w:hint="eastAsia" w:ascii="宋体" w:hAnsi="宋体" w:cs="宋体"/>
                <w:color w:val="auto"/>
              </w:rPr>
              <w:t>b、供应商因交易中心投标系统问题无法上传电子投标文件时，请在工作时间与河南省公共资源交易中心联系，联系电话：0371-86095925。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rPr>
            </w:pPr>
            <w:r>
              <w:rPr>
                <w:rFonts w:hint="eastAsia" w:ascii="宋体" w:hAnsi="宋体" w:cs="宋体"/>
                <w:color w:val="auto"/>
              </w:rPr>
              <w:t>4.2.2</w:t>
            </w:r>
          </w:p>
        </w:tc>
        <w:tc>
          <w:tcPr>
            <w:tcW w:w="2200" w:type="dxa"/>
            <w:vAlign w:val="center"/>
          </w:tcPr>
          <w:p>
            <w:pPr>
              <w:jc w:val="center"/>
              <w:rPr>
                <w:rFonts w:hint="eastAsia" w:ascii="宋体" w:hAnsi="宋体" w:cs="宋体"/>
                <w:color w:val="auto"/>
              </w:rPr>
            </w:pPr>
            <w:r>
              <w:rPr>
                <w:rFonts w:hint="eastAsia" w:ascii="宋体" w:hAnsi="宋体" w:cs="宋体"/>
                <w:color w:val="auto"/>
              </w:rPr>
              <w:t>远程开标机位地点</w:t>
            </w:r>
          </w:p>
        </w:tc>
        <w:tc>
          <w:tcPr>
            <w:tcW w:w="6075" w:type="dxa"/>
            <w:vAlign w:val="center"/>
          </w:tcPr>
          <w:p>
            <w:pPr>
              <w:jc w:val="both"/>
              <w:rPr>
                <w:rFonts w:hint="eastAsia" w:ascii="宋体" w:hAnsi="宋体" w:cs="宋体"/>
                <w:color w:val="auto"/>
              </w:rPr>
            </w:pPr>
            <w:r>
              <w:rPr>
                <w:rFonts w:hint="eastAsia" w:ascii="宋体" w:hAnsi="宋体" w:cs="宋体"/>
                <w:color w:val="auto"/>
              </w:rPr>
              <w:t>河南省公共资源交易中心</w:t>
            </w:r>
            <w:r>
              <w:rPr>
                <w:rFonts w:hint="eastAsia" w:ascii="宋体" w:hAnsi="宋体" w:eastAsia="宋体" w:cs="宋体"/>
                <w:color w:val="auto"/>
                <w:sz w:val="24"/>
                <w:szCs w:val="24"/>
              </w:rPr>
              <w:t>远程开标室(三)-2</w:t>
            </w:r>
            <w:r>
              <w:rPr>
                <w:rFonts w:hint="eastAsia" w:ascii="宋体" w:hAnsi="宋体" w:cs="宋体"/>
                <w:color w:val="auto"/>
                <w:highlight w:val="none"/>
              </w:rPr>
              <w:t>（</w:t>
            </w:r>
            <w:r>
              <w:rPr>
                <w:rFonts w:hint="eastAsia" w:ascii="宋体" w:hAnsi="宋体" w:cs="宋体"/>
                <w:color w:val="auto"/>
              </w:rPr>
              <w:t>郑州市经二路12号（经二路与纬四路向南50米路西）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rPr>
            </w:pPr>
            <w:r>
              <w:rPr>
                <w:rFonts w:hint="eastAsia" w:ascii="宋体" w:hAnsi="宋体" w:cs="宋体"/>
                <w:color w:val="auto"/>
              </w:rPr>
              <w:t>4.2.3</w:t>
            </w:r>
          </w:p>
        </w:tc>
        <w:tc>
          <w:tcPr>
            <w:tcW w:w="2200" w:type="dxa"/>
            <w:vAlign w:val="center"/>
          </w:tcPr>
          <w:p>
            <w:pPr>
              <w:jc w:val="center"/>
              <w:rPr>
                <w:rFonts w:hint="eastAsia" w:ascii="宋体" w:hAnsi="宋体" w:cs="宋体"/>
                <w:color w:val="auto"/>
              </w:rPr>
            </w:pPr>
            <w:r>
              <w:rPr>
                <w:rFonts w:hint="eastAsia" w:ascii="宋体" w:hAnsi="宋体" w:cs="宋体"/>
                <w:color w:val="auto"/>
              </w:rPr>
              <w:t>是否退还投标文件</w:t>
            </w:r>
          </w:p>
        </w:tc>
        <w:tc>
          <w:tcPr>
            <w:tcW w:w="6075" w:type="dxa"/>
            <w:vAlign w:val="center"/>
          </w:tcPr>
          <w:p>
            <w:pPr>
              <w:jc w:val="both"/>
              <w:rPr>
                <w:rFonts w:hint="eastAsia" w:ascii="宋体" w:hAnsi="宋体" w:cs="宋体"/>
                <w:color w:val="auto"/>
              </w:rPr>
            </w:pPr>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rPr>
            </w:pPr>
            <w:r>
              <w:rPr>
                <w:rFonts w:hint="eastAsia" w:ascii="宋体" w:hAnsi="宋体" w:cs="宋体"/>
                <w:color w:val="auto"/>
              </w:rPr>
              <w:t>5.1</w:t>
            </w:r>
          </w:p>
        </w:tc>
        <w:tc>
          <w:tcPr>
            <w:tcW w:w="2200" w:type="dxa"/>
            <w:vAlign w:val="center"/>
          </w:tcPr>
          <w:p>
            <w:pPr>
              <w:jc w:val="center"/>
              <w:rPr>
                <w:rFonts w:hint="eastAsia" w:ascii="宋体" w:hAnsi="宋体" w:cs="宋体"/>
                <w:color w:val="auto"/>
              </w:rPr>
            </w:pPr>
            <w:r>
              <w:rPr>
                <w:rFonts w:hint="eastAsia" w:ascii="宋体" w:hAnsi="宋体" w:cs="宋体"/>
                <w:color w:val="auto"/>
              </w:rPr>
              <w:t>开标时间和地点</w:t>
            </w:r>
          </w:p>
        </w:tc>
        <w:tc>
          <w:tcPr>
            <w:tcW w:w="6075" w:type="dxa"/>
            <w:vAlign w:val="center"/>
          </w:tcPr>
          <w:p>
            <w:pPr>
              <w:jc w:val="both"/>
              <w:rPr>
                <w:rFonts w:hint="eastAsia" w:ascii="宋体" w:hAnsi="宋体" w:cs="宋体"/>
                <w:color w:val="auto"/>
              </w:rPr>
            </w:pPr>
            <w:r>
              <w:rPr>
                <w:rFonts w:hint="eastAsia" w:ascii="宋体" w:hAnsi="宋体" w:cs="宋体"/>
                <w:color w:val="auto"/>
              </w:rPr>
              <w:t>本项目采用“远程不见面”开标方式，远程开标大厅网址为http://www.hnggzy.net/，供应商无需到河南省公共资源交易中心现场参加开标会议，无需到达现场提交原件资料。供应商应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rPr>
            </w:pPr>
            <w:r>
              <w:rPr>
                <w:rFonts w:hint="eastAsia" w:ascii="宋体" w:hAnsi="宋体" w:cs="宋体"/>
                <w:color w:val="auto"/>
              </w:rPr>
              <w:t>5.2</w:t>
            </w:r>
          </w:p>
        </w:tc>
        <w:tc>
          <w:tcPr>
            <w:tcW w:w="2200" w:type="dxa"/>
            <w:vAlign w:val="center"/>
          </w:tcPr>
          <w:p>
            <w:pPr>
              <w:jc w:val="center"/>
              <w:rPr>
                <w:rFonts w:hint="eastAsia" w:ascii="宋体" w:hAnsi="宋体" w:cs="宋体"/>
                <w:color w:val="auto"/>
              </w:rPr>
            </w:pPr>
            <w:r>
              <w:rPr>
                <w:rFonts w:hint="eastAsia" w:ascii="宋体" w:hAnsi="宋体" w:cs="宋体"/>
                <w:color w:val="auto"/>
              </w:rPr>
              <w:t>开标程序</w:t>
            </w:r>
          </w:p>
        </w:tc>
        <w:tc>
          <w:tcPr>
            <w:tcW w:w="6075" w:type="dxa"/>
            <w:vAlign w:val="center"/>
          </w:tcPr>
          <w:p>
            <w:pPr>
              <w:jc w:val="both"/>
              <w:rPr>
                <w:rFonts w:hint="eastAsia" w:ascii="宋体" w:hAnsi="宋体" w:cs="宋体"/>
                <w:color w:val="auto"/>
              </w:rPr>
            </w:pPr>
            <w:r>
              <w:rPr>
                <w:rFonts w:hint="eastAsia" w:ascii="宋体" w:hAnsi="宋体" w:cs="宋体"/>
                <w:color w:val="auto"/>
              </w:rPr>
              <w:t>本项目采用远程电子开标，供应商须在投标截止时间前登录远程开标大厅，在线准时参加开标活动并进行文件解密等。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rPr>
            </w:pPr>
            <w:r>
              <w:rPr>
                <w:rFonts w:hint="eastAsia" w:ascii="宋体" w:hAnsi="宋体" w:cs="宋体"/>
                <w:color w:val="auto"/>
              </w:rPr>
              <w:t>6.2.1</w:t>
            </w:r>
          </w:p>
        </w:tc>
        <w:tc>
          <w:tcPr>
            <w:tcW w:w="2200" w:type="dxa"/>
            <w:vAlign w:val="center"/>
          </w:tcPr>
          <w:p>
            <w:pPr>
              <w:jc w:val="center"/>
              <w:rPr>
                <w:rFonts w:hint="eastAsia" w:ascii="宋体" w:hAnsi="宋体" w:cs="宋体"/>
                <w:color w:val="auto"/>
              </w:rPr>
            </w:pPr>
            <w:r>
              <w:rPr>
                <w:rFonts w:hint="eastAsia" w:ascii="宋体" w:hAnsi="宋体" w:cs="宋体"/>
                <w:color w:val="auto"/>
              </w:rPr>
              <w:t>评标委员会的组建</w:t>
            </w:r>
          </w:p>
        </w:tc>
        <w:tc>
          <w:tcPr>
            <w:tcW w:w="6075" w:type="dxa"/>
            <w:vAlign w:val="center"/>
          </w:tcPr>
          <w:p>
            <w:pPr>
              <w:jc w:val="both"/>
              <w:rPr>
                <w:rFonts w:hint="eastAsia" w:ascii="宋体" w:hAnsi="宋体" w:cs="宋体"/>
                <w:color w:val="auto"/>
              </w:rPr>
            </w:pPr>
            <w:r>
              <w:rPr>
                <w:rFonts w:hint="eastAsia" w:ascii="宋体" w:hAnsi="宋体" w:cs="宋体"/>
                <w:color w:val="auto"/>
              </w:rPr>
              <w:t>评标委员会构成：</w:t>
            </w:r>
            <w:r>
              <w:rPr>
                <w:rFonts w:hint="eastAsia" w:ascii="宋体" w:hAnsi="宋体" w:cs="宋体"/>
                <w:color w:val="auto"/>
                <w:u w:val="single"/>
              </w:rPr>
              <w:t xml:space="preserve"> 5 </w:t>
            </w:r>
            <w:r>
              <w:rPr>
                <w:rFonts w:hint="eastAsia" w:ascii="宋体" w:hAnsi="宋体" w:cs="宋体"/>
                <w:color w:val="auto"/>
              </w:rPr>
              <w:t>人，其中采购人代表</w:t>
            </w:r>
            <w:r>
              <w:rPr>
                <w:rFonts w:hint="eastAsia" w:ascii="宋体" w:hAnsi="宋体" w:cs="宋体"/>
                <w:color w:val="auto"/>
                <w:u w:val="single"/>
              </w:rPr>
              <w:t xml:space="preserve"> 1 </w:t>
            </w:r>
            <w:r>
              <w:rPr>
                <w:rFonts w:hint="eastAsia" w:ascii="宋体" w:hAnsi="宋体" w:cs="宋体"/>
                <w:color w:val="auto"/>
              </w:rPr>
              <w:t>人，有关经济、技术专家</w:t>
            </w:r>
            <w:r>
              <w:rPr>
                <w:rFonts w:hint="eastAsia" w:ascii="宋体" w:hAnsi="宋体" w:cs="宋体"/>
                <w:color w:val="auto"/>
                <w:u w:val="single"/>
              </w:rPr>
              <w:t xml:space="preserve"> 4 </w:t>
            </w:r>
            <w:r>
              <w:rPr>
                <w:rFonts w:hint="eastAsia" w:ascii="宋体" w:hAnsi="宋体" w:cs="宋体"/>
                <w:color w:val="auto"/>
              </w:rPr>
              <w:t>人；有关经济、技术专家确定方式：开标前从河南省政府采购评审专家库中随机抽取。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rPr>
            </w:pPr>
            <w:r>
              <w:rPr>
                <w:rFonts w:hint="eastAsia" w:ascii="宋体" w:hAnsi="宋体" w:cs="宋体"/>
                <w:bCs/>
                <w:color w:val="auto"/>
              </w:rPr>
              <w:t>6.3.4</w:t>
            </w:r>
          </w:p>
        </w:tc>
        <w:tc>
          <w:tcPr>
            <w:tcW w:w="2200" w:type="dxa"/>
            <w:vAlign w:val="center"/>
          </w:tcPr>
          <w:p>
            <w:pPr>
              <w:jc w:val="center"/>
              <w:rPr>
                <w:rFonts w:hint="eastAsia" w:ascii="宋体" w:hAnsi="宋体" w:cs="宋体"/>
                <w:color w:val="auto"/>
              </w:rPr>
            </w:pPr>
            <w:r>
              <w:rPr>
                <w:rFonts w:hint="eastAsia" w:ascii="宋体" w:hAnsi="宋体" w:cs="宋体"/>
                <w:color w:val="auto"/>
              </w:rPr>
              <w:t>评标方法和方式</w:t>
            </w:r>
          </w:p>
        </w:tc>
        <w:tc>
          <w:tcPr>
            <w:tcW w:w="6075" w:type="dxa"/>
            <w:vAlign w:val="center"/>
          </w:tcPr>
          <w:p>
            <w:pPr>
              <w:jc w:val="both"/>
              <w:rPr>
                <w:rFonts w:hint="eastAsia" w:ascii="宋体" w:hAnsi="宋体" w:cs="宋体"/>
                <w:color w:val="auto"/>
              </w:rPr>
            </w:pPr>
            <w:r>
              <w:rPr>
                <w:rFonts w:hint="eastAsia" w:ascii="宋体" w:hAnsi="宋体" w:cs="宋体"/>
                <w:bCs/>
                <w:color w:val="auto"/>
              </w:rPr>
              <w:t>综合评分法；网络电子评标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rPr>
            </w:pPr>
            <w:r>
              <w:rPr>
                <w:rFonts w:hint="eastAsia" w:ascii="宋体" w:hAnsi="宋体" w:cs="宋体"/>
                <w:color w:val="auto"/>
                <w:highlight w:val="none"/>
              </w:rPr>
              <w:t>7.1</w:t>
            </w:r>
          </w:p>
        </w:tc>
        <w:tc>
          <w:tcPr>
            <w:tcW w:w="2200" w:type="dxa"/>
            <w:vAlign w:val="center"/>
          </w:tcPr>
          <w:p>
            <w:pPr>
              <w:jc w:val="center"/>
              <w:rPr>
                <w:rFonts w:hint="eastAsia" w:ascii="宋体" w:hAnsi="宋体" w:cs="宋体"/>
                <w:color w:val="auto"/>
              </w:rPr>
            </w:pPr>
            <w:r>
              <w:rPr>
                <w:rFonts w:hint="eastAsia" w:ascii="宋体" w:hAnsi="宋体" w:cs="宋体"/>
                <w:color w:val="auto"/>
                <w:highlight w:val="none"/>
              </w:rPr>
              <w:t>是否授权评标委员会确定中标供应商</w:t>
            </w:r>
          </w:p>
        </w:tc>
        <w:tc>
          <w:tcPr>
            <w:tcW w:w="6075" w:type="dxa"/>
            <w:vAlign w:val="center"/>
          </w:tcPr>
          <w:p>
            <w:pPr>
              <w:jc w:val="both"/>
              <w:rPr>
                <w:rFonts w:hint="eastAsia" w:ascii="宋体" w:hAnsi="宋体" w:cs="宋体"/>
                <w:color w:val="auto"/>
              </w:rPr>
            </w:pPr>
            <w:r>
              <w:rPr>
                <w:rFonts w:hint="eastAsia" w:ascii="宋体" w:hAnsi="宋体" w:cs="宋体"/>
                <w:color w:val="auto"/>
                <w:highlight w:val="none"/>
              </w:rPr>
              <w:t>否，推荐的中标候选人数：3名。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7" w:type="dxa"/>
            <w:gridSpan w:val="3"/>
            <w:vAlign w:val="center"/>
          </w:tcPr>
          <w:p>
            <w:pPr>
              <w:jc w:val="both"/>
              <w:rPr>
                <w:rFonts w:hint="eastAsia" w:ascii="宋体" w:hAnsi="宋体" w:cs="宋体"/>
                <w:color w:val="auto"/>
                <w:highlight w:val="none"/>
              </w:rPr>
            </w:pPr>
            <w:r>
              <w:rPr>
                <w:rFonts w:hint="eastAsia" w:ascii="宋体" w:hAnsi="宋体" w:cs="宋体"/>
                <w:color w:val="auto"/>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10.1</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对中标供应商的要求</w:t>
            </w:r>
          </w:p>
        </w:tc>
        <w:tc>
          <w:tcPr>
            <w:tcW w:w="6075" w:type="dxa"/>
            <w:vAlign w:val="center"/>
          </w:tcPr>
          <w:p>
            <w:pPr>
              <w:jc w:val="both"/>
              <w:rPr>
                <w:rFonts w:ascii="宋体" w:hAnsi="宋体" w:cs="宋体"/>
                <w:color w:val="auto"/>
              </w:rPr>
            </w:pPr>
            <w:r>
              <w:rPr>
                <w:rFonts w:hint="eastAsia" w:ascii="宋体" w:hAnsi="宋体" w:cs="宋体"/>
                <w:color w:val="auto"/>
              </w:rPr>
              <w:t>1.供应商所投货物的所有部件均应为全新的合格产品。</w:t>
            </w:r>
          </w:p>
          <w:p>
            <w:pPr>
              <w:jc w:val="both"/>
              <w:rPr>
                <w:rFonts w:ascii="宋体" w:hAnsi="宋体" w:cs="宋体"/>
                <w:color w:val="auto"/>
              </w:rPr>
            </w:pPr>
            <w:r>
              <w:rPr>
                <w:rFonts w:hint="eastAsia" w:ascii="宋体" w:hAnsi="宋体" w:cs="宋体"/>
                <w:color w:val="auto"/>
              </w:rPr>
              <w:t>2.证明投标货物符合招标文件技术要求的文件：供应商必须保证投标文件对投标货物技术参数和性能的描述与投标货物真实的技术参数和性能一致。</w:t>
            </w:r>
          </w:p>
          <w:p>
            <w:pPr>
              <w:jc w:val="both"/>
              <w:rPr>
                <w:rFonts w:ascii="宋体" w:hAnsi="宋体" w:cs="宋体"/>
                <w:color w:val="auto"/>
              </w:rPr>
            </w:pPr>
            <w:r>
              <w:rPr>
                <w:rFonts w:hint="eastAsia" w:ascii="宋体" w:hAnsi="宋体" w:cs="宋体"/>
                <w:color w:val="auto"/>
              </w:rPr>
              <w:t>3.中标供应商对合同义务全面全责；对本项目供货范围内的采购、安装、调试、验收、培训、质保期内外服务、与货物有关的运输和保险及其他伴随服务等全面负责。</w:t>
            </w:r>
          </w:p>
          <w:p>
            <w:pPr>
              <w:jc w:val="both"/>
              <w:rPr>
                <w:rFonts w:ascii="宋体" w:hAnsi="宋体" w:cs="宋体"/>
                <w:color w:val="auto"/>
              </w:rPr>
            </w:pPr>
            <w:r>
              <w:rPr>
                <w:rFonts w:hint="eastAsia" w:ascii="宋体" w:hAnsi="宋体" w:cs="宋体"/>
                <w:color w:val="auto"/>
              </w:rPr>
              <w:t>4.采购人应在中标通知书发送15日内与中标供应商签订政府采购合同（合同模板详见“第</w:t>
            </w:r>
            <w:r>
              <w:rPr>
                <w:rFonts w:hint="eastAsia" w:ascii="宋体" w:hAnsi="宋体" w:cs="宋体"/>
                <w:color w:val="auto"/>
                <w:lang w:eastAsia="zh-CN"/>
              </w:rPr>
              <w:t>六</w:t>
            </w:r>
            <w:r>
              <w:rPr>
                <w:rFonts w:hint="eastAsia" w:ascii="宋体" w:hAnsi="宋体" w:cs="宋体"/>
                <w:color w:val="auto"/>
              </w:rPr>
              <w:t>章 合同条款及格式”），如中标供应商无正当理由拒签合同的，采购人取消其中标资格。给采购人造成的实质性损失的，中标供应商还应当对采购人的损失予以赔偿。</w:t>
            </w:r>
          </w:p>
          <w:p>
            <w:pPr>
              <w:jc w:val="both"/>
              <w:rPr>
                <w:rFonts w:hint="eastAsia" w:ascii="宋体" w:hAnsi="宋体" w:cs="宋体"/>
                <w:color w:val="auto"/>
                <w:highlight w:val="none"/>
              </w:rPr>
            </w:pPr>
            <w:r>
              <w:rPr>
                <w:rFonts w:hint="eastAsia" w:ascii="宋体" w:hAnsi="宋体" w:cs="宋体"/>
                <w:color w:val="auto"/>
              </w:rPr>
              <w:t>5.商品包装和快递包装应符合《商品包装政府采购需求标准（试行）》和《快递包装政府采购需求标准（试行）》规定。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10.2</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付款方式</w:t>
            </w:r>
          </w:p>
        </w:tc>
        <w:tc>
          <w:tcPr>
            <w:tcW w:w="6075" w:type="dxa"/>
            <w:vAlign w:val="center"/>
          </w:tcPr>
          <w:p>
            <w:pPr>
              <w:jc w:val="both"/>
              <w:rPr>
                <w:rFonts w:hint="eastAsia" w:ascii="宋体" w:hAnsi="宋体" w:cs="宋体"/>
                <w:color w:val="auto"/>
                <w:highlight w:val="none"/>
              </w:rPr>
            </w:pPr>
            <w:r>
              <w:rPr>
                <w:rFonts w:hint="eastAsia" w:ascii="宋体" w:hAnsi="宋体" w:cs="宋体"/>
                <w:color w:val="auto"/>
                <w:highlight w:val="none"/>
              </w:rPr>
              <w:t>到货验收合格后，采购人向</w:t>
            </w:r>
            <w:r>
              <w:rPr>
                <w:rFonts w:hint="eastAsia" w:ascii="宋体" w:hAnsi="宋体" w:cs="宋体"/>
                <w:color w:val="auto"/>
                <w:highlight w:val="none"/>
                <w:lang w:eastAsia="zh-CN"/>
              </w:rPr>
              <w:t>中标人</w:t>
            </w:r>
            <w:r>
              <w:rPr>
                <w:rFonts w:hint="eastAsia" w:ascii="宋体" w:hAnsi="宋体" w:cs="宋体"/>
                <w:color w:val="auto"/>
                <w:highlight w:val="none"/>
              </w:rPr>
              <w:t>支付中标金额的97%，留质保金3%。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10.3</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投标费用</w:t>
            </w:r>
          </w:p>
        </w:tc>
        <w:tc>
          <w:tcPr>
            <w:tcW w:w="6075" w:type="dxa"/>
            <w:vAlign w:val="center"/>
          </w:tcPr>
          <w:p>
            <w:pPr>
              <w:spacing w:line="480" w:lineRule="exact"/>
              <w:jc w:val="both"/>
              <w:rPr>
                <w:rFonts w:ascii="宋体" w:hAnsi="宋体" w:cs="宋体"/>
                <w:color w:val="auto"/>
              </w:rPr>
            </w:pPr>
            <w:r>
              <w:rPr>
                <w:rFonts w:hint="eastAsia" w:ascii="宋体" w:hAnsi="宋体" w:cs="宋体"/>
                <w:color w:val="auto"/>
              </w:rPr>
              <w:t>1.供应商准备和参加投标活动发生的费用自理。在任何情况下采购人和采购代理机构对上述费用均不承担任何责任。</w:t>
            </w:r>
          </w:p>
          <w:p>
            <w:pPr>
              <w:spacing w:line="480" w:lineRule="exact"/>
              <w:jc w:val="both"/>
              <w:rPr>
                <w:rFonts w:ascii="宋体" w:hAnsi="宋体" w:cs="宋体"/>
                <w:color w:val="auto"/>
              </w:rPr>
            </w:pPr>
            <w:r>
              <w:rPr>
                <w:rFonts w:hint="eastAsia" w:ascii="宋体" w:hAnsi="宋体" w:cs="宋体"/>
                <w:color w:val="auto"/>
              </w:rPr>
              <w:t>2.本次招标项目的采购代理服务费由中标供应商承担。</w:t>
            </w:r>
          </w:p>
          <w:p>
            <w:pPr>
              <w:spacing w:line="480" w:lineRule="exact"/>
              <w:jc w:val="both"/>
              <w:rPr>
                <w:rFonts w:ascii="宋体" w:hAnsi="宋体" w:cs="宋体"/>
                <w:color w:val="auto"/>
              </w:rPr>
            </w:pPr>
            <w:r>
              <w:rPr>
                <w:rFonts w:hint="eastAsia" w:ascii="宋体" w:hAnsi="宋体" w:cs="宋体"/>
                <w:color w:val="auto"/>
              </w:rPr>
              <w:t>3.交纳时间：领取《中标通知书》前交纳。</w:t>
            </w:r>
          </w:p>
          <w:p>
            <w:pPr>
              <w:spacing w:line="480" w:lineRule="exact"/>
              <w:jc w:val="both"/>
              <w:rPr>
                <w:rFonts w:ascii="宋体" w:hAnsi="宋体" w:cs="宋体"/>
                <w:color w:val="auto"/>
              </w:rPr>
            </w:pPr>
            <w:r>
              <w:rPr>
                <w:rFonts w:hint="eastAsia" w:ascii="宋体" w:hAnsi="宋体" w:cs="宋体"/>
                <w:color w:val="auto"/>
              </w:rPr>
              <w:t>账户信息如下：</w:t>
            </w:r>
          </w:p>
          <w:p>
            <w:pPr>
              <w:spacing w:line="480" w:lineRule="exact"/>
              <w:ind w:firstLine="480" w:firstLineChars="200"/>
              <w:jc w:val="both"/>
              <w:rPr>
                <w:rFonts w:ascii="宋体" w:hAnsi="宋体" w:cs="宋体"/>
                <w:color w:val="auto"/>
              </w:rPr>
            </w:pPr>
            <w:r>
              <w:rPr>
                <w:rFonts w:hint="eastAsia" w:ascii="宋体" w:hAnsi="宋体" w:cs="宋体"/>
                <w:color w:val="auto"/>
              </w:rPr>
              <w:t>开户行：郑州银行管城支行</w:t>
            </w:r>
          </w:p>
          <w:p>
            <w:pPr>
              <w:spacing w:line="480" w:lineRule="exact"/>
              <w:ind w:firstLine="480" w:firstLineChars="200"/>
              <w:jc w:val="both"/>
              <w:rPr>
                <w:rFonts w:ascii="宋体" w:hAnsi="宋体" w:cs="宋体"/>
                <w:color w:val="auto"/>
              </w:rPr>
            </w:pPr>
            <w:r>
              <w:rPr>
                <w:rFonts w:hint="eastAsia" w:ascii="宋体" w:hAnsi="宋体" w:cs="宋体"/>
                <w:color w:val="auto"/>
              </w:rPr>
              <w:t>户  名：欧邦工程管理集团有限公司河南分公司</w:t>
            </w:r>
          </w:p>
          <w:p>
            <w:pPr>
              <w:spacing w:line="480" w:lineRule="exact"/>
              <w:ind w:firstLine="480" w:firstLineChars="200"/>
              <w:jc w:val="both"/>
              <w:rPr>
                <w:rFonts w:ascii="宋体" w:hAnsi="宋体" w:cs="宋体"/>
                <w:color w:val="auto"/>
              </w:rPr>
            </w:pPr>
            <w:r>
              <w:rPr>
                <w:rFonts w:hint="eastAsia" w:ascii="宋体" w:hAnsi="宋体" w:cs="宋体"/>
                <w:color w:val="auto"/>
              </w:rPr>
              <w:t>帐  号：9950 1880 1866 95535</w:t>
            </w:r>
          </w:p>
          <w:p>
            <w:pPr>
              <w:jc w:val="both"/>
              <w:rPr>
                <w:rFonts w:hint="eastAsia" w:ascii="宋体" w:hAnsi="宋体" w:cs="宋体"/>
                <w:color w:val="auto"/>
                <w:highlight w:val="none"/>
              </w:rPr>
            </w:pPr>
            <w:r>
              <w:rPr>
                <w:rFonts w:hint="eastAsia" w:ascii="宋体" w:hAnsi="宋体" w:cs="宋体"/>
                <w:color w:val="auto"/>
              </w:rPr>
              <w:t>4.本项目</w:t>
            </w:r>
            <w:r>
              <w:rPr>
                <w:rFonts w:hint="eastAsia" w:ascii="宋体" w:hAnsi="宋体" w:cs="宋体"/>
                <w:color w:val="auto"/>
                <w:kern w:val="0"/>
                <w:szCs w:val="24"/>
                <w:highlight w:val="none"/>
                <w:lang w:val="en-US" w:eastAsia="zh-CN"/>
              </w:rPr>
              <w:t>参照</w:t>
            </w:r>
            <w:r>
              <w:rPr>
                <w:rFonts w:hint="eastAsia" w:ascii="宋体" w:hAnsi="宋体" w:eastAsia="宋体" w:cs="宋体"/>
                <w:color w:val="auto"/>
                <w:kern w:val="0"/>
                <w:szCs w:val="24"/>
                <w:highlight w:val="none"/>
                <w:lang w:val="en-US" w:eastAsia="zh-CN"/>
              </w:rPr>
              <w:t>豫招协{2023}002号文标准规定由</w:t>
            </w:r>
            <w:r>
              <w:rPr>
                <w:rFonts w:hint="eastAsia" w:ascii="宋体" w:hAnsi="宋体" w:cs="宋体"/>
                <w:color w:val="auto"/>
                <w:kern w:val="0"/>
                <w:szCs w:val="24"/>
                <w:highlight w:val="none"/>
                <w:lang w:val="en-US" w:eastAsia="zh-CN"/>
              </w:rPr>
              <w:t>中标人</w:t>
            </w:r>
            <w:r>
              <w:rPr>
                <w:rFonts w:hint="eastAsia" w:ascii="宋体" w:hAnsi="宋体" w:eastAsia="宋体" w:cs="宋体"/>
                <w:color w:val="auto"/>
                <w:kern w:val="0"/>
                <w:szCs w:val="24"/>
                <w:highlight w:val="none"/>
                <w:lang w:val="en-US" w:eastAsia="zh-CN"/>
              </w:rPr>
              <w:t>向采购代理机构支付</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10.4</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“暗标”评审</w:t>
            </w:r>
          </w:p>
        </w:tc>
        <w:tc>
          <w:tcPr>
            <w:tcW w:w="6075" w:type="dxa"/>
            <w:vAlign w:val="center"/>
          </w:tcPr>
          <w:p>
            <w:pPr>
              <w:jc w:val="both"/>
              <w:rPr>
                <w:rFonts w:hint="eastAsia" w:ascii="宋体" w:hAnsi="宋体" w:cs="宋体"/>
                <w:color w:val="auto"/>
                <w:highlight w:val="none"/>
              </w:rPr>
            </w:pPr>
            <w:r>
              <w:rPr>
                <w:rFonts w:hint="eastAsia" w:ascii="宋体" w:hAnsi="宋体" w:cs="宋体"/>
                <w:color w:val="auto"/>
              </w:rPr>
              <w:t>不采用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10.5</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中标结果公告</w:t>
            </w:r>
          </w:p>
        </w:tc>
        <w:tc>
          <w:tcPr>
            <w:tcW w:w="6075" w:type="dxa"/>
            <w:vAlign w:val="center"/>
          </w:tcPr>
          <w:p>
            <w:pPr>
              <w:jc w:val="both"/>
              <w:rPr>
                <w:rFonts w:hint="eastAsia" w:ascii="宋体" w:hAnsi="宋体" w:cs="宋体"/>
                <w:color w:val="auto"/>
                <w:highlight w:val="none"/>
              </w:rPr>
            </w:pPr>
            <w:r>
              <w:rPr>
                <w:rFonts w:hint="eastAsia" w:ascii="宋体" w:hAnsi="宋体" w:cs="宋体"/>
                <w:color w:val="auto"/>
              </w:rPr>
              <w:t>采购人或者采购代理机构自中标人确定之日起2个工作日内，在招标公告发布的同一媒介公告中标结果，中标公告期限为1个工作日。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10.6</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知识产权</w:t>
            </w:r>
          </w:p>
        </w:tc>
        <w:tc>
          <w:tcPr>
            <w:tcW w:w="6075" w:type="dxa"/>
            <w:vAlign w:val="center"/>
          </w:tcPr>
          <w:p>
            <w:pPr>
              <w:jc w:val="both"/>
              <w:rPr>
                <w:rFonts w:hint="eastAsia" w:ascii="宋体" w:hAnsi="宋体" w:cs="宋体"/>
                <w:color w:val="auto"/>
                <w:highlight w:val="none"/>
              </w:rPr>
            </w:pPr>
            <w:r>
              <w:rPr>
                <w:rFonts w:hint="eastAsia" w:ascii="宋体" w:hAnsi="宋体" w:cs="宋体"/>
                <w:color w:val="auto"/>
              </w:rPr>
              <w:t>构成本招标文件各个组成部分的文件，未经采购人书面同意，供应商不得擅自复印和用于非本招标项目所需的其他目的。采购人全部或者部分使用未中标供应商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10.7</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重新确定中标供应商</w:t>
            </w:r>
          </w:p>
        </w:tc>
        <w:tc>
          <w:tcPr>
            <w:tcW w:w="6075" w:type="dxa"/>
            <w:vAlign w:val="center"/>
          </w:tcPr>
          <w:p>
            <w:pPr>
              <w:jc w:val="both"/>
              <w:rPr>
                <w:rFonts w:hint="eastAsia" w:ascii="宋体" w:hAnsi="宋体" w:cs="宋体"/>
                <w:color w:val="auto"/>
                <w:highlight w:val="none"/>
              </w:rPr>
            </w:pPr>
            <w:r>
              <w:rPr>
                <w:rFonts w:hint="eastAsia" w:ascii="宋体" w:hAnsi="宋体" w:cs="宋体"/>
                <w:color w:val="auto"/>
              </w:rPr>
              <w:t>按照供应商须知第7.1条规定的情形确定的中标候选人出现下述情况：排名第一的中标候选人放弃中标/或者因不可抗力不能履行合同/或者不按要求提交履约保证金/或者被查实存在影响中标结果的违法行为等情形，采购人可以按照评标委员会提出的中标候选人名单排序依次确定其他中标候选人为中标供应商，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10.8</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重新招标的其他情形</w:t>
            </w:r>
          </w:p>
        </w:tc>
        <w:tc>
          <w:tcPr>
            <w:tcW w:w="6075" w:type="dxa"/>
            <w:vAlign w:val="center"/>
          </w:tcPr>
          <w:p>
            <w:pPr>
              <w:jc w:val="both"/>
              <w:rPr>
                <w:rFonts w:hint="eastAsia" w:ascii="宋体" w:hAnsi="宋体" w:cs="宋体"/>
                <w:color w:val="auto"/>
                <w:highlight w:val="none"/>
              </w:rPr>
            </w:pPr>
            <w:r>
              <w:rPr>
                <w:rFonts w:hint="eastAsia" w:ascii="宋体" w:hAnsi="宋体" w:cs="宋体"/>
                <w:color w:val="auto"/>
              </w:rPr>
              <w:t>除供应商须知正文第8条规定的情形外，同意延长投标有效期的供应商少于三家的，采购人应当依法重新招标。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10.9</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同义词语</w:t>
            </w:r>
          </w:p>
        </w:tc>
        <w:tc>
          <w:tcPr>
            <w:tcW w:w="6075" w:type="dxa"/>
            <w:vAlign w:val="center"/>
          </w:tcPr>
          <w:p>
            <w:pPr>
              <w:jc w:val="both"/>
              <w:rPr>
                <w:rFonts w:hint="eastAsia" w:ascii="宋体" w:hAnsi="宋体" w:cs="宋体"/>
                <w:color w:val="auto"/>
                <w:highlight w:val="none"/>
              </w:rPr>
            </w:pPr>
            <w:r>
              <w:rPr>
                <w:rFonts w:hint="eastAsia" w:ascii="宋体" w:hAnsi="宋体" w:cs="宋体"/>
                <w:bCs/>
                <w:color w:val="auto"/>
              </w:rPr>
              <w:t>构成招标文件组成部分的“合同条款及格式”、“</w:t>
            </w:r>
            <w:r>
              <w:rPr>
                <w:rFonts w:hint="eastAsia" w:ascii="宋体" w:hAnsi="宋体" w:cs="宋体"/>
                <w:bCs/>
                <w:color w:val="auto"/>
                <w:lang w:eastAsia="zh-CN"/>
              </w:rPr>
              <w:t>项目</w:t>
            </w:r>
            <w:r>
              <w:rPr>
                <w:rFonts w:hint="eastAsia" w:ascii="宋体" w:hAnsi="宋体" w:cs="宋体"/>
                <w:bCs/>
                <w:color w:val="auto"/>
              </w:rPr>
              <w:t>采购需求”等章节中出现的措辞“发包人”和“承包人”，在招标投标阶段应当分别按“采购人”和“中标供应商”进行理解。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10.10</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相同品牌供应商家数的计算</w:t>
            </w:r>
          </w:p>
        </w:tc>
        <w:tc>
          <w:tcPr>
            <w:tcW w:w="6075" w:type="dxa"/>
            <w:vAlign w:val="center"/>
          </w:tcPr>
          <w:p>
            <w:pPr>
              <w:jc w:val="both"/>
              <w:rPr>
                <w:rFonts w:ascii="宋体" w:hAnsi="宋体" w:cs="宋体"/>
                <w:color w:val="auto"/>
              </w:rPr>
            </w:pPr>
            <w:r>
              <w:rPr>
                <w:rFonts w:hint="eastAsia" w:ascii="宋体" w:hAnsi="宋体" w:cs="宋体"/>
                <w:color w:val="auto"/>
              </w:rPr>
              <w:t>使用综合评分法的采购项目，提供相同品牌产品且通过资格审查、符合性审查的不同供应商参加同一合同项下投标的，按一家供应商计算，评审后得分最高的同品牌供应商获得中标供应商推荐资格；评审得分相同的，技术部分得分高的获得中标供应商推荐资格；技术部分得分相同的，投标报价低的获得中标供应商推荐资格。</w:t>
            </w:r>
          </w:p>
          <w:p>
            <w:pPr>
              <w:jc w:val="both"/>
              <w:rPr>
                <w:rFonts w:hint="eastAsia" w:ascii="宋体" w:hAnsi="宋体" w:cs="宋体"/>
                <w:color w:val="auto"/>
                <w:highlight w:val="none"/>
              </w:rPr>
            </w:pPr>
            <w:r>
              <w:rPr>
                <w:rFonts w:hint="eastAsia" w:ascii="宋体" w:hAnsi="宋体" w:cs="宋体"/>
                <w:b/>
                <w:bCs/>
                <w:color w:val="auto"/>
              </w:rPr>
              <w:t>核心产品有多个</w:t>
            </w:r>
            <w:r>
              <w:rPr>
                <w:rFonts w:hint="eastAsia" w:ascii="宋体" w:hAnsi="宋体" w:cs="宋体"/>
                <w:b/>
                <w:bCs/>
                <w:color w:val="auto"/>
                <w:lang w:eastAsia="zh-CN"/>
              </w:rPr>
              <w:t>的</w:t>
            </w:r>
            <w:r>
              <w:rPr>
                <w:rFonts w:hint="eastAsia" w:ascii="宋体" w:hAnsi="宋体" w:cs="宋体"/>
                <w:b/>
                <w:bCs/>
                <w:color w:val="auto"/>
              </w:rPr>
              <w:t>，</w:t>
            </w:r>
            <w:r>
              <w:rPr>
                <w:rFonts w:hint="eastAsia" w:ascii="宋体" w:hAnsi="宋体" w:cs="宋体"/>
                <w:b/>
                <w:bCs/>
                <w:color w:val="auto"/>
                <w:lang w:eastAsia="zh-CN"/>
              </w:rPr>
              <w:t>但凡其中一个</w:t>
            </w:r>
            <w:r>
              <w:rPr>
                <w:rFonts w:hint="eastAsia" w:ascii="宋体" w:hAnsi="宋体" w:cs="宋体"/>
                <w:b/>
                <w:bCs/>
                <w:color w:val="auto"/>
              </w:rPr>
              <w:t>核心产品</w:t>
            </w:r>
            <w:r>
              <w:rPr>
                <w:rFonts w:hint="eastAsia" w:ascii="宋体" w:hAnsi="宋体" w:cs="宋体"/>
                <w:b/>
                <w:bCs/>
                <w:color w:val="auto"/>
                <w:lang w:eastAsia="zh-CN"/>
              </w:rPr>
              <w:t>出现相同品牌</w:t>
            </w:r>
            <w:r>
              <w:rPr>
                <w:rFonts w:hint="eastAsia" w:ascii="宋体" w:hAnsi="宋体" w:cs="宋体"/>
                <w:b/>
                <w:bCs/>
                <w:color w:val="auto"/>
              </w:rPr>
              <w:t>且通过资格审查、符合性审查的不同供应商参加同一合同项下投标的</w:t>
            </w:r>
            <w:r>
              <w:rPr>
                <w:rFonts w:hint="eastAsia" w:ascii="宋体" w:hAnsi="宋体" w:cs="宋体"/>
                <w:b/>
                <w:bCs/>
                <w:color w:val="auto"/>
                <w:lang w:eastAsia="zh-CN"/>
              </w:rPr>
              <w:t>情形</w:t>
            </w:r>
            <w:r>
              <w:rPr>
                <w:rFonts w:hint="eastAsia" w:ascii="宋体" w:hAnsi="宋体" w:cs="宋体"/>
                <w:b/>
                <w:bCs/>
                <w:color w:val="auto"/>
              </w:rPr>
              <w:t>，也按一家供应商计算。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10.11</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解释权</w:t>
            </w:r>
          </w:p>
        </w:tc>
        <w:tc>
          <w:tcPr>
            <w:tcW w:w="6075" w:type="dxa"/>
            <w:vAlign w:val="center"/>
          </w:tcPr>
          <w:p>
            <w:pPr>
              <w:jc w:val="both"/>
              <w:rPr>
                <w:rFonts w:hint="eastAsia" w:ascii="宋体" w:hAnsi="宋体" w:cs="宋体"/>
                <w:color w:val="auto"/>
                <w:highlight w:val="none"/>
              </w:rPr>
            </w:pPr>
            <w:r>
              <w:rPr>
                <w:rFonts w:hint="eastAsia" w:ascii="宋体" w:hAnsi="宋体" w:cs="宋体"/>
                <w:color w:val="auto"/>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cs="宋体"/>
                <w:color w:val="auto"/>
                <w:highlight w:val="none"/>
              </w:rPr>
            </w:pPr>
            <w:r>
              <w:rPr>
                <w:rFonts w:hint="eastAsia" w:ascii="宋体" w:hAnsi="宋体" w:cs="宋体"/>
                <w:color w:val="auto"/>
              </w:rPr>
              <w:t>10.12</w:t>
            </w:r>
          </w:p>
        </w:tc>
        <w:tc>
          <w:tcPr>
            <w:tcW w:w="2200" w:type="dxa"/>
            <w:vAlign w:val="center"/>
          </w:tcPr>
          <w:p>
            <w:pPr>
              <w:jc w:val="center"/>
              <w:rPr>
                <w:rFonts w:hint="eastAsia" w:ascii="宋体" w:hAnsi="宋体" w:cs="宋体"/>
                <w:color w:val="auto"/>
                <w:highlight w:val="none"/>
              </w:rPr>
            </w:pPr>
            <w:r>
              <w:rPr>
                <w:rFonts w:hint="eastAsia" w:ascii="宋体" w:hAnsi="宋体" w:cs="宋体"/>
                <w:color w:val="auto"/>
              </w:rPr>
              <w:t>特别提醒</w:t>
            </w:r>
          </w:p>
        </w:tc>
        <w:tc>
          <w:tcPr>
            <w:tcW w:w="6075" w:type="dxa"/>
            <w:vAlign w:val="center"/>
          </w:tcPr>
          <w:p>
            <w:pPr>
              <w:jc w:val="both"/>
              <w:rPr>
                <w:rFonts w:ascii="宋体" w:hAnsi="宋体" w:cs="宋体"/>
                <w:color w:val="auto"/>
              </w:rPr>
            </w:pPr>
            <w:r>
              <w:rPr>
                <w:rFonts w:hint="eastAsia" w:ascii="宋体" w:hAnsi="宋体" w:cs="宋体"/>
                <w:color w:val="auto"/>
              </w:rPr>
              <w:t>1.采购人和采购代理机构对已发出的招标文件进行的澄清、更正或更改，澄清、更正或更改的内容将作为招标文件组成部分。采购代理机构将通过网站“变更公告”和系统内部“答疑文件”告知供应商，对于各项目中已经成功报名并下载招标文件的项目供应商，系统将通过第三方短信群发方式提醒供应商进行查询。各供应商须重新下载最新的招标文件及答疑文件，以此编制投标文件。供应商注册时所留手机联系方式要保持畅通，因联系方式变更而未及时更新系统内联系方式的，将会造成收不到短信。此短信仅系友情提示，并具有任何约束性和必要性，采购人和采购代理机构不承担供应商未收到短信而引起的一切后果和法律责任。</w:t>
            </w:r>
          </w:p>
          <w:p>
            <w:pPr>
              <w:jc w:val="both"/>
              <w:rPr>
                <w:rFonts w:ascii="宋体" w:hAnsi="宋体" w:cs="宋体"/>
                <w:color w:val="auto"/>
              </w:rPr>
            </w:pPr>
            <w:r>
              <w:rPr>
                <w:rFonts w:hint="eastAsia" w:ascii="宋体" w:hAnsi="宋体" w:cs="宋体"/>
                <w:color w:val="auto"/>
              </w:rPr>
              <w:t>2.因河南省公共资源交易中心平台在开标前具有保密性，供应商在投标文件递交截止时间前须自行查看项目进展、变更通知、澄清及回复，因供应商未及时查看而造成的后果自负。</w:t>
            </w:r>
          </w:p>
          <w:p>
            <w:pPr>
              <w:jc w:val="both"/>
              <w:rPr>
                <w:rFonts w:hint="eastAsia" w:ascii="宋体" w:hAnsi="宋体" w:cs="宋体"/>
                <w:color w:val="auto"/>
                <w:highlight w:val="none"/>
              </w:rPr>
            </w:pPr>
            <w:r>
              <w:rPr>
                <w:rFonts w:hint="eastAsia" w:ascii="宋体" w:hAnsi="宋体" w:cs="宋体"/>
                <w:color w:val="auto"/>
              </w:rPr>
              <w:t>3.本项目采用“远程不见面”开标方式，远程开标大厅网址为http://www.hnggzy.net/，供应商无需到河南省公共资源交易中心现场参加开标会议，无需到达现场提交原件资料。供应商应当在投标截止时间前，登录远程开标大厅，在线准时参加开标活动并进行投标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10.13</w:t>
            </w:r>
          </w:p>
        </w:tc>
        <w:tc>
          <w:tcPr>
            <w:tcW w:w="2200" w:type="dxa"/>
            <w:vAlign w:val="center"/>
          </w:tcPr>
          <w:p>
            <w:pPr>
              <w:jc w:val="center"/>
              <w:rPr>
                <w:rFonts w:hint="eastAsia" w:ascii="宋体" w:hAnsi="宋体" w:cs="宋体"/>
                <w:color w:val="auto"/>
              </w:rPr>
            </w:pPr>
            <w:r>
              <w:rPr>
                <w:rFonts w:hint="eastAsia" w:ascii="宋体" w:hAnsi="宋体" w:cs="宋体"/>
                <w:color w:val="auto"/>
              </w:rPr>
              <w:t>政府采购政策</w:t>
            </w:r>
          </w:p>
        </w:tc>
        <w:tc>
          <w:tcPr>
            <w:tcW w:w="6075" w:type="dxa"/>
            <w:vAlign w:val="center"/>
          </w:tcPr>
          <w:p>
            <w:pPr>
              <w:spacing w:line="480" w:lineRule="exact"/>
              <w:jc w:val="both"/>
              <w:rPr>
                <w:rFonts w:ascii="宋体" w:hAnsi="宋体" w:cs="宋体"/>
                <w:color w:val="auto"/>
              </w:rPr>
            </w:pPr>
            <w:r>
              <w:rPr>
                <w:rFonts w:hint="eastAsia" w:ascii="宋体" w:hAnsi="宋体" w:cs="宋体"/>
                <w:color w:val="auto"/>
              </w:rPr>
              <w:t>1.根据“关于印发《政府采购促进中小企业发展管理办法》的通知(财库[2020]46号)”及“关于进一步加大政府采购支持中小企业力度的通知财库〔2022〕19号”的规定对于非专门面向中小企业的项目，对小微企业报价给予10</w:t>
            </w:r>
            <w:r>
              <w:rPr>
                <w:rFonts w:hint="eastAsia" w:ascii="宋体" w:hAnsi="宋体" w:cs="宋体"/>
                <w:color w:val="auto"/>
                <w:lang w:val="en-US" w:eastAsia="zh-CN"/>
              </w:rPr>
              <w:t>-20%</w:t>
            </w:r>
            <w:r>
              <w:rPr>
                <w:rFonts w:hint="eastAsia" w:ascii="宋体" w:hAnsi="宋体" w:cs="宋体"/>
                <w:color w:val="auto"/>
              </w:rPr>
              <w:t>的扣除，用扣除后的价格参加评审。参加政府采购活动的中小企业应当提供《中小企业声明函》，未填写中小企业声明函的在评审过程中不予认可。中标人如为小型和微型企业的，随中标结果公开中标人的《中小企业声明函》。</w:t>
            </w:r>
          </w:p>
          <w:p>
            <w:pPr>
              <w:spacing w:line="480" w:lineRule="exact"/>
              <w:jc w:val="both"/>
              <w:rPr>
                <w:rFonts w:hint="eastAsia" w:ascii="宋体" w:hAnsi="宋体" w:cs="宋体"/>
                <w:color w:val="auto"/>
              </w:rPr>
            </w:pPr>
            <w:r>
              <w:rPr>
                <w:rFonts w:hint="eastAsia" w:ascii="宋体" w:hAnsi="宋体" w:cs="宋体"/>
                <w:color w:val="auto"/>
              </w:rPr>
              <w:t>投标供应商提供的货物既有中小企业制造货物，也有大型企业制造货物的，不享受《政府采购促进中小企业发展管理办法》(财库[2020]46号)规定的中小企业扶持政策。依据《政府采购促进中小企业发展管理办法》(财库[2020]46号)规定享受扶持政策获得政府采购合同的，小微企业不得将合同分包给大中型企业，中型企业不得将合同分包给大型企业。</w:t>
            </w:r>
          </w:p>
          <w:p>
            <w:pPr>
              <w:spacing w:line="480" w:lineRule="exact"/>
              <w:jc w:val="both"/>
              <w:rPr>
                <w:rFonts w:hint="eastAsia" w:ascii="宋体" w:hAnsi="宋体" w:cs="宋体"/>
                <w:color w:val="auto"/>
              </w:rPr>
            </w:pPr>
            <w:r>
              <w:rPr>
                <w:rFonts w:hint="eastAsia" w:ascii="宋体" w:hAnsi="宋体" w:cs="仿宋"/>
                <w:b/>
                <w:color w:val="auto"/>
              </w:rPr>
              <w:t>本项目专门面向中小企业采购，</w:t>
            </w:r>
            <w:r>
              <w:rPr>
                <w:rFonts w:hint="eastAsia" w:ascii="宋体" w:hAnsi="宋体" w:cs="仿宋"/>
                <w:b/>
                <w:color w:val="auto"/>
                <w:lang w:eastAsia="zh-CN"/>
              </w:rPr>
              <w:t>投标</w:t>
            </w:r>
            <w:r>
              <w:rPr>
                <w:rFonts w:hint="eastAsia" w:ascii="宋体" w:hAnsi="宋体" w:cs="仿宋"/>
                <w:b/>
                <w:color w:val="auto"/>
              </w:rPr>
              <w:t>报价不再执行价格扣除优惠政策。</w:t>
            </w:r>
          </w:p>
          <w:p>
            <w:pPr>
              <w:spacing w:line="480" w:lineRule="exact"/>
              <w:jc w:val="both"/>
              <w:rPr>
                <w:rFonts w:hint="eastAsia" w:ascii="宋体" w:hAnsi="宋体" w:eastAsia="宋体" w:cs="宋体"/>
                <w:b/>
                <w:bCs/>
                <w:color w:val="auto"/>
                <w:lang w:eastAsia="zh-CN"/>
              </w:rPr>
            </w:pPr>
            <w:r>
              <w:rPr>
                <w:rFonts w:hint="eastAsia" w:ascii="宋体" w:hAnsi="宋体" w:cs="宋体"/>
                <w:b/>
                <w:bCs/>
                <w:color w:val="auto"/>
              </w:rPr>
              <w:t>本次采购标的对应的中小企业划分标准所属行业均为：</w:t>
            </w:r>
            <w:r>
              <w:rPr>
                <w:rFonts w:hint="eastAsia" w:ascii="宋体" w:hAnsi="宋体" w:cs="宋体"/>
                <w:b/>
                <w:bCs/>
                <w:color w:val="auto"/>
                <w:lang w:eastAsia="zh-CN"/>
              </w:rPr>
              <w:t>工业。</w:t>
            </w:r>
          </w:p>
          <w:p>
            <w:pPr>
              <w:spacing w:line="480" w:lineRule="exact"/>
              <w:jc w:val="both"/>
              <w:rPr>
                <w:rFonts w:ascii="宋体" w:hAnsi="宋体" w:cs="宋体"/>
                <w:color w:val="auto"/>
              </w:rPr>
            </w:pPr>
            <w:r>
              <w:rPr>
                <w:rFonts w:hint="eastAsia" w:ascii="宋体" w:hAnsi="宋体" w:cs="宋体"/>
                <w:color w:val="auto"/>
              </w:rPr>
              <w:t>2.根据《财政部、司法部关于政府采购支持监狱企业发展有关问题的通知》（财库[2014]68号）规定，本项目支持监狱企业参与政府采购活动。监狱企业参加本项目采购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pPr>
              <w:spacing w:line="480" w:lineRule="exact"/>
              <w:jc w:val="both"/>
              <w:rPr>
                <w:rFonts w:ascii="宋体" w:hAnsi="宋体" w:cs="宋体"/>
                <w:color w:val="auto"/>
              </w:rPr>
            </w:pPr>
            <w:r>
              <w:rPr>
                <w:rFonts w:hint="eastAsia" w:ascii="宋体" w:hAnsi="宋体" w:cs="宋体"/>
                <w:color w:val="auto"/>
              </w:rPr>
              <w:t>3.根据《关于促进残疾人就业政府采购政策的通知》（财库〔2017〕141号）文件规定，本项目支持残疾人福利性单位参与政府采购活动。符合条件的残疾人福利性单位参加本项目采购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pPr>
              <w:spacing w:line="480" w:lineRule="exact"/>
              <w:jc w:val="both"/>
              <w:rPr>
                <w:rFonts w:ascii="宋体" w:hAnsi="宋体" w:cs="宋体"/>
                <w:color w:val="auto"/>
              </w:rPr>
            </w:pPr>
            <w:r>
              <w:rPr>
                <w:rFonts w:hint="eastAsia" w:ascii="宋体" w:hAnsi="宋体" w:cs="宋体"/>
                <w:color w:val="auto"/>
              </w:rPr>
              <w:t>4.根据《关于调整优化节能产品环境标志产品政府采购执行机制的通知》（财库〔2019〕9号）文件规定，本项目如涉及到品目清单范围内的产品，将依据国家确定的认证机构出具的、处于有效期之内的节能产品、环境标志产品认证证书，对获得证书的产品实施优先采购或强制采购。</w:t>
            </w:r>
          </w:p>
          <w:p>
            <w:pPr>
              <w:spacing w:line="480" w:lineRule="exact"/>
              <w:jc w:val="both"/>
              <w:rPr>
                <w:rFonts w:ascii="宋体" w:hAnsi="宋体" w:cs="宋体"/>
                <w:color w:val="auto"/>
              </w:rPr>
            </w:pPr>
            <w:r>
              <w:rPr>
                <w:rFonts w:hint="eastAsia" w:ascii="宋体" w:hAnsi="宋体" w:cs="宋体"/>
                <w:color w:val="auto"/>
              </w:rPr>
              <w:t>5.根据《政府采购进口产品管理办法》（财库[2007]119号）规定，政府采购应当采购本国产品，不允许采购进口产品，确需采购进口产品的，实行审核管理。本办法所称进口产品是指通过中国海关报关验放进入中国境内且产自关境外的产品。</w:t>
            </w:r>
          </w:p>
          <w:p>
            <w:pPr>
              <w:spacing w:line="480" w:lineRule="exact"/>
              <w:jc w:val="both"/>
              <w:rPr>
                <w:rFonts w:ascii="宋体" w:hAnsi="宋体" w:cs="宋体"/>
                <w:color w:val="auto"/>
              </w:rPr>
            </w:pPr>
            <w:r>
              <w:rPr>
                <w:rFonts w:hint="eastAsia" w:ascii="宋体" w:hAnsi="宋体" w:cs="宋体"/>
                <w:color w:val="auto"/>
              </w:rPr>
              <w:t>6.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p>
            <w:pPr>
              <w:spacing w:line="480" w:lineRule="exact"/>
              <w:jc w:val="both"/>
              <w:rPr>
                <w:rFonts w:ascii="宋体" w:hAnsi="宋体" w:cs="宋体"/>
                <w:color w:val="auto"/>
              </w:rPr>
            </w:pPr>
            <w:r>
              <w:rPr>
                <w:rFonts w:hint="eastAsia" w:ascii="宋体" w:hAnsi="宋体" w:cs="宋体"/>
                <w:color w:val="auto"/>
              </w:rPr>
              <w:t>7.本项目经财政部门审核同意，允许采购进口产品；优先采购向我国企业转让技术、与我国企业签订消化吸收再创新方案的投标供应商的进口产品。</w:t>
            </w:r>
          </w:p>
          <w:p>
            <w:pPr>
              <w:spacing w:line="480" w:lineRule="exact"/>
              <w:jc w:val="both"/>
              <w:rPr>
                <w:rFonts w:ascii="宋体" w:hAnsi="宋体" w:cs="宋体"/>
                <w:color w:val="auto"/>
              </w:rPr>
            </w:pPr>
            <w:r>
              <w:rPr>
                <w:rFonts w:hint="eastAsia" w:ascii="宋体" w:hAnsi="宋体" w:cs="宋体"/>
                <w:color w:val="auto"/>
              </w:rPr>
              <w:t>8.根据政府采购政策，本项目如涉及到自主创新首购产品，应当采购由财政部会同科技部等部门制定的《政府采购自主创新产品目录》内的产品。</w:t>
            </w:r>
          </w:p>
          <w:p>
            <w:pPr>
              <w:spacing w:line="480" w:lineRule="exact"/>
              <w:jc w:val="both"/>
              <w:rPr>
                <w:rFonts w:ascii="宋体" w:hAnsi="宋体" w:cs="宋体"/>
                <w:color w:val="auto"/>
              </w:rPr>
            </w:pPr>
            <w:r>
              <w:rPr>
                <w:rFonts w:hint="eastAsia" w:ascii="宋体" w:hAnsi="宋体" w:cs="宋体"/>
                <w:color w:val="auto"/>
              </w:rPr>
              <w:t>9.根据政府采购政策，本项目如涉及到无线局域网产品，应当优先采购《无线局域网认证产品政府采购清单》内的产品，如涉及到信息安全产品，应当采购经国家认证的信息安全产品。</w:t>
            </w:r>
          </w:p>
          <w:p>
            <w:pPr>
              <w:jc w:val="both"/>
              <w:rPr>
                <w:rFonts w:hint="eastAsia" w:ascii="宋体" w:hAnsi="宋体" w:cs="宋体"/>
                <w:color w:val="auto"/>
              </w:rPr>
            </w:pPr>
            <w:r>
              <w:rPr>
                <w:rFonts w:hint="eastAsia" w:ascii="宋体" w:hAnsi="宋体" w:cs="宋体"/>
                <w:color w:val="auto"/>
              </w:rPr>
              <w:t>10.根据政府采购政策，本项目如涉及到计算机办公设备产品，供应商所投产品必须是预装正版操作系统软件的计算机产品。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rPr>
              <w:t>10.1</w:t>
            </w:r>
            <w:r>
              <w:rPr>
                <w:rFonts w:hint="eastAsia" w:ascii="宋体" w:hAnsi="宋体" w:cs="宋体"/>
                <w:color w:val="auto"/>
                <w:lang w:val="en-US" w:eastAsia="zh-CN"/>
              </w:rPr>
              <w:t>4</w:t>
            </w:r>
          </w:p>
        </w:tc>
        <w:tc>
          <w:tcPr>
            <w:tcW w:w="2200" w:type="dxa"/>
            <w:vAlign w:val="center"/>
          </w:tcPr>
          <w:p>
            <w:pPr>
              <w:jc w:val="center"/>
              <w:rPr>
                <w:rFonts w:hint="eastAsia" w:ascii="宋体" w:hAnsi="宋体" w:cs="宋体"/>
                <w:color w:val="auto"/>
                <w:highlight w:val="none"/>
              </w:rPr>
            </w:pPr>
            <w:r>
              <w:rPr>
                <w:rFonts w:hint="eastAsia" w:ascii="宋体" w:hAnsi="宋体" w:cs="宋体"/>
                <w:b/>
                <w:color w:val="auto"/>
                <w:kern w:val="0"/>
              </w:rPr>
              <w:t>信用查询</w:t>
            </w:r>
          </w:p>
        </w:tc>
        <w:tc>
          <w:tcPr>
            <w:tcW w:w="6075" w:type="dxa"/>
            <w:vAlign w:val="center"/>
          </w:tcPr>
          <w:p>
            <w:pPr>
              <w:jc w:val="both"/>
              <w:rPr>
                <w:rFonts w:ascii="宋体" w:hAnsi="宋体" w:cs="宋体"/>
                <w:b/>
                <w:bCs/>
                <w:color w:val="auto"/>
              </w:rPr>
            </w:pPr>
            <w:r>
              <w:rPr>
                <w:rFonts w:hint="eastAsia" w:ascii="宋体" w:hAnsi="宋体" w:cs="宋体"/>
                <w:b/>
                <w:bCs/>
                <w:color w:val="auto"/>
              </w:rPr>
              <w:t>根据财库【2016】125号文的要求，招标人或代理机构将查询供应商信用记录。</w:t>
            </w:r>
          </w:p>
          <w:p>
            <w:pPr>
              <w:jc w:val="both"/>
              <w:rPr>
                <w:rFonts w:ascii="宋体" w:hAnsi="宋体" w:cs="宋体"/>
                <w:b/>
                <w:bCs/>
                <w:color w:val="auto"/>
              </w:rPr>
            </w:pPr>
            <w:r>
              <w:rPr>
                <w:rFonts w:hint="eastAsia" w:ascii="宋体" w:hAnsi="宋体" w:cs="宋体"/>
                <w:b/>
                <w:bCs/>
                <w:color w:val="auto"/>
              </w:rPr>
              <w:t>1、查询渠道：</w:t>
            </w:r>
          </w:p>
          <w:p>
            <w:pPr>
              <w:jc w:val="both"/>
              <w:rPr>
                <w:rFonts w:ascii="宋体" w:hAnsi="宋体" w:cs="宋体"/>
                <w:b/>
                <w:bCs/>
                <w:color w:val="auto"/>
              </w:rPr>
            </w:pPr>
            <w:r>
              <w:rPr>
                <w:rFonts w:hint="eastAsia" w:ascii="宋体" w:hAnsi="宋体" w:cs="宋体"/>
                <w:b/>
                <w:bCs/>
                <w:color w:val="auto"/>
              </w:rPr>
              <w:t>失信被执行人通过“中国执行信息公开网”网站查询；</w:t>
            </w:r>
          </w:p>
          <w:p>
            <w:pPr>
              <w:jc w:val="both"/>
              <w:rPr>
                <w:rFonts w:ascii="宋体" w:hAnsi="宋体" w:cs="宋体"/>
                <w:b/>
                <w:bCs/>
                <w:color w:val="auto"/>
              </w:rPr>
            </w:pPr>
            <w:r>
              <w:rPr>
                <w:rFonts w:hint="eastAsia" w:ascii="宋体" w:hAnsi="宋体" w:cs="宋体"/>
                <w:b/>
                <w:bCs/>
                <w:color w:val="auto"/>
              </w:rPr>
              <w:t>重大税收违法失信主体通过“信用中国”网站查询；</w:t>
            </w:r>
          </w:p>
          <w:p>
            <w:pPr>
              <w:jc w:val="both"/>
              <w:rPr>
                <w:rFonts w:ascii="宋体" w:hAnsi="宋体" w:cs="宋体"/>
                <w:b/>
                <w:bCs/>
                <w:color w:val="auto"/>
              </w:rPr>
            </w:pPr>
            <w:r>
              <w:rPr>
                <w:rFonts w:hint="eastAsia" w:ascii="宋体" w:hAnsi="宋体" w:cs="宋体"/>
                <w:b/>
                <w:bCs/>
                <w:color w:val="auto"/>
              </w:rPr>
              <w:t>政府采购严重违法失信行为通过“中国政府采购网”查询；</w:t>
            </w:r>
          </w:p>
          <w:p>
            <w:pPr>
              <w:jc w:val="both"/>
              <w:rPr>
                <w:rFonts w:ascii="宋体" w:hAnsi="宋体" w:cs="宋体"/>
                <w:b/>
                <w:bCs/>
                <w:color w:val="auto"/>
              </w:rPr>
            </w:pPr>
            <w:r>
              <w:rPr>
                <w:rFonts w:hint="eastAsia" w:ascii="宋体" w:hAnsi="宋体" w:cs="宋体"/>
                <w:b/>
                <w:bCs/>
                <w:color w:val="auto"/>
              </w:rPr>
              <w:t>2、信用信息查询时间：资格审查时，由采购人或采购代理机构查询供应商的信用信息记录。</w:t>
            </w:r>
          </w:p>
          <w:p>
            <w:pPr>
              <w:jc w:val="both"/>
              <w:rPr>
                <w:rFonts w:ascii="宋体" w:hAnsi="宋体" w:cs="宋体"/>
                <w:b/>
                <w:bCs/>
                <w:color w:val="auto"/>
              </w:rPr>
            </w:pPr>
            <w:r>
              <w:rPr>
                <w:rFonts w:hint="eastAsia" w:ascii="宋体" w:hAnsi="宋体" w:cs="宋体"/>
                <w:b/>
                <w:bCs/>
                <w:color w:val="auto"/>
              </w:rPr>
              <w:t>3、信用信息查询记录和证据留存的具体方式：网页截图或打印件，在评标时作为评审依据进行资格审查，评审结束后与其他采购文件一并保存。</w:t>
            </w:r>
          </w:p>
          <w:p>
            <w:pPr>
              <w:wordWrap w:val="0"/>
              <w:jc w:val="both"/>
              <w:rPr>
                <w:rFonts w:ascii="宋体" w:hAnsi="宋体" w:cs="宋体"/>
                <w:b/>
                <w:bCs/>
                <w:color w:val="auto"/>
              </w:rPr>
            </w:pPr>
            <w:r>
              <w:rPr>
                <w:rFonts w:hint="eastAsia" w:ascii="宋体" w:hAnsi="宋体" w:cs="宋体"/>
                <w:b/>
                <w:bCs/>
                <w:color w:val="auto"/>
              </w:rPr>
              <w:t>4、信用信息的使用规则：如供应商为“中国执行信息公开网”网站中列入失信被执行人、“信用中国”网站（www.creditchina.gov.cn）中列入重大税收违法失信主体的供应商，或列入中国政府采购网（www.ccgp.gov.cn）政府采购严重违法失信行为记录名单中被财政部门禁止参加政府采购活动的供应商，则其投标文件将被拒绝。</w:t>
            </w:r>
          </w:p>
          <w:p>
            <w:pPr>
              <w:jc w:val="both"/>
              <w:rPr>
                <w:rFonts w:hint="eastAsia" w:ascii="宋体" w:hAnsi="宋体" w:cs="宋体"/>
                <w:color w:val="auto"/>
                <w:highlight w:val="none"/>
              </w:rPr>
            </w:pPr>
            <w:r>
              <w:rPr>
                <w:rFonts w:hint="eastAsia" w:ascii="宋体" w:hAnsi="宋体" w:cs="宋体"/>
                <w:b/>
                <w:bCs/>
                <w:color w:val="auto"/>
              </w:rPr>
              <w:t>采购人或代理机构查询之后，网站信息发生的任何变更均不再作为评审依据，供应商自行提供的查询结果及其他证明材料亦不作为评审依据。</w:t>
            </w:r>
          </w:p>
        </w:tc>
      </w:tr>
    </w:tbl>
    <w:p>
      <w:pPr>
        <w:rPr>
          <w:color w:val="auto"/>
        </w:rPr>
      </w:pPr>
    </w:p>
    <w:p>
      <w:pPr>
        <w:rPr>
          <w:color w:val="auto"/>
        </w:rPr>
        <w:sectPr>
          <w:pgSz w:w="11906" w:h="16838"/>
          <w:pgMar w:top="1440" w:right="1800" w:bottom="1440" w:left="1800" w:header="851" w:footer="992" w:gutter="0"/>
          <w:pgNumType w:fmt="decimal"/>
          <w:cols w:space="425" w:num="1"/>
          <w:docGrid w:type="lines" w:linePitch="312" w:charSpace="0"/>
        </w:sectPr>
      </w:pPr>
    </w:p>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5" w:name="_Toc8783"/>
      <w:bookmarkStart w:id="6" w:name="_Toc5943"/>
      <w:bookmarkStart w:id="7" w:name="_Toc10524"/>
      <w:bookmarkStart w:id="8" w:name="_Toc23402"/>
      <w:r>
        <w:rPr>
          <w:rFonts w:hint="eastAsia" w:ascii="宋体" w:hAnsi="宋体" w:eastAsia="宋体" w:cs="宋体"/>
          <w:b/>
          <w:color w:val="auto"/>
          <w:kern w:val="0"/>
          <w:sz w:val="30"/>
          <w:szCs w:val="20"/>
          <w:lang w:val="en-US" w:eastAsia="zh-CN" w:bidi="ar-SA"/>
        </w:rPr>
        <w:t>1.总则</w:t>
      </w:r>
      <w:bookmarkEnd w:id="5"/>
      <w:bookmarkEnd w:id="6"/>
      <w:bookmarkEnd w:id="7"/>
      <w:bookmarkEnd w:id="8"/>
      <w:bookmarkStart w:id="9" w:name="_Toc9974"/>
    </w:p>
    <w:p>
      <w:pPr>
        <w:keepNext/>
        <w:keepLines/>
        <w:outlineLvl w:val="2"/>
        <w:rPr>
          <w:rFonts w:ascii="宋体" w:hAnsi="宋体" w:eastAsia="宋体" w:cs="宋体"/>
          <w:b/>
          <w:color w:val="auto"/>
          <w:sz w:val="28"/>
          <w:szCs w:val="28"/>
        </w:rPr>
      </w:pPr>
      <w:bookmarkStart w:id="10" w:name="_Toc492577679"/>
      <w:bookmarkStart w:id="11" w:name="_Toc487128323"/>
      <w:r>
        <w:rPr>
          <w:rFonts w:hint="eastAsia" w:ascii="宋体" w:hAnsi="宋体" w:eastAsia="宋体" w:cs="宋体"/>
          <w:b/>
          <w:color w:val="auto"/>
          <w:sz w:val="28"/>
          <w:szCs w:val="28"/>
        </w:rPr>
        <w:t>1.1 项目概况</w:t>
      </w:r>
      <w:bookmarkEnd w:id="9"/>
      <w:bookmarkEnd w:id="10"/>
      <w:bookmarkEnd w:id="11"/>
    </w:p>
    <w:p>
      <w:pPr>
        <w:ind w:firstLine="480" w:firstLineChars="200"/>
        <w:rPr>
          <w:rFonts w:ascii="宋体" w:hAnsi="宋体" w:eastAsia="宋体" w:cs="宋体"/>
          <w:color w:val="auto"/>
        </w:rPr>
      </w:pPr>
      <w:r>
        <w:rPr>
          <w:rFonts w:hint="eastAsia" w:ascii="宋体" w:hAnsi="宋体" w:eastAsia="宋体" w:cs="宋体"/>
          <w:color w:val="auto"/>
        </w:rPr>
        <w:t>1.1.1 根据《中华人民共和国政府采购法》等有关法律、法规和规章的规定，本招标项目己具备招标条件，现对本项目进行招标。</w:t>
      </w:r>
    </w:p>
    <w:p>
      <w:pPr>
        <w:ind w:firstLine="480" w:firstLineChars="200"/>
        <w:rPr>
          <w:rFonts w:ascii="宋体" w:hAnsi="宋体" w:eastAsia="宋体" w:cs="宋体"/>
          <w:color w:val="auto"/>
        </w:rPr>
      </w:pPr>
      <w:r>
        <w:rPr>
          <w:rFonts w:hint="eastAsia" w:ascii="宋体" w:hAnsi="宋体" w:eastAsia="宋体" w:cs="宋体"/>
          <w:color w:val="auto"/>
        </w:rPr>
        <w:t>1.1.2 本招标项目采购人：见供应商须知前附表。</w:t>
      </w:r>
    </w:p>
    <w:p>
      <w:pPr>
        <w:ind w:firstLine="480" w:firstLineChars="200"/>
        <w:rPr>
          <w:rFonts w:ascii="宋体" w:hAnsi="宋体" w:eastAsia="宋体" w:cs="宋体"/>
          <w:color w:val="auto"/>
        </w:rPr>
      </w:pPr>
      <w:r>
        <w:rPr>
          <w:rFonts w:hint="eastAsia" w:ascii="宋体" w:hAnsi="宋体" w:eastAsia="宋体" w:cs="宋体"/>
          <w:color w:val="auto"/>
        </w:rPr>
        <w:t>1.1.3 本招标项目采购代理机构：见供应商须知前附表。</w:t>
      </w:r>
    </w:p>
    <w:p>
      <w:pPr>
        <w:ind w:firstLine="480" w:firstLineChars="200"/>
        <w:rPr>
          <w:rFonts w:ascii="宋体" w:hAnsi="宋体" w:eastAsia="宋体" w:cs="宋体"/>
          <w:color w:val="auto"/>
        </w:rPr>
      </w:pPr>
      <w:r>
        <w:rPr>
          <w:rFonts w:hint="eastAsia" w:ascii="宋体" w:hAnsi="宋体" w:eastAsia="宋体" w:cs="宋体"/>
          <w:color w:val="auto"/>
        </w:rPr>
        <w:t>1.1.4 本招标项目项目名称：见供应商须知前附表。</w:t>
      </w:r>
    </w:p>
    <w:p>
      <w:pPr>
        <w:ind w:firstLine="480" w:firstLineChars="200"/>
        <w:rPr>
          <w:rFonts w:ascii="宋体" w:hAnsi="宋体" w:eastAsia="宋体" w:cs="宋体"/>
          <w:color w:val="auto"/>
        </w:rPr>
      </w:pPr>
      <w:r>
        <w:rPr>
          <w:rFonts w:hint="eastAsia" w:ascii="宋体" w:hAnsi="宋体" w:eastAsia="宋体" w:cs="宋体"/>
          <w:color w:val="auto"/>
        </w:rPr>
        <w:t>1.1.5 本招标项目项目编号：见供应商须知前附表。</w:t>
      </w:r>
    </w:p>
    <w:p>
      <w:pPr>
        <w:ind w:firstLine="480" w:firstLineChars="200"/>
        <w:rPr>
          <w:rFonts w:hint="eastAsia" w:ascii="宋体" w:hAnsi="宋体" w:eastAsia="宋体" w:cs="宋体"/>
          <w:color w:val="auto"/>
        </w:rPr>
      </w:pPr>
      <w:r>
        <w:rPr>
          <w:rFonts w:hint="eastAsia" w:ascii="宋体" w:hAnsi="宋体" w:eastAsia="宋体" w:cs="宋体"/>
          <w:color w:val="auto"/>
        </w:rPr>
        <w:t>1.1.6 本招标项目</w:t>
      </w:r>
      <w:r>
        <w:rPr>
          <w:rFonts w:hint="eastAsia" w:ascii="宋体" w:hAnsi="宋体" w:cs="宋体"/>
          <w:color w:val="auto"/>
          <w:lang w:eastAsia="zh-CN"/>
        </w:rPr>
        <w:t>项目属性</w:t>
      </w:r>
      <w:r>
        <w:rPr>
          <w:rFonts w:hint="eastAsia" w:ascii="宋体" w:hAnsi="宋体" w:eastAsia="宋体" w:cs="宋体"/>
          <w:color w:val="auto"/>
        </w:rPr>
        <w:t>：见供应商须知前附表。</w:t>
      </w:r>
    </w:p>
    <w:p>
      <w:pPr>
        <w:keepNext/>
        <w:keepLines/>
        <w:outlineLvl w:val="2"/>
        <w:rPr>
          <w:rFonts w:ascii="宋体" w:hAnsi="宋体" w:eastAsia="宋体" w:cs="宋体"/>
          <w:b/>
          <w:color w:val="auto"/>
          <w:sz w:val="28"/>
          <w:szCs w:val="28"/>
        </w:rPr>
      </w:pPr>
      <w:bookmarkStart w:id="12" w:name="_Toc20332"/>
      <w:r>
        <w:rPr>
          <w:rFonts w:hint="eastAsia" w:ascii="宋体" w:hAnsi="宋体" w:eastAsia="宋体" w:cs="宋体"/>
          <w:b/>
          <w:color w:val="auto"/>
          <w:sz w:val="28"/>
          <w:szCs w:val="28"/>
        </w:rPr>
        <w:t>1.2 资金来源和落实情况</w:t>
      </w:r>
      <w:bookmarkEnd w:id="12"/>
    </w:p>
    <w:p>
      <w:pPr>
        <w:ind w:firstLine="480" w:firstLineChars="200"/>
        <w:rPr>
          <w:rFonts w:ascii="宋体" w:hAnsi="宋体" w:eastAsia="宋体" w:cs="宋体"/>
          <w:color w:val="auto"/>
        </w:rPr>
      </w:pPr>
      <w:r>
        <w:rPr>
          <w:rFonts w:hint="eastAsia" w:ascii="宋体" w:hAnsi="宋体" w:eastAsia="宋体" w:cs="宋体"/>
          <w:color w:val="auto"/>
        </w:rPr>
        <w:t>1.2.1 本招标项目的资金来源及比例：见供应商须知前附表。</w:t>
      </w:r>
    </w:p>
    <w:p>
      <w:pPr>
        <w:ind w:firstLine="480" w:firstLineChars="200"/>
        <w:rPr>
          <w:rFonts w:ascii="宋体" w:hAnsi="宋体" w:eastAsia="宋体" w:cs="宋体"/>
          <w:color w:val="auto"/>
        </w:rPr>
      </w:pPr>
      <w:r>
        <w:rPr>
          <w:rFonts w:hint="eastAsia" w:ascii="宋体" w:hAnsi="宋体" w:eastAsia="宋体" w:cs="宋体"/>
          <w:color w:val="auto"/>
        </w:rPr>
        <w:t>1.2.2 本招标项目的采购预算：见供应商须知前附表。</w:t>
      </w:r>
    </w:p>
    <w:p>
      <w:pPr>
        <w:ind w:firstLine="480" w:firstLineChars="200"/>
        <w:rPr>
          <w:rFonts w:ascii="宋体" w:hAnsi="宋体" w:eastAsia="宋体" w:cs="宋体"/>
          <w:color w:val="auto"/>
        </w:rPr>
      </w:pPr>
      <w:r>
        <w:rPr>
          <w:rFonts w:hint="eastAsia" w:ascii="宋体" w:hAnsi="宋体" w:eastAsia="宋体" w:cs="宋体"/>
          <w:color w:val="auto"/>
        </w:rPr>
        <w:t>1.2.3 本招标项目的最高限价：见供应商须知前附表。</w:t>
      </w:r>
    </w:p>
    <w:p>
      <w:pPr>
        <w:keepNext/>
        <w:keepLines/>
        <w:outlineLvl w:val="2"/>
        <w:rPr>
          <w:rFonts w:ascii="宋体" w:hAnsi="宋体" w:eastAsia="宋体" w:cs="宋体"/>
          <w:b/>
          <w:color w:val="auto"/>
          <w:sz w:val="28"/>
          <w:szCs w:val="28"/>
        </w:rPr>
      </w:pPr>
      <w:bookmarkStart w:id="13" w:name="_Toc13037"/>
      <w:r>
        <w:rPr>
          <w:rFonts w:hint="eastAsia" w:ascii="宋体" w:hAnsi="宋体" w:eastAsia="宋体" w:cs="宋体"/>
          <w:b/>
          <w:color w:val="auto"/>
          <w:sz w:val="28"/>
          <w:szCs w:val="28"/>
        </w:rPr>
        <w:t>1.3 采购范围、</w:t>
      </w:r>
      <w:r>
        <w:rPr>
          <w:rFonts w:hint="eastAsia" w:ascii="宋体" w:hAnsi="宋体" w:eastAsia="宋体" w:cs="宋体"/>
          <w:b/>
          <w:color w:val="auto"/>
          <w:sz w:val="28"/>
          <w:szCs w:val="28"/>
          <w:lang w:eastAsia="zh-CN"/>
        </w:rPr>
        <w:t>质保期、交货期及</w:t>
      </w:r>
      <w:r>
        <w:rPr>
          <w:rFonts w:hint="eastAsia" w:ascii="宋体" w:hAnsi="宋体" w:eastAsia="宋体" w:cs="宋体"/>
          <w:b/>
          <w:color w:val="auto"/>
          <w:sz w:val="28"/>
          <w:szCs w:val="28"/>
        </w:rPr>
        <w:t>交货地点、质量要求</w:t>
      </w:r>
      <w:bookmarkEnd w:id="13"/>
    </w:p>
    <w:p>
      <w:pPr>
        <w:ind w:firstLine="480" w:firstLineChars="200"/>
        <w:rPr>
          <w:rFonts w:ascii="宋体" w:hAnsi="宋体" w:eastAsia="宋体" w:cs="宋体"/>
          <w:color w:val="auto"/>
        </w:rPr>
      </w:pPr>
      <w:r>
        <w:rPr>
          <w:rFonts w:hint="eastAsia" w:ascii="宋体" w:hAnsi="宋体" w:eastAsia="宋体" w:cs="宋体"/>
          <w:color w:val="auto"/>
        </w:rPr>
        <w:t>1.3.1 本次招标的采购范围：见供应商须知前附表。</w:t>
      </w:r>
    </w:p>
    <w:p>
      <w:pPr>
        <w:ind w:firstLine="480" w:firstLineChars="200"/>
        <w:rPr>
          <w:rFonts w:hint="eastAsia" w:ascii="宋体" w:hAnsi="宋体" w:eastAsia="宋体" w:cs="宋体"/>
          <w:color w:val="auto"/>
          <w:lang w:eastAsia="zh-CN"/>
        </w:rPr>
      </w:pPr>
      <w:r>
        <w:rPr>
          <w:rFonts w:hint="eastAsia" w:ascii="宋体" w:hAnsi="宋体" w:eastAsia="宋体" w:cs="宋体"/>
          <w:color w:val="auto"/>
        </w:rPr>
        <w:t>1.3.2 本次招标的</w:t>
      </w:r>
      <w:r>
        <w:rPr>
          <w:rFonts w:hint="eastAsia" w:ascii="宋体" w:hAnsi="宋体" w:cs="宋体"/>
          <w:color w:val="auto"/>
          <w:lang w:eastAsia="zh-CN"/>
        </w:rPr>
        <w:t>质保期：</w:t>
      </w:r>
      <w:r>
        <w:rPr>
          <w:rFonts w:hint="eastAsia" w:ascii="宋体" w:hAnsi="宋体" w:eastAsia="宋体" w:cs="宋体"/>
          <w:color w:val="auto"/>
        </w:rPr>
        <w:t>见供应商须知前附表。</w:t>
      </w:r>
    </w:p>
    <w:p>
      <w:pPr>
        <w:ind w:firstLine="480" w:firstLineChars="200"/>
        <w:rPr>
          <w:rFonts w:ascii="宋体" w:hAnsi="宋体" w:eastAsia="宋体" w:cs="宋体"/>
          <w:color w:val="auto"/>
        </w:rPr>
      </w:pPr>
      <w:r>
        <w:rPr>
          <w:rFonts w:hint="eastAsia" w:ascii="宋体" w:hAnsi="宋体" w:cs="宋体"/>
          <w:color w:val="auto"/>
          <w:lang w:val="en-US" w:eastAsia="zh-CN"/>
        </w:rPr>
        <w:t xml:space="preserve">1.3.3 </w:t>
      </w:r>
      <w:r>
        <w:rPr>
          <w:rFonts w:hint="eastAsia" w:ascii="宋体" w:hAnsi="宋体" w:eastAsia="宋体" w:cs="宋体"/>
          <w:color w:val="auto"/>
        </w:rPr>
        <w:t>本次招标</w:t>
      </w:r>
      <w:r>
        <w:rPr>
          <w:rFonts w:hint="eastAsia" w:ascii="宋体" w:hAnsi="宋体" w:cs="宋体"/>
          <w:color w:val="auto"/>
          <w:lang w:eastAsia="zh-CN"/>
        </w:rPr>
        <w:t>的交货期及</w:t>
      </w:r>
      <w:r>
        <w:rPr>
          <w:rFonts w:hint="eastAsia" w:ascii="宋体" w:hAnsi="宋体" w:eastAsia="宋体" w:cs="宋体"/>
          <w:color w:val="auto"/>
        </w:rPr>
        <w:t>交货地点：见供应商须知前附表。</w:t>
      </w:r>
    </w:p>
    <w:p>
      <w:pPr>
        <w:ind w:firstLine="480" w:firstLineChars="200"/>
        <w:rPr>
          <w:rFonts w:hint="eastAsia" w:ascii="宋体" w:hAnsi="宋体" w:eastAsia="宋体" w:cs="宋体"/>
          <w:color w:val="auto"/>
          <w:lang w:eastAsia="zh-CN"/>
        </w:rPr>
      </w:pPr>
      <w:r>
        <w:rPr>
          <w:rFonts w:hint="eastAsia" w:ascii="宋体" w:hAnsi="宋体" w:eastAsia="宋体" w:cs="宋体"/>
          <w:color w:val="auto"/>
        </w:rPr>
        <w:t>1.3.</w:t>
      </w:r>
      <w:r>
        <w:rPr>
          <w:rFonts w:hint="eastAsia" w:ascii="宋体" w:hAnsi="宋体" w:cs="宋体"/>
          <w:color w:val="auto"/>
          <w:lang w:val="en-US" w:eastAsia="zh-CN"/>
        </w:rPr>
        <w:t>4</w:t>
      </w:r>
      <w:r>
        <w:rPr>
          <w:rFonts w:hint="eastAsia" w:ascii="宋体" w:hAnsi="宋体" w:eastAsia="宋体" w:cs="宋体"/>
          <w:color w:val="auto"/>
        </w:rPr>
        <w:t xml:space="preserve"> 本次招标的质量要求：见供应商须知前附表。</w:t>
      </w:r>
    </w:p>
    <w:p>
      <w:pPr>
        <w:keepNext/>
        <w:keepLines/>
        <w:outlineLvl w:val="2"/>
        <w:rPr>
          <w:rFonts w:ascii="宋体" w:hAnsi="宋体" w:eastAsia="宋体" w:cs="宋体"/>
          <w:b/>
          <w:color w:val="auto"/>
          <w:sz w:val="28"/>
          <w:szCs w:val="28"/>
        </w:rPr>
      </w:pPr>
      <w:bookmarkStart w:id="14" w:name="_Toc24498"/>
      <w:r>
        <w:rPr>
          <w:rFonts w:hint="eastAsia" w:ascii="宋体" w:hAnsi="宋体" w:eastAsia="宋体" w:cs="宋体"/>
          <w:b/>
          <w:color w:val="auto"/>
          <w:sz w:val="28"/>
          <w:szCs w:val="28"/>
        </w:rPr>
        <w:t>1.4 供应商资格要求</w:t>
      </w:r>
      <w:bookmarkEnd w:id="14"/>
    </w:p>
    <w:p>
      <w:pPr>
        <w:ind w:firstLine="480" w:firstLineChars="200"/>
        <w:rPr>
          <w:rFonts w:ascii="宋体" w:hAnsi="宋体" w:eastAsia="宋体" w:cs="宋体"/>
          <w:color w:val="auto"/>
        </w:rPr>
      </w:pPr>
      <w:r>
        <w:rPr>
          <w:rFonts w:hint="eastAsia" w:ascii="宋体" w:hAnsi="宋体" w:eastAsia="宋体" w:cs="宋体"/>
          <w:color w:val="auto"/>
        </w:rPr>
        <w:t>1.4.1 供应商应具备承担本项目的资质条件、能力和信誉：见供应商须知前附表。</w:t>
      </w:r>
    </w:p>
    <w:p>
      <w:pPr>
        <w:ind w:firstLine="480" w:firstLineChars="200"/>
        <w:rPr>
          <w:rFonts w:ascii="宋体" w:hAnsi="宋体" w:eastAsia="宋体" w:cs="宋体"/>
          <w:color w:val="auto"/>
        </w:rPr>
      </w:pPr>
      <w:r>
        <w:rPr>
          <w:rFonts w:hint="eastAsia" w:ascii="宋体" w:hAnsi="宋体" w:eastAsia="宋体" w:cs="宋体"/>
          <w:color w:val="auto"/>
        </w:rPr>
        <w:t>1.4.2 本项目不接受联合体投标。</w:t>
      </w:r>
    </w:p>
    <w:p>
      <w:pPr>
        <w:ind w:firstLine="480" w:firstLineChars="200"/>
        <w:rPr>
          <w:rFonts w:ascii="宋体" w:hAnsi="宋体" w:eastAsia="宋体" w:cs="宋体"/>
          <w:color w:val="auto"/>
        </w:rPr>
      </w:pPr>
      <w:r>
        <w:rPr>
          <w:rFonts w:hint="eastAsia" w:ascii="宋体" w:hAnsi="宋体" w:eastAsia="宋体" w:cs="宋体"/>
          <w:color w:val="auto"/>
        </w:rPr>
        <w:t>1.4.3 供应商不得存在下列情形之一：</w:t>
      </w:r>
    </w:p>
    <w:p>
      <w:pPr>
        <w:ind w:firstLine="480" w:firstLineChars="200"/>
        <w:rPr>
          <w:rFonts w:ascii="宋体" w:hAnsi="宋体" w:eastAsia="宋体" w:cs="宋体"/>
          <w:color w:val="auto"/>
        </w:rPr>
      </w:pPr>
      <w:bookmarkStart w:id="15" w:name="_Toc18874"/>
      <w:r>
        <w:rPr>
          <w:rFonts w:hint="eastAsia" w:ascii="宋体" w:hAnsi="宋体" w:eastAsia="宋体" w:cs="宋体"/>
          <w:color w:val="auto"/>
        </w:rPr>
        <w:t>（1）为采购人不具有独立法人资格的附属机构（单位）；</w:t>
      </w:r>
    </w:p>
    <w:p>
      <w:pPr>
        <w:ind w:firstLine="480" w:firstLineChars="200"/>
        <w:rPr>
          <w:rFonts w:ascii="宋体" w:hAnsi="宋体" w:eastAsia="宋体" w:cs="宋体"/>
          <w:color w:val="auto"/>
        </w:rPr>
      </w:pPr>
      <w:r>
        <w:rPr>
          <w:rFonts w:hint="eastAsia" w:ascii="宋体" w:hAnsi="宋体" w:eastAsia="宋体" w:cs="宋体"/>
          <w:color w:val="auto"/>
        </w:rPr>
        <w:t>（2）为本项目提供招标代理服务的；</w:t>
      </w:r>
    </w:p>
    <w:p>
      <w:pPr>
        <w:ind w:firstLine="480" w:firstLineChars="200"/>
        <w:rPr>
          <w:rFonts w:ascii="宋体" w:hAnsi="宋体" w:eastAsia="宋体" w:cs="宋体"/>
          <w:color w:val="auto"/>
        </w:rPr>
      </w:pPr>
      <w:r>
        <w:rPr>
          <w:rFonts w:hint="eastAsia" w:ascii="宋体" w:hAnsi="宋体" w:eastAsia="宋体" w:cs="宋体"/>
          <w:color w:val="auto"/>
        </w:rPr>
        <w:t>（3）与本项目的采购代理机构同为一个法定代表人的；</w:t>
      </w:r>
    </w:p>
    <w:p>
      <w:pPr>
        <w:ind w:firstLine="480" w:firstLineChars="200"/>
        <w:rPr>
          <w:rFonts w:ascii="宋体" w:hAnsi="宋体" w:eastAsia="宋体" w:cs="宋体"/>
          <w:color w:val="auto"/>
        </w:rPr>
      </w:pPr>
      <w:r>
        <w:rPr>
          <w:rFonts w:hint="eastAsia" w:ascii="宋体" w:hAnsi="宋体" w:eastAsia="宋体" w:cs="宋体"/>
          <w:color w:val="auto"/>
        </w:rPr>
        <w:t>（4）与本项目的采购代理机构相互控股或参股的；</w:t>
      </w:r>
    </w:p>
    <w:p>
      <w:pPr>
        <w:ind w:firstLine="480" w:firstLineChars="200"/>
        <w:rPr>
          <w:rFonts w:ascii="宋体" w:hAnsi="宋体" w:eastAsia="宋体" w:cs="宋体"/>
          <w:color w:val="auto"/>
        </w:rPr>
      </w:pPr>
      <w:bookmarkStart w:id="16" w:name="page16"/>
      <w:bookmarkEnd w:id="16"/>
      <w:r>
        <w:rPr>
          <w:rFonts w:hint="eastAsia" w:ascii="宋体" w:hAnsi="宋体" w:eastAsia="宋体" w:cs="宋体"/>
          <w:color w:val="auto"/>
        </w:rPr>
        <w:t>（5）与本项目的采购代理机构相互任职或工作的；</w:t>
      </w:r>
    </w:p>
    <w:p>
      <w:pPr>
        <w:ind w:firstLine="480" w:firstLineChars="200"/>
        <w:rPr>
          <w:rFonts w:ascii="宋体" w:hAnsi="宋体" w:eastAsia="宋体" w:cs="宋体"/>
          <w:color w:val="auto"/>
        </w:rPr>
      </w:pPr>
      <w:r>
        <w:rPr>
          <w:rFonts w:hint="eastAsia" w:ascii="宋体" w:hAnsi="宋体" w:eastAsia="宋体" w:cs="宋体"/>
          <w:color w:val="auto"/>
        </w:rPr>
        <w:t>（6）被责令停业的；</w:t>
      </w:r>
    </w:p>
    <w:p>
      <w:pPr>
        <w:ind w:firstLine="480" w:firstLineChars="200"/>
        <w:rPr>
          <w:rFonts w:ascii="宋体" w:hAnsi="宋体" w:eastAsia="宋体" w:cs="宋体"/>
          <w:color w:val="auto"/>
        </w:rPr>
      </w:pPr>
      <w:r>
        <w:rPr>
          <w:rFonts w:hint="eastAsia" w:ascii="宋体" w:hAnsi="宋体" w:eastAsia="宋体" w:cs="宋体"/>
          <w:color w:val="auto"/>
        </w:rPr>
        <w:t>（7）被暂停或取消投标资格的；</w:t>
      </w:r>
    </w:p>
    <w:p>
      <w:pPr>
        <w:ind w:firstLine="480" w:firstLineChars="200"/>
        <w:rPr>
          <w:rFonts w:ascii="宋体" w:hAnsi="宋体" w:eastAsia="宋体" w:cs="宋体"/>
          <w:color w:val="auto"/>
        </w:rPr>
      </w:pPr>
      <w:r>
        <w:rPr>
          <w:rFonts w:hint="eastAsia" w:ascii="宋体" w:hAnsi="宋体" w:eastAsia="宋体" w:cs="宋体"/>
          <w:color w:val="auto"/>
        </w:rPr>
        <w:t>（8）财产被接管或冻结的；</w:t>
      </w:r>
    </w:p>
    <w:p>
      <w:pPr>
        <w:ind w:firstLine="480" w:firstLineChars="200"/>
        <w:rPr>
          <w:rFonts w:ascii="宋体" w:hAnsi="宋体" w:eastAsia="宋体" w:cs="宋体"/>
          <w:color w:val="auto"/>
        </w:rPr>
      </w:pPr>
      <w:r>
        <w:rPr>
          <w:rFonts w:hint="eastAsia" w:ascii="宋体" w:hAnsi="宋体" w:eastAsia="宋体" w:cs="宋体"/>
          <w:color w:val="auto"/>
        </w:rPr>
        <w:t>（9）在最近三年内有骗取中标或严重违约或重大质量问题的。</w:t>
      </w:r>
    </w:p>
    <w:p>
      <w:pPr>
        <w:keepNext/>
        <w:keepLines/>
        <w:outlineLvl w:val="2"/>
        <w:rPr>
          <w:rFonts w:ascii="宋体" w:hAnsi="宋体" w:eastAsia="宋体" w:cs="宋体"/>
          <w:b/>
          <w:color w:val="auto"/>
          <w:sz w:val="28"/>
          <w:szCs w:val="28"/>
        </w:rPr>
      </w:pPr>
      <w:r>
        <w:rPr>
          <w:rFonts w:hint="eastAsia" w:ascii="宋体" w:hAnsi="宋体" w:eastAsia="宋体" w:cs="宋体"/>
          <w:b/>
          <w:color w:val="auto"/>
          <w:sz w:val="28"/>
          <w:szCs w:val="28"/>
        </w:rPr>
        <w:t>1.5 费用承担</w:t>
      </w:r>
      <w:bookmarkEnd w:id="15"/>
    </w:p>
    <w:p>
      <w:pPr>
        <w:ind w:firstLine="480" w:firstLineChars="200"/>
        <w:rPr>
          <w:rFonts w:ascii="宋体" w:hAnsi="宋体" w:eastAsia="宋体" w:cs="宋体"/>
          <w:color w:val="auto"/>
        </w:rPr>
      </w:pPr>
      <w:r>
        <w:rPr>
          <w:rFonts w:hint="eastAsia" w:ascii="宋体" w:hAnsi="宋体" w:eastAsia="宋体" w:cs="宋体"/>
          <w:color w:val="auto"/>
        </w:rPr>
        <w:t>供应商准备和参加投标活动发生的费用自理。</w:t>
      </w:r>
    </w:p>
    <w:p>
      <w:pPr>
        <w:keepNext/>
        <w:keepLines/>
        <w:outlineLvl w:val="2"/>
        <w:rPr>
          <w:rFonts w:ascii="宋体" w:hAnsi="宋体" w:eastAsia="宋体" w:cs="宋体"/>
          <w:b/>
          <w:color w:val="auto"/>
          <w:sz w:val="28"/>
          <w:szCs w:val="28"/>
        </w:rPr>
      </w:pPr>
      <w:bookmarkStart w:id="17" w:name="_Toc6153"/>
      <w:r>
        <w:rPr>
          <w:rFonts w:hint="eastAsia" w:ascii="宋体" w:hAnsi="宋体" w:eastAsia="宋体" w:cs="宋体"/>
          <w:b/>
          <w:color w:val="auto"/>
          <w:sz w:val="28"/>
          <w:szCs w:val="28"/>
        </w:rPr>
        <w:t>1.6 保密</w:t>
      </w:r>
      <w:bookmarkEnd w:id="17"/>
    </w:p>
    <w:p>
      <w:pPr>
        <w:ind w:firstLine="480" w:firstLineChars="200"/>
        <w:rPr>
          <w:rFonts w:ascii="宋体" w:hAnsi="宋体" w:eastAsia="宋体" w:cs="宋体"/>
          <w:color w:val="auto"/>
        </w:rPr>
      </w:pPr>
      <w:r>
        <w:rPr>
          <w:rFonts w:hint="eastAsia" w:ascii="宋体" w:hAnsi="宋体" w:eastAsia="宋体" w:cs="宋体"/>
          <w:color w:val="auto"/>
        </w:rPr>
        <w:t>参与招标投标活动的各方应对招标文件和投标文件中的商业和技术等秘密保密，否则应承担相应的法律责任。</w:t>
      </w:r>
    </w:p>
    <w:p>
      <w:pPr>
        <w:keepNext/>
        <w:keepLines/>
        <w:outlineLvl w:val="2"/>
        <w:rPr>
          <w:rFonts w:ascii="宋体" w:hAnsi="宋体" w:eastAsia="宋体" w:cs="宋体"/>
          <w:b/>
          <w:color w:val="auto"/>
          <w:sz w:val="28"/>
          <w:szCs w:val="28"/>
        </w:rPr>
      </w:pPr>
      <w:bookmarkStart w:id="18" w:name="_Toc12185"/>
      <w:r>
        <w:rPr>
          <w:rFonts w:hint="eastAsia" w:ascii="宋体" w:hAnsi="宋体" w:eastAsia="宋体" w:cs="宋体"/>
          <w:b/>
          <w:color w:val="auto"/>
          <w:sz w:val="28"/>
          <w:szCs w:val="28"/>
        </w:rPr>
        <w:t>1.7 语言文字</w:t>
      </w:r>
      <w:bookmarkEnd w:id="18"/>
    </w:p>
    <w:p>
      <w:pPr>
        <w:ind w:firstLine="480" w:firstLineChars="200"/>
        <w:rPr>
          <w:rFonts w:ascii="宋体" w:hAnsi="宋体" w:eastAsia="宋体" w:cs="宋体"/>
          <w:color w:val="auto"/>
        </w:rPr>
      </w:pPr>
      <w:r>
        <w:rPr>
          <w:rFonts w:hint="eastAsia" w:ascii="宋体" w:hAnsi="宋体" w:eastAsia="宋体" w:cs="宋体"/>
          <w:color w:val="auto"/>
        </w:rPr>
        <w:t>招标投标文件使用的语言文字为中文。专用术语使用外文的，应附有中文注释。</w:t>
      </w:r>
    </w:p>
    <w:p>
      <w:pPr>
        <w:keepNext/>
        <w:keepLines/>
        <w:outlineLvl w:val="2"/>
        <w:rPr>
          <w:rFonts w:ascii="宋体" w:hAnsi="宋体" w:eastAsia="宋体" w:cs="宋体"/>
          <w:b/>
          <w:color w:val="auto"/>
          <w:sz w:val="28"/>
          <w:szCs w:val="28"/>
        </w:rPr>
      </w:pPr>
      <w:bookmarkStart w:id="19" w:name="_Toc10849"/>
      <w:r>
        <w:rPr>
          <w:rFonts w:hint="eastAsia" w:ascii="宋体" w:hAnsi="宋体" w:eastAsia="宋体" w:cs="宋体"/>
          <w:b/>
          <w:color w:val="auto"/>
          <w:sz w:val="28"/>
          <w:szCs w:val="28"/>
        </w:rPr>
        <w:t>1.8 计量单位</w:t>
      </w:r>
      <w:bookmarkEnd w:id="19"/>
    </w:p>
    <w:p>
      <w:pPr>
        <w:ind w:firstLine="480" w:firstLineChars="200"/>
        <w:rPr>
          <w:rFonts w:ascii="宋体" w:hAnsi="宋体" w:eastAsia="宋体" w:cs="宋体"/>
          <w:color w:val="auto"/>
        </w:rPr>
      </w:pPr>
      <w:r>
        <w:rPr>
          <w:rFonts w:hint="eastAsia" w:ascii="宋体" w:hAnsi="宋体" w:eastAsia="宋体" w:cs="宋体"/>
          <w:color w:val="auto"/>
        </w:rPr>
        <w:t>所有计量均采用中华人民共和国法定计量单位。</w:t>
      </w:r>
    </w:p>
    <w:p>
      <w:pPr>
        <w:keepNext/>
        <w:keepLines/>
        <w:outlineLvl w:val="2"/>
        <w:rPr>
          <w:rFonts w:ascii="宋体" w:hAnsi="宋体" w:eastAsia="宋体" w:cs="宋体"/>
          <w:b/>
          <w:color w:val="auto"/>
          <w:sz w:val="28"/>
          <w:szCs w:val="28"/>
        </w:rPr>
      </w:pPr>
      <w:bookmarkStart w:id="20" w:name="_Toc23251"/>
      <w:r>
        <w:rPr>
          <w:rFonts w:hint="eastAsia" w:ascii="宋体" w:hAnsi="宋体" w:eastAsia="宋体" w:cs="宋体"/>
          <w:b/>
          <w:color w:val="auto"/>
          <w:sz w:val="28"/>
          <w:szCs w:val="28"/>
        </w:rPr>
        <w:t>1.9 踏勘现场</w:t>
      </w:r>
      <w:bookmarkEnd w:id="20"/>
    </w:p>
    <w:p>
      <w:pPr>
        <w:ind w:firstLine="480" w:firstLineChars="200"/>
        <w:rPr>
          <w:rFonts w:ascii="宋体" w:hAnsi="宋体" w:eastAsia="宋体" w:cs="宋体"/>
          <w:color w:val="auto"/>
        </w:rPr>
      </w:pPr>
      <w:r>
        <w:rPr>
          <w:rFonts w:hint="eastAsia" w:ascii="宋体" w:hAnsi="宋体" w:eastAsia="宋体" w:cs="宋体"/>
          <w:color w:val="auto"/>
        </w:rPr>
        <w:t>1.9.1 供应商须知前附表规定组织踏勘现场的，采购人按供应商须知前附表规定的时间、地点组织供应商踏勘项目现场。</w:t>
      </w:r>
    </w:p>
    <w:p>
      <w:pPr>
        <w:ind w:firstLine="480" w:firstLineChars="200"/>
        <w:rPr>
          <w:rFonts w:ascii="宋体" w:hAnsi="宋体" w:eastAsia="宋体" w:cs="宋体"/>
          <w:color w:val="auto"/>
        </w:rPr>
      </w:pPr>
      <w:r>
        <w:rPr>
          <w:rFonts w:hint="eastAsia" w:ascii="宋体" w:hAnsi="宋体" w:eastAsia="宋体" w:cs="宋体"/>
          <w:color w:val="auto"/>
        </w:rPr>
        <w:t>1.9.2 供应商踏勘现场发生的费用自理。</w:t>
      </w:r>
    </w:p>
    <w:p>
      <w:pPr>
        <w:ind w:firstLine="480" w:firstLineChars="200"/>
        <w:rPr>
          <w:rFonts w:ascii="宋体" w:hAnsi="宋体" w:eastAsia="宋体" w:cs="宋体"/>
          <w:color w:val="auto"/>
        </w:rPr>
      </w:pPr>
      <w:r>
        <w:rPr>
          <w:rFonts w:hint="eastAsia" w:ascii="宋体" w:hAnsi="宋体" w:eastAsia="宋体" w:cs="宋体"/>
          <w:color w:val="auto"/>
        </w:rPr>
        <w:t>1.9.3 供应商自行负责在踏勘现场中所发生的人员伤亡和财产损失。</w:t>
      </w:r>
    </w:p>
    <w:p>
      <w:pPr>
        <w:ind w:firstLine="480" w:firstLineChars="200"/>
        <w:rPr>
          <w:rFonts w:ascii="宋体" w:hAnsi="宋体" w:eastAsia="宋体" w:cs="宋体"/>
          <w:color w:val="auto"/>
        </w:rPr>
      </w:pPr>
      <w:r>
        <w:rPr>
          <w:rFonts w:hint="eastAsia" w:ascii="宋体" w:hAnsi="宋体" w:eastAsia="宋体" w:cs="宋体"/>
          <w:color w:val="auto"/>
        </w:rPr>
        <w:t>1.9.4 采购人在踏勘现场中介绍的工程场地和相关的周边环境情况，供供应商在编制投标文件时参考，采购人不对供应商据此作出的判断和决策负责。</w:t>
      </w:r>
    </w:p>
    <w:p>
      <w:pPr>
        <w:keepNext/>
        <w:keepLines/>
        <w:outlineLvl w:val="2"/>
        <w:rPr>
          <w:rFonts w:ascii="宋体" w:hAnsi="宋体" w:eastAsia="宋体" w:cs="宋体"/>
          <w:b/>
          <w:color w:val="auto"/>
          <w:sz w:val="28"/>
          <w:szCs w:val="28"/>
        </w:rPr>
      </w:pPr>
      <w:bookmarkStart w:id="21" w:name="_Toc30607"/>
      <w:r>
        <w:rPr>
          <w:rFonts w:hint="eastAsia" w:ascii="宋体" w:hAnsi="宋体" w:eastAsia="宋体" w:cs="宋体"/>
          <w:b/>
          <w:color w:val="auto"/>
          <w:sz w:val="28"/>
          <w:szCs w:val="28"/>
        </w:rPr>
        <w:t>1.10 投标预备会</w:t>
      </w:r>
      <w:bookmarkEnd w:id="21"/>
    </w:p>
    <w:p>
      <w:pPr>
        <w:ind w:firstLine="480" w:firstLineChars="200"/>
        <w:rPr>
          <w:rFonts w:ascii="宋体" w:hAnsi="宋体" w:eastAsia="宋体" w:cs="宋体"/>
          <w:color w:val="auto"/>
        </w:rPr>
      </w:pPr>
      <w:r>
        <w:rPr>
          <w:rFonts w:hint="eastAsia" w:ascii="宋体" w:hAnsi="宋体" w:eastAsia="宋体" w:cs="宋体"/>
          <w:color w:val="auto"/>
        </w:rPr>
        <w:t>1.10.1 供应商须知前附表规定召开投标预备会的，采购人按供应商须知前附表规定的时间和地点召开投标预备会，澄清供应商提出的问题。</w:t>
      </w:r>
    </w:p>
    <w:p>
      <w:pPr>
        <w:ind w:firstLine="480" w:firstLineChars="200"/>
        <w:rPr>
          <w:rFonts w:ascii="宋体" w:hAnsi="宋体" w:eastAsia="宋体" w:cs="宋体"/>
          <w:color w:val="auto"/>
        </w:rPr>
      </w:pPr>
      <w:r>
        <w:rPr>
          <w:rFonts w:hint="eastAsia" w:ascii="宋体" w:hAnsi="宋体" w:eastAsia="宋体" w:cs="宋体"/>
          <w:color w:val="auto"/>
        </w:rPr>
        <w:t>1.10.2 供应商应在供应商须知前附表规定的时间前，以书面形式将提出的问题送达采购人，以便采购人在会议期间澄清。</w:t>
      </w:r>
    </w:p>
    <w:p>
      <w:pPr>
        <w:ind w:firstLine="480" w:firstLineChars="200"/>
        <w:rPr>
          <w:rFonts w:ascii="宋体" w:hAnsi="宋体" w:eastAsia="宋体" w:cs="宋体"/>
          <w:color w:val="auto"/>
        </w:rPr>
      </w:pPr>
      <w:r>
        <w:rPr>
          <w:rFonts w:hint="eastAsia" w:ascii="宋体" w:hAnsi="宋体" w:eastAsia="宋体" w:cs="宋体"/>
          <w:color w:val="auto"/>
        </w:rPr>
        <w:t>1.10.3 投标预备会后，采购人在供应商须知前附表规定的时间内，将对供应商所提问颗的澄清，以书面方式通知所有购买招标文件的供应商。该澄清内容为招标文件的组成部分。</w:t>
      </w:r>
      <w:bookmarkStart w:id="22" w:name="_Toc184635072"/>
      <w:bookmarkStart w:id="23" w:name="_Toc345178449"/>
    </w:p>
    <w:p>
      <w:pPr>
        <w:keepNext/>
        <w:keepLines/>
        <w:outlineLvl w:val="2"/>
        <w:rPr>
          <w:rFonts w:ascii="宋体" w:hAnsi="宋体" w:eastAsia="宋体" w:cs="宋体"/>
          <w:b/>
          <w:color w:val="auto"/>
          <w:sz w:val="28"/>
          <w:szCs w:val="28"/>
        </w:rPr>
      </w:pPr>
      <w:r>
        <w:rPr>
          <w:rFonts w:hint="eastAsia" w:ascii="宋体" w:hAnsi="宋体" w:eastAsia="宋体" w:cs="宋体"/>
          <w:b/>
          <w:color w:val="auto"/>
          <w:sz w:val="28"/>
          <w:szCs w:val="28"/>
        </w:rPr>
        <w:t>1.11 分包</w:t>
      </w:r>
    </w:p>
    <w:p>
      <w:pPr>
        <w:ind w:firstLine="480" w:firstLineChars="200"/>
        <w:rPr>
          <w:rFonts w:ascii="宋体" w:hAnsi="宋体" w:eastAsia="宋体" w:cs="宋体"/>
          <w:color w:val="auto"/>
        </w:rPr>
      </w:pPr>
      <w:r>
        <w:rPr>
          <w:rFonts w:hint="eastAsia" w:ascii="宋体" w:hAnsi="宋体" w:eastAsia="宋体" w:cs="宋体"/>
          <w:color w:val="auto"/>
        </w:rPr>
        <w:t>见供应商须知前附表。</w:t>
      </w:r>
    </w:p>
    <w:p>
      <w:pPr>
        <w:keepNext/>
        <w:keepLines/>
        <w:widowControl w:val="0"/>
        <w:adjustRightInd w:val="0"/>
        <w:spacing w:before="60" w:after="60" w:line="360" w:lineRule="auto"/>
        <w:jc w:val="left"/>
        <w:textAlignment w:val="baseline"/>
        <w:outlineLvl w:val="1"/>
        <w:rPr>
          <w:rFonts w:ascii="宋体" w:hAnsi="宋体" w:eastAsia="宋体" w:cs="宋体"/>
          <w:b/>
          <w:color w:val="auto"/>
          <w:kern w:val="0"/>
          <w:sz w:val="30"/>
          <w:szCs w:val="20"/>
          <w:lang w:val="en-US" w:eastAsia="zh-CN" w:bidi="ar-SA"/>
        </w:rPr>
      </w:pPr>
      <w:bookmarkStart w:id="24" w:name="_Toc8608"/>
      <w:bookmarkStart w:id="25" w:name="_Toc28148"/>
      <w:bookmarkStart w:id="26" w:name="_Toc21147"/>
      <w:bookmarkStart w:id="27" w:name="_Toc25363"/>
      <w:bookmarkStart w:id="28" w:name="_Toc24825"/>
      <w:r>
        <w:rPr>
          <w:rFonts w:hint="eastAsia" w:ascii="宋体" w:hAnsi="宋体" w:eastAsia="宋体" w:cs="宋体"/>
          <w:b/>
          <w:color w:val="auto"/>
          <w:kern w:val="0"/>
          <w:sz w:val="30"/>
          <w:szCs w:val="20"/>
          <w:lang w:val="en-US" w:eastAsia="zh-CN" w:bidi="ar-SA"/>
        </w:rPr>
        <w:t>2.招标文件</w:t>
      </w:r>
      <w:bookmarkEnd w:id="22"/>
      <w:bookmarkEnd w:id="23"/>
      <w:bookmarkEnd w:id="24"/>
      <w:bookmarkEnd w:id="25"/>
      <w:bookmarkEnd w:id="26"/>
      <w:bookmarkEnd w:id="27"/>
      <w:bookmarkEnd w:id="28"/>
    </w:p>
    <w:p>
      <w:pPr>
        <w:keepNext/>
        <w:keepLines/>
        <w:outlineLvl w:val="2"/>
        <w:rPr>
          <w:rFonts w:ascii="宋体" w:hAnsi="宋体" w:eastAsia="宋体" w:cs="宋体"/>
          <w:b/>
          <w:color w:val="auto"/>
          <w:sz w:val="28"/>
          <w:szCs w:val="28"/>
        </w:rPr>
      </w:pPr>
      <w:bookmarkStart w:id="29" w:name="_Toc7846"/>
      <w:r>
        <w:rPr>
          <w:rFonts w:hint="eastAsia" w:ascii="宋体" w:hAnsi="宋体" w:eastAsia="宋体" w:cs="宋体"/>
          <w:b/>
          <w:color w:val="auto"/>
          <w:sz w:val="28"/>
          <w:szCs w:val="28"/>
        </w:rPr>
        <w:t>2.1 招标文件的组成</w:t>
      </w:r>
      <w:bookmarkEnd w:id="29"/>
    </w:p>
    <w:p>
      <w:pPr>
        <w:ind w:firstLine="480" w:firstLineChars="200"/>
        <w:rPr>
          <w:rFonts w:ascii="宋体" w:hAnsi="宋体" w:eastAsia="宋体" w:cs="宋体"/>
          <w:color w:val="auto"/>
        </w:rPr>
      </w:pPr>
      <w:r>
        <w:rPr>
          <w:rFonts w:hint="eastAsia" w:ascii="宋体" w:hAnsi="宋体" w:eastAsia="宋体" w:cs="宋体"/>
          <w:color w:val="auto"/>
        </w:rPr>
        <w:t>本招标文件包括：</w:t>
      </w:r>
    </w:p>
    <w:p>
      <w:pPr>
        <w:ind w:firstLine="480" w:firstLineChars="200"/>
        <w:rPr>
          <w:rFonts w:ascii="宋体" w:hAnsi="宋体" w:eastAsia="宋体" w:cs="宋体"/>
          <w:color w:val="auto"/>
        </w:rPr>
      </w:pPr>
      <w:r>
        <w:rPr>
          <w:rFonts w:hint="eastAsia" w:ascii="宋体" w:hAnsi="宋体" w:eastAsia="宋体" w:cs="宋体"/>
          <w:color w:val="auto"/>
        </w:rPr>
        <w:t>（1）招标公告；</w:t>
      </w:r>
    </w:p>
    <w:p>
      <w:pPr>
        <w:ind w:firstLine="480" w:firstLineChars="200"/>
        <w:rPr>
          <w:rFonts w:ascii="宋体" w:hAnsi="宋体" w:eastAsia="宋体" w:cs="宋体"/>
          <w:color w:val="auto"/>
        </w:rPr>
      </w:pPr>
      <w:r>
        <w:rPr>
          <w:rFonts w:hint="eastAsia" w:ascii="宋体" w:hAnsi="宋体" w:eastAsia="宋体" w:cs="宋体"/>
          <w:color w:val="auto"/>
        </w:rPr>
        <w:t>（2）供应商须知；</w:t>
      </w:r>
    </w:p>
    <w:p>
      <w:pPr>
        <w:ind w:firstLine="480" w:firstLineChars="200"/>
        <w:rPr>
          <w:rFonts w:ascii="宋体" w:hAnsi="宋体" w:eastAsia="宋体" w:cs="宋体"/>
          <w:color w:val="auto"/>
        </w:rPr>
      </w:pPr>
      <w:r>
        <w:rPr>
          <w:rFonts w:hint="eastAsia" w:ascii="宋体" w:hAnsi="宋体" w:eastAsia="宋体" w:cs="宋体"/>
          <w:color w:val="auto"/>
        </w:rPr>
        <w:t>（3）</w:t>
      </w:r>
      <w:r>
        <w:rPr>
          <w:rFonts w:hint="eastAsia" w:ascii="宋体" w:hAnsi="宋体" w:cs="宋体"/>
          <w:color w:val="auto"/>
          <w:lang w:eastAsia="zh-CN"/>
        </w:rPr>
        <w:t>资格性审查表</w:t>
      </w:r>
      <w:r>
        <w:rPr>
          <w:rFonts w:hint="eastAsia" w:ascii="宋体" w:hAnsi="宋体" w:eastAsia="宋体" w:cs="宋体"/>
          <w:color w:val="auto"/>
        </w:rPr>
        <w:t>；</w:t>
      </w:r>
    </w:p>
    <w:p>
      <w:pPr>
        <w:ind w:firstLine="480" w:firstLineChars="200"/>
        <w:rPr>
          <w:rFonts w:hint="eastAsia" w:ascii="宋体" w:hAnsi="宋体" w:eastAsia="宋体" w:cs="宋体"/>
          <w:color w:val="auto"/>
        </w:rPr>
      </w:pPr>
      <w:r>
        <w:rPr>
          <w:rFonts w:hint="eastAsia" w:ascii="宋体" w:hAnsi="宋体" w:eastAsia="宋体" w:cs="宋体"/>
          <w:color w:val="auto"/>
        </w:rPr>
        <w:t>（4）</w:t>
      </w:r>
      <w:r>
        <w:rPr>
          <w:rFonts w:hint="eastAsia" w:ascii="宋体" w:hAnsi="宋体" w:cs="宋体"/>
          <w:color w:val="auto"/>
          <w:lang w:eastAsia="zh-CN"/>
        </w:rPr>
        <w:t>符合性审查表；</w:t>
      </w:r>
    </w:p>
    <w:p>
      <w:pPr>
        <w:ind w:firstLine="480" w:firstLineChars="200"/>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5</w:t>
      </w:r>
      <w:r>
        <w:rPr>
          <w:rFonts w:hint="eastAsia" w:ascii="宋体" w:hAnsi="宋体" w:cs="宋体"/>
          <w:color w:val="auto"/>
          <w:lang w:eastAsia="zh-CN"/>
        </w:rPr>
        <w:t>）评标办法；</w:t>
      </w:r>
    </w:p>
    <w:p>
      <w:pPr>
        <w:ind w:firstLine="480" w:firstLineChars="200"/>
        <w:rPr>
          <w:rFonts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6</w:t>
      </w:r>
      <w:r>
        <w:rPr>
          <w:rFonts w:hint="eastAsia" w:ascii="宋体" w:hAnsi="宋体" w:cs="宋体"/>
          <w:color w:val="auto"/>
          <w:lang w:eastAsia="zh-CN"/>
        </w:rPr>
        <w:t>）</w:t>
      </w:r>
      <w:r>
        <w:rPr>
          <w:rFonts w:hint="eastAsia" w:ascii="宋体" w:hAnsi="宋体" w:eastAsia="宋体" w:cs="宋体"/>
          <w:color w:val="auto"/>
        </w:rPr>
        <w:t>合同条款及格式；</w:t>
      </w:r>
    </w:p>
    <w:p>
      <w:pPr>
        <w:ind w:firstLine="48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7</w:t>
      </w:r>
      <w:r>
        <w:rPr>
          <w:rFonts w:hint="eastAsia" w:ascii="宋体" w:hAnsi="宋体" w:eastAsia="宋体" w:cs="宋体"/>
          <w:color w:val="auto"/>
        </w:rPr>
        <w:t>）</w:t>
      </w:r>
      <w:r>
        <w:rPr>
          <w:rFonts w:hint="eastAsia" w:ascii="宋体" w:hAnsi="宋体" w:cs="宋体"/>
          <w:color w:val="auto"/>
          <w:lang w:eastAsia="zh-CN"/>
        </w:rPr>
        <w:t>项目</w:t>
      </w:r>
      <w:r>
        <w:rPr>
          <w:rFonts w:hint="eastAsia" w:ascii="宋体" w:hAnsi="宋体" w:eastAsia="宋体" w:cs="宋体"/>
          <w:color w:val="auto"/>
        </w:rPr>
        <w:t>采购需求；</w:t>
      </w:r>
    </w:p>
    <w:p>
      <w:pPr>
        <w:ind w:firstLine="48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cs="宋体"/>
          <w:color w:val="auto"/>
          <w:lang w:val="en-US" w:eastAsia="zh-CN"/>
        </w:rPr>
        <w:t>8</w:t>
      </w:r>
      <w:r>
        <w:rPr>
          <w:rFonts w:hint="eastAsia" w:ascii="宋体" w:hAnsi="宋体" w:eastAsia="宋体" w:cs="宋体"/>
          <w:color w:val="auto"/>
        </w:rPr>
        <w:t>）投标文件格式。</w:t>
      </w:r>
    </w:p>
    <w:p>
      <w:pPr>
        <w:ind w:firstLine="480" w:firstLineChars="200"/>
        <w:rPr>
          <w:rFonts w:ascii="宋体" w:hAnsi="宋体" w:eastAsia="宋体" w:cs="宋体"/>
          <w:color w:val="auto"/>
        </w:rPr>
      </w:pPr>
      <w:r>
        <w:rPr>
          <w:rFonts w:hint="eastAsia" w:ascii="宋体" w:hAnsi="宋体" w:eastAsia="宋体" w:cs="宋体"/>
          <w:color w:val="auto"/>
        </w:rPr>
        <w:t>根据本章第1.10款、第2.2款和第2.3款对招标文件所作的澄清、修改，构成招标文件的组成部分。</w:t>
      </w:r>
    </w:p>
    <w:p>
      <w:pPr>
        <w:keepNext/>
        <w:keepLines/>
        <w:outlineLvl w:val="2"/>
        <w:rPr>
          <w:rFonts w:ascii="宋体" w:hAnsi="宋体" w:eastAsia="宋体" w:cs="宋体"/>
          <w:b/>
          <w:color w:val="auto"/>
          <w:sz w:val="28"/>
          <w:szCs w:val="28"/>
        </w:rPr>
      </w:pPr>
      <w:bookmarkStart w:id="30" w:name="_Toc2466"/>
      <w:r>
        <w:rPr>
          <w:rFonts w:hint="eastAsia" w:ascii="宋体" w:hAnsi="宋体" w:eastAsia="宋体" w:cs="宋体"/>
          <w:b/>
          <w:color w:val="auto"/>
          <w:sz w:val="28"/>
          <w:szCs w:val="28"/>
        </w:rPr>
        <w:t>2.2 招标文件的澄清</w:t>
      </w:r>
      <w:bookmarkEnd w:id="30"/>
    </w:p>
    <w:p>
      <w:pPr>
        <w:ind w:firstLine="480" w:firstLineChars="200"/>
        <w:rPr>
          <w:rFonts w:ascii="宋体" w:hAnsi="宋体" w:eastAsia="宋体" w:cs="宋体"/>
          <w:color w:val="auto"/>
        </w:rPr>
      </w:pPr>
      <w:r>
        <w:rPr>
          <w:rFonts w:hint="eastAsia" w:ascii="宋体" w:hAnsi="宋体" w:eastAsia="宋体" w:cs="宋体"/>
          <w:color w:val="auto"/>
        </w:rPr>
        <w:t>2.2.1 供应商应仔细阅读和检查招标文件的全部内容。如发现缺页或附件不全，应及时向采购人提出，以便补齐。如有疑问，应在供应商须知前附表规定的时间前在交易平台上进行提问，要求采购人对招标文件予以澄清。</w:t>
      </w:r>
    </w:p>
    <w:p>
      <w:pPr>
        <w:ind w:firstLine="480" w:firstLineChars="200"/>
        <w:rPr>
          <w:rFonts w:ascii="宋体" w:hAnsi="宋体" w:eastAsia="宋体" w:cs="宋体"/>
          <w:color w:val="auto"/>
        </w:rPr>
      </w:pPr>
      <w:r>
        <w:rPr>
          <w:rFonts w:hint="eastAsia" w:ascii="宋体" w:hAnsi="宋体" w:eastAsia="宋体" w:cs="宋体"/>
          <w:color w:val="auto"/>
        </w:rPr>
        <w:t>2.2.2 招标文件的澄清将在供应商须知前附表规定的投标截止时间15天前在交易平台上发给所有购买招标文件的供应商，但不指明澄清问题的来源。</w:t>
      </w:r>
    </w:p>
    <w:p>
      <w:pPr>
        <w:ind w:firstLine="480" w:firstLineChars="200"/>
        <w:rPr>
          <w:rFonts w:ascii="宋体" w:hAnsi="宋体" w:eastAsia="宋体" w:cs="宋体"/>
          <w:color w:val="auto"/>
        </w:rPr>
      </w:pPr>
      <w:r>
        <w:rPr>
          <w:rFonts w:hint="eastAsia" w:ascii="宋体" w:hAnsi="宋体" w:eastAsia="宋体" w:cs="宋体"/>
          <w:color w:val="auto"/>
        </w:rPr>
        <w:t>2.2.3 供应商在收到澄清后，应在供应商须知前附表规定的时间内在交易平台上回复确认已收到该澄清。</w:t>
      </w:r>
    </w:p>
    <w:p>
      <w:pPr>
        <w:keepNext/>
        <w:keepLines/>
        <w:outlineLvl w:val="2"/>
        <w:rPr>
          <w:rFonts w:ascii="宋体" w:hAnsi="宋体" w:eastAsia="宋体" w:cs="宋体"/>
          <w:b/>
          <w:color w:val="auto"/>
          <w:sz w:val="28"/>
          <w:szCs w:val="28"/>
        </w:rPr>
      </w:pPr>
      <w:bookmarkStart w:id="31" w:name="_Toc18485"/>
      <w:r>
        <w:rPr>
          <w:rFonts w:hint="eastAsia" w:ascii="宋体" w:hAnsi="宋体" w:eastAsia="宋体" w:cs="宋体"/>
          <w:b/>
          <w:color w:val="auto"/>
          <w:sz w:val="28"/>
          <w:szCs w:val="28"/>
        </w:rPr>
        <w:t>2.3 招标文件的修改</w:t>
      </w:r>
      <w:bookmarkEnd w:id="31"/>
    </w:p>
    <w:p>
      <w:pPr>
        <w:ind w:firstLine="480" w:firstLineChars="200"/>
        <w:rPr>
          <w:rFonts w:ascii="宋体" w:hAnsi="宋体" w:eastAsia="宋体" w:cs="宋体"/>
          <w:color w:val="auto"/>
          <w:szCs w:val="20"/>
        </w:rPr>
      </w:pPr>
      <w:bookmarkStart w:id="32" w:name="_Toc184635073"/>
      <w:r>
        <w:rPr>
          <w:rFonts w:hint="eastAsia" w:ascii="宋体" w:hAnsi="宋体" w:eastAsia="宋体" w:cs="宋体"/>
          <w:color w:val="auto"/>
          <w:szCs w:val="20"/>
        </w:rPr>
        <w:t>2.3.1 在投标截止时间15天前，采购人可以修改招标文件。如有修改，应在交易平台上发给所有下载招标文件的</w:t>
      </w:r>
      <w:r>
        <w:rPr>
          <w:rFonts w:hint="eastAsia" w:ascii="宋体" w:hAnsi="宋体" w:eastAsia="宋体" w:cs="宋体"/>
          <w:color w:val="auto"/>
        </w:rPr>
        <w:t>供应商</w:t>
      </w:r>
      <w:r>
        <w:rPr>
          <w:rFonts w:hint="eastAsia" w:ascii="宋体" w:hAnsi="宋体" w:eastAsia="宋体" w:cs="宋体"/>
          <w:color w:val="auto"/>
          <w:szCs w:val="20"/>
        </w:rPr>
        <w:t>。</w:t>
      </w:r>
    </w:p>
    <w:p>
      <w:pPr>
        <w:ind w:firstLine="480" w:firstLineChars="200"/>
        <w:rPr>
          <w:rFonts w:ascii="宋体" w:hAnsi="宋体" w:eastAsia="宋体" w:cs="宋体"/>
          <w:color w:val="auto"/>
          <w:szCs w:val="20"/>
        </w:rPr>
      </w:pPr>
      <w:r>
        <w:rPr>
          <w:rFonts w:hint="eastAsia" w:ascii="宋体" w:hAnsi="宋体" w:eastAsia="宋体" w:cs="宋体"/>
          <w:color w:val="auto"/>
          <w:szCs w:val="20"/>
        </w:rPr>
        <w:t xml:space="preserve">2.3.2 </w:t>
      </w:r>
      <w:r>
        <w:rPr>
          <w:rFonts w:hint="eastAsia" w:ascii="宋体" w:hAnsi="宋体" w:eastAsia="宋体" w:cs="宋体"/>
          <w:color w:val="auto"/>
        </w:rPr>
        <w:t>供应商</w:t>
      </w:r>
      <w:r>
        <w:rPr>
          <w:rFonts w:hint="eastAsia" w:ascii="宋体" w:hAnsi="宋体" w:eastAsia="宋体" w:cs="宋体"/>
          <w:color w:val="auto"/>
          <w:szCs w:val="20"/>
        </w:rPr>
        <w:t>收到修改内容后，应在</w:t>
      </w:r>
      <w:r>
        <w:rPr>
          <w:rFonts w:hint="eastAsia" w:ascii="宋体" w:hAnsi="宋体" w:eastAsia="宋体" w:cs="宋体"/>
          <w:color w:val="auto"/>
        </w:rPr>
        <w:t>供应商</w:t>
      </w:r>
      <w:r>
        <w:rPr>
          <w:rFonts w:hint="eastAsia" w:ascii="宋体" w:hAnsi="宋体" w:eastAsia="宋体" w:cs="宋体"/>
          <w:color w:val="auto"/>
          <w:szCs w:val="20"/>
        </w:rPr>
        <w:t>须知前附表规定的时间内在交易平台上回复确认已收到该修改。</w:t>
      </w:r>
    </w:p>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33" w:name="_Toc23766"/>
      <w:bookmarkStart w:id="34" w:name="_Toc13918"/>
      <w:bookmarkStart w:id="35" w:name="_Toc12689"/>
      <w:bookmarkStart w:id="36" w:name="_Toc17371"/>
      <w:bookmarkStart w:id="37" w:name="_Toc3205"/>
      <w:r>
        <w:rPr>
          <w:rFonts w:hint="eastAsia" w:ascii="宋体" w:hAnsi="宋体" w:eastAsia="宋体" w:cs="宋体"/>
          <w:b/>
          <w:color w:val="auto"/>
          <w:kern w:val="0"/>
          <w:sz w:val="30"/>
          <w:szCs w:val="20"/>
          <w:lang w:val="en-US" w:eastAsia="zh-CN" w:bidi="ar-SA"/>
        </w:rPr>
        <w:t>3.投标文件</w:t>
      </w:r>
      <w:bookmarkEnd w:id="32"/>
      <w:bookmarkEnd w:id="33"/>
      <w:r>
        <w:rPr>
          <w:rFonts w:hint="eastAsia" w:ascii="宋体" w:hAnsi="宋体" w:eastAsia="宋体" w:cs="宋体"/>
          <w:b/>
          <w:color w:val="auto"/>
          <w:kern w:val="0"/>
          <w:sz w:val="30"/>
          <w:szCs w:val="20"/>
          <w:lang w:val="en-US" w:eastAsia="zh-CN" w:bidi="ar-SA"/>
        </w:rPr>
        <w:t>（详见</w:t>
      </w:r>
      <w:r>
        <w:rPr>
          <w:rFonts w:hint="eastAsia" w:ascii="宋体" w:hAnsi="宋体" w:cs="宋体"/>
          <w:b/>
          <w:color w:val="auto"/>
          <w:kern w:val="0"/>
          <w:sz w:val="30"/>
          <w:szCs w:val="20"/>
          <w:lang w:val="en-US" w:eastAsia="zh-CN" w:bidi="ar-SA"/>
        </w:rPr>
        <w:t>第八</w:t>
      </w:r>
      <w:r>
        <w:rPr>
          <w:rFonts w:hint="eastAsia" w:ascii="宋体" w:hAnsi="宋体" w:eastAsia="宋体" w:cs="宋体"/>
          <w:b/>
          <w:color w:val="auto"/>
          <w:kern w:val="0"/>
          <w:sz w:val="30"/>
          <w:szCs w:val="20"/>
          <w:lang w:val="en-US" w:eastAsia="zh-CN" w:bidi="ar-SA"/>
        </w:rPr>
        <w:t>章）</w:t>
      </w:r>
      <w:bookmarkEnd w:id="34"/>
      <w:bookmarkEnd w:id="35"/>
      <w:bookmarkEnd w:id="36"/>
      <w:bookmarkEnd w:id="37"/>
    </w:p>
    <w:p>
      <w:pPr>
        <w:keepNext/>
        <w:keepLines/>
        <w:outlineLvl w:val="2"/>
        <w:rPr>
          <w:rFonts w:ascii="宋体" w:hAnsi="宋体" w:eastAsia="宋体" w:cs="宋体"/>
          <w:b/>
          <w:bCs/>
          <w:color w:val="auto"/>
          <w:szCs w:val="20"/>
        </w:rPr>
      </w:pPr>
      <w:bookmarkStart w:id="38" w:name="_Toc274"/>
      <w:r>
        <w:rPr>
          <w:rFonts w:hint="eastAsia" w:ascii="宋体" w:hAnsi="宋体" w:eastAsia="宋体" w:cs="宋体"/>
          <w:b/>
          <w:color w:val="auto"/>
          <w:sz w:val="28"/>
          <w:szCs w:val="28"/>
        </w:rPr>
        <w:t>3.1 投标文件的组成</w:t>
      </w:r>
      <w:bookmarkEnd w:id="38"/>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（1）投标函及附录</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w:t>
      </w:r>
      <w:r>
        <w:rPr>
          <w:rFonts w:hint="eastAsia" w:ascii="宋体" w:hAnsi="宋体" w:eastAsia="宋体" w:cs="宋体"/>
          <w:color w:val="auto"/>
          <w:szCs w:val="20"/>
          <w:lang w:val="en-US" w:eastAsia="zh-CN"/>
        </w:rPr>
        <w:t>2</w:t>
      </w:r>
      <w:r>
        <w:rPr>
          <w:rFonts w:hint="eastAsia" w:ascii="宋体" w:hAnsi="宋体" w:eastAsia="宋体" w:cs="宋体"/>
          <w:color w:val="auto"/>
          <w:szCs w:val="20"/>
        </w:rPr>
        <w:t>）分项报价表</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w:t>
      </w:r>
      <w:r>
        <w:rPr>
          <w:rFonts w:hint="eastAsia" w:ascii="宋体" w:hAnsi="宋体" w:eastAsia="宋体" w:cs="宋体"/>
          <w:color w:val="auto"/>
          <w:szCs w:val="20"/>
          <w:lang w:val="en-US" w:eastAsia="zh-CN"/>
        </w:rPr>
        <w:t>3</w:t>
      </w:r>
      <w:r>
        <w:rPr>
          <w:rFonts w:hint="eastAsia" w:ascii="宋体" w:hAnsi="宋体" w:eastAsia="宋体" w:cs="宋体"/>
          <w:color w:val="auto"/>
          <w:szCs w:val="20"/>
        </w:rPr>
        <w:t>）投标产品配置清单一览表</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w:t>
      </w:r>
      <w:r>
        <w:rPr>
          <w:rFonts w:hint="eastAsia" w:ascii="宋体" w:hAnsi="宋体" w:eastAsia="宋体" w:cs="宋体"/>
          <w:color w:val="auto"/>
          <w:szCs w:val="20"/>
          <w:lang w:val="en-US" w:eastAsia="zh-CN"/>
        </w:rPr>
        <w:t>4</w:t>
      </w:r>
      <w:r>
        <w:rPr>
          <w:rFonts w:hint="eastAsia" w:ascii="宋体" w:hAnsi="宋体" w:eastAsia="宋体" w:cs="宋体"/>
          <w:color w:val="auto"/>
          <w:szCs w:val="20"/>
        </w:rPr>
        <w:t>）投标设备耗材一览表</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w:t>
      </w:r>
      <w:r>
        <w:rPr>
          <w:rFonts w:hint="eastAsia" w:ascii="宋体" w:hAnsi="宋体" w:eastAsia="宋体" w:cs="宋体"/>
          <w:color w:val="auto"/>
          <w:szCs w:val="20"/>
          <w:lang w:val="en-US" w:eastAsia="zh-CN"/>
        </w:rPr>
        <w:t>5</w:t>
      </w:r>
      <w:r>
        <w:rPr>
          <w:rFonts w:hint="eastAsia" w:ascii="宋体" w:hAnsi="宋体" w:eastAsia="宋体" w:cs="宋体"/>
          <w:color w:val="auto"/>
          <w:szCs w:val="20"/>
        </w:rPr>
        <w:t>）质保期满后易损件、配件一览表</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w:t>
      </w:r>
      <w:r>
        <w:rPr>
          <w:rFonts w:hint="eastAsia" w:ascii="宋体" w:hAnsi="宋体" w:eastAsia="宋体" w:cs="宋体"/>
          <w:color w:val="auto"/>
          <w:szCs w:val="20"/>
          <w:lang w:val="en-US" w:eastAsia="zh-CN"/>
        </w:rPr>
        <w:t>6</w:t>
      </w:r>
      <w:r>
        <w:rPr>
          <w:rFonts w:hint="eastAsia" w:ascii="宋体" w:hAnsi="宋体" w:eastAsia="宋体" w:cs="宋体"/>
          <w:color w:val="auto"/>
          <w:szCs w:val="20"/>
        </w:rPr>
        <w:t>）2020年以来投标产品同品牌同型号销售业绩表</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w:t>
      </w:r>
      <w:r>
        <w:rPr>
          <w:rFonts w:hint="eastAsia" w:ascii="宋体" w:hAnsi="宋体" w:eastAsia="宋体" w:cs="宋体"/>
          <w:color w:val="auto"/>
          <w:szCs w:val="20"/>
          <w:lang w:val="en-US" w:eastAsia="zh-CN"/>
        </w:rPr>
        <w:t>7</w:t>
      </w:r>
      <w:r>
        <w:rPr>
          <w:rFonts w:hint="eastAsia" w:ascii="宋体" w:hAnsi="宋体" w:eastAsia="宋体" w:cs="宋体"/>
          <w:color w:val="auto"/>
          <w:szCs w:val="20"/>
        </w:rPr>
        <w:t>）技术偏离表</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w:t>
      </w:r>
      <w:r>
        <w:rPr>
          <w:rFonts w:hint="eastAsia" w:ascii="宋体" w:hAnsi="宋体" w:eastAsia="宋体" w:cs="宋体"/>
          <w:color w:val="auto"/>
          <w:szCs w:val="20"/>
          <w:lang w:val="en-US" w:eastAsia="zh-CN"/>
        </w:rPr>
        <w:t>8</w:t>
      </w:r>
      <w:r>
        <w:rPr>
          <w:rFonts w:hint="eastAsia" w:ascii="宋体" w:hAnsi="宋体" w:eastAsia="宋体" w:cs="宋体"/>
          <w:color w:val="auto"/>
          <w:szCs w:val="20"/>
        </w:rPr>
        <w:t>）安装、调试、售后服务方案</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w:t>
      </w:r>
      <w:r>
        <w:rPr>
          <w:rFonts w:hint="eastAsia" w:ascii="宋体" w:hAnsi="宋体" w:eastAsia="宋体" w:cs="宋体"/>
          <w:color w:val="auto"/>
          <w:szCs w:val="20"/>
          <w:lang w:val="en-US" w:eastAsia="zh-CN"/>
        </w:rPr>
        <w:t>9</w:t>
      </w:r>
      <w:r>
        <w:rPr>
          <w:rFonts w:hint="eastAsia" w:ascii="宋体" w:hAnsi="宋体" w:eastAsia="宋体" w:cs="宋体"/>
          <w:color w:val="auto"/>
          <w:szCs w:val="20"/>
        </w:rPr>
        <w:t>）法定代表身份证明及法定代表人授权书</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（1</w:t>
      </w:r>
      <w:r>
        <w:rPr>
          <w:rFonts w:hint="eastAsia" w:ascii="宋体" w:hAnsi="宋体" w:eastAsia="宋体" w:cs="宋体"/>
          <w:color w:val="auto"/>
          <w:szCs w:val="20"/>
          <w:lang w:val="en-US" w:eastAsia="zh-CN"/>
        </w:rPr>
        <w:t>0</w:t>
      </w:r>
      <w:r>
        <w:rPr>
          <w:rFonts w:hint="eastAsia" w:ascii="宋体" w:hAnsi="宋体" w:eastAsia="宋体" w:cs="宋体"/>
          <w:color w:val="auto"/>
          <w:szCs w:val="20"/>
        </w:rPr>
        <w:t>）资格审查资料</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（1</w:t>
      </w:r>
      <w:r>
        <w:rPr>
          <w:rFonts w:hint="eastAsia" w:ascii="宋体" w:hAnsi="宋体" w:eastAsia="宋体" w:cs="宋体"/>
          <w:color w:val="auto"/>
          <w:szCs w:val="20"/>
          <w:lang w:val="en-US" w:eastAsia="zh-CN"/>
        </w:rPr>
        <w:t>1</w:t>
      </w:r>
      <w:r>
        <w:rPr>
          <w:rFonts w:hint="eastAsia" w:ascii="宋体" w:hAnsi="宋体" w:eastAsia="宋体" w:cs="宋体"/>
          <w:color w:val="auto"/>
          <w:szCs w:val="20"/>
        </w:rPr>
        <w:t>）反商业贿赂承诺书</w:t>
      </w:r>
      <w:r>
        <w:rPr>
          <w:rFonts w:hint="eastAsia" w:ascii="宋体" w:hAnsi="宋体" w:cs="宋体"/>
          <w:color w:val="auto"/>
          <w:szCs w:val="20"/>
          <w:lang w:eastAsia="zh-CN"/>
        </w:rPr>
        <w:t>；</w:t>
      </w: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（1</w:t>
      </w:r>
      <w:r>
        <w:rPr>
          <w:rFonts w:hint="eastAsia" w:ascii="宋体" w:hAnsi="宋体" w:eastAsia="宋体" w:cs="宋体"/>
          <w:color w:val="auto"/>
          <w:szCs w:val="20"/>
          <w:lang w:val="en-US" w:eastAsia="zh-CN"/>
        </w:rPr>
        <w:t>2</w:t>
      </w:r>
      <w:r>
        <w:rPr>
          <w:rFonts w:hint="eastAsia" w:ascii="宋体" w:hAnsi="宋体" w:eastAsia="宋体" w:cs="宋体"/>
          <w:color w:val="auto"/>
          <w:szCs w:val="20"/>
        </w:rPr>
        <w:t>）中小微企业、残疾人福利企业、监狱企业、节能环保产品</w:t>
      </w:r>
      <w:r>
        <w:rPr>
          <w:rFonts w:hint="eastAsia" w:ascii="宋体" w:hAnsi="宋体" w:cs="宋体"/>
          <w:color w:val="auto"/>
          <w:szCs w:val="20"/>
          <w:lang w:eastAsia="zh-CN"/>
        </w:rPr>
        <w:t>；</w:t>
      </w:r>
    </w:p>
    <w:p>
      <w:pPr>
        <w:ind w:firstLine="480" w:firstLineChars="200"/>
        <w:rPr>
          <w:rFonts w:ascii="宋体" w:hAnsi="宋体" w:eastAsia="宋体" w:cs="宋体"/>
          <w:color w:val="auto"/>
          <w:szCs w:val="20"/>
        </w:rPr>
      </w:pPr>
      <w:r>
        <w:rPr>
          <w:rFonts w:hint="eastAsia" w:ascii="宋体" w:hAnsi="宋体" w:eastAsia="宋体" w:cs="宋体"/>
          <w:color w:val="auto"/>
          <w:szCs w:val="20"/>
        </w:rPr>
        <w:t>（1</w:t>
      </w:r>
      <w:r>
        <w:rPr>
          <w:rFonts w:hint="eastAsia" w:ascii="宋体" w:hAnsi="宋体" w:cs="宋体"/>
          <w:color w:val="auto"/>
          <w:szCs w:val="20"/>
          <w:lang w:val="en-US" w:eastAsia="zh-CN"/>
        </w:rPr>
        <w:t>3</w:t>
      </w:r>
      <w:r>
        <w:rPr>
          <w:rFonts w:hint="eastAsia" w:ascii="宋体" w:hAnsi="宋体" w:eastAsia="宋体" w:cs="宋体"/>
          <w:color w:val="auto"/>
          <w:szCs w:val="20"/>
        </w:rPr>
        <w:t>）投标设备图片及投标供应商认为需要提交的其它证明资料。</w:t>
      </w:r>
    </w:p>
    <w:p>
      <w:pPr>
        <w:ind w:firstLine="480" w:firstLineChars="200"/>
        <w:rPr>
          <w:rFonts w:ascii="宋体" w:hAnsi="宋体" w:eastAsia="宋体" w:cs="宋体"/>
          <w:color w:val="auto"/>
          <w:szCs w:val="20"/>
        </w:rPr>
      </w:pPr>
      <w:r>
        <w:rPr>
          <w:rFonts w:hint="eastAsia" w:ascii="宋体" w:hAnsi="宋体" w:eastAsia="宋体" w:cs="宋体"/>
          <w:color w:val="auto"/>
        </w:rPr>
        <w:t>供应商</w:t>
      </w:r>
      <w:r>
        <w:rPr>
          <w:rFonts w:hint="eastAsia" w:ascii="宋体" w:hAnsi="宋体" w:eastAsia="宋体" w:cs="宋体"/>
          <w:color w:val="auto"/>
          <w:szCs w:val="20"/>
        </w:rPr>
        <w:t>在评标过程中作出的符合法律法规和招标文件规定的澄清确认，构成投标文件的组成部分。</w:t>
      </w:r>
    </w:p>
    <w:p>
      <w:pPr>
        <w:keepNext/>
        <w:keepLines/>
        <w:outlineLvl w:val="2"/>
        <w:rPr>
          <w:rFonts w:ascii="宋体" w:hAnsi="宋体" w:eastAsia="宋体" w:cs="宋体"/>
          <w:b/>
          <w:color w:val="auto"/>
          <w:sz w:val="28"/>
          <w:szCs w:val="28"/>
        </w:rPr>
      </w:pPr>
      <w:bookmarkStart w:id="39" w:name="_Toc13425"/>
      <w:r>
        <w:rPr>
          <w:rFonts w:hint="eastAsia" w:ascii="宋体" w:hAnsi="宋体" w:eastAsia="宋体" w:cs="宋体"/>
          <w:b/>
          <w:color w:val="auto"/>
          <w:sz w:val="28"/>
          <w:szCs w:val="28"/>
        </w:rPr>
        <w:t>3.2 投标报价</w:t>
      </w:r>
      <w:bookmarkEnd w:id="39"/>
    </w:p>
    <w:p>
      <w:pPr>
        <w:ind w:firstLine="480" w:firstLineChars="200"/>
        <w:rPr>
          <w:rFonts w:ascii="宋体" w:hAnsi="宋体" w:eastAsia="宋体" w:cs="宋体"/>
          <w:color w:val="auto"/>
          <w:szCs w:val="20"/>
        </w:rPr>
      </w:pPr>
      <w:bookmarkStart w:id="40" w:name="_Toc257026310"/>
      <w:bookmarkStart w:id="41" w:name="_Toc247965803"/>
      <w:bookmarkStart w:id="42" w:name="_Toc257025777"/>
      <w:bookmarkStart w:id="43" w:name="_Toc256760544"/>
      <w:bookmarkStart w:id="44" w:name="_Toc247961842"/>
      <w:bookmarkStart w:id="45" w:name="_Toc247965702"/>
      <w:r>
        <w:rPr>
          <w:rFonts w:hint="eastAsia" w:ascii="宋体" w:hAnsi="宋体" w:eastAsia="宋体" w:cs="宋体"/>
          <w:color w:val="auto"/>
          <w:szCs w:val="20"/>
        </w:rPr>
        <w:t>3.2.1 投标报价应包括国家规定的增值税税金，除</w:t>
      </w:r>
      <w:r>
        <w:rPr>
          <w:rFonts w:hint="eastAsia" w:ascii="宋体" w:hAnsi="宋体" w:eastAsia="宋体" w:cs="宋体"/>
          <w:color w:val="auto"/>
        </w:rPr>
        <w:t>供应商</w:t>
      </w:r>
      <w:r>
        <w:rPr>
          <w:rFonts w:hint="eastAsia" w:ascii="宋体" w:hAnsi="宋体" w:eastAsia="宋体" w:cs="宋体"/>
          <w:color w:val="auto"/>
          <w:szCs w:val="20"/>
        </w:rPr>
        <w:t>须知前附表另有规定外，增值税税金按一般计税方法计算。</w:t>
      </w:r>
      <w:r>
        <w:rPr>
          <w:rFonts w:hint="eastAsia" w:ascii="宋体" w:hAnsi="宋体" w:eastAsia="宋体" w:cs="宋体"/>
          <w:color w:val="auto"/>
        </w:rPr>
        <w:t>供应商</w:t>
      </w:r>
      <w:r>
        <w:rPr>
          <w:rFonts w:hint="eastAsia" w:ascii="宋体" w:hAnsi="宋体" w:eastAsia="宋体" w:cs="宋体"/>
          <w:color w:val="auto"/>
          <w:szCs w:val="20"/>
        </w:rPr>
        <w:t>应按第</w:t>
      </w:r>
      <w:r>
        <w:rPr>
          <w:rFonts w:hint="eastAsia" w:ascii="宋体" w:hAnsi="宋体" w:cs="宋体"/>
          <w:color w:val="auto"/>
          <w:szCs w:val="20"/>
          <w:lang w:eastAsia="zh-CN"/>
        </w:rPr>
        <w:t>八</w:t>
      </w:r>
      <w:r>
        <w:rPr>
          <w:rFonts w:hint="eastAsia" w:ascii="宋体" w:hAnsi="宋体" w:eastAsia="宋体" w:cs="宋体"/>
          <w:color w:val="auto"/>
          <w:szCs w:val="20"/>
        </w:rPr>
        <w:t>章“投标文件格式”的要求在投标函中进行报价并填写分项报价表。投标货币投标文件中投标报价全部采用人民币表示。</w:t>
      </w:r>
    </w:p>
    <w:p>
      <w:pPr>
        <w:ind w:firstLine="480" w:firstLineChars="200"/>
        <w:rPr>
          <w:rFonts w:ascii="宋体" w:hAnsi="宋体" w:eastAsia="宋体" w:cs="宋体"/>
          <w:color w:val="auto"/>
          <w:szCs w:val="20"/>
        </w:rPr>
      </w:pPr>
      <w:r>
        <w:rPr>
          <w:rFonts w:hint="eastAsia" w:ascii="宋体" w:hAnsi="宋体" w:eastAsia="宋体" w:cs="宋体"/>
          <w:color w:val="auto"/>
          <w:szCs w:val="20"/>
        </w:rPr>
        <w:t>3.2.2 投标报价</w:t>
      </w:r>
    </w:p>
    <w:p>
      <w:pPr>
        <w:ind w:firstLine="480" w:firstLineChars="200"/>
        <w:rPr>
          <w:rFonts w:ascii="宋体" w:hAnsi="宋体" w:eastAsia="宋体" w:cs="宋体"/>
          <w:color w:val="auto"/>
          <w:szCs w:val="20"/>
        </w:rPr>
      </w:pPr>
      <w:r>
        <w:rPr>
          <w:rFonts w:hint="eastAsia" w:ascii="宋体" w:hAnsi="宋体" w:eastAsia="宋体" w:cs="宋体"/>
          <w:color w:val="auto"/>
          <w:szCs w:val="20"/>
        </w:rPr>
        <w:t>（1）</w:t>
      </w:r>
      <w:r>
        <w:rPr>
          <w:rFonts w:hint="eastAsia" w:ascii="宋体" w:hAnsi="宋体" w:eastAsia="宋体" w:cs="宋体"/>
          <w:color w:val="auto"/>
        </w:rPr>
        <w:t>供应商</w:t>
      </w:r>
      <w:r>
        <w:rPr>
          <w:rFonts w:hint="eastAsia" w:ascii="宋体" w:hAnsi="宋体" w:eastAsia="宋体" w:cs="宋体"/>
          <w:color w:val="auto"/>
          <w:szCs w:val="20"/>
        </w:rPr>
        <w:t>的投标报价包括但不限于货物采购及所供货物发运到合同交货地点的运输费、装卸费、保险费、保管费；有关安装、调试、检测、验收、培训、技术服务所需的全部费用。</w:t>
      </w:r>
      <w:r>
        <w:rPr>
          <w:rFonts w:hint="eastAsia" w:ascii="宋体" w:hAnsi="宋体" w:eastAsia="宋体" w:cs="宋体"/>
          <w:color w:val="auto"/>
        </w:rPr>
        <w:t>供应商</w:t>
      </w:r>
      <w:r>
        <w:rPr>
          <w:rFonts w:hint="eastAsia" w:ascii="宋体" w:hAnsi="宋体" w:eastAsia="宋体" w:cs="宋体"/>
          <w:color w:val="auto"/>
          <w:szCs w:val="20"/>
        </w:rPr>
        <w:t>应结合自身条件，充分考虑本项目实际情况以及市场因素、现场环境因素、社会因素等各方面的风险因素，投标报价将被认为已综合考虑可能发生的全部不可预见的风险费用。中标供应商无权再以估计不足为由提出任何延长交货期、增加价款或索赔等要求。</w:t>
      </w:r>
    </w:p>
    <w:bookmarkEnd w:id="40"/>
    <w:bookmarkEnd w:id="41"/>
    <w:bookmarkEnd w:id="42"/>
    <w:bookmarkEnd w:id="43"/>
    <w:bookmarkEnd w:id="44"/>
    <w:bookmarkEnd w:id="45"/>
    <w:p>
      <w:pPr>
        <w:keepNext/>
        <w:keepLines/>
        <w:outlineLvl w:val="2"/>
        <w:rPr>
          <w:rFonts w:ascii="宋体" w:hAnsi="宋体" w:eastAsia="宋体" w:cs="宋体"/>
          <w:b/>
          <w:color w:val="auto"/>
          <w:sz w:val="28"/>
          <w:szCs w:val="28"/>
        </w:rPr>
      </w:pPr>
      <w:bookmarkStart w:id="46" w:name="_Toc9931"/>
      <w:r>
        <w:rPr>
          <w:rFonts w:hint="eastAsia" w:ascii="宋体" w:hAnsi="宋体" w:eastAsia="宋体" w:cs="宋体"/>
          <w:b/>
          <w:color w:val="auto"/>
          <w:sz w:val="28"/>
          <w:szCs w:val="28"/>
        </w:rPr>
        <w:t>3.3 投标有效期</w:t>
      </w:r>
      <w:bookmarkEnd w:id="46"/>
    </w:p>
    <w:p>
      <w:pPr>
        <w:ind w:firstLine="480" w:firstLineChars="200"/>
        <w:rPr>
          <w:rFonts w:ascii="宋体" w:hAnsi="宋体" w:eastAsia="宋体" w:cs="宋体"/>
          <w:color w:val="auto"/>
          <w:szCs w:val="20"/>
        </w:rPr>
      </w:pPr>
      <w:r>
        <w:rPr>
          <w:rFonts w:hint="eastAsia" w:ascii="宋体" w:hAnsi="宋体" w:eastAsia="宋体" w:cs="宋体"/>
          <w:color w:val="auto"/>
          <w:szCs w:val="20"/>
        </w:rPr>
        <w:t>3.3.1 在投标有效期内，</w:t>
      </w:r>
      <w:r>
        <w:rPr>
          <w:rFonts w:hint="eastAsia" w:ascii="宋体" w:hAnsi="宋体" w:eastAsia="宋体" w:cs="宋体"/>
          <w:color w:val="auto"/>
        </w:rPr>
        <w:t>供应商</w:t>
      </w:r>
      <w:r>
        <w:rPr>
          <w:rFonts w:hint="eastAsia" w:ascii="宋体" w:hAnsi="宋体" w:eastAsia="宋体" w:cs="宋体"/>
          <w:color w:val="auto"/>
          <w:szCs w:val="20"/>
        </w:rPr>
        <w:t>撤销投标文件的，应承担招标文件和法律规定的责任。</w:t>
      </w:r>
    </w:p>
    <w:p>
      <w:pPr>
        <w:ind w:firstLine="480" w:firstLineChars="200"/>
        <w:rPr>
          <w:rFonts w:ascii="宋体" w:hAnsi="宋体" w:eastAsia="宋体" w:cs="宋体"/>
          <w:color w:val="auto"/>
          <w:szCs w:val="20"/>
        </w:rPr>
      </w:pPr>
      <w:r>
        <w:rPr>
          <w:rFonts w:hint="eastAsia" w:ascii="宋体" w:hAnsi="宋体" w:eastAsia="宋体" w:cs="宋体"/>
          <w:color w:val="auto"/>
          <w:szCs w:val="20"/>
        </w:rPr>
        <w:t>3.3.2 出现特殊情况需要延长投标有效期的，采购人以书面形式通知所有</w:t>
      </w:r>
      <w:r>
        <w:rPr>
          <w:rFonts w:hint="eastAsia" w:ascii="宋体" w:hAnsi="宋体" w:eastAsia="宋体" w:cs="宋体"/>
          <w:color w:val="auto"/>
        </w:rPr>
        <w:t>供应商</w:t>
      </w:r>
      <w:r>
        <w:rPr>
          <w:rFonts w:hint="eastAsia" w:ascii="宋体" w:hAnsi="宋体" w:eastAsia="宋体" w:cs="宋体"/>
          <w:color w:val="auto"/>
          <w:szCs w:val="20"/>
        </w:rPr>
        <w:t>延长投标有效期。</w:t>
      </w:r>
      <w:r>
        <w:rPr>
          <w:rFonts w:hint="eastAsia" w:ascii="宋体" w:hAnsi="宋体" w:eastAsia="宋体" w:cs="宋体"/>
          <w:color w:val="auto"/>
        </w:rPr>
        <w:t>供应商</w:t>
      </w:r>
      <w:r>
        <w:rPr>
          <w:rFonts w:hint="eastAsia" w:ascii="宋体" w:hAnsi="宋体" w:eastAsia="宋体" w:cs="宋体"/>
          <w:color w:val="auto"/>
          <w:szCs w:val="20"/>
        </w:rPr>
        <w:t>应予以书面答复。</w:t>
      </w:r>
    </w:p>
    <w:p>
      <w:pPr>
        <w:keepNext/>
        <w:keepLines/>
        <w:outlineLvl w:val="2"/>
        <w:rPr>
          <w:rFonts w:ascii="宋体" w:hAnsi="宋体" w:eastAsia="宋体" w:cs="宋体"/>
          <w:b/>
          <w:color w:val="auto"/>
          <w:sz w:val="28"/>
          <w:szCs w:val="28"/>
        </w:rPr>
      </w:pPr>
      <w:bookmarkStart w:id="47" w:name="_Toc9293"/>
      <w:r>
        <w:rPr>
          <w:rFonts w:hint="eastAsia" w:ascii="宋体" w:hAnsi="宋体" w:eastAsia="宋体" w:cs="宋体"/>
          <w:b/>
          <w:color w:val="auto"/>
          <w:sz w:val="28"/>
          <w:szCs w:val="28"/>
        </w:rPr>
        <w:t>3.4 投标保证金</w:t>
      </w:r>
      <w:bookmarkEnd w:id="47"/>
    </w:p>
    <w:p>
      <w:pPr>
        <w:ind w:firstLine="480" w:firstLineChars="200"/>
        <w:rPr>
          <w:rFonts w:ascii="宋体" w:hAnsi="宋体" w:eastAsia="宋体" w:cs="宋体"/>
          <w:color w:val="auto"/>
          <w:szCs w:val="20"/>
        </w:rPr>
      </w:pPr>
      <w:r>
        <w:rPr>
          <w:rFonts w:hint="eastAsia" w:ascii="宋体" w:hAnsi="宋体" w:eastAsia="宋体" w:cs="宋体"/>
          <w:color w:val="auto"/>
        </w:rPr>
        <w:t>见供应商须知前附表</w:t>
      </w:r>
      <w:r>
        <w:rPr>
          <w:rFonts w:hint="eastAsia" w:ascii="宋体" w:hAnsi="宋体" w:eastAsia="宋体" w:cs="宋体"/>
          <w:color w:val="auto"/>
          <w:szCs w:val="20"/>
        </w:rPr>
        <w:t>。</w:t>
      </w:r>
    </w:p>
    <w:p>
      <w:pPr>
        <w:keepNext/>
        <w:keepLines/>
        <w:outlineLvl w:val="2"/>
        <w:rPr>
          <w:rFonts w:ascii="宋体" w:hAnsi="宋体" w:eastAsia="宋体" w:cs="宋体"/>
          <w:b/>
          <w:color w:val="auto"/>
          <w:sz w:val="28"/>
          <w:szCs w:val="28"/>
        </w:rPr>
      </w:pPr>
      <w:bookmarkStart w:id="48" w:name="_Toc73"/>
      <w:r>
        <w:rPr>
          <w:rFonts w:hint="eastAsia" w:ascii="宋体" w:hAnsi="宋体" w:eastAsia="宋体" w:cs="宋体"/>
          <w:b/>
          <w:color w:val="auto"/>
          <w:sz w:val="28"/>
          <w:szCs w:val="28"/>
        </w:rPr>
        <w:t>3.5 资格审查资料</w:t>
      </w:r>
      <w:bookmarkEnd w:id="48"/>
    </w:p>
    <w:p>
      <w:pPr>
        <w:ind w:firstLine="482" w:firstLineChars="200"/>
        <w:rPr>
          <w:rFonts w:ascii="宋体" w:hAnsi="宋体" w:eastAsia="宋体" w:cs="宋体"/>
          <w:b/>
          <w:color w:val="auto"/>
        </w:rPr>
      </w:pPr>
      <w:r>
        <w:rPr>
          <w:rFonts w:hint="eastAsia" w:ascii="宋体" w:hAnsi="宋体" w:eastAsia="宋体" w:cs="宋体"/>
          <w:b/>
          <w:color w:val="auto"/>
        </w:rPr>
        <w:t>3.5.1 资格审查资料：见供应商须知前附表1.4.1。</w:t>
      </w:r>
    </w:p>
    <w:p>
      <w:pPr>
        <w:ind w:firstLine="480" w:firstLineChars="200"/>
        <w:rPr>
          <w:rFonts w:ascii="宋体" w:hAnsi="宋体" w:eastAsia="宋体" w:cs="宋体"/>
          <w:color w:val="auto"/>
        </w:rPr>
      </w:pPr>
      <w:r>
        <w:rPr>
          <w:rFonts w:hint="eastAsia" w:ascii="宋体" w:hAnsi="宋体" w:eastAsia="宋体" w:cs="宋体"/>
          <w:color w:val="auto"/>
          <w:szCs w:val="20"/>
        </w:rPr>
        <w:t>3.5.2 上述条款所需材料</w:t>
      </w:r>
      <w:r>
        <w:rPr>
          <w:rFonts w:hint="eastAsia" w:ascii="宋体" w:hAnsi="宋体" w:eastAsia="宋体" w:cs="宋体"/>
          <w:color w:val="auto"/>
        </w:rPr>
        <w:t>供应商</w:t>
      </w:r>
      <w:r>
        <w:rPr>
          <w:rFonts w:hint="eastAsia" w:ascii="宋体" w:hAnsi="宋体" w:eastAsia="宋体" w:cs="宋体"/>
          <w:color w:val="auto"/>
          <w:szCs w:val="20"/>
        </w:rPr>
        <w:t>应按前附表规定从河南省公共资源交易中心会员诚信库选择相应电子文件编入投标文件。</w:t>
      </w:r>
      <w:r>
        <w:rPr>
          <w:rFonts w:hint="eastAsia" w:ascii="宋体" w:hAnsi="宋体" w:eastAsia="宋体" w:cs="宋体"/>
          <w:color w:val="auto"/>
        </w:rPr>
        <w:t>供应商</w:t>
      </w:r>
      <w:r>
        <w:rPr>
          <w:rFonts w:hint="eastAsia" w:ascii="宋体" w:hAnsi="宋体" w:eastAsia="宋体" w:cs="宋体"/>
          <w:color w:val="auto"/>
          <w:szCs w:val="20"/>
        </w:rPr>
        <w:t>应及时更新河南省公共资源交易中心会员诚信库中的材料，确保相关材料真实有效。</w:t>
      </w:r>
    </w:p>
    <w:p>
      <w:pPr>
        <w:keepNext/>
        <w:keepLines/>
        <w:outlineLvl w:val="2"/>
        <w:rPr>
          <w:rFonts w:ascii="宋体" w:hAnsi="宋体" w:eastAsia="宋体" w:cs="宋体"/>
          <w:b/>
          <w:color w:val="auto"/>
          <w:sz w:val="28"/>
          <w:szCs w:val="28"/>
        </w:rPr>
      </w:pPr>
      <w:bookmarkStart w:id="49" w:name="_Toc14395"/>
      <w:r>
        <w:rPr>
          <w:rFonts w:hint="eastAsia" w:ascii="宋体" w:hAnsi="宋体" w:eastAsia="宋体" w:cs="宋体"/>
          <w:b/>
          <w:color w:val="auto"/>
          <w:sz w:val="28"/>
          <w:szCs w:val="28"/>
        </w:rPr>
        <w:t>3.6 备选投标方案</w:t>
      </w:r>
      <w:bookmarkEnd w:id="49"/>
    </w:p>
    <w:p>
      <w:pPr>
        <w:ind w:firstLine="480" w:firstLineChars="200"/>
        <w:rPr>
          <w:rFonts w:ascii="宋体" w:hAnsi="宋体" w:eastAsia="宋体" w:cs="宋体"/>
          <w:color w:val="auto"/>
          <w:szCs w:val="20"/>
        </w:rPr>
      </w:pPr>
      <w:r>
        <w:rPr>
          <w:rFonts w:hint="eastAsia" w:ascii="宋体" w:hAnsi="宋体" w:eastAsia="宋体" w:cs="宋体"/>
          <w:color w:val="auto"/>
          <w:szCs w:val="20"/>
        </w:rPr>
        <w:t>除</w:t>
      </w:r>
      <w:r>
        <w:rPr>
          <w:rFonts w:hint="eastAsia" w:ascii="宋体" w:hAnsi="宋体" w:eastAsia="宋体" w:cs="宋体"/>
          <w:color w:val="auto"/>
        </w:rPr>
        <w:t>供应商</w:t>
      </w:r>
      <w:r>
        <w:rPr>
          <w:rFonts w:hint="eastAsia" w:ascii="宋体" w:hAnsi="宋体" w:eastAsia="宋体" w:cs="宋体"/>
          <w:color w:val="auto"/>
          <w:szCs w:val="20"/>
        </w:rPr>
        <w:t>须知前附表另有规定外，</w:t>
      </w:r>
      <w:r>
        <w:rPr>
          <w:rFonts w:hint="eastAsia" w:ascii="宋体" w:hAnsi="宋体" w:eastAsia="宋体" w:cs="宋体"/>
          <w:color w:val="auto"/>
        </w:rPr>
        <w:t>供应商</w:t>
      </w:r>
      <w:r>
        <w:rPr>
          <w:rFonts w:hint="eastAsia" w:ascii="宋体" w:hAnsi="宋体" w:eastAsia="宋体" w:cs="宋体"/>
          <w:color w:val="auto"/>
          <w:szCs w:val="20"/>
        </w:rPr>
        <w:t>不得递交备选投标方案。允许</w:t>
      </w:r>
      <w:r>
        <w:rPr>
          <w:rFonts w:hint="eastAsia" w:ascii="宋体" w:hAnsi="宋体" w:eastAsia="宋体" w:cs="宋体"/>
          <w:color w:val="auto"/>
        </w:rPr>
        <w:t>供应商</w:t>
      </w:r>
      <w:r>
        <w:rPr>
          <w:rFonts w:hint="eastAsia" w:ascii="宋体" w:hAnsi="宋体" w:eastAsia="宋体" w:cs="宋体"/>
          <w:color w:val="auto"/>
          <w:szCs w:val="20"/>
        </w:rPr>
        <w:t>递交备选投标方案的，只有中标供应商所递交的备选投标方案方可予以考虑。评标委员会认为中标供应商的各选投标方案优于其按照招标文件要求编制的投标方案的，采购人可以接受该备选投标方案。</w:t>
      </w:r>
    </w:p>
    <w:p>
      <w:pPr>
        <w:keepNext/>
        <w:keepLines/>
        <w:outlineLvl w:val="2"/>
        <w:rPr>
          <w:rFonts w:ascii="宋体" w:hAnsi="宋体" w:eastAsia="宋体" w:cs="宋体"/>
          <w:b/>
          <w:color w:val="auto"/>
          <w:sz w:val="28"/>
          <w:szCs w:val="28"/>
        </w:rPr>
      </w:pPr>
      <w:bookmarkStart w:id="50" w:name="_Toc4196"/>
      <w:r>
        <w:rPr>
          <w:rFonts w:hint="eastAsia" w:ascii="宋体" w:hAnsi="宋体" w:eastAsia="宋体" w:cs="宋体"/>
          <w:b/>
          <w:color w:val="auto"/>
          <w:sz w:val="28"/>
          <w:szCs w:val="28"/>
        </w:rPr>
        <w:t>3.7 投标文件的编制</w:t>
      </w:r>
      <w:bookmarkEnd w:id="50"/>
    </w:p>
    <w:p>
      <w:pPr>
        <w:ind w:firstLine="480" w:firstLineChars="200"/>
        <w:rPr>
          <w:rFonts w:ascii="宋体" w:hAnsi="宋体" w:eastAsia="宋体" w:cs="宋体"/>
          <w:color w:val="auto"/>
          <w:szCs w:val="20"/>
        </w:rPr>
      </w:pPr>
      <w:bookmarkStart w:id="51" w:name="_Toc184635074"/>
      <w:bookmarkStart w:id="52" w:name="_Toc345178450"/>
      <w:r>
        <w:rPr>
          <w:rFonts w:hint="eastAsia" w:ascii="宋体" w:hAnsi="宋体" w:eastAsia="宋体" w:cs="宋体"/>
          <w:color w:val="auto"/>
          <w:szCs w:val="20"/>
        </w:rPr>
        <w:t>3.7.1 投标文件应按第</w:t>
      </w:r>
      <w:r>
        <w:rPr>
          <w:rFonts w:hint="eastAsia" w:ascii="宋体" w:hAnsi="宋体" w:cs="宋体"/>
          <w:color w:val="auto"/>
          <w:szCs w:val="20"/>
          <w:lang w:eastAsia="zh-CN"/>
        </w:rPr>
        <w:t>八</w:t>
      </w:r>
      <w:r>
        <w:rPr>
          <w:rFonts w:hint="eastAsia" w:ascii="宋体" w:hAnsi="宋体" w:eastAsia="宋体" w:cs="宋体"/>
          <w:color w:val="auto"/>
          <w:szCs w:val="20"/>
        </w:rPr>
        <w:t>章“投标文件格式”使用河南省公共资源交易系统投标文件制作专用工具软件编制。其中，开标一览表在满足招标文件实质性要求的基础上，可以提出比招标文件要求更有利于采购人的承诺。</w:t>
      </w:r>
    </w:p>
    <w:p>
      <w:pPr>
        <w:ind w:firstLine="480" w:firstLineChars="200"/>
        <w:rPr>
          <w:rFonts w:ascii="宋体" w:hAnsi="宋体" w:eastAsia="宋体" w:cs="宋体"/>
          <w:color w:val="auto"/>
          <w:szCs w:val="20"/>
        </w:rPr>
      </w:pPr>
      <w:r>
        <w:rPr>
          <w:rFonts w:hint="eastAsia" w:ascii="宋体" w:hAnsi="宋体" w:eastAsia="宋体" w:cs="宋体"/>
          <w:color w:val="auto"/>
          <w:szCs w:val="20"/>
        </w:rPr>
        <w:t>3.7.2 投标文件应当对招标文件有关质保期、交货期、交货地点、</w:t>
      </w:r>
      <w:r>
        <w:rPr>
          <w:rFonts w:hint="eastAsia" w:ascii="宋体" w:hAnsi="宋体" w:eastAsia="宋体" w:cs="宋体"/>
          <w:color w:val="auto"/>
        </w:rPr>
        <w:t>采购内容</w:t>
      </w:r>
      <w:r>
        <w:rPr>
          <w:rFonts w:hint="eastAsia" w:ascii="宋体" w:hAnsi="宋体" w:eastAsia="宋体" w:cs="宋体"/>
          <w:color w:val="auto"/>
          <w:szCs w:val="20"/>
        </w:rPr>
        <w:t>等实质性内容作出响应。</w:t>
      </w:r>
    </w:p>
    <w:p>
      <w:pPr>
        <w:ind w:firstLine="480" w:firstLineChars="200"/>
        <w:rPr>
          <w:rFonts w:ascii="宋体" w:hAnsi="宋体" w:eastAsia="宋体" w:cs="宋体"/>
          <w:color w:val="auto"/>
          <w:szCs w:val="20"/>
        </w:rPr>
      </w:pPr>
      <w:r>
        <w:rPr>
          <w:rFonts w:hint="eastAsia" w:ascii="宋体" w:hAnsi="宋体" w:eastAsia="宋体" w:cs="宋体"/>
          <w:color w:val="auto"/>
          <w:szCs w:val="20"/>
        </w:rPr>
        <w:t>3.7.3 投标文件全部采用电子文档，除</w:t>
      </w:r>
      <w:r>
        <w:rPr>
          <w:rFonts w:hint="eastAsia" w:ascii="宋体" w:hAnsi="宋体" w:eastAsia="宋体" w:cs="宋体"/>
          <w:color w:val="auto"/>
        </w:rPr>
        <w:t>供应商</w:t>
      </w:r>
      <w:r>
        <w:rPr>
          <w:rFonts w:hint="eastAsia" w:ascii="宋体" w:hAnsi="宋体" w:eastAsia="宋体" w:cs="宋体"/>
          <w:color w:val="auto"/>
          <w:szCs w:val="20"/>
        </w:rPr>
        <w:t>须知前附表另有规定外，投标文件所附证书证件均为原件扫描件，并采用单位数字证书，按招标文件要求在相应位置加盖电子印章。由</w:t>
      </w:r>
      <w:r>
        <w:rPr>
          <w:rFonts w:hint="eastAsia" w:ascii="宋体" w:hAnsi="宋体" w:eastAsia="宋体" w:cs="宋体"/>
          <w:color w:val="auto"/>
        </w:rPr>
        <w:t>供应商</w:t>
      </w:r>
      <w:r>
        <w:rPr>
          <w:rFonts w:hint="eastAsia" w:ascii="宋体" w:hAnsi="宋体" w:eastAsia="宋体" w:cs="宋体"/>
          <w:color w:val="auto"/>
          <w:szCs w:val="20"/>
        </w:rPr>
        <w:t>的法定代表人签字或加盖电子印章的，应附法定代表人身份证明，由代理人签字或加盖电子印章的，应附由法定代表人签署的授权委托书。签字或盖章的具体要求见</w:t>
      </w:r>
      <w:r>
        <w:rPr>
          <w:rFonts w:hint="eastAsia" w:ascii="宋体" w:hAnsi="宋体" w:eastAsia="宋体" w:cs="宋体"/>
          <w:color w:val="auto"/>
        </w:rPr>
        <w:t>供应商</w:t>
      </w:r>
      <w:r>
        <w:rPr>
          <w:rFonts w:hint="eastAsia" w:ascii="宋体" w:hAnsi="宋体" w:eastAsia="宋体" w:cs="宋体"/>
          <w:color w:val="auto"/>
          <w:szCs w:val="20"/>
        </w:rPr>
        <w:t>须知前附表。</w:t>
      </w:r>
    </w:p>
    <w:p>
      <w:pPr>
        <w:ind w:firstLine="480" w:firstLineChars="200"/>
        <w:rPr>
          <w:rFonts w:ascii="宋体" w:hAnsi="宋体" w:eastAsia="宋体" w:cs="宋体"/>
          <w:b/>
          <w:bCs/>
          <w:color w:val="auto"/>
          <w:szCs w:val="20"/>
        </w:rPr>
      </w:pPr>
      <w:r>
        <w:rPr>
          <w:rFonts w:hint="eastAsia" w:ascii="宋体" w:hAnsi="宋体" w:eastAsia="宋体" w:cs="宋体"/>
          <w:color w:val="auto"/>
          <w:szCs w:val="20"/>
        </w:rPr>
        <w:t xml:space="preserve">3.7.4 </w:t>
      </w:r>
      <w:r>
        <w:rPr>
          <w:rFonts w:hint="eastAsia" w:ascii="宋体" w:hAnsi="宋体" w:eastAsia="宋体" w:cs="宋体"/>
          <w:b/>
          <w:bCs/>
          <w:color w:val="auto"/>
          <w:szCs w:val="20"/>
        </w:rPr>
        <w:t>投标所需相关的资质、证明等资料均需先上传至河南省公共资源交易中心诚信库并经核验，供应商制作投标文件时所需资料须从诚信库中提取</w:t>
      </w:r>
      <w:bookmarkStart w:id="53" w:name="_Toc456203565"/>
      <w:bookmarkStart w:id="54" w:name="_Toc412733184"/>
      <w:bookmarkStart w:id="55" w:name="_Toc203530009"/>
      <w:r>
        <w:rPr>
          <w:rFonts w:hint="eastAsia" w:ascii="宋体" w:hAnsi="宋体" w:eastAsia="宋体" w:cs="宋体"/>
          <w:b/>
          <w:bCs/>
          <w:color w:val="auto"/>
          <w:szCs w:val="20"/>
        </w:rPr>
        <w:t>。</w:t>
      </w:r>
    </w:p>
    <w:p>
      <w:pPr>
        <w:ind w:firstLine="480" w:firstLineChars="200"/>
        <w:rPr>
          <w:rFonts w:ascii="宋体" w:hAnsi="宋体" w:eastAsia="宋体" w:cs="宋体"/>
          <w:color w:val="auto"/>
          <w:szCs w:val="20"/>
        </w:rPr>
      </w:pPr>
      <w:r>
        <w:rPr>
          <w:rFonts w:hint="eastAsia" w:ascii="宋体" w:hAnsi="宋体" w:eastAsia="宋体" w:cs="宋体"/>
          <w:color w:val="auto"/>
          <w:szCs w:val="20"/>
        </w:rPr>
        <w:t>3.7.5 投标货物资格文件</w:t>
      </w:r>
      <w:bookmarkEnd w:id="53"/>
      <w:bookmarkEnd w:id="54"/>
      <w:bookmarkEnd w:id="55"/>
    </w:p>
    <w:p>
      <w:pPr>
        <w:ind w:firstLine="723" w:firstLineChars="300"/>
        <w:rPr>
          <w:rFonts w:ascii="宋体" w:hAnsi="宋体" w:eastAsia="宋体" w:cs="宋体"/>
          <w:b/>
          <w:color w:val="auto"/>
          <w:szCs w:val="20"/>
        </w:rPr>
      </w:pPr>
      <w:r>
        <w:rPr>
          <w:rFonts w:hint="eastAsia" w:ascii="宋体" w:hAnsi="宋体" w:eastAsia="宋体" w:cs="宋体"/>
          <w:b/>
          <w:color w:val="auto"/>
          <w:szCs w:val="20"/>
        </w:rPr>
        <w:t>3.7.5.1 供应商须提供有关投标货物符合招标文件要求的证明文件，这些文件可以是说明书、样本、技术白皮书、产品彩页、测试报告、检验报告等。</w:t>
      </w:r>
    </w:p>
    <w:p>
      <w:pPr>
        <w:ind w:firstLine="720" w:firstLineChars="300"/>
        <w:rPr>
          <w:rFonts w:ascii="宋体" w:hAnsi="宋体" w:eastAsia="宋体" w:cs="宋体"/>
          <w:color w:val="auto"/>
          <w:szCs w:val="20"/>
        </w:rPr>
      </w:pPr>
      <w:r>
        <w:rPr>
          <w:rFonts w:hint="eastAsia" w:ascii="宋体" w:hAnsi="宋体" w:eastAsia="宋体" w:cs="宋体"/>
          <w:color w:val="auto"/>
          <w:szCs w:val="20"/>
        </w:rPr>
        <w:t>3.7.5.2 供应商必须对招标文件中货物的技术要求逐项、逐条明确答复；并认真、详细的填写“技术</w:t>
      </w:r>
      <w:r>
        <w:rPr>
          <w:rFonts w:hint="eastAsia" w:ascii="宋体" w:hAnsi="宋体" w:eastAsia="宋体" w:cs="宋体"/>
          <w:color w:val="auto"/>
          <w:szCs w:val="20"/>
          <w:lang w:eastAsia="zh-CN"/>
        </w:rPr>
        <w:t>要求响应与偏差</w:t>
      </w:r>
      <w:r>
        <w:rPr>
          <w:rFonts w:hint="eastAsia" w:ascii="宋体" w:hAnsi="宋体" w:eastAsia="宋体" w:cs="宋体"/>
          <w:color w:val="auto"/>
          <w:szCs w:val="20"/>
        </w:rPr>
        <w:t>表”，逐项、逐条说明响应或偏离情况。</w:t>
      </w:r>
    </w:p>
    <w:p>
      <w:pPr>
        <w:ind w:firstLine="720" w:firstLineChars="300"/>
        <w:rPr>
          <w:rFonts w:ascii="宋体" w:hAnsi="宋体" w:eastAsia="宋体" w:cs="宋体"/>
          <w:color w:val="auto"/>
          <w:szCs w:val="20"/>
        </w:rPr>
      </w:pPr>
      <w:r>
        <w:rPr>
          <w:rFonts w:hint="eastAsia" w:ascii="宋体" w:hAnsi="宋体" w:eastAsia="宋体" w:cs="宋体"/>
          <w:color w:val="auto"/>
          <w:szCs w:val="20"/>
        </w:rPr>
        <w:t xml:space="preserve">3.7.5.3 </w:t>
      </w:r>
      <w:r>
        <w:rPr>
          <w:rFonts w:hint="eastAsia" w:ascii="宋体" w:hAnsi="宋体" w:eastAsia="宋体" w:cs="宋体"/>
          <w:color w:val="auto"/>
        </w:rPr>
        <w:t>供应商</w:t>
      </w:r>
      <w:r>
        <w:rPr>
          <w:rFonts w:hint="eastAsia" w:ascii="宋体" w:hAnsi="宋体" w:eastAsia="宋体" w:cs="宋体"/>
          <w:color w:val="auto"/>
          <w:szCs w:val="20"/>
        </w:rPr>
        <w:t>所投货物的所有部件均应为全新的、未使用过的新型合格产品。</w:t>
      </w:r>
    </w:p>
    <w:p>
      <w:pPr>
        <w:ind w:firstLine="720" w:firstLineChars="300"/>
        <w:rPr>
          <w:rFonts w:ascii="宋体" w:hAnsi="宋体" w:eastAsia="宋体" w:cs="宋体"/>
          <w:color w:val="auto"/>
          <w:szCs w:val="20"/>
        </w:rPr>
      </w:pPr>
      <w:r>
        <w:rPr>
          <w:rFonts w:hint="eastAsia" w:ascii="宋体" w:hAnsi="宋体" w:eastAsia="宋体" w:cs="宋体"/>
          <w:color w:val="auto"/>
          <w:szCs w:val="20"/>
        </w:rPr>
        <w:t xml:space="preserve">3.7.5.4 </w:t>
      </w:r>
      <w:r>
        <w:rPr>
          <w:rFonts w:hint="eastAsia" w:ascii="宋体" w:hAnsi="宋体" w:eastAsia="宋体" w:cs="宋体"/>
          <w:color w:val="auto"/>
        </w:rPr>
        <w:t>供应商</w:t>
      </w:r>
      <w:r>
        <w:rPr>
          <w:rFonts w:hint="eastAsia" w:ascii="宋体" w:hAnsi="宋体" w:eastAsia="宋体" w:cs="宋体"/>
          <w:color w:val="auto"/>
          <w:szCs w:val="20"/>
        </w:rPr>
        <w:t>认为应对其设备的性能特点、优越性等有必要进行补充说明的内容。</w:t>
      </w:r>
    </w:p>
    <w:bookmarkEnd w:id="51"/>
    <w:bookmarkEnd w:id="52"/>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56" w:name="_Toc7385"/>
      <w:bookmarkStart w:id="57" w:name="_Toc23725"/>
      <w:bookmarkStart w:id="58" w:name="_Toc25217"/>
      <w:bookmarkStart w:id="59" w:name="_Toc27806"/>
      <w:bookmarkStart w:id="60" w:name="_Toc27396"/>
      <w:r>
        <w:rPr>
          <w:rFonts w:hint="eastAsia" w:ascii="宋体" w:hAnsi="宋体" w:eastAsia="宋体" w:cs="宋体"/>
          <w:b/>
          <w:color w:val="auto"/>
          <w:kern w:val="0"/>
          <w:sz w:val="30"/>
          <w:szCs w:val="20"/>
          <w:lang w:val="en-US" w:eastAsia="zh-CN" w:bidi="ar-SA"/>
        </w:rPr>
        <w:t>4.投标</w:t>
      </w:r>
      <w:bookmarkEnd w:id="56"/>
      <w:bookmarkEnd w:id="57"/>
      <w:bookmarkEnd w:id="58"/>
      <w:bookmarkEnd w:id="59"/>
      <w:bookmarkEnd w:id="60"/>
    </w:p>
    <w:p>
      <w:pPr>
        <w:keepNext/>
        <w:keepLines/>
        <w:outlineLvl w:val="2"/>
        <w:rPr>
          <w:rFonts w:ascii="宋体" w:hAnsi="宋体" w:eastAsia="宋体" w:cs="宋体"/>
          <w:b/>
          <w:color w:val="auto"/>
          <w:sz w:val="28"/>
          <w:szCs w:val="28"/>
        </w:rPr>
      </w:pPr>
      <w:bookmarkStart w:id="61" w:name="_Toc14814"/>
      <w:r>
        <w:rPr>
          <w:rFonts w:hint="eastAsia" w:ascii="宋体" w:hAnsi="宋体" w:eastAsia="宋体" w:cs="宋体"/>
          <w:b/>
          <w:color w:val="auto"/>
          <w:sz w:val="28"/>
          <w:szCs w:val="28"/>
        </w:rPr>
        <w:t>4.1 投标文件的</w:t>
      </w:r>
      <w:bookmarkEnd w:id="61"/>
      <w:r>
        <w:rPr>
          <w:rFonts w:hint="eastAsia" w:ascii="宋体" w:hAnsi="宋体" w:eastAsia="宋体" w:cs="宋体"/>
          <w:b/>
          <w:color w:val="auto"/>
          <w:sz w:val="28"/>
          <w:szCs w:val="28"/>
        </w:rPr>
        <w:t>加密</w:t>
      </w:r>
    </w:p>
    <w:p>
      <w:pPr>
        <w:ind w:firstLine="480" w:firstLineChars="200"/>
        <w:rPr>
          <w:rFonts w:ascii="宋体" w:hAnsi="宋体" w:eastAsia="宋体" w:cs="宋体"/>
          <w:color w:val="auto"/>
          <w:szCs w:val="20"/>
        </w:rPr>
      </w:pPr>
      <w:r>
        <w:rPr>
          <w:rFonts w:hint="eastAsia" w:ascii="宋体" w:hAnsi="宋体" w:eastAsia="宋体" w:cs="宋体"/>
          <w:color w:val="auto"/>
          <w:szCs w:val="20"/>
        </w:rPr>
        <w:t>4.1.1 网上上传的电子投标文件应使用数字证书认证并加密。</w:t>
      </w:r>
    </w:p>
    <w:p>
      <w:pPr>
        <w:keepNext/>
        <w:keepLines/>
        <w:outlineLvl w:val="2"/>
        <w:rPr>
          <w:rFonts w:ascii="宋体" w:hAnsi="宋体" w:eastAsia="宋体" w:cs="宋体"/>
          <w:b/>
          <w:color w:val="auto"/>
          <w:sz w:val="28"/>
          <w:szCs w:val="28"/>
        </w:rPr>
      </w:pPr>
      <w:bookmarkStart w:id="62" w:name="_Toc22547"/>
      <w:r>
        <w:rPr>
          <w:rFonts w:hint="eastAsia" w:ascii="宋体" w:hAnsi="宋体" w:eastAsia="宋体" w:cs="宋体"/>
          <w:b/>
          <w:color w:val="auto"/>
          <w:sz w:val="28"/>
          <w:szCs w:val="28"/>
        </w:rPr>
        <w:t>4.2 投标文件的递交</w:t>
      </w:r>
      <w:bookmarkEnd w:id="62"/>
    </w:p>
    <w:p>
      <w:pPr>
        <w:ind w:firstLine="480" w:firstLineChars="200"/>
        <w:rPr>
          <w:rFonts w:ascii="宋体" w:hAnsi="宋体" w:eastAsia="宋体" w:cs="宋体"/>
          <w:color w:val="auto"/>
          <w:szCs w:val="20"/>
        </w:rPr>
      </w:pPr>
      <w:r>
        <w:rPr>
          <w:rFonts w:hint="eastAsia" w:ascii="宋体" w:hAnsi="宋体" w:eastAsia="宋体" w:cs="宋体"/>
          <w:color w:val="auto"/>
          <w:szCs w:val="20"/>
        </w:rPr>
        <w:t xml:space="preserve">4.2.1 </w:t>
      </w:r>
      <w:r>
        <w:rPr>
          <w:rFonts w:hint="eastAsia" w:ascii="宋体" w:hAnsi="宋体" w:eastAsia="宋体" w:cs="宋体"/>
          <w:b/>
          <w:bCs/>
          <w:color w:val="auto"/>
          <w:szCs w:val="20"/>
        </w:rPr>
        <w:t>供应商应在第二章《供应商须知前附表》中第2.2.2项规定的投标截止时间前上传加密的电子投标文件（*.hntf）到会员系统的指定位置。上传时必须得到电脑“上传成功”的确认。请供应商在上传时认真检查上传投标文件是否完整、正确。供应商因交易中心投标系统问题无法上传电子投标文件时，请在工作时间与河南省公共资源交易中心联系。</w:t>
      </w:r>
    </w:p>
    <w:p>
      <w:pPr>
        <w:ind w:firstLine="480" w:firstLineChars="200"/>
        <w:rPr>
          <w:rFonts w:ascii="宋体" w:hAnsi="宋体" w:eastAsia="宋体" w:cs="宋体"/>
          <w:color w:val="auto"/>
          <w:szCs w:val="20"/>
        </w:rPr>
      </w:pPr>
      <w:r>
        <w:rPr>
          <w:rFonts w:hint="eastAsia" w:ascii="宋体" w:hAnsi="宋体" w:eastAsia="宋体" w:cs="宋体"/>
          <w:color w:val="auto"/>
          <w:szCs w:val="20"/>
        </w:rPr>
        <w:t>4.2.2 远程开标机位：见</w:t>
      </w:r>
      <w:r>
        <w:rPr>
          <w:rFonts w:hint="eastAsia" w:ascii="宋体" w:hAnsi="宋体" w:eastAsia="宋体" w:cs="宋体"/>
          <w:color w:val="auto"/>
        </w:rPr>
        <w:t>供应商</w:t>
      </w:r>
      <w:r>
        <w:rPr>
          <w:rFonts w:hint="eastAsia" w:ascii="宋体" w:hAnsi="宋体" w:eastAsia="宋体" w:cs="宋体"/>
          <w:color w:val="auto"/>
          <w:szCs w:val="20"/>
        </w:rPr>
        <w:t>须知前附表。</w:t>
      </w:r>
    </w:p>
    <w:p>
      <w:pPr>
        <w:ind w:firstLine="480" w:firstLineChars="200"/>
        <w:rPr>
          <w:rFonts w:ascii="宋体" w:hAnsi="宋体" w:eastAsia="宋体" w:cs="宋体"/>
          <w:color w:val="auto"/>
          <w:szCs w:val="20"/>
        </w:rPr>
      </w:pPr>
      <w:r>
        <w:rPr>
          <w:rFonts w:hint="eastAsia" w:ascii="宋体" w:hAnsi="宋体" w:eastAsia="宋体" w:cs="宋体"/>
          <w:color w:val="auto"/>
          <w:szCs w:val="20"/>
        </w:rPr>
        <w:t>4.2.3 除</w:t>
      </w:r>
      <w:r>
        <w:rPr>
          <w:rFonts w:hint="eastAsia" w:ascii="宋体" w:hAnsi="宋体" w:eastAsia="宋体" w:cs="宋体"/>
          <w:color w:val="auto"/>
        </w:rPr>
        <w:t>供应商</w:t>
      </w:r>
      <w:r>
        <w:rPr>
          <w:rFonts w:hint="eastAsia" w:ascii="宋体" w:hAnsi="宋体" w:eastAsia="宋体" w:cs="宋体"/>
          <w:color w:val="auto"/>
          <w:szCs w:val="20"/>
        </w:rPr>
        <w:t>须知前附表另有规定外，</w:t>
      </w:r>
      <w:r>
        <w:rPr>
          <w:rFonts w:hint="eastAsia" w:ascii="宋体" w:hAnsi="宋体" w:eastAsia="宋体" w:cs="宋体"/>
          <w:color w:val="auto"/>
        </w:rPr>
        <w:t>供应商</w:t>
      </w:r>
      <w:r>
        <w:rPr>
          <w:rFonts w:hint="eastAsia" w:ascii="宋体" w:hAnsi="宋体" w:eastAsia="宋体" w:cs="宋体"/>
          <w:color w:val="auto"/>
          <w:szCs w:val="20"/>
        </w:rPr>
        <w:t>所递交的投标文件不予退还。</w:t>
      </w:r>
    </w:p>
    <w:p>
      <w:pPr>
        <w:keepNext/>
        <w:keepLines/>
        <w:outlineLvl w:val="2"/>
        <w:rPr>
          <w:rFonts w:ascii="宋体" w:hAnsi="宋体" w:eastAsia="宋体" w:cs="宋体"/>
          <w:b/>
          <w:color w:val="auto"/>
          <w:sz w:val="28"/>
          <w:szCs w:val="28"/>
        </w:rPr>
      </w:pPr>
      <w:r>
        <w:rPr>
          <w:rFonts w:hint="eastAsia" w:ascii="宋体" w:hAnsi="宋体" w:eastAsia="宋体" w:cs="宋体"/>
          <w:b/>
          <w:color w:val="auto"/>
          <w:sz w:val="28"/>
          <w:szCs w:val="28"/>
        </w:rPr>
        <w:t>4.3 投标文件的修改与撤回</w:t>
      </w:r>
    </w:p>
    <w:p>
      <w:pPr>
        <w:ind w:firstLine="480" w:firstLineChars="200"/>
        <w:rPr>
          <w:rFonts w:ascii="宋体" w:hAnsi="宋体" w:eastAsia="宋体" w:cs="宋体"/>
          <w:color w:val="auto"/>
          <w:szCs w:val="20"/>
        </w:rPr>
      </w:pPr>
      <w:bookmarkStart w:id="63" w:name="_Toc184635075"/>
      <w:bookmarkStart w:id="64" w:name="_Toc345178451"/>
      <w:r>
        <w:rPr>
          <w:rFonts w:hint="eastAsia" w:ascii="宋体" w:hAnsi="宋体" w:eastAsia="宋体" w:cs="宋体"/>
          <w:color w:val="auto"/>
          <w:szCs w:val="20"/>
        </w:rPr>
        <w:t>4.3.1 在第二章《</w:t>
      </w:r>
      <w:r>
        <w:rPr>
          <w:rFonts w:hint="eastAsia" w:ascii="宋体" w:hAnsi="宋体" w:eastAsia="宋体" w:cs="宋体"/>
          <w:color w:val="auto"/>
        </w:rPr>
        <w:t>供应商</w:t>
      </w:r>
      <w:r>
        <w:rPr>
          <w:rFonts w:hint="eastAsia" w:ascii="宋体" w:hAnsi="宋体" w:eastAsia="宋体" w:cs="宋体"/>
          <w:color w:val="auto"/>
          <w:szCs w:val="20"/>
        </w:rPr>
        <w:t>须知前附表》中第2.2.2项规定的投标截止时间前，</w:t>
      </w:r>
      <w:r>
        <w:rPr>
          <w:rFonts w:hint="eastAsia" w:ascii="宋体" w:hAnsi="宋体" w:eastAsia="宋体" w:cs="宋体"/>
          <w:color w:val="auto"/>
        </w:rPr>
        <w:t>供应商</w:t>
      </w:r>
      <w:r>
        <w:rPr>
          <w:rFonts w:hint="eastAsia" w:ascii="宋体" w:hAnsi="宋体" w:eastAsia="宋体" w:cs="宋体"/>
          <w:color w:val="auto"/>
          <w:szCs w:val="20"/>
        </w:rPr>
        <w:t>可以多次修改或撤回已递交的投标文件，最终投标文件以投标截止时间前完成上传至河南省公共资源交易中心交易系统最后一份投标文件为准。</w:t>
      </w:r>
    </w:p>
    <w:p>
      <w:pPr>
        <w:ind w:firstLine="480" w:firstLineChars="200"/>
        <w:rPr>
          <w:rFonts w:ascii="宋体" w:hAnsi="宋体" w:eastAsia="宋体" w:cs="宋体"/>
          <w:color w:val="auto"/>
          <w:szCs w:val="20"/>
        </w:rPr>
      </w:pPr>
      <w:r>
        <w:rPr>
          <w:rFonts w:hint="eastAsia" w:ascii="宋体" w:hAnsi="宋体" w:eastAsia="宋体" w:cs="宋体"/>
          <w:color w:val="auto"/>
          <w:szCs w:val="20"/>
        </w:rPr>
        <w:t>4.3.2 修改的投标文件应按照本章第3条、第4条规定进行编制和递交。</w:t>
      </w:r>
    </w:p>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65" w:name="_Toc10332"/>
      <w:bookmarkStart w:id="66" w:name="_Toc20786"/>
      <w:bookmarkStart w:id="67" w:name="_Toc20406"/>
      <w:bookmarkStart w:id="68" w:name="_Toc32129"/>
      <w:bookmarkStart w:id="69" w:name="_Toc16588"/>
      <w:r>
        <w:rPr>
          <w:rFonts w:hint="eastAsia" w:ascii="宋体" w:hAnsi="宋体" w:eastAsia="宋体" w:cs="宋体"/>
          <w:b/>
          <w:color w:val="auto"/>
          <w:kern w:val="0"/>
          <w:sz w:val="30"/>
          <w:szCs w:val="20"/>
          <w:lang w:val="en-US" w:eastAsia="zh-CN" w:bidi="ar-SA"/>
        </w:rPr>
        <w:t>5.开标</w:t>
      </w:r>
      <w:bookmarkEnd w:id="63"/>
      <w:bookmarkEnd w:id="64"/>
      <w:bookmarkEnd w:id="65"/>
      <w:bookmarkEnd w:id="66"/>
      <w:bookmarkEnd w:id="67"/>
      <w:bookmarkEnd w:id="68"/>
      <w:bookmarkEnd w:id="69"/>
    </w:p>
    <w:p>
      <w:pPr>
        <w:keepNext/>
        <w:keepLines/>
        <w:outlineLvl w:val="2"/>
        <w:rPr>
          <w:rFonts w:ascii="宋体" w:hAnsi="宋体" w:eastAsia="宋体" w:cs="宋体"/>
          <w:b/>
          <w:color w:val="auto"/>
          <w:sz w:val="28"/>
          <w:szCs w:val="28"/>
        </w:rPr>
      </w:pPr>
      <w:bookmarkStart w:id="70" w:name="_Toc22203"/>
      <w:r>
        <w:rPr>
          <w:rFonts w:hint="eastAsia" w:ascii="宋体" w:hAnsi="宋体" w:eastAsia="宋体" w:cs="宋体"/>
          <w:b/>
          <w:color w:val="auto"/>
          <w:sz w:val="28"/>
          <w:szCs w:val="28"/>
        </w:rPr>
        <w:t>5.1 开标时间和地点</w:t>
      </w:r>
      <w:bookmarkEnd w:id="70"/>
    </w:p>
    <w:p>
      <w:pPr>
        <w:ind w:firstLine="480" w:firstLineChars="200"/>
        <w:rPr>
          <w:rFonts w:ascii="宋体" w:hAnsi="宋体" w:eastAsia="宋体" w:cs="宋体"/>
          <w:color w:val="auto"/>
          <w:szCs w:val="20"/>
        </w:rPr>
      </w:pPr>
      <w:bookmarkStart w:id="71" w:name="_Toc19999"/>
      <w:r>
        <w:rPr>
          <w:rFonts w:hint="eastAsia" w:ascii="宋体" w:hAnsi="宋体" w:eastAsia="宋体" w:cs="宋体"/>
          <w:color w:val="auto"/>
          <w:szCs w:val="20"/>
        </w:rPr>
        <w:t>5.1.1 采购人在第二章《</w:t>
      </w:r>
      <w:r>
        <w:rPr>
          <w:rFonts w:hint="eastAsia" w:ascii="宋体" w:hAnsi="宋体" w:eastAsia="宋体" w:cs="宋体"/>
          <w:color w:val="auto"/>
        </w:rPr>
        <w:t>供应商</w:t>
      </w:r>
      <w:r>
        <w:rPr>
          <w:rFonts w:hint="eastAsia" w:ascii="宋体" w:hAnsi="宋体" w:eastAsia="宋体" w:cs="宋体"/>
          <w:color w:val="auto"/>
          <w:szCs w:val="20"/>
        </w:rPr>
        <w:t>须知前附表》中第2.2.2项规定的投标截止时间（开标时间）和</w:t>
      </w:r>
      <w:r>
        <w:rPr>
          <w:rFonts w:hint="eastAsia" w:ascii="宋体" w:hAnsi="宋体" w:eastAsia="宋体" w:cs="宋体"/>
          <w:color w:val="auto"/>
        </w:rPr>
        <w:t>供应商</w:t>
      </w:r>
      <w:r>
        <w:rPr>
          <w:rFonts w:hint="eastAsia" w:ascii="宋体" w:hAnsi="宋体" w:eastAsia="宋体" w:cs="宋体"/>
          <w:color w:val="auto"/>
          <w:szCs w:val="20"/>
        </w:rPr>
        <w:t>须知前附表规定的地点通过远程进行公开开标。</w:t>
      </w:r>
      <w:r>
        <w:rPr>
          <w:rFonts w:hint="eastAsia" w:ascii="宋体" w:hAnsi="宋体" w:eastAsia="宋体" w:cs="宋体"/>
          <w:color w:val="auto"/>
        </w:rPr>
        <w:t>供应商</w:t>
      </w:r>
      <w:r>
        <w:rPr>
          <w:rFonts w:hint="eastAsia" w:ascii="宋体" w:hAnsi="宋体" w:eastAsia="宋体" w:cs="宋体"/>
          <w:color w:val="auto"/>
          <w:szCs w:val="20"/>
        </w:rPr>
        <w:t>不需要到开标现场，只需根据要求进行远程解密。河南省公共资源交易中心现采用“远程不见面”开标方式，</w:t>
      </w:r>
      <w:r>
        <w:rPr>
          <w:rFonts w:hint="eastAsia" w:ascii="宋体" w:hAnsi="宋体" w:eastAsia="宋体" w:cs="宋体"/>
          <w:color w:val="auto"/>
        </w:rPr>
        <w:t>供应商</w:t>
      </w:r>
      <w:r>
        <w:rPr>
          <w:rFonts w:hint="eastAsia" w:ascii="宋体" w:hAnsi="宋体" w:eastAsia="宋体" w:cs="宋体"/>
          <w:color w:val="auto"/>
          <w:szCs w:val="20"/>
        </w:rPr>
        <w:t>须提前进入远程开标大厅（</w:t>
      </w:r>
      <w:r>
        <w:rPr>
          <w:rFonts w:hint="eastAsia" w:ascii="宋体" w:hAnsi="宋体" w:eastAsia="宋体" w:cs="宋体"/>
          <w:color w:val="auto"/>
        </w:rPr>
        <w:t>http://www.hnggzy.net/</w:t>
      </w:r>
      <w:r>
        <w:rPr>
          <w:rFonts w:hint="eastAsia" w:ascii="宋体" w:hAnsi="宋体" w:eastAsia="宋体" w:cs="宋体"/>
          <w:color w:val="auto"/>
          <w:szCs w:val="20"/>
        </w:rPr>
        <w:t>）进行开标操作和投标文件的解密。具体操作流程及程序，请</w:t>
      </w:r>
      <w:r>
        <w:rPr>
          <w:rFonts w:hint="eastAsia" w:ascii="宋体" w:hAnsi="宋体" w:eastAsia="宋体" w:cs="宋体"/>
          <w:color w:val="auto"/>
        </w:rPr>
        <w:t>供应商</w:t>
      </w:r>
      <w:r>
        <w:rPr>
          <w:rFonts w:hint="eastAsia" w:ascii="宋体" w:hAnsi="宋体" w:eastAsia="宋体" w:cs="宋体"/>
          <w:color w:val="auto"/>
          <w:szCs w:val="20"/>
        </w:rPr>
        <w:t>查阅河南省公共资源交易平台“办事指南”专区的《河南省公共资源交易平台不见面服务系统使用指南》。</w:t>
      </w:r>
    </w:p>
    <w:p>
      <w:pPr>
        <w:ind w:firstLine="480" w:firstLineChars="200"/>
        <w:rPr>
          <w:rFonts w:ascii="宋体" w:hAnsi="宋体" w:eastAsia="宋体" w:cs="宋体"/>
          <w:color w:val="auto"/>
          <w:szCs w:val="20"/>
        </w:rPr>
      </w:pPr>
      <w:r>
        <w:rPr>
          <w:rFonts w:hint="eastAsia" w:ascii="宋体" w:hAnsi="宋体" w:eastAsia="宋体" w:cs="宋体"/>
          <w:color w:val="auto"/>
          <w:szCs w:val="20"/>
        </w:rPr>
        <w:t xml:space="preserve">5.1.2 </w:t>
      </w:r>
      <w:r>
        <w:rPr>
          <w:rFonts w:hint="eastAsia" w:ascii="宋体" w:hAnsi="宋体" w:eastAsia="宋体" w:cs="宋体"/>
          <w:color w:val="auto"/>
        </w:rPr>
        <w:t>供应商</w:t>
      </w:r>
      <w:r>
        <w:rPr>
          <w:rFonts w:hint="eastAsia" w:ascii="宋体" w:hAnsi="宋体" w:eastAsia="宋体" w:cs="宋体"/>
          <w:color w:val="auto"/>
          <w:szCs w:val="20"/>
        </w:rPr>
        <w:t>须在系统规定的解密时间内完成解密。</w:t>
      </w:r>
    </w:p>
    <w:p>
      <w:pPr>
        <w:keepNext/>
        <w:keepLines/>
        <w:outlineLvl w:val="2"/>
        <w:rPr>
          <w:rFonts w:ascii="宋体" w:hAnsi="宋体" w:eastAsia="宋体" w:cs="宋体"/>
          <w:b/>
          <w:color w:val="auto"/>
          <w:sz w:val="28"/>
          <w:szCs w:val="28"/>
        </w:rPr>
      </w:pPr>
      <w:r>
        <w:rPr>
          <w:rFonts w:hint="eastAsia" w:ascii="宋体" w:hAnsi="宋体" w:eastAsia="宋体" w:cs="宋体"/>
          <w:b/>
          <w:color w:val="auto"/>
          <w:sz w:val="28"/>
          <w:szCs w:val="28"/>
        </w:rPr>
        <w:t>5.2 开标程序</w:t>
      </w:r>
      <w:bookmarkEnd w:id="71"/>
    </w:p>
    <w:p>
      <w:pPr>
        <w:ind w:firstLine="480" w:firstLineChars="200"/>
        <w:rPr>
          <w:rFonts w:ascii="宋体" w:hAnsi="宋体" w:eastAsia="宋体" w:cs="宋体"/>
          <w:color w:val="auto"/>
          <w:szCs w:val="20"/>
        </w:rPr>
      </w:pPr>
      <w:bookmarkStart w:id="72" w:name="_Toc184635076"/>
      <w:bookmarkStart w:id="73" w:name="_Toc32736"/>
      <w:bookmarkStart w:id="74" w:name="_Toc345178452"/>
      <w:r>
        <w:rPr>
          <w:rFonts w:hint="eastAsia" w:ascii="宋体" w:hAnsi="宋体" w:eastAsia="宋体" w:cs="宋体"/>
          <w:color w:val="auto"/>
          <w:szCs w:val="20"/>
        </w:rPr>
        <w:t>本项目采用电子开标。到投标截止时间止，各</w:t>
      </w:r>
      <w:r>
        <w:rPr>
          <w:rFonts w:hint="eastAsia" w:ascii="宋体" w:hAnsi="宋体" w:eastAsia="宋体" w:cs="宋体"/>
          <w:color w:val="auto"/>
        </w:rPr>
        <w:t>供应商</w:t>
      </w:r>
      <w:r>
        <w:rPr>
          <w:rFonts w:hint="eastAsia" w:ascii="宋体" w:hAnsi="宋体" w:eastAsia="宋体" w:cs="宋体"/>
          <w:color w:val="auto"/>
          <w:szCs w:val="20"/>
        </w:rPr>
        <w:t>对加密的电子投标文件进行解密。解密完成后各</w:t>
      </w:r>
      <w:r>
        <w:rPr>
          <w:rFonts w:hint="eastAsia" w:ascii="宋体" w:hAnsi="宋体" w:eastAsia="宋体" w:cs="宋体"/>
          <w:color w:val="auto"/>
        </w:rPr>
        <w:t>供应商</w:t>
      </w:r>
      <w:r>
        <w:rPr>
          <w:rFonts w:hint="eastAsia" w:ascii="宋体" w:hAnsi="宋体" w:eastAsia="宋体" w:cs="宋体"/>
          <w:color w:val="auto"/>
          <w:szCs w:val="20"/>
        </w:rPr>
        <w:t>的电子投标文件的实质性内容将自动显示在网页中。</w:t>
      </w:r>
      <w:r>
        <w:rPr>
          <w:rFonts w:hint="eastAsia" w:ascii="宋体" w:hAnsi="宋体" w:eastAsia="宋体" w:cs="宋体"/>
          <w:color w:val="auto"/>
        </w:rPr>
        <w:t>供应商</w:t>
      </w:r>
      <w:r>
        <w:rPr>
          <w:rFonts w:hint="eastAsia" w:ascii="宋体" w:hAnsi="宋体" w:eastAsia="宋体" w:cs="宋体"/>
          <w:color w:val="auto"/>
          <w:szCs w:val="20"/>
        </w:rPr>
        <w:t>在投标截止时间前未上传电子投标文件的将视为放弃投标。</w:t>
      </w:r>
    </w:p>
    <w:bookmarkEnd w:id="72"/>
    <w:bookmarkEnd w:id="73"/>
    <w:bookmarkEnd w:id="74"/>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75" w:name="_Toc19208"/>
      <w:bookmarkStart w:id="76" w:name="_Toc7484"/>
      <w:bookmarkStart w:id="77" w:name="_Toc4657"/>
      <w:bookmarkStart w:id="78" w:name="_Toc28059"/>
      <w:bookmarkStart w:id="79" w:name="_Toc184635077"/>
      <w:bookmarkStart w:id="80" w:name="_Toc2983"/>
      <w:bookmarkStart w:id="81" w:name="_Toc345178453"/>
      <w:r>
        <w:rPr>
          <w:rFonts w:hint="eastAsia" w:ascii="宋体" w:hAnsi="宋体" w:eastAsia="宋体" w:cs="宋体"/>
          <w:b/>
          <w:color w:val="auto"/>
          <w:kern w:val="0"/>
          <w:sz w:val="30"/>
          <w:szCs w:val="20"/>
          <w:lang w:val="en-US" w:eastAsia="zh-CN" w:bidi="ar-SA"/>
        </w:rPr>
        <w:t>6.资格审查及评标</w:t>
      </w:r>
      <w:bookmarkEnd w:id="75"/>
      <w:bookmarkEnd w:id="76"/>
      <w:bookmarkEnd w:id="77"/>
      <w:bookmarkEnd w:id="78"/>
    </w:p>
    <w:p>
      <w:pPr>
        <w:keepNext/>
        <w:keepLines/>
        <w:outlineLvl w:val="2"/>
        <w:rPr>
          <w:rFonts w:ascii="宋体" w:hAnsi="宋体" w:eastAsia="宋体" w:cs="宋体"/>
          <w:b/>
          <w:color w:val="auto"/>
          <w:sz w:val="28"/>
          <w:szCs w:val="28"/>
        </w:rPr>
      </w:pPr>
      <w:bookmarkStart w:id="82" w:name="_Toc1158"/>
      <w:r>
        <w:rPr>
          <w:rFonts w:hint="eastAsia" w:ascii="宋体" w:hAnsi="宋体" w:eastAsia="宋体" w:cs="宋体"/>
          <w:b/>
          <w:color w:val="auto"/>
          <w:sz w:val="28"/>
          <w:szCs w:val="28"/>
        </w:rPr>
        <w:t>6.1 资格审查</w:t>
      </w:r>
    </w:p>
    <w:p>
      <w:pPr>
        <w:ind w:firstLine="480" w:firstLineChars="200"/>
        <w:rPr>
          <w:rFonts w:ascii="宋体" w:hAnsi="宋体" w:eastAsia="宋体" w:cs="宋体"/>
          <w:color w:val="auto"/>
          <w:szCs w:val="20"/>
        </w:rPr>
      </w:pPr>
      <w:r>
        <w:rPr>
          <w:rFonts w:hint="eastAsia" w:ascii="宋体" w:hAnsi="宋体" w:eastAsia="宋体" w:cs="宋体"/>
          <w:color w:val="auto"/>
          <w:szCs w:val="20"/>
        </w:rPr>
        <w:t>开标结束后，由采购人进行资格审查。资格审查条件详见</w:t>
      </w:r>
      <w:r>
        <w:rPr>
          <w:rFonts w:hint="eastAsia" w:ascii="宋体" w:hAnsi="宋体" w:eastAsia="宋体" w:cs="宋体"/>
          <w:color w:val="auto"/>
        </w:rPr>
        <w:t>供应商</w:t>
      </w:r>
      <w:r>
        <w:rPr>
          <w:rFonts w:hint="eastAsia" w:ascii="宋体" w:hAnsi="宋体" w:eastAsia="宋体" w:cs="宋体"/>
          <w:color w:val="auto"/>
          <w:szCs w:val="20"/>
        </w:rPr>
        <w:t>须知前附表1.4.1“</w:t>
      </w:r>
      <w:r>
        <w:rPr>
          <w:rFonts w:hint="eastAsia" w:ascii="宋体" w:hAnsi="宋体" w:eastAsia="宋体" w:cs="宋体"/>
          <w:color w:val="auto"/>
        </w:rPr>
        <w:t>供应商</w:t>
      </w:r>
      <w:r>
        <w:rPr>
          <w:rFonts w:hint="eastAsia" w:ascii="宋体" w:hAnsi="宋体" w:eastAsia="宋体" w:cs="宋体"/>
          <w:color w:val="auto"/>
          <w:szCs w:val="20"/>
        </w:rPr>
        <w:t>资质条件、能力和信誉”要求。</w:t>
      </w:r>
    </w:p>
    <w:p>
      <w:pPr>
        <w:keepNext/>
        <w:keepLines/>
        <w:outlineLvl w:val="2"/>
        <w:rPr>
          <w:rFonts w:ascii="宋体" w:hAnsi="宋体" w:eastAsia="宋体" w:cs="宋体"/>
          <w:b/>
          <w:color w:val="auto"/>
          <w:sz w:val="28"/>
          <w:szCs w:val="28"/>
        </w:rPr>
      </w:pPr>
      <w:r>
        <w:rPr>
          <w:rFonts w:hint="eastAsia" w:ascii="宋体" w:hAnsi="宋体" w:eastAsia="宋体" w:cs="宋体"/>
          <w:b/>
          <w:color w:val="auto"/>
          <w:sz w:val="28"/>
          <w:szCs w:val="28"/>
        </w:rPr>
        <w:t>6.2评标委员会</w:t>
      </w:r>
      <w:bookmarkEnd w:id="82"/>
    </w:p>
    <w:p>
      <w:pPr>
        <w:ind w:firstLine="480" w:firstLineChars="200"/>
        <w:rPr>
          <w:rFonts w:ascii="宋体" w:hAnsi="宋体" w:eastAsia="宋体" w:cs="宋体"/>
          <w:color w:val="auto"/>
          <w:szCs w:val="20"/>
        </w:rPr>
      </w:pPr>
      <w:r>
        <w:rPr>
          <w:rFonts w:hint="eastAsia" w:ascii="宋体" w:hAnsi="宋体" w:eastAsia="宋体" w:cs="宋体"/>
          <w:color w:val="auto"/>
          <w:szCs w:val="20"/>
        </w:rPr>
        <w:t>6.2.1 评标委员会由采购人代表以及有关技术、经济等方面的评审专家组成。评标委员会成员人数以及技术、经济等方面专家的确定方式见</w:t>
      </w:r>
      <w:r>
        <w:rPr>
          <w:rFonts w:hint="eastAsia" w:ascii="宋体" w:hAnsi="宋体" w:eastAsia="宋体" w:cs="宋体"/>
          <w:color w:val="auto"/>
        </w:rPr>
        <w:t>供应商</w:t>
      </w:r>
      <w:r>
        <w:rPr>
          <w:rFonts w:hint="eastAsia" w:ascii="宋体" w:hAnsi="宋体" w:eastAsia="宋体" w:cs="宋体"/>
          <w:color w:val="auto"/>
          <w:szCs w:val="20"/>
        </w:rPr>
        <w:t>须知前附表。</w:t>
      </w:r>
    </w:p>
    <w:p>
      <w:pPr>
        <w:ind w:firstLine="480" w:firstLineChars="200"/>
        <w:rPr>
          <w:rFonts w:ascii="宋体" w:hAnsi="宋体" w:eastAsia="宋体" w:cs="宋体"/>
          <w:color w:val="auto"/>
          <w:szCs w:val="20"/>
        </w:rPr>
      </w:pPr>
      <w:r>
        <w:rPr>
          <w:rFonts w:hint="eastAsia" w:ascii="宋体" w:hAnsi="宋体" w:eastAsia="宋体" w:cs="宋体"/>
          <w:color w:val="auto"/>
          <w:szCs w:val="20"/>
        </w:rPr>
        <w:t>6.2.2 根据《政府采购评审专家管理办法》第十六条规定，评审专家与参加采购活动的供应商存在下列利害关系之一的,应当回避：</w:t>
      </w:r>
    </w:p>
    <w:p>
      <w:pPr>
        <w:ind w:firstLine="480" w:firstLineChars="200"/>
        <w:rPr>
          <w:rFonts w:ascii="宋体" w:hAnsi="宋体" w:eastAsia="宋体" w:cs="宋体"/>
          <w:color w:val="auto"/>
          <w:szCs w:val="20"/>
        </w:rPr>
      </w:pPr>
      <w:r>
        <w:rPr>
          <w:rFonts w:hint="eastAsia" w:ascii="宋体" w:hAnsi="宋体" w:eastAsia="宋体" w:cs="宋体"/>
          <w:color w:val="auto"/>
          <w:szCs w:val="20"/>
        </w:rPr>
        <w:t>（1）参加政府采购活动前三年内，与供应商存在劳动关系，或者担任过供应商的董事、监事，或者是供应商的控股股东或实际控制人；</w:t>
      </w:r>
    </w:p>
    <w:p>
      <w:pPr>
        <w:ind w:firstLine="480" w:firstLineChars="200"/>
        <w:rPr>
          <w:rFonts w:ascii="宋体" w:hAnsi="宋体" w:eastAsia="宋体" w:cs="宋体"/>
          <w:color w:val="auto"/>
          <w:szCs w:val="20"/>
        </w:rPr>
      </w:pPr>
      <w:r>
        <w:rPr>
          <w:rFonts w:hint="eastAsia" w:ascii="宋体" w:hAnsi="宋体" w:eastAsia="宋体" w:cs="宋体"/>
          <w:color w:val="auto"/>
          <w:szCs w:val="20"/>
        </w:rPr>
        <w:t>（2）与供应商的法定代表人或者负责人有夫妻、直系血亲、三代以内旁系血亲或者近姻亲关系；</w:t>
      </w:r>
    </w:p>
    <w:p>
      <w:pPr>
        <w:ind w:firstLine="480" w:firstLineChars="200"/>
        <w:rPr>
          <w:rFonts w:ascii="宋体" w:hAnsi="宋体" w:eastAsia="宋体" w:cs="宋体"/>
          <w:color w:val="auto"/>
          <w:szCs w:val="20"/>
        </w:rPr>
      </w:pPr>
      <w:r>
        <w:rPr>
          <w:rFonts w:hint="eastAsia" w:ascii="宋体" w:hAnsi="宋体" w:eastAsia="宋体" w:cs="宋体"/>
          <w:color w:val="auto"/>
          <w:szCs w:val="20"/>
        </w:rPr>
        <w:t>（3）与供应商有其他可能影响政府采购活动公平、公正进行的关系。</w:t>
      </w:r>
    </w:p>
    <w:p>
      <w:pPr>
        <w:keepNext/>
        <w:keepLines/>
        <w:outlineLvl w:val="2"/>
        <w:rPr>
          <w:rFonts w:ascii="宋体" w:hAnsi="宋体" w:eastAsia="宋体" w:cs="宋体"/>
          <w:b/>
          <w:color w:val="auto"/>
          <w:sz w:val="28"/>
          <w:szCs w:val="28"/>
        </w:rPr>
      </w:pPr>
      <w:bookmarkStart w:id="83" w:name="_Toc17348"/>
      <w:r>
        <w:rPr>
          <w:rFonts w:hint="eastAsia" w:ascii="宋体" w:hAnsi="宋体" w:eastAsia="宋体" w:cs="宋体"/>
          <w:b/>
          <w:color w:val="auto"/>
          <w:sz w:val="28"/>
          <w:szCs w:val="28"/>
        </w:rPr>
        <w:t>6.3 评标原则</w:t>
      </w:r>
      <w:bookmarkEnd w:id="83"/>
    </w:p>
    <w:p>
      <w:pPr>
        <w:ind w:firstLine="480" w:firstLineChars="200"/>
        <w:rPr>
          <w:rFonts w:ascii="宋体" w:hAnsi="宋体" w:eastAsia="宋体" w:cs="宋体"/>
          <w:color w:val="auto"/>
          <w:szCs w:val="20"/>
        </w:rPr>
      </w:pPr>
      <w:r>
        <w:rPr>
          <w:rFonts w:hint="eastAsia" w:ascii="宋体" w:hAnsi="宋体" w:eastAsia="宋体" w:cs="宋体"/>
          <w:color w:val="auto"/>
          <w:szCs w:val="20"/>
        </w:rPr>
        <w:t>6.3.1 公平、公正、科学和择优；</w:t>
      </w:r>
    </w:p>
    <w:p>
      <w:pPr>
        <w:ind w:firstLine="480" w:firstLineChars="200"/>
        <w:rPr>
          <w:rFonts w:ascii="宋体" w:hAnsi="宋体" w:eastAsia="宋体" w:cs="宋体"/>
          <w:color w:val="auto"/>
          <w:szCs w:val="20"/>
        </w:rPr>
      </w:pPr>
      <w:r>
        <w:rPr>
          <w:rFonts w:hint="eastAsia" w:ascii="宋体" w:hAnsi="宋体" w:eastAsia="宋体" w:cs="宋体"/>
          <w:color w:val="auto"/>
          <w:szCs w:val="20"/>
        </w:rPr>
        <w:t>6.3.2 质量好、信誉高、价格合理、使用寿命长、技术先进可行；</w:t>
      </w:r>
    </w:p>
    <w:p>
      <w:pPr>
        <w:ind w:firstLine="480" w:firstLineChars="200"/>
        <w:rPr>
          <w:rFonts w:ascii="宋体" w:hAnsi="宋体" w:eastAsia="宋体" w:cs="宋体"/>
          <w:color w:val="auto"/>
          <w:szCs w:val="20"/>
        </w:rPr>
      </w:pPr>
      <w:r>
        <w:rPr>
          <w:rFonts w:hint="eastAsia" w:ascii="宋体" w:hAnsi="宋体" w:eastAsia="宋体" w:cs="宋体"/>
          <w:color w:val="auto"/>
          <w:szCs w:val="20"/>
        </w:rPr>
        <w:t>6.3.3 评标时，投标报价是评标的重要依据；</w:t>
      </w:r>
    </w:p>
    <w:p>
      <w:pPr>
        <w:ind w:firstLine="480" w:firstLineChars="200"/>
        <w:rPr>
          <w:rFonts w:ascii="宋体" w:hAnsi="宋体" w:eastAsia="宋体" w:cs="宋体"/>
          <w:color w:val="auto"/>
          <w:szCs w:val="20"/>
        </w:rPr>
      </w:pPr>
      <w:r>
        <w:rPr>
          <w:rFonts w:hint="eastAsia" w:ascii="宋体" w:hAnsi="宋体" w:eastAsia="宋体" w:cs="宋体"/>
          <w:color w:val="auto"/>
          <w:szCs w:val="20"/>
        </w:rPr>
        <w:t>6.3.4 评标方法和方式：见</w:t>
      </w:r>
      <w:r>
        <w:rPr>
          <w:rFonts w:hint="eastAsia" w:ascii="宋体" w:hAnsi="宋体" w:eastAsia="宋体" w:cs="宋体"/>
          <w:color w:val="auto"/>
        </w:rPr>
        <w:t>供应商</w:t>
      </w:r>
      <w:r>
        <w:rPr>
          <w:rFonts w:hint="eastAsia" w:ascii="宋体" w:hAnsi="宋体" w:eastAsia="宋体" w:cs="宋体"/>
          <w:color w:val="auto"/>
          <w:szCs w:val="20"/>
        </w:rPr>
        <w:t>须知前附表。</w:t>
      </w:r>
    </w:p>
    <w:p>
      <w:pPr>
        <w:keepNext/>
        <w:keepLines/>
        <w:outlineLvl w:val="2"/>
        <w:rPr>
          <w:rFonts w:ascii="宋体" w:hAnsi="宋体" w:eastAsia="宋体" w:cs="宋体"/>
          <w:b/>
          <w:color w:val="auto"/>
          <w:sz w:val="28"/>
          <w:szCs w:val="28"/>
        </w:rPr>
      </w:pPr>
      <w:bookmarkStart w:id="84" w:name="_Toc3492"/>
      <w:r>
        <w:rPr>
          <w:rFonts w:hint="eastAsia" w:ascii="宋体" w:hAnsi="宋体" w:eastAsia="宋体" w:cs="宋体"/>
          <w:b/>
          <w:color w:val="auto"/>
          <w:sz w:val="28"/>
          <w:szCs w:val="28"/>
        </w:rPr>
        <w:t>6.4 评标</w:t>
      </w:r>
      <w:bookmarkEnd w:id="84"/>
    </w:p>
    <w:p>
      <w:pPr>
        <w:ind w:firstLine="480" w:firstLineChars="200"/>
        <w:rPr>
          <w:rFonts w:ascii="宋体" w:hAnsi="宋体" w:eastAsia="宋体" w:cs="宋体"/>
          <w:color w:val="auto"/>
        </w:rPr>
      </w:pPr>
      <w:r>
        <w:rPr>
          <w:rFonts w:hint="eastAsia" w:ascii="宋体" w:hAnsi="宋体" w:eastAsia="宋体" w:cs="宋体"/>
          <w:color w:val="auto"/>
        </w:rPr>
        <w:t>评标委员会按照第</w:t>
      </w:r>
      <w:r>
        <w:rPr>
          <w:rFonts w:hint="eastAsia" w:ascii="宋体" w:hAnsi="宋体" w:cs="宋体"/>
          <w:color w:val="auto"/>
          <w:lang w:eastAsia="zh-CN"/>
        </w:rPr>
        <w:t>五</w:t>
      </w:r>
      <w:r>
        <w:rPr>
          <w:rFonts w:hint="eastAsia" w:ascii="宋体" w:hAnsi="宋体" w:eastAsia="宋体" w:cs="宋体"/>
          <w:color w:val="auto"/>
        </w:rPr>
        <w:t>章“评标办法”规定的方法、评审因素、标准和程序对投标文件进行评审。第</w:t>
      </w:r>
      <w:r>
        <w:rPr>
          <w:rFonts w:hint="eastAsia" w:ascii="宋体" w:hAnsi="宋体" w:cs="宋体"/>
          <w:color w:val="auto"/>
          <w:lang w:eastAsia="zh-CN"/>
        </w:rPr>
        <w:t>五</w:t>
      </w:r>
      <w:r>
        <w:rPr>
          <w:rFonts w:hint="eastAsia" w:ascii="宋体" w:hAnsi="宋体" w:eastAsia="宋体" w:cs="宋体"/>
          <w:color w:val="auto"/>
        </w:rPr>
        <w:t>章“评标办法”没有规定的方法、评审因素和标准，不作为评标依据。</w:t>
      </w:r>
    </w:p>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85" w:name="_Toc16137"/>
      <w:bookmarkStart w:id="86" w:name="_Toc26026"/>
      <w:bookmarkStart w:id="87" w:name="_Toc27787"/>
      <w:bookmarkStart w:id="88" w:name="_Toc27884"/>
      <w:r>
        <w:rPr>
          <w:rFonts w:hint="eastAsia" w:ascii="宋体" w:hAnsi="宋体" w:eastAsia="宋体" w:cs="宋体"/>
          <w:b/>
          <w:color w:val="auto"/>
          <w:kern w:val="0"/>
          <w:sz w:val="30"/>
          <w:szCs w:val="20"/>
          <w:lang w:val="en-US" w:eastAsia="zh-CN" w:bidi="ar-SA"/>
        </w:rPr>
        <w:t>7.合同授予</w:t>
      </w:r>
      <w:bookmarkEnd w:id="79"/>
      <w:bookmarkEnd w:id="80"/>
      <w:bookmarkEnd w:id="81"/>
      <w:bookmarkEnd w:id="85"/>
      <w:bookmarkEnd w:id="86"/>
      <w:bookmarkEnd w:id="87"/>
      <w:bookmarkEnd w:id="88"/>
    </w:p>
    <w:p>
      <w:pPr>
        <w:keepNext/>
        <w:keepLines/>
        <w:outlineLvl w:val="2"/>
        <w:rPr>
          <w:rFonts w:ascii="宋体" w:hAnsi="宋体" w:eastAsia="宋体" w:cs="宋体"/>
          <w:b/>
          <w:color w:val="auto"/>
          <w:sz w:val="28"/>
          <w:szCs w:val="28"/>
        </w:rPr>
      </w:pPr>
      <w:bookmarkStart w:id="89" w:name="_Toc26471"/>
      <w:r>
        <w:rPr>
          <w:rFonts w:hint="eastAsia" w:ascii="宋体" w:hAnsi="宋体" w:eastAsia="宋体" w:cs="宋体"/>
          <w:b/>
          <w:color w:val="auto"/>
          <w:sz w:val="28"/>
          <w:szCs w:val="28"/>
        </w:rPr>
        <w:t>7.1 定标方式</w:t>
      </w:r>
      <w:bookmarkEnd w:id="89"/>
    </w:p>
    <w:p>
      <w:pPr>
        <w:ind w:firstLine="480" w:firstLineChars="200"/>
        <w:rPr>
          <w:rFonts w:ascii="宋体" w:hAnsi="宋体" w:eastAsia="宋体" w:cs="宋体"/>
          <w:color w:val="auto"/>
        </w:rPr>
      </w:pPr>
      <w:r>
        <w:rPr>
          <w:rFonts w:hint="eastAsia" w:ascii="宋体" w:hAnsi="宋体" w:eastAsia="宋体" w:cs="宋体"/>
          <w:color w:val="auto"/>
        </w:rPr>
        <w:t>除供应商须知前附表规定评标委员会直接确定中标供应商外，采购人依据评标委员会推荐的中标候选人确定中标供应商，采购人原则上按评标委员会依法推荐的中标候选人名次顺序确定中标供应商，若第一名中标候选人不再响应招标文件或确有重大实质性问题，可以按顺序确定排名第二名的中标候选人为中标供应商，依次类推。评标委员会推荐中标候选人的人数见供应商须知前附表。</w:t>
      </w:r>
    </w:p>
    <w:p>
      <w:pPr>
        <w:keepNext/>
        <w:keepLines/>
        <w:outlineLvl w:val="2"/>
        <w:rPr>
          <w:rFonts w:ascii="宋体" w:hAnsi="宋体" w:eastAsia="宋体" w:cs="宋体"/>
          <w:b/>
          <w:color w:val="auto"/>
          <w:sz w:val="28"/>
          <w:szCs w:val="28"/>
        </w:rPr>
      </w:pPr>
      <w:bookmarkStart w:id="90" w:name="_Toc22718"/>
      <w:r>
        <w:rPr>
          <w:rFonts w:hint="eastAsia" w:ascii="宋体" w:hAnsi="宋体" w:eastAsia="宋体" w:cs="宋体"/>
          <w:b/>
          <w:color w:val="auto"/>
          <w:sz w:val="28"/>
          <w:szCs w:val="28"/>
        </w:rPr>
        <w:t>7.2 中标通知</w:t>
      </w:r>
      <w:bookmarkEnd w:id="90"/>
    </w:p>
    <w:p>
      <w:pPr>
        <w:ind w:firstLine="480" w:firstLineChars="200"/>
        <w:rPr>
          <w:rFonts w:ascii="宋体" w:hAnsi="宋体" w:eastAsia="宋体" w:cs="宋体"/>
          <w:color w:val="auto"/>
        </w:rPr>
      </w:pPr>
      <w:bookmarkStart w:id="91" w:name="_Toc357522223"/>
      <w:bookmarkStart w:id="92" w:name="_Toc15022"/>
      <w:r>
        <w:rPr>
          <w:rFonts w:hint="eastAsia" w:ascii="宋体" w:hAnsi="宋体" w:eastAsia="宋体" w:cs="宋体"/>
          <w:color w:val="auto"/>
        </w:rPr>
        <w:t>在本章第3.3款规定的投标有效期内，采购人向中标供应商发出中标通知书，同时将中标结果通知未中标的供应商。</w:t>
      </w:r>
    </w:p>
    <w:bookmarkEnd w:id="91"/>
    <w:bookmarkEnd w:id="92"/>
    <w:p>
      <w:pPr>
        <w:keepNext/>
        <w:keepLines/>
        <w:outlineLvl w:val="2"/>
        <w:rPr>
          <w:rFonts w:ascii="宋体" w:hAnsi="宋体" w:eastAsia="宋体" w:cs="宋体"/>
          <w:b/>
          <w:color w:val="auto"/>
          <w:sz w:val="28"/>
          <w:szCs w:val="28"/>
        </w:rPr>
      </w:pPr>
      <w:bookmarkStart w:id="93" w:name="_Toc5133"/>
      <w:r>
        <w:rPr>
          <w:rFonts w:hint="eastAsia" w:ascii="宋体" w:hAnsi="宋体" w:eastAsia="宋体" w:cs="宋体"/>
          <w:b/>
          <w:color w:val="auto"/>
          <w:sz w:val="28"/>
          <w:szCs w:val="28"/>
        </w:rPr>
        <w:t>7.3 签订合同</w:t>
      </w:r>
      <w:bookmarkEnd w:id="93"/>
    </w:p>
    <w:p>
      <w:pPr>
        <w:ind w:firstLine="480" w:firstLineChars="200"/>
        <w:rPr>
          <w:rFonts w:ascii="宋体" w:hAnsi="宋体" w:eastAsia="宋体" w:cs="宋体"/>
          <w:color w:val="auto"/>
        </w:rPr>
      </w:pPr>
      <w:bookmarkStart w:id="94" w:name="_Toc345178454"/>
      <w:bookmarkStart w:id="95" w:name="_Toc323212714"/>
      <w:bookmarkStart w:id="96" w:name="_Toc281837633"/>
      <w:bookmarkStart w:id="97" w:name="_Toc214173888"/>
      <w:bookmarkStart w:id="98" w:name="_Toc184635080"/>
      <w:r>
        <w:rPr>
          <w:rFonts w:hint="eastAsia" w:ascii="宋体" w:hAnsi="宋体" w:eastAsia="宋体" w:cs="宋体"/>
          <w:color w:val="auto"/>
        </w:rPr>
        <w:t>7.3.1 采购人应在中标通知书发送15日内与中标供应商签订政府采购合同（合同模板详见“第</w:t>
      </w:r>
      <w:r>
        <w:rPr>
          <w:rFonts w:hint="eastAsia" w:ascii="宋体" w:hAnsi="宋体" w:cs="宋体"/>
          <w:color w:val="auto"/>
          <w:lang w:eastAsia="zh-CN"/>
        </w:rPr>
        <w:t>六</w:t>
      </w:r>
      <w:r>
        <w:rPr>
          <w:rFonts w:hint="eastAsia" w:ascii="宋体" w:hAnsi="宋体" w:eastAsia="宋体" w:cs="宋体"/>
          <w:color w:val="auto"/>
        </w:rPr>
        <w:t>章 合同条款及格式”），合同签订后2个工作日内中标供应商应将合同扫描发送至采购代理机构邮箱以办网上公示使用。</w:t>
      </w:r>
    </w:p>
    <w:p>
      <w:pPr>
        <w:ind w:firstLine="480" w:firstLineChars="200"/>
        <w:rPr>
          <w:rFonts w:ascii="宋体" w:hAnsi="宋体" w:eastAsia="宋体" w:cs="宋体"/>
          <w:color w:val="auto"/>
        </w:rPr>
      </w:pPr>
      <w:r>
        <w:rPr>
          <w:rFonts w:hint="eastAsia" w:ascii="宋体" w:hAnsi="宋体" w:eastAsia="宋体" w:cs="宋体"/>
          <w:color w:val="auto"/>
        </w:rPr>
        <w:t>7.3.2 中标供应商无正当理由拒签合同的，采购人取消其中标资格；给采购人造成的损失，中标供应商应当予以赔偿失。</w:t>
      </w:r>
    </w:p>
    <w:p>
      <w:pPr>
        <w:ind w:firstLine="480" w:firstLineChars="200"/>
        <w:rPr>
          <w:rFonts w:ascii="宋体" w:hAnsi="宋体" w:eastAsia="宋体" w:cs="宋体"/>
          <w:color w:val="auto"/>
        </w:rPr>
      </w:pPr>
      <w:r>
        <w:rPr>
          <w:rFonts w:hint="eastAsia" w:ascii="宋体" w:hAnsi="宋体" w:eastAsia="宋体" w:cs="宋体"/>
          <w:color w:val="auto"/>
        </w:rPr>
        <w:t>7.3.3 发出中标通知书后，采购人无正当理由拒签合同的，给中标供应商造成损失的，应当赔偿损失。</w:t>
      </w:r>
    </w:p>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99" w:name="_Toc27298"/>
      <w:bookmarkStart w:id="100" w:name="_Toc16367"/>
      <w:bookmarkStart w:id="101" w:name="_Toc23392"/>
      <w:bookmarkStart w:id="102" w:name="_Toc27953"/>
      <w:bookmarkStart w:id="103" w:name="_Toc7444"/>
      <w:r>
        <w:rPr>
          <w:rFonts w:hint="eastAsia" w:ascii="宋体" w:hAnsi="宋体" w:eastAsia="宋体" w:cs="宋体"/>
          <w:b/>
          <w:color w:val="auto"/>
          <w:kern w:val="0"/>
          <w:sz w:val="30"/>
          <w:szCs w:val="20"/>
          <w:lang w:val="en-US" w:eastAsia="zh-CN" w:bidi="ar-SA"/>
        </w:rPr>
        <w:t>8.</w:t>
      </w:r>
      <w:bookmarkEnd w:id="94"/>
      <w:bookmarkEnd w:id="95"/>
      <w:bookmarkEnd w:id="96"/>
      <w:bookmarkEnd w:id="97"/>
      <w:bookmarkEnd w:id="99"/>
      <w:r>
        <w:rPr>
          <w:rFonts w:hint="eastAsia" w:ascii="宋体" w:hAnsi="宋体" w:eastAsia="宋体" w:cs="宋体"/>
          <w:b/>
          <w:color w:val="auto"/>
          <w:kern w:val="0"/>
          <w:sz w:val="30"/>
          <w:szCs w:val="20"/>
          <w:lang w:val="en-US" w:eastAsia="zh-CN" w:bidi="ar-SA"/>
        </w:rPr>
        <w:t>废标和重新招标</w:t>
      </w:r>
      <w:bookmarkEnd w:id="100"/>
      <w:bookmarkEnd w:id="101"/>
      <w:bookmarkEnd w:id="102"/>
      <w:bookmarkEnd w:id="103"/>
    </w:p>
    <w:p>
      <w:pPr>
        <w:keepNext/>
        <w:keepLines/>
        <w:outlineLvl w:val="2"/>
        <w:rPr>
          <w:rFonts w:ascii="宋体" w:hAnsi="宋体" w:eastAsia="宋体" w:cs="宋体"/>
          <w:b/>
          <w:color w:val="auto"/>
          <w:sz w:val="28"/>
          <w:szCs w:val="28"/>
        </w:rPr>
      </w:pPr>
      <w:bookmarkStart w:id="104" w:name="_Toc323212715"/>
      <w:bookmarkStart w:id="105" w:name="_Toc281837634"/>
      <w:bookmarkStart w:id="106" w:name="_Toc24071"/>
      <w:r>
        <w:rPr>
          <w:rFonts w:hint="eastAsia" w:ascii="宋体" w:hAnsi="宋体" w:eastAsia="宋体" w:cs="宋体"/>
          <w:b/>
          <w:color w:val="auto"/>
          <w:sz w:val="28"/>
          <w:szCs w:val="28"/>
        </w:rPr>
        <w:t xml:space="preserve">8.1 </w:t>
      </w:r>
      <w:bookmarkEnd w:id="104"/>
      <w:bookmarkEnd w:id="105"/>
      <w:bookmarkEnd w:id="106"/>
      <w:bookmarkStart w:id="107" w:name="_Toc281837636"/>
      <w:bookmarkStart w:id="108" w:name="_Toc345178455"/>
      <w:bookmarkStart w:id="109" w:name="_Toc323212717"/>
      <w:bookmarkStart w:id="110" w:name="_Toc214173889"/>
      <w:r>
        <w:rPr>
          <w:rFonts w:hint="eastAsia" w:ascii="宋体" w:hAnsi="宋体" w:eastAsia="宋体" w:cs="宋体"/>
          <w:b/>
          <w:color w:val="auto"/>
          <w:sz w:val="28"/>
          <w:szCs w:val="28"/>
        </w:rPr>
        <w:t>有出现下列情形之一，将导致项目废标：</w:t>
      </w:r>
    </w:p>
    <w:p>
      <w:pPr>
        <w:ind w:firstLine="480" w:firstLineChars="200"/>
        <w:rPr>
          <w:rFonts w:ascii="宋体" w:hAnsi="宋体" w:eastAsia="宋体" w:cs="宋体"/>
          <w:color w:val="auto"/>
        </w:rPr>
      </w:pPr>
      <w:r>
        <w:rPr>
          <w:rFonts w:hint="eastAsia" w:ascii="宋体" w:hAnsi="宋体" w:eastAsia="宋体" w:cs="宋体"/>
          <w:color w:val="auto"/>
        </w:rPr>
        <w:t>（1）符合专业条件的供应商或者对招标文件做实质性响应的供应商不足三家；</w:t>
      </w:r>
    </w:p>
    <w:p>
      <w:pPr>
        <w:ind w:firstLine="480" w:firstLineChars="200"/>
        <w:rPr>
          <w:rFonts w:ascii="宋体" w:hAnsi="宋体" w:eastAsia="宋体" w:cs="宋体"/>
          <w:color w:val="auto"/>
        </w:rPr>
      </w:pPr>
      <w:r>
        <w:rPr>
          <w:rFonts w:hint="eastAsia" w:ascii="宋体" w:hAnsi="宋体" w:eastAsia="宋体" w:cs="宋体"/>
          <w:color w:val="auto"/>
        </w:rPr>
        <w:t>（2）出现影响采购公正的违法、违规行为的；</w:t>
      </w:r>
    </w:p>
    <w:p>
      <w:pPr>
        <w:ind w:firstLine="480" w:firstLineChars="200"/>
        <w:rPr>
          <w:rFonts w:ascii="宋体" w:hAnsi="宋体" w:eastAsia="宋体" w:cs="宋体"/>
          <w:color w:val="auto"/>
        </w:rPr>
      </w:pPr>
      <w:r>
        <w:rPr>
          <w:rFonts w:hint="eastAsia" w:ascii="宋体" w:hAnsi="宋体" w:eastAsia="宋体" w:cs="宋体"/>
          <w:color w:val="auto"/>
        </w:rPr>
        <w:t>（3）供应商的报价均超过了采购预算，采购人不能支付的；</w:t>
      </w:r>
    </w:p>
    <w:p>
      <w:pPr>
        <w:ind w:firstLine="480" w:firstLineChars="200"/>
        <w:rPr>
          <w:rFonts w:ascii="宋体" w:hAnsi="宋体" w:eastAsia="宋体" w:cs="宋体"/>
          <w:color w:val="auto"/>
        </w:rPr>
      </w:pPr>
      <w:r>
        <w:rPr>
          <w:rFonts w:hint="eastAsia" w:ascii="宋体" w:hAnsi="宋体" w:eastAsia="宋体" w:cs="宋体"/>
          <w:color w:val="auto"/>
        </w:rPr>
        <w:t>（4）因重大变故，采购任务取消的。</w:t>
      </w:r>
    </w:p>
    <w:p>
      <w:pPr>
        <w:keepNext/>
        <w:keepLines/>
        <w:outlineLvl w:val="2"/>
        <w:rPr>
          <w:rFonts w:ascii="宋体" w:hAnsi="宋体" w:eastAsia="宋体" w:cs="宋体"/>
          <w:b/>
          <w:color w:val="auto"/>
          <w:sz w:val="28"/>
          <w:szCs w:val="28"/>
        </w:rPr>
      </w:pPr>
      <w:r>
        <w:rPr>
          <w:rFonts w:hint="eastAsia" w:ascii="宋体" w:hAnsi="宋体" w:eastAsia="宋体" w:cs="宋体"/>
          <w:b/>
          <w:color w:val="auto"/>
          <w:sz w:val="28"/>
          <w:szCs w:val="28"/>
        </w:rPr>
        <w:t>8.2 重新招标</w:t>
      </w:r>
    </w:p>
    <w:p>
      <w:pPr>
        <w:ind w:firstLine="480" w:firstLineChars="200"/>
        <w:rPr>
          <w:rFonts w:ascii="宋体" w:hAnsi="宋体" w:eastAsia="宋体" w:cs="宋体"/>
          <w:color w:val="auto"/>
        </w:rPr>
      </w:pPr>
      <w:r>
        <w:rPr>
          <w:rFonts w:hint="eastAsia" w:ascii="宋体" w:hAnsi="宋体" w:eastAsia="宋体" w:cs="宋体"/>
          <w:color w:val="auto"/>
        </w:rPr>
        <w:t>废标后，除采购任务取消情形外，应当重新组织招标。</w:t>
      </w:r>
    </w:p>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111" w:name="_Toc25623"/>
      <w:bookmarkStart w:id="112" w:name="_Toc21361"/>
      <w:bookmarkStart w:id="113" w:name="_Toc705"/>
      <w:bookmarkStart w:id="114" w:name="_Toc870"/>
      <w:bookmarkStart w:id="115" w:name="_Toc9546"/>
      <w:r>
        <w:rPr>
          <w:rFonts w:hint="eastAsia" w:ascii="宋体" w:hAnsi="宋体" w:eastAsia="宋体" w:cs="宋体"/>
          <w:b/>
          <w:color w:val="auto"/>
          <w:kern w:val="0"/>
          <w:sz w:val="30"/>
          <w:szCs w:val="20"/>
          <w:lang w:val="en-US" w:eastAsia="zh-CN" w:bidi="ar-SA"/>
        </w:rPr>
        <w:t>9.纪律和监督</w:t>
      </w:r>
      <w:bookmarkEnd w:id="107"/>
      <w:bookmarkEnd w:id="108"/>
      <w:bookmarkEnd w:id="109"/>
      <w:bookmarkEnd w:id="110"/>
      <w:bookmarkEnd w:id="111"/>
      <w:bookmarkEnd w:id="112"/>
      <w:bookmarkEnd w:id="113"/>
      <w:bookmarkEnd w:id="114"/>
      <w:bookmarkEnd w:id="115"/>
    </w:p>
    <w:p>
      <w:pPr>
        <w:keepNext/>
        <w:keepLines/>
        <w:outlineLvl w:val="2"/>
        <w:rPr>
          <w:rFonts w:ascii="宋体" w:hAnsi="宋体" w:eastAsia="宋体" w:cs="宋体"/>
          <w:b/>
          <w:color w:val="auto"/>
          <w:sz w:val="28"/>
          <w:szCs w:val="28"/>
        </w:rPr>
      </w:pPr>
      <w:bookmarkStart w:id="116" w:name="_Toc11700"/>
      <w:bookmarkStart w:id="117" w:name="_Toc323212718"/>
      <w:bookmarkStart w:id="118" w:name="_Toc281837637"/>
      <w:bookmarkStart w:id="119" w:name="_Toc281837639"/>
      <w:bookmarkStart w:id="120" w:name="_Toc323212720"/>
      <w:bookmarkStart w:id="121" w:name="_Toc13930"/>
      <w:r>
        <w:rPr>
          <w:rFonts w:hint="eastAsia" w:ascii="宋体" w:hAnsi="宋体" w:eastAsia="宋体" w:cs="宋体"/>
          <w:b/>
          <w:color w:val="auto"/>
          <w:sz w:val="28"/>
          <w:szCs w:val="28"/>
        </w:rPr>
        <w:t>9.1 对采购人的纪律要求</w:t>
      </w:r>
      <w:bookmarkEnd w:id="116"/>
      <w:bookmarkEnd w:id="117"/>
      <w:bookmarkEnd w:id="118"/>
    </w:p>
    <w:p>
      <w:pPr>
        <w:ind w:firstLine="480" w:firstLineChars="200"/>
        <w:rPr>
          <w:rFonts w:ascii="宋体" w:hAnsi="宋体" w:eastAsia="宋体" w:cs="宋体"/>
          <w:color w:val="auto"/>
        </w:rPr>
      </w:pPr>
      <w:bookmarkStart w:id="122" w:name="_Toc256690965"/>
      <w:bookmarkStart w:id="123" w:name="_Toc256694841"/>
      <w:bookmarkStart w:id="124" w:name="_Toc281837638"/>
      <w:bookmarkStart w:id="125" w:name="_Toc323212719"/>
      <w:r>
        <w:rPr>
          <w:rFonts w:hint="eastAsia" w:ascii="宋体" w:hAnsi="宋体" w:eastAsia="宋体" w:cs="宋体"/>
          <w:color w:val="auto"/>
        </w:rPr>
        <w:t>根据《中华人民共和国政府采购法》第二十五条规定：采购人</w:t>
      </w:r>
      <w:bookmarkEnd w:id="122"/>
      <w:bookmarkEnd w:id="123"/>
      <w:r>
        <w:rPr>
          <w:rFonts w:hint="eastAsia" w:ascii="宋体" w:hAnsi="宋体" w:eastAsia="宋体" w:cs="宋体"/>
          <w:color w:val="auto"/>
        </w:rPr>
        <w:t>不得相互串通损害国家利益、社会公共利益和其他当事人的合法权益；不得以任何手段排斥其他供应商参与竞争。</w:t>
      </w:r>
      <w:bookmarkStart w:id="126" w:name="_Toc13183"/>
    </w:p>
    <w:p>
      <w:pPr>
        <w:ind w:firstLine="480" w:firstLineChars="200"/>
        <w:rPr>
          <w:rFonts w:ascii="宋体" w:hAnsi="宋体" w:eastAsia="宋体" w:cs="宋体"/>
          <w:color w:val="auto"/>
        </w:rPr>
      </w:pPr>
      <w:r>
        <w:rPr>
          <w:rFonts w:hint="eastAsia" w:ascii="宋体" w:hAnsi="宋体" w:eastAsia="宋体" w:cs="宋体"/>
          <w:color w:val="auto"/>
        </w:rPr>
        <w:t>根据《中华人民共和国政府采购法实施条例》第九条规定：在政府采购活动中，采购人与供应商有下列利害关系之一的，应当回避：</w:t>
      </w:r>
    </w:p>
    <w:p>
      <w:pPr>
        <w:ind w:firstLine="480" w:firstLineChars="200"/>
        <w:rPr>
          <w:rFonts w:ascii="宋体" w:hAnsi="宋体" w:eastAsia="宋体" w:cs="宋体"/>
          <w:color w:val="auto"/>
        </w:rPr>
      </w:pPr>
      <w:r>
        <w:rPr>
          <w:rFonts w:hint="eastAsia" w:ascii="宋体" w:hAnsi="宋体" w:eastAsia="宋体" w:cs="宋体"/>
          <w:color w:val="auto"/>
        </w:rPr>
        <w:t>（一）参加采购活动前3年内与供应商存在劳动关系；</w:t>
      </w:r>
    </w:p>
    <w:p>
      <w:pPr>
        <w:ind w:firstLine="480" w:firstLineChars="200"/>
        <w:rPr>
          <w:rFonts w:ascii="宋体" w:hAnsi="宋体" w:eastAsia="宋体" w:cs="宋体"/>
          <w:color w:val="auto"/>
        </w:rPr>
      </w:pPr>
      <w:r>
        <w:rPr>
          <w:rFonts w:hint="eastAsia" w:ascii="宋体" w:hAnsi="宋体" w:eastAsia="宋体" w:cs="宋体"/>
          <w:color w:val="auto"/>
        </w:rPr>
        <w:t>（二）参加采购活动前3年内担任供应商的董事、监事；</w:t>
      </w:r>
    </w:p>
    <w:p>
      <w:pPr>
        <w:ind w:firstLine="480" w:firstLineChars="200"/>
        <w:rPr>
          <w:rFonts w:ascii="宋体" w:hAnsi="宋体" w:eastAsia="宋体" w:cs="宋体"/>
          <w:color w:val="auto"/>
        </w:rPr>
      </w:pPr>
      <w:r>
        <w:rPr>
          <w:rFonts w:hint="eastAsia" w:ascii="宋体" w:hAnsi="宋体" w:eastAsia="宋体" w:cs="宋体"/>
          <w:color w:val="auto"/>
        </w:rPr>
        <w:t>（三）参加采购活动前3年内是供应商的控股股东或者实际控制人；</w:t>
      </w:r>
    </w:p>
    <w:p>
      <w:pPr>
        <w:ind w:firstLine="480" w:firstLineChars="200"/>
        <w:rPr>
          <w:rFonts w:ascii="宋体" w:hAnsi="宋体" w:eastAsia="宋体" w:cs="宋体"/>
          <w:color w:val="auto"/>
        </w:rPr>
      </w:pPr>
      <w:r>
        <w:rPr>
          <w:rFonts w:hint="eastAsia" w:ascii="宋体" w:hAnsi="宋体" w:eastAsia="宋体" w:cs="宋体"/>
          <w:color w:val="auto"/>
        </w:rPr>
        <w:t>（四）与供应商的法定代表人或者负责人有夫妻、直系血亲、三代以内旁系血亲或者近姻亲关系；</w:t>
      </w:r>
    </w:p>
    <w:p>
      <w:pPr>
        <w:ind w:firstLine="480" w:firstLineChars="200"/>
        <w:rPr>
          <w:rFonts w:ascii="宋体" w:hAnsi="宋体" w:eastAsia="宋体" w:cs="宋体"/>
          <w:color w:val="auto"/>
        </w:rPr>
      </w:pPr>
      <w:r>
        <w:rPr>
          <w:rFonts w:hint="eastAsia" w:ascii="宋体" w:hAnsi="宋体" w:eastAsia="宋体" w:cs="宋体"/>
          <w:color w:val="auto"/>
        </w:rPr>
        <w:t>（五）与供应商有其他可能影响政府采购活动公平、公正进行的关系。</w:t>
      </w:r>
    </w:p>
    <w:p>
      <w:pPr>
        <w:outlineLvl w:val="2"/>
        <w:rPr>
          <w:rFonts w:ascii="宋体" w:hAnsi="宋体" w:eastAsia="宋体" w:cs="宋体"/>
          <w:b/>
          <w:color w:val="auto"/>
        </w:rPr>
      </w:pPr>
      <w:r>
        <w:rPr>
          <w:rFonts w:hint="eastAsia" w:ascii="宋体" w:hAnsi="宋体" w:eastAsia="宋体" w:cs="宋体"/>
          <w:b/>
          <w:color w:val="auto"/>
          <w:sz w:val="28"/>
          <w:szCs w:val="28"/>
        </w:rPr>
        <w:t>9.2 对供应商的纪律要求</w:t>
      </w:r>
      <w:bookmarkEnd w:id="124"/>
      <w:bookmarkEnd w:id="125"/>
      <w:bookmarkEnd w:id="126"/>
    </w:p>
    <w:p>
      <w:pPr>
        <w:ind w:firstLine="480" w:firstLineChars="200"/>
        <w:rPr>
          <w:rFonts w:ascii="宋体" w:hAnsi="宋体" w:eastAsia="宋体" w:cs="宋体"/>
          <w:color w:val="auto"/>
        </w:rPr>
      </w:pPr>
      <w:bookmarkStart w:id="127" w:name="_Toc256694849"/>
      <w:bookmarkStart w:id="128" w:name="_Toc256690973"/>
      <w:r>
        <w:rPr>
          <w:rFonts w:hint="eastAsia" w:ascii="宋体" w:hAnsi="宋体" w:eastAsia="宋体" w:cs="宋体"/>
          <w:color w:val="auto"/>
        </w:rPr>
        <w:t>根据《政府采购货物和服务招标投标管理办法》第三十六条规定：供应商应当遵循公平竞争的原则，不得恶意串通，不得妨碍其他供应商的竞争行为，不得损害采购人或者其他供应商的合法权益。</w:t>
      </w:r>
      <w:bookmarkEnd w:id="127"/>
      <w:bookmarkEnd w:id="128"/>
    </w:p>
    <w:p>
      <w:pPr>
        <w:ind w:firstLine="480" w:firstLineChars="200"/>
        <w:rPr>
          <w:rFonts w:ascii="宋体" w:hAnsi="宋体" w:eastAsia="宋体" w:cs="宋体"/>
          <w:color w:val="auto"/>
        </w:rPr>
      </w:pPr>
      <w:r>
        <w:rPr>
          <w:rFonts w:hint="eastAsia" w:ascii="宋体" w:hAnsi="宋体" w:eastAsia="宋体" w:cs="宋体"/>
          <w:color w:val="auto"/>
        </w:rPr>
        <w:t>9.2.1 根据《中华人民共和国政府采购法实施条例》第七十四条规定有下列情形之一的，属于恶意串通：</w:t>
      </w:r>
    </w:p>
    <w:p>
      <w:pPr>
        <w:ind w:firstLine="480" w:firstLineChars="200"/>
        <w:rPr>
          <w:rFonts w:ascii="宋体" w:hAnsi="宋体" w:eastAsia="宋体" w:cs="宋体"/>
          <w:color w:val="auto"/>
        </w:rPr>
      </w:pPr>
      <w:r>
        <w:rPr>
          <w:rFonts w:hint="eastAsia" w:ascii="宋体" w:hAnsi="宋体" w:eastAsia="宋体" w:cs="宋体"/>
          <w:color w:val="auto"/>
        </w:rPr>
        <w:t>（1）供应商直接或者间接从采购人或者采购代理机构处获得其他供应商的相关情况并修改其投标文件或者响应文件；</w:t>
      </w:r>
    </w:p>
    <w:p>
      <w:pPr>
        <w:ind w:firstLine="480" w:firstLineChars="200"/>
        <w:rPr>
          <w:rFonts w:ascii="宋体" w:hAnsi="宋体" w:eastAsia="宋体" w:cs="宋体"/>
          <w:color w:val="auto"/>
        </w:rPr>
      </w:pPr>
      <w:r>
        <w:rPr>
          <w:rFonts w:hint="eastAsia" w:ascii="宋体" w:hAnsi="宋体" w:eastAsia="宋体" w:cs="宋体"/>
          <w:color w:val="auto"/>
        </w:rPr>
        <w:t>（2）供应商按照采购人或者采购代理机构的授意撤换、修改投标文件或者响应文件；</w:t>
      </w:r>
    </w:p>
    <w:p>
      <w:pPr>
        <w:ind w:firstLine="480" w:firstLineChars="200"/>
        <w:rPr>
          <w:rFonts w:ascii="宋体" w:hAnsi="宋体" w:eastAsia="宋体" w:cs="宋体"/>
          <w:color w:val="auto"/>
        </w:rPr>
      </w:pPr>
      <w:r>
        <w:rPr>
          <w:rFonts w:hint="eastAsia" w:ascii="宋体" w:hAnsi="宋体" w:eastAsia="宋体" w:cs="宋体"/>
          <w:color w:val="auto"/>
        </w:rPr>
        <w:t>（3）供应商之间协商报价、技术方案等投标文件或者响应文件的实质性内容；</w:t>
      </w:r>
    </w:p>
    <w:p>
      <w:pPr>
        <w:ind w:firstLine="480" w:firstLineChars="200"/>
        <w:rPr>
          <w:rFonts w:ascii="宋体" w:hAnsi="宋体" w:eastAsia="宋体" w:cs="宋体"/>
          <w:color w:val="auto"/>
        </w:rPr>
      </w:pPr>
      <w:r>
        <w:rPr>
          <w:rFonts w:hint="eastAsia" w:ascii="宋体" w:hAnsi="宋体" w:eastAsia="宋体" w:cs="宋体"/>
          <w:color w:val="auto"/>
        </w:rPr>
        <w:t>（4）属于同一集团、协会、商会等组织成员的供应商按照该组织要求协同参加政府采购活动；</w:t>
      </w:r>
    </w:p>
    <w:p>
      <w:pPr>
        <w:ind w:firstLine="480" w:firstLineChars="200"/>
        <w:rPr>
          <w:rFonts w:ascii="宋体" w:hAnsi="宋体" w:eastAsia="宋体" w:cs="宋体"/>
          <w:color w:val="auto"/>
        </w:rPr>
      </w:pPr>
      <w:r>
        <w:rPr>
          <w:rFonts w:hint="eastAsia" w:ascii="宋体" w:hAnsi="宋体" w:eastAsia="宋体" w:cs="宋体"/>
          <w:color w:val="auto"/>
        </w:rPr>
        <w:t>（5）供应商之间事先约定由某一特定供应商中标、成交；</w:t>
      </w:r>
    </w:p>
    <w:p>
      <w:pPr>
        <w:ind w:firstLine="480" w:firstLineChars="200"/>
        <w:rPr>
          <w:rFonts w:ascii="宋体" w:hAnsi="宋体" w:eastAsia="宋体" w:cs="宋体"/>
          <w:color w:val="auto"/>
        </w:rPr>
      </w:pPr>
      <w:r>
        <w:rPr>
          <w:rFonts w:hint="eastAsia" w:ascii="宋体" w:hAnsi="宋体" w:eastAsia="宋体" w:cs="宋体"/>
          <w:color w:val="auto"/>
        </w:rPr>
        <w:t>（6）供应商之间商定部分供应商放弃参加政府采购活动或者放弃中标、成交；</w:t>
      </w:r>
    </w:p>
    <w:p>
      <w:pPr>
        <w:ind w:firstLine="480" w:firstLineChars="200"/>
        <w:rPr>
          <w:rFonts w:ascii="宋体" w:hAnsi="宋体" w:eastAsia="宋体" w:cs="宋体"/>
          <w:color w:val="auto"/>
        </w:rPr>
      </w:pPr>
      <w:r>
        <w:rPr>
          <w:rFonts w:hint="eastAsia" w:ascii="宋体" w:hAnsi="宋体" w:eastAsia="宋体" w:cs="宋体"/>
          <w:color w:val="auto"/>
        </w:rPr>
        <w:t>（7）供应商与采购人或者采购代理机构之间、供应商相互之间，为谋求特定供应商中标、成交或者排斥其他供应商的其他串通行为。</w:t>
      </w:r>
    </w:p>
    <w:p>
      <w:pPr>
        <w:ind w:firstLine="480" w:firstLineChars="200"/>
        <w:rPr>
          <w:rFonts w:ascii="宋体" w:hAnsi="宋体" w:eastAsia="宋体" w:cs="宋体"/>
          <w:color w:val="auto"/>
        </w:rPr>
      </w:pPr>
      <w:r>
        <w:rPr>
          <w:rFonts w:hint="eastAsia" w:ascii="宋体" w:hAnsi="宋体" w:eastAsia="宋体" w:cs="宋体"/>
          <w:color w:val="auto"/>
        </w:rPr>
        <w:t>9.2.2 根据《政府采购货物和服务招标投标管理办法》第三十七条规定：有下列情形之一的，视为供应商相互串通投标：</w:t>
      </w:r>
    </w:p>
    <w:p>
      <w:pPr>
        <w:ind w:firstLine="480" w:firstLineChars="200"/>
        <w:rPr>
          <w:rFonts w:ascii="宋体" w:hAnsi="宋体" w:eastAsia="宋体" w:cs="宋体"/>
          <w:color w:val="auto"/>
        </w:rPr>
      </w:pPr>
      <w:r>
        <w:rPr>
          <w:rFonts w:hint="eastAsia" w:ascii="宋体" w:hAnsi="宋体" w:eastAsia="宋体" w:cs="宋体"/>
          <w:color w:val="auto"/>
        </w:rPr>
        <w:t>（1）不同供应商的投标文件由同一单位或者个人编制；</w:t>
      </w:r>
    </w:p>
    <w:p>
      <w:pPr>
        <w:ind w:firstLine="480" w:firstLineChars="200"/>
        <w:rPr>
          <w:rFonts w:ascii="宋体" w:hAnsi="宋体" w:eastAsia="宋体" w:cs="宋体"/>
          <w:color w:val="auto"/>
        </w:rPr>
      </w:pPr>
      <w:r>
        <w:rPr>
          <w:rFonts w:hint="eastAsia" w:ascii="宋体" w:hAnsi="宋体" w:eastAsia="宋体" w:cs="宋体"/>
          <w:color w:val="auto"/>
        </w:rPr>
        <w:t>（2）不同供应商委托同一单位或者个人办理投标事宜；</w:t>
      </w:r>
    </w:p>
    <w:p>
      <w:pPr>
        <w:ind w:firstLine="480" w:firstLineChars="200"/>
        <w:rPr>
          <w:rFonts w:ascii="宋体" w:hAnsi="宋体" w:eastAsia="宋体" w:cs="宋体"/>
          <w:color w:val="auto"/>
        </w:rPr>
      </w:pPr>
      <w:r>
        <w:rPr>
          <w:rFonts w:hint="eastAsia" w:ascii="宋体" w:hAnsi="宋体" w:eastAsia="宋体" w:cs="宋体"/>
          <w:color w:val="auto"/>
        </w:rPr>
        <w:t>（3）不同供应商的投标文件载明的项目管理成员为同一人；</w:t>
      </w:r>
    </w:p>
    <w:p>
      <w:pPr>
        <w:ind w:firstLine="480" w:firstLineChars="200"/>
        <w:rPr>
          <w:rFonts w:ascii="宋体" w:hAnsi="宋体" w:eastAsia="宋体" w:cs="宋体"/>
          <w:color w:val="auto"/>
        </w:rPr>
      </w:pPr>
      <w:r>
        <w:rPr>
          <w:rFonts w:hint="eastAsia" w:ascii="宋体" w:hAnsi="宋体" w:eastAsia="宋体" w:cs="宋体"/>
          <w:color w:val="auto"/>
        </w:rPr>
        <w:t>（4）不同供应商的投标文件异常一致或者投标报价呈规律性差异；</w:t>
      </w:r>
    </w:p>
    <w:p>
      <w:pPr>
        <w:ind w:firstLine="480" w:firstLineChars="200"/>
        <w:rPr>
          <w:rFonts w:ascii="宋体" w:hAnsi="宋体" w:eastAsia="宋体" w:cs="宋体"/>
          <w:color w:val="auto"/>
        </w:rPr>
      </w:pPr>
      <w:r>
        <w:rPr>
          <w:rFonts w:hint="eastAsia" w:ascii="宋体" w:hAnsi="宋体" w:eastAsia="宋体" w:cs="宋体"/>
          <w:color w:val="auto"/>
        </w:rPr>
        <w:t>（5）不同供应商的投标文件相互混装；</w:t>
      </w:r>
    </w:p>
    <w:p>
      <w:pPr>
        <w:ind w:firstLine="480" w:firstLineChars="200"/>
        <w:rPr>
          <w:rFonts w:ascii="宋体" w:hAnsi="宋体" w:eastAsia="宋体" w:cs="宋体"/>
          <w:color w:val="auto"/>
        </w:rPr>
      </w:pPr>
      <w:bookmarkStart w:id="129" w:name="_Hlk19030406"/>
      <w:r>
        <w:rPr>
          <w:rFonts w:hint="eastAsia" w:ascii="宋体" w:hAnsi="宋体" w:eastAsia="宋体" w:cs="宋体"/>
          <w:color w:val="auto"/>
        </w:rPr>
        <w:t>（6）不同供应商的投标文件制作机器码一致。</w:t>
      </w:r>
    </w:p>
    <w:bookmarkEnd w:id="129"/>
    <w:p>
      <w:pPr>
        <w:ind w:firstLine="480" w:firstLineChars="200"/>
        <w:rPr>
          <w:rFonts w:ascii="宋体" w:hAnsi="宋体" w:eastAsia="宋体" w:cs="宋体"/>
          <w:color w:val="auto"/>
        </w:rPr>
      </w:pPr>
      <w:r>
        <w:rPr>
          <w:rFonts w:hint="eastAsia" w:ascii="宋体" w:hAnsi="宋体" w:eastAsia="宋体" w:cs="宋体"/>
          <w:color w:val="auto"/>
        </w:rPr>
        <w:t>9.2.3 供应商提供虚假材料谋取中标的，中标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outlineLvl w:val="2"/>
        <w:rPr>
          <w:rFonts w:ascii="宋体" w:hAnsi="宋体" w:eastAsia="宋体" w:cs="宋体"/>
          <w:b/>
          <w:color w:val="auto"/>
          <w:sz w:val="28"/>
          <w:szCs w:val="28"/>
        </w:rPr>
      </w:pPr>
      <w:r>
        <w:rPr>
          <w:rFonts w:hint="eastAsia" w:ascii="宋体" w:hAnsi="宋体" w:eastAsia="宋体" w:cs="宋体"/>
          <w:b/>
          <w:color w:val="auto"/>
          <w:sz w:val="28"/>
          <w:szCs w:val="28"/>
        </w:rPr>
        <w:t>9.3 对评标委员会成员的纪律要求</w:t>
      </w:r>
      <w:bookmarkEnd w:id="119"/>
      <w:bookmarkEnd w:id="120"/>
      <w:bookmarkEnd w:id="121"/>
    </w:p>
    <w:p>
      <w:pPr>
        <w:ind w:firstLine="480" w:firstLineChars="200"/>
        <w:rPr>
          <w:rFonts w:ascii="宋体" w:hAnsi="宋体" w:eastAsia="宋体" w:cs="宋体"/>
          <w:color w:val="auto"/>
        </w:rPr>
      </w:pPr>
      <w:bookmarkStart w:id="130" w:name="_Toc281837640"/>
      <w:bookmarkStart w:id="131" w:name="_Toc323212721"/>
      <w:r>
        <w:rPr>
          <w:rFonts w:hint="eastAsia" w:ascii="宋体" w:hAnsi="宋体" w:eastAsia="宋体" w:cs="宋体"/>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宋体" w:hAnsi="宋体" w:cs="宋体"/>
          <w:color w:val="auto"/>
          <w:lang w:eastAsia="zh-CN"/>
        </w:rPr>
        <w:t>五</w:t>
      </w:r>
      <w:r>
        <w:rPr>
          <w:rFonts w:hint="eastAsia" w:ascii="宋体" w:hAnsi="宋体" w:eastAsia="宋体" w:cs="宋体"/>
          <w:color w:val="auto"/>
        </w:rPr>
        <w:t>章“评标办法”没有规定的评审因素和标准进行评标。</w:t>
      </w:r>
    </w:p>
    <w:p>
      <w:pPr>
        <w:outlineLvl w:val="2"/>
        <w:rPr>
          <w:rFonts w:ascii="宋体" w:hAnsi="宋体" w:eastAsia="宋体" w:cs="宋体"/>
          <w:b/>
          <w:color w:val="auto"/>
          <w:sz w:val="28"/>
          <w:szCs w:val="28"/>
        </w:rPr>
      </w:pPr>
      <w:bookmarkStart w:id="132" w:name="_Toc31797"/>
      <w:r>
        <w:rPr>
          <w:rFonts w:hint="eastAsia" w:ascii="宋体" w:hAnsi="宋体" w:eastAsia="宋体" w:cs="宋体"/>
          <w:b/>
          <w:color w:val="auto"/>
          <w:sz w:val="28"/>
          <w:szCs w:val="28"/>
        </w:rPr>
        <w:t>9.4 对与评标活动有关的工作人员的纪律要求</w:t>
      </w:r>
      <w:bookmarkEnd w:id="130"/>
      <w:bookmarkEnd w:id="131"/>
      <w:bookmarkEnd w:id="132"/>
    </w:p>
    <w:p>
      <w:pPr>
        <w:ind w:firstLine="480" w:firstLineChars="200"/>
        <w:rPr>
          <w:rFonts w:ascii="宋体" w:hAnsi="宋体" w:eastAsia="宋体" w:cs="宋体"/>
          <w:color w:val="auto"/>
        </w:rPr>
      </w:pPr>
      <w:bookmarkStart w:id="133" w:name="_Toc281837641"/>
      <w:bookmarkStart w:id="134" w:name="_Toc323212722"/>
      <w:r>
        <w:rPr>
          <w:rFonts w:hint="eastAsia" w:ascii="宋体" w:hAnsi="宋体" w:eastAsia="宋体" w:cs="宋体"/>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outlineLvl w:val="2"/>
        <w:rPr>
          <w:rFonts w:ascii="宋体" w:hAnsi="宋体" w:eastAsia="宋体" w:cs="宋体"/>
          <w:b/>
          <w:color w:val="auto"/>
          <w:sz w:val="28"/>
          <w:szCs w:val="28"/>
        </w:rPr>
      </w:pPr>
      <w:bookmarkStart w:id="135" w:name="_Toc23777"/>
      <w:r>
        <w:rPr>
          <w:rFonts w:hint="eastAsia" w:ascii="宋体" w:hAnsi="宋体" w:eastAsia="宋体" w:cs="宋体"/>
          <w:b/>
          <w:color w:val="auto"/>
          <w:sz w:val="28"/>
          <w:szCs w:val="28"/>
        </w:rPr>
        <w:t>9.5 质疑的提出与接收</w:t>
      </w:r>
      <w:bookmarkEnd w:id="133"/>
      <w:bookmarkEnd w:id="134"/>
      <w:bookmarkEnd w:id="135"/>
    </w:p>
    <w:p>
      <w:pPr>
        <w:ind w:firstLine="480" w:firstLineChars="200"/>
        <w:rPr>
          <w:rFonts w:ascii="宋体" w:hAnsi="宋体" w:eastAsia="宋体" w:cs="宋体"/>
          <w:color w:val="auto"/>
          <w:szCs w:val="20"/>
        </w:rPr>
      </w:pPr>
      <w:bookmarkStart w:id="136" w:name="_Toc345178456"/>
      <w:r>
        <w:rPr>
          <w:rFonts w:hint="eastAsia" w:ascii="宋体" w:hAnsi="宋体" w:eastAsia="宋体" w:cs="宋体"/>
          <w:color w:val="auto"/>
        </w:rPr>
        <w:t>供应商</w:t>
      </w:r>
      <w:r>
        <w:rPr>
          <w:rFonts w:hint="eastAsia" w:ascii="宋体" w:hAnsi="宋体" w:eastAsia="宋体" w:cs="宋体"/>
          <w:color w:val="auto"/>
          <w:szCs w:val="20"/>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ind w:firstLine="480" w:firstLineChars="200"/>
        <w:rPr>
          <w:rFonts w:ascii="宋体" w:hAnsi="宋体" w:eastAsia="宋体" w:cs="宋体"/>
          <w:color w:val="auto"/>
          <w:szCs w:val="20"/>
        </w:rPr>
      </w:pPr>
      <w:r>
        <w:rPr>
          <w:rFonts w:hint="eastAsia" w:ascii="宋体" w:hAnsi="宋体" w:eastAsia="宋体" w:cs="宋体"/>
          <w:color w:val="auto"/>
          <w:szCs w:val="20"/>
        </w:rPr>
        <w:t>质疑供应商应按照财政部制定的《政府采购质疑函范本》格式（可从财政部官方网站下载）和《政府采购质疑和投诉办法》的要求，在法定质疑期内以书面形式一次性提出针对同一采购程序环节的质疑。</w:t>
      </w:r>
    </w:p>
    <w:p>
      <w:pPr>
        <w:ind w:firstLine="480" w:firstLineChars="200"/>
        <w:rPr>
          <w:rFonts w:ascii="宋体" w:hAnsi="宋体" w:eastAsia="宋体" w:cs="宋体"/>
          <w:color w:val="auto"/>
          <w:szCs w:val="20"/>
        </w:rPr>
      </w:pPr>
      <w:r>
        <w:rPr>
          <w:rFonts w:hint="eastAsia" w:ascii="宋体" w:hAnsi="宋体" w:eastAsia="宋体" w:cs="宋体"/>
          <w:color w:val="auto"/>
          <w:szCs w:val="20"/>
        </w:rPr>
        <w:t>质疑函的内容及形式应符合《政府采购质疑和投诉办法》第十二条的规定。</w:t>
      </w:r>
    </w:p>
    <w:p>
      <w:pPr>
        <w:ind w:firstLine="480" w:firstLineChars="200"/>
        <w:rPr>
          <w:rFonts w:ascii="宋体" w:hAnsi="宋体" w:eastAsia="宋体" w:cs="宋体"/>
          <w:color w:val="auto"/>
          <w:szCs w:val="20"/>
        </w:rPr>
      </w:pPr>
      <w:r>
        <w:rPr>
          <w:rFonts w:hint="eastAsia" w:ascii="宋体" w:hAnsi="宋体" w:eastAsia="宋体" w:cs="宋体"/>
          <w:color w:val="auto"/>
          <w:szCs w:val="20"/>
        </w:rPr>
        <w:t>超出法定质疑期提交的质疑将被拒绝。</w:t>
      </w:r>
    </w:p>
    <w:p>
      <w:pPr>
        <w:outlineLvl w:val="2"/>
        <w:rPr>
          <w:rFonts w:ascii="宋体" w:hAnsi="宋体" w:eastAsia="宋体" w:cs="宋体"/>
          <w:b/>
          <w:color w:val="auto"/>
          <w:sz w:val="28"/>
          <w:szCs w:val="28"/>
        </w:rPr>
      </w:pPr>
      <w:r>
        <w:rPr>
          <w:rFonts w:hint="eastAsia" w:ascii="宋体" w:hAnsi="宋体" w:eastAsia="宋体" w:cs="宋体"/>
          <w:b/>
          <w:color w:val="auto"/>
          <w:sz w:val="28"/>
          <w:szCs w:val="28"/>
        </w:rPr>
        <w:t>9.6 投诉</w:t>
      </w:r>
    </w:p>
    <w:p>
      <w:pPr>
        <w:ind w:firstLine="480" w:firstLineChars="200"/>
        <w:rPr>
          <w:rFonts w:ascii="宋体" w:hAnsi="宋体" w:eastAsia="宋体" w:cs="宋体"/>
          <w:color w:val="auto"/>
          <w:szCs w:val="20"/>
        </w:rPr>
      </w:pPr>
      <w:r>
        <w:rPr>
          <w:rFonts w:ascii="宋体" w:hAnsi="宋体" w:eastAsia="宋体" w:cs="宋体"/>
          <w:color w:val="auto"/>
          <w:szCs w:val="20"/>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Cs w:val="20"/>
        </w:rPr>
        <w:t>《政府采购质疑和投诉办法》</w:t>
      </w:r>
      <w:r>
        <w:rPr>
          <w:rFonts w:ascii="宋体" w:hAnsi="宋体" w:eastAsia="宋体" w:cs="宋体"/>
          <w:color w:val="auto"/>
          <w:szCs w:val="20"/>
        </w:rPr>
        <w:t>第六条规定的财政部门提起投诉。</w:t>
      </w:r>
    </w:p>
    <w:bookmarkEnd w:id="98"/>
    <w:bookmarkEnd w:id="136"/>
    <w:p>
      <w:pPr>
        <w:keepNext/>
        <w:keepLines/>
        <w:widowControl w:val="0"/>
        <w:adjustRightInd w:val="0"/>
        <w:spacing w:before="120" w:after="120" w:line="360" w:lineRule="auto"/>
        <w:jc w:val="left"/>
        <w:textAlignment w:val="baseline"/>
        <w:outlineLvl w:val="1"/>
        <w:rPr>
          <w:rFonts w:ascii="宋体" w:hAnsi="宋体" w:eastAsia="宋体" w:cs="宋体"/>
          <w:b/>
          <w:color w:val="auto"/>
          <w:kern w:val="0"/>
          <w:sz w:val="30"/>
          <w:szCs w:val="20"/>
          <w:lang w:val="en-US" w:eastAsia="zh-CN" w:bidi="ar-SA"/>
        </w:rPr>
      </w:pPr>
      <w:bookmarkStart w:id="137" w:name="_Toc2980"/>
      <w:bookmarkStart w:id="138" w:name="_Toc1702"/>
      <w:bookmarkStart w:id="139" w:name="_Toc8088"/>
      <w:bookmarkStart w:id="140" w:name="_Toc8573"/>
      <w:bookmarkStart w:id="141" w:name="_Toc5725"/>
      <w:r>
        <w:rPr>
          <w:rFonts w:hint="eastAsia" w:ascii="宋体" w:hAnsi="宋体" w:eastAsia="宋体" w:cs="宋体"/>
          <w:b/>
          <w:color w:val="auto"/>
          <w:kern w:val="0"/>
          <w:sz w:val="30"/>
          <w:szCs w:val="20"/>
          <w:lang w:val="en-US" w:eastAsia="zh-CN" w:bidi="ar-SA"/>
        </w:rPr>
        <w:t>10.需要补充的其他内容</w:t>
      </w:r>
      <w:bookmarkEnd w:id="137"/>
      <w:bookmarkEnd w:id="138"/>
      <w:bookmarkEnd w:id="139"/>
      <w:bookmarkEnd w:id="140"/>
      <w:bookmarkEnd w:id="141"/>
    </w:p>
    <w:p>
      <w:pPr>
        <w:ind w:firstLine="480" w:firstLineChars="200"/>
        <w:rPr>
          <w:rFonts w:ascii="Times New Roman" w:hAnsi="Times New Roman" w:eastAsia="宋体" w:cs="Times New Roman"/>
          <w:color w:val="auto"/>
        </w:rPr>
      </w:pPr>
      <w:r>
        <w:rPr>
          <w:rFonts w:hint="eastAsia" w:ascii="宋体" w:hAnsi="宋体" w:eastAsia="宋体" w:cs="宋体"/>
          <w:color w:val="auto"/>
        </w:rPr>
        <w:t>需要补充的其他内容：见供应商须知前附表。</w:t>
      </w: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color w:val="auto"/>
        </w:rPr>
        <w:sectPr>
          <w:pgSz w:w="11906" w:h="16838"/>
          <w:pgMar w:top="1440" w:right="1474" w:bottom="1440" w:left="1474" w:header="851" w:footer="992" w:gutter="0"/>
          <w:pgNumType w:fmt="decimal"/>
          <w:cols w:space="0" w:num="1"/>
          <w:docGrid w:type="lines" w:linePitch="312" w:charSpace="0"/>
        </w:sectPr>
      </w:pPr>
    </w:p>
    <w:p>
      <w:pPr>
        <w:widowControl/>
        <w:rPr>
          <w:rFonts w:ascii="Times New Roman" w:hAnsi="Times New Roman" w:eastAsia="宋体" w:cs="Times New Roman"/>
          <w:color w:val="auto"/>
          <w:sz w:val="28"/>
          <w:szCs w:val="28"/>
        </w:rPr>
      </w:pPr>
      <w:r>
        <w:rPr>
          <w:rFonts w:hint="eastAsia" w:ascii="宋体" w:hAnsi="宋体" w:eastAsia="宋体" w:cs="宋体"/>
          <w:b/>
          <w:bCs/>
          <w:color w:val="auto"/>
          <w:kern w:val="0"/>
          <w:sz w:val="28"/>
          <w:szCs w:val="28"/>
          <w:lang w:bidi="ar"/>
        </w:rPr>
        <w:t>附件：</w:t>
      </w:r>
    </w:p>
    <w:p>
      <w:pPr>
        <w:widowControl/>
        <w:spacing w:before="312" w:beforeLines="100" w:after="312" w:afterLines="100"/>
        <w:jc w:val="center"/>
        <w:rPr>
          <w:rFonts w:ascii="Times New Roman" w:hAnsi="Times New Roman" w:eastAsia="宋体" w:cs="Times New Roman"/>
          <w:color w:val="auto"/>
          <w:sz w:val="30"/>
          <w:szCs w:val="30"/>
        </w:rPr>
      </w:pPr>
      <w:r>
        <w:rPr>
          <w:rFonts w:hint="eastAsia" w:ascii="宋体" w:hAnsi="宋体" w:eastAsia="宋体" w:cs="宋体"/>
          <w:b/>
          <w:bCs/>
          <w:color w:val="auto"/>
          <w:kern w:val="0"/>
          <w:sz w:val="30"/>
          <w:szCs w:val="30"/>
          <w:lang w:bidi="ar"/>
        </w:rPr>
        <w:t>河南省政府采购合同融资政策告知函</w:t>
      </w:r>
    </w:p>
    <w:p>
      <w:pPr>
        <w:widowControl/>
        <w:spacing w:line="480" w:lineRule="auto"/>
        <w:rPr>
          <w:rFonts w:ascii="Times New Roman" w:hAnsi="Times New Roman" w:eastAsia="宋体" w:cs="Times New Roman"/>
          <w:color w:val="auto"/>
        </w:rPr>
      </w:pPr>
      <w:r>
        <w:rPr>
          <w:rFonts w:hint="eastAsia" w:ascii="宋体" w:hAnsi="宋体" w:eastAsia="宋体" w:cs="宋体"/>
          <w:color w:val="auto"/>
          <w:kern w:val="0"/>
          <w:lang w:bidi="ar"/>
        </w:rPr>
        <w:t>各供应商：</w:t>
      </w:r>
    </w:p>
    <w:p>
      <w:pPr>
        <w:widowControl/>
        <w:spacing w:line="480" w:lineRule="auto"/>
        <w:ind w:firstLine="480" w:firstLineChars="200"/>
        <w:rPr>
          <w:rFonts w:ascii="Times New Roman" w:hAnsi="Times New Roman" w:eastAsia="宋体" w:cs="Times New Roman"/>
          <w:color w:val="auto"/>
        </w:rPr>
      </w:pPr>
      <w:r>
        <w:rPr>
          <w:rFonts w:hint="eastAsia" w:ascii="宋体" w:hAnsi="宋体" w:eastAsia="宋体" w:cs="宋体"/>
          <w:color w:val="auto"/>
          <w:kern w:val="0"/>
          <w:lang w:bidi="ar"/>
        </w:rPr>
        <w:t>欢迎贵公司参与河南省政府采购活动！</w:t>
      </w:r>
    </w:p>
    <w:p>
      <w:pPr>
        <w:widowControl/>
        <w:spacing w:line="480" w:lineRule="auto"/>
        <w:ind w:firstLine="480" w:firstLineChars="200"/>
        <w:rPr>
          <w:rFonts w:ascii="宋体" w:hAnsi="宋体" w:eastAsia="宋体" w:cs="宋体"/>
          <w:color w:val="auto"/>
          <w:kern w:val="0"/>
          <w:lang w:bidi="ar"/>
        </w:rPr>
      </w:pPr>
      <w:r>
        <w:rPr>
          <w:rFonts w:hint="eastAsia" w:ascii="宋体" w:hAnsi="宋体" w:eastAsia="宋体" w:cs="宋体"/>
          <w:color w:val="auto"/>
          <w:kern w:val="0"/>
          <w:lang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widowControl/>
        <w:spacing w:line="480" w:lineRule="auto"/>
        <w:ind w:firstLine="480" w:firstLineChars="200"/>
        <w:rPr>
          <w:rFonts w:ascii="Times New Roman" w:hAnsi="Times New Roman" w:eastAsia="宋体" w:cs="Times New Roman"/>
          <w:color w:val="auto"/>
        </w:rPr>
      </w:pPr>
      <w:r>
        <w:rPr>
          <w:rFonts w:hint="eastAsia" w:ascii="宋体" w:hAnsi="宋体" w:eastAsia="宋体" w:cs="宋体"/>
          <w:color w:val="auto"/>
          <w:kern w:val="0"/>
          <w:lang w:bidi="ar"/>
        </w:rPr>
        <w:t>贷款渠道和提供贷款的金融机构，可在河南省政府采购网“河南省政府采购合同融资平台”查询联系。</w:t>
      </w:r>
    </w:p>
    <w:p>
      <w:pPr>
        <w:rPr>
          <w:rFonts w:ascii="Times New Roman" w:hAnsi="Times New Roman" w:eastAsia="宋体" w:cs="Times New Roman"/>
          <w:color w:val="auto"/>
        </w:rPr>
      </w:pPr>
    </w:p>
    <w:p>
      <w:pPr>
        <w:pStyle w:val="7"/>
        <w:rPr>
          <w:color w:val="auto"/>
        </w:rPr>
      </w:pPr>
    </w:p>
    <w:p>
      <w:pPr>
        <w:rPr>
          <w:color w:val="auto"/>
        </w:rPr>
      </w:pPr>
    </w:p>
    <w:p>
      <w:pPr>
        <w:rPr>
          <w:color w:val="auto"/>
        </w:rPr>
      </w:pPr>
    </w:p>
    <w:p>
      <w:pPr>
        <w:rPr>
          <w:color w:val="auto"/>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rFonts w:hint="eastAsia" w:ascii="宋体" w:hAnsi="宋体" w:cs="宋体"/>
          <w:b/>
          <w:color w:val="auto"/>
          <w:sz w:val="36"/>
          <w:szCs w:val="36"/>
        </w:rPr>
      </w:pPr>
      <w:bookmarkStart w:id="142" w:name="_Toc6192"/>
      <w:bookmarkStart w:id="143" w:name="_Toc184635092"/>
      <w:bookmarkStart w:id="144" w:name="_Toc345178457"/>
      <w:bookmarkStart w:id="145" w:name="_Toc5252"/>
      <w:bookmarkStart w:id="146" w:name="_Toc19069"/>
      <w:r>
        <w:rPr>
          <w:rFonts w:hint="eastAsia" w:ascii="宋体" w:hAnsi="宋体" w:cs="宋体"/>
          <w:b/>
          <w:color w:val="auto"/>
          <w:sz w:val="36"/>
          <w:szCs w:val="36"/>
        </w:rPr>
        <w:t xml:space="preserve">第三章  </w:t>
      </w:r>
      <w:bookmarkEnd w:id="142"/>
      <w:bookmarkEnd w:id="143"/>
      <w:bookmarkEnd w:id="144"/>
      <w:r>
        <w:rPr>
          <w:rFonts w:hint="eastAsia" w:ascii="宋体" w:hAnsi="宋体" w:cs="宋体"/>
          <w:b/>
          <w:color w:val="auto"/>
          <w:sz w:val="36"/>
          <w:szCs w:val="36"/>
        </w:rPr>
        <w:t>资格性审查表</w:t>
      </w:r>
      <w:bookmarkEnd w:id="145"/>
      <w:bookmarkEnd w:id="146"/>
    </w:p>
    <w:tbl>
      <w:tblPr>
        <w:tblStyle w:val="17"/>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26"/>
        <w:gridCol w:w="5826"/>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82" w:type="dxa"/>
            <w:tcMar>
              <w:top w:w="0" w:type="dxa"/>
              <w:left w:w="57" w:type="dxa"/>
              <w:bottom w:w="0" w:type="dxa"/>
              <w:right w:w="57" w:type="dxa"/>
            </w:tcMar>
            <w:vAlign w:val="center"/>
          </w:tcPr>
          <w:p>
            <w:pPr>
              <w:spacing w:line="240" w:lineRule="auto"/>
              <w:jc w:val="center"/>
              <w:rPr>
                <w:rFonts w:ascii="宋体" w:hAnsi="宋体" w:cs="宋体"/>
                <w:b/>
                <w:bCs/>
                <w:color w:val="auto"/>
              </w:rPr>
            </w:pPr>
            <w:r>
              <w:rPr>
                <w:rFonts w:hint="eastAsia" w:ascii="宋体" w:hAnsi="宋体" w:cs="宋体"/>
                <w:b/>
                <w:bCs/>
                <w:color w:val="auto"/>
              </w:rPr>
              <w:t>序号</w:t>
            </w:r>
          </w:p>
        </w:tc>
        <w:tc>
          <w:tcPr>
            <w:tcW w:w="1826" w:type="dxa"/>
            <w:vAlign w:val="center"/>
          </w:tcPr>
          <w:p>
            <w:pPr>
              <w:spacing w:line="240" w:lineRule="auto"/>
              <w:jc w:val="center"/>
              <w:rPr>
                <w:rFonts w:ascii="宋体" w:hAnsi="宋体" w:cs="宋体"/>
                <w:b/>
                <w:bCs/>
                <w:color w:val="auto"/>
              </w:rPr>
            </w:pPr>
            <w:r>
              <w:rPr>
                <w:rFonts w:hint="eastAsia" w:ascii="宋体" w:hAnsi="宋体" w:cs="宋体"/>
                <w:b/>
                <w:bCs/>
                <w:color w:val="auto"/>
              </w:rPr>
              <w:t>审查因素</w:t>
            </w:r>
          </w:p>
        </w:tc>
        <w:tc>
          <w:tcPr>
            <w:tcW w:w="5826" w:type="dxa"/>
            <w:tcMar>
              <w:top w:w="0" w:type="dxa"/>
              <w:left w:w="57" w:type="dxa"/>
              <w:bottom w:w="0" w:type="dxa"/>
              <w:right w:w="57" w:type="dxa"/>
            </w:tcMar>
            <w:vAlign w:val="center"/>
          </w:tcPr>
          <w:p>
            <w:pPr>
              <w:spacing w:line="240" w:lineRule="auto"/>
              <w:jc w:val="center"/>
              <w:rPr>
                <w:rFonts w:ascii="宋体" w:hAnsi="宋体" w:cs="宋体"/>
                <w:b/>
                <w:bCs/>
                <w:color w:val="auto"/>
              </w:rPr>
            </w:pPr>
            <w:r>
              <w:rPr>
                <w:rFonts w:hint="eastAsia" w:ascii="宋体" w:hAnsi="宋体" w:cs="宋体"/>
                <w:b/>
                <w:bCs/>
                <w:color w:val="auto"/>
              </w:rPr>
              <w:t>审查内容</w:t>
            </w:r>
          </w:p>
        </w:tc>
        <w:tc>
          <w:tcPr>
            <w:tcW w:w="1011" w:type="dxa"/>
            <w:vAlign w:val="center"/>
          </w:tcPr>
          <w:p>
            <w:pPr>
              <w:spacing w:line="240" w:lineRule="auto"/>
              <w:jc w:val="center"/>
              <w:rPr>
                <w:rFonts w:ascii="宋体" w:hAnsi="宋体" w:cs="宋体"/>
                <w:b/>
                <w:bCs/>
                <w:color w:val="auto"/>
              </w:rPr>
            </w:pPr>
            <w:r>
              <w:rPr>
                <w:rFonts w:hint="eastAsia" w:ascii="宋体" w:hAnsi="宋体" w:cs="宋体"/>
                <w:b/>
                <w:bCs/>
                <w:color w:val="auto"/>
              </w:rPr>
              <w:t>审查</w:t>
            </w:r>
          </w:p>
          <w:p>
            <w:pPr>
              <w:spacing w:line="240" w:lineRule="auto"/>
              <w:jc w:val="center"/>
              <w:rPr>
                <w:rFonts w:ascii="宋体" w:hAnsi="宋体" w:cs="宋体"/>
                <w:b/>
                <w:bCs/>
                <w:color w:val="auto"/>
              </w:rPr>
            </w:pPr>
            <w:r>
              <w:rPr>
                <w:rFonts w:hint="eastAsia" w:ascii="宋体" w:hAnsi="宋体" w:cs="宋体"/>
                <w:b/>
                <w:bCs/>
                <w:color w:val="auto"/>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Mar>
              <w:top w:w="0" w:type="dxa"/>
              <w:left w:w="57" w:type="dxa"/>
              <w:bottom w:w="0" w:type="dxa"/>
              <w:right w:w="57" w:type="dxa"/>
            </w:tcMar>
            <w:vAlign w:val="center"/>
          </w:tcPr>
          <w:p>
            <w:pPr>
              <w:spacing w:line="240" w:lineRule="auto"/>
              <w:jc w:val="center"/>
              <w:rPr>
                <w:rFonts w:ascii="宋体" w:hAnsi="宋体" w:cs="宋体"/>
                <w:bCs/>
                <w:color w:val="auto"/>
                <w:highlight w:val="none"/>
              </w:rPr>
            </w:pPr>
            <w:r>
              <w:rPr>
                <w:rFonts w:hint="eastAsia" w:ascii="宋体" w:hAnsi="宋体" w:cs="宋体"/>
                <w:bCs/>
                <w:color w:val="auto"/>
                <w:highlight w:val="none"/>
              </w:rPr>
              <w:t>1</w:t>
            </w:r>
          </w:p>
        </w:tc>
        <w:tc>
          <w:tcPr>
            <w:tcW w:w="1826" w:type="dxa"/>
            <w:tcMar>
              <w:top w:w="0" w:type="dxa"/>
              <w:left w:w="57" w:type="dxa"/>
              <w:bottom w:w="0" w:type="dxa"/>
              <w:right w:w="57" w:type="dxa"/>
            </w:tcMar>
            <w:vAlign w:val="center"/>
          </w:tcPr>
          <w:p>
            <w:pPr>
              <w:jc w:val="center"/>
              <w:rPr>
                <w:rFonts w:ascii="宋体" w:hAnsi="宋体" w:cs="宋体"/>
                <w:bCs/>
                <w:color w:val="auto"/>
                <w:szCs w:val="21"/>
                <w:highlight w:val="none"/>
              </w:rPr>
            </w:pPr>
            <w:r>
              <w:rPr>
                <w:rFonts w:hint="eastAsia" w:ascii="宋体" w:hAnsi="宋体" w:cs="宋体"/>
                <w:color w:val="auto"/>
                <w:highlight w:val="none"/>
              </w:rPr>
              <w:t>具有独立承担民事责任的能力</w:t>
            </w:r>
          </w:p>
        </w:tc>
        <w:tc>
          <w:tcPr>
            <w:tcW w:w="5826" w:type="dxa"/>
            <w:vAlign w:val="center"/>
          </w:tcPr>
          <w:p>
            <w:pPr>
              <w:wordWrap w:val="0"/>
              <w:spacing w:line="480" w:lineRule="exact"/>
              <w:rPr>
                <w:rFonts w:ascii="宋体" w:hAnsi="宋体" w:cs="宋体"/>
                <w:color w:val="auto"/>
                <w:szCs w:val="21"/>
                <w:highlight w:val="none"/>
              </w:rPr>
            </w:pPr>
            <w:r>
              <w:rPr>
                <w:rFonts w:hint="eastAsia" w:ascii="宋体" w:hAnsi="宋体" w:cs="宋体"/>
                <w:color w:val="auto"/>
                <w:szCs w:val="21"/>
                <w:highlight w:val="none"/>
              </w:rPr>
              <w:t>供应商是企业（包括合伙企业），应提供在工商部门注册的有效“企业法人营业执照”或“营业执照”复印件或扫描件；</w:t>
            </w:r>
          </w:p>
          <w:p>
            <w:pPr>
              <w:wordWrap w:val="0"/>
              <w:spacing w:line="480" w:lineRule="exact"/>
              <w:rPr>
                <w:rFonts w:ascii="宋体" w:hAnsi="宋体" w:cs="宋体"/>
                <w:color w:val="auto"/>
                <w:szCs w:val="21"/>
                <w:highlight w:val="none"/>
              </w:rPr>
            </w:pPr>
            <w:r>
              <w:rPr>
                <w:rFonts w:hint="eastAsia" w:ascii="宋体" w:hAnsi="宋体" w:cs="宋体"/>
                <w:color w:val="auto"/>
                <w:szCs w:val="21"/>
                <w:highlight w:val="none"/>
              </w:rPr>
              <w:t>供应商是事业单位，应提供有效的“事业单位法人证书”复印件或扫描件。</w:t>
            </w:r>
          </w:p>
        </w:tc>
        <w:tc>
          <w:tcPr>
            <w:tcW w:w="1011" w:type="dxa"/>
            <w:tcMar>
              <w:top w:w="0" w:type="dxa"/>
              <w:left w:w="57" w:type="dxa"/>
              <w:bottom w:w="0" w:type="dxa"/>
              <w:right w:w="57" w:type="dxa"/>
            </w:tcMar>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Mar>
              <w:top w:w="0" w:type="dxa"/>
              <w:left w:w="57" w:type="dxa"/>
              <w:bottom w:w="0" w:type="dxa"/>
              <w:right w:w="57" w:type="dxa"/>
            </w:tcMar>
            <w:vAlign w:val="center"/>
          </w:tcPr>
          <w:p>
            <w:pPr>
              <w:spacing w:line="240" w:lineRule="auto"/>
              <w:jc w:val="center"/>
              <w:rPr>
                <w:rFonts w:ascii="宋体" w:hAnsi="宋体" w:cs="宋体"/>
                <w:bCs/>
                <w:color w:val="auto"/>
                <w:highlight w:val="none"/>
              </w:rPr>
            </w:pPr>
            <w:r>
              <w:rPr>
                <w:rFonts w:hint="eastAsia" w:ascii="宋体" w:hAnsi="宋体" w:cs="宋体"/>
                <w:bCs/>
                <w:color w:val="auto"/>
                <w:highlight w:val="none"/>
              </w:rPr>
              <w:t>2</w:t>
            </w:r>
          </w:p>
        </w:tc>
        <w:tc>
          <w:tcPr>
            <w:tcW w:w="1826" w:type="dxa"/>
            <w:tcMar>
              <w:top w:w="0" w:type="dxa"/>
              <w:left w:w="57" w:type="dxa"/>
              <w:bottom w:w="0" w:type="dxa"/>
              <w:right w:w="57" w:type="dxa"/>
            </w:tcMar>
            <w:vAlign w:val="center"/>
          </w:tcPr>
          <w:p>
            <w:pPr>
              <w:spacing w:line="240" w:lineRule="auto"/>
              <w:jc w:val="center"/>
              <w:rPr>
                <w:rFonts w:ascii="宋体" w:hAnsi="宋体" w:cs="宋体"/>
                <w:bCs/>
                <w:color w:val="auto"/>
                <w:szCs w:val="21"/>
                <w:highlight w:val="none"/>
              </w:rPr>
            </w:pPr>
            <w:r>
              <w:rPr>
                <w:rFonts w:hint="eastAsia" w:ascii="宋体" w:hAnsi="宋体" w:cs="宋体"/>
                <w:color w:val="auto"/>
                <w:highlight w:val="none"/>
              </w:rPr>
              <w:t>具有健全的财务制度</w:t>
            </w:r>
          </w:p>
        </w:tc>
        <w:tc>
          <w:tcPr>
            <w:tcW w:w="5826" w:type="dxa"/>
            <w:vAlign w:val="center"/>
          </w:tcPr>
          <w:p>
            <w:pPr>
              <w:spacing w:line="480" w:lineRule="exact"/>
              <w:rPr>
                <w:rFonts w:ascii="宋体" w:hAnsi="宋体" w:cs="宋体"/>
                <w:color w:val="auto"/>
                <w:highlight w:val="none"/>
              </w:rPr>
            </w:pPr>
            <w:r>
              <w:rPr>
                <w:rFonts w:hint="eastAsia" w:ascii="宋体" w:hAnsi="宋体" w:cs="宋体"/>
                <w:color w:val="auto"/>
                <w:highlight w:val="none"/>
              </w:rPr>
              <w:t>提供经审计的202</w:t>
            </w:r>
            <w:r>
              <w:rPr>
                <w:rFonts w:hint="eastAsia" w:ascii="宋体" w:hAnsi="宋体" w:cs="宋体"/>
                <w:color w:val="auto"/>
                <w:highlight w:val="none"/>
                <w:lang w:val="en-US" w:eastAsia="zh-CN"/>
              </w:rPr>
              <w:t>2</w:t>
            </w:r>
            <w:r>
              <w:rPr>
                <w:rFonts w:hint="eastAsia" w:ascii="宋体" w:hAnsi="宋体" w:cs="宋体"/>
                <w:color w:val="auto"/>
                <w:highlight w:val="none"/>
              </w:rPr>
              <w:t>年度财务状况报告（公司成立年限不足的企业应提供其基本开户银行出具的资信证明）。财务报告须具有2名及以上注册会计师盖章和签字。</w:t>
            </w:r>
          </w:p>
        </w:tc>
        <w:tc>
          <w:tcPr>
            <w:tcW w:w="1011" w:type="dxa"/>
            <w:tcMar>
              <w:top w:w="0" w:type="dxa"/>
              <w:left w:w="57" w:type="dxa"/>
              <w:bottom w:w="0" w:type="dxa"/>
              <w:right w:w="57" w:type="dxa"/>
            </w:tcMar>
            <w:vAlign w:val="center"/>
          </w:tcPr>
          <w:p>
            <w:pPr>
              <w:jc w:val="center"/>
              <w:rPr>
                <w:rFonts w:ascii="宋体" w:hAnsi="宋体" w:cs="宋体"/>
                <w:color w:val="auto"/>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Mar>
              <w:top w:w="0" w:type="dxa"/>
              <w:left w:w="57" w:type="dxa"/>
              <w:bottom w:w="0" w:type="dxa"/>
              <w:right w:w="57" w:type="dxa"/>
            </w:tcMar>
            <w:vAlign w:val="center"/>
          </w:tcPr>
          <w:p>
            <w:pPr>
              <w:spacing w:line="240" w:lineRule="auto"/>
              <w:jc w:val="center"/>
              <w:rPr>
                <w:rFonts w:ascii="宋体" w:hAnsi="宋体" w:cs="宋体"/>
                <w:bCs/>
                <w:color w:val="auto"/>
                <w:highlight w:val="none"/>
              </w:rPr>
            </w:pPr>
            <w:r>
              <w:rPr>
                <w:rFonts w:hint="eastAsia" w:ascii="宋体" w:hAnsi="宋体" w:cs="宋体"/>
                <w:bCs/>
                <w:color w:val="auto"/>
                <w:highlight w:val="none"/>
              </w:rPr>
              <w:t>3</w:t>
            </w:r>
          </w:p>
        </w:tc>
        <w:tc>
          <w:tcPr>
            <w:tcW w:w="1826" w:type="dxa"/>
            <w:tcMar>
              <w:top w:w="0" w:type="dxa"/>
              <w:left w:w="57" w:type="dxa"/>
              <w:bottom w:w="0" w:type="dxa"/>
              <w:right w:w="57" w:type="dxa"/>
            </w:tcMar>
            <w:vAlign w:val="center"/>
          </w:tcPr>
          <w:p>
            <w:pPr>
              <w:jc w:val="center"/>
              <w:rPr>
                <w:rFonts w:ascii="宋体" w:hAnsi="宋体" w:cs="宋体"/>
                <w:bCs/>
                <w:color w:val="auto"/>
                <w:szCs w:val="21"/>
                <w:highlight w:val="none"/>
              </w:rPr>
            </w:pPr>
            <w:r>
              <w:rPr>
                <w:rFonts w:hint="eastAsia" w:ascii="宋体" w:hAnsi="宋体" w:cs="宋体"/>
                <w:color w:val="auto"/>
                <w:highlight w:val="none"/>
              </w:rPr>
              <w:t>具有依法缴纳税收和社会保障资金的良好记录</w:t>
            </w:r>
          </w:p>
        </w:tc>
        <w:tc>
          <w:tcPr>
            <w:tcW w:w="5826" w:type="dxa"/>
            <w:vAlign w:val="center"/>
          </w:tcPr>
          <w:p>
            <w:pPr>
              <w:spacing w:line="480" w:lineRule="exact"/>
              <w:rPr>
                <w:rFonts w:ascii="宋体" w:hAnsi="宋体" w:cs="宋体"/>
                <w:color w:val="auto"/>
                <w:szCs w:val="21"/>
                <w:highlight w:val="none"/>
              </w:rPr>
            </w:pPr>
            <w:r>
              <w:rPr>
                <w:rFonts w:hint="eastAsia" w:ascii="宋体" w:hAnsi="宋体" w:cs="宋体"/>
                <w:color w:val="auto"/>
                <w:highlight w:val="none"/>
              </w:rPr>
              <w:t>提供202</w:t>
            </w:r>
            <w:r>
              <w:rPr>
                <w:rFonts w:hint="eastAsia" w:ascii="宋体" w:hAnsi="宋体" w:cs="宋体"/>
                <w:color w:val="auto"/>
                <w:highlight w:val="none"/>
                <w:lang w:val="en-US" w:eastAsia="zh-CN"/>
              </w:rPr>
              <w:t>3</w:t>
            </w:r>
            <w:r>
              <w:rPr>
                <w:rFonts w:hint="eastAsia" w:ascii="宋体" w:hAnsi="宋体" w:cs="宋体"/>
                <w:color w:val="auto"/>
                <w:highlight w:val="none"/>
              </w:rPr>
              <w:t>年1月1日以来至少一个月的依法缴纳税收和社会保障资金的相关证明（依法免税或不需要缴纳社会保障资金的供应商，应提供相应文件证明其依法免税或不需要缴纳社会保障资金）</w:t>
            </w:r>
          </w:p>
        </w:tc>
        <w:tc>
          <w:tcPr>
            <w:tcW w:w="1011" w:type="dxa"/>
            <w:tcMar>
              <w:top w:w="0" w:type="dxa"/>
              <w:left w:w="57" w:type="dxa"/>
              <w:bottom w:w="0" w:type="dxa"/>
              <w:right w:w="57" w:type="dxa"/>
            </w:tcMar>
            <w:vAlign w:val="center"/>
          </w:tcPr>
          <w:p>
            <w:pPr>
              <w:jc w:val="center"/>
              <w:rPr>
                <w:rFonts w:ascii="宋体" w:hAnsi="宋体" w:cs="宋体"/>
                <w:color w:val="auto"/>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tcMar>
              <w:top w:w="0" w:type="dxa"/>
              <w:left w:w="57" w:type="dxa"/>
              <w:bottom w:w="0" w:type="dxa"/>
              <w:right w:w="57" w:type="dxa"/>
            </w:tcMar>
            <w:vAlign w:val="center"/>
          </w:tcPr>
          <w:p>
            <w:pPr>
              <w:spacing w:line="240" w:lineRule="auto"/>
              <w:jc w:val="center"/>
              <w:rPr>
                <w:rFonts w:ascii="宋体" w:hAnsi="宋体" w:cs="宋体"/>
                <w:bCs/>
                <w:color w:val="auto"/>
                <w:highlight w:val="yellow"/>
              </w:rPr>
            </w:pPr>
            <w:r>
              <w:rPr>
                <w:rFonts w:hint="eastAsia" w:ascii="宋体" w:hAnsi="宋体" w:cs="宋体"/>
                <w:bCs/>
                <w:color w:val="auto"/>
                <w:highlight w:val="none"/>
              </w:rPr>
              <w:t>4</w:t>
            </w:r>
          </w:p>
        </w:tc>
        <w:tc>
          <w:tcPr>
            <w:tcW w:w="1826" w:type="dxa"/>
            <w:tcMar>
              <w:top w:w="0" w:type="dxa"/>
              <w:left w:w="57" w:type="dxa"/>
              <w:bottom w:w="0" w:type="dxa"/>
              <w:right w:w="57" w:type="dxa"/>
            </w:tcMar>
            <w:vAlign w:val="center"/>
          </w:tcPr>
          <w:p>
            <w:pPr>
              <w:spacing w:line="240" w:lineRule="auto"/>
              <w:jc w:val="center"/>
              <w:rPr>
                <w:rFonts w:ascii="宋体" w:hAnsi="宋体" w:cs="宋体"/>
                <w:bCs/>
                <w:color w:val="auto"/>
                <w:szCs w:val="21"/>
                <w:highlight w:val="yellow"/>
              </w:rPr>
            </w:pPr>
            <w:r>
              <w:rPr>
                <w:rFonts w:hint="eastAsia" w:ascii="宋体" w:hAnsi="宋体" w:cs="宋体"/>
                <w:color w:val="auto"/>
              </w:rPr>
              <w:t>具有履行合同所必需的设备和专业技术能力</w:t>
            </w:r>
          </w:p>
        </w:tc>
        <w:tc>
          <w:tcPr>
            <w:tcW w:w="5826" w:type="dxa"/>
            <w:vAlign w:val="center"/>
          </w:tcPr>
          <w:p>
            <w:pPr>
              <w:spacing w:line="480" w:lineRule="exact"/>
              <w:rPr>
                <w:rFonts w:ascii="宋体" w:hAnsi="宋体" w:cs="宋体"/>
                <w:color w:val="auto"/>
                <w:szCs w:val="21"/>
                <w:highlight w:val="yellow"/>
              </w:rPr>
            </w:pPr>
            <w:r>
              <w:rPr>
                <w:rFonts w:hint="eastAsia" w:ascii="宋体" w:hAnsi="宋体" w:cs="宋体"/>
                <w:color w:val="auto"/>
              </w:rPr>
              <w:t>提供声明函</w:t>
            </w:r>
          </w:p>
        </w:tc>
        <w:tc>
          <w:tcPr>
            <w:tcW w:w="1011" w:type="dxa"/>
            <w:tcMar>
              <w:top w:w="0" w:type="dxa"/>
              <w:left w:w="57" w:type="dxa"/>
              <w:bottom w:w="0" w:type="dxa"/>
              <w:right w:w="57" w:type="dxa"/>
            </w:tcMar>
            <w:vAlign w:val="center"/>
          </w:tcPr>
          <w:p>
            <w:pPr>
              <w:jc w:val="center"/>
              <w:rPr>
                <w:rFonts w:ascii="宋体" w:hAnsi="宋体" w:cs="宋体"/>
                <w:color w:val="auto"/>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pPr>
              <w:widowControl/>
              <w:spacing w:line="240" w:lineRule="auto"/>
              <w:jc w:val="center"/>
              <w:rPr>
                <w:rFonts w:ascii="宋体" w:hAnsi="宋体" w:cs="宋体"/>
                <w:bCs/>
                <w:color w:val="auto"/>
                <w:highlight w:val="yellow"/>
              </w:rPr>
            </w:pPr>
            <w:r>
              <w:rPr>
                <w:rFonts w:hint="eastAsia" w:ascii="宋体" w:hAnsi="宋体" w:cs="宋体"/>
                <w:bCs/>
                <w:color w:val="auto"/>
                <w:highlight w:val="none"/>
              </w:rPr>
              <w:t>5</w:t>
            </w:r>
          </w:p>
        </w:tc>
        <w:tc>
          <w:tcPr>
            <w:tcW w:w="1826" w:type="dxa"/>
            <w:tcMar>
              <w:top w:w="0" w:type="dxa"/>
              <w:left w:w="57" w:type="dxa"/>
              <w:bottom w:w="0" w:type="dxa"/>
              <w:right w:w="57" w:type="dxa"/>
            </w:tcMar>
            <w:vAlign w:val="center"/>
          </w:tcPr>
          <w:p>
            <w:pPr>
              <w:spacing w:line="240" w:lineRule="auto"/>
              <w:jc w:val="center"/>
              <w:rPr>
                <w:rFonts w:ascii="宋体" w:hAnsi="宋体" w:cs="宋体"/>
                <w:bCs/>
                <w:color w:val="auto"/>
                <w:szCs w:val="21"/>
                <w:highlight w:val="yellow"/>
              </w:rPr>
            </w:pPr>
            <w:r>
              <w:rPr>
                <w:rFonts w:hint="eastAsia" w:ascii="宋体" w:hAnsi="宋体" w:cs="宋体"/>
                <w:color w:val="auto"/>
              </w:rPr>
              <w:t>具有良好的商业信誉</w:t>
            </w:r>
          </w:p>
        </w:tc>
        <w:tc>
          <w:tcPr>
            <w:tcW w:w="5826" w:type="dxa"/>
            <w:vAlign w:val="center"/>
          </w:tcPr>
          <w:p>
            <w:pPr>
              <w:spacing w:line="480" w:lineRule="exact"/>
              <w:rPr>
                <w:rFonts w:ascii="宋体" w:hAnsi="宋体" w:cs="宋体"/>
                <w:color w:val="auto"/>
                <w:szCs w:val="21"/>
                <w:highlight w:val="yellow"/>
              </w:rPr>
            </w:pPr>
            <w:r>
              <w:rPr>
                <w:rFonts w:hint="eastAsia" w:ascii="宋体" w:hAnsi="宋体" w:cs="宋体"/>
                <w:color w:val="auto"/>
              </w:rPr>
              <w:t>在参加本次政府采购活动前三年内，在经营活动中没有</w:t>
            </w:r>
            <w:r>
              <w:rPr>
                <w:rFonts w:hint="eastAsia" w:ascii="宋体" w:hAnsi="宋体" w:cs="宋体"/>
                <w:color w:val="auto"/>
                <w:highlight w:val="none"/>
              </w:rPr>
              <w:t>重大违法记录的书面声明或证明材料</w:t>
            </w:r>
          </w:p>
        </w:tc>
        <w:tc>
          <w:tcPr>
            <w:tcW w:w="1011" w:type="dxa"/>
            <w:tcMar>
              <w:top w:w="0" w:type="dxa"/>
              <w:left w:w="57" w:type="dxa"/>
              <w:bottom w:w="0" w:type="dxa"/>
              <w:right w:w="57" w:type="dxa"/>
            </w:tcMar>
            <w:vAlign w:val="center"/>
          </w:tcPr>
          <w:p>
            <w:pPr>
              <w:jc w:val="center"/>
              <w:rPr>
                <w:rFonts w:ascii="宋体" w:hAnsi="宋体" w:cs="宋体"/>
                <w:color w:val="auto"/>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pPr>
              <w:widowControl/>
              <w:spacing w:line="240" w:lineRule="auto"/>
              <w:jc w:val="center"/>
              <w:rPr>
                <w:rFonts w:hint="eastAsia" w:ascii="宋体" w:hAnsi="宋体" w:eastAsia="宋体" w:cs="宋体"/>
                <w:bCs/>
                <w:color w:val="auto"/>
                <w:highlight w:val="none"/>
                <w:lang w:val="en-US" w:eastAsia="zh-CN"/>
              </w:rPr>
            </w:pPr>
            <w:r>
              <w:rPr>
                <w:rFonts w:hint="eastAsia" w:ascii="宋体" w:hAnsi="宋体" w:cs="宋体"/>
                <w:bCs/>
                <w:color w:val="auto"/>
                <w:highlight w:val="none"/>
                <w:lang w:val="en-US" w:eastAsia="zh-CN"/>
              </w:rPr>
              <w:t>6</w:t>
            </w:r>
          </w:p>
        </w:tc>
        <w:tc>
          <w:tcPr>
            <w:tcW w:w="1826" w:type="dxa"/>
            <w:tcMar>
              <w:top w:w="0" w:type="dxa"/>
              <w:left w:w="57" w:type="dxa"/>
              <w:bottom w:w="0" w:type="dxa"/>
              <w:right w:w="57" w:type="dxa"/>
            </w:tcMar>
            <w:vAlign w:val="center"/>
          </w:tcPr>
          <w:p>
            <w:pPr>
              <w:spacing w:line="240" w:lineRule="auto"/>
              <w:jc w:val="center"/>
              <w:rPr>
                <w:rFonts w:hint="eastAsia" w:ascii="宋体" w:hAnsi="宋体" w:cs="宋体"/>
                <w:color w:val="auto"/>
              </w:rPr>
            </w:pPr>
            <w:r>
              <w:rPr>
                <w:rFonts w:hint="eastAsia" w:ascii="宋体" w:hAnsi="宋体" w:cs="宋体"/>
                <w:color w:val="auto"/>
              </w:rPr>
              <w:t>无关联声明</w:t>
            </w:r>
          </w:p>
        </w:tc>
        <w:tc>
          <w:tcPr>
            <w:tcW w:w="5826" w:type="dxa"/>
            <w:vAlign w:val="center"/>
          </w:tcPr>
          <w:p>
            <w:pPr>
              <w:spacing w:line="480" w:lineRule="exact"/>
              <w:rPr>
                <w:rFonts w:hint="eastAsia" w:ascii="宋体" w:hAnsi="宋体" w:cs="宋体"/>
                <w:color w:val="auto"/>
              </w:rPr>
            </w:pPr>
            <w:r>
              <w:rPr>
                <w:rFonts w:hint="eastAsia" w:ascii="宋体" w:hAnsi="宋体" w:cs="宋体"/>
                <w:color w:val="auto"/>
              </w:rPr>
              <w:t>提供声明函</w:t>
            </w:r>
          </w:p>
        </w:tc>
        <w:tc>
          <w:tcPr>
            <w:tcW w:w="1011" w:type="dxa"/>
            <w:tcMar>
              <w:top w:w="0" w:type="dxa"/>
              <w:left w:w="57" w:type="dxa"/>
              <w:bottom w:w="0" w:type="dxa"/>
              <w:right w:w="57" w:type="dxa"/>
            </w:tcMar>
            <w:vAlign w:val="center"/>
          </w:tcPr>
          <w:p>
            <w:pPr>
              <w:jc w:val="center"/>
              <w:rPr>
                <w:rFonts w:ascii="宋体" w:hAnsi="宋体" w:cs="宋体"/>
                <w:color w:val="auto"/>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pPr>
              <w:widowControl/>
              <w:jc w:val="center"/>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7</w:t>
            </w:r>
          </w:p>
        </w:tc>
        <w:tc>
          <w:tcPr>
            <w:tcW w:w="1826" w:type="dxa"/>
            <w:tcMar>
              <w:top w:w="0" w:type="dxa"/>
              <w:left w:w="57" w:type="dxa"/>
              <w:bottom w:w="0" w:type="dxa"/>
              <w:right w:w="57" w:type="dxa"/>
            </w:tcMar>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投标产品来源的合法性</w:t>
            </w:r>
          </w:p>
        </w:tc>
        <w:tc>
          <w:tcPr>
            <w:tcW w:w="5826" w:type="dxa"/>
            <w:vAlign w:val="center"/>
          </w:tcPr>
          <w:p>
            <w:pPr>
              <w:spacing w:line="480" w:lineRule="exact"/>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（1）投标人若为生产企业：所投产品为第二、三类医疗器械的，提供医疗行业主管部门颁发的《医疗器械生产许可证》；</w:t>
            </w:r>
          </w:p>
          <w:p>
            <w:pPr>
              <w:spacing w:line="480" w:lineRule="exact"/>
              <w:jc w:val="both"/>
              <w:rPr>
                <w:rFonts w:ascii="宋体" w:hAnsi="宋体" w:cs="宋体"/>
                <w:color w:val="auto"/>
                <w:highlight w:val="none"/>
              </w:rPr>
            </w:pPr>
            <w:r>
              <w:rPr>
                <w:rFonts w:hint="eastAsia" w:ascii="宋体" w:hAnsi="宋体" w:cs="宋体"/>
                <w:color w:val="auto"/>
                <w:highlight w:val="none"/>
                <w:lang w:val="en-US" w:eastAsia="zh-CN"/>
              </w:rPr>
              <w:t>（2）投标人若为经营企业：所投产品为第二类医疗器械的，提供医疗行业主管部门颁发的《医疗器械经营备案凭证》；所投产品为第三类医疗器械的，提供医疗行业主管部门颁发的《医疗器械经营许可证》</w:t>
            </w:r>
            <w:r>
              <w:rPr>
                <w:rFonts w:hint="eastAsia" w:ascii="宋体" w:hAnsi="宋体" w:cs="宋体"/>
                <w:color w:val="auto"/>
                <w:highlight w:val="none"/>
              </w:rPr>
              <w:t>。</w:t>
            </w:r>
          </w:p>
        </w:tc>
        <w:tc>
          <w:tcPr>
            <w:tcW w:w="1011" w:type="dxa"/>
            <w:tcMar>
              <w:top w:w="0" w:type="dxa"/>
              <w:left w:w="57" w:type="dxa"/>
              <w:bottom w:w="0" w:type="dxa"/>
              <w:right w:w="57" w:type="dxa"/>
            </w:tcMar>
            <w:vAlign w:val="center"/>
          </w:tcPr>
          <w:p>
            <w:pPr>
              <w:jc w:val="center"/>
              <w:rPr>
                <w:rFonts w:ascii="宋体" w:hAnsi="宋体" w:cs="宋体"/>
                <w:color w:val="auto"/>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pPr>
              <w:widowControl/>
              <w:spacing w:line="240" w:lineRule="auto"/>
              <w:jc w:val="center"/>
              <w:rPr>
                <w:rFonts w:hint="eastAsia" w:ascii="宋体" w:hAnsi="宋体" w:eastAsia="宋体" w:cs="宋体"/>
                <w:bCs/>
                <w:color w:val="auto"/>
                <w:highlight w:val="none"/>
                <w:lang w:eastAsia="zh-CN"/>
              </w:rPr>
            </w:pPr>
            <w:r>
              <w:rPr>
                <w:rFonts w:hint="eastAsia" w:ascii="宋体" w:hAnsi="宋体" w:cs="宋体"/>
                <w:bCs/>
                <w:color w:val="auto"/>
                <w:highlight w:val="none"/>
                <w:lang w:val="en-US" w:eastAsia="zh-CN"/>
              </w:rPr>
              <w:t>8</w:t>
            </w:r>
          </w:p>
        </w:tc>
        <w:tc>
          <w:tcPr>
            <w:tcW w:w="1826" w:type="dxa"/>
            <w:tcMar>
              <w:top w:w="0" w:type="dxa"/>
              <w:left w:w="57" w:type="dxa"/>
              <w:bottom w:w="0" w:type="dxa"/>
              <w:right w:w="57" w:type="dxa"/>
            </w:tcMar>
            <w:vAlign w:val="center"/>
          </w:tcPr>
          <w:p>
            <w:pPr>
              <w:spacing w:line="240" w:lineRule="auto"/>
              <w:jc w:val="center"/>
              <w:rPr>
                <w:rFonts w:ascii="宋体" w:hAnsi="宋体" w:cs="宋体"/>
                <w:bCs/>
                <w:color w:val="auto"/>
                <w:szCs w:val="21"/>
                <w:highlight w:val="none"/>
              </w:rPr>
            </w:pPr>
            <w:r>
              <w:rPr>
                <w:rFonts w:hint="eastAsia" w:ascii="宋体" w:hAnsi="宋体" w:cs="宋体"/>
                <w:bCs/>
                <w:color w:val="auto"/>
                <w:szCs w:val="21"/>
                <w:highlight w:val="none"/>
              </w:rPr>
              <w:t>信用记录</w:t>
            </w:r>
          </w:p>
        </w:tc>
        <w:tc>
          <w:tcPr>
            <w:tcW w:w="5826" w:type="dxa"/>
            <w:vAlign w:val="center"/>
          </w:tcPr>
          <w:p>
            <w:pPr>
              <w:spacing w:line="480" w:lineRule="exact"/>
              <w:rPr>
                <w:rFonts w:ascii="宋体" w:hAnsi="宋体" w:cs="宋体"/>
                <w:color w:val="auto"/>
                <w:highlight w:val="none"/>
              </w:rPr>
            </w:pPr>
            <w:r>
              <w:rPr>
                <w:rFonts w:hint="eastAsia" w:ascii="宋体" w:hAnsi="宋体" w:cs="宋体"/>
                <w:color w:val="auto"/>
                <w:highlight w:val="none"/>
              </w:rPr>
              <w:t>采购人或采购代理机构在开标当日查询投标供应商信用记录。查询时将查询网页进行截图或打印，以作证据留存，内容要完整清晰。</w:t>
            </w:r>
          </w:p>
        </w:tc>
        <w:tc>
          <w:tcPr>
            <w:tcW w:w="1011" w:type="dxa"/>
            <w:tcMar>
              <w:top w:w="0" w:type="dxa"/>
              <w:left w:w="57" w:type="dxa"/>
              <w:bottom w:w="0" w:type="dxa"/>
              <w:right w:w="57" w:type="dxa"/>
            </w:tcMar>
            <w:vAlign w:val="center"/>
          </w:tcPr>
          <w:p>
            <w:pPr>
              <w:jc w:val="center"/>
              <w:rPr>
                <w:rFonts w:ascii="宋体" w:hAnsi="宋体" w:cs="宋体"/>
                <w:color w:val="auto"/>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pPr>
              <w:widowControl/>
              <w:spacing w:line="240" w:lineRule="auto"/>
              <w:jc w:val="center"/>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9</w:t>
            </w:r>
          </w:p>
        </w:tc>
        <w:tc>
          <w:tcPr>
            <w:tcW w:w="1826" w:type="dxa"/>
            <w:tcMar>
              <w:top w:w="0" w:type="dxa"/>
              <w:left w:w="57" w:type="dxa"/>
              <w:bottom w:w="0" w:type="dxa"/>
              <w:right w:w="57" w:type="dxa"/>
            </w:tcMar>
            <w:vAlign w:val="center"/>
          </w:tcPr>
          <w:p>
            <w:pPr>
              <w:spacing w:line="240" w:lineRule="auto"/>
              <w:jc w:val="center"/>
              <w:rPr>
                <w:rFonts w:hint="eastAsia" w:ascii="宋体" w:hAnsi="宋体" w:cs="宋体"/>
                <w:bCs/>
                <w:color w:val="auto"/>
                <w:szCs w:val="21"/>
                <w:highlight w:val="none"/>
              </w:rPr>
            </w:pPr>
            <w:r>
              <w:rPr>
                <w:rFonts w:hint="eastAsia" w:ascii="宋体" w:hAnsi="宋体"/>
                <w:color w:val="auto"/>
                <w:kern w:val="0"/>
                <w:szCs w:val="20"/>
              </w:rPr>
              <w:t>中小企业声明函</w:t>
            </w:r>
          </w:p>
        </w:tc>
        <w:tc>
          <w:tcPr>
            <w:tcW w:w="5826" w:type="dxa"/>
            <w:vAlign w:val="center"/>
          </w:tcPr>
          <w:p>
            <w:pPr>
              <w:spacing w:line="240" w:lineRule="auto"/>
              <w:rPr>
                <w:rFonts w:hint="eastAsia" w:ascii="宋体" w:hAnsi="宋体" w:cs="宋体"/>
                <w:color w:val="auto"/>
                <w:highlight w:val="none"/>
              </w:rPr>
            </w:pPr>
            <w:r>
              <w:rPr>
                <w:rFonts w:hint="eastAsia" w:ascii="宋体" w:hAnsi="宋体" w:cs="宋体"/>
                <w:color w:val="auto"/>
              </w:rPr>
              <w:t>提供声明函</w:t>
            </w:r>
          </w:p>
        </w:tc>
        <w:tc>
          <w:tcPr>
            <w:tcW w:w="1011" w:type="dxa"/>
            <w:tcMar>
              <w:top w:w="0" w:type="dxa"/>
              <w:left w:w="57" w:type="dxa"/>
              <w:bottom w:w="0" w:type="dxa"/>
              <w:right w:w="57" w:type="dxa"/>
            </w:tcMar>
            <w:vAlign w:val="center"/>
          </w:tcPr>
          <w:p>
            <w:pPr>
              <w:jc w:val="center"/>
              <w:rPr>
                <w:rFonts w:ascii="宋体" w:hAnsi="宋体" w:cs="宋体"/>
                <w:color w:val="auto"/>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gridSpan w:val="2"/>
            <w:vAlign w:val="center"/>
          </w:tcPr>
          <w:p>
            <w:pPr>
              <w:spacing w:line="240" w:lineRule="auto"/>
              <w:jc w:val="center"/>
              <w:rPr>
                <w:rFonts w:ascii="宋体" w:hAnsi="宋体" w:cs="宋体"/>
                <w:b/>
                <w:color w:val="auto"/>
                <w:szCs w:val="21"/>
              </w:rPr>
            </w:pPr>
            <w:r>
              <w:rPr>
                <w:rFonts w:hint="eastAsia" w:ascii="宋体" w:hAnsi="宋体" w:cs="宋体"/>
                <w:b/>
                <w:color w:val="auto"/>
                <w:szCs w:val="21"/>
              </w:rPr>
              <w:t>结  论</w:t>
            </w:r>
          </w:p>
        </w:tc>
        <w:tc>
          <w:tcPr>
            <w:tcW w:w="5826" w:type="dxa"/>
            <w:vAlign w:val="center"/>
          </w:tcPr>
          <w:p>
            <w:pPr>
              <w:spacing w:line="240" w:lineRule="auto"/>
              <w:jc w:val="center"/>
              <w:rPr>
                <w:rFonts w:ascii="宋体" w:hAnsi="宋体" w:cs="宋体"/>
                <w:color w:val="auto"/>
              </w:rPr>
            </w:pPr>
            <w:r>
              <w:rPr>
                <w:rFonts w:hint="eastAsia" w:ascii="宋体" w:hAnsi="宋体" w:cs="宋体"/>
                <w:color w:val="auto"/>
              </w:rPr>
              <w:t>是否通过资格审查</w:t>
            </w:r>
          </w:p>
        </w:tc>
        <w:tc>
          <w:tcPr>
            <w:tcW w:w="1011" w:type="dxa"/>
            <w:tcMar>
              <w:top w:w="0" w:type="dxa"/>
              <w:left w:w="57" w:type="dxa"/>
              <w:bottom w:w="0" w:type="dxa"/>
              <w:right w:w="57" w:type="dxa"/>
            </w:tcMar>
            <w:vAlign w:val="center"/>
          </w:tcPr>
          <w:p>
            <w:pPr>
              <w:rPr>
                <w:rFonts w:ascii="宋体" w:hAnsi="宋体" w:cs="宋体"/>
                <w:color w:val="auto"/>
                <w:szCs w:val="21"/>
                <w:highlight w:val="red"/>
              </w:rPr>
            </w:pPr>
          </w:p>
        </w:tc>
      </w:tr>
    </w:tbl>
    <w:p>
      <w:pPr>
        <w:rPr>
          <w:color w:val="auto"/>
        </w:rPr>
      </w:pPr>
    </w:p>
    <w:p>
      <w:pPr>
        <w:pStyle w:val="3"/>
        <w:spacing w:line="360" w:lineRule="auto"/>
        <w:jc w:val="left"/>
        <w:rPr>
          <w:color w:val="auto"/>
        </w:rPr>
      </w:pPr>
      <w:bookmarkStart w:id="147" w:name="_Toc30884"/>
      <w:bookmarkStart w:id="148" w:name="_Toc18316"/>
      <w:r>
        <w:rPr>
          <w:rFonts w:hint="eastAsia"/>
          <w:color w:val="auto"/>
        </w:rPr>
        <w:t>1.资格审查</w:t>
      </w:r>
      <w:bookmarkEnd w:id="147"/>
      <w:bookmarkEnd w:id="148"/>
    </w:p>
    <w:p>
      <w:pPr>
        <w:ind w:firstLine="480" w:firstLineChars="200"/>
        <w:rPr>
          <w:rFonts w:ascii="宋体" w:hAnsi="宋体" w:cs="宋体"/>
          <w:color w:val="auto"/>
        </w:rPr>
      </w:pPr>
      <w:r>
        <w:rPr>
          <w:rFonts w:hint="eastAsia" w:ascii="宋体" w:hAnsi="宋体" w:cs="宋体"/>
          <w:color w:val="auto"/>
        </w:rPr>
        <w:t>开标结束后，采购人或者采购代理机构应当依法对投标供应商的资格进行审查。</w:t>
      </w:r>
    </w:p>
    <w:p>
      <w:pPr>
        <w:pStyle w:val="3"/>
        <w:spacing w:line="360" w:lineRule="auto"/>
        <w:jc w:val="left"/>
        <w:rPr>
          <w:color w:val="auto"/>
        </w:rPr>
      </w:pPr>
      <w:bookmarkStart w:id="149" w:name="_Toc2116"/>
      <w:bookmarkStart w:id="150" w:name="_Toc3310"/>
      <w:bookmarkStart w:id="151" w:name="_Toc23230"/>
      <w:bookmarkStart w:id="152" w:name="_Toc8631"/>
      <w:bookmarkStart w:id="153" w:name="_Toc29893"/>
      <w:bookmarkStart w:id="154" w:name="_Toc8280"/>
      <w:bookmarkStart w:id="155" w:name="_Toc12137"/>
      <w:bookmarkStart w:id="156" w:name="_Toc11542"/>
      <w:bookmarkStart w:id="157" w:name="_Toc2610"/>
      <w:bookmarkStart w:id="158" w:name="_Toc2692"/>
      <w:bookmarkStart w:id="159" w:name="_Toc21593"/>
      <w:bookmarkStart w:id="160" w:name="_Toc18033"/>
      <w:bookmarkStart w:id="161" w:name="_Toc23724"/>
      <w:bookmarkStart w:id="162" w:name="_Toc6613"/>
      <w:r>
        <w:rPr>
          <w:rFonts w:hint="eastAsia"/>
          <w:color w:val="auto"/>
        </w:rPr>
        <w:t>2.资格审查标准</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ind w:firstLine="480" w:firstLineChars="200"/>
        <w:rPr>
          <w:rFonts w:ascii="宋体" w:hAnsi="宋体" w:cs="宋体"/>
          <w:color w:val="auto"/>
        </w:rPr>
      </w:pPr>
      <w:r>
        <w:rPr>
          <w:rFonts w:hint="eastAsia" w:ascii="宋体" w:hAnsi="宋体" w:cs="宋体"/>
          <w:color w:val="auto"/>
        </w:rPr>
        <w:t>资格审查标准：见“资格性审查表”。</w:t>
      </w:r>
    </w:p>
    <w:p>
      <w:pPr>
        <w:pStyle w:val="3"/>
        <w:spacing w:line="360" w:lineRule="auto"/>
        <w:jc w:val="left"/>
        <w:rPr>
          <w:color w:val="auto"/>
        </w:rPr>
      </w:pPr>
      <w:bookmarkStart w:id="163" w:name="_Toc920"/>
      <w:bookmarkStart w:id="164" w:name="_Toc2029"/>
      <w:bookmarkStart w:id="165" w:name="_Toc5940"/>
      <w:bookmarkStart w:id="166" w:name="_Toc21544"/>
      <w:bookmarkStart w:id="167" w:name="_Toc32375"/>
      <w:bookmarkStart w:id="168" w:name="_Toc14072"/>
      <w:bookmarkStart w:id="169" w:name="_Toc16031"/>
      <w:bookmarkStart w:id="170" w:name="_Toc11928"/>
      <w:bookmarkStart w:id="171" w:name="_Toc29974"/>
      <w:bookmarkStart w:id="172" w:name="_Toc2259"/>
      <w:bookmarkStart w:id="173" w:name="_Toc19383"/>
      <w:bookmarkStart w:id="174" w:name="_Toc10565"/>
      <w:bookmarkStart w:id="175" w:name="_Toc13549"/>
      <w:bookmarkStart w:id="176" w:name="_Toc10180"/>
      <w:r>
        <w:rPr>
          <w:rFonts w:hint="eastAsia"/>
          <w:color w:val="auto"/>
        </w:rPr>
        <w:t>3.资格审查程序</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ind w:firstLine="480" w:firstLineChars="200"/>
        <w:rPr>
          <w:rFonts w:hint="eastAsia" w:ascii="宋体" w:hAnsi="宋体" w:cs="宋体"/>
          <w:color w:val="auto"/>
        </w:rPr>
      </w:pPr>
      <w:r>
        <w:rPr>
          <w:rFonts w:hint="eastAsia" w:ascii="宋体" w:hAnsi="宋体" w:cs="宋体"/>
          <w:color w:val="auto"/>
        </w:rPr>
        <w:t>资格审查人员依据本章资格性审查表规定的标准对投标文件进行资格性审查，以确定投标供应商是否具备投标资格，有一项不符合审查标准的，资格审查人员将认定其投标无效，合格投标供应商不足3家的，将不进入评审阶段。</w:t>
      </w:r>
    </w:p>
    <w:p>
      <w:pPr>
        <w:ind w:firstLine="480" w:firstLineChars="200"/>
        <w:rPr>
          <w:rFonts w:hint="eastAsia" w:ascii="宋体" w:hAnsi="宋体" w:cs="宋体"/>
          <w:color w:val="auto"/>
        </w:rPr>
      </w:pPr>
    </w:p>
    <w:p>
      <w:pPr>
        <w:pStyle w:val="7"/>
        <w:rPr>
          <w:color w:val="auto"/>
        </w:rPr>
      </w:pPr>
    </w:p>
    <w:p>
      <w:pPr>
        <w:rPr>
          <w:color w:val="auto"/>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rFonts w:hint="eastAsia" w:ascii="宋体" w:hAnsi="宋体" w:cs="宋体"/>
          <w:b/>
          <w:color w:val="auto"/>
          <w:sz w:val="36"/>
          <w:szCs w:val="36"/>
        </w:rPr>
      </w:pPr>
      <w:bookmarkStart w:id="177" w:name="_Toc1733"/>
      <w:bookmarkStart w:id="178" w:name="_Toc30"/>
      <w:bookmarkStart w:id="179" w:name="_Toc28956"/>
      <w:bookmarkStart w:id="180" w:name="_Toc18644"/>
      <w:r>
        <w:rPr>
          <w:rFonts w:hint="eastAsia" w:ascii="宋体" w:hAnsi="宋体" w:cs="宋体"/>
          <w:b/>
          <w:color w:val="auto"/>
          <w:sz w:val="36"/>
          <w:szCs w:val="36"/>
        </w:rPr>
        <w:t>第四章  符合性审查表</w:t>
      </w:r>
      <w:bookmarkEnd w:id="177"/>
      <w:bookmarkEnd w:id="178"/>
      <w:bookmarkEnd w:id="179"/>
      <w:bookmarkEnd w:id="180"/>
      <w:bookmarkStart w:id="181" w:name="_Toc15953"/>
      <w:bookmarkStart w:id="182" w:name="_Toc4403"/>
      <w:bookmarkStart w:id="183" w:name="_Toc2524"/>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821"/>
        <w:gridCol w:w="5138"/>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b/>
                <w:bCs/>
                <w:color w:val="auto"/>
              </w:rPr>
            </w:pPr>
            <w:r>
              <w:rPr>
                <w:rFonts w:hint="eastAsia" w:ascii="宋体" w:hAnsi="宋体" w:cs="宋体"/>
                <w:b/>
                <w:bCs/>
                <w:color w:val="auto"/>
              </w:rPr>
              <w:t>序号</w:t>
            </w:r>
          </w:p>
        </w:tc>
        <w:tc>
          <w:tcPr>
            <w:tcW w:w="1821" w:type="dxa"/>
            <w:tcMar>
              <w:top w:w="0" w:type="dxa"/>
              <w:left w:w="57" w:type="dxa"/>
              <w:bottom w:w="0" w:type="dxa"/>
              <w:right w:w="57" w:type="dxa"/>
            </w:tcMar>
            <w:vAlign w:val="center"/>
          </w:tcPr>
          <w:p>
            <w:pPr>
              <w:spacing w:line="240" w:lineRule="auto"/>
              <w:jc w:val="center"/>
              <w:rPr>
                <w:rFonts w:ascii="宋体" w:hAnsi="宋体" w:cs="宋体"/>
                <w:b/>
                <w:bCs/>
                <w:color w:val="auto"/>
              </w:rPr>
            </w:pPr>
            <w:r>
              <w:rPr>
                <w:rFonts w:hint="eastAsia" w:ascii="宋体" w:hAnsi="宋体" w:cs="宋体"/>
                <w:b/>
                <w:bCs/>
                <w:color w:val="auto"/>
              </w:rPr>
              <w:t>审查因素</w:t>
            </w:r>
          </w:p>
        </w:tc>
        <w:tc>
          <w:tcPr>
            <w:tcW w:w="5138" w:type="dxa"/>
            <w:vAlign w:val="center"/>
          </w:tcPr>
          <w:p>
            <w:pPr>
              <w:spacing w:line="240" w:lineRule="auto"/>
              <w:jc w:val="center"/>
              <w:rPr>
                <w:rFonts w:ascii="宋体" w:hAnsi="宋体" w:cs="宋体"/>
                <w:b/>
                <w:bCs/>
                <w:color w:val="auto"/>
              </w:rPr>
            </w:pPr>
            <w:r>
              <w:rPr>
                <w:rFonts w:hint="eastAsia" w:ascii="宋体" w:hAnsi="宋体" w:cs="宋体"/>
                <w:b/>
                <w:bCs/>
                <w:color w:val="auto"/>
              </w:rPr>
              <w:t>审查内容</w:t>
            </w:r>
          </w:p>
        </w:tc>
        <w:tc>
          <w:tcPr>
            <w:tcW w:w="1346" w:type="dxa"/>
            <w:vAlign w:val="center"/>
          </w:tcPr>
          <w:p>
            <w:pPr>
              <w:spacing w:line="240" w:lineRule="auto"/>
              <w:jc w:val="center"/>
              <w:rPr>
                <w:rFonts w:ascii="宋体" w:hAnsi="宋体" w:cs="宋体"/>
                <w:b/>
                <w:bCs/>
                <w:color w:val="auto"/>
              </w:rPr>
            </w:pPr>
            <w:r>
              <w:rPr>
                <w:rFonts w:hint="eastAsia" w:ascii="宋体" w:hAnsi="宋体" w:cs="宋体"/>
                <w:b/>
                <w:bCs/>
                <w:color w:val="auto"/>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1</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标书雷同性分析</w:t>
            </w:r>
          </w:p>
        </w:tc>
        <w:tc>
          <w:tcPr>
            <w:tcW w:w="5138" w:type="dxa"/>
            <w:vAlign w:val="center"/>
          </w:tcPr>
          <w:p>
            <w:pPr>
              <w:spacing w:line="240" w:lineRule="auto"/>
              <w:rPr>
                <w:rFonts w:ascii="宋体" w:hAnsi="宋体" w:cs="宋体"/>
                <w:color w:val="auto"/>
                <w:szCs w:val="21"/>
              </w:rPr>
            </w:pPr>
            <w:r>
              <w:rPr>
                <w:rFonts w:hint="default" w:ascii="宋体" w:hAnsi="宋体" w:cs="宋体"/>
                <w:color w:val="auto"/>
                <w:szCs w:val="21"/>
              </w:rPr>
              <w:t>投标（响应）文件制作机器码不能一致</w:t>
            </w:r>
          </w:p>
        </w:tc>
        <w:tc>
          <w:tcPr>
            <w:tcW w:w="1346" w:type="dxa"/>
            <w:vAlign w:val="center"/>
          </w:tcPr>
          <w:p>
            <w:pPr>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2</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投标签字盖章</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符合第</w:t>
            </w:r>
            <w:r>
              <w:rPr>
                <w:rFonts w:hint="eastAsia" w:ascii="宋体" w:hAnsi="宋体" w:cs="宋体"/>
                <w:color w:val="auto"/>
                <w:szCs w:val="21"/>
                <w:lang w:eastAsia="zh-CN"/>
              </w:rPr>
              <w:t>八</w:t>
            </w:r>
            <w:r>
              <w:rPr>
                <w:rFonts w:hint="eastAsia" w:ascii="宋体" w:hAnsi="宋体" w:cs="宋体"/>
                <w:color w:val="auto"/>
                <w:szCs w:val="21"/>
              </w:rPr>
              <w:t>章“投标文件格式”的规定</w:t>
            </w:r>
          </w:p>
        </w:tc>
        <w:tc>
          <w:tcPr>
            <w:tcW w:w="1346" w:type="dxa"/>
            <w:vAlign w:val="center"/>
          </w:tcPr>
          <w:p>
            <w:pPr>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3</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投标供应商名称</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与营业执照</w:t>
            </w:r>
            <w:r>
              <w:rPr>
                <w:rFonts w:hint="eastAsia" w:ascii="宋体" w:hAnsi="宋体" w:cs="宋体"/>
                <w:color w:val="auto"/>
                <w:szCs w:val="21"/>
                <w:lang w:eastAsia="zh-CN"/>
              </w:rPr>
              <w:t>等证明材料</w:t>
            </w:r>
            <w:r>
              <w:rPr>
                <w:rFonts w:hint="eastAsia" w:ascii="宋体" w:hAnsi="宋体" w:cs="宋体"/>
                <w:color w:val="auto"/>
                <w:szCs w:val="21"/>
              </w:rPr>
              <w:t>一致</w:t>
            </w:r>
          </w:p>
        </w:tc>
        <w:tc>
          <w:tcPr>
            <w:tcW w:w="1346" w:type="dxa"/>
            <w:vAlign w:val="center"/>
          </w:tcPr>
          <w:p>
            <w:pPr>
              <w:tabs>
                <w:tab w:val="left" w:pos="2730"/>
              </w:tabs>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4</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投标报价</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投标报价未超出最高限价且只有一个有效报价</w:t>
            </w:r>
          </w:p>
        </w:tc>
        <w:tc>
          <w:tcPr>
            <w:tcW w:w="1346" w:type="dxa"/>
            <w:vAlign w:val="center"/>
          </w:tcPr>
          <w:p>
            <w:pPr>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5</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质保期</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符合第二章“</w:t>
            </w:r>
            <w:r>
              <w:rPr>
                <w:rFonts w:hint="eastAsia" w:ascii="宋体" w:hAnsi="宋体" w:cs="宋体"/>
                <w:color w:val="auto"/>
                <w:szCs w:val="21"/>
                <w:lang w:eastAsia="zh-CN"/>
              </w:rPr>
              <w:t>供应商</w:t>
            </w:r>
            <w:r>
              <w:rPr>
                <w:rFonts w:hint="eastAsia" w:ascii="宋体" w:hAnsi="宋体" w:cs="宋体"/>
                <w:color w:val="auto"/>
                <w:szCs w:val="21"/>
              </w:rPr>
              <w:t>须知”第1.3.</w:t>
            </w:r>
            <w:r>
              <w:rPr>
                <w:rFonts w:hint="eastAsia" w:ascii="宋体" w:hAnsi="宋体" w:cs="宋体"/>
                <w:color w:val="auto"/>
                <w:szCs w:val="21"/>
                <w:lang w:val="en-US" w:eastAsia="zh-CN"/>
              </w:rPr>
              <w:t>2</w:t>
            </w:r>
            <w:r>
              <w:rPr>
                <w:rFonts w:hint="eastAsia" w:ascii="宋体" w:hAnsi="宋体" w:cs="宋体"/>
                <w:color w:val="auto"/>
                <w:szCs w:val="21"/>
              </w:rPr>
              <w:t>项规定</w:t>
            </w:r>
          </w:p>
        </w:tc>
        <w:tc>
          <w:tcPr>
            <w:tcW w:w="1346" w:type="dxa"/>
            <w:vAlign w:val="center"/>
          </w:tcPr>
          <w:p>
            <w:pPr>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6</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交货期</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符合第二章“</w:t>
            </w:r>
            <w:r>
              <w:rPr>
                <w:rFonts w:hint="eastAsia" w:ascii="宋体" w:hAnsi="宋体" w:cs="宋体"/>
                <w:color w:val="auto"/>
                <w:szCs w:val="21"/>
                <w:lang w:eastAsia="zh-CN"/>
              </w:rPr>
              <w:t>供应商</w:t>
            </w:r>
            <w:r>
              <w:rPr>
                <w:rFonts w:hint="eastAsia" w:ascii="宋体" w:hAnsi="宋体" w:cs="宋体"/>
                <w:color w:val="auto"/>
                <w:szCs w:val="21"/>
              </w:rPr>
              <w:t>须知”第1.3.</w:t>
            </w:r>
            <w:r>
              <w:rPr>
                <w:rFonts w:hint="eastAsia" w:ascii="宋体" w:hAnsi="宋体" w:cs="宋体"/>
                <w:color w:val="auto"/>
                <w:szCs w:val="21"/>
                <w:lang w:val="en-US" w:eastAsia="zh-CN"/>
              </w:rPr>
              <w:t>3</w:t>
            </w:r>
            <w:r>
              <w:rPr>
                <w:rFonts w:hint="eastAsia" w:ascii="宋体" w:hAnsi="宋体" w:cs="宋体"/>
                <w:color w:val="auto"/>
                <w:szCs w:val="21"/>
              </w:rPr>
              <w:t>项规定</w:t>
            </w:r>
          </w:p>
        </w:tc>
        <w:tc>
          <w:tcPr>
            <w:tcW w:w="1346" w:type="dxa"/>
            <w:vAlign w:val="center"/>
          </w:tcPr>
          <w:p>
            <w:pPr>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7</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质量要求</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符合第二章“</w:t>
            </w:r>
            <w:r>
              <w:rPr>
                <w:rFonts w:hint="eastAsia" w:ascii="宋体" w:hAnsi="宋体" w:cs="宋体"/>
                <w:color w:val="auto"/>
                <w:szCs w:val="21"/>
                <w:lang w:eastAsia="zh-CN"/>
              </w:rPr>
              <w:t>供应商</w:t>
            </w:r>
            <w:r>
              <w:rPr>
                <w:rFonts w:hint="eastAsia" w:ascii="宋体" w:hAnsi="宋体" w:cs="宋体"/>
                <w:color w:val="auto"/>
                <w:szCs w:val="21"/>
              </w:rPr>
              <w:t>须知”第1.3.4项规定</w:t>
            </w:r>
          </w:p>
        </w:tc>
        <w:tc>
          <w:tcPr>
            <w:tcW w:w="1346" w:type="dxa"/>
            <w:vAlign w:val="center"/>
          </w:tcPr>
          <w:p>
            <w:pPr>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8</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投标有效期</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符合第二章“</w:t>
            </w:r>
            <w:r>
              <w:rPr>
                <w:rFonts w:hint="eastAsia" w:ascii="宋体" w:hAnsi="宋体" w:cs="宋体"/>
                <w:color w:val="auto"/>
                <w:szCs w:val="21"/>
                <w:lang w:eastAsia="zh-CN"/>
              </w:rPr>
              <w:t>供应商</w:t>
            </w:r>
            <w:r>
              <w:rPr>
                <w:rFonts w:hint="eastAsia" w:ascii="宋体" w:hAnsi="宋体" w:cs="宋体"/>
                <w:color w:val="auto"/>
                <w:szCs w:val="21"/>
              </w:rPr>
              <w:t>须知”第3.3.1项规定</w:t>
            </w:r>
          </w:p>
        </w:tc>
        <w:tc>
          <w:tcPr>
            <w:tcW w:w="1346" w:type="dxa"/>
            <w:vAlign w:val="center"/>
          </w:tcPr>
          <w:p>
            <w:pPr>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9</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付款方式</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符合第二章“</w:t>
            </w:r>
            <w:r>
              <w:rPr>
                <w:rFonts w:hint="eastAsia" w:ascii="宋体" w:hAnsi="宋体" w:cs="宋体"/>
                <w:color w:val="auto"/>
                <w:szCs w:val="21"/>
                <w:lang w:eastAsia="zh-CN"/>
              </w:rPr>
              <w:t>供应商</w:t>
            </w:r>
            <w:r>
              <w:rPr>
                <w:rFonts w:hint="eastAsia" w:ascii="宋体" w:hAnsi="宋体" w:cs="宋体"/>
                <w:color w:val="auto"/>
                <w:szCs w:val="21"/>
              </w:rPr>
              <w:t>须知”第10.2款规定</w:t>
            </w:r>
          </w:p>
        </w:tc>
        <w:tc>
          <w:tcPr>
            <w:tcW w:w="1346" w:type="dxa"/>
            <w:vAlign w:val="center"/>
          </w:tcPr>
          <w:p>
            <w:pPr>
              <w:spacing w:line="240" w:lineRule="auto"/>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8" w:type="dxa"/>
            <w:tcMar>
              <w:top w:w="0" w:type="dxa"/>
              <w:left w:w="57" w:type="dxa"/>
              <w:bottom w:w="0" w:type="dxa"/>
              <w:right w:w="57" w:type="dxa"/>
            </w:tcMar>
            <w:vAlign w:val="center"/>
          </w:tcPr>
          <w:p>
            <w:pPr>
              <w:spacing w:line="240" w:lineRule="auto"/>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p>
        </w:tc>
        <w:tc>
          <w:tcPr>
            <w:tcW w:w="1821" w:type="dxa"/>
            <w:tcMar>
              <w:top w:w="0" w:type="dxa"/>
              <w:left w:w="57" w:type="dxa"/>
              <w:bottom w:w="0" w:type="dxa"/>
              <w:right w:w="57" w:type="dxa"/>
            </w:tcMar>
            <w:vAlign w:val="center"/>
          </w:tcPr>
          <w:p>
            <w:pPr>
              <w:spacing w:line="240" w:lineRule="auto"/>
              <w:jc w:val="center"/>
              <w:rPr>
                <w:rFonts w:ascii="宋体" w:hAnsi="宋体" w:cs="宋体"/>
                <w:color w:val="auto"/>
                <w:szCs w:val="21"/>
              </w:rPr>
            </w:pPr>
            <w:r>
              <w:rPr>
                <w:rFonts w:hint="eastAsia" w:ascii="宋体" w:hAnsi="宋体" w:cs="宋体"/>
                <w:color w:val="auto"/>
                <w:szCs w:val="21"/>
              </w:rPr>
              <w:t>其他情况</w:t>
            </w:r>
          </w:p>
        </w:tc>
        <w:tc>
          <w:tcPr>
            <w:tcW w:w="5138" w:type="dxa"/>
            <w:vAlign w:val="center"/>
          </w:tcPr>
          <w:p>
            <w:pPr>
              <w:spacing w:line="240" w:lineRule="auto"/>
              <w:rPr>
                <w:rFonts w:ascii="宋体" w:hAnsi="宋体" w:cs="宋体"/>
                <w:color w:val="auto"/>
                <w:szCs w:val="21"/>
              </w:rPr>
            </w:pPr>
            <w:r>
              <w:rPr>
                <w:rFonts w:hint="eastAsia" w:ascii="宋体" w:hAnsi="宋体" w:cs="宋体"/>
                <w:color w:val="auto"/>
                <w:szCs w:val="21"/>
              </w:rPr>
              <w:t>未发现投标文件含有采购人不能接受的情况</w:t>
            </w:r>
          </w:p>
        </w:tc>
        <w:tc>
          <w:tcPr>
            <w:tcW w:w="1346" w:type="dxa"/>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79" w:type="dxa"/>
            <w:gridSpan w:val="2"/>
            <w:tcMar>
              <w:top w:w="0" w:type="dxa"/>
              <w:left w:w="57" w:type="dxa"/>
              <w:bottom w:w="0" w:type="dxa"/>
              <w:right w:w="57" w:type="dxa"/>
            </w:tcMar>
            <w:vAlign w:val="center"/>
          </w:tcPr>
          <w:p>
            <w:pPr>
              <w:spacing w:line="240" w:lineRule="auto"/>
              <w:jc w:val="center"/>
              <w:outlineLvl w:val="1"/>
              <w:rPr>
                <w:rFonts w:ascii="宋体" w:hAnsi="宋体" w:cs="宋体"/>
                <w:b/>
                <w:bCs/>
                <w:color w:val="auto"/>
                <w:szCs w:val="21"/>
              </w:rPr>
            </w:pPr>
            <w:bookmarkStart w:id="184" w:name="_Toc6508"/>
            <w:bookmarkStart w:id="185" w:name="_Toc32439"/>
            <w:bookmarkStart w:id="186" w:name="_Toc25994"/>
            <w:bookmarkStart w:id="187" w:name="_Toc24564"/>
            <w:bookmarkStart w:id="188" w:name="_Toc23081"/>
            <w:bookmarkStart w:id="189" w:name="_Toc13145"/>
            <w:bookmarkStart w:id="190" w:name="_Toc25724"/>
            <w:bookmarkStart w:id="191" w:name="_Toc31782"/>
            <w:bookmarkStart w:id="192" w:name="_Toc14264"/>
            <w:bookmarkStart w:id="193" w:name="_Toc21755"/>
            <w:bookmarkStart w:id="194" w:name="_Toc14702"/>
            <w:bookmarkStart w:id="195" w:name="_Toc22091"/>
            <w:bookmarkStart w:id="196" w:name="_Toc4484"/>
            <w:bookmarkStart w:id="197" w:name="_Toc9283"/>
            <w:r>
              <w:rPr>
                <w:rFonts w:hint="eastAsia" w:ascii="宋体" w:hAnsi="宋体" w:cs="宋体"/>
                <w:b/>
                <w:bCs/>
                <w:color w:val="auto"/>
                <w:szCs w:val="21"/>
              </w:rPr>
              <w:t>结  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tc>
        <w:tc>
          <w:tcPr>
            <w:tcW w:w="5138" w:type="dxa"/>
            <w:vAlign w:val="center"/>
          </w:tcPr>
          <w:p>
            <w:pPr>
              <w:spacing w:line="240" w:lineRule="auto"/>
              <w:jc w:val="center"/>
              <w:outlineLvl w:val="1"/>
              <w:rPr>
                <w:rFonts w:ascii="宋体" w:hAnsi="宋体" w:cs="宋体"/>
                <w:b/>
                <w:bCs/>
                <w:color w:val="auto"/>
                <w:szCs w:val="21"/>
              </w:rPr>
            </w:pPr>
            <w:bookmarkStart w:id="198" w:name="_Toc28708"/>
            <w:bookmarkStart w:id="199" w:name="_Toc28383"/>
            <w:bookmarkStart w:id="200" w:name="_Toc2716"/>
            <w:bookmarkStart w:id="201" w:name="_Toc30991"/>
            <w:bookmarkStart w:id="202" w:name="_Toc30475"/>
            <w:bookmarkStart w:id="203" w:name="_Toc25663"/>
            <w:bookmarkStart w:id="204" w:name="_Toc12529"/>
            <w:bookmarkStart w:id="205" w:name="_Toc11599"/>
            <w:bookmarkStart w:id="206" w:name="_Toc8703"/>
            <w:bookmarkStart w:id="207" w:name="_Toc29905"/>
            <w:bookmarkStart w:id="208" w:name="_Toc10522"/>
            <w:bookmarkStart w:id="209" w:name="_Toc16879"/>
            <w:bookmarkStart w:id="210" w:name="_Toc27440"/>
            <w:bookmarkStart w:id="211" w:name="_Toc15485"/>
            <w:r>
              <w:rPr>
                <w:rFonts w:hint="eastAsia" w:ascii="宋体" w:hAnsi="宋体" w:cs="宋体"/>
                <w:b/>
                <w:bCs/>
                <w:color w:val="auto"/>
                <w:szCs w:val="21"/>
              </w:rPr>
              <w:t>是否通过符合性审查</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tc>
        <w:tc>
          <w:tcPr>
            <w:tcW w:w="1346" w:type="dxa"/>
            <w:vAlign w:val="center"/>
          </w:tcPr>
          <w:p>
            <w:pPr>
              <w:rPr>
                <w:rFonts w:ascii="宋体" w:hAnsi="宋体" w:cs="宋体"/>
                <w:b/>
                <w:bCs/>
                <w:color w:val="auto"/>
                <w:szCs w:val="21"/>
              </w:rPr>
            </w:pPr>
          </w:p>
        </w:tc>
      </w:tr>
    </w:tbl>
    <w:p>
      <w:pPr>
        <w:pStyle w:val="3"/>
        <w:spacing w:line="360" w:lineRule="auto"/>
        <w:jc w:val="left"/>
        <w:rPr>
          <w:color w:val="auto"/>
        </w:rPr>
      </w:pPr>
      <w:bookmarkStart w:id="212" w:name="_Toc1407"/>
      <w:bookmarkStart w:id="213" w:name="_Toc26566"/>
      <w:bookmarkStart w:id="214" w:name="_Toc13624"/>
      <w:bookmarkStart w:id="215" w:name="_Toc1410"/>
      <w:bookmarkStart w:id="216" w:name="_Toc24996"/>
      <w:r>
        <w:rPr>
          <w:rFonts w:hint="eastAsia"/>
          <w:color w:val="auto"/>
        </w:rPr>
        <w:t>1.符合性审查</w:t>
      </w:r>
      <w:bookmarkEnd w:id="212"/>
      <w:bookmarkEnd w:id="213"/>
    </w:p>
    <w:p>
      <w:pPr>
        <w:ind w:firstLine="480" w:firstLineChars="200"/>
        <w:rPr>
          <w:rFonts w:ascii="宋体" w:hAnsi="宋体" w:cs="宋体"/>
          <w:color w:val="auto"/>
        </w:rPr>
      </w:pPr>
      <w:r>
        <w:rPr>
          <w:rFonts w:hint="eastAsia" w:ascii="宋体" w:hAnsi="宋体" w:cs="宋体"/>
          <w:color w:val="auto"/>
        </w:rPr>
        <w:t>资格审查结束后，评标委员会依法对供应商的符合性进行审查。</w:t>
      </w:r>
    </w:p>
    <w:p>
      <w:pPr>
        <w:pStyle w:val="3"/>
        <w:spacing w:line="360" w:lineRule="auto"/>
        <w:jc w:val="left"/>
        <w:rPr>
          <w:color w:val="auto"/>
        </w:rPr>
      </w:pPr>
      <w:bookmarkStart w:id="217" w:name="_Toc32473"/>
      <w:bookmarkStart w:id="218" w:name="_Toc3534"/>
      <w:r>
        <w:rPr>
          <w:rFonts w:hint="eastAsia"/>
          <w:color w:val="auto"/>
        </w:rPr>
        <w:t>2.符合性审查标准</w:t>
      </w:r>
      <w:bookmarkEnd w:id="217"/>
      <w:bookmarkEnd w:id="218"/>
    </w:p>
    <w:p>
      <w:pPr>
        <w:ind w:firstLine="480" w:firstLineChars="200"/>
        <w:rPr>
          <w:rFonts w:ascii="宋体" w:hAnsi="宋体" w:cs="宋体"/>
          <w:color w:val="auto"/>
        </w:rPr>
      </w:pPr>
      <w:r>
        <w:rPr>
          <w:rFonts w:hint="eastAsia" w:ascii="宋体" w:hAnsi="宋体" w:cs="宋体"/>
          <w:color w:val="auto"/>
        </w:rPr>
        <w:t>符合性审查标准：见“符合性审查表”。</w:t>
      </w:r>
    </w:p>
    <w:p>
      <w:pPr>
        <w:pStyle w:val="3"/>
        <w:spacing w:line="360" w:lineRule="auto"/>
        <w:jc w:val="left"/>
        <w:rPr>
          <w:color w:val="auto"/>
        </w:rPr>
      </w:pPr>
      <w:bookmarkStart w:id="219" w:name="_Toc5469"/>
      <w:bookmarkStart w:id="220" w:name="_Toc18333"/>
      <w:r>
        <w:rPr>
          <w:rFonts w:hint="eastAsia"/>
          <w:color w:val="auto"/>
        </w:rPr>
        <w:t>3.符合性审查程序</w:t>
      </w:r>
      <w:bookmarkEnd w:id="219"/>
      <w:bookmarkEnd w:id="220"/>
    </w:p>
    <w:p>
      <w:pPr>
        <w:ind w:firstLine="480" w:firstLineChars="200"/>
        <w:rPr>
          <w:color w:val="auto"/>
        </w:rPr>
      </w:pPr>
      <w:r>
        <w:rPr>
          <w:rFonts w:hint="eastAsia" w:ascii="宋体" w:hAnsi="宋体" w:cs="宋体"/>
          <w:color w:val="auto"/>
        </w:rPr>
        <w:t>评标委员会依据本章《符合性审查表》规定的标准对投标文件进行符合性审查，未通过符合性审查的，其投标无效，将不进行详细评审。</w:t>
      </w:r>
      <w:bookmarkEnd w:id="181"/>
      <w:bookmarkEnd w:id="182"/>
      <w:bookmarkEnd w:id="183"/>
      <w:bookmarkEnd w:id="214"/>
      <w:bookmarkEnd w:id="215"/>
      <w:bookmarkEnd w:id="216"/>
    </w:p>
    <w:p>
      <w:pPr>
        <w:rPr>
          <w:color w:val="auto"/>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rFonts w:hint="eastAsia" w:ascii="宋体" w:hAnsi="宋体" w:cs="宋体"/>
          <w:b/>
          <w:color w:val="auto"/>
          <w:sz w:val="36"/>
          <w:szCs w:val="36"/>
        </w:rPr>
      </w:pPr>
      <w:bookmarkStart w:id="221" w:name="_Toc21320"/>
      <w:bookmarkStart w:id="222" w:name="_Toc22696"/>
      <w:r>
        <w:rPr>
          <w:rFonts w:hint="eastAsia" w:ascii="宋体" w:hAnsi="宋体" w:cs="宋体"/>
          <w:b/>
          <w:color w:val="auto"/>
          <w:sz w:val="36"/>
          <w:szCs w:val="36"/>
        </w:rPr>
        <w:t>第五章  评标办法（综合评分法）</w:t>
      </w:r>
      <w:bookmarkEnd w:id="221"/>
      <w:bookmarkEnd w:id="222"/>
      <w:bookmarkStart w:id="223" w:name="_Toc345178458"/>
      <w:bookmarkStart w:id="224" w:name="_Toc18047"/>
    </w:p>
    <w:p>
      <w:pPr>
        <w:pStyle w:val="3"/>
        <w:spacing w:line="360" w:lineRule="auto"/>
        <w:rPr>
          <w:color w:val="auto"/>
        </w:rPr>
      </w:pPr>
      <w:bookmarkStart w:id="225" w:name="_Toc5903"/>
      <w:bookmarkStart w:id="226" w:name="_Toc1556"/>
      <w:r>
        <w:rPr>
          <w:rFonts w:hint="eastAsia"/>
          <w:color w:val="auto"/>
        </w:rPr>
        <w:t>评标办法前附表</w:t>
      </w:r>
      <w:bookmarkEnd w:id="223"/>
      <w:bookmarkEnd w:id="224"/>
      <w:bookmarkEnd w:id="225"/>
      <w:bookmarkEnd w:id="226"/>
    </w:p>
    <w:tbl>
      <w:tblPr>
        <w:tblStyle w:val="17"/>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626"/>
        <w:gridCol w:w="1458"/>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94" w:type="dxa"/>
            <w:vAlign w:val="center"/>
          </w:tcPr>
          <w:p>
            <w:pPr>
              <w:adjustRightInd w:val="0"/>
              <w:snapToGrid w:val="0"/>
              <w:spacing w:line="360" w:lineRule="exact"/>
              <w:ind w:left="120" w:leftChars="50" w:right="120" w:rightChars="50"/>
              <w:jc w:val="center"/>
              <w:rPr>
                <w:rFonts w:ascii="宋体" w:hAnsi="宋体" w:cs="宋体"/>
                <w:b/>
                <w:color w:val="auto"/>
                <w:szCs w:val="21"/>
              </w:rPr>
            </w:pPr>
            <w:bookmarkStart w:id="227" w:name="_Toc25084"/>
            <w:r>
              <w:rPr>
                <w:rFonts w:hint="eastAsia" w:ascii="宋体" w:hAnsi="宋体" w:cs="宋体"/>
                <w:b/>
                <w:color w:val="auto"/>
                <w:szCs w:val="21"/>
              </w:rPr>
              <w:t>条款号</w:t>
            </w:r>
          </w:p>
        </w:tc>
        <w:tc>
          <w:tcPr>
            <w:tcW w:w="1626" w:type="dxa"/>
            <w:vAlign w:val="center"/>
          </w:tcPr>
          <w:p>
            <w:pPr>
              <w:adjustRightInd w:val="0"/>
              <w:snapToGrid w:val="0"/>
              <w:spacing w:line="360" w:lineRule="exact"/>
              <w:ind w:left="120" w:leftChars="50" w:right="120" w:rightChars="50"/>
              <w:jc w:val="center"/>
              <w:rPr>
                <w:rFonts w:ascii="宋体" w:hAnsi="宋体" w:cs="宋体"/>
                <w:b/>
                <w:color w:val="auto"/>
                <w:szCs w:val="21"/>
              </w:rPr>
            </w:pPr>
            <w:r>
              <w:rPr>
                <w:rFonts w:hint="eastAsia" w:ascii="宋体" w:hAnsi="宋体" w:cs="宋体"/>
                <w:b/>
                <w:color w:val="auto"/>
                <w:szCs w:val="21"/>
              </w:rPr>
              <w:t>条款内容</w:t>
            </w:r>
          </w:p>
        </w:tc>
        <w:tc>
          <w:tcPr>
            <w:tcW w:w="6635" w:type="dxa"/>
            <w:gridSpan w:val="2"/>
            <w:vAlign w:val="center"/>
          </w:tcPr>
          <w:p>
            <w:pPr>
              <w:adjustRightInd w:val="0"/>
              <w:snapToGrid w:val="0"/>
              <w:spacing w:line="360" w:lineRule="exact"/>
              <w:ind w:left="120" w:leftChars="50" w:right="120" w:rightChars="50"/>
              <w:jc w:val="center"/>
              <w:rPr>
                <w:rFonts w:ascii="宋体" w:hAnsi="宋体" w:cs="宋体"/>
                <w:b/>
                <w:color w:val="auto"/>
                <w:szCs w:val="21"/>
              </w:rPr>
            </w:pPr>
            <w:r>
              <w:rPr>
                <w:rFonts w:hint="eastAsia" w:ascii="宋体" w:hAnsi="宋体" w:cs="宋体"/>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Align w:val="center"/>
          </w:tcPr>
          <w:p>
            <w:pPr>
              <w:adjustRightInd w:val="0"/>
              <w:spacing w:line="240" w:lineRule="auto"/>
              <w:jc w:val="center"/>
              <w:rPr>
                <w:rFonts w:ascii="宋体" w:hAnsi="宋体" w:cs="宋体"/>
                <w:color w:val="auto"/>
              </w:rPr>
            </w:pPr>
            <w:r>
              <w:rPr>
                <w:rFonts w:hint="eastAsia" w:ascii="宋体" w:hAnsi="宋体" w:cs="宋体"/>
                <w:color w:val="auto"/>
              </w:rPr>
              <w:t>2.2.1</w:t>
            </w:r>
          </w:p>
        </w:tc>
        <w:tc>
          <w:tcPr>
            <w:tcW w:w="1626" w:type="dxa"/>
            <w:vAlign w:val="center"/>
          </w:tcPr>
          <w:p>
            <w:pPr>
              <w:adjustRightInd w:val="0"/>
              <w:spacing w:line="480" w:lineRule="exact"/>
              <w:ind w:left="480" w:hanging="480" w:hangingChars="200"/>
              <w:jc w:val="center"/>
              <w:rPr>
                <w:rFonts w:ascii="宋体" w:hAnsi="宋体" w:cs="宋体"/>
                <w:color w:val="auto"/>
              </w:rPr>
            </w:pPr>
            <w:r>
              <w:rPr>
                <w:rFonts w:hint="eastAsia" w:ascii="宋体" w:hAnsi="宋体" w:cs="宋体"/>
                <w:color w:val="auto"/>
              </w:rPr>
              <w:t>分值构成</w:t>
            </w:r>
          </w:p>
          <w:p>
            <w:pPr>
              <w:adjustRightInd w:val="0"/>
              <w:spacing w:line="480" w:lineRule="exact"/>
              <w:ind w:left="480" w:hanging="480" w:hangingChars="200"/>
              <w:jc w:val="center"/>
              <w:rPr>
                <w:rFonts w:ascii="宋体" w:hAnsi="宋体" w:cs="宋体"/>
                <w:color w:val="auto"/>
              </w:rPr>
            </w:pPr>
            <w:r>
              <w:rPr>
                <w:rFonts w:hint="eastAsia" w:ascii="宋体" w:hAnsi="宋体" w:cs="宋体"/>
                <w:color w:val="auto"/>
              </w:rPr>
              <w:t>（100分）</w:t>
            </w:r>
          </w:p>
        </w:tc>
        <w:tc>
          <w:tcPr>
            <w:tcW w:w="6635" w:type="dxa"/>
            <w:gridSpan w:val="2"/>
            <w:vAlign w:val="center"/>
          </w:tcPr>
          <w:p>
            <w:pPr>
              <w:widowControl/>
              <w:spacing w:line="480" w:lineRule="exact"/>
              <w:jc w:val="both"/>
              <w:rPr>
                <w:rFonts w:ascii="宋体" w:hAnsi="宋体" w:cs="宋体"/>
                <w:color w:val="auto"/>
              </w:rPr>
            </w:pPr>
            <w:r>
              <w:rPr>
                <w:rFonts w:hint="eastAsia" w:ascii="宋体" w:hAnsi="宋体" w:cs="宋体"/>
                <w:color w:val="auto"/>
                <w:kern w:val="0"/>
                <w:lang w:bidi="ar"/>
              </w:rPr>
              <w:t>（1）</w:t>
            </w:r>
            <w:r>
              <w:rPr>
                <w:rFonts w:hint="eastAsia" w:ascii="宋体" w:hAnsi="宋体" w:cs="宋体"/>
                <w:color w:val="auto"/>
                <w:kern w:val="0"/>
                <w:lang w:eastAsia="zh-CN" w:bidi="ar"/>
              </w:rPr>
              <w:t>经济标</w:t>
            </w:r>
            <w:r>
              <w:rPr>
                <w:rFonts w:hint="eastAsia" w:ascii="宋体" w:hAnsi="宋体" w:cs="宋体"/>
                <w:color w:val="auto"/>
                <w:kern w:val="0"/>
                <w:lang w:bidi="ar"/>
              </w:rPr>
              <w:t>：30分</w:t>
            </w:r>
          </w:p>
          <w:p>
            <w:pPr>
              <w:widowControl/>
              <w:spacing w:line="480" w:lineRule="exact"/>
              <w:jc w:val="both"/>
              <w:rPr>
                <w:rFonts w:ascii="宋体" w:hAnsi="宋体" w:cs="宋体"/>
                <w:color w:val="auto"/>
              </w:rPr>
            </w:pPr>
            <w:r>
              <w:rPr>
                <w:rFonts w:hint="eastAsia" w:ascii="宋体" w:hAnsi="宋体" w:cs="宋体"/>
                <w:color w:val="auto"/>
                <w:kern w:val="0"/>
                <w:lang w:bidi="ar"/>
              </w:rPr>
              <w:t>（2）</w:t>
            </w:r>
            <w:r>
              <w:rPr>
                <w:rFonts w:hint="eastAsia" w:ascii="宋体" w:hAnsi="宋体" w:cs="宋体"/>
                <w:color w:val="auto"/>
                <w:kern w:val="0"/>
                <w:lang w:eastAsia="zh-CN" w:bidi="ar"/>
              </w:rPr>
              <w:t>综合标</w:t>
            </w:r>
            <w:r>
              <w:rPr>
                <w:rFonts w:hint="eastAsia" w:ascii="宋体" w:hAnsi="宋体" w:cs="宋体"/>
                <w:color w:val="auto"/>
                <w:kern w:val="0"/>
                <w:lang w:bidi="ar"/>
              </w:rPr>
              <w:t>：20分</w:t>
            </w:r>
          </w:p>
          <w:p>
            <w:pPr>
              <w:widowControl/>
              <w:spacing w:line="480" w:lineRule="exact"/>
              <w:jc w:val="both"/>
              <w:rPr>
                <w:rFonts w:ascii="宋体" w:hAnsi="宋体" w:cs="宋体"/>
                <w:color w:val="auto"/>
              </w:rPr>
            </w:pPr>
            <w:r>
              <w:rPr>
                <w:rFonts w:hint="eastAsia" w:ascii="宋体" w:hAnsi="宋体" w:cs="宋体"/>
                <w:color w:val="auto"/>
                <w:kern w:val="0"/>
                <w:lang w:bidi="ar"/>
              </w:rPr>
              <w:t>（3）技术</w:t>
            </w:r>
            <w:r>
              <w:rPr>
                <w:rFonts w:hint="eastAsia" w:ascii="宋体" w:hAnsi="宋体" w:cs="宋体"/>
                <w:color w:val="auto"/>
                <w:kern w:val="0"/>
                <w:lang w:eastAsia="zh-CN" w:bidi="ar"/>
              </w:rPr>
              <w:t>标</w:t>
            </w:r>
            <w:r>
              <w:rPr>
                <w:rFonts w:hint="eastAsia" w:ascii="宋体" w:hAnsi="宋体" w:cs="宋体"/>
                <w:color w:val="auto"/>
                <w:kern w:val="0"/>
                <w:lang w:bidi="ar"/>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Align w:val="center"/>
          </w:tcPr>
          <w:p>
            <w:pPr>
              <w:adjustRightInd w:val="0"/>
              <w:spacing w:line="240" w:lineRule="auto"/>
              <w:jc w:val="center"/>
              <w:rPr>
                <w:rFonts w:ascii="宋体" w:hAnsi="宋体" w:cs="宋体"/>
                <w:color w:val="auto"/>
              </w:rPr>
            </w:pPr>
            <w:r>
              <w:rPr>
                <w:rFonts w:hint="eastAsia" w:ascii="宋体" w:hAnsi="宋体" w:cs="宋体"/>
                <w:color w:val="auto"/>
              </w:rPr>
              <w:t>2.2.2</w:t>
            </w:r>
          </w:p>
        </w:tc>
        <w:tc>
          <w:tcPr>
            <w:tcW w:w="1626" w:type="dxa"/>
            <w:vAlign w:val="center"/>
          </w:tcPr>
          <w:p>
            <w:pPr>
              <w:adjustRightInd w:val="0"/>
              <w:spacing w:line="480" w:lineRule="exact"/>
              <w:ind w:left="480" w:hanging="480" w:hangingChars="200"/>
              <w:jc w:val="center"/>
              <w:rPr>
                <w:rFonts w:ascii="宋体" w:hAnsi="宋体" w:cs="宋体"/>
                <w:color w:val="auto"/>
              </w:rPr>
            </w:pPr>
            <w:r>
              <w:rPr>
                <w:rFonts w:hint="eastAsia" w:ascii="宋体" w:hAnsi="宋体" w:cs="宋体"/>
                <w:color w:val="auto"/>
              </w:rPr>
              <w:t>评标基准价</w:t>
            </w:r>
          </w:p>
          <w:p>
            <w:pPr>
              <w:adjustRightInd w:val="0"/>
              <w:spacing w:line="480" w:lineRule="exact"/>
              <w:ind w:left="480" w:hanging="480" w:hangingChars="200"/>
              <w:jc w:val="center"/>
              <w:rPr>
                <w:rFonts w:ascii="宋体" w:hAnsi="宋体" w:cs="宋体"/>
                <w:color w:val="auto"/>
              </w:rPr>
            </w:pPr>
            <w:r>
              <w:rPr>
                <w:rFonts w:hint="eastAsia" w:ascii="宋体" w:hAnsi="宋体" w:cs="宋体"/>
                <w:color w:val="auto"/>
              </w:rPr>
              <w:t>计算方法</w:t>
            </w:r>
          </w:p>
        </w:tc>
        <w:tc>
          <w:tcPr>
            <w:tcW w:w="6635" w:type="dxa"/>
            <w:gridSpan w:val="2"/>
            <w:vAlign w:val="center"/>
          </w:tcPr>
          <w:p>
            <w:pPr>
              <w:widowControl/>
              <w:spacing w:line="480" w:lineRule="exact"/>
              <w:jc w:val="both"/>
              <w:rPr>
                <w:rFonts w:hint="eastAsia" w:ascii="宋体" w:hAnsi="宋体" w:eastAsia="宋体" w:cs="宋体"/>
                <w:color w:val="auto"/>
                <w:kern w:val="0"/>
                <w:lang w:eastAsia="zh-CN" w:bidi="ar"/>
              </w:rPr>
            </w:pPr>
            <w:r>
              <w:rPr>
                <w:rFonts w:hint="eastAsia" w:ascii="宋体" w:hAnsi="宋体" w:cs="宋体"/>
                <w:color w:val="auto"/>
                <w:szCs w:val="21"/>
              </w:rPr>
              <w:t>即通过初步评审满足招标文件要求且报价最低的为评标基准价</w:t>
            </w: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Align w:val="center"/>
          </w:tcPr>
          <w:p>
            <w:pPr>
              <w:adjustRightInd w:val="0"/>
              <w:spacing w:line="240" w:lineRule="auto"/>
              <w:jc w:val="center"/>
              <w:rPr>
                <w:rFonts w:ascii="宋体" w:hAnsi="宋体" w:cs="宋体"/>
                <w:color w:val="auto"/>
              </w:rPr>
            </w:pPr>
            <w:r>
              <w:rPr>
                <w:rFonts w:hint="eastAsia" w:ascii="宋体" w:hAnsi="宋体" w:cs="宋体"/>
                <w:color w:val="auto"/>
              </w:rPr>
              <w:t>2.2.3</w:t>
            </w:r>
          </w:p>
          <w:p>
            <w:pPr>
              <w:adjustRightInd w:val="0"/>
              <w:spacing w:line="240" w:lineRule="auto"/>
              <w:jc w:val="center"/>
              <w:rPr>
                <w:rFonts w:hint="eastAsia" w:ascii="宋体" w:hAnsi="宋体" w:cs="宋体"/>
                <w:color w:val="auto"/>
              </w:rPr>
            </w:pPr>
            <w:r>
              <w:rPr>
                <w:rFonts w:hint="eastAsia" w:ascii="宋体" w:hAnsi="宋体" w:cs="宋体"/>
                <w:color w:val="auto"/>
              </w:rPr>
              <w:t>（1）</w:t>
            </w:r>
          </w:p>
        </w:tc>
        <w:tc>
          <w:tcPr>
            <w:tcW w:w="1626" w:type="dxa"/>
            <w:vAlign w:val="center"/>
          </w:tcPr>
          <w:p>
            <w:pPr>
              <w:adjustRightInd w:val="0"/>
              <w:spacing w:line="360" w:lineRule="auto"/>
              <w:ind w:left="480" w:hanging="480" w:hangingChars="200"/>
              <w:jc w:val="center"/>
              <w:rPr>
                <w:rFonts w:hint="eastAsia" w:ascii="宋体" w:hAnsi="宋体" w:cs="宋体"/>
                <w:color w:val="auto"/>
                <w:lang w:eastAsia="zh-CN"/>
              </w:rPr>
            </w:pPr>
            <w:r>
              <w:rPr>
                <w:rFonts w:hint="eastAsia" w:ascii="宋体" w:hAnsi="宋体" w:cs="宋体"/>
                <w:color w:val="auto"/>
                <w:lang w:eastAsia="zh-CN"/>
              </w:rPr>
              <w:t>经济标</w:t>
            </w:r>
          </w:p>
          <w:p>
            <w:pPr>
              <w:adjustRightInd w:val="0"/>
              <w:spacing w:line="360" w:lineRule="auto"/>
              <w:ind w:left="480" w:hanging="480" w:hangingChars="200"/>
              <w:jc w:val="center"/>
              <w:rPr>
                <w:rFonts w:hint="eastAsia" w:ascii="宋体" w:hAnsi="宋体" w:eastAsia="宋体" w:cs="宋体"/>
                <w:color w:val="auto"/>
                <w:lang w:eastAsia="zh-CN"/>
              </w:rPr>
            </w:pPr>
            <w:r>
              <w:rPr>
                <w:rFonts w:hint="eastAsia" w:ascii="宋体" w:hAnsi="宋体" w:cs="宋体"/>
                <w:color w:val="auto"/>
              </w:rPr>
              <w:t>（30分）</w:t>
            </w:r>
          </w:p>
        </w:tc>
        <w:tc>
          <w:tcPr>
            <w:tcW w:w="1458" w:type="dxa"/>
            <w:vAlign w:val="center"/>
          </w:tcPr>
          <w:p>
            <w:pPr>
              <w:adjustRightInd w:val="0"/>
              <w:spacing w:line="360" w:lineRule="auto"/>
              <w:ind w:left="480" w:hanging="480" w:hangingChars="200"/>
              <w:jc w:val="center"/>
              <w:rPr>
                <w:rFonts w:ascii="宋体" w:hAnsi="宋体" w:cs="宋体"/>
                <w:color w:val="auto"/>
              </w:rPr>
            </w:pPr>
            <w:r>
              <w:rPr>
                <w:rFonts w:hint="eastAsia" w:ascii="宋体" w:hAnsi="宋体" w:cs="宋体"/>
                <w:color w:val="auto"/>
              </w:rPr>
              <w:t>投标报价</w:t>
            </w:r>
          </w:p>
          <w:p>
            <w:pPr>
              <w:widowControl/>
              <w:spacing w:line="360" w:lineRule="auto"/>
              <w:jc w:val="center"/>
              <w:rPr>
                <w:rFonts w:hint="eastAsia" w:ascii="宋体" w:hAnsi="宋体" w:cs="宋体"/>
                <w:color w:val="auto"/>
                <w:szCs w:val="21"/>
              </w:rPr>
            </w:pPr>
            <w:r>
              <w:rPr>
                <w:rFonts w:hint="eastAsia" w:ascii="宋体" w:hAnsi="宋体" w:cs="宋体"/>
                <w:color w:val="auto"/>
              </w:rPr>
              <w:t>（30分）</w:t>
            </w:r>
          </w:p>
        </w:tc>
        <w:tc>
          <w:tcPr>
            <w:tcW w:w="5177" w:type="dxa"/>
            <w:vAlign w:val="center"/>
          </w:tcPr>
          <w:p>
            <w:pPr>
              <w:adjustRightInd w:val="0"/>
              <w:snapToGrid w:val="0"/>
              <w:spacing w:line="480" w:lineRule="exact"/>
              <w:ind w:right="120" w:rightChars="50"/>
              <w:rPr>
                <w:rFonts w:ascii="宋体" w:hAnsi="宋体" w:cs="宋体"/>
                <w:color w:val="auto"/>
                <w:szCs w:val="21"/>
              </w:rPr>
            </w:pPr>
            <w:r>
              <w:rPr>
                <w:rFonts w:hint="eastAsia" w:ascii="宋体" w:hAnsi="宋体" w:cs="宋体"/>
                <w:color w:val="auto"/>
                <w:szCs w:val="21"/>
              </w:rPr>
              <w:t>价格分采用低价优先法计算（最终得分计算保留小数点后两位）：</w:t>
            </w:r>
          </w:p>
          <w:p>
            <w:pPr>
              <w:adjustRightInd w:val="0"/>
              <w:snapToGrid w:val="0"/>
              <w:spacing w:line="480" w:lineRule="exact"/>
              <w:ind w:right="120" w:rightChars="50"/>
              <w:rPr>
                <w:rFonts w:ascii="宋体" w:hAnsi="宋体" w:cs="宋体"/>
                <w:color w:val="auto"/>
                <w:szCs w:val="21"/>
              </w:rPr>
            </w:pPr>
            <w:r>
              <w:rPr>
                <w:rFonts w:hint="eastAsia" w:ascii="宋体" w:hAnsi="宋体" w:cs="宋体"/>
                <w:color w:val="auto"/>
                <w:szCs w:val="21"/>
              </w:rPr>
              <w:t>报价得分=（评标基准价/评标报价）×</w:t>
            </w:r>
            <w:r>
              <w:rPr>
                <w:rFonts w:ascii="宋体" w:hAnsi="宋体" w:cs="宋体"/>
                <w:color w:val="auto"/>
                <w:szCs w:val="21"/>
              </w:rPr>
              <w:t>3</w:t>
            </w:r>
            <w:r>
              <w:rPr>
                <w:rFonts w:hint="eastAsia" w:ascii="宋体" w:hAnsi="宋体" w:cs="宋体"/>
                <w:color w:val="auto"/>
                <w:szCs w:val="21"/>
              </w:rPr>
              <w:t>0×100%</w:t>
            </w:r>
          </w:p>
          <w:p>
            <w:pPr>
              <w:adjustRightInd w:val="0"/>
              <w:snapToGrid w:val="0"/>
              <w:spacing w:line="480" w:lineRule="exact"/>
              <w:ind w:right="120" w:rightChars="50"/>
              <w:jc w:val="both"/>
              <w:rPr>
                <w:rFonts w:ascii="宋体" w:hAnsi="宋体" w:cs="宋体"/>
                <w:color w:val="auto"/>
                <w:kern w:val="0"/>
                <w:szCs w:val="21"/>
                <w:lang w:bidi="ar"/>
              </w:rPr>
            </w:pPr>
            <w:r>
              <w:rPr>
                <w:rFonts w:hint="eastAsia" w:ascii="宋体" w:hAnsi="宋体" w:cs="仿宋"/>
                <w:b/>
              </w:rPr>
              <w:t>注：本项目专门面向中小企业采购，</w:t>
            </w:r>
            <w:r>
              <w:rPr>
                <w:rFonts w:hint="eastAsia" w:ascii="宋体" w:hAnsi="宋体" w:cs="仿宋"/>
                <w:b/>
                <w:lang w:eastAsia="zh-CN"/>
              </w:rPr>
              <w:t>评标</w:t>
            </w:r>
            <w:r>
              <w:rPr>
                <w:rFonts w:hint="eastAsia" w:ascii="宋体" w:hAnsi="宋体" w:cs="仿宋"/>
                <w:b/>
              </w:rPr>
              <w:t>报价不再执行价格扣除优惠政策。</w:t>
            </w:r>
          </w:p>
          <w:p>
            <w:pPr>
              <w:widowControl/>
              <w:spacing w:line="360" w:lineRule="auto"/>
              <w:jc w:val="both"/>
              <w:rPr>
                <w:rFonts w:hint="eastAsia" w:ascii="宋体" w:hAnsi="宋体" w:cs="宋体"/>
                <w:color w:val="auto"/>
                <w:kern w:val="0"/>
                <w:szCs w:val="21"/>
              </w:rPr>
            </w:pPr>
            <w:r>
              <w:rPr>
                <w:rFonts w:hint="eastAsia" w:ascii="宋体" w:hAnsi="宋体" w:cs="宋体"/>
                <w:color w:val="auto"/>
                <w:szCs w:val="21"/>
              </w:rPr>
              <w:t>投标供应商报价不得低于成本价：评标委员会认为投标供应商的报价明显低于其他通过初步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restart"/>
            <w:vAlign w:val="center"/>
          </w:tcPr>
          <w:p>
            <w:pPr>
              <w:adjustRightInd w:val="0"/>
              <w:spacing w:line="240" w:lineRule="auto"/>
              <w:jc w:val="center"/>
              <w:rPr>
                <w:rFonts w:ascii="宋体" w:hAnsi="宋体" w:cs="宋体"/>
                <w:color w:val="auto"/>
              </w:rPr>
            </w:pPr>
            <w:r>
              <w:rPr>
                <w:rFonts w:hint="eastAsia" w:ascii="宋体" w:hAnsi="宋体" w:cs="宋体"/>
                <w:color w:val="auto"/>
              </w:rPr>
              <w:t>2.2.3</w:t>
            </w:r>
          </w:p>
          <w:p>
            <w:pPr>
              <w:adjustRightInd w:val="0"/>
              <w:spacing w:line="240" w:lineRule="auto"/>
              <w:jc w:val="center"/>
              <w:rPr>
                <w:rFonts w:ascii="宋体" w:hAnsi="宋体" w:cs="宋体"/>
                <w:color w:val="auto"/>
              </w:rPr>
            </w:pPr>
            <w:r>
              <w:rPr>
                <w:rFonts w:hint="eastAsia" w:ascii="宋体" w:hAnsi="宋体" w:cs="宋体"/>
                <w:color w:val="auto"/>
              </w:rPr>
              <w:t>（2）</w:t>
            </w:r>
          </w:p>
        </w:tc>
        <w:tc>
          <w:tcPr>
            <w:tcW w:w="1626" w:type="dxa"/>
            <w:vMerge w:val="restart"/>
            <w:vAlign w:val="center"/>
          </w:tcPr>
          <w:p>
            <w:pPr>
              <w:adjustRightInd w:val="0"/>
              <w:spacing w:line="480" w:lineRule="exact"/>
              <w:ind w:left="480" w:hanging="480" w:hangingChars="200"/>
              <w:jc w:val="center"/>
              <w:rPr>
                <w:rFonts w:hint="eastAsia" w:ascii="宋体" w:hAnsi="宋体" w:cs="宋体"/>
                <w:color w:val="auto"/>
                <w:lang w:eastAsia="zh-CN"/>
              </w:rPr>
            </w:pPr>
            <w:r>
              <w:rPr>
                <w:rFonts w:hint="eastAsia" w:ascii="宋体" w:hAnsi="宋体" w:cs="宋体"/>
                <w:color w:val="auto"/>
                <w:lang w:eastAsia="zh-CN"/>
              </w:rPr>
              <w:t>综合标</w:t>
            </w:r>
          </w:p>
          <w:p>
            <w:pPr>
              <w:adjustRightInd w:val="0"/>
              <w:spacing w:line="480" w:lineRule="exact"/>
              <w:ind w:left="480" w:hanging="480" w:hangingChars="200"/>
              <w:jc w:val="center"/>
              <w:rPr>
                <w:rFonts w:ascii="宋体" w:hAnsi="宋体" w:cs="宋体"/>
                <w:color w:val="auto"/>
              </w:rPr>
            </w:pPr>
            <w:r>
              <w:rPr>
                <w:rFonts w:hint="eastAsia" w:ascii="宋体" w:hAnsi="宋体" w:cs="宋体"/>
                <w:color w:val="auto"/>
              </w:rPr>
              <w:t>（20分）</w:t>
            </w:r>
          </w:p>
        </w:tc>
        <w:tc>
          <w:tcPr>
            <w:tcW w:w="1458" w:type="dxa"/>
            <w:vAlign w:val="center"/>
          </w:tcPr>
          <w:p>
            <w:pPr>
              <w:adjustRightInd w:val="0"/>
              <w:snapToGrid w:val="0"/>
              <w:spacing w:line="360" w:lineRule="exact"/>
              <w:ind w:left="120" w:leftChars="50" w:right="120" w:rightChars="50"/>
              <w:jc w:val="center"/>
              <w:rPr>
                <w:rFonts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类似业绩</w:t>
            </w:r>
          </w:p>
          <w:p>
            <w:pPr>
              <w:widowControl/>
              <w:spacing w:line="480" w:lineRule="exact"/>
              <w:jc w:val="cente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分）</w:t>
            </w:r>
          </w:p>
        </w:tc>
        <w:tc>
          <w:tcPr>
            <w:tcW w:w="5177" w:type="dxa"/>
            <w:vAlign w:val="center"/>
          </w:tcPr>
          <w:p>
            <w:pPr>
              <w:widowControl/>
              <w:spacing w:line="480" w:lineRule="exact"/>
              <w:jc w:val="both"/>
              <w:rPr>
                <w:rFonts w:ascii="宋体" w:hAnsi="宋体" w:cs="宋体"/>
                <w:color w:val="auto"/>
                <w:szCs w:val="21"/>
              </w:rPr>
            </w:pPr>
            <w:r>
              <w:rPr>
                <w:rFonts w:hint="eastAsia" w:ascii="宋体" w:hAnsi="宋体" w:cs="宋体"/>
                <w:color w:val="auto"/>
                <w:kern w:val="0"/>
                <w:szCs w:val="21"/>
              </w:rPr>
              <w:t>根据所投产品（至少包含核心产品）（投标截止日前三年以来）类似项目业绩打分（须提供供货合同及清单明细，未提供清单明细或关键页不清晰的不得分），每个得</w:t>
            </w:r>
            <w:r>
              <w:rPr>
                <w:rFonts w:hint="eastAsia" w:ascii="宋体" w:hAnsi="宋体" w:cs="宋体"/>
                <w:color w:val="auto"/>
                <w:kern w:val="0"/>
                <w:szCs w:val="21"/>
                <w:lang w:val="en-US" w:eastAsia="zh-CN"/>
              </w:rPr>
              <w:t>1</w:t>
            </w:r>
            <w:r>
              <w:rPr>
                <w:rFonts w:hint="eastAsia" w:ascii="宋体" w:hAnsi="宋体" w:cs="宋体"/>
                <w:color w:val="auto"/>
                <w:kern w:val="0"/>
                <w:szCs w:val="21"/>
              </w:rPr>
              <w:t>分，最多得</w:t>
            </w:r>
            <w:r>
              <w:rPr>
                <w:rFonts w:hint="eastAsia" w:ascii="宋体" w:hAnsi="宋体" w:cs="宋体"/>
                <w:color w:val="auto"/>
                <w:kern w:val="0"/>
                <w:szCs w:val="21"/>
                <w:lang w:val="en-US" w:eastAsia="zh-CN"/>
              </w:rPr>
              <w:t>2</w:t>
            </w:r>
            <w:r>
              <w:rPr>
                <w:rFonts w:hint="eastAsia" w:ascii="宋体" w:hAnsi="宋体" w:cs="宋体"/>
                <w:color w:val="auto"/>
                <w:kern w:val="0"/>
                <w:szCs w:val="21"/>
              </w:rPr>
              <w:t>分。未提供或未按要求的提供不得分。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continue"/>
            <w:vAlign w:val="center"/>
          </w:tcPr>
          <w:p>
            <w:pPr>
              <w:adjustRightInd w:val="0"/>
              <w:spacing w:line="240" w:lineRule="auto"/>
              <w:jc w:val="center"/>
              <w:rPr>
                <w:rFonts w:ascii="宋体" w:hAnsi="宋体" w:cs="宋体"/>
                <w:color w:val="auto"/>
              </w:rPr>
            </w:pPr>
          </w:p>
        </w:tc>
        <w:tc>
          <w:tcPr>
            <w:tcW w:w="1626" w:type="dxa"/>
            <w:vMerge w:val="continue"/>
            <w:vAlign w:val="center"/>
          </w:tcPr>
          <w:p>
            <w:pPr>
              <w:adjustRightInd w:val="0"/>
              <w:spacing w:line="480" w:lineRule="exact"/>
              <w:ind w:left="480" w:hanging="480" w:hangingChars="200"/>
              <w:jc w:val="center"/>
              <w:rPr>
                <w:rFonts w:ascii="宋体" w:hAnsi="宋体" w:cs="宋体"/>
                <w:color w:val="auto"/>
              </w:rPr>
            </w:pPr>
          </w:p>
        </w:tc>
        <w:tc>
          <w:tcPr>
            <w:tcW w:w="1458" w:type="dxa"/>
            <w:vAlign w:val="center"/>
          </w:tcPr>
          <w:p>
            <w:pPr>
              <w:widowControl/>
              <w:spacing w:line="480" w:lineRule="exact"/>
              <w:jc w:val="center"/>
              <w:rPr>
                <w:rFonts w:hint="eastAsia" w:cs="仿宋" w:asciiTheme="minorEastAsia" w:hAnsiTheme="minorEastAsia" w:eastAsiaTheme="minorEastAsia"/>
                <w:color w:val="auto"/>
                <w:szCs w:val="21"/>
                <w:lang w:val="zh-CN"/>
              </w:rPr>
            </w:pPr>
            <w:r>
              <w:rPr>
                <w:rFonts w:hint="eastAsia" w:cs="仿宋" w:asciiTheme="minorEastAsia" w:hAnsiTheme="minorEastAsia" w:eastAsiaTheme="minorEastAsia"/>
                <w:color w:val="auto"/>
                <w:szCs w:val="21"/>
                <w:lang w:val="zh-CN"/>
              </w:rPr>
              <w:t>质保期</w:t>
            </w:r>
          </w:p>
          <w:p>
            <w:pPr>
              <w:widowControl/>
              <w:spacing w:line="480" w:lineRule="exact"/>
              <w:jc w:val="center"/>
              <w:rPr>
                <w:rFonts w:ascii="宋体" w:hAnsi="宋体" w:cs="宋体"/>
                <w:color w:val="auto"/>
                <w:szCs w:val="21"/>
              </w:rPr>
            </w:pPr>
            <w:r>
              <w:rPr>
                <w:rFonts w:hint="eastAsia" w:cs="仿宋" w:asciiTheme="minorEastAsia" w:hAnsiTheme="minorEastAsia" w:eastAsiaTheme="minorEastAsia"/>
                <w:color w:val="auto"/>
                <w:szCs w:val="21"/>
                <w:lang w:val="zh-CN"/>
              </w:rPr>
              <w:t>（</w:t>
            </w:r>
            <w:r>
              <w:rPr>
                <w:rFonts w:hint="eastAsia" w:cs="仿宋" w:asciiTheme="minorEastAsia" w:hAnsiTheme="minorEastAsia" w:eastAsiaTheme="minorEastAsia"/>
                <w:color w:val="auto"/>
                <w:szCs w:val="21"/>
                <w:lang w:val="en-US" w:eastAsia="zh-CN"/>
              </w:rPr>
              <w:t>2</w:t>
            </w:r>
            <w:r>
              <w:rPr>
                <w:rFonts w:hint="eastAsia" w:cs="仿宋" w:asciiTheme="minorEastAsia" w:hAnsiTheme="minorEastAsia" w:eastAsiaTheme="minorEastAsia"/>
                <w:color w:val="auto"/>
                <w:szCs w:val="21"/>
              </w:rPr>
              <w:t>分</w:t>
            </w:r>
            <w:r>
              <w:rPr>
                <w:rFonts w:hint="eastAsia" w:cs="仿宋" w:asciiTheme="minorEastAsia" w:hAnsiTheme="minorEastAsia" w:eastAsiaTheme="minorEastAsia"/>
                <w:color w:val="auto"/>
                <w:szCs w:val="21"/>
                <w:lang w:val="zh-CN"/>
              </w:rPr>
              <w:t>）</w:t>
            </w:r>
          </w:p>
        </w:tc>
        <w:tc>
          <w:tcPr>
            <w:tcW w:w="5177" w:type="dxa"/>
            <w:vAlign w:val="center"/>
          </w:tcPr>
          <w:p>
            <w:pPr>
              <w:widowControl/>
              <w:spacing w:line="480" w:lineRule="exact"/>
              <w:jc w:val="both"/>
              <w:rPr>
                <w:rFonts w:ascii="宋体" w:hAnsi="宋体" w:cs="宋体"/>
                <w:color w:val="auto"/>
                <w:szCs w:val="21"/>
              </w:rPr>
            </w:pPr>
            <w:r>
              <w:rPr>
                <w:rFonts w:hint="eastAsia" w:ascii="宋体" w:hAnsi="宋体" w:cs="宋体"/>
                <w:color w:val="auto"/>
                <w:szCs w:val="21"/>
              </w:rPr>
              <w:t>在满足招标文件要求的基础上，质保期每增加一年，得1分，</w:t>
            </w:r>
            <w:r>
              <w:rPr>
                <w:rFonts w:hint="eastAsia" w:ascii="宋体" w:hAnsi="宋体" w:cs="宋体"/>
                <w:color w:val="auto"/>
                <w:kern w:val="0"/>
                <w:szCs w:val="21"/>
              </w:rPr>
              <w:t>最多得</w:t>
            </w:r>
            <w:r>
              <w:rPr>
                <w:rFonts w:hint="eastAsia" w:ascii="宋体" w:hAnsi="宋体" w:cs="宋体"/>
                <w:color w:val="auto"/>
                <w:kern w:val="0"/>
                <w:szCs w:val="21"/>
                <w:lang w:val="en-US" w:eastAsia="zh-CN"/>
              </w:rPr>
              <w:t>2</w:t>
            </w:r>
            <w:r>
              <w:rPr>
                <w:rFonts w:hint="eastAsia" w:ascii="宋体" w:hAnsi="宋体" w:cs="宋体"/>
                <w:color w:val="auto"/>
                <w:kern w:val="0"/>
                <w:szCs w:val="21"/>
              </w:rPr>
              <w:t>分</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continue"/>
            <w:vAlign w:val="center"/>
          </w:tcPr>
          <w:p>
            <w:pPr>
              <w:adjustRightInd w:val="0"/>
              <w:spacing w:line="240" w:lineRule="auto"/>
              <w:jc w:val="center"/>
              <w:rPr>
                <w:rFonts w:ascii="宋体" w:hAnsi="宋体" w:cs="宋体"/>
                <w:color w:val="auto"/>
              </w:rPr>
            </w:pPr>
          </w:p>
        </w:tc>
        <w:tc>
          <w:tcPr>
            <w:tcW w:w="1626" w:type="dxa"/>
            <w:vMerge w:val="continue"/>
            <w:vAlign w:val="center"/>
          </w:tcPr>
          <w:p>
            <w:pPr>
              <w:adjustRightInd w:val="0"/>
              <w:spacing w:line="480" w:lineRule="exact"/>
              <w:ind w:left="480" w:hanging="480" w:hangingChars="200"/>
              <w:jc w:val="center"/>
              <w:rPr>
                <w:rFonts w:ascii="宋体" w:hAnsi="宋体" w:cs="宋体"/>
                <w:color w:val="auto"/>
              </w:rPr>
            </w:pPr>
          </w:p>
        </w:tc>
        <w:tc>
          <w:tcPr>
            <w:tcW w:w="1458" w:type="dxa"/>
            <w:vAlign w:val="center"/>
          </w:tcPr>
          <w:p>
            <w:pPr>
              <w:widowControl/>
              <w:spacing w:line="480" w:lineRule="exact"/>
              <w:jc w:val="center"/>
              <w:rPr>
                <w:rFonts w:hint="eastAsia" w:ascii="宋体" w:hAnsi="宋体" w:cs="宋体"/>
                <w:color w:val="auto"/>
                <w:szCs w:val="21"/>
              </w:rPr>
            </w:pPr>
            <w:r>
              <w:rPr>
                <w:rFonts w:hint="eastAsia" w:ascii="宋体" w:hAnsi="宋体" w:cs="宋体"/>
                <w:color w:val="auto"/>
                <w:szCs w:val="21"/>
              </w:rPr>
              <w:t>售后服务情况</w:t>
            </w:r>
          </w:p>
          <w:p>
            <w:pPr>
              <w:widowControl/>
              <w:spacing w:line="48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12分</w:t>
            </w:r>
            <w:r>
              <w:rPr>
                <w:rFonts w:hint="eastAsia" w:ascii="宋体" w:hAnsi="宋体" w:cs="宋体"/>
                <w:color w:val="auto"/>
                <w:szCs w:val="21"/>
                <w:lang w:eastAsia="zh-CN"/>
              </w:rPr>
              <w:t>）</w:t>
            </w:r>
          </w:p>
        </w:tc>
        <w:tc>
          <w:tcPr>
            <w:tcW w:w="5177" w:type="dxa"/>
            <w:vAlign w:val="center"/>
          </w:tcPr>
          <w:p>
            <w:pPr>
              <w:widowControl/>
              <w:spacing w:line="480" w:lineRule="exact"/>
              <w:jc w:val="both"/>
              <w:rPr>
                <w:rFonts w:ascii="宋体" w:hAnsi="宋体" w:cs="宋体"/>
                <w:color w:val="auto"/>
                <w:szCs w:val="21"/>
              </w:rPr>
            </w:pPr>
            <w:r>
              <w:rPr>
                <w:rFonts w:hint="eastAsia" w:ascii="宋体" w:hAnsi="宋体" w:cs="宋体"/>
                <w:color w:val="auto"/>
                <w:szCs w:val="21"/>
              </w:rPr>
              <w:t>综合考虑售后服务包括培训计划，售后服务中心、备件库、售后服务人员、技术支持响应时间、质保期后的延续性服务等方面</w:t>
            </w:r>
            <w:r>
              <w:rPr>
                <w:rFonts w:hint="eastAsia" w:ascii="宋体" w:hAnsi="宋体" w:cs="宋体"/>
                <w:color w:val="auto"/>
                <w:szCs w:val="21"/>
                <w:lang w:eastAsia="zh-CN"/>
              </w:rPr>
              <w:t>的</w:t>
            </w:r>
            <w:r>
              <w:rPr>
                <w:rFonts w:hint="eastAsia" w:ascii="宋体" w:hAnsi="宋体" w:cs="宋体"/>
                <w:color w:val="auto"/>
                <w:szCs w:val="21"/>
              </w:rPr>
              <w:t>完整性、合理性、针对性、有效性、可实施性等综合评分，每项得2分,最高得12分。每发现一处表述不够具体或资料不够齐全减1分，减完为止。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continue"/>
            <w:vAlign w:val="center"/>
          </w:tcPr>
          <w:p>
            <w:pPr>
              <w:adjustRightInd w:val="0"/>
              <w:spacing w:line="240" w:lineRule="auto"/>
              <w:jc w:val="center"/>
              <w:rPr>
                <w:rFonts w:ascii="宋体" w:hAnsi="宋体" w:cs="宋体"/>
                <w:color w:val="auto"/>
              </w:rPr>
            </w:pPr>
          </w:p>
        </w:tc>
        <w:tc>
          <w:tcPr>
            <w:tcW w:w="1626" w:type="dxa"/>
            <w:vMerge w:val="continue"/>
            <w:vAlign w:val="center"/>
          </w:tcPr>
          <w:p>
            <w:pPr>
              <w:adjustRightInd w:val="0"/>
              <w:spacing w:line="480" w:lineRule="exact"/>
              <w:ind w:left="480" w:hanging="480" w:hangingChars="200"/>
              <w:jc w:val="center"/>
              <w:rPr>
                <w:rFonts w:ascii="宋体" w:hAnsi="宋体" w:cs="宋体"/>
                <w:color w:val="auto"/>
              </w:rPr>
            </w:pPr>
          </w:p>
        </w:tc>
        <w:tc>
          <w:tcPr>
            <w:tcW w:w="1458" w:type="dxa"/>
            <w:vAlign w:val="center"/>
          </w:tcPr>
          <w:p>
            <w:pPr>
              <w:widowControl/>
              <w:spacing w:line="480" w:lineRule="exact"/>
              <w:jc w:val="center"/>
              <w:rPr>
                <w:rFonts w:hint="eastAsia" w:ascii="宋体" w:hAnsi="宋体" w:cs="宋体"/>
                <w:color w:val="auto"/>
                <w:szCs w:val="21"/>
              </w:rPr>
            </w:pPr>
            <w:r>
              <w:rPr>
                <w:rFonts w:hint="eastAsia" w:ascii="宋体" w:hAnsi="宋体" w:cs="宋体"/>
                <w:color w:val="auto"/>
                <w:szCs w:val="21"/>
              </w:rPr>
              <w:t>其他优惠条件</w:t>
            </w:r>
          </w:p>
          <w:p>
            <w:pPr>
              <w:widowControl/>
              <w:spacing w:line="48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2分</w:t>
            </w:r>
            <w:r>
              <w:rPr>
                <w:rFonts w:hint="eastAsia" w:ascii="宋体" w:hAnsi="宋体" w:cs="宋体"/>
                <w:color w:val="auto"/>
                <w:szCs w:val="21"/>
                <w:lang w:eastAsia="zh-CN"/>
              </w:rPr>
              <w:t>）</w:t>
            </w:r>
          </w:p>
        </w:tc>
        <w:tc>
          <w:tcPr>
            <w:tcW w:w="5177" w:type="dxa"/>
            <w:vAlign w:val="center"/>
          </w:tcPr>
          <w:p>
            <w:pPr>
              <w:widowControl/>
              <w:spacing w:line="480" w:lineRule="exact"/>
              <w:jc w:val="both"/>
              <w:rPr>
                <w:rFonts w:ascii="宋体" w:hAnsi="宋体" w:cs="宋体"/>
                <w:color w:val="auto"/>
                <w:szCs w:val="21"/>
              </w:rPr>
            </w:pPr>
            <w:r>
              <w:rPr>
                <w:rFonts w:hint="eastAsia" w:ascii="宋体" w:hAnsi="宋体" w:cs="宋体"/>
                <w:color w:val="auto"/>
                <w:szCs w:val="21"/>
              </w:rPr>
              <w:t>评标委员会一致认可的实质性优惠条款，每有一</w:t>
            </w:r>
            <w:r>
              <w:rPr>
                <w:rFonts w:hint="eastAsia" w:ascii="宋体" w:hAnsi="宋体" w:cs="宋体"/>
                <w:color w:val="auto"/>
                <w:szCs w:val="21"/>
                <w:lang w:eastAsia="zh-CN"/>
              </w:rPr>
              <w:t>项</w:t>
            </w:r>
            <w:r>
              <w:rPr>
                <w:rFonts w:hint="eastAsia" w:ascii="宋体" w:hAnsi="宋体" w:cs="宋体"/>
                <w:color w:val="auto"/>
                <w:szCs w:val="21"/>
              </w:rPr>
              <w:t>得</w:t>
            </w:r>
            <w:r>
              <w:rPr>
                <w:rFonts w:hint="eastAsia" w:ascii="宋体" w:hAnsi="宋体" w:cs="宋体"/>
                <w:color w:val="auto"/>
                <w:szCs w:val="21"/>
                <w:lang w:val="en-US" w:eastAsia="zh-CN"/>
              </w:rPr>
              <w:t>1</w:t>
            </w:r>
            <w:r>
              <w:rPr>
                <w:rFonts w:hint="eastAsia" w:ascii="宋体" w:hAnsi="宋体" w:cs="宋体"/>
                <w:color w:val="auto"/>
                <w:szCs w:val="21"/>
              </w:rPr>
              <w:t>分，最多得</w:t>
            </w:r>
            <w:r>
              <w:rPr>
                <w:rFonts w:hint="eastAsia" w:ascii="宋体" w:hAnsi="宋体" w:cs="宋体"/>
                <w:color w:val="auto"/>
                <w:szCs w:val="21"/>
                <w:lang w:val="en-US" w:eastAsia="zh-CN"/>
              </w:rPr>
              <w:t>2</w:t>
            </w:r>
            <w:r>
              <w:rPr>
                <w:rFonts w:hint="eastAsia" w:ascii="宋体" w:hAnsi="宋体" w:cs="宋体"/>
                <w:color w:val="auto"/>
                <w:szCs w:val="21"/>
              </w:rPr>
              <w:t>分。无实质性优惠条款或优惠条款未得到评标委员会一致认可，得0分。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continue"/>
            <w:vAlign w:val="center"/>
          </w:tcPr>
          <w:p>
            <w:pPr>
              <w:adjustRightInd w:val="0"/>
              <w:spacing w:line="240" w:lineRule="auto"/>
              <w:jc w:val="center"/>
              <w:rPr>
                <w:rFonts w:ascii="宋体" w:hAnsi="宋体" w:cs="宋体"/>
                <w:color w:val="auto"/>
              </w:rPr>
            </w:pPr>
          </w:p>
        </w:tc>
        <w:tc>
          <w:tcPr>
            <w:tcW w:w="1626" w:type="dxa"/>
            <w:vMerge w:val="continue"/>
            <w:vAlign w:val="center"/>
          </w:tcPr>
          <w:p>
            <w:pPr>
              <w:adjustRightInd w:val="0"/>
              <w:spacing w:line="480" w:lineRule="exact"/>
              <w:ind w:left="480" w:hanging="480" w:hangingChars="200"/>
              <w:jc w:val="center"/>
              <w:rPr>
                <w:rFonts w:ascii="宋体" w:hAnsi="宋体" w:cs="宋体"/>
                <w:color w:val="auto"/>
              </w:rPr>
            </w:pPr>
          </w:p>
        </w:tc>
        <w:tc>
          <w:tcPr>
            <w:tcW w:w="1458" w:type="dxa"/>
            <w:vAlign w:val="center"/>
          </w:tcPr>
          <w:p>
            <w:pPr>
              <w:widowControl/>
              <w:adjustRightInd w:val="0"/>
              <w:snapToGrid w:val="0"/>
              <w:jc w:val="center"/>
              <w:rPr>
                <w:rFonts w:ascii="宋体" w:hAnsi="宋体" w:cs="宋体"/>
                <w:bCs/>
                <w:color w:val="auto"/>
                <w:kern w:val="0"/>
              </w:rPr>
            </w:pPr>
            <w:r>
              <w:rPr>
                <w:rFonts w:hint="eastAsia" w:ascii="宋体" w:hAnsi="宋体" w:cs="宋体"/>
                <w:bCs/>
                <w:color w:val="auto"/>
                <w:kern w:val="0"/>
              </w:rPr>
              <w:t>节能清单产品</w:t>
            </w:r>
          </w:p>
          <w:p>
            <w:pPr>
              <w:widowControl/>
              <w:adjustRightInd w:val="0"/>
              <w:snapToGrid w:val="0"/>
              <w:jc w:val="center"/>
              <w:rPr>
                <w:rFonts w:ascii="宋体" w:hAnsi="宋体" w:cs="宋体"/>
                <w:color w:val="auto"/>
                <w:szCs w:val="21"/>
              </w:rPr>
            </w:pPr>
            <w:r>
              <w:rPr>
                <w:rFonts w:hint="eastAsia" w:ascii="宋体" w:hAnsi="宋体" w:cs="宋体"/>
                <w:color w:val="auto"/>
                <w:szCs w:val="21"/>
              </w:rPr>
              <w:t>（1分）</w:t>
            </w:r>
          </w:p>
        </w:tc>
        <w:tc>
          <w:tcPr>
            <w:tcW w:w="5177" w:type="dxa"/>
            <w:vAlign w:val="center"/>
          </w:tcPr>
          <w:p>
            <w:pPr>
              <w:keepNext w:val="0"/>
              <w:keepLines w:val="0"/>
              <w:pageBreakBefore w:val="0"/>
              <w:widowControl/>
              <w:kinsoku/>
              <w:wordWrap w:val="0"/>
              <w:overflowPunct/>
              <w:topLinePunct w:val="0"/>
              <w:autoSpaceDE/>
              <w:autoSpaceDN/>
              <w:bidi w:val="0"/>
              <w:adjustRightInd w:val="0"/>
              <w:snapToGrid w:val="0"/>
              <w:spacing w:line="480" w:lineRule="exact"/>
              <w:textAlignment w:val="auto"/>
              <w:rPr>
                <w:rFonts w:ascii="宋体" w:hAnsi="宋体" w:cs="宋体"/>
                <w:bCs/>
                <w:color w:val="auto"/>
                <w:kern w:val="0"/>
              </w:rPr>
            </w:pPr>
            <w:r>
              <w:rPr>
                <w:rFonts w:hint="eastAsia" w:ascii="宋体" w:hAnsi="宋体" w:cs="宋体"/>
                <w:bCs/>
                <w:color w:val="auto"/>
                <w:kern w:val="0"/>
              </w:rPr>
              <w:t>除政府采购强制节能产品外，投标产品为节能产品政府采购品目清单内产品，每有一项加</w:t>
            </w:r>
            <w:r>
              <w:rPr>
                <w:rFonts w:hint="eastAsia" w:ascii="宋体" w:hAnsi="宋体" w:cs="宋体"/>
                <w:bCs/>
                <w:color w:val="auto"/>
                <w:kern w:val="0"/>
                <w:lang w:val="en-US" w:eastAsia="zh-CN"/>
              </w:rPr>
              <w:t>1</w:t>
            </w:r>
            <w:r>
              <w:rPr>
                <w:rFonts w:hint="eastAsia" w:ascii="宋体" w:hAnsi="宋体" w:cs="宋体"/>
                <w:bCs/>
                <w:color w:val="auto"/>
                <w:kern w:val="0"/>
              </w:rPr>
              <w:t>分，最多加1分。</w:t>
            </w:r>
          </w:p>
          <w:p>
            <w:pPr>
              <w:keepNext w:val="0"/>
              <w:keepLines w:val="0"/>
              <w:pageBreakBefore w:val="0"/>
              <w:widowControl/>
              <w:kinsoku/>
              <w:wordWrap w:val="0"/>
              <w:overflowPunct/>
              <w:topLinePunct w:val="0"/>
              <w:autoSpaceDE/>
              <w:autoSpaceDN/>
              <w:bidi w:val="0"/>
              <w:spacing w:line="480" w:lineRule="exact"/>
              <w:jc w:val="both"/>
              <w:textAlignment w:val="auto"/>
              <w:rPr>
                <w:rFonts w:ascii="宋体" w:hAnsi="宋体" w:cs="宋体"/>
                <w:color w:val="auto"/>
                <w:szCs w:val="21"/>
              </w:rPr>
            </w:pPr>
            <w:r>
              <w:rPr>
                <w:rFonts w:hint="eastAsia" w:ascii="宋体" w:hAnsi="宋体" w:cs="宋体"/>
                <w:bCs/>
                <w:color w:val="auto"/>
                <w:kern w:val="0"/>
              </w:rPr>
              <w:t>投标供应商须在投标文件中附该产品在节能产品政府采购品目清单所在页的复印件，及国家确定的认证机构出具的、处于有效期之内的《国家节能产品认证证书》复印件，否则评标委员会有权不予认可。清单可在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continue"/>
            <w:vAlign w:val="center"/>
          </w:tcPr>
          <w:p>
            <w:pPr>
              <w:adjustRightInd w:val="0"/>
              <w:spacing w:line="240" w:lineRule="auto"/>
              <w:jc w:val="center"/>
              <w:rPr>
                <w:rFonts w:ascii="宋体" w:hAnsi="宋体" w:cs="宋体"/>
                <w:color w:val="auto"/>
              </w:rPr>
            </w:pPr>
          </w:p>
        </w:tc>
        <w:tc>
          <w:tcPr>
            <w:tcW w:w="1626" w:type="dxa"/>
            <w:vMerge w:val="continue"/>
            <w:vAlign w:val="center"/>
          </w:tcPr>
          <w:p>
            <w:pPr>
              <w:adjustRightInd w:val="0"/>
              <w:spacing w:line="480" w:lineRule="exact"/>
              <w:ind w:left="480" w:hanging="480" w:hangingChars="200"/>
              <w:jc w:val="center"/>
              <w:rPr>
                <w:rFonts w:ascii="宋体" w:hAnsi="宋体" w:cs="宋体"/>
                <w:color w:val="auto"/>
              </w:rPr>
            </w:pPr>
          </w:p>
        </w:tc>
        <w:tc>
          <w:tcPr>
            <w:tcW w:w="1458" w:type="dxa"/>
            <w:vAlign w:val="center"/>
          </w:tcPr>
          <w:p>
            <w:pPr>
              <w:widowControl/>
              <w:adjustRightInd w:val="0"/>
              <w:snapToGrid w:val="0"/>
              <w:jc w:val="center"/>
              <w:rPr>
                <w:rFonts w:ascii="宋体" w:hAnsi="宋体" w:cs="宋体"/>
                <w:bCs/>
                <w:color w:val="auto"/>
                <w:kern w:val="0"/>
              </w:rPr>
            </w:pPr>
            <w:r>
              <w:rPr>
                <w:rFonts w:hint="eastAsia" w:ascii="宋体" w:hAnsi="宋体" w:cs="宋体"/>
                <w:bCs/>
                <w:color w:val="auto"/>
                <w:kern w:val="0"/>
              </w:rPr>
              <w:t>环保清单产品</w:t>
            </w:r>
          </w:p>
          <w:p>
            <w:pPr>
              <w:widowControl/>
              <w:adjustRightInd w:val="0"/>
              <w:snapToGrid w:val="0"/>
              <w:jc w:val="center"/>
              <w:rPr>
                <w:rFonts w:ascii="宋体" w:hAnsi="宋体" w:cs="宋体"/>
                <w:color w:val="auto"/>
                <w:szCs w:val="21"/>
              </w:rPr>
            </w:pPr>
            <w:r>
              <w:rPr>
                <w:rFonts w:hint="eastAsia" w:ascii="宋体" w:hAnsi="宋体" w:cs="宋体"/>
                <w:color w:val="auto"/>
                <w:szCs w:val="21"/>
              </w:rPr>
              <w:t>（1分）</w:t>
            </w:r>
          </w:p>
        </w:tc>
        <w:tc>
          <w:tcPr>
            <w:tcW w:w="5177" w:type="dxa"/>
            <w:vAlign w:val="center"/>
          </w:tcPr>
          <w:p>
            <w:pPr>
              <w:widowControl/>
              <w:spacing w:line="480" w:lineRule="exact"/>
              <w:jc w:val="both"/>
              <w:rPr>
                <w:rFonts w:ascii="宋体" w:hAnsi="宋体" w:cs="宋体"/>
                <w:color w:val="auto"/>
                <w:szCs w:val="21"/>
              </w:rPr>
            </w:pPr>
            <w:r>
              <w:rPr>
                <w:rFonts w:hint="eastAsia" w:ascii="宋体" w:hAnsi="宋体" w:cs="宋体"/>
                <w:bCs/>
                <w:color w:val="auto"/>
                <w:kern w:val="0"/>
              </w:rPr>
              <w:t>投标产品为环境标志产品政府采购品目清单内的产品，每有一项加</w:t>
            </w:r>
            <w:r>
              <w:rPr>
                <w:rFonts w:hint="eastAsia" w:ascii="宋体" w:hAnsi="宋体" w:cs="宋体"/>
                <w:bCs/>
                <w:color w:val="auto"/>
                <w:kern w:val="0"/>
                <w:lang w:val="en-US" w:eastAsia="zh-CN"/>
              </w:rPr>
              <w:t>1</w:t>
            </w:r>
            <w:r>
              <w:rPr>
                <w:rFonts w:hint="eastAsia" w:ascii="宋体" w:hAnsi="宋体" w:cs="宋体"/>
                <w:bCs/>
                <w:color w:val="auto"/>
                <w:kern w:val="0"/>
              </w:rPr>
              <w:t>分，最多加1分。</w:t>
            </w:r>
            <w:r>
              <w:rPr>
                <w:rFonts w:hint="eastAsia" w:ascii="宋体" w:hAnsi="宋体" w:cs="宋体"/>
                <w:bCs/>
                <w:color w:val="auto"/>
                <w:kern w:val="0"/>
              </w:rPr>
              <w:br w:type="textWrapping"/>
            </w:r>
            <w:r>
              <w:rPr>
                <w:rFonts w:hint="eastAsia" w:ascii="宋体" w:hAnsi="宋体" w:cs="宋体"/>
                <w:bCs/>
                <w:color w:val="auto"/>
                <w:kern w:val="0"/>
              </w:rPr>
              <w:t>投标供应商须在投标文件中附该产品在环境标志产品政府采购品目清单所在页的复印件，及国家确定的认证机构出具的、处于有效期之内的《中国环境标志产品认证证书》复印件，否则评标委员会有权不予认可。查询地址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restart"/>
            <w:vAlign w:val="center"/>
          </w:tcPr>
          <w:p>
            <w:pPr>
              <w:adjustRightInd w:val="0"/>
              <w:spacing w:line="240" w:lineRule="auto"/>
              <w:jc w:val="center"/>
              <w:rPr>
                <w:rFonts w:ascii="宋体" w:hAnsi="宋体" w:cs="宋体"/>
                <w:color w:val="auto"/>
              </w:rPr>
            </w:pPr>
            <w:r>
              <w:rPr>
                <w:rFonts w:hint="eastAsia" w:ascii="宋体" w:hAnsi="宋体" w:cs="宋体"/>
                <w:color w:val="auto"/>
              </w:rPr>
              <w:t>2.2.3</w:t>
            </w:r>
          </w:p>
          <w:p>
            <w:pPr>
              <w:adjustRightInd w:val="0"/>
              <w:spacing w:line="240" w:lineRule="auto"/>
              <w:jc w:val="center"/>
              <w:rPr>
                <w:rFonts w:ascii="宋体" w:hAnsi="宋体" w:cs="宋体"/>
                <w:color w:val="auto"/>
              </w:rPr>
            </w:pPr>
            <w:r>
              <w:rPr>
                <w:rFonts w:hint="eastAsia" w:ascii="宋体" w:hAnsi="宋体" w:cs="宋体"/>
                <w:color w:val="auto"/>
              </w:rPr>
              <w:t>（3）</w:t>
            </w:r>
          </w:p>
        </w:tc>
        <w:tc>
          <w:tcPr>
            <w:tcW w:w="1626" w:type="dxa"/>
            <w:vMerge w:val="restart"/>
            <w:vAlign w:val="center"/>
          </w:tcPr>
          <w:p>
            <w:pPr>
              <w:adjustRightInd w:val="0"/>
              <w:spacing w:line="480" w:lineRule="exact"/>
              <w:ind w:left="480" w:hanging="480" w:hangingChars="200"/>
              <w:jc w:val="center"/>
              <w:rPr>
                <w:rFonts w:hint="eastAsia" w:ascii="宋体" w:hAnsi="宋体" w:eastAsia="宋体" w:cs="宋体"/>
                <w:color w:val="auto"/>
                <w:lang w:eastAsia="zh-CN"/>
              </w:rPr>
            </w:pPr>
            <w:r>
              <w:rPr>
                <w:rFonts w:hint="eastAsia" w:ascii="宋体" w:hAnsi="宋体" w:cs="宋体"/>
                <w:color w:val="auto"/>
              </w:rPr>
              <w:t>技术</w:t>
            </w:r>
            <w:r>
              <w:rPr>
                <w:rFonts w:hint="eastAsia" w:ascii="宋体" w:hAnsi="宋体" w:cs="宋体"/>
                <w:color w:val="auto"/>
                <w:lang w:eastAsia="zh-CN"/>
              </w:rPr>
              <w:t>标</w:t>
            </w:r>
          </w:p>
          <w:p>
            <w:pPr>
              <w:adjustRightInd w:val="0"/>
              <w:spacing w:line="480" w:lineRule="exact"/>
              <w:ind w:left="480" w:hanging="480" w:hangingChars="200"/>
              <w:jc w:val="center"/>
              <w:rPr>
                <w:rFonts w:ascii="宋体" w:hAnsi="宋体" w:cs="宋体"/>
                <w:color w:val="auto"/>
              </w:rPr>
            </w:pPr>
            <w:r>
              <w:rPr>
                <w:rFonts w:hint="eastAsia" w:ascii="宋体" w:hAnsi="宋体" w:cs="宋体"/>
                <w:color w:val="auto"/>
              </w:rPr>
              <w:t>（50分）</w:t>
            </w:r>
          </w:p>
        </w:tc>
        <w:tc>
          <w:tcPr>
            <w:tcW w:w="1458" w:type="dxa"/>
            <w:vAlign w:val="center"/>
          </w:tcPr>
          <w:p>
            <w:pPr>
              <w:widowControl/>
              <w:spacing w:line="480" w:lineRule="exact"/>
              <w:jc w:val="center"/>
              <w:rPr>
                <w:rFonts w:hint="eastAsia"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产品技术指标符合程度</w:t>
            </w:r>
          </w:p>
          <w:p>
            <w:pPr>
              <w:widowControl/>
              <w:spacing w:line="480" w:lineRule="exact"/>
              <w:jc w:val="center"/>
              <w:rPr>
                <w:rFonts w:hint="eastAsia" w:cs="仿宋" w:asciiTheme="minorEastAsia" w:hAnsiTheme="minorEastAsia" w:eastAsiaTheme="minorEastAsia"/>
                <w:color w:val="auto"/>
                <w:szCs w:val="21"/>
              </w:rPr>
            </w:pPr>
            <w:r>
              <w:rPr>
                <w:rFonts w:hint="eastAsia" w:cs="仿宋" w:asciiTheme="minorEastAsia" w:hAnsiTheme="minorEastAsia" w:eastAsiaTheme="minorEastAsia"/>
                <w:color w:val="auto"/>
                <w:szCs w:val="21"/>
              </w:rPr>
              <w:t>评价</w:t>
            </w:r>
          </w:p>
          <w:p>
            <w:pPr>
              <w:widowControl/>
              <w:spacing w:line="480" w:lineRule="exact"/>
              <w:jc w:val="center"/>
              <w:rPr>
                <w:rFonts w:ascii="宋体" w:hAnsi="宋体" w:cs="宋体"/>
                <w:color w:val="auto"/>
                <w:szCs w:val="21"/>
              </w:rPr>
            </w:pPr>
            <w:r>
              <w:rPr>
                <w:rFonts w:hint="eastAsia" w:cs="仿宋" w:asciiTheme="minorEastAsia" w:hAnsiTheme="minorEastAsia" w:eastAsiaTheme="minorEastAsia"/>
                <w:color w:val="auto"/>
                <w:szCs w:val="21"/>
              </w:rPr>
              <w:t>（</w:t>
            </w:r>
            <w:r>
              <w:rPr>
                <w:rFonts w:hint="eastAsia" w:cs="仿宋" w:asciiTheme="minorEastAsia" w:hAnsiTheme="minorEastAsia" w:eastAsiaTheme="minorEastAsia"/>
                <w:color w:val="auto"/>
                <w:szCs w:val="21"/>
                <w:lang w:val="en-US" w:eastAsia="zh-CN"/>
              </w:rPr>
              <w:t>30</w:t>
            </w:r>
            <w:r>
              <w:rPr>
                <w:rFonts w:hint="eastAsia" w:cs="仿宋" w:asciiTheme="minorEastAsia" w:hAnsiTheme="minorEastAsia" w:eastAsiaTheme="minorEastAsia"/>
                <w:color w:val="auto"/>
                <w:szCs w:val="21"/>
              </w:rPr>
              <w:t>分）</w:t>
            </w:r>
          </w:p>
        </w:tc>
        <w:tc>
          <w:tcPr>
            <w:tcW w:w="5177" w:type="dxa"/>
            <w:vAlign w:val="center"/>
          </w:tcPr>
          <w:p>
            <w:pPr>
              <w:widowControl/>
              <w:spacing w:line="480" w:lineRule="exact"/>
              <w:jc w:val="both"/>
              <w:rPr>
                <w:rFonts w:hint="eastAsia" w:ascii="宋体" w:hAnsi="宋体" w:cs="宋体"/>
                <w:color w:val="auto"/>
                <w:szCs w:val="21"/>
              </w:rPr>
            </w:pPr>
            <w:r>
              <w:rPr>
                <w:rFonts w:hint="eastAsia" w:ascii="宋体" w:hAnsi="宋体" w:cs="宋体"/>
                <w:color w:val="auto"/>
                <w:szCs w:val="21"/>
              </w:rPr>
              <w:t>投标产品的技术规格指标符合招标文件要求，能完全满足指标要求得满分。如技术指标低于招标文件第</w:t>
            </w:r>
            <w:r>
              <w:rPr>
                <w:rFonts w:hint="eastAsia" w:ascii="宋体" w:hAnsi="宋体" w:cs="宋体"/>
                <w:color w:val="auto"/>
                <w:szCs w:val="21"/>
                <w:lang w:eastAsia="zh-CN"/>
              </w:rPr>
              <w:t>七</w:t>
            </w:r>
            <w:r>
              <w:rPr>
                <w:rFonts w:hint="eastAsia" w:ascii="宋体" w:hAnsi="宋体" w:cs="宋体"/>
                <w:color w:val="auto"/>
                <w:szCs w:val="21"/>
              </w:rPr>
              <w:t>章中</w:t>
            </w:r>
            <w:r>
              <w:rPr>
                <w:rFonts w:hint="eastAsia" w:ascii="宋体" w:hAnsi="宋体" w:cs="宋体"/>
                <w:color w:val="auto"/>
                <w:szCs w:val="21"/>
                <w:lang w:eastAsia="zh-CN"/>
              </w:rPr>
              <w:t>“招标</w:t>
            </w:r>
            <w:r>
              <w:rPr>
                <w:rFonts w:hint="eastAsia" w:ascii="宋体" w:hAnsi="宋体" w:cs="宋体"/>
                <w:color w:val="auto"/>
                <w:szCs w:val="21"/>
              </w:rPr>
              <w:t>技术要求</w:t>
            </w:r>
            <w:r>
              <w:rPr>
                <w:rFonts w:hint="eastAsia" w:ascii="宋体" w:hAnsi="宋体" w:cs="宋体"/>
                <w:color w:val="auto"/>
                <w:szCs w:val="21"/>
                <w:lang w:eastAsia="zh-CN"/>
              </w:rPr>
              <w:t>”</w:t>
            </w:r>
            <w:r>
              <w:rPr>
                <w:rFonts w:hint="eastAsia" w:ascii="宋体" w:hAnsi="宋体" w:cs="宋体"/>
                <w:color w:val="auto"/>
                <w:szCs w:val="21"/>
              </w:rPr>
              <w:t>，即为负偏离。</w:t>
            </w:r>
          </w:p>
          <w:p>
            <w:pPr>
              <w:widowControl/>
              <w:spacing w:line="480" w:lineRule="exact"/>
              <w:jc w:val="both"/>
              <w:rPr>
                <w:rFonts w:hint="eastAsia" w:ascii="宋体" w:hAnsi="宋体" w:cs="宋体"/>
                <w:color w:val="auto"/>
                <w:szCs w:val="21"/>
              </w:rPr>
            </w:pPr>
            <w:r>
              <w:rPr>
                <w:rFonts w:hint="eastAsia" w:ascii="宋体" w:hAnsi="宋体" w:cs="宋体"/>
                <w:color w:val="auto"/>
                <w:szCs w:val="21"/>
              </w:rPr>
              <w:t>1、“</w:t>
            </w:r>
            <w:r>
              <w:rPr>
                <w:rFonts w:hint="eastAsia" w:ascii="宋体" w:hAnsi="宋体" w:eastAsia="宋体" w:cs="宋体"/>
                <w:b w:val="0"/>
                <w:bCs w:val="0"/>
                <w:color w:val="auto"/>
                <w:kern w:val="2"/>
                <w:sz w:val="24"/>
                <w:szCs w:val="24"/>
              </w:rPr>
              <w:t>★</w:t>
            </w:r>
            <w:r>
              <w:rPr>
                <w:rFonts w:hint="eastAsia" w:ascii="宋体" w:hAnsi="宋体" w:cs="宋体"/>
                <w:color w:val="auto"/>
                <w:szCs w:val="21"/>
              </w:rPr>
              <w:t>”技术要求代表关键指标，每有一项负偏离扣</w:t>
            </w:r>
            <w:r>
              <w:rPr>
                <w:rFonts w:hint="eastAsia" w:ascii="宋体" w:hAnsi="宋体" w:cs="宋体"/>
                <w:color w:val="auto"/>
                <w:szCs w:val="21"/>
                <w:lang w:val="en-US" w:eastAsia="zh-CN"/>
              </w:rPr>
              <w:t>3</w:t>
            </w:r>
            <w:r>
              <w:rPr>
                <w:rFonts w:hint="eastAsia" w:ascii="宋体" w:hAnsi="宋体" w:cs="宋体"/>
                <w:color w:val="auto"/>
                <w:szCs w:val="21"/>
              </w:rPr>
              <w:t>分，扣完为止；</w:t>
            </w:r>
          </w:p>
          <w:p>
            <w:pPr>
              <w:widowControl/>
              <w:spacing w:line="480" w:lineRule="exact"/>
              <w:jc w:val="both"/>
              <w:rPr>
                <w:rFonts w:hint="eastAsia" w:ascii="宋体" w:hAnsi="宋体" w:eastAsia="宋体" w:cs="宋体"/>
                <w:color w:val="auto"/>
                <w:szCs w:val="21"/>
                <w:lang w:eastAsia="zh-CN"/>
              </w:rPr>
            </w:pPr>
            <w:r>
              <w:rPr>
                <w:rFonts w:hint="eastAsia" w:ascii="宋体" w:hAnsi="宋体" w:cs="宋体"/>
                <w:color w:val="auto"/>
                <w:szCs w:val="21"/>
              </w:rPr>
              <w:t>2、未标注“</w:t>
            </w:r>
            <w:r>
              <w:rPr>
                <w:rFonts w:hint="eastAsia" w:ascii="宋体" w:hAnsi="宋体" w:eastAsia="宋体" w:cs="宋体"/>
                <w:b w:val="0"/>
                <w:bCs w:val="0"/>
                <w:color w:val="auto"/>
                <w:kern w:val="2"/>
                <w:sz w:val="24"/>
                <w:szCs w:val="24"/>
              </w:rPr>
              <w:t>★</w:t>
            </w:r>
            <w:r>
              <w:rPr>
                <w:rFonts w:hint="eastAsia" w:ascii="宋体" w:hAnsi="宋体" w:cs="宋体"/>
                <w:color w:val="auto"/>
                <w:szCs w:val="21"/>
              </w:rPr>
              <w:t>”技术要求代表一般指标，每有一项负偏离扣</w:t>
            </w:r>
            <w:r>
              <w:rPr>
                <w:rFonts w:hint="eastAsia" w:ascii="宋体" w:hAnsi="宋体" w:cs="宋体"/>
                <w:color w:val="auto"/>
                <w:szCs w:val="21"/>
                <w:lang w:val="en-US" w:eastAsia="zh-CN"/>
              </w:rPr>
              <w:t>1</w:t>
            </w:r>
            <w:r>
              <w:rPr>
                <w:rFonts w:hint="eastAsia" w:ascii="宋体" w:hAnsi="宋体" w:cs="宋体"/>
                <w:color w:val="auto"/>
                <w:szCs w:val="21"/>
              </w:rPr>
              <w:t>分，扣完为止</w:t>
            </w:r>
            <w:r>
              <w:rPr>
                <w:rFonts w:hint="eastAsia" w:ascii="宋体" w:hAnsi="宋体" w:cs="宋体"/>
                <w:color w:val="auto"/>
                <w:szCs w:val="21"/>
                <w:lang w:eastAsia="zh-CN"/>
              </w:rPr>
              <w:t>。</w:t>
            </w:r>
          </w:p>
          <w:p>
            <w:pPr>
              <w:widowControl/>
              <w:spacing w:line="480" w:lineRule="exact"/>
              <w:jc w:val="both"/>
              <w:rPr>
                <w:rFonts w:ascii="宋体" w:hAnsi="宋体" w:cs="宋体"/>
                <w:color w:val="auto"/>
                <w:szCs w:val="21"/>
              </w:rPr>
            </w:pPr>
            <w:r>
              <w:rPr>
                <w:rFonts w:hint="eastAsia" w:ascii="宋体" w:hAnsi="宋体" w:cs="宋体"/>
                <w:b/>
                <w:bCs/>
                <w:color w:val="auto"/>
                <w:szCs w:val="21"/>
              </w:rPr>
              <w:t>备注：</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eastAsia="宋体" w:cs="宋体"/>
                <w:b w:val="0"/>
                <w:bCs w:val="0"/>
                <w:color w:val="auto"/>
                <w:kern w:val="2"/>
                <w:sz w:val="24"/>
                <w:szCs w:val="24"/>
              </w:rPr>
              <w:t>★</w:t>
            </w:r>
            <w:r>
              <w:rPr>
                <w:rFonts w:hint="eastAsia" w:ascii="宋体" w:hAnsi="宋体" w:cs="宋体"/>
                <w:b/>
                <w:bCs/>
                <w:color w:val="auto"/>
                <w:szCs w:val="21"/>
              </w:rPr>
              <w:t>”技术要求需提供相关证明材料，未提供有效证明材料或证明材料中内容与所填报指标不一致的，该指标按负偏离处理。</w:t>
            </w:r>
            <w:r>
              <w:rPr>
                <w:rFonts w:hint="eastAsia" w:ascii="宋体" w:hAnsi="宋体" w:cs="宋体"/>
                <w:b/>
                <w:bCs/>
                <w:color w:val="auto"/>
                <w:szCs w:val="21"/>
                <w:lang w:val="en-US" w:eastAsia="zh-CN"/>
              </w:rPr>
              <w:t>2、</w:t>
            </w:r>
            <w:r>
              <w:rPr>
                <w:rFonts w:hint="eastAsia" w:ascii="宋体" w:hAnsi="宋体" w:cs="宋体"/>
                <w:b/>
                <w:bCs/>
                <w:color w:val="auto"/>
                <w:szCs w:val="21"/>
              </w:rPr>
              <w:t>证明材料为生产厂家官方网站截图或第三方机构出具的检验报告或加盖制造商（含其分支机构）公章的产品白皮书或制造商公开发布的彩色印刷资料。（各项指标要求中对证明材料另有要求的从其要求）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continue"/>
            <w:vAlign w:val="center"/>
          </w:tcPr>
          <w:p>
            <w:pPr>
              <w:adjustRightInd w:val="0"/>
              <w:spacing w:line="240" w:lineRule="auto"/>
              <w:jc w:val="center"/>
              <w:rPr>
                <w:rFonts w:ascii="宋体" w:hAnsi="宋体" w:cs="宋体"/>
                <w:color w:val="auto"/>
              </w:rPr>
            </w:pPr>
          </w:p>
        </w:tc>
        <w:tc>
          <w:tcPr>
            <w:tcW w:w="1626" w:type="dxa"/>
            <w:vMerge w:val="continue"/>
            <w:vAlign w:val="center"/>
          </w:tcPr>
          <w:p>
            <w:pPr>
              <w:adjustRightInd w:val="0"/>
              <w:spacing w:line="480" w:lineRule="exact"/>
              <w:ind w:left="480" w:hanging="480" w:hangingChars="200"/>
              <w:jc w:val="center"/>
              <w:rPr>
                <w:rFonts w:ascii="宋体" w:hAnsi="宋体" w:cs="宋体"/>
                <w:color w:val="auto"/>
              </w:rPr>
            </w:pPr>
          </w:p>
        </w:tc>
        <w:tc>
          <w:tcPr>
            <w:tcW w:w="1458" w:type="dxa"/>
            <w:vAlign w:val="center"/>
          </w:tcPr>
          <w:p>
            <w:pPr>
              <w:widowControl/>
              <w:spacing w:line="480" w:lineRule="exact"/>
              <w:jc w:val="center"/>
              <w:rPr>
                <w:rFonts w:hint="eastAsia" w:ascii="宋体" w:hAnsi="宋体" w:eastAsia="宋体" w:cs="宋体"/>
                <w:color w:val="auto"/>
                <w:szCs w:val="21"/>
                <w:lang w:eastAsia="zh-CN"/>
              </w:rPr>
            </w:pPr>
            <w:r>
              <w:rPr>
                <w:rFonts w:hint="eastAsia" w:ascii="宋体" w:hAnsi="宋体" w:cs="宋体"/>
                <w:color w:val="auto"/>
                <w:szCs w:val="21"/>
              </w:rPr>
              <w:t>产品综合性能</w:t>
            </w:r>
            <w:r>
              <w:rPr>
                <w:rFonts w:hint="eastAsia" w:ascii="宋体" w:hAnsi="宋体" w:cs="宋体"/>
                <w:color w:val="auto"/>
                <w:szCs w:val="21"/>
                <w:lang w:eastAsia="zh-CN"/>
              </w:rPr>
              <w:t>评价</w:t>
            </w:r>
          </w:p>
          <w:p>
            <w:pPr>
              <w:widowControl/>
              <w:spacing w:line="480" w:lineRule="exact"/>
              <w:jc w:val="center"/>
              <w:rPr>
                <w:rFonts w:ascii="宋体" w:hAnsi="宋体" w:cs="宋体"/>
                <w:color w:val="auto"/>
                <w:szCs w:val="21"/>
              </w:rPr>
            </w:pPr>
            <w:r>
              <w:rPr>
                <w:rFonts w:hint="eastAsia" w:ascii="宋体" w:hAnsi="宋体" w:cs="宋体"/>
                <w:color w:val="auto"/>
                <w:szCs w:val="21"/>
                <w:lang w:eastAsia="zh-CN"/>
              </w:rPr>
              <w:t>（</w:t>
            </w:r>
            <w:r>
              <w:rPr>
                <w:rFonts w:hint="eastAsia" w:cs="仿宋" w:asciiTheme="minorEastAsia" w:hAnsiTheme="minorEastAsia" w:eastAsiaTheme="minorEastAsia"/>
                <w:color w:val="auto"/>
                <w:szCs w:val="21"/>
                <w:lang w:val="en-US" w:eastAsia="zh-CN"/>
              </w:rPr>
              <w:t>10</w:t>
            </w:r>
            <w:r>
              <w:rPr>
                <w:rFonts w:hint="eastAsia" w:cs="仿宋" w:asciiTheme="minorEastAsia" w:hAnsiTheme="minorEastAsia" w:eastAsiaTheme="minorEastAsia"/>
                <w:color w:val="auto"/>
                <w:szCs w:val="21"/>
              </w:rPr>
              <w:t>分）</w:t>
            </w:r>
          </w:p>
        </w:tc>
        <w:tc>
          <w:tcPr>
            <w:tcW w:w="5177" w:type="dxa"/>
            <w:vAlign w:val="center"/>
          </w:tcPr>
          <w:p>
            <w:pPr>
              <w:widowControl/>
              <w:spacing w:line="480" w:lineRule="exact"/>
              <w:jc w:val="both"/>
              <w:rPr>
                <w:rFonts w:hint="eastAsia" w:ascii="宋体" w:hAnsi="宋体" w:cs="宋体"/>
                <w:color w:val="auto"/>
                <w:szCs w:val="21"/>
              </w:rPr>
            </w:pPr>
            <w:r>
              <w:rPr>
                <w:rFonts w:hint="eastAsia" w:ascii="宋体" w:hAnsi="宋体" w:cs="宋体"/>
                <w:color w:val="auto"/>
                <w:szCs w:val="21"/>
              </w:rPr>
              <w:t>综合考虑投标产品整体技术性能、产品配置、后期使用成本、产品稳定性、维护及其它因素等综合评分。产品整体技术性能明显优于采购要求、投标产品配置全面、后期使用成本低、产品使用</w:t>
            </w:r>
          </w:p>
          <w:p>
            <w:pPr>
              <w:widowControl/>
              <w:spacing w:line="480" w:lineRule="exact"/>
              <w:jc w:val="both"/>
              <w:rPr>
                <w:rFonts w:ascii="宋体" w:hAnsi="宋体" w:cs="宋体"/>
                <w:color w:val="auto"/>
                <w:szCs w:val="21"/>
              </w:rPr>
            </w:pPr>
            <w:r>
              <w:rPr>
                <w:rFonts w:hint="eastAsia" w:ascii="宋体" w:hAnsi="宋体" w:cs="宋体"/>
                <w:color w:val="auto"/>
                <w:szCs w:val="21"/>
              </w:rPr>
              <w:t>稳定、易于维护得10分；产品整体技术性能完全符合采购要求、投标产品配置全面、后期使用成本低、产品使用稳定、易于维护得8分；产品配置只满足基本采购需求、投标产品配置一般、后期使用成本较高、产品使用较稳定、不易维护得6分；产品配置部分满足基本采购需求、投标产品配置较低、后期使用成本较高、产品使用不稳定、不易维护得</w:t>
            </w:r>
            <w:r>
              <w:rPr>
                <w:rFonts w:hint="eastAsia" w:ascii="宋体" w:hAnsi="宋体" w:cs="宋体"/>
                <w:color w:val="auto"/>
                <w:szCs w:val="21"/>
                <w:lang w:val="en-US" w:eastAsia="zh-CN"/>
              </w:rPr>
              <w:t>4</w:t>
            </w:r>
            <w:r>
              <w:rPr>
                <w:rFonts w:hint="eastAsia" w:ascii="宋体" w:hAnsi="宋体" w:cs="宋体"/>
                <w:color w:val="auto"/>
                <w:szCs w:val="21"/>
              </w:rPr>
              <w:t>分。产品配置不满足基本采购需求、投标产品配置低、后期使用成本高、产品使用不稳定、不易维护得0分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94" w:type="dxa"/>
            <w:vMerge w:val="continue"/>
            <w:vAlign w:val="center"/>
          </w:tcPr>
          <w:p>
            <w:pPr>
              <w:adjustRightInd w:val="0"/>
              <w:spacing w:line="240" w:lineRule="auto"/>
              <w:jc w:val="center"/>
              <w:rPr>
                <w:rFonts w:ascii="宋体" w:hAnsi="宋体" w:cs="宋体"/>
                <w:color w:val="auto"/>
              </w:rPr>
            </w:pPr>
          </w:p>
        </w:tc>
        <w:tc>
          <w:tcPr>
            <w:tcW w:w="1626" w:type="dxa"/>
            <w:vMerge w:val="continue"/>
            <w:vAlign w:val="center"/>
          </w:tcPr>
          <w:p>
            <w:pPr>
              <w:adjustRightInd w:val="0"/>
              <w:spacing w:line="480" w:lineRule="exact"/>
              <w:ind w:left="480" w:hanging="480" w:hangingChars="200"/>
              <w:jc w:val="center"/>
              <w:rPr>
                <w:rFonts w:ascii="宋体" w:hAnsi="宋体" w:cs="宋体"/>
                <w:color w:val="auto"/>
              </w:rPr>
            </w:pPr>
          </w:p>
        </w:tc>
        <w:tc>
          <w:tcPr>
            <w:tcW w:w="1458" w:type="dxa"/>
            <w:vAlign w:val="center"/>
          </w:tcPr>
          <w:p>
            <w:pPr>
              <w:widowControl/>
              <w:spacing w:line="480" w:lineRule="exact"/>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实施及供货方</w:t>
            </w:r>
            <w:r>
              <w:rPr>
                <w:rFonts w:hint="default" w:ascii="宋体" w:hAnsi="宋体" w:eastAsia="宋体" w:cs="宋体"/>
                <w:color w:val="auto"/>
                <w:szCs w:val="21"/>
                <w:lang w:val="en-US" w:eastAsia="zh-CN"/>
              </w:rPr>
              <w:t>案等</w:t>
            </w:r>
          </w:p>
          <w:p>
            <w:pPr>
              <w:widowControl/>
              <w:spacing w:line="480" w:lineRule="exact"/>
              <w:jc w:val="center"/>
              <w:rPr>
                <w:rFonts w:ascii="宋体" w:hAnsi="宋体" w:cs="宋体"/>
                <w:color w:val="auto"/>
                <w:szCs w:val="21"/>
              </w:rPr>
            </w:pPr>
            <w:r>
              <w:rPr>
                <w:rFonts w:hint="eastAsia" w:ascii="宋体" w:hAnsi="宋体" w:cs="宋体"/>
                <w:color w:val="auto"/>
                <w:szCs w:val="21"/>
                <w:lang w:eastAsia="zh-CN"/>
              </w:rPr>
              <w:t>（</w:t>
            </w:r>
            <w:r>
              <w:rPr>
                <w:rFonts w:hint="eastAsia" w:cs="仿宋" w:asciiTheme="minorEastAsia" w:hAnsiTheme="minorEastAsia" w:eastAsiaTheme="minorEastAsia"/>
                <w:color w:val="auto"/>
                <w:szCs w:val="21"/>
                <w:lang w:val="en-US" w:eastAsia="zh-CN"/>
              </w:rPr>
              <w:t>10</w:t>
            </w:r>
            <w:r>
              <w:rPr>
                <w:rFonts w:hint="eastAsia" w:cs="仿宋" w:asciiTheme="minorEastAsia" w:hAnsiTheme="minorEastAsia" w:eastAsiaTheme="minorEastAsia"/>
                <w:color w:val="auto"/>
                <w:szCs w:val="21"/>
              </w:rPr>
              <w:t>分）</w:t>
            </w:r>
          </w:p>
        </w:tc>
        <w:tc>
          <w:tcPr>
            <w:tcW w:w="5177" w:type="dxa"/>
            <w:vAlign w:val="center"/>
          </w:tcPr>
          <w:p>
            <w:pPr>
              <w:widowControl/>
              <w:spacing w:line="480" w:lineRule="exact"/>
              <w:jc w:val="both"/>
              <w:rPr>
                <w:rFonts w:ascii="宋体" w:hAnsi="宋体" w:cs="宋体"/>
                <w:color w:val="auto"/>
                <w:szCs w:val="21"/>
              </w:rPr>
            </w:pPr>
            <w:r>
              <w:rPr>
                <w:rFonts w:hint="eastAsia" w:ascii="宋体" w:hAnsi="宋体" w:cs="宋体"/>
                <w:color w:val="auto"/>
                <w:szCs w:val="21"/>
              </w:rPr>
              <w:t>综合考虑人员配置、质量保障、供货、安装、调试验收等实施方案的完整性、合理性、针对性、有效性、可实施性综合评审，每项得2分,最高得10分。每发现一处表述不够具体或资料不够齐全减1分，减完为止。</w:t>
            </w:r>
          </w:p>
        </w:tc>
      </w:tr>
    </w:tbl>
    <w:p>
      <w:pPr>
        <w:pStyle w:val="3"/>
        <w:spacing w:line="360" w:lineRule="auto"/>
        <w:jc w:val="both"/>
        <w:rPr>
          <w:color w:val="auto"/>
        </w:rPr>
      </w:pPr>
      <w:bookmarkStart w:id="228" w:name="_Toc18521"/>
      <w:bookmarkStart w:id="229" w:name="_Toc3408"/>
      <w:r>
        <w:rPr>
          <w:rFonts w:hint="eastAsia"/>
          <w:color w:val="auto"/>
        </w:rPr>
        <w:t>1.评标方法</w:t>
      </w:r>
      <w:bookmarkEnd w:id="227"/>
      <w:bookmarkEnd w:id="228"/>
      <w:bookmarkEnd w:id="229"/>
    </w:p>
    <w:p>
      <w:pPr>
        <w:autoSpaceDE w:val="0"/>
        <w:autoSpaceDN w:val="0"/>
        <w:adjustRightInd w:val="0"/>
        <w:ind w:firstLine="480" w:firstLineChars="200"/>
        <w:rPr>
          <w:rFonts w:ascii="宋体" w:hAnsi="宋体" w:cs="宋体"/>
          <w:color w:val="auto"/>
          <w:kern w:val="0"/>
          <w:szCs w:val="20"/>
        </w:rPr>
      </w:pPr>
      <w:bookmarkStart w:id="230" w:name="_Toc345178460"/>
      <w:bookmarkStart w:id="231" w:name="_Toc184635094"/>
      <w:r>
        <w:rPr>
          <w:rFonts w:hint="eastAsia" w:ascii="宋体" w:hAnsi="宋体" w:cs="宋体"/>
          <w:color w:val="auto"/>
          <w:kern w:val="0"/>
          <w:szCs w:val="20"/>
        </w:rPr>
        <w:t>本次评标采用综合评分法。评标委员会对满足招标文件实质性要求的投标文件，按照本章第2.2款规定的评分标准进行打分，并按得分由高到低顺序推荐中标候选人，或根据采购人授权直接确定中标供应商，但投标报价低于其成本的除外。综合评分相等时，以投标报价低的优先；投标报价也相等的，由采购人自行确定。</w:t>
      </w:r>
    </w:p>
    <w:p>
      <w:pPr>
        <w:pStyle w:val="3"/>
        <w:spacing w:line="360" w:lineRule="auto"/>
        <w:jc w:val="both"/>
        <w:rPr>
          <w:color w:val="auto"/>
        </w:rPr>
      </w:pPr>
      <w:bookmarkStart w:id="232" w:name="_Toc11629"/>
      <w:bookmarkStart w:id="233" w:name="_Toc7519"/>
      <w:bookmarkStart w:id="234" w:name="_Toc30524"/>
      <w:r>
        <w:rPr>
          <w:rFonts w:hint="eastAsia"/>
          <w:color w:val="auto"/>
        </w:rPr>
        <w:t>2.评审标准</w:t>
      </w:r>
      <w:bookmarkEnd w:id="230"/>
      <w:bookmarkEnd w:id="231"/>
      <w:bookmarkEnd w:id="232"/>
      <w:bookmarkEnd w:id="233"/>
      <w:bookmarkEnd w:id="234"/>
    </w:p>
    <w:p>
      <w:pPr>
        <w:keepNext/>
        <w:keepLines/>
        <w:outlineLvl w:val="2"/>
        <w:rPr>
          <w:rFonts w:ascii="宋体" w:hAnsi="宋体" w:cs="宋体"/>
          <w:b/>
          <w:color w:val="auto"/>
        </w:rPr>
      </w:pPr>
      <w:bookmarkStart w:id="235" w:name="_Toc24638"/>
      <w:r>
        <w:rPr>
          <w:rFonts w:hint="eastAsia" w:ascii="宋体" w:hAnsi="宋体" w:cs="宋体"/>
          <w:b/>
          <w:color w:val="auto"/>
        </w:rPr>
        <w:t>2.1 初步评审标准</w:t>
      </w:r>
      <w:bookmarkEnd w:id="235"/>
    </w:p>
    <w:p>
      <w:pPr>
        <w:autoSpaceDE w:val="0"/>
        <w:autoSpaceDN w:val="0"/>
        <w:adjustRightInd w:val="0"/>
        <w:spacing w:before="64"/>
        <w:ind w:right="-125" w:firstLine="480" w:firstLineChars="200"/>
        <w:rPr>
          <w:rFonts w:ascii="宋体" w:hAnsi="宋体" w:cs="宋体"/>
          <w:bCs/>
          <w:color w:val="auto"/>
          <w:szCs w:val="20"/>
        </w:rPr>
      </w:pPr>
      <w:r>
        <w:rPr>
          <w:rFonts w:hint="eastAsia" w:ascii="宋体" w:hAnsi="宋体" w:cs="宋体"/>
          <w:bCs/>
          <w:color w:val="auto"/>
          <w:szCs w:val="20"/>
        </w:rPr>
        <w:t>2.1.1 符合性评审标准：见第四章。</w:t>
      </w:r>
    </w:p>
    <w:p>
      <w:pPr>
        <w:keepNext/>
        <w:keepLines/>
        <w:outlineLvl w:val="2"/>
        <w:rPr>
          <w:rFonts w:ascii="宋体" w:hAnsi="宋体" w:cs="宋体"/>
          <w:b/>
          <w:color w:val="auto"/>
        </w:rPr>
      </w:pPr>
      <w:bookmarkStart w:id="236" w:name="_Toc25617"/>
      <w:r>
        <w:rPr>
          <w:rFonts w:hint="eastAsia" w:ascii="宋体" w:hAnsi="宋体" w:cs="宋体"/>
          <w:b/>
          <w:color w:val="auto"/>
        </w:rPr>
        <w:t>2.2 分值构成与评分标准</w:t>
      </w:r>
      <w:bookmarkEnd w:id="236"/>
    </w:p>
    <w:p>
      <w:pPr>
        <w:ind w:firstLine="480" w:firstLineChars="200"/>
        <w:rPr>
          <w:rFonts w:ascii="宋体" w:hAnsi="宋体" w:cs="宋体"/>
          <w:color w:val="auto"/>
          <w:kern w:val="0"/>
          <w:szCs w:val="20"/>
        </w:rPr>
      </w:pPr>
      <w:bookmarkStart w:id="237" w:name="_Toc184635095"/>
      <w:bookmarkStart w:id="238" w:name="_Toc345178461"/>
      <w:r>
        <w:rPr>
          <w:rFonts w:hint="eastAsia" w:ascii="宋体" w:hAnsi="宋体" w:cs="宋体"/>
          <w:color w:val="auto"/>
          <w:kern w:val="0"/>
          <w:szCs w:val="20"/>
        </w:rPr>
        <w:t>2.2.1 分值构成</w:t>
      </w:r>
    </w:p>
    <w:p>
      <w:pPr>
        <w:ind w:firstLine="480" w:firstLineChars="200"/>
        <w:rPr>
          <w:rFonts w:ascii="宋体" w:hAnsi="宋体" w:cs="宋体"/>
          <w:color w:val="auto"/>
          <w:kern w:val="0"/>
          <w:szCs w:val="20"/>
        </w:rPr>
      </w:pPr>
      <w:r>
        <w:rPr>
          <w:rFonts w:hint="eastAsia" w:ascii="宋体" w:hAnsi="宋体" w:cs="宋体"/>
          <w:color w:val="auto"/>
          <w:kern w:val="0"/>
          <w:szCs w:val="20"/>
        </w:rPr>
        <w:t>（1）</w:t>
      </w:r>
      <w:r>
        <w:rPr>
          <w:rFonts w:hint="eastAsia" w:ascii="宋体" w:hAnsi="宋体" w:cs="宋体"/>
          <w:color w:val="auto"/>
          <w:kern w:val="0"/>
          <w:lang w:eastAsia="zh-CN" w:bidi="ar"/>
        </w:rPr>
        <w:t>经济标部分</w:t>
      </w:r>
      <w:r>
        <w:rPr>
          <w:rFonts w:hint="eastAsia" w:ascii="宋体" w:hAnsi="宋体" w:cs="宋体"/>
          <w:color w:val="auto"/>
          <w:kern w:val="0"/>
          <w:szCs w:val="20"/>
        </w:rPr>
        <w:t>：见评标办法前附表；</w:t>
      </w:r>
    </w:p>
    <w:p>
      <w:pPr>
        <w:ind w:firstLine="480" w:firstLineChars="200"/>
        <w:rPr>
          <w:rFonts w:ascii="宋体" w:hAnsi="宋体" w:cs="宋体"/>
          <w:color w:val="auto"/>
          <w:kern w:val="0"/>
          <w:szCs w:val="20"/>
        </w:rPr>
      </w:pPr>
      <w:r>
        <w:rPr>
          <w:rFonts w:hint="eastAsia" w:ascii="宋体" w:hAnsi="宋体" w:cs="宋体"/>
          <w:color w:val="auto"/>
          <w:kern w:val="0"/>
          <w:szCs w:val="20"/>
        </w:rPr>
        <w:t>（2）</w:t>
      </w:r>
      <w:r>
        <w:rPr>
          <w:rFonts w:hint="eastAsia" w:ascii="宋体" w:hAnsi="宋体" w:cs="宋体"/>
          <w:color w:val="auto"/>
          <w:kern w:val="0"/>
          <w:lang w:eastAsia="zh-CN" w:bidi="ar"/>
        </w:rPr>
        <w:t>综合标部分</w:t>
      </w:r>
      <w:r>
        <w:rPr>
          <w:rFonts w:hint="eastAsia" w:ascii="宋体" w:hAnsi="宋体" w:cs="宋体"/>
          <w:color w:val="auto"/>
          <w:kern w:val="0"/>
          <w:szCs w:val="20"/>
        </w:rPr>
        <w:t>：见评标办法前附表；</w:t>
      </w:r>
    </w:p>
    <w:p>
      <w:pPr>
        <w:ind w:firstLine="480" w:firstLineChars="200"/>
        <w:rPr>
          <w:rFonts w:hint="eastAsia" w:ascii="宋体" w:hAnsi="宋体" w:eastAsia="宋体" w:cs="宋体"/>
          <w:color w:val="auto"/>
          <w:kern w:val="0"/>
          <w:szCs w:val="20"/>
          <w:lang w:eastAsia="zh-CN"/>
        </w:rPr>
      </w:pPr>
      <w:r>
        <w:rPr>
          <w:rFonts w:hint="eastAsia" w:ascii="宋体" w:hAnsi="宋体" w:cs="宋体"/>
          <w:color w:val="auto"/>
          <w:kern w:val="0"/>
          <w:szCs w:val="20"/>
        </w:rPr>
        <w:t>（3）</w:t>
      </w:r>
      <w:r>
        <w:rPr>
          <w:rFonts w:hint="eastAsia" w:ascii="宋体" w:hAnsi="宋体" w:cs="宋体"/>
          <w:color w:val="auto"/>
          <w:kern w:val="0"/>
          <w:lang w:bidi="ar"/>
        </w:rPr>
        <w:t>技术</w:t>
      </w:r>
      <w:r>
        <w:rPr>
          <w:rFonts w:hint="eastAsia" w:ascii="宋体" w:hAnsi="宋体" w:cs="宋体"/>
          <w:color w:val="auto"/>
          <w:kern w:val="0"/>
          <w:lang w:eastAsia="zh-CN" w:bidi="ar"/>
        </w:rPr>
        <w:t>标部分</w:t>
      </w:r>
      <w:r>
        <w:rPr>
          <w:rFonts w:hint="eastAsia" w:ascii="宋体" w:hAnsi="宋体" w:cs="宋体"/>
          <w:color w:val="auto"/>
          <w:kern w:val="0"/>
          <w:szCs w:val="20"/>
        </w:rPr>
        <w:t>：见评标办法前附表</w:t>
      </w:r>
      <w:r>
        <w:rPr>
          <w:rFonts w:hint="eastAsia" w:ascii="宋体" w:hAnsi="宋体" w:cs="宋体"/>
          <w:color w:val="auto"/>
          <w:kern w:val="0"/>
          <w:szCs w:val="20"/>
          <w:lang w:eastAsia="zh-CN"/>
        </w:rPr>
        <w:t>。</w:t>
      </w:r>
    </w:p>
    <w:p>
      <w:pPr>
        <w:ind w:firstLine="480" w:firstLineChars="200"/>
        <w:rPr>
          <w:rFonts w:ascii="宋体" w:hAnsi="宋体" w:cs="宋体"/>
          <w:color w:val="auto"/>
          <w:kern w:val="0"/>
          <w:szCs w:val="20"/>
        </w:rPr>
      </w:pPr>
      <w:r>
        <w:rPr>
          <w:rFonts w:hint="eastAsia" w:ascii="宋体" w:hAnsi="宋体" w:cs="宋体"/>
          <w:color w:val="auto"/>
          <w:kern w:val="0"/>
          <w:szCs w:val="20"/>
        </w:rPr>
        <w:t>2.2.2 评标基准价计算</w:t>
      </w:r>
    </w:p>
    <w:p>
      <w:pPr>
        <w:ind w:firstLine="480" w:firstLineChars="200"/>
        <w:rPr>
          <w:rFonts w:ascii="宋体" w:hAnsi="宋体" w:cs="宋体"/>
          <w:color w:val="auto"/>
          <w:kern w:val="0"/>
          <w:szCs w:val="20"/>
        </w:rPr>
      </w:pPr>
      <w:r>
        <w:rPr>
          <w:rFonts w:hint="eastAsia" w:ascii="宋体" w:hAnsi="宋体" w:cs="宋体"/>
          <w:color w:val="auto"/>
          <w:kern w:val="0"/>
          <w:szCs w:val="20"/>
        </w:rPr>
        <w:t>评标基准价计算方法：见评标办法前附表。</w:t>
      </w:r>
    </w:p>
    <w:p>
      <w:pPr>
        <w:ind w:firstLine="480" w:firstLineChars="200"/>
        <w:rPr>
          <w:rFonts w:ascii="宋体" w:hAnsi="宋体" w:cs="宋体"/>
          <w:color w:val="auto"/>
          <w:kern w:val="0"/>
          <w:szCs w:val="20"/>
        </w:rPr>
      </w:pPr>
      <w:r>
        <w:rPr>
          <w:rFonts w:hint="eastAsia" w:ascii="宋体" w:hAnsi="宋体" w:cs="宋体"/>
          <w:color w:val="auto"/>
          <w:kern w:val="0"/>
          <w:szCs w:val="20"/>
        </w:rPr>
        <w:t>2.2.3 评分标准</w:t>
      </w:r>
    </w:p>
    <w:p>
      <w:pPr>
        <w:ind w:firstLine="480" w:firstLineChars="200"/>
        <w:rPr>
          <w:rFonts w:ascii="宋体" w:hAnsi="宋体" w:cs="宋体"/>
          <w:color w:val="auto"/>
          <w:kern w:val="0"/>
          <w:szCs w:val="20"/>
        </w:rPr>
      </w:pPr>
      <w:r>
        <w:rPr>
          <w:rFonts w:hint="eastAsia" w:ascii="宋体" w:hAnsi="宋体" w:cs="宋体"/>
          <w:color w:val="auto"/>
          <w:kern w:val="0"/>
          <w:szCs w:val="20"/>
        </w:rPr>
        <w:t>（1）</w:t>
      </w:r>
      <w:r>
        <w:rPr>
          <w:rFonts w:hint="eastAsia" w:ascii="宋体" w:hAnsi="宋体" w:cs="宋体"/>
          <w:color w:val="auto"/>
          <w:kern w:val="0"/>
          <w:lang w:eastAsia="zh-CN" w:bidi="ar"/>
        </w:rPr>
        <w:t>经济标部分</w:t>
      </w:r>
      <w:r>
        <w:rPr>
          <w:rFonts w:hint="eastAsia" w:ascii="宋体" w:hAnsi="宋体" w:cs="宋体"/>
          <w:color w:val="auto"/>
          <w:kern w:val="0"/>
          <w:szCs w:val="20"/>
        </w:rPr>
        <w:t>评分标准：见评标办法前附表；</w:t>
      </w:r>
    </w:p>
    <w:p>
      <w:pPr>
        <w:ind w:firstLine="480" w:firstLineChars="200"/>
        <w:rPr>
          <w:rFonts w:ascii="宋体" w:hAnsi="宋体" w:cs="宋体"/>
          <w:color w:val="auto"/>
          <w:kern w:val="0"/>
          <w:szCs w:val="20"/>
        </w:rPr>
      </w:pPr>
      <w:r>
        <w:rPr>
          <w:rFonts w:hint="eastAsia" w:ascii="宋体" w:hAnsi="宋体" w:cs="宋体"/>
          <w:color w:val="auto"/>
          <w:kern w:val="0"/>
          <w:szCs w:val="20"/>
        </w:rPr>
        <w:t>（2）</w:t>
      </w:r>
      <w:r>
        <w:rPr>
          <w:rFonts w:hint="eastAsia" w:ascii="宋体" w:hAnsi="宋体" w:cs="宋体"/>
          <w:color w:val="auto"/>
          <w:kern w:val="0"/>
          <w:lang w:eastAsia="zh-CN" w:bidi="ar"/>
        </w:rPr>
        <w:t>综合标部分</w:t>
      </w:r>
      <w:r>
        <w:rPr>
          <w:rFonts w:hint="eastAsia" w:ascii="宋体" w:hAnsi="宋体" w:cs="宋体"/>
          <w:color w:val="auto"/>
          <w:kern w:val="0"/>
          <w:szCs w:val="20"/>
        </w:rPr>
        <w:t>评分标准：见评标办法前附表；</w:t>
      </w:r>
    </w:p>
    <w:p>
      <w:pPr>
        <w:ind w:firstLine="480" w:firstLineChars="200"/>
        <w:rPr>
          <w:rFonts w:hint="eastAsia" w:ascii="宋体" w:hAnsi="宋体" w:eastAsia="宋体" w:cs="宋体"/>
          <w:color w:val="auto"/>
          <w:kern w:val="0"/>
          <w:szCs w:val="20"/>
          <w:lang w:eastAsia="zh-CN"/>
        </w:rPr>
      </w:pPr>
      <w:r>
        <w:rPr>
          <w:rFonts w:hint="eastAsia" w:ascii="宋体" w:hAnsi="宋体" w:cs="宋体"/>
          <w:color w:val="auto"/>
          <w:kern w:val="0"/>
          <w:szCs w:val="20"/>
        </w:rPr>
        <w:t>（3）</w:t>
      </w:r>
      <w:r>
        <w:rPr>
          <w:rFonts w:hint="eastAsia" w:ascii="宋体" w:hAnsi="宋体" w:cs="宋体"/>
          <w:color w:val="auto"/>
          <w:kern w:val="0"/>
          <w:lang w:bidi="ar"/>
        </w:rPr>
        <w:t>技术</w:t>
      </w:r>
      <w:r>
        <w:rPr>
          <w:rFonts w:hint="eastAsia" w:ascii="宋体" w:hAnsi="宋体" w:cs="宋体"/>
          <w:color w:val="auto"/>
          <w:kern w:val="0"/>
          <w:lang w:eastAsia="zh-CN" w:bidi="ar"/>
        </w:rPr>
        <w:t>标部分</w:t>
      </w:r>
      <w:r>
        <w:rPr>
          <w:rFonts w:hint="eastAsia" w:ascii="宋体" w:hAnsi="宋体" w:cs="宋体"/>
          <w:color w:val="auto"/>
          <w:kern w:val="0"/>
          <w:szCs w:val="20"/>
        </w:rPr>
        <w:t>评分标准：见评标办法前附表</w:t>
      </w:r>
      <w:r>
        <w:rPr>
          <w:rFonts w:hint="eastAsia" w:ascii="宋体" w:hAnsi="宋体" w:cs="宋体"/>
          <w:color w:val="auto"/>
          <w:kern w:val="0"/>
          <w:szCs w:val="20"/>
          <w:lang w:eastAsia="zh-CN"/>
        </w:rPr>
        <w:t>。</w:t>
      </w:r>
    </w:p>
    <w:p>
      <w:pPr>
        <w:pStyle w:val="3"/>
        <w:spacing w:line="360" w:lineRule="auto"/>
        <w:jc w:val="both"/>
        <w:rPr>
          <w:color w:val="auto"/>
        </w:rPr>
      </w:pPr>
      <w:bookmarkStart w:id="239" w:name="_Toc6262"/>
      <w:bookmarkStart w:id="240" w:name="_Toc12468"/>
      <w:bookmarkStart w:id="241" w:name="_Toc24348"/>
      <w:r>
        <w:rPr>
          <w:rFonts w:hint="eastAsia"/>
          <w:color w:val="auto"/>
        </w:rPr>
        <w:t>3.评标程序</w:t>
      </w:r>
      <w:bookmarkEnd w:id="237"/>
      <w:bookmarkEnd w:id="238"/>
      <w:bookmarkEnd w:id="239"/>
      <w:bookmarkEnd w:id="240"/>
      <w:bookmarkEnd w:id="241"/>
    </w:p>
    <w:p>
      <w:pPr>
        <w:keepNext/>
        <w:keepLines/>
        <w:outlineLvl w:val="2"/>
        <w:rPr>
          <w:rFonts w:ascii="宋体" w:hAnsi="宋体" w:cs="宋体"/>
          <w:b/>
          <w:color w:val="auto"/>
        </w:rPr>
      </w:pPr>
      <w:bookmarkStart w:id="242" w:name="_Toc31655"/>
      <w:r>
        <w:rPr>
          <w:rFonts w:hint="eastAsia" w:ascii="宋体" w:hAnsi="宋体" w:cs="宋体"/>
          <w:b/>
          <w:color w:val="auto"/>
        </w:rPr>
        <w:t>3.1 初步评审</w:t>
      </w:r>
      <w:bookmarkEnd w:id="242"/>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3.1.1 评标委员会依据本章第2.1款规定的标准对投标文件进行初步评审。有一项不符合评审标准的，作废标处理。</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3.1.2 投标供应商有以下情形之一的，其投标作废标处理：</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（1）</w:t>
      </w:r>
      <w:bookmarkStart w:id="243" w:name="_Hlk19085906"/>
      <w:r>
        <w:rPr>
          <w:rFonts w:hint="eastAsia" w:ascii="宋体" w:hAnsi="宋体" w:cs="宋体"/>
          <w:color w:val="auto"/>
          <w:kern w:val="0"/>
          <w:szCs w:val="20"/>
        </w:rPr>
        <w:t>不满足</w:t>
      </w:r>
      <w:bookmarkEnd w:id="243"/>
      <w:r>
        <w:rPr>
          <w:rFonts w:hint="eastAsia" w:ascii="宋体" w:hAnsi="宋体" w:cs="宋体"/>
          <w:color w:val="auto"/>
          <w:kern w:val="0"/>
          <w:szCs w:val="20"/>
        </w:rPr>
        <w:t>第二章“投标人须知”第1.4.1项规定的任何一种情形的；</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（2）串通投标或弄虚作假或有其他违法行为的；</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（3）投标供应商递交两份或多份内容不同的投标文件，或在一份投标文件中对同一采购项目报两个或多个报价的；</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（4）同一投标供应商针对同一设备提供不同型号产品的；</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（5）不同投标供应商的投标文件制作机器码一致的；</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（6）不按评标委员会要求澄清、说明或补正的。</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3.1.3 投标报价有算术错误的，评标委员会按以下原则对投标报价进行修正，修正的价格经投标供应商确认后具有约束力。投标供应商不接受修正价格的，其投标作废标处理。</w:t>
      </w:r>
    </w:p>
    <w:p>
      <w:pPr>
        <w:autoSpaceDE w:val="0"/>
        <w:autoSpaceDN w:val="0"/>
        <w:adjustRightInd w:val="0"/>
        <w:ind w:firstLine="480" w:firstLineChars="200"/>
        <w:rPr>
          <w:rFonts w:ascii="宋体" w:hAnsi="宋体" w:cs="宋体"/>
          <w:color w:val="auto"/>
          <w:kern w:val="0"/>
          <w:szCs w:val="20"/>
        </w:rPr>
      </w:pPr>
      <w:bookmarkStart w:id="244" w:name="_Toc152042383"/>
      <w:r>
        <w:rPr>
          <w:rFonts w:hint="eastAsia" w:ascii="宋体" w:hAnsi="宋体" w:cs="宋体"/>
          <w:color w:val="auto"/>
          <w:kern w:val="0"/>
          <w:szCs w:val="20"/>
        </w:rPr>
        <w:t>（1）投标文件中的大写金额与小写金额不一致的，以大写金额为准；</w:t>
      </w:r>
      <w:bookmarkEnd w:id="244"/>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（2）总价金额与依据单价计算出的结果不一致的，以单价金额为准修正总价，但单价金额小数点有明显错误的除外。</w:t>
      </w:r>
    </w:p>
    <w:p>
      <w:pPr>
        <w:keepNext/>
        <w:keepLines/>
        <w:outlineLvl w:val="2"/>
        <w:rPr>
          <w:rFonts w:ascii="宋体" w:hAnsi="宋体" w:cs="宋体"/>
          <w:b/>
          <w:color w:val="auto"/>
        </w:rPr>
      </w:pPr>
      <w:bookmarkStart w:id="245" w:name="_Toc7342"/>
      <w:r>
        <w:rPr>
          <w:rFonts w:hint="eastAsia" w:ascii="宋体" w:hAnsi="宋体" w:cs="宋体"/>
          <w:b/>
          <w:color w:val="auto"/>
        </w:rPr>
        <w:t>3.2 详细评审</w:t>
      </w:r>
      <w:bookmarkEnd w:id="245"/>
    </w:p>
    <w:p>
      <w:pPr>
        <w:ind w:firstLine="480" w:firstLineChars="200"/>
        <w:rPr>
          <w:rFonts w:ascii="宋体" w:hAnsi="宋体" w:cs="宋体"/>
          <w:color w:val="auto"/>
          <w:kern w:val="0"/>
          <w:szCs w:val="20"/>
        </w:rPr>
      </w:pPr>
      <w:r>
        <w:rPr>
          <w:rFonts w:hint="eastAsia" w:ascii="宋体" w:hAnsi="宋体" w:cs="宋体"/>
          <w:color w:val="auto"/>
          <w:kern w:val="0"/>
          <w:szCs w:val="20"/>
        </w:rPr>
        <w:t>3.2.1 评标委员会按本章第2.2款规定的量化因素和分值进行打分，并计算出综合评估得分。</w:t>
      </w:r>
    </w:p>
    <w:p>
      <w:pPr>
        <w:ind w:firstLine="480" w:firstLineChars="200"/>
        <w:rPr>
          <w:rFonts w:ascii="宋体" w:hAnsi="宋体" w:cs="宋体"/>
          <w:color w:val="auto"/>
          <w:kern w:val="0"/>
          <w:szCs w:val="20"/>
        </w:rPr>
      </w:pPr>
      <w:r>
        <w:rPr>
          <w:rFonts w:hint="eastAsia" w:ascii="宋体" w:hAnsi="宋体" w:cs="宋体"/>
          <w:color w:val="auto"/>
          <w:kern w:val="0"/>
          <w:szCs w:val="20"/>
        </w:rPr>
        <w:t>（1）按本章第2.2.3（1）目规定的评审因素和分值对</w:t>
      </w:r>
      <w:r>
        <w:rPr>
          <w:rFonts w:hint="eastAsia" w:ascii="宋体" w:hAnsi="宋体" w:cs="宋体"/>
          <w:color w:val="auto"/>
          <w:kern w:val="0"/>
          <w:lang w:eastAsia="zh-CN" w:bidi="ar"/>
        </w:rPr>
        <w:t>经济标部分</w:t>
      </w:r>
      <w:r>
        <w:rPr>
          <w:rFonts w:hint="eastAsia" w:ascii="宋体" w:hAnsi="宋体" w:cs="宋体"/>
          <w:color w:val="auto"/>
          <w:kern w:val="0"/>
          <w:szCs w:val="20"/>
        </w:rPr>
        <w:t>计算出得分A；</w:t>
      </w:r>
    </w:p>
    <w:p>
      <w:pPr>
        <w:ind w:firstLine="480" w:firstLineChars="200"/>
        <w:rPr>
          <w:rFonts w:ascii="宋体" w:hAnsi="宋体" w:cs="宋体"/>
          <w:color w:val="auto"/>
          <w:kern w:val="0"/>
          <w:szCs w:val="20"/>
        </w:rPr>
      </w:pPr>
      <w:r>
        <w:rPr>
          <w:rFonts w:hint="eastAsia" w:ascii="宋体" w:hAnsi="宋体" w:cs="宋体"/>
          <w:color w:val="auto"/>
          <w:kern w:val="0"/>
          <w:szCs w:val="20"/>
        </w:rPr>
        <w:t>（2）按本章第2.2.3（2）目规定的评审因素和分值对</w:t>
      </w:r>
      <w:r>
        <w:rPr>
          <w:rFonts w:hint="eastAsia" w:ascii="宋体" w:hAnsi="宋体" w:cs="宋体"/>
          <w:color w:val="auto"/>
          <w:kern w:val="0"/>
          <w:lang w:eastAsia="zh-CN" w:bidi="ar"/>
        </w:rPr>
        <w:t>综合标部分</w:t>
      </w:r>
      <w:r>
        <w:rPr>
          <w:rFonts w:hint="eastAsia" w:ascii="宋体" w:hAnsi="宋体" w:cs="宋体"/>
          <w:color w:val="auto"/>
          <w:kern w:val="0"/>
          <w:szCs w:val="20"/>
        </w:rPr>
        <w:t>计算出得分B；</w:t>
      </w:r>
    </w:p>
    <w:p>
      <w:pPr>
        <w:ind w:firstLine="480" w:firstLineChars="200"/>
        <w:rPr>
          <w:rFonts w:ascii="宋体" w:hAnsi="宋体" w:cs="宋体"/>
          <w:color w:val="auto"/>
          <w:kern w:val="0"/>
          <w:szCs w:val="20"/>
        </w:rPr>
      </w:pPr>
      <w:r>
        <w:rPr>
          <w:rFonts w:hint="eastAsia" w:ascii="宋体" w:hAnsi="宋体" w:cs="宋体"/>
          <w:color w:val="auto"/>
          <w:kern w:val="0"/>
          <w:szCs w:val="20"/>
        </w:rPr>
        <w:t>（3）按本章第2.2.3（3）目规定的评审因素和分值对技术</w:t>
      </w:r>
      <w:r>
        <w:rPr>
          <w:rFonts w:hint="eastAsia" w:ascii="宋体" w:hAnsi="宋体" w:cs="宋体"/>
          <w:color w:val="auto"/>
          <w:kern w:val="0"/>
          <w:szCs w:val="20"/>
          <w:lang w:eastAsia="zh-CN"/>
        </w:rPr>
        <w:t>标</w:t>
      </w:r>
      <w:r>
        <w:rPr>
          <w:rFonts w:hint="eastAsia" w:ascii="宋体" w:hAnsi="宋体" w:cs="宋体"/>
          <w:color w:val="auto"/>
          <w:kern w:val="0"/>
          <w:szCs w:val="20"/>
        </w:rPr>
        <w:t>部分计算出得分C；</w:t>
      </w:r>
    </w:p>
    <w:p>
      <w:pPr>
        <w:ind w:firstLine="480" w:firstLineChars="200"/>
        <w:rPr>
          <w:rFonts w:ascii="宋体" w:hAnsi="宋体" w:cs="宋体"/>
          <w:color w:val="auto"/>
          <w:kern w:val="0"/>
          <w:szCs w:val="20"/>
        </w:rPr>
      </w:pPr>
      <w:r>
        <w:rPr>
          <w:rFonts w:hint="eastAsia" w:ascii="宋体" w:hAnsi="宋体" w:cs="宋体"/>
          <w:color w:val="auto"/>
          <w:kern w:val="0"/>
          <w:szCs w:val="20"/>
        </w:rPr>
        <w:t>3.2.2 评分分值计算保留小数点后两位，小数点后第三位“四舍五入”。</w:t>
      </w:r>
    </w:p>
    <w:p>
      <w:pPr>
        <w:ind w:firstLine="480" w:firstLineChars="200"/>
        <w:rPr>
          <w:rFonts w:ascii="宋体" w:hAnsi="宋体" w:cs="宋体"/>
          <w:color w:val="auto"/>
          <w:kern w:val="0"/>
          <w:szCs w:val="20"/>
        </w:rPr>
      </w:pPr>
      <w:r>
        <w:rPr>
          <w:rFonts w:hint="eastAsia" w:ascii="宋体" w:hAnsi="宋体" w:cs="宋体"/>
          <w:color w:val="auto"/>
          <w:kern w:val="0"/>
          <w:szCs w:val="20"/>
        </w:rPr>
        <w:t>3.2.3 投标供应商得分=A+B+C，投标供应商的最终得分为所有评委对其打分的算术平均值。</w:t>
      </w:r>
    </w:p>
    <w:p>
      <w:pPr>
        <w:autoSpaceDE w:val="0"/>
        <w:autoSpaceDN w:val="0"/>
        <w:adjustRightInd w:val="0"/>
        <w:ind w:firstLine="480" w:firstLineChars="200"/>
        <w:rPr>
          <w:rFonts w:ascii="宋体" w:hAnsi="宋体" w:cs="宋体"/>
          <w:color w:val="auto"/>
          <w:kern w:val="0"/>
          <w:szCs w:val="20"/>
        </w:rPr>
      </w:pPr>
      <w:r>
        <w:rPr>
          <w:rFonts w:hint="eastAsia" w:ascii="宋体" w:hAnsi="宋体" w:cs="宋体"/>
          <w:color w:val="auto"/>
          <w:kern w:val="0"/>
          <w:szCs w:val="20"/>
        </w:rPr>
        <w:t>3.2.4 评标委员会发现投标供应商的报价明显低于其他投标报价，或者在设有标底时明显低于标底，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pPr>
        <w:keepNext/>
        <w:keepLines/>
        <w:outlineLvl w:val="2"/>
        <w:rPr>
          <w:rFonts w:ascii="宋体" w:hAnsi="宋体" w:cs="宋体"/>
          <w:b/>
          <w:color w:val="auto"/>
        </w:rPr>
      </w:pPr>
      <w:bookmarkStart w:id="246" w:name="_Toc13990"/>
      <w:r>
        <w:rPr>
          <w:rFonts w:hint="eastAsia" w:ascii="宋体" w:hAnsi="宋体" w:cs="宋体"/>
          <w:b/>
          <w:color w:val="auto"/>
        </w:rPr>
        <w:t>3.3 投标文件的澄清和补正</w:t>
      </w:r>
      <w:bookmarkEnd w:id="246"/>
    </w:p>
    <w:p>
      <w:pPr>
        <w:autoSpaceDE w:val="0"/>
        <w:autoSpaceDN w:val="0"/>
        <w:adjustRightInd w:val="0"/>
        <w:spacing w:before="70"/>
        <w:ind w:right="-20" w:firstLine="470" w:firstLineChars="196"/>
        <w:rPr>
          <w:rFonts w:ascii="宋体" w:hAnsi="宋体" w:cs="宋体"/>
          <w:color w:val="auto"/>
          <w:kern w:val="0"/>
          <w:szCs w:val="20"/>
        </w:rPr>
      </w:pPr>
      <w:r>
        <w:rPr>
          <w:rFonts w:hint="eastAsia" w:ascii="宋体" w:hAnsi="宋体" w:cs="宋体"/>
          <w:color w:val="auto"/>
          <w:kern w:val="0"/>
          <w:szCs w:val="20"/>
        </w:rPr>
        <w:t>3.</w:t>
      </w:r>
      <w:r>
        <w:rPr>
          <w:rFonts w:hint="eastAsia" w:ascii="宋体" w:hAnsi="宋体" w:cs="宋体"/>
          <w:color w:val="auto"/>
          <w:spacing w:val="-1"/>
          <w:kern w:val="0"/>
          <w:szCs w:val="20"/>
        </w:rPr>
        <w:t>3</w:t>
      </w:r>
      <w:r>
        <w:rPr>
          <w:rFonts w:hint="eastAsia" w:ascii="宋体" w:hAnsi="宋体" w:cs="宋体"/>
          <w:color w:val="auto"/>
          <w:kern w:val="0"/>
          <w:szCs w:val="20"/>
        </w:rPr>
        <w:t>.1 在评标过程中，</w:t>
      </w:r>
      <w:r>
        <w:rPr>
          <w:rFonts w:hint="eastAsia" w:ascii="宋体" w:hAnsi="宋体" w:cs="宋体"/>
          <w:color w:val="auto"/>
          <w:spacing w:val="1"/>
          <w:kern w:val="0"/>
          <w:szCs w:val="20"/>
        </w:rPr>
        <w:t>评</w:t>
      </w:r>
      <w:r>
        <w:rPr>
          <w:rFonts w:hint="eastAsia" w:ascii="宋体" w:hAnsi="宋体" w:cs="宋体"/>
          <w:color w:val="auto"/>
          <w:kern w:val="0"/>
          <w:szCs w:val="20"/>
        </w:rPr>
        <w:t>标委员会</w:t>
      </w:r>
      <w:r>
        <w:rPr>
          <w:rFonts w:hint="eastAsia" w:ascii="宋体" w:hAnsi="宋体" w:cs="宋体"/>
          <w:color w:val="auto"/>
          <w:spacing w:val="1"/>
          <w:kern w:val="0"/>
          <w:szCs w:val="20"/>
        </w:rPr>
        <w:t>可</w:t>
      </w:r>
      <w:r>
        <w:rPr>
          <w:rFonts w:hint="eastAsia" w:ascii="宋体" w:hAnsi="宋体" w:cs="宋体"/>
          <w:color w:val="auto"/>
          <w:kern w:val="0"/>
          <w:szCs w:val="20"/>
        </w:rPr>
        <w:t>以书面形</w:t>
      </w:r>
      <w:r>
        <w:rPr>
          <w:rFonts w:hint="eastAsia" w:ascii="宋体" w:hAnsi="宋体" w:cs="宋体"/>
          <w:color w:val="auto"/>
          <w:spacing w:val="1"/>
          <w:kern w:val="0"/>
          <w:szCs w:val="20"/>
        </w:rPr>
        <w:t>式</w:t>
      </w:r>
      <w:r>
        <w:rPr>
          <w:rFonts w:hint="eastAsia" w:ascii="宋体" w:hAnsi="宋体" w:cs="宋体"/>
          <w:color w:val="auto"/>
          <w:kern w:val="0"/>
          <w:szCs w:val="20"/>
        </w:rPr>
        <w:t>要求投标供应商对所提交</w:t>
      </w:r>
      <w:r>
        <w:rPr>
          <w:rFonts w:hint="eastAsia" w:ascii="宋体" w:hAnsi="宋体" w:cs="宋体"/>
          <w:color w:val="auto"/>
          <w:spacing w:val="1"/>
          <w:kern w:val="0"/>
          <w:szCs w:val="20"/>
        </w:rPr>
        <w:t>投</w:t>
      </w:r>
      <w:r>
        <w:rPr>
          <w:rFonts w:hint="eastAsia" w:ascii="宋体" w:hAnsi="宋体" w:cs="宋体"/>
          <w:color w:val="auto"/>
          <w:kern w:val="0"/>
          <w:szCs w:val="20"/>
        </w:rPr>
        <w:t>标文件中</w:t>
      </w:r>
      <w:r>
        <w:rPr>
          <w:rFonts w:hint="eastAsia" w:ascii="宋体" w:hAnsi="宋体" w:cs="宋体"/>
          <w:color w:val="auto"/>
          <w:spacing w:val="1"/>
          <w:kern w:val="0"/>
          <w:szCs w:val="20"/>
        </w:rPr>
        <w:t>不明</w:t>
      </w:r>
      <w:r>
        <w:rPr>
          <w:rFonts w:hint="eastAsia" w:ascii="宋体" w:hAnsi="宋体" w:cs="宋体"/>
          <w:color w:val="auto"/>
          <w:kern w:val="0"/>
          <w:szCs w:val="20"/>
        </w:rPr>
        <w:t>确的内容进行书面澄清或说明</w:t>
      </w:r>
      <w:r>
        <w:rPr>
          <w:rFonts w:hint="eastAsia" w:ascii="宋体" w:hAnsi="宋体" w:cs="宋体"/>
          <w:color w:val="auto"/>
          <w:spacing w:val="-47"/>
          <w:kern w:val="0"/>
          <w:szCs w:val="20"/>
        </w:rPr>
        <w:t>，</w:t>
      </w:r>
      <w:r>
        <w:rPr>
          <w:rFonts w:hint="eastAsia" w:ascii="宋体" w:hAnsi="宋体" w:cs="宋体"/>
          <w:color w:val="auto"/>
          <w:kern w:val="0"/>
          <w:szCs w:val="20"/>
        </w:rPr>
        <w:t>或者对细微偏差进行补正</w:t>
      </w:r>
      <w:r>
        <w:rPr>
          <w:rFonts w:hint="eastAsia" w:ascii="宋体" w:hAnsi="宋体" w:cs="宋体"/>
          <w:color w:val="auto"/>
          <w:spacing w:val="-47"/>
          <w:kern w:val="0"/>
          <w:szCs w:val="20"/>
        </w:rPr>
        <w:t>。</w:t>
      </w:r>
      <w:r>
        <w:rPr>
          <w:rFonts w:hint="eastAsia" w:ascii="宋体" w:hAnsi="宋体" w:cs="宋体"/>
          <w:color w:val="auto"/>
          <w:kern w:val="0"/>
          <w:szCs w:val="20"/>
        </w:rPr>
        <w:t>评标委员会不接受投标供应商主动提出的澄清、说明或补正。</w:t>
      </w:r>
    </w:p>
    <w:p>
      <w:pPr>
        <w:autoSpaceDE w:val="0"/>
        <w:autoSpaceDN w:val="0"/>
        <w:adjustRightInd w:val="0"/>
        <w:spacing w:before="70"/>
        <w:ind w:right="-20" w:firstLine="474" w:firstLineChars="196"/>
        <w:rPr>
          <w:rFonts w:ascii="宋体" w:hAnsi="宋体" w:cs="宋体"/>
          <w:color w:val="auto"/>
          <w:kern w:val="0"/>
          <w:szCs w:val="20"/>
        </w:rPr>
      </w:pPr>
      <w:r>
        <w:rPr>
          <w:rFonts w:hint="eastAsia" w:ascii="宋体" w:hAnsi="宋体" w:cs="宋体"/>
          <w:color w:val="auto"/>
          <w:spacing w:val="1"/>
          <w:kern w:val="0"/>
          <w:szCs w:val="20"/>
        </w:rPr>
        <w:t>3</w:t>
      </w:r>
      <w:r>
        <w:rPr>
          <w:rFonts w:hint="eastAsia" w:ascii="宋体" w:hAnsi="宋体" w:cs="宋体"/>
          <w:color w:val="auto"/>
          <w:kern w:val="0"/>
          <w:szCs w:val="20"/>
        </w:rPr>
        <w:t>.3.2 澄清</w:t>
      </w:r>
      <w:r>
        <w:rPr>
          <w:rFonts w:hint="eastAsia" w:ascii="宋体" w:hAnsi="宋体" w:cs="宋体"/>
          <w:color w:val="auto"/>
          <w:spacing w:val="-32"/>
          <w:kern w:val="0"/>
          <w:szCs w:val="20"/>
        </w:rPr>
        <w:t>、</w:t>
      </w:r>
      <w:r>
        <w:rPr>
          <w:rFonts w:hint="eastAsia" w:ascii="宋体" w:hAnsi="宋体" w:cs="宋体"/>
          <w:color w:val="auto"/>
          <w:kern w:val="0"/>
          <w:szCs w:val="20"/>
        </w:rPr>
        <w:t>说明和补正不得改变投标文件的实质性内</w:t>
      </w:r>
      <w:r>
        <w:rPr>
          <w:rFonts w:hint="eastAsia" w:ascii="宋体" w:hAnsi="宋体" w:cs="宋体"/>
          <w:color w:val="auto"/>
          <w:spacing w:val="-31"/>
          <w:kern w:val="0"/>
          <w:szCs w:val="20"/>
        </w:rPr>
        <w:t>容</w:t>
      </w:r>
      <w:r>
        <w:rPr>
          <w:rFonts w:hint="eastAsia" w:ascii="宋体" w:hAnsi="宋体" w:cs="宋体"/>
          <w:color w:val="auto"/>
          <w:kern w:val="0"/>
          <w:szCs w:val="20"/>
        </w:rPr>
        <w:t>（算术性错误修正的除外</w:t>
      </w:r>
      <w:r>
        <w:rPr>
          <w:rFonts w:hint="eastAsia" w:ascii="宋体" w:hAnsi="宋体" w:cs="宋体"/>
          <w:color w:val="auto"/>
          <w:spacing w:val="-106"/>
          <w:kern w:val="0"/>
          <w:szCs w:val="20"/>
        </w:rPr>
        <w:t>）</w:t>
      </w:r>
      <w:r>
        <w:rPr>
          <w:rFonts w:hint="eastAsia" w:ascii="宋体" w:hAnsi="宋体" w:cs="宋体"/>
          <w:color w:val="auto"/>
          <w:spacing w:val="-31"/>
          <w:kern w:val="0"/>
          <w:szCs w:val="20"/>
        </w:rPr>
        <w:t>。投标供应商</w:t>
      </w:r>
      <w:r>
        <w:rPr>
          <w:rFonts w:hint="eastAsia" w:ascii="宋体" w:hAnsi="宋体" w:cs="宋体"/>
          <w:color w:val="auto"/>
          <w:kern w:val="0"/>
          <w:szCs w:val="20"/>
        </w:rPr>
        <w:t>的书面澄清、说明和补正属于投标文件的组成部分。</w:t>
      </w:r>
    </w:p>
    <w:p>
      <w:pPr>
        <w:autoSpaceDE w:val="0"/>
        <w:autoSpaceDN w:val="0"/>
        <w:adjustRightInd w:val="0"/>
        <w:ind w:firstLine="484" w:firstLineChars="200"/>
        <w:rPr>
          <w:rFonts w:ascii="宋体" w:hAnsi="宋体" w:cs="宋体"/>
          <w:color w:val="auto"/>
          <w:kern w:val="0"/>
          <w:szCs w:val="20"/>
        </w:rPr>
      </w:pPr>
      <w:r>
        <w:rPr>
          <w:rFonts w:hint="eastAsia" w:ascii="宋体" w:hAnsi="宋体" w:cs="宋体"/>
          <w:color w:val="auto"/>
          <w:spacing w:val="1"/>
          <w:kern w:val="0"/>
          <w:szCs w:val="20"/>
        </w:rPr>
        <w:t>3.</w:t>
      </w:r>
      <w:r>
        <w:rPr>
          <w:rFonts w:hint="eastAsia" w:ascii="宋体" w:hAnsi="宋体" w:cs="宋体"/>
          <w:color w:val="auto"/>
          <w:spacing w:val="-1"/>
          <w:kern w:val="0"/>
          <w:szCs w:val="20"/>
        </w:rPr>
        <w:t>3</w:t>
      </w:r>
      <w:r>
        <w:rPr>
          <w:rFonts w:hint="eastAsia" w:ascii="宋体" w:hAnsi="宋体" w:cs="宋体"/>
          <w:color w:val="auto"/>
          <w:kern w:val="0"/>
          <w:szCs w:val="20"/>
        </w:rPr>
        <w:t>.3 评标委员会对投标供应商提交的</w:t>
      </w:r>
      <w:r>
        <w:rPr>
          <w:rFonts w:hint="eastAsia" w:ascii="宋体" w:hAnsi="宋体" w:cs="宋体"/>
          <w:color w:val="auto"/>
          <w:spacing w:val="1"/>
          <w:kern w:val="0"/>
          <w:szCs w:val="20"/>
        </w:rPr>
        <w:t>澄</w:t>
      </w:r>
      <w:r>
        <w:rPr>
          <w:rFonts w:hint="eastAsia" w:ascii="宋体" w:hAnsi="宋体" w:cs="宋体"/>
          <w:color w:val="auto"/>
          <w:kern w:val="0"/>
          <w:szCs w:val="20"/>
        </w:rPr>
        <w:t>清、说明</w:t>
      </w:r>
      <w:r>
        <w:rPr>
          <w:rFonts w:hint="eastAsia" w:ascii="宋体" w:hAnsi="宋体" w:cs="宋体"/>
          <w:color w:val="auto"/>
          <w:spacing w:val="1"/>
          <w:kern w:val="0"/>
          <w:szCs w:val="20"/>
        </w:rPr>
        <w:t>或</w:t>
      </w:r>
      <w:r>
        <w:rPr>
          <w:rFonts w:hint="eastAsia" w:ascii="宋体" w:hAnsi="宋体" w:cs="宋体"/>
          <w:color w:val="auto"/>
          <w:kern w:val="0"/>
          <w:szCs w:val="20"/>
        </w:rPr>
        <w:t>补正有疑</w:t>
      </w:r>
      <w:r>
        <w:rPr>
          <w:rFonts w:hint="eastAsia" w:ascii="宋体" w:hAnsi="宋体" w:cs="宋体"/>
          <w:color w:val="auto"/>
          <w:spacing w:val="1"/>
          <w:kern w:val="0"/>
          <w:szCs w:val="20"/>
        </w:rPr>
        <w:t>问</w:t>
      </w:r>
      <w:r>
        <w:rPr>
          <w:rFonts w:hint="eastAsia" w:ascii="宋体" w:hAnsi="宋体" w:cs="宋体"/>
          <w:color w:val="auto"/>
          <w:kern w:val="0"/>
          <w:szCs w:val="20"/>
        </w:rPr>
        <w:t>的，可以</w:t>
      </w:r>
      <w:r>
        <w:rPr>
          <w:rFonts w:hint="eastAsia" w:ascii="宋体" w:hAnsi="宋体" w:cs="宋体"/>
          <w:color w:val="auto"/>
          <w:spacing w:val="1"/>
          <w:kern w:val="0"/>
          <w:szCs w:val="20"/>
        </w:rPr>
        <w:t>要</w:t>
      </w:r>
      <w:r>
        <w:rPr>
          <w:rFonts w:hint="eastAsia" w:ascii="宋体" w:hAnsi="宋体" w:cs="宋体"/>
          <w:color w:val="auto"/>
          <w:kern w:val="0"/>
          <w:szCs w:val="20"/>
        </w:rPr>
        <w:t>求投标供应商</w:t>
      </w:r>
      <w:r>
        <w:rPr>
          <w:rFonts w:hint="eastAsia" w:ascii="宋体" w:hAnsi="宋体" w:cs="宋体"/>
          <w:color w:val="auto"/>
          <w:spacing w:val="1"/>
          <w:kern w:val="0"/>
          <w:szCs w:val="20"/>
        </w:rPr>
        <w:t>进一</w:t>
      </w:r>
      <w:r>
        <w:rPr>
          <w:rFonts w:hint="eastAsia" w:ascii="宋体" w:hAnsi="宋体" w:cs="宋体"/>
          <w:color w:val="auto"/>
          <w:kern w:val="0"/>
          <w:szCs w:val="20"/>
        </w:rPr>
        <w:t>步澄清、说明或补正，直至满足评标委员会的要求。</w:t>
      </w:r>
    </w:p>
    <w:p>
      <w:pPr>
        <w:keepNext/>
        <w:keepLines/>
        <w:outlineLvl w:val="2"/>
        <w:rPr>
          <w:rFonts w:ascii="宋体" w:hAnsi="宋体" w:cs="宋体"/>
          <w:b/>
          <w:color w:val="auto"/>
        </w:rPr>
      </w:pPr>
      <w:bookmarkStart w:id="247" w:name="_Toc10630"/>
      <w:r>
        <w:rPr>
          <w:rFonts w:hint="eastAsia" w:ascii="宋体" w:hAnsi="宋体" w:cs="宋体"/>
          <w:b/>
          <w:color w:val="auto"/>
        </w:rPr>
        <w:t>3.4 评标结果</w:t>
      </w:r>
      <w:bookmarkEnd w:id="247"/>
    </w:p>
    <w:p>
      <w:pPr>
        <w:autoSpaceDE w:val="0"/>
        <w:autoSpaceDN w:val="0"/>
        <w:adjustRightInd w:val="0"/>
        <w:ind w:firstLine="484" w:firstLineChars="200"/>
        <w:rPr>
          <w:rFonts w:hint="eastAsia" w:ascii="宋体" w:hAnsi="宋体" w:cs="宋体"/>
          <w:color w:val="auto"/>
          <w:spacing w:val="1"/>
          <w:kern w:val="0"/>
          <w:szCs w:val="20"/>
        </w:rPr>
      </w:pPr>
      <w:r>
        <w:rPr>
          <w:rFonts w:hint="eastAsia" w:ascii="宋体" w:hAnsi="宋体" w:cs="宋体"/>
          <w:color w:val="auto"/>
          <w:spacing w:val="1"/>
          <w:kern w:val="0"/>
          <w:szCs w:val="20"/>
        </w:rPr>
        <w:t>3.4.1 除第二章“投标人须知”前附表授权直接确定中标供应商外，评标委员会按照得分由高到低的顺序推荐中标候选人。</w:t>
      </w:r>
      <w:r>
        <w:rPr>
          <w:rFonts w:hint="eastAsia" w:ascii="宋体" w:hAnsi="宋体" w:cs="宋体"/>
          <w:color w:val="auto"/>
          <w:spacing w:val="1"/>
          <w:kern w:val="0"/>
          <w:szCs w:val="20"/>
          <w:lang w:eastAsia="zh-CN"/>
        </w:rPr>
        <w:t>核心产品</w:t>
      </w:r>
      <w:r>
        <w:rPr>
          <w:rFonts w:hint="eastAsia" w:ascii="宋体" w:hAnsi="宋体" w:cs="宋体"/>
          <w:color w:val="auto"/>
          <w:spacing w:val="1"/>
          <w:kern w:val="0"/>
          <w:szCs w:val="20"/>
        </w:rPr>
        <w:t>提供相同品牌产品且通过资格审查、符合性审查的不同投标供应商参加同一合同项下投标的，按一家投标供应商计算：评审后得分最高的同品牌投标供应商获得中标供应商推荐资格；评审得分相同的，技术</w:t>
      </w:r>
      <w:r>
        <w:rPr>
          <w:rFonts w:hint="eastAsia" w:ascii="宋体" w:hAnsi="宋体" w:cs="宋体"/>
          <w:color w:val="auto"/>
          <w:spacing w:val="1"/>
          <w:kern w:val="0"/>
          <w:szCs w:val="20"/>
          <w:lang w:eastAsia="zh-CN"/>
        </w:rPr>
        <w:t>标</w:t>
      </w:r>
      <w:r>
        <w:rPr>
          <w:rFonts w:hint="eastAsia" w:ascii="宋体" w:hAnsi="宋体" w:cs="宋体"/>
          <w:color w:val="auto"/>
          <w:spacing w:val="1"/>
          <w:kern w:val="0"/>
          <w:szCs w:val="20"/>
        </w:rPr>
        <w:t>部分得分高的获得中标供应商推荐资格；技术</w:t>
      </w:r>
      <w:r>
        <w:rPr>
          <w:rFonts w:hint="eastAsia" w:ascii="宋体" w:hAnsi="宋体" w:cs="宋体"/>
          <w:color w:val="auto"/>
          <w:spacing w:val="1"/>
          <w:kern w:val="0"/>
          <w:szCs w:val="20"/>
          <w:lang w:eastAsia="zh-CN"/>
        </w:rPr>
        <w:t>标</w:t>
      </w:r>
      <w:r>
        <w:rPr>
          <w:rFonts w:hint="eastAsia" w:ascii="宋体" w:hAnsi="宋体" w:cs="宋体"/>
          <w:color w:val="auto"/>
          <w:spacing w:val="1"/>
          <w:kern w:val="0"/>
          <w:szCs w:val="20"/>
        </w:rPr>
        <w:t>部分得分相同的，投标报价低的获得中标供应商推荐资格。</w:t>
      </w:r>
    </w:p>
    <w:p>
      <w:pPr>
        <w:autoSpaceDE w:val="0"/>
        <w:autoSpaceDN w:val="0"/>
        <w:adjustRightInd w:val="0"/>
        <w:ind w:firstLine="484" w:firstLineChars="200"/>
        <w:rPr>
          <w:color w:val="auto"/>
        </w:rPr>
      </w:pPr>
      <w:r>
        <w:rPr>
          <w:rFonts w:hint="eastAsia" w:ascii="宋体" w:hAnsi="宋体" w:cs="宋体"/>
          <w:color w:val="auto"/>
          <w:spacing w:val="1"/>
          <w:kern w:val="0"/>
          <w:szCs w:val="20"/>
        </w:rPr>
        <w:t>3.4.2 评标委员会完成评标后，应当向采购人提交书面评标报告。</w:t>
      </w:r>
    </w:p>
    <w:p>
      <w:pPr>
        <w:pStyle w:val="7"/>
        <w:rPr>
          <w:color w:val="auto"/>
        </w:rPr>
      </w:pPr>
    </w:p>
    <w:p>
      <w:pPr>
        <w:rPr>
          <w:color w:val="auto"/>
        </w:rPr>
      </w:pPr>
    </w:p>
    <w:p>
      <w:pPr>
        <w:rPr>
          <w:color w:val="auto"/>
        </w:rPr>
      </w:pPr>
    </w:p>
    <w:p>
      <w:pPr>
        <w:rPr>
          <w:color w:val="auto"/>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bidi w:val="0"/>
        <w:ind w:left="0" w:leftChars="0" w:firstLine="0" w:firstLineChars="0"/>
        <w:rPr>
          <w:color w:val="auto"/>
        </w:rPr>
      </w:pPr>
      <w:bookmarkStart w:id="248" w:name="_Toc4007"/>
      <w:r>
        <w:rPr>
          <w:rFonts w:hint="eastAsia"/>
          <w:color w:val="auto"/>
          <w:lang w:val="en-US" w:eastAsia="zh-CN"/>
        </w:rPr>
        <w:t>第六章  合同条款及格式</w:t>
      </w:r>
      <w:bookmarkEnd w:id="248"/>
    </w:p>
    <w:p>
      <w:pPr>
        <w:jc w:val="center"/>
        <w:rPr>
          <w:rFonts w:hint="eastAsia" w:ascii="宋体" w:hAnsi="宋体" w:eastAsia="宋体" w:cs="宋体"/>
          <w:b/>
          <w:bCs/>
          <w:color w:val="auto"/>
          <w:lang w:eastAsia="zh-CN"/>
        </w:rPr>
      </w:pPr>
      <w:r>
        <w:rPr>
          <w:rFonts w:hint="eastAsia" w:ascii="宋体" w:hAnsi="宋体" w:eastAsia="宋体" w:cs="宋体"/>
          <w:b/>
          <w:bCs/>
          <w:color w:val="auto"/>
          <w:lang w:eastAsia="zh-CN"/>
        </w:rPr>
        <w:t>（仅供参考，具体以项目需求及采购结果为准）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买</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方</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河南省信阳监狱</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买</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方</w:t>
      </w:r>
      <w:r>
        <w:rPr>
          <w:rFonts w:hint="eastAsia" w:ascii="宋体" w:hAnsi="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开户名</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河南省信阳监狱</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开户名</w:t>
      </w:r>
      <w:r>
        <w:rPr>
          <w:rFonts w:hint="eastAsia" w:ascii="宋体" w:hAnsi="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开户银行</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罗山农行五一分理处</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开户银行</w:t>
      </w:r>
      <w:r>
        <w:rPr>
          <w:rFonts w:hint="eastAsia" w:ascii="宋体" w:hAnsi="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银行账号</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16749701040000159</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银行账号</w:t>
      </w:r>
      <w:r>
        <w:rPr>
          <w:rFonts w:hint="eastAsia" w:ascii="宋体" w:hAnsi="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 xml:space="preserve">地  </w:t>
      </w:r>
      <w:r>
        <w:rPr>
          <w:rFonts w:hint="eastAsia" w:ascii="宋体" w:hAnsi="宋体" w:eastAsia="宋体" w:cs="宋体"/>
          <w:color w:val="auto"/>
          <w:kern w:val="0"/>
          <w:sz w:val="24"/>
          <w:szCs w:val="24"/>
          <w:lang w:val="en-US" w:eastAsia="zh-CN" w:bidi="ar"/>
        </w:rPr>
        <w:t>址</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河南省罗山县伍家坡</w:t>
      </w:r>
      <w:r>
        <w:rPr>
          <w:rFonts w:hint="eastAsia" w:ascii="宋体" w:hAnsi="宋体" w:cs="宋体"/>
          <w:color w:val="auto"/>
          <w:kern w:val="0"/>
          <w:sz w:val="24"/>
          <w:szCs w:val="24"/>
          <w:lang w:val="en-US" w:eastAsia="zh-CN" w:bidi="ar"/>
        </w:rPr>
        <w:t xml:space="preserve">          地  </w:t>
      </w:r>
      <w:r>
        <w:rPr>
          <w:rFonts w:hint="eastAsia" w:ascii="宋体" w:hAnsi="宋体" w:eastAsia="宋体" w:cs="宋体"/>
          <w:color w:val="auto"/>
          <w:kern w:val="0"/>
          <w:sz w:val="24"/>
          <w:szCs w:val="24"/>
          <w:lang w:val="en-US" w:eastAsia="zh-CN" w:bidi="ar"/>
        </w:rPr>
        <w:t>址</w:t>
      </w:r>
      <w:r>
        <w:rPr>
          <w:rFonts w:hint="eastAsia" w:ascii="宋体" w:hAnsi="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lang w:val="en-US"/>
        </w:rPr>
      </w:pPr>
      <w:r>
        <w:rPr>
          <w:rFonts w:hint="eastAsia" w:ascii="宋体" w:hAnsi="宋体" w:eastAsia="宋体" w:cs="宋体"/>
          <w:color w:val="auto"/>
          <w:kern w:val="0"/>
          <w:sz w:val="24"/>
          <w:szCs w:val="24"/>
          <w:lang w:val="en-US" w:eastAsia="zh-CN" w:bidi="ar"/>
        </w:rPr>
        <w:t>联系人</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邮编</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联系人</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邮编</w:t>
      </w:r>
      <w:r>
        <w:rPr>
          <w:rFonts w:hint="eastAsia" w:ascii="宋体" w:hAnsi="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话</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电话</w:t>
      </w:r>
      <w:r>
        <w:rPr>
          <w:rFonts w:hint="eastAsia" w:ascii="宋体" w:hAnsi="宋体" w:cs="宋体"/>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根据《中华人民共和国</w:t>
      </w:r>
      <w:r>
        <w:rPr>
          <w:rFonts w:hint="eastAsia" w:ascii="宋体" w:hAnsi="宋体" w:cs="宋体"/>
          <w:b/>
          <w:bCs/>
          <w:color w:val="auto"/>
          <w:kern w:val="0"/>
          <w:sz w:val="24"/>
          <w:szCs w:val="24"/>
          <w:lang w:val="en-US" w:eastAsia="zh-CN" w:bidi="ar"/>
        </w:rPr>
        <w:t>民法典</w:t>
      </w:r>
      <w:r>
        <w:rPr>
          <w:rFonts w:hint="eastAsia" w:ascii="宋体" w:hAnsi="宋体" w:eastAsia="宋体" w:cs="宋体"/>
          <w:b/>
          <w:bCs/>
          <w:color w:val="auto"/>
          <w:kern w:val="0"/>
          <w:sz w:val="24"/>
          <w:szCs w:val="24"/>
          <w:lang w:val="en-US" w:eastAsia="zh-CN" w:bidi="ar"/>
        </w:rPr>
        <w:t>》，经双方友好协商签订本合同</w:t>
      </w:r>
      <w:r>
        <w:rPr>
          <w:rFonts w:hint="eastAsia" w:ascii="宋体" w:hAnsi="宋体" w:cs="宋体"/>
          <w:b/>
          <w:bCs/>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1、产品清单及价格</w:t>
      </w:r>
    </w:p>
    <w:tbl>
      <w:tblPr>
        <w:tblStyle w:val="17"/>
        <w:tblW w:w="9034" w:type="dxa"/>
        <w:jc w:val="center"/>
        <w:tblLayout w:type="fixed"/>
        <w:tblCellMar>
          <w:top w:w="0" w:type="dxa"/>
          <w:left w:w="108" w:type="dxa"/>
          <w:bottom w:w="0" w:type="dxa"/>
          <w:right w:w="108" w:type="dxa"/>
        </w:tblCellMar>
      </w:tblPr>
      <w:tblGrid>
        <w:gridCol w:w="2181"/>
        <w:gridCol w:w="1016"/>
        <w:gridCol w:w="1038"/>
        <w:gridCol w:w="1085"/>
        <w:gridCol w:w="1303"/>
        <w:gridCol w:w="1304"/>
        <w:gridCol w:w="1107"/>
      </w:tblGrid>
      <w:tr>
        <w:tblPrEx>
          <w:tblCellMar>
            <w:top w:w="0" w:type="dxa"/>
            <w:left w:w="108" w:type="dxa"/>
            <w:bottom w:w="0" w:type="dxa"/>
            <w:right w:w="108" w:type="dxa"/>
          </w:tblCellMar>
        </w:tblPrEx>
        <w:trPr>
          <w:trHeight w:val="652" w:hRule="atLeast"/>
          <w:jc w:val="center"/>
        </w:trPr>
        <w:tc>
          <w:tcPr>
            <w:tcW w:w="21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lang w:eastAsia="zh-CN"/>
              </w:rPr>
            </w:pPr>
            <w:r>
              <w:rPr>
                <w:rFonts w:hint="eastAsia" w:ascii="宋体" w:hAnsi="宋体" w:cs="宋体"/>
                <w:color w:val="auto"/>
              </w:rPr>
              <w:t>产品名称</w:t>
            </w:r>
            <w:r>
              <w:rPr>
                <w:rFonts w:hint="eastAsia" w:ascii="宋体" w:hAnsi="宋体" w:cs="宋体"/>
                <w:color w:val="auto"/>
                <w:lang w:eastAsia="zh-CN"/>
              </w:rPr>
              <w:t>规格型号</w:t>
            </w:r>
          </w:p>
        </w:tc>
        <w:tc>
          <w:tcPr>
            <w:tcW w:w="1016"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color w:val="auto"/>
              </w:rPr>
            </w:pPr>
            <w:r>
              <w:rPr>
                <w:rFonts w:hint="eastAsia" w:ascii="宋体" w:hAnsi="宋体" w:cs="宋体"/>
                <w:color w:val="auto"/>
              </w:rPr>
              <w:t>品牌</w:t>
            </w:r>
          </w:p>
        </w:tc>
        <w:tc>
          <w:tcPr>
            <w:tcW w:w="1038"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color w:val="auto"/>
              </w:rPr>
            </w:pPr>
            <w:r>
              <w:rPr>
                <w:rFonts w:hint="eastAsia" w:ascii="宋体" w:hAnsi="宋体" w:cs="宋体"/>
                <w:color w:val="auto"/>
              </w:rPr>
              <w:t>产地</w:t>
            </w:r>
          </w:p>
        </w:tc>
        <w:tc>
          <w:tcPr>
            <w:tcW w:w="1085"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color w:val="auto"/>
              </w:rPr>
            </w:pPr>
            <w:r>
              <w:rPr>
                <w:rFonts w:hint="eastAsia" w:ascii="宋体" w:hAnsi="宋体" w:cs="宋体"/>
                <w:color w:val="auto"/>
              </w:rPr>
              <w:t>数量</w:t>
            </w:r>
          </w:p>
        </w:tc>
        <w:tc>
          <w:tcPr>
            <w:tcW w:w="1303"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color w:val="auto"/>
              </w:rPr>
            </w:pPr>
            <w:r>
              <w:rPr>
                <w:rFonts w:hint="eastAsia" w:ascii="宋体" w:hAnsi="宋体" w:cs="宋体"/>
                <w:color w:val="auto"/>
              </w:rPr>
              <w:t>单价(元)</w:t>
            </w:r>
          </w:p>
        </w:tc>
        <w:tc>
          <w:tcPr>
            <w:tcW w:w="1304" w:type="dxa"/>
            <w:tcBorders>
              <w:top w:val="single" w:color="auto" w:sz="4" w:space="0"/>
              <w:left w:val="nil"/>
              <w:bottom w:val="single" w:color="auto" w:sz="4" w:space="0"/>
              <w:right w:val="single" w:color="auto" w:sz="4" w:space="0"/>
            </w:tcBorders>
            <w:vAlign w:val="center"/>
          </w:tcPr>
          <w:p>
            <w:pPr>
              <w:spacing w:line="240" w:lineRule="auto"/>
              <w:jc w:val="center"/>
              <w:rPr>
                <w:rFonts w:ascii="宋体" w:hAnsi="宋体" w:cs="宋体"/>
                <w:color w:val="auto"/>
              </w:rPr>
            </w:pPr>
            <w:r>
              <w:rPr>
                <w:rFonts w:hint="eastAsia" w:ascii="宋体" w:hAnsi="宋体" w:cs="宋体"/>
                <w:color w:val="auto"/>
              </w:rPr>
              <w:t>金额(元)</w:t>
            </w:r>
          </w:p>
        </w:tc>
        <w:tc>
          <w:tcPr>
            <w:tcW w:w="1107" w:type="dxa"/>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color w:val="auto"/>
                <w:lang w:eastAsia="zh-CN"/>
              </w:rPr>
            </w:pPr>
            <w:r>
              <w:rPr>
                <w:rFonts w:hint="eastAsia" w:ascii="宋体" w:hAnsi="宋体" w:cs="宋体"/>
                <w:color w:val="auto"/>
                <w:lang w:eastAsia="zh-CN"/>
              </w:rPr>
              <w:t>备注</w:t>
            </w:r>
          </w:p>
        </w:tc>
      </w:tr>
      <w:tr>
        <w:tblPrEx>
          <w:tblCellMar>
            <w:top w:w="0" w:type="dxa"/>
            <w:left w:w="108" w:type="dxa"/>
            <w:bottom w:w="0" w:type="dxa"/>
            <w:right w:w="108" w:type="dxa"/>
          </w:tblCellMar>
        </w:tblPrEx>
        <w:trPr>
          <w:trHeight w:val="542" w:hRule="atLeast"/>
          <w:jc w:val="center"/>
        </w:trPr>
        <w:tc>
          <w:tcPr>
            <w:tcW w:w="21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1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r>
      <w:tr>
        <w:tblPrEx>
          <w:tblCellMar>
            <w:top w:w="0" w:type="dxa"/>
            <w:left w:w="108" w:type="dxa"/>
            <w:bottom w:w="0" w:type="dxa"/>
            <w:right w:w="108" w:type="dxa"/>
          </w:tblCellMar>
        </w:tblPrEx>
        <w:trPr>
          <w:trHeight w:val="565" w:hRule="atLeast"/>
          <w:jc w:val="center"/>
        </w:trPr>
        <w:tc>
          <w:tcPr>
            <w:tcW w:w="21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1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r>
      <w:tr>
        <w:tblPrEx>
          <w:tblCellMar>
            <w:top w:w="0" w:type="dxa"/>
            <w:left w:w="108" w:type="dxa"/>
            <w:bottom w:w="0" w:type="dxa"/>
            <w:right w:w="108" w:type="dxa"/>
          </w:tblCellMar>
        </w:tblPrEx>
        <w:trPr>
          <w:trHeight w:val="565" w:hRule="atLeast"/>
          <w:jc w:val="center"/>
        </w:trPr>
        <w:tc>
          <w:tcPr>
            <w:tcW w:w="21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1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r>
      <w:tr>
        <w:tblPrEx>
          <w:tblCellMar>
            <w:top w:w="0" w:type="dxa"/>
            <w:left w:w="108" w:type="dxa"/>
            <w:bottom w:w="0" w:type="dxa"/>
            <w:right w:w="108" w:type="dxa"/>
          </w:tblCellMar>
        </w:tblPrEx>
        <w:trPr>
          <w:trHeight w:val="565" w:hRule="atLeast"/>
          <w:jc w:val="center"/>
        </w:trPr>
        <w:tc>
          <w:tcPr>
            <w:tcW w:w="21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auto"/>
                <w:lang w:val="en-US" w:eastAsia="zh-CN"/>
              </w:rPr>
            </w:pPr>
            <w:r>
              <w:rPr>
                <w:rFonts w:hint="eastAsia" w:ascii="宋体" w:hAnsi="宋体" w:cs="宋体"/>
                <w:color w:val="auto"/>
                <w:lang w:val="en-US" w:eastAsia="zh-CN"/>
              </w:rPr>
              <w:t>...</w:t>
            </w:r>
          </w:p>
        </w:tc>
        <w:tc>
          <w:tcPr>
            <w:tcW w:w="10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30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3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1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r>
      <w:tr>
        <w:tblPrEx>
          <w:tblCellMar>
            <w:top w:w="0" w:type="dxa"/>
            <w:left w:w="108" w:type="dxa"/>
            <w:bottom w:w="0" w:type="dxa"/>
            <w:right w:w="108" w:type="dxa"/>
          </w:tblCellMar>
        </w:tblPrEx>
        <w:trPr>
          <w:trHeight w:val="565" w:hRule="atLeast"/>
          <w:jc w:val="center"/>
        </w:trPr>
        <w:tc>
          <w:tcPr>
            <w:tcW w:w="6623"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宋体" w:hAnsi="宋体" w:eastAsia="宋体" w:cs="宋体"/>
                <w:color w:val="auto"/>
                <w:lang w:eastAsia="zh-CN"/>
              </w:rPr>
            </w:pPr>
            <w:r>
              <w:rPr>
                <w:rFonts w:hint="eastAsia" w:ascii="宋体" w:hAnsi="宋体" w:cs="宋体"/>
                <w:b/>
                <w:bCs/>
                <w:color w:val="auto"/>
                <w:lang w:eastAsia="zh-CN"/>
              </w:rPr>
              <w:t>合计人民币金额（大写）：</w:t>
            </w:r>
          </w:p>
        </w:tc>
        <w:tc>
          <w:tcPr>
            <w:tcW w:w="130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c>
          <w:tcPr>
            <w:tcW w:w="110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rPr>
            </w:pPr>
          </w:p>
        </w:tc>
      </w:tr>
    </w:tbl>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备注</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以上为13%的含税价格</w:t>
      </w:r>
    </w:p>
    <w:p>
      <w:pPr>
        <w:keepNext w:val="0"/>
        <w:keepLines w:val="0"/>
        <w:pageBreakBefore w:val="0"/>
        <w:widowControl/>
        <w:suppressLineNumbers w:val="0"/>
        <w:kinsoku/>
        <w:wordWrap w:val="0"/>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2、付款条件</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u w:val="single"/>
          <w:lang w:val="en-US" w:eastAsia="zh-CN" w:bidi="ar"/>
        </w:rPr>
      </w:pPr>
      <w:r>
        <w:rPr>
          <w:rFonts w:hint="eastAsia" w:ascii="宋体" w:hAnsi="宋体" w:eastAsia="宋体" w:cs="宋体"/>
          <w:color w:val="auto"/>
          <w:kern w:val="0"/>
          <w:sz w:val="24"/>
          <w:szCs w:val="24"/>
          <w:lang w:val="en-US" w:eastAsia="zh-CN" w:bidi="ar"/>
        </w:rPr>
        <w:t>2.1、买卖合同价格以下列方式支付</w:t>
      </w:r>
      <w:r>
        <w:rPr>
          <w:rFonts w:hint="eastAsia" w:ascii="宋体" w:hAnsi="宋体" w:cs="宋体"/>
          <w:color w:val="auto"/>
          <w:kern w:val="0"/>
          <w:sz w:val="24"/>
          <w:szCs w:val="24"/>
          <w:lang w:val="en-US" w:eastAsia="zh-CN" w:bidi="ar"/>
        </w:rPr>
        <w:t>：</w:t>
      </w:r>
      <w:r>
        <w:rPr>
          <w:rFonts w:hint="eastAsia" w:ascii="宋体" w:hAnsi="宋体" w:cs="宋体"/>
          <w:color w:val="auto"/>
          <w:kern w:val="0"/>
          <w:sz w:val="24"/>
          <w:szCs w:val="24"/>
          <w:u w:val="single"/>
          <w:lang w:val="en-US" w:eastAsia="zh-CN" w:bidi="ar"/>
        </w:rPr>
        <w:t>到货验收合格后，采购人向中标人支付中标金额的97%，留质保金3%</w:t>
      </w:r>
      <w:r>
        <w:rPr>
          <w:rFonts w:hint="eastAsia" w:ascii="宋体" w:hAnsi="宋体" w:eastAsia="宋体" w:cs="宋体"/>
          <w:color w:val="auto"/>
          <w:kern w:val="0"/>
          <w:sz w:val="24"/>
          <w:szCs w:val="24"/>
          <w:u w:val="none"/>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2.2、如买方未按时支付任何价款超过</w:t>
      </w:r>
      <w:r>
        <w:rPr>
          <w:rFonts w:hint="eastAsia" w:ascii="宋体" w:hAnsi="宋体" w:eastAsia="宋体" w:cs="宋体"/>
          <w:color w:val="auto"/>
          <w:kern w:val="0"/>
          <w:sz w:val="24"/>
          <w:szCs w:val="24"/>
          <w:u w:val="single"/>
          <w:lang w:val="en-US" w:eastAsia="zh-CN" w:bidi="ar"/>
        </w:rPr>
        <w:t>60</w:t>
      </w:r>
      <w:r>
        <w:rPr>
          <w:rFonts w:hint="eastAsia" w:ascii="宋体" w:hAnsi="宋体" w:eastAsia="宋体" w:cs="宋体"/>
          <w:color w:val="auto"/>
          <w:kern w:val="0"/>
          <w:sz w:val="24"/>
          <w:szCs w:val="24"/>
          <w:lang w:val="en-US" w:eastAsia="zh-CN" w:bidi="ar"/>
        </w:rPr>
        <w:t>天，卖方有权解除合同。</w:t>
      </w:r>
    </w:p>
    <w:p>
      <w:pPr>
        <w:keepNext w:val="0"/>
        <w:keepLines w:val="0"/>
        <w:pageBreakBefore w:val="0"/>
        <w:widowControl/>
        <w:suppressLineNumbers w:val="0"/>
        <w:kinsoku/>
        <w:wordWrap w:val="0"/>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3</w:t>
      </w:r>
      <w:r>
        <w:rPr>
          <w:rFonts w:hint="eastAsia" w:ascii="宋体" w:hAnsi="宋体" w:eastAsia="宋体" w:cs="宋体"/>
          <w:b/>
          <w:bCs/>
          <w:color w:val="auto"/>
          <w:kern w:val="0"/>
          <w:sz w:val="24"/>
          <w:szCs w:val="24"/>
          <w:lang w:val="en-US" w:eastAsia="zh-CN" w:bidi="ar"/>
        </w:rPr>
        <w:t>、</w:t>
      </w:r>
      <w:r>
        <w:rPr>
          <w:rFonts w:hint="eastAsia" w:ascii="宋体" w:hAnsi="宋体" w:cs="宋体"/>
          <w:b/>
          <w:bCs/>
          <w:color w:val="auto"/>
          <w:kern w:val="0"/>
          <w:sz w:val="24"/>
          <w:szCs w:val="24"/>
          <w:lang w:val="en-US" w:eastAsia="zh-CN" w:bidi="ar"/>
        </w:rPr>
        <w:t>交付</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产品交付时间为</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u w:val="none"/>
          <w:lang w:val="en-US" w:eastAsia="zh-CN" w:bidi="ar"/>
        </w:rPr>
        <w:t>合同</w:t>
      </w:r>
      <w:r>
        <w:rPr>
          <w:rFonts w:hint="eastAsia" w:ascii="宋体" w:hAnsi="宋体" w:cs="宋体"/>
          <w:color w:val="auto"/>
          <w:kern w:val="0"/>
          <w:sz w:val="24"/>
          <w:szCs w:val="24"/>
          <w:u w:val="none"/>
          <w:lang w:val="en-US" w:eastAsia="zh-CN" w:bidi="ar"/>
        </w:rPr>
        <w:t>签订</w:t>
      </w:r>
      <w:r>
        <w:rPr>
          <w:rFonts w:hint="eastAsia" w:ascii="宋体" w:hAnsi="宋体" w:eastAsia="宋体" w:cs="宋体"/>
          <w:color w:val="auto"/>
          <w:kern w:val="0"/>
          <w:sz w:val="24"/>
          <w:szCs w:val="24"/>
          <w:u w:val="none"/>
          <w:lang w:val="en-US" w:eastAsia="zh-CN" w:bidi="ar"/>
        </w:rPr>
        <w:t>后</w:t>
      </w:r>
      <w:r>
        <w:rPr>
          <w:rFonts w:hint="eastAsia" w:ascii="宋体" w:hAnsi="宋体" w:eastAsia="宋体" w:cs="宋体"/>
          <w:color w:val="auto"/>
          <w:kern w:val="0"/>
          <w:sz w:val="24"/>
          <w:szCs w:val="24"/>
          <w:u w:val="single"/>
          <w:lang w:val="en-US" w:eastAsia="zh-CN" w:bidi="ar"/>
        </w:rPr>
        <w:t>1</w:t>
      </w:r>
      <w:r>
        <w:rPr>
          <w:rFonts w:hint="eastAsia" w:ascii="宋体" w:hAnsi="宋体" w:eastAsia="宋体" w:cs="宋体"/>
          <w:color w:val="auto"/>
          <w:kern w:val="0"/>
          <w:sz w:val="24"/>
          <w:szCs w:val="24"/>
          <w:u w:val="none"/>
          <w:lang w:val="en-US" w:eastAsia="zh-CN" w:bidi="ar"/>
        </w:rPr>
        <w:t>个月。</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3.2</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作为交易标的物的产品，如在交付地置于买方(或买方所指定的其他人)控制之下，产品即交付完毕。产品的毁损、灭失风险及所有权于产品交付时即转移给买方。</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3.3</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由于买方或者买方所指定/委托的其他方的原因，产品无法按时交付，则视为产品已经交付完毕，其风险也随之转移给买方，买方应向卖方支付由此产生的产品仓储等</w:t>
      </w:r>
      <w:r>
        <w:rPr>
          <w:rFonts w:hint="eastAsia" w:ascii="宋体" w:hAnsi="宋体" w:cs="宋体"/>
          <w:color w:val="auto"/>
          <w:kern w:val="0"/>
          <w:sz w:val="24"/>
          <w:szCs w:val="24"/>
          <w:lang w:val="en-US" w:eastAsia="zh-CN" w:bidi="ar"/>
        </w:rPr>
        <w:t>费用。</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3.4、如果产品延迟交付，买方有权要求赔偿，赔偿金额为每延迟一天为迟交产品价款的</w:t>
      </w:r>
      <w:r>
        <w:rPr>
          <w:rFonts w:hint="eastAsia" w:ascii="宋体" w:hAnsi="宋体" w:eastAsia="宋体" w:cs="宋体"/>
          <w:color w:val="auto"/>
          <w:kern w:val="0"/>
          <w:sz w:val="24"/>
          <w:szCs w:val="24"/>
          <w:u w:val="single"/>
          <w:lang w:val="en-US" w:eastAsia="zh-CN" w:bidi="ar"/>
        </w:rPr>
        <w:t>0.05</w:t>
      </w:r>
      <w:r>
        <w:rPr>
          <w:rFonts w:hint="eastAsia" w:ascii="宋体" w:hAnsi="宋体" w:eastAsia="宋体" w:cs="宋体"/>
          <w:color w:val="auto"/>
          <w:kern w:val="0"/>
          <w:sz w:val="24"/>
          <w:szCs w:val="24"/>
          <w:lang w:val="en-US" w:eastAsia="zh-CN" w:bidi="ar"/>
        </w:rPr>
        <w:t>%，最多为迟交产品价款的</w:t>
      </w:r>
      <w:r>
        <w:rPr>
          <w:rFonts w:hint="eastAsia" w:ascii="宋体" w:hAnsi="宋体" w:eastAsia="宋体" w:cs="宋体"/>
          <w:color w:val="auto"/>
          <w:kern w:val="0"/>
          <w:sz w:val="24"/>
          <w:szCs w:val="24"/>
          <w:u w:val="single"/>
          <w:lang w:val="en-US" w:eastAsia="zh-CN" w:bidi="ar"/>
        </w:rPr>
        <w:t>5</w:t>
      </w:r>
      <w:r>
        <w:rPr>
          <w:rFonts w:hint="eastAsia" w:ascii="宋体" w:hAnsi="宋体" w:eastAsia="宋体" w:cs="宋体"/>
          <w:color w:val="auto"/>
          <w:kern w:val="0"/>
          <w:sz w:val="24"/>
          <w:szCs w:val="24"/>
          <w:lang w:val="en-US" w:eastAsia="zh-CN" w:bidi="ar"/>
        </w:rPr>
        <w:t>%。如产品延迟交付超过</w:t>
      </w:r>
      <w:r>
        <w:rPr>
          <w:rFonts w:hint="eastAsia" w:ascii="宋体" w:hAnsi="宋体" w:eastAsia="宋体" w:cs="宋体"/>
          <w:color w:val="auto"/>
          <w:kern w:val="0"/>
          <w:sz w:val="24"/>
          <w:szCs w:val="24"/>
          <w:u w:val="single"/>
          <w:lang w:val="en-US" w:eastAsia="zh-CN" w:bidi="ar"/>
        </w:rPr>
        <w:t>60</w:t>
      </w:r>
      <w:r>
        <w:rPr>
          <w:rFonts w:hint="eastAsia" w:ascii="宋体" w:hAnsi="宋体" w:eastAsia="宋体" w:cs="宋体"/>
          <w:color w:val="auto"/>
          <w:kern w:val="0"/>
          <w:sz w:val="24"/>
          <w:szCs w:val="24"/>
          <w:lang w:val="en-US" w:eastAsia="zh-CN" w:bidi="ar"/>
        </w:rPr>
        <w:t>天，买方可以通知卖方解除合同。</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3.5、货物送至</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u w:val="single"/>
          <w:lang w:val="en-US" w:eastAsia="zh-CN" w:bidi="ar"/>
        </w:rPr>
        <w:t>根据买方实际要求地址送货</w:t>
      </w:r>
      <w:r>
        <w:rPr>
          <w:rFonts w:hint="eastAsia" w:ascii="宋体" w:hAnsi="宋体" w:eastAsia="宋体" w:cs="宋体"/>
          <w:color w:val="auto"/>
          <w:kern w:val="0"/>
          <w:sz w:val="24"/>
          <w:szCs w:val="24"/>
          <w:lang w:val="en-US" w:eastAsia="zh-CN" w:bidi="ar"/>
        </w:rPr>
        <w:t>。安装负责方</w:t>
      </w:r>
      <w:r>
        <w:rPr>
          <w:rFonts w:hint="eastAsia" w:ascii="宋体" w:hAnsi="宋体" w:cs="宋体"/>
          <w:color w:val="auto"/>
          <w:kern w:val="0"/>
          <w:sz w:val="24"/>
          <w:szCs w:val="24"/>
          <w:lang w:val="en-US" w:eastAsia="zh-CN" w:bidi="ar"/>
        </w:rPr>
        <w:t>：</w:t>
      </w:r>
      <w:r>
        <w:rPr>
          <w:rFonts w:hint="eastAsia" w:ascii="宋体" w:hAnsi="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3.6、产品交付后，买方应对产品的数量、规格及表面状况进行检验，并在产品交付后</w:t>
      </w:r>
      <w:r>
        <w:rPr>
          <w:rFonts w:hint="eastAsia" w:ascii="宋体" w:hAnsi="宋体" w:eastAsia="宋体" w:cs="宋体"/>
          <w:color w:val="auto"/>
          <w:kern w:val="0"/>
          <w:sz w:val="24"/>
          <w:szCs w:val="24"/>
          <w:u w:val="single"/>
          <w:lang w:val="en-US" w:eastAsia="zh-CN" w:bidi="ar"/>
        </w:rPr>
        <w:t>三个工作日</w:t>
      </w:r>
      <w:r>
        <w:rPr>
          <w:rFonts w:hint="eastAsia" w:ascii="宋体" w:hAnsi="宋体" w:eastAsia="宋体" w:cs="宋体"/>
          <w:color w:val="auto"/>
          <w:kern w:val="0"/>
          <w:sz w:val="24"/>
          <w:szCs w:val="24"/>
          <w:lang w:val="en-US" w:eastAsia="zh-CN" w:bidi="ar"/>
        </w:rPr>
        <w:t>内通知卖方任何不符情况。若在上述期限内买方未通知卖方，则视为所交付产品的数量、规格及表面状况均符合双方约定。</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3.7、如产品需要测试验收，买方应在产品交付后一周内安排测试及验收</w:t>
      </w:r>
      <w:r>
        <w:rPr>
          <w:rFonts w:hint="eastAsia" w:ascii="宋体" w:hAnsi="宋体" w:cs="宋体"/>
          <w:color w:val="auto"/>
          <w:kern w:val="0"/>
          <w:sz w:val="24"/>
          <w:szCs w:val="24"/>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4、产品保证</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4.1、</w:t>
      </w:r>
      <w:r>
        <w:rPr>
          <w:rFonts w:hint="eastAsia" w:ascii="宋体" w:hAnsi="宋体" w:cs="宋体"/>
          <w:color w:val="auto"/>
          <w:lang w:eastAsia="zh-CN"/>
        </w:rPr>
        <w:t>卖</w:t>
      </w:r>
      <w:r>
        <w:rPr>
          <w:rFonts w:hint="eastAsia" w:ascii="宋体" w:hAnsi="宋体" w:eastAsia="宋体" w:cs="宋体"/>
          <w:color w:val="auto"/>
        </w:rPr>
        <w:t>方保证所提供的产品质量符合其发布的技术规格或双方另行书面约定的标准。产品质保期自验收</w:t>
      </w:r>
      <w:r>
        <w:rPr>
          <w:rFonts w:hint="eastAsia" w:ascii="宋体" w:hAnsi="宋体" w:cs="宋体"/>
          <w:color w:val="auto"/>
          <w:lang w:eastAsia="zh-CN"/>
        </w:rPr>
        <w:t>合格</w:t>
      </w:r>
      <w:r>
        <w:rPr>
          <w:rFonts w:hint="eastAsia" w:ascii="宋体" w:hAnsi="宋体" w:eastAsia="宋体" w:cs="宋体"/>
          <w:color w:val="auto"/>
        </w:rPr>
        <w:t>之日起</w:t>
      </w:r>
      <w:r>
        <w:rPr>
          <w:rFonts w:hint="eastAsia" w:ascii="宋体" w:hAnsi="宋体" w:eastAsia="宋体" w:cs="宋体"/>
          <w:color w:val="auto"/>
          <w:u w:val="single"/>
        </w:rPr>
        <w:t>1</w:t>
      </w:r>
      <w:r>
        <w:rPr>
          <w:rFonts w:hint="eastAsia" w:ascii="宋体" w:hAnsi="宋体" w:eastAsia="宋体" w:cs="宋体"/>
          <w:color w:val="auto"/>
        </w:rPr>
        <w:t>年。质保期内所有设备故障及需更换配件均为免费(易耗品除外)</w:t>
      </w:r>
      <w:r>
        <w:rPr>
          <w:rFonts w:hint="eastAsia" w:ascii="宋体" w:hAnsi="宋体" w:cs="宋体"/>
          <w:color w:val="auto"/>
          <w:lang w:eastAsia="zh-CN"/>
        </w:rPr>
        <w:t>；</w:t>
      </w:r>
      <w:r>
        <w:rPr>
          <w:rFonts w:hint="eastAsia" w:ascii="宋体" w:hAnsi="宋体" w:eastAsia="宋体" w:cs="宋体"/>
          <w:color w:val="auto"/>
        </w:rPr>
        <w:t>质保期外所有设备免费保修</w:t>
      </w:r>
      <w:r>
        <w:rPr>
          <w:rFonts w:hint="eastAsia" w:ascii="宋体" w:hAnsi="宋体" w:cs="宋体"/>
          <w:color w:val="auto"/>
          <w:lang w:eastAsia="zh-CN"/>
        </w:rPr>
        <w:t>（</w:t>
      </w:r>
      <w:r>
        <w:rPr>
          <w:rFonts w:hint="eastAsia" w:ascii="宋体" w:hAnsi="宋体" w:eastAsia="宋体" w:cs="宋体"/>
          <w:color w:val="auto"/>
        </w:rPr>
        <w:t>只收取材料费</w:t>
      </w:r>
      <w:r>
        <w:rPr>
          <w:rFonts w:hint="eastAsia" w:ascii="宋体" w:hAnsi="宋体" w:cs="宋体"/>
          <w:color w:val="auto"/>
          <w:lang w:eastAsia="zh-CN"/>
        </w:rPr>
        <w:t>）。卖</w:t>
      </w:r>
      <w:r>
        <w:rPr>
          <w:rFonts w:hint="eastAsia" w:ascii="宋体" w:hAnsi="宋体" w:eastAsia="宋体" w:cs="宋体"/>
          <w:color w:val="auto"/>
        </w:rPr>
        <w:t>方保证所</w:t>
      </w:r>
      <w:r>
        <w:rPr>
          <w:rFonts w:hint="eastAsia" w:ascii="宋体" w:hAnsi="宋体" w:cs="宋体"/>
          <w:color w:val="auto"/>
          <w:lang w:eastAsia="zh-CN"/>
        </w:rPr>
        <w:t>投</w:t>
      </w:r>
      <w:r>
        <w:rPr>
          <w:rFonts w:hint="eastAsia" w:ascii="宋体" w:hAnsi="宋体" w:eastAsia="宋体" w:cs="宋体"/>
          <w:color w:val="auto"/>
        </w:rPr>
        <w:t>所有设备均为原厂全新合格正品。</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4.2、故障响应时间和修复计划安排</w:t>
      </w:r>
      <w:r>
        <w:rPr>
          <w:rFonts w:hint="eastAsia" w:ascii="宋体" w:hAnsi="宋体" w:cs="宋体"/>
          <w:color w:val="auto"/>
          <w:lang w:eastAsia="zh-CN"/>
        </w:rPr>
        <w:t>：</w:t>
      </w:r>
      <w:r>
        <w:rPr>
          <w:rFonts w:hint="eastAsia" w:ascii="宋体" w:hAnsi="宋体" w:eastAsia="宋体" w:cs="宋体"/>
          <w:color w:val="auto"/>
        </w:rPr>
        <w:t>所投货物非人为损坏出现问题，接到正式通知后2小时内响应，12小时内到达现场进行检修，解决问题时间不超过1小时</w:t>
      </w:r>
      <w:r>
        <w:rPr>
          <w:rFonts w:hint="eastAsia" w:ascii="宋体" w:hAnsi="宋体" w:cs="宋体"/>
          <w:color w:val="auto"/>
          <w:lang w:eastAsia="zh-CN"/>
        </w:rPr>
        <w:t>（</w:t>
      </w:r>
      <w:r>
        <w:rPr>
          <w:rFonts w:hint="eastAsia" w:ascii="宋体" w:hAnsi="宋体" w:eastAsia="宋体" w:cs="宋体"/>
          <w:color w:val="auto"/>
        </w:rPr>
        <w:t>进口仪器2小时内响应，解决问题时间不超过24小时</w:t>
      </w:r>
      <w:r>
        <w:rPr>
          <w:rFonts w:hint="eastAsia" w:ascii="宋体" w:hAnsi="宋体" w:cs="宋体"/>
          <w:color w:val="auto"/>
          <w:lang w:eastAsia="zh-CN"/>
        </w:rPr>
        <w:t>）</w:t>
      </w:r>
      <w:r>
        <w:rPr>
          <w:rFonts w:hint="eastAsia" w:ascii="宋体" w:hAnsi="宋体" w:eastAsia="宋体" w:cs="宋体"/>
          <w:color w:val="auto"/>
        </w:rPr>
        <w:t>。若不能在上述承诺的时间内解决问题，则在3个工作日内供与原问题机器同品牌规格型号的全新仪器备机服务，直到原设备修复，期间产生的所有费用均由</w:t>
      </w:r>
      <w:r>
        <w:rPr>
          <w:rFonts w:hint="eastAsia" w:ascii="宋体" w:hAnsi="宋体" w:cs="宋体"/>
          <w:color w:val="auto"/>
          <w:lang w:eastAsia="zh-CN"/>
        </w:rPr>
        <w:t>卖方</w:t>
      </w:r>
      <w:r>
        <w:rPr>
          <w:rFonts w:hint="eastAsia" w:ascii="宋体" w:hAnsi="宋体" w:eastAsia="宋体" w:cs="宋体"/>
          <w:color w:val="auto"/>
        </w:rPr>
        <w:t>承担。原设备修复后的质保期限相应延长至新的保修期截止日，全新备机在使用期间的质保及售后均按上述承诺执行。</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cs="宋体"/>
          <w:color w:val="auto"/>
          <w:lang w:eastAsia="zh-CN"/>
        </w:rPr>
      </w:pPr>
      <w:r>
        <w:rPr>
          <w:rFonts w:hint="eastAsia" w:ascii="宋体" w:hAnsi="宋体" w:eastAsia="宋体" w:cs="宋体"/>
          <w:color w:val="auto"/>
        </w:rPr>
        <w:t>4.3</w:t>
      </w:r>
      <w:r>
        <w:rPr>
          <w:rFonts w:hint="eastAsia" w:ascii="宋体" w:hAnsi="宋体" w:cs="宋体"/>
          <w:color w:val="auto"/>
          <w:lang w:eastAsia="zh-CN"/>
        </w:rPr>
        <w:t>、卖</w:t>
      </w:r>
      <w:r>
        <w:rPr>
          <w:rFonts w:hint="eastAsia" w:ascii="宋体" w:hAnsi="宋体" w:eastAsia="宋体" w:cs="宋体"/>
          <w:color w:val="auto"/>
        </w:rPr>
        <w:t>方负责免费培训买方设备技术操作人员，直至具</w:t>
      </w:r>
      <w:r>
        <w:rPr>
          <w:rFonts w:hint="eastAsia" w:ascii="宋体" w:hAnsi="宋体" w:cs="宋体"/>
          <w:color w:val="auto"/>
          <w:lang w:eastAsia="zh-CN"/>
        </w:rPr>
        <w:t>备</w:t>
      </w:r>
      <w:r>
        <w:rPr>
          <w:rFonts w:hint="eastAsia" w:ascii="宋体" w:hAnsi="宋体" w:eastAsia="宋体" w:cs="宋体"/>
          <w:color w:val="auto"/>
        </w:rPr>
        <w:t>独立熟练使用设备为完成</w:t>
      </w:r>
      <w:r>
        <w:rPr>
          <w:rFonts w:hint="eastAsia" w:ascii="宋体" w:hAnsi="宋体" w:cs="宋体"/>
          <w:color w:val="auto"/>
          <w:lang w:eastAsia="zh-CN"/>
        </w:rPr>
        <w:t>。</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4.4</w:t>
      </w:r>
      <w:r>
        <w:rPr>
          <w:rFonts w:hint="eastAsia" w:ascii="宋体" w:hAnsi="宋体" w:cs="宋体"/>
          <w:color w:val="auto"/>
          <w:lang w:eastAsia="zh-CN"/>
        </w:rPr>
        <w:t>、卖方</w:t>
      </w:r>
      <w:r>
        <w:rPr>
          <w:rFonts w:hint="eastAsia" w:ascii="宋体" w:hAnsi="宋体" w:eastAsia="宋体" w:cs="宋体"/>
          <w:color w:val="auto"/>
        </w:rPr>
        <w:t>对于</w:t>
      </w:r>
      <w:r>
        <w:rPr>
          <w:rFonts w:hint="eastAsia" w:ascii="宋体" w:hAnsi="宋体" w:cs="宋体"/>
          <w:color w:val="auto"/>
          <w:lang w:eastAsia="zh-CN"/>
        </w:rPr>
        <w:t>下述原因引起的问题不承担质量保证责任：（</w:t>
      </w:r>
      <w:r>
        <w:rPr>
          <w:rFonts w:hint="eastAsia" w:ascii="宋体" w:hAnsi="宋体" w:cs="宋体"/>
          <w:color w:val="auto"/>
          <w:lang w:val="en-US" w:eastAsia="zh-CN"/>
        </w:rPr>
        <w:t>1</w:t>
      </w:r>
      <w:r>
        <w:rPr>
          <w:rFonts w:hint="eastAsia" w:ascii="宋体" w:hAnsi="宋体" w:cs="宋体"/>
          <w:color w:val="auto"/>
          <w:lang w:eastAsia="zh-CN"/>
        </w:rPr>
        <w:t>）正常损耗；（</w:t>
      </w:r>
      <w:r>
        <w:rPr>
          <w:rFonts w:hint="eastAsia" w:ascii="宋体" w:hAnsi="宋体" w:cs="宋体"/>
          <w:color w:val="auto"/>
          <w:lang w:val="en-US" w:eastAsia="zh-CN"/>
        </w:rPr>
        <w:t>2</w:t>
      </w:r>
      <w:r>
        <w:rPr>
          <w:rFonts w:hint="eastAsia" w:ascii="宋体" w:hAnsi="宋体" w:cs="宋体"/>
          <w:color w:val="auto"/>
          <w:lang w:eastAsia="zh-CN"/>
        </w:rPr>
        <w:t>）意外事件、自然灾害</w:t>
      </w:r>
      <w:r>
        <w:rPr>
          <w:rFonts w:hint="eastAsia" w:ascii="宋体" w:hAnsi="宋体" w:eastAsia="宋体" w:cs="宋体"/>
          <w:color w:val="auto"/>
        </w:rPr>
        <w:t>或不可抗力事件</w:t>
      </w: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w:t>
      </w:r>
      <w:r>
        <w:rPr>
          <w:rFonts w:hint="eastAsia" w:ascii="宋体" w:hAnsi="宋体" w:eastAsia="宋体" w:cs="宋体"/>
          <w:color w:val="auto"/>
        </w:rPr>
        <w:t>买方的</w:t>
      </w:r>
      <w:r>
        <w:rPr>
          <w:rFonts w:hint="eastAsia" w:ascii="宋体" w:hAnsi="宋体" w:cs="宋体"/>
          <w:color w:val="auto"/>
          <w:lang w:eastAsia="zh-CN"/>
        </w:rPr>
        <w:t>错误</w:t>
      </w:r>
      <w:r>
        <w:rPr>
          <w:rFonts w:hint="eastAsia" w:ascii="宋体" w:hAnsi="宋体" w:eastAsia="宋体" w:cs="宋体"/>
          <w:color w:val="auto"/>
        </w:rPr>
        <w:t>使用、</w:t>
      </w:r>
      <w:r>
        <w:rPr>
          <w:rFonts w:hint="eastAsia" w:ascii="宋体" w:hAnsi="宋体" w:cs="宋体"/>
          <w:color w:val="auto"/>
          <w:lang w:eastAsia="zh-CN"/>
        </w:rPr>
        <w:t>过失或疏忽；（</w:t>
      </w:r>
      <w:r>
        <w:rPr>
          <w:rFonts w:hint="eastAsia" w:ascii="宋体" w:hAnsi="宋体" w:cs="宋体"/>
          <w:color w:val="auto"/>
          <w:lang w:val="en-US" w:eastAsia="zh-CN"/>
        </w:rPr>
        <w:t>4</w:t>
      </w:r>
      <w:r>
        <w:rPr>
          <w:rFonts w:hint="eastAsia" w:ascii="宋体" w:hAnsi="宋体" w:cs="宋体"/>
          <w:color w:val="auto"/>
          <w:lang w:eastAsia="zh-CN"/>
        </w:rPr>
        <w:t>）</w:t>
      </w:r>
      <w:r>
        <w:rPr>
          <w:rFonts w:hint="eastAsia" w:ascii="宋体" w:hAnsi="宋体" w:eastAsia="宋体" w:cs="宋体"/>
          <w:color w:val="auto"/>
        </w:rPr>
        <w:t>使用产品超出设计范围</w:t>
      </w:r>
      <w:r>
        <w:rPr>
          <w:rFonts w:hint="eastAsia" w:ascii="宋体" w:hAnsi="宋体" w:cs="宋体"/>
          <w:color w:val="auto"/>
          <w:lang w:eastAsia="zh-CN"/>
        </w:rPr>
        <w:t>；（</w:t>
      </w:r>
      <w:r>
        <w:rPr>
          <w:rFonts w:hint="eastAsia" w:ascii="宋体" w:hAnsi="宋体" w:cs="宋体"/>
          <w:color w:val="auto"/>
          <w:lang w:val="en-US" w:eastAsia="zh-CN"/>
        </w:rPr>
        <w:t>5</w:t>
      </w:r>
      <w:r>
        <w:rPr>
          <w:rFonts w:hint="eastAsia" w:ascii="宋体" w:hAnsi="宋体" w:cs="宋体"/>
          <w:color w:val="auto"/>
          <w:lang w:eastAsia="zh-CN"/>
        </w:rPr>
        <w:t>）</w:t>
      </w:r>
      <w:r>
        <w:rPr>
          <w:rFonts w:hint="eastAsia" w:ascii="宋体" w:hAnsi="宋体" w:eastAsia="宋体" w:cs="宋体"/>
          <w:color w:val="auto"/>
        </w:rPr>
        <w:t>产品以外的原因，例如不限于断电或电涌</w:t>
      </w:r>
      <w:r>
        <w:rPr>
          <w:rFonts w:hint="eastAsia" w:ascii="宋体" w:hAnsi="宋体" w:cs="宋体"/>
          <w:color w:val="auto"/>
          <w:lang w:eastAsia="zh-CN"/>
        </w:rPr>
        <w:t>；（</w:t>
      </w:r>
      <w:r>
        <w:rPr>
          <w:rFonts w:hint="eastAsia" w:ascii="宋体" w:hAnsi="宋体" w:cs="宋体"/>
          <w:color w:val="auto"/>
          <w:lang w:val="en-US" w:eastAsia="zh-CN"/>
        </w:rPr>
        <w:t>6</w:t>
      </w:r>
      <w:r>
        <w:rPr>
          <w:rFonts w:hint="eastAsia" w:ascii="宋体" w:hAnsi="宋体" w:cs="宋体"/>
          <w:color w:val="auto"/>
          <w:lang w:eastAsia="zh-CN"/>
        </w:rPr>
        <w:t>）</w:t>
      </w:r>
      <w:r>
        <w:rPr>
          <w:rFonts w:hint="eastAsia" w:ascii="宋体" w:hAnsi="宋体" w:eastAsia="宋体" w:cs="宋体"/>
          <w:color w:val="auto"/>
        </w:rPr>
        <w:t>产品储存不当</w:t>
      </w:r>
      <w:r>
        <w:rPr>
          <w:rFonts w:hint="eastAsia" w:ascii="宋体" w:hAnsi="宋体" w:cs="宋体"/>
          <w:color w:val="auto"/>
          <w:lang w:eastAsia="zh-CN"/>
        </w:rPr>
        <w:t>；（</w:t>
      </w:r>
      <w:r>
        <w:rPr>
          <w:rFonts w:hint="eastAsia" w:ascii="宋体" w:hAnsi="宋体" w:cs="宋体"/>
          <w:color w:val="auto"/>
          <w:lang w:val="en-US" w:eastAsia="zh-CN"/>
        </w:rPr>
        <w:t>7</w:t>
      </w:r>
      <w:r>
        <w:rPr>
          <w:rFonts w:hint="eastAsia" w:ascii="宋体" w:hAnsi="宋体" w:cs="宋体"/>
          <w:color w:val="auto"/>
          <w:lang w:eastAsia="zh-CN"/>
        </w:rPr>
        <w:t>）</w:t>
      </w:r>
      <w:r>
        <w:rPr>
          <w:rFonts w:hint="eastAsia" w:ascii="宋体" w:hAnsi="宋体" w:eastAsia="宋体" w:cs="宋体"/>
          <w:color w:val="auto"/>
        </w:rPr>
        <w:t>将产品与非卖方提供的设备或软件一同使用。</w:t>
      </w:r>
    </w:p>
    <w:p>
      <w:pPr>
        <w:keepNext w:val="0"/>
        <w:keepLines w:val="0"/>
        <w:pageBreakBefore w:val="0"/>
        <w:widowControl/>
        <w:suppressLineNumbers w:val="0"/>
        <w:kinsoku/>
        <w:wordWrap w:val="0"/>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5、</w:t>
      </w:r>
      <w:r>
        <w:rPr>
          <w:rFonts w:hint="eastAsia" w:ascii="宋体" w:hAnsi="宋体" w:cs="宋体"/>
          <w:b/>
          <w:bCs/>
          <w:color w:val="auto"/>
          <w:kern w:val="0"/>
          <w:sz w:val="24"/>
          <w:szCs w:val="24"/>
          <w:lang w:val="en-US" w:eastAsia="zh-CN" w:bidi="ar"/>
        </w:rPr>
        <w:t>知识产权</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5.1、“</w:t>
      </w:r>
      <w:r>
        <w:rPr>
          <w:rFonts w:hint="eastAsia" w:ascii="宋体" w:hAnsi="宋体" w:cs="宋体"/>
          <w:color w:val="auto"/>
          <w:lang w:eastAsia="zh-CN"/>
        </w:rPr>
        <w:t>知识产权</w:t>
      </w:r>
      <w:r>
        <w:rPr>
          <w:rFonts w:hint="eastAsia" w:ascii="宋体" w:hAnsi="宋体" w:eastAsia="宋体" w:cs="宋体"/>
          <w:color w:val="auto"/>
        </w:rPr>
        <w:t>”在</w:t>
      </w:r>
      <w:r>
        <w:rPr>
          <w:rFonts w:hint="eastAsia" w:ascii="宋体" w:hAnsi="宋体" w:cs="宋体"/>
          <w:color w:val="auto"/>
          <w:lang w:eastAsia="zh-CN"/>
        </w:rPr>
        <w:t>此</w:t>
      </w:r>
      <w:r>
        <w:rPr>
          <w:rFonts w:hint="eastAsia" w:ascii="宋体" w:hAnsi="宋体" w:eastAsia="宋体" w:cs="宋体"/>
          <w:color w:val="auto"/>
        </w:rPr>
        <w:t>包括产品所必需的或者用于产品的所有专利、</w:t>
      </w:r>
      <w:r>
        <w:rPr>
          <w:rFonts w:hint="eastAsia" w:ascii="宋体" w:hAnsi="宋体" w:cs="宋体"/>
          <w:color w:val="auto"/>
          <w:lang w:eastAsia="zh-CN"/>
        </w:rPr>
        <w:t>商标</w:t>
      </w:r>
      <w:r>
        <w:rPr>
          <w:rFonts w:hint="eastAsia" w:ascii="宋体" w:hAnsi="宋体" w:eastAsia="宋体" w:cs="宋体"/>
          <w:color w:val="auto"/>
        </w:rPr>
        <w:t>、著作权、软件</w:t>
      </w:r>
      <w:r>
        <w:rPr>
          <w:rFonts w:hint="eastAsia" w:ascii="宋体" w:hAnsi="宋体" w:cs="宋体"/>
          <w:color w:val="auto"/>
          <w:lang w:eastAsia="zh-CN"/>
        </w:rPr>
        <w:t>（</w:t>
      </w:r>
      <w:r>
        <w:rPr>
          <w:rFonts w:hint="eastAsia" w:ascii="宋体" w:hAnsi="宋体" w:eastAsia="宋体" w:cs="宋体"/>
          <w:color w:val="auto"/>
        </w:rPr>
        <w:t>包括源代码及目标代码</w:t>
      </w:r>
      <w:r>
        <w:rPr>
          <w:rFonts w:hint="eastAsia" w:ascii="宋体" w:hAnsi="宋体" w:cs="宋体"/>
          <w:color w:val="auto"/>
          <w:lang w:eastAsia="zh-CN"/>
        </w:rPr>
        <w:t>）</w:t>
      </w:r>
      <w:r>
        <w:rPr>
          <w:rFonts w:hint="eastAsia" w:ascii="宋体" w:hAnsi="宋体" w:eastAsia="宋体" w:cs="宋体"/>
          <w:color w:val="auto"/>
        </w:rPr>
        <w:t>、域名、商业秘密、专有技术以及其他类型的知识产权。</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5.2、知识产权仍属卖方所有。卖方在此免费许可买方为正常使用产品的目的而使用该等知识产权。</w:t>
      </w:r>
    </w:p>
    <w:p>
      <w:pPr>
        <w:keepNext w:val="0"/>
        <w:keepLines w:val="0"/>
        <w:pageBreakBefore w:val="0"/>
        <w:widowControl/>
        <w:suppressLineNumbers w:val="0"/>
        <w:kinsoku/>
        <w:wordWrap w:val="0"/>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6、延迟</w:t>
      </w:r>
      <w:r>
        <w:rPr>
          <w:rFonts w:hint="eastAsia" w:ascii="宋体" w:hAnsi="宋体" w:cs="宋体"/>
          <w:b/>
          <w:bCs/>
          <w:color w:val="auto"/>
          <w:kern w:val="0"/>
          <w:sz w:val="24"/>
          <w:szCs w:val="24"/>
          <w:lang w:val="en-US" w:eastAsia="zh-CN" w:bidi="ar"/>
        </w:rPr>
        <w:t>、</w:t>
      </w:r>
      <w:r>
        <w:rPr>
          <w:rFonts w:hint="eastAsia" w:ascii="宋体" w:hAnsi="宋体" w:eastAsia="宋体" w:cs="宋体"/>
          <w:b/>
          <w:bCs/>
          <w:color w:val="auto"/>
          <w:kern w:val="0"/>
          <w:sz w:val="24"/>
          <w:szCs w:val="24"/>
          <w:lang w:val="en-US" w:eastAsia="zh-CN" w:bidi="ar"/>
        </w:rPr>
        <w:t>中止或解除合同</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6.1、如买方要求卖方延迟或者中止履行合同，需取得卖方书面同意。</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lang w:eastAsia="zh-CN"/>
        </w:rPr>
      </w:pPr>
      <w:r>
        <w:rPr>
          <w:rFonts w:hint="eastAsia" w:ascii="宋体" w:hAnsi="宋体" w:eastAsia="宋体" w:cs="宋体"/>
          <w:color w:val="auto"/>
        </w:rPr>
        <w:t>6.2、除法律另有规定外，</w:t>
      </w:r>
      <w:r>
        <w:rPr>
          <w:rFonts w:hint="eastAsia" w:ascii="宋体" w:hAnsi="宋体" w:cs="宋体"/>
          <w:color w:val="auto"/>
          <w:lang w:eastAsia="zh-CN"/>
        </w:rPr>
        <w:t>买卖</w:t>
      </w:r>
      <w:r>
        <w:rPr>
          <w:rFonts w:hint="eastAsia" w:ascii="宋体" w:hAnsi="宋体" w:eastAsia="宋体" w:cs="宋体"/>
          <w:color w:val="auto"/>
        </w:rPr>
        <w:t>双方在合同项下违约向对方承担的责任限于合同的总价款。买卖双方均不承担对方的间接损失</w:t>
      </w:r>
      <w:r>
        <w:rPr>
          <w:rFonts w:hint="eastAsia" w:ascii="宋体" w:hAnsi="宋体" w:cs="宋体"/>
          <w:color w:val="auto"/>
          <w:lang w:eastAsia="zh-CN"/>
        </w:rPr>
        <w:t>（</w:t>
      </w:r>
      <w:r>
        <w:rPr>
          <w:rFonts w:hint="eastAsia" w:ascii="宋体" w:hAnsi="宋体" w:eastAsia="宋体" w:cs="宋体"/>
          <w:color w:val="auto"/>
        </w:rPr>
        <w:t>如收入或利润损失、商誉损失、数据损失</w:t>
      </w:r>
      <w:r>
        <w:rPr>
          <w:rFonts w:hint="eastAsia" w:ascii="宋体" w:hAnsi="宋体" w:cs="宋体"/>
          <w:color w:val="auto"/>
          <w:lang w:eastAsia="zh-CN"/>
        </w:rPr>
        <w:t>等）</w:t>
      </w:r>
    </w:p>
    <w:p>
      <w:pPr>
        <w:keepNext w:val="0"/>
        <w:keepLines w:val="0"/>
        <w:pageBreakBefore w:val="0"/>
        <w:widowControl/>
        <w:suppressLineNumbers w:val="0"/>
        <w:kinsoku/>
        <w:wordWrap w:val="0"/>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7、适用法律和争议解决</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7.1、合同应适用中华人民共和国法律。</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7.2、解决合同纠纷的方式</w:t>
      </w:r>
      <w:r>
        <w:rPr>
          <w:rFonts w:hint="eastAsia" w:ascii="宋体" w:hAnsi="宋体" w:cs="宋体"/>
          <w:color w:val="auto"/>
          <w:lang w:eastAsia="zh-CN"/>
        </w:rPr>
        <w:t>：</w:t>
      </w:r>
      <w:r>
        <w:rPr>
          <w:rFonts w:hint="eastAsia" w:ascii="宋体" w:hAnsi="宋体" w:eastAsia="宋体" w:cs="宋体"/>
          <w:color w:val="auto"/>
        </w:rPr>
        <w:t>在本合同的执行过程中如发生争议时，双方协商解决</w:t>
      </w:r>
      <w:r>
        <w:rPr>
          <w:rFonts w:hint="eastAsia" w:ascii="宋体" w:hAnsi="宋体" w:cs="宋体"/>
          <w:color w:val="auto"/>
          <w:lang w:eastAsia="zh-CN"/>
        </w:rPr>
        <w:t>；</w:t>
      </w:r>
      <w:r>
        <w:rPr>
          <w:rFonts w:hint="eastAsia" w:ascii="宋体" w:hAnsi="宋体" w:eastAsia="宋体" w:cs="宋体"/>
          <w:color w:val="auto"/>
        </w:rPr>
        <w:t>若协商无法达成共识，任何一方可向合同签订所在地仲裁委员会申请仲裁或向合同签订所在地人民法院申请调解。买卖双方必须遵守执行。</w:t>
      </w:r>
    </w:p>
    <w:p>
      <w:pPr>
        <w:keepNext w:val="0"/>
        <w:keepLines w:val="0"/>
        <w:pageBreakBefore w:val="0"/>
        <w:widowControl/>
        <w:suppressLineNumbers w:val="0"/>
        <w:kinsoku/>
        <w:wordWrap w:val="0"/>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8、其它规定</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8.1、除非合同明确提及，卖方所提供的商品目录、说明书、传单、广告、价目表中包含的任何有关产品及其用途的信息，如重量、大小、容量、颜色以及其它数据仅作参考指示之用，不作为合同的条款而生效。</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8.2、</w:t>
      </w:r>
      <w:r>
        <w:rPr>
          <w:rFonts w:hint="eastAsia" w:ascii="宋体" w:hAnsi="宋体" w:cs="宋体"/>
          <w:color w:val="auto"/>
          <w:lang w:eastAsia="zh-CN"/>
        </w:rPr>
        <w:t>卖</w:t>
      </w:r>
      <w:r>
        <w:rPr>
          <w:rFonts w:hint="eastAsia" w:ascii="宋体" w:hAnsi="宋体" w:eastAsia="宋体" w:cs="宋体"/>
          <w:color w:val="auto"/>
        </w:rPr>
        <w:t>方提供给买方的所有相关资料(包括</w:t>
      </w:r>
      <w:r>
        <w:rPr>
          <w:rFonts w:hint="eastAsia" w:ascii="宋体" w:hAnsi="宋体" w:cs="宋体"/>
          <w:color w:val="auto"/>
          <w:lang w:eastAsia="zh-CN"/>
        </w:rPr>
        <w:t>但</w:t>
      </w:r>
      <w:r>
        <w:rPr>
          <w:rFonts w:hint="eastAsia" w:ascii="宋体" w:hAnsi="宋体" w:eastAsia="宋体" w:cs="宋体"/>
          <w:color w:val="auto"/>
        </w:rPr>
        <w:t>不限于所有定价、折扣及技术信息)为</w:t>
      </w:r>
      <w:r>
        <w:rPr>
          <w:rFonts w:hint="eastAsia" w:ascii="宋体" w:hAnsi="宋体" w:cs="宋体"/>
          <w:color w:val="auto"/>
          <w:lang w:eastAsia="zh-CN"/>
        </w:rPr>
        <w:t>卖</w:t>
      </w:r>
      <w:r>
        <w:rPr>
          <w:rFonts w:hint="eastAsia" w:ascii="宋体" w:hAnsi="宋体" w:eastAsia="宋体" w:cs="宋体"/>
          <w:color w:val="auto"/>
        </w:rPr>
        <w:t>方的商业秘密。买方</w:t>
      </w:r>
      <w:r>
        <w:rPr>
          <w:rFonts w:hint="eastAsia" w:ascii="宋体" w:hAnsi="宋体" w:cs="宋体"/>
          <w:color w:val="auto"/>
          <w:lang w:eastAsia="zh-CN"/>
        </w:rPr>
        <w:t>同意：（</w:t>
      </w:r>
      <w:r>
        <w:rPr>
          <w:rFonts w:hint="eastAsia" w:ascii="宋体" w:hAnsi="宋体" w:cs="宋体"/>
          <w:color w:val="auto"/>
          <w:lang w:val="en-US" w:eastAsia="zh-CN"/>
        </w:rPr>
        <w:t>a</w:t>
      </w:r>
      <w:r>
        <w:rPr>
          <w:rFonts w:hint="eastAsia" w:ascii="宋体" w:hAnsi="宋体" w:cs="宋体"/>
          <w:color w:val="auto"/>
          <w:lang w:eastAsia="zh-CN"/>
        </w:rPr>
        <w:t>）</w:t>
      </w:r>
      <w:r>
        <w:rPr>
          <w:rFonts w:hint="eastAsia" w:ascii="宋体" w:hAnsi="宋体" w:eastAsia="宋体" w:cs="宋体"/>
          <w:color w:val="auto"/>
        </w:rPr>
        <w:t>为该等信息保密不向任第三方披露</w:t>
      </w:r>
      <w:r>
        <w:rPr>
          <w:rFonts w:hint="eastAsia" w:ascii="宋体" w:hAnsi="宋体" w:cs="宋体"/>
          <w:color w:val="auto"/>
          <w:lang w:eastAsia="zh-CN"/>
        </w:rPr>
        <w:t>；（</w:t>
      </w:r>
      <w:r>
        <w:rPr>
          <w:rFonts w:hint="eastAsia" w:ascii="宋体" w:hAnsi="宋体" w:cs="宋体"/>
          <w:color w:val="auto"/>
          <w:lang w:val="en-US" w:eastAsia="zh-CN"/>
        </w:rPr>
        <w:t>b</w:t>
      </w:r>
      <w:r>
        <w:rPr>
          <w:rFonts w:hint="eastAsia" w:ascii="宋体" w:hAnsi="宋体" w:cs="宋体"/>
          <w:color w:val="auto"/>
          <w:lang w:eastAsia="zh-CN"/>
        </w:rPr>
        <w:t>）</w:t>
      </w:r>
      <w:r>
        <w:rPr>
          <w:rFonts w:hint="eastAsia" w:ascii="宋体" w:hAnsi="宋体" w:eastAsia="宋体" w:cs="宋体"/>
          <w:color w:val="auto"/>
        </w:rPr>
        <w:t>只为与产品有关的用途使用该等信息。</w:t>
      </w:r>
    </w:p>
    <w:p>
      <w:pPr>
        <w:keepNext w:val="0"/>
        <w:keepLines w:val="0"/>
        <w:pageBreakBefore w:val="0"/>
        <w:widowControl/>
        <w:suppressLineNumbers w:val="0"/>
        <w:kinsoku/>
        <w:wordWrap w:val="0"/>
        <w:overflowPunct/>
        <w:topLinePunct w:val="0"/>
        <w:autoSpaceDE/>
        <w:autoSpaceDN/>
        <w:bidi w:val="0"/>
        <w:adjustRightInd/>
        <w:snapToGrid/>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9、其定</w:t>
      </w:r>
      <w:r>
        <w:rPr>
          <w:rFonts w:hint="eastAsia" w:ascii="宋体" w:hAnsi="宋体" w:cs="宋体"/>
          <w:b/>
          <w:bCs/>
          <w:color w:val="auto"/>
          <w:kern w:val="0"/>
          <w:sz w:val="24"/>
          <w:szCs w:val="24"/>
          <w:lang w:val="en-US" w:eastAsia="zh-CN" w:bidi="ar"/>
        </w:rPr>
        <w:t>约定事项</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rPr>
        <w:t>9.1、本合同一式</w:t>
      </w:r>
      <w:r>
        <w:rPr>
          <w:rFonts w:hint="eastAsia" w:ascii="宋体" w:hAnsi="宋体" w:cs="宋体"/>
          <w:color w:val="auto"/>
          <w:u w:val="single"/>
          <w:lang w:val="en-US" w:eastAsia="zh-CN"/>
        </w:rPr>
        <w:t xml:space="preserve"> </w:t>
      </w:r>
      <w:r>
        <w:rPr>
          <w:rFonts w:hint="eastAsia" w:ascii="宋体" w:hAnsi="宋体" w:eastAsia="宋体" w:cs="宋体"/>
          <w:color w:val="auto"/>
          <w:u w:val="single"/>
        </w:rPr>
        <w:t>捌</w:t>
      </w:r>
      <w:r>
        <w:rPr>
          <w:rFonts w:hint="eastAsia" w:ascii="宋体" w:hAnsi="宋体" w:cs="宋体"/>
          <w:color w:val="auto"/>
          <w:u w:val="single"/>
          <w:lang w:val="en-US" w:eastAsia="zh-CN"/>
        </w:rPr>
        <w:t xml:space="preserve"> </w:t>
      </w:r>
      <w:r>
        <w:rPr>
          <w:rFonts w:hint="eastAsia" w:ascii="宋体" w:hAnsi="宋体" w:eastAsia="宋体" w:cs="宋体"/>
          <w:color w:val="auto"/>
        </w:rPr>
        <w:t>份，甲方执</w:t>
      </w:r>
      <w:r>
        <w:rPr>
          <w:rFonts w:hint="eastAsia" w:ascii="宋体" w:hAnsi="宋体" w:cs="宋体"/>
          <w:color w:val="auto"/>
          <w:u w:val="single"/>
          <w:lang w:val="en-US" w:eastAsia="zh-CN"/>
        </w:rPr>
        <w:t xml:space="preserve"> </w:t>
      </w:r>
      <w:r>
        <w:rPr>
          <w:rFonts w:hint="eastAsia" w:ascii="宋体" w:hAnsi="宋体" w:eastAsia="宋体" w:cs="宋体"/>
          <w:color w:val="auto"/>
          <w:u w:val="single"/>
        </w:rPr>
        <w:t>柒</w:t>
      </w:r>
      <w:r>
        <w:rPr>
          <w:rFonts w:hint="eastAsia" w:ascii="宋体" w:hAnsi="宋体" w:cs="宋体"/>
          <w:color w:val="auto"/>
          <w:u w:val="single"/>
          <w:lang w:val="en-US" w:eastAsia="zh-CN"/>
        </w:rPr>
        <w:t xml:space="preserve"> </w:t>
      </w:r>
      <w:r>
        <w:rPr>
          <w:rFonts w:hint="eastAsia" w:ascii="宋体" w:hAnsi="宋体" w:eastAsia="宋体" w:cs="宋体"/>
          <w:color w:val="auto"/>
        </w:rPr>
        <w:t>份，乙方执</w:t>
      </w:r>
      <w:r>
        <w:rPr>
          <w:rFonts w:hint="eastAsia" w:ascii="宋体" w:hAnsi="宋体" w:cs="宋体"/>
          <w:color w:val="auto"/>
          <w:u w:val="single"/>
          <w:lang w:val="en-US" w:eastAsia="zh-CN"/>
        </w:rPr>
        <w:t xml:space="preserve"> </w:t>
      </w:r>
      <w:r>
        <w:rPr>
          <w:rFonts w:hint="eastAsia" w:ascii="宋体" w:hAnsi="宋体" w:eastAsia="宋体" w:cs="宋体"/>
          <w:color w:val="auto"/>
          <w:u w:val="single"/>
        </w:rPr>
        <w:t>壹</w:t>
      </w:r>
      <w:r>
        <w:rPr>
          <w:rFonts w:hint="eastAsia" w:ascii="宋体" w:hAnsi="宋体" w:cs="宋体"/>
          <w:color w:val="auto"/>
          <w:u w:val="single"/>
          <w:lang w:val="en-US" w:eastAsia="zh-CN"/>
        </w:rPr>
        <w:t xml:space="preserve"> </w:t>
      </w:r>
      <w:r>
        <w:rPr>
          <w:rFonts w:hint="eastAsia" w:ascii="宋体" w:hAnsi="宋体" w:eastAsia="宋体" w:cs="宋体"/>
          <w:color w:val="auto"/>
        </w:rPr>
        <w:t>份，具有同等法律效力。</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lang w:eastAsia="zh-CN"/>
        </w:rPr>
      </w:pPr>
      <w:r>
        <w:rPr>
          <w:rFonts w:hint="eastAsia" w:ascii="宋体" w:hAnsi="宋体" w:eastAsia="宋体" w:cs="宋体"/>
          <w:color w:val="auto"/>
        </w:rPr>
        <w:t>9.2、本合同自甲乙双方签字盖章后即行生效</w:t>
      </w:r>
      <w:r>
        <w:rPr>
          <w:rFonts w:hint="eastAsia" w:ascii="宋体" w:hAnsi="宋体" w:cs="宋体"/>
          <w:color w:val="auto"/>
          <w:lang w:eastAsia="zh-CN"/>
        </w:rPr>
        <w:t>。</w:t>
      </w:r>
    </w:p>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宋体" w:hAnsi="宋体" w:eastAsia="宋体" w:cs="宋体"/>
          <w:color w:val="auto"/>
        </w:rPr>
      </w:pP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p>
    <w:p>
      <w:pPr>
        <w:keepNext w:val="0"/>
        <w:keepLines w:val="0"/>
        <w:pageBreakBefore w:val="0"/>
        <w:widowControl/>
        <w:suppressLineNumbers w:val="0"/>
        <w:kinsoku/>
        <w:wordWrap w:val="0"/>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line="480" w:lineRule="auto"/>
        <w:jc w:val="left"/>
        <w:textAlignment w:val="auto"/>
        <w:rPr>
          <w:rFonts w:hint="eastAsia" w:ascii="宋体" w:hAnsi="宋体" w:eastAsia="宋体" w:cs="宋体"/>
          <w:color w:val="auto"/>
        </w:rPr>
      </w:pPr>
      <w:r>
        <w:rPr>
          <w:rFonts w:hint="eastAsia" w:ascii="宋体" w:hAnsi="宋体" w:cs="宋体"/>
          <w:color w:val="auto"/>
          <w:kern w:val="0"/>
          <w:sz w:val="24"/>
          <w:szCs w:val="24"/>
          <w:lang w:val="en-US" w:eastAsia="zh-CN" w:bidi="ar"/>
        </w:rPr>
        <w:t>买方</w:t>
      </w:r>
      <w:r>
        <w:rPr>
          <w:rFonts w:hint="eastAsia" w:ascii="宋体" w:hAnsi="宋体" w:eastAsia="宋体" w:cs="宋体"/>
          <w:color w:val="auto"/>
          <w:kern w:val="0"/>
          <w:sz w:val="24"/>
          <w:szCs w:val="24"/>
          <w:lang w:val="en-US" w:eastAsia="zh-CN" w:bidi="ar"/>
        </w:rPr>
        <w:t>：（盖章）</w:t>
      </w:r>
      <w:r>
        <w:rPr>
          <w:rFonts w:hint="eastAsia" w:ascii="宋体" w:hAnsi="宋体" w:cs="宋体"/>
          <w:color w:val="auto"/>
          <w:kern w:val="0"/>
          <w:sz w:val="24"/>
          <w:szCs w:val="24"/>
          <w:lang w:val="en-US" w:eastAsia="zh-CN" w:bidi="ar"/>
        </w:rPr>
        <w:t>河南省信阳监狱</w:t>
      </w:r>
      <w:r>
        <w:rPr>
          <w:rFonts w:hint="eastAsia" w:ascii="宋体" w:hAnsi="宋体" w:eastAsia="宋体" w:cs="宋体"/>
          <w:color w:val="auto"/>
          <w:kern w:val="0"/>
          <w:sz w:val="24"/>
          <w:szCs w:val="24"/>
          <w:lang w:val="en-US" w:eastAsia="zh-CN" w:bidi="ar"/>
        </w:rPr>
        <w:t xml:space="preserve"> </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      </w:t>
      </w:r>
      <w:r>
        <w:rPr>
          <w:rFonts w:hint="eastAsia" w:ascii="宋体" w:hAnsi="宋体" w:cs="宋体"/>
          <w:color w:val="auto"/>
          <w:kern w:val="0"/>
          <w:sz w:val="24"/>
          <w:szCs w:val="24"/>
          <w:lang w:val="en-US" w:eastAsia="zh-CN" w:bidi="ar"/>
        </w:rPr>
        <w:t>卖方</w:t>
      </w:r>
      <w:r>
        <w:rPr>
          <w:rFonts w:hint="eastAsia" w:ascii="宋体" w:hAnsi="宋体" w:eastAsia="宋体" w:cs="宋体"/>
          <w:color w:val="auto"/>
          <w:kern w:val="0"/>
          <w:sz w:val="24"/>
          <w:szCs w:val="24"/>
          <w:lang w:val="en-US" w:eastAsia="zh-CN" w:bidi="ar"/>
        </w:rPr>
        <w:t>：（盖章）</w:t>
      </w:r>
    </w:p>
    <w:p>
      <w:pPr>
        <w:keepNext w:val="0"/>
        <w:keepLines w:val="0"/>
        <w:pageBreakBefore w:val="0"/>
        <w:widowControl/>
        <w:suppressLineNumbers w:val="0"/>
        <w:kinsoku/>
        <w:wordWrap w:val="0"/>
        <w:overflowPunct/>
        <w:topLinePunct w:val="0"/>
        <w:autoSpaceDE/>
        <w:autoSpaceDN/>
        <w:bidi w:val="0"/>
        <w:adjustRightInd/>
        <w:snapToGrid/>
        <w:spacing w:line="480" w:lineRule="auto"/>
        <w:jc w:val="left"/>
        <w:textAlignment w:val="auto"/>
        <w:rPr>
          <w:rFonts w:hint="eastAsia" w:ascii="宋体" w:hAnsi="宋体" w:eastAsia="宋体" w:cs="宋体"/>
          <w:color w:val="auto"/>
        </w:rPr>
      </w:pPr>
      <w:r>
        <w:rPr>
          <w:rFonts w:hint="eastAsia" w:ascii="宋体" w:hAnsi="宋体" w:cs="宋体"/>
          <w:color w:val="auto"/>
          <w:kern w:val="0"/>
          <w:sz w:val="24"/>
          <w:szCs w:val="24"/>
          <w:lang w:val="en-US" w:eastAsia="zh-CN" w:bidi="ar"/>
        </w:rPr>
        <w:t>签订</w:t>
      </w:r>
      <w:r>
        <w:rPr>
          <w:rFonts w:hint="eastAsia" w:ascii="宋体" w:hAnsi="宋体" w:eastAsia="宋体" w:cs="宋体"/>
          <w:color w:val="auto"/>
          <w:kern w:val="0"/>
          <w:sz w:val="24"/>
          <w:szCs w:val="24"/>
          <w:lang w:val="en-US" w:eastAsia="zh-CN" w:bidi="ar"/>
        </w:rPr>
        <w:t xml:space="preserve">代表：                      </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   </w:t>
      </w:r>
      <w:r>
        <w:rPr>
          <w:rFonts w:hint="eastAsia" w:ascii="宋体" w:hAnsi="宋体" w:cs="宋体"/>
          <w:color w:val="auto"/>
          <w:kern w:val="0"/>
          <w:sz w:val="24"/>
          <w:szCs w:val="24"/>
          <w:lang w:val="en-US" w:eastAsia="zh-CN" w:bidi="ar"/>
        </w:rPr>
        <w:t>签订</w:t>
      </w:r>
      <w:r>
        <w:rPr>
          <w:rFonts w:hint="eastAsia" w:ascii="宋体" w:hAnsi="宋体" w:eastAsia="宋体" w:cs="宋体"/>
          <w:color w:val="auto"/>
          <w:kern w:val="0"/>
          <w:sz w:val="24"/>
          <w:szCs w:val="24"/>
          <w:lang w:val="en-US" w:eastAsia="zh-CN" w:bidi="ar"/>
        </w:rPr>
        <w:t>代表：</w:t>
      </w:r>
    </w:p>
    <w:p>
      <w:pPr>
        <w:keepNext w:val="0"/>
        <w:keepLines w:val="0"/>
        <w:pageBreakBefore w:val="0"/>
        <w:widowControl/>
        <w:suppressLineNumbers w:val="0"/>
        <w:kinsoku/>
        <w:wordWrap w:val="0"/>
        <w:overflowPunct/>
        <w:topLinePunct w:val="0"/>
        <w:autoSpaceDE/>
        <w:autoSpaceDN/>
        <w:bidi w:val="0"/>
        <w:adjustRightInd/>
        <w:snapToGrid/>
        <w:spacing w:line="480" w:lineRule="auto"/>
        <w:jc w:val="left"/>
        <w:textAlignment w:val="auto"/>
        <w:rPr>
          <w:rFonts w:hint="eastAsia" w:ascii="宋体" w:hAnsi="宋体" w:eastAsia="宋体" w:cs="宋体"/>
          <w:color w:val="auto"/>
        </w:rPr>
      </w:pPr>
      <w:r>
        <w:rPr>
          <w:rFonts w:hint="eastAsia" w:ascii="宋体" w:hAnsi="宋体" w:cs="宋体"/>
          <w:color w:val="auto"/>
          <w:kern w:val="0"/>
          <w:sz w:val="24"/>
          <w:szCs w:val="24"/>
          <w:lang w:val="en-US" w:eastAsia="zh-CN" w:bidi="ar"/>
        </w:rPr>
        <w:t>联系方式</w:t>
      </w:r>
      <w:r>
        <w:rPr>
          <w:rFonts w:hint="eastAsia" w:ascii="宋体" w:hAnsi="宋体" w:eastAsia="宋体" w:cs="宋体"/>
          <w:color w:val="auto"/>
          <w:kern w:val="0"/>
          <w:sz w:val="24"/>
          <w:szCs w:val="24"/>
          <w:lang w:val="en-US" w:eastAsia="zh-CN" w:bidi="ar"/>
        </w:rPr>
        <w:t xml:space="preserve">：                      </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   </w:t>
      </w:r>
      <w:r>
        <w:rPr>
          <w:rFonts w:hint="eastAsia" w:ascii="宋体" w:hAnsi="宋体" w:cs="宋体"/>
          <w:color w:val="auto"/>
          <w:kern w:val="0"/>
          <w:sz w:val="24"/>
          <w:szCs w:val="24"/>
          <w:lang w:val="en-US" w:eastAsia="zh-CN" w:bidi="ar"/>
        </w:rPr>
        <w:t>联系方式</w:t>
      </w:r>
      <w:r>
        <w:rPr>
          <w:rFonts w:hint="eastAsia" w:ascii="宋体" w:hAnsi="宋体" w:eastAsia="宋体" w:cs="宋体"/>
          <w:color w:val="auto"/>
          <w:kern w:val="0"/>
          <w:sz w:val="24"/>
          <w:szCs w:val="24"/>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spacing w:line="480" w:lineRule="auto"/>
        <w:jc w:val="left"/>
        <w:textAlignment w:val="auto"/>
        <w:rPr>
          <w:rFonts w:hint="eastAsia" w:ascii="宋体" w:hAnsi="宋体" w:eastAsia="宋体" w:cs="宋体"/>
          <w:color w:val="auto"/>
        </w:rPr>
      </w:pPr>
      <w:r>
        <w:rPr>
          <w:rFonts w:hint="eastAsia" w:ascii="宋体" w:hAnsi="宋体" w:cs="宋体"/>
          <w:color w:val="auto"/>
          <w:kern w:val="0"/>
          <w:sz w:val="24"/>
          <w:szCs w:val="24"/>
          <w:lang w:val="en-US" w:eastAsia="zh-CN" w:bidi="ar"/>
        </w:rPr>
        <w:t>签订</w:t>
      </w:r>
      <w:r>
        <w:rPr>
          <w:rFonts w:hint="eastAsia" w:ascii="宋体" w:hAnsi="宋体" w:eastAsia="宋体" w:cs="宋体"/>
          <w:color w:val="auto"/>
          <w:kern w:val="0"/>
          <w:sz w:val="24"/>
          <w:szCs w:val="24"/>
          <w:lang w:val="en-US" w:eastAsia="zh-CN" w:bidi="ar"/>
        </w:rPr>
        <w:t xml:space="preserve">日期：    年  月  日       </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 </w:t>
      </w:r>
      <w:r>
        <w:rPr>
          <w:rFonts w:hint="eastAsia" w:ascii="宋体" w:hAnsi="宋体"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  日期：    年  月  日</w:t>
      </w:r>
    </w:p>
    <w:p>
      <w:pPr>
        <w:keepNext w:val="0"/>
        <w:keepLines w:val="0"/>
        <w:pageBreakBefore w:val="0"/>
        <w:kinsoku/>
        <w:wordWrap w:val="0"/>
        <w:overflowPunct/>
        <w:topLinePunct w:val="0"/>
        <w:autoSpaceDE/>
        <w:autoSpaceDN/>
        <w:bidi w:val="0"/>
        <w:adjustRightInd/>
        <w:snapToGrid/>
        <w:spacing w:line="480" w:lineRule="auto"/>
        <w:textAlignment w:val="auto"/>
        <w:rPr>
          <w:rFonts w:hint="eastAsia"/>
          <w:color w:val="auto"/>
          <w:lang w:val="en-US" w:eastAsia="zh-CN"/>
        </w:rPr>
      </w:pPr>
    </w:p>
    <w:p>
      <w:pPr>
        <w:keepNext w:val="0"/>
        <w:keepLines w:val="0"/>
        <w:pageBreakBefore w:val="0"/>
        <w:kinsoku/>
        <w:wordWrap w:val="0"/>
        <w:overflowPunct/>
        <w:topLinePunct w:val="0"/>
        <w:autoSpaceDE/>
        <w:autoSpaceDN/>
        <w:bidi w:val="0"/>
        <w:adjustRightInd/>
        <w:snapToGrid/>
        <w:textAlignment w:val="auto"/>
        <w:rPr>
          <w:rFonts w:hint="eastAsia"/>
          <w:color w:val="auto"/>
          <w:lang w:val="en-US" w:eastAsia="zh-CN"/>
        </w:rPr>
      </w:pPr>
    </w:p>
    <w:p>
      <w:pPr>
        <w:keepNext w:val="0"/>
        <w:keepLines w:val="0"/>
        <w:pageBreakBefore w:val="0"/>
        <w:kinsoku/>
        <w:wordWrap w:val="0"/>
        <w:overflowPunct/>
        <w:topLinePunct w:val="0"/>
        <w:autoSpaceDE/>
        <w:autoSpaceDN/>
        <w:bidi w:val="0"/>
        <w:adjustRightInd/>
        <w:snapToGrid/>
        <w:textAlignment w:val="auto"/>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bidi w:val="0"/>
        <w:ind w:left="0" w:leftChars="0" w:firstLine="0" w:firstLineChars="0"/>
        <w:rPr>
          <w:rFonts w:hint="default"/>
          <w:color w:val="auto"/>
          <w:lang w:val="en-US" w:eastAsia="zh-CN"/>
        </w:rPr>
      </w:pPr>
      <w:bookmarkStart w:id="249" w:name="_Toc11237"/>
      <w:r>
        <w:rPr>
          <w:rFonts w:hint="eastAsia"/>
          <w:color w:val="auto"/>
          <w:lang w:eastAsia="zh-CN"/>
        </w:rPr>
        <w:t>第七章</w:t>
      </w:r>
      <w:r>
        <w:rPr>
          <w:rFonts w:hint="eastAsia"/>
          <w:color w:val="auto"/>
          <w:lang w:val="en-US" w:eastAsia="zh-CN"/>
        </w:rPr>
        <w:t xml:space="preserve">  项目采购需求</w:t>
      </w:r>
      <w:bookmarkEnd w:id="249"/>
    </w:p>
    <w:p>
      <w:pPr>
        <w:rPr>
          <w:b/>
          <w:bCs/>
          <w:color w:val="auto"/>
          <w:sz w:val="28"/>
          <w:szCs w:val="28"/>
        </w:rPr>
      </w:pPr>
      <w:r>
        <w:rPr>
          <w:rFonts w:hint="eastAsia"/>
          <w:b/>
          <w:bCs/>
          <w:color w:val="auto"/>
          <w:sz w:val="28"/>
          <w:szCs w:val="28"/>
        </w:rPr>
        <w:t>一、采购需求一览表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362"/>
        <w:gridCol w:w="813"/>
        <w:gridCol w:w="782"/>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pPr>
              <w:jc w:val="both"/>
              <w:rPr>
                <w:rFonts w:hint="default" w:eastAsia="宋体"/>
                <w:color w:val="auto"/>
                <w:vertAlign w:val="baseline"/>
                <w:lang w:val="en-US" w:eastAsia="zh-CN"/>
              </w:rPr>
            </w:pPr>
            <w:r>
              <w:rPr>
                <w:rFonts w:hint="eastAsia" w:ascii="宋体" w:hAnsi="宋体" w:eastAsia="宋体" w:cs="宋体"/>
                <w:b/>
                <w:bCs/>
                <w:color w:val="auto"/>
                <w:vertAlign w:val="baseline"/>
                <w:lang w:eastAsia="zh-CN"/>
              </w:rPr>
              <w:t>包</w:t>
            </w:r>
            <w:r>
              <w:rPr>
                <w:rFonts w:hint="eastAsia" w:ascii="宋体" w:hAnsi="宋体" w:eastAsia="宋体" w:cs="宋体"/>
                <w:b/>
                <w:bCs/>
                <w:color w:val="auto"/>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default" w:eastAsia="宋体"/>
                <w:color w:val="auto"/>
                <w:vertAlign w:val="baseline"/>
                <w:lang w:val="en-US" w:eastAsia="zh-CN"/>
              </w:rPr>
            </w:pPr>
            <w:r>
              <w:rPr>
                <w:rFonts w:hint="eastAsia"/>
                <w:color w:val="auto"/>
                <w:vertAlign w:val="baseline"/>
                <w:lang w:val="en-US" w:eastAsia="zh-CN"/>
              </w:rPr>
              <w:t>序号</w:t>
            </w:r>
          </w:p>
        </w:tc>
        <w:tc>
          <w:tcPr>
            <w:tcW w:w="2362" w:type="dxa"/>
            <w:vAlign w:val="center"/>
          </w:tcPr>
          <w:p>
            <w:pPr>
              <w:jc w:val="center"/>
              <w:rPr>
                <w:rFonts w:hint="eastAsia" w:eastAsia="宋体"/>
                <w:color w:val="auto"/>
                <w:vertAlign w:val="baseline"/>
                <w:lang w:eastAsia="zh-CN"/>
              </w:rPr>
            </w:pPr>
            <w:r>
              <w:rPr>
                <w:rFonts w:hint="eastAsia"/>
                <w:color w:val="auto"/>
                <w:vertAlign w:val="baseline"/>
                <w:lang w:eastAsia="zh-CN"/>
              </w:rPr>
              <w:t>标的名称</w:t>
            </w:r>
          </w:p>
        </w:tc>
        <w:tc>
          <w:tcPr>
            <w:tcW w:w="813" w:type="dxa"/>
            <w:vAlign w:val="center"/>
          </w:tcPr>
          <w:p>
            <w:pPr>
              <w:jc w:val="center"/>
              <w:rPr>
                <w:rFonts w:hint="eastAsia" w:eastAsia="宋体"/>
                <w:color w:val="auto"/>
                <w:vertAlign w:val="baseline"/>
                <w:lang w:eastAsia="zh-CN"/>
              </w:rPr>
            </w:pPr>
            <w:r>
              <w:rPr>
                <w:rFonts w:hint="eastAsia"/>
                <w:color w:val="auto"/>
                <w:vertAlign w:val="baseline"/>
                <w:lang w:eastAsia="zh-CN"/>
              </w:rPr>
              <w:t>单位</w:t>
            </w:r>
          </w:p>
        </w:tc>
        <w:tc>
          <w:tcPr>
            <w:tcW w:w="782" w:type="dxa"/>
            <w:vAlign w:val="center"/>
          </w:tcPr>
          <w:p>
            <w:pPr>
              <w:jc w:val="center"/>
              <w:rPr>
                <w:rFonts w:hint="eastAsia" w:eastAsia="宋体"/>
                <w:color w:val="auto"/>
                <w:vertAlign w:val="baseline"/>
                <w:lang w:eastAsia="zh-CN"/>
              </w:rPr>
            </w:pPr>
            <w:r>
              <w:rPr>
                <w:rFonts w:hint="eastAsia"/>
                <w:color w:val="auto"/>
                <w:vertAlign w:val="baseline"/>
                <w:lang w:eastAsia="zh-CN"/>
              </w:rPr>
              <w:t>数量</w:t>
            </w:r>
          </w:p>
        </w:tc>
        <w:tc>
          <w:tcPr>
            <w:tcW w:w="1218" w:type="dxa"/>
            <w:vAlign w:val="center"/>
          </w:tcPr>
          <w:p>
            <w:pPr>
              <w:jc w:val="center"/>
              <w:rPr>
                <w:rFonts w:hint="eastAsia" w:eastAsia="宋体"/>
                <w:color w:val="auto"/>
                <w:vertAlign w:val="baseline"/>
                <w:lang w:eastAsia="zh-CN"/>
              </w:rPr>
            </w:pPr>
            <w:r>
              <w:rPr>
                <w:rFonts w:hint="eastAsia"/>
                <w:color w:val="auto"/>
                <w:vertAlign w:val="baseline"/>
                <w:lang w:eastAsia="zh-CN"/>
              </w:rPr>
              <w:t>是否核心产品</w:t>
            </w:r>
          </w:p>
        </w:tc>
        <w:tc>
          <w:tcPr>
            <w:tcW w:w="1218" w:type="dxa"/>
            <w:vAlign w:val="center"/>
          </w:tcPr>
          <w:p>
            <w:pPr>
              <w:jc w:val="center"/>
              <w:rPr>
                <w:rFonts w:hint="eastAsia" w:eastAsia="宋体"/>
                <w:color w:val="auto"/>
                <w:vertAlign w:val="baseline"/>
                <w:lang w:eastAsia="zh-CN"/>
              </w:rPr>
            </w:pPr>
            <w:r>
              <w:rPr>
                <w:rFonts w:hint="eastAsia"/>
                <w:color w:val="auto"/>
                <w:vertAlign w:val="baseline"/>
                <w:lang w:eastAsia="zh-CN"/>
              </w:rPr>
              <w:t>采购预算（元）</w:t>
            </w:r>
          </w:p>
        </w:tc>
        <w:tc>
          <w:tcPr>
            <w:tcW w:w="1218" w:type="dxa"/>
            <w:vAlign w:val="center"/>
          </w:tcPr>
          <w:p>
            <w:pPr>
              <w:jc w:val="center"/>
              <w:rPr>
                <w:rFonts w:hint="eastAsia" w:eastAsia="宋体"/>
                <w:color w:val="auto"/>
                <w:vertAlign w:val="baseline"/>
                <w:lang w:eastAsia="zh-CN"/>
              </w:rPr>
            </w:pPr>
            <w:r>
              <w:rPr>
                <w:rFonts w:hint="eastAsia"/>
                <w:color w:val="auto"/>
                <w:vertAlign w:val="baseline"/>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w:t>
            </w:r>
          </w:p>
        </w:tc>
        <w:tc>
          <w:tcPr>
            <w:tcW w:w="2362" w:type="dxa"/>
            <w:vAlign w:val="center"/>
          </w:tcPr>
          <w:p>
            <w:pPr>
              <w:jc w:val="center"/>
              <w:rPr>
                <w:rFonts w:hint="eastAsia" w:ascii="宋体" w:hAnsi="宋体" w:eastAsia="宋体" w:cs="宋体"/>
                <w:b w:val="0"/>
                <w:bCs w:val="0"/>
                <w:color w:val="auto"/>
                <w:vertAlign w:val="baseline"/>
              </w:rPr>
            </w:pPr>
            <w:r>
              <w:rPr>
                <w:rFonts w:hint="eastAsia" w:ascii="宋体" w:hAnsi="宋体" w:cs="宋体"/>
                <w:color w:val="auto"/>
                <w:sz w:val="24"/>
                <w:szCs w:val="24"/>
                <w:lang w:val="en-US" w:eastAsia="zh-CN"/>
              </w:rPr>
              <w:t>全数字彩色超声诊断系统</w:t>
            </w:r>
          </w:p>
        </w:tc>
        <w:tc>
          <w:tcPr>
            <w:tcW w:w="813"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cs="宋体"/>
                <w:b w:val="0"/>
                <w:bCs w:val="0"/>
                <w:color w:val="auto"/>
                <w:vertAlign w:val="baseline"/>
                <w:lang w:val="en-US" w:eastAsia="zh-CN"/>
              </w:rPr>
              <w:t>台</w:t>
            </w:r>
          </w:p>
        </w:tc>
        <w:tc>
          <w:tcPr>
            <w:tcW w:w="782" w:type="dxa"/>
            <w:vAlign w:val="center"/>
          </w:tcPr>
          <w:p>
            <w:pPr>
              <w:jc w:val="center"/>
              <w:rPr>
                <w:rFonts w:hint="default" w:ascii="宋体" w:hAnsi="宋体" w:eastAsia="宋体" w:cs="宋体"/>
                <w:b w:val="0"/>
                <w:bCs w:val="0"/>
                <w:color w:val="auto"/>
                <w:vertAlign w:val="baseline"/>
                <w:lang w:val="en-US" w:eastAsia="zh-CN"/>
              </w:rPr>
            </w:pPr>
            <w:r>
              <w:rPr>
                <w:rFonts w:hint="eastAsia" w:ascii="宋体" w:hAnsi="宋体" w:cs="宋体"/>
                <w:b w:val="0"/>
                <w:bCs w:val="0"/>
                <w:color w:val="auto"/>
                <w:vertAlign w:val="baseline"/>
                <w:lang w:val="en-US" w:eastAsia="zh-CN"/>
              </w:rPr>
              <w:t>1</w:t>
            </w:r>
          </w:p>
        </w:tc>
        <w:tc>
          <w:tcPr>
            <w:tcW w:w="1218" w:type="dxa"/>
            <w:vAlign w:val="center"/>
          </w:tcPr>
          <w:p>
            <w:pPr>
              <w:jc w:val="center"/>
              <w:rPr>
                <w:rFonts w:hint="eastAsia" w:ascii="宋体" w:hAnsi="宋体" w:eastAsia="宋体" w:cs="宋体"/>
                <w:b w:val="0"/>
                <w:bCs w:val="0"/>
                <w:color w:val="auto"/>
                <w:vertAlign w:val="baseline"/>
                <w:lang w:eastAsia="zh-CN"/>
              </w:rPr>
            </w:pPr>
            <w:r>
              <w:rPr>
                <w:rFonts w:hint="eastAsia" w:ascii="宋体" w:hAnsi="宋体" w:cs="宋体"/>
                <w:b w:val="0"/>
                <w:bCs w:val="0"/>
                <w:color w:val="auto"/>
                <w:vertAlign w:val="baseline"/>
                <w:lang w:val="en-US" w:eastAsia="zh-CN"/>
              </w:rPr>
              <w:t>/</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cs="宋体"/>
                <w:color w:val="auto"/>
                <w:sz w:val="24"/>
                <w:szCs w:val="24"/>
                <w:lang w:val="en-US" w:eastAsia="zh-CN"/>
              </w:rPr>
              <w:t>1000000</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cs="宋体"/>
                <w:color w:val="auto"/>
                <w:sz w:val="24"/>
                <w:szCs w:val="24"/>
                <w:lang w:val="en-US" w:eastAsia="zh-CN"/>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6" w:type="dxa"/>
            <w:gridSpan w:val="5"/>
            <w:vAlign w:val="center"/>
          </w:tcPr>
          <w:p>
            <w:pPr>
              <w:jc w:val="center"/>
              <w:rPr>
                <w:rFonts w:hint="eastAsia" w:ascii="宋体" w:hAnsi="宋体" w:cs="宋体"/>
                <w:b w:val="0"/>
                <w:bCs w:val="0"/>
                <w:color w:val="auto"/>
                <w:vertAlign w:val="baseline"/>
                <w:lang w:eastAsia="zh-CN"/>
              </w:rPr>
            </w:pPr>
            <w:r>
              <w:rPr>
                <w:rFonts w:hint="eastAsia" w:ascii="宋体" w:hAnsi="宋体" w:cs="宋体"/>
                <w:b w:val="0"/>
                <w:bCs w:val="0"/>
                <w:color w:val="auto"/>
                <w:vertAlign w:val="baseline"/>
                <w:lang w:eastAsia="zh-CN"/>
              </w:rPr>
              <w:t>合计</w:t>
            </w:r>
          </w:p>
        </w:tc>
        <w:tc>
          <w:tcPr>
            <w:tcW w:w="1218" w:type="dxa"/>
            <w:vAlign w:val="center"/>
          </w:tcPr>
          <w:p>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1000000</w:t>
            </w:r>
          </w:p>
        </w:tc>
        <w:tc>
          <w:tcPr>
            <w:tcW w:w="1218" w:type="dxa"/>
            <w:vAlign w:val="center"/>
          </w:tcPr>
          <w:p>
            <w:pPr>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1000000</w:t>
            </w:r>
          </w:p>
        </w:tc>
      </w:tr>
    </w:tbl>
    <w:p>
      <w:pPr>
        <w:rPr>
          <w:color w:val="auto"/>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450"/>
        <w:gridCol w:w="725"/>
        <w:gridCol w:w="782"/>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vAlign w:val="center"/>
          </w:tcPr>
          <w:p>
            <w:pPr>
              <w:jc w:val="both"/>
              <w:rPr>
                <w:rFonts w:hint="default" w:eastAsia="宋体"/>
                <w:color w:val="auto"/>
                <w:vertAlign w:val="baseline"/>
                <w:lang w:val="en-US" w:eastAsia="zh-CN"/>
              </w:rPr>
            </w:pPr>
            <w:r>
              <w:rPr>
                <w:rFonts w:hint="eastAsia" w:ascii="宋体" w:hAnsi="宋体" w:eastAsia="宋体" w:cs="宋体"/>
                <w:b/>
                <w:bCs/>
                <w:color w:val="auto"/>
                <w:vertAlign w:val="baseline"/>
                <w:lang w:eastAsia="zh-CN"/>
              </w:rPr>
              <w:t>包</w:t>
            </w:r>
            <w:r>
              <w:rPr>
                <w:rFonts w:hint="eastAsia" w:ascii="宋体" w:hAnsi="宋体" w:eastAsia="宋体" w:cs="宋体"/>
                <w:b/>
                <w:bCs/>
                <w:color w:val="auto"/>
                <w:vertAlign w:val="baseline"/>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序号</w:t>
            </w:r>
          </w:p>
        </w:tc>
        <w:tc>
          <w:tcPr>
            <w:tcW w:w="2450" w:type="dxa"/>
            <w:vAlign w:val="center"/>
          </w:tcPr>
          <w:p>
            <w:pPr>
              <w:jc w:val="cente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标的名称</w:t>
            </w:r>
          </w:p>
        </w:tc>
        <w:tc>
          <w:tcPr>
            <w:tcW w:w="725" w:type="dxa"/>
            <w:vAlign w:val="center"/>
          </w:tcPr>
          <w:p>
            <w:pPr>
              <w:jc w:val="cente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单位</w:t>
            </w:r>
          </w:p>
        </w:tc>
        <w:tc>
          <w:tcPr>
            <w:tcW w:w="782" w:type="dxa"/>
            <w:vAlign w:val="center"/>
          </w:tcPr>
          <w:p>
            <w:pPr>
              <w:jc w:val="cente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数量</w:t>
            </w:r>
          </w:p>
        </w:tc>
        <w:tc>
          <w:tcPr>
            <w:tcW w:w="1218" w:type="dxa"/>
            <w:vAlign w:val="center"/>
          </w:tcPr>
          <w:p>
            <w:pPr>
              <w:jc w:val="cente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是否核心产品</w:t>
            </w:r>
          </w:p>
        </w:tc>
        <w:tc>
          <w:tcPr>
            <w:tcW w:w="1218" w:type="dxa"/>
            <w:vAlign w:val="center"/>
          </w:tcPr>
          <w:p>
            <w:pPr>
              <w:jc w:val="cente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采购预算（元）</w:t>
            </w:r>
          </w:p>
        </w:tc>
        <w:tc>
          <w:tcPr>
            <w:tcW w:w="1218" w:type="dxa"/>
            <w:vAlign w:val="center"/>
          </w:tcPr>
          <w:p>
            <w:pPr>
              <w:jc w:val="cente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w:t>
            </w:r>
          </w:p>
        </w:tc>
        <w:tc>
          <w:tcPr>
            <w:tcW w:w="2450"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五分类血细胞分析仪</w:t>
            </w:r>
          </w:p>
        </w:tc>
        <w:tc>
          <w:tcPr>
            <w:tcW w:w="725"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台</w:t>
            </w:r>
          </w:p>
        </w:tc>
        <w:tc>
          <w:tcPr>
            <w:tcW w:w="782"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1</w:t>
            </w:r>
          </w:p>
        </w:tc>
        <w:tc>
          <w:tcPr>
            <w:tcW w:w="1218" w:type="dxa"/>
            <w:vAlign w:val="center"/>
          </w:tcPr>
          <w:p>
            <w:pPr>
              <w:spacing w:line="240" w:lineRule="auto"/>
              <w:jc w:val="center"/>
              <w:rPr>
                <w:rFonts w:hint="eastAsia" w:ascii="宋体" w:hAnsi="宋体" w:eastAsia="宋体" w:cs="宋体"/>
                <w:b w:val="0"/>
                <w:bCs w:val="0"/>
                <w:color w:val="auto"/>
                <w:vertAlign w:val="baseline"/>
                <w:lang w:eastAsia="zh-CN"/>
              </w:rPr>
            </w:pPr>
            <w:r>
              <w:rPr>
                <w:rFonts w:hint="eastAsia" w:ascii="宋体" w:hAnsi="宋体" w:cs="宋体"/>
                <w:b w:val="0"/>
                <w:bCs w:val="0"/>
                <w:color w:val="auto"/>
                <w:vertAlign w:val="baseline"/>
                <w:lang w:eastAsia="zh-CN"/>
              </w:rPr>
              <w:t>是</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200000</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w:t>
            </w:r>
          </w:p>
        </w:tc>
        <w:tc>
          <w:tcPr>
            <w:tcW w:w="2450"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心电监护仪</w:t>
            </w:r>
          </w:p>
        </w:tc>
        <w:tc>
          <w:tcPr>
            <w:tcW w:w="725" w:type="dxa"/>
            <w:vAlign w:val="center"/>
          </w:tcPr>
          <w:p>
            <w:pPr>
              <w:jc w:val="center"/>
              <w:rPr>
                <w:rFonts w:hint="eastAsia" w:ascii="宋体" w:hAnsi="宋体" w:eastAsia="宋体" w:cs="宋体"/>
                <w:color w:val="auto"/>
                <w:vertAlign w:val="baseline"/>
                <w:lang w:eastAsia="zh-CN"/>
              </w:rPr>
            </w:pPr>
            <w:r>
              <w:rPr>
                <w:rFonts w:hint="eastAsia" w:ascii="宋体" w:hAnsi="宋体" w:eastAsia="宋体" w:cs="宋体"/>
                <w:color w:val="auto"/>
                <w:vertAlign w:val="baseline"/>
                <w:lang w:val="en-US" w:eastAsia="zh-CN"/>
              </w:rPr>
              <w:t>台</w:t>
            </w:r>
          </w:p>
        </w:tc>
        <w:tc>
          <w:tcPr>
            <w:tcW w:w="782"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1</w:t>
            </w:r>
          </w:p>
        </w:tc>
        <w:tc>
          <w:tcPr>
            <w:tcW w:w="1218"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cs="宋体"/>
                <w:b w:val="0"/>
                <w:bCs w:val="0"/>
                <w:color w:val="auto"/>
                <w:vertAlign w:val="baseline"/>
                <w:lang w:val="en-US" w:eastAsia="zh-CN"/>
              </w:rPr>
              <w:t>/</w:t>
            </w:r>
          </w:p>
        </w:tc>
        <w:tc>
          <w:tcPr>
            <w:tcW w:w="1218" w:type="dxa"/>
            <w:vAlign w:val="center"/>
          </w:tcPr>
          <w:p>
            <w:pPr>
              <w:jc w:val="center"/>
              <w:rPr>
                <w:rFonts w:hint="default"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73000</w:t>
            </w:r>
          </w:p>
        </w:tc>
        <w:tc>
          <w:tcPr>
            <w:tcW w:w="1218" w:type="dxa"/>
            <w:vAlign w:val="center"/>
          </w:tcPr>
          <w:p>
            <w:pPr>
              <w:jc w:val="center"/>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3</w:t>
            </w:r>
          </w:p>
        </w:tc>
        <w:tc>
          <w:tcPr>
            <w:tcW w:w="2450"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18道心电图机</w:t>
            </w:r>
          </w:p>
        </w:tc>
        <w:tc>
          <w:tcPr>
            <w:tcW w:w="725"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台</w:t>
            </w:r>
          </w:p>
        </w:tc>
        <w:tc>
          <w:tcPr>
            <w:tcW w:w="782"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w:t>
            </w:r>
          </w:p>
        </w:tc>
        <w:tc>
          <w:tcPr>
            <w:tcW w:w="1218"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cs="宋体"/>
                <w:b w:val="0"/>
                <w:bCs w:val="0"/>
                <w:color w:val="auto"/>
                <w:vertAlign w:val="baseline"/>
                <w:lang w:val="en-US" w:eastAsia="zh-CN"/>
              </w:rPr>
              <w:t>/</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120000</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4</w:t>
            </w:r>
          </w:p>
        </w:tc>
        <w:tc>
          <w:tcPr>
            <w:tcW w:w="2450"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中频脉冲治疗仪</w:t>
            </w:r>
          </w:p>
        </w:tc>
        <w:tc>
          <w:tcPr>
            <w:tcW w:w="725"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台</w:t>
            </w:r>
          </w:p>
        </w:tc>
        <w:tc>
          <w:tcPr>
            <w:tcW w:w="782"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w:t>
            </w:r>
          </w:p>
        </w:tc>
        <w:tc>
          <w:tcPr>
            <w:tcW w:w="1218"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cs="宋体"/>
                <w:b w:val="0"/>
                <w:bCs w:val="0"/>
                <w:color w:val="auto"/>
                <w:vertAlign w:val="baseline"/>
                <w:lang w:val="en-US" w:eastAsia="zh-CN"/>
              </w:rPr>
              <w:t>/</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50000</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5</w:t>
            </w:r>
          </w:p>
        </w:tc>
        <w:tc>
          <w:tcPr>
            <w:tcW w:w="2450"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动态心电</w:t>
            </w:r>
          </w:p>
        </w:tc>
        <w:tc>
          <w:tcPr>
            <w:tcW w:w="725"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台</w:t>
            </w:r>
          </w:p>
        </w:tc>
        <w:tc>
          <w:tcPr>
            <w:tcW w:w="782"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w:t>
            </w:r>
          </w:p>
        </w:tc>
        <w:tc>
          <w:tcPr>
            <w:tcW w:w="1218"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cs="宋体"/>
                <w:b w:val="0"/>
                <w:bCs w:val="0"/>
                <w:color w:val="auto"/>
                <w:vertAlign w:val="baseline"/>
                <w:lang w:val="en-US" w:eastAsia="zh-CN"/>
              </w:rPr>
              <w:t>/</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35000</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6</w:t>
            </w:r>
          </w:p>
        </w:tc>
        <w:tc>
          <w:tcPr>
            <w:tcW w:w="2450"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24H动态血压</w:t>
            </w:r>
          </w:p>
        </w:tc>
        <w:tc>
          <w:tcPr>
            <w:tcW w:w="725"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台</w:t>
            </w:r>
          </w:p>
        </w:tc>
        <w:tc>
          <w:tcPr>
            <w:tcW w:w="782"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w:t>
            </w:r>
          </w:p>
        </w:tc>
        <w:tc>
          <w:tcPr>
            <w:tcW w:w="1218"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cs="宋体"/>
                <w:b w:val="0"/>
                <w:bCs w:val="0"/>
                <w:color w:val="auto"/>
                <w:vertAlign w:val="baseline"/>
                <w:lang w:val="en-US" w:eastAsia="zh-CN"/>
              </w:rPr>
              <w:t>/</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64000</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7</w:t>
            </w:r>
          </w:p>
        </w:tc>
        <w:tc>
          <w:tcPr>
            <w:tcW w:w="2450"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身高体重一体机</w:t>
            </w:r>
          </w:p>
        </w:tc>
        <w:tc>
          <w:tcPr>
            <w:tcW w:w="725"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台</w:t>
            </w:r>
          </w:p>
        </w:tc>
        <w:tc>
          <w:tcPr>
            <w:tcW w:w="782"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2</w:t>
            </w:r>
          </w:p>
        </w:tc>
        <w:tc>
          <w:tcPr>
            <w:tcW w:w="1218" w:type="dxa"/>
            <w:vAlign w:val="center"/>
          </w:tcPr>
          <w:p>
            <w:pPr>
              <w:jc w:val="center"/>
              <w:rPr>
                <w:rFonts w:hint="eastAsia" w:ascii="宋体" w:hAnsi="宋体" w:eastAsia="宋体" w:cs="宋体"/>
                <w:b w:val="0"/>
                <w:bCs w:val="0"/>
                <w:color w:val="auto"/>
                <w:vertAlign w:val="baseline"/>
                <w:lang w:val="en-US" w:eastAsia="zh-CN"/>
              </w:rPr>
            </w:pPr>
            <w:r>
              <w:rPr>
                <w:rFonts w:hint="eastAsia" w:ascii="宋体" w:hAnsi="宋体" w:cs="宋体"/>
                <w:b w:val="0"/>
                <w:bCs w:val="0"/>
                <w:color w:val="auto"/>
                <w:vertAlign w:val="baseline"/>
                <w:lang w:val="en-US" w:eastAsia="zh-CN"/>
              </w:rPr>
              <w:t>/</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9000</w:t>
            </w:r>
          </w:p>
        </w:tc>
        <w:tc>
          <w:tcPr>
            <w:tcW w:w="1218" w:type="dxa"/>
            <w:vAlign w:val="center"/>
          </w:tcPr>
          <w:p>
            <w:pPr>
              <w:jc w:val="center"/>
              <w:rPr>
                <w:rFonts w:hint="eastAsia" w:ascii="宋体" w:hAnsi="宋体" w:eastAsia="宋体" w:cs="宋体"/>
                <w:b w:val="0"/>
                <w:bCs w:val="0"/>
                <w:color w:val="auto"/>
                <w:vertAlign w:val="baseline"/>
              </w:rPr>
            </w:pPr>
            <w:r>
              <w:rPr>
                <w:rFonts w:hint="eastAsia" w:ascii="宋体" w:hAnsi="宋体" w:eastAsia="宋体" w:cs="宋体"/>
                <w:color w:val="auto"/>
                <w:sz w:val="24"/>
                <w:szCs w:val="24"/>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6" w:type="dxa"/>
            <w:gridSpan w:val="5"/>
            <w:vAlign w:val="center"/>
          </w:tcPr>
          <w:p>
            <w:pPr>
              <w:jc w:val="center"/>
              <w:rPr>
                <w:rFonts w:hint="eastAsia" w:ascii="宋体" w:hAnsi="宋体" w:eastAsia="宋体" w:cs="宋体"/>
                <w:b w:val="0"/>
                <w:bCs w:val="0"/>
                <w:color w:val="auto"/>
                <w:vertAlign w:val="baseline"/>
                <w:lang w:eastAsia="zh-CN"/>
              </w:rPr>
            </w:pPr>
            <w:r>
              <w:rPr>
                <w:rFonts w:hint="eastAsia" w:ascii="宋体" w:hAnsi="宋体" w:eastAsia="宋体" w:cs="宋体"/>
                <w:b w:val="0"/>
                <w:bCs w:val="0"/>
                <w:color w:val="auto"/>
                <w:vertAlign w:val="baseline"/>
                <w:lang w:eastAsia="zh-CN"/>
              </w:rPr>
              <w:t>合计</w:t>
            </w:r>
          </w:p>
        </w:tc>
        <w:tc>
          <w:tcPr>
            <w:tcW w:w="1218" w:type="dxa"/>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551</w:t>
            </w:r>
            <w:r>
              <w:rPr>
                <w:rFonts w:hint="eastAsia" w:ascii="宋体" w:hAnsi="宋体" w:eastAsia="宋体" w:cs="宋体"/>
                <w:color w:val="auto"/>
                <w:sz w:val="24"/>
                <w:szCs w:val="24"/>
                <w:lang w:val="en-US" w:eastAsia="zh-CN"/>
              </w:rPr>
              <w:t>000</w:t>
            </w:r>
          </w:p>
        </w:tc>
        <w:tc>
          <w:tcPr>
            <w:tcW w:w="1218" w:type="dxa"/>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551</w:t>
            </w:r>
            <w:r>
              <w:rPr>
                <w:rFonts w:hint="eastAsia" w:ascii="宋体" w:hAnsi="宋体" w:eastAsia="宋体" w:cs="宋体"/>
                <w:color w:val="auto"/>
                <w:sz w:val="24"/>
                <w:szCs w:val="24"/>
                <w:lang w:val="en-US" w:eastAsia="zh-CN"/>
              </w:rPr>
              <w:t>000</w:t>
            </w:r>
          </w:p>
        </w:tc>
      </w:tr>
    </w:tbl>
    <w:p>
      <w:pPr>
        <w:rPr>
          <w:rFonts w:hint="eastAsia" w:ascii="宋体" w:hAnsi="宋体" w:eastAsia="宋体" w:cs="宋体"/>
          <w:b/>
          <w:bCs/>
          <w:color w:val="auto"/>
          <w:lang w:eastAsia="zh-CN"/>
        </w:rPr>
      </w:pPr>
      <w:r>
        <w:rPr>
          <w:rFonts w:hint="eastAsia" w:ascii="宋体" w:hAnsi="宋体" w:eastAsia="宋体" w:cs="宋体"/>
          <w:b/>
          <w:bCs/>
          <w:color w:val="auto"/>
        </w:rPr>
        <w:t>备注：投标报价超过采购预算（含分项预算），或最高限价（如有）的，其投标作无效标处理</w:t>
      </w:r>
      <w:r>
        <w:rPr>
          <w:rFonts w:hint="eastAsia" w:ascii="宋体" w:hAnsi="宋体" w:eastAsia="宋体" w:cs="宋体"/>
          <w:b/>
          <w:bCs/>
          <w:color w:val="auto"/>
          <w:lang w:eastAsia="zh-CN"/>
        </w:rPr>
        <w:t>。</w:t>
      </w:r>
    </w:p>
    <w:p>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技术部分</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包</w:t>
      </w:r>
      <w:r>
        <w:rPr>
          <w:rFonts w:hint="eastAsia" w:ascii="宋体" w:hAnsi="宋体" w:eastAsia="宋体" w:cs="宋体"/>
          <w:b/>
          <w:bCs/>
          <w:color w:val="auto"/>
          <w:sz w:val="28"/>
          <w:szCs w:val="28"/>
          <w:lang w:val="en-US" w:eastAsia="zh-CN"/>
        </w:rPr>
        <w:t>A</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center"/>
              <w:rPr>
                <w:rFonts w:hint="eastAsia"/>
                <w:color w:val="auto"/>
                <w:vertAlign w:val="baseline"/>
                <w:lang w:val="en-US" w:eastAsia="zh-CN"/>
              </w:rPr>
            </w:pPr>
            <w:r>
              <w:rPr>
                <w:rFonts w:hint="eastAsia" w:ascii="宋体" w:hAnsi="宋体" w:eastAsia="宋体" w:cs="宋体"/>
                <w:b/>
                <w:bCs/>
                <w:color w:val="auto"/>
                <w:sz w:val="28"/>
                <w:szCs w:val="28"/>
                <w:lang w:eastAsia="zh-CN"/>
              </w:rPr>
              <w:t>全数字彩色超声诊断系统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b/>
                <w:bCs/>
                <w:color w:val="auto"/>
                <w:vertAlign w:val="baseline"/>
                <w:lang w:val="en-US" w:eastAsia="zh-CN"/>
              </w:rPr>
            </w:pPr>
            <w:r>
              <w:rPr>
                <w:rFonts w:hint="eastAsia"/>
                <w:b/>
                <w:bCs/>
                <w:color w:val="auto"/>
                <w:vertAlign w:val="baseline"/>
                <w:lang w:val="en-US" w:eastAsia="zh-CN"/>
              </w:rPr>
              <w:t>序号</w:t>
            </w:r>
          </w:p>
        </w:tc>
        <w:tc>
          <w:tcPr>
            <w:tcW w:w="7261" w:type="dxa"/>
            <w:vAlign w:val="center"/>
          </w:tcPr>
          <w:p>
            <w:pPr>
              <w:bidi w:val="0"/>
              <w:jc w:val="center"/>
              <w:rPr>
                <w:rFonts w:hint="eastAsia"/>
                <w:b/>
                <w:bCs/>
                <w:color w:val="auto"/>
                <w:vertAlign w:val="baseline"/>
                <w:lang w:val="en-US" w:eastAsia="zh-CN"/>
              </w:rPr>
            </w:pPr>
            <w:r>
              <w:rPr>
                <w:rFonts w:hint="eastAsia"/>
                <w:b/>
                <w:bCs/>
                <w:color w:val="auto"/>
                <w:vertAlign w:val="baseline"/>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61" w:type="dxa"/>
            <w:vAlign w:val="center"/>
          </w:tcPr>
          <w:p>
            <w:pPr>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一</w:t>
            </w:r>
          </w:p>
        </w:tc>
        <w:tc>
          <w:tcPr>
            <w:tcW w:w="7261" w:type="dxa"/>
            <w:vAlign w:val="center"/>
          </w:tcPr>
          <w:p>
            <w:pPr>
              <w:keepNext w:val="0"/>
              <w:keepLines w:val="0"/>
              <w:widowControl w:val="0"/>
              <w:numPr>
                <w:ilvl w:val="0"/>
                <w:numId w:val="0"/>
              </w:numPr>
              <w:suppressLineNumbers w:val="0"/>
              <w:adjustRightInd w:val="0"/>
              <w:spacing w:before="0" w:beforeAutospacing="0" w:after="0" w:afterAutospacing="0" w:line="240" w:lineRule="auto"/>
              <w:ind w:leftChars="0" w:right="0" w:rightChars="0"/>
              <w:jc w:val="both"/>
              <w:textAlignment w:val="baseline"/>
              <w:rPr>
                <w:rFonts w:hint="eastAsia"/>
                <w:color w:val="auto"/>
                <w:vertAlign w:val="baseline"/>
                <w:lang w:val="en-US" w:eastAsia="zh-CN"/>
              </w:rPr>
            </w:pPr>
            <w:r>
              <w:rPr>
                <w:rFonts w:hint="eastAsia" w:ascii="宋体" w:hAnsi="宋体" w:eastAsia="宋体" w:cs="宋体"/>
                <w:b/>
                <w:bCs w:val="0"/>
                <w:color w:val="auto"/>
                <w:kern w:val="2"/>
                <w:sz w:val="24"/>
                <w:szCs w:val="24"/>
                <w:lang w:val="en-US" w:eastAsia="zh-CN" w:bidi="ar"/>
              </w:rPr>
              <w:t>设备名称：全数字彩色多普勒超声诊断仪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二</w:t>
            </w:r>
          </w:p>
        </w:tc>
        <w:tc>
          <w:tcPr>
            <w:tcW w:w="7261" w:type="dxa"/>
            <w:vAlign w:val="center"/>
          </w:tcPr>
          <w:p>
            <w:pPr>
              <w:bidi w:val="0"/>
              <w:jc w:val="both"/>
              <w:rPr>
                <w:rFonts w:hint="eastAsia"/>
                <w:color w:val="auto"/>
                <w:vertAlign w:val="baseline"/>
                <w:lang w:val="en-US" w:eastAsia="zh-CN"/>
              </w:rPr>
            </w:pPr>
            <w:r>
              <w:rPr>
                <w:rFonts w:hint="eastAsia"/>
                <w:b/>
                <w:bCs/>
                <w:color w:val="auto"/>
                <w:vertAlign w:val="baseline"/>
                <w:lang w:val="en-US" w:eastAsia="zh-CN"/>
              </w:rPr>
              <w:t>配置探头：凸阵探头、线阵探头、腔内探头、相控阵探头（选配）、容积探头（选配）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b w:val="0"/>
                <w:bCs w:val="0"/>
                <w:color w:val="auto"/>
                <w:vertAlign w:val="baseline"/>
                <w:lang w:val="en-US" w:eastAsia="zh-CN"/>
              </w:rPr>
            </w:pPr>
            <w:r>
              <w:rPr>
                <w:rFonts w:hint="eastAsia"/>
                <w:b w:val="0"/>
                <w:bCs w:val="0"/>
                <w:color w:val="auto"/>
                <w:vertAlign w:val="baseline"/>
                <w:lang w:val="en-US" w:eastAsia="zh-CN"/>
              </w:rPr>
              <w:t>三</w:t>
            </w:r>
          </w:p>
        </w:tc>
        <w:tc>
          <w:tcPr>
            <w:tcW w:w="7261" w:type="dxa"/>
            <w:vAlign w:val="center"/>
          </w:tcPr>
          <w:p>
            <w:pPr>
              <w:bidi w:val="0"/>
              <w:jc w:val="both"/>
              <w:rPr>
                <w:rFonts w:hint="eastAsia"/>
                <w:color w:val="auto"/>
                <w:vertAlign w:val="baseline"/>
                <w:lang w:val="en-US" w:eastAsia="zh-CN"/>
              </w:rPr>
            </w:pPr>
            <w:r>
              <w:rPr>
                <w:rFonts w:hint="eastAsia"/>
                <w:b/>
                <w:bCs/>
                <w:color w:val="auto"/>
                <w:vertAlign w:val="baseline"/>
                <w:lang w:val="en-US" w:eastAsia="zh-CN"/>
              </w:rPr>
              <w:t>设备用途说明：</w:t>
            </w:r>
            <w:r>
              <w:rPr>
                <w:rFonts w:hint="eastAsia"/>
                <w:color w:val="auto"/>
                <w:vertAlign w:val="baseline"/>
                <w:lang w:val="en-US" w:eastAsia="zh-CN"/>
              </w:rPr>
              <w:t>用于腹部、心脏、妇科、产科、血管、小器官及泌尿系统等超声诊断检查。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b/>
                <w:bCs/>
                <w:color w:val="auto"/>
                <w:vertAlign w:val="baseline"/>
                <w:lang w:val="en-US" w:eastAsia="zh-CN"/>
              </w:rPr>
            </w:pPr>
            <w:r>
              <w:rPr>
                <w:rFonts w:hint="eastAsia"/>
                <w:b/>
                <w:bCs/>
                <w:color w:val="auto"/>
                <w:vertAlign w:val="baseline"/>
                <w:lang w:val="en-US" w:eastAsia="zh-CN"/>
              </w:rPr>
              <w:t>四</w:t>
            </w:r>
          </w:p>
        </w:tc>
        <w:tc>
          <w:tcPr>
            <w:tcW w:w="7261" w:type="dxa"/>
            <w:vAlign w:val="center"/>
          </w:tcPr>
          <w:p>
            <w:pPr>
              <w:bidi w:val="0"/>
              <w:jc w:val="both"/>
              <w:rPr>
                <w:rFonts w:hint="eastAsia"/>
                <w:b/>
                <w:bCs/>
                <w:color w:val="auto"/>
                <w:vertAlign w:val="baseline"/>
                <w:lang w:val="en-US" w:eastAsia="zh-CN"/>
              </w:rPr>
            </w:pPr>
            <w:r>
              <w:rPr>
                <w:rFonts w:hint="eastAsia"/>
                <w:b/>
                <w:bCs/>
                <w:color w:val="auto"/>
                <w:vertAlign w:val="baseline"/>
                <w:lang w:val="en-US" w:eastAsia="zh-CN"/>
              </w:rPr>
              <w:t>主要规格及系统概述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kern w:val="2"/>
                <w:sz w:val="24"/>
                <w:szCs w:val="24"/>
                <w:lang w:val="en-US" w:eastAsia="zh-CN" w:bidi="ar"/>
              </w:rPr>
              <w:t>彩色多普勒超声波诊断仪包括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1.1</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主显：21.5寸高分辨率医疗专用显示器，自由臂角度调节。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1.2</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副显：12.1寸高分辨率医疗专用显示器，内置触摸屏，大角度翻转。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1.3</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宽频变频技术，系统频率范围1.7－14MHz，探测深度≥360mm(相控阵探头、容积探头、凸阵探头)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1.4</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探头接口≥4个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1.5</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控制面板可独立旋转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1.6</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动态范围：≥180dB，30级可视可调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1.7</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数字化壁滤波单元,可调节壁滤波器0-6级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1.8</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自适应声速优化功能、自适应斑点噪声抑制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1.9</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一体化剪贴板：在屏幕下方显示保存的图像，可直接转存或删除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1.10</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中文和英文操作界面，中文和英文输入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1.11</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预设条件：针对不同的检查脏器，预置最佳化图像的检查条件，减少操作时的调节，及常用所需的外部调节及组合调节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1.12</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系统具备可现场升级功能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1.13</w:t>
            </w:r>
          </w:p>
        </w:tc>
        <w:tc>
          <w:tcPr>
            <w:tcW w:w="7261" w:type="dxa"/>
            <w:vAlign w:val="center"/>
          </w:tcPr>
          <w:p>
            <w:pPr>
              <w:bidi w:val="0"/>
              <w:jc w:val="both"/>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vertAlign w:val="baseline"/>
                <w:lang w:val="en-US" w:eastAsia="zh-CN"/>
              </w:rPr>
              <w:t>单杯型耦合剂加热杯，温度37℃/40℃两档可选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color w:val="auto"/>
                <w:vertAlign w:val="baseline"/>
                <w:lang w:val="en-US" w:eastAsia="zh-CN"/>
              </w:rPr>
            </w:pPr>
            <w:r>
              <w:rPr>
                <w:rFonts w:hint="eastAsia" w:ascii="宋体" w:hAnsi="宋体" w:eastAsia="宋体" w:cs="宋体"/>
                <w:b w:val="0"/>
                <w:bCs/>
                <w:color w:val="auto"/>
                <w:kern w:val="2"/>
                <w:sz w:val="24"/>
                <w:szCs w:val="24"/>
                <w:lang w:val="en-US" w:eastAsia="zh-CN" w:bidi="ar"/>
              </w:rPr>
              <w:t>1.14</w:t>
            </w:r>
          </w:p>
        </w:tc>
        <w:tc>
          <w:tcPr>
            <w:tcW w:w="7261" w:type="dxa"/>
            <w:vAlign w:val="center"/>
          </w:tcPr>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扫描模式：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二维灰阶模式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M型模式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解剖M成像模式（AMM）</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血流M成像模式（MC）</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彩色多普勒成像模式（C）</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能量多普勒成像模式（PDI）</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方向性能量多普勒成像模式（DPDI）</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脉冲多普勒成像模式（PW）</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连续多普勒成像模式（CW）</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w:t>
            </w:r>
            <w:r>
              <w:rPr>
                <w:rFonts w:hint="eastAsia" w:ascii="宋体" w:hAnsi="宋体" w:eastAsia="宋体" w:cs="宋体"/>
                <w:b w:val="0"/>
                <w:bCs w:val="0"/>
                <w:color w:val="auto"/>
                <w:kern w:val="2"/>
                <w:sz w:val="24"/>
                <w:szCs w:val="24"/>
              </w:rPr>
              <w:t>★</w:t>
            </w:r>
            <w:r>
              <w:rPr>
                <w:rFonts w:hint="eastAsia" w:ascii="宋体" w:hAnsi="宋体" w:eastAsia="宋体" w:cs="宋体"/>
                <w:b w:val="0"/>
                <w:bCs/>
                <w:color w:val="auto"/>
                <w:kern w:val="2"/>
                <w:sz w:val="24"/>
                <w:szCs w:val="24"/>
                <w:lang w:val="en-US" w:eastAsia="zh-CN" w:bidi="ar"/>
              </w:rPr>
              <w:t>彩色血流双实时模式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实时三同步成像模式（B/C/D）</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w:t>
            </w:r>
            <w:r>
              <w:rPr>
                <w:rFonts w:hint="eastAsia" w:ascii="宋体" w:hAnsi="宋体" w:eastAsia="宋体" w:cs="宋体"/>
                <w:b w:val="0"/>
                <w:bCs w:val="0"/>
                <w:color w:val="auto"/>
                <w:kern w:val="2"/>
                <w:sz w:val="24"/>
                <w:szCs w:val="24"/>
              </w:rPr>
              <w:t>★</w:t>
            </w:r>
            <w:r>
              <w:rPr>
                <w:rFonts w:hint="eastAsia" w:ascii="宋体" w:hAnsi="宋体" w:eastAsia="宋体" w:cs="宋体"/>
                <w:b w:val="0"/>
                <w:bCs/>
                <w:color w:val="auto"/>
                <w:kern w:val="2"/>
                <w:sz w:val="24"/>
                <w:szCs w:val="24"/>
                <w:lang w:val="en-US" w:eastAsia="zh-CN" w:bidi="ar"/>
              </w:rPr>
              <w:t>造影成像模式（CTI）</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w:t>
            </w:r>
            <w:r>
              <w:rPr>
                <w:rFonts w:hint="eastAsia" w:ascii="宋体" w:hAnsi="宋体" w:eastAsia="宋体" w:cs="宋体"/>
                <w:b w:val="0"/>
                <w:bCs w:val="0"/>
                <w:color w:val="auto"/>
                <w:kern w:val="2"/>
                <w:sz w:val="24"/>
                <w:szCs w:val="24"/>
              </w:rPr>
              <w:t>★</w:t>
            </w:r>
            <w:r>
              <w:rPr>
                <w:rFonts w:hint="eastAsia" w:ascii="宋体" w:hAnsi="宋体" w:eastAsia="宋体" w:cs="宋体"/>
                <w:b w:val="0"/>
                <w:bCs/>
                <w:color w:val="auto"/>
                <w:kern w:val="2"/>
                <w:sz w:val="24"/>
                <w:szCs w:val="24"/>
                <w:lang w:val="en-US" w:eastAsia="zh-CN" w:bidi="ar"/>
              </w:rPr>
              <w:t>弹性成像模式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组织多谱勒成像模式（TDI）   相控阵探头</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应变成像模式（SR）  相控阵探头</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应变率成像模式（SRI）  相控阵探头</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谐波成像、谐波融合成像模式（THI、FHI）</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w:t>
            </w:r>
            <w:r>
              <w:rPr>
                <w:rFonts w:hint="eastAsia" w:ascii="宋体" w:hAnsi="宋体" w:eastAsia="宋体" w:cs="宋体"/>
                <w:b w:val="0"/>
                <w:bCs w:val="0"/>
                <w:color w:val="auto"/>
                <w:kern w:val="2"/>
                <w:sz w:val="24"/>
                <w:szCs w:val="24"/>
              </w:rPr>
              <w:t>★</w:t>
            </w:r>
            <w:r>
              <w:rPr>
                <w:rFonts w:hint="eastAsia" w:ascii="宋体" w:hAnsi="宋体" w:eastAsia="宋体" w:cs="宋体"/>
                <w:b w:val="0"/>
                <w:bCs/>
                <w:color w:val="auto"/>
                <w:kern w:val="2"/>
                <w:sz w:val="24"/>
                <w:szCs w:val="24"/>
                <w:lang w:val="en-US" w:eastAsia="zh-CN" w:bidi="ar"/>
              </w:rPr>
              <w:t>宽景成像模式（WFOV）</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w:t>
            </w:r>
            <w:r>
              <w:rPr>
                <w:rFonts w:hint="eastAsia" w:ascii="宋体" w:hAnsi="宋体" w:eastAsia="宋体" w:cs="宋体"/>
                <w:b w:val="0"/>
                <w:bCs w:val="0"/>
                <w:color w:val="auto"/>
                <w:kern w:val="2"/>
                <w:sz w:val="24"/>
                <w:szCs w:val="24"/>
              </w:rPr>
              <w:t>★</w:t>
            </w:r>
            <w:r>
              <w:rPr>
                <w:rFonts w:hint="eastAsia" w:ascii="宋体" w:hAnsi="宋体" w:eastAsia="宋体" w:cs="宋体"/>
                <w:b w:val="0"/>
                <w:bCs/>
                <w:color w:val="auto"/>
                <w:kern w:val="2"/>
                <w:sz w:val="24"/>
                <w:szCs w:val="24"/>
                <w:lang w:val="en-US" w:eastAsia="zh-CN" w:bidi="ar"/>
              </w:rPr>
              <w:t>空间复合成像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斑点抑制成像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独立角度偏转</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w:t>
            </w:r>
            <w:r>
              <w:rPr>
                <w:rFonts w:hint="eastAsia" w:ascii="宋体" w:hAnsi="宋体" w:eastAsia="宋体" w:cs="宋体"/>
                <w:b w:val="0"/>
                <w:bCs w:val="0"/>
                <w:color w:val="auto"/>
                <w:kern w:val="2"/>
                <w:sz w:val="24"/>
                <w:szCs w:val="24"/>
              </w:rPr>
              <w:t>★</w:t>
            </w:r>
            <w:r>
              <w:rPr>
                <w:rFonts w:hint="eastAsia" w:ascii="宋体" w:hAnsi="宋体" w:eastAsia="宋体" w:cs="宋体"/>
                <w:b w:val="0"/>
                <w:bCs/>
                <w:color w:val="auto"/>
                <w:kern w:val="2"/>
                <w:sz w:val="24"/>
                <w:szCs w:val="24"/>
                <w:lang w:val="en-US" w:eastAsia="zh-CN" w:bidi="ar"/>
              </w:rPr>
              <w:t>梯形成像模式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w:t>
            </w:r>
            <w:r>
              <w:rPr>
                <w:rFonts w:hint="eastAsia" w:ascii="宋体" w:hAnsi="宋体" w:eastAsia="宋体" w:cs="宋体"/>
                <w:b w:val="0"/>
                <w:bCs w:val="0"/>
                <w:color w:val="auto"/>
                <w:kern w:val="2"/>
                <w:sz w:val="24"/>
                <w:szCs w:val="24"/>
              </w:rPr>
              <w:t>★</w:t>
            </w:r>
            <w:r>
              <w:rPr>
                <w:rFonts w:hint="eastAsia" w:ascii="宋体" w:hAnsi="宋体" w:eastAsia="宋体" w:cs="宋体"/>
                <w:b w:val="0"/>
                <w:bCs/>
                <w:color w:val="auto"/>
                <w:kern w:val="2"/>
                <w:sz w:val="24"/>
                <w:szCs w:val="24"/>
                <w:lang w:val="en-US" w:eastAsia="zh-CN" w:bidi="ar"/>
              </w:rPr>
              <w:t>自由臂三维成像</w:t>
            </w:r>
          </w:p>
          <w:p>
            <w:pPr>
              <w:bidi w:val="0"/>
              <w:jc w:val="both"/>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四维成像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
                <w:bCs w:val="0"/>
                <w:color w:val="auto"/>
                <w:kern w:val="2"/>
                <w:sz w:val="24"/>
                <w:szCs w:val="24"/>
                <w:lang w:val="en-US" w:eastAsia="zh-CN" w:bidi="ar"/>
              </w:rPr>
              <w:t>2</w:t>
            </w:r>
          </w:p>
        </w:tc>
        <w:tc>
          <w:tcPr>
            <w:tcW w:w="7261" w:type="dxa"/>
            <w:vAlign w:val="center"/>
          </w:tcPr>
          <w:p>
            <w:pPr>
              <w:bidi w:val="0"/>
              <w:jc w:val="both"/>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测量和分析</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常规测量：距离、面积、椭圆、十字线、角度、距离比率、体积、体积（椭圆）、面积比率、直径、关节角</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血管测量：长度狭窄比、面积狭窄比、IMT（后壁）、IMT（前壁）</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心脏测量：左心室、左室心肌、左室射血时间、MPAD、RVEDd、RVEDs、LA Vol、HR、M型二尖瓣、二尖瓣返流、主动脉、主动脉瓣、主动脉返流、左室流出道、三尖瓣血流、肺动脉瓣、肺静脉、右心室、多普勒胎心音、BF、LVET、LV TEI</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产科测量：胎儿常规、胎重、妊娠囊、头臀径、枕额径、肱骨长、羊水指数</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妇科测量：常规、子宫、宫体、宫颈、卵巢、内膜</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泌尿测量：前列腺、残余尿、左肾、右肾、左肾上腺、右肾上腺、左睾丸、右睾丸、左精囊、右精囊</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M常规测量软件包：时间、距离、心率、速度等</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腹部测量：肝脏、肝总管、门静脉内径、胆囊、胆总管、胰腺、脾脏、腹主动脉直径、肾脏</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小器官测量：甲状腺、泌尿、血管</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宋体" w:hAnsi="宋体" w:eastAsia="宋体" w:cs="宋体"/>
                <w:b/>
                <w:bCs w:val="0"/>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  软件包：测量软件包、报告软件包、病历管理软件包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
                <w:bCs w:val="0"/>
                <w:color w:val="auto"/>
                <w:kern w:val="2"/>
                <w:sz w:val="24"/>
                <w:szCs w:val="24"/>
                <w:lang w:val="en-US" w:eastAsia="zh-CN" w:bidi="ar"/>
              </w:rPr>
              <w:t>3</w:t>
            </w:r>
          </w:p>
        </w:tc>
        <w:tc>
          <w:tcPr>
            <w:tcW w:w="7261" w:type="dxa"/>
            <w:vAlign w:val="center"/>
          </w:tcPr>
          <w:p>
            <w:pPr>
              <w:bidi w:val="0"/>
              <w:jc w:val="both"/>
              <w:rPr>
                <w:rFonts w:hint="eastAsia" w:ascii="宋体" w:hAnsi="宋体" w:eastAsia="宋体" w:cs="宋体"/>
                <w:color w:val="auto"/>
                <w:vertAlign w:val="baseline"/>
                <w:lang w:val="en-US" w:eastAsia="zh-CN"/>
              </w:rPr>
            </w:pPr>
            <w:r>
              <w:rPr>
                <w:rFonts w:hint="eastAsia" w:ascii="宋体" w:hAnsi="宋体" w:eastAsia="宋体" w:cs="宋体"/>
                <w:b/>
                <w:bCs w:val="0"/>
                <w:color w:val="auto"/>
                <w:kern w:val="2"/>
                <w:sz w:val="24"/>
                <w:szCs w:val="24"/>
                <w:lang w:val="en-US" w:eastAsia="zh-CN" w:bidi="ar"/>
              </w:rPr>
              <w:t>图像记录与管理系统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3.1</w:t>
            </w:r>
          </w:p>
        </w:tc>
        <w:tc>
          <w:tcPr>
            <w:tcW w:w="7261" w:type="dxa"/>
            <w:vAlign w:val="center"/>
          </w:tcPr>
          <w:p>
            <w:pPr>
              <w:bidi w:val="0"/>
              <w:jc w:val="both"/>
              <w:rPr>
                <w:rFonts w:hint="eastAsia" w:ascii="宋体" w:hAnsi="宋体" w:eastAsia="宋体" w:cs="宋体"/>
                <w:color w:val="auto"/>
                <w:vertAlign w:val="baseline"/>
                <w:lang w:val="en-US" w:eastAsia="zh-CN"/>
              </w:rPr>
            </w:pPr>
            <w:r>
              <w:rPr>
                <w:rFonts w:hint="eastAsia" w:ascii="宋体" w:hAnsi="宋体" w:eastAsia="宋体" w:cs="宋体"/>
                <w:bCs/>
                <w:color w:val="auto"/>
                <w:kern w:val="2"/>
                <w:sz w:val="24"/>
                <w:szCs w:val="24"/>
                <w:lang w:val="en-US" w:eastAsia="zh-CN" w:bidi="ar"/>
              </w:rPr>
              <w:t>内置基于WINDOWS操作系统的图像管理系统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主机内置双硬盘，启动快速、稳定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电影回放：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3.3.1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最大≥6400帧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3.3.2</w:t>
            </w:r>
          </w:p>
        </w:tc>
        <w:tc>
          <w:tcPr>
            <w:tcW w:w="7261" w:type="dxa"/>
            <w:vAlign w:val="center"/>
          </w:tcPr>
          <w:p>
            <w:pPr>
              <w:keepNext w:val="0"/>
              <w:keepLines w:val="0"/>
              <w:widowControl w:val="0"/>
              <w:suppressLineNumbers w:val="0"/>
              <w:adjustRightInd w:val="0"/>
              <w:spacing w:before="0" w:beforeAutospacing="0" w:after="0" w:afterAutospacing="0" w:line="360" w:lineRule="auto"/>
              <w:ind w:right="0"/>
              <w:jc w:val="both"/>
              <w:textAlignment w:val="baseline"/>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具有自动电影回放、手动电影回放功能。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可接配黑白及彩色打印机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可直接接配外置工作站系统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内置中文患者档案信息管理系统：能记录患者编号、名称、检查号、检查日期等，并能通过编号、检查号、名称等进行搜索管理。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一键快速报告图文管理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五</w:t>
            </w:r>
          </w:p>
        </w:tc>
        <w:tc>
          <w:tcPr>
            <w:tcW w:w="7261" w:type="dxa"/>
            <w:vAlign w:val="center"/>
          </w:tcPr>
          <w:p>
            <w:pPr>
              <w:bidi w:val="0"/>
              <w:jc w:val="both"/>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主要技术规格及要求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系统通用概述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TGC≥8段  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LGC≥7段  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焦点数≥8个，焦点位置可视可调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组织谐波成像功能：谐波频率≥3组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具有高密度成像功能，可选择超声高、中、低线密度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宽频变频探头，变频探头频率选择≥13种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帧相关≥6级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1.8</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扫描图像支持整体放大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1.9</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显示控制：图像左／右反转，图像上/下反转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1.10</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单界面剪贴板可显示≥7个电影回放文件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电影文件、单幅图片均可内置存储或存至USB盘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可显示黑白、彩色双幅双比图像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穿刺引导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 w:val="0"/>
                <w:bCs w:val="0"/>
                <w:color w:val="auto"/>
                <w:kern w:val="2"/>
                <w:sz w:val="24"/>
                <w:szCs w:val="24"/>
              </w:rPr>
              <w:t>★</w:t>
            </w:r>
            <w:r>
              <w:rPr>
                <w:rFonts w:hint="eastAsia" w:ascii="宋体" w:hAnsi="宋体" w:eastAsia="宋体" w:cs="宋体"/>
                <w:bCs/>
                <w:color w:val="auto"/>
                <w:kern w:val="2"/>
                <w:sz w:val="24"/>
                <w:szCs w:val="24"/>
                <w:lang w:val="en-US" w:eastAsia="zh-CN" w:bidi="ar"/>
              </w:rPr>
              <w:t>支持手动触摸屏上注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探头技术规格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2.1</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腹部探头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2.1.1</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频率：2～5.5MHz宽频加变频探头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2.1.2</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频率变换≥12段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2.2</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浅表探头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2.2.1</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频率：3～13MHz宽频加变频探头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2.2.2</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频率变换≥13段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2.3</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容积探头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2.3.1</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频率：2.0～5.5MHz宽频加变频探头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2.3.2</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频率变换≥11段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2.4</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腔内探头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2.4.1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频率：3.0～10.0MHz宽频加变频探头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2.4.2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频率变换≥12段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相控阵探头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2.5.1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频率：1.7～5MHz宽频加变频探头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2.5.2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频率变换≥12段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二维灰阶图象显示主要参数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二维灰阶：≥256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动态范围：≥180dB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最大扫描深度≥360mm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扫描帧率：腹部探头，诊断深度≥270mm，全视野时≥30帧／秒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增益调节：B/C/D/M可独立调节，≥100，8段TGC增益补偿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 xml:space="preserve">3.6 </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LGC：≥7段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扫描线：每帧线密度≥256线／帧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3.8</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数字式声束形成器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3.9</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聚焦方式：</w:t>
            </w:r>
          </w:p>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  发射聚焦≥8段</w:t>
            </w:r>
          </w:p>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  拥有声透镜聚焦</w:t>
            </w:r>
          </w:p>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  接收聚焦：动态逐点接收聚焦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3.10</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空间合成0-3可视可调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3.11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斑点抑制0-5可视可调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3.12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噪声抑制0-5可视可调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3.13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边缘增强0-5可视可调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3.14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图像风格：柔化、对比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3.15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伪彩图谱：≥67种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多普勒图像显示主要参数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壁滤波器滤波范围≥6级可调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多普勒增益：≥100可视可调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彩色频率≥4级可视可调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脉冲多普勒最低探测血流速度：1CM／秒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脉冲多普勒最高探测血流速度：≥8米／秒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彩色多普勒取样包大小≥7级可视可调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彩色多普勒血流线密度3级可视可调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4.8</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可调节彩色多普勒图像的帧相关0-6可视可调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4.9</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取样容积：≥80mm可视调节（相控阵）</w:t>
            </w:r>
          </w:p>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凸阵、线阵、腔内探头≥30mm可视调节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5</w:t>
            </w:r>
          </w:p>
        </w:tc>
        <w:tc>
          <w:tcPr>
            <w:tcW w:w="7261" w:type="dxa"/>
            <w:vAlign w:val="center"/>
          </w:tcPr>
          <w:p>
            <w:pPr>
              <w:bidi w:val="0"/>
              <w:jc w:val="both"/>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三维成像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5.1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支持探头：凸阵探头，线阵探头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5.2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显示模式：四幅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5.3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图像旋转功能：具备360度图像旋转功能，可X\Y\Z三个方向任意旋转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四维成像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显示模式：</w:t>
            </w:r>
            <w:r>
              <w:rPr>
                <w:rFonts w:hint="eastAsia" w:ascii="宋体" w:hAnsi="宋体" w:eastAsia="宋体" w:cs="宋体"/>
                <w:color w:val="auto"/>
                <w:kern w:val="0"/>
                <w:sz w:val="24"/>
                <w:szCs w:val="24"/>
                <w:lang w:val="en-US" w:eastAsia="zh-CN" w:bidi="ar"/>
              </w:rPr>
              <w:t>单幅、双幅、四幅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6.2</w:t>
            </w:r>
          </w:p>
        </w:tc>
        <w:tc>
          <w:tcPr>
            <w:tcW w:w="7261" w:type="dxa"/>
            <w:vAlign w:val="center"/>
          </w:tcPr>
          <w:p>
            <w:pPr>
              <w:keepNext w:val="0"/>
              <w:keepLines w:val="0"/>
              <w:widowControl w:val="0"/>
              <w:suppressLineNumbers w:val="0"/>
              <w:adjustRightInd w:val="0"/>
              <w:spacing w:before="0" w:beforeAutospacing="0" w:after="0" w:afterAutospacing="0" w:line="360" w:lineRule="auto"/>
              <w:ind w:right="0"/>
              <w:jc w:val="both"/>
              <w:textAlignment w:val="baseline"/>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图像旋转功能：具备360度图像旋转功能，可X\Y\Z三个方向任意旋转和切割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图像明暗反转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阈值：≥200,步进3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图像平滑处理功能≥4种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透明度：≥490，步进20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渲染类型：表面、最大、最小、透视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输出信号及接口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7.1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USB2.0输出接口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7.2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DICOM3.0输出接口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7.3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接地线接口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7.4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DVD R/W 刻录光驱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六</w:t>
            </w:r>
          </w:p>
        </w:tc>
        <w:tc>
          <w:tcPr>
            <w:tcW w:w="7261" w:type="dxa"/>
            <w:vAlign w:val="center"/>
          </w:tcPr>
          <w:p>
            <w:pPr>
              <w:bidi w:val="0"/>
              <w:jc w:val="both"/>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探头3只：凸阵探头、线阵探头、腔内探头各1只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w:t>
            </w:r>
          </w:p>
        </w:tc>
        <w:tc>
          <w:tcPr>
            <w:tcW w:w="7261" w:type="dxa"/>
            <w:vAlign w:val="center"/>
          </w:tcPr>
          <w:p>
            <w:pPr>
              <w:keepNext w:val="0"/>
              <w:keepLines w:val="0"/>
              <w:widowControl w:val="0"/>
              <w:suppressLineNumbers w:val="0"/>
              <w:adjustRightInd w:val="0"/>
              <w:spacing w:before="0" w:beforeAutospacing="0" w:after="0" w:afterAutospacing="0"/>
              <w:ind w:right="-204" w:rightChars="-85"/>
              <w:jc w:val="both"/>
              <w:textAlignment w:val="baseline"/>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可选配探头：容积探头、相控阵探头等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w:t>
            </w:r>
          </w:p>
        </w:tc>
        <w:tc>
          <w:tcPr>
            <w:tcW w:w="7261" w:type="dxa"/>
            <w:vAlign w:val="center"/>
          </w:tcPr>
          <w:p>
            <w:pPr>
              <w:keepNext w:val="0"/>
              <w:keepLines w:val="0"/>
              <w:widowControl w:val="0"/>
              <w:suppressLineNumbers w:val="0"/>
              <w:adjustRightInd w:val="0"/>
              <w:spacing w:before="0" w:beforeAutospacing="0" w:after="0" w:afterAutospacing="0"/>
              <w:ind w:right="-204" w:rightChars="-85"/>
              <w:jc w:val="both"/>
              <w:textAlignment w:val="baseline"/>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附件：1套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技术文件：仪器操作说明书、安装指南等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七</w:t>
            </w:r>
          </w:p>
        </w:tc>
        <w:tc>
          <w:tcPr>
            <w:tcW w:w="7261" w:type="dxa"/>
            <w:vAlign w:val="center"/>
          </w:tcPr>
          <w:p>
            <w:pPr>
              <w:bidi w:val="0"/>
              <w:jc w:val="both"/>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安全和认证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经CE、NMPA、CMD认证，ISO9001质量体系认证证</w:t>
            </w:r>
          </w:p>
        </w:tc>
      </w:tr>
    </w:tbl>
    <w:p>
      <w:pPr>
        <w:bidi w:val="0"/>
        <w:rPr>
          <w:rFonts w:hint="eastAsia"/>
          <w:color w:val="auto"/>
          <w:lang w:val="en-US" w:eastAsia="zh-CN"/>
        </w:rPr>
      </w:pPr>
    </w:p>
    <w:p>
      <w:pPr>
        <w:rPr>
          <w:rFonts w:hint="eastAsia"/>
          <w:color w:val="auto"/>
          <w:lang w:val="en-US" w:eastAsia="zh-CN"/>
        </w:rPr>
      </w:pPr>
      <w:r>
        <w:rPr>
          <w:rFonts w:hint="eastAsia" w:ascii="宋体" w:hAnsi="宋体" w:eastAsia="宋体" w:cs="宋体"/>
          <w:b/>
          <w:bCs/>
          <w:color w:val="auto"/>
          <w:sz w:val="28"/>
          <w:szCs w:val="28"/>
          <w:lang w:eastAsia="zh-CN"/>
        </w:rPr>
        <w:t>包</w:t>
      </w:r>
      <w:r>
        <w:rPr>
          <w:rFonts w:hint="eastAsia" w:ascii="宋体" w:hAnsi="宋体" w:eastAsia="宋体" w:cs="宋体"/>
          <w:b/>
          <w:bCs/>
          <w:color w:val="auto"/>
          <w:sz w:val="28"/>
          <w:szCs w:val="28"/>
          <w:lang w:val="en-US" w:eastAsia="zh-CN"/>
        </w:rPr>
        <w:t>B</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7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center"/>
              <w:rPr>
                <w:rFonts w:hint="eastAsia"/>
                <w:color w:val="auto"/>
                <w:vertAlign w:val="baseline"/>
                <w:lang w:val="en-US" w:eastAsia="zh-CN"/>
              </w:rPr>
            </w:pPr>
            <w:r>
              <w:rPr>
                <w:rFonts w:hint="eastAsia" w:ascii="宋体" w:hAnsi="宋体" w:eastAsia="宋体" w:cs="宋体"/>
                <w:b/>
                <w:bCs/>
                <w:color w:val="auto"/>
                <w:sz w:val="28"/>
                <w:szCs w:val="28"/>
                <w:lang w:val="en-US" w:eastAsia="zh-CN"/>
              </w:rPr>
              <w:t>五分类血细胞分析仪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b/>
                <w:bCs/>
                <w:color w:val="auto"/>
                <w:vertAlign w:val="baseline"/>
                <w:lang w:val="en-US" w:eastAsia="zh-CN"/>
              </w:rPr>
            </w:pPr>
            <w:r>
              <w:rPr>
                <w:rFonts w:hint="eastAsia"/>
                <w:b/>
                <w:bCs/>
                <w:color w:val="auto"/>
                <w:vertAlign w:val="baseline"/>
                <w:lang w:val="en-US" w:eastAsia="zh-CN"/>
              </w:rPr>
              <w:t>序号</w:t>
            </w:r>
          </w:p>
        </w:tc>
        <w:tc>
          <w:tcPr>
            <w:tcW w:w="7261" w:type="dxa"/>
            <w:vAlign w:val="center"/>
          </w:tcPr>
          <w:p>
            <w:pPr>
              <w:bidi w:val="0"/>
              <w:jc w:val="center"/>
              <w:rPr>
                <w:rFonts w:hint="eastAsia"/>
                <w:b/>
                <w:bCs/>
                <w:color w:val="auto"/>
                <w:vertAlign w:val="baseline"/>
                <w:lang w:val="en-US" w:eastAsia="zh-CN"/>
              </w:rPr>
            </w:pPr>
            <w:r>
              <w:rPr>
                <w:rFonts w:hint="eastAsia"/>
                <w:b/>
                <w:bCs/>
                <w:color w:val="auto"/>
                <w:vertAlign w:val="baseline"/>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61" w:type="dxa"/>
            <w:vAlign w:val="center"/>
          </w:tcPr>
          <w:p>
            <w:pPr>
              <w:bidi w:val="0"/>
              <w:jc w:val="center"/>
              <w:rPr>
                <w:rFonts w:hint="default"/>
                <w:b w:val="0"/>
                <w:bCs w:val="0"/>
                <w:color w:val="auto"/>
                <w:vertAlign w:val="baseline"/>
                <w:lang w:val="en-US" w:eastAsia="zh-CN"/>
              </w:rPr>
            </w:pPr>
            <w:r>
              <w:rPr>
                <w:rFonts w:hint="eastAsia"/>
                <w:b w:val="0"/>
                <w:bCs w:val="0"/>
                <w:color w:val="auto"/>
                <w:vertAlign w:val="baseline"/>
                <w:lang w:val="en-US" w:eastAsia="zh-CN"/>
              </w:rPr>
              <w:t>1</w:t>
            </w:r>
          </w:p>
        </w:tc>
        <w:tc>
          <w:tcPr>
            <w:tcW w:w="7261" w:type="dxa"/>
            <w:vAlign w:val="center"/>
          </w:tcPr>
          <w:p>
            <w:pPr>
              <w:pStyle w:val="36"/>
              <w:widowControl/>
              <w:numPr>
                <w:ilvl w:val="0"/>
                <w:numId w:val="0"/>
              </w:numPr>
              <w:spacing w:line="360" w:lineRule="auto"/>
              <w:ind w:leftChars="0"/>
              <w:jc w:val="both"/>
              <w:rPr>
                <w:rFonts w:hint="eastAsia"/>
                <w:b w:val="0"/>
                <w:bCs w:val="0"/>
                <w:color w:val="auto"/>
                <w:vertAlign w:val="baseline"/>
                <w:lang w:val="en-US" w:eastAsia="zh-CN"/>
              </w:rPr>
            </w:pPr>
            <w:r>
              <w:rPr>
                <w:rFonts w:hint="eastAsia" w:ascii="宋体" w:hAnsi="宋体" w:eastAsia="宋体" w:cs="宋体"/>
                <w:b w:val="0"/>
                <w:bCs w:val="0"/>
                <w:color w:val="auto"/>
                <w:kern w:val="2"/>
                <w:sz w:val="24"/>
                <w:szCs w:val="24"/>
              </w:rPr>
              <w:t>★仪器功能：一次进样同时进行血细胞五分类检测和C-反应蛋白检测（五分类血液细胞分析仪+CRP反应一体机）。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b w:val="0"/>
                <w:bCs w:val="0"/>
                <w:color w:val="auto"/>
                <w:vertAlign w:val="baseline"/>
                <w:lang w:val="en-US" w:eastAsia="zh-CN"/>
              </w:rPr>
            </w:pPr>
            <w:r>
              <w:rPr>
                <w:rFonts w:hint="eastAsia"/>
                <w:b w:val="0"/>
                <w:bCs w:val="0"/>
                <w:color w:val="auto"/>
                <w:vertAlign w:val="baseline"/>
                <w:lang w:val="en-US" w:eastAsia="zh-CN"/>
              </w:rPr>
              <w:t>2</w:t>
            </w:r>
          </w:p>
        </w:tc>
        <w:tc>
          <w:tcPr>
            <w:tcW w:w="7261" w:type="dxa"/>
            <w:vAlign w:val="center"/>
          </w:tcPr>
          <w:p>
            <w:pPr>
              <w:pStyle w:val="36"/>
              <w:widowControl/>
              <w:numPr>
                <w:ilvl w:val="0"/>
                <w:numId w:val="0"/>
              </w:numPr>
              <w:spacing w:line="360" w:lineRule="auto"/>
              <w:ind w:leftChars="0"/>
              <w:jc w:val="both"/>
              <w:rPr>
                <w:rFonts w:hint="eastAsia"/>
                <w:b w:val="0"/>
                <w:bCs w:val="0"/>
                <w:color w:val="auto"/>
                <w:vertAlign w:val="baseline"/>
                <w:lang w:val="en-US" w:eastAsia="zh-CN"/>
              </w:rPr>
            </w:pPr>
            <w:r>
              <w:rPr>
                <w:rFonts w:hint="eastAsia" w:ascii="宋体" w:hAnsi="宋体" w:eastAsia="宋体" w:cs="宋体"/>
                <w:b w:val="0"/>
                <w:bCs w:val="0"/>
                <w:color w:val="auto"/>
                <w:kern w:val="2"/>
                <w:sz w:val="24"/>
                <w:szCs w:val="24"/>
              </w:rPr>
              <w:t>检测原理：≥3角度激光散射法对白细胞进行分类检测，采用免疫比浊法进行C-反应蛋白（CRP）测定。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b w:val="0"/>
                <w:bCs w:val="0"/>
                <w:color w:val="auto"/>
                <w:vertAlign w:val="baseline"/>
                <w:lang w:val="en-US" w:eastAsia="zh-CN"/>
              </w:rPr>
            </w:pPr>
            <w:r>
              <w:rPr>
                <w:rFonts w:hint="eastAsia"/>
                <w:b w:val="0"/>
                <w:bCs w:val="0"/>
                <w:color w:val="auto"/>
                <w:vertAlign w:val="baseline"/>
                <w:lang w:val="en-US" w:eastAsia="zh-CN"/>
              </w:rPr>
              <w:t>3</w:t>
            </w:r>
          </w:p>
        </w:tc>
        <w:tc>
          <w:tcPr>
            <w:tcW w:w="7261" w:type="dxa"/>
            <w:vAlign w:val="center"/>
          </w:tcPr>
          <w:p>
            <w:pPr>
              <w:pStyle w:val="36"/>
              <w:widowControl/>
              <w:numPr>
                <w:ilvl w:val="0"/>
                <w:numId w:val="0"/>
              </w:numPr>
              <w:spacing w:line="360" w:lineRule="auto"/>
              <w:ind w:leftChars="0"/>
              <w:jc w:val="both"/>
              <w:rPr>
                <w:rFonts w:hint="eastAsia"/>
                <w:b w:val="0"/>
                <w:bCs w:val="0"/>
                <w:color w:val="auto"/>
                <w:vertAlign w:val="baseline"/>
                <w:lang w:val="en-US" w:eastAsia="zh-CN"/>
              </w:rPr>
            </w:pPr>
            <w:r>
              <w:rPr>
                <w:rFonts w:hint="eastAsia" w:ascii="宋体" w:hAnsi="宋体" w:eastAsia="宋体" w:cs="宋体"/>
                <w:b w:val="0"/>
                <w:bCs w:val="0"/>
                <w:color w:val="auto"/>
                <w:kern w:val="2"/>
                <w:sz w:val="24"/>
                <w:szCs w:val="24"/>
              </w:rPr>
              <w:t>★检测参数：≥29项可报告参数（不含散点图和直方图及研究性参数），2个三维散点图，2个二维散点图，2个直方图。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b w:val="0"/>
                <w:bCs w:val="0"/>
                <w:color w:val="auto"/>
                <w:vertAlign w:val="baseline"/>
                <w:lang w:val="en-US" w:eastAsia="zh-CN"/>
              </w:rPr>
            </w:pPr>
            <w:r>
              <w:rPr>
                <w:rFonts w:hint="eastAsia"/>
                <w:b w:val="0"/>
                <w:bCs w:val="0"/>
                <w:color w:val="auto"/>
                <w:vertAlign w:val="baseline"/>
                <w:lang w:val="en-US" w:eastAsia="zh-CN"/>
              </w:rPr>
              <w:t>4</w:t>
            </w:r>
          </w:p>
        </w:tc>
        <w:tc>
          <w:tcPr>
            <w:tcW w:w="7261" w:type="dxa"/>
            <w:vAlign w:val="center"/>
          </w:tcPr>
          <w:p>
            <w:pPr>
              <w:pStyle w:val="36"/>
              <w:widowControl/>
              <w:numPr>
                <w:ilvl w:val="0"/>
                <w:numId w:val="0"/>
              </w:numPr>
              <w:spacing w:line="360" w:lineRule="auto"/>
              <w:ind w:leftChars="0"/>
              <w:jc w:val="both"/>
              <w:rPr>
                <w:rFonts w:hint="eastAsia"/>
                <w:b w:val="0"/>
                <w:bCs w:val="0"/>
                <w:color w:val="auto"/>
                <w:vertAlign w:val="baseline"/>
                <w:lang w:val="en-US" w:eastAsia="zh-CN"/>
              </w:rPr>
            </w:pPr>
            <w:r>
              <w:rPr>
                <w:rFonts w:hint="eastAsia" w:ascii="宋体" w:hAnsi="宋体" w:eastAsia="宋体" w:cs="宋体"/>
                <w:b w:val="0"/>
                <w:bCs w:val="0"/>
                <w:color w:val="auto"/>
                <w:kern w:val="2"/>
                <w:sz w:val="24"/>
                <w:szCs w:val="24"/>
              </w:rPr>
              <w:t>★网织红细胞检测：≥3项参数（ RETIC-ABS，RETIC，IRF）。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5</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研究性参数：≥6项（ALY%，ALY#，LIC%，LIC#，NRBC%，NRBC#）。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6</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进样方式：全自动批量进样，单个封闭进样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7</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★检测模式：全血样本（CBC，CBC+5DIFF，CBC+5DIFF+RRBC，CBC+5DIFF+CRP，CRP，RET）；预稀释样本（CBC，CBC+5DIFF，CBC+5DIFF+CRP，CRP）。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8</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试剂储存：仪器自带制冷功能存放CRP测试试剂，无需冰箱存储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9</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进样模式：具有独立的静脉全血、末梢全血、预稀释血检测模式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10</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样本用量：五分类+CRP模式≤35μl，CRP模式≤20μl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11</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★检测速度：五分类+CRP模式≥50个样本/小时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12</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预稀释模式：具备五分类+CRP功能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13</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WBC线性范围：0~400×10</w:t>
            </w:r>
            <w:r>
              <w:rPr>
                <w:rFonts w:hint="eastAsia" w:ascii="宋体" w:hAnsi="宋体" w:eastAsia="宋体" w:cs="宋体"/>
                <w:b w:val="0"/>
                <w:bCs w:val="0"/>
                <w:color w:val="auto"/>
                <w:kern w:val="2"/>
                <w:sz w:val="24"/>
                <w:szCs w:val="24"/>
                <w:vertAlign w:val="superscript"/>
              </w:rPr>
              <w:t>9</w:t>
            </w:r>
            <w:r>
              <w:rPr>
                <w:rFonts w:hint="eastAsia" w:ascii="宋体" w:hAnsi="宋体" w:eastAsia="宋体" w:cs="宋体"/>
                <w:b w:val="0"/>
                <w:bCs w:val="0"/>
                <w:color w:val="auto"/>
                <w:kern w:val="2"/>
                <w:sz w:val="24"/>
                <w:szCs w:val="24"/>
              </w:rPr>
              <w:t>/L，PLT线性范围：0~5000×10</w:t>
            </w:r>
            <w:r>
              <w:rPr>
                <w:rFonts w:hint="eastAsia" w:ascii="宋体" w:hAnsi="宋体" w:eastAsia="宋体" w:cs="宋体"/>
                <w:b w:val="0"/>
                <w:bCs w:val="0"/>
                <w:color w:val="auto"/>
                <w:kern w:val="2"/>
                <w:sz w:val="24"/>
                <w:szCs w:val="24"/>
                <w:vertAlign w:val="superscript"/>
              </w:rPr>
              <w:t>12</w:t>
            </w:r>
            <w:r>
              <w:rPr>
                <w:rFonts w:hint="eastAsia" w:ascii="宋体" w:hAnsi="宋体" w:eastAsia="宋体" w:cs="宋体"/>
                <w:b w:val="0"/>
                <w:bCs w:val="0"/>
                <w:color w:val="auto"/>
                <w:kern w:val="2"/>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14</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★CRP线性范围：0.2~320mg/L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15</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CRP携带污染：≤1.0%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16</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操作系统：全中文操作分析报告软件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17</w:t>
            </w:r>
          </w:p>
        </w:tc>
        <w:tc>
          <w:tcPr>
            <w:tcW w:w="7261" w:type="dxa"/>
            <w:vAlign w:val="center"/>
          </w:tcPr>
          <w:p>
            <w:pPr>
              <w:pStyle w:val="36"/>
              <w:widowControl/>
              <w:numPr>
                <w:ilvl w:val="0"/>
                <w:numId w:val="0"/>
              </w:numPr>
              <w:spacing w:line="360" w:lineRule="auto"/>
              <w:ind w:leftChars="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具有原厂配套的试剂、校准品、质控品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vertAlign w:val="baseline"/>
                <w:lang w:val="en-US" w:eastAsia="zh-CN"/>
              </w:rPr>
            </w:pPr>
            <w:r>
              <w:rPr>
                <w:rFonts w:hint="eastAsia" w:ascii="宋体" w:hAnsi="宋体" w:eastAsia="宋体" w:cs="宋体"/>
                <w:b w:val="0"/>
                <w:bCs w:val="0"/>
                <w:color w:val="auto"/>
                <w:vertAlign w:val="baseline"/>
                <w:lang w:val="en-US" w:eastAsia="zh-CN"/>
              </w:rPr>
              <w:t>18</w:t>
            </w:r>
          </w:p>
        </w:tc>
        <w:tc>
          <w:tcPr>
            <w:tcW w:w="7261" w:type="dxa"/>
            <w:vAlign w:val="center"/>
          </w:tcPr>
          <w:p>
            <w:pPr>
              <w:bidi w:val="0"/>
              <w:jc w:val="both"/>
              <w:rPr>
                <w:rFonts w:hint="eastAsia" w:ascii="宋体" w:hAnsi="宋体" w:eastAsia="宋体" w:cs="宋体"/>
                <w:b w:val="0"/>
                <w:bCs w:val="0"/>
                <w:color w:val="auto"/>
                <w:vertAlign w:val="baseline"/>
                <w:lang w:val="en-US" w:eastAsia="zh-CN"/>
              </w:rPr>
            </w:pPr>
            <w:r>
              <w:rPr>
                <w:rFonts w:hint="eastAsia" w:ascii="宋体" w:hAnsi="宋体" w:eastAsia="宋体" w:cs="宋体"/>
                <w:b w:val="0"/>
                <w:bCs w:val="0"/>
                <w:color w:val="auto"/>
                <w:kern w:val="2"/>
                <w:sz w:val="24"/>
                <w:szCs w:val="24"/>
              </w:rPr>
              <w:t>★数据储存：≥50万份，具有数据增量备份，数据迁移功能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bidi w:val="0"/>
              <w:jc w:val="both"/>
              <w:rPr>
                <w:rFonts w:hint="eastAsia" w:ascii="宋体" w:hAnsi="宋体" w:eastAsia="宋体" w:cs="宋体"/>
                <w:b w:val="0"/>
                <w:bCs/>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center"/>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color w:val="auto"/>
                <w:sz w:val="28"/>
                <w:szCs w:val="28"/>
                <w:lang w:val="en-US" w:eastAsia="zh-CN"/>
              </w:rPr>
              <w:t>心电监护仪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b/>
                <w:bCs/>
                <w:color w:val="auto"/>
                <w:vertAlign w:val="baseline"/>
                <w:lang w:val="en-US" w:eastAsia="zh-CN"/>
              </w:rPr>
              <w:t>序号</w:t>
            </w:r>
          </w:p>
        </w:tc>
        <w:tc>
          <w:tcPr>
            <w:tcW w:w="7261" w:type="dxa"/>
            <w:vAlign w:val="center"/>
          </w:tcPr>
          <w:p>
            <w:pPr>
              <w:bidi w:val="0"/>
              <w:jc w:val="center"/>
              <w:rPr>
                <w:rFonts w:hint="eastAsia" w:ascii="宋体" w:hAnsi="宋体" w:eastAsia="宋体" w:cs="宋体"/>
                <w:color w:val="auto"/>
                <w:vertAlign w:val="baseline"/>
                <w:lang w:val="en-US" w:eastAsia="zh-CN"/>
              </w:rPr>
            </w:pPr>
            <w:r>
              <w:rPr>
                <w:rFonts w:hint="eastAsia"/>
                <w:b/>
                <w:bCs/>
                <w:color w:val="auto"/>
                <w:vertAlign w:val="baseline"/>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color w:val="auto"/>
                <w:vertAlign w:val="baseline"/>
                <w:lang w:val="en-US" w:eastAsia="zh-CN"/>
              </w:rPr>
              <w:t>1</w:t>
            </w:r>
          </w:p>
        </w:tc>
        <w:tc>
          <w:tcPr>
            <w:tcW w:w="7261" w:type="dxa"/>
            <w:vAlign w:val="center"/>
          </w:tcPr>
          <w:p>
            <w:pPr>
              <w:bidi w:val="0"/>
              <w:jc w:val="both"/>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适用范围：成人，儿童，新生儿（注册证证明）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★操作方式：标配触摸屏，二级操作菜单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★屏幕：≥12.1英寸，背光内置式TFT彩色显示屏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★标配参数接口：ECG，血氧饱和度，无创血压，2通道体温，2通道有创压，主流法呼吸末二氧化碳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5</w:t>
            </w:r>
          </w:p>
        </w:tc>
        <w:tc>
          <w:tcPr>
            <w:tcW w:w="7261" w:type="dxa"/>
            <w:vAlign w:val="center"/>
          </w:tcPr>
          <w:p>
            <w:pPr>
              <w:keepNext w:val="0"/>
              <w:keepLines w:val="0"/>
              <w:widowControl w:val="0"/>
              <w:suppressLineNumbers w:val="0"/>
              <w:adjustRightInd w:val="0"/>
              <w:spacing w:before="0" w:beforeAutospacing="0" w:after="0" w:afterAutospacing="0" w:line="360" w:lineRule="auto"/>
              <w:ind w:right="0"/>
              <w:jc w:val="both"/>
              <w:textAlignment w:val="baseline"/>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★存储：≥120小时全息波形存储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把手：可折叠把手，便于携带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★软件内置智能图示操作指南，介绍各个参数测量方法，专业术语、特殊符号，及基本问题处理方法等，具备药物计算功能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8</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跨床监护：≥8床位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color w:val="auto"/>
                <w:vertAlign w:val="baseline"/>
                <w:lang w:val="en-US" w:eastAsia="zh-CN"/>
              </w:rPr>
            </w:pPr>
            <w:r>
              <w:rPr>
                <w:rFonts w:hint="eastAsia" w:ascii="宋体" w:hAnsi="宋体" w:eastAsia="宋体" w:cs="宋体"/>
                <w:bCs/>
                <w:color w:val="auto"/>
                <w:kern w:val="2"/>
                <w:sz w:val="24"/>
                <w:szCs w:val="24"/>
                <w:lang w:val="en-US" w:eastAsia="zh-CN" w:bidi="ar"/>
              </w:rPr>
              <w:t>9</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外壳防水等级：≥IPX1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ECG功能：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ECG波形可层叠显示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可同屏显示7导联ECG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高T波抑制能力，ESU防护，耐除颤保护，起搏监测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★频率特性：0.05~150Hz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QRS识别模式：成人，儿童，新生儿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标配高精度心律失常分析功能，QRS检测灵敏度与AHA数据库的符合度≥99.8%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SpO2功能：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★成人用血氧饱和度探头原装进口，可水洗消毒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成人用血氧饱和度探头采用平行夹设计，减少患者压痛感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具备抗运动干扰或者低灌注场合精准测量软件调节功能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可显示信号质量指数SQI，灌注指数PI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★NIBP功能：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12.1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成人/儿童袖带充气时间: ≤11s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12.2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新生儿袖带充气时间：≤5s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12.3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血压测量模式：手动，定时，腰麻，连续等可选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12.4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★新生儿NIBP充气袖带：带有过压保护功能，机器自动识别新生儿袖带，并开启新生儿压力测量模式，压力过大时，自动断开袖带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★主流法呼吸末二氧化碳：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13.1</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传感器预热时间短：≤5S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13.2</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传感器防水等级：IPX7，可水洗消毒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13.3</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主流法支持插管及非插管患者测量，支持新生儿主流插管法测量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14</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★标配HL7协议接口及HL7 波形输出功能，与HIS无障碍连接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15</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★患者姓名输入方式：手写，拼音，及中文输入法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16</w:t>
            </w:r>
          </w:p>
        </w:tc>
        <w:tc>
          <w:tcPr>
            <w:tcW w:w="7261" w:type="dxa"/>
            <w:vAlign w:val="center"/>
          </w:tcPr>
          <w:p>
            <w:pPr>
              <w:bidi w:val="0"/>
              <w:jc w:val="both"/>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★电池：标配锂电池，单支电池充满电后监护时间≥6小时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bidi w:val="0"/>
              <w:jc w:val="both"/>
              <w:rPr>
                <w:rFonts w:hint="eastAsia" w:ascii="宋体" w:hAnsi="宋体" w:eastAsia="宋体" w:cs="宋体"/>
                <w:b w:val="0"/>
                <w:bCs w:val="0"/>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bCs/>
                <w:color w:val="auto"/>
                <w:sz w:val="28"/>
                <w:szCs w:val="28"/>
                <w:lang w:val="en-US" w:eastAsia="zh-CN"/>
              </w:rPr>
              <w:t>18道心电图机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b/>
                <w:bCs/>
                <w:color w:val="auto"/>
                <w:vertAlign w:val="baseline"/>
                <w:lang w:val="en-US" w:eastAsia="zh-CN"/>
              </w:rPr>
              <w:t>序号</w:t>
            </w:r>
          </w:p>
        </w:tc>
        <w:tc>
          <w:tcPr>
            <w:tcW w:w="7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b/>
                <w:bCs/>
                <w:color w:val="auto"/>
                <w:vertAlign w:val="baseline"/>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★主要功能：静息12导联心电图、计算法18导联心电图、二阶梯实验、运动后检查、RR间期检查（需提供证明文件）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导联选择：自动或手动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输入保护：标配导联线内附除颤保护电路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AD采样率：≥750000 Hz/Ch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输入阻抗：≥50MΩ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耐极化电压：≥±550mV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共模抑制比：≥105dB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8</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频率响应：0.5Hz-500Hz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9</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标准灵敏度：10mm/mV,误差≤±5%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时间常数：≥4.2秒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滤波器：低通滤波、肌电滤波、交流滤波、基线抑制滤波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不正常状态检测：电极脱落报警，高频噪声过高报警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电极脱落：液晶显示器显示脱落部位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操作模式：可自动或手动，自动操作时支持实时或回顾记录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心律失常检测：具备心律失常检测并自动延长记录的功能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冻结记录：支持3分钟波形冻结记录模式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波形质量检测：可实现波形质量稳定情况下，设备自动开始记录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18</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显示方式：≥7.8"液晶显示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19</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记录器：内置高分辨率热线阵打印,可同步打印12道心电波形。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20</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打印网格：具备在无网格纸上打印网格功能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输出设备：可直连打印机，打印A4尺寸报告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★支持计算法18导联心电图报告打印（需提供证明文件）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走纸速度：10,12.5,25，50mm/S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电极噪声标记：双模式（屏幕，报告）提示，点划线热敏标记打印，热敏报告可显示噪声、脱落的具体时间段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模拟信号打印：具备外部信号输入接口，可打印心音脉波放大器等外部机器的模拟信号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QTc算法：≥4种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测量分析：具备12导联心电性别年龄特异性算法，支持超过40种心电相关参数自动测量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28</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★测量分析：具备18导联心电图右胸后壁导联独立分析及18导联ST-Map打印（需提供证明文件）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29</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自动测量参数：包括心率、PR间期、QT/QTc、P/QRS/T电轴、RV5/SV1电压等值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30</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外部输入：10mm/0.5V±5%，输入阻抗≥100kΩ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其它输出接口：USB/SD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32</w:t>
            </w:r>
          </w:p>
        </w:tc>
        <w:tc>
          <w:tcPr>
            <w:tcW w:w="7261" w:type="dxa"/>
            <w:vAlign w:val="center"/>
          </w:tcPr>
          <w:p>
            <w:pPr>
              <w:bidi w:val="0"/>
              <w:jc w:val="both"/>
              <w:rPr>
                <w:rFonts w:hint="eastAsia" w:ascii="宋体" w:hAnsi="宋体" w:eastAsia="宋体" w:cs="宋体"/>
                <w:b/>
                <w:bCs w:val="0"/>
                <w:color w:val="auto"/>
                <w:kern w:val="2"/>
                <w:sz w:val="24"/>
                <w:szCs w:val="24"/>
                <w:lang w:val="en-US" w:eastAsia="zh-CN" w:bidi="ar"/>
              </w:rPr>
            </w:pPr>
            <w:r>
              <w:rPr>
                <w:rFonts w:hint="eastAsia" w:ascii="宋体" w:hAnsi="宋体" w:eastAsia="宋体" w:cs="宋体"/>
                <w:color w:val="auto"/>
                <w:kern w:val="2"/>
                <w:sz w:val="24"/>
                <w:szCs w:val="24"/>
                <w:lang w:val="en-US" w:eastAsia="zh-CN" w:bidi="ar"/>
              </w:rPr>
              <w:t>存储和传输：内置800份心电图，扩展支持3000份以上外部设备存储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输入设备：可连接条码枪、读卡器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在不安装插件或软件情况下，可通过电脑端进行设备数据的查看及打印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需具备系统登录加密功能，开启后可实现用户使用密码登录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网络：标配LAN有线网络接口，内置WIFI网络连接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数据存储格式：PDF/XML/DAT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color w:val="auto"/>
                <w:kern w:val="2"/>
                <w:sz w:val="24"/>
                <w:szCs w:val="24"/>
                <w:lang w:val="en-US" w:eastAsia="zh-CN" w:bidi="ar"/>
              </w:rPr>
            </w:pPr>
            <w:r>
              <w:rPr>
                <w:rFonts w:hint="eastAsia" w:ascii="宋体" w:hAnsi="宋体" w:eastAsia="宋体" w:cs="宋体"/>
                <w:b w:val="0"/>
                <w:bCs/>
                <w:color w:val="auto"/>
                <w:kern w:val="2"/>
                <w:sz w:val="24"/>
                <w:szCs w:val="24"/>
                <w:lang w:val="en-US" w:eastAsia="zh-CN" w:bidi="ar"/>
              </w:rPr>
              <w:t>38</w:t>
            </w:r>
          </w:p>
        </w:tc>
        <w:tc>
          <w:tcPr>
            <w:tcW w:w="7261" w:type="dxa"/>
            <w:vAlign w:val="center"/>
          </w:tcPr>
          <w:p>
            <w:pPr>
              <w:keepNext w:val="0"/>
              <w:keepLines w:val="0"/>
              <w:widowControl w:val="0"/>
              <w:suppressLineNumbers w:val="0"/>
              <w:adjustRightInd w:val="0"/>
              <w:spacing w:before="0" w:beforeAutospacing="0" w:after="0" w:afterAutospacing="0" w:line="360" w:lineRule="auto"/>
              <w:ind w:right="0"/>
              <w:jc w:val="both"/>
              <w:textAlignment w:val="baseline"/>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lang w:val="en-US" w:eastAsia="zh-CN" w:bidi="ar"/>
              </w:rPr>
              <w:t>数据传输方式：DICOM/ECT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bidi w:val="0"/>
              <w:jc w:val="both"/>
              <w:rPr>
                <w:rFonts w:hint="eastAsia" w:ascii="宋体" w:hAnsi="宋体" w:eastAsia="宋体" w:cs="宋体"/>
                <w:bCs/>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
                <w:bCs/>
                <w:color w:val="auto"/>
                <w:sz w:val="28"/>
                <w:szCs w:val="28"/>
                <w:lang w:val="en-US" w:eastAsia="zh-CN"/>
              </w:rPr>
              <w:t>中频脉冲治疗仪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b/>
                <w:bCs/>
                <w:color w:val="auto"/>
                <w:vertAlign w:val="baseline"/>
                <w:lang w:val="en-US" w:eastAsia="zh-CN"/>
              </w:rPr>
              <w:t>序号</w:t>
            </w:r>
          </w:p>
        </w:tc>
        <w:tc>
          <w:tcPr>
            <w:tcW w:w="7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b/>
                <w:bCs/>
                <w:color w:val="auto"/>
                <w:vertAlign w:val="baseline"/>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≥7英寸彩色触摸屏幕操控。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2</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具有三组负压电极输出，三组针插式电极输出。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3</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★工作频率：2000Hz、3000Hz、4000Hz、5000Hz、6000Hz。（需提供证明）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4</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调制方式：连续调制、间歇调制。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5</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差频频率：1～199Hz。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6</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★≥五种差频治疗模式。（需提供证明）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7</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差频变化周期：具有自然节律、周期性变化两类形式。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8</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≥七种动态节律可选：4秒-10秒。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9</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★≥十种干扰输出模式。（需提供证明）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10</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顶盘加热功能。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11</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负压吸引功能。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12</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★两种模式：自定义模式，处方模式。（需提供证明）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13</w:t>
            </w:r>
          </w:p>
        </w:tc>
        <w:tc>
          <w:tcPr>
            <w:tcW w:w="7261" w:type="dxa"/>
            <w:vAlign w:val="center"/>
          </w:tcPr>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w:t>
            </w:r>
            <w:r>
              <w:rPr>
                <w:rFonts w:hint="eastAsia" w:ascii="宋体" w:hAnsi="宋体" w:eastAsia="宋体" w:cs="宋体"/>
                <w:b w:val="0"/>
                <w:bCs w:val="0"/>
                <w:color w:val="auto"/>
                <w:kern w:val="0"/>
                <w:sz w:val="24"/>
                <w:szCs w:val="24"/>
                <w:lang w:val="en-US" w:eastAsia="zh-CN" w:bidi="ar"/>
              </w:rPr>
              <w:t>本产品取得计算机软件著作权。</w:t>
            </w:r>
            <w:r>
              <w:rPr>
                <w:rFonts w:hint="eastAsia" w:ascii="宋体" w:hAnsi="宋体" w:eastAsia="宋体" w:cs="宋体"/>
                <w:b w:val="0"/>
                <w:bCs w:val="0"/>
                <w:color w:val="auto"/>
                <w:kern w:val="2"/>
                <w:sz w:val="24"/>
                <w:szCs w:val="24"/>
                <w:lang w:val="en-US" w:eastAsia="zh-CN" w:bidi="ar"/>
              </w:rPr>
              <w:t>（需提供证书）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bidi w:val="0"/>
              <w:jc w:val="both"/>
              <w:rPr>
                <w:rFonts w:hint="eastAsia" w:ascii="宋体" w:hAnsi="宋体" w:eastAsia="宋体" w:cs="宋体"/>
                <w:bCs/>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center"/>
              <w:rPr>
                <w:rFonts w:hint="eastAsia" w:ascii="宋体" w:hAnsi="宋体" w:eastAsia="宋体" w:cs="宋体"/>
                <w:bCs/>
                <w:color w:val="auto"/>
                <w:kern w:val="2"/>
                <w:sz w:val="24"/>
                <w:szCs w:val="24"/>
                <w:lang w:val="en-US" w:eastAsia="zh-CN" w:bidi="ar"/>
              </w:rPr>
            </w:pPr>
            <w:r>
              <w:rPr>
                <w:rFonts w:hint="eastAsia" w:ascii="宋体" w:hAnsi="宋体" w:eastAsia="宋体" w:cs="宋体"/>
                <w:b/>
                <w:bCs/>
                <w:color w:val="auto"/>
                <w:sz w:val="28"/>
                <w:szCs w:val="28"/>
                <w:lang w:val="en-US" w:eastAsia="zh-CN"/>
              </w:rPr>
              <w:t>动态心电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b/>
                <w:bCs/>
                <w:color w:val="auto"/>
                <w:vertAlign w:val="baseline"/>
                <w:lang w:val="en-US" w:eastAsia="zh-CN"/>
              </w:rPr>
              <w:t>序号</w:t>
            </w:r>
          </w:p>
        </w:tc>
        <w:tc>
          <w:tcPr>
            <w:tcW w:w="7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b/>
                <w:bCs/>
                <w:color w:val="auto"/>
                <w:vertAlign w:val="baseline"/>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一</w:t>
            </w:r>
          </w:p>
        </w:tc>
        <w:tc>
          <w:tcPr>
            <w:tcW w:w="7261" w:type="dxa"/>
            <w:vAlign w:val="center"/>
          </w:tcPr>
          <w:p>
            <w:pPr>
              <w:bidi w:val="0"/>
              <w:jc w:val="both"/>
              <w:rPr>
                <w:rFonts w:hint="eastAsia" w:ascii="宋体" w:hAnsi="宋体" w:eastAsia="宋体" w:cs="宋体"/>
                <w:b/>
                <w:bCs w:val="0"/>
                <w:color w:val="auto"/>
                <w:kern w:val="2"/>
                <w:sz w:val="24"/>
                <w:szCs w:val="24"/>
                <w:lang w:val="en-US" w:eastAsia="zh-CN" w:bidi="ar"/>
              </w:rPr>
            </w:pPr>
            <w:r>
              <w:rPr>
                <w:rFonts w:hint="eastAsia" w:ascii="宋体" w:hAnsi="宋体" w:eastAsia="宋体" w:cs="宋体"/>
                <w:b/>
                <w:bCs w:val="0"/>
                <w:color w:val="auto"/>
                <w:kern w:val="2"/>
                <w:sz w:val="24"/>
                <w:szCs w:val="24"/>
                <w:lang w:val="en-US" w:eastAsia="zh-CN" w:bidi="ar"/>
              </w:rPr>
              <w:t>记录器参数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采集方式：12通道,12导联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rPr>
              <w:t>记录时间：24小时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rPr>
              <w:t>液晶屏幕：2寸高分辨率LCD(37mmx26mm),显示1道波形,记录时间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rPr>
              <w:t>面板:轻触开关,特殊事件按钮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5</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rPr>
              <w:t>A/D位数：12位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rPr>
              <w:t>耐极化电压：±300mV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7</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rPr>
              <w:t>幅度频率特性：0.1Hz～60Hz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8</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rPr>
              <w:t>最小检测信号：50μV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9</w:t>
            </w:r>
          </w:p>
        </w:tc>
        <w:tc>
          <w:tcPr>
            <w:tcW w:w="7261" w:type="dxa"/>
            <w:vAlign w:val="center"/>
          </w:tcPr>
          <w:p>
            <w:pPr>
              <w:bidi w:val="0"/>
              <w:jc w:val="both"/>
              <w:rPr>
                <w:rFonts w:hint="eastAsia" w:ascii="宋体" w:hAnsi="宋体" w:eastAsia="宋体" w:cs="宋体"/>
                <w:bCs/>
                <w:color w:val="auto"/>
                <w:kern w:val="2"/>
                <w:sz w:val="24"/>
                <w:szCs w:val="24"/>
                <w:lang w:val="en-US" w:eastAsia="zh-CN" w:bidi="ar"/>
              </w:rPr>
            </w:pPr>
            <w:r>
              <w:rPr>
                <w:rFonts w:hint="eastAsia" w:ascii="宋体" w:hAnsi="宋体" w:eastAsia="宋体" w:cs="宋体"/>
                <w:color w:val="auto"/>
                <w:kern w:val="2"/>
                <w:sz w:val="24"/>
                <w:szCs w:val="24"/>
              </w:rPr>
              <w:t>输入电压动态范围：≥±4.5mV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
                <w:bCs/>
                <w:color w:val="auto"/>
                <w:kern w:val="2"/>
                <w:sz w:val="24"/>
                <w:szCs w:val="24"/>
                <w:lang w:val="en-US" w:eastAsia="zh-CN" w:bidi="ar"/>
              </w:rPr>
            </w:pPr>
            <w:r>
              <w:rPr>
                <w:rFonts w:hint="eastAsia" w:ascii="宋体" w:hAnsi="宋体" w:eastAsia="宋体" w:cs="宋体"/>
                <w:b/>
                <w:bCs/>
                <w:color w:val="auto"/>
                <w:kern w:val="2"/>
                <w:sz w:val="24"/>
                <w:szCs w:val="24"/>
              </w:rPr>
              <w:t>二</w:t>
            </w:r>
          </w:p>
        </w:tc>
        <w:tc>
          <w:tcPr>
            <w:tcW w:w="7261" w:type="dxa"/>
            <w:vAlign w:val="center"/>
          </w:tcPr>
          <w:p>
            <w:pPr>
              <w:bidi w:val="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分析软件功能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软件支持3导、12导联心电图同步显示和分析。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系统可以记录24小时的心电信号，并回放分析所记录的心电数据。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去除电极初始安装时和没有正确结束记录器工作而导致的伪差心电图，减少编辑工作量，可在软件上设置分析起点和分析终点。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房颤/房扑：可以显示24小时里心搏在不同RR能力的分布；房颤/房扑起始、结束、持续的时间；1小时心搏散点图等界面。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5</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心律失常分析：能够自动分析心电图数据，能够识别并标记心搏：如正常、室性、室上性等。能够自动识别心律失常事件，如室性早搏、室性二联律、室性三联律、成对室性早搏、室性心动过速、室上性早搏、室上性二联律、室上性三联律、室上性心动过速、停搏、房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QT间期分析：能够显示分析时间内QT间期变化趋势图、QT直方图、QT离散度。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bidi w:val="0"/>
              <w:jc w:val="both"/>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center"/>
              <w:rPr>
                <w:rFonts w:hint="eastAsia" w:ascii="宋体" w:hAnsi="宋体" w:eastAsia="宋体" w:cs="宋体"/>
                <w:color w:val="auto"/>
                <w:kern w:val="2"/>
                <w:sz w:val="24"/>
                <w:szCs w:val="24"/>
              </w:rPr>
            </w:pPr>
            <w:r>
              <w:rPr>
                <w:rFonts w:hint="eastAsia" w:ascii="宋体" w:hAnsi="宋体" w:eastAsia="宋体" w:cs="宋体"/>
                <w:b/>
                <w:bCs/>
                <w:color w:val="auto"/>
                <w:sz w:val="28"/>
                <w:szCs w:val="28"/>
                <w:lang w:val="en-US" w:eastAsia="zh-CN"/>
              </w:rPr>
              <w:t>24H动态血压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b/>
                <w:bCs/>
                <w:color w:val="auto"/>
                <w:vertAlign w:val="baseline"/>
                <w:lang w:val="en-US" w:eastAsia="zh-CN"/>
              </w:rPr>
              <w:t>序号</w:t>
            </w:r>
          </w:p>
        </w:tc>
        <w:tc>
          <w:tcPr>
            <w:tcW w:w="7261" w:type="dxa"/>
            <w:vAlign w:val="center"/>
          </w:tcPr>
          <w:p>
            <w:pPr>
              <w:bidi w:val="0"/>
              <w:jc w:val="center"/>
              <w:rPr>
                <w:rFonts w:hint="eastAsia" w:ascii="宋体" w:hAnsi="宋体" w:eastAsia="宋体" w:cs="宋体"/>
                <w:color w:val="auto"/>
                <w:kern w:val="2"/>
                <w:sz w:val="24"/>
                <w:szCs w:val="24"/>
              </w:rPr>
            </w:pPr>
            <w:r>
              <w:rPr>
                <w:rFonts w:hint="eastAsia"/>
                <w:b/>
                <w:bCs/>
                <w:color w:val="auto"/>
                <w:vertAlign w:val="baseline"/>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检测原理：示波法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检测时间：大于72小时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加压方式：拟合加压，自动调整适当加压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测量范围：收缩压：60-280mmHg  舒张压：40-160mmHg  脉搏：30-200bpm  压力显示范围：0-299mmHg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5</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测量精度：压力：±2mmHg  脉搏：±5%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袖带：扇形袖带，配更换袖带布。适用臂围：200-350mm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7</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安全系统：超压保护：压力超过300mmHg时，快速释放压力；急停保护：测量时，按快捷按钮可快速释放压力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8</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测量方式：手动设置间隔模式、自动间隔模式、自动表测量模式（可任意设置10个测量间隔）、量中可根据需要手动插入测量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9</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自动补测：测量失败，自动补测一次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w:t>
            </w:r>
          </w:p>
        </w:tc>
        <w:tc>
          <w:tcPr>
            <w:tcW w:w="7261" w:type="dxa"/>
            <w:vAlign w:val="center"/>
          </w:tcPr>
          <w:p>
            <w:pPr>
              <w:bidi w:val="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bidi="ar"/>
              </w:rPr>
              <w:t>时间：公历24小时模式时钟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bidi w:val="0"/>
              <w:jc w:val="both"/>
              <w:rPr>
                <w:rFonts w:hint="eastAsia" w:ascii="宋体" w:hAnsi="宋体" w:eastAsia="宋体" w:cs="宋体"/>
                <w:color w:val="auto"/>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jc w:val="center"/>
              <w:rPr>
                <w:rFonts w:hint="eastAsia" w:ascii="宋体" w:hAnsi="宋体" w:eastAsia="宋体" w:cs="宋体"/>
                <w:color w:val="auto"/>
                <w:kern w:val="2"/>
                <w:sz w:val="24"/>
                <w:szCs w:val="24"/>
                <w:lang w:val="en-US" w:eastAsia="zh-CN" w:bidi="ar"/>
              </w:rPr>
            </w:pPr>
            <w:r>
              <w:rPr>
                <w:rFonts w:hint="eastAsia" w:ascii="宋体" w:hAnsi="宋体" w:eastAsia="宋体" w:cs="宋体"/>
                <w:b/>
                <w:bCs/>
                <w:color w:val="auto"/>
                <w:sz w:val="28"/>
                <w:szCs w:val="28"/>
                <w:lang w:val="en-US" w:eastAsia="zh-CN"/>
              </w:rPr>
              <w:t>身高体重一体机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eastAsia" w:ascii="宋体" w:hAnsi="宋体" w:eastAsia="宋体" w:cs="宋体"/>
                <w:bCs/>
                <w:color w:val="auto"/>
                <w:kern w:val="2"/>
                <w:sz w:val="24"/>
                <w:szCs w:val="24"/>
                <w:lang w:val="en-US" w:eastAsia="zh-CN" w:bidi="ar"/>
              </w:rPr>
            </w:pPr>
            <w:r>
              <w:rPr>
                <w:rFonts w:hint="eastAsia"/>
                <w:b/>
                <w:bCs/>
                <w:color w:val="auto"/>
                <w:vertAlign w:val="baseline"/>
                <w:lang w:val="en-US" w:eastAsia="zh-CN"/>
              </w:rPr>
              <w:t>序号</w:t>
            </w:r>
          </w:p>
        </w:tc>
        <w:tc>
          <w:tcPr>
            <w:tcW w:w="7261" w:type="dxa"/>
            <w:vAlign w:val="center"/>
          </w:tcPr>
          <w:p>
            <w:pPr>
              <w:bidi w:val="0"/>
              <w:jc w:val="center"/>
              <w:rPr>
                <w:rFonts w:hint="eastAsia" w:ascii="宋体" w:hAnsi="宋体" w:eastAsia="宋体" w:cs="宋体"/>
                <w:color w:val="auto"/>
                <w:kern w:val="2"/>
                <w:sz w:val="24"/>
                <w:szCs w:val="24"/>
                <w:lang w:val="en-US" w:eastAsia="zh-CN" w:bidi="ar"/>
              </w:rPr>
            </w:pPr>
            <w:r>
              <w:rPr>
                <w:rFonts w:hint="eastAsia"/>
                <w:b/>
                <w:bCs/>
                <w:color w:val="auto"/>
                <w:vertAlign w:val="baseline"/>
                <w:lang w:val="en-US"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数据通信</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选配：蓝牙(4.0或2.0)接口；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2</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★系统兼容</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医院电脑、手机端APP、幼儿园晨检系统、会员管理系统、健康管理系统等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3</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★系统设置</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显示屏和触摸按键一体化设计，操作便捷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4</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体重测量方式</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高精度度、高灵敏、高性能精密平衡梁电阻应变式压力传感器称重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5</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身高测量范围</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20-195cm,鉴定精度：±0.5cm  分度值：0.5cm或0.1cm可调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6</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★体重测量范围</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2.0-200KG,鉴定精度：±0.1kg  分度值：0.1kg或0.01kg可调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7</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★BMI体型测量</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1.正常范围19-25,自动计算BMI体质指数，BMI标准包拈：WHO标准.亚洲标准、中国标准、儿童标准需求自行调整，根据BMI数值，判断身体胖瘦壮不(要，偏瘦，正常，偏胖，胖5种体型判断)；</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2.坐高模式：此模式将测量坐高，需配合配套的座椅使用。(此功能选配)</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3.人体成分模式：测量人体成分需正常测量身高体重，根据语音提示进行操作。(此功能选配)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8</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测量项目</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身高、体重、BMI,坐高，体脂肪量、体脂肪率、体水分量、体水分率、体骨骼量、体肌肉量，蛋白质、基础代谢、内脏脂肪等级、基础代谢、皮下脂肪量、身体年龄等；除身高体重外，其他功能选配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9</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LED显示</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4.3寸高清VA显示屏，尊贵大气超大字体，醒目清晰显示，日期时间温度，待机显示时间曰期温度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10</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语音播报</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语音提示测量步骤，播报测量结果，根据要求声音大小自由调节。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11</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★便携性</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可折叠方式，机器采用金属折叠扣可上锁，方便搬运，打叠与高度：120CM左右。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12</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★打印系统</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采用高速热敏易装打印机，自动打印体检报告，换纸方便，打印身高体重BMI,理想体重和体重正常范围等，还可设置打印医疗卫生单位名称，可以用U盘配置打印页眉和页脚。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1" w:type="dxa"/>
            <w:vAlign w:val="center"/>
          </w:tcPr>
          <w:p>
            <w:pPr>
              <w:bidi w:val="0"/>
              <w:jc w:val="center"/>
              <w:rPr>
                <w:rFonts w:hint="default" w:ascii="宋体" w:hAnsi="宋体" w:eastAsia="宋体" w:cs="宋体"/>
                <w:bCs/>
                <w:color w:val="auto"/>
                <w:kern w:val="2"/>
                <w:sz w:val="24"/>
                <w:szCs w:val="24"/>
                <w:lang w:val="en-US" w:eastAsia="zh-CN" w:bidi="ar"/>
              </w:rPr>
            </w:pPr>
            <w:r>
              <w:rPr>
                <w:rFonts w:hint="eastAsia" w:ascii="宋体" w:hAnsi="宋体" w:eastAsia="宋体" w:cs="宋体"/>
                <w:bCs/>
                <w:color w:val="auto"/>
                <w:kern w:val="2"/>
                <w:sz w:val="24"/>
                <w:szCs w:val="24"/>
                <w:lang w:val="en-US" w:eastAsia="zh-CN" w:bidi="ar"/>
              </w:rPr>
              <w:t>13</w:t>
            </w:r>
          </w:p>
        </w:tc>
        <w:tc>
          <w:tcPr>
            <w:tcW w:w="7261" w:type="dxa"/>
            <w:vAlign w:val="center"/>
          </w:tcPr>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★平衡调节</w:t>
            </w:r>
          </w:p>
          <w:p>
            <w:pPr>
              <w:bidi w:val="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底座自带水平仪，并可通过四角校正水平。</w:t>
            </w:r>
          </w:p>
        </w:tc>
      </w:tr>
    </w:tbl>
    <w:p>
      <w:pPr>
        <w:rPr>
          <w:rFonts w:hint="eastAsia" w:ascii="宋体" w:hAnsi="宋体" w:eastAsia="宋体" w:cs="宋体"/>
          <w:b/>
          <w:bCs/>
          <w:color w:val="auto"/>
          <w:kern w:val="0"/>
          <w:sz w:val="24"/>
          <w:szCs w:val="24"/>
          <w:lang w:val="en-US" w:eastAsia="zh-CN" w:bidi="ar"/>
        </w:rPr>
      </w:pPr>
      <w:r>
        <w:rPr>
          <w:rFonts w:hint="eastAsia"/>
          <w:b/>
          <w:bCs/>
          <w:color w:val="auto"/>
          <w:sz w:val="28"/>
          <w:szCs w:val="28"/>
          <w:lang w:eastAsia="zh-CN"/>
        </w:rPr>
        <w:t>三</w:t>
      </w:r>
      <w:r>
        <w:rPr>
          <w:rFonts w:hint="eastAsia"/>
          <w:b/>
          <w:bCs/>
          <w:color w:val="auto"/>
          <w:sz w:val="28"/>
          <w:szCs w:val="28"/>
        </w:rPr>
        <w:t>、</w:t>
      </w:r>
      <w:r>
        <w:rPr>
          <w:rFonts w:hint="eastAsia"/>
          <w:b/>
          <w:bCs/>
          <w:color w:val="auto"/>
          <w:sz w:val="28"/>
          <w:szCs w:val="28"/>
          <w:lang w:eastAsia="zh-CN"/>
        </w:rPr>
        <w:t>商务要求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743"/>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eastAsia" w:eastAsia="宋体"/>
                <w:color w:val="auto"/>
                <w:vertAlign w:val="baseline"/>
                <w:lang w:eastAsia="zh-CN"/>
              </w:rPr>
            </w:pPr>
            <w:r>
              <w:rPr>
                <w:rFonts w:hint="eastAsia"/>
                <w:color w:val="auto"/>
                <w:vertAlign w:val="baseline"/>
                <w:lang w:eastAsia="zh-CN"/>
              </w:rPr>
              <w:t>序号</w:t>
            </w:r>
          </w:p>
        </w:tc>
        <w:tc>
          <w:tcPr>
            <w:tcW w:w="1743" w:type="dxa"/>
            <w:vAlign w:val="center"/>
          </w:tcPr>
          <w:p>
            <w:pPr>
              <w:jc w:val="center"/>
              <w:rPr>
                <w:rFonts w:hint="eastAsia" w:eastAsia="宋体"/>
                <w:color w:val="auto"/>
                <w:vertAlign w:val="baseline"/>
                <w:lang w:eastAsia="zh-CN"/>
              </w:rPr>
            </w:pPr>
            <w:r>
              <w:rPr>
                <w:rFonts w:hint="eastAsia"/>
                <w:color w:val="auto"/>
                <w:vertAlign w:val="baseline"/>
                <w:lang w:eastAsia="zh-CN"/>
              </w:rPr>
              <w:t>商务内容</w:t>
            </w:r>
          </w:p>
        </w:tc>
        <w:tc>
          <w:tcPr>
            <w:tcW w:w="6061" w:type="dxa"/>
            <w:vAlign w:val="center"/>
          </w:tcPr>
          <w:p>
            <w:pPr>
              <w:jc w:val="center"/>
              <w:rPr>
                <w:rFonts w:hint="eastAsia" w:eastAsia="宋体"/>
                <w:color w:val="auto"/>
                <w:vertAlign w:val="baseline"/>
                <w:lang w:eastAsia="zh-CN"/>
              </w:rPr>
            </w:pPr>
            <w:r>
              <w:rPr>
                <w:rFonts w:hint="eastAsia"/>
                <w:color w:val="auto"/>
                <w:vertAlign w:val="baseline"/>
                <w:lang w:eastAsia="zh-CN"/>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1</w:t>
            </w:r>
          </w:p>
        </w:tc>
        <w:tc>
          <w:tcPr>
            <w:tcW w:w="1743" w:type="dxa"/>
            <w:vAlign w:val="center"/>
          </w:tcPr>
          <w:p>
            <w:pPr>
              <w:jc w:val="center"/>
              <w:rPr>
                <w:rFonts w:hint="eastAsia"/>
                <w:color w:val="auto"/>
                <w:vertAlign w:val="baseline"/>
                <w:lang w:eastAsia="zh-CN"/>
              </w:rPr>
            </w:pPr>
            <w:r>
              <w:rPr>
                <w:rFonts w:hint="eastAsia" w:ascii="宋体" w:hAnsi="宋体" w:eastAsia="宋体" w:cs="宋体"/>
                <w:color w:val="auto"/>
                <w:sz w:val="24"/>
                <w:szCs w:val="24"/>
              </w:rPr>
              <w:t>交货期</w:t>
            </w:r>
          </w:p>
        </w:tc>
        <w:tc>
          <w:tcPr>
            <w:tcW w:w="6061" w:type="dxa"/>
            <w:vAlign w:val="center"/>
          </w:tcPr>
          <w:p>
            <w:pPr>
              <w:jc w:val="both"/>
              <w:rPr>
                <w:rFonts w:hint="eastAsia"/>
                <w:color w:val="auto"/>
                <w:vertAlign w:val="baseline"/>
                <w:lang w:eastAsia="zh-CN"/>
              </w:rPr>
            </w:pPr>
            <w:r>
              <w:rPr>
                <w:rFonts w:hint="eastAsia" w:ascii="宋体" w:hAnsi="宋体" w:eastAsia="宋体" w:cs="宋体"/>
                <w:color w:val="auto"/>
                <w:sz w:val="24"/>
                <w:szCs w:val="24"/>
              </w:rPr>
              <w:t>合同签订后1个月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2</w:t>
            </w:r>
          </w:p>
        </w:tc>
        <w:tc>
          <w:tcPr>
            <w:tcW w:w="1743" w:type="dxa"/>
            <w:vAlign w:val="center"/>
          </w:tcPr>
          <w:p>
            <w:pPr>
              <w:jc w:val="center"/>
              <w:rPr>
                <w:rFonts w:hint="eastAsia"/>
                <w:color w:val="auto"/>
                <w:vertAlign w:val="baseline"/>
                <w:lang w:eastAsia="zh-CN"/>
              </w:rPr>
            </w:pPr>
            <w:r>
              <w:rPr>
                <w:rFonts w:hint="eastAsia" w:ascii="宋体" w:hAnsi="宋体" w:eastAsia="宋体" w:cs="宋体"/>
                <w:color w:val="auto"/>
                <w:sz w:val="24"/>
                <w:szCs w:val="24"/>
              </w:rPr>
              <w:t>交货地点</w:t>
            </w:r>
          </w:p>
        </w:tc>
        <w:tc>
          <w:tcPr>
            <w:tcW w:w="6061" w:type="dxa"/>
            <w:vAlign w:val="center"/>
          </w:tcPr>
          <w:p>
            <w:pPr>
              <w:jc w:val="both"/>
              <w:rPr>
                <w:rFonts w:hint="eastAsia"/>
                <w:color w:val="auto"/>
                <w:vertAlign w:val="baseline"/>
                <w:lang w:eastAsia="zh-CN"/>
              </w:rPr>
            </w:pPr>
            <w:r>
              <w:rPr>
                <w:rFonts w:hint="eastAsia" w:ascii="宋体" w:hAnsi="宋体" w:eastAsia="宋体" w:cs="宋体"/>
                <w:color w:val="auto"/>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3</w:t>
            </w:r>
          </w:p>
        </w:tc>
        <w:tc>
          <w:tcPr>
            <w:tcW w:w="1743" w:type="dxa"/>
            <w:vAlign w:val="center"/>
          </w:tcPr>
          <w:p>
            <w:pPr>
              <w:jc w:val="center"/>
              <w:rPr>
                <w:rFonts w:hint="eastAsia"/>
                <w:color w:val="auto"/>
                <w:vertAlign w:val="baseline"/>
                <w:lang w:eastAsia="zh-CN"/>
              </w:rPr>
            </w:pPr>
            <w:r>
              <w:rPr>
                <w:rFonts w:hint="eastAsia" w:ascii="宋体" w:hAnsi="宋体" w:eastAsia="宋体" w:cs="宋体"/>
                <w:color w:val="auto"/>
                <w:sz w:val="24"/>
                <w:szCs w:val="24"/>
                <w:lang w:val="en-US" w:eastAsia="zh-CN"/>
              </w:rPr>
              <w:t>质量要求</w:t>
            </w:r>
          </w:p>
        </w:tc>
        <w:tc>
          <w:tcPr>
            <w:tcW w:w="6061" w:type="dxa"/>
            <w:vAlign w:val="center"/>
          </w:tcPr>
          <w:p>
            <w:pPr>
              <w:jc w:val="both"/>
              <w:rPr>
                <w:rFonts w:hint="eastAsia"/>
                <w:color w:val="auto"/>
                <w:vertAlign w:val="baseline"/>
                <w:lang w:eastAsia="zh-CN"/>
              </w:rPr>
            </w:pPr>
            <w:r>
              <w:rPr>
                <w:rFonts w:hint="eastAsia" w:ascii="宋体" w:hAnsi="宋体" w:eastAsia="宋体" w:cs="宋体"/>
                <w:color w:val="auto"/>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4</w:t>
            </w:r>
          </w:p>
        </w:tc>
        <w:tc>
          <w:tcPr>
            <w:tcW w:w="1743" w:type="dxa"/>
            <w:vAlign w:val="center"/>
          </w:tcPr>
          <w:p>
            <w:pPr>
              <w:jc w:val="center"/>
              <w:rPr>
                <w:rFonts w:hint="eastAsia"/>
                <w:color w:val="auto"/>
                <w:vertAlign w:val="baseline"/>
                <w:lang w:eastAsia="zh-CN"/>
              </w:rPr>
            </w:pPr>
            <w:r>
              <w:rPr>
                <w:rFonts w:hint="eastAsia"/>
                <w:color w:val="auto"/>
                <w:vertAlign w:val="baseline"/>
                <w:lang w:eastAsia="zh-CN"/>
              </w:rPr>
              <w:t>质保期</w:t>
            </w:r>
          </w:p>
        </w:tc>
        <w:tc>
          <w:tcPr>
            <w:tcW w:w="6061" w:type="dxa"/>
            <w:vAlign w:val="center"/>
          </w:tcPr>
          <w:p>
            <w:pPr>
              <w:jc w:val="both"/>
              <w:rPr>
                <w:rFonts w:hint="eastAsia"/>
                <w:color w:val="auto"/>
                <w:vertAlign w:val="baseline"/>
                <w:lang w:eastAsia="zh-CN"/>
              </w:rPr>
            </w:pPr>
            <w:r>
              <w:rPr>
                <w:rFonts w:hint="eastAsia" w:ascii="宋体" w:hAnsi="宋体" w:eastAsia="宋体" w:cs="宋体"/>
                <w:color w:val="auto"/>
                <w:sz w:val="24"/>
                <w:szCs w:val="24"/>
              </w:rPr>
              <w:t>自验收</w:t>
            </w:r>
            <w:r>
              <w:rPr>
                <w:rFonts w:hint="eastAsia" w:ascii="宋体" w:hAnsi="宋体" w:eastAsia="宋体" w:cs="宋体"/>
                <w:color w:val="auto"/>
                <w:sz w:val="24"/>
                <w:szCs w:val="24"/>
                <w:lang w:eastAsia="zh-CN"/>
              </w:rPr>
              <w:t>合格</w:t>
            </w:r>
            <w:r>
              <w:rPr>
                <w:rFonts w:hint="eastAsia" w:ascii="宋体" w:hAnsi="宋体" w:eastAsia="宋体" w:cs="宋体"/>
                <w:color w:val="auto"/>
                <w:sz w:val="24"/>
                <w:szCs w:val="24"/>
              </w:rPr>
              <w:t>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5</w:t>
            </w:r>
          </w:p>
        </w:tc>
        <w:tc>
          <w:tcPr>
            <w:tcW w:w="1743" w:type="dxa"/>
            <w:vAlign w:val="center"/>
          </w:tcPr>
          <w:p>
            <w:pPr>
              <w:jc w:val="center"/>
              <w:rPr>
                <w:rFonts w:hint="eastAsia"/>
                <w:color w:val="auto"/>
                <w:vertAlign w:val="baseline"/>
                <w:lang w:eastAsia="zh-CN"/>
              </w:rPr>
            </w:pPr>
            <w:r>
              <w:rPr>
                <w:rFonts w:hint="eastAsia" w:ascii="宋体" w:hAnsi="宋体" w:cs="宋体"/>
                <w:b w:val="0"/>
                <w:bCs w:val="0"/>
                <w:color w:val="auto"/>
                <w:kern w:val="0"/>
                <w:sz w:val="24"/>
                <w:szCs w:val="24"/>
                <w:lang w:val="en-US" w:eastAsia="zh-CN" w:bidi="ar"/>
              </w:rPr>
              <w:t>投标</w:t>
            </w:r>
            <w:r>
              <w:rPr>
                <w:rFonts w:hint="eastAsia"/>
                <w:b w:val="0"/>
                <w:bCs w:val="0"/>
                <w:color w:val="auto"/>
                <w:vertAlign w:val="baseline"/>
                <w:lang w:eastAsia="zh-CN"/>
              </w:rPr>
              <w:t>报价要求</w:t>
            </w:r>
          </w:p>
        </w:tc>
        <w:tc>
          <w:tcPr>
            <w:tcW w:w="6061" w:type="dxa"/>
            <w:vAlign w:val="center"/>
          </w:tcPr>
          <w:p>
            <w:pPr>
              <w:jc w:val="both"/>
              <w:rPr>
                <w:rFonts w:hint="eastAsia"/>
                <w:color w:val="auto"/>
                <w:vertAlign w:val="baseline"/>
                <w:lang w:eastAsia="zh-CN"/>
              </w:rPr>
            </w:pPr>
            <w:r>
              <w:rPr>
                <w:rFonts w:hint="eastAsia" w:ascii="宋体" w:hAnsi="宋体" w:eastAsia="宋体" w:cs="宋体"/>
                <w:color w:val="auto"/>
                <w:vertAlign w:val="baseline"/>
              </w:rPr>
              <w:t>以人民币为结算货币，投标报价包含完成项目所需的一切费用，包括：设备费、软件费、税费、运输费、装卸费、安装费、调试费、培训费、计量及技术服务费等一切费用。项目结算时不做任何单价或费用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6</w:t>
            </w:r>
          </w:p>
        </w:tc>
        <w:tc>
          <w:tcPr>
            <w:tcW w:w="1743" w:type="dxa"/>
            <w:vAlign w:val="center"/>
          </w:tcPr>
          <w:p>
            <w:pPr>
              <w:jc w:val="center"/>
              <w:rPr>
                <w:rFonts w:hint="eastAsia"/>
                <w:color w:val="auto"/>
                <w:vertAlign w:val="baseline"/>
                <w:lang w:eastAsia="zh-CN"/>
              </w:rPr>
            </w:pPr>
            <w:r>
              <w:rPr>
                <w:rFonts w:hint="eastAsia"/>
                <w:color w:val="auto"/>
                <w:vertAlign w:val="baseline"/>
                <w:lang w:eastAsia="zh-CN"/>
              </w:rPr>
              <w:t>付款方式</w:t>
            </w:r>
          </w:p>
        </w:tc>
        <w:tc>
          <w:tcPr>
            <w:tcW w:w="6061" w:type="dxa"/>
            <w:vAlign w:val="center"/>
          </w:tcPr>
          <w:p>
            <w:pPr>
              <w:jc w:val="both"/>
              <w:rPr>
                <w:rFonts w:hint="eastAsia"/>
                <w:color w:val="auto"/>
                <w:vertAlign w:val="baseline"/>
                <w:lang w:eastAsia="zh-CN"/>
              </w:rPr>
            </w:pPr>
            <w:r>
              <w:rPr>
                <w:rFonts w:hint="eastAsia" w:ascii="宋体" w:hAnsi="宋体" w:eastAsia="宋体" w:cs="宋体"/>
                <w:color w:val="auto"/>
                <w:vertAlign w:val="baseline"/>
              </w:rPr>
              <w:t>到货验收合格后，采购人向</w:t>
            </w:r>
            <w:r>
              <w:rPr>
                <w:rFonts w:hint="eastAsia" w:ascii="宋体" w:hAnsi="宋体" w:eastAsia="宋体" w:cs="宋体"/>
                <w:color w:val="auto"/>
                <w:vertAlign w:val="baseline"/>
                <w:lang w:eastAsia="zh-CN"/>
              </w:rPr>
              <w:t>中标人</w:t>
            </w:r>
            <w:r>
              <w:rPr>
                <w:rFonts w:hint="eastAsia" w:ascii="宋体" w:hAnsi="宋体" w:eastAsia="宋体" w:cs="宋体"/>
                <w:color w:val="auto"/>
                <w:vertAlign w:val="baseline"/>
              </w:rPr>
              <w:t>支付中标金额的97%，留质保金3%。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7</w:t>
            </w:r>
          </w:p>
        </w:tc>
        <w:tc>
          <w:tcPr>
            <w:tcW w:w="1743" w:type="dxa"/>
            <w:vAlign w:val="center"/>
          </w:tcPr>
          <w:p>
            <w:pPr>
              <w:jc w:val="center"/>
              <w:rPr>
                <w:rFonts w:hint="eastAsia"/>
                <w:color w:val="auto"/>
                <w:vertAlign w:val="baseline"/>
                <w:lang w:eastAsia="zh-CN"/>
              </w:rPr>
            </w:pPr>
            <w:r>
              <w:rPr>
                <w:rFonts w:hint="eastAsia"/>
                <w:color w:val="auto"/>
                <w:vertAlign w:val="baseline"/>
                <w:lang w:eastAsia="zh-CN"/>
              </w:rPr>
              <w:t>验收方式</w:t>
            </w:r>
          </w:p>
        </w:tc>
        <w:tc>
          <w:tcPr>
            <w:tcW w:w="6061" w:type="dxa"/>
            <w:vAlign w:val="center"/>
          </w:tcPr>
          <w:p>
            <w:pPr>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1、货到安装，现场签收。中标人应派有经验的技术人员到现场进行安装、调试，直到设备正常使用。</w:t>
            </w:r>
          </w:p>
          <w:p>
            <w:pPr>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2、设备安装调试正常使用后</w:t>
            </w: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eastAsia="zh-CN"/>
              </w:rPr>
              <w:t>个工作日内进行验收，由使用科室、设备科、中标人等代表在场进行验收，质保期从验收合格之日起计。</w:t>
            </w:r>
          </w:p>
          <w:p>
            <w:pPr>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3、设备质量和安装调试检验标准遵照国家相关规定和最新标准执行。验收中如发现有质量不合格或型号规格、数量等与送货清单不符等情况，中标人应免费更换或补齐，并承担因此发生的违约责任。中标人设备经过双方检验认可后，签署验收报告。</w:t>
            </w:r>
          </w:p>
          <w:p>
            <w:pPr>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4、当满足以下条件时，采购人才向中标人签发货物验收报告：</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A.中标人已按照合同规定提供了全部产品及完整的技术资料；</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B.货物符合招标文件技术规格书的要求，性能满足要求；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C.货物具备产品合格证；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D.提供维修手册、售后服务承诺书、中文操作手册。</w:t>
            </w:r>
          </w:p>
          <w:p>
            <w:pPr>
              <w:jc w:val="both"/>
              <w:rPr>
                <w:rFonts w:hint="eastAsia"/>
                <w:color w:val="auto"/>
                <w:vertAlign w:val="baseline"/>
                <w:lang w:eastAsia="zh-CN"/>
              </w:rPr>
            </w:pPr>
            <w:r>
              <w:rPr>
                <w:rFonts w:hint="eastAsia" w:ascii="宋体" w:hAnsi="宋体" w:eastAsia="宋体" w:cs="宋体"/>
                <w:color w:val="auto"/>
                <w:vertAlign w:val="baseline"/>
                <w:lang w:eastAsia="zh-CN"/>
              </w:rPr>
              <w:t>5、若采购人对中标产品质量有争议，将由采购人委托第三方质量检测部门按照招标文书进行验收确认，委托检测验收费用由中标人负责支付。出具合格的检测验收报告，采购人将履行采购合同；若检测验收报告不合格，采购人将取消采购合同，由中标人承担所有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8</w:t>
            </w:r>
          </w:p>
        </w:tc>
        <w:tc>
          <w:tcPr>
            <w:tcW w:w="1743" w:type="dxa"/>
            <w:vAlign w:val="center"/>
          </w:tcPr>
          <w:p>
            <w:pPr>
              <w:jc w:val="center"/>
              <w:rPr>
                <w:rFonts w:hint="eastAsia"/>
                <w:color w:val="auto"/>
                <w:vertAlign w:val="baseline"/>
                <w:lang w:eastAsia="zh-CN"/>
              </w:rPr>
            </w:pPr>
            <w:r>
              <w:rPr>
                <w:rFonts w:hint="eastAsia"/>
                <w:color w:val="auto"/>
                <w:vertAlign w:val="baseline"/>
                <w:lang w:eastAsia="zh-CN"/>
              </w:rPr>
              <w:t>包装及运输要求</w:t>
            </w:r>
          </w:p>
        </w:tc>
        <w:tc>
          <w:tcPr>
            <w:tcW w:w="6061" w:type="dxa"/>
            <w:vAlign w:val="center"/>
          </w:tcPr>
          <w:p>
            <w:pPr>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本次采购的设备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9</w:t>
            </w:r>
          </w:p>
        </w:tc>
        <w:tc>
          <w:tcPr>
            <w:tcW w:w="1743" w:type="dxa"/>
            <w:vAlign w:val="center"/>
          </w:tcPr>
          <w:p>
            <w:pPr>
              <w:jc w:val="center"/>
              <w:rPr>
                <w:rFonts w:hint="eastAsia"/>
                <w:color w:val="auto"/>
                <w:vertAlign w:val="baseline"/>
                <w:lang w:eastAsia="zh-CN"/>
              </w:rPr>
            </w:pPr>
            <w:r>
              <w:rPr>
                <w:rFonts w:hint="eastAsia"/>
                <w:color w:val="auto"/>
                <w:vertAlign w:val="baseline"/>
                <w:lang w:eastAsia="zh-CN"/>
              </w:rPr>
              <w:t>售后服务要求</w:t>
            </w:r>
          </w:p>
        </w:tc>
        <w:tc>
          <w:tcPr>
            <w:tcW w:w="6061" w:type="dxa"/>
            <w:vAlign w:val="center"/>
          </w:tcPr>
          <w:p>
            <w:pPr>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1、设备安装调试验收合格后，在质保期内，免费提供原装的零配件及其维修保养，终身负责维修；软件终身免费升级；每年需对设备进行维护保养，一年一次以上，提供维修报告。</w:t>
            </w:r>
          </w:p>
          <w:p>
            <w:pPr>
              <w:jc w:val="both"/>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2、质保期内，中标人应对设备因质量出现的问题免费修复，消耗品和零配件供应及时，并且要在2小时内响应，</w:t>
            </w:r>
            <w:r>
              <w:rPr>
                <w:rFonts w:hint="eastAsia" w:ascii="宋体" w:hAnsi="宋体" w:cs="宋体"/>
                <w:color w:val="auto"/>
                <w:vertAlign w:val="baseline"/>
                <w:lang w:val="en-US" w:eastAsia="zh-CN"/>
              </w:rPr>
              <w:t>12</w:t>
            </w:r>
            <w:r>
              <w:rPr>
                <w:rFonts w:hint="eastAsia" w:ascii="宋体" w:hAnsi="宋体" w:eastAsia="宋体" w:cs="宋体"/>
                <w:color w:val="auto"/>
                <w:vertAlign w:val="baseline"/>
                <w:lang w:eastAsia="zh-CN"/>
              </w:rPr>
              <w:t>小时内到达现场维修，</w:t>
            </w:r>
            <w:r>
              <w:rPr>
                <w:rFonts w:hint="eastAsia" w:ascii="宋体" w:hAnsi="宋体" w:cs="宋体"/>
                <w:color w:val="auto"/>
                <w:vertAlign w:val="baseline"/>
                <w:lang w:eastAsia="zh-CN"/>
              </w:rPr>
              <w:t>解决时间不超过</w:t>
            </w:r>
            <w:r>
              <w:rPr>
                <w:rFonts w:hint="eastAsia" w:ascii="宋体" w:hAnsi="宋体" w:cs="宋体"/>
                <w:color w:val="auto"/>
                <w:vertAlign w:val="baseline"/>
                <w:lang w:val="en-US" w:eastAsia="zh-CN"/>
              </w:rPr>
              <w:t>1小时。</w:t>
            </w:r>
            <w:r>
              <w:rPr>
                <w:rFonts w:hint="eastAsia" w:ascii="宋体" w:hAnsi="宋体" w:eastAsia="宋体" w:cs="宋体"/>
                <w:color w:val="auto"/>
              </w:rPr>
              <w:t>若不能在上述承诺的时间内解决问题，则在3个工作日内供与原问题机器同品牌规格型号的全新仪器备机服务，直到原设备修复，期间产生的所有费用均由</w:t>
            </w:r>
            <w:r>
              <w:rPr>
                <w:rFonts w:hint="eastAsia" w:ascii="宋体" w:hAnsi="宋体" w:eastAsia="宋体" w:cs="宋体"/>
                <w:color w:val="auto"/>
                <w:vertAlign w:val="baseline"/>
                <w:lang w:eastAsia="zh-CN"/>
              </w:rPr>
              <w:t>中标人</w:t>
            </w:r>
            <w:r>
              <w:rPr>
                <w:rFonts w:hint="eastAsia" w:ascii="宋体" w:hAnsi="宋体" w:eastAsia="宋体" w:cs="宋体"/>
                <w:color w:val="auto"/>
              </w:rPr>
              <w:t>承担。原设备修复后的质保期限相应延长至新的保修期截止日，全新备机在使用期间的质保及售后均按上述承诺执行。</w:t>
            </w:r>
          </w:p>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val="en-US" w:eastAsia="zh-CN"/>
              </w:rPr>
              <w:t>3</w:t>
            </w:r>
            <w:r>
              <w:rPr>
                <w:rFonts w:hint="eastAsia" w:ascii="宋体" w:hAnsi="宋体" w:eastAsia="宋体" w:cs="宋体"/>
                <w:color w:val="auto"/>
                <w:vertAlign w:val="baseline"/>
                <w:lang w:eastAsia="zh-CN"/>
              </w:rPr>
              <w:t>、中标人在签订合同前，需提供工程师电话和技术维修力量情况和维修的详细地址及联系方式。</w:t>
            </w:r>
          </w:p>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val="en-US" w:eastAsia="zh-CN"/>
              </w:rPr>
              <w:t>4</w:t>
            </w:r>
            <w:r>
              <w:rPr>
                <w:rFonts w:hint="eastAsia" w:ascii="宋体" w:hAnsi="宋体" w:eastAsia="宋体" w:cs="宋体"/>
                <w:color w:val="auto"/>
                <w:vertAlign w:val="baseline"/>
                <w:lang w:eastAsia="zh-CN"/>
              </w:rPr>
              <w:t>、免费负责安装、调试、免费提供技术咨询、软件升级及人员培训，以保证买方工作人员掌握设备各种使用操作。</w:t>
            </w:r>
          </w:p>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val="en-US" w:eastAsia="zh-CN"/>
              </w:rPr>
              <w:t>5</w:t>
            </w:r>
            <w:r>
              <w:rPr>
                <w:rFonts w:hint="eastAsia" w:ascii="宋体" w:hAnsi="宋体" w:eastAsia="宋体" w:cs="宋体"/>
                <w:color w:val="auto"/>
                <w:vertAlign w:val="baseline"/>
                <w:lang w:eastAsia="zh-CN"/>
              </w:rPr>
              <w:t>、保证设备维修（终身）和配件的供应。如果因机器和配件停产造成设备无法维修，必须无条件免费更换整机保证完好使用。</w:t>
            </w:r>
          </w:p>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val="en-US" w:eastAsia="zh-CN"/>
              </w:rPr>
              <w:t>6</w:t>
            </w:r>
            <w:r>
              <w:rPr>
                <w:rFonts w:hint="eastAsia" w:ascii="宋体" w:hAnsi="宋体" w:eastAsia="宋体" w:cs="宋体"/>
                <w:color w:val="auto"/>
                <w:vertAlign w:val="baseline"/>
                <w:lang w:eastAsia="zh-CN"/>
              </w:rPr>
              <w:t>、场地迁移，需要移机时，中标人需免费迁移并提供技术支持，且确保机器的正常使用。</w:t>
            </w:r>
          </w:p>
          <w:p>
            <w:pPr>
              <w:jc w:val="both"/>
              <w:rPr>
                <w:rFonts w:hint="eastAsia" w:ascii="宋体" w:hAnsi="宋体" w:eastAsia="宋体" w:cs="宋体"/>
                <w:color w:val="auto"/>
                <w:vertAlign w:val="baseline"/>
                <w:lang w:eastAsia="zh-CN"/>
              </w:rPr>
            </w:pPr>
            <w:r>
              <w:rPr>
                <w:rFonts w:hint="eastAsia" w:ascii="宋体" w:hAnsi="宋体" w:cs="宋体"/>
                <w:color w:val="auto"/>
                <w:vertAlign w:val="baseline"/>
                <w:lang w:val="en-US" w:eastAsia="zh-CN"/>
              </w:rPr>
              <w:t>7</w:t>
            </w:r>
            <w:r>
              <w:rPr>
                <w:rFonts w:hint="eastAsia" w:ascii="宋体" w:hAnsi="宋体" w:eastAsia="宋体" w:cs="宋体"/>
                <w:color w:val="auto"/>
                <w:vertAlign w:val="baseline"/>
                <w:lang w:eastAsia="zh-CN"/>
              </w:rPr>
              <w:t>、免费质保期外售后服务要求：</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（1）由中标人提供售后服务，</w:t>
            </w:r>
            <w:r>
              <w:rPr>
                <w:rFonts w:hint="eastAsia" w:ascii="宋体" w:hAnsi="宋体" w:cs="宋体"/>
                <w:color w:val="auto"/>
                <w:vertAlign w:val="baseline"/>
                <w:lang w:val="en-US" w:eastAsia="zh-CN"/>
              </w:rPr>
              <w:t>2</w:t>
            </w:r>
            <w:r>
              <w:rPr>
                <w:rFonts w:hint="eastAsia" w:ascii="宋体" w:hAnsi="宋体" w:eastAsia="宋体" w:cs="宋体"/>
                <w:color w:val="auto"/>
                <w:vertAlign w:val="baseline"/>
                <w:lang w:eastAsia="zh-CN"/>
              </w:rPr>
              <w:t>小时内响应，</w:t>
            </w:r>
            <w:r>
              <w:rPr>
                <w:rFonts w:hint="eastAsia" w:ascii="宋体" w:hAnsi="宋体" w:cs="宋体"/>
                <w:color w:val="auto"/>
                <w:vertAlign w:val="baseline"/>
                <w:lang w:val="en-US" w:eastAsia="zh-CN"/>
              </w:rPr>
              <w:t>12</w:t>
            </w:r>
            <w:r>
              <w:rPr>
                <w:rFonts w:hint="eastAsia" w:ascii="宋体" w:hAnsi="宋体" w:eastAsia="宋体" w:cs="宋体"/>
                <w:color w:val="auto"/>
                <w:vertAlign w:val="baseline"/>
                <w:lang w:eastAsia="zh-CN"/>
              </w:rPr>
              <w:t>小时维修到位（不可抗力情况除外）。消耗品和零配件供应及时，特殊情况下可提供备用机。</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（2）质保期满后，中标人应以优惠价供应维修零配件、消耗品。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（3）中标人维修的货物经采购人验收合格，且中标人提供维修专用发票后，采购人支付维修费用。</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color w:val="auto"/>
                <w:vertAlign w:val="baseline"/>
                <w:lang w:eastAsia="zh-CN"/>
              </w:rPr>
            </w:pPr>
            <w:r>
              <w:rPr>
                <w:rFonts w:hint="eastAsia" w:ascii="宋体" w:hAnsi="宋体" w:eastAsia="宋体" w:cs="宋体"/>
                <w:color w:val="auto"/>
                <w:vertAlign w:val="baseline"/>
                <w:lang w:eastAsia="zh-CN"/>
              </w:rPr>
              <w:t>（4）中标人不得以任何理由不按时进行维修，不得要求采购人购买所谓“保修服务”（即：不论设备有无故障先买保修服务），不得在设备中嵌设任何不利于采购人使用与维修设备的障碍。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vAlign w:val="center"/>
          </w:tcPr>
          <w:p>
            <w:pPr>
              <w:jc w:val="center"/>
              <w:rPr>
                <w:rFonts w:hint="default"/>
                <w:color w:val="auto"/>
                <w:vertAlign w:val="baseline"/>
                <w:lang w:val="en-US" w:eastAsia="zh-CN"/>
              </w:rPr>
            </w:pPr>
            <w:r>
              <w:rPr>
                <w:rFonts w:hint="eastAsia"/>
                <w:color w:val="auto"/>
                <w:vertAlign w:val="baseline"/>
                <w:lang w:val="en-US" w:eastAsia="zh-CN"/>
              </w:rPr>
              <w:t>10</w:t>
            </w:r>
          </w:p>
        </w:tc>
        <w:tc>
          <w:tcPr>
            <w:tcW w:w="1743" w:type="dxa"/>
            <w:vAlign w:val="center"/>
          </w:tcPr>
          <w:p>
            <w:pPr>
              <w:jc w:val="center"/>
              <w:rPr>
                <w:rFonts w:hint="eastAsia"/>
                <w:color w:val="auto"/>
                <w:vertAlign w:val="baseline"/>
                <w:lang w:eastAsia="zh-CN"/>
              </w:rPr>
            </w:pPr>
            <w:r>
              <w:rPr>
                <w:rFonts w:hint="eastAsia"/>
                <w:color w:val="auto"/>
                <w:vertAlign w:val="baseline"/>
                <w:lang w:eastAsia="zh-CN"/>
              </w:rPr>
              <w:t>其他要求</w:t>
            </w:r>
          </w:p>
        </w:tc>
        <w:tc>
          <w:tcPr>
            <w:tcW w:w="6061" w:type="dxa"/>
            <w:vAlign w:val="center"/>
          </w:tcPr>
          <w:p>
            <w:pPr>
              <w:jc w:val="both"/>
              <w:rPr>
                <w:rFonts w:hint="eastAsia"/>
                <w:color w:val="auto"/>
                <w:vertAlign w:val="baseline"/>
                <w:lang w:eastAsia="zh-CN"/>
              </w:rPr>
            </w:pPr>
            <w:r>
              <w:rPr>
                <w:rFonts w:hint="eastAsia"/>
                <w:color w:val="auto"/>
                <w:vertAlign w:val="baseline"/>
                <w:lang w:eastAsia="zh-CN"/>
              </w:rPr>
              <w:t>所投产品为第一类医疗器械的，提供监督管理部门签发的《医疗器械备案凭证》；所投产品为第二、三类医疗器械的，提供监督管理部门签发的涵盖所投产品的《医疗器械注册证》。（非医疗器械可不提供）</w:t>
            </w:r>
          </w:p>
        </w:tc>
      </w:tr>
    </w:tbl>
    <w:p>
      <w:pPr>
        <w:rPr>
          <w:color w:val="auto"/>
        </w:rPr>
      </w:pPr>
    </w:p>
    <w:p>
      <w:pPr>
        <w:rPr>
          <w:color w:val="auto"/>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bidi w:val="0"/>
        <w:ind w:left="0" w:leftChars="0" w:firstLine="0" w:firstLineChars="0"/>
        <w:rPr>
          <w:color w:val="auto"/>
        </w:rPr>
      </w:pPr>
      <w:bookmarkStart w:id="250" w:name="_Toc24618"/>
      <w:r>
        <w:rPr>
          <w:rFonts w:hint="eastAsia"/>
          <w:color w:val="auto"/>
          <w:lang w:val="en-US" w:eastAsia="zh-CN"/>
        </w:rPr>
        <w:t>第八章  投标文件格式</w:t>
      </w:r>
      <w:bookmarkEnd w:id="250"/>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400" w:lineRule="exact"/>
        <w:ind w:right="160"/>
        <w:jc w:val="right"/>
        <w:rPr>
          <w:rFonts w:ascii="宋体" w:hAnsi="宋体" w:eastAsia="宋体" w:cs="宋体"/>
          <w:color w:val="auto"/>
          <w:sz w:val="28"/>
          <w:szCs w:val="28"/>
        </w:rPr>
      </w:pPr>
      <w:r>
        <w:rPr>
          <w:rFonts w:hint="eastAsia" w:ascii="宋体" w:hAnsi="宋体" w:eastAsia="宋体" w:cs="宋体"/>
          <w:color w:val="auto"/>
          <w:sz w:val="28"/>
          <w:szCs w:val="28"/>
        </w:rPr>
        <w:t>封面</w:t>
      </w:r>
    </w:p>
    <w:p>
      <w:pPr>
        <w:jc w:val="center"/>
        <w:rPr>
          <w:rFonts w:ascii="宋体" w:hAnsi="宋体" w:eastAsia="宋体" w:cs="宋体"/>
          <w:color w:val="auto"/>
          <w:sz w:val="32"/>
          <w:szCs w:val="32"/>
        </w:rPr>
      </w:pPr>
    </w:p>
    <w:p>
      <w:pPr>
        <w:jc w:val="center"/>
        <w:rPr>
          <w:rFonts w:hint="default" w:ascii="宋体" w:hAnsi="宋体" w:eastAsia="宋体" w:cs="宋体"/>
          <w:color w:val="auto"/>
          <w:sz w:val="40"/>
          <w:szCs w:val="40"/>
          <w:lang w:val="en-US" w:eastAsia="zh-CN"/>
        </w:rPr>
      </w:pPr>
      <w:r>
        <w:rPr>
          <w:rFonts w:hint="eastAsia" w:ascii="宋体" w:hAnsi="宋体" w:eastAsia="宋体" w:cs="宋体"/>
          <w:color w:val="auto"/>
          <w:sz w:val="40"/>
          <w:szCs w:val="40"/>
          <w:u w:val="single"/>
          <w:lang w:val="en-US" w:eastAsia="zh-CN"/>
        </w:rPr>
        <w:t xml:space="preserve">                                </w:t>
      </w:r>
      <w:r>
        <w:rPr>
          <w:rFonts w:hint="eastAsia" w:ascii="宋体" w:hAnsi="宋体" w:eastAsia="宋体" w:cs="宋体"/>
          <w:color w:val="auto"/>
          <w:sz w:val="40"/>
          <w:szCs w:val="40"/>
          <w:lang w:val="en-US" w:eastAsia="zh-CN"/>
        </w:rPr>
        <w:t>（项目名称）</w:t>
      </w:r>
    </w:p>
    <w:p>
      <w:pPr>
        <w:jc w:val="center"/>
        <w:rPr>
          <w:rFonts w:ascii="宋体" w:hAnsi="宋体" w:eastAsia="宋体" w:cs="宋体"/>
          <w:color w:val="auto"/>
          <w:sz w:val="32"/>
          <w:szCs w:val="32"/>
        </w:rPr>
      </w:pPr>
    </w:p>
    <w:p>
      <w:pPr>
        <w:jc w:val="center"/>
        <w:rPr>
          <w:rFonts w:ascii="宋体" w:hAnsi="宋体" w:eastAsia="宋体" w:cs="宋体"/>
          <w:color w:val="auto"/>
          <w:sz w:val="32"/>
          <w:szCs w:val="32"/>
        </w:rPr>
      </w:pPr>
    </w:p>
    <w:p>
      <w:pPr>
        <w:jc w:val="both"/>
        <w:rPr>
          <w:rFonts w:ascii="宋体" w:hAnsi="宋体" w:eastAsia="宋体" w:cs="宋体"/>
          <w:color w:val="auto"/>
          <w:sz w:val="32"/>
          <w:szCs w:val="32"/>
        </w:rPr>
      </w:pPr>
    </w:p>
    <w:p>
      <w:pPr>
        <w:jc w:val="center"/>
        <w:rPr>
          <w:rFonts w:ascii="宋体" w:hAnsi="宋体" w:eastAsia="宋体" w:cs="宋体"/>
          <w:color w:val="auto"/>
          <w:sz w:val="72"/>
          <w:szCs w:val="72"/>
        </w:rPr>
      </w:pPr>
      <w:r>
        <w:rPr>
          <w:rFonts w:hint="eastAsia" w:ascii="宋体" w:hAnsi="宋体" w:eastAsia="宋体" w:cs="宋体"/>
          <w:color w:val="auto"/>
          <w:sz w:val="72"/>
          <w:szCs w:val="72"/>
        </w:rPr>
        <w:t>投标文件</w:t>
      </w: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ind w:firstLine="840" w:firstLineChars="300"/>
        <w:jc w:val="both"/>
        <w:rPr>
          <w:rFonts w:hint="eastAsia" w:ascii="宋体" w:hAnsi="宋体" w:eastAsia="宋体" w:cs="宋体"/>
          <w:color w:val="auto"/>
          <w:sz w:val="28"/>
          <w:szCs w:val="28"/>
        </w:rPr>
      </w:pPr>
      <w:r>
        <w:rPr>
          <w:rFonts w:hint="eastAsia" w:ascii="宋体" w:hAnsi="宋体" w:eastAsia="宋体" w:cs="宋体"/>
          <w:color w:val="auto"/>
          <w:sz w:val="28"/>
          <w:szCs w:val="28"/>
        </w:rPr>
        <w:t>投标供应商：</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（盖章）</w:t>
      </w:r>
    </w:p>
    <w:p>
      <w:pPr>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eastAsia="zh-CN"/>
        </w:rPr>
        <w:t>或盖章</w:t>
      </w:r>
      <w:r>
        <w:rPr>
          <w:rFonts w:hint="eastAsia" w:ascii="宋体" w:hAnsi="宋体" w:eastAsia="宋体" w:cs="宋体"/>
          <w:color w:val="auto"/>
          <w:sz w:val="28"/>
          <w:szCs w:val="28"/>
        </w:rPr>
        <w:t>）</w:t>
      </w:r>
    </w:p>
    <w:p>
      <w:pPr>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投标供应商地址：</w:t>
      </w:r>
      <w:r>
        <w:rPr>
          <w:rFonts w:hint="eastAsia" w:ascii="宋体" w:hAnsi="宋体" w:eastAsia="宋体" w:cs="宋体"/>
          <w:color w:val="auto"/>
          <w:sz w:val="28"/>
          <w:szCs w:val="28"/>
          <w:u w:val="single"/>
          <w:lang w:val="en-US" w:eastAsia="zh-CN"/>
        </w:rPr>
        <w:t xml:space="preserve">                         </w:t>
      </w:r>
    </w:p>
    <w:p>
      <w:pPr>
        <w:ind w:firstLine="840" w:firstLineChars="300"/>
        <w:rPr>
          <w:rFonts w:hint="eastAsia" w:ascii="宋体" w:hAnsi="宋体" w:eastAsia="宋体" w:cs="宋体"/>
          <w:color w:val="auto"/>
          <w:sz w:val="28"/>
          <w:szCs w:val="28"/>
        </w:rPr>
      </w:pP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lang w:val="en-US" w:eastAsia="zh-CN"/>
        </w:rPr>
        <w:t xml:space="preserve">                                 </w:t>
      </w:r>
    </w:p>
    <w:p>
      <w:pPr>
        <w:ind w:firstLine="840" w:firstLineChars="300"/>
        <w:rPr>
          <w:rFonts w:hint="default" w:ascii="宋体" w:hAnsi="宋体" w:eastAsia="宋体" w:cs="宋体"/>
          <w:color w:val="auto"/>
          <w:sz w:val="28"/>
          <w:szCs w:val="28"/>
          <w:lang w:val="en-US"/>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lang w:val="en-US" w:eastAsia="zh-CN"/>
        </w:rPr>
        <w:t xml:space="preserve">                               </w:t>
      </w:r>
    </w:p>
    <w:p>
      <w:pPr>
        <w:rPr>
          <w:rFonts w:ascii="宋体" w:hAnsi="宋体" w:eastAsia="宋体" w:cs="宋体"/>
          <w:color w:val="auto"/>
          <w:sz w:val="28"/>
          <w:szCs w:val="28"/>
        </w:rPr>
      </w:pPr>
    </w:p>
    <w:p>
      <w:pPr>
        <w:rPr>
          <w:rFonts w:ascii="宋体" w:hAnsi="宋体" w:eastAsia="宋体" w:cs="宋体"/>
          <w:color w:val="auto"/>
          <w:sz w:val="28"/>
          <w:szCs w:val="28"/>
        </w:rPr>
      </w:pPr>
    </w:p>
    <w:p>
      <w:pPr>
        <w:rPr>
          <w:rFonts w:ascii="宋体" w:hAnsi="宋体" w:eastAsia="宋体" w:cs="宋体"/>
          <w:color w:val="auto"/>
          <w:sz w:val="28"/>
          <w:szCs w:val="28"/>
        </w:rPr>
      </w:pPr>
    </w:p>
    <w:p>
      <w:pPr>
        <w:rPr>
          <w:rFonts w:ascii="宋体" w:hAnsi="宋体" w:eastAsia="宋体" w:cs="宋体"/>
          <w:color w:val="auto"/>
          <w:sz w:val="28"/>
          <w:szCs w:val="28"/>
        </w:rPr>
      </w:pPr>
    </w:p>
    <w:p>
      <w:pPr>
        <w:rPr>
          <w:rFonts w:ascii="宋体" w:hAnsi="宋体" w:cs="宋体"/>
          <w:color w:val="auto"/>
          <w:sz w:val="28"/>
          <w:szCs w:val="28"/>
        </w:rPr>
        <w:sectPr>
          <w:pgSz w:w="11920" w:h="16840"/>
          <w:pgMar w:top="1418" w:right="1418" w:bottom="1418" w:left="1418" w:header="794" w:footer="851" w:gutter="284"/>
          <w:pgNumType w:fmt="decimal"/>
          <w:cols w:space="720" w:num="1"/>
        </w:sectPr>
      </w:pPr>
    </w:p>
    <w:p>
      <w:pPr>
        <w:tabs>
          <w:tab w:val="left" w:pos="3280"/>
          <w:tab w:val="left" w:pos="4680"/>
          <w:tab w:val="left" w:pos="6080"/>
        </w:tabs>
        <w:autoSpaceDE w:val="0"/>
        <w:autoSpaceDN w:val="0"/>
        <w:adjustRightInd w:val="0"/>
        <w:spacing w:line="480" w:lineRule="exact"/>
        <w:ind w:right="-20"/>
        <w:jc w:val="center"/>
        <w:rPr>
          <w:rFonts w:ascii="宋体" w:hAnsi="宋体" w:eastAsia="宋体" w:cs="宋体"/>
          <w:b/>
          <w:color w:val="auto"/>
          <w:kern w:val="0"/>
          <w:sz w:val="28"/>
          <w:szCs w:val="28"/>
        </w:rPr>
      </w:pPr>
      <w:r>
        <w:rPr>
          <w:rFonts w:hint="eastAsia" w:ascii="宋体" w:hAnsi="宋体" w:eastAsia="宋体" w:cs="宋体"/>
          <w:b/>
          <w:color w:val="auto"/>
          <w:kern w:val="0"/>
          <w:sz w:val="36"/>
          <w:szCs w:val="36"/>
        </w:rPr>
        <w:t>目  录</w:t>
      </w:r>
    </w:p>
    <w:p>
      <w:pPr>
        <w:tabs>
          <w:tab w:val="left" w:pos="3280"/>
          <w:tab w:val="left" w:pos="4680"/>
          <w:tab w:val="left" w:pos="6080"/>
        </w:tabs>
        <w:autoSpaceDE w:val="0"/>
        <w:autoSpaceDN w:val="0"/>
        <w:adjustRightInd w:val="0"/>
        <w:spacing w:line="480" w:lineRule="exact"/>
        <w:ind w:right="-20"/>
        <w:jc w:val="center"/>
        <w:rPr>
          <w:rFonts w:ascii="宋体" w:hAnsi="宋体" w:eastAsia="宋体" w:cs="宋体"/>
          <w:color w:val="auto"/>
          <w:kern w:val="0"/>
          <w:sz w:val="28"/>
          <w:szCs w:val="28"/>
        </w:rPr>
      </w:pPr>
    </w:p>
    <w:p>
      <w:pPr>
        <w:ind w:firstLine="480" w:firstLineChars="200"/>
        <w:rPr>
          <w:rFonts w:hint="eastAsia" w:ascii="宋体" w:hAnsi="宋体" w:eastAsia="宋体" w:cs="宋体"/>
          <w:color w:val="auto"/>
          <w:szCs w:val="20"/>
          <w:lang w:eastAsia="zh-CN"/>
        </w:rPr>
      </w:pPr>
      <w:r>
        <w:rPr>
          <w:rFonts w:hint="eastAsia" w:ascii="宋体" w:hAnsi="宋体" w:eastAsia="宋体" w:cs="宋体"/>
          <w:color w:val="auto"/>
          <w:szCs w:val="20"/>
        </w:rPr>
        <w:t>一、投标函</w:t>
      </w:r>
      <w:r>
        <w:rPr>
          <w:rFonts w:hint="eastAsia" w:ascii="宋体" w:hAnsi="宋体" w:cs="宋体"/>
          <w:color w:val="auto"/>
          <w:szCs w:val="20"/>
          <w:lang w:eastAsia="zh-CN"/>
        </w:rPr>
        <w:t>及附录</w:t>
      </w:r>
    </w:p>
    <w:p>
      <w:pPr>
        <w:ind w:firstLine="480" w:firstLineChars="200"/>
        <w:rPr>
          <w:rFonts w:ascii="宋体" w:hAnsi="宋体" w:eastAsia="宋体" w:cs="宋体"/>
          <w:color w:val="auto"/>
          <w:szCs w:val="20"/>
        </w:rPr>
      </w:pPr>
      <w:r>
        <w:rPr>
          <w:rFonts w:hint="eastAsia" w:ascii="宋体" w:hAnsi="宋体" w:eastAsia="宋体" w:cs="宋体"/>
          <w:color w:val="auto"/>
          <w:szCs w:val="20"/>
        </w:rPr>
        <w:t>二、</w:t>
      </w:r>
      <w:r>
        <w:rPr>
          <w:rFonts w:hint="eastAsia" w:ascii="宋体" w:hAnsi="宋体" w:cs="宋体"/>
          <w:color w:val="auto"/>
          <w:szCs w:val="20"/>
          <w:lang w:eastAsia="zh-CN"/>
        </w:rPr>
        <w:t>分项报价</w:t>
      </w:r>
      <w:r>
        <w:rPr>
          <w:rFonts w:hint="eastAsia" w:ascii="宋体" w:hAnsi="宋体" w:eastAsia="宋体" w:cs="宋体"/>
          <w:color w:val="auto"/>
          <w:szCs w:val="20"/>
        </w:rPr>
        <w:t>表</w:t>
      </w:r>
    </w:p>
    <w:p>
      <w:pPr>
        <w:ind w:firstLine="480" w:firstLineChars="200"/>
        <w:rPr>
          <w:rFonts w:ascii="宋体" w:hAnsi="宋体" w:eastAsia="宋体" w:cs="宋体"/>
          <w:color w:val="auto"/>
          <w:szCs w:val="20"/>
        </w:rPr>
      </w:pPr>
      <w:r>
        <w:rPr>
          <w:rFonts w:hint="eastAsia" w:ascii="宋体" w:hAnsi="宋体" w:eastAsia="宋体" w:cs="宋体"/>
          <w:color w:val="auto"/>
          <w:szCs w:val="20"/>
        </w:rPr>
        <w:t>三、投标</w:t>
      </w:r>
      <w:r>
        <w:rPr>
          <w:rFonts w:hint="eastAsia" w:ascii="宋体" w:hAnsi="宋体" w:eastAsia="宋体" w:cs="宋体"/>
          <w:color w:val="auto"/>
          <w:szCs w:val="20"/>
          <w:lang w:eastAsia="zh-CN"/>
        </w:rPr>
        <w:t>产品</w:t>
      </w:r>
      <w:r>
        <w:rPr>
          <w:rFonts w:hint="eastAsia" w:ascii="宋体" w:hAnsi="宋体" w:eastAsia="宋体" w:cs="宋体"/>
          <w:color w:val="auto"/>
          <w:szCs w:val="20"/>
        </w:rPr>
        <w:t>配置清单一览表</w:t>
      </w:r>
    </w:p>
    <w:p>
      <w:pPr>
        <w:ind w:firstLine="480" w:firstLineChars="200"/>
        <w:rPr>
          <w:rFonts w:ascii="宋体" w:hAnsi="宋体" w:eastAsia="宋体" w:cs="宋体"/>
          <w:color w:val="auto"/>
          <w:szCs w:val="20"/>
        </w:rPr>
      </w:pPr>
      <w:r>
        <w:rPr>
          <w:rFonts w:hint="eastAsia" w:ascii="宋体" w:hAnsi="宋体" w:eastAsia="宋体" w:cs="宋体"/>
          <w:color w:val="auto"/>
          <w:szCs w:val="20"/>
        </w:rPr>
        <w:t>四、投标设备耗材一览表</w:t>
      </w:r>
    </w:p>
    <w:p>
      <w:pPr>
        <w:ind w:firstLine="480" w:firstLineChars="200"/>
        <w:rPr>
          <w:rFonts w:ascii="宋体" w:hAnsi="宋体" w:eastAsia="宋体" w:cs="宋体"/>
          <w:color w:val="auto"/>
          <w:szCs w:val="20"/>
        </w:rPr>
      </w:pPr>
      <w:r>
        <w:rPr>
          <w:rFonts w:hint="eastAsia" w:ascii="宋体" w:hAnsi="宋体" w:eastAsia="宋体" w:cs="宋体"/>
          <w:color w:val="auto"/>
          <w:szCs w:val="20"/>
        </w:rPr>
        <w:t>五、质保期满后易损件、配件一览表</w:t>
      </w:r>
    </w:p>
    <w:p>
      <w:pPr>
        <w:ind w:firstLine="480" w:firstLineChars="200"/>
        <w:rPr>
          <w:rFonts w:ascii="宋体" w:hAnsi="宋体" w:eastAsia="宋体" w:cs="宋体"/>
          <w:color w:val="auto"/>
          <w:szCs w:val="20"/>
        </w:rPr>
      </w:pPr>
      <w:r>
        <w:rPr>
          <w:rFonts w:hint="eastAsia" w:ascii="宋体" w:hAnsi="宋体" w:eastAsia="宋体" w:cs="宋体"/>
          <w:color w:val="auto"/>
          <w:szCs w:val="20"/>
        </w:rPr>
        <w:t>六、2020年以来投标产品同品牌同型号销售业绩表</w:t>
      </w:r>
    </w:p>
    <w:p>
      <w:pPr>
        <w:ind w:firstLine="480" w:firstLineChars="200"/>
        <w:rPr>
          <w:rFonts w:ascii="宋体" w:hAnsi="宋体" w:eastAsia="宋体" w:cs="宋体"/>
          <w:color w:val="auto"/>
          <w:szCs w:val="20"/>
        </w:rPr>
      </w:pPr>
      <w:r>
        <w:rPr>
          <w:rFonts w:hint="eastAsia" w:ascii="宋体" w:hAnsi="宋体" w:eastAsia="宋体" w:cs="宋体"/>
          <w:color w:val="auto"/>
          <w:szCs w:val="20"/>
        </w:rPr>
        <w:t>七、技术偏离表</w:t>
      </w:r>
    </w:p>
    <w:p>
      <w:pPr>
        <w:ind w:firstLine="480" w:firstLineChars="200"/>
        <w:rPr>
          <w:rFonts w:ascii="宋体" w:hAnsi="宋体" w:eastAsia="宋体" w:cs="宋体"/>
          <w:color w:val="auto"/>
          <w:szCs w:val="20"/>
        </w:rPr>
      </w:pPr>
      <w:r>
        <w:rPr>
          <w:rFonts w:hint="eastAsia" w:ascii="宋体" w:hAnsi="宋体" w:eastAsia="宋体" w:cs="宋体"/>
          <w:color w:val="auto"/>
          <w:szCs w:val="20"/>
        </w:rPr>
        <w:t>八、安装、调试、售后服务方案</w:t>
      </w:r>
    </w:p>
    <w:p>
      <w:pPr>
        <w:ind w:firstLine="480" w:firstLineChars="200"/>
        <w:rPr>
          <w:rFonts w:ascii="宋体" w:hAnsi="宋体" w:eastAsia="宋体" w:cs="宋体"/>
          <w:color w:val="auto"/>
          <w:szCs w:val="20"/>
        </w:rPr>
      </w:pPr>
      <w:r>
        <w:rPr>
          <w:rFonts w:hint="eastAsia" w:ascii="宋体" w:hAnsi="宋体" w:eastAsia="宋体" w:cs="宋体"/>
          <w:color w:val="auto"/>
          <w:szCs w:val="20"/>
        </w:rPr>
        <w:t>九、法定代表身份证明及法定代表人授权书</w:t>
      </w:r>
    </w:p>
    <w:p>
      <w:pPr>
        <w:ind w:firstLine="480" w:firstLineChars="200"/>
        <w:rPr>
          <w:rFonts w:ascii="宋体" w:hAnsi="宋体" w:eastAsia="宋体" w:cs="宋体"/>
          <w:color w:val="auto"/>
          <w:szCs w:val="20"/>
        </w:rPr>
      </w:pPr>
      <w:r>
        <w:rPr>
          <w:rFonts w:hint="eastAsia" w:ascii="宋体" w:hAnsi="宋体" w:eastAsia="宋体" w:cs="宋体"/>
          <w:color w:val="auto"/>
          <w:szCs w:val="20"/>
        </w:rPr>
        <w:t>十、资格审查资料</w:t>
      </w:r>
    </w:p>
    <w:p>
      <w:pPr>
        <w:ind w:firstLine="480" w:firstLineChars="200"/>
        <w:rPr>
          <w:rFonts w:ascii="宋体" w:hAnsi="宋体" w:eastAsia="宋体" w:cs="宋体"/>
          <w:color w:val="auto"/>
          <w:szCs w:val="20"/>
        </w:rPr>
      </w:pPr>
      <w:bookmarkStart w:id="251" w:name="_Hlk73955020"/>
      <w:r>
        <w:rPr>
          <w:rFonts w:hint="eastAsia" w:ascii="宋体" w:hAnsi="宋体" w:eastAsia="宋体" w:cs="宋体"/>
          <w:color w:val="auto"/>
          <w:szCs w:val="20"/>
        </w:rPr>
        <w:t>十一、反商业贿赂承诺书</w:t>
      </w:r>
    </w:p>
    <w:p>
      <w:pPr>
        <w:ind w:firstLine="480" w:firstLineChars="200"/>
        <w:rPr>
          <w:rFonts w:ascii="宋体" w:hAnsi="宋体" w:eastAsia="宋体" w:cs="宋体"/>
          <w:color w:val="auto"/>
          <w:szCs w:val="20"/>
        </w:rPr>
      </w:pPr>
      <w:bookmarkStart w:id="252" w:name="_Toc8377"/>
      <w:r>
        <w:rPr>
          <w:rFonts w:hint="eastAsia" w:ascii="宋体" w:hAnsi="宋体" w:eastAsia="宋体" w:cs="宋体"/>
          <w:color w:val="auto"/>
          <w:szCs w:val="20"/>
        </w:rPr>
        <w:t>十</w:t>
      </w:r>
      <w:r>
        <w:rPr>
          <w:rFonts w:hint="eastAsia" w:ascii="宋体" w:hAnsi="宋体" w:cs="宋体"/>
          <w:color w:val="auto"/>
          <w:szCs w:val="20"/>
          <w:lang w:eastAsia="zh-CN"/>
        </w:rPr>
        <w:t>二</w:t>
      </w:r>
      <w:r>
        <w:rPr>
          <w:rFonts w:hint="eastAsia" w:ascii="宋体" w:hAnsi="宋体" w:eastAsia="宋体" w:cs="宋体"/>
          <w:color w:val="auto"/>
          <w:szCs w:val="20"/>
        </w:rPr>
        <w:t>、</w:t>
      </w:r>
      <w:bookmarkEnd w:id="252"/>
      <w:r>
        <w:rPr>
          <w:rFonts w:hint="eastAsia" w:ascii="宋体" w:hAnsi="宋体" w:eastAsia="宋体" w:cs="宋体"/>
          <w:color w:val="auto"/>
          <w:szCs w:val="20"/>
        </w:rPr>
        <w:t>中小微企业、残疾人福利企业、监狱企业、节能环保产品</w:t>
      </w:r>
    </w:p>
    <w:p>
      <w:pPr>
        <w:ind w:firstLine="480" w:firstLineChars="200"/>
        <w:rPr>
          <w:rFonts w:ascii="宋体" w:hAnsi="宋体" w:eastAsia="宋体" w:cs="宋体"/>
          <w:color w:val="auto"/>
          <w:szCs w:val="20"/>
        </w:rPr>
      </w:pPr>
      <w:r>
        <w:rPr>
          <w:rFonts w:hint="eastAsia" w:ascii="宋体" w:hAnsi="宋体" w:eastAsia="宋体" w:cs="宋体"/>
          <w:color w:val="auto"/>
          <w:szCs w:val="20"/>
        </w:rPr>
        <w:t>十</w:t>
      </w:r>
      <w:r>
        <w:rPr>
          <w:rFonts w:hint="eastAsia" w:ascii="宋体" w:hAnsi="宋体" w:cs="宋体"/>
          <w:color w:val="auto"/>
          <w:szCs w:val="20"/>
          <w:lang w:eastAsia="zh-CN"/>
        </w:rPr>
        <w:t>三</w:t>
      </w:r>
      <w:r>
        <w:rPr>
          <w:rFonts w:hint="eastAsia" w:ascii="宋体" w:hAnsi="宋体" w:eastAsia="宋体" w:cs="宋体"/>
          <w:color w:val="auto"/>
          <w:szCs w:val="20"/>
        </w:rPr>
        <w:t>、投标设备图片及投标供应商认为需要提交的其它证明资料</w:t>
      </w:r>
    </w:p>
    <w:bookmarkEnd w:id="251"/>
    <w:p>
      <w:pPr>
        <w:jc w:val="center"/>
        <w:rPr>
          <w:rFonts w:ascii="宋体" w:hAnsi="宋体" w:eastAsia="宋体" w:cs="宋体"/>
          <w:b/>
          <w:color w:val="auto"/>
          <w:sz w:val="30"/>
          <w:szCs w:val="30"/>
        </w:rPr>
      </w:pPr>
    </w:p>
    <w:p>
      <w:pPr>
        <w:spacing w:line="400" w:lineRule="exact"/>
        <w:jc w:val="center"/>
        <w:rPr>
          <w:rFonts w:ascii="宋体" w:hAnsi="宋体" w:eastAsia="宋体" w:cs="宋体"/>
          <w:b/>
          <w:color w:val="auto"/>
          <w:sz w:val="30"/>
          <w:szCs w:val="30"/>
          <w:u w:val="single"/>
        </w:rPr>
      </w:pPr>
      <w:r>
        <w:rPr>
          <w:rFonts w:hint="eastAsia" w:ascii="宋体" w:hAnsi="宋体" w:eastAsia="宋体" w:cs="宋体"/>
          <w:b/>
          <w:color w:val="auto"/>
          <w:sz w:val="30"/>
          <w:szCs w:val="30"/>
          <w:u w:val="single"/>
        </w:rPr>
        <w:t>提示：以上目录须标明页码</w:t>
      </w:r>
    </w:p>
    <w:p>
      <w:pPr>
        <w:spacing w:line="400" w:lineRule="exact"/>
        <w:jc w:val="center"/>
        <w:rPr>
          <w:rFonts w:ascii="宋体" w:hAnsi="宋体" w:eastAsia="宋体" w:cs="宋体"/>
          <w:b/>
          <w:color w:val="auto"/>
          <w:sz w:val="30"/>
          <w:szCs w:val="30"/>
        </w:rPr>
      </w:pPr>
    </w:p>
    <w:p>
      <w:pPr>
        <w:spacing w:line="400" w:lineRule="exact"/>
        <w:jc w:val="center"/>
        <w:rPr>
          <w:rFonts w:ascii="宋体" w:hAnsi="宋体" w:eastAsia="宋体" w:cs="宋体"/>
          <w:b/>
          <w:color w:val="auto"/>
          <w:sz w:val="30"/>
          <w:szCs w:val="30"/>
        </w:rPr>
      </w:pPr>
    </w:p>
    <w:p>
      <w:pPr>
        <w:spacing w:line="400" w:lineRule="exact"/>
        <w:jc w:val="center"/>
        <w:rPr>
          <w:rFonts w:ascii="宋体" w:hAnsi="宋体" w:eastAsia="宋体" w:cs="宋体"/>
          <w:b/>
          <w:color w:val="auto"/>
          <w:sz w:val="30"/>
          <w:szCs w:val="30"/>
        </w:rPr>
      </w:pPr>
    </w:p>
    <w:p>
      <w:pPr>
        <w:spacing w:line="400" w:lineRule="exact"/>
        <w:jc w:val="center"/>
        <w:rPr>
          <w:rFonts w:ascii="宋体" w:hAnsi="宋体" w:eastAsia="宋体" w:cs="宋体"/>
          <w:b/>
          <w:color w:val="auto"/>
          <w:sz w:val="30"/>
          <w:szCs w:val="30"/>
        </w:rPr>
      </w:pPr>
    </w:p>
    <w:p>
      <w:pPr>
        <w:spacing w:line="400" w:lineRule="exact"/>
        <w:jc w:val="center"/>
        <w:rPr>
          <w:rFonts w:ascii="宋体" w:hAnsi="宋体" w:eastAsia="宋体" w:cs="宋体"/>
          <w:b/>
          <w:color w:val="auto"/>
          <w:sz w:val="30"/>
          <w:szCs w:val="30"/>
        </w:rPr>
      </w:pPr>
    </w:p>
    <w:p>
      <w:pPr>
        <w:rPr>
          <w:rFonts w:ascii="宋体" w:hAnsi="宋体" w:eastAsia="宋体" w:cs="宋体"/>
          <w:bCs/>
          <w:color w:val="auto"/>
          <w:sz w:val="30"/>
          <w:szCs w:val="30"/>
        </w:rPr>
      </w:pPr>
      <w:r>
        <w:rPr>
          <w:rFonts w:hint="eastAsia" w:ascii="宋体" w:hAnsi="宋体" w:eastAsia="宋体" w:cs="宋体"/>
          <w:bCs/>
          <w:color w:val="auto"/>
          <w:sz w:val="30"/>
          <w:szCs w:val="30"/>
        </w:rPr>
        <w:br w:type="page"/>
      </w:r>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253" w:name="_Toc17802"/>
      <w:bookmarkStart w:id="254" w:name="_Toc17192"/>
      <w:bookmarkStart w:id="255" w:name="_Toc26537"/>
      <w:bookmarkStart w:id="256" w:name="_Toc10763"/>
      <w:bookmarkStart w:id="257" w:name="_Toc29685"/>
      <w:bookmarkStart w:id="258" w:name="_Toc21847"/>
      <w:bookmarkStart w:id="259" w:name="_Toc9055"/>
      <w:bookmarkStart w:id="260" w:name="_Toc13064"/>
      <w:bookmarkStart w:id="261" w:name="_Toc19288"/>
      <w:bookmarkStart w:id="262" w:name="_Toc15634"/>
      <w:bookmarkStart w:id="263" w:name="_Toc25331"/>
      <w:r>
        <w:rPr>
          <w:rFonts w:hint="eastAsia" w:ascii="宋体" w:hAnsi="宋体" w:eastAsia="宋体" w:cs="宋体"/>
          <w:b/>
          <w:color w:val="auto"/>
          <w:kern w:val="0"/>
          <w:sz w:val="30"/>
          <w:szCs w:val="20"/>
          <w:lang w:val="en-US" w:eastAsia="zh-CN" w:bidi="ar-SA"/>
        </w:rPr>
        <w:t>一、</w:t>
      </w:r>
      <w:bookmarkStart w:id="264" w:name="_Toc277685508"/>
      <w:r>
        <w:rPr>
          <w:rFonts w:hint="eastAsia" w:ascii="宋体" w:hAnsi="宋体" w:eastAsia="宋体" w:cs="宋体"/>
          <w:b/>
          <w:color w:val="auto"/>
          <w:kern w:val="0"/>
          <w:sz w:val="30"/>
          <w:szCs w:val="20"/>
          <w:lang w:val="en-US" w:eastAsia="zh-CN" w:bidi="ar-SA"/>
        </w:rPr>
        <w:t>投标函</w:t>
      </w:r>
      <w:bookmarkEnd w:id="253"/>
      <w:bookmarkEnd w:id="254"/>
      <w:bookmarkEnd w:id="255"/>
      <w:bookmarkEnd w:id="256"/>
      <w:bookmarkEnd w:id="257"/>
      <w:bookmarkEnd w:id="258"/>
      <w:bookmarkEnd w:id="259"/>
      <w:bookmarkEnd w:id="260"/>
      <w:bookmarkEnd w:id="261"/>
      <w:bookmarkEnd w:id="262"/>
      <w:bookmarkEnd w:id="263"/>
      <w:bookmarkEnd w:id="264"/>
      <w:r>
        <w:rPr>
          <w:rFonts w:hint="eastAsia" w:ascii="宋体" w:hAnsi="宋体" w:cs="宋体"/>
          <w:b/>
          <w:color w:val="auto"/>
          <w:kern w:val="0"/>
          <w:sz w:val="30"/>
          <w:szCs w:val="20"/>
          <w:lang w:val="en-US" w:eastAsia="zh-CN" w:bidi="ar-SA"/>
        </w:rPr>
        <w:t>及附录</w:t>
      </w:r>
    </w:p>
    <w:p>
      <w:pPr>
        <w:spacing w:line="480" w:lineRule="exact"/>
        <w:rPr>
          <w:rFonts w:ascii="宋体" w:hAnsi="宋体" w:eastAsia="宋体" w:cs="宋体"/>
          <w:b/>
          <w:color w:val="auto"/>
          <w:u w:val="single"/>
        </w:rPr>
      </w:pPr>
    </w:p>
    <w:p>
      <w:pPr>
        <w:spacing w:line="520" w:lineRule="exact"/>
        <w:rPr>
          <w:rFonts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w:t>
      </w:r>
      <w:r>
        <w:rPr>
          <w:rFonts w:hint="eastAsia" w:ascii="宋体" w:hAnsi="宋体" w:eastAsia="宋体" w:cs="宋体"/>
          <w:color w:val="auto"/>
        </w:rPr>
        <w:t>（采购人名称）</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1、我方已仔细研究了</w:t>
      </w:r>
      <w:r>
        <w:rPr>
          <w:rFonts w:hint="eastAsia" w:ascii="宋体" w:hAnsi="宋体" w:eastAsia="宋体" w:cs="宋体"/>
          <w:color w:val="auto"/>
          <w:u w:val="single"/>
        </w:rPr>
        <w:t xml:space="preserve">                               </w:t>
      </w:r>
      <w:r>
        <w:rPr>
          <w:rFonts w:hint="eastAsia" w:ascii="宋体" w:hAnsi="宋体" w:eastAsia="宋体" w:cs="宋体"/>
          <w:color w:val="auto"/>
        </w:rPr>
        <w:t>项目包</w:t>
      </w:r>
      <w:r>
        <w:rPr>
          <w:rFonts w:hint="eastAsia" w:ascii="宋体" w:hAnsi="宋体" w:eastAsia="宋体" w:cs="宋体"/>
          <w:color w:val="auto"/>
          <w:u w:val="single"/>
        </w:rPr>
        <w:t xml:space="preserve">    </w:t>
      </w:r>
      <w:r>
        <w:rPr>
          <w:rFonts w:hint="eastAsia" w:ascii="宋体" w:hAnsi="宋体" w:eastAsia="宋体" w:cs="宋体"/>
          <w:color w:val="auto"/>
        </w:rPr>
        <w:t>招标文件的全部内容，愿按照招标文件中规定的条款和要求，提供招标货物及相关服务，投标总报价为（大写）</w:t>
      </w:r>
      <w:r>
        <w:rPr>
          <w:rFonts w:hint="eastAsia" w:ascii="宋体" w:hAnsi="宋体" w:eastAsia="宋体" w:cs="宋体"/>
          <w:color w:val="auto"/>
          <w:u w:val="single"/>
        </w:rPr>
        <w:t xml:space="preserve">         </w:t>
      </w:r>
      <w:r>
        <w:rPr>
          <w:rFonts w:hint="eastAsia" w:ascii="宋体" w:hAnsi="宋体" w:eastAsia="宋体" w:cs="宋体"/>
          <w:color w:val="auto"/>
        </w:rPr>
        <w:t>元（¥</w:t>
      </w:r>
      <w:r>
        <w:rPr>
          <w:rFonts w:hint="eastAsia" w:ascii="宋体" w:hAnsi="宋体" w:eastAsia="宋体" w:cs="宋体"/>
          <w:color w:val="auto"/>
          <w:u w:val="single"/>
        </w:rPr>
        <w:t xml:space="preserve">           </w:t>
      </w:r>
      <w:r>
        <w:rPr>
          <w:rFonts w:hint="eastAsia" w:ascii="宋体" w:hAnsi="宋体" w:eastAsia="宋体" w:cs="宋体"/>
          <w:color w:val="auto"/>
        </w:rPr>
        <w:t>），交货期为合同生效后</w:t>
      </w:r>
      <w:r>
        <w:rPr>
          <w:rFonts w:hint="eastAsia" w:ascii="宋体" w:hAnsi="宋体" w:eastAsia="宋体" w:cs="宋体"/>
          <w:color w:val="auto"/>
          <w:u w:val="single"/>
        </w:rPr>
        <w:t xml:space="preserve">      </w:t>
      </w:r>
      <w:r>
        <w:rPr>
          <w:rFonts w:hint="eastAsia" w:ascii="宋体" w:hAnsi="宋体" w:eastAsia="宋体" w:cs="宋体"/>
          <w:color w:val="auto"/>
        </w:rPr>
        <w:t>日历天。</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2、我方承诺在投标有效期内不修改、撤销投标文件。</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3、如我方中标：</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（1）我方承诺在收到中标通知书后，在中标通知书规定的期限内与你方签订合同。</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（2）随同本投标函递交的投标函附录属于合同文件的组成部分。</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（3）我方承诺按照招标文件规定向你方递交履约担保。</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（4）我方承诺在合同约定的期限内完成本项目。</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5、我方在此声明，所递交的投标文件及有关资料内容完整、真实和准确。</w:t>
      </w:r>
    </w:p>
    <w:p>
      <w:pPr>
        <w:spacing w:line="520" w:lineRule="exact"/>
        <w:ind w:firstLine="480" w:firstLineChars="200"/>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u w:val="single"/>
        </w:rPr>
        <w:t xml:space="preserve">                              </w:t>
      </w:r>
      <w:r>
        <w:rPr>
          <w:rFonts w:hint="eastAsia" w:ascii="宋体" w:hAnsi="宋体" w:eastAsia="宋体" w:cs="宋体"/>
          <w:color w:val="auto"/>
        </w:rPr>
        <w:t>（其他补充说明）。</w:t>
      </w:r>
    </w:p>
    <w:p>
      <w:pPr>
        <w:spacing w:line="520" w:lineRule="exact"/>
        <w:jc w:val="right"/>
        <w:rPr>
          <w:rFonts w:ascii="宋体" w:hAnsi="宋体" w:eastAsia="宋体" w:cs="宋体"/>
          <w:color w:val="auto"/>
        </w:rPr>
      </w:pPr>
    </w:p>
    <w:p>
      <w:pPr>
        <w:spacing w:line="620" w:lineRule="exact"/>
        <w:ind w:firstLine="480" w:firstLineChars="200"/>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ind w:firstLine="480" w:firstLineChars="200"/>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ind w:firstLine="480" w:firstLineChars="200"/>
        <w:rPr>
          <w:rFonts w:ascii="宋体" w:hAnsi="宋体" w:eastAsia="宋体" w:cs="仿宋"/>
          <w:color w:val="auto"/>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520" w:lineRule="exact"/>
        <w:ind w:firstLine="480" w:firstLineChars="200"/>
        <w:rPr>
          <w:rFonts w:ascii="宋体" w:hAnsi="宋体" w:eastAsia="宋体" w:cs="宋体"/>
          <w:color w:val="auto"/>
        </w:rPr>
      </w:pPr>
    </w:p>
    <w:p>
      <w:pPr>
        <w:rPr>
          <w:rFonts w:ascii="宋体" w:hAnsi="宋体" w:eastAsia="宋体" w:cs="宋体"/>
          <w:color w:val="auto"/>
        </w:rPr>
      </w:pPr>
    </w:p>
    <w:p>
      <w:pPr>
        <w:spacing w:line="520" w:lineRule="exact"/>
        <w:ind w:firstLine="480" w:firstLineChars="200"/>
        <w:rPr>
          <w:rFonts w:ascii="宋体" w:hAnsi="宋体" w:eastAsia="宋体" w:cs="宋体"/>
          <w:color w:val="auto"/>
        </w:rPr>
      </w:pPr>
    </w:p>
    <w:p>
      <w:pPr>
        <w:autoSpaceDE w:val="0"/>
        <w:autoSpaceDN w:val="0"/>
        <w:adjustRightInd w:val="0"/>
        <w:rPr>
          <w:rFonts w:ascii="宋体" w:hAnsi="宋体" w:eastAsia="宋体" w:cs="宋体"/>
          <w:b/>
          <w:color w:val="auto"/>
          <w:sz w:val="32"/>
          <w:szCs w:val="32"/>
        </w:rPr>
      </w:pPr>
      <w:r>
        <w:rPr>
          <w:rFonts w:hint="eastAsia" w:ascii="宋体" w:hAnsi="宋体" w:eastAsia="宋体" w:cs="宋体"/>
          <w:b/>
          <w:color w:val="auto"/>
          <w:sz w:val="32"/>
          <w:szCs w:val="32"/>
        </w:rPr>
        <w:br w:type="page"/>
      </w:r>
    </w:p>
    <w:p>
      <w:pPr>
        <w:spacing w:before="120" w:beforeLines="50" w:after="120" w:afterLines="50"/>
        <w:jc w:val="center"/>
        <w:rPr>
          <w:rFonts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rPr>
        <w:t>投标函附录</w:t>
      </w:r>
    </w:p>
    <w:tbl>
      <w:tblPr>
        <w:tblStyle w:val="17"/>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eastAsia="宋体" w:cs="宋体"/>
                <w:b/>
                <w:color w:val="auto"/>
                <w:kern w:val="0"/>
              </w:rPr>
            </w:pPr>
            <w:r>
              <w:rPr>
                <w:rFonts w:hint="eastAsia" w:ascii="宋体" w:hAnsi="宋体" w:eastAsia="宋体" w:cs="宋体"/>
                <w:b/>
                <w:color w:val="auto"/>
                <w:kern w:val="0"/>
                <w:highlight w:val="none"/>
              </w:rPr>
              <w:t>投标供应商</w:t>
            </w:r>
          </w:p>
        </w:tc>
        <w:tc>
          <w:tcPr>
            <w:tcW w:w="5568" w:type="dxa"/>
            <w:vAlign w:val="center"/>
          </w:tcPr>
          <w:p>
            <w:pPr>
              <w:adjustRightInd w:val="0"/>
              <w:spacing w:line="0" w:lineRule="atLeast"/>
              <w:textAlignment w:val="baseline"/>
              <w:rPr>
                <w:rFonts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eastAsia="宋体" w:cs="宋体"/>
                <w:b/>
                <w:color w:val="auto"/>
                <w:kern w:val="0"/>
              </w:rPr>
            </w:pPr>
            <w:r>
              <w:rPr>
                <w:rFonts w:hint="eastAsia" w:ascii="宋体" w:hAnsi="宋体" w:eastAsia="宋体" w:cs="宋体"/>
                <w:b/>
                <w:color w:val="auto"/>
                <w:kern w:val="0"/>
              </w:rPr>
              <w:t>投标范围</w:t>
            </w:r>
          </w:p>
        </w:tc>
        <w:tc>
          <w:tcPr>
            <w:tcW w:w="5568" w:type="dxa"/>
            <w:vAlign w:val="center"/>
          </w:tcPr>
          <w:p>
            <w:pPr>
              <w:adjustRightInd w:val="0"/>
              <w:spacing w:line="0" w:lineRule="atLeast"/>
              <w:textAlignment w:val="baseline"/>
              <w:rPr>
                <w:rFonts w:ascii="宋体" w:hAnsi="宋体" w:eastAsia="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2992" w:type="dxa"/>
            <w:vAlign w:val="center"/>
          </w:tcPr>
          <w:p>
            <w:pPr>
              <w:adjustRightInd w:val="0"/>
              <w:spacing w:line="0" w:lineRule="atLeast"/>
              <w:jc w:val="center"/>
              <w:textAlignment w:val="baseline"/>
              <w:rPr>
                <w:rFonts w:ascii="宋体" w:hAnsi="宋体" w:eastAsia="宋体" w:cs="宋体"/>
                <w:b/>
                <w:color w:val="auto"/>
                <w:kern w:val="0"/>
                <w:highlight w:val="none"/>
              </w:rPr>
            </w:pPr>
            <w:r>
              <w:rPr>
                <w:rFonts w:hint="eastAsia" w:ascii="宋体" w:hAnsi="宋体" w:eastAsia="宋体" w:cs="宋体"/>
                <w:b/>
                <w:color w:val="auto"/>
                <w:kern w:val="0"/>
                <w:highlight w:val="none"/>
              </w:rPr>
              <w:t>投标总报价</w:t>
            </w:r>
          </w:p>
          <w:p>
            <w:pPr>
              <w:adjustRightInd w:val="0"/>
              <w:spacing w:line="0" w:lineRule="atLeast"/>
              <w:jc w:val="center"/>
              <w:textAlignment w:val="baseline"/>
              <w:rPr>
                <w:rFonts w:ascii="宋体" w:hAnsi="宋体" w:eastAsia="宋体" w:cs="宋体"/>
                <w:b/>
                <w:color w:val="auto"/>
                <w:kern w:val="0"/>
                <w:highlight w:val="none"/>
              </w:rPr>
            </w:pPr>
            <w:r>
              <w:rPr>
                <w:rFonts w:hint="eastAsia" w:ascii="宋体" w:hAnsi="宋体" w:eastAsia="宋体" w:cs="宋体"/>
                <w:b/>
                <w:color w:val="auto"/>
                <w:kern w:val="0"/>
                <w:highlight w:val="none"/>
              </w:rPr>
              <w:t>（人民币：元）</w:t>
            </w:r>
          </w:p>
        </w:tc>
        <w:tc>
          <w:tcPr>
            <w:tcW w:w="5568" w:type="dxa"/>
            <w:vAlign w:val="center"/>
          </w:tcPr>
          <w:p>
            <w:pPr>
              <w:adjustRightInd w:val="0"/>
              <w:spacing w:line="0" w:lineRule="atLeast"/>
              <w:textAlignment w:val="baseline"/>
              <w:rPr>
                <w:rFonts w:ascii="宋体" w:hAnsi="宋体" w:eastAsia="宋体" w:cs="宋体"/>
                <w:color w:val="auto"/>
                <w:kern w:val="0"/>
              </w:rPr>
            </w:pPr>
            <w:r>
              <w:rPr>
                <w:rFonts w:hint="eastAsia" w:ascii="宋体" w:hAnsi="宋体" w:eastAsia="宋体" w:cs="宋体"/>
                <w:color w:val="auto"/>
                <w:kern w:val="0"/>
              </w:rPr>
              <w:t xml:space="preserve">人民币（大写）：                  </w:t>
            </w:r>
          </w:p>
          <w:p>
            <w:pPr>
              <w:adjustRightInd w:val="0"/>
              <w:spacing w:line="0" w:lineRule="atLeast"/>
              <w:textAlignment w:val="baseline"/>
              <w:rPr>
                <w:rFonts w:ascii="宋体" w:hAnsi="宋体" w:eastAsia="宋体" w:cs="宋体"/>
                <w:color w:val="auto"/>
                <w:kern w:val="0"/>
              </w:rPr>
            </w:pPr>
            <w:r>
              <w:rPr>
                <w:rFonts w:hint="eastAsia" w:ascii="宋体" w:hAnsi="宋体" w:eastAsia="宋体" w:cs="宋体"/>
                <w:color w:val="auto"/>
                <w:kern w:val="0"/>
              </w:rPr>
              <w:t xml:space="preserve">人民币（小写）￥：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eastAsia="宋体" w:cs="宋体"/>
                <w:b/>
                <w:color w:val="auto"/>
                <w:kern w:val="0"/>
                <w:highlight w:val="none"/>
              </w:rPr>
            </w:pPr>
            <w:r>
              <w:rPr>
                <w:rFonts w:hint="eastAsia" w:ascii="宋体" w:hAnsi="宋体" w:eastAsia="宋体" w:cs="宋体"/>
                <w:b/>
                <w:color w:val="auto"/>
                <w:kern w:val="0"/>
                <w:highlight w:val="none"/>
              </w:rPr>
              <w:t>交货期</w:t>
            </w:r>
          </w:p>
        </w:tc>
        <w:tc>
          <w:tcPr>
            <w:tcW w:w="5568" w:type="dxa"/>
            <w:vAlign w:val="center"/>
          </w:tcPr>
          <w:p>
            <w:pPr>
              <w:spacing w:line="0" w:lineRule="atLeast"/>
              <w:jc w:val="center"/>
              <w:rPr>
                <w:rFonts w:ascii="宋体" w:hAnsi="宋体" w:eastAsia="宋体" w:cs="宋体"/>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hint="eastAsia" w:ascii="宋体" w:hAnsi="宋体" w:eastAsia="宋体" w:cs="宋体"/>
                <w:b/>
                <w:color w:val="auto"/>
                <w:kern w:val="0"/>
                <w:highlight w:val="none"/>
                <w:lang w:eastAsia="zh-CN"/>
              </w:rPr>
            </w:pPr>
            <w:r>
              <w:rPr>
                <w:rFonts w:hint="eastAsia" w:ascii="宋体" w:hAnsi="宋体" w:cs="宋体"/>
                <w:b/>
                <w:color w:val="auto"/>
                <w:kern w:val="0"/>
                <w:highlight w:val="none"/>
                <w:lang w:eastAsia="zh-CN"/>
              </w:rPr>
              <w:t>交货地点</w:t>
            </w:r>
          </w:p>
        </w:tc>
        <w:tc>
          <w:tcPr>
            <w:tcW w:w="5568" w:type="dxa"/>
            <w:vAlign w:val="center"/>
          </w:tcPr>
          <w:p>
            <w:pPr>
              <w:spacing w:line="0" w:lineRule="atLeast"/>
              <w:jc w:val="center"/>
              <w:rPr>
                <w:rFonts w:ascii="宋体" w:hAnsi="宋体" w:eastAsia="宋体" w:cs="宋体"/>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eastAsia="宋体" w:cs="宋体"/>
                <w:b/>
                <w:color w:val="auto"/>
                <w:kern w:val="0"/>
                <w:highlight w:val="none"/>
              </w:rPr>
            </w:pPr>
            <w:r>
              <w:rPr>
                <w:rFonts w:hint="eastAsia" w:ascii="宋体" w:hAnsi="宋体" w:eastAsia="宋体" w:cs="宋体"/>
                <w:b/>
                <w:color w:val="auto"/>
                <w:kern w:val="0"/>
                <w:highlight w:val="none"/>
              </w:rPr>
              <w:t>质保期</w:t>
            </w:r>
          </w:p>
        </w:tc>
        <w:tc>
          <w:tcPr>
            <w:tcW w:w="5568" w:type="dxa"/>
            <w:vAlign w:val="center"/>
          </w:tcPr>
          <w:p>
            <w:pPr>
              <w:spacing w:line="0" w:lineRule="atLeas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eastAsia="宋体" w:cs="宋体"/>
                <w:b/>
                <w:color w:val="auto"/>
                <w:kern w:val="0"/>
              </w:rPr>
            </w:pPr>
            <w:r>
              <w:rPr>
                <w:rFonts w:hint="eastAsia" w:ascii="宋体" w:hAnsi="宋体" w:eastAsia="宋体" w:cs="宋体"/>
                <w:b/>
                <w:color w:val="auto"/>
                <w:kern w:val="0"/>
              </w:rPr>
              <w:t>质量要求</w:t>
            </w:r>
          </w:p>
        </w:tc>
        <w:tc>
          <w:tcPr>
            <w:tcW w:w="5568" w:type="dxa"/>
            <w:vAlign w:val="center"/>
          </w:tcPr>
          <w:p>
            <w:pPr>
              <w:spacing w:line="520" w:lineRule="exact"/>
              <w:rPr>
                <w:rFonts w:ascii="宋体" w:hAnsi="宋体" w:eastAsia="宋体" w:cs="宋体"/>
                <w:bCs/>
                <w:color w:val="auto"/>
              </w:rPr>
            </w:pPr>
          </w:p>
          <w:p>
            <w:pPr>
              <w:spacing w:line="0" w:lineRule="atLeas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eastAsia="宋体" w:cs="宋体"/>
                <w:b/>
                <w:color w:val="auto"/>
                <w:kern w:val="0"/>
                <w:highlight w:val="none"/>
              </w:rPr>
            </w:pPr>
            <w:r>
              <w:rPr>
                <w:rFonts w:hint="eastAsia" w:ascii="宋体" w:hAnsi="宋体" w:eastAsia="宋体" w:cs="宋体"/>
                <w:b/>
                <w:color w:val="auto"/>
                <w:kern w:val="0"/>
                <w:highlight w:val="none"/>
              </w:rPr>
              <w:t>投标有效期</w:t>
            </w:r>
          </w:p>
        </w:tc>
        <w:tc>
          <w:tcPr>
            <w:tcW w:w="5568" w:type="dxa"/>
            <w:vAlign w:val="center"/>
          </w:tcPr>
          <w:p>
            <w:pPr>
              <w:spacing w:line="0" w:lineRule="atLeas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992" w:type="dxa"/>
            <w:vAlign w:val="center"/>
          </w:tcPr>
          <w:p>
            <w:pPr>
              <w:adjustRightInd w:val="0"/>
              <w:spacing w:line="0" w:lineRule="atLeast"/>
              <w:jc w:val="center"/>
              <w:textAlignment w:val="baseline"/>
              <w:rPr>
                <w:rFonts w:ascii="宋体" w:hAnsi="宋体" w:eastAsia="宋体" w:cs="宋体"/>
                <w:b/>
                <w:color w:val="auto"/>
                <w:kern w:val="0"/>
              </w:rPr>
            </w:pPr>
            <w:r>
              <w:rPr>
                <w:rFonts w:hint="eastAsia" w:ascii="宋体" w:hAnsi="宋体" w:eastAsia="宋体" w:cs="宋体"/>
                <w:b/>
                <w:color w:val="auto"/>
                <w:kern w:val="0"/>
              </w:rPr>
              <w:t>付款方式</w:t>
            </w:r>
          </w:p>
        </w:tc>
        <w:tc>
          <w:tcPr>
            <w:tcW w:w="5568" w:type="dxa"/>
            <w:vAlign w:val="center"/>
          </w:tcPr>
          <w:p>
            <w:pPr>
              <w:spacing w:line="0" w:lineRule="atLeast"/>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992" w:type="dxa"/>
            <w:vAlign w:val="center"/>
          </w:tcPr>
          <w:p>
            <w:pPr>
              <w:adjustRightInd w:val="0"/>
              <w:spacing w:line="0" w:lineRule="atLeast"/>
              <w:jc w:val="center"/>
              <w:textAlignment w:val="baseline"/>
              <w:rPr>
                <w:rFonts w:hint="eastAsia" w:ascii="宋体" w:hAnsi="宋体" w:eastAsia="宋体" w:cs="宋体"/>
                <w:b/>
                <w:color w:val="auto"/>
                <w:kern w:val="0"/>
                <w:highlight w:val="none"/>
                <w:lang w:eastAsia="zh-CN"/>
              </w:rPr>
            </w:pPr>
            <w:r>
              <w:rPr>
                <w:rFonts w:hint="eastAsia" w:ascii="宋体" w:hAnsi="宋体" w:eastAsia="宋体" w:cs="宋体"/>
                <w:b/>
                <w:color w:val="auto"/>
                <w:kern w:val="0"/>
                <w:highlight w:val="none"/>
              </w:rPr>
              <w:t>其他</w:t>
            </w:r>
            <w:r>
              <w:rPr>
                <w:rFonts w:hint="eastAsia" w:ascii="宋体" w:hAnsi="宋体" w:cs="宋体"/>
                <w:b/>
                <w:color w:val="auto"/>
                <w:kern w:val="0"/>
                <w:highlight w:val="none"/>
                <w:lang w:eastAsia="zh-CN"/>
              </w:rPr>
              <w:t>声明</w:t>
            </w:r>
          </w:p>
        </w:tc>
        <w:tc>
          <w:tcPr>
            <w:tcW w:w="5568" w:type="dxa"/>
            <w:vAlign w:val="center"/>
          </w:tcPr>
          <w:p>
            <w:pPr>
              <w:adjustRightInd w:val="0"/>
              <w:spacing w:line="0" w:lineRule="atLeast"/>
              <w:jc w:val="center"/>
              <w:textAlignment w:val="baseline"/>
              <w:rPr>
                <w:rFonts w:ascii="宋体" w:hAnsi="宋体" w:eastAsia="宋体" w:cs="宋体"/>
                <w:color w:val="auto"/>
                <w:kern w:val="0"/>
              </w:rPr>
            </w:pPr>
            <w:r>
              <w:rPr>
                <w:rFonts w:hint="eastAsia" w:ascii="宋体" w:hAnsi="宋体" w:eastAsia="宋体" w:cs="宋体"/>
                <w:color w:val="auto"/>
                <w:kern w:val="0"/>
              </w:rPr>
              <w:t>我公司完全响应招标文件规定的其他要求。</w:t>
            </w:r>
          </w:p>
          <w:p>
            <w:pPr>
              <w:adjustRightInd w:val="0"/>
              <w:spacing w:line="0" w:lineRule="atLeast"/>
              <w:jc w:val="center"/>
              <w:textAlignment w:val="baseline"/>
              <w:rPr>
                <w:rFonts w:ascii="宋体" w:hAnsi="宋体" w:eastAsia="宋体" w:cs="宋体"/>
                <w:color w:val="auto"/>
                <w:kern w:val="0"/>
              </w:rPr>
            </w:pPr>
            <w:r>
              <w:rPr>
                <w:rFonts w:hint="eastAsia" w:ascii="宋体" w:hAnsi="宋体" w:eastAsia="宋体" w:cs="宋体"/>
                <w:color w:val="auto"/>
                <w:kern w:val="0"/>
              </w:rPr>
              <w:t>包括投标范围、技术标准和要求等</w:t>
            </w:r>
          </w:p>
        </w:tc>
      </w:tr>
    </w:tbl>
    <w:p>
      <w:pPr>
        <w:spacing w:line="620" w:lineRule="exact"/>
        <w:rPr>
          <w:rFonts w:ascii="宋体" w:hAnsi="宋体" w:eastAsia="宋体" w:cs="宋体"/>
          <w:color w:val="auto"/>
          <w:szCs w:val="20"/>
        </w:rPr>
      </w:pP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620" w:lineRule="exact"/>
        <w:rPr>
          <w:rFonts w:ascii="宋体" w:hAnsi="宋体" w:eastAsia="宋体" w:cs="宋体"/>
          <w:color w:val="auto"/>
          <w:szCs w:val="20"/>
        </w:rPr>
      </w:pPr>
    </w:p>
    <w:p>
      <w:pPr>
        <w:spacing w:line="620" w:lineRule="exact"/>
        <w:rPr>
          <w:rFonts w:ascii="宋体" w:hAnsi="宋体" w:cs="宋体"/>
          <w:b/>
          <w:color w:val="auto"/>
          <w:sz w:val="32"/>
          <w:szCs w:val="32"/>
        </w:rPr>
        <w:sectPr>
          <w:pgSz w:w="11920" w:h="16840"/>
          <w:pgMar w:top="1418" w:right="1418" w:bottom="1418" w:left="1418" w:header="794" w:footer="851" w:gutter="284"/>
          <w:pgNumType w:fmt="decimal"/>
          <w:cols w:space="720" w:num="1"/>
        </w:sectPr>
      </w:pPr>
      <w:r>
        <w:rPr>
          <w:rFonts w:hint="eastAsia" w:ascii="宋体" w:hAnsi="宋体" w:eastAsia="宋体" w:cs="宋体"/>
          <w:color w:val="auto"/>
        </w:rPr>
        <w:br w:type="page"/>
      </w:r>
      <w:bookmarkStart w:id="265" w:name="_Toc30355"/>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266" w:name="_Toc15138"/>
      <w:bookmarkStart w:id="267" w:name="_Toc1085"/>
      <w:bookmarkStart w:id="268" w:name="_Toc31940"/>
      <w:bookmarkStart w:id="269" w:name="_Toc10808"/>
      <w:bookmarkStart w:id="270" w:name="_Toc26486"/>
      <w:bookmarkStart w:id="271" w:name="_Toc30766"/>
      <w:bookmarkStart w:id="272" w:name="_Toc20785"/>
      <w:bookmarkStart w:id="273" w:name="_Toc30124"/>
      <w:bookmarkStart w:id="274" w:name="_Toc28104"/>
      <w:bookmarkStart w:id="275" w:name="_Toc28787"/>
      <w:r>
        <w:rPr>
          <w:rFonts w:hint="eastAsia" w:ascii="宋体" w:hAnsi="宋体" w:eastAsia="宋体" w:cs="宋体"/>
          <w:b/>
          <w:color w:val="auto"/>
          <w:kern w:val="0"/>
          <w:sz w:val="30"/>
          <w:szCs w:val="20"/>
          <w:lang w:val="en-US" w:eastAsia="zh-CN" w:bidi="ar-SA"/>
        </w:rPr>
        <w:t>二、</w:t>
      </w:r>
      <w:bookmarkEnd w:id="265"/>
      <w:bookmarkEnd w:id="266"/>
      <w:bookmarkEnd w:id="267"/>
      <w:bookmarkEnd w:id="268"/>
      <w:bookmarkEnd w:id="269"/>
      <w:bookmarkEnd w:id="270"/>
      <w:bookmarkEnd w:id="271"/>
      <w:bookmarkEnd w:id="272"/>
      <w:bookmarkEnd w:id="273"/>
      <w:bookmarkEnd w:id="274"/>
      <w:bookmarkEnd w:id="275"/>
      <w:r>
        <w:rPr>
          <w:rFonts w:hint="eastAsia" w:ascii="宋体" w:hAnsi="宋体" w:cs="宋体"/>
          <w:b/>
          <w:color w:val="auto"/>
          <w:kern w:val="0"/>
          <w:sz w:val="30"/>
          <w:szCs w:val="20"/>
          <w:lang w:val="en-US" w:eastAsia="zh-CN" w:bidi="ar-SA"/>
        </w:rPr>
        <w:t>分项报价表</w:t>
      </w:r>
    </w:p>
    <w:tbl>
      <w:tblPr>
        <w:tblStyle w:val="18"/>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484"/>
        <w:gridCol w:w="864"/>
        <w:gridCol w:w="1530"/>
        <w:gridCol w:w="721"/>
        <w:gridCol w:w="722"/>
        <w:gridCol w:w="1138"/>
        <w:gridCol w:w="1139"/>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66"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bookmarkStart w:id="276" w:name="_Toc2205"/>
            <w:bookmarkStart w:id="277" w:name="_Toc25730"/>
            <w:bookmarkStart w:id="278" w:name="_Toc16938"/>
            <w:bookmarkStart w:id="279" w:name="_Toc4980"/>
            <w:bookmarkStart w:id="280" w:name="_Toc18730"/>
            <w:bookmarkStart w:id="281" w:name="_Toc21499"/>
            <w:bookmarkStart w:id="282" w:name="_Toc7338"/>
            <w:bookmarkStart w:id="283" w:name="_Toc27452"/>
            <w:bookmarkStart w:id="284" w:name="_Toc18463"/>
            <w:bookmarkStart w:id="285" w:name="_Toc2208"/>
            <w:r>
              <w:rPr>
                <w:rFonts w:hint="eastAsia" w:ascii="宋体" w:hAnsi="宋体" w:eastAsia="宋体" w:cs="仿宋"/>
                <w:color w:val="auto"/>
                <w:kern w:val="2"/>
                <w:sz w:val="24"/>
                <w:szCs w:val="32"/>
                <w:vertAlign w:val="baseline"/>
                <w:lang w:val="en-US" w:eastAsia="zh-CN" w:bidi="ar-SA"/>
              </w:rPr>
              <w:t>序号</w:t>
            </w:r>
          </w:p>
        </w:tc>
        <w:tc>
          <w:tcPr>
            <w:tcW w:w="1484"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r>
              <w:rPr>
                <w:rFonts w:hint="eastAsia" w:ascii="宋体" w:hAnsi="宋体" w:cs="仿宋"/>
                <w:color w:val="auto"/>
                <w:kern w:val="2"/>
                <w:sz w:val="24"/>
                <w:szCs w:val="32"/>
                <w:vertAlign w:val="baseline"/>
                <w:lang w:val="en-US" w:eastAsia="zh-CN" w:bidi="ar-SA"/>
              </w:rPr>
              <w:t>货物</w:t>
            </w:r>
            <w:r>
              <w:rPr>
                <w:rFonts w:hint="eastAsia" w:ascii="宋体" w:hAnsi="宋体" w:eastAsia="宋体" w:cs="仿宋"/>
                <w:color w:val="auto"/>
                <w:kern w:val="2"/>
                <w:sz w:val="24"/>
                <w:szCs w:val="32"/>
                <w:vertAlign w:val="baseline"/>
                <w:lang w:val="en-US" w:eastAsia="zh-CN" w:bidi="ar-SA"/>
              </w:rPr>
              <w:t>名称</w:t>
            </w:r>
          </w:p>
        </w:tc>
        <w:tc>
          <w:tcPr>
            <w:tcW w:w="864"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r>
              <w:rPr>
                <w:rFonts w:hint="eastAsia" w:ascii="宋体" w:hAnsi="宋体" w:cs="仿宋"/>
                <w:color w:val="auto"/>
                <w:kern w:val="2"/>
                <w:sz w:val="24"/>
                <w:szCs w:val="32"/>
                <w:vertAlign w:val="baseline"/>
                <w:lang w:val="en-US" w:eastAsia="zh-CN" w:bidi="ar-SA"/>
              </w:rPr>
              <w:t>品牌</w:t>
            </w:r>
          </w:p>
        </w:tc>
        <w:tc>
          <w:tcPr>
            <w:tcW w:w="1530" w:type="dxa"/>
            <w:vAlign w:val="center"/>
          </w:tcPr>
          <w:p>
            <w:pPr>
              <w:widowControl w:val="0"/>
              <w:spacing w:line="360" w:lineRule="auto"/>
              <w:ind w:left="0" w:leftChars="0" w:firstLine="0" w:firstLineChars="0"/>
              <w:jc w:val="center"/>
              <w:rPr>
                <w:rFonts w:hint="eastAsia" w:ascii="宋体" w:hAnsi="宋体" w:cs="仿宋"/>
                <w:color w:val="auto"/>
                <w:kern w:val="2"/>
                <w:sz w:val="24"/>
                <w:szCs w:val="32"/>
                <w:vertAlign w:val="baseline"/>
                <w:lang w:val="en-US" w:eastAsia="zh-CN" w:bidi="ar-SA"/>
              </w:rPr>
            </w:pPr>
            <w:r>
              <w:rPr>
                <w:rFonts w:hint="eastAsia" w:ascii="宋体" w:hAnsi="宋体" w:cs="仿宋"/>
                <w:color w:val="auto"/>
                <w:kern w:val="2"/>
                <w:sz w:val="24"/>
                <w:szCs w:val="32"/>
                <w:vertAlign w:val="baseline"/>
                <w:lang w:val="en-US" w:eastAsia="zh-CN" w:bidi="ar-SA"/>
              </w:rPr>
              <w:t>规格型号</w:t>
            </w:r>
          </w:p>
        </w:tc>
        <w:tc>
          <w:tcPr>
            <w:tcW w:w="721"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r>
              <w:rPr>
                <w:rFonts w:hint="eastAsia" w:ascii="宋体" w:hAnsi="宋体" w:cs="仿宋"/>
                <w:color w:val="auto"/>
                <w:kern w:val="2"/>
                <w:sz w:val="24"/>
                <w:szCs w:val="32"/>
                <w:vertAlign w:val="baseline"/>
                <w:lang w:val="en-US" w:eastAsia="zh-CN" w:bidi="ar-SA"/>
              </w:rPr>
              <w:t>单位</w:t>
            </w:r>
          </w:p>
        </w:tc>
        <w:tc>
          <w:tcPr>
            <w:tcW w:w="722" w:type="dxa"/>
            <w:vAlign w:val="center"/>
          </w:tcPr>
          <w:p>
            <w:pPr>
              <w:widowControl w:val="0"/>
              <w:spacing w:line="360" w:lineRule="auto"/>
              <w:ind w:left="0" w:leftChars="0" w:firstLine="0" w:firstLineChars="0"/>
              <w:jc w:val="center"/>
              <w:rPr>
                <w:rFonts w:hint="eastAsia" w:ascii="宋体" w:hAnsi="宋体" w:cs="仿宋"/>
                <w:color w:val="auto"/>
                <w:kern w:val="2"/>
                <w:sz w:val="24"/>
                <w:szCs w:val="32"/>
                <w:vertAlign w:val="baseline"/>
                <w:lang w:val="en-US" w:eastAsia="zh-CN" w:bidi="ar-SA"/>
              </w:rPr>
            </w:pPr>
            <w:r>
              <w:rPr>
                <w:rFonts w:hint="eastAsia" w:ascii="宋体" w:hAnsi="宋体" w:cs="仿宋"/>
                <w:color w:val="auto"/>
                <w:kern w:val="2"/>
                <w:sz w:val="24"/>
                <w:szCs w:val="32"/>
                <w:vertAlign w:val="baseline"/>
                <w:lang w:val="en-US" w:eastAsia="zh-CN" w:bidi="ar-SA"/>
              </w:rPr>
              <w:t>数量</w:t>
            </w:r>
          </w:p>
        </w:tc>
        <w:tc>
          <w:tcPr>
            <w:tcW w:w="1138" w:type="dxa"/>
            <w:vAlign w:val="center"/>
          </w:tcPr>
          <w:p>
            <w:pPr>
              <w:widowControl w:val="0"/>
              <w:spacing w:line="360" w:lineRule="auto"/>
              <w:ind w:left="0" w:leftChars="0" w:firstLine="0" w:firstLineChars="0"/>
              <w:jc w:val="center"/>
              <w:rPr>
                <w:rFonts w:hint="eastAsia" w:ascii="宋体" w:hAnsi="宋体" w:cs="仿宋"/>
                <w:color w:val="auto"/>
                <w:kern w:val="2"/>
                <w:sz w:val="24"/>
                <w:szCs w:val="32"/>
                <w:vertAlign w:val="baseline"/>
                <w:lang w:val="en-US" w:eastAsia="zh-CN" w:bidi="ar-SA"/>
              </w:rPr>
            </w:pPr>
            <w:r>
              <w:rPr>
                <w:rFonts w:hint="eastAsia" w:ascii="宋体" w:hAnsi="宋体" w:cs="仿宋"/>
                <w:color w:val="auto"/>
                <w:kern w:val="2"/>
                <w:sz w:val="24"/>
                <w:szCs w:val="32"/>
                <w:vertAlign w:val="baseline"/>
                <w:lang w:val="en-US" w:eastAsia="zh-CN" w:bidi="ar-SA"/>
              </w:rPr>
              <w:t>单价</w:t>
            </w:r>
            <w:r>
              <w:rPr>
                <w:rFonts w:hint="eastAsia" w:ascii="宋体" w:hAnsi="宋体" w:eastAsia="宋体" w:cs="仿宋"/>
                <w:color w:val="auto"/>
                <w:kern w:val="2"/>
                <w:sz w:val="24"/>
                <w:szCs w:val="32"/>
                <w:vertAlign w:val="baseline"/>
                <w:lang w:val="en-US" w:eastAsia="zh-CN" w:bidi="ar-SA"/>
              </w:rPr>
              <w:t>（元）</w:t>
            </w:r>
          </w:p>
        </w:tc>
        <w:tc>
          <w:tcPr>
            <w:tcW w:w="1139"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r>
              <w:rPr>
                <w:rFonts w:hint="eastAsia" w:ascii="宋体" w:hAnsi="宋体" w:cs="仿宋"/>
                <w:color w:val="auto"/>
                <w:kern w:val="2"/>
                <w:sz w:val="24"/>
                <w:szCs w:val="32"/>
                <w:vertAlign w:val="baseline"/>
                <w:lang w:val="en-US" w:eastAsia="zh-CN" w:bidi="ar-SA"/>
              </w:rPr>
              <w:t>小计</w:t>
            </w:r>
            <w:r>
              <w:rPr>
                <w:rFonts w:hint="eastAsia" w:ascii="宋体" w:hAnsi="宋体" w:eastAsia="宋体" w:cs="仿宋"/>
                <w:color w:val="auto"/>
                <w:kern w:val="2"/>
                <w:sz w:val="24"/>
                <w:szCs w:val="32"/>
                <w:vertAlign w:val="baseline"/>
                <w:lang w:val="en-US" w:eastAsia="zh-CN" w:bidi="ar-SA"/>
              </w:rPr>
              <w:t>（元）</w:t>
            </w:r>
          </w:p>
        </w:tc>
        <w:tc>
          <w:tcPr>
            <w:tcW w:w="785"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r>
              <w:rPr>
                <w:rFonts w:hint="eastAsia" w:ascii="宋体" w:hAnsi="宋体" w:eastAsia="宋体" w:cs="仿宋"/>
                <w:color w:val="auto"/>
                <w:kern w:val="2"/>
                <w:sz w:val="24"/>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Align w:val="center"/>
          </w:tcPr>
          <w:p>
            <w:pPr>
              <w:widowControl w:val="0"/>
              <w:spacing w:line="360" w:lineRule="auto"/>
              <w:ind w:left="0" w:leftChars="0" w:firstLine="0" w:firstLineChars="0"/>
              <w:jc w:val="center"/>
              <w:rPr>
                <w:rFonts w:hint="default" w:ascii="宋体" w:hAnsi="宋体" w:eastAsia="宋体" w:cs="仿宋"/>
                <w:color w:val="auto"/>
                <w:kern w:val="2"/>
                <w:sz w:val="24"/>
                <w:szCs w:val="32"/>
                <w:vertAlign w:val="baseline"/>
                <w:lang w:val="en-US" w:eastAsia="zh-CN" w:bidi="ar-SA"/>
              </w:rPr>
            </w:pPr>
            <w:r>
              <w:rPr>
                <w:rFonts w:hint="eastAsia" w:ascii="宋体" w:hAnsi="宋体" w:eastAsia="宋体" w:cs="仿宋"/>
                <w:color w:val="auto"/>
                <w:kern w:val="2"/>
                <w:sz w:val="24"/>
                <w:szCs w:val="32"/>
                <w:vertAlign w:val="baseline"/>
                <w:lang w:val="en-US" w:eastAsia="zh-CN" w:bidi="ar-SA"/>
              </w:rPr>
              <w:t>1</w:t>
            </w:r>
          </w:p>
        </w:tc>
        <w:tc>
          <w:tcPr>
            <w:tcW w:w="1484"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864"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530"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21"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22"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138"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139"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85"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Align w:val="center"/>
          </w:tcPr>
          <w:p>
            <w:pPr>
              <w:widowControl w:val="0"/>
              <w:spacing w:line="360" w:lineRule="auto"/>
              <w:ind w:left="0" w:leftChars="0" w:firstLine="0" w:firstLineChars="0"/>
              <w:jc w:val="center"/>
              <w:rPr>
                <w:rFonts w:hint="default" w:ascii="宋体" w:hAnsi="宋体" w:eastAsia="宋体" w:cs="仿宋"/>
                <w:color w:val="auto"/>
                <w:kern w:val="2"/>
                <w:sz w:val="24"/>
                <w:szCs w:val="32"/>
                <w:vertAlign w:val="baseline"/>
                <w:lang w:val="en-US" w:eastAsia="zh-CN" w:bidi="ar-SA"/>
              </w:rPr>
            </w:pPr>
            <w:r>
              <w:rPr>
                <w:rFonts w:hint="eastAsia" w:ascii="宋体" w:hAnsi="宋体" w:eastAsia="宋体" w:cs="仿宋"/>
                <w:color w:val="auto"/>
                <w:kern w:val="2"/>
                <w:sz w:val="24"/>
                <w:szCs w:val="32"/>
                <w:vertAlign w:val="baseline"/>
                <w:lang w:val="en-US" w:eastAsia="zh-CN" w:bidi="ar-SA"/>
              </w:rPr>
              <w:t>2</w:t>
            </w:r>
          </w:p>
        </w:tc>
        <w:tc>
          <w:tcPr>
            <w:tcW w:w="1484"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864"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530"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21"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22"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138"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139"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85"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6" w:type="dxa"/>
            <w:vAlign w:val="center"/>
          </w:tcPr>
          <w:p>
            <w:pPr>
              <w:widowControl w:val="0"/>
              <w:spacing w:line="360" w:lineRule="auto"/>
              <w:ind w:left="0" w:leftChars="0" w:firstLine="0" w:firstLineChars="0"/>
              <w:jc w:val="center"/>
              <w:rPr>
                <w:rFonts w:hint="default" w:ascii="宋体" w:hAnsi="宋体" w:eastAsia="宋体" w:cs="仿宋"/>
                <w:color w:val="auto"/>
                <w:kern w:val="2"/>
                <w:sz w:val="24"/>
                <w:szCs w:val="32"/>
                <w:vertAlign w:val="baseline"/>
                <w:lang w:val="en-US" w:eastAsia="zh-CN" w:bidi="ar-SA"/>
              </w:rPr>
            </w:pPr>
            <w:r>
              <w:rPr>
                <w:rFonts w:hint="eastAsia" w:ascii="宋体" w:hAnsi="宋体" w:eastAsia="宋体" w:cs="仿宋"/>
                <w:color w:val="auto"/>
                <w:kern w:val="2"/>
                <w:sz w:val="24"/>
                <w:szCs w:val="32"/>
                <w:vertAlign w:val="baseline"/>
                <w:lang w:val="en-US" w:eastAsia="zh-CN" w:bidi="ar-SA"/>
              </w:rPr>
              <w:t>...</w:t>
            </w:r>
          </w:p>
        </w:tc>
        <w:tc>
          <w:tcPr>
            <w:tcW w:w="1484" w:type="dxa"/>
            <w:vAlign w:val="center"/>
          </w:tcPr>
          <w:p>
            <w:pPr>
              <w:widowControl w:val="0"/>
              <w:spacing w:line="360" w:lineRule="auto"/>
              <w:ind w:left="0" w:leftChars="0" w:firstLine="0" w:firstLineChars="0"/>
              <w:jc w:val="center"/>
              <w:rPr>
                <w:rFonts w:hint="default" w:ascii="宋体" w:hAnsi="宋体" w:eastAsia="宋体" w:cs="仿宋"/>
                <w:color w:val="auto"/>
                <w:kern w:val="2"/>
                <w:sz w:val="24"/>
                <w:szCs w:val="32"/>
                <w:vertAlign w:val="baseline"/>
                <w:lang w:val="en-US" w:eastAsia="zh-CN" w:bidi="ar-SA"/>
              </w:rPr>
            </w:pPr>
            <w:r>
              <w:rPr>
                <w:rFonts w:hint="eastAsia" w:ascii="宋体" w:hAnsi="宋体" w:eastAsia="宋体" w:cs="仿宋"/>
                <w:color w:val="auto"/>
                <w:kern w:val="2"/>
                <w:sz w:val="24"/>
                <w:szCs w:val="32"/>
                <w:vertAlign w:val="baseline"/>
                <w:lang w:val="en-US" w:eastAsia="zh-CN" w:bidi="ar-SA"/>
              </w:rPr>
              <w:t>...</w:t>
            </w:r>
          </w:p>
        </w:tc>
        <w:tc>
          <w:tcPr>
            <w:tcW w:w="864"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530"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21"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22"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138"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1139"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c>
          <w:tcPr>
            <w:tcW w:w="785" w:type="dxa"/>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250" w:type="dxa"/>
            <w:gridSpan w:val="2"/>
            <w:vAlign w:val="center"/>
          </w:tcPr>
          <w:p>
            <w:pPr>
              <w:widowControl w:val="0"/>
              <w:spacing w:line="360" w:lineRule="auto"/>
              <w:ind w:left="0" w:leftChars="0" w:firstLine="0" w:firstLineChars="0"/>
              <w:jc w:val="center"/>
              <w:rPr>
                <w:rFonts w:hint="eastAsia" w:ascii="宋体" w:hAnsi="宋体" w:eastAsia="宋体" w:cs="仿宋"/>
                <w:color w:val="auto"/>
                <w:kern w:val="2"/>
                <w:sz w:val="24"/>
                <w:szCs w:val="32"/>
                <w:vertAlign w:val="baseline"/>
                <w:lang w:val="en-US" w:eastAsia="zh-CN" w:bidi="ar-SA"/>
              </w:rPr>
            </w:pPr>
            <w:r>
              <w:rPr>
                <w:rFonts w:hint="eastAsia" w:ascii="宋体" w:hAnsi="宋体" w:cs="仿宋"/>
                <w:color w:val="auto"/>
                <w:kern w:val="2"/>
                <w:sz w:val="24"/>
                <w:szCs w:val="32"/>
                <w:vertAlign w:val="baseline"/>
                <w:lang w:val="en-US" w:eastAsia="zh-CN" w:bidi="ar-SA"/>
              </w:rPr>
              <w:t>总报价</w:t>
            </w:r>
            <w:r>
              <w:rPr>
                <w:rFonts w:hint="eastAsia" w:ascii="宋体" w:hAnsi="宋体" w:eastAsia="宋体" w:cs="仿宋"/>
                <w:color w:val="auto"/>
                <w:kern w:val="2"/>
                <w:sz w:val="24"/>
                <w:szCs w:val="32"/>
                <w:vertAlign w:val="baseline"/>
                <w:lang w:val="en-US" w:eastAsia="zh-CN" w:bidi="ar-SA"/>
              </w:rPr>
              <w:t>（元）</w:t>
            </w:r>
          </w:p>
        </w:tc>
        <w:tc>
          <w:tcPr>
            <w:tcW w:w="6899" w:type="dxa"/>
            <w:gridSpan w:val="7"/>
            <w:vAlign w:val="center"/>
          </w:tcPr>
          <w:p>
            <w:pPr>
              <w:pStyle w:val="35"/>
              <w:jc w:val="both"/>
              <w:rPr>
                <w:rFonts w:ascii="宋体" w:hAnsi="宋体" w:cs="宋体"/>
                <w:color w:val="auto"/>
              </w:rPr>
            </w:pPr>
            <w:r>
              <w:rPr>
                <w:rFonts w:hint="eastAsia" w:ascii="宋体" w:hAnsi="宋体" w:cs="宋体"/>
                <w:color w:val="auto"/>
              </w:rPr>
              <w:t xml:space="preserve">大写：          </w:t>
            </w:r>
          </w:p>
          <w:p>
            <w:pPr>
              <w:widowControl w:val="0"/>
              <w:spacing w:line="360" w:lineRule="auto"/>
              <w:ind w:left="0" w:leftChars="0" w:firstLine="0" w:firstLineChars="0"/>
              <w:jc w:val="both"/>
              <w:rPr>
                <w:rFonts w:hint="eastAsia" w:ascii="宋体" w:hAnsi="宋体" w:eastAsia="宋体" w:cs="仿宋"/>
                <w:color w:val="auto"/>
                <w:kern w:val="2"/>
                <w:sz w:val="24"/>
                <w:szCs w:val="32"/>
                <w:vertAlign w:val="baseline"/>
                <w:lang w:val="en-US" w:eastAsia="zh-CN" w:bidi="ar-SA"/>
              </w:rPr>
            </w:pPr>
            <w:r>
              <w:rPr>
                <w:rFonts w:hint="eastAsia" w:ascii="宋体" w:hAnsi="宋体" w:cs="宋体"/>
                <w:color w:val="auto"/>
              </w:rPr>
              <w:t>小写：</w:t>
            </w:r>
          </w:p>
        </w:tc>
      </w:tr>
    </w:tbl>
    <w:p>
      <w:pPr>
        <w:ind w:left="0" w:leftChars="0" w:firstLine="0" w:firstLineChars="0"/>
        <w:jc w:val="both"/>
        <w:rPr>
          <w:rFonts w:hint="eastAsia" w:ascii="宋体" w:hAnsi="宋体" w:cs="仿宋"/>
          <w:color w:val="auto"/>
          <w:sz w:val="24"/>
          <w:szCs w:val="32"/>
        </w:rPr>
      </w:pPr>
    </w:p>
    <w:p>
      <w:pPr>
        <w:bidi w:val="0"/>
        <w:rPr>
          <w:rFonts w:hint="eastAsia"/>
          <w:color w:val="auto"/>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投标</w:t>
      </w:r>
      <w:r>
        <w:rPr>
          <w:rFonts w:hint="eastAsia" w:ascii="宋体" w:hAnsi="宋体" w:cs="宋体"/>
          <w:color w:val="auto"/>
          <w:sz w:val="24"/>
          <w:szCs w:val="24"/>
          <w:lang w:val="en-US" w:eastAsia="zh-CN"/>
        </w:rPr>
        <w:t>供应商自行填写此表，</w:t>
      </w:r>
      <w:r>
        <w:rPr>
          <w:rFonts w:hint="eastAsia" w:ascii="宋体" w:hAnsi="宋体" w:eastAsia="宋体" w:cs="宋体"/>
          <w:color w:val="auto"/>
          <w:sz w:val="24"/>
          <w:szCs w:val="24"/>
        </w:rPr>
        <w:t>总报价</w:t>
      </w:r>
      <w:r>
        <w:rPr>
          <w:rFonts w:hint="eastAsia" w:ascii="宋体" w:hAnsi="宋体" w:cs="宋体"/>
          <w:color w:val="auto"/>
          <w:sz w:val="24"/>
          <w:szCs w:val="24"/>
          <w:lang w:eastAsia="zh-CN"/>
        </w:rPr>
        <w:t>应</w:t>
      </w:r>
      <w:r>
        <w:rPr>
          <w:rFonts w:hint="eastAsia" w:ascii="宋体" w:hAnsi="宋体" w:eastAsia="宋体" w:cs="宋体"/>
          <w:color w:val="auto"/>
          <w:sz w:val="24"/>
          <w:szCs w:val="24"/>
        </w:rPr>
        <w:t>与</w:t>
      </w:r>
      <w:r>
        <w:rPr>
          <w:rFonts w:hint="eastAsia" w:ascii="宋体" w:hAnsi="宋体" w:eastAsia="宋体" w:cs="宋体"/>
          <w:color w:val="auto"/>
          <w:sz w:val="24"/>
          <w:szCs w:val="24"/>
          <w:lang w:eastAsia="zh-CN"/>
        </w:rPr>
        <w:t>投标函</w:t>
      </w:r>
      <w:r>
        <w:rPr>
          <w:rFonts w:hint="eastAsia" w:ascii="宋体" w:hAnsi="宋体" w:eastAsia="宋体" w:cs="宋体"/>
          <w:color w:val="auto"/>
          <w:sz w:val="24"/>
          <w:szCs w:val="24"/>
        </w:rPr>
        <w:t>中的“</w:t>
      </w:r>
      <w:r>
        <w:rPr>
          <w:rFonts w:hint="eastAsia" w:ascii="宋体" w:hAnsi="宋体" w:eastAsia="宋体" w:cs="宋体"/>
          <w:color w:val="auto"/>
          <w:sz w:val="24"/>
          <w:szCs w:val="24"/>
          <w:highlight w:val="none"/>
          <w:lang w:eastAsia="zh-CN"/>
        </w:rPr>
        <w:t>投标总报价</w:t>
      </w:r>
      <w:r>
        <w:rPr>
          <w:rFonts w:hint="eastAsia" w:ascii="宋体" w:hAnsi="宋体" w:eastAsia="宋体" w:cs="宋体"/>
          <w:color w:val="auto"/>
          <w:sz w:val="24"/>
          <w:szCs w:val="24"/>
        </w:rPr>
        <w:t>”一致</w:t>
      </w:r>
      <w:r>
        <w:rPr>
          <w:rFonts w:hint="eastAsia" w:ascii="宋体" w:hAnsi="宋体" w:cs="宋体"/>
          <w:color w:val="auto"/>
          <w:sz w:val="24"/>
          <w:szCs w:val="24"/>
          <w:lang w:eastAsia="zh-CN"/>
        </w:rPr>
        <w:t>，</w:t>
      </w:r>
      <w:r>
        <w:rPr>
          <w:rFonts w:hint="eastAsia" w:ascii="宋体" w:hAnsi="宋体" w:eastAsia="宋体" w:cs="宋体"/>
          <w:color w:val="auto"/>
          <w:sz w:val="24"/>
          <w:szCs w:val="24"/>
        </w:rPr>
        <w:t>该表可扩展</w:t>
      </w:r>
      <w:r>
        <w:rPr>
          <w:rFonts w:hint="eastAsia" w:ascii="宋体" w:hAnsi="宋体" w:cs="宋体"/>
          <w:color w:val="auto"/>
          <w:sz w:val="24"/>
          <w:szCs w:val="24"/>
          <w:lang w:eastAsia="zh-CN"/>
        </w:rPr>
        <w:t>。</w:t>
      </w:r>
    </w:p>
    <w:p>
      <w:pPr>
        <w:bidi w:val="0"/>
        <w:rPr>
          <w:rFonts w:hint="eastAsia"/>
          <w:color w:val="auto"/>
        </w:rPr>
      </w:pPr>
    </w:p>
    <w:p>
      <w:pPr>
        <w:bidi w:val="0"/>
        <w:rPr>
          <w:rFonts w:hint="eastAsia"/>
          <w:color w:val="auto"/>
        </w:rPr>
      </w:pPr>
    </w:p>
    <w:p>
      <w:pPr>
        <w:bidi w:val="0"/>
        <w:rPr>
          <w:rFonts w:hint="eastAsia"/>
          <w:color w:val="auto"/>
        </w:rPr>
      </w:pPr>
    </w:p>
    <w:bookmarkEnd w:id="276"/>
    <w:bookmarkEnd w:id="277"/>
    <w:bookmarkEnd w:id="278"/>
    <w:bookmarkEnd w:id="279"/>
    <w:bookmarkEnd w:id="280"/>
    <w:bookmarkEnd w:id="281"/>
    <w:bookmarkEnd w:id="282"/>
    <w:bookmarkEnd w:id="283"/>
    <w:bookmarkEnd w:id="284"/>
    <w:bookmarkEnd w:id="285"/>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620" w:lineRule="exact"/>
        <w:rPr>
          <w:rFonts w:ascii="宋体" w:hAnsi="宋体" w:eastAsia="宋体" w:cs="宋体"/>
          <w:color w:val="auto"/>
          <w:szCs w:val="20"/>
        </w:rPr>
      </w:pPr>
    </w:p>
    <w:p>
      <w:pPr>
        <w:spacing w:line="620" w:lineRule="exact"/>
        <w:rPr>
          <w:rFonts w:ascii="宋体" w:hAnsi="宋体" w:cs="宋体"/>
          <w:color w:val="auto"/>
          <w:szCs w:val="20"/>
          <w:u w:val="single"/>
        </w:rPr>
        <w:sectPr>
          <w:pgSz w:w="11920" w:h="16840"/>
          <w:pgMar w:top="1418" w:right="1418" w:bottom="1418" w:left="1418" w:header="794" w:footer="851" w:gutter="284"/>
          <w:pgNumType w:fmt="decimal"/>
          <w:cols w:space="720" w:num="1"/>
          <w:docGrid w:linePitch="286" w:charSpace="0"/>
        </w:sectPr>
      </w:pPr>
      <w:r>
        <w:rPr>
          <w:rFonts w:hint="eastAsia" w:ascii="宋体" w:hAnsi="宋体" w:eastAsia="宋体" w:cs="宋体"/>
          <w:b/>
          <w:color w:val="auto"/>
          <w:sz w:val="32"/>
          <w:szCs w:val="32"/>
        </w:rPr>
        <w:br w:type="page"/>
      </w:r>
      <w:bookmarkStart w:id="286" w:name="_Toc14271"/>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287" w:name="_Toc30099"/>
      <w:bookmarkStart w:id="288" w:name="_Toc5585"/>
      <w:bookmarkStart w:id="289" w:name="_Toc13608"/>
      <w:bookmarkStart w:id="290" w:name="_Toc14407"/>
      <w:bookmarkStart w:id="291" w:name="_Toc16304"/>
      <w:bookmarkStart w:id="292" w:name="_Toc31624"/>
      <w:bookmarkStart w:id="293" w:name="_Toc27545"/>
      <w:bookmarkStart w:id="294" w:name="_Toc15559"/>
      <w:bookmarkStart w:id="295" w:name="_Toc22371"/>
      <w:bookmarkStart w:id="296" w:name="_Toc29661"/>
      <w:r>
        <w:rPr>
          <w:rFonts w:hint="eastAsia" w:ascii="宋体" w:hAnsi="宋体" w:eastAsia="宋体" w:cs="宋体"/>
          <w:b/>
          <w:color w:val="auto"/>
          <w:kern w:val="0"/>
          <w:sz w:val="30"/>
          <w:szCs w:val="20"/>
          <w:lang w:val="en-US" w:eastAsia="zh-CN" w:bidi="ar-SA"/>
        </w:rPr>
        <w:t>三、投标产品配置清单一览表</w:t>
      </w:r>
      <w:bookmarkEnd w:id="286"/>
      <w:bookmarkEnd w:id="287"/>
      <w:bookmarkEnd w:id="288"/>
      <w:bookmarkEnd w:id="289"/>
      <w:bookmarkEnd w:id="290"/>
      <w:bookmarkEnd w:id="291"/>
      <w:bookmarkEnd w:id="292"/>
      <w:bookmarkEnd w:id="293"/>
      <w:bookmarkEnd w:id="294"/>
      <w:bookmarkEnd w:id="295"/>
      <w:bookmarkEnd w:id="296"/>
    </w:p>
    <w:p>
      <w:pPr>
        <w:spacing w:line="400" w:lineRule="exact"/>
        <w:rPr>
          <w:rFonts w:ascii="宋体" w:hAnsi="宋体" w:eastAsia="宋体" w:cs="宋体"/>
          <w:bCs/>
          <w:color w:val="auto"/>
          <w:szCs w:val="20"/>
        </w:rPr>
      </w:pPr>
      <w:r>
        <w:rPr>
          <w:rFonts w:hint="eastAsia" w:ascii="宋体" w:hAnsi="宋体" w:eastAsia="宋体" w:cs="宋体"/>
          <w:bCs/>
          <w:color w:val="auto"/>
          <w:szCs w:val="20"/>
        </w:rPr>
        <w:t>单位：人民币元</w:t>
      </w:r>
    </w:p>
    <w:tbl>
      <w:tblPr>
        <w:tblStyle w:val="18"/>
        <w:tblW w:w="8747"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616"/>
        <w:gridCol w:w="1165"/>
        <w:gridCol w:w="1020"/>
        <w:gridCol w:w="1456"/>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spacing w:line="240" w:lineRule="auto"/>
              <w:jc w:val="center"/>
              <w:rPr>
                <w:rFonts w:ascii="宋体" w:hAnsi="宋体" w:eastAsia="宋体" w:cs="宋体"/>
                <w:b/>
                <w:bCs/>
                <w:color w:val="auto"/>
                <w:szCs w:val="20"/>
              </w:rPr>
            </w:pPr>
            <w:r>
              <w:rPr>
                <w:rFonts w:hint="eastAsia" w:ascii="宋体" w:hAnsi="宋体" w:eastAsia="宋体" w:cs="宋体"/>
                <w:b/>
                <w:bCs/>
                <w:color w:val="auto"/>
                <w:szCs w:val="20"/>
              </w:rPr>
              <w:t>序号</w:t>
            </w:r>
          </w:p>
        </w:tc>
        <w:tc>
          <w:tcPr>
            <w:tcW w:w="2616" w:type="dxa"/>
            <w:vAlign w:val="center"/>
          </w:tcPr>
          <w:p>
            <w:pPr>
              <w:spacing w:line="240" w:lineRule="auto"/>
              <w:jc w:val="center"/>
              <w:rPr>
                <w:rFonts w:ascii="宋体" w:hAnsi="宋体" w:eastAsia="宋体" w:cs="宋体"/>
                <w:b/>
                <w:bCs/>
                <w:color w:val="auto"/>
                <w:szCs w:val="20"/>
              </w:rPr>
            </w:pPr>
            <w:r>
              <w:rPr>
                <w:rFonts w:hint="eastAsia" w:ascii="宋体" w:hAnsi="宋体" w:eastAsia="宋体" w:cs="宋体"/>
                <w:b/>
                <w:bCs/>
                <w:color w:val="auto"/>
                <w:szCs w:val="20"/>
              </w:rPr>
              <w:t>货物名称</w:t>
            </w:r>
          </w:p>
        </w:tc>
        <w:tc>
          <w:tcPr>
            <w:tcW w:w="1165" w:type="dxa"/>
            <w:vAlign w:val="center"/>
          </w:tcPr>
          <w:p>
            <w:pPr>
              <w:spacing w:line="240" w:lineRule="auto"/>
              <w:jc w:val="center"/>
              <w:rPr>
                <w:rFonts w:ascii="宋体" w:hAnsi="宋体" w:eastAsia="宋体" w:cs="宋体"/>
                <w:b/>
                <w:bCs/>
                <w:color w:val="auto"/>
                <w:szCs w:val="20"/>
              </w:rPr>
            </w:pPr>
            <w:r>
              <w:rPr>
                <w:rFonts w:hint="eastAsia" w:ascii="宋体" w:hAnsi="宋体" w:eastAsia="宋体" w:cs="宋体"/>
                <w:b/>
                <w:bCs/>
                <w:color w:val="auto"/>
                <w:szCs w:val="20"/>
              </w:rPr>
              <w:t>品牌</w:t>
            </w:r>
          </w:p>
        </w:tc>
        <w:tc>
          <w:tcPr>
            <w:tcW w:w="1020" w:type="dxa"/>
            <w:vAlign w:val="center"/>
          </w:tcPr>
          <w:p>
            <w:pPr>
              <w:spacing w:line="240" w:lineRule="auto"/>
              <w:jc w:val="center"/>
              <w:rPr>
                <w:rFonts w:ascii="宋体" w:hAnsi="宋体" w:eastAsia="宋体" w:cs="宋体"/>
                <w:b/>
                <w:bCs/>
                <w:color w:val="auto"/>
                <w:szCs w:val="20"/>
              </w:rPr>
            </w:pPr>
            <w:r>
              <w:rPr>
                <w:rFonts w:hint="eastAsia" w:ascii="宋体" w:hAnsi="宋体" w:eastAsia="宋体" w:cs="宋体"/>
                <w:b/>
                <w:bCs/>
                <w:color w:val="auto"/>
                <w:szCs w:val="20"/>
              </w:rPr>
              <w:t>产地</w:t>
            </w:r>
          </w:p>
        </w:tc>
        <w:tc>
          <w:tcPr>
            <w:tcW w:w="1456" w:type="dxa"/>
            <w:vAlign w:val="center"/>
          </w:tcPr>
          <w:p>
            <w:pPr>
              <w:spacing w:line="240" w:lineRule="auto"/>
              <w:jc w:val="center"/>
              <w:rPr>
                <w:rFonts w:ascii="宋体" w:hAnsi="宋体" w:eastAsia="宋体" w:cs="宋体"/>
                <w:b/>
                <w:bCs/>
                <w:color w:val="auto"/>
                <w:szCs w:val="20"/>
              </w:rPr>
            </w:pPr>
            <w:r>
              <w:rPr>
                <w:rFonts w:hint="eastAsia" w:ascii="宋体" w:hAnsi="宋体" w:eastAsia="宋体" w:cs="宋体"/>
                <w:b/>
                <w:bCs/>
                <w:color w:val="auto"/>
                <w:szCs w:val="20"/>
              </w:rPr>
              <w:t>型号规格</w:t>
            </w:r>
          </w:p>
        </w:tc>
        <w:tc>
          <w:tcPr>
            <w:tcW w:w="1612" w:type="dxa"/>
            <w:vAlign w:val="center"/>
          </w:tcPr>
          <w:p>
            <w:pPr>
              <w:spacing w:line="240" w:lineRule="auto"/>
              <w:jc w:val="center"/>
              <w:rPr>
                <w:rFonts w:ascii="宋体" w:hAnsi="宋体" w:eastAsia="宋体" w:cs="宋体"/>
                <w:b/>
                <w:bCs/>
                <w:color w:val="auto"/>
                <w:szCs w:val="20"/>
              </w:rPr>
            </w:pPr>
            <w:r>
              <w:rPr>
                <w:rFonts w:hint="eastAsia" w:ascii="宋体" w:hAnsi="宋体" w:eastAsia="宋体" w:cs="宋体"/>
                <w:b/>
                <w:bCs/>
                <w:color w:val="auto"/>
                <w:szCs w:val="20"/>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jc w:val="center"/>
              <w:rPr>
                <w:rFonts w:ascii="宋体" w:hAnsi="宋体" w:eastAsia="宋体" w:cs="宋体"/>
                <w:color w:val="auto"/>
              </w:rPr>
            </w:pPr>
          </w:p>
        </w:tc>
        <w:tc>
          <w:tcPr>
            <w:tcW w:w="2616" w:type="dxa"/>
            <w:vAlign w:val="center"/>
          </w:tcPr>
          <w:p>
            <w:pPr>
              <w:jc w:val="center"/>
              <w:rPr>
                <w:rFonts w:ascii="宋体" w:hAnsi="宋体" w:eastAsia="宋体" w:cs="宋体"/>
                <w:color w:val="auto"/>
              </w:rPr>
            </w:pPr>
          </w:p>
        </w:tc>
        <w:tc>
          <w:tcPr>
            <w:tcW w:w="1165" w:type="dxa"/>
            <w:vAlign w:val="center"/>
          </w:tcPr>
          <w:p>
            <w:pPr>
              <w:jc w:val="center"/>
              <w:rPr>
                <w:rFonts w:ascii="宋体" w:hAnsi="宋体" w:eastAsia="宋体" w:cs="宋体"/>
                <w:color w:val="auto"/>
              </w:rPr>
            </w:pPr>
          </w:p>
        </w:tc>
        <w:tc>
          <w:tcPr>
            <w:tcW w:w="1020" w:type="dxa"/>
            <w:vAlign w:val="center"/>
          </w:tcPr>
          <w:p>
            <w:pPr>
              <w:jc w:val="center"/>
              <w:rPr>
                <w:rFonts w:ascii="宋体" w:hAnsi="宋体" w:eastAsia="宋体" w:cs="宋体"/>
                <w:color w:val="auto"/>
              </w:rPr>
            </w:pPr>
          </w:p>
        </w:tc>
        <w:tc>
          <w:tcPr>
            <w:tcW w:w="1456" w:type="dxa"/>
            <w:vAlign w:val="center"/>
          </w:tcPr>
          <w:p>
            <w:pPr>
              <w:jc w:val="center"/>
              <w:rPr>
                <w:rFonts w:ascii="宋体" w:hAnsi="宋体" w:eastAsia="宋体" w:cs="宋体"/>
                <w:color w:val="auto"/>
              </w:rPr>
            </w:pPr>
          </w:p>
        </w:tc>
        <w:tc>
          <w:tcPr>
            <w:tcW w:w="1612" w:type="dxa"/>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jc w:val="center"/>
              <w:rPr>
                <w:rFonts w:ascii="宋体" w:hAnsi="宋体" w:eastAsia="宋体" w:cs="宋体"/>
                <w:color w:val="auto"/>
              </w:rPr>
            </w:pPr>
          </w:p>
        </w:tc>
        <w:tc>
          <w:tcPr>
            <w:tcW w:w="2616" w:type="dxa"/>
            <w:vAlign w:val="center"/>
          </w:tcPr>
          <w:p>
            <w:pPr>
              <w:jc w:val="center"/>
              <w:rPr>
                <w:rFonts w:ascii="宋体" w:hAnsi="宋体" w:eastAsia="宋体" w:cs="宋体"/>
                <w:color w:val="auto"/>
              </w:rPr>
            </w:pPr>
          </w:p>
        </w:tc>
        <w:tc>
          <w:tcPr>
            <w:tcW w:w="1165" w:type="dxa"/>
            <w:vAlign w:val="center"/>
          </w:tcPr>
          <w:p>
            <w:pPr>
              <w:jc w:val="center"/>
              <w:rPr>
                <w:rFonts w:ascii="宋体" w:hAnsi="宋体" w:eastAsia="宋体" w:cs="宋体"/>
                <w:color w:val="auto"/>
              </w:rPr>
            </w:pPr>
          </w:p>
        </w:tc>
        <w:tc>
          <w:tcPr>
            <w:tcW w:w="1020" w:type="dxa"/>
            <w:vAlign w:val="center"/>
          </w:tcPr>
          <w:p>
            <w:pPr>
              <w:jc w:val="center"/>
              <w:rPr>
                <w:rFonts w:ascii="宋体" w:hAnsi="宋体" w:eastAsia="宋体" w:cs="宋体"/>
                <w:color w:val="auto"/>
              </w:rPr>
            </w:pPr>
          </w:p>
        </w:tc>
        <w:tc>
          <w:tcPr>
            <w:tcW w:w="1456" w:type="dxa"/>
            <w:vAlign w:val="center"/>
          </w:tcPr>
          <w:p>
            <w:pPr>
              <w:jc w:val="center"/>
              <w:rPr>
                <w:rFonts w:ascii="宋体" w:hAnsi="宋体" w:eastAsia="宋体" w:cs="宋体"/>
                <w:color w:val="auto"/>
              </w:rPr>
            </w:pPr>
          </w:p>
        </w:tc>
        <w:tc>
          <w:tcPr>
            <w:tcW w:w="1612" w:type="dxa"/>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jc w:val="center"/>
              <w:rPr>
                <w:rFonts w:ascii="宋体" w:hAnsi="宋体" w:eastAsia="宋体" w:cs="宋体"/>
                <w:color w:val="auto"/>
              </w:rPr>
            </w:pPr>
          </w:p>
        </w:tc>
        <w:tc>
          <w:tcPr>
            <w:tcW w:w="2616" w:type="dxa"/>
            <w:vAlign w:val="center"/>
          </w:tcPr>
          <w:p>
            <w:pPr>
              <w:jc w:val="center"/>
              <w:rPr>
                <w:rFonts w:ascii="宋体" w:hAnsi="宋体" w:eastAsia="宋体" w:cs="宋体"/>
                <w:color w:val="auto"/>
              </w:rPr>
            </w:pPr>
          </w:p>
        </w:tc>
        <w:tc>
          <w:tcPr>
            <w:tcW w:w="1165" w:type="dxa"/>
            <w:vAlign w:val="center"/>
          </w:tcPr>
          <w:p>
            <w:pPr>
              <w:jc w:val="center"/>
              <w:rPr>
                <w:rFonts w:ascii="宋体" w:hAnsi="宋体" w:eastAsia="宋体" w:cs="宋体"/>
                <w:color w:val="auto"/>
              </w:rPr>
            </w:pPr>
          </w:p>
        </w:tc>
        <w:tc>
          <w:tcPr>
            <w:tcW w:w="1020" w:type="dxa"/>
            <w:vAlign w:val="center"/>
          </w:tcPr>
          <w:p>
            <w:pPr>
              <w:jc w:val="center"/>
              <w:rPr>
                <w:rFonts w:ascii="宋体" w:hAnsi="宋体" w:eastAsia="宋体" w:cs="宋体"/>
                <w:color w:val="auto"/>
              </w:rPr>
            </w:pPr>
          </w:p>
        </w:tc>
        <w:tc>
          <w:tcPr>
            <w:tcW w:w="1456" w:type="dxa"/>
            <w:vAlign w:val="center"/>
          </w:tcPr>
          <w:p>
            <w:pPr>
              <w:jc w:val="center"/>
              <w:rPr>
                <w:rFonts w:ascii="宋体" w:hAnsi="宋体" w:eastAsia="宋体" w:cs="宋体"/>
                <w:color w:val="auto"/>
              </w:rPr>
            </w:pPr>
          </w:p>
        </w:tc>
        <w:tc>
          <w:tcPr>
            <w:tcW w:w="1612" w:type="dxa"/>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jc w:val="center"/>
              <w:rPr>
                <w:rFonts w:ascii="宋体" w:hAnsi="宋体" w:eastAsia="宋体" w:cs="宋体"/>
                <w:color w:val="auto"/>
              </w:rPr>
            </w:pPr>
          </w:p>
          <w:p>
            <w:pPr>
              <w:jc w:val="center"/>
              <w:rPr>
                <w:rFonts w:ascii="宋体" w:hAnsi="宋体" w:eastAsia="宋体" w:cs="宋体"/>
                <w:color w:val="auto"/>
              </w:rPr>
            </w:pPr>
          </w:p>
        </w:tc>
        <w:tc>
          <w:tcPr>
            <w:tcW w:w="2616" w:type="dxa"/>
            <w:vAlign w:val="center"/>
          </w:tcPr>
          <w:p>
            <w:pPr>
              <w:jc w:val="center"/>
              <w:rPr>
                <w:rFonts w:ascii="宋体" w:hAnsi="宋体" w:eastAsia="宋体" w:cs="宋体"/>
                <w:color w:val="auto"/>
              </w:rPr>
            </w:pPr>
          </w:p>
        </w:tc>
        <w:tc>
          <w:tcPr>
            <w:tcW w:w="1165" w:type="dxa"/>
            <w:vAlign w:val="center"/>
          </w:tcPr>
          <w:p>
            <w:pPr>
              <w:jc w:val="center"/>
              <w:rPr>
                <w:rFonts w:ascii="宋体" w:hAnsi="宋体" w:eastAsia="宋体" w:cs="宋体"/>
                <w:color w:val="auto"/>
              </w:rPr>
            </w:pPr>
          </w:p>
        </w:tc>
        <w:tc>
          <w:tcPr>
            <w:tcW w:w="1020" w:type="dxa"/>
            <w:vAlign w:val="center"/>
          </w:tcPr>
          <w:p>
            <w:pPr>
              <w:jc w:val="center"/>
              <w:rPr>
                <w:rFonts w:ascii="宋体" w:hAnsi="宋体" w:eastAsia="宋体" w:cs="宋体"/>
                <w:color w:val="auto"/>
              </w:rPr>
            </w:pPr>
          </w:p>
        </w:tc>
        <w:tc>
          <w:tcPr>
            <w:tcW w:w="1456" w:type="dxa"/>
            <w:vAlign w:val="center"/>
          </w:tcPr>
          <w:p>
            <w:pPr>
              <w:jc w:val="center"/>
              <w:rPr>
                <w:rFonts w:ascii="宋体" w:hAnsi="宋体" w:eastAsia="宋体" w:cs="宋体"/>
                <w:color w:val="auto"/>
              </w:rPr>
            </w:pPr>
          </w:p>
        </w:tc>
        <w:tc>
          <w:tcPr>
            <w:tcW w:w="1612" w:type="dxa"/>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jc w:val="center"/>
              <w:rPr>
                <w:rFonts w:ascii="宋体" w:hAnsi="宋体" w:eastAsia="宋体" w:cs="宋体"/>
                <w:color w:val="auto"/>
              </w:rPr>
            </w:pPr>
          </w:p>
        </w:tc>
        <w:tc>
          <w:tcPr>
            <w:tcW w:w="2616" w:type="dxa"/>
            <w:vAlign w:val="center"/>
          </w:tcPr>
          <w:p>
            <w:pPr>
              <w:jc w:val="center"/>
              <w:rPr>
                <w:rFonts w:ascii="宋体" w:hAnsi="宋体" w:eastAsia="宋体" w:cs="宋体"/>
                <w:color w:val="auto"/>
              </w:rPr>
            </w:pPr>
          </w:p>
        </w:tc>
        <w:tc>
          <w:tcPr>
            <w:tcW w:w="1165" w:type="dxa"/>
            <w:vAlign w:val="center"/>
          </w:tcPr>
          <w:p>
            <w:pPr>
              <w:jc w:val="center"/>
              <w:rPr>
                <w:rFonts w:ascii="宋体" w:hAnsi="宋体" w:eastAsia="宋体" w:cs="宋体"/>
                <w:color w:val="auto"/>
              </w:rPr>
            </w:pPr>
          </w:p>
        </w:tc>
        <w:tc>
          <w:tcPr>
            <w:tcW w:w="1020" w:type="dxa"/>
            <w:vAlign w:val="center"/>
          </w:tcPr>
          <w:p>
            <w:pPr>
              <w:jc w:val="center"/>
              <w:rPr>
                <w:rFonts w:ascii="宋体" w:hAnsi="宋体" w:eastAsia="宋体" w:cs="宋体"/>
                <w:color w:val="auto"/>
              </w:rPr>
            </w:pPr>
          </w:p>
        </w:tc>
        <w:tc>
          <w:tcPr>
            <w:tcW w:w="1456" w:type="dxa"/>
            <w:vAlign w:val="center"/>
          </w:tcPr>
          <w:p>
            <w:pPr>
              <w:jc w:val="center"/>
              <w:rPr>
                <w:rFonts w:ascii="宋体" w:hAnsi="宋体" w:eastAsia="宋体" w:cs="宋体"/>
                <w:color w:val="auto"/>
              </w:rPr>
            </w:pPr>
          </w:p>
        </w:tc>
        <w:tc>
          <w:tcPr>
            <w:tcW w:w="1612" w:type="dxa"/>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jc w:val="center"/>
              <w:rPr>
                <w:rFonts w:ascii="宋体" w:hAnsi="宋体" w:eastAsia="宋体" w:cs="宋体"/>
                <w:color w:val="auto"/>
              </w:rPr>
            </w:pPr>
          </w:p>
          <w:p>
            <w:pPr>
              <w:jc w:val="center"/>
              <w:rPr>
                <w:rFonts w:ascii="宋体" w:hAnsi="宋体" w:eastAsia="宋体" w:cs="宋体"/>
                <w:color w:val="auto"/>
              </w:rPr>
            </w:pPr>
          </w:p>
        </w:tc>
        <w:tc>
          <w:tcPr>
            <w:tcW w:w="2616" w:type="dxa"/>
            <w:vAlign w:val="center"/>
          </w:tcPr>
          <w:p>
            <w:pPr>
              <w:jc w:val="center"/>
              <w:rPr>
                <w:rFonts w:ascii="宋体" w:hAnsi="宋体" w:eastAsia="宋体" w:cs="宋体"/>
                <w:color w:val="auto"/>
              </w:rPr>
            </w:pPr>
          </w:p>
        </w:tc>
        <w:tc>
          <w:tcPr>
            <w:tcW w:w="1165" w:type="dxa"/>
            <w:vAlign w:val="center"/>
          </w:tcPr>
          <w:p>
            <w:pPr>
              <w:jc w:val="center"/>
              <w:rPr>
                <w:rFonts w:ascii="宋体" w:hAnsi="宋体" w:eastAsia="宋体" w:cs="宋体"/>
                <w:color w:val="auto"/>
              </w:rPr>
            </w:pPr>
          </w:p>
        </w:tc>
        <w:tc>
          <w:tcPr>
            <w:tcW w:w="1020" w:type="dxa"/>
            <w:vAlign w:val="center"/>
          </w:tcPr>
          <w:p>
            <w:pPr>
              <w:jc w:val="center"/>
              <w:rPr>
                <w:rFonts w:ascii="宋体" w:hAnsi="宋体" w:eastAsia="宋体" w:cs="宋体"/>
                <w:color w:val="auto"/>
              </w:rPr>
            </w:pPr>
          </w:p>
        </w:tc>
        <w:tc>
          <w:tcPr>
            <w:tcW w:w="1456" w:type="dxa"/>
            <w:vAlign w:val="center"/>
          </w:tcPr>
          <w:p>
            <w:pPr>
              <w:jc w:val="center"/>
              <w:rPr>
                <w:rFonts w:ascii="宋体" w:hAnsi="宋体" w:eastAsia="宋体" w:cs="宋体"/>
                <w:color w:val="auto"/>
              </w:rPr>
            </w:pPr>
          </w:p>
        </w:tc>
        <w:tc>
          <w:tcPr>
            <w:tcW w:w="1612" w:type="dxa"/>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jc w:val="center"/>
              <w:rPr>
                <w:rFonts w:ascii="宋体" w:hAnsi="宋体" w:eastAsia="宋体" w:cs="宋体"/>
                <w:color w:val="auto"/>
              </w:rPr>
            </w:pPr>
          </w:p>
        </w:tc>
        <w:tc>
          <w:tcPr>
            <w:tcW w:w="2616" w:type="dxa"/>
            <w:vAlign w:val="center"/>
          </w:tcPr>
          <w:p>
            <w:pPr>
              <w:jc w:val="center"/>
              <w:rPr>
                <w:rFonts w:ascii="宋体" w:hAnsi="宋体" w:eastAsia="宋体" w:cs="宋体"/>
                <w:color w:val="auto"/>
              </w:rPr>
            </w:pPr>
          </w:p>
        </w:tc>
        <w:tc>
          <w:tcPr>
            <w:tcW w:w="1165" w:type="dxa"/>
            <w:vAlign w:val="center"/>
          </w:tcPr>
          <w:p>
            <w:pPr>
              <w:jc w:val="center"/>
              <w:rPr>
                <w:rFonts w:ascii="宋体" w:hAnsi="宋体" w:eastAsia="宋体" w:cs="宋体"/>
                <w:color w:val="auto"/>
              </w:rPr>
            </w:pPr>
          </w:p>
        </w:tc>
        <w:tc>
          <w:tcPr>
            <w:tcW w:w="1020" w:type="dxa"/>
            <w:vAlign w:val="center"/>
          </w:tcPr>
          <w:p>
            <w:pPr>
              <w:jc w:val="center"/>
              <w:rPr>
                <w:rFonts w:ascii="宋体" w:hAnsi="宋体" w:eastAsia="宋体" w:cs="宋体"/>
                <w:color w:val="auto"/>
              </w:rPr>
            </w:pPr>
          </w:p>
        </w:tc>
        <w:tc>
          <w:tcPr>
            <w:tcW w:w="1456" w:type="dxa"/>
            <w:vAlign w:val="center"/>
          </w:tcPr>
          <w:p>
            <w:pPr>
              <w:jc w:val="center"/>
              <w:rPr>
                <w:rFonts w:ascii="宋体" w:hAnsi="宋体" w:eastAsia="宋体" w:cs="宋体"/>
                <w:color w:val="auto"/>
              </w:rPr>
            </w:pPr>
          </w:p>
        </w:tc>
        <w:tc>
          <w:tcPr>
            <w:tcW w:w="1612" w:type="dxa"/>
            <w:vAlign w:val="center"/>
          </w:tcPr>
          <w:p>
            <w:pPr>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Align w:val="center"/>
          </w:tcPr>
          <w:p>
            <w:pPr>
              <w:jc w:val="center"/>
              <w:rPr>
                <w:rFonts w:ascii="宋体" w:hAnsi="宋体" w:eastAsia="宋体" w:cs="宋体"/>
                <w:color w:val="auto"/>
              </w:rPr>
            </w:pPr>
          </w:p>
        </w:tc>
        <w:tc>
          <w:tcPr>
            <w:tcW w:w="2616" w:type="dxa"/>
            <w:vAlign w:val="center"/>
          </w:tcPr>
          <w:p>
            <w:pPr>
              <w:jc w:val="center"/>
              <w:rPr>
                <w:rFonts w:ascii="宋体" w:hAnsi="宋体" w:eastAsia="宋体" w:cs="宋体"/>
                <w:color w:val="auto"/>
              </w:rPr>
            </w:pPr>
          </w:p>
        </w:tc>
        <w:tc>
          <w:tcPr>
            <w:tcW w:w="1165" w:type="dxa"/>
            <w:vAlign w:val="center"/>
          </w:tcPr>
          <w:p>
            <w:pPr>
              <w:jc w:val="center"/>
              <w:rPr>
                <w:rFonts w:ascii="宋体" w:hAnsi="宋体" w:eastAsia="宋体" w:cs="宋体"/>
                <w:color w:val="auto"/>
              </w:rPr>
            </w:pPr>
          </w:p>
        </w:tc>
        <w:tc>
          <w:tcPr>
            <w:tcW w:w="1020" w:type="dxa"/>
            <w:vAlign w:val="center"/>
          </w:tcPr>
          <w:p>
            <w:pPr>
              <w:jc w:val="center"/>
              <w:rPr>
                <w:rFonts w:ascii="宋体" w:hAnsi="宋体" w:eastAsia="宋体" w:cs="宋体"/>
                <w:color w:val="auto"/>
              </w:rPr>
            </w:pPr>
          </w:p>
        </w:tc>
        <w:tc>
          <w:tcPr>
            <w:tcW w:w="1456" w:type="dxa"/>
            <w:vAlign w:val="center"/>
          </w:tcPr>
          <w:p>
            <w:pPr>
              <w:jc w:val="center"/>
              <w:rPr>
                <w:rFonts w:ascii="宋体" w:hAnsi="宋体" w:eastAsia="宋体" w:cs="宋体"/>
                <w:color w:val="auto"/>
              </w:rPr>
            </w:pPr>
          </w:p>
        </w:tc>
        <w:tc>
          <w:tcPr>
            <w:tcW w:w="1612" w:type="dxa"/>
            <w:vAlign w:val="center"/>
          </w:tcPr>
          <w:p>
            <w:pPr>
              <w:jc w:val="center"/>
              <w:rPr>
                <w:rFonts w:ascii="宋体" w:hAnsi="宋体" w:eastAsia="宋体" w:cs="宋体"/>
                <w:color w:val="auto"/>
              </w:rPr>
            </w:pPr>
          </w:p>
        </w:tc>
      </w:tr>
    </w:tbl>
    <w:p>
      <w:pPr>
        <w:spacing w:line="620" w:lineRule="exact"/>
        <w:rPr>
          <w:rFonts w:ascii="宋体" w:hAnsi="宋体" w:eastAsia="宋体" w:cs="宋体"/>
          <w:color w:val="auto"/>
          <w:szCs w:val="20"/>
        </w:rPr>
      </w:pPr>
    </w:p>
    <w:p>
      <w:pPr>
        <w:spacing w:line="620" w:lineRule="exact"/>
        <w:rPr>
          <w:rFonts w:ascii="宋体" w:hAnsi="宋体" w:eastAsia="宋体" w:cs="仿宋"/>
          <w:color w:val="auto"/>
          <w:szCs w:val="20"/>
          <w:u w:val="single"/>
        </w:rPr>
      </w:pPr>
      <w:bookmarkStart w:id="297" w:name="_Toc6628"/>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620" w:lineRule="exact"/>
        <w:rPr>
          <w:rFonts w:ascii="宋体" w:hAnsi="宋体" w:eastAsia="宋体" w:cs="宋体"/>
          <w:color w:val="auto"/>
          <w:szCs w:val="20"/>
        </w:rPr>
      </w:pPr>
    </w:p>
    <w:p>
      <w:pPr>
        <w:widowControl w:val="0"/>
        <w:spacing w:after="120" w:line="240" w:lineRule="auto"/>
        <w:ind w:firstLine="240" w:firstLineChars="100"/>
        <w:rPr>
          <w:rFonts w:ascii="宋体" w:hAnsi="宋体" w:eastAsia="宋体" w:cs="宋体"/>
          <w:color w:val="auto"/>
          <w:kern w:val="2"/>
          <w:sz w:val="24"/>
          <w:szCs w:val="20"/>
          <w:lang w:val="en-US" w:eastAsia="zh-CN" w:bidi="ar-SA"/>
        </w:rPr>
      </w:pPr>
    </w:p>
    <w:p>
      <w:pPr>
        <w:rPr>
          <w:rFonts w:ascii="宋体" w:hAnsi="宋体" w:eastAsia="宋体" w:cs="宋体"/>
          <w:color w:val="auto"/>
          <w:szCs w:val="20"/>
        </w:rPr>
      </w:pPr>
    </w:p>
    <w:p>
      <w:pPr>
        <w:widowControl w:val="0"/>
        <w:spacing w:after="120" w:line="240" w:lineRule="auto"/>
        <w:ind w:firstLine="240" w:firstLineChars="100"/>
        <w:rPr>
          <w:rFonts w:ascii="宋体" w:hAnsi="宋体" w:eastAsia="宋体" w:cs="宋体"/>
          <w:color w:val="auto"/>
          <w:kern w:val="2"/>
          <w:sz w:val="24"/>
          <w:szCs w:val="20"/>
          <w:lang w:val="en-US" w:eastAsia="zh-CN" w:bidi="ar-SA"/>
        </w:rPr>
      </w:pPr>
    </w:p>
    <w:p>
      <w:pPr>
        <w:rPr>
          <w:rFonts w:ascii="宋体" w:hAnsi="宋体" w:eastAsia="宋体" w:cs="宋体"/>
          <w:color w:val="auto"/>
          <w:szCs w:val="20"/>
        </w:rPr>
      </w:pPr>
    </w:p>
    <w:p>
      <w:pPr>
        <w:widowControl w:val="0"/>
        <w:spacing w:after="120" w:line="240" w:lineRule="auto"/>
        <w:ind w:firstLine="240" w:firstLineChars="100"/>
        <w:rPr>
          <w:rFonts w:ascii="宋体" w:hAnsi="宋体" w:eastAsia="宋体" w:cs="宋体"/>
          <w:color w:val="auto"/>
          <w:kern w:val="2"/>
          <w:sz w:val="24"/>
          <w:szCs w:val="20"/>
          <w:lang w:val="en-US" w:eastAsia="zh-CN" w:bidi="ar-SA"/>
        </w:rPr>
      </w:pPr>
    </w:p>
    <w:p>
      <w:pPr>
        <w:rPr>
          <w:rFonts w:ascii="宋体" w:hAnsi="宋体" w:eastAsia="宋体" w:cs="宋体"/>
          <w:color w:val="auto"/>
          <w:szCs w:val="20"/>
        </w:rPr>
      </w:pPr>
    </w:p>
    <w:p>
      <w:pPr>
        <w:widowControl w:val="0"/>
        <w:spacing w:after="120" w:line="240" w:lineRule="auto"/>
        <w:ind w:firstLine="240" w:firstLineChars="100"/>
        <w:rPr>
          <w:rFonts w:ascii="宋体" w:hAnsi="宋体" w:eastAsia="宋体" w:cs="宋体"/>
          <w:color w:val="auto"/>
          <w:kern w:val="2"/>
          <w:sz w:val="24"/>
          <w:szCs w:val="20"/>
          <w:lang w:val="en-US" w:eastAsia="zh-CN" w:bidi="ar-SA"/>
        </w:rPr>
      </w:pPr>
    </w:p>
    <w:p>
      <w:pPr>
        <w:rPr>
          <w:rFonts w:ascii="宋体" w:hAnsi="宋体" w:eastAsia="宋体" w:cs="宋体"/>
          <w:color w:val="auto"/>
          <w:szCs w:val="20"/>
        </w:rPr>
      </w:pPr>
    </w:p>
    <w:p>
      <w:pPr>
        <w:rPr>
          <w:rFonts w:ascii="宋体" w:hAnsi="宋体" w:eastAsia="宋体" w:cs="宋体"/>
          <w:color w:val="auto"/>
          <w:szCs w:val="20"/>
        </w:rPr>
      </w:pPr>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298" w:name="_Toc3692"/>
      <w:bookmarkStart w:id="299" w:name="_Toc18484"/>
      <w:bookmarkStart w:id="300" w:name="_Toc229"/>
      <w:bookmarkStart w:id="301" w:name="_Toc14003"/>
      <w:bookmarkStart w:id="302" w:name="_Toc10094"/>
      <w:bookmarkStart w:id="303" w:name="_Toc19019"/>
      <w:bookmarkStart w:id="304" w:name="_Toc20071"/>
      <w:bookmarkStart w:id="305" w:name="_Toc21961"/>
      <w:bookmarkStart w:id="306" w:name="_Toc3827"/>
      <w:bookmarkStart w:id="307" w:name="_Toc26111"/>
      <w:r>
        <w:rPr>
          <w:rFonts w:hint="eastAsia" w:ascii="宋体" w:hAnsi="宋体" w:eastAsia="宋体" w:cs="宋体"/>
          <w:b/>
          <w:color w:val="auto"/>
          <w:kern w:val="0"/>
          <w:sz w:val="30"/>
          <w:szCs w:val="20"/>
          <w:lang w:val="en-US" w:eastAsia="zh-CN" w:bidi="ar-SA"/>
        </w:rPr>
        <w:t>四、投标设备耗材一览表</w:t>
      </w:r>
      <w:bookmarkEnd w:id="297"/>
      <w:bookmarkEnd w:id="298"/>
      <w:bookmarkEnd w:id="299"/>
      <w:bookmarkEnd w:id="300"/>
      <w:bookmarkEnd w:id="301"/>
      <w:bookmarkEnd w:id="302"/>
      <w:bookmarkEnd w:id="303"/>
      <w:bookmarkEnd w:id="304"/>
      <w:bookmarkEnd w:id="305"/>
      <w:bookmarkEnd w:id="306"/>
      <w:bookmarkEnd w:id="307"/>
    </w:p>
    <w:p>
      <w:pPr>
        <w:spacing w:line="400" w:lineRule="exact"/>
        <w:rPr>
          <w:rFonts w:ascii="宋体" w:hAnsi="宋体" w:eastAsia="宋体" w:cs="宋体"/>
          <w:bCs/>
          <w:color w:val="auto"/>
          <w:szCs w:val="20"/>
        </w:rPr>
      </w:pPr>
      <w:r>
        <w:rPr>
          <w:rFonts w:hint="eastAsia" w:ascii="宋体" w:hAnsi="宋体" w:eastAsia="宋体" w:cs="宋体"/>
          <w:bCs/>
          <w:color w:val="auto"/>
          <w:szCs w:val="20"/>
        </w:rPr>
        <w:t>单位：人民币元</w:t>
      </w:r>
    </w:p>
    <w:tbl>
      <w:tblPr>
        <w:tblStyle w:val="18"/>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122"/>
        <w:gridCol w:w="1482"/>
        <w:gridCol w:w="1482"/>
        <w:gridCol w:w="741"/>
        <w:gridCol w:w="741"/>
        <w:gridCol w:w="811"/>
        <w:gridCol w:w="92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58"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序号</w:t>
            </w:r>
          </w:p>
        </w:tc>
        <w:tc>
          <w:tcPr>
            <w:tcW w:w="1122"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名称</w:t>
            </w:r>
          </w:p>
        </w:tc>
        <w:tc>
          <w:tcPr>
            <w:tcW w:w="1482"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规格型号</w:t>
            </w:r>
          </w:p>
        </w:tc>
        <w:tc>
          <w:tcPr>
            <w:tcW w:w="1482"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制造商</w:t>
            </w:r>
          </w:p>
        </w:tc>
        <w:tc>
          <w:tcPr>
            <w:tcW w:w="741"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单位</w:t>
            </w:r>
          </w:p>
        </w:tc>
        <w:tc>
          <w:tcPr>
            <w:tcW w:w="741"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数量</w:t>
            </w:r>
          </w:p>
        </w:tc>
        <w:tc>
          <w:tcPr>
            <w:tcW w:w="811"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单价</w:t>
            </w:r>
          </w:p>
        </w:tc>
        <w:tc>
          <w:tcPr>
            <w:tcW w:w="926"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合计</w:t>
            </w:r>
          </w:p>
        </w:tc>
        <w:tc>
          <w:tcPr>
            <w:tcW w:w="904" w:type="dxa"/>
          </w:tcPr>
          <w:p>
            <w:pPr>
              <w:spacing w:line="400" w:lineRule="exact"/>
              <w:jc w:val="center"/>
              <w:rPr>
                <w:rFonts w:ascii="宋体" w:hAnsi="宋体" w:eastAsia="宋体" w:cs="宋体"/>
                <w:b/>
                <w:bCs/>
                <w:color w:val="auto"/>
                <w:szCs w:val="20"/>
              </w:rPr>
            </w:pPr>
            <w:r>
              <w:rPr>
                <w:rFonts w:hint="eastAsia" w:ascii="宋体" w:hAnsi="宋体" w:eastAsia="宋体" w:cs="宋体"/>
                <w:b/>
                <w:bCs/>
                <w:color w:val="auto"/>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8" w:type="dxa"/>
          </w:tcPr>
          <w:p>
            <w:pPr>
              <w:spacing w:line="400" w:lineRule="exact"/>
              <w:ind w:left="840" w:hanging="840" w:hangingChars="350"/>
              <w:jc w:val="center"/>
              <w:rPr>
                <w:rFonts w:ascii="宋体" w:hAnsi="宋体" w:eastAsia="宋体" w:cs="宋体"/>
                <w:bCs/>
                <w:color w:val="auto"/>
                <w:szCs w:val="20"/>
              </w:rPr>
            </w:pPr>
          </w:p>
        </w:tc>
        <w:tc>
          <w:tcPr>
            <w:tcW w:w="112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1482"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741" w:type="dxa"/>
          </w:tcPr>
          <w:p>
            <w:pPr>
              <w:spacing w:line="400" w:lineRule="exact"/>
              <w:ind w:left="840" w:hanging="840" w:hangingChars="350"/>
              <w:jc w:val="center"/>
              <w:rPr>
                <w:rFonts w:ascii="宋体" w:hAnsi="宋体" w:eastAsia="宋体" w:cs="宋体"/>
                <w:bCs/>
                <w:color w:val="auto"/>
                <w:szCs w:val="20"/>
              </w:rPr>
            </w:pPr>
          </w:p>
        </w:tc>
        <w:tc>
          <w:tcPr>
            <w:tcW w:w="811" w:type="dxa"/>
          </w:tcPr>
          <w:p>
            <w:pPr>
              <w:spacing w:line="400" w:lineRule="exact"/>
              <w:ind w:left="840" w:hanging="840" w:hangingChars="350"/>
              <w:jc w:val="center"/>
              <w:rPr>
                <w:rFonts w:ascii="宋体" w:hAnsi="宋体" w:eastAsia="宋体" w:cs="宋体"/>
                <w:bCs/>
                <w:color w:val="auto"/>
                <w:szCs w:val="20"/>
              </w:rPr>
            </w:pPr>
          </w:p>
        </w:tc>
        <w:tc>
          <w:tcPr>
            <w:tcW w:w="926" w:type="dxa"/>
          </w:tcPr>
          <w:p>
            <w:pPr>
              <w:spacing w:line="400" w:lineRule="exact"/>
              <w:ind w:left="840" w:hanging="840" w:hangingChars="350"/>
              <w:jc w:val="center"/>
              <w:rPr>
                <w:rFonts w:ascii="宋体" w:hAnsi="宋体" w:eastAsia="宋体" w:cs="宋体"/>
                <w:bCs/>
                <w:color w:val="auto"/>
                <w:szCs w:val="20"/>
              </w:rPr>
            </w:pPr>
          </w:p>
        </w:tc>
        <w:tc>
          <w:tcPr>
            <w:tcW w:w="904" w:type="dxa"/>
          </w:tcPr>
          <w:p>
            <w:pPr>
              <w:spacing w:line="400" w:lineRule="exact"/>
              <w:ind w:left="840" w:hanging="840" w:hangingChars="350"/>
              <w:jc w:val="center"/>
              <w:rPr>
                <w:rFonts w:ascii="宋体" w:hAnsi="宋体" w:eastAsia="宋体" w:cs="宋体"/>
                <w:bCs/>
                <w:color w:val="auto"/>
                <w:szCs w:val="20"/>
              </w:rPr>
            </w:pPr>
          </w:p>
        </w:tc>
      </w:tr>
    </w:tbl>
    <w:p>
      <w:pPr>
        <w:spacing w:line="480" w:lineRule="auto"/>
        <w:rPr>
          <w:rFonts w:ascii="宋体" w:hAnsi="宋体" w:eastAsia="宋体" w:cs="宋体"/>
          <w:color w:val="auto"/>
          <w:szCs w:val="20"/>
        </w:rPr>
      </w:pPr>
    </w:p>
    <w:p>
      <w:pPr>
        <w:spacing w:line="620" w:lineRule="exact"/>
        <w:rPr>
          <w:rFonts w:ascii="宋体" w:hAnsi="宋体" w:eastAsia="宋体" w:cs="仿宋"/>
          <w:color w:val="auto"/>
          <w:szCs w:val="20"/>
          <w:u w:val="single"/>
        </w:rPr>
      </w:pPr>
      <w:bookmarkStart w:id="308" w:name="_Toc6828"/>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480" w:lineRule="auto"/>
        <w:rPr>
          <w:rFonts w:ascii="宋体" w:hAnsi="宋体" w:eastAsia="宋体" w:cs="宋体"/>
          <w:b/>
          <w:color w:val="auto"/>
          <w:sz w:val="32"/>
          <w:szCs w:val="32"/>
        </w:rPr>
      </w:pPr>
    </w:p>
    <w:p>
      <w:pPr>
        <w:rPr>
          <w:rFonts w:ascii="宋体" w:hAnsi="宋体" w:cs="宋体"/>
          <w:b/>
          <w:color w:val="auto"/>
          <w:sz w:val="32"/>
          <w:szCs w:val="32"/>
        </w:rPr>
        <w:sectPr>
          <w:pgSz w:w="11920" w:h="16840"/>
          <w:pgMar w:top="1418" w:right="1418" w:bottom="1418" w:left="1418" w:header="794" w:footer="850" w:gutter="283"/>
          <w:pgNumType w:fmt="decimal"/>
          <w:cols w:space="0" w:num="1"/>
        </w:sectPr>
      </w:pPr>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309" w:name="_Toc31890"/>
      <w:bookmarkStart w:id="310" w:name="_Toc3052"/>
      <w:bookmarkStart w:id="311" w:name="_Toc26578"/>
      <w:bookmarkStart w:id="312" w:name="_Toc6782"/>
      <w:bookmarkStart w:id="313" w:name="_Toc32543"/>
      <w:bookmarkStart w:id="314" w:name="_Toc7476"/>
      <w:bookmarkStart w:id="315" w:name="_Toc30274"/>
      <w:bookmarkStart w:id="316" w:name="_Toc8240"/>
      <w:bookmarkStart w:id="317" w:name="_Toc9346"/>
      <w:bookmarkStart w:id="318" w:name="_Toc15526"/>
      <w:r>
        <w:rPr>
          <w:rFonts w:hint="eastAsia" w:ascii="宋体" w:hAnsi="宋体" w:eastAsia="宋体" w:cs="宋体"/>
          <w:b/>
          <w:color w:val="auto"/>
          <w:kern w:val="0"/>
          <w:sz w:val="30"/>
          <w:szCs w:val="20"/>
          <w:lang w:val="en-US" w:eastAsia="zh-CN" w:bidi="ar-SA"/>
        </w:rPr>
        <w:t>五、质保期满后易损件、配件一览表</w:t>
      </w:r>
      <w:bookmarkEnd w:id="308"/>
      <w:bookmarkEnd w:id="309"/>
      <w:bookmarkEnd w:id="310"/>
      <w:bookmarkEnd w:id="311"/>
      <w:bookmarkEnd w:id="312"/>
      <w:bookmarkEnd w:id="313"/>
      <w:bookmarkEnd w:id="314"/>
      <w:bookmarkEnd w:id="315"/>
      <w:bookmarkEnd w:id="316"/>
      <w:bookmarkEnd w:id="317"/>
      <w:bookmarkEnd w:id="318"/>
    </w:p>
    <w:p>
      <w:pPr>
        <w:spacing w:line="400" w:lineRule="exact"/>
        <w:ind w:firstLine="2326" w:firstLineChars="724"/>
        <w:rPr>
          <w:rFonts w:ascii="宋体" w:hAnsi="宋体" w:eastAsia="宋体" w:cs="宋体"/>
          <w:b/>
          <w:color w:val="auto"/>
          <w:sz w:val="32"/>
          <w:szCs w:val="20"/>
        </w:rPr>
      </w:pPr>
    </w:p>
    <w:p>
      <w:pPr>
        <w:spacing w:line="400" w:lineRule="exact"/>
        <w:rPr>
          <w:rFonts w:ascii="宋体" w:hAnsi="宋体" w:eastAsia="宋体" w:cs="宋体"/>
          <w:b/>
          <w:bCs/>
          <w:color w:val="auto"/>
          <w:sz w:val="22"/>
        </w:rPr>
      </w:pPr>
      <w:r>
        <w:rPr>
          <w:rFonts w:hint="eastAsia" w:ascii="宋体" w:hAnsi="宋体" w:eastAsia="宋体" w:cs="宋体"/>
          <w:b/>
          <w:bCs/>
          <w:color w:val="auto"/>
          <w:sz w:val="22"/>
        </w:rPr>
        <w:t xml:space="preserve">设备名称：                                                       </w:t>
      </w:r>
      <w:r>
        <w:rPr>
          <w:rFonts w:hint="eastAsia" w:ascii="宋体" w:hAnsi="宋体" w:eastAsia="宋体" w:cs="宋体"/>
          <w:bCs/>
          <w:color w:val="auto"/>
          <w:szCs w:val="20"/>
        </w:rPr>
        <w:t>单位：人民币元</w:t>
      </w:r>
    </w:p>
    <w:tbl>
      <w:tblPr>
        <w:tblStyle w:val="18"/>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68"/>
        <w:gridCol w:w="1308"/>
        <w:gridCol w:w="1035"/>
        <w:gridCol w:w="992"/>
        <w:gridCol w:w="1276"/>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46"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序号</w:t>
            </w:r>
          </w:p>
        </w:tc>
        <w:tc>
          <w:tcPr>
            <w:tcW w:w="1768"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配件名称</w:t>
            </w:r>
          </w:p>
        </w:tc>
        <w:tc>
          <w:tcPr>
            <w:tcW w:w="1308"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规格型号</w:t>
            </w:r>
          </w:p>
        </w:tc>
        <w:tc>
          <w:tcPr>
            <w:tcW w:w="1035"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单位</w:t>
            </w:r>
          </w:p>
        </w:tc>
        <w:tc>
          <w:tcPr>
            <w:tcW w:w="992"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单价（元）</w:t>
            </w:r>
          </w:p>
        </w:tc>
        <w:tc>
          <w:tcPr>
            <w:tcW w:w="1276"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产地</w:t>
            </w:r>
          </w:p>
        </w:tc>
        <w:tc>
          <w:tcPr>
            <w:tcW w:w="1929"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46" w:type="dxa"/>
            <w:vAlign w:val="center"/>
          </w:tcPr>
          <w:p>
            <w:pPr>
              <w:adjustRightInd w:val="0"/>
              <w:snapToGrid w:val="0"/>
              <w:spacing w:line="240" w:lineRule="auto"/>
              <w:jc w:val="both"/>
              <w:rPr>
                <w:rFonts w:ascii="宋体" w:hAnsi="宋体" w:eastAsia="宋体" w:cs="宋体"/>
                <w:b/>
                <w:bCs/>
                <w:color w:val="auto"/>
                <w:sz w:val="22"/>
              </w:rPr>
            </w:pPr>
          </w:p>
        </w:tc>
        <w:tc>
          <w:tcPr>
            <w:tcW w:w="1768" w:type="dxa"/>
            <w:vAlign w:val="center"/>
          </w:tcPr>
          <w:p>
            <w:pPr>
              <w:adjustRightInd w:val="0"/>
              <w:snapToGrid w:val="0"/>
              <w:spacing w:line="240" w:lineRule="auto"/>
              <w:jc w:val="both"/>
              <w:rPr>
                <w:rFonts w:ascii="宋体" w:hAnsi="宋体" w:eastAsia="宋体" w:cs="宋体"/>
                <w:b/>
                <w:bCs/>
                <w:color w:val="auto"/>
                <w:sz w:val="22"/>
              </w:rPr>
            </w:pPr>
          </w:p>
        </w:tc>
        <w:tc>
          <w:tcPr>
            <w:tcW w:w="1308" w:type="dxa"/>
            <w:vAlign w:val="center"/>
          </w:tcPr>
          <w:p>
            <w:pPr>
              <w:adjustRightInd w:val="0"/>
              <w:snapToGrid w:val="0"/>
              <w:spacing w:line="240" w:lineRule="auto"/>
              <w:jc w:val="both"/>
              <w:rPr>
                <w:rFonts w:ascii="宋体" w:hAnsi="宋体" w:eastAsia="宋体" w:cs="宋体"/>
                <w:b/>
                <w:bCs/>
                <w:color w:val="auto"/>
                <w:sz w:val="22"/>
              </w:rPr>
            </w:pPr>
          </w:p>
        </w:tc>
        <w:tc>
          <w:tcPr>
            <w:tcW w:w="1035" w:type="dxa"/>
            <w:vAlign w:val="center"/>
          </w:tcPr>
          <w:p>
            <w:pPr>
              <w:adjustRightInd w:val="0"/>
              <w:snapToGrid w:val="0"/>
              <w:spacing w:line="240" w:lineRule="auto"/>
              <w:jc w:val="both"/>
              <w:rPr>
                <w:rFonts w:ascii="宋体" w:hAnsi="宋体" w:eastAsia="宋体" w:cs="宋体"/>
                <w:b/>
                <w:bCs/>
                <w:color w:val="auto"/>
                <w:sz w:val="22"/>
              </w:rPr>
            </w:pPr>
          </w:p>
        </w:tc>
        <w:tc>
          <w:tcPr>
            <w:tcW w:w="992" w:type="dxa"/>
            <w:vAlign w:val="center"/>
          </w:tcPr>
          <w:p>
            <w:pPr>
              <w:adjustRightInd w:val="0"/>
              <w:snapToGrid w:val="0"/>
              <w:spacing w:line="240" w:lineRule="auto"/>
              <w:jc w:val="both"/>
              <w:rPr>
                <w:rFonts w:ascii="宋体" w:hAnsi="宋体" w:eastAsia="宋体" w:cs="宋体"/>
                <w:b/>
                <w:bCs/>
                <w:color w:val="auto"/>
                <w:sz w:val="22"/>
              </w:rPr>
            </w:pPr>
          </w:p>
        </w:tc>
        <w:tc>
          <w:tcPr>
            <w:tcW w:w="1276" w:type="dxa"/>
            <w:vAlign w:val="center"/>
          </w:tcPr>
          <w:p>
            <w:pPr>
              <w:adjustRightInd w:val="0"/>
              <w:snapToGrid w:val="0"/>
              <w:spacing w:line="240" w:lineRule="auto"/>
              <w:jc w:val="both"/>
              <w:rPr>
                <w:rFonts w:ascii="宋体" w:hAnsi="宋体" w:eastAsia="宋体" w:cs="宋体"/>
                <w:b/>
                <w:bCs/>
                <w:color w:val="auto"/>
                <w:sz w:val="22"/>
              </w:rPr>
            </w:pPr>
          </w:p>
        </w:tc>
        <w:tc>
          <w:tcPr>
            <w:tcW w:w="1929" w:type="dxa"/>
            <w:vAlign w:val="center"/>
          </w:tcPr>
          <w:p>
            <w:pPr>
              <w:adjustRightInd w:val="0"/>
              <w:snapToGrid w:val="0"/>
              <w:spacing w:line="240" w:lineRule="auto"/>
              <w:jc w:val="both"/>
              <w:rPr>
                <w:rFonts w:ascii="宋体" w:hAnsi="宋体" w:eastAsia="宋体" w:cs="宋体"/>
                <w:b/>
                <w:bCs/>
                <w:color w:val="auto"/>
                <w:sz w:val="22"/>
              </w:rPr>
            </w:pPr>
          </w:p>
        </w:tc>
      </w:tr>
    </w:tbl>
    <w:p>
      <w:pPr>
        <w:adjustRightInd w:val="0"/>
        <w:snapToGrid w:val="0"/>
        <w:rPr>
          <w:rFonts w:ascii="宋体" w:hAnsi="宋体" w:eastAsia="宋体" w:cs="宋体"/>
          <w:color w:val="auto"/>
          <w:sz w:val="22"/>
        </w:rPr>
      </w:pPr>
    </w:p>
    <w:p>
      <w:pPr>
        <w:adjustRightInd w:val="0"/>
        <w:snapToGrid w:val="0"/>
        <w:rPr>
          <w:rFonts w:ascii="宋体" w:hAnsi="宋体" w:eastAsia="宋体" w:cs="宋体"/>
          <w:color w:val="auto"/>
          <w:sz w:val="22"/>
        </w:rPr>
      </w:pPr>
    </w:p>
    <w:p>
      <w:pPr>
        <w:spacing w:line="400" w:lineRule="exact"/>
        <w:rPr>
          <w:rFonts w:ascii="宋体" w:hAnsi="宋体" w:eastAsia="宋体" w:cs="宋体"/>
          <w:color w:val="auto"/>
          <w:sz w:val="28"/>
          <w:szCs w:val="20"/>
        </w:rPr>
      </w:pP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620" w:lineRule="exact"/>
        <w:rPr>
          <w:rFonts w:ascii="宋体" w:hAnsi="宋体" w:eastAsia="宋体" w:cs="宋体"/>
          <w:color w:val="auto"/>
          <w:szCs w:val="20"/>
        </w:rPr>
      </w:pPr>
    </w:p>
    <w:p>
      <w:pPr>
        <w:jc w:val="center"/>
        <w:rPr>
          <w:rFonts w:ascii="宋体" w:hAnsi="宋体" w:eastAsia="宋体" w:cs="宋体"/>
          <w:b/>
          <w:color w:val="auto"/>
          <w:sz w:val="32"/>
          <w:szCs w:val="32"/>
        </w:rPr>
      </w:pPr>
    </w:p>
    <w:p>
      <w:pPr>
        <w:widowControl/>
        <w:rPr>
          <w:rFonts w:ascii="宋体" w:hAnsi="宋体" w:cs="宋体"/>
          <w:color w:val="auto"/>
          <w:kern w:val="0"/>
          <w:sz w:val="28"/>
          <w:szCs w:val="28"/>
        </w:rPr>
        <w:sectPr>
          <w:pgSz w:w="11920" w:h="16840"/>
          <w:pgMar w:top="1418" w:right="1418" w:bottom="1418" w:left="1418" w:header="794" w:footer="850" w:gutter="283"/>
          <w:pgNumType w:fmt="decimal"/>
          <w:cols w:space="0" w:num="1"/>
          <w:docGrid w:linePitch="286" w:charSpace="0"/>
        </w:sectPr>
      </w:pPr>
    </w:p>
    <w:p>
      <w:pPr>
        <w:spacing w:line="440" w:lineRule="exact"/>
        <w:rPr>
          <w:rFonts w:ascii="宋体" w:hAnsi="宋体" w:eastAsia="宋体" w:cs="宋体"/>
          <w:color w:val="auto"/>
          <w:kern w:val="0"/>
          <w:sz w:val="28"/>
          <w:szCs w:val="28"/>
        </w:rPr>
      </w:pPr>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319" w:name="_Toc6685"/>
      <w:bookmarkStart w:id="320" w:name="_Toc32319"/>
      <w:bookmarkStart w:id="321" w:name="_Toc12037"/>
      <w:bookmarkStart w:id="322" w:name="_Toc2835"/>
      <w:bookmarkStart w:id="323" w:name="_Toc7668"/>
      <w:bookmarkStart w:id="324" w:name="_Toc29346"/>
      <w:bookmarkStart w:id="325" w:name="_Toc3927"/>
      <w:bookmarkStart w:id="326" w:name="_Toc8951"/>
      <w:bookmarkStart w:id="327" w:name="_Toc16698"/>
      <w:bookmarkStart w:id="328" w:name="_Toc13526"/>
      <w:bookmarkStart w:id="329" w:name="_Toc25851"/>
      <w:r>
        <w:rPr>
          <w:rFonts w:hint="eastAsia" w:ascii="宋体" w:hAnsi="宋体" w:eastAsia="宋体" w:cs="宋体"/>
          <w:b/>
          <w:color w:val="auto"/>
          <w:kern w:val="0"/>
          <w:sz w:val="30"/>
          <w:szCs w:val="20"/>
          <w:lang w:val="en-US" w:eastAsia="zh-CN" w:bidi="ar-SA"/>
        </w:rPr>
        <w:t>六、20</w:t>
      </w:r>
      <w:r>
        <w:rPr>
          <w:rFonts w:ascii="宋体" w:hAnsi="宋体" w:eastAsia="宋体" w:cs="宋体"/>
          <w:b/>
          <w:color w:val="auto"/>
          <w:kern w:val="0"/>
          <w:sz w:val="30"/>
          <w:szCs w:val="20"/>
          <w:lang w:val="en-US" w:eastAsia="zh-CN" w:bidi="ar-SA"/>
        </w:rPr>
        <w:t>20</w:t>
      </w:r>
      <w:r>
        <w:rPr>
          <w:rFonts w:hint="eastAsia" w:ascii="宋体" w:hAnsi="宋体" w:eastAsia="宋体" w:cs="宋体"/>
          <w:b/>
          <w:color w:val="auto"/>
          <w:kern w:val="0"/>
          <w:sz w:val="30"/>
          <w:szCs w:val="20"/>
          <w:lang w:val="en-US" w:eastAsia="zh-CN" w:bidi="ar-SA"/>
        </w:rPr>
        <w:t>年以来投标产品同品牌同型号销售业绩表</w:t>
      </w:r>
      <w:bookmarkEnd w:id="319"/>
      <w:bookmarkEnd w:id="320"/>
      <w:bookmarkEnd w:id="321"/>
      <w:bookmarkEnd w:id="322"/>
      <w:bookmarkEnd w:id="323"/>
      <w:bookmarkEnd w:id="324"/>
      <w:bookmarkEnd w:id="325"/>
      <w:bookmarkEnd w:id="326"/>
      <w:bookmarkEnd w:id="327"/>
      <w:bookmarkEnd w:id="328"/>
      <w:bookmarkEnd w:id="329"/>
    </w:p>
    <w:tbl>
      <w:tblPr>
        <w:tblStyle w:val="18"/>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634"/>
        <w:gridCol w:w="2478"/>
        <w:gridCol w:w="1497"/>
        <w:gridCol w:w="1907"/>
        <w:gridCol w:w="1469"/>
        <w:gridCol w:w="1634"/>
        <w:gridCol w:w="1362"/>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1"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序号</w:t>
            </w:r>
          </w:p>
        </w:tc>
        <w:tc>
          <w:tcPr>
            <w:tcW w:w="1634"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合同日期</w:t>
            </w:r>
          </w:p>
        </w:tc>
        <w:tc>
          <w:tcPr>
            <w:tcW w:w="2478"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项目名称</w:t>
            </w:r>
          </w:p>
        </w:tc>
        <w:tc>
          <w:tcPr>
            <w:tcW w:w="1497"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合同金额</w:t>
            </w:r>
          </w:p>
        </w:tc>
        <w:tc>
          <w:tcPr>
            <w:tcW w:w="1907"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设备品牌</w:t>
            </w:r>
          </w:p>
        </w:tc>
        <w:tc>
          <w:tcPr>
            <w:tcW w:w="1469"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设备产地</w:t>
            </w:r>
          </w:p>
        </w:tc>
        <w:tc>
          <w:tcPr>
            <w:tcW w:w="1634"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规格型号</w:t>
            </w:r>
          </w:p>
        </w:tc>
        <w:tc>
          <w:tcPr>
            <w:tcW w:w="1362"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客户名称</w:t>
            </w:r>
          </w:p>
        </w:tc>
        <w:tc>
          <w:tcPr>
            <w:tcW w:w="1694" w:type="dxa"/>
            <w:vAlign w:val="center"/>
          </w:tcPr>
          <w:p>
            <w:pPr>
              <w:spacing w:line="240" w:lineRule="auto"/>
              <w:jc w:val="center"/>
              <w:rPr>
                <w:rFonts w:ascii="宋体" w:hAnsi="宋体" w:eastAsia="宋体" w:cs="宋体"/>
                <w:b/>
                <w:color w:val="auto"/>
                <w:szCs w:val="20"/>
              </w:rPr>
            </w:pPr>
            <w:r>
              <w:rPr>
                <w:rFonts w:hint="eastAsia" w:ascii="宋体" w:hAnsi="宋体" w:eastAsia="宋体" w:cs="宋体"/>
                <w:b/>
                <w:color w:val="auto"/>
                <w:szCs w:val="20"/>
              </w:rPr>
              <w:t>客户联系电话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21"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2478" w:type="dxa"/>
            <w:vAlign w:val="center"/>
          </w:tcPr>
          <w:p>
            <w:pPr>
              <w:widowControl/>
              <w:jc w:val="both"/>
              <w:rPr>
                <w:rFonts w:ascii="宋体" w:hAnsi="宋体" w:eastAsia="宋体" w:cs="宋体"/>
                <w:color w:val="auto"/>
                <w:sz w:val="22"/>
              </w:rPr>
            </w:pPr>
          </w:p>
        </w:tc>
        <w:tc>
          <w:tcPr>
            <w:tcW w:w="1497" w:type="dxa"/>
            <w:vAlign w:val="center"/>
          </w:tcPr>
          <w:p>
            <w:pPr>
              <w:widowControl/>
              <w:jc w:val="both"/>
              <w:rPr>
                <w:rFonts w:ascii="宋体" w:hAnsi="宋体" w:eastAsia="宋体" w:cs="宋体"/>
                <w:color w:val="auto"/>
                <w:sz w:val="22"/>
              </w:rPr>
            </w:pPr>
          </w:p>
        </w:tc>
        <w:tc>
          <w:tcPr>
            <w:tcW w:w="1907" w:type="dxa"/>
            <w:vAlign w:val="center"/>
          </w:tcPr>
          <w:p>
            <w:pPr>
              <w:widowControl/>
              <w:jc w:val="both"/>
              <w:rPr>
                <w:rFonts w:ascii="宋体" w:hAnsi="宋体" w:eastAsia="宋体" w:cs="宋体"/>
                <w:color w:val="auto"/>
                <w:sz w:val="22"/>
              </w:rPr>
            </w:pPr>
          </w:p>
        </w:tc>
        <w:tc>
          <w:tcPr>
            <w:tcW w:w="1469"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1362" w:type="dxa"/>
            <w:vAlign w:val="center"/>
          </w:tcPr>
          <w:p>
            <w:pPr>
              <w:widowControl/>
              <w:jc w:val="both"/>
              <w:rPr>
                <w:rFonts w:ascii="宋体" w:hAnsi="宋体" w:eastAsia="宋体" w:cs="宋体"/>
                <w:color w:val="auto"/>
                <w:sz w:val="22"/>
              </w:rPr>
            </w:pPr>
          </w:p>
        </w:tc>
        <w:tc>
          <w:tcPr>
            <w:tcW w:w="1694" w:type="dxa"/>
            <w:vAlign w:val="center"/>
          </w:tcPr>
          <w:p>
            <w:pPr>
              <w:widowControl/>
              <w:jc w:val="both"/>
              <w:rPr>
                <w:rFonts w:ascii="宋体" w:hAnsi="宋体" w:eastAsia="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2478" w:type="dxa"/>
            <w:vAlign w:val="center"/>
          </w:tcPr>
          <w:p>
            <w:pPr>
              <w:widowControl/>
              <w:jc w:val="both"/>
              <w:rPr>
                <w:rFonts w:ascii="宋体" w:hAnsi="宋体" w:eastAsia="宋体" w:cs="宋体"/>
                <w:color w:val="auto"/>
                <w:sz w:val="22"/>
              </w:rPr>
            </w:pPr>
          </w:p>
        </w:tc>
        <w:tc>
          <w:tcPr>
            <w:tcW w:w="1497" w:type="dxa"/>
            <w:vAlign w:val="center"/>
          </w:tcPr>
          <w:p>
            <w:pPr>
              <w:widowControl/>
              <w:jc w:val="both"/>
              <w:rPr>
                <w:rFonts w:ascii="宋体" w:hAnsi="宋体" w:eastAsia="宋体" w:cs="宋体"/>
                <w:color w:val="auto"/>
                <w:sz w:val="22"/>
              </w:rPr>
            </w:pPr>
          </w:p>
        </w:tc>
        <w:tc>
          <w:tcPr>
            <w:tcW w:w="1907" w:type="dxa"/>
            <w:vAlign w:val="center"/>
          </w:tcPr>
          <w:p>
            <w:pPr>
              <w:widowControl/>
              <w:jc w:val="both"/>
              <w:rPr>
                <w:rFonts w:ascii="宋体" w:hAnsi="宋体" w:eastAsia="宋体" w:cs="宋体"/>
                <w:color w:val="auto"/>
                <w:sz w:val="22"/>
              </w:rPr>
            </w:pPr>
          </w:p>
        </w:tc>
        <w:tc>
          <w:tcPr>
            <w:tcW w:w="1469"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1362" w:type="dxa"/>
            <w:vAlign w:val="center"/>
          </w:tcPr>
          <w:p>
            <w:pPr>
              <w:widowControl/>
              <w:jc w:val="both"/>
              <w:rPr>
                <w:rFonts w:ascii="宋体" w:hAnsi="宋体" w:eastAsia="宋体" w:cs="宋体"/>
                <w:color w:val="auto"/>
                <w:sz w:val="22"/>
              </w:rPr>
            </w:pPr>
          </w:p>
        </w:tc>
        <w:tc>
          <w:tcPr>
            <w:tcW w:w="1694" w:type="dxa"/>
            <w:vAlign w:val="center"/>
          </w:tcPr>
          <w:p>
            <w:pPr>
              <w:widowControl/>
              <w:jc w:val="both"/>
              <w:rPr>
                <w:rFonts w:ascii="宋体" w:hAnsi="宋体" w:eastAsia="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2478" w:type="dxa"/>
            <w:vAlign w:val="center"/>
          </w:tcPr>
          <w:p>
            <w:pPr>
              <w:widowControl/>
              <w:jc w:val="both"/>
              <w:rPr>
                <w:rFonts w:ascii="宋体" w:hAnsi="宋体" w:eastAsia="宋体" w:cs="宋体"/>
                <w:color w:val="auto"/>
                <w:sz w:val="22"/>
              </w:rPr>
            </w:pPr>
          </w:p>
        </w:tc>
        <w:tc>
          <w:tcPr>
            <w:tcW w:w="1497" w:type="dxa"/>
            <w:vAlign w:val="center"/>
          </w:tcPr>
          <w:p>
            <w:pPr>
              <w:widowControl/>
              <w:jc w:val="both"/>
              <w:rPr>
                <w:rFonts w:ascii="宋体" w:hAnsi="宋体" w:eastAsia="宋体" w:cs="宋体"/>
                <w:color w:val="auto"/>
                <w:sz w:val="22"/>
              </w:rPr>
            </w:pPr>
          </w:p>
        </w:tc>
        <w:tc>
          <w:tcPr>
            <w:tcW w:w="1907" w:type="dxa"/>
            <w:vAlign w:val="center"/>
          </w:tcPr>
          <w:p>
            <w:pPr>
              <w:widowControl/>
              <w:jc w:val="both"/>
              <w:rPr>
                <w:rFonts w:ascii="宋体" w:hAnsi="宋体" w:eastAsia="宋体" w:cs="宋体"/>
                <w:color w:val="auto"/>
                <w:sz w:val="22"/>
              </w:rPr>
            </w:pPr>
          </w:p>
        </w:tc>
        <w:tc>
          <w:tcPr>
            <w:tcW w:w="1469"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1362" w:type="dxa"/>
            <w:vAlign w:val="center"/>
          </w:tcPr>
          <w:p>
            <w:pPr>
              <w:widowControl/>
              <w:jc w:val="both"/>
              <w:rPr>
                <w:rFonts w:ascii="宋体" w:hAnsi="宋体" w:eastAsia="宋体" w:cs="宋体"/>
                <w:color w:val="auto"/>
                <w:sz w:val="22"/>
              </w:rPr>
            </w:pPr>
          </w:p>
        </w:tc>
        <w:tc>
          <w:tcPr>
            <w:tcW w:w="1694" w:type="dxa"/>
            <w:vAlign w:val="center"/>
          </w:tcPr>
          <w:p>
            <w:pPr>
              <w:widowControl/>
              <w:jc w:val="both"/>
              <w:rPr>
                <w:rFonts w:ascii="宋体" w:hAnsi="宋体" w:eastAsia="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2478" w:type="dxa"/>
            <w:vAlign w:val="center"/>
          </w:tcPr>
          <w:p>
            <w:pPr>
              <w:widowControl/>
              <w:jc w:val="both"/>
              <w:rPr>
                <w:rFonts w:ascii="宋体" w:hAnsi="宋体" w:eastAsia="宋体" w:cs="宋体"/>
                <w:color w:val="auto"/>
                <w:sz w:val="22"/>
              </w:rPr>
            </w:pPr>
          </w:p>
        </w:tc>
        <w:tc>
          <w:tcPr>
            <w:tcW w:w="1497" w:type="dxa"/>
            <w:vAlign w:val="center"/>
          </w:tcPr>
          <w:p>
            <w:pPr>
              <w:widowControl/>
              <w:jc w:val="both"/>
              <w:rPr>
                <w:rFonts w:ascii="宋体" w:hAnsi="宋体" w:eastAsia="宋体" w:cs="宋体"/>
                <w:color w:val="auto"/>
                <w:sz w:val="22"/>
              </w:rPr>
            </w:pPr>
          </w:p>
        </w:tc>
        <w:tc>
          <w:tcPr>
            <w:tcW w:w="1907" w:type="dxa"/>
            <w:vAlign w:val="center"/>
          </w:tcPr>
          <w:p>
            <w:pPr>
              <w:widowControl/>
              <w:jc w:val="both"/>
              <w:rPr>
                <w:rFonts w:ascii="宋体" w:hAnsi="宋体" w:eastAsia="宋体" w:cs="宋体"/>
                <w:color w:val="auto"/>
                <w:sz w:val="22"/>
              </w:rPr>
            </w:pPr>
          </w:p>
        </w:tc>
        <w:tc>
          <w:tcPr>
            <w:tcW w:w="1469"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1362" w:type="dxa"/>
            <w:vAlign w:val="center"/>
          </w:tcPr>
          <w:p>
            <w:pPr>
              <w:widowControl/>
              <w:jc w:val="both"/>
              <w:rPr>
                <w:rFonts w:ascii="宋体" w:hAnsi="宋体" w:eastAsia="宋体" w:cs="宋体"/>
                <w:color w:val="auto"/>
                <w:sz w:val="22"/>
              </w:rPr>
            </w:pPr>
          </w:p>
        </w:tc>
        <w:tc>
          <w:tcPr>
            <w:tcW w:w="1694" w:type="dxa"/>
            <w:vAlign w:val="center"/>
          </w:tcPr>
          <w:p>
            <w:pPr>
              <w:widowControl/>
              <w:jc w:val="both"/>
              <w:rPr>
                <w:rFonts w:ascii="宋体" w:hAnsi="宋体" w:eastAsia="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2478" w:type="dxa"/>
            <w:vAlign w:val="center"/>
          </w:tcPr>
          <w:p>
            <w:pPr>
              <w:widowControl/>
              <w:jc w:val="both"/>
              <w:rPr>
                <w:rFonts w:ascii="宋体" w:hAnsi="宋体" w:eastAsia="宋体" w:cs="宋体"/>
                <w:color w:val="auto"/>
                <w:sz w:val="22"/>
              </w:rPr>
            </w:pPr>
          </w:p>
        </w:tc>
        <w:tc>
          <w:tcPr>
            <w:tcW w:w="1497" w:type="dxa"/>
            <w:vAlign w:val="center"/>
          </w:tcPr>
          <w:p>
            <w:pPr>
              <w:widowControl/>
              <w:jc w:val="both"/>
              <w:rPr>
                <w:rFonts w:ascii="宋体" w:hAnsi="宋体" w:eastAsia="宋体" w:cs="宋体"/>
                <w:color w:val="auto"/>
                <w:sz w:val="22"/>
              </w:rPr>
            </w:pPr>
          </w:p>
        </w:tc>
        <w:tc>
          <w:tcPr>
            <w:tcW w:w="1907" w:type="dxa"/>
            <w:vAlign w:val="center"/>
          </w:tcPr>
          <w:p>
            <w:pPr>
              <w:widowControl/>
              <w:jc w:val="both"/>
              <w:rPr>
                <w:rFonts w:ascii="宋体" w:hAnsi="宋体" w:eastAsia="宋体" w:cs="宋体"/>
                <w:color w:val="auto"/>
                <w:sz w:val="22"/>
              </w:rPr>
            </w:pPr>
          </w:p>
        </w:tc>
        <w:tc>
          <w:tcPr>
            <w:tcW w:w="1469"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1362" w:type="dxa"/>
            <w:vAlign w:val="center"/>
          </w:tcPr>
          <w:p>
            <w:pPr>
              <w:widowControl/>
              <w:jc w:val="both"/>
              <w:rPr>
                <w:rFonts w:ascii="宋体" w:hAnsi="宋体" w:eastAsia="宋体" w:cs="宋体"/>
                <w:color w:val="auto"/>
                <w:sz w:val="22"/>
              </w:rPr>
            </w:pPr>
          </w:p>
        </w:tc>
        <w:tc>
          <w:tcPr>
            <w:tcW w:w="1694" w:type="dxa"/>
            <w:vAlign w:val="center"/>
          </w:tcPr>
          <w:p>
            <w:pPr>
              <w:widowControl/>
              <w:jc w:val="both"/>
              <w:rPr>
                <w:rFonts w:ascii="宋体" w:hAnsi="宋体" w:eastAsia="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21"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2478" w:type="dxa"/>
            <w:vAlign w:val="center"/>
          </w:tcPr>
          <w:p>
            <w:pPr>
              <w:widowControl/>
              <w:jc w:val="both"/>
              <w:rPr>
                <w:rFonts w:ascii="宋体" w:hAnsi="宋体" w:eastAsia="宋体" w:cs="宋体"/>
                <w:color w:val="auto"/>
                <w:sz w:val="22"/>
              </w:rPr>
            </w:pPr>
          </w:p>
        </w:tc>
        <w:tc>
          <w:tcPr>
            <w:tcW w:w="1497" w:type="dxa"/>
            <w:vAlign w:val="center"/>
          </w:tcPr>
          <w:p>
            <w:pPr>
              <w:widowControl/>
              <w:jc w:val="both"/>
              <w:rPr>
                <w:rFonts w:ascii="宋体" w:hAnsi="宋体" w:eastAsia="宋体" w:cs="宋体"/>
                <w:color w:val="auto"/>
                <w:sz w:val="22"/>
              </w:rPr>
            </w:pPr>
          </w:p>
        </w:tc>
        <w:tc>
          <w:tcPr>
            <w:tcW w:w="1907" w:type="dxa"/>
            <w:vAlign w:val="center"/>
          </w:tcPr>
          <w:p>
            <w:pPr>
              <w:widowControl/>
              <w:jc w:val="both"/>
              <w:rPr>
                <w:rFonts w:ascii="宋体" w:hAnsi="宋体" w:eastAsia="宋体" w:cs="宋体"/>
                <w:color w:val="auto"/>
                <w:sz w:val="22"/>
              </w:rPr>
            </w:pPr>
          </w:p>
        </w:tc>
        <w:tc>
          <w:tcPr>
            <w:tcW w:w="1469"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1362" w:type="dxa"/>
            <w:vAlign w:val="center"/>
          </w:tcPr>
          <w:p>
            <w:pPr>
              <w:widowControl/>
              <w:jc w:val="both"/>
              <w:rPr>
                <w:rFonts w:ascii="宋体" w:hAnsi="宋体" w:eastAsia="宋体" w:cs="宋体"/>
                <w:color w:val="auto"/>
                <w:sz w:val="22"/>
              </w:rPr>
            </w:pPr>
          </w:p>
        </w:tc>
        <w:tc>
          <w:tcPr>
            <w:tcW w:w="1694" w:type="dxa"/>
            <w:vAlign w:val="center"/>
          </w:tcPr>
          <w:p>
            <w:pPr>
              <w:widowControl/>
              <w:jc w:val="both"/>
              <w:rPr>
                <w:rFonts w:ascii="宋体" w:hAnsi="宋体" w:eastAsia="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21"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2478" w:type="dxa"/>
            <w:vAlign w:val="center"/>
          </w:tcPr>
          <w:p>
            <w:pPr>
              <w:widowControl/>
              <w:jc w:val="both"/>
              <w:rPr>
                <w:rFonts w:ascii="宋体" w:hAnsi="宋体" w:eastAsia="宋体" w:cs="宋体"/>
                <w:color w:val="auto"/>
                <w:sz w:val="22"/>
              </w:rPr>
            </w:pPr>
          </w:p>
        </w:tc>
        <w:tc>
          <w:tcPr>
            <w:tcW w:w="1497" w:type="dxa"/>
            <w:vAlign w:val="center"/>
          </w:tcPr>
          <w:p>
            <w:pPr>
              <w:widowControl/>
              <w:jc w:val="both"/>
              <w:rPr>
                <w:rFonts w:ascii="宋体" w:hAnsi="宋体" w:eastAsia="宋体" w:cs="宋体"/>
                <w:color w:val="auto"/>
                <w:sz w:val="22"/>
              </w:rPr>
            </w:pPr>
          </w:p>
        </w:tc>
        <w:tc>
          <w:tcPr>
            <w:tcW w:w="1907" w:type="dxa"/>
            <w:vAlign w:val="center"/>
          </w:tcPr>
          <w:p>
            <w:pPr>
              <w:widowControl/>
              <w:jc w:val="both"/>
              <w:rPr>
                <w:rFonts w:ascii="宋体" w:hAnsi="宋体" w:eastAsia="宋体" w:cs="宋体"/>
                <w:color w:val="auto"/>
                <w:sz w:val="22"/>
              </w:rPr>
            </w:pPr>
          </w:p>
        </w:tc>
        <w:tc>
          <w:tcPr>
            <w:tcW w:w="1469"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1362" w:type="dxa"/>
            <w:vAlign w:val="center"/>
          </w:tcPr>
          <w:p>
            <w:pPr>
              <w:widowControl/>
              <w:jc w:val="both"/>
              <w:rPr>
                <w:rFonts w:ascii="宋体" w:hAnsi="宋体" w:eastAsia="宋体" w:cs="宋体"/>
                <w:color w:val="auto"/>
                <w:sz w:val="22"/>
              </w:rPr>
            </w:pPr>
          </w:p>
        </w:tc>
        <w:tc>
          <w:tcPr>
            <w:tcW w:w="1694" w:type="dxa"/>
            <w:vAlign w:val="center"/>
          </w:tcPr>
          <w:p>
            <w:pPr>
              <w:widowControl/>
              <w:jc w:val="both"/>
              <w:rPr>
                <w:rFonts w:ascii="宋体" w:hAnsi="宋体" w:eastAsia="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1"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2478" w:type="dxa"/>
            <w:vAlign w:val="center"/>
          </w:tcPr>
          <w:p>
            <w:pPr>
              <w:widowControl/>
              <w:jc w:val="both"/>
              <w:rPr>
                <w:rFonts w:ascii="宋体" w:hAnsi="宋体" w:eastAsia="宋体" w:cs="宋体"/>
                <w:color w:val="auto"/>
                <w:sz w:val="22"/>
              </w:rPr>
            </w:pPr>
          </w:p>
        </w:tc>
        <w:tc>
          <w:tcPr>
            <w:tcW w:w="1497" w:type="dxa"/>
            <w:vAlign w:val="center"/>
          </w:tcPr>
          <w:p>
            <w:pPr>
              <w:widowControl/>
              <w:jc w:val="both"/>
              <w:rPr>
                <w:rFonts w:ascii="宋体" w:hAnsi="宋体" w:eastAsia="宋体" w:cs="宋体"/>
                <w:color w:val="auto"/>
                <w:sz w:val="22"/>
              </w:rPr>
            </w:pPr>
          </w:p>
        </w:tc>
        <w:tc>
          <w:tcPr>
            <w:tcW w:w="1907" w:type="dxa"/>
            <w:vAlign w:val="center"/>
          </w:tcPr>
          <w:p>
            <w:pPr>
              <w:widowControl/>
              <w:jc w:val="both"/>
              <w:rPr>
                <w:rFonts w:ascii="宋体" w:hAnsi="宋体" w:eastAsia="宋体" w:cs="宋体"/>
                <w:color w:val="auto"/>
                <w:sz w:val="22"/>
              </w:rPr>
            </w:pPr>
          </w:p>
        </w:tc>
        <w:tc>
          <w:tcPr>
            <w:tcW w:w="1469" w:type="dxa"/>
            <w:vAlign w:val="center"/>
          </w:tcPr>
          <w:p>
            <w:pPr>
              <w:widowControl/>
              <w:jc w:val="both"/>
              <w:rPr>
                <w:rFonts w:ascii="宋体" w:hAnsi="宋体" w:eastAsia="宋体" w:cs="宋体"/>
                <w:color w:val="auto"/>
                <w:sz w:val="22"/>
              </w:rPr>
            </w:pPr>
          </w:p>
        </w:tc>
        <w:tc>
          <w:tcPr>
            <w:tcW w:w="1634" w:type="dxa"/>
            <w:vAlign w:val="center"/>
          </w:tcPr>
          <w:p>
            <w:pPr>
              <w:widowControl/>
              <w:jc w:val="both"/>
              <w:rPr>
                <w:rFonts w:ascii="宋体" w:hAnsi="宋体" w:eastAsia="宋体" w:cs="宋体"/>
                <w:color w:val="auto"/>
                <w:sz w:val="22"/>
              </w:rPr>
            </w:pPr>
          </w:p>
        </w:tc>
        <w:tc>
          <w:tcPr>
            <w:tcW w:w="1362" w:type="dxa"/>
            <w:vAlign w:val="center"/>
          </w:tcPr>
          <w:p>
            <w:pPr>
              <w:widowControl/>
              <w:jc w:val="both"/>
              <w:rPr>
                <w:rFonts w:ascii="宋体" w:hAnsi="宋体" w:eastAsia="宋体" w:cs="宋体"/>
                <w:color w:val="auto"/>
                <w:sz w:val="22"/>
              </w:rPr>
            </w:pPr>
          </w:p>
        </w:tc>
        <w:tc>
          <w:tcPr>
            <w:tcW w:w="1694" w:type="dxa"/>
            <w:vAlign w:val="center"/>
          </w:tcPr>
          <w:p>
            <w:pPr>
              <w:widowControl/>
              <w:jc w:val="both"/>
              <w:rPr>
                <w:rFonts w:ascii="宋体" w:hAnsi="宋体" w:eastAsia="宋体" w:cs="宋体"/>
                <w:color w:val="auto"/>
                <w:sz w:val="22"/>
              </w:rPr>
            </w:pPr>
          </w:p>
        </w:tc>
      </w:tr>
    </w:tbl>
    <w:p>
      <w:pPr>
        <w:spacing w:line="380" w:lineRule="exact"/>
        <w:rPr>
          <w:rFonts w:ascii="宋体" w:hAnsi="宋体" w:eastAsia="宋体" w:cs="宋体"/>
          <w:b/>
          <w:color w:val="auto"/>
          <w:szCs w:val="21"/>
        </w:rPr>
      </w:pPr>
      <w:r>
        <w:rPr>
          <w:rFonts w:hint="eastAsia" w:ascii="宋体" w:hAnsi="宋体" w:eastAsia="宋体" w:cs="宋体"/>
          <w:b/>
          <w:color w:val="auto"/>
          <w:szCs w:val="20"/>
        </w:rPr>
        <w:t>注：投标供应商应在本表后附相关证明材料。</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620" w:lineRule="exact"/>
        <w:rPr>
          <w:rFonts w:ascii="宋体" w:hAnsi="宋体" w:cs="宋体"/>
          <w:color w:val="auto"/>
          <w:szCs w:val="20"/>
        </w:rPr>
        <w:sectPr>
          <w:pgSz w:w="16840" w:h="11920" w:orient="landscape"/>
          <w:pgMar w:top="1418" w:right="1418" w:bottom="1418" w:left="1418" w:header="794" w:footer="850" w:gutter="283"/>
          <w:pgNumType w:fmt="decimal"/>
          <w:cols w:space="0" w:num="1"/>
          <w:docGrid w:linePitch="286" w:charSpace="0"/>
        </w:sectPr>
      </w:pPr>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330" w:name="_Toc294"/>
      <w:bookmarkStart w:id="331" w:name="_Toc3443"/>
      <w:bookmarkStart w:id="332" w:name="_Toc28699"/>
      <w:bookmarkStart w:id="333" w:name="_Toc12906"/>
      <w:bookmarkStart w:id="334" w:name="_Toc24735"/>
      <w:bookmarkStart w:id="335" w:name="_Toc17469"/>
      <w:bookmarkStart w:id="336" w:name="_Toc2596"/>
      <w:bookmarkStart w:id="337" w:name="_Toc6892"/>
      <w:bookmarkStart w:id="338" w:name="_Toc10654"/>
      <w:bookmarkStart w:id="339" w:name="_Toc13463"/>
      <w:bookmarkStart w:id="340" w:name="_Toc27291"/>
      <w:r>
        <w:rPr>
          <w:rFonts w:hint="eastAsia" w:ascii="宋体" w:hAnsi="宋体" w:eastAsia="宋体" w:cs="宋体"/>
          <w:b/>
          <w:color w:val="auto"/>
          <w:kern w:val="0"/>
          <w:sz w:val="30"/>
          <w:szCs w:val="20"/>
          <w:lang w:val="en-US" w:eastAsia="zh-CN" w:bidi="ar-SA"/>
        </w:rPr>
        <w:t>七、技术偏离表</w:t>
      </w:r>
      <w:bookmarkEnd w:id="330"/>
      <w:bookmarkEnd w:id="331"/>
      <w:bookmarkEnd w:id="332"/>
      <w:bookmarkEnd w:id="333"/>
      <w:bookmarkEnd w:id="334"/>
      <w:bookmarkEnd w:id="335"/>
      <w:bookmarkEnd w:id="336"/>
      <w:bookmarkEnd w:id="337"/>
      <w:bookmarkEnd w:id="338"/>
      <w:bookmarkEnd w:id="339"/>
      <w:bookmarkEnd w:id="340"/>
    </w:p>
    <w:p>
      <w:pPr>
        <w:spacing w:line="400" w:lineRule="exact"/>
        <w:rPr>
          <w:rFonts w:ascii="宋体" w:hAnsi="宋体" w:eastAsia="宋体" w:cs="宋体"/>
          <w:b/>
          <w:color w:val="auto"/>
        </w:rPr>
      </w:pPr>
      <w:r>
        <w:rPr>
          <w:rFonts w:hint="eastAsia" w:ascii="宋体" w:hAnsi="宋体" w:eastAsia="宋体" w:cs="宋体"/>
          <w:b/>
          <w:color w:val="auto"/>
        </w:rPr>
        <w:t>重要</w:t>
      </w:r>
      <w:r>
        <w:rPr>
          <w:rFonts w:ascii="宋体" w:hAnsi="宋体" w:eastAsia="宋体" w:cs="宋体"/>
          <w:b/>
          <w:color w:val="auto"/>
        </w:rPr>
        <w:t>提示:</w:t>
      </w:r>
    </w:p>
    <w:p>
      <w:pPr>
        <w:spacing w:line="400" w:lineRule="exact"/>
        <w:rPr>
          <w:rFonts w:ascii="宋体" w:hAnsi="宋体" w:eastAsia="宋体" w:cs="仿宋"/>
          <w:b/>
          <w:color w:val="auto"/>
          <w:szCs w:val="21"/>
        </w:rPr>
      </w:pPr>
      <w:r>
        <w:rPr>
          <w:rFonts w:hint="eastAsia" w:ascii="宋体" w:hAnsi="宋体" w:eastAsia="宋体" w:cs="仿宋"/>
          <w:b/>
          <w:color w:val="auto"/>
          <w:szCs w:val="21"/>
        </w:rPr>
        <w:t>1、将参数支撑材料上传至诚信库，以便审验。</w:t>
      </w:r>
    </w:p>
    <w:tbl>
      <w:tblPr>
        <w:tblStyle w:val="17"/>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551"/>
        <w:gridCol w:w="1961"/>
        <w:gridCol w:w="141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spacing w:line="400" w:lineRule="exact"/>
              <w:jc w:val="center"/>
              <w:rPr>
                <w:rFonts w:ascii="宋体" w:hAnsi="宋体" w:eastAsia="宋体" w:cs="仿宋"/>
                <w:color w:val="auto"/>
              </w:rPr>
            </w:pPr>
            <w:r>
              <w:rPr>
                <w:rFonts w:hint="eastAsia" w:ascii="宋体" w:hAnsi="宋体" w:eastAsia="宋体" w:cs="仿宋"/>
                <w:color w:val="auto"/>
              </w:rPr>
              <w:t>序号</w:t>
            </w:r>
          </w:p>
        </w:tc>
        <w:tc>
          <w:tcPr>
            <w:tcW w:w="2551" w:type="dxa"/>
            <w:vAlign w:val="center"/>
          </w:tcPr>
          <w:p>
            <w:pPr>
              <w:spacing w:line="400" w:lineRule="exact"/>
              <w:jc w:val="center"/>
              <w:rPr>
                <w:rFonts w:ascii="宋体" w:hAnsi="宋体" w:eastAsia="宋体" w:cs="仿宋"/>
                <w:color w:val="auto"/>
              </w:rPr>
            </w:pPr>
            <w:r>
              <w:rPr>
                <w:rFonts w:hint="eastAsia" w:ascii="宋体" w:hAnsi="宋体" w:eastAsia="宋体" w:cs="仿宋"/>
                <w:color w:val="auto"/>
              </w:rPr>
              <w:t>招标文件要求</w:t>
            </w:r>
          </w:p>
        </w:tc>
        <w:tc>
          <w:tcPr>
            <w:tcW w:w="1961" w:type="dxa"/>
            <w:vAlign w:val="center"/>
          </w:tcPr>
          <w:p>
            <w:pPr>
              <w:spacing w:line="400" w:lineRule="exact"/>
              <w:jc w:val="center"/>
              <w:rPr>
                <w:rFonts w:ascii="宋体" w:hAnsi="宋体" w:eastAsia="宋体" w:cs="仿宋"/>
                <w:color w:val="auto"/>
              </w:rPr>
            </w:pPr>
            <w:r>
              <w:rPr>
                <w:rFonts w:hint="eastAsia" w:ascii="宋体" w:hAnsi="宋体" w:eastAsia="宋体" w:cs="仿宋"/>
                <w:color w:val="auto"/>
              </w:rPr>
              <w:t>投标文件响应</w:t>
            </w:r>
          </w:p>
        </w:tc>
        <w:tc>
          <w:tcPr>
            <w:tcW w:w="1418" w:type="dxa"/>
            <w:vAlign w:val="center"/>
          </w:tcPr>
          <w:p>
            <w:pPr>
              <w:spacing w:line="400" w:lineRule="exact"/>
              <w:jc w:val="center"/>
              <w:rPr>
                <w:rFonts w:ascii="宋体" w:hAnsi="宋体" w:eastAsia="宋体" w:cs="仿宋"/>
                <w:color w:val="auto"/>
              </w:rPr>
            </w:pPr>
            <w:r>
              <w:rPr>
                <w:rFonts w:hint="eastAsia" w:ascii="宋体" w:hAnsi="宋体" w:eastAsia="宋体" w:cs="仿宋"/>
                <w:color w:val="auto"/>
              </w:rPr>
              <w:t>偏离情况（符合、正偏离、负偏离）</w:t>
            </w:r>
          </w:p>
        </w:tc>
        <w:tc>
          <w:tcPr>
            <w:tcW w:w="1701" w:type="dxa"/>
          </w:tcPr>
          <w:p>
            <w:pPr>
              <w:spacing w:line="400" w:lineRule="exact"/>
              <w:jc w:val="center"/>
              <w:rPr>
                <w:rFonts w:ascii="宋体" w:hAnsi="宋体" w:eastAsia="宋体" w:cs="仿宋"/>
                <w:color w:val="auto"/>
              </w:rPr>
            </w:pPr>
            <w:r>
              <w:rPr>
                <w:rFonts w:hint="eastAsia" w:ascii="宋体" w:hAnsi="宋体" w:eastAsia="宋体" w:cs="仿宋"/>
                <w:color w:val="auto"/>
              </w:rPr>
              <w:t>注明支撑材料对应投标文件页码及条目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spacing w:line="400" w:lineRule="exact"/>
              <w:jc w:val="center"/>
              <w:rPr>
                <w:rFonts w:ascii="宋体" w:hAnsi="宋体" w:eastAsia="宋体" w:cs="仿宋"/>
                <w:b/>
                <w:color w:val="auto"/>
                <w:szCs w:val="20"/>
              </w:rPr>
            </w:pPr>
          </w:p>
        </w:tc>
        <w:tc>
          <w:tcPr>
            <w:tcW w:w="2551" w:type="dxa"/>
            <w:vAlign w:val="center"/>
          </w:tcPr>
          <w:p>
            <w:pPr>
              <w:spacing w:line="400" w:lineRule="exact"/>
              <w:jc w:val="center"/>
              <w:rPr>
                <w:rFonts w:ascii="宋体" w:hAnsi="宋体" w:eastAsia="宋体" w:cs="仿宋"/>
                <w:b/>
                <w:color w:val="auto"/>
                <w:szCs w:val="20"/>
              </w:rPr>
            </w:pPr>
          </w:p>
        </w:tc>
        <w:tc>
          <w:tcPr>
            <w:tcW w:w="1961" w:type="dxa"/>
            <w:vAlign w:val="center"/>
          </w:tcPr>
          <w:p>
            <w:pPr>
              <w:spacing w:line="400" w:lineRule="exact"/>
              <w:jc w:val="center"/>
              <w:rPr>
                <w:rFonts w:ascii="宋体" w:hAnsi="宋体" w:eastAsia="宋体" w:cs="仿宋"/>
                <w:b/>
                <w:color w:val="auto"/>
                <w:szCs w:val="20"/>
              </w:rPr>
            </w:pPr>
          </w:p>
        </w:tc>
        <w:tc>
          <w:tcPr>
            <w:tcW w:w="1418" w:type="dxa"/>
            <w:vAlign w:val="center"/>
          </w:tcPr>
          <w:p>
            <w:pPr>
              <w:spacing w:line="400" w:lineRule="exact"/>
              <w:jc w:val="center"/>
              <w:rPr>
                <w:rFonts w:ascii="宋体" w:hAnsi="宋体" w:eastAsia="宋体" w:cs="仿宋"/>
                <w:b/>
                <w:color w:val="auto"/>
                <w:szCs w:val="20"/>
              </w:rPr>
            </w:pPr>
          </w:p>
        </w:tc>
        <w:tc>
          <w:tcPr>
            <w:tcW w:w="1701" w:type="dxa"/>
          </w:tcPr>
          <w:p>
            <w:pPr>
              <w:spacing w:line="400" w:lineRule="exact"/>
              <w:jc w:val="center"/>
              <w:rPr>
                <w:rFonts w:ascii="宋体" w:hAnsi="宋体" w:eastAsia="宋体" w:cs="仿宋"/>
                <w:color w:val="auto"/>
                <w:szCs w:val="21"/>
              </w:rPr>
            </w:pPr>
            <w:r>
              <w:rPr>
                <w:rFonts w:hint="eastAsia" w:ascii="宋体" w:hAnsi="宋体" w:eastAsia="宋体" w:cs="仿宋"/>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spacing w:line="400" w:lineRule="exact"/>
              <w:rPr>
                <w:rFonts w:ascii="宋体" w:hAnsi="宋体" w:eastAsia="宋体"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42" w:type="dxa"/>
            <w:vAlign w:val="center"/>
          </w:tcPr>
          <w:p>
            <w:pPr>
              <w:widowControl/>
              <w:rPr>
                <w:rFonts w:ascii="宋体" w:hAnsi="宋体" w:eastAsia="宋体" w:cs="仿宋"/>
                <w:color w:val="auto"/>
                <w:sz w:val="22"/>
              </w:rPr>
            </w:pPr>
          </w:p>
        </w:tc>
        <w:tc>
          <w:tcPr>
            <w:tcW w:w="2551" w:type="dxa"/>
            <w:vAlign w:val="center"/>
          </w:tcPr>
          <w:p>
            <w:pPr>
              <w:widowControl/>
              <w:rPr>
                <w:rFonts w:ascii="宋体" w:hAnsi="宋体" w:eastAsia="宋体" w:cs="仿宋"/>
                <w:color w:val="auto"/>
                <w:sz w:val="22"/>
              </w:rPr>
            </w:pPr>
          </w:p>
        </w:tc>
        <w:tc>
          <w:tcPr>
            <w:tcW w:w="1961" w:type="dxa"/>
            <w:vAlign w:val="center"/>
          </w:tcPr>
          <w:p>
            <w:pPr>
              <w:widowControl/>
              <w:rPr>
                <w:rFonts w:ascii="宋体" w:hAnsi="宋体" w:eastAsia="宋体" w:cs="仿宋"/>
                <w:color w:val="auto"/>
                <w:sz w:val="22"/>
              </w:rPr>
            </w:pPr>
          </w:p>
        </w:tc>
        <w:tc>
          <w:tcPr>
            <w:tcW w:w="1418" w:type="dxa"/>
            <w:vAlign w:val="center"/>
          </w:tcPr>
          <w:p>
            <w:pPr>
              <w:widowControl/>
              <w:rPr>
                <w:rFonts w:ascii="宋体" w:hAnsi="宋体" w:eastAsia="宋体" w:cs="仿宋"/>
                <w:color w:val="auto"/>
                <w:sz w:val="22"/>
              </w:rPr>
            </w:pPr>
          </w:p>
        </w:tc>
        <w:tc>
          <w:tcPr>
            <w:tcW w:w="1701" w:type="dxa"/>
          </w:tcPr>
          <w:p>
            <w:pPr>
              <w:widowControl/>
              <w:rPr>
                <w:rFonts w:ascii="宋体" w:hAnsi="宋体" w:eastAsia="宋体" w:cs="仿宋"/>
                <w:color w:val="auto"/>
                <w:sz w:val="22"/>
              </w:rPr>
            </w:pPr>
          </w:p>
        </w:tc>
      </w:tr>
    </w:tbl>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widowControl/>
        <w:rPr>
          <w:rFonts w:ascii="仿宋" w:hAnsi="仿宋" w:eastAsia="仿宋" w:cs="仿宋"/>
          <w:b/>
          <w:color w:val="auto"/>
          <w:sz w:val="32"/>
          <w:szCs w:val="32"/>
        </w:rPr>
      </w:pPr>
      <w:r>
        <w:rPr>
          <w:rFonts w:hint="eastAsia" w:ascii="仿宋" w:hAnsi="仿宋" w:eastAsia="仿宋" w:cs="仿宋"/>
          <w:b/>
          <w:color w:val="auto"/>
          <w:sz w:val="32"/>
          <w:szCs w:val="32"/>
        </w:rPr>
        <w:br w:type="page"/>
      </w:r>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341" w:name="_Toc5991"/>
      <w:bookmarkStart w:id="342" w:name="_Toc13345"/>
      <w:bookmarkStart w:id="343" w:name="_Toc9248"/>
      <w:bookmarkStart w:id="344" w:name="_Toc25443"/>
      <w:bookmarkStart w:id="345" w:name="_Toc17901"/>
      <w:bookmarkStart w:id="346" w:name="_Toc21971"/>
      <w:bookmarkStart w:id="347" w:name="_Toc11494"/>
      <w:bookmarkStart w:id="348" w:name="_Toc14420"/>
      <w:bookmarkStart w:id="349" w:name="_Toc4677"/>
      <w:bookmarkStart w:id="350" w:name="_Toc25404"/>
      <w:bookmarkStart w:id="351" w:name="_Toc20680"/>
      <w:r>
        <w:rPr>
          <w:rFonts w:hint="eastAsia" w:ascii="宋体" w:hAnsi="宋体" w:eastAsia="宋体" w:cs="宋体"/>
          <w:b/>
          <w:color w:val="auto"/>
          <w:kern w:val="0"/>
          <w:sz w:val="30"/>
          <w:szCs w:val="20"/>
          <w:lang w:val="en-US" w:eastAsia="zh-CN" w:bidi="ar-SA"/>
        </w:rPr>
        <w:t>八、安装、调试、售后服务</w:t>
      </w:r>
      <w:bookmarkEnd w:id="341"/>
      <w:bookmarkEnd w:id="342"/>
      <w:bookmarkEnd w:id="343"/>
      <w:bookmarkEnd w:id="344"/>
      <w:bookmarkEnd w:id="345"/>
      <w:bookmarkEnd w:id="346"/>
      <w:r>
        <w:rPr>
          <w:rFonts w:hint="eastAsia" w:ascii="宋体" w:hAnsi="宋体" w:eastAsia="宋体" w:cs="宋体"/>
          <w:b/>
          <w:color w:val="auto"/>
          <w:kern w:val="0"/>
          <w:sz w:val="30"/>
          <w:szCs w:val="20"/>
          <w:lang w:val="en-US" w:eastAsia="zh-CN" w:bidi="ar-SA"/>
        </w:rPr>
        <w:t>方案</w:t>
      </w:r>
      <w:bookmarkEnd w:id="347"/>
      <w:bookmarkEnd w:id="348"/>
      <w:bookmarkEnd w:id="349"/>
      <w:bookmarkEnd w:id="350"/>
      <w:bookmarkEnd w:id="351"/>
    </w:p>
    <w:p>
      <w:pPr>
        <w:keepNext w:val="0"/>
        <w:keepLines w:val="0"/>
        <w:pageBreakBefore w:val="0"/>
        <w:widowControl w:val="0"/>
        <w:kinsoku/>
        <w:wordWrap/>
        <w:overflowPunct/>
        <w:topLinePunct w:val="0"/>
        <w:autoSpaceDE/>
        <w:autoSpaceDN/>
        <w:bidi w:val="0"/>
        <w:ind w:firstLine="480" w:firstLineChars="200"/>
        <w:textAlignment w:val="auto"/>
        <w:rPr>
          <w:rFonts w:ascii="宋体" w:hAnsi="宋体" w:eastAsia="宋体" w:cs="宋体"/>
          <w:color w:val="auto"/>
        </w:rPr>
      </w:pPr>
      <w:bookmarkStart w:id="352" w:name="_Toc3394"/>
      <w:r>
        <w:rPr>
          <w:rFonts w:hint="eastAsia" w:ascii="宋体" w:hAnsi="宋体" w:eastAsia="宋体" w:cs="宋体"/>
          <w:color w:val="auto"/>
        </w:rPr>
        <w:t>1.售后服务计划</w:t>
      </w:r>
      <w:bookmarkEnd w:id="352"/>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eastAsia="宋体" w:cs="宋体"/>
          <w:color w:val="auto"/>
          <w:kern w:val="0"/>
        </w:rPr>
      </w:pPr>
      <w:r>
        <w:rPr>
          <w:rFonts w:hint="eastAsia" w:ascii="宋体" w:hAnsi="宋体" w:eastAsia="宋体" w:cs="宋体"/>
          <w:color w:val="auto"/>
          <w:kern w:val="0"/>
        </w:rPr>
        <w:t>投标供应商必须提供但不限于提供以下内容：</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eastAsia="宋体" w:cs="宋体"/>
          <w:color w:val="auto"/>
          <w:kern w:val="0"/>
        </w:rPr>
      </w:pPr>
      <w:r>
        <w:rPr>
          <w:rFonts w:hint="eastAsia" w:ascii="宋体" w:hAnsi="宋体" w:eastAsia="宋体" w:cs="宋体"/>
          <w:color w:val="auto"/>
          <w:kern w:val="0"/>
        </w:rPr>
        <w:t>（1）详细说明售后服务的内容、形式、含免费维修时间、解决质量或操作问题的响应时间、解决问题时间、维修单位名称、地点。</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eastAsia="宋体" w:cs="宋体"/>
          <w:color w:val="auto"/>
          <w:kern w:val="0"/>
        </w:rPr>
      </w:pPr>
      <w:r>
        <w:rPr>
          <w:rFonts w:hint="eastAsia" w:ascii="宋体" w:hAnsi="宋体" w:eastAsia="宋体" w:cs="宋体"/>
          <w:color w:val="auto"/>
          <w:kern w:val="0"/>
        </w:rPr>
        <w:t>（2）技术培训、质量保证措施。</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eastAsia="宋体" w:cs="宋体"/>
          <w:color w:val="auto"/>
          <w:kern w:val="0"/>
        </w:rPr>
      </w:pPr>
      <w:r>
        <w:rPr>
          <w:rFonts w:hint="eastAsia" w:ascii="宋体" w:hAnsi="宋体" w:eastAsia="宋体" w:cs="宋体"/>
          <w:color w:val="auto"/>
          <w:kern w:val="0"/>
        </w:rPr>
        <w:t>（3）该次项目所提供的其它免费物品或服务。</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color w:val="auto"/>
          <w:kern w:val="0"/>
        </w:rPr>
      </w:pPr>
      <w:r>
        <w:rPr>
          <w:rFonts w:hint="eastAsia" w:ascii="宋体" w:hAnsi="宋体" w:eastAsia="宋体" w:cs="宋体"/>
          <w:color w:val="auto"/>
          <w:kern w:val="0"/>
        </w:rPr>
        <w:t>（4）保修期内和保修期外的收费标准。</w:t>
      </w:r>
      <w:bookmarkStart w:id="353" w:name="_Toc3259"/>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宋体" w:hAnsi="宋体" w:eastAsia="宋体" w:cs="宋体"/>
          <w:color w:val="auto"/>
        </w:rPr>
      </w:pPr>
      <w:r>
        <w:rPr>
          <w:rFonts w:hint="eastAsia" w:ascii="宋体" w:hAnsi="宋体" w:eastAsia="宋体" w:cs="宋体"/>
          <w:color w:val="auto"/>
        </w:rPr>
        <w:t>2.人员培训计划、售后服务承诺及实施方案</w:t>
      </w:r>
      <w:bookmarkEnd w:id="353"/>
    </w:p>
    <w:p>
      <w:pPr>
        <w:widowControl w:val="0"/>
        <w:adjustRightInd w:val="0"/>
        <w:spacing w:line="480" w:lineRule="atLeast"/>
        <w:ind w:firstLine="567"/>
        <w:textAlignment w:val="baseline"/>
        <w:rPr>
          <w:rFonts w:ascii="宋体" w:hAnsi="宋体" w:eastAsia="宋体" w:cs="宋体"/>
          <w:color w:val="auto"/>
          <w:kern w:val="0"/>
          <w:sz w:val="28"/>
          <w:szCs w:val="20"/>
          <w:lang w:val="en-US" w:eastAsia="zh-CN" w:bidi="ar-SA"/>
        </w:rPr>
      </w:pPr>
    </w:p>
    <w:p>
      <w:pPr>
        <w:widowControl w:val="0"/>
        <w:adjustRightInd w:val="0"/>
        <w:spacing w:line="480" w:lineRule="atLeast"/>
        <w:ind w:firstLine="567"/>
        <w:textAlignment w:val="baseline"/>
        <w:rPr>
          <w:rFonts w:ascii="宋体" w:hAnsi="宋体" w:eastAsia="宋体" w:cs="宋体"/>
          <w:color w:val="auto"/>
          <w:kern w:val="0"/>
          <w:sz w:val="28"/>
          <w:szCs w:val="20"/>
          <w:lang w:val="en-US" w:eastAsia="zh-CN" w:bidi="ar-SA"/>
        </w:rPr>
      </w:pPr>
    </w:p>
    <w:p>
      <w:pPr>
        <w:widowControl w:val="0"/>
        <w:adjustRightInd w:val="0"/>
        <w:spacing w:line="480" w:lineRule="atLeast"/>
        <w:ind w:firstLine="567"/>
        <w:textAlignment w:val="baseline"/>
        <w:rPr>
          <w:rFonts w:ascii="宋体" w:hAnsi="宋体" w:eastAsia="宋体" w:cs="宋体"/>
          <w:color w:val="auto"/>
          <w:kern w:val="0"/>
          <w:sz w:val="28"/>
          <w:szCs w:val="20"/>
          <w:lang w:val="en-US" w:eastAsia="zh-CN" w:bidi="ar-SA"/>
        </w:rPr>
      </w:pPr>
    </w:p>
    <w:p>
      <w:pPr>
        <w:widowControl w:val="0"/>
        <w:adjustRightInd w:val="0"/>
        <w:spacing w:line="480" w:lineRule="atLeast"/>
        <w:ind w:firstLine="567"/>
        <w:textAlignment w:val="baseline"/>
        <w:rPr>
          <w:rFonts w:ascii="宋体" w:hAnsi="宋体" w:eastAsia="宋体" w:cs="宋体"/>
          <w:color w:val="auto"/>
          <w:kern w:val="0"/>
          <w:sz w:val="28"/>
          <w:szCs w:val="20"/>
          <w:lang w:val="en-US" w:eastAsia="zh-CN" w:bidi="ar-SA"/>
        </w:rPr>
      </w:pP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宋体"/>
          <w:color w:val="auto"/>
          <w:szCs w:val="20"/>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widowControl w:val="0"/>
        <w:adjustRightInd w:val="0"/>
        <w:spacing w:line="480" w:lineRule="atLeast"/>
        <w:ind w:firstLine="567"/>
        <w:textAlignment w:val="baseline"/>
        <w:rPr>
          <w:rFonts w:ascii="宋体" w:hAnsi="宋体" w:eastAsia="宋体" w:cs="宋体"/>
          <w:color w:val="auto"/>
          <w:kern w:val="0"/>
          <w:sz w:val="28"/>
          <w:szCs w:val="20"/>
          <w:lang w:val="en-US" w:eastAsia="zh-CN" w:bidi="ar-SA"/>
        </w:rPr>
      </w:pPr>
    </w:p>
    <w:p>
      <w:pPr>
        <w:adjustRightInd w:val="0"/>
        <w:snapToGrid w:val="0"/>
        <w:ind w:firstLine="440" w:firstLineChars="200"/>
        <w:rPr>
          <w:rFonts w:ascii="宋体" w:hAnsi="宋体" w:eastAsia="宋体" w:cs="宋体"/>
          <w:color w:val="auto"/>
          <w:kern w:val="0"/>
          <w:sz w:val="22"/>
        </w:rPr>
      </w:pPr>
    </w:p>
    <w:p>
      <w:pPr>
        <w:rPr>
          <w:rFonts w:ascii="宋体" w:hAnsi="宋体" w:eastAsia="宋体" w:cs="宋体"/>
          <w:b/>
          <w:color w:val="auto"/>
          <w:sz w:val="32"/>
          <w:szCs w:val="32"/>
        </w:rPr>
      </w:pPr>
    </w:p>
    <w:p>
      <w:pPr>
        <w:spacing w:before="120" w:beforeLines="50" w:after="120" w:afterLines="50"/>
        <w:jc w:val="center"/>
        <w:rPr>
          <w:rFonts w:ascii="宋体" w:hAnsi="宋体" w:eastAsia="宋体" w:cs="宋体"/>
          <w:b/>
          <w:color w:val="auto"/>
          <w:sz w:val="32"/>
          <w:szCs w:val="32"/>
        </w:rPr>
      </w:pPr>
      <w:r>
        <w:rPr>
          <w:rFonts w:hint="eastAsia" w:ascii="宋体" w:hAnsi="宋体" w:eastAsia="宋体" w:cs="宋体"/>
          <w:b/>
          <w:color w:val="auto"/>
          <w:sz w:val="32"/>
          <w:szCs w:val="32"/>
        </w:rPr>
        <w:br w:type="page"/>
      </w:r>
    </w:p>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354" w:name="_Toc16937"/>
      <w:bookmarkStart w:id="355" w:name="_Toc27701"/>
      <w:bookmarkStart w:id="356" w:name="_Toc24276"/>
      <w:bookmarkStart w:id="357" w:name="_Toc15967"/>
      <w:bookmarkStart w:id="358" w:name="_Toc1193"/>
      <w:bookmarkStart w:id="359" w:name="_Toc22072"/>
      <w:bookmarkStart w:id="360" w:name="_Toc11704"/>
      <w:bookmarkStart w:id="361" w:name="_Toc7889"/>
      <w:bookmarkStart w:id="362" w:name="_Toc5490"/>
      <w:bookmarkStart w:id="363" w:name="_Toc3266"/>
      <w:bookmarkStart w:id="364" w:name="_Toc21021"/>
      <w:bookmarkStart w:id="365" w:name="_Toc106079262"/>
      <w:bookmarkStart w:id="366" w:name="_Toc129512126"/>
      <w:bookmarkStart w:id="367" w:name="_Toc106078820"/>
      <w:bookmarkStart w:id="368" w:name="_Toc184635141"/>
      <w:bookmarkStart w:id="369" w:name="_Toc106080550"/>
      <w:bookmarkStart w:id="370" w:name="_Toc106079109"/>
      <w:bookmarkStart w:id="371" w:name="_Toc106076894"/>
      <w:bookmarkStart w:id="372" w:name="_Toc105833184"/>
      <w:bookmarkStart w:id="373" w:name="_Toc105816676"/>
      <w:r>
        <w:rPr>
          <w:rFonts w:hint="eastAsia" w:ascii="宋体" w:hAnsi="宋体" w:eastAsia="宋体" w:cs="宋体"/>
          <w:b/>
          <w:color w:val="auto"/>
          <w:kern w:val="0"/>
          <w:sz w:val="30"/>
          <w:szCs w:val="20"/>
          <w:lang w:val="en-US" w:eastAsia="zh-CN" w:bidi="ar-SA"/>
        </w:rPr>
        <w:t>九、</w:t>
      </w:r>
      <w:bookmarkStart w:id="374" w:name="_Toc464123044"/>
      <w:r>
        <w:rPr>
          <w:rFonts w:hint="eastAsia" w:ascii="宋体" w:hAnsi="宋体" w:eastAsia="宋体" w:cs="宋体"/>
          <w:b/>
          <w:color w:val="auto"/>
          <w:kern w:val="0"/>
          <w:sz w:val="30"/>
          <w:szCs w:val="20"/>
          <w:lang w:val="en-US" w:eastAsia="zh-CN" w:bidi="ar-SA"/>
        </w:rPr>
        <w:t>法定代表身份证明及法定代表人授权书</w:t>
      </w:r>
      <w:bookmarkEnd w:id="354"/>
      <w:bookmarkEnd w:id="355"/>
      <w:bookmarkEnd w:id="356"/>
      <w:bookmarkEnd w:id="357"/>
      <w:bookmarkEnd w:id="358"/>
      <w:bookmarkEnd w:id="359"/>
      <w:bookmarkEnd w:id="360"/>
      <w:bookmarkEnd w:id="361"/>
      <w:bookmarkEnd w:id="362"/>
      <w:bookmarkEnd w:id="363"/>
      <w:bookmarkEnd w:id="364"/>
      <w:bookmarkEnd w:id="374"/>
    </w:p>
    <w:p>
      <w:pPr>
        <w:spacing w:line="440" w:lineRule="exact"/>
        <w:rPr>
          <w:rFonts w:ascii="宋体" w:hAnsi="宋体" w:eastAsia="宋体" w:cs="宋体"/>
          <w:color w:val="auto"/>
          <w:sz w:val="20"/>
          <w:szCs w:val="20"/>
        </w:rPr>
      </w:pPr>
    </w:p>
    <w:p>
      <w:pPr>
        <w:spacing w:line="440" w:lineRule="exact"/>
        <w:jc w:val="center"/>
        <w:rPr>
          <w:rFonts w:ascii="宋体" w:hAnsi="宋体" w:eastAsia="宋体" w:cs="宋体"/>
          <w:color w:val="auto"/>
        </w:rPr>
      </w:pPr>
      <w:r>
        <w:rPr>
          <w:rFonts w:hint="eastAsia" w:ascii="宋体" w:hAnsi="宋体" w:eastAsia="宋体" w:cs="宋体"/>
          <w:color w:val="auto"/>
        </w:rPr>
        <w:t>9-1法定代表人身份证明</w:t>
      </w:r>
    </w:p>
    <w:p>
      <w:pPr>
        <w:spacing w:line="440" w:lineRule="exact"/>
        <w:jc w:val="center"/>
        <w:rPr>
          <w:rFonts w:ascii="宋体" w:hAnsi="宋体" w:eastAsia="宋体" w:cs="宋体"/>
          <w:color w:val="auto"/>
          <w:szCs w:val="21"/>
        </w:rPr>
      </w:pPr>
    </w:p>
    <w:p>
      <w:pPr>
        <w:rPr>
          <w:rFonts w:ascii="宋体" w:hAnsi="宋体" w:eastAsia="宋体" w:cs="宋体"/>
          <w:color w:val="auto"/>
          <w:szCs w:val="21"/>
        </w:rPr>
      </w:pPr>
      <w:r>
        <w:rPr>
          <w:rFonts w:hint="eastAsia" w:ascii="宋体" w:hAnsi="宋体" w:eastAsia="宋体" w:cs="宋体"/>
          <w:color w:val="auto"/>
          <w:szCs w:val="21"/>
        </w:rPr>
        <w:t>投标供应商名称：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rPr>
          <w:rFonts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rPr>
          <w:rFonts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p>
    <w:p>
      <w:pPr>
        <w:rPr>
          <w:rFonts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日</w:t>
      </w:r>
    </w:p>
    <w:p>
      <w:pPr>
        <w:rPr>
          <w:rFonts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p>
    <w:p>
      <w:pPr>
        <w:rPr>
          <w:rFonts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pPr>
        <w:rPr>
          <w:rFonts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（投标供应商名称）的法定代表人。</w:t>
      </w:r>
    </w:p>
    <w:p>
      <w:pPr>
        <w:ind w:firstLine="480" w:firstLineChars="200"/>
        <w:rPr>
          <w:rFonts w:ascii="宋体" w:hAnsi="宋体" w:eastAsia="宋体" w:cs="宋体"/>
          <w:color w:val="auto"/>
          <w:szCs w:val="21"/>
        </w:rPr>
      </w:pPr>
      <w:r>
        <w:rPr>
          <w:rFonts w:hint="eastAsia" w:ascii="宋体" w:hAnsi="宋体" w:eastAsia="宋体" w:cs="宋体"/>
          <w:color w:val="auto"/>
          <w:szCs w:val="21"/>
        </w:rPr>
        <w:t>特此证明。</w:t>
      </w:r>
    </w:p>
    <w:p>
      <w:pPr>
        <w:spacing w:line="440" w:lineRule="exact"/>
        <w:rPr>
          <w:rFonts w:ascii="宋体" w:hAnsi="宋体" w:eastAsia="宋体" w:cs="宋体"/>
          <w:color w:val="auto"/>
          <w:szCs w:val="21"/>
        </w:rPr>
      </w:pPr>
    </w:p>
    <w:p>
      <w:pPr>
        <w:spacing w:line="440" w:lineRule="exact"/>
        <w:rPr>
          <w:rFonts w:ascii="宋体" w:hAnsi="宋体" w:eastAsia="宋体" w:cs="宋体"/>
          <w:color w:val="auto"/>
          <w:szCs w:val="21"/>
        </w:rPr>
      </w:pP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rPr>
      </w:pPr>
    </w:p>
    <w:p>
      <w:pPr>
        <w:spacing w:line="620" w:lineRule="exact"/>
        <w:rPr>
          <w:rFonts w:ascii="宋体" w:hAnsi="宋体" w:eastAsia="宋体" w:cs="宋体"/>
          <w:color w:val="auto"/>
          <w:szCs w:val="20"/>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440" w:lineRule="exact"/>
        <w:rPr>
          <w:rFonts w:ascii="宋体" w:hAnsi="宋体" w:eastAsia="宋体" w:cs="宋体"/>
          <w:color w:val="auto"/>
          <w:szCs w:val="21"/>
        </w:rPr>
      </w:pPr>
    </w:p>
    <w:p>
      <w:pPr>
        <w:spacing w:line="440" w:lineRule="exact"/>
        <w:rPr>
          <w:rFonts w:ascii="宋体" w:hAnsi="宋体" w:eastAsia="宋体" w:cs="宋体"/>
          <w:color w:val="auto"/>
          <w:szCs w:val="21"/>
        </w:rPr>
      </w:pPr>
    </w:p>
    <w:tbl>
      <w:tblPr>
        <w:tblStyle w:val="17"/>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9164" w:type="dxa"/>
            <w:vAlign w:val="center"/>
          </w:tcPr>
          <w:p>
            <w:pPr>
              <w:spacing w:line="440" w:lineRule="exact"/>
              <w:jc w:val="center"/>
              <w:rPr>
                <w:rFonts w:ascii="宋体" w:hAnsi="宋体" w:eastAsia="宋体" w:cs="宋体"/>
                <w:color w:val="auto"/>
                <w:sz w:val="32"/>
                <w:szCs w:val="32"/>
              </w:rPr>
            </w:pPr>
            <w:r>
              <w:rPr>
                <w:rFonts w:hint="eastAsia" w:ascii="宋体" w:hAnsi="宋体" w:eastAsia="宋体" w:cs="宋体"/>
                <w:color w:val="auto"/>
                <w:sz w:val="32"/>
                <w:szCs w:val="32"/>
              </w:rPr>
              <w:t>法定代表人身份证复印件</w:t>
            </w:r>
          </w:p>
          <w:p>
            <w:pPr>
              <w:spacing w:line="440" w:lineRule="exact"/>
              <w:jc w:val="center"/>
              <w:rPr>
                <w:rFonts w:ascii="宋体" w:hAnsi="宋体" w:eastAsia="宋体" w:cs="宋体"/>
                <w:color w:val="auto"/>
                <w:szCs w:val="21"/>
              </w:rPr>
            </w:pPr>
          </w:p>
        </w:tc>
      </w:tr>
    </w:tbl>
    <w:p>
      <w:pPr>
        <w:spacing w:line="440" w:lineRule="exact"/>
        <w:rPr>
          <w:rFonts w:ascii="宋体" w:hAnsi="宋体" w:eastAsia="宋体" w:cs="宋体"/>
          <w:color w:val="auto"/>
          <w:szCs w:val="21"/>
        </w:rPr>
      </w:pPr>
    </w:p>
    <w:p>
      <w:pPr>
        <w:spacing w:line="440" w:lineRule="exact"/>
        <w:rPr>
          <w:rFonts w:ascii="宋体" w:hAnsi="宋体" w:eastAsia="宋体" w:cs="宋体"/>
          <w:color w:val="auto"/>
          <w:szCs w:val="21"/>
        </w:rPr>
      </w:pPr>
    </w:p>
    <w:p>
      <w:pPr>
        <w:spacing w:line="440" w:lineRule="exact"/>
        <w:rPr>
          <w:rFonts w:ascii="宋体" w:hAnsi="宋体" w:eastAsia="宋体" w:cs="宋体"/>
          <w:color w:val="auto"/>
          <w:sz w:val="20"/>
          <w:szCs w:val="20"/>
        </w:rPr>
      </w:pPr>
    </w:p>
    <w:p>
      <w:pPr>
        <w:spacing w:line="440" w:lineRule="exact"/>
        <w:jc w:val="center"/>
        <w:rPr>
          <w:rFonts w:ascii="宋体" w:hAnsi="宋体" w:eastAsia="宋体" w:cs="宋体"/>
          <w:color w:val="auto"/>
        </w:rPr>
      </w:pPr>
      <w:r>
        <w:rPr>
          <w:rFonts w:hint="eastAsia" w:ascii="宋体" w:hAnsi="宋体" w:eastAsia="宋体" w:cs="宋体"/>
          <w:color w:val="auto"/>
        </w:rPr>
        <w:t>9-2法定代表人授权书</w:t>
      </w:r>
    </w:p>
    <w:p>
      <w:pPr>
        <w:spacing w:line="440" w:lineRule="exact"/>
        <w:rPr>
          <w:rFonts w:ascii="宋体" w:hAnsi="宋体" w:eastAsia="宋体" w:cs="宋体"/>
          <w:color w:val="auto"/>
          <w:szCs w:val="21"/>
        </w:rPr>
      </w:pPr>
    </w:p>
    <w:p>
      <w:pPr>
        <w:topLinePunct/>
        <w:spacing w:line="440" w:lineRule="exact"/>
        <w:ind w:firstLine="480" w:firstLineChars="200"/>
        <w:rPr>
          <w:rFonts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（投标供应商名称）的法定代表人，现委托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（姓名）为我方代理人。代理人根据授权，以我方名义签署、澄清、说明、补正、递交、撤回、修改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（项目名称）投标文件、签订合同和处理有关事宜，其法律后果由我方承担。</w:t>
      </w:r>
    </w:p>
    <w:p>
      <w:pPr>
        <w:spacing w:line="440" w:lineRule="exact"/>
        <w:rPr>
          <w:rFonts w:ascii="宋体" w:hAnsi="宋体" w:eastAsia="宋体" w:cs="宋体"/>
          <w:color w:val="auto"/>
          <w:szCs w:val="21"/>
        </w:rPr>
      </w:pPr>
      <w:r>
        <w:rPr>
          <w:rFonts w:hint="eastAsia" w:ascii="宋体" w:hAnsi="宋体" w:eastAsia="宋体" w:cs="宋体"/>
          <w:color w:val="auto"/>
          <w:szCs w:val="21"/>
        </w:rPr>
        <w:t xml:space="preserve">    委托期限：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pPr>
        <w:spacing w:line="440" w:lineRule="exact"/>
        <w:ind w:firstLine="480" w:firstLineChars="200"/>
        <w:rPr>
          <w:rFonts w:ascii="宋体" w:hAnsi="宋体" w:eastAsia="宋体" w:cs="宋体"/>
          <w:color w:val="auto"/>
          <w:szCs w:val="21"/>
        </w:rPr>
      </w:pPr>
      <w:r>
        <w:rPr>
          <w:rFonts w:hint="eastAsia" w:ascii="宋体" w:hAnsi="宋体" w:eastAsia="宋体" w:cs="宋体"/>
          <w:color w:val="auto"/>
          <w:szCs w:val="21"/>
        </w:rPr>
        <w:t xml:space="preserve"> </w:t>
      </w:r>
    </w:p>
    <w:p>
      <w:pPr>
        <w:spacing w:line="440" w:lineRule="exact"/>
        <w:ind w:firstLine="480" w:firstLineChars="200"/>
        <w:rPr>
          <w:rFonts w:ascii="宋体" w:hAnsi="宋体" w:eastAsia="宋体" w:cs="宋体"/>
          <w:color w:val="auto"/>
          <w:szCs w:val="21"/>
        </w:rPr>
      </w:pPr>
      <w:r>
        <w:rPr>
          <w:rFonts w:hint="eastAsia" w:ascii="宋体" w:hAnsi="宋体" w:eastAsia="宋体" w:cs="宋体"/>
          <w:color w:val="auto"/>
          <w:szCs w:val="21"/>
        </w:rPr>
        <w:t>附：法定代表人身份证复印件及法定代表人授权委托人身份证复印件</w:t>
      </w:r>
    </w:p>
    <w:p>
      <w:pPr>
        <w:spacing w:line="440" w:lineRule="exact"/>
        <w:rPr>
          <w:rFonts w:ascii="宋体" w:hAnsi="宋体" w:eastAsia="宋体" w:cs="宋体"/>
          <w:color w:val="auto"/>
          <w:szCs w:val="21"/>
        </w:rPr>
      </w:pPr>
    </w:p>
    <w:p>
      <w:pPr>
        <w:spacing w:line="440" w:lineRule="exact"/>
        <w:rPr>
          <w:rFonts w:ascii="宋体" w:hAnsi="宋体" w:eastAsia="宋体" w:cs="宋体"/>
          <w:color w:val="auto"/>
          <w:szCs w:val="21"/>
        </w:rPr>
      </w:pP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szCs w:val="20"/>
        </w:rPr>
      </w:pPr>
      <w:r>
        <w:rPr>
          <w:rFonts w:hint="eastAsia" w:ascii="宋体" w:hAnsi="宋体" w:eastAsia="宋体" w:cs="仿宋"/>
          <w:color w:val="auto"/>
          <w:szCs w:val="20"/>
        </w:rPr>
        <w:t>身份证号码：</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仿宋"/>
          <w:color w:val="auto"/>
          <w:szCs w:val="20"/>
        </w:rPr>
      </w:pPr>
      <w:r>
        <w:rPr>
          <w:rFonts w:hint="eastAsia" w:ascii="宋体" w:hAnsi="宋体" w:eastAsia="宋体" w:cs="仿宋"/>
          <w:color w:val="auto"/>
          <w:szCs w:val="20"/>
        </w:rPr>
        <w:t>身份证号码：</w:t>
      </w:r>
      <w:r>
        <w:rPr>
          <w:rFonts w:hint="eastAsia" w:ascii="宋体" w:hAnsi="宋体" w:eastAsia="宋体" w:cs="仿宋"/>
          <w:color w:val="auto"/>
          <w:szCs w:val="20"/>
          <w:u w:val="single"/>
        </w:rPr>
        <w:t xml:space="preserve">                                </w:t>
      </w:r>
    </w:p>
    <w:p>
      <w:pPr>
        <w:spacing w:line="620" w:lineRule="exact"/>
        <w:rPr>
          <w:rFonts w:ascii="宋体" w:hAnsi="宋体" w:eastAsia="宋体" w:cs="宋体"/>
          <w:color w:val="auto"/>
          <w:szCs w:val="20"/>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spacing w:line="440" w:lineRule="exact"/>
        <w:rPr>
          <w:rFonts w:ascii="宋体" w:hAnsi="宋体" w:eastAsia="宋体" w:cs="宋体"/>
          <w:color w:val="auto"/>
          <w:szCs w:val="21"/>
        </w:rPr>
      </w:pPr>
    </w:p>
    <w:p>
      <w:pPr>
        <w:spacing w:line="440" w:lineRule="exact"/>
        <w:rPr>
          <w:rFonts w:ascii="宋体" w:hAnsi="宋体" w:eastAsia="宋体" w:cs="宋体"/>
          <w:color w:val="auto"/>
          <w:szCs w:val="21"/>
        </w:rPr>
      </w:pPr>
    </w:p>
    <w:p>
      <w:pPr>
        <w:spacing w:line="440" w:lineRule="exact"/>
        <w:rPr>
          <w:rFonts w:ascii="宋体" w:hAnsi="宋体" w:eastAsia="宋体" w:cs="宋体"/>
          <w:color w:val="auto"/>
          <w:szCs w:val="21"/>
        </w:rPr>
      </w:pPr>
    </w:p>
    <w:p>
      <w:pPr>
        <w:spacing w:line="600" w:lineRule="exact"/>
        <w:ind w:firstLine="640"/>
        <w:rPr>
          <w:rFonts w:hint="eastAsia" w:ascii="宋体" w:hAnsi="宋体" w:eastAsia="宋体" w:cs="宋体"/>
          <w:b/>
          <w:bCs/>
          <w:color w:val="auto"/>
        </w:rPr>
      </w:pPr>
    </w:p>
    <w:p>
      <w:pPr>
        <w:spacing w:line="600" w:lineRule="exact"/>
        <w:rPr>
          <w:rFonts w:hint="eastAsia" w:ascii="宋体" w:hAnsi="宋体" w:eastAsia="宋体" w:cs="宋体"/>
          <w:b/>
          <w:bCs/>
          <w:color w:val="auto"/>
        </w:rPr>
      </w:pPr>
    </w:p>
    <w:p>
      <w:pPr>
        <w:spacing w:line="600" w:lineRule="exact"/>
        <w:rPr>
          <w:rFonts w:hint="eastAsia" w:ascii="宋体" w:hAnsi="宋体" w:eastAsia="宋体" w:cs="宋体"/>
          <w:b/>
          <w:bCs/>
          <w:color w:val="auto"/>
        </w:rPr>
      </w:pPr>
    </w:p>
    <w:p>
      <w:pPr>
        <w:spacing w:line="600" w:lineRule="exact"/>
        <w:rPr>
          <w:rFonts w:hint="eastAsia" w:ascii="宋体" w:hAnsi="宋体" w:eastAsia="宋体" w:cs="宋体"/>
          <w:b/>
          <w:bCs/>
          <w:color w:val="auto"/>
        </w:rPr>
      </w:pPr>
    </w:p>
    <w:p>
      <w:pPr>
        <w:spacing w:line="600" w:lineRule="exact"/>
        <w:rPr>
          <w:rFonts w:hint="eastAsia" w:ascii="宋体" w:hAnsi="宋体" w:eastAsia="宋体" w:cs="宋体"/>
          <w:b/>
          <w:bCs/>
          <w:color w:val="auto"/>
        </w:rPr>
      </w:pPr>
    </w:p>
    <w:bookmarkEnd w:id="365"/>
    <w:bookmarkEnd w:id="366"/>
    <w:bookmarkEnd w:id="367"/>
    <w:bookmarkEnd w:id="368"/>
    <w:bookmarkEnd w:id="369"/>
    <w:bookmarkEnd w:id="370"/>
    <w:bookmarkEnd w:id="371"/>
    <w:bookmarkEnd w:id="372"/>
    <w:bookmarkEnd w:id="373"/>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375" w:name="_Toc14135"/>
      <w:bookmarkStart w:id="376" w:name="_Toc467769963"/>
      <w:bookmarkStart w:id="377" w:name="_Toc286341437"/>
      <w:bookmarkStart w:id="378" w:name="_Toc31267"/>
      <w:bookmarkStart w:id="379" w:name="_Toc14265"/>
      <w:bookmarkStart w:id="380" w:name="_Toc36"/>
      <w:bookmarkStart w:id="381" w:name="_Toc4419"/>
      <w:bookmarkStart w:id="382" w:name="_Toc11954"/>
      <w:bookmarkStart w:id="383" w:name="_Toc9601"/>
      <w:bookmarkStart w:id="384" w:name="_Toc18270"/>
      <w:bookmarkStart w:id="385" w:name="_Toc32227"/>
      <w:bookmarkStart w:id="386" w:name="_Toc3744"/>
      <w:bookmarkStart w:id="387" w:name="_Toc5958"/>
      <w:bookmarkStart w:id="388" w:name="_Toc184635145"/>
      <w:r>
        <w:rPr>
          <w:rFonts w:hint="eastAsia" w:ascii="宋体" w:hAnsi="宋体" w:eastAsia="宋体" w:cs="宋体"/>
          <w:b/>
          <w:color w:val="auto"/>
          <w:kern w:val="0"/>
          <w:sz w:val="30"/>
          <w:szCs w:val="20"/>
          <w:lang w:val="en-US" w:eastAsia="zh-CN" w:bidi="ar-SA"/>
        </w:rPr>
        <w:t>十</w:t>
      </w:r>
      <w:bookmarkEnd w:id="375"/>
      <w:bookmarkEnd w:id="376"/>
      <w:bookmarkEnd w:id="377"/>
      <w:bookmarkStart w:id="389" w:name="_Toc2453"/>
      <w:bookmarkStart w:id="390" w:name="_Toc106076893"/>
      <w:bookmarkStart w:id="391" w:name="_Toc106078819"/>
      <w:bookmarkStart w:id="392" w:name="_Toc106079261"/>
      <w:bookmarkStart w:id="393" w:name="_Toc105833183"/>
      <w:bookmarkStart w:id="394" w:name="_Toc106079108"/>
      <w:bookmarkStart w:id="395" w:name="_Toc105816675"/>
      <w:bookmarkStart w:id="396" w:name="_Toc106080549"/>
      <w:bookmarkStart w:id="397" w:name="_Toc129512125"/>
      <w:bookmarkStart w:id="398" w:name="_Toc94716518"/>
      <w:r>
        <w:rPr>
          <w:rFonts w:hint="eastAsia" w:ascii="宋体" w:hAnsi="宋体" w:eastAsia="宋体" w:cs="宋体"/>
          <w:b/>
          <w:color w:val="auto"/>
          <w:kern w:val="0"/>
          <w:sz w:val="30"/>
          <w:szCs w:val="20"/>
          <w:lang w:val="en-US" w:eastAsia="zh-CN" w:bidi="ar-SA"/>
        </w:rPr>
        <w:t>、资格审查资料</w:t>
      </w:r>
      <w:bookmarkEnd w:id="378"/>
      <w:bookmarkEnd w:id="379"/>
      <w:bookmarkEnd w:id="380"/>
      <w:bookmarkEnd w:id="381"/>
      <w:bookmarkEnd w:id="382"/>
      <w:bookmarkEnd w:id="383"/>
      <w:bookmarkEnd w:id="384"/>
      <w:bookmarkEnd w:id="385"/>
      <w:bookmarkEnd w:id="386"/>
      <w:bookmarkEnd w:id="387"/>
      <w:bookmarkEnd w:id="389"/>
    </w:p>
    <w:p>
      <w:pPr>
        <w:keepNext/>
        <w:keepLines/>
        <w:jc w:val="center"/>
        <w:outlineLvl w:val="3"/>
        <w:rPr>
          <w:rFonts w:ascii="宋体" w:hAnsi="宋体" w:eastAsia="宋体" w:cs="宋体"/>
          <w:b/>
          <w:color w:val="auto"/>
          <w:sz w:val="28"/>
          <w:szCs w:val="28"/>
        </w:rPr>
      </w:pPr>
      <w:bookmarkStart w:id="399" w:name="_Toc20393"/>
      <w:r>
        <w:rPr>
          <w:rFonts w:hint="eastAsia" w:ascii="宋体" w:hAnsi="宋体" w:eastAsia="宋体" w:cs="宋体"/>
          <w:b/>
          <w:color w:val="auto"/>
          <w:sz w:val="28"/>
          <w:szCs w:val="28"/>
        </w:rPr>
        <w:t>基本情况表</w:t>
      </w:r>
      <w:bookmarkEnd w:id="399"/>
    </w:p>
    <w:tbl>
      <w:tblPr>
        <w:tblStyle w:val="1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413"/>
        <w:gridCol w:w="2458"/>
        <w:gridCol w:w="1070"/>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投标供应商名称</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注册资金</w:t>
            </w:r>
          </w:p>
        </w:tc>
        <w:tc>
          <w:tcPr>
            <w:tcW w:w="38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成立时间</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注册地址</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邮政编码</w:t>
            </w:r>
          </w:p>
        </w:tc>
        <w:tc>
          <w:tcPr>
            <w:tcW w:w="38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员工总数</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联系方式</w:t>
            </w: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联系人</w:t>
            </w:r>
          </w:p>
        </w:tc>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电话</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21"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auto"/>
                <w:szCs w:val="21"/>
              </w:rPr>
            </w:pP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传真</w:t>
            </w:r>
          </w:p>
        </w:tc>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网址</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法定代表人</w:t>
            </w:r>
          </w:p>
        </w:tc>
        <w:tc>
          <w:tcPr>
            <w:tcW w:w="141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姓名</w:t>
            </w:r>
          </w:p>
        </w:tc>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电话</w:t>
            </w:r>
          </w:p>
        </w:tc>
        <w:tc>
          <w:tcPr>
            <w:tcW w:w="18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基本账户开户银行</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基本账户银行账号</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投标设备制造商名称</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备注</w:t>
            </w:r>
          </w:p>
        </w:tc>
        <w:tc>
          <w:tcPr>
            <w:tcW w:w="6819" w:type="dxa"/>
            <w:gridSpan w:val="4"/>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eastAsia="宋体" w:cs="宋体"/>
                <w:color w:val="auto"/>
                <w:szCs w:val="21"/>
              </w:rPr>
            </w:pPr>
          </w:p>
        </w:tc>
      </w:tr>
    </w:tbl>
    <w:p>
      <w:pPr>
        <w:spacing w:line="360" w:lineRule="exact"/>
        <w:ind w:firstLine="482" w:firstLineChars="200"/>
        <w:rPr>
          <w:rFonts w:ascii="宋体" w:hAnsi="宋体" w:eastAsia="宋体" w:cs="宋体"/>
          <w:b/>
          <w:bCs/>
          <w:color w:val="auto"/>
          <w:szCs w:val="21"/>
        </w:rPr>
      </w:pPr>
    </w:p>
    <w:p>
      <w:pPr>
        <w:spacing w:line="360" w:lineRule="exact"/>
        <w:ind w:firstLine="482" w:firstLineChars="200"/>
        <w:rPr>
          <w:rFonts w:ascii="宋体" w:hAnsi="宋体" w:eastAsia="宋体" w:cs="宋体"/>
          <w:b/>
          <w:bCs/>
          <w:color w:val="auto"/>
          <w:szCs w:val="21"/>
        </w:rPr>
      </w:pPr>
      <w:r>
        <w:rPr>
          <w:rFonts w:hint="eastAsia" w:ascii="宋体" w:hAnsi="宋体" w:eastAsia="宋体" w:cs="宋体"/>
          <w:b/>
          <w:bCs/>
          <w:color w:val="auto"/>
          <w:szCs w:val="21"/>
        </w:rPr>
        <w:t>注：</w:t>
      </w:r>
    </w:p>
    <w:p>
      <w:pPr>
        <w:spacing w:line="360" w:lineRule="exact"/>
        <w:ind w:firstLine="482" w:firstLineChars="200"/>
        <w:rPr>
          <w:rFonts w:ascii="宋体" w:hAnsi="宋体" w:eastAsia="宋体" w:cs="宋体"/>
          <w:b/>
          <w:bCs/>
          <w:color w:val="auto"/>
          <w:szCs w:val="21"/>
        </w:rPr>
      </w:pPr>
      <w:r>
        <w:rPr>
          <w:rFonts w:hint="eastAsia" w:ascii="宋体" w:hAnsi="宋体" w:eastAsia="宋体" w:cs="宋体"/>
          <w:b/>
          <w:bCs/>
          <w:color w:val="auto"/>
          <w:szCs w:val="21"/>
        </w:rPr>
        <w:t>1企业资格审查资料（详见第二章投标人须知前附表1.4.1资格审查表规定）</w:t>
      </w:r>
    </w:p>
    <w:p>
      <w:pPr>
        <w:spacing w:line="360" w:lineRule="exact"/>
        <w:ind w:firstLine="482" w:firstLineChars="200"/>
        <w:rPr>
          <w:rFonts w:ascii="宋体" w:hAnsi="宋体" w:eastAsia="宋体" w:cs="仿宋"/>
          <w:b/>
          <w:bCs/>
          <w:color w:val="auto"/>
          <w:szCs w:val="21"/>
        </w:rPr>
      </w:pPr>
      <w:r>
        <w:rPr>
          <w:rFonts w:hint="eastAsia" w:ascii="宋体" w:hAnsi="宋体" w:eastAsia="宋体" w:cs="仿宋"/>
          <w:b/>
          <w:bCs/>
          <w:color w:val="auto"/>
          <w:szCs w:val="21"/>
        </w:rPr>
        <w:t>2、</w:t>
      </w:r>
      <w:r>
        <w:rPr>
          <w:rFonts w:hint="eastAsia" w:ascii="宋体" w:hAnsi="宋体" w:eastAsia="宋体" w:cs="宋体"/>
          <w:b/>
          <w:bCs/>
          <w:color w:val="auto"/>
          <w:szCs w:val="21"/>
        </w:rPr>
        <w:t>第二章投标人须知前附表1.4.1资格审查表所有内容</w:t>
      </w:r>
      <w:r>
        <w:rPr>
          <w:rFonts w:hint="eastAsia" w:ascii="宋体" w:hAnsi="宋体" w:eastAsia="宋体" w:cs="仿宋"/>
          <w:b/>
          <w:bCs/>
          <w:color w:val="auto"/>
          <w:szCs w:val="21"/>
        </w:rPr>
        <w:t>所需资料需先上传至河南省公共资源交易中心诚信库并经核验，投标文件中附复印件即可，诚信库中证件需与投标文件中所附证件一致。</w:t>
      </w:r>
    </w:p>
    <w:p>
      <w:pPr>
        <w:bidi w:val="0"/>
        <w:rPr>
          <w:rFonts w:hint="eastAsia" w:ascii="Times New Roman" w:hAnsi="Times New Roman" w:eastAsia="宋体" w:cs="Times New Roman"/>
          <w:color w:val="auto"/>
          <w:lang w:eastAsia="zh-CN"/>
        </w:rPr>
      </w:pPr>
      <w:r>
        <w:rPr>
          <w:rFonts w:hint="eastAsia" w:ascii="宋体" w:hAnsi="宋体" w:eastAsia="宋体" w:cs="宋体"/>
          <w:b/>
          <w:bCs/>
          <w:color w:val="auto"/>
          <w:szCs w:val="21"/>
        </w:rPr>
        <w:br w:type="page"/>
      </w:r>
      <w:r>
        <w:rPr>
          <w:rFonts w:hint="eastAsia" w:ascii="宋体" w:hAnsi="宋体" w:eastAsia="宋体" w:cs="Times New Roman"/>
          <w:b/>
          <w:color w:val="auto"/>
          <w:sz w:val="28"/>
          <w:szCs w:val="28"/>
        </w:rPr>
        <w:t>（一）营业执照（有效期内）</w:t>
      </w:r>
      <w:r>
        <w:rPr>
          <w:rFonts w:hint="eastAsia" w:ascii="宋体" w:hAnsi="宋体" w:cs="Times New Roman"/>
          <w:b/>
          <w:color w:val="auto"/>
          <w:sz w:val="28"/>
          <w:szCs w:val="28"/>
          <w:lang w:eastAsia="zh-CN"/>
        </w:rPr>
        <w:t>等证明文件</w:t>
      </w:r>
    </w:p>
    <w:p>
      <w:pPr>
        <w:bidi w:val="0"/>
        <w:rPr>
          <w:rFonts w:hint="eastAsia" w:ascii="Times New Roman" w:hAnsi="Times New Roman" w:eastAsia="宋体" w:cs="Times New Roman"/>
          <w:color w:val="auto"/>
        </w:rPr>
      </w:pPr>
    </w:p>
    <w:p>
      <w:pPr>
        <w:bidi w:val="0"/>
        <w:rPr>
          <w:rFonts w:hint="eastAsia" w:ascii="Times New Roman" w:hAnsi="Times New Roman" w:eastAsia="宋体" w:cs="Times New Roman"/>
          <w:color w:val="auto"/>
        </w:rPr>
      </w:pPr>
    </w:p>
    <w:p>
      <w:pPr>
        <w:bidi w:val="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（二）经审计的</w:t>
      </w:r>
      <w:r>
        <w:rPr>
          <w:rFonts w:hint="eastAsia" w:ascii="宋体" w:hAnsi="宋体" w:cs="Times New Roman"/>
          <w:b/>
          <w:color w:val="auto"/>
          <w:sz w:val="28"/>
          <w:szCs w:val="28"/>
          <w:lang w:val="en-US" w:eastAsia="zh-CN"/>
        </w:rPr>
        <w:t>2022</w:t>
      </w:r>
      <w:r>
        <w:rPr>
          <w:rFonts w:hint="eastAsia" w:ascii="宋体" w:hAnsi="宋体" w:eastAsia="宋体" w:cs="Times New Roman"/>
          <w:b/>
          <w:color w:val="auto"/>
          <w:sz w:val="28"/>
          <w:szCs w:val="28"/>
        </w:rPr>
        <w:t>年度财务状况报告（公司成立年限不足的企业应提供其基本开户银行出具的资信证明）</w:t>
      </w:r>
    </w:p>
    <w:p>
      <w:pPr>
        <w:bidi w:val="0"/>
        <w:rPr>
          <w:rFonts w:hint="eastAsia" w:ascii="Times New Roman" w:hAnsi="Times New Roman" w:eastAsia="宋体" w:cs="Times New Roman"/>
          <w:color w:val="auto"/>
        </w:rPr>
      </w:pPr>
    </w:p>
    <w:p>
      <w:pPr>
        <w:bidi w:val="0"/>
        <w:rPr>
          <w:rFonts w:hint="eastAsia" w:ascii="Times New Roman" w:hAnsi="Times New Roman" w:eastAsia="宋体" w:cs="Times New Roman"/>
          <w:color w:val="auto"/>
        </w:rPr>
      </w:pPr>
    </w:p>
    <w:p>
      <w:pPr>
        <w:bidi w:val="0"/>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（三）202</w:t>
      </w:r>
      <w:r>
        <w:rPr>
          <w:rFonts w:hint="eastAsia" w:ascii="宋体" w:hAnsi="宋体" w:cs="Times New Roman"/>
          <w:b/>
          <w:color w:val="auto"/>
          <w:sz w:val="28"/>
          <w:szCs w:val="28"/>
          <w:lang w:val="en-US" w:eastAsia="zh-CN"/>
        </w:rPr>
        <w:t>3</w:t>
      </w:r>
      <w:r>
        <w:rPr>
          <w:rFonts w:hint="eastAsia" w:ascii="宋体" w:hAnsi="宋体" w:eastAsia="宋体" w:cs="Times New Roman"/>
          <w:b/>
          <w:color w:val="auto"/>
          <w:sz w:val="28"/>
          <w:szCs w:val="28"/>
        </w:rPr>
        <w:t>年1月1日以来依法缴纳税收和社会保障资金凭证（至少一个月）</w:t>
      </w:r>
    </w:p>
    <w:p>
      <w:pPr>
        <w:spacing w:after="120"/>
        <w:rPr>
          <w:rFonts w:ascii="宋体" w:hAnsi="宋体" w:eastAsia="宋体" w:cs="Times New Roman"/>
          <w:color w:val="auto"/>
          <w:sz w:val="28"/>
          <w:szCs w:val="28"/>
        </w:rPr>
      </w:pPr>
    </w:p>
    <w:p>
      <w:pPr>
        <w:spacing w:after="120"/>
        <w:rPr>
          <w:rFonts w:ascii="宋体" w:hAnsi="宋体" w:eastAsia="宋体" w:cs="Times New Roman"/>
          <w:color w:val="auto"/>
          <w:sz w:val="28"/>
          <w:szCs w:val="28"/>
        </w:rPr>
      </w:pPr>
    </w:p>
    <w:p>
      <w:pPr>
        <w:spacing w:line="600" w:lineRule="exact"/>
        <w:jc w:val="right"/>
        <w:rPr>
          <w:rFonts w:ascii="宋体" w:hAnsi="宋体" w:eastAsia="宋体" w:cs="宋体"/>
          <w:color w:val="auto"/>
        </w:rPr>
      </w:pPr>
      <w:r>
        <w:rPr>
          <w:rFonts w:hint="eastAsia" w:ascii="宋体" w:hAnsi="宋体" w:eastAsia="宋体" w:cs="宋体"/>
          <w:color w:val="auto"/>
          <w:kern w:val="0"/>
          <w:lang w:bidi="ar"/>
        </w:rPr>
        <w:br w:type="textWrapping"/>
      </w:r>
      <w:r>
        <w:rPr>
          <w:rFonts w:hint="eastAsia" w:ascii="宋体" w:hAnsi="宋体" w:eastAsia="宋体" w:cs="宋体"/>
          <w:color w:val="auto"/>
        </w:rPr>
        <w:t xml:space="preserve">                                     </w:t>
      </w:r>
    </w:p>
    <w:p>
      <w:pPr>
        <w:spacing w:line="360" w:lineRule="exact"/>
        <w:ind w:firstLine="480" w:firstLineChars="200"/>
        <w:rPr>
          <w:rFonts w:ascii="宋体" w:hAnsi="宋体" w:eastAsia="宋体" w:cs="宋体"/>
          <w:color w:val="auto"/>
        </w:rPr>
      </w:pPr>
      <w:r>
        <w:rPr>
          <w:rFonts w:hint="eastAsia" w:ascii="宋体" w:hAnsi="宋体" w:eastAsia="宋体" w:cs="宋体"/>
          <w:color w:val="auto"/>
        </w:rPr>
        <w:br w:type="page"/>
      </w:r>
    </w:p>
    <w:p>
      <w:pPr>
        <w:keepNext/>
        <w:keepLines/>
        <w:jc w:val="center"/>
        <w:outlineLvl w:val="3"/>
        <w:rPr>
          <w:rFonts w:ascii="宋体" w:hAnsi="宋体" w:eastAsia="宋体" w:cs="Times New Roman"/>
          <w:b/>
          <w:color w:val="auto"/>
          <w:sz w:val="28"/>
          <w:szCs w:val="28"/>
        </w:rPr>
      </w:pPr>
      <w:r>
        <w:rPr>
          <w:rFonts w:hint="eastAsia" w:ascii="宋体" w:hAnsi="宋体" w:eastAsia="宋体" w:cs="Times New Roman"/>
          <w:b/>
          <w:color w:val="auto"/>
          <w:sz w:val="28"/>
          <w:szCs w:val="28"/>
        </w:rPr>
        <w:t>（四）履约能力声明函</w:t>
      </w:r>
    </w:p>
    <w:p>
      <w:pPr>
        <w:bidi w:val="0"/>
        <w:jc w:val="center"/>
        <w:rPr>
          <w:rFonts w:ascii="Times New Roman" w:hAnsi="Times New Roman" w:eastAsia="宋体" w:cs="Times New Roman"/>
          <w:color w:val="auto"/>
        </w:rPr>
      </w:pPr>
      <w:r>
        <w:rPr>
          <w:rFonts w:hint="eastAsia" w:ascii="Times New Roman" w:hAnsi="Times New Roman" w:eastAsia="宋体" w:cs="Times New Roman"/>
          <w:color w:val="auto"/>
        </w:rPr>
        <w:t>（格式仅供参考，可补充）</w:t>
      </w:r>
    </w:p>
    <w:p>
      <w:pPr>
        <w:widowControl w:val="0"/>
        <w:spacing w:line="400" w:lineRule="exact"/>
        <w:rPr>
          <w:rFonts w:ascii="Times New Roman" w:hAnsi="Times New Roman" w:eastAsia="宋体" w:cs="Times New Roman"/>
          <w:color w:val="auto"/>
          <w:kern w:val="2"/>
          <w:sz w:val="24"/>
          <w:szCs w:val="24"/>
          <w:lang w:val="en-US" w:eastAsia="zh-CN" w:bidi="ar-SA"/>
        </w:rPr>
      </w:pPr>
    </w:p>
    <w:p>
      <w:pPr>
        <w:rPr>
          <w:rFonts w:ascii="Times New Roman" w:hAnsi="Times New Roman" w:eastAsia="宋体" w:cs="Times New Roman"/>
          <w:color w:val="auto"/>
        </w:rPr>
      </w:pPr>
      <w:r>
        <w:rPr>
          <w:rFonts w:hint="eastAsia" w:cs="Times New Roman"/>
          <w:color w:val="auto"/>
          <w:lang w:eastAsia="zh-CN"/>
        </w:rPr>
        <w:t>（采购人）</w:t>
      </w:r>
      <w:r>
        <w:rPr>
          <w:rFonts w:hint="eastAsia"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我方在此声明，我单位具有履行合同所必需的设备和专业技术能力。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特此声明。</w:t>
      </w:r>
    </w:p>
    <w:p>
      <w:pPr>
        <w:rPr>
          <w:rFonts w:ascii="Times New Roman" w:hAnsi="Times New Roman" w:eastAsia="宋体" w:cs="Times New Roman"/>
          <w:color w:val="auto"/>
        </w:rPr>
      </w:pPr>
    </w:p>
    <w:p>
      <w:pPr>
        <w:rPr>
          <w:rFonts w:ascii="Times New Roman" w:hAnsi="Times New Roman" w:eastAsia="宋体" w:cs="Times New Roman"/>
          <w:color w:val="auto"/>
        </w:rPr>
      </w:pP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宋体"/>
          <w:color w:val="auto"/>
          <w:szCs w:val="20"/>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rPr>
          <w:rFonts w:ascii="Times New Roman" w:hAnsi="Times New Roman" w:eastAsia="宋体" w:cs="Times New Roman"/>
          <w:color w:val="auto"/>
        </w:rPr>
      </w:pPr>
    </w:p>
    <w:p>
      <w:pPr>
        <w:widowControl w:val="0"/>
        <w:spacing w:after="120" w:line="240" w:lineRule="auto"/>
        <w:ind w:firstLine="0" w:firstLineChars="0"/>
        <w:rPr>
          <w:rFonts w:ascii="Times New Roman" w:hAnsi="Times New Roman" w:eastAsia="宋体" w:cs="Times New Roman"/>
          <w:color w:val="auto"/>
          <w:kern w:val="2"/>
          <w:sz w:val="21"/>
          <w:szCs w:val="24"/>
          <w:lang w:val="en-US" w:eastAsia="zh-CN" w:bidi="ar-SA"/>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keepNext/>
        <w:keepLines/>
        <w:jc w:val="center"/>
        <w:outlineLvl w:val="3"/>
        <w:rPr>
          <w:rFonts w:ascii="宋体" w:hAnsi="宋体" w:eastAsia="宋体" w:cs="Times New Roman"/>
          <w:b/>
          <w:color w:val="auto"/>
          <w:sz w:val="28"/>
          <w:szCs w:val="28"/>
        </w:rPr>
      </w:pPr>
      <w:r>
        <w:rPr>
          <w:rFonts w:hint="eastAsia" w:ascii="宋体" w:hAnsi="宋体" w:eastAsia="宋体" w:cs="Times New Roman"/>
          <w:b/>
          <w:color w:val="auto"/>
          <w:sz w:val="28"/>
          <w:szCs w:val="28"/>
        </w:rPr>
        <w:t>（五）商业信誉声明函</w:t>
      </w:r>
    </w:p>
    <w:p>
      <w:pPr>
        <w:bidi w:val="0"/>
        <w:jc w:val="center"/>
        <w:rPr>
          <w:rFonts w:ascii="Times New Roman" w:hAnsi="Times New Roman" w:eastAsia="宋体" w:cs="Times New Roman"/>
          <w:color w:val="auto"/>
        </w:rPr>
      </w:pPr>
      <w:r>
        <w:rPr>
          <w:rFonts w:hint="eastAsia" w:ascii="Times New Roman" w:hAnsi="Times New Roman" w:eastAsia="宋体" w:cs="Times New Roman"/>
          <w:color w:val="auto"/>
        </w:rPr>
        <w:t>（格式仅供参考）</w:t>
      </w:r>
    </w:p>
    <w:p>
      <w:pPr>
        <w:bidi w:val="0"/>
        <w:rPr>
          <w:rFonts w:ascii="Times New Roman" w:hAnsi="Times New Roman" w:eastAsia="宋体" w:cs="Times New Roman"/>
          <w:color w:val="auto"/>
        </w:rPr>
      </w:pPr>
    </w:p>
    <w:p>
      <w:pPr>
        <w:bidi w:val="0"/>
        <w:rPr>
          <w:rFonts w:ascii="Times New Roman" w:hAnsi="Times New Roman" w:eastAsia="宋体" w:cs="Times New Roman"/>
          <w:color w:val="auto"/>
        </w:rPr>
      </w:pPr>
      <w:r>
        <w:rPr>
          <w:rFonts w:hint="eastAsia" w:cs="Times New Roman"/>
          <w:color w:val="auto"/>
          <w:lang w:eastAsia="zh-CN"/>
        </w:rPr>
        <w:t>（采购人）</w:t>
      </w:r>
      <w:r>
        <w:rPr>
          <w:rFonts w:hint="eastAsia"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我方在此声明，在参加本次政府采购活动前三年内，在经营活动中没有重大违法记录。投标产品在国内销售没有不良记录、没有发生过重大质量问题或安全事故。</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我方在此声明，我单位对投标应答真实性负责。中标公告发布期间，如果采购人或其他投标供应商对我方所投产品的技术参数发生异议，采购人有权要求我单位证明在投标文件中应答的技术参数是真实的，证明方式由采购人或国家认可的第三方检测机构决定。</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特此承诺。</w:t>
      </w:r>
    </w:p>
    <w:p>
      <w:pPr>
        <w:rPr>
          <w:rFonts w:ascii="Times New Roman" w:hAnsi="Times New Roman" w:eastAsia="宋体" w:cs="Times New Roman"/>
          <w:color w:val="auto"/>
        </w:rPr>
      </w:pP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宋体"/>
          <w:color w:val="auto"/>
          <w:szCs w:val="20"/>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rPr>
          <w:rFonts w:ascii="Times New Roman" w:hAnsi="Times New Roman" w:eastAsia="宋体" w:cs="Times New Roman"/>
          <w:color w:val="auto"/>
        </w:rPr>
      </w:pPr>
    </w:p>
    <w:p>
      <w:pPr>
        <w:keepNext/>
        <w:keepLines/>
        <w:jc w:val="center"/>
        <w:outlineLvl w:val="3"/>
        <w:rPr>
          <w:rFonts w:ascii="宋体" w:hAnsi="宋体" w:eastAsia="宋体" w:cs="Times New Roman"/>
          <w:b/>
          <w:color w:val="auto"/>
          <w:sz w:val="28"/>
          <w:szCs w:val="28"/>
        </w:rPr>
      </w:pPr>
      <w:r>
        <w:rPr>
          <w:rFonts w:hint="eastAsia" w:ascii="宋体" w:hAnsi="宋体" w:cs="Times New Roman"/>
          <w:b/>
          <w:color w:val="auto"/>
          <w:sz w:val="28"/>
          <w:szCs w:val="28"/>
          <w:lang w:eastAsia="zh-CN"/>
        </w:rPr>
        <w:t>（六）</w:t>
      </w:r>
      <w:r>
        <w:rPr>
          <w:rFonts w:hint="eastAsia" w:ascii="宋体" w:hAnsi="宋体" w:eastAsia="宋体" w:cs="Times New Roman"/>
          <w:b/>
          <w:color w:val="auto"/>
          <w:sz w:val="28"/>
          <w:szCs w:val="28"/>
        </w:rPr>
        <w:t>无关联声明</w:t>
      </w:r>
    </w:p>
    <w:p>
      <w:pPr>
        <w:bidi w:val="0"/>
        <w:jc w:val="center"/>
        <w:rPr>
          <w:rFonts w:ascii="Times New Roman" w:hAnsi="Times New Roman" w:eastAsia="宋体" w:cs="Times New Roman"/>
          <w:color w:val="auto"/>
        </w:rPr>
      </w:pPr>
      <w:r>
        <w:rPr>
          <w:rFonts w:hint="eastAsia" w:ascii="Times New Roman" w:hAnsi="Times New Roman" w:eastAsia="宋体" w:cs="Times New Roman"/>
          <w:color w:val="auto"/>
        </w:rPr>
        <w:t>（格式仅供参考）</w:t>
      </w:r>
    </w:p>
    <w:p>
      <w:pPr>
        <w:bidi w:val="0"/>
        <w:rPr>
          <w:rFonts w:ascii="Times New Roman" w:hAnsi="Times New Roman" w:eastAsia="宋体" w:cs="Times New Roman"/>
          <w:color w:val="auto"/>
        </w:rPr>
      </w:pPr>
    </w:p>
    <w:p>
      <w:pPr>
        <w:bidi w:val="0"/>
        <w:rPr>
          <w:rFonts w:ascii="Times New Roman" w:hAnsi="Times New Roman" w:eastAsia="宋体" w:cs="Times New Roman"/>
          <w:color w:val="auto"/>
        </w:rPr>
      </w:pPr>
      <w:r>
        <w:rPr>
          <w:rFonts w:hint="eastAsia" w:cs="Times New Roman"/>
          <w:color w:val="auto"/>
          <w:lang w:eastAsia="zh-CN"/>
        </w:rPr>
        <w:t>（采购人）</w:t>
      </w:r>
      <w:r>
        <w:rPr>
          <w:rFonts w:hint="eastAsia" w:ascii="Times New Roman" w:hAnsi="Times New Roman" w:eastAsia="宋体" w:cs="Times New Roman"/>
          <w:color w:val="auto"/>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我单位承诺：我单位不存在“单位负责人为同一人或者存在直接控股关系、管理关系、参股关系的不同投标供应商，同时参加同一包号的投标”的情况。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Times New Roman" w:hAnsi="Times New Roman" w:eastAsia="宋体" w:cs="Times New Roman"/>
          <w:color w:val="auto"/>
        </w:rPr>
      </w:pPr>
      <w:r>
        <w:rPr>
          <w:rFonts w:hint="eastAsia" w:ascii="Times New Roman" w:hAnsi="Times New Roman" w:eastAsia="宋体" w:cs="Times New Roman"/>
          <w:color w:val="auto"/>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特此承诺。</w:t>
      </w:r>
    </w:p>
    <w:p>
      <w:pPr>
        <w:rPr>
          <w:rFonts w:ascii="Times New Roman" w:hAnsi="Times New Roman" w:eastAsia="宋体" w:cs="Times New Roman"/>
          <w:color w:val="auto"/>
        </w:rPr>
      </w:pP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投标供应商：</w:t>
      </w:r>
      <w:r>
        <w:rPr>
          <w:rFonts w:hint="eastAsia" w:ascii="宋体" w:hAnsi="宋体" w:eastAsia="宋体" w:cs="仿宋"/>
          <w:color w:val="auto"/>
          <w:szCs w:val="20"/>
          <w:u w:val="single"/>
        </w:rPr>
        <w:t xml:space="preserve">            （</w:t>
      </w:r>
      <w:r>
        <w:rPr>
          <w:rFonts w:hint="eastAsia" w:ascii="宋体" w:hAnsi="宋体" w:eastAsia="宋体" w:cs="仿宋"/>
          <w:color w:val="auto"/>
          <w:kern w:val="0"/>
          <w:u w:val="single"/>
          <w:lang w:bidi="ar"/>
        </w:rPr>
        <w:t>盖章</w:t>
      </w:r>
      <w:r>
        <w:rPr>
          <w:rFonts w:hint="eastAsia" w:ascii="宋体" w:hAnsi="宋体" w:eastAsia="宋体" w:cs="仿宋"/>
          <w:color w:val="auto"/>
          <w:szCs w:val="20"/>
          <w:u w:val="single"/>
        </w:rPr>
        <w:t xml:space="preserve">）            </w:t>
      </w:r>
    </w:p>
    <w:p>
      <w:pPr>
        <w:spacing w:line="620" w:lineRule="exact"/>
        <w:rPr>
          <w:rFonts w:ascii="宋体" w:hAnsi="宋体" w:eastAsia="宋体" w:cs="仿宋"/>
          <w:color w:val="auto"/>
          <w:szCs w:val="20"/>
          <w:u w:val="single"/>
        </w:rPr>
      </w:pPr>
      <w:r>
        <w:rPr>
          <w:rFonts w:hint="eastAsia" w:ascii="宋体" w:hAnsi="宋体" w:eastAsia="宋体" w:cs="仿宋"/>
          <w:color w:val="auto"/>
          <w:szCs w:val="20"/>
        </w:rPr>
        <w:t>法定代表人或其委托代理人：</w:t>
      </w:r>
      <w:r>
        <w:rPr>
          <w:rFonts w:hint="eastAsia" w:ascii="宋体" w:hAnsi="宋体" w:eastAsia="宋体" w:cs="仿宋"/>
          <w:color w:val="auto"/>
          <w:szCs w:val="20"/>
          <w:u w:val="single"/>
        </w:rPr>
        <w:t xml:space="preserve">  （签字或盖章）  </w:t>
      </w:r>
    </w:p>
    <w:p>
      <w:pPr>
        <w:spacing w:line="620" w:lineRule="exact"/>
        <w:rPr>
          <w:rFonts w:ascii="宋体" w:hAnsi="宋体" w:eastAsia="宋体" w:cs="宋体"/>
          <w:color w:val="auto"/>
          <w:szCs w:val="20"/>
        </w:rPr>
      </w:pPr>
      <w:r>
        <w:rPr>
          <w:rFonts w:hint="eastAsia" w:ascii="宋体" w:hAnsi="宋体" w:eastAsia="宋体" w:cs="仿宋"/>
          <w:color w:val="auto"/>
          <w:szCs w:val="20"/>
        </w:rPr>
        <w:t>日期：</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ascii="宋体" w:hAnsi="宋体" w:eastAsia="宋体" w:cs="仿宋"/>
          <w:color w:val="auto"/>
          <w:szCs w:val="20"/>
          <w:u w:val="single"/>
        </w:rPr>
        <w:t xml:space="preserve"> </w:t>
      </w:r>
      <w:r>
        <w:rPr>
          <w:rFonts w:hint="eastAsia" w:ascii="宋体" w:hAnsi="宋体" w:eastAsia="宋体" w:cs="仿宋"/>
          <w:color w:val="auto"/>
          <w:szCs w:val="20"/>
        </w:rPr>
        <w:t>年</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月</w:t>
      </w:r>
      <w:r>
        <w:rPr>
          <w:rFonts w:ascii="宋体" w:hAnsi="宋体" w:eastAsia="宋体" w:cs="仿宋"/>
          <w:color w:val="auto"/>
          <w:szCs w:val="20"/>
          <w:u w:val="single"/>
        </w:rPr>
        <w:t xml:space="preserve">  </w:t>
      </w:r>
      <w:r>
        <w:rPr>
          <w:rFonts w:hint="eastAsia" w:ascii="宋体" w:hAnsi="宋体" w:eastAsia="宋体" w:cs="仿宋"/>
          <w:color w:val="auto"/>
          <w:szCs w:val="20"/>
          <w:u w:val="single"/>
        </w:rPr>
        <w:t xml:space="preserve">  </w:t>
      </w:r>
      <w:r>
        <w:rPr>
          <w:rFonts w:hint="eastAsia" w:ascii="宋体" w:hAnsi="宋体" w:eastAsia="宋体" w:cs="仿宋"/>
          <w:color w:val="auto"/>
          <w:szCs w:val="20"/>
        </w:rPr>
        <w:t>日</w:t>
      </w:r>
    </w:p>
    <w:p>
      <w:pPr>
        <w:rPr>
          <w:rFonts w:ascii="Times New Roman" w:hAnsi="Times New Roman" w:eastAsia="宋体" w:cs="Times New Roman"/>
          <w:color w:val="auto"/>
        </w:rPr>
      </w:pPr>
    </w:p>
    <w:p>
      <w:pPr>
        <w:rPr>
          <w:rFonts w:ascii="Times New Roman" w:hAnsi="Times New Roman" w:eastAsia="宋体" w:cs="Times New Roman"/>
          <w:color w:val="auto"/>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spacing w:after="120"/>
        <w:rPr>
          <w:rFonts w:hint="eastAsia"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rPr>
        <w:t>（七）</w:t>
      </w:r>
      <w:r>
        <w:rPr>
          <w:rFonts w:hint="eastAsia" w:cs="Times New Roman"/>
          <w:b/>
          <w:color w:val="auto"/>
          <w:sz w:val="28"/>
          <w:szCs w:val="28"/>
          <w:lang w:eastAsia="zh-CN"/>
        </w:rPr>
        <w:t>招标文件文件规定的其他证明材料</w:t>
      </w:r>
    </w:p>
    <w:p>
      <w:pPr>
        <w:spacing w:after="120"/>
        <w:rPr>
          <w:rFonts w:hint="eastAsia" w:ascii="Times New Roman" w:hAnsi="Times New Roman" w:eastAsia="宋体" w:cs="Times New Roman"/>
          <w:b/>
          <w:color w:val="auto"/>
          <w:sz w:val="28"/>
          <w:szCs w:val="28"/>
        </w:rPr>
      </w:pPr>
    </w:p>
    <w:p>
      <w:pPr>
        <w:spacing w:after="120"/>
        <w:rPr>
          <w:rFonts w:hint="eastAsia" w:ascii="Times New Roman" w:hAnsi="Times New Roman" w:eastAsia="宋体" w:cs="Times New Roman"/>
          <w:b/>
          <w:color w:val="auto"/>
          <w:sz w:val="28"/>
          <w:szCs w:val="28"/>
        </w:rPr>
      </w:pPr>
    </w:p>
    <w:p>
      <w:pPr>
        <w:spacing w:after="120"/>
        <w:rPr>
          <w:rFonts w:ascii="Times New Roman" w:hAnsi="Times New Roman" w:eastAsia="宋体" w:cs="Times New Roman"/>
          <w:b/>
          <w:color w:val="auto"/>
          <w:sz w:val="28"/>
          <w:szCs w:val="28"/>
        </w:rPr>
      </w:pPr>
    </w:p>
    <w:p>
      <w:pPr>
        <w:rPr>
          <w:rFonts w:ascii="宋体" w:hAnsi="宋体" w:eastAsia="宋体" w:cs="宋体"/>
          <w:b/>
          <w:color w:val="auto"/>
          <w:sz w:val="28"/>
          <w:szCs w:val="28"/>
        </w:rPr>
      </w:pPr>
    </w:p>
    <w:p>
      <w:pPr>
        <w:rPr>
          <w:rFonts w:ascii="宋体" w:hAnsi="宋体" w:eastAsia="宋体" w:cs="宋体"/>
          <w:b/>
          <w:color w:val="auto"/>
          <w:sz w:val="28"/>
          <w:szCs w:val="28"/>
        </w:rPr>
      </w:pPr>
    </w:p>
    <w:p>
      <w:pPr>
        <w:rPr>
          <w:rFonts w:ascii="宋体" w:hAnsi="宋体" w:eastAsia="宋体" w:cs="宋体"/>
          <w:b/>
          <w:color w:val="auto"/>
          <w:sz w:val="28"/>
          <w:szCs w:val="28"/>
        </w:rPr>
      </w:pPr>
      <w:r>
        <w:rPr>
          <w:rFonts w:hint="eastAsia" w:ascii="宋体" w:hAnsi="宋体" w:eastAsia="宋体" w:cs="宋体"/>
          <w:b/>
          <w:color w:val="auto"/>
          <w:sz w:val="28"/>
          <w:szCs w:val="28"/>
        </w:rPr>
        <w:br w:type="page"/>
      </w:r>
    </w:p>
    <w:p>
      <w:pPr>
        <w:spacing w:line="360" w:lineRule="exact"/>
        <w:jc w:val="center"/>
        <w:outlineLvl w:val="1"/>
        <w:rPr>
          <w:rFonts w:ascii="宋体" w:hAnsi="宋体" w:eastAsia="宋体" w:cs="宋体"/>
          <w:b/>
          <w:color w:val="auto"/>
          <w:sz w:val="28"/>
          <w:szCs w:val="28"/>
        </w:rPr>
      </w:pPr>
      <w:r>
        <w:rPr>
          <w:rFonts w:hint="eastAsia" w:ascii="宋体" w:hAnsi="宋体" w:eastAsia="宋体" w:cs="宋体"/>
          <w:b/>
          <w:color w:val="auto"/>
          <w:sz w:val="28"/>
          <w:szCs w:val="28"/>
        </w:rPr>
        <w:t>十一、反商业贿赂承诺书</w:t>
      </w:r>
    </w:p>
    <w:p>
      <w:pPr>
        <w:keepNext/>
        <w:keepLines/>
        <w:jc w:val="center"/>
        <w:outlineLvl w:val="3"/>
        <w:rPr>
          <w:rFonts w:ascii="宋体" w:hAnsi="宋体" w:eastAsia="宋体" w:cs="Times New Roman"/>
          <w:b/>
          <w:color w:val="auto"/>
          <w:sz w:val="28"/>
          <w:szCs w:val="28"/>
        </w:rPr>
      </w:pPr>
      <w:r>
        <w:rPr>
          <w:rFonts w:hint="eastAsia" w:ascii="宋体" w:hAnsi="宋体" w:eastAsia="宋体" w:cs="Times New Roman"/>
          <w:b/>
          <w:color w:val="auto"/>
          <w:sz w:val="28"/>
          <w:szCs w:val="28"/>
        </w:rPr>
        <w:t>（格式仅供参考）</w:t>
      </w:r>
    </w:p>
    <w:p>
      <w:pPr>
        <w:widowControl w:val="0"/>
        <w:spacing w:line="400" w:lineRule="exact"/>
        <w:rPr>
          <w:rFonts w:ascii="Times New Roman" w:hAnsi="Times New Roman" w:eastAsia="宋体" w:cs="Times New Roman"/>
          <w:color w:val="auto"/>
          <w:kern w:val="2"/>
          <w:sz w:val="24"/>
          <w:szCs w:val="24"/>
          <w:lang w:val="en-US" w:eastAsia="zh-CN" w:bidi="ar-SA"/>
        </w:rPr>
      </w:pPr>
    </w:p>
    <w:p>
      <w:pPr>
        <w:spacing w:line="360" w:lineRule="auto"/>
        <w:rPr>
          <w:rFonts w:ascii="宋体" w:hAnsi="宋体" w:eastAsia="宋体" w:cs="宋体"/>
          <w:color w:val="auto"/>
        </w:rPr>
      </w:pPr>
      <w:r>
        <w:rPr>
          <w:rFonts w:hint="eastAsia" w:ascii="宋体" w:hAnsi="宋体" w:eastAsia="宋体" w:cs="宋体"/>
          <w:color w:val="auto"/>
        </w:rPr>
        <w:t>我公司承诺：</w:t>
      </w:r>
    </w:p>
    <w:p>
      <w:pPr>
        <w:spacing w:line="360" w:lineRule="auto"/>
        <w:ind w:firstLine="480" w:firstLineChars="200"/>
        <w:rPr>
          <w:rFonts w:ascii="宋体" w:hAnsi="宋体" w:eastAsia="宋体" w:cs="宋体"/>
          <w:color w:val="auto"/>
        </w:rPr>
      </w:pPr>
      <w:r>
        <w:rPr>
          <w:rFonts w:hint="eastAsia" w:ascii="宋体" w:hAnsi="宋体" w:eastAsia="宋体" w:cs="宋体"/>
          <w:color w:val="auto"/>
        </w:rPr>
        <w:t>在本次招标活动中，我公司保证做到：</w:t>
      </w:r>
    </w:p>
    <w:p>
      <w:pPr>
        <w:spacing w:line="360" w:lineRule="auto"/>
        <w:ind w:firstLine="480" w:firstLineChars="200"/>
        <w:rPr>
          <w:rFonts w:ascii="宋体" w:hAnsi="宋体" w:eastAsia="宋体" w:cs="宋体"/>
          <w:color w:val="auto"/>
        </w:rPr>
      </w:pPr>
      <w:r>
        <w:rPr>
          <w:rFonts w:hint="eastAsia" w:ascii="宋体" w:hAnsi="宋体" w:eastAsia="宋体" w:cs="宋体"/>
          <w:color w:val="auto"/>
        </w:rPr>
        <w:t>一、公平竞争参加本次招标活动。</w:t>
      </w:r>
    </w:p>
    <w:p>
      <w:pPr>
        <w:spacing w:line="360" w:lineRule="auto"/>
        <w:ind w:firstLine="480" w:firstLineChars="200"/>
        <w:rPr>
          <w:rFonts w:ascii="宋体" w:hAnsi="宋体" w:eastAsia="宋体" w:cs="宋体"/>
          <w:color w:val="auto"/>
        </w:rPr>
      </w:pPr>
      <w:r>
        <w:rPr>
          <w:rFonts w:hint="eastAsia" w:ascii="宋体" w:hAnsi="宋体" w:eastAsia="宋体" w:cs="宋体"/>
          <w:color w:val="auto"/>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pPr>
        <w:spacing w:line="360" w:lineRule="auto"/>
        <w:ind w:firstLine="480" w:firstLineChars="200"/>
        <w:rPr>
          <w:rFonts w:ascii="宋体" w:hAnsi="宋体" w:eastAsia="宋体" w:cs="宋体"/>
          <w:color w:val="auto"/>
        </w:rPr>
      </w:pPr>
      <w:r>
        <w:rPr>
          <w:rFonts w:hint="eastAsia" w:ascii="宋体" w:hAnsi="宋体" w:eastAsia="宋体" w:cs="宋体"/>
          <w:color w:val="auto"/>
        </w:rPr>
        <w:t>三、若出现上述行为，我公司及参与招标的工作人员愿意接受按照国家法律法规等有关规定给予的处罚。</w:t>
      </w:r>
    </w:p>
    <w:p>
      <w:pPr>
        <w:spacing w:line="600" w:lineRule="exact"/>
        <w:rPr>
          <w:rFonts w:ascii="宋体" w:hAnsi="宋体" w:eastAsia="宋体" w:cs="宋体"/>
          <w:color w:val="auto"/>
        </w:rPr>
      </w:pPr>
    </w:p>
    <w:p>
      <w:pPr>
        <w:spacing w:line="600" w:lineRule="exact"/>
        <w:ind w:left="547" w:leftChars="228"/>
        <w:rPr>
          <w:rFonts w:ascii="宋体" w:hAnsi="宋体" w:eastAsia="宋体" w:cs="宋体"/>
          <w:color w:val="auto"/>
        </w:rPr>
      </w:pPr>
      <w:r>
        <w:rPr>
          <w:rFonts w:hint="eastAsia" w:ascii="宋体" w:hAnsi="宋体" w:eastAsia="宋体" w:cs="宋体"/>
          <w:color w:val="auto"/>
        </w:rPr>
        <w:t>投标供应商：</w:t>
      </w:r>
      <w:r>
        <w:rPr>
          <w:rFonts w:hint="eastAsia" w:ascii="宋体" w:hAnsi="宋体" w:eastAsia="宋体" w:cs="宋体"/>
          <w:color w:val="auto"/>
          <w:u w:val="single"/>
        </w:rPr>
        <w:t xml:space="preserve">（盖章）                       </w:t>
      </w:r>
      <w:r>
        <w:rPr>
          <w:rFonts w:hint="eastAsia" w:ascii="宋体" w:hAnsi="宋体" w:eastAsia="宋体" w:cs="宋体"/>
          <w:color w:val="auto"/>
        </w:rPr>
        <w:t> </w:t>
      </w:r>
      <w:r>
        <w:rPr>
          <w:rFonts w:hint="eastAsia" w:ascii="宋体" w:hAnsi="宋体" w:eastAsia="宋体" w:cs="宋体"/>
          <w:color w:val="auto"/>
        </w:rPr>
        <w:br w:type="textWrapping"/>
      </w:r>
      <w:r>
        <w:rPr>
          <w:rFonts w:hint="eastAsia" w:ascii="宋体" w:hAnsi="宋体" w:eastAsia="宋体" w:cs="宋体"/>
          <w:color w:val="auto"/>
        </w:rPr>
        <w:t>法定代表人或委托代理人：</w:t>
      </w:r>
      <w:r>
        <w:rPr>
          <w:rFonts w:hint="eastAsia" w:ascii="宋体" w:hAnsi="宋体" w:eastAsia="宋体" w:cs="宋体"/>
          <w:color w:val="auto"/>
          <w:u w:val="single"/>
        </w:rPr>
        <w:t xml:space="preserve">（签字或盖章）     </w:t>
      </w:r>
      <w:r>
        <w:rPr>
          <w:rFonts w:hint="eastAsia" w:ascii="宋体" w:hAnsi="宋体" w:eastAsia="宋体" w:cs="宋体"/>
          <w:color w:val="auto"/>
        </w:rPr>
        <w:t> </w:t>
      </w:r>
    </w:p>
    <w:p>
      <w:pPr>
        <w:bidi w:val="0"/>
        <w:rPr>
          <w:rFonts w:ascii="Times New Roman" w:hAnsi="Times New Roman" w:eastAsia="宋体" w:cs="Times New Roman"/>
          <w:color w:val="auto"/>
        </w:rPr>
      </w:pPr>
    </w:p>
    <w:p>
      <w:pPr>
        <w:widowControl/>
        <w:rPr>
          <w:rFonts w:ascii="宋体" w:hAnsi="宋体" w:eastAsia="宋体" w:cs="宋体"/>
          <w:b/>
          <w:color w:val="auto"/>
          <w:sz w:val="32"/>
          <w:szCs w:val="32"/>
        </w:rPr>
      </w:pPr>
    </w:p>
    <w:p>
      <w:pPr>
        <w:widowControl/>
        <w:rPr>
          <w:rFonts w:ascii="宋体" w:hAnsi="宋体" w:eastAsia="宋体" w:cs="宋体"/>
          <w:b/>
          <w:color w:val="auto"/>
          <w:sz w:val="32"/>
          <w:szCs w:val="32"/>
        </w:rPr>
      </w:pPr>
    </w:p>
    <w:p>
      <w:pPr>
        <w:rPr>
          <w:rFonts w:ascii="Times New Roman" w:hAnsi="Times New Roman" w:eastAsia="宋体" w:cs="Times New Roman"/>
          <w:color w:val="auto"/>
          <w:szCs w:val="32"/>
        </w:rPr>
      </w:pPr>
      <w:r>
        <w:rPr>
          <w:rFonts w:hint="eastAsia" w:ascii="宋体" w:hAnsi="宋体" w:eastAsia="宋体" w:cs="宋体"/>
          <w:b/>
          <w:color w:val="auto"/>
          <w:sz w:val="28"/>
          <w:szCs w:val="28"/>
        </w:rPr>
        <w:br w:type="page"/>
      </w:r>
      <w:bookmarkStart w:id="400" w:name="_Toc24339"/>
      <w:bookmarkStart w:id="401" w:name="_Toc23909"/>
    </w:p>
    <w:p>
      <w:pPr>
        <w:keepNext/>
        <w:keepLines/>
        <w:widowControl w:val="0"/>
        <w:adjustRightInd w:val="0"/>
        <w:spacing w:before="120" w:after="120" w:line="160" w:lineRule="atLeast"/>
        <w:jc w:val="both"/>
        <w:textAlignment w:val="baseline"/>
        <w:outlineLvl w:val="1"/>
        <w:rPr>
          <w:rFonts w:ascii="宋体" w:hAnsi="宋体" w:eastAsia="宋体" w:cs="宋体"/>
          <w:b/>
          <w:color w:val="auto"/>
          <w:kern w:val="0"/>
          <w:sz w:val="30"/>
          <w:szCs w:val="32"/>
          <w:lang w:val="en-US" w:eastAsia="zh-CN" w:bidi="ar-SA"/>
        </w:rPr>
      </w:pPr>
      <w:bookmarkStart w:id="402" w:name="_Toc25897"/>
      <w:bookmarkStart w:id="403" w:name="_Toc15775"/>
      <w:bookmarkStart w:id="404" w:name="_Toc26792"/>
      <w:bookmarkStart w:id="405" w:name="_Toc31488"/>
      <w:bookmarkStart w:id="406" w:name="_Toc5523"/>
      <w:bookmarkStart w:id="407" w:name="_Toc26646"/>
      <w:bookmarkStart w:id="408" w:name="_Toc10643"/>
      <w:bookmarkStart w:id="409" w:name="_Toc30024"/>
      <w:r>
        <w:rPr>
          <w:rFonts w:hint="eastAsia" w:ascii="宋体" w:hAnsi="宋体" w:eastAsia="宋体" w:cs="宋体"/>
          <w:b/>
          <w:color w:val="auto"/>
          <w:kern w:val="0"/>
          <w:sz w:val="30"/>
          <w:szCs w:val="32"/>
          <w:lang w:val="en-US" w:eastAsia="zh-CN" w:bidi="ar-SA"/>
        </w:rPr>
        <w:t>十</w:t>
      </w:r>
      <w:r>
        <w:rPr>
          <w:rFonts w:hint="eastAsia" w:ascii="宋体" w:hAnsi="宋体" w:cs="宋体"/>
          <w:b/>
          <w:color w:val="auto"/>
          <w:kern w:val="0"/>
          <w:sz w:val="30"/>
          <w:szCs w:val="32"/>
          <w:lang w:val="en-US" w:eastAsia="zh-CN" w:bidi="ar-SA"/>
        </w:rPr>
        <w:t>二</w:t>
      </w:r>
      <w:r>
        <w:rPr>
          <w:rFonts w:hint="eastAsia" w:ascii="宋体" w:hAnsi="宋体" w:eastAsia="宋体" w:cs="宋体"/>
          <w:b/>
          <w:color w:val="auto"/>
          <w:kern w:val="0"/>
          <w:sz w:val="30"/>
          <w:szCs w:val="32"/>
          <w:lang w:val="en-US" w:eastAsia="zh-CN" w:bidi="ar-SA"/>
        </w:rPr>
        <w:t>、</w:t>
      </w:r>
      <w:bookmarkStart w:id="410" w:name="_Toc497920544"/>
      <w:bookmarkStart w:id="411" w:name="_Toc500170705"/>
      <w:r>
        <w:rPr>
          <w:rFonts w:hint="eastAsia" w:ascii="宋体" w:hAnsi="宋体" w:eastAsia="宋体" w:cs="宋体"/>
          <w:b/>
          <w:color w:val="auto"/>
          <w:kern w:val="0"/>
          <w:sz w:val="30"/>
          <w:szCs w:val="32"/>
          <w:lang w:val="en-US" w:eastAsia="zh-CN" w:bidi="ar-SA"/>
        </w:rPr>
        <w:t>中小微企业、残疾人福利企业、监狱企业、节能环保产品</w:t>
      </w:r>
      <w:bookmarkEnd w:id="400"/>
      <w:bookmarkEnd w:id="401"/>
      <w:bookmarkEnd w:id="402"/>
      <w:bookmarkEnd w:id="403"/>
      <w:bookmarkEnd w:id="404"/>
      <w:bookmarkEnd w:id="405"/>
      <w:bookmarkEnd w:id="406"/>
      <w:bookmarkEnd w:id="407"/>
      <w:bookmarkEnd w:id="408"/>
      <w:bookmarkEnd w:id="409"/>
    </w:p>
    <w:bookmarkEnd w:id="410"/>
    <w:bookmarkEnd w:id="411"/>
    <w:p>
      <w:pPr>
        <w:jc w:val="center"/>
        <w:rPr>
          <w:rFonts w:ascii="Times New Roman" w:hAnsi="Times New Roman" w:eastAsia="宋体" w:cs="Times New Roman"/>
          <w:b/>
          <w:color w:val="auto"/>
          <w:sz w:val="28"/>
          <w:szCs w:val="28"/>
        </w:rPr>
      </w:pPr>
      <w:bookmarkStart w:id="412" w:name="_Toc497920545"/>
      <w:bookmarkStart w:id="413" w:name="_Toc500170706"/>
      <w:bookmarkStart w:id="414" w:name="_Hlk492844196"/>
    </w:p>
    <w:p>
      <w:pPr>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（一）中小企业声明函（货物）</w:t>
      </w:r>
    </w:p>
    <w:p>
      <w:pPr>
        <w:widowControl w:val="0"/>
        <w:wordWrap w:val="0"/>
        <w:spacing w:beforeAutospacing="0" w:afterAutospacing="0" w:line="540" w:lineRule="exact"/>
        <w:ind w:firstLine="480" w:firstLineChars="200"/>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本公司</w:t>
      </w:r>
      <w:r>
        <w:rPr>
          <w:rFonts w:hint="eastAsia" w:ascii="Times New Roman" w:hAnsi="Times New Roman" w:eastAsia="宋体" w:cs="Times New Roman"/>
          <w:color w:val="auto"/>
          <w:kern w:val="2"/>
          <w:sz w:val="24"/>
          <w:szCs w:val="24"/>
          <w:lang w:val="en-US" w:eastAsia="zh-CN" w:bidi="ar-SA"/>
        </w:rPr>
        <w:t>（联合体）</w:t>
      </w:r>
      <w:r>
        <w:rPr>
          <w:rFonts w:ascii="Times New Roman" w:hAnsi="Times New Roman" w:eastAsia="宋体" w:cs="Times New Roman"/>
          <w:color w:val="auto"/>
          <w:kern w:val="2"/>
          <w:sz w:val="24"/>
          <w:szCs w:val="24"/>
          <w:lang w:val="en-US" w:eastAsia="zh-CN" w:bidi="ar-SA"/>
        </w:rPr>
        <w:t>郑重声明，</w:t>
      </w:r>
      <w:bookmarkStart w:id="415" w:name="_Hlk484015033"/>
      <w:r>
        <w:rPr>
          <w:rFonts w:ascii="Times New Roman" w:hAnsi="Times New Roman" w:eastAsia="宋体" w:cs="Times New Roman"/>
          <w:color w:val="auto"/>
          <w:kern w:val="2"/>
          <w:sz w:val="24"/>
          <w:szCs w:val="24"/>
          <w:lang w:val="en-US" w:eastAsia="zh-CN" w:bidi="ar-SA"/>
        </w:rPr>
        <w:t>根据《政府采购促进中小企业发展</w:t>
      </w:r>
      <w:r>
        <w:rPr>
          <w:rFonts w:hint="eastAsia" w:ascii="Times New Roman" w:hAnsi="Times New Roman" w:eastAsia="宋体" w:cs="Times New Roman"/>
          <w:color w:val="auto"/>
          <w:kern w:val="2"/>
          <w:sz w:val="24"/>
          <w:szCs w:val="24"/>
          <w:lang w:val="en-US" w:eastAsia="zh-CN" w:bidi="ar-SA"/>
        </w:rPr>
        <w:t>管理</w:t>
      </w:r>
      <w:r>
        <w:rPr>
          <w:rFonts w:ascii="Times New Roman" w:hAnsi="Times New Roman" w:eastAsia="宋体" w:cs="Times New Roman"/>
          <w:color w:val="auto"/>
          <w:kern w:val="2"/>
          <w:sz w:val="24"/>
          <w:szCs w:val="24"/>
          <w:lang w:val="en-US" w:eastAsia="zh-CN" w:bidi="ar-SA"/>
        </w:rPr>
        <w:t>办法》（财库[2020]46号）</w:t>
      </w:r>
      <w:bookmarkEnd w:id="415"/>
      <w:r>
        <w:rPr>
          <w:rFonts w:ascii="Times New Roman" w:hAnsi="Times New Roman" w:eastAsia="宋体" w:cs="Times New Roman"/>
          <w:color w:val="auto"/>
          <w:kern w:val="2"/>
          <w:sz w:val="24"/>
          <w:szCs w:val="24"/>
          <w:lang w:val="en-US" w:eastAsia="zh-CN" w:bidi="ar-SA"/>
        </w:rPr>
        <w:t>的规定，本公司</w:t>
      </w:r>
      <w:r>
        <w:rPr>
          <w:rFonts w:hint="eastAsia" w:ascii="Times New Roman" w:hAnsi="Times New Roman" w:eastAsia="宋体" w:cs="Times New Roman"/>
          <w:color w:val="auto"/>
          <w:kern w:val="2"/>
          <w:sz w:val="24"/>
          <w:szCs w:val="24"/>
          <w:lang w:val="en-US" w:eastAsia="zh-CN" w:bidi="ar-SA"/>
        </w:rPr>
        <w:t>（联合体）参加</w:t>
      </w:r>
      <w:r>
        <w:rPr>
          <w:rFonts w:hint="eastAsia" w:ascii="Times New Roman" w:hAnsi="Times New Roman" w:eastAsia="宋体" w:cs="Times New Roman"/>
          <w:color w:val="auto"/>
          <w:kern w:val="2"/>
          <w:sz w:val="24"/>
          <w:szCs w:val="24"/>
          <w:u w:val="single"/>
          <w:lang w:val="en-US" w:eastAsia="zh-CN" w:bidi="ar-SA"/>
        </w:rPr>
        <w:t xml:space="preserve"> （单位</w:t>
      </w:r>
      <w:r>
        <w:rPr>
          <w:rFonts w:ascii="Times New Roman" w:hAnsi="Times New Roman" w:eastAsia="宋体" w:cs="Times New Roman"/>
          <w:color w:val="auto"/>
          <w:kern w:val="2"/>
          <w:sz w:val="24"/>
          <w:szCs w:val="24"/>
          <w:u w:val="single"/>
          <w:lang w:val="en-US" w:eastAsia="zh-CN" w:bidi="ar-SA"/>
        </w:rPr>
        <w:t>名称</w:t>
      </w:r>
      <w:r>
        <w:rPr>
          <w:rFonts w:hint="eastAsia" w:ascii="Times New Roman" w:hAnsi="Times New Roman" w:eastAsia="宋体" w:cs="Times New Roman"/>
          <w:color w:val="auto"/>
          <w:kern w:val="2"/>
          <w:sz w:val="24"/>
          <w:szCs w:val="24"/>
          <w:u w:val="single"/>
          <w:lang w:val="en-US" w:eastAsia="zh-CN" w:bidi="ar-SA"/>
        </w:rPr>
        <w:t xml:space="preserve">）  </w:t>
      </w:r>
      <w:r>
        <w:rPr>
          <w:rFonts w:hint="eastAsia" w:ascii="Times New Roman" w:hAnsi="Times New Roman" w:eastAsia="宋体" w:cs="Times New Roman"/>
          <w:color w:val="auto"/>
          <w:kern w:val="2"/>
          <w:sz w:val="24"/>
          <w:szCs w:val="24"/>
          <w:lang w:val="en-US" w:eastAsia="zh-CN" w:bidi="ar-SA"/>
        </w:rPr>
        <w:t>的</w:t>
      </w:r>
      <w:r>
        <w:rPr>
          <w:rFonts w:hint="eastAsia" w:ascii="Times New Roman" w:hAnsi="Times New Roman" w:eastAsia="宋体" w:cs="Times New Roman"/>
          <w:color w:val="auto"/>
          <w:kern w:val="2"/>
          <w:sz w:val="24"/>
          <w:szCs w:val="24"/>
          <w:u w:val="single"/>
          <w:lang w:val="en-US" w:eastAsia="zh-CN" w:bidi="ar-SA"/>
        </w:rPr>
        <w:t>（项目</w:t>
      </w:r>
      <w:r>
        <w:rPr>
          <w:rFonts w:ascii="Times New Roman" w:hAnsi="Times New Roman" w:eastAsia="宋体" w:cs="Times New Roman"/>
          <w:color w:val="auto"/>
          <w:kern w:val="2"/>
          <w:sz w:val="24"/>
          <w:szCs w:val="24"/>
          <w:u w:val="single"/>
          <w:lang w:val="en-US" w:eastAsia="zh-CN" w:bidi="ar-SA"/>
        </w:rPr>
        <w:t>名称</w:t>
      </w:r>
      <w:r>
        <w:rPr>
          <w:rFonts w:hint="eastAsia"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lang w:val="en-US" w:eastAsia="zh-CN" w:bidi="ar-SA"/>
        </w:rPr>
        <w:t>采购</w:t>
      </w:r>
      <w:r>
        <w:rPr>
          <w:rFonts w:ascii="Times New Roman" w:hAnsi="Times New Roman" w:eastAsia="宋体" w:cs="Times New Roman"/>
          <w:color w:val="auto"/>
          <w:kern w:val="2"/>
          <w:sz w:val="24"/>
          <w:szCs w:val="24"/>
          <w:lang w:val="en-US" w:eastAsia="zh-CN" w:bidi="ar-SA"/>
        </w:rPr>
        <w:t>活动</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提供的货物全部由符合政策要求的中小企业制造。</w:t>
      </w:r>
      <w:r>
        <w:rPr>
          <w:rFonts w:hint="eastAsia" w:ascii="Times New Roman" w:hAnsi="Times New Roman" w:eastAsia="宋体" w:cs="Times New Roman"/>
          <w:color w:val="auto"/>
          <w:kern w:val="2"/>
          <w:sz w:val="24"/>
          <w:szCs w:val="24"/>
          <w:lang w:val="en-US" w:eastAsia="zh-CN" w:bidi="ar-SA"/>
        </w:rPr>
        <w:t>相关企业</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含</w:t>
      </w:r>
      <w:r>
        <w:rPr>
          <w:rFonts w:ascii="Times New Roman" w:hAnsi="Times New Roman" w:eastAsia="宋体" w:cs="Times New Roman"/>
          <w:color w:val="auto"/>
          <w:kern w:val="2"/>
          <w:sz w:val="24"/>
          <w:szCs w:val="24"/>
          <w:lang w:val="en-US" w:eastAsia="zh-CN" w:bidi="ar-SA"/>
        </w:rPr>
        <w:t>联合体中的中小企业、签订分包意向协议的中小企业</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的具体情况如下：</w:t>
      </w:r>
    </w:p>
    <w:p>
      <w:pPr>
        <w:widowControl w:val="0"/>
        <w:wordWrap w:val="0"/>
        <w:spacing w:beforeAutospacing="0" w:afterAutospacing="0" w:line="540" w:lineRule="exact"/>
        <w:ind w:firstLine="480" w:firstLineChars="200"/>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u w:val="single"/>
          <w:lang w:val="en-US" w:eastAsia="zh-CN" w:bidi="ar-SA"/>
        </w:rPr>
        <w:t>（标的名称）</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属于</w:t>
      </w:r>
      <w:r>
        <w:rPr>
          <w:rFonts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u w:val="single"/>
          <w:lang w:val="en-US" w:eastAsia="zh-CN" w:bidi="ar-SA"/>
        </w:rPr>
        <w:t>采购</w:t>
      </w:r>
      <w:r>
        <w:rPr>
          <w:rFonts w:ascii="Times New Roman" w:hAnsi="Times New Roman" w:eastAsia="宋体" w:cs="Times New Roman"/>
          <w:color w:val="auto"/>
          <w:kern w:val="2"/>
          <w:sz w:val="24"/>
          <w:szCs w:val="24"/>
          <w:u w:val="single"/>
          <w:lang w:val="en-US" w:eastAsia="zh-CN" w:bidi="ar-SA"/>
        </w:rPr>
        <w:t>文件中明确的所属行业）</w:t>
      </w:r>
      <w:r>
        <w:rPr>
          <w:rFonts w:hint="eastAsia" w:ascii="Times New Roman" w:hAnsi="Times New Roman" w:eastAsia="宋体" w:cs="Times New Roman"/>
          <w:color w:val="auto"/>
          <w:kern w:val="2"/>
          <w:sz w:val="24"/>
          <w:szCs w:val="24"/>
          <w:u w:val="single"/>
          <w:lang w:val="en-US" w:eastAsia="zh-CN" w:bidi="ar-SA"/>
        </w:rPr>
        <w:t>行业</w:t>
      </w:r>
      <w:r>
        <w:rPr>
          <w:rFonts w:ascii="Times New Roman" w:hAnsi="Times New Roman" w:eastAsia="宋体" w:cs="Times New Roman"/>
          <w:color w:val="auto"/>
          <w:kern w:val="2"/>
          <w:sz w:val="24"/>
          <w:szCs w:val="24"/>
          <w:lang w:val="en-US" w:eastAsia="zh-CN" w:bidi="ar-SA"/>
        </w:rPr>
        <w:t>；制造商为</w:t>
      </w:r>
      <w:r>
        <w:rPr>
          <w:rFonts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u w:val="single"/>
          <w:lang w:val="en-US" w:eastAsia="zh-CN" w:bidi="ar-SA"/>
        </w:rPr>
        <w:t>投标供应商名称</w:t>
      </w:r>
      <w:r>
        <w:rPr>
          <w:rFonts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从业人员</w:t>
      </w:r>
      <w:r>
        <w:rPr>
          <w:rFonts w:hint="eastAsia"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人，营业收入为</w:t>
      </w:r>
      <w:r>
        <w:rPr>
          <w:rFonts w:hint="eastAsia"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万元，资产总额</w:t>
      </w:r>
      <w:r>
        <w:rPr>
          <w:rFonts w:hint="eastAsia" w:ascii="Times New Roman" w:hAnsi="Times New Roman" w:eastAsia="宋体" w:cs="Times New Roman"/>
          <w:color w:val="auto"/>
          <w:kern w:val="2"/>
          <w:sz w:val="24"/>
          <w:szCs w:val="24"/>
          <w:lang w:val="en-US" w:eastAsia="zh-CN" w:bidi="ar-SA"/>
        </w:rPr>
        <w:t>为</w:t>
      </w:r>
      <w:r>
        <w:rPr>
          <w:rFonts w:hint="eastAsia"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万元</w:t>
      </w:r>
      <w:r>
        <w:rPr>
          <w:rFonts w:hint="eastAsia" w:ascii="Times New Roman" w:hAnsi="Times New Roman" w:eastAsia="宋体" w:cs="Times New Roman"/>
          <w:color w:val="auto"/>
          <w:kern w:val="2"/>
          <w:sz w:val="24"/>
          <w:szCs w:val="24"/>
          <w:vertAlign w:val="superscript"/>
          <w:lang w:val="en-US" w:eastAsia="zh-CN" w:bidi="ar-SA"/>
        </w:rPr>
        <w:t>1</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属于</w:t>
      </w:r>
      <w:r>
        <w:rPr>
          <w:rFonts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u w:val="single"/>
          <w:lang w:val="en-US" w:eastAsia="zh-CN" w:bidi="ar-SA"/>
        </w:rPr>
        <w:t>中型企业</w:t>
      </w:r>
      <w:r>
        <w:rPr>
          <w:rFonts w:ascii="Times New Roman" w:hAnsi="Times New Roman" w:eastAsia="宋体" w:cs="Times New Roman"/>
          <w:color w:val="auto"/>
          <w:kern w:val="2"/>
          <w:sz w:val="24"/>
          <w:szCs w:val="24"/>
          <w:u w:val="single"/>
          <w:lang w:val="en-US" w:eastAsia="zh-CN" w:bidi="ar-SA"/>
        </w:rPr>
        <w:t>、小型企业、微型企业）</w:t>
      </w:r>
      <w:r>
        <w:rPr>
          <w:rFonts w:hint="eastAsia" w:ascii="Times New Roman" w:hAnsi="Times New Roman" w:eastAsia="宋体" w:cs="Times New Roman"/>
          <w:color w:val="auto"/>
          <w:kern w:val="2"/>
          <w:sz w:val="24"/>
          <w:szCs w:val="24"/>
          <w:lang w:val="en-US" w:eastAsia="zh-CN" w:bidi="ar-SA"/>
        </w:rPr>
        <w:t>；</w:t>
      </w:r>
    </w:p>
    <w:p>
      <w:pPr>
        <w:widowControl w:val="0"/>
        <w:wordWrap w:val="0"/>
        <w:spacing w:beforeAutospacing="0" w:afterAutospacing="0" w:line="540" w:lineRule="exact"/>
        <w:ind w:firstLine="480" w:firstLineChars="200"/>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u w:val="single"/>
          <w:lang w:val="en-US" w:eastAsia="zh-CN" w:bidi="ar-SA"/>
        </w:rPr>
        <w:t>（标的名称）</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属于</w:t>
      </w:r>
      <w:r>
        <w:rPr>
          <w:rFonts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u w:val="single"/>
          <w:lang w:val="en-US" w:eastAsia="zh-CN" w:bidi="ar-SA"/>
        </w:rPr>
        <w:t>采购</w:t>
      </w:r>
      <w:r>
        <w:rPr>
          <w:rFonts w:ascii="Times New Roman" w:hAnsi="Times New Roman" w:eastAsia="宋体" w:cs="Times New Roman"/>
          <w:color w:val="auto"/>
          <w:kern w:val="2"/>
          <w:sz w:val="24"/>
          <w:szCs w:val="24"/>
          <w:u w:val="single"/>
          <w:lang w:val="en-US" w:eastAsia="zh-CN" w:bidi="ar-SA"/>
        </w:rPr>
        <w:t>文件中明确的所属行业）</w:t>
      </w:r>
      <w:r>
        <w:rPr>
          <w:rFonts w:hint="eastAsia" w:ascii="Times New Roman" w:hAnsi="Times New Roman" w:eastAsia="宋体" w:cs="Times New Roman"/>
          <w:color w:val="auto"/>
          <w:kern w:val="2"/>
          <w:sz w:val="24"/>
          <w:szCs w:val="24"/>
          <w:u w:val="single"/>
          <w:lang w:val="en-US" w:eastAsia="zh-CN" w:bidi="ar-SA"/>
        </w:rPr>
        <w:t>行业</w:t>
      </w:r>
      <w:r>
        <w:rPr>
          <w:rFonts w:ascii="Times New Roman" w:hAnsi="Times New Roman" w:eastAsia="宋体" w:cs="Times New Roman"/>
          <w:color w:val="auto"/>
          <w:kern w:val="2"/>
          <w:sz w:val="24"/>
          <w:szCs w:val="24"/>
          <w:lang w:val="en-US" w:eastAsia="zh-CN" w:bidi="ar-SA"/>
        </w:rPr>
        <w:t>；制造商为</w:t>
      </w:r>
      <w:r>
        <w:rPr>
          <w:rFonts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u w:val="single"/>
          <w:lang w:val="en-US" w:eastAsia="zh-CN" w:bidi="ar-SA"/>
        </w:rPr>
        <w:t>投标供应商名称</w:t>
      </w:r>
      <w:r>
        <w:rPr>
          <w:rFonts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从业人员</w:t>
      </w:r>
      <w:r>
        <w:rPr>
          <w:rFonts w:hint="eastAsia"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人，营业收入为</w:t>
      </w:r>
      <w:r>
        <w:rPr>
          <w:rFonts w:hint="eastAsia"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万元，资产总额</w:t>
      </w:r>
      <w:r>
        <w:rPr>
          <w:rFonts w:hint="eastAsia" w:ascii="Times New Roman" w:hAnsi="Times New Roman" w:eastAsia="宋体" w:cs="Times New Roman"/>
          <w:color w:val="auto"/>
          <w:kern w:val="2"/>
          <w:sz w:val="24"/>
          <w:szCs w:val="24"/>
          <w:lang w:val="en-US" w:eastAsia="zh-CN" w:bidi="ar-SA"/>
        </w:rPr>
        <w:t>为</w:t>
      </w:r>
      <w:r>
        <w:rPr>
          <w:rFonts w:hint="eastAsia" w:ascii="Times New Roman" w:hAnsi="Times New Roman" w:eastAsia="宋体" w:cs="Times New Roman"/>
          <w:color w:val="auto"/>
          <w:kern w:val="2"/>
          <w:sz w:val="24"/>
          <w:szCs w:val="24"/>
          <w:u w:val="single"/>
          <w:lang w:val="en-US" w:eastAsia="zh-CN" w:bidi="ar-SA"/>
        </w:rPr>
        <w:t xml:space="preserve">     </w:t>
      </w:r>
      <w:r>
        <w:rPr>
          <w:rFonts w:ascii="Times New Roman" w:hAnsi="Times New Roman" w:eastAsia="宋体" w:cs="Times New Roman"/>
          <w:color w:val="auto"/>
          <w:kern w:val="2"/>
          <w:sz w:val="24"/>
          <w:szCs w:val="24"/>
          <w:lang w:val="en-US" w:eastAsia="zh-CN" w:bidi="ar-SA"/>
        </w:rPr>
        <w:t>万元，</w:t>
      </w:r>
      <w:r>
        <w:rPr>
          <w:rFonts w:hint="eastAsia" w:ascii="Times New Roman" w:hAnsi="Times New Roman" w:eastAsia="宋体" w:cs="Times New Roman"/>
          <w:color w:val="auto"/>
          <w:kern w:val="2"/>
          <w:sz w:val="24"/>
          <w:szCs w:val="24"/>
          <w:lang w:val="en-US" w:eastAsia="zh-CN" w:bidi="ar-SA"/>
        </w:rPr>
        <w:t>属于</w:t>
      </w:r>
      <w:r>
        <w:rPr>
          <w:rFonts w:ascii="Times New Roman" w:hAnsi="Times New Roman" w:eastAsia="宋体" w:cs="Times New Roman"/>
          <w:color w:val="auto"/>
          <w:kern w:val="2"/>
          <w:sz w:val="24"/>
          <w:szCs w:val="24"/>
          <w:u w:val="single"/>
          <w:lang w:val="en-US" w:eastAsia="zh-CN" w:bidi="ar-SA"/>
        </w:rPr>
        <w:t>（</w:t>
      </w:r>
      <w:r>
        <w:rPr>
          <w:rFonts w:hint="eastAsia" w:ascii="Times New Roman" w:hAnsi="Times New Roman" w:eastAsia="宋体" w:cs="Times New Roman"/>
          <w:color w:val="auto"/>
          <w:kern w:val="2"/>
          <w:sz w:val="24"/>
          <w:szCs w:val="24"/>
          <w:u w:val="single"/>
          <w:lang w:val="en-US" w:eastAsia="zh-CN" w:bidi="ar-SA"/>
        </w:rPr>
        <w:t>中型企业</w:t>
      </w:r>
      <w:r>
        <w:rPr>
          <w:rFonts w:ascii="Times New Roman" w:hAnsi="Times New Roman" w:eastAsia="宋体" w:cs="Times New Roman"/>
          <w:color w:val="auto"/>
          <w:kern w:val="2"/>
          <w:sz w:val="24"/>
          <w:szCs w:val="24"/>
          <w:u w:val="single"/>
          <w:lang w:val="en-US" w:eastAsia="zh-CN" w:bidi="ar-SA"/>
        </w:rPr>
        <w:t>、小型企业、微型企业）</w:t>
      </w:r>
      <w:r>
        <w:rPr>
          <w:rFonts w:hint="eastAsia" w:ascii="Times New Roman" w:hAnsi="Times New Roman" w:eastAsia="宋体" w:cs="Times New Roman"/>
          <w:color w:val="auto"/>
          <w:kern w:val="2"/>
          <w:sz w:val="24"/>
          <w:szCs w:val="24"/>
          <w:lang w:val="en-US" w:eastAsia="zh-CN" w:bidi="ar-SA"/>
        </w:rPr>
        <w:t>；</w:t>
      </w:r>
    </w:p>
    <w:p>
      <w:pPr>
        <w:widowControl w:val="0"/>
        <w:wordWrap w:val="0"/>
        <w:spacing w:beforeAutospacing="0" w:afterAutospacing="0" w:line="540" w:lineRule="exact"/>
        <w:ind w:firstLine="480" w:firstLineChars="200"/>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以上</w:t>
      </w:r>
      <w:r>
        <w:rPr>
          <w:rFonts w:ascii="Times New Roman" w:hAnsi="Times New Roman" w:eastAsia="宋体" w:cs="Times New Roman"/>
          <w:color w:val="auto"/>
          <w:kern w:val="2"/>
          <w:sz w:val="24"/>
          <w:szCs w:val="24"/>
          <w:lang w:val="en-US" w:eastAsia="zh-CN" w:bidi="ar-SA"/>
        </w:rPr>
        <w:t>企业，不属于大企业的分支机构，不存在控股股东为大企业的情形，也不存在与大型企业负责人为同一人的情形。</w:t>
      </w:r>
    </w:p>
    <w:p>
      <w:pPr>
        <w:widowControl w:val="0"/>
        <w:wordWrap w:val="0"/>
        <w:spacing w:beforeAutospacing="0" w:afterAutospacing="0" w:line="540" w:lineRule="exact"/>
        <w:ind w:firstLine="480" w:firstLineChars="200"/>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本企业</w:t>
      </w:r>
      <w:r>
        <w:rPr>
          <w:rFonts w:ascii="Times New Roman" w:hAnsi="Times New Roman" w:eastAsia="宋体" w:cs="Times New Roman"/>
          <w:color w:val="auto"/>
          <w:kern w:val="2"/>
          <w:sz w:val="24"/>
          <w:szCs w:val="24"/>
          <w:lang w:val="en-US" w:eastAsia="zh-CN" w:bidi="ar-SA"/>
        </w:rPr>
        <w:t>对上述声明内容的真实性负责。如有虚假</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将依法承担相应责任。</w:t>
      </w:r>
    </w:p>
    <w:p>
      <w:pPr>
        <w:widowControl w:val="0"/>
        <w:wordWrap w:val="0"/>
        <w:spacing w:beforeAutospacing="0" w:afterAutospacing="0" w:line="540" w:lineRule="exact"/>
        <w:ind w:firstLine="480" w:firstLineChars="200"/>
        <w:jc w:val="center"/>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 xml:space="preserve">                 投标供应商名称</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盖章</w:t>
      </w:r>
      <w:r>
        <w:rPr>
          <w:rFonts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w:t>
      </w:r>
    </w:p>
    <w:p>
      <w:pPr>
        <w:widowControl w:val="0"/>
        <w:wordWrap w:val="0"/>
        <w:spacing w:beforeAutospacing="0" w:afterAutospacing="0" w:line="540" w:lineRule="exact"/>
        <w:ind w:right="480" w:firstLine="6120" w:firstLineChars="2550"/>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日 期</w:t>
      </w:r>
      <w:r>
        <w:rPr>
          <w:rFonts w:ascii="Times New Roman" w:hAnsi="Times New Roman" w:eastAsia="宋体" w:cs="Times New Roman"/>
          <w:color w:val="auto"/>
          <w:kern w:val="2"/>
          <w:sz w:val="24"/>
          <w:szCs w:val="24"/>
          <w:lang w:val="en-US" w:eastAsia="zh-CN" w:bidi="ar-SA"/>
        </w:rPr>
        <w:t>：</w:t>
      </w:r>
    </w:p>
    <w:bookmarkEnd w:id="412"/>
    <w:bookmarkEnd w:id="413"/>
    <w:bookmarkEnd w:id="414"/>
    <w:p>
      <w:pPr>
        <w:rPr>
          <w:rFonts w:ascii="宋体" w:hAnsi="宋体" w:eastAsia="宋体" w:cs="宋体"/>
          <w:color w:val="auto"/>
          <w:szCs w:val="21"/>
        </w:rPr>
      </w:pPr>
    </w:p>
    <w:p>
      <w:pPr>
        <w:rPr>
          <w:rFonts w:ascii="宋体" w:hAnsi="宋体" w:eastAsia="宋体" w:cs="宋体"/>
          <w:color w:val="auto"/>
          <w:szCs w:val="21"/>
        </w:rPr>
      </w:pPr>
    </w:p>
    <w:p>
      <w:pPr>
        <w:rPr>
          <w:rFonts w:ascii="宋体" w:hAnsi="宋体" w:eastAsia="宋体" w:cs="宋体"/>
          <w:color w:val="auto"/>
          <w:szCs w:val="21"/>
        </w:rPr>
      </w:pPr>
      <w:r>
        <w:rPr>
          <w:rFonts w:hint="eastAsia" w:ascii="宋体" w:hAnsi="宋体" w:eastAsia="宋体" w:cs="宋体"/>
          <w:color w:val="auto"/>
          <w:szCs w:val="21"/>
        </w:rPr>
        <w:t>备注：</w:t>
      </w:r>
    </w:p>
    <w:p>
      <w:pPr>
        <w:numPr>
          <w:ilvl w:val="0"/>
          <w:numId w:val="2"/>
        </w:numPr>
        <w:rPr>
          <w:rFonts w:ascii="宋体" w:hAnsi="宋体" w:eastAsia="宋体" w:cs="宋体"/>
          <w:color w:val="auto"/>
          <w:szCs w:val="21"/>
        </w:rPr>
      </w:pPr>
      <w:r>
        <w:rPr>
          <w:rFonts w:hint="eastAsia" w:ascii="宋体" w:hAnsi="宋体" w:eastAsia="宋体" w:cs="宋体"/>
          <w:color w:val="auto"/>
          <w:szCs w:val="21"/>
        </w:rPr>
        <w:t>从业人员、营业收入、资产总额填报上一年度数据，无上一年度数据的新企业可不填报。</w:t>
      </w:r>
    </w:p>
    <w:p>
      <w:pPr>
        <w:widowControl w:val="0"/>
        <w:spacing w:line="360" w:lineRule="auto"/>
        <w:ind w:firstLine="0" w:firstLineChars="0"/>
        <w:rPr>
          <w:rFonts w:ascii="宋体" w:hAnsi="宋体" w:eastAsia="宋体" w:cs="宋体"/>
          <w:bCs/>
          <w:color w:val="auto"/>
          <w:kern w:val="2"/>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pPr>
        <w:numPr>
          <w:ilvl w:val="0"/>
          <w:numId w:val="3"/>
        </w:numPr>
        <w:jc w:val="center"/>
        <w:rPr>
          <w:rFonts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残疾人福利性单位声明函</w:t>
      </w:r>
    </w:p>
    <w:p>
      <w:pPr>
        <w:jc w:val="center"/>
        <w:rPr>
          <w:rFonts w:ascii="Times New Roman" w:hAnsi="Times New Roman" w:eastAsia="宋体" w:cs="Times New Roman"/>
          <w:color w:val="auto"/>
        </w:rPr>
      </w:pPr>
      <w:r>
        <w:rPr>
          <w:rFonts w:hint="eastAsia" w:ascii="Times New Roman" w:hAnsi="Times New Roman" w:eastAsia="宋体" w:cs="Times New Roman"/>
          <w:color w:val="auto"/>
        </w:rPr>
        <w:t>（属于残疾人福利企业的填写，不属于的无需填写此项内容）</w:t>
      </w:r>
    </w:p>
    <w:p>
      <w:pPr>
        <w:widowControl w:val="0"/>
        <w:spacing w:line="360" w:lineRule="auto"/>
        <w:ind w:firstLine="420"/>
        <w:rPr>
          <w:rFonts w:ascii="Times New Roman" w:hAnsi="Times New Roman" w:eastAsia="宋体" w:cs="Times New Roman"/>
          <w:color w:val="auto"/>
          <w:kern w:val="2"/>
          <w:sz w:val="24"/>
          <w:szCs w:val="24"/>
          <w:lang w:val="en-US" w:eastAsia="zh-CN" w:bidi="ar-SA"/>
        </w:rPr>
      </w:pPr>
    </w:p>
    <w:p>
      <w:pPr>
        <w:widowControl w:val="0"/>
        <w:spacing w:line="360" w:lineRule="auto"/>
        <w:ind w:firstLine="420"/>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ascii="Times New Roman" w:hAnsi="Times New Roman" w:eastAsia="宋体" w:cs="Times New Roman"/>
          <w:color w:val="auto"/>
          <w:kern w:val="2"/>
          <w:sz w:val="24"/>
          <w:szCs w:val="24"/>
          <w:u w:val="single"/>
          <w:lang w:val="en-US" w:eastAsia="zh-CN" w:bidi="ar-SA"/>
        </w:rPr>
        <w:t>（其他残疾人福利性单位名称）</w:t>
      </w:r>
      <w:r>
        <w:rPr>
          <w:rFonts w:hint="eastAsia" w:ascii="Times New Roman" w:hAnsi="Times New Roman" w:eastAsia="宋体" w:cs="Times New Roman"/>
          <w:color w:val="auto"/>
          <w:kern w:val="2"/>
          <w:sz w:val="24"/>
          <w:szCs w:val="24"/>
          <w:lang w:val="en-US" w:eastAsia="zh-CN" w:bidi="ar-SA"/>
        </w:rPr>
        <w:t>制造的货物（不包括使用非残疾人福利性单位注册商标的货物）。货物的名称品牌型号是。</w:t>
      </w:r>
    </w:p>
    <w:p>
      <w:pPr>
        <w:widowControl w:val="0"/>
        <w:spacing w:line="360" w:lineRule="auto"/>
        <w:ind w:firstLine="420"/>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本单位对上述声明的真实性负责。如有虚假，将承担相应的法律责任。</w:t>
      </w:r>
    </w:p>
    <w:p>
      <w:pPr>
        <w:widowControl w:val="0"/>
        <w:spacing w:line="360" w:lineRule="auto"/>
        <w:ind w:firstLine="420"/>
        <w:rPr>
          <w:rFonts w:ascii="Times New Roman" w:hAnsi="Times New Roman" w:eastAsia="宋体" w:cs="Times New Roman"/>
          <w:color w:val="auto"/>
          <w:kern w:val="2"/>
          <w:sz w:val="24"/>
          <w:szCs w:val="24"/>
          <w:lang w:val="en-US" w:eastAsia="zh-CN" w:bidi="ar-SA"/>
        </w:rPr>
      </w:pPr>
    </w:p>
    <w:p>
      <w:pPr>
        <w:widowControl w:val="0"/>
        <w:spacing w:line="360" w:lineRule="auto"/>
        <w:ind w:firstLine="4320" w:firstLineChars="1800"/>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投标供应商（公章）：</w:t>
      </w:r>
    </w:p>
    <w:p>
      <w:pPr>
        <w:widowControl w:val="0"/>
        <w:spacing w:line="360" w:lineRule="auto"/>
        <w:ind w:firstLine="6240" w:firstLineChars="2600"/>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日期：</w:t>
      </w:r>
    </w:p>
    <w:p>
      <w:pPr>
        <w:widowControl w:val="0"/>
        <w:spacing w:line="360" w:lineRule="auto"/>
        <w:ind w:firstLine="0"/>
        <w:rPr>
          <w:rFonts w:ascii="Times New Roman" w:hAnsi="Times New Roman" w:eastAsia="宋体" w:cs="Times New Roman"/>
          <w:color w:val="auto"/>
          <w:kern w:val="2"/>
          <w:sz w:val="24"/>
          <w:szCs w:val="24"/>
          <w:lang w:val="en-US" w:eastAsia="zh-CN" w:bidi="ar-SA"/>
        </w:rPr>
      </w:pPr>
    </w:p>
    <w:p>
      <w:pPr>
        <w:widowControl w:val="0"/>
        <w:spacing w:line="360" w:lineRule="auto"/>
        <w:ind w:firstLine="0"/>
        <w:rPr>
          <w:rFonts w:ascii="Times New Roman" w:hAnsi="Times New Roman" w:eastAsia="宋体" w:cs="Times New Roman"/>
          <w:color w:val="auto"/>
          <w:kern w:val="2"/>
          <w:sz w:val="24"/>
          <w:szCs w:val="24"/>
          <w:lang w:val="en-US" w:eastAsia="zh-CN" w:bidi="ar-SA"/>
        </w:rPr>
      </w:pPr>
    </w:p>
    <w:p>
      <w:pPr>
        <w:widowControl w:val="0"/>
        <w:spacing w:line="360" w:lineRule="auto"/>
        <w:ind w:firstLine="0"/>
        <w:rPr>
          <w:rFonts w:ascii="Times New Roman" w:hAnsi="Times New Roman" w:eastAsia="宋体" w:cs="Times New Roman"/>
          <w:color w:val="auto"/>
          <w:kern w:val="2"/>
          <w:sz w:val="24"/>
          <w:szCs w:val="24"/>
          <w:lang w:val="en-US" w:eastAsia="zh-CN" w:bidi="ar-SA"/>
        </w:rPr>
      </w:pPr>
    </w:p>
    <w:p>
      <w:pPr>
        <w:widowControl w:val="0"/>
        <w:spacing w:line="360" w:lineRule="auto"/>
        <w:ind w:firstLine="0"/>
        <w:rPr>
          <w:rFonts w:ascii="Times New Roman" w:hAnsi="Times New Roman" w:eastAsia="宋体" w:cs="Times New Roman"/>
          <w:color w:val="auto"/>
          <w:kern w:val="2"/>
          <w:sz w:val="24"/>
          <w:szCs w:val="24"/>
          <w:lang w:val="en-US" w:eastAsia="zh-CN" w:bidi="ar-SA"/>
        </w:rPr>
      </w:pPr>
    </w:p>
    <w:p>
      <w:pPr>
        <w:widowControl w:val="0"/>
        <w:spacing w:line="360" w:lineRule="auto"/>
        <w:ind w:firstLine="0"/>
        <w:rPr>
          <w:rFonts w:ascii="Times New Roman" w:hAnsi="Times New Roman" w:eastAsia="宋体" w:cs="Times New Roman"/>
          <w:color w:val="auto"/>
          <w:kern w:val="2"/>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pPr>
    </w:p>
    <w:p>
      <w:pPr>
        <w:widowControl w:val="0"/>
        <w:autoSpaceDE w:val="0"/>
        <w:autoSpaceDN w:val="0"/>
        <w:adjustRightInd w:val="0"/>
        <w:spacing w:line="480" w:lineRule="exact"/>
        <w:rPr>
          <w:rFonts w:ascii="宋体" w:hAnsi="宋体" w:eastAsia="宋体" w:cs="Times New Roman"/>
          <w:color w:val="auto"/>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p>
      <w:pPr>
        <w:keepNext/>
        <w:keepLines/>
        <w:widowControl w:val="0"/>
        <w:numPr>
          <w:ilvl w:val="2"/>
          <w:numId w:val="1"/>
        </w:numPr>
        <w:adjustRightInd w:val="0"/>
        <w:spacing w:before="120" w:after="120" w:line="240" w:lineRule="auto"/>
        <w:ind w:left="0"/>
        <w:jc w:val="center"/>
        <w:textAlignment w:val="baseline"/>
        <w:outlineLvl w:val="2"/>
        <w:rPr>
          <w:rFonts w:ascii="宋体" w:hAnsi="宋体" w:eastAsia="宋体" w:cs="宋体"/>
          <w:b/>
          <w:color w:val="auto"/>
          <w:kern w:val="0"/>
          <w:sz w:val="28"/>
          <w:szCs w:val="20"/>
          <w:lang w:val="en-US" w:eastAsia="zh-CN" w:bidi="ar-SA"/>
        </w:rPr>
      </w:pPr>
      <w:r>
        <w:rPr>
          <w:rFonts w:hint="eastAsia" w:ascii="宋体" w:hAnsi="宋体" w:eastAsia="宋体" w:cs="宋体"/>
          <w:b/>
          <w:color w:val="auto"/>
          <w:kern w:val="0"/>
          <w:sz w:val="28"/>
          <w:szCs w:val="20"/>
          <w:lang w:val="en-US" w:eastAsia="zh-CN" w:bidi="ar-SA"/>
        </w:rPr>
        <w:t>（三）监狱企业证明文件</w:t>
      </w:r>
    </w:p>
    <w:p>
      <w:pPr>
        <w:jc w:val="center"/>
        <w:rPr>
          <w:rFonts w:ascii="Times New Roman" w:hAnsi="Times New Roman" w:eastAsia="宋体" w:cs="Times New Roman"/>
          <w:color w:val="auto"/>
        </w:rPr>
      </w:pPr>
    </w:p>
    <w:p>
      <w:pPr>
        <w:rPr>
          <w:rFonts w:ascii="Times New Roman" w:hAnsi="Times New Roman" w:eastAsia="宋体" w:cs="Times New Roman"/>
          <w:color w:val="auto"/>
        </w:rPr>
      </w:pPr>
    </w:p>
    <w:p>
      <w:pPr>
        <w:ind w:firstLine="480" w:firstLineChars="200"/>
        <w:rPr>
          <w:rFonts w:ascii="宋体" w:hAnsi="宋体" w:eastAsia="宋体" w:cs="宋体"/>
          <w:color w:val="auto"/>
        </w:rPr>
      </w:pPr>
      <w:r>
        <w:rPr>
          <w:rFonts w:hint="eastAsia" w:ascii="宋体" w:hAnsi="宋体" w:eastAsia="宋体" w:cs="宋体"/>
          <w:bCs/>
          <w:color w:val="auto"/>
        </w:rPr>
        <w:t>监狱企业须提供由省级以上监狱管理局、戒毒管理局（含新疆生产建设兵团）出具的属于监狱企业的证明文件，视同小型、微型企业，享受评审中价格扣除等政府采购促进中小企业发展的政府采购政策。</w:t>
      </w: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rPr>
          <w:rFonts w:ascii="宋体" w:hAnsi="宋体" w:eastAsia="宋体" w:cs="宋体"/>
          <w:color w:val="auto"/>
        </w:rPr>
      </w:pPr>
    </w:p>
    <w:p>
      <w:pPr>
        <w:widowControl w:val="0"/>
        <w:spacing w:after="120" w:line="240" w:lineRule="auto"/>
        <w:rPr>
          <w:rFonts w:ascii="Times New Roman" w:hAnsi="Times New Roman" w:eastAsia="宋体" w:cs="Times New Roman"/>
          <w:b/>
          <w:color w:val="auto"/>
          <w:kern w:val="2"/>
          <w:sz w:val="28"/>
          <w:szCs w:val="28"/>
          <w:lang w:val="en-US" w:eastAsia="zh-CN" w:bidi="ar-SA"/>
        </w:rPr>
      </w:pPr>
      <w:bookmarkStart w:id="416" w:name="_Toc2876"/>
    </w:p>
    <w:p>
      <w:pPr>
        <w:rPr>
          <w:rFonts w:ascii="Times New Roman" w:hAnsi="Times New Roman" w:eastAsia="宋体" w:cs="Times New Roman"/>
          <w:color w:val="auto"/>
        </w:rPr>
      </w:pPr>
    </w:p>
    <w:p>
      <w:pPr>
        <w:rPr>
          <w:rFonts w:ascii="Times New Roman" w:hAnsi="Times New Roman" w:eastAsia="宋体" w:cs="Times New Roman"/>
          <w:b/>
          <w:color w:val="auto"/>
          <w:sz w:val="28"/>
          <w:szCs w:val="28"/>
        </w:rPr>
      </w:pPr>
    </w:p>
    <w:p>
      <w:pPr>
        <w:rPr>
          <w:rFonts w:ascii="Times New Roman" w:hAnsi="Times New Roman" w:eastAsia="宋体" w:cs="Times New Roman"/>
          <w:b/>
          <w:color w:val="auto"/>
          <w:sz w:val="28"/>
          <w:szCs w:val="28"/>
        </w:rPr>
        <w:sectPr>
          <w:pgSz w:w="11906" w:h="16838"/>
          <w:pgMar w:top="1440" w:right="1800" w:bottom="1440" w:left="1800" w:header="851" w:footer="992" w:gutter="0"/>
          <w:pgNumType w:fmt="decimal"/>
          <w:cols w:space="425" w:num="1"/>
          <w:docGrid w:type="lines" w:linePitch="312" w:charSpace="0"/>
        </w:sectPr>
      </w:pPr>
    </w:p>
    <w:p>
      <w:pPr>
        <w:jc w:val="center"/>
        <w:rPr>
          <w:rFonts w:ascii="宋体" w:hAnsi="宋体" w:eastAsia="宋体" w:cs="Times New Roman"/>
          <w:color w:val="auto"/>
          <w:sz w:val="28"/>
          <w:szCs w:val="28"/>
          <w:lang w:val="en-GB"/>
        </w:rPr>
      </w:pPr>
      <w:r>
        <w:rPr>
          <w:rFonts w:hint="eastAsia" w:ascii="Times New Roman" w:hAnsi="Times New Roman" w:eastAsia="宋体" w:cs="Times New Roman"/>
          <w:b/>
          <w:color w:val="auto"/>
          <w:sz w:val="28"/>
          <w:szCs w:val="28"/>
        </w:rPr>
        <w:t>（四）</w:t>
      </w:r>
      <w:r>
        <w:rPr>
          <w:rFonts w:hint="eastAsia" w:ascii="宋体" w:hAnsi="宋体" w:eastAsia="宋体" w:cs="Times New Roman"/>
          <w:color w:val="auto"/>
          <w:sz w:val="28"/>
          <w:szCs w:val="28"/>
          <w:lang w:val="en-GB"/>
        </w:rPr>
        <w:t>节能产品、环境标志产品明细表</w:t>
      </w:r>
      <w:bookmarkEnd w:id="416"/>
    </w:p>
    <w:p>
      <w:pPr>
        <w:widowControl w:val="0"/>
        <w:spacing w:line="360" w:lineRule="auto"/>
        <w:ind w:firstLine="0"/>
        <w:jc w:val="center"/>
        <w:rPr>
          <w:rFonts w:ascii="宋体" w:hAnsi="宋体" w:eastAsia="宋体" w:cs="Times New Roman"/>
          <w:bCs/>
          <w:color w:val="auto"/>
          <w:kern w:val="2"/>
          <w:sz w:val="28"/>
          <w:szCs w:val="28"/>
          <w:lang w:val="en-GB" w:eastAsia="zh-CN" w:bidi="ar-SA"/>
        </w:rPr>
      </w:pPr>
      <w:r>
        <w:rPr>
          <w:rFonts w:hint="eastAsia" w:ascii="宋体" w:hAnsi="宋体" w:eastAsia="宋体" w:cs="Times New Roman"/>
          <w:bCs/>
          <w:color w:val="auto"/>
          <w:kern w:val="2"/>
          <w:sz w:val="28"/>
          <w:szCs w:val="28"/>
          <w:lang w:val="en-GB" w:eastAsia="zh-CN" w:bidi="ar-SA"/>
        </w:rPr>
        <w:t>节能产品明细表</w:t>
      </w:r>
    </w:p>
    <w:p>
      <w:pPr>
        <w:widowControl w:val="0"/>
        <w:spacing w:line="360" w:lineRule="auto"/>
        <w:ind w:firstLine="0"/>
        <w:rPr>
          <w:rFonts w:ascii="宋体" w:hAnsi="宋体" w:eastAsia="宋体" w:cs="宋体"/>
          <w:color w:val="auto"/>
          <w:kern w:val="2"/>
          <w:sz w:val="24"/>
          <w:szCs w:val="24"/>
          <w:lang w:val="en-GB" w:eastAsia="zh-CN" w:bidi="ar-SA"/>
        </w:rPr>
      </w:pPr>
    </w:p>
    <w:tbl>
      <w:tblPr>
        <w:tblStyle w:val="17"/>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序号</w:t>
            </w:r>
          </w:p>
        </w:tc>
        <w:tc>
          <w:tcPr>
            <w:tcW w:w="916"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设备名称</w:t>
            </w:r>
          </w:p>
        </w:tc>
        <w:tc>
          <w:tcPr>
            <w:tcW w:w="916" w:type="dxa"/>
            <w:vAlign w:val="center"/>
          </w:tcPr>
          <w:p>
            <w:pPr>
              <w:adjustRightInd w:val="0"/>
              <w:snapToGrid w:val="0"/>
              <w:jc w:val="center"/>
              <w:rPr>
                <w:rFonts w:ascii="宋体" w:hAnsi="宋体" w:eastAsia="宋体" w:cs="宋体"/>
                <w:color w:val="auto"/>
                <w:szCs w:val="21"/>
              </w:rPr>
            </w:pPr>
            <w:r>
              <w:rPr>
                <w:rFonts w:hint="eastAsia" w:ascii="宋体" w:hAnsi="宋体" w:eastAsia="宋体" w:cs="宋体"/>
                <w:color w:val="auto"/>
                <w:szCs w:val="21"/>
              </w:rPr>
              <w:t>品牌</w:t>
            </w:r>
          </w:p>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型号</w:t>
            </w:r>
          </w:p>
        </w:tc>
        <w:tc>
          <w:tcPr>
            <w:tcW w:w="916"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制造商名称</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节字标志认证证书号</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国家节能产品认证证书有效截止日期</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数量</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单价</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r>
    </w:tbl>
    <w:p>
      <w:pPr>
        <w:rPr>
          <w:rFonts w:ascii="宋体" w:hAnsi="宋体" w:eastAsia="宋体" w:cs="Times New Roman"/>
          <w:color w:val="auto"/>
          <w:szCs w:val="21"/>
        </w:rPr>
      </w:pPr>
    </w:p>
    <w:p>
      <w:pPr>
        <w:rPr>
          <w:rFonts w:hint="eastAsia" w:ascii="宋体" w:hAnsi="宋体" w:eastAsia="宋体" w:cs="Times New Roman"/>
          <w:color w:val="auto"/>
          <w:szCs w:val="21"/>
        </w:rPr>
      </w:pPr>
    </w:p>
    <w:p>
      <w:pPr>
        <w:rPr>
          <w:rFonts w:ascii="宋体" w:hAnsi="宋体" w:eastAsia="宋体" w:cs="Times New Roman"/>
          <w:color w:val="auto"/>
          <w:szCs w:val="21"/>
        </w:rPr>
      </w:pPr>
      <w:r>
        <w:rPr>
          <w:rFonts w:hint="eastAsia" w:ascii="宋体" w:hAnsi="宋体" w:eastAsia="宋体" w:cs="Times New Roman"/>
          <w:color w:val="auto"/>
          <w:szCs w:val="21"/>
        </w:rPr>
        <w:t>法定代表人或被授权人（签字或盖章）：</w:t>
      </w:r>
    </w:p>
    <w:p>
      <w:pPr>
        <w:rPr>
          <w:rFonts w:ascii="宋体" w:hAnsi="宋体" w:eastAsia="宋体" w:cs="Times New Roman"/>
          <w:color w:val="auto"/>
          <w:szCs w:val="21"/>
        </w:rPr>
      </w:pPr>
      <w:r>
        <w:rPr>
          <w:rFonts w:hint="eastAsia" w:ascii="宋体" w:hAnsi="宋体" w:eastAsia="宋体" w:cs="Times New Roman"/>
          <w:color w:val="auto"/>
          <w:szCs w:val="21"/>
        </w:rPr>
        <w:t>投标供应商（盖章）：</w:t>
      </w:r>
    </w:p>
    <w:p>
      <w:pPr>
        <w:rPr>
          <w:rFonts w:ascii="宋体" w:hAnsi="宋体" w:eastAsia="宋体" w:cs="Times New Roman"/>
          <w:color w:val="auto"/>
          <w:szCs w:val="21"/>
        </w:rPr>
      </w:pPr>
      <w:r>
        <w:rPr>
          <w:rFonts w:hint="eastAsia" w:ascii="宋体" w:hAnsi="宋体" w:eastAsia="宋体" w:cs="Times New Roman"/>
          <w:color w:val="auto"/>
          <w:szCs w:val="21"/>
        </w:rPr>
        <w:t>日期：</w:t>
      </w: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rPr>
          <w:rFonts w:ascii="宋体" w:hAnsi="宋体" w:eastAsia="宋体" w:cs="宋体"/>
          <w:b/>
          <w:color w:val="auto"/>
          <w:szCs w:val="21"/>
          <w:lang w:val="en-GB"/>
        </w:rPr>
      </w:pPr>
    </w:p>
    <w:p>
      <w:pPr>
        <w:tabs>
          <w:tab w:val="left" w:pos="840"/>
        </w:tabs>
        <w:autoSpaceDE w:val="0"/>
        <w:autoSpaceDN w:val="0"/>
        <w:adjustRightInd w:val="0"/>
        <w:jc w:val="center"/>
        <w:rPr>
          <w:rFonts w:ascii="宋体" w:hAnsi="宋体" w:eastAsia="宋体" w:cs="宋体"/>
          <w:bCs/>
          <w:color w:val="auto"/>
          <w:szCs w:val="21"/>
          <w:lang w:val="en-GB"/>
        </w:rPr>
      </w:pPr>
      <w:r>
        <w:rPr>
          <w:rFonts w:hint="eastAsia" w:ascii="宋体" w:hAnsi="宋体" w:eastAsia="宋体" w:cs="Times New Roman"/>
          <w:bCs/>
          <w:color w:val="auto"/>
          <w:lang w:val="en-GB"/>
        </w:rPr>
        <w:t>环境标志产品明细表</w:t>
      </w:r>
    </w:p>
    <w:tbl>
      <w:tblPr>
        <w:tblStyle w:val="17"/>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序号</w:t>
            </w:r>
          </w:p>
        </w:tc>
        <w:tc>
          <w:tcPr>
            <w:tcW w:w="916"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设备名称</w:t>
            </w:r>
          </w:p>
        </w:tc>
        <w:tc>
          <w:tcPr>
            <w:tcW w:w="916" w:type="dxa"/>
            <w:vAlign w:val="center"/>
          </w:tcPr>
          <w:p>
            <w:pPr>
              <w:adjustRightInd w:val="0"/>
              <w:snapToGrid w:val="0"/>
              <w:jc w:val="center"/>
              <w:rPr>
                <w:rFonts w:ascii="宋体" w:hAnsi="宋体" w:eastAsia="宋体" w:cs="宋体"/>
                <w:color w:val="auto"/>
                <w:szCs w:val="21"/>
              </w:rPr>
            </w:pPr>
            <w:r>
              <w:rPr>
                <w:rFonts w:hint="eastAsia" w:ascii="宋体" w:hAnsi="宋体" w:eastAsia="宋体" w:cs="宋体"/>
                <w:color w:val="auto"/>
                <w:szCs w:val="21"/>
              </w:rPr>
              <w:t>品牌</w:t>
            </w:r>
          </w:p>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型号</w:t>
            </w:r>
          </w:p>
        </w:tc>
        <w:tc>
          <w:tcPr>
            <w:tcW w:w="916"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制造商名称</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中国环境标志认证证书编号</w:t>
            </w:r>
          </w:p>
        </w:tc>
        <w:tc>
          <w:tcPr>
            <w:tcW w:w="917" w:type="dxa"/>
            <w:vAlign w:val="center"/>
          </w:tcPr>
          <w:p>
            <w:pPr>
              <w:adjustRightInd w:val="0"/>
              <w:snapToGrid w:val="0"/>
              <w:jc w:val="center"/>
              <w:rPr>
                <w:rFonts w:ascii="宋体" w:hAnsi="宋体" w:eastAsia="宋体" w:cs="宋体"/>
                <w:color w:val="auto"/>
                <w:szCs w:val="21"/>
              </w:rPr>
            </w:pPr>
            <w:r>
              <w:rPr>
                <w:rFonts w:hint="eastAsia" w:ascii="宋体" w:hAnsi="宋体" w:eastAsia="宋体" w:cs="宋体"/>
                <w:color w:val="auto"/>
                <w:szCs w:val="21"/>
              </w:rPr>
              <w:t>认证证书有效</w:t>
            </w:r>
          </w:p>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截止日期</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数量</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单价</w:t>
            </w:r>
          </w:p>
        </w:tc>
        <w:tc>
          <w:tcPr>
            <w:tcW w:w="917" w:type="dxa"/>
            <w:vAlign w:val="center"/>
          </w:tcPr>
          <w:p>
            <w:pPr>
              <w:adjustRightInd w:val="0"/>
              <w:snapToGrid w:val="0"/>
              <w:jc w:val="center"/>
              <w:rPr>
                <w:rFonts w:ascii="宋体" w:hAnsi="宋体" w:eastAsia="宋体" w:cs="宋体"/>
                <w:b/>
                <w:color w:val="auto"/>
                <w:szCs w:val="21"/>
                <w:lang w:val="en-GB"/>
              </w:rPr>
            </w:pPr>
            <w:r>
              <w:rPr>
                <w:rFonts w:hint="eastAsia" w:ascii="宋体" w:hAnsi="宋体" w:eastAsia="宋体" w:cs="宋体"/>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6"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c>
          <w:tcPr>
            <w:tcW w:w="917" w:type="dxa"/>
          </w:tcPr>
          <w:p>
            <w:pPr>
              <w:tabs>
                <w:tab w:val="left" w:pos="840"/>
              </w:tabs>
              <w:autoSpaceDE w:val="0"/>
              <w:autoSpaceDN w:val="0"/>
              <w:adjustRightInd w:val="0"/>
              <w:rPr>
                <w:rFonts w:ascii="宋体" w:hAnsi="宋体" w:eastAsia="宋体" w:cs="宋体"/>
                <w:b/>
                <w:color w:val="auto"/>
                <w:szCs w:val="21"/>
                <w:lang w:val="en-GB"/>
              </w:rPr>
            </w:pPr>
          </w:p>
        </w:tc>
      </w:tr>
    </w:tbl>
    <w:p>
      <w:pPr>
        <w:tabs>
          <w:tab w:val="left" w:pos="840"/>
        </w:tabs>
        <w:autoSpaceDE w:val="0"/>
        <w:autoSpaceDN w:val="0"/>
        <w:adjustRightInd w:val="0"/>
        <w:rPr>
          <w:rFonts w:ascii="宋体" w:hAnsi="宋体" w:eastAsia="宋体" w:cs="宋体"/>
          <w:b/>
          <w:color w:val="auto"/>
          <w:szCs w:val="21"/>
          <w:lang w:val="en-GB"/>
        </w:rPr>
      </w:pPr>
    </w:p>
    <w:p>
      <w:pPr>
        <w:rPr>
          <w:rFonts w:ascii="宋体" w:hAnsi="宋体" w:eastAsia="宋体" w:cs="Times New Roman"/>
          <w:color w:val="auto"/>
          <w:szCs w:val="21"/>
        </w:rPr>
      </w:pPr>
      <w:r>
        <w:rPr>
          <w:rFonts w:hint="eastAsia" w:ascii="宋体" w:hAnsi="宋体" w:eastAsia="宋体" w:cs="Times New Roman"/>
          <w:color w:val="auto"/>
          <w:szCs w:val="21"/>
        </w:rPr>
        <w:t>法定代表人或被授权人（签字或盖章）：</w:t>
      </w:r>
    </w:p>
    <w:p>
      <w:pPr>
        <w:rPr>
          <w:rFonts w:ascii="宋体" w:hAnsi="宋体" w:eastAsia="宋体" w:cs="Times New Roman"/>
          <w:color w:val="auto"/>
          <w:szCs w:val="21"/>
        </w:rPr>
      </w:pPr>
      <w:r>
        <w:rPr>
          <w:rFonts w:hint="eastAsia" w:ascii="宋体" w:hAnsi="宋体" w:eastAsia="宋体" w:cs="Times New Roman"/>
          <w:color w:val="auto"/>
          <w:szCs w:val="21"/>
        </w:rPr>
        <w:t>投标供应商（盖章）：</w:t>
      </w:r>
    </w:p>
    <w:p>
      <w:pPr>
        <w:rPr>
          <w:rFonts w:ascii="宋体" w:hAnsi="宋体" w:eastAsia="宋体" w:cs="宋体"/>
          <w:color w:val="auto"/>
          <w:lang w:val="en-GB"/>
        </w:rPr>
      </w:pPr>
      <w:r>
        <w:rPr>
          <w:rFonts w:hint="eastAsia" w:ascii="宋体" w:hAnsi="宋体" w:eastAsia="宋体" w:cs="Times New Roman"/>
          <w:color w:val="auto"/>
          <w:szCs w:val="21"/>
        </w:rPr>
        <w:t>日期：</w:t>
      </w:r>
    </w:p>
    <w:p>
      <w:pPr>
        <w:widowControl w:val="0"/>
        <w:spacing w:line="360" w:lineRule="auto"/>
        <w:rPr>
          <w:rFonts w:ascii="宋体" w:hAnsi="宋体" w:eastAsia="宋体" w:cs="宋体"/>
          <w:color w:val="auto"/>
          <w:kern w:val="2"/>
          <w:sz w:val="24"/>
          <w:szCs w:val="21"/>
          <w:lang w:val="en-GB" w:eastAsia="zh-CN" w:bidi="ar-SA"/>
        </w:rPr>
      </w:pPr>
      <w:r>
        <w:rPr>
          <w:rFonts w:hint="eastAsia" w:ascii="宋体" w:hAnsi="宋体" w:eastAsia="宋体" w:cs="宋体"/>
          <w:color w:val="auto"/>
          <w:kern w:val="2"/>
          <w:sz w:val="24"/>
          <w:szCs w:val="21"/>
          <w:lang w:val="en-GB" w:eastAsia="zh-CN" w:bidi="ar-SA"/>
        </w:rPr>
        <w:t>填报要求：</w:t>
      </w:r>
    </w:p>
    <w:p>
      <w:pPr>
        <w:ind w:firstLine="480" w:firstLineChars="200"/>
        <w:rPr>
          <w:rFonts w:ascii="宋体" w:hAnsi="宋体" w:eastAsia="宋体" w:cs="宋体"/>
          <w:color w:val="auto"/>
          <w:szCs w:val="21"/>
        </w:rPr>
      </w:pPr>
      <w:r>
        <w:rPr>
          <w:rFonts w:hint="eastAsia" w:ascii="宋体" w:hAnsi="宋体" w:eastAsia="宋体" w:cs="宋体"/>
          <w:color w:val="auto"/>
          <w:szCs w:val="21"/>
        </w:rPr>
        <w:t>1. 本表的设备名称、品牌型号、金额应与</w:t>
      </w:r>
      <w:r>
        <w:rPr>
          <w:rFonts w:hint="eastAsia" w:ascii="宋体" w:hAnsi="宋体" w:eastAsia="宋体" w:cs="宋体"/>
          <w:bCs/>
          <w:color w:val="auto"/>
          <w:szCs w:val="21"/>
        </w:rPr>
        <w:t>货物分项报价一览表</w:t>
      </w:r>
      <w:r>
        <w:rPr>
          <w:rFonts w:hint="eastAsia" w:ascii="宋体" w:hAnsi="宋体" w:eastAsia="宋体" w:cs="宋体"/>
          <w:color w:val="auto"/>
          <w:szCs w:val="21"/>
        </w:rPr>
        <w:t>一致。</w:t>
      </w:r>
    </w:p>
    <w:p>
      <w:pPr>
        <w:ind w:firstLine="480" w:firstLineChars="200"/>
        <w:rPr>
          <w:rFonts w:ascii="宋体" w:hAnsi="宋体" w:eastAsia="宋体" w:cs="宋体"/>
          <w:b/>
          <w:color w:val="auto"/>
          <w:szCs w:val="21"/>
        </w:rPr>
      </w:pPr>
      <w:r>
        <w:rPr>
          <w:rFonts w:hint="eastAsia" w:ascii="宋体" w:hAnsi="宋体" w:eastAsia="宋体" w:cs="宋体"/>
          <w:color w:val="auto"/>
          <w:szCs w:val="21"/>
        </w:rPr>
        <w:t>2. 节能产品是指财政部和国家发展改革委员会公布的《节能产品政府采购品目清单》中的产品，可在中华人民共和国财政部网站（http://www.mof.gov.cn）、中国政府采购网（http://www.ccgp.gov.cn/）查阅。</w:t>
      </w:r>
      <w:r>
        <w:rPr>
          <w:rFonts w:hint="eastAsia" w:ascii="宋体" w:hAnsi="宋体" w:eastAsia="宋体" w:cs="宋体"/>
          <w:b/>
          <w:color w:val="auto"/>
          <w:szCs w:val="21"/>
        </w:rPr>
        <w:t>投标供应商须在投标文件中附该产品经国家确定的认证机构出具的、处于有效期之内的《国家节能产品认证证书》复印件，否则评标委员会有权不予认可。</w:t>
      </w:r>
    </w:p>
    <w:p>
      <w:pPr>
        <w:ind w:firstLine="480" w:firstLineChars="200"/>
        <w:rPr>
          <w:rFonts w:ascii="宋体" w:hAnsi="宋体" w:eastAsia="宋体" w:cs="宋体"/>
          <w:b/>
          <w:color w:val="auto"/>
          <w:szCs w:val="21"/>
        </w:rPr>
      </w:pPr>
      <w:r>
        <w:rPr>
          <w:rFonts w:hint="eastAsia" w:ascii="宋体" w:hAnsi="宋体" w:eastAsia="宋体" w:cs="宋体"/>
          <w:color w:val="auto"/>
          <w:szCs w:val="21"/>
        </w:rPr>
        <w:t>3. 环境标志产品是指财政部、环境保护部发布的《环境标志产品政府采购品目清单》中的产品，可在中华人民共和国财政部网站（http://www.mof.gov.cn）、中国政府采购网（http://www.ccgp.gov.cn/）查阅。</w:t>
      </w:r>
      <w:r>
        <w:rPr>
          <w:rFonts w:hint="eastAsia" w:ascii="宋体" w:hAnsi="宋体" w:eastAsia="宋体" w:cs="宋体"/>
          <w:b/>
          <w:color w:val="auto"/>
          <w:szCs w:val="21"/>
        </w:rPr>
        <w:t>投标供应商须在投标文件中附该产品经国家确定的认证机构出具的、处于有效期之内的《中国环境标志产品认证证书》复印件，否则评委委员会有权不予认可。</w:t>
      </w:r>
    </w:p>
    <w:p>
      <w:pPr>
        <w:ind w:firstLine="480" w:firstLineChars="200"/>
        <w:rPr>
          <w:rFonts w:ascii="宋体" w:hAnsi="宋体" w:eastAsia="宋体" w:cs="宋体"/>
          <w:color w:val="auto"/>
          <w:szCs w:val="21"/>
        </w:rPr>
      </w:pPr>
      <w:r>
        <w:rPr>
          <w:rFonts w:hint="eastAsia" w:ascii="宋体" w:hAnsi="宋体" w:eastAsia="宋体" w:cs="宋体"/>
          <w:color w:val="auto"/>
          <w:szCs w:val="21"/>
        </w:rPr>
        <w:t>4. 请投标供应商正确填写本表，所填内容将作为评审的依据。其内容或数据应与对应的证明资料相符。</w:t>
      </w:r>
    </w:p>
    <w:p>
      <w:pPr>
        <w:ind w:firstLine="480" w:firstLineChars="200"/>
        <w:rPr>
          <w:rFonts w:ascii="Times New Roman" w:hAnsi="Times New Roman" w:eastAsia="宋体" w:cs="Times New Roman"/>
          <w:b/>
          <w:color w:val="auto"/>
          <w:sz w:val="28"/>
          <w:szCs w:val="28"/>
        </w:rPr>
      </w:pPr>
      <w:r>
        <w:rPr>
          <w:rFonts w:hint="eastAsia" w:ascii="宋体" w:hAnsi="宋体" w:eastAsia="宋体" w:cs="宋体"/>
          <w:color w:val="auto"/>
          <w:szCs w:val="21"/>
        </w:rPr>
        <w:t>5. 没有相关产品可不提供本表。</w:t>
      </w:r>
      <w:r>
        <w:rPr>
          <w:rFonts w:hint="eastAsia" w:ascii="Times New Roman" w:hAnsi="Times New Roman" w:eastAsia="宋体" w:cs="Times New Roman"/>
          <w:b/>
          <w:color w:val="auto"/>
          <w:sz w:val="28"/>
          <w:szCs w:val="28"/>
        </w:rPr>
        <w:br w:type="page"/>
      </w:r>
    </w:p>
    <w:bookmarkEnd w:id="388"/>
    <w:bookmarkEnd w:id="390"/>
    <w:bookmarkEnd w:id="391"/>
    <w:bookmarkEnd w:id="392"/>
    <w:bookmarkEnd w:id="393"/>
    <w:bookmarkEnd w:id="394"/>
    <w:bookmarkEnd w:id="395"/>
    <w:bookmarkEnd w:id="396"/>
    <w:bookmarkEnd w:id="397"/>
    <w:bookmarkEnd w:id="398"/>
    <w:p>
      <w:pPr>
        <w:keepNext/>
        <w:keepLines/>
        <w:widowControl w:val="0"/>
        <w:adjustRightInd w:val="0"/>
        <w:spacing w:before="120" w:after="120" w:line="160" w:lineRule="atLeast"/>
        <w:jc w:val="center"/>
        <w:textAlignment w:val="baseline"/>
        <w:outlineLvl w:val="1"/>
        <w:rPr>
          <w:rFonts w:ascii="宋体" w:hAnsi="宋体" w:eastAsia="宋体" w:cs="宋体"/>
          <w:b/>
          <w:color w:val="auto"/>
          <w:kern w:val="0"/>
          <w:sz w:val="30"/>
          <w:szCs w:val="20"/>
          <w:lang w:val="en-US" w:eastAsia="zh-CN" w:bidi="ar-SA"/>
        </w:rPr>
      </w:pPr>
      <w:bookmarkStart w:id="417" w:name="_Toc11397"/>
      <w:bookmarkStart w:id="418" w:name="_Toc23058"/>
      <w:bookmarkStart w:id="419" w:name="_Toc26940"/>
      <w:bookmarkStart w:id="420" w:name="_Toc9809"/>
      <w:bookmarkStart w:id="421" w:name="_Toc23978"/>
      <w:bookmarkStart w:id="422" w:name="_Toc1543"/>
      <w:bookmarkStart w:id="423" w:name="_Toc14388"/>
      <w:bookmarkStart w:id="424" w:name="_Toc7341"/>
      <w:bookmarkStart w:id="425" w:name="_Toc5339"/>
      <w:bookmarkStart w:id="426" w:name="_Toc6308"/>
      <w:bookmarkStart w:id="427" w:name="_Toc9282"/>
      <w:bookmarkStart w:id="428" w:name="_Toc22545"/>
      <w:r>
        <w:rPr>
          <w:rFonts w:hint="eastAsia" w:ascii="宋体" w:hAnsi="宋体" w:eastAsia="宋体" w:cs="宋体"/>
          <w:b/>
          <w:color w:val="auto"/>
          <w:kern w:val="0"/>
          <w:sz w:val="30"/>
          <w:szCs w:val="20"/>
          <w:lang w:val="en-US" w:eastAsia="zh-CN" w:bidi="ar-SA"/>
        </w:rPr>
        <w:t>十</w:t>
      </w:r>
      <w:r>
        <w:rPr>
          <w:rFonts w:hint="eastAsia" w:ascii="宋体" w:hAnsi="宋体" w:cs="宋体"/>
          <w:b/>
          <w:color w:val="auto"/>
          <w:kern w:val="0"/>
          <w:sz w:val="30"/>
          <w:szCs w:val="20"/>
          <w:lang w:val="en-US" w:eastAsia="zh-CN" w:bidi="ar-SA"/>
        </w:rPr>
        <w:t>三</w:t>
      </w:r>
      <w:r>
        <w:rPr>
          <w:rFonts w:hint="eastAsia" w:ascii="宋体" w:hAnsi="宋体" w:eastAsia="宋体" w:cs="宋体"/>
          <w:b/>
          <w:color w:val="auto"/>
          <w:kern w:val="0"/>
          <w:sz w:val="30"/>
          <w:szCs w:val="20"/>
          <w:lang w:val="en-US" w:eastAsia="zh-CN" w:bidi="ar-SA"/>
        </w:rPr>
        <w:t>、投标设备图片及投标供应商认为需要提交的其它证明资料</w:t>
      </w:r>
      <w:bookmarkEnd w:id="417"/>
      <w:bookmarkEnd w:id="418"/>
      <w:bookmarkEnd w:id="419"/>
      <w:bookmarkEnd w:id="420"/>
      <w:bookmarkEnd w:id="421"/>
      <w:bookmarkEnd w:id="422"/>
      <w:bookmarkEnd w:id="423"/>
      <w:bookmarkEnd w:id="424"/>
      <w:bookmarkEnd w:id="425"/>
      <w:bookmarkEnd w:id="426"/>
      <w:bookmarkEnd w:id="427"/>
      <w:bookmarkEnd w:id="428"/>
    </w:p>
    <w:p>
      <w:pPr>
        <w:spacing w:line="520" w:lineRule="exact"/>
        <w:rPr>
          <w:rFonts w:ascii="宋体" w:hAnsi="宋体" w:eastAsia="宋体" w:cs="宋体"/>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GENISO"/>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872E6"/>
    <w:multiLevelType w:val="singleLevel"/>
    <w:tmpl w:val="8ED872E6"/>
    <w:lvl w:ilvl="0" w:tentative="0">
      <w:start w:val="1"/>
      <w:numFmt w:val="decimal"/>
      <w:suff w:val="nothing"/>
      <w:lvlText w:val="%1、"/>
      <w:lvlJc w:val="left"/>
    </w:lvl>
  </w:abstractNum>
  <w:abstractNum w:abstractNumId="1">
    <w:nsid w:val="A8889EFC"/>
    <w:multiLevelType w:val="singleLevel"/>
    <w:tmpl w:val="A8889EFC"/>
    <w:lvl w:ilvl="0" w:tentative="0">
      <w:start w:val="2"/>
      <w:numFmt w:val="chineseCounting"/>
      <w:suff w:val="nothing"/>
      <w:lvlText w:val="（%1）"/>
      <w:lvlJc w:val="left"/>
      <w:rPr>
        <w:rFonts w:hint="eastAsia"/>
      </w:rPr>
    </w:lvl>
  </w:abstractNum>
  <w:abstractNum w:abstractNumId="2">
    <w:nsid w:val="FFFFFFFB"/>
    <w:multiLevelType w:val="multilevel"/>
    <w:tmpl w:val="FFFFFFFB"/>
    <w:lvl w:ilvl="0" w:tentative="0">
      <w:start w:val="1"/>
      <w:numFmt w:val="chineseCountingThousand"/>
      <w:pStyle w:val="2"/>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pStyle w:val="4"/>
      <w:suff w:val="nothing"/>
      <w:lvlText w:val=""/>
      <w:lvlJc w:val="left"/>
      <w:pPr>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M2RiODEyZjI3YzQzMzJkNzhmODY5Y2IxNWM1MTMifQ=="/>
  </w:docVars>
  <w:rsids>
    <w:rsidRoot w:val="00000000"/>
    <w:rsid w:val="01C70A7A"/>
    <w:rsid w:val="03433F84"/>
    <w:rsid w:val="04005CD8"/>
    <w:rsid w:val="04697A1A"/>
    <w:rsid w:val="057228FC"/>
    <w:rsid w:val="07CF5DE6"/>
    <w:rsid w:val="08297259"/>
    <w:rsid w:val="087D7F38"/>
    <w:rsid w:val="08DB07BA"/>
    <w:rsid w:val="09264B21"/>
    <w:rsid w:val="0A1B7A08"/>
    <w:rsid w:val="0B1A1A6E"/>
    <w:rsid w:val="0D194463"/>
    <w:rsid w:val="0D2941EA"/>
    <w:rsid w:val="0E2E7CAD"/>
    <w:rsid w:val="0E5E6115"/>
    <w:rsid w:val="0EB6385C"/>
    <w:rsid w:val="0EBE0962"/>
    <w:rsid w:val="0FE95EB3"/>
    <w:rsid w:val="0FE97C61"/>
    <w:rsid w:val="10284C2D"/>
    <w:rsid w:val="104D188E"/>
    <w:rsid w:val="1154735C"/>
    <w:rsid w:val="116C0B49"/>
    <w:rsid w:val="11E6505D"/>
    <w:rsid w:val="15BE749A"/>
    <w:rsid w:val="192817FA"/>
    <w:rsid w:val="1A445F62"/>
    <w:rsid w:val="1A6745A4"/>
    <w:rsid w:val="1A7840BB"/>
    <w:rsid w:val="1AF7062E"/>
    <w:rsid w:val="1AFA5667"/>
    <w:rsid w:val="1B530684"/>
    <w:rsid w:val="1E6A6411"/>
    <w:rsid w:val="207672EF"/>
    <w:rsid w:val="217F5B0C"/>
    <w:rsid w:val="21BA7EC0"/>
    <w:rsid w:val="21BC6F83"/>
    <w:rsid w:val="21BE061B"/>
    <w:rsid w:val="22857CBD"/>
    <w:rsid w:val="22AD2D70"/>
    <w:rsid w:val="23337719"/>
    <w:rsid w:val="233F7E6C"/>
    <w:rsid w:val="2536704D"/>
    <w:rsid w:val="25F72C80"/>
    <w:rsid w:val="26190A68"/>
    <w:rsid w:val="26D934DC"/>
    <w:rsid w:val="275B0FEC"/>
    <w:rsid w:val="28CC03F4"/>
    <w:rsid w:val="2A021BF3"/>
    <w:rsid w:val="2A5C7555"/>
    <w:rsid w:val="2B4A1AA4"/>
    <w:rsid w:val="2B6366C1"/>
    <w:rsid w:val="2B807273"/>
    <w:rsid w:val="2CC13CC3"/>
    <w:rsid w:val="2EAD65D1"/>
    <w:rsid w:val="2F162BDB"/>
    <w:rsid w:val="2F3A3BDD"/>
    <w:rsid w:val="2F9E416C"/>
    <w:rsid w:val="2FA8323D"/>
    <w:rsid w:val="3029612C"/>
    <w:rsid w:val="3140197F"/>
    <w:rsid w:val="324234D5"/>
    <w:rsid w:val="328069B6"/>
    <w:rsid w:val="32BD2B5B"/>
    <w:rsid w:val="32FD11AA"/>
    <w:rsid w:val="33997124"/>
    <w:rsid w:val="342D5ABF"/>
    <w:rsid w:val="348E0C53"/>
    <w:rsid w:val="34FF56AD"/>
    <w:rsid w:val="350902DA"/>
    <w:rsid w:val="364A2958"/>
    <w:rsid w:val="37E666B0"/>
    <w:rsid w:val="37FC5ED4"/>
    <w:rsid w:val="382E0F76"/>
    <w:rsid w:val="38B247E4"/>
    <w:rsid w:val="39205BF2"/>
    <w:rsid w:val="39400042"/>
    <w:rsid w:val="394C2E8B"/>
    <w:rsid w:val="39F552D0"/>
    <w:rsid w:val="3A654204"/>
    <w:rsid w:val="3D015D3A"/>
    <w:rsid w:val="3E005151"/>
    <w:rsid w:val="3F8E14A4"/>
    <w:rsid w:val="3FB35B9E"/>
    <w:rsid w:val="40207DED"/>
    <w:rsid w:val="40624D42"/>
    <w:rsid w:val="40A22249"/>
    <w:rsid w:val="425A130F"/>
    <w:rsid w:val="4342208D"/>
    <w:rsid w:val="435766B4"/>
    <w:rsid w:val="44287C8E"/>
    <w:rsid w:val="44460236"/>
    <w:rsid w:val="466862BF"/>
    <w:rsid w:val="46D00C57"/>
    <w:rsid w:val="483E1479"/>
    <w:rsid w:val="487675DC"/>
    <w:rsid w:val="48AB197C"/>
    <w:rsid w:val="4AE055B7"/>
    <w:rsid w:val="4AF40C8C"/>
    <w:rsid w:val="4B0044FD"/>
    <w:rsid w:val="4B4614E8"/>
    <w:rsid w:val="4DC11672"/>
    <w:rsid w:val="4E881E17"/>
    <w:rsid w:val="4F4F6369"/>
    <w:rsid w:val="5043249A"/>
    <w:rsid w:val="50D15CF8"/>
    <w:rsid w:val="522A7657"/>
    <w:rsid w:val="529E1C09"/>
    <w:rsid w:val="52AF324E"/>
    <w:rsid w:val="53234805"/>
    <w:rsid w:val="54C32E63"/>
    <w:rsid w:val="551B5793"/>
    <w:rsid w:val="55A40C60"/>
    <w:rsid w:val="561843C9"/>
    <w:rsid w:val="562763BA"/>
    <w:rsid w:val="56A874FB"/>
    <w:rsid w:val="56BA722E"/>
    <w:rsid w:val="577C4928"/>
    <w:rsid w:val="57925AB5"/>
    <w:rsid w:val="57FD73D2"/>
    <w:rsid w:val="58D77C23"/>
    <w:rsid w:val="5B2676D3"/>
    <w:rsid w:val="5BB04484"/>
    <w:rsid w:val="5C606182"/>
    <w:rsid w:val="5C7D31D8"/>
    <w:rsid w:val="5FE05762"/>
    <w:rsid w:val="60143D8D"/>
    <w:rsid w:val="60A07495"/>
    <w:rsid w:val="60F6219C"/>
    <w:rsid w:val="613025C6"/>
    <w:rsid w:val="617C580C"/>
    <w:rsid w:val="63D24A38"/>
    <w:rsid w:val="642638B1"/>
    <w:rsid w:val="651C2AC7"/>
    <w:rsid w:val="66AF0431"/>
    <w:rsid w:val="67AD6DE0"/>
    <w:rsid w:val="67C7679D"/>
    <w:rsid w:val="69C266CE"/>
    <w:rsid w:val="6A116D0D"/>
    <w:rsid w:val="6A8614A9"/>
    <w:rsid w:val="6B322618"/>
    <w:rsid w:val="6C931AC6"/>
    <w:rsid w:val="6CBF0CA2"/>
    <w:rsid w:val="6EF8049C"/>
    <w:rsid w:val="6F394D3C"/>
    <w:rsid w:val="70473489"/>
    <w:rsid w:val="70AE175A"/>
    <w:rsid w:val="71347EB1"/>
    <w:rsid w:val="73A3131E"/>
    <w:rsid w:val="745F76B1"/>
    <w:rsid w:val="757065D0"/>
    <w:rsid w:val="76037E52"/>
    <w:rsid w:val="760403C1"/>
    <w:rsid w:val="779C4B40"/>
    <w:rsid w:val="78126A72"/>
    <w:rsid w:val="782A3DBC"/>
    <w:rsid w:val="784B765E"/>
    <w:rsid w:val="78994A9D"/>
    <w:rsid w:val="78DD498A"/>
    <w:rsid w:val="7993773F"/>
    <w:rsid w:val="7B430CF1"/>
    <w:rsid w:val="7C093CE8"/>
    <w:rsid w:val="7C2B044F"/>
    <w:rsid w:val="7C5533D1"/>
    <w:rsid w:val="7C556F2D"/>
    <w:rsid w:val="7CD04806"/>
    <w:rsid w:val="7D89135D"/>
    <w:rsid w:val="7EC92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9"/>
    <w:pPr>
      <w:keepNext/>
      <w:keepLines/>
      <w:numPr>
        <w:ilvl w:val="0"/>
        <w:numId w:val="1"/>
      </w:numPr>
      <w:adjustRightInd w:val="0"/>
      <w:spacing w:before="260" w:after="260" w:line="160" w:lineRule="atLeast"/>
      <w:ind w:left="0" w:firstLine="0"/>
      <w:jc w:val="center"/>
      <w:textAlignment w:val="baseline"/>
      <w:outlineLvl w:val="0"/>
    </w:pPr>
    <w:rPr>
      <w:rFonts w:ascii="黑体" w:hAnsi="黑体"/>
      <w:b/>
      <w:kern w:val="44"/>
      <w:sz w:val="36"/>
      <w:szCs w:val="20"/>
    </w:rPr>
  </w:style>
  <w:style w:type="paragraph" w:styleId="3">
    <w:name w:val="heading 2"/>
    <w:basedOn w:val="1"/>
    <w:next w:val="1"/>
    <w:qFormat/>
    <w:uiPriority w:val="99"/>
    <w:pPr>
      <w:keepNext/>
      <w:keepLines/>
      <w:adjustRightInd w:val="0"/>
      <w:spacing w:before="120" w:after="120" w:line="160" w:lineRule="atLeast"/>
      <w:jc w:val="center"/>
      <w:textAlignment w:val="baseline"/>
      <w:outlineLvl w:val="1"/>
    </w:pPr>
    <w:rPr>
      <w:rFonts w:ascii="宋体" w:hAnsi="宋体" w:cs="宋体"/>
      <w:b/>
      <w:kern w:val="0"/>
      <w:sz w:val="30"/>
      <w:szCs w:val="20"/>
    </w:rPr>
  </w:style>
  <w:style w:type="paragraph" w:styleId="4">
    <w:name w:val="heading 3"/>
    <w:basedOn w:val="1"/>
    <w:next w:val="1"/>
    <w:qFormat/>
    <w:uiPriority w:val="99"/>
    <w:pPr>
      <w:keepNext/>
      <w:keepLines/>
      <w:numPr>
        <w:ilvl w:val="2"/>
        <w:numId w:val="1"/>
      </w:numPr>
      <w:adjustRightInd w:val="0"/>
      <w:spacing w:before="160" w:after="160" w:line="160" w:lineRule="atLeast"/>
      <w:ind w:left="0"/>
      <w:textAlignment w:val="baseline"/>
      <w:outlineLvl w:val="2"/>
    </w:pPr>
    <w:rPr>
      <w:rFonts w:asciiTheme="minorEastAsia" w:eastAsiaTheme="minorEastAsia"/>
      <w:b/>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99"/>
    <w:pPr>
      <w:ind w:firstLine="420"/>
    </w:pPr>
    <w:rPr>
      <w:szCs w:val="20"/>
    </w:rPr>
  </w:style>
  <w:style w:type="paragraph" w:styleId="6">
    <w:name w:val="Body Text 2"/>
    <w:basedOn w:val="1"/>
    <w:qFormat/>
    <w:uiPriority w:val="99"/>
    <w:pPr>
      <w:autoSpaceDE w:val="0"/>
      <w:autoSpaceDN w:val="0"/>
      <w:adjustRightInd w:val="0"/>
      <w:spacing w:line="480" w:lineRule="exact"/>
    </w:pPr>
    <w:rPr>
      <w:rFonts w:ascii="宋体" w:hAnsi="宋体"/>
      <w:color w:val="000000"/>
      <w:kern w:val="0"/>
    </w:rPr>
  </w:style>
  <w:style w:type="paragraph" w:styleId="7">
    <w:name w:val="Body Text"/>
    <w:basedOn w:val="1"/>
    <w:next w:val="1"/>
    <w:qFormat/>
    <w:uiPriority w:val="99"/>
    <w:pPr>
      <w:spacing w:line="480" w:lineRule="exact"/>
    </w:pPr>
    <w:rPr>
      <w:rFonts w:ascii="宋体" w:hAnsi="宋体"/>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jc w:val="both"/>
    </w:pPr>
    <w:rPr>
      <w:rFonts w:ascii="Arial" w:hAnsi="Arial"/>
      <w:sz w:val="21"/>
      <w:szCs w:val="22"/>
    </w:rPr>
  </w:style>
  <w:style w:type="paragraph" w:styleId="10">
    <w:name w:val="footer"/>
    <w:basedOn w:val="1"/>
    <w:qFormat/>
    <w:uiPriority w:val="99"/>
    <w:pPr>
      <w:tabs>
        <w:tab w:val="center" w:pos="4153"/>
        <w:tab w:val="right" w:pos="8306"/>
      </w:tabs>
      <w:snapToGrid w:val="0"/>
    </w:pPr>
    <w:rPr>
      <w:sz w:val="18"/>
      <w:szCs w:val="20"/>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7"/>
    <w:next w:val="1"/>
    <w:unhideWhenUsed/>
    <w:qFormat/>
    <w:uiPriority w:val="99"/>
    <w:pPr>
      <w:spacing w:after="120" w:line="240" w:lineRule="auto"/>
      <w:ind w:firstLine="420" w:firstLineChars="100"/>
    </w:pPr>
    <w:rPr>
      <w:rFonts w:ascii="Times New Roman" w:hAnsi="Times New Roman"/>
      <w:sz w:val="21"/>
    </w:rPr>
  </w:style>
  <w:style w:type="paragraph" w:styleId="16">
    <w:name w:val="Body Text First Indent 2"/>
    <w:basedOn w:val="8"/>
    <w:next w:val="1"/>
    <w:unhideWhenUsed/>
    <w:qFormat/>
    <w:uiPriority w:val="99"/>
    <w:pPr>
      <w:ind w:firstLine="420" w:firstLineChars="200"/>
    </w:p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FollowedHyperlink"/>
    <w:basedOn w:val="19"/>
    <w:qFormat/>
    <w:uiPriority w:val="0"/>
    <w:rPr>
      <w:color w:val="800080"/>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Default"/>
    <w:next w:val="3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大标题"/>
    <w:basedOn w:val="1"/>
    <w:next w:val="16"/>
    <w:qFormat/>
    <w:uiPriority w:val="0"/>
    <w:pPr>
      <w:jc w:val="center"/>
    </w:pPr>
    <w:rPr>
      <w:rFonts w:ascii="Arial" w:hAnsi="Arial"/>
      <w:b/>
      <w:sz w:val="28"/>
    </w:rPr>
  </w:style>
  <w:style w:type="paragraph" w:customStyle="1" w:styleId="3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35">
    <w:name w:val="无间隔1"/>
    <w:basedOn w:val="1"/>
    <w:qFormat/>
    <w:uiPriority w:val="99"/>
    <w:pPr>
      <w:spacing w:line="400" w:lineRule="exact"/>
    </w:pPr>
  </w:style>
  <w:style w:type="paragraph" w:styleId="36">
    <w:name w:val="List Paragraph"/>
    <w:basedOn w:val="1"/>
    <w:unhideWhenUsed/>
    <w:qFormat/>
    <w:uiPriority w:val="34"/>
    <w:pPr>
      <w:ind w:firstLine="420" w:firstLineChars="200"/>
    </w:pPr>
  </w:style>
  <w:style w:type="paragraph" w:customStyle="1" w:styleId="37">
    <w:name w:val="正文_13_0"/>
    <w:basedOn w:val="1"/>
    <w:qFormat/>
    <w:uiPriority w:val="0"/>
    <w:rPr>
      <w:szCs w:val="21"/>
    </w:rPr>
  </w:style>
  <w:style w:type="character" w:customStyle="1" w:styleId="38">
    <w:name w:val="15"/>
    <w:basedOn w:val="19"/>
    <w:qFormat/>
    <w:uiPriority w:val="0"/>
    <w:rPr>
      <w:rFonts w:hint="default" w:ascii="Times New Roman" w:hAnsi="Times New Roman" w:cs="Times New Roman"/>
    </w:rPr>
  </w:style>
  <w:style w:type="character" w:customStyle="1" w:styleId="39">
    <w:name w:val="hover"/>
    <w:basedOn w:val="19"/>
    <w:qFormat/>
    <w:uiPriority w:val="0"/>
    <w:rPr>
      <w:color w:val="2590EB"/>
    </w:rPr>
  </w:style>
  <w:style w:type="character" w:customStyle="1" w:styleId="40">
    <w:name w:val="hover1"/>
    <w:basedOn w:val="19"/>
    <w:qFormat/>
    <w:uiPriority w:val="0"/>
    <w:rPr>
      <w:color w:val="2590EB"/>
    </w:rPr>
  </w:style>
  <w:style w:type="character" w:customStyle="1" w:styleId="41">
    <w:name w:val="hover2"/>
    <w:basedOn w:val="19"/>
    <w:qFormat/>
    <w:uiPriority w:val="0"/>
  </w:style>
  <w:style w:type="character" w:customStyle="1" w:styleId="42">
    <w:name w:val="hover3"/>
    <w:basedOn w:val="19"/>
    <w:qFormat/>
    <w:uiPriority w:val="0"/>
    <w:rPr>
      <w:color w:val="2590EB"/>
      <w:shd w:val="clear" w:fill="E9F4FD"/>
    </w:rPr>
  </w:style>
  <w:style w:type="character" w:customStyle="1" w:styleId="43">
    <w:name w:val="fr"/>
    <w:basedOn w:val="19"/>
    <w:qFormat/>
    <w:uiPriority w:val="0"/>
  </w:style>
  <w:style w:type="character" w:customStyle="1" w:styleId="44">
    <w:name w:val="icon_ds"/>
    <w:basedOn w:val="19"/>
    <w:qFormat/>
    <w:uiPriority w:val="0"/>
    <w:rPr>
      <w:sz w:val="21"/>
      <w:szCs w:val="21"/>
    </w:rPr>
  </w:style>
  <w:style w:type="character" w:customStyle="1" w:styleId="45">
    <w:name w:val="icon_ds1"/>
    <w:basedOn w:val="19"/>
    <w:qFormat/>
    <w:uiPriority w:val="0"/>
  </w:style>
  <w:style w:type="character" w:customStyle="1" w:styleId="46">
    <w:name w:val="icon_gys"/>
    <w:basedOn w:val="19"/>
    <w:qFormat/>
    <w:uiPriority w:val="0"/>
    <w:rPr>
      <w:sz w:val="21"/>
      <w:szCs w:val="21"/>
    </w:rPr>
  </w:style>
  <w:style w:type="character" w:customStyle="1" w:styleId="47">
    <w:name w:val="first-child"/>
    <w:basedOn w:val="19"/>
    <w:qFormat/>
    <w:uiPriority w:val="0"/>
    <w:rPr>
      <w:color w:val="1F3149"/>
      <w:sz w:val="24"/>
      <w:szCs w:val="24"/>
    </w:rPr>
  </w:style>
  <w:style w:type="character" w:customStyle="1" w:styleId="48">
    <w:name w:val="first-child1"/>
    <w:basedOn w:val="19"/>
    <w:qFormat/>
    <w:uiPriority w:val="0"/>
    <w:rPr>
      <w:color w:val="1F3149"/>
      <w:sz w:val="24"/>
      <w:szCs w:val="24"/>
    </w:rPr>
  </w:style>
  <w:style w:type="character" w:customStyle="1" w:styleId="49">
    <w:name w:val="xiadan"/>
    <w:basedOn w:val="19"/>
    <w:qFormat/>
    <w:uiPriority w:val="0"/>
    <w:rPr>
      <w:shd w:val="clear" w:fill="E4393C"/>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27962</Words>
  <Characters>29802</Characters>
  <Lines>0</Lines>
  <Paragraphs>0</Paragraphs>
  <TotalTime>14</TotalTime>
  <ScaleCrop>false</ScaleCrop>
  <LinksUpToDate>false</LinksUpToDate>
  <CharactersWithSpaces>31726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2023-07-05T07:56:00Z</dcterms:created>
  <dc:creator>Administrator</dc:creator>
  <cp:lastModifiedBy>郝玉杰</cp:lastModifiedBy>
  <dcterms:modified xsi:type="dcterms:W3CDTF">2023-09-20T10:10:37Z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ED89597CFC0D4C328DC6F927468F1882_12</vt:lpwstr>
  </property>
</Properties>
</file>